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E445F" w14:textId="77777777" w:rsidR="00044645" w:rsidRPr="006B17A7" w:rsidRDefault="00044645" w:rsidP="00044645">
      <w:pPr>
        <w:spacing w:after="0" w:line="240" w:lineRule="auto"/>
        <w:jc w:val="both"/>
        <w:rPr>
          <w:rFonts w:ascii="Verdana" w:eastAsia="Calibri" w:hAnsi="Verdana" w:cs="Arial"/>
          <w:b/>
          <w:bCs/>
          <w:lang w:val="es-ES_tradnl" w:eastAsia="es-ES_tradnl"/>
        </w:rPr>
      </w:pPr>
      <w:bookmarkStart w:id="0" w:name="_Hlk143780582"/>
      <w:r w:rsidRPr="006B17A7">
        <w:rPr>
          <w:rFonts w:ascii="Verdana" w:eastAsia="Calibri" w:hAnsi="Verdana" w:cs="Arial"/>
          <w:b/>
          <w:bCs/>
          <w:lang w:val="es-ES_tradnl" w:eastAsia="es-ES_tradnl"/>
        </w:rPr>
        <w:t>LIQUIDACIÓN DE LOS CONTRATOS ESTATALES – Noción – Objetivo – Acta de liquidación</w:t>
      </w:r>
    </w:p>
    <w:p w14:paraId="7CA1CBFF" w14:textId="77777777" w:rsidR="00044645" w:rsidRPr="006B17A7" w:rsidRDefault="00044645" w:rsidP="00044645">
      <w:pPr>
        <w:spacing w:after="0" w:line="240" w:lineRule="auto"/>
        <w:jc w:val="both"/>
        <w:rPr>
          <w:rFonts w:ascii="Verdana" w:eastAsia="Calibri" w:hAnsi="Verdana" w:cs="Arial"/>
          <w:b/>
          <w:bCs/>
          <w:sz w:val="20"/>
          <w:szCs w:val="20"/>
          <w:lang w:val="es-ES_tradnl" w:eastAsia="es-ES_tradnl"/>
        </w:rPr>
      </w:pPr>
    </w:p>
    <w:p w14:paraId="661BED85" w14:textId="77777777" w:rsidR="00044645" w:rsidRPr="006B17A7" w:rsidRDefault="00044645" w:rsidP="00044645">
      <w:pPr>
        <w:spacing w:after="0" w:line="240" w:lineRule="auto"/>
        <w:jc w:val="both"/>
        <w:rPr>
          <w:rFonts w:ascii="Verdana" w:eastAsia="Aptos" w:hAnsi="Verdana" w:cs="Times New Roman"/>
          <w:sz w:val="20"/>
          <w:szCs w:val="20"/>
        </w:rPr>
      </w:pPr>
      <w:r w:rsidRPr="006B17A7">
        <w:rPr>
          <w:rFonts w:ascii="Verdana" w:eastAsia="Aptos" w:hAnsi="Verdana" w:cs="Times New Roman"/>
          <w:sz w:val="20"/>
          <w:szCs w:val="20"/>
        </w:rPr>
        <w:t xml:space="preserve">[…] la liquidación es el momento en el cual, una vez concluido el contrato estatal, las partes cruzan cuentas respecto de sus obligaciones. Por tanto, su objetiva, es determinar si pueden declararse a paz y salvo mutuo o si, por el contrario, existen aún obligaciones por cumplir, para acordar la forma en que deben ser finalizadas. […] </w:t>
      </w:r>
    </w:p>
    <w:p w14:paraId="5873F922" w14:textId="77777777" w:rsidR="00044645" w:rsidRPr="006B17A7" w:rsidRDefault="00044645" w:rsidP="00044645">
      <w:pPr>
        <w:spacing w:after="0" w:line="240" w:lineRule="auto"/>
        <w:jc w:val="both"/>
        <w:rPr>
          <w:rFonts w:ascii="Verdana" w:eastAsia="Aptos" w:hAnsi="Verdana" w:cs="Times New Roman"/>
          <w:sz w:val="20"/>
          <w:szCs w:val="20"/>
        </w:rPr>
      </w:pPr>
      <w:r w:rsidRPr="006B17A7">
        <w:rPr>
          <w:rFonts w:ascii="Verdana" w:eastAsia="Aptos" w:hAnsi="Verdana" w:cs="Times New Roman"/>
          <w:sz w:val="20"/>
          <w:szCs w:val="20"/>
        </w:rPr>
        <w:t>[…]</w:t>
      </w:r>
    </w:p>
    <w:p w14:paraId="742963D1" w14:textId="77777777" w:rsidR="00044645" w:rsidRPr="006B17A7" w:rsidRDefault="00044645" w:rsidP="00044645">
      <w:pPr>
        <w:spacing w:after="0" w:line="240" w:lineRule="auto"/>
        <w:jc w:val="both"/>
        <w:rPr>
          <w:rFonts w:ascii="Verdana" w:eastAsia="Aptos" w:hAnsi="Verdana" w:cs="Times New Roman"/>
          <w:sz w:val="20"/>
          <w:szCs w:val="20"/>
        </w:rPr>
      </w:pPr>
      <w:r w:rsidRPr="006B17A7">
        <w:rPr>
          <w:rFonts w:ascii="Verdana" w:eastAsia="Aptos" w:hAnsi="Verdana" w:cs="Times New Roman"/>
          <w:sz w:val="20"/>
          <w:szCs w:val="20"/>
        </w:rPr>
        <w:t>[…]Según la jurisprudencia, la liquidación es el ajuste de cuentas donde las partes hacen un balance económico, técnico y jurídico del cumplimiento de las obligaciones que tienen a su cargo. […]</w:t>
      </w:r>
    </w:p>
    <w:p w14:paraId="72E73A4A" w14:textId="77777777" w:rsidR="00044645" w:rsidRPr="006B17A7" w:rsidRDefault="00044645" w:rsidP="00044645">
      <w:pPr>
        <w:spacing w:after="0" w:line="240" w:lineRule="auto"/>
        <w:jc w:val="both"/>
        <w:rPr>
          <w:rFonts w:ascii="Verdana" w:eastAsia="Aptos" w:hAnsi="Verdana" w:cs="Times New Roman"/>
          <w:sz w:val="20"/>
          <w:szCs w:val="20"/>
        </w:rPr>
      </w:pPr>
      <w:r w:rsidRPr="006B17A7">
        <w:rPr>
          <w:rFonts w:ascii="Verdana" w:eastAsia="Aptos" w:hAnsi="Verdana" w:cs="Times New Roman"/>
          <w:sz w:val="20"/>
          <w:szCs w:val="20"/>
        </w:rPr>
        <w:t>[…]</w:t>
      </w:r>
    </w:p>
    <w:p w14:paraId="2BB42258" w14:textId="77777777" w:rsidR="00044645" w:rsidRPr="006B17A7" w:rsidRDefault="00044645" w:rsidP="00044645">
      <w:pPr>
        <w:spacing w:after="0" w:line="240" w:lineRule="auto"/>
        <w:jc w:val="both"/>
        <w:rPr>
          <w:rFonts w:ascii="Verdana" w:eastAsia="Aptos" w:hAnsi="Verdana" w:cs="Times New Roman"/>
          <w:sz w:val="20"/>
          <w:szCs w:val="20"/>
        </w:rPr>
      </w:pPr>
      <w:r w:rsidRPr="006B17A7">
        <w:rPr>
          <w:rFonts w:ascii="Verdana" w:eastAsia="Aptos" w:hAnsi="Verdana" w:cs="Times New Roman"/>
          <w:sz w:val="20"/>
          <w:szCs w:val="20"/>
        </w:rPr>
        <w:t>[…]el artículo 60 de la Ley 80 de 1993 dispone que en la etapa de liquidación del contrato estatal las partes acordarán los ajustes, revisiones y reconocimientos a que haya lugar. Por lo que, la misma norma, señala que será en el acta de liquidación el documento donde “constarán los acuerdos, conciliaciones y transacciones a que llegaren las partes para poner fin a las divergencias presentadas y poder declarase a paz y salvo”.</w:t>
      </w:r>
    </w:p>
    <w:p w14:paraId="38964E61" w14:textId="77777777" w:rsidR="00044645" w:rsidRPr="006B17A7" w:rsidRDefault="00044645" w:rsidP="00044645">
      <w:pPr>
        <w:spacing w:after="0" w:line="240" w:lineRule="auto"/>
        <w:jc w:val="both"/>
        <w:rPr>
          <w:rFonts w:ascii="Verdana" w:eastAsia="Calibri" w:hAnsi="Verdana" w:cs="Arial"/>
          <w:b/>
          <w:color w:val="000000"/>
          <w:lang w:val="es-ES"/>
        </w:rPr>
      </w:pPr>
    </w:p>
    <w:p w14:paraId="7949B2DB" w14:textId="77777777" w:rsidR="00044645" w:rsidRPr="006B17A7" w:rsidRDefault="00044645" w:rsidP="00044645">
      <w:pPr>
        <w:spacing w:after="0" w:line="240" w:lineRule="auto"/>
        <w:jc w:val="both"/>
        <w:rPr>
          <w:rFonts w:ascii="Verdana" w:eastAsia="Calibri" w:hAnsi="Verdana" w:cs="Arial"/>
          <w:b/>
          <w:color w:val="000000"/>
          <w:lang w:val="es-ES"/>
        </w:rPr>
      </w:pPr>
      <w:r w:rsidRPr="006B17A7">
        <w:rPr>
          <w:rFonts w:ascii="Verdana" w:eastAsia="Calibri" w:hAnsi="Verdana" w:cs="Arial"/>
          <w:b/>
          <w:color w:val="000000"/>
          <w:lang w:val="es-ES"/>
        </w:rPr>
        <w:t>LIQUIDACIÓN DEL CONTRATO – Tipos – Términos para adelantarlo – Consecuencias pérdida de oportunidad</w:t>
      </w:r>
    </w:p>
    <w:p w14:paraId="1B5F70AD" w14:textId="77777777" w:rsidR="00044645" w:rsidRPr="006B17A7" w:rsidRDefault="00044645" w:rsidP="00044645">
      <w:pPr>
        <w:spacing w:after="0" w:line="240" w:lineRule="auto"/>
        <w:jc w:val="both"/>
        <w:rPr>
          <w:rFonts w:ascii="Verdana" w:eastAsia="Calibri" w:hAnsi="Verdana" w:cs="Arial"/>
          <w:b/>
          <w:color w:val="000000"/>
          <w:highlight w:val="yellow"/>
          <w:lang w:val="es-ES"/>
        </w:rPr>
      </w:pPr>
    </w:p>
    <w:p w14:paraId="37724CBA" w14:textId="77777777" w:rsidR="00044645" w:rsidRPr="00D363D3" w:rsidRDefault="00044645" w:rsidP="00044645">
      <w:pPr>
        <w:spacing w:after="0"/>
        <w:jc w:val="both"/>
        <w:rPr>
          <w:rFonts w:ascii="Verdana" w:eastAsia="Calibri" w:hAnsi="Verdana" w:cs="Arial"/>
          <w:bCs/>
          <w:color w:val="000000"/>
          <w:sz w:val="20"/>
          <w:szCs w:val="20"/>
          <w:lang w:val="es-ES"/>
        </w:rPr>
      </w:pPr>
      <w:r w:rsidRPr="00D363D3">
        <w:rPr>
          <w:rFonts w:ascii="Verdana" w:eastAsia="Calibri" w:hAnsi="Verdana" w:cs="Arial"/>
          <w:bCs/>
          <w:color w:val="000000"/>
          <w:sz w:val="20"/>
          <w:szCs w:val="20"/>
          <w:lang w:val="es-ES"/>
        </w:rPr>
        <w:t xml:space="preserve">[…] de acuerdo con el artículo 11 de la Ley 1150 de 2007, existen tres (3) tipos de liquidación: i) bilateral, </w:t>
      </w:r>
      <w:proofErr w:type="spellStart"/>
      <w:r w:rsidRPr="00D363D3">
        <w:rPr>
          <w:rFonts w:ascii="Verdana" w:eastAsia="Calibri" w:hAnsi="Verdana" w:cs="Arial"/>
          <w:bCs/>
          <w:color w:val="000000"/>
          <w:sz w:val="20"/>
          <w:szCs w:val="20"/>
          <w:lang w:val="es-ES"/>
        </w:rPr>
        <w:t>ii</w:t>
      </w:r>
      <w:proofErr w:type="spellEnd"/>
      <w:r w:rsidRPr="00D363D3">
        <w:rPr>
          <w:rFonts w:ascii="Verdana" w:eastAsia="Calibri" w:hAnsi="Verdana" w:cs="Arial"/>
          <w:bCs/>
          <w:color w:val="000000"/>
          <w:sz w:val="20"/>
          <w:szCs w:val="20"/>
          <w:lang w:val="es-ES"/>
        </w:rPr>
        <w:t xml:space="preserve">) unilateral y </w:t>
      </w:r>
      <w:proofErr w:type="spellStart"/>
      <w:r w:rsidRPr="00D363D3">
        <w:rPr>
          <w:rFonts w:ascii="Verdana" w:eastAsia="Calibri" w:hAnsi="Verdana" w:cs="Arial"/>
          <w:bCs/>
          <w:color w:val="000000"/>
          <w:sz w:val="20"/>
          <w:szCs w:val="20"/>
          <w:lang w:val="es-ES"/>
        </w:rPr>
        <w:t>iii</w:t>
      </w:r>
      <w:proofErr w:type="spellEnd"/>
      <w:r w:rsidRPr="00D363D3">
        <w:rPr>
          <w:rFonts w:ascii="Verdana" w:eastAsia="Calibri" w:hAnsi="Verdana" w:cs="Arial"/>
          <w:bCs/>
          <w:color w:val="000000"/>
          <w:sz w:val="20"/>
          <w:szCs w:val="20"/>
          <w:lang w:val="es-ES"/>
        </w:rPr>
        <w:t>) judicial. En términos generales, la primera, que puede ser total o parcial, debe hacerse en el término que estipulen las partes o, en su defecto, dentro del término supletivo de cuatro (4) meses. La segunda se debe practicar dentro de los dos (2) meses siguientes al vencimiento del término que acuerden las partes, o ante el silencio de estas, luego de los cuatro (4) meses para realizar la liquidación bilateral, sin que esta se efectúe. Finalmente, la tercera la realiza la Jurisdicción de lo Contencioso Administrativo o un tribunal de arbitramento dentro de un proceso judicial de controversias contractuales, y puede darse con ocasión de una demanda del interesado solicitando dicha liquidación. Para ello, existe un plazo máximo de dos (2) años contados a partir de los dos meses establecidos en la Ley para realizar la liquidación unilateral.</w:t>
      </w:r>
    </w:p>
    <w:p w14:paraId="36F65808" w14:textId="77777777" w:rsidR="00044645" w:rsidRPr="00D363D3" w:rsidRDefault="00044645" w:rsidP="00044645">
      <w:pPr>
        <w:spacing w:after="0" w:line="240" w:lineRule="auto"/>
        <w:jc w:val="both"/>
        <w:rPr>
          <w:rFonts w:ascii="Verdana" w:eastAsia="Calibri" w:hAnsi="Verdana" w:cs="Arial"/>
          <w:bCs/>
          <w:color w:val="000000"/>
          <w:sz w:val="20"/>
          <w:szCs w:val="20"/>
          <w:lang w:val="es-ES"/>
        </w:rPr>
      </w:pPr>
    </w:p>
    <w:p w14:paraId="239C0A4B" w14:textId="77777777" w:rsidR="00044645" w:rsidRDefault="00044645" w:rsidP="00044645">
      <w:pPr>
        <w:spacing w:after="0" w:line="240" w:lineRule="auto"/>
        <w:jc w:val="both"/>
        <w:rPr>
          <w:rFonts w:ascii="Verdana" w:eastAsia="Aptos" w:hAnsi="Verdana" w:cs="Times New Roman"/>
          <w:sz w:val="20"/>
          <w:szCs w:val="20"/>
        </w:rPr>
      </w:pPr>
      <w:r w:rsidRPr="00D363D3">
        <w:rPr>
          <w:rFonts w:ascii="Verdana" w:eastAsia="Calibri" w:hAnsi="Verdana" w:cs="Arial"/>
          <w:bCs/>
          <w:color w:val="000000"/>
          <w:sz w:val="20"/>
          <w:szCs w:val="20"/>
          <w:lang w:val="es-ES"/>
        </w:rPr>
        <w:t xml:space="preserve">[…] </w:t>
      </w:r>
      <w:r w:rsidRPr="00D363D3">
        <w:rPr>
          <w:rFonts w:ascii="Verdana" w:eastAsia="Aptos" w:hAnsi="Verdana" w:cs="Times New Roman"/>
          <w:sz w:val="20"/>
          <w:szCs w:val="20"/>
        </w:rPr>
        <w:t>posterior a los términos referenciados en el párrafo precedente sin que se hubiese liquidado el contrato, ésta no podrá adelantarse dado que los plazos referidos son perentorios. Esto significa que con su vencimiento fenece la oportunidad de efectuarla ante la pérdida de competencia de la entidad para realizar el balance final del acuerdo de voluntades pactado. Esta Subdirección, en el Concepto 4201913000006142 de 7 de octubre de 2019, señaló que con la caducidad del medio de control de controversias contractuales las entidades pierden la competencia para liquidar el contrato, ya que el fenómeno procesal constituía la preclusión de la oportunidad para reclamar las sumas de dinero adeudadas por las partes.</w:t>
      </w:r>
    </w:p>
    <w:p w14:paraId="34439B7D" w14:textId="77777777" w:rsidR="00044645" w:rsidRDefault="00044645" w:rsidP="00044645">
      <w:pPr>
        <w:spacing w:after="0" w:line="240" w:lineRule="auto"/>
        <w:jc w:val="both"/>
        <w:rPr>
          <w:rFonts w:ascii="Verdana" w:eastAsia="Aptos" w:hAnsi="Verdana" w:cs="Times New Roman"/>
          <w:sz w:val="20"/>
          <w:szCs w:val="20"/>
        </w:rPr>
      </w:pPr>
    </w:p>
    <w:p w14:paraId="20B0E5C0" w14:textId="2EA13C23" w:rsidR="00044645" w:rsidRPr="00EA00BC" w:rsidRDefault="00044645" w:rsidP="00044645">
      <w:pPr>
        <w:spacing w:after="0" w:line="240" w:lineRule="auto"/>
        <w:rPr>
          <w:rFonts w:ascii="Verdana" w:eastAsia="Geomanist Light" w:hAnsi="Verdana" w:cs="Arial"/>
          <w:lang w:val="es-MX"/>
        </w:rPr>
      </w:pPr>
      <w:r w:rsidRPr="00EA00BC">
        <w:rPr>
          <w:rFonts w:ascii="Verdana" w:eastAsia="Geomanist Light" w:hAnsi="Verdana" w:cs="Arial"/>
          <w:lang w:val="es-MX"/>
        </w:rPr>
        <w:lastRenderedPageBreak/>
        <w:t>Bogotá D.C., </w:t>
      </w:r>
      <w:r>
        <w:rPr>
          <w:rFonts w:ascii="Verdana" w:eastAsia="Geomanist Light" w:hAnsi="Verdana" w:cs="Arial"/>
          <w:lang w:val="es-MX"/>
        </w:rPr>
        <w:t>12 de agosto de 2026</w:t>
      </w:r>
    </w:p>
    <w:p w14:paraId="3D6ABA56" w14:textId="77777777" w:rsidR="00044645" w:rsidRDefault="00044645" w:rsidP="00044645">
      <w:pPr>
        <w:spacing w:after="0" w:line="240" w:lineRule="auto"/>
        <w:jc w:val="both"/>
        <w:rPr>
          <w:rFonts w:ascii="Verdana" w:eastAsia="Calibri" w:hAnsi="Verdana" w:cs="Arial"/>
          <w:lang w:val="es-ES"/>
        </w:rPr>
      </w:pPr>
    </w:p>
    <w:p w14:paraId="4BBAB675" w14:textId="291DAE75" w:rsidR="00044645" w:rsidRDefault="00DB464D" w:rsidP="00BF4918">
      <w:pPr>
        <w:spacing w:after="0" w:line="240" w:lineRule="auto"/>
        <w:jc w:val="right"/>
        <w:rPr>
          <w:rFonts w:ascii="Verdana" w:eastAsia="Calibri" w:hAnsi="Verdana" w:cs="Arial"/>
          <w:lang w:val="es-ES"/>
        </w:rPr>
      </w:pPr>
      <w:r w:rsidRPr="00DB464D">
        <w:rPr>
          <w:rFonts w:ascii="Verdana" w:eastAsia="Calibri" w:hAnsi="Verdana" w:cs="Arial"/>
          <w:lang w:val="es-ES"/>
        </w:rPr>
        <w:drawing>
          <wp:inline distT="0" distB="0" distL="0" distR="0" wp14:anchorId="72BA75E0" wp14:editId="7648F521">
            <wp:extent cx="2581635" cy="714475"/>
            <wp:effectExtent l="0" t="0" r="0" b="9525"/>
            <wp:docPr id="11984703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470325" name=""/>
                    <pic:cNvPicPr/>
                  </pic:nvPicPr>
                  <pic:blipFill>
                    <a:blip r:embed="rId10"/>
                    <a:stretch>
                      <a:fillRect/>
                    </a:stretch>
                  </pic:blipFill>
                  <pic:spPr>
                    <a:xfrm>
                      <a:off x="0" y="0"/>
                      <a:ext cx="2581635" cy="714475"/>
                    </a:xfrm>
                    <a:prstGeom prst="rect">
                      <a:avLst/>
                    </a:prstGeom>
                  </pic:spPr>
                </pic:pic>
              </a:graphicData>
            </a:graphic>
          </wp:inline>
        </w:drawing>
      </w:r>
    </w:p>
    <w:p w14:paraId="0FC90018" w14:textId="77777777" w:rsidR="00044645" w:rsidRPr="00EA00BC" w:rsidRDefault="00044645" w:rsidP="00044645">
      <w:pPr>
        <w:spacing w:after="0" w:line="240" w:lineRule="auto"/>
        <w:jc w:val="both"/>
        <w:rPr>
          <w:rFonts w:ascii="Verdana" w:eastAsia="Calibri" w:hAnsi="Verdana" w:cs="Arial"/>
          <w:lang w:val="es-ES"/>
        </w:rPr>
      </w:pPr>
    </w:p>
    <w:p w14:paraId="427B48F0" w14:textId="77777777" w:rsidR="00044645" w:rsidRPr="00EA00BC" w:rsidRDefault="00044645" w:rsidP="00044645">
      <w:pPr>
        <w:spacing w:after="0" w:line="240" w:lineRule="auto"/>
        <w:jc w:val="both"/>
        <w:rPr>
          <w:rFonts w:ascii="Verdana" w:eastAsia="Calibri" w:hAnsi="Verdana" w:cs="Arial"/>
          <w:lang w:val="es-ES" w:eastAsia="es-ES"/>
        </w:rPr>
      </w:pPr>
      <w:r w:rsidRPr="00EA00BC">
        <w:rPr>
          <w:rFonts w:ascii="Verdana" w:eastAsia="Calibri" w:hAnsi="Verdana" w:cs="Arial"/>
          <w:lang w:val="es-ES" w:eastAsia="es-ES"/>
        </w:rPr>
        <w:t>Señora</w:t>
      </w:r>
    </w:p>
    <w:p w14:paraId="0EA9F4E9" w14:textId="77777777" w:rsidR="00044645" w:rsidRPr="00EA00BC" w:rsidRDefault="00044645" w:rsidP="00044645">
      <w:pPr>
        <w:spacing w:after="0" w:line="240" w:lineRule="auto"/>
        <w:rPr>
          <w:rFonts w:ascii="Verdana" w:eastAsia="Calibri" w:hAnsi="Verdana" w:cs="Arial"/>
          <w:b/>
          <w:bCs/>
          <w:lang w:val="es-ES" w:eastAsia="es-ES"/>
        </w:rPr>
      </w:pPr>
      <w:r w:rsidRPr="00EA00BC">
        <w:rPr>
          <w:rFonts w:ascii="Verdana" w:eastAsia="Calibri" w:hAnsi="Verdana" w:cs="Arial"/>
          <w:b/>
          <w:bCs/>
          <w:lang w:val="es-ES" w:eastAsia="es-ES"/>
        </w:rPr>
        <w:t>María Isabel Gil Ospina</w:t>
      </w:r>
    </w:p>
    <w:p w14:paraId="29253A54" w14:textId="77777777" w:rsidR="00044645" w:rsidRPr="00EA00BC" w:rsidRDefault="00044645" w:rsidP="00044645">
      <w:pPr>
        <w:spacing w:after="0" w:line="240" w:lineRule="auto"/>
        <w:rPr>
          <w:rFonts w:ascii="Verdana" w:hAnsi="Verdana"/>
        </w:rPr>
      </w:pPr>
      <w:hyperlink r:id="rId11" w:history="1">
        <w:r w:rsidRPr="00EA00BC">
          <w:rPr>
            <w:rStyle w:val="Hipervnculo"/>
            <w:rFonts w:ascii="Verdana" w:hAnsi="Verdana"/>
          </w:rPr>
          <w:t>mariaisabelgil@hotmail.com</w:t>
        </w:r>
      </w:hyperlink>
    </w:p>
    <w:p w14:paraId="143B7E63" w14:textId="77777777" w:rsidR="00044645" w:rsidRPr="00EA00BC" w:rsidRDefault="00044645" w:rsidP="00044645">
      <w:pPr>
        <w:spacing w:after="0" w:line="240" w:lineRule="auto"/>
        <w:rPr>
          <w:rFonts w:ascii="Verdana" w:eastAsia="Calibri" w:hAnsi="Verdana" w:cs="Arial"/>
          <w:b/>
          <w:bCs/>
          <w:lang w:val="es-ES" w:eastAsia="es-ES"/>
        </w:rPr>
      </w:pPr>
      <w:r w:rsidRPr="00EA00BC">
        <w:rPr>
          <w:rFonts w:ascii="Verdana" w:eastAsia="Calibri" w:hAnsi="Verdana" w:cs="Arial"/>
          <w:lang w:val="es-ES" w:eastAsia="es-ES"/>
        </w:rPr>
        <w:t>Medellín, Antioquia</w:t>
      </w:r>
    </w:p>
    <w:p w14:paraId="496C5596" w14:textId="77777777" w:rsidR="00044645" w:rsidRPr="00EA00BC" w:rsidRDefault="00044645" w:rsidP="00044645">
      <w:pPr>
        <w:spacing w:after="0" w:line="240" w:lineRule="auto"/>
        <w:rPr>
          <w:rFonts w:ascii="Verdana" w:eastAsia="Calibri" w:hAnsi="Verdana" w:cs="Arial"/>
          <w:b/>
          <w:bCs/>
          <w:lang w:val="es-ES_tradnl" w:eastAsia="es-ES_tradnl"/>
        </w:rPr>
      </w:pPr>
    </w:p>
    <w:p w14:paraId="5C1C291E" w14:textId="77777777" w:rsidR="00044645" w:rsidRPr="00EA00BC" w:rsidRDefault="00044645" w:rsidP="00044645">
      <w:pPr>
        <w:spacing w:after="0" w:line="240" w:lineRule="auto"/>
        <w:rPr>
          <w:rFonts w:ascii="Verdana" w:eastAsia="Calibri" w:hAnsi="Verdana" w:cs="Arial"/>
          <w:b/>
          <w:bCs/>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044645" w:rsidRPr="00EA00BC" w14:paraId="4187EAF2" w14:textId="77777777" w:rsidTr="007D2F57">
        <w:trPr>
          <w:trHeight w:val="170"/>
        </w:trPr>
        <w:tc>
          <w:tcPr>
            <w:tcW w:w="2689" w:type="dxa"/>
          </w:tcPr>
          <w:p w14:paraId="3F6244A2" w14:textId="77777777" w:rsidR="00044645" w:rsidRPr="00EA00BC" w:rsidRDefault="00044645" w:rsidP="007D2F57">
            <w:pPr>
              <w:jc w:val="both"/>
              <w:rPr>
                <w:rFonts w:ascii="Verdana" w:eastAsia="Calibri" w:hAnsi="Verdana" w:cs="Arial"/>
                <w:b/>
                <w:bCs/>
                <w:lang w:val="es-ES_tradnl" w:eastAsia="es-ES_tradnl"/>
              </w:rPr>
            </w:pPr>
          </w:p>
        </w:tc>
        <w:tc>
          <w:tcPr>
            <w:tcW w:w="6100" w:type="dxa"/>
          </w:tcPr>
          <w:p w14:paraId="37EFC16F" w14:textId="77777777" w:rsidR="00044645" w:rsidRDefault="00044645" w:rsidP="007D2F57">
            <w:pPr>
              <w:jc w:val="both"/>
              <w:rPr>
                <w:rFonts w:ascii="Verdana" w:eastAsia="Calibri" w:hAnsi="Verdana" w:cs="Arial"/>
                <w:b/>
                <w:bCs/>
                <w:lang w:val="es-ES" w:eastAsia="es-ES"/>
              </w:rPr>
            </w:pPr>
            <w:r w:rsidRPr="00EA00BC">
              <w:rPr>
                <w:rFonts w:ascii="Verdana" w:eastAsia="Calibri" w:hAnsi="Verdana" w:cs="Arial"/>
                <w:b/>
                <w:bCs/>
                <w:lang w:val="es-ES" w:eastAsia="es-ES"/>
              </w:rPr>
              <w:t>Concepto C-1056 de 2026</w:t>
            </w:r>
          </w:p>
          <w:p w14:paraId="03DC9D37" w14:textId="77777777" w:rsidR="00044645" w:rsidRPr="00EA00BC" w:rsidRDefault="00044645" w:rsidP="007D2F57">
            <w:pPr>
              <w:jc w:val="both"/>
              <w:rPr>
                <w:rFonts w:ascii="Verdana" w:eastAsia="Calibri" w:hAnsi="Verdana" w:cs="Arial"/>
                <w:b/>
                <w:bCs/>
                <w:lang w:val="es-ES" w:eastAsia="es-ES"/>
              </w:rPr>
            </w:pPr>
          </w:p>
        </w:tc>
      </w:tr>
      <w:tr w:rsidR="00044645" w:rsidRPr="00EA00BC" w14:paraId="7B2EB5D5" w14:textId="77777777" w:rsidTr="007D2F57">
        <w:trPr>
          <w:trHeight w:val="884"/>
        </w:trPr>
        <w:tc>
          <w:tcPr>
            <w:tcW w:w="2689" w:type="dxa"/>
          </w:tcPr>
          <w:p w14:paraId="164D26F3" w14:textId="77777777" w:rsidR="00044645" w:rsidRPr="00EA00BC" w:rsidRDefault="00044645" w:rsidP="007D2F57">
            <w:pPr>
              <w:jc w:val="both"/>
              <w:rPr>
                <w:rFonts w:ascii="Verdana" w:eastAsia="Calibri" w:hAnsi="Verdana" w:cs="Arial"/>
                <w:lang w:val="es-ES_tradnl" w:eastAsia="es-ES_tradnl"/>
              </w:rPr>
            </w:pPr>
            <w:r w:rsidRPr="00EA00BC">
              <w:rPr>
                <w:rFonts w:ascii="Verdana" w:eastAsia="Calibri" w:hAnsi="Verdana" w:cs="Arial"/>
                <w:b/>
                <w:lang w:val="es-ES_tradnl" w:eastAsia="es-ES_tradnl"/>
              </w:rPr>
              <w:t>Temas:</w:t>
            </w:r>
            <w:r w:rsidRPr="00EA00BC">
              <w:rPr>
                <w:rFonts w:ascii="Verdana" w:eastAsia="Calibri" w:hAnsi="Verdana" w:cs="Arial"/>
                <w:lang w:val="es-ES_tradnl" w:eastAsia="es-ES_tradnl"/>
              </w:rPr>
              <w:t xml:space="preserve">                   </w:t>
            </w:r>
          </w:p>
        </w:tc>
        <w:tc>
          <w:tcPr>
            <w:tcW w:w="6100" w:type="dxa"/>
          </w:tcPr>
          <w:p w14:paraId="28DBF45F" w14:textId="77777777" w:rsidR="00044645" w:rsidRPr="00EA00BC" w:rsidRDefault="00044645" w:rsidP="007D2F57">
            <w:pPr>
              <w:jc w:val="both"/>
              <w:rPr>
                <w:rFonts w:ascii="Verdana" w:eastAsia="Calibri" w:hAnsi="Verdana" w:cs="Arial"/>
                <w:lang w:val="es-ES" w:eastAsia="es-ES"/>
              </w:rPr>
            </w:pPr>
            <w:r w:rsidRPr="00EA00BC">
              <w:rPr>
                <w:rFonts w:ascii="Verdana" w:eastAsia="Calibri" w:hAnsi="Verdana" w:cs="Arial"/>
                <w:lang w:val="es-ES" w:eastAsia="es-ES"/>
              </w:rPr>
              <w:t>LIQUIDACIÓN DE LOS CONTRATOS ESTATALES – Noción – Objetivo – Acta de liquidación / LIQUIDACIÓN DEL CONTRATO – Tipos – Términos para adelantarlo – Consecuencias pérdida de oportunidad</w:t>
            </w:r>
          </w:p>
          <w:p w14:paraId="193AADEA" w14:textId="77777777" w:rsidR="00044645" w:rsidRPr="00EA00BC" w:rsidRDefault="00044645" w:rsidP="007D2F57">
            <w:pPr>
              <w:jc w:val="both"/>
              <w:rPr>
                <w:rFonts w:ascii="Verdana" w:eastAsia="Calibri" w:hAnsi="Verdana" w:cs="Arial"/>
                <w:lang w:val="es-ES" w:eastAsia="es-ES"/>
              </w:rPr>
            </w:pPr>
          </w:p>
        </w:tc>
      </w:tr>
      <w:tr w:rsidR="00044645" w:rsidRPr="00EA00BC" w14:paraId="7637E0CA" w14:textId="77777777" w:rsidTr="007D2F57">
        <w:tc>
          <w:tcPr>
            <w:tcW w:w="2689" w:type="dxa"/>
          </w:tcPr>
          <w:p w14:paraId="4A02A5B0" w14:textId="77777777" w:rsidR="00044645" w:rsidRPr="00EA00BC" w:rsidRDefault="00044645" w:rsidP="007D2F57">
            <w:pPr>
              <w:jc w:val="both"/>
              <w:rPr>
                <w:rFonts w:ascii="Verdana" w:eastAsia="Calibri" w:hAnsi="Verdana" w:cs="Arial"/>
                <w:b/>
                <w:lang w:val="es-ES_tradnl" w:eastAsia="es-ES_tradnl"/>
              </w:rPr>
            </w:pPr>
            <w:r w:rsidRPr="00EA00BC">
              <w:rPr>
                <w:rFonts w:ascii="Verdana" w:eastAsia="Calibri" w:hAnsi="Verdana" w:cs="Arial"/>
                <w:b/>
                <w:lang w:val="es-ES_tradnl" w:eastAsia="es-ES_tradnl"/>
              </w:rPr>
              <w:t>Radicación:</w:t>
            </w:r>
            <w:r w:rsidRPr="00EA00BC">
              <w:rPr>
                <w:rFonts w:ascii="Verdana" w:eastAsia="Calibri" w:hAnsi="Verdana" w:cs="Arial"/>
                <w:lang w:val="es-ES_tradnl" w:eastAsia="es-ES_tradnl"/>
              </w:rPr>
              <w:t xml:space="preserve">               </w:t>
            </w:r>
          </w:p>
        </w:tc>
        <w:tc>
          <w:tcPr>
            <w:tcW w:w="6100" w:type="dxa"/>
          </w:tcPr>
          <w:p w14:paraId="629B2DC6" w14:textId="77777777" w:rsidR="00044645" w:rsidRPr="00EA00BC" w:rsidRDefault="00044645" w:rsidP="007D2F57">
            <w:pPr>
              <w:jc w:val="both"/>
              <w:rPr>
                <w:rFonts w:ascii="Verdana" w:eastAsia="Calibri" w:hAnsi="Verdana" w:cs="Arial"/>
                <w:lang w:val="es-ES_tradnl" w:eastAsia="es-ES_tradnl"/>
              </w:rPr>
            </w:pPr>
            <w:r w:rsidRPr="00EA00BC">
              <w:rPr>
                <w:rFonts w:ascii="Verdana" w:eastAsia="Calibri" w:hAnsi="Verdana" w:cs="Arial"/>
                <w:lang w:val="es-ES_tradnl" w:eastAsia="es-ES_tradnl"/>
              </w:rPr>
              <w:t>Respuesta a consulta con radicado No. 1_2026_07_02_008828</w:t>
            </w:r>
          </w:p>
        </w:tc>
      </w:tr>
    </w:tbl>
    <w:p w14:paraId="58B799BF" w14:textId="77777777" w:rsidR="00044645" w:rsidRPr="00EA00BC" w:rsidRDefault="00044645" w:rsidP="00044645">
      <w:pPr>
        <w:spacing w:after="0" w:line="240" w:lineRule="auto"/>
        <w:jc w:val="both"/>
        <w:rPr>
          <w:rFonts w:ascii="Verdana" w:eastAsia="Calibri" w:hAnsi="Verdana" w:cs="Arial"/>
          <w:lang w:val="es-ES_tradnl" w:eastAsia="es-ES_tradnl"/>
        </w:rPr>
      </w:pPr>
    </w:p>
    <w:p w14:paraId="169211AD" w14:textId="77777777" w:rsidR="00044645" w:rsidRPr="00EA00BC" w:rsidRDefault="00044645" w:rsidP="00044645">
      <w:pPr>
        <w:spacing w:after="0" w:line="240" w:lineRule="auto"/>
        <w:jc w:val="both"/>
        <w:rPr>
          <w:rFonts w:ascii="Verdana" w:eastAsia="Calibri" w:hAnsi="Verdana" w:cs="Arial"/>
          <w:lang w:val="es-ES_tradnl" w:eastAsia="es-ES_tradnl"/>
        </w:rPr>
      </w:pPr>
    </w:p>
    <w:p w14:paraId="7CBCD2CA" w14:textId="77777777" w:rsidR="00044645" w:rsidRPr="006263D8" w:rsidRDefault="00044645" w:rsidP="00044645">
      <w:pPr>
        <w:spacing w:after="0" w:line="276" w:lineRule="auto"/>
        <w:jc w:val="both"/>
        <w:rPr>
          <w:rFonts w:ascii="Verdana" w:eastAsia="Calibri" w:hAnsi="Verdana" w:cs="Arial"/>
          <w:lang w:val="es-ES" w:eastAsia="es-ES"/>
        </w:rPr>
      </w:pPr>
      <w:r w:rsidRPr="006263D8">
        <w:rPr>
          <w:rFonts w:ascii="Verdana" w:eastAsia="Calibri" w:hAnsi="Verdana" w:cs="Arial"/>
          <w:lang w:val="es-ES" w:eastAsia="es-ES"/>
        </w:rPr>
        <w:t xml:space="preserve">Estimada señora </w:t>
      </w:r>
      <w:r>
        <w:rPr>
          <w:rFonts w:ascii="Verdana" w:eastAsia="Calibri" w:hAnsi="Verdana" w:cs="Arial"/>
          <w:lang w:val="es-ES" w:eastAsia="es-ES"/>
        </w:rPr>
        <w:t>Gil</w:t>
      </w:r>
      <w:r w:rsidRPr="006263D8">
        <w:rPr>
          <w:rFonts w:ascii="Verdana" w:eastAsia="Calibri" w:hAnsi="Verdana" w:cs="Arial"/>
          <w:lang w:val="es-ES" w:eastAsia="es-ES"/>
        </w:rPr>
        <w:t xml:space="preserve">: </w:t>
      </w:r>
    </w:p>
    <w:p w14:paraId="72EF9161" w14:textId="77777777" w:rsidR="00044645" w:rsidRPr="006263D8" w:rsidRDefault="00044645" w:rsidP="00044645">
      <w:pPr>
        <w:tabs>
          <w:tab w:val="left" w:pos="3768"/>
        </w:tabs>
        <w:spacing w:after="0" w:line="276" w:lineRule="auto"/>
        <w:jc w:val="both"/>
        <w:rPr>
          <w:rFonts w:ascii="Verdana" w:eastAsia="Calibri" w:hAnsi="Verdana" w:cs="Arial"/>
          <w:lang w:val="es-ES" w:eastAsia="es-ES"/>
        </w:rPr>
      </w:pPr>
      <w:r w:rsidRPr="006263D8">
        <w:rPr>
          <w:rFonts w:ascii="Verdana" w:eastAsia="Calibri" w:hAnsi="Verdana" w:cs="Arial"/>
          <w:lang w:val="es-ES" w:eastAsia="es-ES"/>
        </w:rPr>
        <w:tab/>
      </w:r>
    </w:p>
    <w:p w14:paraId="6BA93C22" w14:textId="77777777" w:rsidR="00044645" w:rsidRPr="006263D8" w:rsidRDefault="00044645" w:rsidP="00044645">
      <w:pPr>
        <w:spacing w:after="0" w:line="276" w:lineRule="auto"/>
        <w:jc w:val="both"/>
        <w:rPr>
          <w:rFonts w:ascii="Verdana" w:eastAsia="Calibri" w:hAnsi="Verdana" w:cs="Arial"/>
          <w:lang w:val="es-ES" w:eastAsia="es-ES"/>
        </w:rPr>
      </w:pPr>
      <w:r w:rsidRPr="006263D8">
        <w:rPr>
          <w:rFonts w:ascii="Verdana" w:eastAsia="Calibri" w:hAnsi="Verdana" w:cs="Arial"/>
          <w:lang w:val="es-ES" w:eastAsia="es-ES"/>
        </w:rPr>
        <w:t>En ejercicio de la competencia otorgada por los artículos 3, numeral 5º, y 11, numeral 8º, del Decreto Ley 4170 de 2011,</w:t>
      </w:r>
      <w:r w:rsidRPr="006263D8">
        <w:rPr>
          <w:rFonts w:ascii="Verdana" w:eastAsia="Arial MT" w:hAnsi="Verdana" w:cs="Arial MT"/>
          <w:lang w:val="es-ES" w:eastAsia="es-ES"/>
        </w:rPr>
        <w:t xml:space="preserve"> </w:t>
      </w:r>
      <w:r w:rsidRPr="006263D8">
        <w:rPr>
          <w:rFonts w:ascii="Verdana" w:hAnsi="Verdana" w:cs="Arial"/>
        </w:rPr>
        <w:t xml:space="preserve">así como lo establecido en el artículo 4 de la Resolución 1707 de 2018 expedida por esta Entidad, </w:t>
      </w:r>
      <w:r w:rsidRPr="006263D8">
        <w:rPr>
          <w:rFonts w:ascii="Verdana" w:eastAsia="Calibri" w:hAnsi="Verdana" w:cs="Arial"/>
          <w:lang w:val="es-ES" w:eastAsia="es-ES"/>
        </w:rPr>
        <w:t xml:space="preserve">la Agencia Nacional de Contratación Pública – Colombia Compra Eficiente– responde su solicitud de consulta de fecha del </w:t>
      </w:r>
      <w:r>
        <w:rPr>
          <w:rFonts w:ascii="Verdana" w:eastAsia="Calibri" w:hAnsi="Verdana" w:cs="Arial"/>
          <w:lang w:val="es-ES" w:eastAsia="es-ES"/>
        </w:rPr>
        <w:t>02 de julio de 2026</w:t>
      </w:r>
      <w:r w:rsidRPr="006263D8">
        <w:rPr>
          <w:rFonts w:ascii="Verdana" w:eastAsia="Calibri" w:hAnsi="Verdana" w:cs="Arial"/>
          <w:lang w:val="es-ES" w:eastAsia="es-ES"/>
        </w:rPr>
        <w:t xml:space="preserve">, en la que realiza la siguiente consulta: </w:t>
      </w:r>
    </w:p>
    <w:p w14:paraId="5674D4F8" w14:textId="77777777" w:rsidR="00044645" w:rsidRPr="006263D8" w:rsidRDefault="00044645" w:rsidP="00044645">
      <w:pPr>
        <w:tabs>
          <w:tab w:val="left" w:pos="142"/>
          <w:tab w:val="left" w:pos="284"/>
        </w:tabs>
        <w:spacing w:after="0" w:line="240" w:lineRule="auto"/>
        <w:contextualSpacing/>
        <w:jc w:val="both"/>
        <w:rPr>
          <w:rFonts w:ascii="Verdana" w:eastAsia="Century Gothic" w:hAnsi="Verdana" w:cs="Century Gothic"/>
          <w:b/>
          <w:bCs/>
          <w:sz w:val="20"/>
          <w:szCs w:val="20"/>
          <w:lang w:val="es-ES"/>
        </w:rPr>
      </w:pPr>
    </w:p>
    <w:p w14:paraId="5B1B083B" w14:textId="77777777" w:rsidR="00044645" w:rsidRDefault="00044645" w:rsidP="00044645">
      <w:pPr>
        <w:tabs>
          <w:tab w:val="left" w:pos="709"/>
        </w:tabs>
        <w:spacing w:after="0" w:line="240" w:lineRule="auto"/>
        <w:ind w:left="709" w:right="709"/>
        <w:jc w:val="both"/>
        <w:rPr>
          <w:rFonts w:ascii="Verdana" w:eastAsia="Calibri" w:hAnsi="Verdana" w:cs="Arial"/>
          <w:sz w:val="20"/>
          <w:szCs w:val="20"/>
          <w:lang w:val="es-MX"/>
        </w:rPr>
      </w:pPr>
      <w:r w:rsidRPr="006263D8">
        <w:rPr>
          <w:rFonts w:ascii="Verdana" w:eastAsia="Calibri" w:hAnsi="Verdana" w:cs="Arial"/>
          <w:sz w:val="20"/>
          <w:szCs w:val="20"/>
          <w:lang w:val="es-MX"/>
        </w:rPr>
        <w:t>“[…]</w:t>
      </w:r>
    </w:p>
    <w:p w14:paraId="3717ACFB" w14:textId="77777777" w:rsidR="00044645" w:rsidRPr="006263D8" w:rsidRDefault="00044645" w:rsidP="00044645">
      <w:pPr>
        <w:tabs>
          <w:tab w:val="left" w:pos="709"/>
        </w:tabs>
        <w:spacing w:after="0" w:line="240" w:lineRule="auto"/>
        <w:ind w:left="709" w:right="709"/>
        <w:jc w:val="both"/>
        <w:rPr>
          <w:rFonts w:ascii="Verdana" w:eastAsia="Calibri" w:hAnsi="Verdana" w:cs="Arial"/>
          <w:sz w:val="20"/>
          <w:szCs w:val="20"/>
          <w:lang w:val="es-MX"/>
        </w:rPr>
      </w:pPr>
      <w:r>
        <w:rPr>
          <w:rFonts w:ascii="Verdana" w:eastAsia="Calibri" w:hAnsi="Verdana" w:cs="Arial"/>
          <w:sz w:val="20"/>
          <w:szCs w:val="20"/>
          <w:lang w:val="es-MX"/>
        </w:rPr>
        <w:t>En un contrato en el que se pacta un único pago, contra entrega de un intangible como una póliza que ampara un plazo de 360 días, con alcance en la vigencia siguiente, el acta de finalización y el acta de liquidación se deben hacer cuando se efectúa el pago o cuando se cumplen los 360 días. Todos los contratos se deben finalizar y liquidar a 30 de diciembre de cada anualidad?” [sic]</w:t>
      </w:r>
    </w:p>
    <w:p w14:paraId="2253E217" w14:textId="77777777" w:rsidR="00044645" w:rsidRPr="006263D8" w:rsidRDefault="00044645" w:rsidP="00044645">
      <w:pPr>
        <w:tabs>
          <w:tab w:val="left" w:pos="142"/>
          <w:tab w:val="left" w:pos="284"/>
        </w:tabs>
        <w:spacing w:line="276" w:lineRule="auto"/>
        <w:contextualSpacing/>
        <w:jc w:val="both"/>
        <w:rPr>
          <w:rFonts w:ascii="Verdana" w:eastAsia="Century Gothic" w:hAnsi="Verdana" w:cs="Century Gothic"/>
          <w:b/>
          <w:bCs/>
          <w:lang w:val="es-ES"/>
        </w:rPr>
      </w:pPr>
    </w:p>
    <w:p w14:paraId="07155C15" w14:textId="77777777" w:rsidR="00044645" w:rsidRPr="006263D8" w:rsidRDefault="00044645" w:rsidP="00044645">
      <w:pPr>
        <w:spacing w:after="120" w:line="276" w:lineRule="auto"/>
        <w:ind w:firstLine="709"/>
        <w:jc w:val="both"/>
        <w:rPr>
          <w:rFonts w:ascii="Verdana" w:eastAsia="Calibri" w:hAnsi="Verdana" w:cs="Arial"/>
          <w:szCs w:val="24"/>
          <w:lang w:val="es-ES_tradnl" w:eastAsia="es-ES_tradnl"/>
        </w:rPr>
      </w:pPr>
      <w:r w:rsidRPr="006263D8">
        <w:rPr>
          <w:rFonts w:ascii="Verdana" w:eastAsia="Calibri" w:hAnsi="Verdana" w:cs="Arial"/>
          <w:lang w:val="es-ES" w:eastAsia="es-ES"/>
        </w:rPr>
        <w:lastRenderedPageBreak/>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6263D8">
        <w:rPr>
          <w:rFonts w:ascii="Verdana" w:eastAsia="Calibri" w:hAnsi="Verdana" w:cs="Arial"/>
          <w:szCs w:val="24"/>
          <w:lang w:val="es-ES_tradnl" w:eastAsia="es-ES_tradnl"/>
        </w:rPr>
        <w:tab/>
      </w:r>
    </w:p>
    <w:p w14:paraId="597A4F4B" w14:textId="77777777" w:rsidR="00044645" w:rsidRPr="006263D8" w:rsidRDefault="00044645" w:rsidP="00044645">
      <w:pPr>
        <w:spacing w:after="0" w:line="276" w:lineRule="auto"/>
        <w:ind w:firstLine="709"/>
        <w:jc w:val="both"/>
        <w:rPr>
          <w:rFonts w:ascii="Verdana" w:eastAsia="Calibri" w:hAnsi="Verdana" w:cs="Arial"/>
          <w:lang w:val="es-ES" w:eastAsia="es-ES"/>
        </w:rPr>
      </w:pPr>
      <w:r w:rsidRPr="006263D8">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4440DCE4" w14:textId="77777777" w:rsidR="00044645" w:rsidRPr="006263D8" w:rsidRDefault="00044645" w:rsidP="00044645">
      <w:pPr>
        <w:spacing w:after="0" w:line="276" w:lineRule="auto"/>
        <w:ind w:firstLine="709"/>
        <w:jc w:val="both"/>
        <w:rPr>
          <w:rFonts w:ascii="Verdana" w:eastAsia="Calibri" w:hAnsi="Verdana" w:cs="Arial"/>
          <w:lang w:val="es-ES" w:eastAsia="es-ES"/>
        </w:rPr>
      </w:pPr>
    </w:p>
    <w:p w14:paraId="0766FF35" w14:textId="77777777" w:rsidR="00044645" w:rsidRPr="006263D8" w:rsidRDefault="00044645" w:rsidP="00044645">
      <w:pPr>
        <w:widowControl w:val="0"/>
        <w:autoSpaceDE w:val="0"/>
        <w:autoSpaceDN w:val="0"/>
        <w:spacing w:before="1" w:after="0" w:line="276" w:lineRule="auto"/>
        <w:ind w:left="360" w:hanging="360"/>
        <w:jc w:val="both"/>
        <w:outlineLvl w:val="0"/>
        <w:rPr>
          <w:rFonts w:ascii="Verdana" w:eastAsia="Arial" w:hAnsi="Verdana" w:cs="Arial"/>
          <w:b/>
          <w:bCs/>
          <w:lang w:val="es-ES"/>
        </w:rPr>
      </w:pPr>
      <w:r w:rsidRPr="006263D8">
        <w:rPr>
          <w:rFonts w:ascii="Verdana" w:eastAsia="Arial" w:hAnsi="Verdana" w:cs="Arial"/>
          <w:b/>
          <w:bCs/>
          <w:lang w:val="es-ES"/>
        </w:rPr>
        <w:t>1. Problema planteado:</w:t>
      </w:r>
    </w:p>
    <w:p w14:paraId="155948B5" w14:textId="77777777" w:rsidR="00044645" w:rsidRPr="006263D8" w:rsidRDefault="00044645" w:rsidP="00044645">
      <w:pPr>
        <w:tabs>
          <w:tab w:val="left" w:pos="426"/>
        </w:tabs>
        <w:spacing w:after="0" w:line="276" w:lineRule="auto"/>
        <w:jc w:val="both"/>
        <w:rPr>
          <w:rFonts w:ascii="Verdana" w:eastAsia="Century Gothic" w:hAnsi="Verdana" w:cs="Century Gothic"/>
          <w:lang w:val="es-ES"/>
        </w:rPr>
      </w:pPr>
    </w:p>
    <w:p w14:paraId="1D4700ED" w14:textId="77777777" w:rsidR="00044645" w:rsidRPr="006B17A7" w:rsidRDefault="00044645" w:rsidP="00044645">
      <w:pPr>
        <w:spacing w:after="0" w:line="276" w:lineRule="auto"/>
        <w:jc w:val="both"/>
        <w:rPr>
          <w:rFonts w:ascii="Verdana" w:eastAsia="Arial" w:hAnsi="Verdana" w:cs="Arial"/>
          <w:b/>
          <w:bCs/>
          <w:lang w:val="es-ES"/>
        </w:rPr>
      </w:pPr>
      <w:r w:rsidRPr="006B17A7">
        <w:rPr>
          <w:rFonts w:ascii="Verdana" w:eastAsia="Century Gothic" w:hAnsi="Verdana" w:cs="Century Gothic"/>
        </w:rPr>
        <w:t xml:space="preserve">De acuerdo con el contenido de su solicitud, le informamos que la misma se resolverá desde </w:t>
      </w:r>
      <w:r>
        <w:rPr>
          <w:rFonts w:ascii="Verdana" w:eastAsia="Century Gothic" w:hAnsi="Verdana" w:cs="Century Gothic"/>
        </w:rPr>
        <w:t>el</w:t>
      </w:r>
      <w:r w:rsidRPr="006B17A7">
        <w:rPr>
          <w:rFonts w:ascii="Verdana" w:eastAsia="Century Gothic" w:hAnsi="Verdana" w:cs="Century Gothic"/>
        </w:rPr>
        <w:t xml:space="preserve"> siguiente problema jurídico:</w:t>
      </w:r>
      <w:bookmarkStart w:id="1" w:name="_Hlk171070029"/>
      <w:r w:rsidRPr="006B17A7">
        <w:rPr>
          <w:rFonts w:ascii="Verdana" w:eastAsia="Century Gothic" w:hAnsi="Verdana" w:cs="Century Gothic"/>
        </w:rPr>
        <w:t xml:space="preserve"> ¿</w:t>
      </w:r>
      <w:bookmarkEnd w:id="1"/>
      <w:r w:rsidRPr="006B17A7">
        <w:rPr>
          <w:rFonts w:ascii="Verdana" w:eastAsia="Century Gothic" w:hAnsi="Verdana" w:cs="Century Gothic"/>
        </w:rPr>
        <w:t>Cuáles son los tipos de liquidación del contrato esta</w:t>
      </w:r>
      <w:r>
        <w:rPr>
          <w:rFonts w:ascii="Verdana" w:eastAsia="Century Gothic" w:hAnsi="Verdana" w:cs="Century Gothic"/>
        </w:rPr>
        <w:t>tal</w:t>
      </w:r>
      <w:r w:rsidRPr="006B17A7">
        <w:rPr>
          <w:rFonts w:ascii="Verdana" w:eastAsia="Century Gothic" w:hAnsi="Verdana" w:cs="Century Gothic"/>
        </w:rPr>
        <w:t xml:space="preserve"> y en qué oportunidad puedan adelantarse?</w:t>
      </w:r>
    </w:p>
    <w:p w14:paraId="47FB4E47" w14:textId="77777777" w:rsidR="00044645" w:rsidRPr="006B17A7" w:rsidRDefault="00044645" w:rsidP="00044645">
      <w:pPr>
        <w:spacing w:after="0" w:line="276" w:lineRule="auto"/>
        <w:rPr>
          <w:rFonts w:ascii="Verdana" w:eastAsia="Aptos" w:hAnsi="Verdana" w:cs="Times New Roman"/>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044645" w:rsidRPr="006B17A7" w14:paraId="5407BB84" w14:textId="77777777" w:rsidTr="007D2F57">
        <w:tc>
          <w:tcPr>
            <w:tcW w:w="8828" w:type="dxa"/>
          </w:tcPr>
          <w:p w14:paraId="0EF6CCE4" w14:textId="77777777" w:rsidR="00044645" w:rsidRPr="006B17A7" w:rsidRDefault="00044645" w:rsidP="007D2F57">
            <w:pPr>
              <w:spacing w:line="276" w:lineRule="auto"/>
              <w:jc w:val="both"/>
              <w:rPr>
                <w:rFonts w:ascii="Verdana" w:eastAsia="Century Gothic" w:hAnsi="Verdana" w:cs="Century Gothic"/>
              </w:rPr>
            </w:pPr>
            <w:bookmarkStart w:id="2" w:name="_Hlk171067516"/>
            <w:r w:rsidRPr="006B17A7">
              <w:rPr>
                <w:rFonts w:ascii="Verdana" w:eastAsia="Century Gothic" w:hAnsi="Verdana" w:cs="Century Gothic"/>
              </w:rPr>
              <w:t xml:space="preserve">De acuerdo con el artículo 11 de la Ley 1150 de 2007, existen tres (3) tipos de liquidación: i) bilateral, </w:t>
            </w:r>
            <w:proofErr w:type="spellStart"/>
            <w:r w:rsidRPr="006B17A7">
              <w:rPr>
                <w:rFonts w:ascii="Verdana" w:eastAsia="Century Gothic" w:hAnsi="Verdana" w:cs="Century Gothic"/>
              </w:rPr>
              <w:t>ii</w:t>
            </w:r>
            <w:proofErr w:type="spellEnd"/>
            <w:r w:rsidRPr="006B17A7">
              <w:rPr>
                <w:rFonts w:ascii="Verdana" w:eastAsia="Century Gothic" w:hAnsi="Verdana" w:cs="Century Gothic"/>
              </w:rPr>
              <w:t xml:space="preserve">) unilateral y </w:t>
            </w:r>
            <w:proofErr w:type="spellStart"/>
            <w:r w:rsidRPr="006B17A7">
              <w:rPr>
                <w:rFonts w:ascii="Verdana" w:eastAsia="Century Gothic" w:hAnsi="Verdana" w:cs="Century Gothic"/>
              </w:rPr>
              <w:t>iii</w:t>
            </w:r>
            <w:proofErr w:type="spellEnd"/>
            <w:r w:rsidRPr="006B17A7">
              <w:rPr>
                <w:rFonts w:ascii="Verdana" w:eastAsia="Century Gothic" w:hAnsi="Verdana" w:cs="Century Gothic"/>
              </w:rPr>
              <w:t xml:space="preserve">) judicial. En términos generales, la primera, que puede ser total o parcial, debe hacerse en el término que estipulen las partes o, en su defecto, dentro del término supletivo de cuatro (4) meses. La segunda se debe practicar dentro de los dos (2) meses siguientes al vencimiento del término que acuerden las partes, o ante el silencio de estas, luego de los cuatro (4) meses para realizar la liquidación bilateral, sin que esta se efectúe. Finalmente, la tercera la realiza la Jurisdicción de lo Contencioso Administrativo o un tribunal de arbitramento dentro de un proceso judicial de controversias contractuales, y puede darse con ocasión de una demanda del interesado solicitando dicha liquidación. Para </w:t>
            </w:r>
            <w:r w:rsidRPr="006B17A7">
              <w:rPr>
                <w:rFonts w:ascii="Verdana" w:eastAsia="Century Gothic" w:hAnsi="Verdana" w:cs="Century Gothic"/>
              </w:rPr>
              <w:lastRenderedPageBreak/>
              <w:t xml:space="preserve">ello, existe un plazo máximo de dos (2) años contados a partir de los dos meses establecidos en la </w:t>
            </w:r>
            <w:r>
              <w:rPr>
                <w:rFonts w:ascii="Verdana" w:eastAsia="Century Gothic" w:hAnsi="Verdana" w:cs="Century Gothic"/>
              </w:rPr>
              <w:t>l</w:t>
            </w:r>
            <w:r w:rsidRPr="006B17A7">
              <w:rPr>
                <w:rFonts w:ascii="Verdana" w:eastAsia="Century Gothic" w:hAnsi="Verdana" w:cs="Century Gothic"/>
              </w:rPr>
              <w:t>ey para realizar la liquidación unilateral.</w:t>
            </w:r>
          </w:p>
          <w:p w14:paraId="2D1F0B2A" w14:textId="77777777" w:rsidR="00044645" w:rsidRDefault="00044645" w:rsidP="007D2F57">
            <w:pPr>
              <w:spacing w:before="120" w:line="276" w:lineRule="auto"/>
              <w:ind w:firstLine="709"/>
              <w:jc w:val="both"/>
              <w:rPr>
                <w:rFonts w:ascii="Verdana" w:eastAsia="Century Gothic" w:hAnsi="Verdana" w:cs="Century Gothic"/>
              </w:rPr>
            </w:pPr>
            <w:r w:rsidRPr="006B17A7">
              <w:rPr>
                <w:rFonts w:ascii="Verdana" w:eastAsia="Century Gothic" w:hAnsi="Verdana" w:cs="Century Gothic"/>
              </w:rPr>
              <w:t xml:space="preserve">Así las cosas, </w:t>
            </w:r>
            <w:r w:rsidRPr="006F03A2">
              <w:rPr>
                <w:rFonts w:ascii="Verdana" w:eastAsia="Century Gothic" w:hAnsi="Verdana" w:cs="Century Gothic"/>
              </w:rPr>
              <w:t xml:space="preserve">y dada la naturaleza legal de los términos para realizar la liquidación de un contrato estatal, resulta a bien aclarar que el cómputo de estos inicia una vez se ha cumplido el plazo de ejecución del contrato, esto, independientemente del cumplimiento integral o no de las prestaciones debidas. De hecho, la ejecución tardía de algunas de las obligaciones a cargo del contratista no trae consigo la ampliación de los plazos establecidos en el ordenamiento jurídico para realizar la liquidación del contrato correspondiente. Por </w:t>
            </w:r>
            <w:r>
              <w:rPr>
                <w:rFonts w:ascii="Verdana" w:eastAsia="Century Gothic" w:hAnsi="Verdana" w:cs="Century Gothic"/>
              </w:rPr>
              <w:t>ejemplo</w:t>
            </w:r>
            <w:r w:rsidRPr="006F03A2">
              <w:rPr>
                <w:rFonts w:ascii="Verdana" w:eastAsia="Century Gothic" w:hAnsi="Verdana" w:cs="Century Gothic"/>
              </w:rPr>
              <w:t>, terminado el plazo de ejecución del contrato, si la Entidad Estatal expide el acta de terminación con actividades pendientes a cargo del contratista, aun así, el contrato se encuentra en estado de liquidación, esto, conforme a lo dispuesto en el artículo 11 de la Ley 1150 de 2007.</w:t>
            </w:r>
          </w:p>
          <w:p w14:paraId="1AFC16E9" w14:textId="77777777" w:rsidR="00044645" w:rsidRPr="00E17A95" w:rsidRDefault="00044645" w:rsidP="007D2F57">
            <w:pPr>
              <w:tabs>
                <w:tab w:val="left" w:pos="709"/>
              </w:tabs>
              <w:spacing w:before="12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t>Finalmente se aclara que, el “acta de liquidación” y “acta de terminación”, no resultan sinónimos en la contratación estatal, puesto que, la primera se refiere propiamente a la liquidación del contrato en los términos del artículo 60 de la Ley 80 de 1993 y el artículo 11 de la Ley 1150 de 2007, mientras que la segunda, hace alusión a un documento utilizado usualmente en contratos de tracto sucesivo, como constancia de la terminación del plazo de ejecución del contrato en el que pueden referenciarse las circunstancias de tiempo, modo y lugar respecto del desarrollo del contrato, sin que esta constituya la liquidación del contrato.</w:t>
            </w:r>
          </w:p>
        </w:tc>
      </w:tr>
      <w:bookmarkEnd w:id="2"/>
    </w:tbl>
    <w:p w14:paraId="47B18CBF" w14:textId="77777777" w:rsidR="00044645" w:rsidRPr="006B17A7" w:rsidRDefault="00044645" w:rsidP="00044645">
      <w:pPr>
        <w:tabs>
          <w:tab w:val="left" w:pos="142"/>
          <w:tab w:val="left" w:pos="967"/>
        </w:tabs>
        <w:spacing w:after="0" w:line="276" w:lineRule="auto"/>
        <w:jc w:val="both"/>
        <w:rPr>
          <w:rFonts w:ascii="Verdana" w:eastAsia="Century Gothic" w:hAnsi="Verdana" w:cs="Times New Roman"/>
          <w:b/>
          <w:bCs/>
          <w:lang w:val="es-ES"/>
        </w:rPr>
      </w:pPr>
    </w:p>
    <w:p w14:paraId="01715468" w14:textId="77777777" w:rsidR="00044645" w:rsidRPr="006B17A7" w:rsidRDefault="00044645" w:rsidP="00044645">
      <w:pPr>
        <w:widowControl w:val="0"/>
        <w:autoSpaceDE w:val="0"/>
        <w:autoSpaceDN w:val="0"/>
        <w:spacing w:before="1" w:after="0" w:line="276" w:lineRule="auto"/>
        <w:ind w:left="360" w:hanging="360"/>
        <w:outlineLvl w:val="0"/>
        <w:rPr>
          <w:rFonts w:ascii="Verdana" w:eastAsia="Arial" w:hAnsi="Verdana" w:cs="Arial"/>
          <w:b/>
          <w:bCs/>
          <w:lang w:val="es-ES"/>
        </w:rPr>
      </w:pPr>
      <w:r w:rsidRPr="006B17A7">
        <w:rPr>
          <w:rFonts w:ascii="Verdana" w:eastAsia="Arial" w:hAnsi="Verdana" w:cs="Arial"/>
          <w:b/>
          <w:bCs/>
          <w:lang w:val="es-ES"/>
        </w:rPr>
        <w:t>3. Razones de la respuesta</w:t>
      </w:r>
    </w:p>
    <w:p w14:paraId="73BFC529" w14:textId="77777777" w:rsidR="00044645" w:rsidRPr="006B17A7" w:rsidRDefault="00044645" w:rsidP="00044645">
      <w:pPr>
        <w:spacing w:after="0" w:line="276" w:lineRule="auto"/>
        <w:jc w:val="both"/>
        <w:rPr>
          <w:rFonts w:ascii="Verdana" w:eastAsia="Calibri" w:hAnsi="Verdana" w:cs="Arial"/>
          <w:lang w:val="es-ES"/>
        </w:rPr>
      </w:pPr>
    </w:p>
    <w:p w14:paraId="1EFBBC9E" w14:textId="77777777" w:rsidR="00044645" w:rsidRPr="006B17A7" w:rsidRDefault="00044645" w:rsidP="00044645">
      <w:pPr>
        <w:spacing w:after="0" w:line="276" w:lineRule="auto"/>
        <w:jc w:val="both"/>
        <w:rPr>
          <w:rFonts w:ascii="Verdana" w:eastAsia="Calibri" w:hAnsi="Verdana" w:cs="Arial"/>
          <w:lang w:val="es-ES"/>
        </w:rPr>
      </w:pPr>
      <w:r w:rsidRPr="006B17A7">
        <w:rPr>
          <w:rFonts w:ascii="Verdana" w:eastAsia="Calibri" w:hAnsi="Verdana" w:cs="Arial"/>
          <w:lang w:val="es-ES"/>
        </w:rPr>
        <w:t xml:space="preserve">La respuesta anterior se sustenta en las siguientes consideraciones: </w:t>
      </w:r>
    </w:p>
    <w:p w14:paraId="3A7FCF0B" w14:textId="77777777" w:rsidR="00044645" w:rsidRPr="006B17A7" w:rsidRDefault="00044645" w:rsidP="00044645">
      <w:pPr>
        <w:spacing w:after="0" w:line="276" w:lineRule="auto"/>
        <w:jc w:val="both"/>
        <w:rPr>
          <w:rFonts w:ascii="Verdana" w:eastAsia="Calibri" w:hAnsi="Verdana" w:cs="Arial"/>
          <w:lang w:val="es-ES"/>
        </w:rPr>
      </w:pPr>
    </w:p>
    <w:p w14:paraId="5436A413" w14:textId="77777777" w:rsidR="00044645" w:rsidRPr="006B17A7" w:rsidRDefault="00044645" w:rsidP="00044645">
      <w:pPr>
        <w:spacing w:after="0" w:line="276" w:lineRule="auto"/>
        <w:jc w:val="both"/>
        <w:rPr>
          <w:rFonts w:ascii="Verdana" w:eastAsia="Calibri" w:hAnsi="Verdana" w:cs="Arial"/>
          <w:lang w:val="es-MX"/>
        </w:rPr>
      </w:pPr>
      <w:r w:rsidRPr="006B17A7">
        <w:rPr>
          <w:rFonts w:ascii="Verdana" w:eastAsia="Calibri" w:hAnsi="Verdana" w:cs="Arial"/>
          <w:lang w:val="es-MX"/>
        </w:rPr>
        <w:t>Desde el punto de vista jurídico, se tiene que, la liquidación es el momento en el cual, una vez concluido el contrato estatal, las partes cruzan cuentas respecto de sus obligaciones. Por tanto, su objetivo, es determinar si pueden declararse a paz y salvo mutuo o si, por el contrario, existen aún obligaciones por cumplir, para acordar la forma en que deben ser finalizadas</w:t>
      </w:r>
      <w:r w:rsidRPr="006B17A7">
        <w:rPr>
          <w:rFonts w:ascii="Aptos" w:eastAsia="Aptos" w:hAnsi="Aptos" w:cs="Times New Roman"/>
          <w:color w:val="000000"/>
          <w:vertAlign w:val="superscript"/>
          <w:lang w:val="es-ES_tradnl"/>
        </w:rPr>
        <w:footnoteReference w:id="1"/>
      </w:r>
      <w:r w:rsidRPr="006B17A7">
        <w:rPr>
          <w:rFonts w:ascii="Verdana" w:eastAsia="Calibri" w:hAnsi="Verdana" w:cs="Arial"/>
          <w:color w:val="000000"/>
          <w:lang w:val="es-ES_tradnl"/>
        </w:rPr>
        <w:t xml:space="preserve">. En armonía con lo anterior, la doctrina ha definido la liquidación de la siguiente manera: </w:t>
      </w:r>
    </w:p>
    <w:p w14:paraId="4F4146E4" w14:textId="77777777" w:rsidR="00044645" w:rsidRPr="006B17A7" w:rsidRDefault="00044645" w:rsidP="00044645">
      <w:pPr>
        <w:spacing w:after="0" w:line="276" w:lineRule="auto"/>
        <w:ind w:left="720"/>
        <w:contextualSpacing/>
        <w:jc w:val="both"/>
        <w:rPr>
          <w:rFonts w:ascii="Verdana" w:eastAsia="Calibri" w:hAnsi="Verdana" w:cs="Arial"/>
          <w:lang w:val="es-MX"/>
        </w:rPr>
      </w:pPr>
    </w:p>
    <w:p w14:paraId="16497871" w14:textId="77777777" w:rsidR="00044645" w:rsidRPr="006B17A7" w:rsidRDefault="00044645" w:rsidP="00044645">
      <w:pPr>
        <w:spacing w:after="0" w:line="240" w:lineRule="auto"/>
        <w:ind w:left="709" w:right="709"/>
        <w:contextualSpacing/>
        <w:jc w:val="both"/>
        <w:rPr>
          <w:rFonts w:ascii="Verdana" w:eastAsia="Calibri" w:hAnsi="Verdana" w:cs="Arial"/>
          <w:sz w:val="20"/>
          <w:szCs w:val="20"/>
          <w:lang w:val="es-MX"/>
        </w:rPr>
      </w:pPr>
      <w:r w:rsidRPr="006B17A7">
        <w:rPr>
          <w:rFonts w:ascii="Verdana" w:eastAsia="Calibri" w:hAnsi="Verdana" w:cs="Arial"/>
          <w:i/>
          <w:iCs/>
          <w:color w:val="000000"/>
          <w:sz w:val="20"/>
          <w:szCs w:val="20"/>
          <w:lang w:val="es-ES_tradnl"/>
        </w:rPr>
        <w:t>“</w:t>
      </w:r>
      <w:r w:rsidRPr="006B17A7">
        <w:rPr>
          <w:rFonts w:ascii="Verdana" w:eastAsia="Calibri" w:hAnsi="Verdana" w:cs="Arial"/>
          <w:sz w:val="20"/>
          <w:szCs w:val="20"/>
          <w:lang w:val="es-MX"/>
        </w:rPr>
        <w:t xml:space="preserve">[…] la liquidación del contrato estatal corresponde al arreglo o ajuste económico, técnico y jurídico al que se llega de forma bilateral (por las partes del negocio), unilateralmente (por la administración), por el juez o por el árbitro, según el caso, para determinar el estado final de la relación contractual, no solo en cuento al cumplimiento del objeto acordado y al recibo a satisfacción de los productos contratados (bienes y servicios), sino, además, para definir la situación en la que quedan los contratantes, luego de la ejecución del contrato, en el sentido de disponer cuánto se adeudan, de qué manera y en qué plazos se han de efectuar los pagos pendientes y las condiciones para el establecimiento del respectivo paz y salvo. En otras palabras, la liquidación es el acto jurídico bilateral, administrativo o judicial, en el que se plasma y formaliza la situación financiera y jurídica de las partes, al término de la relación contractual (aspecto subjetivo) y el grado de cumplimiento del objeto contratado (aspecto objetivo); de ahí que pueda hablarse, en términos amplios, de un doble contenido, que debe estar presente en toda liquidación. En efecto, el corte de cuentas realizado en ella tiene un doble alcance: (i) hacer un balance definitivo del negocio, en sus aspectos técnicos, financieros y jurídicos (aspecto objetivo o material) y </w:t>
      </w:r>
      <w:proofErr w:type="spellStart"/>
      <w:r w:rsidRPr="006B17A7">
        <w:rPr>
          <w:rFonts w:ascii="Verdana" w:eastAsia="Calibri" w:hAnsi="Verdana" w:cs="Arial"/>
          <w:sz w:val="20"/>
          <w:szCs w:val="20"/>
          <w:lang w:val="es-MX"/>
        </w:rPr>
        <w:t>ii</w:t>
      </w:r>
      <w:proofErr w:type="spellEnd"/>
      <w:r w:rsidRPr="006B17A7">
        <w:rPr>
          <w:rFonts w:ascii="Verdana" w:eastAsia="Calibri" w:hAnsi="Verdana" w:cs="Arial"/>
          <w:sz w:val="20"/>
          <w:szCs w:val="20"/>
          <w:lang w:val="es-MX"/>
        </w:rPr>
        <w:t>) definir la situación jurídica de las partes, estableciendo si pueden constituirse o no a paz y salvo; lo que exige, en la práctica, que los negociantes dialoguen e intenten ponerse de acuerdo (aspecto subjetivo)”</w:t>
      </w:r>
      <w:r w:rsidRPr="006B17A7">
        <w:rPr>
          <w:rFonts w:ascii="Verdana" w:eastAsia="Aptos" w:hAnsi="Verdana" w:cs="Times New Roman"/>
          <w:sz w:val="20"/>
          <w:szCs w:val="20"/>
          <w:vertAlign w:val="superscript"/>
          <w:lang w:val="es-MX"/>
        </w:rPr>
        <w:footnoteReference w:id="2"/>
      </w:r>
      <w:r w:rsidRPr="006B17A7">
        <w:rPr>
          <w:rFonts w:ascii="Verdana" w:eastAsia="Calibri" w:hAnsi="Verdana" w:cs="Arial"/>
          <w:sz w:val="20"/>
          <w:szCs w:val="20"/>
          <w:lang w:val="es-MX"/>
        </w:rPr>
        <w:t>.</w:t>
      </w:r>
    </w:p>
    <w:p w14:paraId="1B9E31D6" w14:textId="77777777" w:rsidR="00044645" w:rsidRPr="006B17A7" w:rsidRDefault="00044645" w:rsidP="00044645">
      <w:pPr>
        <w:spacing w:after="0" w:line="276" w:lineRule="auto"/>
        <w:ind w:left="720"/>
        <w:contextualSpacing/>
        <w:jc w:val="both"/>
        <w:rPr>
          <w:rFonts w:ascii="Verdana" w:eastAsia="Calibri" w:hAnsi="Verdana" w:cs="Arial"/>
          <w:lang w:val="es-MX"/>
        </w:rPr>
      </w:pPr>
    </w:p>
    <w:p w14:paraId="1EEAADB8" w14:textId="77777777" w:rsidR="00044645" w:rsidRPr="006B17A7" w:rsidRDefault="00044645" w:rsidP="00044645">
      <w:pPr>
        <w:spacing w:after="120" w:line="276" w:lineRule="auto"/>
        <w:ind w:firstLine="708"/>
        <w:jc w:val="both"/>
        <w:rPr>
          <w:rFonts w:ascii="Verdana" w:eastAsia="Calibri" w:hAnsi="Verdana" w:cs="Arial"/>
          <w:lang w:val="es-MX"/>
        </w:rPr>
      </w:pPr>
      <w:r w:rsidRPr="006B17A7">
        <w:rPr>
          <w:rFonts w:ascii="Verdana" w:eastAsia="Calibri" w:hAnsi="Verdana" w:cs="Arial"/>
          <w:lang w:val="es-MX"/>
        </w:rPr>
        <w:t xml:space="preserve">Según la jurisprudencia, la liquidación es el ajuste de cuentas donde las partes hacen un balance económico, técnico y jurídico del cumplimiento de las obligaciones que tienen a su cargo. Así lo manifestó el Consejo de Estado en la sentencia del 20 de octubre de 2014, en la que consideró, por un lado, que “liquidar” supone un ajuste en relación con las cuentas y el estado de cumplimiento del contrato estatal y, por el otro, que la “liquidación” debe incluir el análisis de las condiciones de calidad y oportunidad en la entrega de los bienes, obras o servicios, así como el balance económico y el comportamiento </w:t>
      </w:r>
      <w:r w:rsidRPr="006B17A7">
        <w:rPr>
          <w:rFonts w:ascii="Verdana" w:eastAsia="Calibri" w:hAnsi="Verdana" w:cs="Arial"/>
          <w:lang w:val="es-MX"/>
        </w:rPr>
        <w:lastRenderedPageBreak/>
        <w:t>financiero del negocio</w:t>
      </w:r>
      <w:r w:rsidRPr="006B17A7">
        <w:rPr>
          <w:rFonts w:ascii="Aptos" w:eastAsia="Times New Roman" w:hAnsi="Aptos" w:cs="Times New Roman"/>
          <w:color w:val="000000"/>
          <w:vertAlign w:val="superscript"/>
          <w:lang w:val="es-ES_tradnl" w:eastAsia="es-ES_tradnl"/>
        </w:rPr>
        <w:footnoteReference w:id="3"/>
      </w:r>
      <w:r w:rsidRPr="006B17A7">
        <w:rPr>
          <w:rFonts w:ascii="Verdana" w:eastAsia="Times New Roman" w:hAnsi="Verdana" w:cs="Arial"/>
          <w:color w:val="000000"/>
          <w:lang w:val="es-ES_tradnl" w:eastAsia="es-ES_tradnl"/>
        </w:rPr>
        <w:t>.</w:t>
      </w:r>
      <w:r w:rsidRPr="006B17A7">
        <w:rPr>
          <w:rFonts w:ascii="Verdana" w:eastAsia="Calibri" w:hAnsi="Verdana" w:cs="Arial"/>
          <w:lang w:val="es-MX"/>
        </w:rPr>
        <w:t xml:space="preserve"> En ese sentido, el artículo 60 de la Ley 80 de 1993 dispone que en la etapa de liquidación del contrato estatal las partes acordarán los ajustes, revisiones y reconocimientos a que haya lugar. Por lo que, la misma norma, señala que será en el acta de liquidación el documento donde “constarán los acuerdos, conciliaciones y transacciones a que llegaren las partes para poner fin a las divergencias presentadas y poder declarase a paz y salvo”.</w:t>
      </w:r>
    </w:p>
    <w:p w14:paraId="2C17308E" w14:textId="77777777" w:rsidR="00044645" w:rsidRPr="006B17A7" w:rsidRDefault="00044645" w:rsidP="00044645">
      <w:pPr>
        <w:spacing w:after="120" w:line="276" w:lineRule="auto"/>
        <w:ind w:firstLine="708"/>
        <w:jc w:val="both"/>
        <w:rPr>
          <w:rFonts w:ascii="Verdana" w:eastAsia="Calibri" w:hAnsi="Verdana" w:cs="Arial"/>
          <w:lang w:val="es-MX"/>
        </w:rPr>
      </w:pPr>
      <w:r w:rsidRPr="006B17A7">
        <w:rPr>
          <w:rFonts w:ascii="Verdana" w:eastAsia="Calibri" w:hAnsi="Verdana" w:cs="Arial"/>
          <w:lang w:val="es-MX"/>
        </w:rPr>
        <w:t xml:space="preserve">El Estatuto General de Contratación de la Administración Pública –Ley 80 de 1993, Ley 1150 de 2007, Decreto 1082 de 2015 y demás normas que lo modifiquen o complementen–, aplicable para las Entidades Estatales sujetas a este, establece las disposiciones legales que regulan la etapa de liquidación de los contratos estatales, particularmente en el artículo 60 de la Ley 80 de 1993, modificado por el artículo 217 del Decreto 019 de 2012, y el artículo 11 de la Ley 1150 de 2007. El primero de estos artículos regula el alcance sustantivo de la liquidación y los contratos en que procede, mientras que el segundo señala las reglas procedimentales para su realización. </w:t>
      </w:r>
    </w:p>
    <w:p w14:paraId="10AE80B8" w14:textId="77777777" w:rsidR="00044645" w:rsidRPr="006B17A7" w:rsidRDefault="00044645" w:rsidP="00044645">
      <w:pPr>
        <w:spacing w:after="120" w:line="276" w:lineRule="auto"/>
        <w:ind w:firstLine="708"/>
        <w:jc w:val="both"/>
        <w:rPr>
          <w:rFonts w:ascii="Verdana" w:eastAsia="Calibri" w:hAnsi="Verdana" w:cs="Arial"/>
          <w:lang w:val="es-MX"/>
        </w:rPr>
      </w:pPr>
      <w:r w:rsidRPr="006B17A7">
        <w:rPr>
          <w:rFonts w:ascii="Verdana" w:eastAsia="Calibri" w:hAnsi="Verdana" w:cs="Arial"/>
          <w:lang w:val="es-MX"/>
        </w:rPr>
        <w:t xml:space="preserve">De esta forma, se tiene que, las Entidades Estatales sujetas al Estatuto General de Contratación de la Administración Pública, deben liquidar, conforme al artículo 60 de la Ley 80 de 1993: a) los contratos de tracto sucesivo, esto es aquellos cuyas obligaciones se ejecuten de manera periódica o difieren en el tiempo o sucesivamente a medida que se van causando; b) aquellos contratos cuya ejecución o cumplimiento se prolonguen en el tiempo, ya sea por la naturaleza periódica de las prestaciones o por las vicisitudes que se presenten en su ejecución que lo dilaten o prorroguen y; c) los demás que lo requieran, con fundamento en su naturaleza, objeto y plazo, así como su importancia o relevancia o por la eventualidad de discrepancias y controversias en torno a su </w:t>
      </w:r>
      <w:r w:rsidRPr="006B17A7">
        <w:rPr>
          <w:rFonts w:ascii="Verdana" w:eastAsia="Calibri" w:hAnsi="Verdana" w:cs="Arial"/>
          <w:lang w:val="es-MX"/>
        </w:rPr>
        <w:lastRenderedPageBreak/>
        <w:t xml:space="preserve">ejecución; salvo, en los contratos de prestación de servicios profesionales y de apoyo a la gestión, pues en estos no es obligatoria la liquidación. </w:t>
      </w:r>
    </w:p>
    <w:p w14:paraId="118CD11D" w14:textId="77777777" w:rsidR="00044645" w:rsidRPr="006B17A7" w:rsidRDefault="00044645" w:rsidP="00044645">
      <w:pPr>
        <w:spacing w:after="120" w:line="276" w:lineRule="auto"/>
        <w:ind w:firstLine="703"/>
        <w:jc w:val="both"/>
        <w:rPr>
          <w:rFonts w:ascii="Verdana" w:eastAsia="Calibri" w:hAnsi="Verdana" w:cs="Arial"/>
          <w:lang w:val="es-MX"/>
        </w:rPr>
      </w:pPr>
      <w:r>
        <w:rPr>
          <w:rFonts w:ascii="Verdana" w:eastAsia="Calibri" w:hAnsi="Verdana" w:cs="Arial"/>
          <w:lang w:val="es-MX"/>
        </w:rPr>
        <w:t>En ese sentido</w:t>
      </w:r>
      <w:r w:rsidRPr="006B17A7">
        <w:rPr>
          <w:rFonts w:ascii="Verdana" w:eastAsia="Calibri" w:hAnsi="Verdana" w:cs="Arial"/>
          <w:lang w:val="es-MX"/>
        </w:rPr>
        <w:t xml:space="preserve">, se aclara que, si se cumplen con las condiciones antes señaladas, la entidad contratante deberá determinar sobre cada caso particular y concreto, si procede la liquidación y la forma en la que la adelantará, obedeciendo claramente, a las reglas procedimentales señaladas en el artículo 11 de la Ley 1150 de 2007. Con fundamento en lo estableciendo en el artículo 11 </w:t>
      </w:r>
      <w:r w:rsidRPr="006B17A7">
        <w:rPr>
          <w:rFonts w:ascii="Verdana" w:eastAsia="Calibri" w:hAnsi="Verdana" w:cs="Arial"/>
          <w:i/>
          <w:iCs/>
          <w:lang w:val="es-MX"/>
        </w:rPr>
        <w:t>ibidem</w:t>
      </w:r>
      <w:r w:rsidRPr="006B17A7">
        <w:rPr>
          <w:rFonts w:ascii="Verdana" w:eastAsia="Calibri" w:hAnsi="Verdana" w:cs="Arial"/>
          <w:lang w:val="es-MX"/>
        </w:rPr>
        <w:t xml:space="preserve">, las Entidades Estatales en el ejercicio de la autonomía de la voluntad y de conformidad con los criterios de la naturaleza, objeto y plazo del contrato, podrán definir en el pliego de condiciones o en el contrato el plazo para efectuar la liquidación de mutuo acuerdo. Sin embargo, en ausencia de pacto contractual, la referida norma prevé un término supletivo de cuatro (4) meses contados desde: i) el vencimiento del plazo previsto para la ejecución del contrato; </w:t>
      </w:r>
      <w:proofErr w:type="spellStart"/>
      <w:r w:rsidRPr="006B17A7">
        <w:rPr>
          <w:rFonts w:ascii="Verdana" w:eastAsia="Calibri" w:hAnsi="Verdana" w:cs="Arial"/>
          <w:lang w:val="es-MX"/>
        </w:rPr>
        <w:t>ii</w:t>
      </w:r>
      <w:proofErr w:type="spellEnd"/>
      <w:r w:rsidRPr="006B17A7">
        <w:rPr>
          <w:rFonts w:ascii="Verdana" w:eastAsia="Calibri" w:hAnsi="Verdana" w:cs="Arial"/>
          <w:lang w:val="es-MX"/>
        </w:rPr>
        <w:t xml:space="preserve">) la expedición del acto administrativo que ordene la terminación del contrato; o </w:t>
      </w:r>
      <w:proofErr w:type="spellStart"/>
      <w:r w:rsidRPr="006B17A7">
        <w:rPr>
          <w:rFonts w:ascii="Verdana" w:eastAsia="Calibri" w:hAnsi="Verdana" w:cs="Arial"/>
          <w:lang w:val="es-MX"/>
        </w:rPr>
        <w:t>iii</w:t>
      </w:r>
      <w:proofErr w:type="spellEnd"/>
      <w:r w:rsidRPr="006B17A7">
        <w:rPr>
          <w:rFonts w:ascii="Verdana" w:eastAsia="Calibri" w:hAnsi="Verdana" w:cs="Arial"/>
          <w:lang w:val="es-MX"/>
        </w:rPr>
        <w:t>) la fecha del acuerdo que disponga la terminación del contrato.</w:t>
      </w:r>
    </w:p>
    <w:p w14:paraId="623EF6D6" w14:textId="77777777" w:rsidR="00044645" w:rsidRPr="006B17A7" w:rsidRDefault="00044645" w:rsidP="00044645">
      <w:pPr>
        <w:spacing w:after="0" w:line="276" w:lineRule="auto"/>
        <w:ind w:firstLine="703"/>
        <w:jc w:val="both"/>
        <w:rPr>
          <w:rFonts w:ascii="Verdana" w:eastAsia="Calibri" w:hAnsi="Verdana" w:cs="Arial"/>
          <w:lang w:val="es-MX"/>
        </w:rPr>
      </w:pPr>
      <w:r w:rsidRPr="006B17A7">
        <w:rPr>
          <w:rFonts w:ascii="Verdana" w:eastAsia="Calibri" w:hAnsi="Verdana" w:cs="Arial"/>
          <w:lang w:val="es-MX"/>
        </w:rPr>
        <w:t>Durante dichos términos, el contratista puede solicitar que se adelante el trámite de liquidación. Sin embargo, es responsabilidad de la Entidad Estatal convocarlo para adelantar la liquidación de común acuerdo o notificarlo para que se presente a realizarla</w:t>
      </w:r>
      <w:r w:rsidRPr="006B17A7">
        <w:rPr>
          <w:rFonts w:ascii="Aptos" w:eastAsia="Aptos" w:hAnsi="Aptos" w:cs="Times New Roman"/>
          <w:color w:val="000000"/>
          <w:vertAlign w:val="superscript"/>
          <w:lang w:val="es-ES_tradnl"/>
        </w:rPr>
        <w:footnoteReference w:id="4"/>
      </w:r>
      <w:r w:rsidRPr="006B17A7">
        <w:rPr>
          <w:rFonts w:ascii="Verdana" w:eastAsia="Calibri" w:hAnsi="Verdana" w:cs="Arial"/>
          <w:color w:val="000000"/>
          <w:lang w:val="es-ES_tradnl"/>
        </w:rPr>
        <w:t>, de manera que el contrato pueda ser liquidado bilateralmente, bien sea en el plazo previsto en el pliego de condiciones, el acordado por las partes, o el supletivo de cuatro (4) meses señalados en la ley, según corresponda. Esta liquidación bilateral puede ser total o parcial</w:t>
      </w:r>
      <w:r w:rsidRPr="006B17A7">
        <w:rPr>
          <w:rFonts w:ascii="Aptos" w:eastAsia="Aptos" w:hAnsi="Aptos" w:cs="Times New Roman"/>
          <w:iCs/>
          <w:color w:val="000000"/>
          <w:vertAlign w:val="superscript"/>
          <w:lang w:val="es-ES_tradnl"/>
        </w:rPr>
        <w:footnoteReference w:id="5"/>
      </w:r>
      <w:r w:rsidRPr="006B17A7">
        <w:rPr>
          <w:rFonts w:ascii="Verdana" w:eastAsia="Calibri" w:hAnsi="Verdana" w:cs="Arial"/>
          <w:color w:val="000000"/>
          <w:lang w:val="es-ES_tradnl"/>
        </w:rPr>
        <w:t>, y el documento que la contiene presta mérito ejecutivo, siempre que se satisfagan los elementos para considerarlo como tal. Si no es posible efectuar la liquidación de manera bilateral, el ordenamiento jurídico prevé de facultad, de manera subsidiaria, a la Entidad Estatal para que realice la liquidación unilateralmente.</w:t>
      </w:r>
    </w:p>
    <w:p w14:paraId="24905D84" w14:textId="77777777" w:rsidR="00044645" w:rsidRPr="006B17A7" w:rsidRDefault="00044645" w:rsidP="00044645">
      <w:pPr>
        <w:spacing w:before="120" w:after="0" w:line="276" w:lineRule="auto"/>
        <w:ind w:firstLine="703"/>
        <w:jc w:val="both"/>
        <w:rPr>
          <w:rFonts w:ascii="Verdana" w:eastAsia="Times New Roman" w:hAnsi="Verdana" w:cs="Arial"/>
          <w:color w:val="000000"/>
          <w:lang w:eastAsia="es-ES_tradnl"/>
        </w:rPr>
      </w:pPr>
      <w:r w:rsidRPr="006B17A7">
        <w:rPr>
          <w:rFonts w:ascii="Verdana" w:eastAsia="Calibri" w:hAnsi="Verdana" w:cs="Arial"/>
          <w:lang w:val="es-MX"/>
        </w:rPr>
        <w:lastRenderedPageBreak/>
        <w:t xml:space="preserve">Si no es posible efectuar la liquidación </w:t>
      </w:r>
      <w:r w:rsidRPr="006B17A7">
        <w:rPr>
          <w:rFonts w:ascii="Verdana" w:eastAsia="Times New Roman" w:hAnsi="Verdana" w:cs="Arial"/>
          <w:color w:val="000000"/>
          <w:bdr w:val="none" w:sz="0" w:space="0" w:color="auto" w:frame="1"/>
          <w:shd w:val="clear" w:color="auto" w:fill="FFFFFF"/>
          <w:lang w:val="es-ES" w:eastAsia="es-ES_tradnl"/>
        </w:rPr>
        <w:t xml:space="preserve">de manera bilateral, el ordenamiento jurídico prevé una facultad, de carácter subsidiario, para que la Entidad Estatal realice la liquidación unilateralmente. En relación con este aspecto, la </w:t>
      </w:r>
      <w:r w:rsidRPr="006B17A7">
        <w:rPr>
          <w:rFonts w:ascii="Verdana" w:eastAsia="Times New Roman" w:hAnsi="Verdana" w:cs="Arial"/>
          <w:color w:val="000000"/>
          <w:bdr w:val="none" w:sz="0" w:space="0" w:color="auto" w:frame="1"/>
          <w:shd w:val="clear" w:color="auto" w:fill="FFFFFF"/>
          <w:lang w:val="es-MX" w:eastAsia="es-ES_tradnl"/>
        </w:rPr>
        <w:t xml:space="preserve">Sala de Consulta y Servicio Civil del </w:t>
      </w:r>
      <w:r w:rsidRPr="006B17A7">
        <w:rPr>
          <w:rFonts w:ascii="Verdana" w:eastAsia="Times New Roman" w:hAnsi="Verdana" w:cs="Arial"/>
          <w:color w:val="000000"/>
          <w:bdr w:val="none" w:sz="0" w:space="0" w:color="auto" w:frame="1"/>
          <w:shd w:val="clear" w:color="auto" w:fill="FFFFFF"/>
          <w:lang w:val="es-ES" w:eastAsia="es-ES_tradnl"/>
        </w:rPr>
        <w:t>Consejo de Estado</w:t>
      </w:r>
      <w:r w:rsidRPr="006B17A7">
        <w:rPr>
          <w:rFonts w:ascii="Verdana" w:eastAsia="Times New Roman" w:hAnsi="Verdana" w:cs="Arial"/>
          <w:color w:val="000000"/>
          <w:bdr w:val="none" w:sz="0" w:space="0" w:color="auto" w:frame="1"/>
          <w:shd w:val="clear" w:color="auto" w:fill="FFFFFF"/>
          <w:lang w:val="es-MX" w:eastAsia="es-ES_tradnl"/>
        </w:rPr>
        <w:t>, en concepto del 28 de junio de 2016, manifestó que:  </w:t>
      </w:r>
    </w:p>
    <w:p w14:paraId="51604866" w14:textId="77777777" w:rsidR="00044645" w:rsidRPr="006B17A7" w:rsidRDefault="00044645" w:rsidP="00044645">
      <w:pPr>
        <w:spacing w:after="0" w:line="276" w:lineRule="auto"/>
        <w:ind w:left="705" w:right="750"/>
        <w:jc w:val="both"/>
        <w:rPr>
          <w:rFonts w:ascii="Verdana" w:eastAsia="Times New Roman" w:hAnsi="Verdana" w:cs="Arial"/>
          <w:color w:val="000000"/>
          <w:lang w:eastAsia="es-ES_tradnl"/>
        </w:rPr>
      </w:pPr>
    </w:p>
    <w:p w14:paraId="75C65AC7" w14:textId="77777777" w:rsidR="00044645" w:rsidRPr="006B17A7" w:rsidRDefault="00044645" w:rsidP="00044645">
      <w:pPr>
        <w:spacing w:after="0" w:line="240" w:lineRule="auto"/>
        <w:ind w:left="705" w:right="750"/>
        <w:jc w:val="both"/>
        <w:rPr>
          <w:rFonts w:ascii="Verdana" w:eastAsia="Times New Roman" w:hAnsi="Verdana" w:cs="Arial"/>
          <w:color w:val="000000"/>
          <w:sz w:val="20"/>
          <w:szCs w:val="20"/>
          <w:lang w:eastAsia="es-ES_tradnl"/>
        </w:rPr>
      </w:pPr>
      <w:r w:rsidRPr="006B17A7">
        <w:rPr>
          <w:rFonts w:ascii="Verdana" w:eastAsia="Times New Roman" w:hAnsi="Verdana" w:cs="Arial"/>
          <w:i/>
          <w:iCs/>
          <w:sz w:val="20"/>
          <w:szCs w:val="20"/>
          <w:lang w:val="es-ES_tradnl" w:eastAsia="es-ES_tradnl"/>
        </w:rPr>
        <w:t>“</w:t>
      </w:r>
      <w:r w:rsidRPr="006B17A7">
        <w:rPr>
          <w:rFonts w:ascii="Verdana" w:eastAsia="Calibri" w:hAnsi="Verdana" w:cs="Arial"/>
          <w:color w:val="000000"/>
          <w:sz w:val="20"/>
          <w:szCs w:val="20"/>
          <w:lang w:val="es-ES" w:eastAsia="es-ES_tradnl"/>
        </w:rPr>
        <w:t>[</w:t>
      </w:r>
      <w:r w:rsidRPr="006B17A7">
        <w:rPr>
          <w:rFonts w:ascii="Verdana" w:eastAsia="Times New Roman" w:hAnsi="Verdana" w:cs="Arial"/>
          <w:color w:val="000000"/>
          <w:sz w:val="20"/>
          <w:szCs w:val="20"/>
          <w:bdr w:val="none" w:sz="0" w:space="0" w:color="auto" w:frame="1"/>
          <w:shd w:val="clear" w:color="auto" w:fill="FFFFFF"/>
          <w:lang w:eastAsia="es-ES_tradnl"/>
        </w:rPr>
        <w:t xml:space="preserve">…] </w:t>
      </w:r>
      <w:r w:rsidRPr="006B17A7">
        <w:rPr>
          <w:rFonts w:ascii="Verdana" w:eastAsia="Times New Roman" w:hAnsi="Verdana" w:cs="Arial"/>
          <w:color w:val="000000"/>
          <w:sz w:val="20"/>
          <w:szCs w:val="20"/>
          <w:bdr w:val="none" w:sz="0" w:space="0" w:color="auto" w:frame="1"/>
          <w:shd w:val="clear" w:color="auto" w:fill="FFFFFF"/>
          <w:lang w:val="es-ES" w:eastAsia="es-ES_tradnl"/>
        </w:rPr>
        <w:t>se debe tener en cuenta que la liquidación unilateral es subsidiaria o supletoria frente a la bilateral, dado que el contratista tiene derecho a acordar la liquidación, debidamente reconocido por el ordenamiento jurídico. Para tal efecto, el contratista debe ser convocado o citado por la entidad contratante con el fin de intentar la liquidación bilateral, puesto que en el supuesto caso de que no sea así, la (.liquidación unilateral posterior que llegase a practicar la administración resultaría inválida, dado que no tendría competencia material para hacerla y por cuanto su adopción con tal omisión vulneraría el derecho del contratista al debido proceso y sus corolarios de defensa y contradicción y, además, configuraría un abuso de poder”</w:t>
      </w:r>
      <w:r w:rsidRPr="006B17A7">
        <w:rPr>
          <w:rFonts w:ascii="Verdana" w:eastAsia="Times New Roman" w:hAnsi="Verdana" w:cs="Arial"/>
          <w:color w:val="000000"/>
          <w:sz w:val="20"/>
          <w:szCs w:val="20"/>
          <w:bdr w:val="none" w:sz="0" w:space="0" w:color="auto" w:frame="1"/>
          <w:shd w:val="clear" w:color="auto" w:fill="FFFFFF"/>
          <w:vertAlign w:val="superscript"/>
          <w:lang w:val="es-MX" w:eastAsia="es-ES_tradnl"/>
        </w:rPr>
        <w:footnoteReference w:id="6"/>
      </w:r>
      <w:r w:rsidRPr="006B17A7">
        <w:rPr>
          <w:rFonts w:ascii="Verdana" w:eastAsia="Times New Roman" w:hAnsi="Verdana" w:cs="Arial"/>
          <w:color w:val="000000"/>
          <w:sz w:val="20"/>
          <w:szCs w:val="20"/>
          <w:bdr w:val="none" w:sz="0" w:space="0" w:color="auto" w:frame="1"/>
          <w:shd w:val="clear" w:color="auto" w:fill="FFFFFF"/>
          <w:lang w:val="es-ES" w:eastAsia="es-ES_tradnl"/>
        </w:rPr>
        <w:t>. </w:t>
      </w:r>
      <w:r w:rsidRPr="006B17A7">
        <w:rPr>
          <w:rFonts w:ascii="Verdana" w:eastAsia="Times New Roman" w:hAnsi="Verdana" w:cs="Arial"/>
          <w:color w:val="000000"/>
          <w:sz w:val="20"/>
          <w:szCs w:val="20"/>
          <w:bdr w:val="none" w:sz="0" w:space="0" w:color="auto" w:frame="1"/>
          <w:shd w:val="clear" w:color="auto" w:fill="FFFFFF"/>
          <w:lang w:eastAsia="es-ES_tradnl"/>
        </w:rPr>
        <w:t>  </w:t>
      </w:r>
    </w:p>
    <w:p w14:paraId="55956972" w14:textId="77777777" w:rsidR="00044645" w:rsidRPr="006B17A7" w:rsidRDefault="00044645" w:rsidP="00044645">
      <w:pPr>
        <w:spacing w:after="0" w:line="276" w:lineRule="auto"/>
        <w:ind w:left="705" w:right="750"/>
        <w:jc w:val="both"/>
        <w:rPr>
          <w:rFonts w:ascii="Verdana" w:eastAsia="Times New Roman" w:hAnsi="Verdana" w:cs="Arial"/>
          <w:color w:val="000000"/>
          <w:lang w:eastAsia="es-ES_tradnl"/>
        </w:rPr>
      </w:pPr>
    </w:p>
    <w:p w14:paraId="5FFB1CA5" w14:textId="77777777" w:rsidR="00044645" w:rsidRPr="006B17A7" w:rsidRDefault="00044645" w:rsidP="00044645">
      <w:pPr>
        <w:spacing w:after="0" w:line="276" w:lineRule="auto"/>
        <w:ind w:firstLine="705"/>
        <w:jc w:val="both"/>
        <w:rPr>
          <w:rFonts w:ascii="Verdana" w:eastAsia="Times New Roman" w:hAnsi="Verdana" w:cs="Arial"/>
          <w:color w:val="000000"/>
          <w:lang w:eastAsia="es-ES_tradnl"/>
        </w:rPr>
      </w:pPr>
      <w:bookmarkStart w:id="3" w:name="_Hlk141851266"/>
      <w:r w:rsidRPr="006B17A7">
        <w:rPr>
          <w:rFonts w:ascii="Verdana" w:eastAsia="Times New Roman" w:hAnsi="Verdana" w:cs="Arial"/>
          <w:color w:val="000000"/>
          <w:bdr w:val="none" w:sz="0" w:space="0" w:color="auto" w:frame="1"/>
          <w:shd w:val="clear" w:color="auto" w:fill="FFFFFF"/>
          <w:lang w:val="es-ES" w:eastAsia="es-ES_tradnl"/>
        </w:rPr>
        <w:t xml:space="preserve">Si no se logra la liquidación bilateral del contrato, la entidad estatal tiene la facultad de liquidarlo unilateralmente dentro del término de </w:t>
      </w:r>
      <w:r>
        <w:rPr>
          <w:rFonts w:ascii="Verdana" w:eastAsia="Times New Roman" w:hAnsi="Verdana" w:cs="Arial"/>
          <w:color w:val="000000"/>
          <w:bdr w:val="none" w:sz="0" w:space="0" w:color="auto" w:frame="1"/>
          <w:shd w:val="clear" w:color="auto" w:fill="FFFFFF"/>
          <w:lang w:val="es-ES" w:eastAsia="es-ES_tradnl"/>
        </w:rPr>
        <w:t>dos (</w:t>
      </w:r>
      <w:r w:rsidRPr="006B17A7">
        <w:rPr>
          <w:rFonts w:ascii="Verdana" w:eastAsia="Times New Roman" w:hAnsi="Verdana" w:cs="Arial"/>
          <w:color w:val="000000"/>
          <w:bdr w:val="none" w:sz="0" w:space="0" w:color="auto" w:frame="1"/>
          <w:shd w:val="clear" w:color="auto" w:fill="FFFFFF"/>
          <w:lang w:val="es-ES" w:eastAsia="es-ES_tradnl"/>
        </w:rPr>
        <w:t>2</w:t>
      </w:r>
      <w:r>
        <w:rPr>
          <w:rFonts w:ascii="Verdana" w:eastAsia="Times New Roman" w:hAnsi="Verdana" w:cs="Arial"/>
          <w:color w:val="000000"/>
          <w:bdr w:val="none" w:sz="0" w:space="0" w:color="auto" w:frame="1"/>
          <w:shd w:val="clear" w:color="auto" w:fill="FFFFFF"/>
          <w:lang w:val="es-ES" w:eastAsia="es-ES_tradnl"/>
        </w:rPr>
        <w:t>)</w:t>
      </w:r>
      <w:r w:rsidRPr="006B17A7">
        <w:rPr>
          <w:rFonts w:ascii="Verdana" w:eastAsia="Times New Roman" w:hAnsi="Verdana" w:cs="Arial"/>
          <w:color w:val="000000"/>
          <w:bdr w:val="none" w:sz="0" w:space="0" w:color="auto" w:frame="1"/>
          <w:shd w:val="clear" w:color="auto" w:fill="FFFFFF"/>
          <w:lang w:val="es-ES" w:eastAsia="es-ES_tradnl"/>
        </w:rPr>
        <w:t xml:space="preserve"> meses contados a partir del vencimiento del plazo que acuerden las partes para liquidar bilateralmente o, ante el silencio de estas, del vencimiento de los 4 meses supletivo establecido por la ley. </w:t>
      </w:r>
      <w:r w:rsidRPr="006B17A7">
        <w:rPr>
          <w:rFonts w:ascii="Verdana" w:eastAsia="Times New Roman" w:hAnsi="Verdana" w:cs="Arial"/>
          <w:color w:val="000000"/>
          <w:lang w:eastAsia="es-ES_tradnl"/>
        </w:rPr>
        <w:t xml:space="preserve"> </w:t>
      </w:r>
      <w:r w:rsidRPr="006B17A7">
        <w:rPr>
          <w:rFonts w:ascii="Verdana" w:eastAsia="Times New Roman" w:hAnsi="Verdana" w:cs="Arial"/>
          <w:color w:val="000000"/>
          <w:bdr w:val="none" w:sz="0" w:space="0" w:color="auto" w:frame="1"/>
          <w:shd w:val="clear" w:color="auto" w:fill="FFFFFF"/>
          <w:lang w:val="es-ES" w:eastAsia="es-ES_tradnl"/>
        </w:rPr>
        <w:t xml:space="preserve">Finalmente, transcurridos estos meses, la liquidación podrá ser realizada en cualquier tiempo dentro de los dos años siguientes al vencimiento del término referido, de mutuo acuerdo o unilateralmente, salvo que el contratista haya presentado la demanda con la cual pretenda la liquidación judicial del contrato. De esta manera, durante estos dos </w:t>
      </w:r>
      <w:r>
        <w:rPr>
          <w:rFonts w:ascii="Verdana" w:eastAsia="Times New Roman" w:hAnsi="Verdana" w:cs="Arial"/>
          <w:color w:val="000000"/>
          <w:bdr w:val="none" w:sz="0" w:space="0" w:color="auto" w:frame="1"/>
          <w:shd w:val="clear" w:color="auto" w:fill="FFFFFF"/>
          <w:lang w:val="es-ES" w:eastAsia="es-ES_tradnl"/>
        </w:rPr>
        <w:t xml:space="preserve">(2) </w:t>
      </w:r>
      <w:r w:rsidRPr="006B17A7">
        <w:rPr>
          <w:rFonts w:ascii="Verdana" w:eastAsia="Times New Roman" w:hAnsi="Verdana" w:cs="Arial"/>
          <w:color w:val="000000"/>
          <w:bdr w:val="none" w:sz="0" w:space="0" w:color="auto" w:frame="1"/>
          <w:shd w:val="clear" w:color="auto" w:fill="FFFFFF"/>
          <w:lang w:val="es-ES" w:eastAsia="es-ES_tradnl"/>
        </w:rPr>
        <w:t xml:space="preserve">años la liquidación podrá hacerse de mutuo acuerdo, unilateralmente por la entidad, o podrá ser solicitada judicialmente por el interesado. </w:t>
      </w:r>
      <w:bookmarkEnd w:id="3"/>
      <w:r w:rsidRPr="006B17A7">
        <w:rPr>
          <w:rFonts w:ascii="Verdana" w:eastAsia="Times New Roman" w:hAnsi="Verdana" w:cs="Arial"/>
          <w:color w:val="000000"/>
          <w:bdr w:val="none" w:sz="0" w:space="0" w:color="auto" w:frame="1"/>
          <w:shd w:val="clear" w:color="auto" w:fill="FFFFFF"/>
          <w:lang w:val="es-ES" w:eastAsia="es-ES_tradnl"/>
        </w:rPr>
        <w:t xml:space="preserve">En este sentido, en decisión de unificación de la </w:t>
      </w:r>
      <w:r w:rsidRPr="006B17A7">
        <w:rPr>
          <w:rFonts w:ascii="Verdana" w:eastAsia="Times New Roman" w:hAnsi="Verdana" w:cs="Arial"/>
          <w:color w:val="000000"/>
          <w:bdr w:val="none" w:sz="0" w:space="0" w:color="auto" w:frame="1"/>
          <w:shd w:val="clear" w:color="auto" w:fill="FFFFFF"/>
          <w:lang w:val="es-MX" w:eastAsia="es-ES_tradnl"/>
        </w:rPr>
        <w:t>Sección Tercera</w:t>
      </w:r>
      <w:r w:rsidRPr="006B17A7">
        <w:rPr>
          <w:rFonts w:ascii="Verdana" w:eastAsia="Times New Roman" w:hAnsi="Verdana" w:cs="Arial"/>
          <w:color w:val="000000"/>
          <w:bdr w:val="none" w:sz="0" w:space="0" w:color="auto" w:frame="1"/>
          <w:shd w:val="clear" w:color="auto" w:fill="FFFFFF"/>
          <w:lang w:val="es-ES" w:eastAsia="es-ES_tradnl"/>
        </w:rPr>
        <w:t xml:space="preserve"> del Consejo de Estado del</w:t>
      </w:r>
      <w:r w:rsidRPr="006B17A7">
        <w:rPr>
          <w:rFonts w:ascii="Verdana" w:eastAsia="Times New Roman" w:hAnsi="Verdana" w:cs="Arial"/>
          <w:color w:val="000000"/>
          <w:bdr w:val="none" w:sz="0" w:space="0" w:color="auto" w:frame="1"/>
          <w:shd w:val="clear" w:color="auto" w:fill="FFFFFF"/>
          <w:lang w:val="es-MX" w:eastAsia="es-ES_tradnl"/>
        </w:rPr>
        <w:t> </w:t>
      </w:r>
      <w:r w:rsidRPr="006B17A7">
        <w:rPr>
          <w:rFonts w:ascii="Verdana" w:eastAsia="Times New Roman" w:hAnsi="Verdana" w:cs="Arial"/>
          <w:color w:val="000000"/>
          <w:bdr w:val="none" w:sz="0" w:space="0" w:color="auto" w:frame="1"/>
          <w:shd w:val="clear" w:color="auto" w:fill="FFFFFF"/>
          <w:lang w:eastAsia="es-ES_tradnl"/>
        </w:rPr>
        <w:t>1 de agosto de 2019, se expresó: </w:t>
      </w:r>
    </w:p>
    <w:p w14:paraId="3F86C4CD" w14:textId="77777777" w:rsidR="00044645" w:rsidRPr="006B17A7" w:rsidRDefault="00044645" w:rsidP="00044645">
      <w:pPr>
        <w:spacing w:after="0" w:line="276" w:lineRule="auto"/>
        <w:ind w:firstLine="705"/>
        <w:jc w:val="both"/>
        <w:rPr>
          <w:rFonts w:ascii="Verdana" w:eastAsia="Times New Roman" w:hAnsi="Verdana" w:cs="Arial"/>
          <w:color w:val="000000"/>
          <w:lang w:eastAsia="es-ES_tradnl"/>
        </w:rPr>
      </w:pPr>
    </w:p>
    <w:p w14:paraId="3038C4AA" w14:textId="77777777" w:rsidR="00044645" w:rsidRPr="006B17A7" w:rsidRDefault="00044645" w:rsidP="00044645">
      <w:pPr>
        <w:spacing w:after="0" w:line="240" w:lineRule="auto"/>
        <w:ind w:left="705" w:right="750"/>
        <w:jc w:val="both"/>
        <w:rPr>
          <w:rFonts w:ascii="Verdana" w:eastAsia="Times New Roman" w:hAnsi="Verdana" w:cs="Arial"/>
          <w:color w:val="000000"/>
          <w:sz w:val="20"/>
          <w:szCs w:val="20"/>
          <w:lang w:eastAsia="es-ES_tradnl"/>
        </w:rPr>
      </w:pPr>
      <w:r w:rsidRPr="006B17A7">
        <w:rPr>
          <w:rFonts w:ascii="Verdana" w:eastAsia="Times New Roman" w:hAnsi="Verdana" w:cs="Arial"/>
          <w:sz w:val="20"/>
          <w:szCs w:val="20"/>
          <w:lang w:val="es-ES_tradnl" w:eastAsia="es-ES_tradnl"/>
        </w:rPr>
        <w:t>“</w:t>
      </w:r>
      <w:r w:rsidRPr="006B17A7">
        <w:rPr>
          <w:rFonts w:ascii="Verdana" w:eastAsia="Times New Roman" w:hAnsi="Verdana" w:cs="Arial"/>
          <w:color w:val="000000"/>
          <w:sz w:val="20"/>
          <w:szCs w:val="20"/>
          <w:bdr w:val="none" w:sz="0" w:space="0" w:color="auto" w:frame="1"/>
          <w:shd w:val="clear" w:color="auto" w:fill="FFFFFF"/>
          <w:lang w:val="es-ES" w:eastAsia="es-ES_tradnl"/>
        </w:rPr>
        <w:t xml:space="preserve">Como pudo apreciarse, este precepto legal permite que la liquidación bilateral se acuerde después del vencimiento del término pactado en el contrato o previsto en los documentos antepuestos, o, del término supletorio que para la concertación de la liquidación establece la ley, </w:t>
      </w:r>
      <w:r w:rsidRPr="006B17A7">
        <w:rPr>
          <w:rFonts w:ascii="Verdana" w:eastAsia="Times New Roman" w:hAnsi="Verdana" w:cs="Arial"/>
          <w:color w:val="000000"/>
          <w:sz w:val="20"/>
          <w:szCs w:val="20"/>
          <w:bdr w:val="none" w:sz="0" w:space="0" w:color="auto" w:frame="1"/>
          <w:shd w:val="clear" w:color="auto" w:fill="FFFFFF"/>
          <w:lang w:val="es-ES" w:eastAsia="es-ES_tradnl"/>
        </w:rPr>
        <w:lastRenderedPageBreak/>
        <w:t>e  incluso, después de haber pasado los dos meses subsiguientes a dicho vencimiento sin que la administración lo hubiera liquidado unilateralmente, bajo condición de que el acuerdo </w:t>
      </w:r>
      <w:proofErr w:type="spellStart"/>
      <w:r w:rsidRPr="006B17A7">
        <w:rPr>
          <w:rFonts w:ascii="Verdana" w:eastAsia="Times New Roman" w:hAnsi="Verdana" w:cs="Arial"/>
          <w:color w:val="000000"/>
          <w:sz w:val="20"/>
          <w:szCs w:val="20"/>
          <w:bdr w:val="none" w:sz="0" w:space="0" w:color="auto" w:frame="1"/>
          <w:shd w:val="clear" w:color="auto" w:fill="FFFFFF"/>
          <w:lang w:val="es-ES" w:eastAsia="es-ES_tradnl"/>
        </w:rPr>
        <w:t>liquidatorio</w:t>
      </w:r>
      <w:proofErr w:type="spellEnd"/>
      <w:r w:rsidRPr="006B17A7">
        <w:rPr>
          <w:rFonts w:ascii="Verdana" w:eastAsia="Times New Roman" w:hAnsi="Verdana" w:cs="Arial"/>
          <w:color w:val="000000"/>
          <w:sz w:val="20"/>
          <w:szCs w:val="20"/>
          <w:bdr w:val="none" w:sz="0" w:space="0" w:color="auto" w:frame="1"/>
          <w:shd w:val="clear" w:color="auto" w:fill="FFFFFF"/>
          <w:lang w:val="es-ES" w:eastAsia="es-ES_tradnl"/>
        </w:rPr>
        <w:t> se logre dentro del lapso de dos años contados a partir del vencimiento del término legalmente conocido para la liquidación unilateral, pues ese es el lapso que el ordenamiento ha fijado para el ejercicio oportuno de la acción</w:t>
      </w:r>
      <w:r w:rsidRPr="006B17A7">
        <w:rPr>
          <w:rFonts w:ascii="Verdana" w:eastAsia="Times New Roman" w:hAnsi="Verdana" w:cs="Arial"/>
          <w:sz w:val="20"/>
          <w:szCs w:val="20"/>
          <w:lang w:val="es-ES_tradnl" w:eastAsia="es-ES_tradnl"/>
        </w:rPr>
        <w:t>”</w:t>
      </w:r>
      <w:r w:rsidRPr="006B17A7">
        <w:rPr>
          <w:rFonts w:ascii="Verdana" w:eastAsia="Times New Roman" w:hAnsi="Verdana" w:cs="Arial"/>
          <w:color w:val="000000"/>
          <w:sz w:val="20"/>
          <w:szCs w:val="20"/>
          <w:bdr w:val="none" w:sz="0" w:space="0" w:color="auto" w:frame="1"/>
          <w:shd w:val="clear" w:color="auto" w:fill="FFFFFF"/>
          <w:vertAlign w:val="superscript"/>
          <w:lang w:eastAsia="es-ES_tradnl"/>
        </w:rPr>
        <w:t xml:space="preserve"> </w:t>
      </w:r>
      <w:r w:rsidRPr="006B17A7">
        <w:rPr>
          <w:rFonts w:ascii="Verdana" w:eastAsia="Times New Roman" w:hAnsi="Verdana" w:cs="Arial"/>
          <w:color w:val="000000"/>
          <w:sz w:val="20"/>
          <w:szCs w:val="20"/>
          <w:bdr w:val="none" w:sz="0" w:space="0" w:color="auto" w:frame="1"/>
          <w:shd w:val="clear" w:color="auto" w:fill="FFFFFF"/>
          <w:vertAlign w:val="superscript"/>
          <w:lang w:eastAsia="es-ES_tradnl"/>
        </w:rPr>
        <w:footnoteReference w:id="7"/>
      </w:r>
      <w:r w:rsidRPr="006B17A7">
        <w:rPr>
          <w:rFonts w:ascii="Verdana" w:eastAsia="Times New Roman" w:hAnsi="Verdana" w:cs="Arial"/>
          <w:sz w:val="20"/>
          <w:szCs w:val="20"/>
          <w:lang w:val="es-ES_tradnl" w:eastAsia="es-ES_tradnl"/>
        </w:rPr>
        <w:t>.</w:t>
      </w:r>
      <w:r w:rsidRPr="006B17A7">
        <w:rPr>
          <w:rFonts w:ascii="Verdana" w:eastAsia="Times New Roman" w:hAnsi="Verdana" w:cs="Arial"/>
          <w:color w:val="000000"/>
          <w:sz w:val="20"/>
          <w:szCs w:val="20"/>
          <w:bdr w:val="none" w:sz="0" w:space="0" w:color="auto" w:frame="1"/>
          <w:shd w:val="clear" w:color="auto" w:fill="FFFFFF"/>
          <w:lang w:val="es-ES" w:eastAsia="es-ES_tradnl"/>
        </w:rPr>
        <w:t> </w:t>
      </w:r>
    </w:p>
    <w:p w14:paraId="0CDD7F95" w14:textId="77777777" w:rsidR="00044645" w:rsidRPr="006B17A7" w:rsidRDefault="00044645" w:rsidP="00044645">
      <w:pPr>
        <w:spacing w:after="0" w:line="276" w:lineRule="auto"/>
        <w:ind w:firstLine="708"/>
        <w:jc w:val="both"/>
        <w:rPr>
          <w:rFonts w:ascii="Verdana" w:eastAsia="Times New Roman" w:hAnsi="Verdana" w:cs="Arial"/>
          <w:color w:val="000000"/>
          <w:lang w:eastAsia="es-ES_tradnl"/>
        </w:rPr>
      </w:pPr>
    </w:p>
    <w:p w14:paraId="28743818" w14:textId="77777777" w:rsidR="00044645" w:rsidRPr="006B17A7" w:rsidRDefault="00044645" w:rsidP="00044645">
      <w:pPr>
        <w:tabs>
          <w:tab w:val="left" w:pos="709"/>
        </w:tabs>
        <w:spacing w:after="120" w:line="276" w:lineRule="auto"/>
        <w:jc w:val="both"/>
        <w:rPr>
          <w:rFonts w:ascii="Verdana" w:eastAsia="Times New Roman" w:hAnsi="Verdana" w:cs="Arial"/>
          <w:color w:val="000000"/>
          <w:bdr w:val="none" w:sz="0" w:space="0" w:color="auto" w:frame="1"/>
          <w:shd w:val="clear" w:color="auto" w:fill="FFFFFF"/>
          <w:lang w:eastAsia="es-ES_tradnl"/>
        </w:rPr>
      </w:pPr>
      <w:r>
        <w:rPr>
          <w:rFonts w:ascii="Verdana" w:eastAsia="Times New Roman" w:hAnsi="Verdana" w:cs="Arial"/>
          <w:color w:val="000000"/>
          <w:bdr w:val="none" w:sz="0" w:space="0" w:color="auto" w:frame="1"/>
          <w:shd w:val="clear" w:color="auto" w:fill="FFFFFF"/>
          <w:lang w:eastAsia="es-ES_tradnl"/>
        </w:rPr>
        <w:tab/>
      </w:r>
      <w:r w:rsidRPr="006B17A7">
        <w:rPr>
          <w:rFonts w:ascii="Verdana" w:eastAsia="Times New Roman" w:hAnsi="Verdana" w:cs="Arial"/>
          <w:color w:val="000000"/>
          <w:bdr w:val="none" w:sz="0" w:space="0" w:color="auto" w:frame="1"/>
          <w:shd w:val="clear" w:color="auto" w:fill="FFFFFF"/>
          <w:lang w:eastAsia="es-ES_tradnl"/>
        </w:rPr>
        <w:t xml:space="preserve">A su turno, la liquidación judicial hace parte de una de las pretensiones que admite el medio de control de controversias contractuales. Al respecto, el artículo 141 de la Ley 1437 de 2011 dispone que “[…] el interesado podrá </w:t>
      </w:r>
      <w:bookmarkStart w:id="4" w:name="_Hlk172560769"/>
      <w:r w:rsidRPr="006B17A7">
        <w:rPr>
          <w:rFonts w:ascii="Verdana" w:eastAsia="Times New Roman" w:hAnsi="Verdana" w:cs="Arial"/>
          <w:color w:val="000000"/>
          <w:bdr w:val="none" w:sz="0" w:space="0" w:color="auto" w:frame="1"/>
          <w:shd w:val="clear" w:color="auto" w:fill="FFFFFF"/>
          <w:lang w:eastAsia="es-ES_tradnl"/>
        </w:rPr>
        <w:t>solicitar la liquidación judicial</w:t>
      </w:r>
      <w:bookmarkEnd w:id="4"/>
      <w:r w:rsidRPr="006B17A7">
        <w:rPr>
          <w:rFonts w:ascii="Verdana" w:eastAsia="Times New Roman" w:hAnsi="Verdana" w:cs="Arial"/>
          <w:color w:val="000000"/>
          <w:bdr w:val="none" w:sz="0" w:space="0" w:color="auto" w:frame="1"/>
          <w:shd w:val="clear" w:color="auto" w:fill="FFFFFF"/>
          <w:lang w:eastAsia="es-ES_tradnl"/>
        </w:rPr>
        <w:t xml:space="preserve"> del contrato cuando esta no se haya logrado de mutuo acuerdo y la entidad estatal no lo haya liquidado unilateralmente dentro de los dos (2) meses siguientes al vencimiento del plazo convenido para liquidar de mutuo acuerdo o, en su defecto, del término establecido por la ley”. Bajo esta perspectiva, para la entidad cesa la facultad de liquidar bilateral o unilateralmente, ya que el tema pasa de la administración a la jurisdicción.</w:t>
      </w:r>
    </w:p>
    <w:p w14:paraId="0D98B6B5" w14:textId="77777777" w:rsidR="00044645" w:rsidRPr="006B17A7" w:rsidRDefault="00044645" w:rsidP="00044645">
      <w:pPr>
        <w:tabs>
          <w:tab w:val="left" w:pos="709"/>
        </w:tabs>
        <w:spacing w:after="120" w:line="276" w:lineRule="auto"/>
        <w:jc w:val="both"/>
        <w:rPr>
          <w:rFonts w:ascii="Verdana" w:eastAsia="Times New Roman" w:hAnsi="Verdana" w:cs="Arial"/>
          <w:color w:val="000000"/>
          <w:bdr w:val="none" w:sz="0" w:space="0" w:color="auto" w:frame="1"/>
          <w:shd w:val="clear" w:color="auto" w:fill="FFFFFF"/>
          <w:lang w:val="es-ES" w:eastAsia="es-ES"/>
        </w:rPr>
      </w:pPr>
      <w:r w:rsidRPr="006B17A7">
        <w:rPr>
          <w:rFonts w:ascii="Verdana" w:eastAsia="Times New Roman" w:hAnsi="Verdana" w:cs="Arial"/>
          <w:color w:val="000000"/>
          <w:bdr w:val="none" w:sz="0" w:space="0" w:color="auto" w:frame="1"/>
          <w:shd w:val="clear" w:color="auto" w:fill="FFFFFF"/>
          <w:lang w:eastAsia="es-ES_tradnl"/>
        </w:rPr>
        <w:tab/>
      </w:r>
      <w:r w:rsidRPr="006B17A7">
        <w:rPr>
          <w:rFonts w:ascii="Verdana" w:eastAsia="Times New Roman" w:hAnsi="Verdana" w:cs="Arial"/>
          <w:color w:val="000000"/>
          <w:bdr w:val="none" w:sz="0" w:space="0" w:color="auto" w:frame="1"/>
          <w:shd w:val="clear" w:color="auto" w:fill="FFFFFF"/>
          <w:lang w:val="es-ES" w:eastAsia="es-ES"/>
        </w:rPr>
        <w:t xml:space="preserve">En suma, de acuerdo con el artículo 11 de la Ley 1150 de 2007, existen tres (3) tipos de liquidación: i) bilateral, </w:t>
      </w:r>
      <w:proofErr w:type="spellStart"/>
      <w:r w:rsidRPr="006B17A7">
        <w:rPr>
          <w:rFonts w:ascii="Verdana" w:eastAsia="Times New Roman" w:hAnsi="Verdana" w:cs="Arial"/>
          <w:color w:val="000000"/>
          <w:bdr w:val="none" w:sz="0" w:space="0" w:color="auto" w:frame="1"/>
          <w:shd w:val="clear" w:color="auto" w:fill="FFFFFF"/>
          <w:lang w:val="es-ES" w:eastAsia="es-ES"/>
        </w:rPr>
        <w:t>ii</w:t>
      </w:r>
      <w:proofErr w:type="spellEnd"/>
      <w:r w:rsidRPr="006B17A7">
        <w:rPr>
          <w:rFonts w:ascii="Verdana" w:eastAsia="Times New Roman" w:hAnsi="Verdana" w:cs="Arial"/>
          <w:color w:val="000000"/>
          <w:bdr w:val="none" w:sz="0" w:space="0" w:color="auto" w:frame="1"/>
          <w:shd w:val="clear" w:color="auto" w:fill="FFFFFF"/>
          <w:lang w:val="es-ES" w:eastAsia="es-ES"/>
        </w:rPr>
        <w:t xml:space="preserve">) unilateral y </w:t>
      </w:r>
      <w:proofErr w:type="spellStart"/>
      <w:r w:rsidRPr="006B17A7">
        <w:rPr>
          <w:rFonts w:ascii="Verdana" w:eastAsia="Times New Roman" w:hAnsi="Verdana" w:cs="Arial"/>
          <w:color w:val="000000"/>
          <w:bdr w:val="none" w:sz="0" w:space="0" w:color="auto" w:frame="1"/>
          <w:shd w:val="clear" w:color="auto" w:fill="FFFFFF"/>
          <w:lang w:val="es-ES" w:eastAsia="es-ES"/>
        </w:rPr>
        <w:t>iii</w:t>
      </w:r>
      <w:proofErr w:type="spellEnd"/>
      <w:r w:rsidRPr="006B17A7">
        <w:rPr>
          <w:rFonts w:ascii="Verdana" w:eastAsia="Times New Roman" w:hAnsi="Verdana" w:cs="Arial"/>
          <w:color w:val="000000"/>
          <w:bdr w:val="none" w:sz="0" w:space="0" w:color="auto" w:frame="1"/>
          <w:shd w:val="clear" w:color="auto" w:fill="FFFFFF"/>
          <w:lang w:val="es-ES" w:eastAsia="es-ES"/>
        </w:rPr>
        <w:t>) judicial. En términos generales, la primera, que puede ser total o parcial, debe hacerse en el término que estipulen las partes o, en su defecto, dentro del término supletivo de cuatro (4) meses. La segunda se debe practicar dentro de los dos (2) meses siguientes al vencimiento del término que acuerden las partes, o ante el silencio de estas, luego de los cuatro (4) meses para realizar la liquidación bilateral, sin que esta se efectúe. Finalmente, la tercera la realiza la Jurisdicción de lo Contencioso Administrativo o un tribunal de arbitramento dentro de un proceso judicial de controversias contractuales, y puede darse con ocasión de una demanda del interesado solicitando dicha liquidación. Para ello, existe un plazo máximo de dos (2) años contados a partir de los dos meses establecidos en la Ley para realizar la liquidación unilateral.</w:t>
      </w:r>
    </w:p>
    <w:p w14:paraId="36A5E3E5" w14:textId="77777777" w:rsidR="00044645" w:rsidRPr="006B17A7" w:rsidRDefault="00044645" w:rsidP="00044645">
      <w:pPr>
        <w:spacing w:after="0" w:line="276" w:lineRule="auto"/>
        <w:ind w:firstLine="708"/>
        <w:jc w:val="both"/>
        <w:rPr>
          <w:rFonts w:ascii="Verdana" w:eastAsia="Times New Roman" w:hAnsi="Verdana" w:cs="Arial"/>
          <w:color w:val="000000"/>
          <w:lang w:eastAsia="es-CO"/>
        </w:rPr>
      </w:pPr>
      <w:r w:rsidRPr="006B17A7">
        <w:rPr>
          <w:rFonts w:ascii="Verdana" w:eastAsia="Times New Roman" w:hAnsi="Verdana" w:cs="Arial"/>
          <w:color w:val="000000"/>
          <w:lang w:eastAsia="es-CO"/>
        </w:rPr>
        <w:t xml:space="preserve">Así las cosas, posterior a los términos referenciados en el párrafo precedente sin que se hubiese liquidado el contrato, ésta no podrá adelantarse dado que los plazos referidos son perentorios. Esto significa que con su vencimiento fenece la oportunidad de efectuarla ante la pérdida de competencia de la entidad para realizar el balance final del acuerdo de voluntades pactado. </w:t>
      </w:r>
      <w:r w:rsidRPr="006B17A7">
        <w:rPr>
          <w:rFonts w:ascii="Verdana" w:eastAsia="Times New Roman" w:hAnsi="Verdana" w:cs="Arial"/>
          <w:color w:val="000000"/>
          <w:lang w:eastAsia="es-CO"/>
        </w:rPr>
        <w:lastRenderedPageBreak/>
        <w:t>Esta Subdirección, en el Concepto 4201913000006142 de 7 de octubre de 2019, señaló que con la caducidad del medio de control de controversias contractuales las entidades pierden la competencia para liquidar el contrato, ya que el fenómeno procesal constituía la preclusión de la oportunidad para reclamar las sumas de dinero adeudadas por las partes. Asimismo, la doctrina señala que:</w:t>
      </w:r>
    </w:p>
    <w:p w14:paraId="15248D21" w14:textId="77777777" w:rsidR="00044645" w:rsidRPr="006B17A7" w:rsidRDefault="00044645" w:rsidP="00044645">
      <w:pPr>
        <w:spacing w:after="0" w:line="276" w:lineRule="auto"/>
        <w:jc w:val="both"/>
        <w:rPr>
          <w:rFonts w:ascii="Verdana" w:eastAsia="Times New Roman" w:hAnsi="Verdana" w:cs="Arial"/>
          <w:color w:val="000000"/>
          <w:lang w:eastAsia="es-CO"/>
        </w:rPr>
      </w:pPr>
    </w:p>
    <w:p w14:paraId="3646E2A9" w14:textId="77777777" w:rsidR="00044645" w:rsidRPr="006B17A7" w:rsidRDefault="00044645" w:rsidP="00044645">
      <w:pPr>
        <w:spacing w:after="0" w:line="240" w:lineRule="auto"/>
        <w:ind w:left="709" w:right="709"/>
        <w:jc w:val="both"/>
        <w:rPr>
          <w:rFonts w:ascii="Verdana" w:eastAsia="Times New Roman" w:hAnsi="Verdana" w:cs="Arial"/>
          <w:color w:val="000000"/>
          <w:sz w:val="20"/>
          <w:szCs w:val="20"/>
          <w:lang w:eastAsia="es-CO"/>
        </w:rPr>
      </w:pPr>
      <w:r w:rsidRPr="006B17A7">
        <w:rPr>
          <w:rFonts w:ascii="Verdana" w:eastAsia="Times New Roman" w:hAnsi="Verdana" w:cs="Arial"/>
          <w:color w:val="000000"/>
          <w:sz w:val="20"/>
          <w:szCs w:val="20"/>
          <w:lang w:eastAsia="es-CO"/>
        </w:rPr>
        <w:t>“Suele argüirse, en la práctica, que es factible efectuar la liquidación del contrato, así haya operado la caducidad de la acción, con base en la existencia de una obligación natural, que fundamentaría pagarle al contratista lo que se le debe. Sin embargo, se trata de una posición equivocada, pues si bien el artículo 1527 del Código Civil establece que las obligaciones naturales son ‘las que no confieren derecho para exigir su cumplimiento, pero que cumplidas autorizan para retener lo que se ha dado o pagado, en razón de ellas’, los servidores públicos no puede reconocer acreencias inexigibles, sino cuentan con la competencia expresa para hacerlo, pues estaría desbordando el marco de sus atribuciones constitucionales, legales y reglamentarias. Además, del concepto mismo de obligación natural no se deduce la consagración de la competencia para liquidar el contrato estatal, luego de expirado el término de caducidad del medio de control de controversias contractuales”</w:t>
      </w:r>
      <w:r w:rsidRPr="006B17A7">
        <w:rPr>
          <w:rFonts w:ascii="Verdana" w:eastAsia="Times New Roman" w:hAnsi="Verdana" w:cs="Arial"/>
          <w:color w:val="000000"/>
          <w:sz w:val="20"/>
          <w:szCs w:val="20"/>
          <w:vertAlign w:val="superscript"/>
          <w:lang w:eastAsia="es-CO"/>
        </w:rPr>
        <w:footnoteReference w:id="8"/>
      </w:r>
      <w:r w:rsidRPr="006B17A7">
        <w:rPr>
          <w:rFonts w:ascii="Verdana" w:eastAsia="Times New Roman" w:hAnsi="Verdana" w:cs="Arial"/>
          <w:color w:val="000000"/>
          <w:sz w:val="20"/>
          <w:szCs w:val="20"/>
          <w:lang w:eastAsia="es-CO"/>
        </w:rPr>
        <w:t xml:space="preserve">.   </w:t>
      </w:r>
    </w:p>
    <w:p w14:paraId="587245A9" w14:textId="77777777" w:rsidR="00044645" w:rsidRPr="006B17A7" w:rsidRDefault="00044645" w:rsidP="00044645">
      <w:pPr>
        <w:tabs>
          <w:tab w:val="left" w:pos="709"/>
        </w:tabs>
        <w:spacing w:after="0" w:line="276" w:lineRule="auto"/>
        <w:jc w:val="both"/>
        <w:rPr>
          <w:rFonts w:ascii="Verdana" w:eastAsia="Times New Roman" w:hAnsi="Verdana" w:cs="Arial"/>
          <w:color w:val="000000"/>
          <w:bdr w:val="none" w:sz="0" w:space="0" w:color="auto" w:frame="1"/>
          <w:shd w:val="clear" w:color="auto" w:fill="FFFFFF"/>
          <w:lang w:eastAsia="es-ES_tradnl"/>
        </w:rPr>
      </w:pPr>
    </w:p>
    <w:p w14:paraId="32E73D30" w14:textId="77777777" w:rsidR="00044645" w:rsidRDefault="00044645" w:rsidP="00044645">
      <w:pPr>
        <w:tabs>
          <w:tab w:val="left" w:pos="709"/>
        </w:tabs>
        <w:spacing w:after="0" w:line="276" w:lineRule="auto"/>
        <w:jc w:val="both"/>
        <w:rPr>
          <w:rFonts w:ascii="Verdana" w:eastAsia="Calibri" w:hAnsi="Verdana" w:cs="Arial"/>
          <w:color w:val="000000"/>
          <w:lang w:val="es-ES" w:eastAsia="es-ES"/>
        </w:rPr>
      </w:pPr>
      <w:r>
        <w:rPr>
          <w:rFonts w:ascii="Verdana" w:eastAsia="Calibri" w:hAnsi="Verdana" w:cs="Arial"/>
          <w:color w:val="000000"/>
          <w:lang w:val="es-ES" w:eastAsia="es-ES"/>
        </w:rPr>
        <w:tab/>
      </w:r>
      <w:r w:rsidRPr="006B17A7">
        <w:rPr>
          <w:rFonts w:ascii="Verdana" w:eastAsia="Calibri" w:hAnsi="Verdana" w:cs="Arial"/>
          <w:color w:val="000000"/>
          <w:lang w:val="es-ES" w:eastAsia="es-ES"/>
        </w:rPr>
        <w:t xml:space="preserve">En consecuencia, dentro de los límites previstos en el literal j) del artículo 164.2 de la Ley 1437 de 2011, es posible liquidar bilateral o unilateralmente siempre que no haya caducado medio de control de controversias contractuales. Lo anterior, aunque haya pasado el término previsto en los documentos del proceso o el supletivo de cuatro (4) meses –tratándose de la liquidación bilateral–, así como el plazo de dos (2) meses –tratándose de la liquidación unilateral–. Cualquier liquidación efectuada después de la caducidad del medio de control implica la pérdida de competencia temporal, por lo que está viciada de nulidad. </w:t>
      </w:r>
    </w:p>
    <w:p w14:paraId="6C231747" w14:textId="77777777" w:rsidR="00044645" w:rsidRDefault="00044645" w:rsidP="00044645">
      <w:pPr>
        <w:tabs>
          <w:tab w:val="left" w:pos="709"/>
        </w:tabs>
        <w:spacing w:before="120" w:after="0" w:line="276" w:lineRule="auto"/>
        <w:jc w:val="both"/>
        <w:rPr>
          <w:rFonts w:ascii="Verdana" w:eastAsia="Calibri" w:hAnsi="Verdana" w:cs="Arial"/>
          <w:color w:val="000000"/>
          <w:lang w:val="es-ES" w:eastAsia="es-ES"/>
        </w:rPr>
      </w:pPr>
      <w:r>
        <w:rPr>
          <w:rFonts w:ascii="Verdana" w:eastAsia="Calibri" w:hAnsi="Verdana" w:cs="Arial"/>
          <w:color w:val="000000"/>
          <w:lang w:val="es-ES" w:eastAsia="es-ES"/>
        </w:rPr>
        <w:tab/>
        <w:t xml:space="preserve">En esta medida, y dada la naturaleza legal de los términos para realizar la liquidación de un contrato estatal, resulta a bien aclarar que el cómputo de estos inicia una vez se ha cumplido el plazo de ejecución del contrato, esto, independientemente del cumplimiento integral o no de las prestaciones debidas. De hecho, la ejecución tardía de algunas de las obligaciones a cargo del contratista no trae consigo la ampliación de los plazos establecidos en el </w:t>
      </w:r>
      <w:r>
        <w:rPr>
          <w:rFonts w:ascii="Verdana" w:eastAsia="Calibri" w:hAnsi="Verdana" w:cs="Arial"/>
          <w:color w:val="000000"/>
          <w:lang w:val="es-ES" w:eastAsia="es-ES"/>
        </w:rPr>
        <w:lastRenderedPageBreak/>
        <w:t xml:space="preserve">ordenamiento jurídico para realizar la liquidación del contrato </w:t>
      </w:r>
      <w:r w:rsidRPr="00D910BA">
        <w:rPr>
          <w:rFonts w:ascii="Verdana" w:eastAsia="Calibri" w:hAnsi="Verdana" w:cs="Arial"/>
          <w:color w:val="000000"/>
          <w:lang w:val="es-ES" w:eastAsia="es-ES"/>
        </w:rPr>
        <w:t>correspondiente</w:t>
      </w:r>
      <w:r w:rsidRPr="00D910BA">
        <w:rPr>
          <w:rStyle w:val="Refdenotaalpie"/>
          <w:rFonts w:ascii="Verdana" w:hAnsi="Verdana" w:cs="Arial"/>
          <w:lang w:val="es-ES"/>
        </w:rPr>
        <w:footnoteReference w:id="9"/>
      </w:r>
      <w:r w:rsidRPr="00D910BA">
        <w:rPr>
          <w:rFonts w:ascii="Verdana" w:hAnsi="Verdana" w:cs="Arial"/>
          <w:lang w:val="es-ES"/>
        </w:rPr>
        <w:t>.</w:t>
      </w:r>
      <w:r>
        <w:rPr>
          <w:rFonts w:ascii="Verdana" w:hAnsi="Verdana" w:cs="Arial"/>
          <w:lang w:val="es-ES"/>
        </w:rPr>
        <w:t xml:space="preserve"> Por ejemplo, terminado el plazo de ejecución del contrato, si la Entidad Estatal expide el acta de terminación con actividades pendientes a cargo del contratista, </w:t>
      </w:r>
      <w:proofErr w:type="spellStart"/>
      <w:r>
        <w:rPr>
          <w:rFonts w:ascii="Verdana" w:hAnsi="Verdana" w:cs="Arial"/>
          <w:lang w:val="es-ES"/>
        </w:rPr>
        <w:t>aún</w:t>
      </w:r>
      <w:proofErr w:type="spellEnd"/>
      <w:r>
        <w:rPr>
          <w:rFonts w:ascii="Verdana" w:hAnsi="Verdana" w:cs="Arial"/>
          <w:lang w:val="es-ES"/>
        </w:rPr>
        <w:t xml:space="preserve"> así, el contrato se encuentra en estado de liquidación, esto, conforme a lo dispuesto en el artículo 11 de la Ley 1150 de 2007.</w:t>
      </w:r>
    </w:p>
    <w:p w14:paraId="1940EB84" w14:textId="77777777" w:rsidR="00044645" w:rsidRDefault="00044645" w:rsidP="00044645">
      <w:pPr>
        <w:tabs>
          <w:tab w:val="left" w:pos="709"/>
        </w:tabs>
        <w:spacing w:before="120" w:after="0" w:line="276" w:lineRule="auto"/>
        <w:jc w:val="both"/>
        <w:rPr>
          <w:rFonts w:ascii="Verdana" w:eastAsia="Calibri" w:hAnsi="Verdana" w:cs="Arial"/>
          <w:color w:val="000000"/>
          <w:lang w:val="es-ES" w:eastAsia="es-ES"/>
        </w:rPr>
      </w:pPr>
      <w:r>
        <w:rPr>
          <w:rFonts w:ascii="Verdana" w:eastAsia="Calibri" w:hAnsi="Verdana" w:cs="Arial"/>
          <w:color w:val="000000"/>
          <w:lang w:val="es-ES" w:eastAsia="es-ES"/>
        </w:rPr>
        <w:tab/>
        <w:t>Adicionalmente se aclara que, el “</w:t>
      </w:r>
      <w:r w:rsidRPr="00B40C5A">
        <w:rPr>
          <w:rFonts w:ascii="Verdana" w:eastAsia="Calibri" w:hAnsi="Verdana" w:cs="Arial"/>
          <w:i/>
          <w:iCs/>
          <w:color w:val="000000"/>
          <w:lang w:val="es-ES" w:eastAsia="es-ES"/>
        </w:rPr>
        <w:t>acta de liquidación</w:t>
      </w:r>
      <w:r>
        <w:rPr>
          <w:rFonts w:ascii="Verdana" w:eastAsia="Calibri" w:hAnsi="Verdana" w:cs="Arial"/>
          <w:color w:val="000000"/>
          <w:lang w:val="es-ES" w:eastAsia="es-ES"/>
        </w:rPr>
        <w:t>” y “</w:t>
      </w:r>
      <w:r w:rsidRPr="00B40C5A">
        <w:rPr>
          <w:rFonts w:ascii="Verdana" w:eastAsia="Calibri" w:hAnsi="Verdana" w:cs="Arial"/>
          <w:i/>
          <w:iCs/>
          <w:color w:val="000000"/>
          <w:lang w:val="es-ES" w:eastAsia="es-ES"/>
        </w:rPr>
        <w:t>acta de terminación</w:t>
      </w:r>
      <w:r>
        <w:rPr>
          <w:rFonts w:ascii="Verdana" w:eastAsia="Calibri" w:hAnsi="Verdana" w:cs="Arial"/>
          <w:color w:val="000000"/>
          <w:lang w:val="es-ES" w:eastAsia="es-ES"/>
        </w:rPr>
        <w:t>”, no resultan sinónimos en la contratación estatal, puesto que, la primera se refiere propiamente a la liquidación del contrato en los términos del artículo 60 de la Ley 80 de 1993 y el artículo 11 de la Ley 1150 de 2007, mientras que la segunda, hace alusión a un documento utilizado usualmente en contratos de tracto sucesivo, como constancia de la terminación del plazo de ejecución del contrato en el que pueden referenciarse las circunstancias de tiempo, modo y lugar respecto del desarrollo del contrato, sin que esta constituya la liquidación del contrato.</w:t>
      </w:r>
    </w:p>
    <w:p w14:paraId="6A97F002" w14:textId="77777777" w:rsidR="00044645" w:rsidRPr="0076470C" w:rsidRDefault="00044645" w:rsidP="00044645">
      <w:pPr>
        <w:tabs>
          <w:tab w:val="left" w:pos="709"/>
        </w:tabs>
        <w:spacing w:before="120" w:after="0" w:line="276" w:lineRule="auto"/>
        <w:jc w:val="both"/>
        <w:rPr>
          <w:rFonts w:ascii="Verdana" w:eastAsia="Calibri" w:hAnsi="Verdana" w:cs="Arial"/>
          <w:color w:val="000000"/>
          <w:lang w:val="es-ES" w:eastAsia="es-ES"/>
        </w:rPr>
      </w:pPr>
      <w:r>
        <w:rPr>
          <w:rFonts w:ascii="Verdana" w:eastAsia="Calibri" w:hAnsi="Verdana" w:cs="Arial"/>
        </w:rPr>
        <w:tab/>
      </w:r>
      <w:r w:rsidRPr="006B17A7">
        <w:rPr>
          <w:rFonts w:ascii="Verdana" w:eastAsia="Calibri" w:hAnsi="Verdana" w:cs="Arial"/>
        </w:rPr>
        <w:t xml:space="preserve">Finalmente debe advertirse que el análisis requerido para resolver problemas específicos a la liquidación de los contratos estatales, debe ser realizado por quienes tengan interés en ello.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de adoptar la decisión y, en caso de conflicto, a las autoridades judiciales, fiscales y disciplinarias. </w:t>
      </w:r>
    </w:p>
    <w:p w14:paraId="61DF5A63" w14:textId="77777777" w:rsidR="00044645" w:rsidRPr="006B17A7" w:rsidRDefault="00044645" w:rsidP="00044645">
      <w:pPr>
        <w:spacing w:before="120" w:after="0" w:line="276" w:lineRule="auto"/>
        <w:ind w:firstLine="708"/>
        <w:jc w:val="both"/>
        <w:rPr>
          <w:rFonts w:ascii="Verdana" w:eastAsia="Calibri" w:hAnsi="Verdana" w:cs="Arial"/>
        </w:rPr>
      </w:pPr>
      <w:r w:rsidRPr="006B17A7">
        <w:rPr>
          <w:rFonts w:ascii="Verdana" w:eastAsia="Calibri" w:hAnsi="Verdana" w:cs="Arial"/>
        </w:rPr>
        <w:t xml:space="preserve">Dentro de este marco, la entidad contratante definirá en cada caso concreto lo relacionado con el tema objeto de consulta. Al tratarse de un análisis que debe realizarse a un asunto particular y concreto, esta Agencia no puede </w:t>
      </w:r>
      <w:r w:rsidRPr="006B17A7">
        <w:rPr>
          <w:rFonts w:ascii="Verdana" w:eastAsia="Calibri" w:hAnsi="Verdana" w:cs="Arial"/>
        </w:rPr>
        <w:lastRenderedPageBreak/>
        <w:t xml:space="preserve">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  </w:t>
      </w:r>
    </w:p>
    <w:p w14:paraId="509B63C0" w14:textId="77777777" w:rsidR="00044645" w:rsidRPr="00720316" w:rsidRDefault="00044645" w:rsidP="00044645">
      <w:pPr>
        <w:spacing w:after="0" w:line="276" w:lineRule="auto"/>
        <w:ind w:firstLine="708"/>
        <w:jc w:val="both"/>
        <w:rPr>
          <w:rFonts w:ascii="Verdana" w:eastAsia="Calibri" w:hAnsi="Verdana" w:cs="Arial"/>
        </w:rPr>
      </w:pPr>
    </w:p>
    <w:p w14:paraId="744EAA24" w14:textId="77777777" w:rsidR="00044645" w:rsidRPr="00720316" w:rsidRDefault="00044645" w:rsidP="00044645">
      <w:pPr>
        <w:widowControl w:val="0"/>
        <w:autoSpaceDE w:val="0"/>
        <w:autoSpaceDN w:val="0"/>
        <w:spacing w:before="1" w:after="0" w:line="276" w:lineRule="auto"/>
        <w:outlineLvl w:val="0"/>
        <w:rPr>
          <w:rFonts w:ascii="Verdana" w:eastAsia="Arial" w:hAnsi="Verdana" w:cs="Arial"/>
          <w:b/>
          <w:bCs/>
          <w:lang w:val="es-ES"/>
        </w:rPr>
      </w:pPr>
      <w:r w:rsidRPr="00720316">
        <w:rPr>
          <w:rFonts w:ascii="Verdana" w:eastAsia="Arial" w:hAnsi="Verdana" w:cs="Arial"/>
          <w:b/>
          <w:bCs/>
          <w:lang w:val="es-ES"/>
        </w:rPr>
        <w:t>4. Referencias normativas, jurisprudenciales y otras fuentes:</w:t>
      </w:r>
    </w:p>
    <w:p w14:paraId="08E22EC7" w14:textId="77777777" w:rsidR="00044645" w:rsidRPr="00720316" w:rsidRDefault="00044645" w:rsidP="00044645">
      <w:pPr>
        <w:widowControl w:val="0"/>
        <w:autoSpaceDE w:val="0"/>
        <w:autoSpaceDN w:val="0"/>
        <w:spacing w:after="0" w:line="276" w:lineRule="auto"/>
        <w:jc w:val="both"/>
        <w:rPr>
          <w:rFonts w:ascii="Verdana" w:eastAsia="Aptos"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044645" w:rsidRPr="00720316" w14:paraId="57D0EAED" w14:textId="77777777" w:rsidTr="007D2F57">
        <w:trPr>
          <w:trHeight w:val="870"/>
        </w:trPr>
        <w:tc>
          <w:tcPr>
            <w:tcW w:w="8647" w:type="dxa"/>
          </w:tcPr>
          <w:p w14:paraId="682939F8" w14:textId="77777777" w:rsidR="00044645" w:rsidRPr="00720316" w:rsidRDefault="00044645" w:rsidP="00044645">
            <w:pPr>
              <w:widowControl w:val="0"/>
              <w:numPr>
                <w:ilvl w:val="0"/>
                <w:numId w:val="1"/>
              </w:numPr>
              <w:autoSpaceDE w:val="0"/>
              <w:autoSpaceDN w:val="0"/>
              <w:spacing w:after="120" w:line="276" w:lineRule="auto"/>
              <w:contextualSpacing/>
              <w:jc w:val="both"/>
              <w:rPr>
                <w:rFonts w:ascii="Verdana" w:eastAsia="Aptos" w:hAnsi="Verdana" w:cs="Arial"/>
              </w:rPr>
            </w:pPr>
            <w:r w:rsidRPr="00720316">
              <w:rPr>
                <w:rFonts w:ascii="Verdana" w:eastAsia="Calibri" w:hAnsi="Verdana" w:cs="Arial"/>
                <w:lang w:val="es-ES"/>
              </w:rPr>
              <w:t>Ley 80 de 1993. Artículo 60.</w:t>
            </w:r>
          </w:p>
          <w:p w14:paraId="10A1C958" w14:textId="77777777" w:rsidR="00044645" w:rsidRPr="00720316" w:rsidRDefault="00044645" w:rsidP="00044645">
            <w:pPr>
              <w:widowControl w:val="0"/>
              <w:numPr>
                <w:ilvl w:val="0"/>
                <w:numId w:val="1"/>
              </w:numPr>
              <w:autoSpaceDE w:val="0"/>
              <w:autoSpaceDN w:val="0"/>
              <w:spacing w:line="276" w:lineRule="auto"/>
              <w:contextualSpacing/>
              <w:jc w:val="both"/>
              <w:rPr>
                <w:rFonts w:ascii="Verdana" w:eastAsia="Aptos" w:hAnsi="Verdana" w:cs="Arial"/>
              </w:rPr>
            </w:pPr>
            <w:r w:rsidRPr="00720316">
              <w:rPr>
                <w:rFonts w:ascii="Verdana" w:eastAsia="Calibri" w:hAnsi="Verdana" w:cs="Arial"/>
                <w:lang w:val="es-ES"/>
              </w:rPr>
              <w:t>Ley 1150 de 2007. Artículo 11</w:t>
            </w:r>
          </w:p>
          <w:p w14:paraId="29B5FE2D" w14:textId="77777777" w:rsidR="00044645" w:rsidRPr="00720316" w:rsidRDefault="00044645" w:rsidP="00044645">
            <w:pPr>
              <w:widowControl w:val="0"/>
              <w:numPr>
                <w:ilvl w:val="0"/>
                <w:numId w:val="1"/>
              </w:numPr>
              <w:autoSpaceDE w:val="0"/>
              <w:autoSpaceDN w:val="0"/>
              <w:spacing w:line="276" w:lineRule="auto"/>
              <w:contextualSpacing/>
              <w:jc w:val="both"/>
              <w:rPr>
                <w:rFonts w:ascii="Verdana" w:eastAsia="Aptos" w:hAnsi="Verdana" w:cs="Arial"/>
              </w:rPr>
            </w:pPr>
            <w:r w:rsidRPr="00720316">
              <w:rPr>
                <w:rFonts w:ascii="Verdana" w:eastAsia="Aptos" w:hAnsi="Verdana" w:cs="Arial"/>
              </w:rPr>
              <w:t>Decreto 19 de 2012. Artículo 217</w:t>
            </w:r>
          </w:p>
          <w:p w14:paraId="45E4C995" w14:textId="77777777" w:rsidR="00044645" w:rsidRPr="00720316" w:rsidRDefault="00044645" w:rsidP="00044645">
            <w:pPr>
              <w:widowControl w:val="0"/>
              <w:numPr>
                <w:ilvl w:val="0"/>
                <w:numId w:val="1"/>
              </w:numPr>
              <w:autoSpaceDE w:val="0"/>
              <w:autoSpaceDN w:val="0"/>
              <w:spacing w:line="276" w:lineRule="auto"/>
              <w:contextualSpacing/>
              <w:jc w:val="both"/>
              <w:rPr>
                <w:rFonts w:ascii="Verdana" w:eastAsia="Aptos" w:hAnsi="Verdana" w:cs="Arial"/>
              </w:rPr>
            </w:pPr>
            <w:r w:rsidRPr="00720316">
              <w:rPr>
                <w:rFonts w:ascii="Verdana" w:eastAsia="Aptos" w:hAnsi="Verdana" w:cs="Arial"/>
              </w:rPr>
              <w:t xml:space="preserve">Guía para la Liquidación de los Procesos de Contratación. Disponible </w:t>
            </w:r>
            <w:hyperlink r:id="rId12" w:history="1">
              <w:r w:rsidRPr="00720316">
                <w:rPr>
                  <w:rFonts w:ascii="Verdana" w:eastAsia="Aptos" w:hAnsi="Verdana" w:cs="Arial"/>
                  <w:color w:val="467886"/>
                  <w:u w:val="single"/>
                </w:rPr>
                <w:t>aquí</w:t>
              </w:r>
            </w:hyperlink>
          </w:p>
          <w:p w14:paraId="75162CAC" w14:textId="77777777" w:rsidR="00044645" w:rsidRPr="00720316" w:rsidRDefault="00044645" w:rsidP="00044645">
            <w:pPr>
              <w:widowControl w:val="0"/>
              <w:numPr>
                <w:ilvl w:val="0"/>
                <w:numId w:val="1"/>
              </w:numPr>
              <w:autoSpaceDE w:val="0"/>
              <w:autoSpaceDN w:val="0"/>
              <w:spacing w:line="276" w:lineRule="auto"/>
              <w:contextualSpacing/>
              <w:jc w:val="both"/>
              <w:rPr>
                <w:rFonts w:ascii="Verdana" w:eastAsia="Aptos" w:hAnsi="Verdana" w:cs="Arial"/>
              </w:rPr>
            </w:pPr>
            <w:r w:rsidRPr="00720316">
              <w:rPr>
                <w:rFonts w:ascii="Verdana" w:eastAsia="Aptos" w:hAnsi="Verdana" w:cs="Arial"/>
              </w:rPr>
              <w:t>DÍAZ DÍEZ, Cristian Andrés. La liquidación. Serie: Las Cláusulas del Contrato Estatal. Medellín: Librería Jurídica Sánchez y Centro de Estudios de Derecho Administrativo –CEDA–, 2013. pp. 53-54.</w:t>
            </w:r>
          </w:p>
          <w:p w14:paraId="6EBCB0A0" w14:textId="77777777" w:rsidR="00044645" w:rsidRPr="00720316" w:rsidRDefault="00044645" w:rsidP="00044645">
            <w:pPr>
              <w:widowControl w:val="0"/>
              <w:numPr>
                <w:ilvl w:val="0"/>
                <w:numId w:val="1"/>
              </w:numPr>
              <w:autoSpaceDE w:val="0"/>
              <w:autoSpaceDN w:val="0"/>
              <w:spacing w:line="276" w:lineRule="auto"/>
              <w:contextualSpacing/>
              <w:jc w:val="both"/>
              <w:rPr>
                <w:rFonts w:ascii="Verdana" w:eastAsia="Aptos" w:hAnsi="Verdana" w:cs="Arial"/>
              </w:rPr>
            </w:pPr>
            <w:r w:rsidRPr="00720316">
              <w:rPr>
                <w:rFonts w:ascii="Verdana" w:eastAsia="Aptos" w:hAnsi="Verdana" w:cs="Arial"/>
              </w:rPr>
              <w:t xml:space="preserve">Consejo de Estado. Sección Tercera. Subsección C. 20 de octubre de 2014, M.P: Enrique Gil Botero. </w:t>
            </w:r>
            <w:proofErr w:type="spellStart"/>
            <w:r w:rsidRPr="00720316">
              <w:rPr>
                <w:rFonts w:ascii="Verdana" w:eastAsia="Aptos" w:hAnsi="Verdana" w:cs="Arial"/>
              </w:rPr>
              <w:t>Exp</w:t>
            </w:r>
            <w:proofErr w:type="spellEnd"/>
            <w:r w:rsidRPr="00720316">
              <w:rPr>
                <w:rFonts w:ascii="Verdana" w:eastAsia="Aptos" w:hAnsi="Verdana" w:cs="Arial"/>
              </w:rPr>
              <w:t>. 27.777.</w:t>
            </w:r>
          </w:p>
        </w:tc>
      </w:tr>
    </w:tbl>
    <w:p w14:paraId="04D1693B" w14:textId="77777777" w:rsidR="00044645" w:rsidRPr="00720316" w:rsidRDefault="00044645" w:rsidP="00044645">
      <w:pPr>
        <w:widowControl w:val="0"/>
        <w:autoSpaceDE w:val="0"/>
        <w:autoSpaceDN w:val="0"/>
        <w:spacing w:after="0" w:line="276" w:lineRule="auto"/>
        <w:jc w:val="both"/>
        <w:rPr>
          <w:rFonts w:ascii="Verdana" w:eastAsia="Aptos" w:hAnsi="Verdana" w:cs="Arial"/>
        </w:rPr>
      </w:pPr>
    </w:p>
    <w:p w14:paraId="70BEBBD2" w14:textId="77777777" w:rsidR="00044645" w:rsidRPr="00720316" w:rsidRDefault="00044645" w:rsidP="00044645">
      <w:pPr>
        <w:widowControl w:val="0"/>
        <w:autoSpaceDE w:val="0"/>
        <w:autoSpaceDN w:val="0"/>
        <w:spacing w:before="1" w:after="0" w:line="276" w:lineRule="auto"/>
        <w:outlineLvl w:val="0"/>
        <w:rPr>
          <w:rFonts w:ascii="Verdana" w:eastAsia="Arial" w:hAnsi="Verdana" w:cs="Arial"/>
          <w:b/>
          <w:bCs/>
          <w:lang w:val="es-ES"/>
        </w:rPr>
      </w:pPr>
      <w:r w:rsidRPr="00720316">
        <w:rPr>
          <w:rFonts w:ascii="Verdana" w:eastAsia="Arial" w:hAnsi="Verdana" w:cs="Arial"/>
          <w:b/>
          <w:bCs/>
          <w:lang w:val="es-ES"/>
        </w:rPr>
        <w:t>5. Doctrina de la Agencia Nacional de Contratación Pública:</w:t>
      </w:r>
    </w:p>
    <w:p w14:paraId="60385AC0" w14:textId="77777777" w:rsidR="00044645" w:rsidRPr="00720316" w:rsidRDefault="00044645" w:rsidP="00044645">
      <w:pPr>
        <w:widowControl w:val="0"/>
        <w:autoSpaceDE w:val="0"/>
        <w:autoSpaceDN w:val="0"/>
        <w:spacing w:after="0" w:line="276" w:lineRule="auto"/>
        <w:jc w:val="both"/>
        <w:rPr>
          <w:rFonts w:ascii="Verdana" w:eastAsia="Aptos" w:hAnsi="Verdana" w:cs="Arial"/>
        </w:rPr>
      </w:pPr>
    </w:p>
    <w:p w14:paraId="6CFE7481" w14:textId="77777777" w:rsidR="00044645" w:rsidRPr="00720316" w:rsidRDefault="00044645" w:rsidP="00044645">
      <w:pPr>
        <w:widowControl w:val="0"/>
        <w:autoSpaceDE w:val="0"/>
        <w:autoSpaceDN w:val="0"/>
        <w:spacing w:after="0" w:line="276" w:lineRule="auto"/>
        <w:jc w:val="both"/>
        <w:rPr>
          <w:rFonts w:ascii="Verdana" w:eastAsia="Aptos" w:hAnsi="Verdana" w:cs="Arial"/>
          <w:shd w:val="clear" w:color="auto" w:fill="FFFFFF"/>
          <w:lang w:val="es-ES"/>
        </w:rPr>
      </w:pPr>
      <w:r w:rsidRPr="00720316">
        <w:rPr>
          <w:rFonts w:ascii="Verdana" w:eastAsia="Aptos" w:hAnsi="Verdana" w:cs="Arial"/>
          <w:shd w:val="clear" w:color="auto" w:fill="FFFFFF"/>
          <w:lang w:val="es-ES"/>
        </w:rPr>
        <w:t xml:space="preserve">Sobre la liquidación de los contratos estatales, esta Subdirección se ha referido en los Conceptos C-416 de 06 de septiembre de 2024, C-442 del 10 de septiembre de 2024, C- 407 del 11 de septiembre de 2024, C-414 del 11 de septiembre de 2024, C-559 del 11 de septiembre de 2024, C-425 del 13 de septiembre de 2024, C-446 del 18 de septiembre de 2024, C-458 del 20 de septiembre de 2024, C-968 del 16 de diciembre de 2024, C-1865 del 01 de diciembre de 2025, C-1818 del 13 de enero de 2026, C-373 del 05 de abril de 2026, entre otros. 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3" w:history="1">
        <w:r w:rsidRPr="00720316">
          <w:rPr>
            <w:rFonts w:ascii="Verdana" w:eastAsia="Aptos" w:hAnsi="Verdana" w:cs="Arial"/>
            <w:color w:val="467886"/>
            <w:u w:val="single"/>
            <w:shd w:val="clear" w:color="auto" w:fill="FFFFFF"/>
            <w:lang w:val="es-ES"/>
          </w:rPr>
          <w:t>https://relatoria.colombiacompra.gov.co/</w:t>
        </w:r>
      </w:hyperlink>
      <w:r w:rsidRPr="00720316">
        <w:rPr>
          <w:rFonts w:ascii="Verdana" w:eastAsia="Aptos" w:hAnsi="Verdana" w:cs="Arial"/>
          <w:shd w:val="clear" w:color="auto" w:fill="FFFFFF"/>
          <w:lang w:val="es-ES"/>
        </w:rPr>
        <w:t xml:space="preserve">. </w:t>
      </w:r>
    </w:p>
    <w:p w14:paraId="78C86342" w14:textId="77777777" w:rsidR="00044645" w:rsidRPr="00720316" w:rsidRDefault="00044645" w:rsidP="00044645">
      <w:pPr>
        <w:spacing w:before="120" w:after="0" w:line="276" w:lineRule="auto"/>
        <w:ind w:firstLine="708"/>
        <w:jc w:val="both"/>
        <w:rPr>
          <w:rFonts w:ascii="Verdana" w:eastAsia="Times New Roman" w:hAnsi="Verdana" w:cs="Times New Roman"/>
          <w:color w:val="000000"/>
          <w:lang w:eastAsia="es-CO"/>
        </w:rPr>
      </w:pPr>
      <w:r w:rsidRPr="00720316">
        <w:rPr>
          <w:rFonts w:ascii="Verdana" w:eastAsia="Times New Roman" w:hAnsi="Verdana" w:cs="Times New Roman"/>
          <w:color w:val="000000"/>
          <w:lang w:eastAsia="es-CO"/>
        </w:rPr>
        <w:lastRenderedPageBreak/>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720316">
        <w:rPr>
          <w:rFonts w:ascii="Verdana" w:eastAsia="Times New Roman" w:hAnsi="Verdana" w:cs="Times New Roman"/>
          <w:b/>
          <w:bCs/>
          <w:color w:val="000000"/>
          <w:lang w:eastAsia="es-CO"/>
        </w:rPr>
        <w:t>Guía para la Exigencia y Constitución de Garantías en los Procesos de Contratación</w:t>
      </w:r>
      <w:r w:rsidRPr="00720316">
        <w:rPr>
          <w:rFonts w:ascii="Verdana" w:eastAsia="Times New Roman" w:hAnsi="Verdana" w:cs="Times New Roman"/>
          <w:color w:val="000000"/>
          <w:lang w:eastAsia="es-CO"/>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4" w:tgtFrame="_blank" w:tooltip="Dirección URL original: https://www.colombiacompra.gov.co/archivos/manual/guia-de-garantias-en-procesos-de-contratacion. Haga clic o pulse si confía en este vínculo." w:history="1">
        <w:r w:rsidRPr="00720316">
          <w:rPr>
            <w:rStyle w:val="Hipervnculo"/>
            <w:rFonts w:ascii="Verdana" w:eastAsia="Times New Roman" w:hAnsi="Verdana" w:cs="Times New Roman"/>
            <w:lang w:eastAsia="es-CO"/>
          </w:rPr>
          <w:t>https://www.colombiacompra.gov.co/archivos/manual/guia-de-garantias-en-procesos-de-contratacion</w:t>
        </w:r>
      </w:hyperlink>
    </w:p>
    <w:p w14:paraId="3A94D87B" w14:textId="77777777" w:rsidR="00044645" w:rsidRPr="00720316" w:rsidRDefault="00044645" w:rsidP="00044645">
      <w:pPr>
        <w:spacing w:before="120" w:after="0" w:line="276" w:lineRule="auto"/>
        <w:ind w:firstLine="708"/>
        <w:jc w:val="both"/>
        <w:rPr>
          <w:rFonts w:ascii="Verdana" w:eastAsia="Times New Roman" w:hAnsi="Verdana" w:cs="Times New Roman"/>
          <w:color w:val="000000"/>
          <w:lang w:eastAsia="es-CO"/>
        </w:rPr>
      </w:pPr>
      <w:r w:rsidRPr="00720316">
        <w:rPr>
          <w:rFonts w:ascii="Verdana" w:eastAsia="Times New Roman" w:hAnsi="Verdana" w:cs="Times New Roman"/>
          <w:color w:val="000000"/>
          <w:lang w:eastAsia="es-CO"/>
        </w:rPr>
        <w:t>De otro lado, te contamos que el Decreto 287 del 19 de marzo de 2026 sustituyó los artículos 2.2.1.2.4.2.6., 2.2.1.2.4.2.7. y 2.2.1.2.4.2.8. del Decreto 1082 de 2015 y estructuró el </w:t>
      </w:r>
      <w:r w:rsidRPr="00720316">
        <w:rPr>
          <w:rFonts w:ascii="Verdana" w:eastAsia="Times New Roman" w:hAnsi="Verdana" w:cs="Times New Roman"/>
          <w:b/>
          <w:bCs/>
          <w:color w:val="000000"/>
          <w:lang w:eastAsia="es-CO"/>
        </w:rPr>
        <w:t>Sistema Integral de Preferencias en favor de las personas con discapacidad</w:t>
      </w:r>
      <w:r w:rsidRPr="00720316">
        <w:rPr>
          <w:rFonts w:ascii="Verdana" w:eastAsia="Times New Roman" w:hAnsi="Verdana" w:cs="Times New Roman"/>
          <w:color w:val="000000"/>
          <w:lang w:eastAsia="es-CO"/>
        </w:rPr>
        <w:t>, en cumplimiento del artículo 13 de la Ley Estatutaria 1618 de 2013. Para orientar su aplicación, esta Agencia expidió la </w:t>
      </w:r>
      <w:r w:rsidRPr="00720316">
        <w:rPr>
          <w:rFonts w:ascii="Verdana" w:eastAsia="Times New Roman" w:hAnsi="Verdana" w:cs="Times New Roman"/>
          <w:b/>
          <w:bCs/>
          <w:color w:val="000000"/>
          <w:lang w:eastAsia="es-CO"/>
        </w:rPr>
        <w:t>Circular Externa 003 del 12 de mayo de 2026, </w:t>
      </w:r>
      <w:r w:rsidRPr="00720316">
        <w:rPr>
          <w:rFonts w:ascii="Verdana" w:eastAsia="Times New Roman" w:hAnsi="Verdana" w:cs="Times New Roman"/>
          <w:color w:val="000000"/>
          <w:lang w:eastAsia="es-CO"/>
        </w:rPr>
        <w:t>en la que precisa quiénes son los beneficiarios, las cinco medidas que integran el sistema y su obligatoriedad según la modalidad de selección, y el régimen de transición aplicable a los procesos en curso. Consúltala aquí: </w:t>
      </w:r>
      <w:hyperlink r:id="rId15" w:tgtFrame="_blank" w:tooltip="Dirección URL original: https://www.colombiacompra.gov.co/archivos/circular/circular-externa-003-de-2026. Haga clic o pulse si confía en este vínculo." w:history="1">
        <w:r w:rsidRPr="00720316">
          <w:rPr>
            <w:rStyle w:val="Hipervnculo"/>
            <w:rFonts w:ascii="Verdana" w:eastAsia="Times New Roman" w:hAnsi="Verdana" w:cs="Times New Roman"/>
            <w:lang w:eastAsia="es-CO"/>
          </w:rPr>
          <w:t>https://www.colombiacompra.gov.co/archivos/circular/circular-externa-003-de-2026</w:t>
        </w:r>
      </w:hyperlink>
    </w:p>
    <w:p w14:paraId="7B41CA1C" w14:textId="77777777" w:rsidR="00044645" w:rsidRPr="00720316" w:rsidRDefault="00044645" w:rsidP="00044645">
      <w:pPr>
        <w:spacing w:before="120" w:after="0" w:line="276" w:lineRule="auto"/>
        <w:ind w:firstLine="708"/>
        <w:jc w:val="both"/>
        <w:rPr>
          <w:rFonts w:ascii="Verdana" w:eastAsia="Times New Roman" w:hAnsi="Verdana" w:cs="Times New Roman"/>
          <w:color w:val="000000"/>
          <w:lang w:eastAsia="es-CO"/>
        </w:rPr>
      </w:pPr>
      <w:r w:rsidRPr="00720316">
        <w:rPr>
          <w:rFonts w:ascii="Verdana" w:eastAsia="Times New Roman" w:hAnsi="Verdana" w:cs="Times New Roman"/>
          <w:color w:val="000000"/>
          <w:lang w:eastAsia="es-CO"/>
        </w:rPr>
        <w:t>Recuerda también que la</w:t>
      </w:r>
      <w:r w:rsidRPr="00720316">
        <w:rPr>
          <w:rFonts w:ascii="Verdana" w:eastAsia="Times New Roman" w:hAnsi="Verdana" w:cs="Times New Roman"/>
          <w:b/>
          <w:bCs/>
          <w:color w:val="000000"/>
          <w:lang w:eastAsia="es-CO"/>
        </w:rPr>
        <w:t> información sobre sanciones e inhabilidades </w:t>
      </w:r>
      <w:r w:rsidRPr="00720316">
        <w:rPr>
          <w:rFonts w:ascii="Verdana" w:eastAsia="Times New Roman" w:hAnsi="Verdana" w:cs="Times New Roman"/>
          <w:color w:val="000000"/>
          <w:lang w:eastAsia="es-CO"/>
        </w:rPr>
        <w:t>solo cumple su función preventiva si llega oportunamente a los registros públicos. Sobre este deber, esta Agencia expidió la </w:t>
      </w:r>
      <w:r w:rsidRPr="00720316">
        <w:rPr>
          <w:rFonts w:ascii="Verdana" w:eastAsia="Times New Roman" w:hAnsi="Verdana" w:cs="Times New Roman"/>
          <w:b/>
          <w:bCs/>
          <w:color w:val="000000"/>
          <w:lang w:eastAsia="es-CO"/>
        </w:rPr>
        <w:t>Circular Externa 002 del 5 de mayo de 2026,</w:t>
      </w:r>
      <w:r w:rsidRPr="00720316">
        <w:rPr>
          <w:rFonts w:ascii="Verdana" w:eastAsia="Times New Roman" w:hAnsi="Verdana" w:cs="Times New Roman"/>
          <w:color w:val="000000"/>
          <w:lang w:eastAsia="es-CO"/>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gtFrame="_blank" w:tooltip="Dirección URL original: https://www.colombiacompra.gov.co/archivos/circular/circular-externa-002-de-2026. Haga clic o pulse si confía en este vínculo." w:history="1">
        <w:r w:rsidRPr="00720316">
          <w:rPr>
            <w:rStyle w:val="Hipervnculo"/>
            <w:rFonts w:ascii="Verdana" w:eastAsia="Times New Roman" w:hAnsi="Verdana" w:cs="Times New Roman"/>
            <w:lang w:eastAsia="es-CO"/>
          </w:rPr>
          <w:t>https://www.colombiacompra.gov.co/archivos/circular/circular-externa-002-de-2026</w:t>
        </w:r>
      </w:hyperlink>
    </w:p>
    <w:p w14:paraId="25F395CD" w14:textId="77777777" w:rsidR="00044645" w:rsidRPr="00720316" w:rsidRDefault="00044645" w:rsidP="00044645">
      <w:pPr>
        <w:spacing w:before="120" w:after="0" w:line="276" w:lineRule="auto"/>
        <w:ind w:firstLine="708"/>
        <w:jc w:val="both"/>
        <w:rPr>
          <w:rFonts w:ascii="Verdana" w:eastAsia="Times New Roman" w:hAnsi="Verdana" w:cs="Times New Roman"/>
          <w:color w:val="000000"/>
          <w:lang w:eastAsia="es-CO"/>
        </w:rPr>
      </w:pPr>
      <w:r w:rsidRPr="00720316">
        <w:rPr>
          <w:rFonts w:ascii="Verdana" w:eastAsia="Times New Roman" w:hAnsi="Verdana" w:cs="Times New Roman"/>
          <w:color w:val="000000"/>
          <w:lang w:eastAsia="es-CO"/>
        </w:rPr>
        <w:t>De otra parte, si quieres seguir de cerca la actividad de la Agencia, la tercera edición de 2026 del</w:t>
      </w:r>
      <w:r w:rsidRPr="00720316">
        <w:rPr>
          <w:rFonts w:ascii="Verdana" w:eastAsia="Times New Roman" w:hAnsi="Verdana" w:cs="Times New Roman"/>
          <w:b/>
          <w:bCs/>
          <w:color w:val="000000"/>
          <w:lang w:eastAsia="es-CO"/>
        </w:rPr>
        <w:t> Radar de la Compra Pública</w:t>
      </w:r>
      <w:r w:rsidRPr="00720316">
        <w:rPr>
          <w:rFonts w:ascii="Verdana" w:eastAsia="Times New Roman" w:hAnsi="Verdana" w:cs="Times New Roman"/>
          <w:color w:val="000000"/>
          <w:lang w:eastAsia="es-CO"/>
        </w:rPr>
        <w:t xml:space="preserve"> reúne, entre otros </w:t>
      </w:r>
      <w:r w:rsidRPr="00720316">
        <w:rPr>
          <w:rFonts w:ascii="Verdana" w:eastAsia="Times New Roman" w:hAnsi="Verdana" w:cs="Times New Roman"/>
          <w:color w:val="000000"/>
          <w:lang w:eastAsia="es-CO"/>
        </w:rPr>
        <w:lastRenderedPageBreak/>
        <w:t>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7" w:history="1">
        <w:r w:rsidRPr="00720316">
          <w:rPr>
            <w:rStyle w:val="Hipervnculo"/>
            <w:rFonts w:ascii="Verdana" w:eastAsia="Times New Roman" w:hAnsi="Verdana" w:cs="Times New Roman"/>
            <w:lang w:eastAsia="es-CO"/>
          </w:rPr>
          <w:t>https://www.colombiacompra.gov.co/archivos/boletin/boletin-edicion-n-3-de-2026-radar-de-la-compra-publica</w:t>
        </w:r>
      </w:hyperlink>
      <w:r w:rsidRPr="00720316">
        <w:rPr>
          <w:rFonts w:ascii="Verdana" w:eastAsia="Times New Roman" w:hAnsi="Verdana" w:cs="Times New Roman"/>
          <w:color w:val="000000"/>
          <w:lang w:eastAsia="es-CO"/>
        </w:rPr>
        <w:t>"</w:t>
      </w:r>
    </w:p>
    <w:p w14:paraId="0CC6963E" w14:textId="77777777" w:rsidR="00044645" w:rsidRPr="00720316" w:rsidRDefault="00044645" w:rsidP="00044645">
      <w:pPr>
        <w:spacing w:after="0" w:line="276" w:lineRule="auto"/>
        <w:jc w:val="both"/>
        <w:rPr>
          <w:rFonts w:ascii="Verdana" w:hAnsi="Verdana"/>
        </w:rPr>
      </w:pPr>
      <w:r w:rsidRPr="00720316">
        <w:rPr>
          <w:rFonts w:ascii="Verdana" w:hAnsi="Verdana"/>
        </w:rPr>
        <w:t xml:space="preserve">Por último, lo invitamos a seguirnos en las redes sociales en las cuales se difunde información institucional: </w:t>
      </w:r>
    </w:p>
    <w:p w14:paraId="397E87EA" w14:textId="77777777" w:rsidR="00044645" w:rsidRPr="00720316" w:rsidRDefault="00044645" w:rsidP="00044645">
      <w:pPr>
        <w:spacing w:after="0" w:line="276" w:lineRule="auto"/>
        <w:jc w:val="both"/>
        <w:rPr>
          <w:rFonts w:ascii="Verdana" w:hAnsi="Verdana"/>
        </w:rPr>
      </w:pPr>
    </w:p>
    <w:p w14:paraId="4630E91C" w14:textId="77777777" w:rsidR="00044645" w:rsidRPr="00720316" w:rsidRDefault="00044645" w:rsidP="00044645">
      <w:pPr>
        <w:spacing w:after="0" w:line="276" w:lineRule="auto"/>
        <w:jc w:val="both"/>
        <w:rPr>
          <w:rFonts w:ascii="Verdana" w:hAnsi="Verdana"/>
        </w:rPr>
      </w:pPr>
      <w:r w:rsidRPr="00720316">
        <w:rPr>
          <w:rFonts w:ascii="Verdana" w:hAnsi="Verdana"/>
        </w:rPr>
        <w:t xml:space="preserve">Twitter: </w:t>
      </w:r>
      <w:r w:rsidRPr="00720316">
        <w:rPr>
          <w:rFonts w:ascii="Verdana" w:hAnsi="Verdana"/>
          <w:color w:val="156082" w:themeColor="accent1"/>
          <w:u w:val="single"/>
        </w:rPr>
        <w:t>@colombiacompra</w:t>
      </w:r>
      <w:r w:rsidRPr="00720316">
        <w:rPr>
          <w:rFonts w:ascii="Verdana" w:hAnsi="Verdana"/>
          <w:color w:val="156082" w:themeColor="accent1"/>
        </w:rPr>
        <w:t xml:space="preserve"> </w:t>
      </w:r>
    </w:p>
    <w:p w14:paraId="5D6BAD7D" w14:textId="77777777" w:rsidR="00044645" w:rsidRPr="00720316" w:rsidRDefault="00044645" w:rsidP="00044645">
      <w:pPr>
        <w:spacing w:after="0" w:line="276" w:lineRule="auto"/>
        <w:jc w:val="both"/>
        <w:rPr>
          <w:rFonts w:ascii="Verdana" w:hAnsi="Verdana"/>
        </w:rPr>
      </w:pPr>
      <w:r w:rsidRPr="00720316">
        <w:rPr>
          <w:rFonts w:ascii="Verdana" w:hAnsi="Verdana"/>
        </w:rPr>
        <w:t xml:space="preserve">Facebook: </w:t>
      </w:r>
      <w:proofErr w:type="spellStart"/>
      <w:r w:rsidRPr="00720316">
        <w:rPr>
          <w:rFonts w:ascii="Verdana" w:hAnsi="Verdana"/>
          <w:color w:val="156082" w:themeColor="accent1"/>
          <w:u w:val="single"/>
        </w:rPr>
        <w:t>ColombiaCompraEficiente</w:t>
      </w:r>
      <w:proofErr w:type="spellEnd"/>
    </w:p>
    <w:p w14:paraId="06EB77D8" w14:textId="77777777" w:rsidR="00044645" w:rsidRPr="00720316" w:rsidRDefault="00044645" w:rsidP="00044645">
      <w:pPr>
        <w:spacing w:after="0" w:line="276" w:lineRule="auto"/>
        <w:jc w:val="both"/>
        <w:rPr>
          <w:rFonts w:ascii="Verdana" w:hAnsi="Verdana"/>
        </w:rPr>
      </w:pPr>
      <w:r w:rsidRPr="00720316">
        <w:rPr>
          <w:rFonts w:ascii="Verdana" w:hAnsi="Verdana"/>
        </w:rPr>
        <w:t xml:space="preserve">LinkedIn: </w:t>
      </w:r>
      <w:r w:rsidRPr="00720316">
        <w:rPr>
          <w:rFonts w:ascii="Verdana" w:hAnsi="Verdana"/>
          <w:color w:val="156082" w:themeColor="accent1"/>
          <w:u w:val="single"/>
        </w:rPr>
        <w:t>Agencia Nacional de Contratación Pública - Colombia Compra Eficiente</w:t>
      </w:r>
      <w:r w:rsidRPr="00720316">
        <w:rPr>
          <w:rFonts w:ascii="Verdana" w:hAnsi="Verdana"/>
          <w:color w:val="156082" w:themeColor="accent1"/>
        </w:rPr>
        <w:t xml:space="preserve"> </w:t>
      </w:r>
      <w:r w:rsidRPr="00720316">
        <w:rPr>
          <w:rFonts w:ascii="Verdana" w:hAnsi="Verdana"/>
        </w:rPr>
        <w:t xml:space="preserve">Instagram: </w:t>
      </w:r>
      <w:r w:rsidRPr="00720316">
        <w:rPr>
          <w:rFonts w:ascii="Verdana" w:hAnsi="Verdana"/>
          <w:color w:val="156082" w:themeColor="accent1"/>
          <w:u w:val="single"/>
        </w:rPr>
        <w:t>@colombiacompraeficiente_cce</w:t>
      </w:r>
    </w:p>
    <w:p w14:paraId="12614E5F" w14:textId="77777777" w:rsidR="00044645" w:rsidRPr="00720316" w:rsidRDefault="00044645" w:rsidP="00044645">
      <w:pPr>
        <w:widowControl w:val="0"/>
        <w:autoSpaceDE w:val="0"/>
        <w:autoSpaceDN w:val="0"/>
        <w:spacing w:after="0" w:line="276" w:lineRule="auto"/>
        <w:jc w:val="both"/>
        <w:rPr>
          <w:rFonts w:ascii="Verdana" w:hAnsi="Verdana" w:cs="Arial"/>
        </w:rPr>
      </w:pPr>
    </w:p>
    <w:p w14:paraId="3A084F21" w14:textId="77777777" w:rsidR="00044645" w:rsidRPr="00720316" w:rsidRDefault="00044645" w:rsidP="00044645">
      <w:pPr>
        <w:widowControl w:val="0"/>
        <w:autoSpaceDE w:val="0"/>
        <w:autoSpaceDN w:val="0"/>
        <w:spacing w:after="0" w:line="276" w:lineRule="auto"/>
        <w:jc w:val="both"/>
        <w:rPr>
          <w:rFonts w:ascii="Verdana" w:hAnsi="Verdana" w:cs="Arial"/>
          <w:lang w:val="es-ES_tradnl"/>
        </w:rPr>
      </w:pPr>
      <w:r w:rsidRPr="00720316">
        <w:rPr>
          <w:rFonts w:ascii="Verdana" w:hAnsi="Verdana" w:cs="Arial"/>
        </w:rPr>
        <w:t xml:space="preserve">Este concepto tiene el alcance previsto en el artículo 28 del Código de Procedimiento Administrativo y de lo Contencioso Administrativo </w:t>
      </w:r>
      <w:r w:rsidRPr="00720316">
        <w:rPr>
          <w:rFonts w:ascii="Verdana" w:hAnsi="Verdana" w:cs="Arial"/>
          <w:lang w:val="es-ES_tradnl"/>
        </w:rPr>
        <w:t>y las expresiones aquí utilizadas con mayúscula inicial deben ser entendidas con el significado que les otorga el artículo 2.2.1.1.1.3.1. del Decreto 1082 de 2015.</w:t>
      </w:r>
    </w:p>
    <w:p w14:paraId="6BD07CCD" w14:textId="77777777" w:rsidR="00044645" w:rsidRPr="00720316" w:rsidRDefault="00044645" w:rsidP="00044645">
      <w:pPr>
        <w:widowControl w:val="0"/>
        <w:autoSpaceDE w:val="0"/>
        <w:autoSpaceDN w:val="0"/>
        <w:spacing w:after="0" w:line="276" w:lineRule="auto"/>
        <w:jc w:val="both"/>
        <w:rPr>
          <w:rFonts w:ascii="Verdana" w:hAnsi="Verdana" w:cs="Arial"/>
        </w:rPr>
      </w:pPr>
    </w:p>
    <w:p w14:paraId="3850C02E" w14:textId="77777777" w:rsidR="00044645" w:rsidRPr="00720316" w:rsidRDefault="00044645" w:rsidP="00044645">
      <w:pPr>
        <w:spacing w:after="0" w:line="276" w:lineRule="auto"/>
        <w:rPr>
          <w:rFonts w:ascii="Verdana" w:hAnsi="Verdana" w:cs="Arial"/>
          <w:lang w:eastAsia="es-CO"/>
        </w:rPr>
      </w:pPr>
      <w:r w:rsidRPr="00720316">
        <w:rPr>
          <w:rFonts w:ascii="Verdana" w:eastAsia="Times New Roman" w:hAnsi="Verdana" w:cs="Arial"/>
          <w:lang w:eastAsia="es-CO"/>
        </w:rPr>
        <w:t>Atentamente,</w:t>
      </w:r>
      <w:r w:rsidRPr="00720316">
        <w:rPr>
          <w:rFonts w:ascii="Verdana" w:hAnsi="Verdana" w:cs="Arial"/>
          <w:lang w:eastAsia="es-CO"/>
        </w:rPr>
        <w:t xml:space="preserve"> </w:t>
      </w:r>
    </w:p>
    <w:p w14:paraId="0CE97A5B" w14:textId="68912210" w:rsidR="00044645" w:rsidRPr="006263D8" w:rsidRDefault="00044645" w:rsidP="00044645">
      <w:pPr>
        <w:spacing w:line="276" w:lineRule="auto"/>
        <w:jc w:val="center"/>
        <w:rPr>
          <w:rFonts w:ascii="Verdana" w:hAnsi="Verdana" w:cs="Arial"/>
          <w:lang w:val="es-ES_tradnl" w:eastAsia="es-CO"/>
        </w:rPr>
      </w:pPr>
      <w:r w:rsidRPr="00720316">
        <w:rPr>
          <w:rFonts w:ascii="Verdana" w:hAnsi="Verdana" w:cs="Arial"/>
          <w:lang w:eastAsia="es-CO"/>
        </w:rPr>
        <w:br/>
      </w:r>
      <w:r>
        <w:rPr>
          <w:noProof/>
        </w:rPr>
        <w:drawing>
          <wp:inline distT="0" distB="0" distL="0" distR="0" wp14:anchorId="22D4B587" wp14:editId="5544BD3B">
            <wp:extent cx="3774440" cy="1414145"/>
            <wp:effectExtent l="0" t="0" r="0" b="0"/>
            <wp:docPr id="8785550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o&#10;&#10;Descripción generada automáticament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74440" cy="1414145"/>
                    </a:xfrm>
                    <a:prstGeom prst="rect">
                      <a:avLst/>
                    </a:prstGeom>
                    <a:noFill/>
                    <a:ln>
                      <a:noFill/>
                    </a:ln>
                  </pic:spPr>
                </pic:pic>
              </a:graphicData>
            </a:graphic>
          </wp:inline>
        </w:drawing>
      </w:r>
    </w:p>
    <w:tbl>
      <w:tblPr>
        <w:tblStyle w:val="Tablaconcuadrcula11"/>
        <w:tblpPr w:leftFromText="141" w:rightFromText="141" w:vertAnchor="text" w:horzAnchor="margin" w:tblpY="-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4344"/>
      </w:tblGrid>
      <w:tr w:rsidR="00044645" w:rsidRPr="006263D8" w14:paraId="79D31E04" w14:textId="77777777" w:rsidTr="007D2F57">
        <w:trPr>
          <w:trHeight w:val="286"/>
        </w:trPr>
        <w:tc>
          <w:tcPr>
            <w:tcW w:w="901" w:type="dxa"/>
            <w:vAlign w:val="center"/>
            <w:hideMark/>
          </w:tcPr>
          <w:p w14:paraId="7407C022" w14:textId="77777777" w:rsidR="00044645" w:rsidRPr="006263D8" w:rsidRDefault="00044645" w:rsidP="007D2F57">
            <w:pPr>
              <w:rPr>
                <w:rFonts w:ascii="Verdana" w:hAnsi="Verdana" w:cs="Arial"/>
                <w:sz w:val="14"/>
                <w:szCs w:val="14"/>
                <w:lang w:eastAsia="es-ES"/>
              </w:rPr>
            </w:pPr>
            <w:r w:rsidRPr="006263D8">
              <w:rPr>
                <w:rFonts w:ascii="Verdana" w:hAnsi="Verdana" w:cs="Arial"/>
                <w:sz w:val="14"/>
                <w:szCs w:val="14"/>
                <w:lang w:eastAsia="es-ES"/>
              </w:rPr>
              <w:t>Elaboró:</w:t>
            </w:r>
          </w:p>
        </w:tc>
        <w:tc>
          <w:tcPr>
            <w:tcW w:w="4344" w:type="dxa"/>
            <w:tcBorders>
              <w:top w:val="nil"/>
              <w:left w:val="nil"/>
              <w:bottom w:val="dotted" w:sz="4" w:space="0" w:color="7F7F7F"/>
              <w:right w:val="nil"/>
            </w:tcBorders>
            <w:vAlign w:val="center"/>
            <w:hideMark/>
          </w:tcPr>
          <w:p w14:paraId="6862D8B4" w14:textId="77777777" w:rsidR="00044645" w:rsidRPr="006263D8" w:rsidRDefault="00044645" w:rsidP="007D2F57">
            <w:pPr>
              <w:rPr>
                <w:rFonts w:ascii="Verdana" w:hAnsi="Verdana" w:cs="Arial"/>
                <w:sz w:val="14"/>
                <w:szCs w:val="14"/>
                <w:lang w:eastAsia="es-ES"/>
              </w:rPr>
            </w:pPr>
            <w:r w:rsidRPr="006263D8">
              <w:rPr>
                <w:rFonts w:ascii="Verdana" w:hAnsi="Verdana" w:cs="Arial"/>
                <w:sz w:val="14"/>
                <w:szCs w:val="14"/>
                <w:lang w:eastAsia="es-ES"/>
              </w:rPr>
              <w:t>Nasly Yeana Mosquera Rivas</w:t>
            </w:r>
          </w:p>
          <w:p w14:paraId="33205113" w14:textId="77777777" w:rsidR="00044645" w:rsidRPr="006263D8" w:rsidRDefault="00044645" w:rsidP="007D2F57">
            <w:pPr>
              <w:rPr>
                <w:rFonts w:ascii="Verdana" w:hAnsi="Verdana" w:cs="Arial"/>
                <w:sz w:val="14"/>
                <w:szCs w:val="14"/>
                <w:lang w:eastAsia="es-ES"/>
              </w:rPr>
            </w:pPr>
            <w:r w:rsidRPr="006263D8">
              <w:rPr>
                <w:rFonts w:ascii="Verdana" w:hAnsi="Verdana" w:cs="Arial"/>
                <w:sz w:val="14"/>
                <w:szCs w:val="14"/>
                <w:lang w:eastAsia="es-ES"/>
              </w:rPr>
              <w:t>Analista T2–06 de la Subdirección de Gestión Contractual</w:t>
            </w:r>
          </w:p>
        </w:tc>
      </w:tr>
      <w:tr w:rsidR="00044645" w:rsidRPr="006263D8" w14:paraId="0409BB39" w14:textId="77777777" w:rsidTr="007D2F57">
        <w:trPr>
          <w:trHeight w:val="299"/>
        </w:trPr>
        <w:tc>
          <w:tcPr>
            <w:tcW w:w="901" w:type="dxa"/>
            <w:vAlign w:val="center"/>
          </w:tcPr>
          <w:p w14:paraId="333370AC" w14:textId="77777777" w:rsidR="00044645" w:rsidRPr="006263D8" w:rsidRDefault="00044645" w:rsidP="007D2F57">
            <w:pPr>
              <w:rPr>
                <w:rFonts w:ascii="Verdana" w:hAnsi="Verdana" w:cs="Arial"/>
                <w:sz w:val="14"/>
                <w:szCs w:val="14"/>
                <w:lang w:eastAsia="es-ES"/>
              </w:rPr>
            </w:pPr>
            <w:r w:rsidRPr="006263D8">
              <w:rPr>
                <w:rFonts w:ascii="Verdana" w:hAnsi="Verdana" w:cs="Arial"/>
                <w:sz w:val="14"/>
                <w:szCs w:val="14"/>
                <w:lang w:eastAsia="es-ES"/>
              </w:rPr>
              <w:t>Revisó:</w:t>
            </w:r>
          </w:p>
        </w:tc>
        <w:tc>
          <w:tcPr>
            <w:tcW w:w="4344" w:type="dxa"/>
            <w:tcBorders>
              <w:top w:val="dotted" w:sz="4" w:space="0" w:color="7F7F7F"/>
              <w:left w:val="nil"/>
              <w:bottom w:val="dotted" w:sz="4" w:space="0" w:color="7F7F7F"/>
              <w:right w:val="nil"/>
            </w:tcBorders>
            <w:vAlign w:val="center"/>
          </w:tcPr>
          <w:p w14:paraId="57763BA4" w14:textId="77777777" w:rsidR="00044645" w:rsidRPr="006263D8" w:rsidRDefault="00044645" w:rsidP="007D2F57">
            <w:pPr>
              <w:rPr>
                <w:rFonts w:ascii="Verdana" w:hAnsi="Verdana" w:cs="Arial"/>
                <w:sz w:val="14"/>
                <w:szCs w:val="14"/>
                <w:lang w:eastAsia="es-ES"/>
              </w:rPr>
            </w:pPr>
            <w:r w:rsidRPr="006263D8">
              <w:rPr>
                <w:rFonts w:ascii="Verdana" w:hAnsi="Verdana" w:cs="Arial"/>
                <w:sz w:val="14"/>
                <w:szCs w:val="14"/>
                <w:lang w:eastAsia="es-ES"/>
              </w:rPr>
              <w:t>Diana Lucía Saavedra Castañeda</w:t>
            </w:r>
          </w:p>
          <w:p w14:paraId="6DDAF584" w14:textId="77777777" w:rsidR="00044645" w:rsidRPr="006263D8" w:rsidRDefault="00044645" w:rsidP="007D2F57">
            <w:pPr>
              <w:rPr>
                <w:rFonts w:ascii="Verdana" w:hAnsi="Verdana" w:cs="Arial"/>
                <w:sz w:val="14"/>
                <w:szCs w:val="14"/>
                <w:lang w:eastAsia="es-ES"/>
              </w:rPr>
            </w:pPr>
            <w:r w:rsidRPr="006263D8">
              <w:rPr>
                <w:rFonts w:ascii="Verdana" w:hAnsi="Verdana" w:cs="Arial"/>
                <w:sz w:val="14"/>
                <w:szCs w:val="14"/>
                <w:lang w:eastAsia="es-ES"/>
              </w:rPr>
              <w:t>Contratista de la Subdirección de Gestión Contractual</w:t>
            </w:r>
          </w:p>
        </w:tc>
      </w:tr>
      <w:tr w:rsidR="00044645" w:rsidRPr="006263D8" w14:paraId="07B07601" w14:textId="77777777" w:rsidTr="007D2F57">
        <w:trPr>
          <w:trHeight w:val="272"/>
        </w:trPr>
        <w:tc>
          <w:tcPr>
            <w:tcW w:w="901" w:type="dxa"/>
            <w:vAlign w:val="center"/>
            <w:hideMark/>
          </w:tcPr>
          <w:p w14:paraId="04602D56" w14:textId="77777777" w:rsidR="00044645" w:rsidRPr="006263D8" w:rsidRDefault="00044645" w:rsidP="007D2F57">
            <w:pPr>
              <w:rPr>
                <w:rFonts w:ascii="Verdana" w:hAnsi="Verdana" w:cs="Arial"/>
                <w:sz w:val="14"/>
                <w:szCs w:val="14"/>
                <w:lang w:eastAsia="es-ES"/>
              </w:rPr>
            </w:pPr>
            <w:r w:rsidRPr="006263D8">
              <w:rPr>
                <w:rFonts w:ascii="Verdana" w:hAnsi="Verdana" w:cs="Arial"/>
                <w:sz w:val="14"/>
                <w:szCs w:val="14"/>
                <w:lang w:eastAsia="es-ES"/>
              </w:rPr>
              <w:t>Aprobó:</w:t>
            </w:r>
          </w:p>
        </w:tc>
        <w:tc>
          <w:tcPr>
            <w:tcW w:w="4344" w:type="dxa"/>
            <w:tcBorders>
              <w:top w:val="dotted" w:sz="4" w:space="0" w:color="7F7F7F"/>
              <w:left w:val="nil"/>
              <w:bottom w:val="dotted" w:sz="4" w:space="0" w:color="7F7F7F"/>
              <w:right w:val="nil"/>
            </w:tcBorders>
            <w:vAlign w:val="center"/>
            <w:hideMark/>
          </w:tcPr>
          <w:p w14:paraId="78B7F57C" w14:textId="77777777" w:rsidR="00044645" w:rsidRPr="006263D8" w:rsidRDefault="00044645" w:rsidP="007D2F57">
            <w:pPr>
              <w:rPr>
                <w:rFonts w:ascii="Verdana" w:hAnsi="Verdana" w:cs="Arial"/>
                <w:sz w:val="14"/>
                <w:szCs w:val="14"/>
                <w:lang w:eastAsia="es-ES"/>
              </w:rPr>
            </w:pPr>
            <w:r w:rsidRPr="006263D8">
              <w:rPr>
                <w:rFonts w:ascii="Verdana" w:hAnsi="Verdana" w:cs="Arial"/>
                <w:sz w:val="14"/>
                <w:szCs w:val="14"/>
                <w:lang w:eastAsia="es-ES"/>
              </w:rPr>
              <w:t>Carolina Quintero Gacharná</w:t>
            </w:r>
          </w:p>
          <w:p w14:paraId="44518D8F" w14:textId="77777777" w:rsidR="00044645" w:rsidRPr="006263D8" w:rsidRDefault="00044645" w:rsidP="007D2F57">
            <w:pPr>
              <w:rPr>
                <w:rFonts w:ascii="Verdana" w:hAnsi="Verdana" w:cs="Arial"/>
                <w:sz w:val="14"/>
                <w:szCs w:val="14"/>
                <w:lang w:eastAsia="es-ES"/>
              </w:rPr>
            </w:pPr>
            <w:r w:rsidRPr="006263D8">
              <w:rPr>
                <w:rFonts w:ascii="Verdana" w:hAnsi="Verdana" w:cs="Arial"/>
                <w:sz w:val="14"/>
                <w:szCs w:val="14"/>
                <w:lang w:eastAsia="es-ES"/>
              </w:rPr>
              <w:t>Subdirectora de Gestión Contractual ANCP – CCE</w:t>
            </w:r>
          </w:p>
        </w:tc>
      </w:tr>
    </w:tbl>
    <w:p w14:paraId="17ABA9AE" w14:textId="77777777" w:rsidR="00044645" w:rsidRPr="006263D8" w:rsidRDefault="00044645" w:rsidP="00044645">
      <w:pPr>
        <w:spacing w:after="0" w:line="240" w:lineRule="auto"/>
        <w:rPr>
          <w:rFonts w:ascii="Verdana" w:eastAsia="Times New Roman" w:hAnsi="Verdana" w:cs="Arial"/>
          <w:sz w:val="24"/>
          <w:szCs w:val="24"/>
          <w:lang w:eastAsia="es-ES"/>
        </w:rPr>
      </w:pPr>
    </w:p>
    <w:p w14:paraId="2F993D39" w14:textId="77777777" w:rsidR="00044645" w:rsidRPr="006263D8" w:rsidRDefault="00044645" w:rsidP="00044645">
      <w:pPr>
        <w:rPr>
          <w:rFonts w:ascii="Verdana" w:hAnsi="Verdana"/>
        </w:rPr>
      </w:pPr>
    </w:p>
    <w:p w14:paraId="24CE7259" w14:textId="77777777" w:rsidR="00044645" w:rsidRPr="006263D8" w:rsidRDefault="00044645" w:rsidP="00044645">
      <w:pPr>
        <w:rPr>
          <w:rFonts w:ascii="Verdana" w:hAnsi="Verdana"/>
        </w:rPr>
      </w:pPr>
    </w:p>
    <w:bookmarkEnd w:id="0"/>
    <w:p w14:paraId="1F05947B" w14:textId="77777777" w:rsidR="00044645" w:rsidRPr="000E2B93" w:rsidRDefault="00044645" w:rsidP="00044645">
      <w:pPr>
        <w:spacing w:after="0" w:line="240" w:lineRule="auto"/>
        <w:jc w:val="both"/>
        <w:textAlignment w:val="baseline"/>
        <w:rPr>
          <w:rFonts w:ascii="Verdana" w:eastAsia="Verdana" w:hAnsi="Verdana" w:cs="Verdana"/>
          <w:lang w:eastAsia="es-CO"/>
        </w:rPr>
      </w:pPr>
    </w:p>
    <w:sectPr w:rsidR="00044645" w:rsidRPr="000E2B93" w:rsidSect="00044645">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1BBA8" w14:textId="77777777" w:rsidR="008C40A6" w:rsidRDefault="008C40A6" w:rsidP="00044645">
      <w:pPr>
        <w:spacing w:after="0" w:line="240" w:lineRule="auto"/>
      </w:pPr>
      <w:r>
        <w:separator/>
      </w:r>
    </w:p>
  </w:endnote>
  <w:endnote w:type="continuationSeparator" w:id="0">
    <w:p w14:paraId="4943C045" w14:textId="77777777" w:rsidR="008C40A6" w:rsidRDefault="008C40A6" w:rsidP="00044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22232" w14:textId="77777777" w:rsidR="00044645" w:rsidRDefault="00044645">
    <w:pPr>
      <w:pStyle w:val="Piedepgina"/>
    </w:pPr>
  </w:p>
  <w:p w14:paraId="5B66C0B0" w14:textId="77777777" w:rsidR="00044645" w:rsidRPr="00174B77" w:rsidRDefault="00044645"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Pr="07C73DD1">
      <w:rPr>
        <w:rFonts w:ascii="Verdana" w:eastAsia="Verdana" w:hAnsi="Verdana" w:cs="Verdana"/>
        <w:b/>
        <w:bCs/>
        <w:sz w:val="18"/>
        <w:szCs w:val="18"/>
      </w:rPr>
      <w:fldChar w:fldCharType="begin"/>
    </w:r>
    <w:r w:rsidRPr="07C73DD1">
      <w:rPr>
        <w:rFonts w:ascii="Verdana" w:hAnsi="Verdana"/>
        <w:b/>
        <w:bCs/>
        <w:sz w:val="16"/>
        <w:szCs w:val="16"/>
      </w:rPr>
      <w:instrText>PAGE    \* MERGEFORMAT</w:instrText>
    </w:r>
    <w:r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FFB08B1" w14:textId="77777777" w:rsidR="00044645" w:rsidRDefault="00044645"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2C891F3B" w14:textId="77777777" w:rsidR="00044645" w:rsidRPr="00E41027" w:rsidRDefault="00044645"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237FE55D" w14:textId="77777777" w:rsidR="00044645" w:rsidRDefault="00044645"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DF18F" w14:textId="77777777" w:rsidR="008C40A6" w:rsidRDefault="008C40A6" w:rsidP="00044645">
      <w:pPr>
        <w:spacing w:after="0" w:line="240" w:lineRule="auto"/>
      </w:pPr>
      <w:r>
        <w:separator/>
      </w:r>
    </w:p>
  </w:footnote>
  <w:footnote w:type="continuationSeparator" w:id="0">
    <w:p w14:paraId="137B15E2" w14:textId="77777777" w:rsidR="008C40A6" w:rsidRDefault="008C40A6" w:rsidP="00044645">
      <w:pPr>
        <w:spacing w:after="0" w:line="240" w:lineRule="auto"/>
      </w:pPr>
      <w:r>
        <w:continuationSeparator/>
      </w:r>
    </w:p>
  </w:footnote>
  <w:footnote w:id="1">
    <w:p w14:paraId="5F58AAAC" w14:textId="77777777" w:rsidR="00044645" w:rsidRPr="00720316" w:rsidRDefault="00044645" w:rsidP="00044645">
      <w:pPr>
        <w:pStyle w:val="Textonotapie"/>
        <w:ind w:firstLine="709"/>
        <w:jc w:val="both"/>
        <w:rPr>
          <w:rFonts w:ascii="Verdana" w:hAnsi="Verdana" w:cs="Arial"/>
          <w:color w:val="000000"/>
          <w:sz w:val="18"/>
          <w:szCs w:val="18"/>
        </w:rPr>
      </w:pPr>
      <w:r w:rsidRPr="00720316">
        <w:rPr>
          <w:rStyle w:val="Refdenotaalpie"/>
          <w:rFonts w:ascii="Verdana" w:hAnsi="Verdana" w:cs="Arial"/>
          <w:color w:val="000000"/>
          <w:sz w:val="18"/>
          <w:szCs w:val="18"/>
        </w:rPr>
        <w:footnoteRef/>
      </w:r>
      <w:r w:rsidRPr="00720316">
        <w:rPr>
          <w:rFonts w:ascii="Verdana" w:hAnsi="Verdana" w:cs="Arial"/>
          <w:color w:val="000000"/>
          <w:sz w:val="18"/>
          <w:szCs w:val="18"/>
        </w:rPr>
        <w:t xml:space="preserve"> “La última formalidad que deben cumplir los contratos de la Administración dentro del marco jurídico de la contratación estatal se refiere a la liquidación, definida, en principio, como un negocio jurídico bilateral cuyo objeto es la realización del corte de cuentas entre las partes contratantes, en el cual queda establecida la relación directa entre las prestaciones ejecutaras, el valor cobrado por las mismas y su cancelación por parte del deudor de estas, sin perjuicio de los descuentos económicos a que haya lugar con motivo de la aplicación de estipulaciones contractuales específicas</w:t>
      </w:r>
      <w:r w:rsidRPr="00720316">
        <w:rPr>
          <w:rFonts w:ascii="Verdana" w:hAnsi="Verdana" w:cs="Arial"/>
          <w:color w:val="000000"/>
          <w:sz w:val="18"/>
          <w:szCs w:val="18"/>
          <w:shd w:val="clear" w:color="auto" w:fill="FFFFFF"/>
        </w:rPr>
        <w:t>” (</w:t>
      </w:r>
      <w:r w:rsidRPr="00720316">
        <w:rPr>
          <w:rFonts w:ascii="Verdana" w:hAnsi="Verdana" w:cs="Arial"/>
          <w:color w:val="000000"/>
          <w:sz w:val="18"/>
          <w:szCs w:val="18"/>
        </w:rPr>
        <w:t>EXPOSITO, Juan Carlos. Forma y contenido del contrato estatal. Bogotá: Universidad Externado de Colombia, p. 89 y 90).</w:t>
      </w:r>
    </w:p>
  </w:footnote>
  <w:footnote w:id="2">
    <w:p w14:paraId="67987ABF" w14:textId="77777777" w:rsidR="00044645" w:rsidRPr="00720316" w:rsidRDefault="00044645" w:rsidP="00044645">
      <w:pPr>
        <w:pStyle w:val="Textonotapie"/>
        <w:ind w:firstLine="709"/>
        <w:jc w:val="both"/>
        <w:rPr>
          <w:rFonts w:ascii="Verdana" w:hAnsi="Verdana" w:cs="Arial"/>
          <w:color w:val="000000"/>
          <w:sz w:val="18"/>
          <w:szCs w:val="18"/>
        </w:rPr>
      </w:pPr>
    </w:p>
    <w:p w14:paraId="5FA9F1AA" w14:textId="77777777" w:rsidR="00044645" w:rsidRPr="00720316" w:rsidRDefault="00044645" w:rsidP="00044645">
      <w:pPr>
        <w:pStyle w:val="Textonotapie"/>
        <w:ind w:firstLine="709"/>
        <w:jc w:val="both"/>
        <w:rPr>
          <w:rFonts w:ascii="Verdana" w:hAnsi="Verdana" w:cs="Arial"/>
          <w:color w:val="000000"/>
          <w:sz w:val="18"/>
          <w:szCs w:val="18"/>
          <w:lang w:val="es-CO"/>
        </w:rPr>
      </w:pPr>
      <w:r w:rsidRPr="00720316">
        <w:rPr>
          <w:rStyle w:val="Refdenotaalpie"/>
          <w:rFonts w:ascii="Verdana" w:hAnsi="Verdana" w:cs="Arial"/>
          <w:color w:val="000000"/>
          <w:sz w:val="18"/>
          <w:szCs w:val="18"/>
        </w:rPr>
        <w:footnoteRef/>
      </w:r>
      <w:r w:rsidRPr="00720316">
        <w:rPr>
          <w:rFonts w:ascii="Verdana" w:hAnsi="Verdana" w:cs="Arial"/>
          <w:color w:val="000000"/>
          <w:sz w:val="18"/>
          <w:szCs w:val="18"/>
        </w:rPr>
        <w:t xml:space="preserve"> DÍAZ DÍEZ, Cristian Andrés. La liquidación. Serie: Las Cláusulas del Contrato Estatal. Medellín: Librería Jurídica Sánchez y Centro de Estudios de Derecho Administrativo –CEDA–, 2013. pp. 53-54.</w:t>
      </w:r>
    </w:p>
  </w:footnote>
  <w:footnote w:id="3">
    <w:p w14:paraId="15A8DF67" w14:textId="77777777" w:rsidR="00044645" w:rsidRPr="00720316" w:rsidRDefault="00044645" w:rsidP="00044645">
      <w:pPr>
        <w:spacing w:after="0" w:line="240" w:lineRule="auto"/>
        <w:ind w:firstLine="709"/>
        <w:jc w:val="both"/>
        <w:rPr>
          <w:rFonts w:ascii="Verdana" w:hAnsi="Verdana" w:cs="Arial"/>
          <w:color w:val="000000"/>
          <w:sz w:val="18"/>
          <w:szCs w:val="18"/>
        </w:rPr>
      </w:pPr>
    </w:p>
    <w:p w14:paraId="0A8F2154" w14:textId="77777777" w:rsidR="00044645" w:rsidRDefault="00044645" w:rsidP="00044645">
      <w:pPr>
        <w:spacing w:after="0" w:line="240" w:lineRule="auto"/>
        <w:ind w:firstLine="709"/>
        <w:jc w:val="both"/>
        <w:rPr>
          <w:rFonts w:ascii="Verdana" w:hAnsi="Verdana" w:cs="Arial"/>
          <w:color w:val="000000"/>
          <w:sz w:val="18"/>
          <w:szCs w:val="18"/>
        </w:rPr>
      </w:pPr>
      <w:r w:rsidRPr="00720316">
        <w:rPr>
          <w:rStyle w:val="Refdenotaalpie"/>
          <w:rFonts w:ascii="Verdana" w:hAnsi="Verdana" w:cs="Arial"/>
          <w:color w:val="000000"/>
          <w:sz w:val="18"/>
          <w:szCs w:val="18"/>
        </w:rPr>
        <w:footnoteRef/>
      </w:r>
      <w:r w:rsidRPr="00720316">
        <w:rPr>
          <w:rFonts w:ascii="Verdana" w:hAnsi="Verdana" w:cs="Arial"/>
          <w:color w:val="000000"/>
          <w:sz w:val="18"/>
          <w:szCs w:val="18"/>
        </w:rPr>
        <w:t xml:space="preserve"> Consejo de Estado. Sección Tercera. Subsección C. 20 de octubre de 2014, M.P: Enrique Gil Botero. Exp. 27.777. Allí se dijo: “[…] liquidar supone un ajuste expreso y claro sobre las cuentas y el estado de cumplimiento de un contrato, de tal manera que conste el balance tanto técnico como económico de las obligaciones que estuvieron a cargo de las partes. En cuanto a lo primero, la liquidación debe incluir un análisis detallado de las condiciones de calidad y oportunidad en la entrega de los bienes, obras o servicios, y el balance económico dará cuenta del comportamiento financiero del negocio: recursos recibidos, pagos efectuados, estado del crédito o de la deuda de cada parte, entre otros detalles mínimos y necesarios para finiquitar una relación jurídica contractual”.</w:t>
      </w:r>
    </w:p>
    <w:p w14:paraId="2FFE3BC1" w14:textId="77777777" w:rsidR="00044645" w:rsidRPr="00720316" w:rsidRDefault="00044645" w:rsidP="00044645">
      <w:pPr>
        <w:spacing w:after="0" w:line="240" w:lineRule="auto"/>
        <w:ind w:firstLine="709"/>
        <w:jc w:val="both"/>
        <w:rPr>
          <w:rFonts w:ascii="Verdana" w:hAnsi="Verdana" w:cs="Arial"/>
          <w:color w:val="000000"/>
          <w:sz w:val="18"/>
          <w:szCs w:val="18"/>
          <w:lang w:val="es-ES"/>
        </w:rPr>
      </w:pPr>
    </w:p>
  </w:footnote>
  <w:footnote w:id="4">
    <w:p w14:paraId="47472358" w14:textId="77777777" w:rsidR="00044645" w:rsidRDefault="00044645" w:rsidP="00044645">
      <w:pPr>
        <w:pStyle w:val="Textonotapie"/>
        <w:ind w:firstLine="709"/>
        <w:jc w:val="both"/>
        <w:rPr>
          <w:rStyle w:val="Hipervnculo"/>
          <w:rFonts w:ascii="Verdana" w:hAnsi="Verdana" w:cs="Arial"/>
          <w:sz w:val="18"/>
          <w:szCs w:val="18"/>
        </w:rPr>
      </w:pPr>
      <w:r w:rsidRPr="00720316">
        <w:rPr>
          <w:rStyle w:val="Refdenotaalpie"/>
          <w:rFonts w:ascii="Verdana" w:hAnsi="Verdana" w:cs="Arial"/>
          <w:color w:val="000000"/>
          <w:sz w:val="18"/>
          <w:szCs w:val="18"/>
        </w:rPr>
        <w:footnoteRef/>
      </w:r>
      <w:r w:rsidRPr="00720316">
        <w:rPr>
          <w:rFonts w:ascii="Verdana" w:hAnsi="Verdana" w:cs="Arial"/>
          <w:color w:val="000000"/>
          <w:sz w:val="18"/>
          <w:szCs w:val="18"/>
        </w:rPr>
        <w:t xml:space="preserve"> COLOMBIA COMPRA EFICIENTE. Guía para la Liquidación de los Procesos de Contratación. página 5, disponible en: </w:t>
      </w:r>
      <w:hyperlink r:id="rId1" w:history="1">
        <w:r w:rsidRPr="00720316">
          <w:rPr>
            <w:rStyle w:val="Hipervnculo"/>
            <w:rFonts w:ascii="Verdana" w:hAnsi="Verdana" w:cs="Arial"/>
            <w:sz w:val="18"/>
            <w:szCs w:val="18"/>
          </w:rPr>
          <w:t xml:space="preserve">https://www.colombiacompra.gov.co/sites/cce_public/files/cce_documents/cce_guia_liquidacion_procesos.pdf  </w:t>
        </w:r>
      </w:hyperlink>
    </w:p>
    <w:p w14:paraId="0F23C4B5" w14:textId="77777777" w:rsidR="00044645" w:rsidRPr="00720316" w:rsidRDefault="00044645" w:rsidP="00044645">
      <w:pPr>
        <w:pStyle w:val="Textonotapie"/>
        <w:ind w:firstLine="709"/>
        <w:jc w:val="both"/>
        <w:rPr>
          <w:rFonts w:ascii="Verdana" w:hAnsi="Verdana" w:cs="Arial"/>
          <w:color w:val="000000"/>
          <w:sz w:val="18"/>
          <w:szCs w:val="18"/>
          <w:lang w:val="es-ES"/>
        </w:rPr>
      </w:pPr>
    </w:p>
  </w:footnote>
  <w:footnote w:id="5">
    <w:p w14:paraId="6A3E1025" w14:textId="77777777" w:rsidR="00044645" w:rsidRPr="00720316" w:rsidRDefault="00044645" w:rsidP="00044645">
      <w:pPr>
        <w:pStyle w:val="Textonotapie"/>
        <w:ind w:firstLine="709"/>
        <w:jc w:val="both"/>
        <w:rPr>
          <w:rFonts w:ascii="Verdana" w:hAnsi="Verdana" w:cs="Arial"/>
          <w:color w:val="000000"/>
          <w:sz w:val="18"/>
          <w:szCs w:val="18"/>
        </w:rPr>
      </w:pPr>
      <w:r w:rsidRPr="00720316">
        <w:rPr>
          <w:rStyle w:val="Refdenotaalpie"/>
          <w:rFonts w:ascii="Verdana" w:hAnsi="Verdana" w:cs="Arial"/>
          <w:color w:val="000000"/>
          <w:sz w:val="18"/>
          <w:szCs w:val="18"/>
        </w:rPr>
        <w:footnoteRef/>
      </w:r>
      <w:r w:rsidRPr="00720316">
        <w:rPr>
          <w:rFonts w:ascii="Verdana" w:hAnsi="Verdana" w:cs="Arial"/>
          <w:color w:val="000000"/>
          <w:sz w:val="18"/>
          <w:szCs w:val="18"/>
        </w:rPr>
        <w:t xml:space="preserve"> Conviene recordar que es válida la liquidación bilateral parcial, debido a que las partes no logran ponerse de acuerdo en todos los asuntos referentes al contrato. En este evento, se debe hacer uso de las glosas o salvedades, y únicamente sobre tal glosa o salvedad girará el debate judicial que se da con ocasión de la demanda en ejercicio del medio de control de controversias contractuales.</w:t>
      </w:r>
    </w:p>
  </w:footnote>
  <w:footnote w:id="6">
    <w:p w14:paraId="69FE44B7" w14:textId="77777777" w:rsidR="00044645" w:rsidRPr="00720316" w:rsidRDefault="00044645" w:rsidP="00044645">
      <w:pPr>
        <w:pStyle w:val="Textonotapie"/>
        <w:ind w:firstLine="709"/>
        <w:jc w:val="both"/>
        <w:rPr>
          <w:rFonts w:ascii="Verdana" w:hAnsi="Verdana" w:cs="Arial"/>
          <w:color w:val="000000"/>
          <w:sz w:val="18"/>
          <w:szCs w:val="18"/>
        </w:rPr>
      </w:pPr>
    </w:p>
    <w:p w14:paraId="5A9F0230" w14:textId="77777777" w:rsidR="00044645" w:rsidRDefault="00044645" w:rsidP="00044645">
      <w:pPr>
        <w:pStyle w:val="Textonotapie"/>
        <w:ind w:firstLine="709"/>
        <w:jc w:val="both"/>
        <w:rPr>
          <w:rFonts w:ascii="Verdana" w:hAnsi="Verdana" w:cs="Arial"/>
          <w:color w:val="000000"/>
          <w:sz w:val="18"/>
          <w:szCs w:val="18"/>
        </w:rPr>
      </w:pPr>
      <w:r w:rsidRPr="00720316">
        <w:rPr>
          <w:rStyle w:val="Refdenotaalpie"/>
          <w:rFonts w:ascii="Verdana" w:hAnsi="Verdana" w:cs="Arial"/>
          <w:color w:val="000000"/>
          <w:sz w:val="18"/>
          <w:szCs w:val="18"/>
        </w:rPr>
        <w:footnoteRef/>
      </w:r>
      <w:r w:rsidRPr="00720316">
        <w:rPr>
          <w:rFonts w:ascii="Verdana" w:hAnsi="Verdana" w:cs="Arial"/>
          <w:color w:val="000000"/>
          <w:sz w:val="18"/>
          <w:szCs w:val="18"/>
        </w:rPr>
        <w:t xml:space="preserve"> CONSEJO DE ESTADO. Sala de Consulta y Servicio Civil. Concepto de 28 de </w:t>
      </w:r>
      <w:proofErr w:type="gramStart"/>
      <w:r w:rsidRPr="00720316">
        <w:rPr>
          <w:rFonts w:ascii="Verdana" w:hAnsi="Verdana" w:cs="Arial"/>
          <w:color w:val="000000"/>
          <w:sz w:val="18"/>
          <w:szCs w:val="18"/>
        </w:rPr>
        <w:t>Junio</w:t>
      </w:r>
      <w:proofErr w:type="gramEnd"/>
      <w:r w:rsidRPr="00720316">
        <w:rPr>
          <w:rFonts w:ascii="Verdana" w:hAnsi="Verdana" w:cs="Arial"/>
          <w:color w:val="000000"/>
          <w:sz w:val="18"/>
          <w:szCs w:val="18"/>
        </w:rPr>
        <w:t xml:space="preserve"> de 2016. Radicación: 2253. C.P. Álvaro Namén Vargas. </w:t>
      </w:r>
    </w:p>
    <w:p w14:paraId="2123BFE2" w14:textId="77777777" w:rsidR="00044645" w:rsidRPr="00720316" w:rsidRDefault="00044645" w:rsidP="00044645">
      <w:pPr>
        <w:pStyle w:val="Textonotapie"/>
        <w:ind w:firstLine="709"/>
        <w:jc w:val="both"/>
        <w:rPr>
          <w:rFonts w:ascii="Verdana" w:hAnsi="Verdana" w:cs="Arial"/>
          <w:color w:val="000000"/>
          <w:sz w:val="18"/>
          <w:szCs w:val="18"/>
        </w:rPr>
      </w:pPr>
    </w:p>
  </w:footnote>
  <w:footnote w:id="7">
    <w:p w14:paraId="73850FC6" w14:textId="77777777" w:rsidR="00044645" w:rsidRPr="00720316" w:rsidRDefault="00044645" w:rsidP="00044645">
      <w:pPr>
        <w:pStyle w:val="Textonotapie"/>
        <w:ind w:firstLine="709"/>
        <w:jc w:val="both"/>
        <w:rPr>
          <w:rFonts w:ascii="Verdana" w:hAnsi="Verdana"/>
          <w:color w:val="000000"/>
          <w:sz w:val="18"/>
          <w:szCs w:val="18"/>
          <w:lang w:val="es-ES"/>
        </w:rPr>
      </w:pPr>
      <w:r w:rsidRPr="00720316">
        <w:rPr>
          <w:rStyle w:val="Refdenotaalpie"/>
          <w:rFonts w:ascii="Verdana" w:hAnsi="Verdana" w:cs="Arial"/>
          <w:color w:val="000000"/>
          <w:sz w:val="18"/>
          <w:szCs w:val="18"/>
        </w:rPr>
        <w:footnoteRef/>
      </w:r>
      <w:r w:rsidRPr="00720316">
        <w:rPr>
          <w:rFonts w:ascii="Verdana" w:hAnsi="Verdana" w:cs="Arial"/>
          <w:color w:val="000000"/>
          <w:sz w:val="18"/>
          <w:szCs w:val="18"/>
        </w:rPr>
        <w:t xml:space="preserve"> CONSEJO DE ESTADO. Sección Tercera. </w:t>
      </w:r>
      <w:r w:rsidRPr="00720316">
        <w:rPr>
          <w:rFonts w:ascii="Verdana" w:hAnsi="Verdana" w:cs="Arial"/>
          <w:color w:val="000000"/>
          <w:sz w:val="18"/>
          <w:szCs w:val="18"/>
          <w:lang w:val="es-CO"/>
        </w:rPr>
        <w:t xml:space="preserve">Sala Plena. Auto del 1 de agosto de 2019. </w:t>
      </w:r>
      <w:r w:rsidRPr="00720316">
        <w:rPr>
          <w:rFonts w:ascii="Verdana" w:hAnsi="Verdana" w:cs="Arial"/>
          <w:color w:val="000000"/>
          <w:sz w:val="18"/>
          <w:szCs w:val="18"/>
        </w:rPr>
        <w:t xml:space="preserve">Exp. 62009. C.P. Jaime Enrique Rodríguez Navas. </w:t>
      </w:r>
      <w:r w:rsidRPr="00720316">
        <w:rPr>
          <w:rFonts w:ascii="Verdana" w:hAnsi="Verdana"/>
          <w:color w:val="000000"/>
          <w:sz w:val="18"/>
          <w:szCs w:val="18"/>
          <w:lang w:val="es-ES"/>
        </w:rPr>
        <w:t xml:space="preserve"> </w:t>
      </w:r>
    </w:p>
  </w:footnote>
  <w:footnote w:id="8">
    <w:p w14:paraId="52BB147E" w14:textId="77777777" w:rsidR="00044645" w:rsidRDefault="00044645" w:rsidP="00044645">
      <w:pPr>
        <w:pStyle w:val="Textonotapie"/>
        <w:ind w:firstLine="709"/>
        <w:jc w:val="both"/>
        <w:rPr>
          <w:rFonts w:ascii="Verdana" w:hAnsi="Verdana" w:cs="Arial"/>
          <w:sz w:val="18"/>
          <w:szCs w:val="18"/>
        </w:rPr>
      </w:pPr>
      <w:r w:rsidRPr="00720316">
        <w:rPr>
          <w:rStyle w:val="Refdenotaalpie"/>
          <w:rFonts w:ascii="Verdana" w:hAnsi="Verdana" w:cs="Arial"/>
          <w:sz w:val="18"/>
          <w:szCs w:val="18"/>
        </w:rPr>
        <w:footnoteRef/>
      </w:r>
      <w:r w:rsidRPr="00720316">
        <w:rPr>
          <w:rFonts w:ascii="Verdana" w:hAnsi="Verdana" w:cs="Arial"/>
          <w:sz w:val="18"/>
          <w:szCs w:val="18"/>
        </w:rPr>
        <w:t xml:space="preserve"> DÍAZ DÍEZ, La liquidación… Op. cit., pp. 255-256.</w:t>
      </w:r>
    </w:p>
    <w:p w14:paraId="6E0DFF76" w14:textId="77777777" w:rsidR="00044645" w:rsidRPr="00720316" w:rsidRDefault="00044645" w:rsidP="00044645">
      <w:pPr>
        <w:pStyle w:val="Textonotapie"/>
        <w:ind w:firstLine="709"/>
        <w:jc w:val="both"/>
        <w:rPr>
          <w:rFonts w:ascii="Verdana" w:hAnsi="Verdana" w:cs="Arial"/>
          <w:sz w:val="18"/>
          <w:szCs w:val="18"/>
        </w:rPr>
      </w:pPr>
    </w:p>
  </w:footnote>
  <w:footnote w:id="9">
    <w:p w14:paraId="2A0E3BF8" w14:textId="77777777" w:rsidR="00044645" w:rsidRPr="00720316" w:rsidRDefault="00044645" w:rsidP="00044645">
      <w:pPr>
        <w:pStyle w:val="Textonotapie"/>
        <w:ind w:firstLine="709"/>
        <w:jc w:val="both"/>
        <w:rPr>
          <w:rFonts w:ascii="Verdana" w:hAnsi="Verdana" w:cs="Arial"/>
          <w:sz w:val="18"/>
          <w:szCs w:val="18"/>
        </w:rPr>
      </w:pPr>
      <w:r w:rsidRPr="00720316">
        <w:rPr>
          <w:rStyle w:val="Refdenotaalpie"/>
          <w:rFonts w:ascii="Verdana" w:hAnsi="Verdana" w:cs="Arial"/>
          <w:sz w:val="18"/>
          <w:szCs w:val="18"/>
        </w:rPr>
        <w:footnoteRef/>
      </w:r>
      <w:r w:rsidRPr="00720316">
        <w:rPr>
          <w:rFonts w:ascii="Verdana" w:hAnsi="Verdana" w:cs="Arial"/>
          <w:sz w:val="18"/>
          <w:szCs w:val="18"/>
        </w:rPr>
        <w:t xml:space="preserve"> </w:t>
      </w:r>
      <w:r w:rsidRPr="00720316">
        <w:rPr>
          <w:rFonts w:ascii="Verdana" w:hAnsi="Verdana" w:cs="Arial"/>
          <w:sz w:val="18"/>
          <w:szCs w:val="18"/>
          <w:lang w:val="es-ES"/>
        </w:rPr>
        <w:t xml:space="preserve">En efecto, “[…] </w:t>
      </w:r>
      <w:r w:rsidRPr="00720316">
        <w:rPr>
          <w:rFonts w:ascii="Verdana" w:hAnsi="Verdana" w:cs="Arial"/>
          <w:i/>
          <w:iCs/>
          <w:sz w:val="18"/>
          <w:szCs w:val="18"/>
          <w:lang w:val="es-ES"/>
        </w:rPr>
        <w:t>no toda finalización de un plazo contractual tiene carácter extintivo del negocio, sino que la regla general es que el contrato permanezca vigente cuando se encuentre pendiente el cumplimiento de las obligaciones a cargo de las partes, así se haya colocado en estado de liquidación</w:t>
      </w:r>
      <w:r w:rsidRPr="00720316">
        <w:rPr>
          <w:rFonts w:ascii="Verdana" w:hAnsi="Verdana" w:cs="Arial"/>
          <w:sz w:val="18"/>
          <w:szCs w:val="18"/>
          <w:lang w:val="es-ES"/>
        </w:rPr>
        <w:t>. Esta es la idea que apoya la conclusión según la cual a pesar de que haya vencido el plazo, sin haberse liquidado el negocio, es viable que se conmine al contratista por medio de la multa o se le imponga la cláusula penal pecuniaria previa declaratoria de incumplimiento, pues al tenor del artículo 17 de la ley 1150 de 2007, tales facultades, únicamente, son procedentes “mientras se halle pendiente la ejecución de las obligaciones a cargo del contratista”, incumplimiento que, incluso, puede prologarse –como de hecho sucede, a veces, en la práctica– hasta la etapa de liquidación del contrato, es decir, superando la fecha, por ejemplo, de finalización del plazo inicial o con sus adiciones” [</w:t>
      </w:r>
      <w:r w:rsidRPr="00720316">
        <w:rPr>
          <w:rFonts w:ascii="Verdana" w:hAnsi="Verdana" w:cs="Arial"/>
          <w:sz w:val="18"/>
          <w:szCs w:val="18"/>
        </w:rPr>
        <w:t>DÍAZ DÍEZ, Cristian Andrés. La liquidación. Medellín: Librería Jurídica Sánchez – Centro de Estudios de Derecho Administrativo, 2013. pp. 66-67. Énfasis fuera de texto].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F545C" w14:textId="77777777" w:rsidR="00044645" w:rsidRDefault="00044645"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0288" behindDoc="1" locked="0" layoutInCell="1" allowOverlap="1" wp14:anchorId="30EE2091" wp14:editId="3A643A6F">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rPr>
      <w:drawing>
        <wp:anchor distT="0" distB="0" distL="114300" distR="114300" simplePos="0" relativeHeight="251659264" behindDoc="0" locked="0" layoutInCell="1" allowOverlap="1" wp14:anchorId="32229369" wp14:editId="737DE9E0">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6FF44142" w14:textId="77777777" w:rsidR="00044645" w:rsidRDefault="00044645">
    <w:pPr>
      <w:pStyle w:val="Encabezado"/>
    </w:pPr>
  </w:p>
  <w:p w14:paraId="08787A4A" w14:textId="77777777" w:rsidR="00044645" w:rsidRPr="004A305D" w:rsidRDefault="00044645" w:rsidP="00B01B1A">
    <w:pPr>
      <w:spacing w:after="0" w:line="120" w:lineRule="auto"/>
      <w:rPr>
        <w:rFonts w:ascii="Century Gothic" w:eastAsia="Geo" w:hAnsi="Century Gothic" w:cs="Geo"/>
        <w:sz w:val="16"/>
        <w:szCs w:val="16"/>
        <w:lang w:eastAsia="es-CO"/>
      </w:rPr>
    </w:pPr>
  </w:p>
  <w:p w14:paraId="10F81F5C" w14:textId="77777777" w:rsidR="00044645" w:rsidRDefault="00044645" w:rsidP="00844AE9">
    <w:pPr>
      <w:spacing w:after="0" w:line="240" w:lineRule="auto"/>
      <w:rPr>
        <w:rFonts w:ascii="Verdana" w:hAnsi="Verdana"/>
        <w:sz w:val="24"/>
        <w:szCs w:val="24"/>
      </w:rPr>
    </w:pPr>
  </w:p>
  <w:p w14:paraId="19D7C1EC" w14:textId="77777777" w:rsidR="00044645" w:rsidRPr="00C925AC" w:rsidRDefault="00044645" w:rsidP="00844AE9">
    <w:pPr>
      <w:spacing w:after="0" w:line="240" w:lineRule="auto"/>
      <w:rPr>
        <w:rFonts w:ascii="Verdana" w:hAnsi="Verdana"/>
        <w:sz w:val="24"/>
        <w:szCs w:val="24"/>
      </w:rPr>
    </w:pPr>
  </w:p>
  <w:p w14:paraId="053748BD" w14:textId="77777777" w:rsidR="00044645" w:rsidRPr="00C925AC" w:rsidRDefault="00044645"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831753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645"/>
    <w:rsid w:val="00044645"/>
    <w:rsid w:val="00534B6E"/>
    <w:rsid w:val="0088081B"/>
    <w:rsid w:val="008C40A6"/>
    <w:rsid w:val="009001A0"/>
    <w:rsid w:val="00BF4918"/>
    <w:rsid w:val="00DB464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EB60C"/>
  <w15:chartTrackingRefBased/>
  <w15:docId w15:val="{621BCB09-2D93-405B-909F-053A7914E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645"/>
    <w:pPr>
      <w:spacing w:line="259" w:lineRule="auto"/>
    </w:pPr>
    <w:rPr>
      <w:kern w:val="0"/>
      <w:sz w:val="22"/>
      <w:szCs w:val="22"/>
      <w14:ligatures w14:val="none"/>
    </w:rPr>
  </w:style>
  <w:style w:type="paragraph" w:styleId="Ttulo1">
    <w:name w:val="heading 1"/>
    <w:basedOn w:val="Normal"/>
    <w:next w:val="Normal"/>
    <w:link w:val="Ttulo1Car"/>
    <w:uiPriority w:val="9"/>
    <w:qFormat/>
    <w:rsid w:val="000446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446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4464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4464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4464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4464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4464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4464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4464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4464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4464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4464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4464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4464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4464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4464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4464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44645"/>
    <w:rPr>
      <w:rFonts w:eastAsiaTheme="majorEastAsia" w:cstheme="majorBidi"/>
      <w:color w:val="272727" w:themeColor="text1" w:themeTint="D8"/>
    </w:rPr>
  </w:style>
  <w:style w:type="paragraph" w:styleId="Ttulo">
    <w:name w:val="Title"/>
    <w:basedOn w:val="Normal"/>
    <w:next w:val="Normal"/>
    <w:link w:val="TtuloCar"/>
    <w:uiPriority w:val="10"/>
    <w:qFormat/>
    <w:rsid w:val="000446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4464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4464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4464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44645"/>
    <w:pPr>
      <w:spacing w:before="160"/>
      <w:jc w:val="center"/>
    </w:pPr>
    <w:rPr>
      <w:i/>
      <w:iCs/>
      <w:color w:val="404040" w:themeColor="text1" w:themeTint="BF"/>
    </w:rPr>
  </w:style>
  <w:style w:type="character" w:customStyle="1" w:styleId="CitaCar">
    <w:name w:val="Cita Car"/>
    <w:basedOn w:val="Fuentedeprrafopredeter"/>
    <w:link w:val="Cita"/>
    <w:uiPriority w:val="29"/>
    <w:rsid w:val="00044645"/>
    <w:rPr>
      <w:i/>
      <w:iCs/>
      <w:color w:val="404040" w:themeColor="text1" w:themeTint="BF"/>
    </w:rPr>
  </w:style>
  <w:style w:type="paragraph" w:styleId="Prrafodelista">
    <w:name w:val="List Paragraph"/>
    <w:basedOn w:val="Normal"/>
    <w:uiPriority w:val="34"/>
    <w:qFormat/>
    <w:rsid w:val="00044645"/>
    <w:pPr>
      <w:ind w:left="720"/>
      <w:contextualSpacing/>
    </w:pPr>
  </w:style>
  <w:style w:type="character" w:styleId="nfasisintenso">
    <w:name w:val="Intense Emphasis"/>
    <w:basedOn w:val="Fuentedeprrafopredeter"/>
    <w:uiPriority w:val="21"/>
    <w:qFormat/>
    <w:rsid w:val="00044645"/>
    <w:rPr>
      <w:i/>
      <w:iCs/>
      <w:color w:val="0F4761" w:themeColor="accent1" w:themeShade="BF"/>
    </w:rPr>
  </w:style>
  <w:style w:type="paragraph" w:styleId="Citadestacada">
    <w:name w:val="Intense Quote"/>
    <w:basedOn w:val="Normal"/>
    <w:next w:val="Normal"/>
    <w:link w:val="CitadestacadaCar"/>
    <w:uiPriority w:val="30"/>
    <w:qFormat/>
    <w:rsid w:val="000446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44645"/>
    <w:rPr>
      <w:i/>
      <w:iCs/>
      <w:color w:val="0F4761" w:themeColor="accent1" w:themeShade="BF"/>
    </w:rPr>
  </w:style>
  <w:style w:type="character" w:styleId="Referenciaintensa">
    <w:name w:val="Intense Reference"/>
    <w:basedOn w:val="Fuentedeprrafopredeter"/>
    <w:uiPriority w:val="32"/>
    <w:qFormat/>
    <w:rsid w:val="00044645"/>
    <w:rPr>
      <w:b/>
      <w:bCs/>
      <w:smallCaps/>
      <w:color w:val="0F4761" w:themeColor="accent1" w:themeShade="BF"/>
      <w:spacing w:val="5"/>
    </w:rPr>
  </w:style>
  <w:style w:type="paragraph" w:styleId="Encabezado">
    <w:name w:val="header"/>
    <w:basedOn w:val="Normal"/>
    <w:link w:val="EncabezadoCar"/>
    <w:uiPriority w:val="99"/>
    <w:unhideWhenUsed/>
    <w:rsid w:val="0004464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44645"/>
    <w:rPr>
      <w:kern w:val="0"/>
      <w:sz w:val="22"/>
      <w:szCs w:val="22"/>
      <w14:ligatures w14:val="none"/>
    </w:rPr>
  </w:style>
  <w:style w:type="paragraph" w:styleId="Piedepgina">
    <w:name w:val="footer"/>
    <w:basedOn w:val="Normal"/>
    <w:link w:val="PiedepginaCar"/>
    <w:uiPriority w:val="99"/>
    <w:unhideWhenUsed/>
    <w:rsid w:val="0004464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44645"/>
    <w:rPr>
      <w:kern w:val="0"/>
      <w:sz w:val="22"/>
      <w:szCs w:val="22"/>
      <w14:ligatures w14:val="none"/>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044645"/>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044645"/>
    <w:pPr>
      <w:spacing w:after="0" w:line="240" w:lineRule="auto"/>
    </w:pPr>
    <w:rPr>
      <w:kern w:val="2"/>
      <w:sz w:val="20"/>
      <w:szCs w:val="20"/>
      <w:lang w:val="es-MX"/>
      <w14:ligatures w14:val="standardContextual"/>
    </w:rPr>
  </w:style>
  <w:style w:type="character" w:customStyle="1" w:styleId="TextonotapieCar1">
    <w:name w:val="Texto nota pie Car1"/>
    <w:basedOn w:val="Fuentedeprrafopredeter"/>
    <w:uiPriority w:val="99"/>
    <w:semiHidden/>
    <w:rsid w:val="00044645"/>
    <w:rPr>
      <w:kern w:val="0"/>
      <w:sz w:val="20"/>
      <w:szCs w:val="20"/>
      <w14:ligatures w14:val="none"/>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044645"/>
    <w:rPr>
      <w:vertAlign w:val="superscript"/>
    </w:rPr>
  </w:style>
  <w:style w:type="table" w:styleId="Tablaconcuadrcula">
    <w:name w:val="Table Grid"/>
    <w:basedOn w:val="Tablanormal"/>
    <w:uiPriority w:val="39"/>
    <w:qFormat/>
    <w:rsid w:val="0004464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044645"/>
    <w:rPr>
      <w:color w:val="0000FF"/>
      <w:u w:val="single"/>
    </w:rPr>
  </w:style>
  <w:style w:type="paragraph" w:customStyle="1" w:styleId="Appelnotedebasde">
    <w:name w:val="Appel note de bas de..."/>
    <w:basedOn w:val="Normal"/>
    <w:link w:val="Refdenotaalpie"/>
    <w:uiPriority w:val="99"/>
    <w:rsid w:val="00044645"/>
    <w:pPr>
      <w:spacing w:line="240" w:lineRule="exact"/>
    </w:pPr>
    <w:rPr>
      <w:kern w:val="2"/>
      <w:sz w:val="24"/>
      <w:szCs w:val="24"/>
      <w:vertAlign w:val="superscript"/>
      <w14:ligatures w14:val="standardContextual"/>
    </w:rPr>
  </w:style>
  <w:style w:type="table" w:customStyle="1" w:styleId="Tablaconcuadrcula11">
    <w:name w:val="Tabla con cuadrícula11"/>
    <w:basedOn w:val="Tablanormal"/>
    <w:next w:val="Tablaconcuadrcula"/>
    <w:uiPriority w:val="59"/>
    <w:qFormat/>
    <w:rsid w:val="0004464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relatoria.colombiacompra.gov.co/"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colombiacompra.gov.co/sites/cce_public/files/cce_documents/cce_guia_liquidacion_procesos.pdf" TargetMode="External"/><Relationship Id="rId17" Type="http://schemas.openxmlformats.org/officeDocument/2006/relationships/hyperlink" Target="https://www.colombiacompra.gov.co/archivos/boletin/boletin-edicion-n-3-de-2026-radar-de-la-compra-publica"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nasly.mosquera%40colombiacompra.gov.co%7C7128555136e04fa6887d08dee99e1b50%7C7b09041e245149d08cb179d5e3d8c1be%7C0%7C0%7C639205062451781137%7CUnknown%7CTWFpbGZsb3d8eyJFbXB0eU1hcGkiOnRydWUsIlYiOiIwLjAuMDAwMCIsIlAiOiJXaW4zMiIsIkFOIjoiTWFpbCIsIldUIjoyfQ%3D%3D%7C0%7C%7C%7C&amp;sdata=SXRTp2tiejOc5p2GVUwQiVeHZcjBX97o%2BwIhu4ngMCc%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riaisabelgil@hotmail.com"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circular%2Fcircular-externa-003-de-2026&amp;data=05%7C02%7Cnasly.mosquera%40colombiacompra.gov.co%7C7128555136e04fa6887d08dee99e1b50%7C7b09041e245149d08cb179d5e3d8c1be%7C0%7C0%7C639205062451758910%7CUnknown%7CTWFpbGZsb3d8eyJFbXB0eU1hcGkiOnRydWUsIlYiOiIwLjAuMDAwMCIsIlAiOiJXaW4zMiIsIkFOIjoiTWFpbCIsIldUIjoyfQ%3D%3D%7C0%7C%7C%7C&amp;sdata=OPnXajpdAyoK0A6MfQYru7F7qDuDOdN2UPaU0NJQ1Gk%3D&amp;reserved=0" TargetMode="Externa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www.colombiacompra.gov.co%2Farchivos%2Fmanual%2Fguia-de-garantias-en-procesos-de-contratacion&amp;data=05%7C02%7Cnasly.mosquera%40colombiacompra.gov.co%7C7128555136e04fa6887d08dee99e1b50%7C7b09041e245149d08cb179d5e3d8c1be%7C0%7C0%7C639205062451728331%7CUnknown%7CTWFpbGZsb3d8eyJFbXB0eU1hcGkiOnRydWUsIlYiOiIwLjAuMDAwMCIsIlAiOiJXaW4zMiIsIkFOIjoiTWFpbCIsIldUIjoyfQ%3D%3D%7C0%7C%7C%7C&amp;sdata=mpBUgI4TXQKUTiyJ3t%2BZk2bDWYkbeNUXbMTuRbUjxuA%3D&amp;reserved=0"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cceficiente.sharepoint.com/sites/SGDEA/TRD_254/EXPEDIENTE_1668/DOCUMENTO_407171/DOCUMENTO_407171.docx"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36DDEF-BAAA-4C93-BD42-E3B1A674E3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A9F32F-94FD-4528-8D3E-556921713D48}">
  <ds:schemaRefs>
    <ds:schemaRef ds:uri="http://schemas.microsoft.com/sharepoint/v3/contenttype/forms"/>
  </ds:schemaRefs>
</ds:datastoreItem>
</file>

<file path=customXml/itemProps3.xml><?xml version="1.0" encoding="utf-8"?>
<ds:datastoreItem xmlns:ds="http://schemas.openxmlformats.org/officeDocument/2006/customXml" ds:itemID="{84DB7E5F-5E42-41CD-BEB1-1D8F048A5418}">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4930</Words>
  <Characters>27119</Characters>
  <Application>Microsoft Office Word</Application>
  <DocSecurity>0</DocSecurity>
  <Lines>225</Lines>
  <Paragraphs>63</Paragraphs>
  <ScaleCrop>false</ScaleCrop>
  <Company/>
  <LinksUpToDate>false</LinksUpToDate>
  <CharactersWithSpaces>31986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Nasly Yeana Mosquera Rivas</dc:creator>
  <cp:keywords/>
  <dc:description/>
  <cp:lastModifiedBy>Nasly Yeana Mosquera Rivas</cp:lastModifiedBy>
  <cp:revision>2</cp:revision>
  <dcterms:created xsi:type="dcterms:W3CDTF">2026-08-13T15:30:00Z</dcterms:created>
  <dcterms:modified xsi:type="dcterms:W3CDTF">2026-08-13T15:30:00Z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