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C32FA" w14:textId="77777777" w:rsidR="00591D87" w:rsidRPr="00240EA6" w:rsidRDefault="00591D87" w:rsidP="30821638">
      <w:pPr>
        <w:spacing w:after="0"/>
        <w:rPr>
          <w:rFonts w:ascii="Verdana" w:hAnsi="Verdana" w:cs="Arial"/>
          <w:b/>
          <w:bCs/>
          <w:lang w:val="es-ES" w:eastAsia="es-ES"/>
        </w:rPr>
      </w:pPr>
      <w:bookmarkStart w:id="0" w:name="_Hlk143780582"/>
    </w:p>
    <w:p w14:paraId="52C6B0DB" w14:textId="77777777" w:rsidR="00240EA6" w:rsidRDefault="00240EA6" w:rsidP="30821638">
      <w:pPr>
        <w:spacing w:after="0"/>
        <w:rPr>
          <w:rFonts w:ascii="Verdana" w:hAnsi="Verdana" w:cs="Arial"/>
          <w:b/>
          <w:bCs/>
          <w:lang w:eastAsia="es-ES"/>
        </w:rPr>
      </w:pPr>
      <w:r w:rsidRPr="00240EA6">
        <w:rPr>
          <w:rFonts w:ascii="Verdana" w:hAnsi="Verdana" w:cs="Arial"/>
          <w:b/>
          <w:bCs/>
          <w:lang w:eastAsia="es-ES"/>
        </w:rPr>
        <w:t>ACTA DE TERMINACIÓN – Noción – Finalidad</w:t>
      </w:r>
    </w:p>
    <w:p w14:paraId="3D703B1E" w14:textId="77777777" w:rsidR="00240EA6" w:rsidRDefault="00240EA6" w:rsidP="30821638">
      <w:pPr>
        <w:spacing w:after="0"/>
        <w:rPr>
          <w:rFonts w:ascii="Verdana" w:hAnsi="Verdana" w:cs="Arial"/>
          <w:b/>
          <w:bCs/>
          <w:lang w:eastAsia="es-ES"/>
        </w:rPr>
      </w:pPr>
    </w:p>
    <w:p w14:paraId="12CDF15C" w14:textId="4EE7D642" w:rsidR="00384DDE" w:rsidRDefault="00384DDE" w:rsidP="00384DDE">
      <w:pPr>
        <w:spacing w:line="240" w:lineRule="auto"/>
        <w:jc w:val="both"/>
        <w:rPr>
          <w:rFonts w:ascii="Verdana" w:eastAsia="Calibri" w:hAnsi="Verdana" w:cs="Arial"/>
          <w:sz w:val="20"/>
          <w:szCs w:val="20"/>
          <w:lang w:val="es-ES"/>
        </w:rPr>
      </w:pPr>
      <w:r w:rsidRPr="008E599F">
        <w:rPr>
          <w:rFonts w:ascii="Verdana" w:eastAsia="Calibri" w:hAnsi="Verdana" w:cs="Arial"/>
          <w:sz w:val="20"/>
          <w:szCs w:val="20"/>
          <w:lang w:val="es-ES"/>
        </w:rPr>
        <w:t xml:space="preserve">En el contexto de la contratación, las expresiones “acta de liquidación” y “acta de terminación”, no resultan sinónimos. Mientras que la primera hace referencia refiere a la liquidación del contrato en los términos regulados por los artículos 60 de la Ley 80 de 1993 y 11 Ley 1150 de 2007, la segunda alude un documento que suele utilizarse en contratos de tracto sucesivo como una constancia de la terminación del plazo de ejecución del contrato, en la que bien se puede dejar constancia de circunstancias de tiempo, modo y lugar alusivas al desarrollo del contrato, sin que ello necesariamente suponga la liquidación del contrato. </w:t>
      </w:r>
    </w:p>
    <w:p w14:paraId="136B21CC" w14:textId="77777777" w:rsidR="000905F4" w:rsidRDefault="000905F4" w:rsidP="000905F4">
      <w:pPr>
        <w:spacing w:after="0"/>
        <w:rPr>
          <w:rFonts w:ascii="Verdana" w:hAnsi="Verdana" w:cs="Arial"/>
          <w:b/>
          <w:bCs/>
          <w:lang w:eastAsia="es-ES"/>
        </w:rPr>
      </w:pPr>
    </w:p>
    <w:p w14:paraId="0FFC4B6E" w14:textId="77777777" w:rsidR="000905F4" w:rsidRPr="00240EA6" w:rsidRDefault="000905F4" w:rsidP="000905F4">
      <w:pPr>
        <w:spacing w:after="0"/>
        <w:rPr>
          <w:rFonts w:ascii="Verdana" w:hAnsi="Verdana" w:cs="Arial"/>
          <w:b/>
          <w:bCs/>
          <w:lang w:val="es-ES" w:eastAsia="es-ES"/>
        </w:rPr>
      </w:pPr>
      <w:r w:rsidRPr="00240EA6">
        <w:rPr>
          <w:rFonts w:ascii="Verdana" w:hAnsi="Verdana" w:cs="Arial"/>
          <w:b/>
          <w:bCs/>
          <w:lang w:eastAsia="es-ES"/>
        </w:rPr>
        <w:t>ACTAS DEL CONTRATO – Acta de liquidación – Acta de terminación – Constancia de cierre – Diferencias</w:t>
      </w:r>
    </w:p>
    <w:p w14:paraId="36A69D6B" w14:textId="77777777" w:rsidR="00384DDE" w:rsidRPr="008E599F" w:rsidRDefault="00384DDE" w:rsidP="00384DDE">
      <w:pPr>
        <w:spacing w:line="240" w:lineRule="auto"/>
        <w:jc w:val="both"/>
        <w:rPr>
          <w:rFonts w:ascii="Verdana" w:eastAsia="Calibri" w:hAnsi="Verdana" w:cs="Arial"/>
          <w:sz w:val="20"/>
          <w:szCs w:val="20"/>
          <w:lang w:val="es-ES"/>
        </w:rPr>
      </w:pPr>
    </w:p>
    <w:p w14:paraId="482AF396" w14:textId="77777777" w:rsidR="00384DDE" w:rsidRPr="008E599F" w:rsidRDefault="00384DDE" w:rsidP="00384DDE">
      <w:pPr>
        <w:spacing w:after="120" w:line="240" w:lineRule="auto"/>
        <w:jc w:val="both"/>
        <w:rPr>
          <w:rFonts w:ascii="Verdana" w:eastAsia="Calibri" w:hAnsi="Verdana" w:cs="Arial"/>
          <w:sz w:val="20"/>
          <w:szCs w:val="20"/>
        </w:rPr>
      </w:pPr>
      <w:r w:rsidRPr="008E599F">
        <w:rPr>
          <w:rFonts w:ascii="Verdana" w:eastAsia="Calibri" w:hAnsi="Verdana" w:cs="Arial"/>
          <w:sz w:val="20"/>
          <w:szCs w:val="20"/>
          <w:lang w:val="es-ES"/>
        </w:rPr>
        <w:t xml:space="preserve">[…] </w:t>
      </w:r>
      <w:r w:rsidRPr="008E599F">
        <w:rPr>
          <w:rFonts w:ascii="Verdana" w:eastAsia="Calibri" w:hAnsi="Verdana" w:cs="Arial"/>
          <w:sz w:val="20"/>
          <w:szCs w:val="20"/>
        </w:rPr>
        <w:t>La suscripción del acta de terminación de un convenio interadministrativo no constituye, en sentido estricto, un requisito legal obligatorio para proceder a la liquidación del contrato estatal. Lo esencial es que el contrato haya finalizado, ya sea por vencimiento del plazo, cumplimiento del objeto, terminación anticipada u otra causal, pues la liquidación tiene como presupuesto la extinción del vínculo contractual, mediante la cual se realiza el cruce de cuentas entre las partes y se deja constancia de los acuerdos a que haya lugar.</w:t>
      </w:r>
    </w:p>
    <w:p w14:paraId="32CF9CD5" w14:textId="77777777" w:rsidR="00384DDE" w:rsidRPr="008E599F" w:rsidRDefault="00384DDE" w:rsidP="00384DDE">
      <w:pPr>
        <w:spacing w:line="240" w:lineRule="auto"/>
        <w:jc w:val="both"/>
        <w:rPr>
          <w:rFonts w:ascii="Verdana" w:eastAsia="Calibri" w:hAnsi="Verdana" w:cs="Arial"/>
          <w:sz w:val="20"/>
          <w:szCs w:val="20"/>
        </w:rPr>
      </w:pPr>
      <w:r w:rsidRPr="008E599F">
        <w:rPr>
          <w:rFonts w:ascii="Verdana" w:eastAsia="Calibri" w:hAnsi="Verdana" w:cs="Arial"/>
          <w:sz w:val="20"/>
          <w:szCs w:val="20"/>
        </w:rPr>
        <w:t>En ese sentido, para la Agencia, la existencia de un acta de terminación no es obligatoria; no obstante, su suscripción por parte de las entidades estatales, previa a la liquidación, constituye una práctica recomendable y ampliamente utilizada, en la medida en que permite dejar constancia formal del momento y de las condiciones en que finaliza la ejecución contractual, contribuyendo a la adecuada gestión contractual y a la prevención de controversias.</w:t>
      </w:r>
    </w:p>
    <w:p w14:paraId="6FF07EFD" w14:textId="77777777" w:rsidR="00240EA6" w:rsidRDefault="00240EA6" w:rsidP="30821638">
      <w:pPr>
        <w:spacing w:after="0"/>
        <w:rPr>
          <w:rFonts w:ascii="Verdana" w:hAnsi="Verdana" w:cs="Arial"/>
          <w:b/>
          <w:bCs/>
          <w:lang w:eastAsia="es-ES"/>
        </w:rPr>
      </w:pPr>
    </w:p>
    <w:p w14:paraId="778802F4" w14:textId="69B3DA52" w:rsidR="00591D87" w:rsidRPr="000905F4" w:rsidRDefault="000905F4" w:rsidP="30821638">
      <w:pPr>
        <w:spacing w:after="0"/>
        <w:rPr>
          <w:rFonts w:ascii="Verdana" w:hAnsi="Verdana" w:cs="Arial"/>
          <w:b/>
          <w:bCs/>
          <w:lang w:val="es-ES" w:eastAsia="es-ES"/>
        </w:rPr>
      </w:pPr>
      <w:r w:rsidRPr="000905F4">
        <w:rPr>
          <w:rFonts w:ascii="Verdana" w:hAnsi="Verdana" w:cs="Arial"/>
          <w:b/>
          <w:bCs/>
          <w:lang w:eastAsia="es-ES"/>
        </w:rPr>
        <w:t>CIERRE DEL EXPEDIENTE DEL PROCESO – Constancia administrativa</w:t>
      </w:r>
    </w:p>
    <w:p w14:paraId="184DD82B" w14:textId="77777777" w:rsidR="00591D87" w:rsidRPr="000905F4" w:rsidRDefault="00591D87" w:rsidP="30821638">
      <w:pPr>
        <w:spacing w:after="0"/>
        <w:rPr>
          <w:rFonts w:ascii="Verdana" w:hAnsi="Verdana" w:cs="Arial"/>
          <w:b/>
          <w:bCs/>
          <w:lang w:val="es-ES" w:eastAsia="es-ES"/>
        </w:rPr>
      </w:pPr>
    </w:p>
    <w:p w14:paraId="6E676654" w14:textId="77777777" w:rsidR="00610D5C" w:rsidRPr="004A23CD" w:rsidRDefault="00610D5C" w:rsidP="00610D5C">
      <w:pPr>
        <w:tabs>
          <w:tab w:val="left" w:pos="3374"/>
        </w:tabs>
        <w:spacing w:after="0" w:line="240" w:lineRule="auto"/>
        <w:rPr>
          <w:rFonts w:ascii="Verdana" w:eastAsia="Calibri" w:hAnsi="Verdana" w:cs="Arial"/>
          <w:b/>
          <w:bCs/>
          <w:sz w:val="20"/>
          <w:szCs w:val="20"/>
        </w:rPr>
      </w:pPr>
    </w:p>
    <w:p w14:paraId="0FCD93B6" w14:textId="77777777" w:rsidR="00610D5C" w:rsidRPr="004A23CD" w:rsidRDefault="00610D5C" w:rsidP="00610D5C">
      <w:pPr>
        <w:tabs>
          <w:tab w:val="left" w:pos="3374"/>
        </w:tabs>
        <w:spacing w:after="0" w:line="240" w:lineRule="auto"/>
        <w:jc w:val="both"/>
        <w:rPr>
          <w:rFonts w:ascii="Verdana" w:eastAsia="Calibri" w:hAnsi="Verdana" w:cs="Arial"/>
          <w:sz w:val="20"/>
          <w:szCs w:val="20"/>
        </w:rPr>
      </w:pPr>
      <w:r w:rsidRPr="004A23CD">
        <w:rPr>
          <w:rFonts w:ascii="Verdana" w:eastAsia="Calibri" w:hAnsi="Verdana" w:cs="Arial"/>
          <w:sz w:val="20"/>
          <w:szCs w:val="20"/>
        </w:rPr>
        <w:t>En consecuencia, lo que resulta relevante para determinar si a la entidad le asiste o no el deber de hacer el cierre del expediente contractual, de acuerdo con la norma citada, consiste en determinar si se exigieron o no garantías de calidad, estabilidad o mantenimiento, o si la entidad estableció condiciones de disposición final o recuperación de las obras o bienes objeto del contrato. De no ser así, no es obligatorio que la entidad haga un cierre del expediente contractual.</w:t>
      </w:r>
    </w:p>
    <w:p w14:paraId="5CA875DF" w14:textId="77777777" w:rsidR="00610D5C" w:rsidRPr="004A23CD" w:rsidRDefault="00610D5C" w:rsidP="00610D5C">
      <w:pPr>
        <w:tabs>
          <w:tab w:val="left" w:pos="3374"/>
        </w:tabs>
        <w:spacing w:after="0" w:line="240" w:lineRule="auto"/>
        <w:jc w:val="both"/>
        <w:rPr>
          <w:rFonts w:ascii="Verdana" w:eastAsia="Calibri" w:hAnsi="Verdana" w:cs="Arial"/>
          <w:sz w:val="20"/>
          <w:szCs w:val="20"/>
        </w:rPr>
      </w:pPr>
    </w:p>
    <w:p w14:paraId="45BED429" w14:textId="77777777" w:rsidR="00610D5C" w:rsidRPr="004A23CD" w:rsidRDefault="00610D5C" w:rsidP="00610D5C">
      <w:pPr>
        <w:tabs>
          <w:tab w:val="left" w:pos="3374"/>
        </w:tabs>
        <w:spacing w:after="0" w:line="240" w:lineRule="auto"/>
        <w:jc w:val="both"/>
        <w:rPr>
          <w:rFonts w:ascii="Verdana" w:eastAsia="Calibri" w:hAnsi="Verdana" w:cs="Arial"/>
          <w:sz w:val="20"/>
          <w:szCs w:val="20"/>
        </w:rPr>
      </w:pPr>
      <w:r w:rsidRPr="004A23CD">
        <w:rPr>
          <w:rFonts w:ascii="Verdana" w:eastAsia="Calibri" w:hAnsi="Verdana" w:cs="Arial"/>
          <w:sz w:val="20"/>
          <w:szCs w:val="20"/>
        </w:rPr>
        <w:t xml:space="preserve">La norma, como se dijo previamente, establece que el cierre del expediente debe llevarse a cabo únicamente en dos eventos: i) cuando la administración establece condiciones de disposición final o recuperación ambiental de las obras o bienes; o ii) una vez vencidos </w:t>
      </w:r>
      <w:r w:rsidRPr="004A23CD">
        <w:rPr>
          <w:rFonts w:ascii="Verdana" w:eastAsia="Calibri" w:hAnsi="Verdana" w:cs="Arial"/>
          <w:sz w:val="20"/>
          <w:szCs w:val="20"/>
        </w:rPr>
        <w:lastRenderedPageBreak/>
        <w:t>los términos de las garantías de calidad, estabilidad y mantenimiento. En consecuencia, resulta irrelevante que el contrato tenga garantías diferentes a las previstas en el artículo 2.2.1.1.2.4.3 del Decreto 1082 de 2015, así las mismas se encuentren vigentes, pues, se insiste, la entidad únicamente deberá hacer el cierre del expediente cuando se vencen los términos de las garantías referidas en el mencionado artículo 2.2.1.1.2.4.3.</w:t>
      </w:r>
    </w:p>
    <w:p w14:paraId="77999097" w14:textId="77777777" w:rsidR="00591D87" w:rsidRPr="00610D5C" w:rsidRDefault="00591D87" w:rsidP="30821638">
      <w:pPr>
        <w:spacing w:after="0"/>
        <w:rPr>
          <w:rFonts w:ascii="Verdana" w:hAnsi="Verdana" w:cs="Arial"/>
          <w:b/>
          <w:bCs/>
          <w:lang w:eastAsia="es-ES"/>
        </w:rPr>
      </w:pPr>
    </w:p>
    <w:p w14:paraId="4E0F12D3" w14:textId="44D9EE58" w:rsidR="00315B9F" w:rsidRDefault="00315B9F" w:rsidP="30821638">
      <w:pPr>
        <w:spacing w:after="0"/>
        <w:rPr>
          <w:rFonts w:ascii="Verdana" w:hAnsi="Verdana" w:cs="Arial"/>
          <w:b/>
          <w:bCs/>
          <w:lang w:val="es-ES" w:eastAsia="es-ES"/>
        </w:rPr>
      </w:pPr>
      <w:r w:rsidRPr="00315B9F">
        <w:rPr>
          <w:rFonts w:ascii="Verdana" w:hAnsi="Verdana" w:cs="Arial"/>
          <w:b/>
          <w:bCs/>
          <w:lang w:val="es-ES" w:eastAsia="es-ES"/>
        </w:rPr>
        <w:t>CONTRATO DE PRESTACIÓN DE SERVICIOS – Definición – Contrato de prestación de servicios y de apoyo a la gestión</w:t>
      </w:r>
    </w:p>
    <w:p w14:paraId="2509C230" w14:textId="77777777" w:rsidR="00610D5C" w:rsidRDefault="00610D5C" w:rsidP="30821638">
      <w:pPr>
        <w:spacing w:after="0"/>
        <w:rPr>
          <w:rFonts w:ascii="Verdana" w:hAnsi="Verdana" w:cs="Arial"/>
          <w:b/>
          <w:bCs/>
          <w:lang w:val="es-ES" w:eastAsia="es-ES"/>
        </w:rPr>
      </w:pPr>
    </w:p>
    <w:p w14:paraId="6ED129E6" w14:textId="77777777" w:rsidR="00610D5C" w:rsidRPr="00315B9F" w:rsidRDefault="00610D5C" w:rsidP="30821638">
      <w:pPr>
        <w:spacing w:after="0"/>
        <w:rPr>
          <w:rFonts w:ascii="Verdana" w:eastAsia="Verdana" w:hAnsi="Verdana" w:cs="Verdana"/>
          <w:b/>
          <w:bCs/>
        </w:rPr>
      </w:pPr>
    </w:p>
    <w:p w14:paraId="55C30E98" w14:textId="77777777" w:rsidR="008B51E0" w:rsidRPr="009D4217" w:rsidRDefault="008B51E0" w:rsidP="008B51E0">
      <w:pPr>
        <w:spacing w:after="0" w:line="240" w:lineRule="auto"/>
        <w:jc w:val="both"/>
        <w:rPr>
          <w:rFonts w:ascii="Verdana" w:eastAsia="Calibri" w:hAnsi="Verdana" w:cs="Arial"/>
          <w:sz w:val="20"/>
          <w:szCs w:val="20"/>
          <w:lang w:val="es-ES" w:eastAsia="es-ES"/>
        </w:rPr>
      </w:pPr>
      <w:r w:rsidRPr="009D4217">
        <w:rPr>
          <w:rFonts w:ascii="Verdana" w:eastAsia="Calibri" w:hAnsi="Verdana" w:cs="Arial"/>
          <w:sz w:val="20"/>
          <w:szCs w:val="20"/>
          <w:lang w:val="es-ES_tradnl" w:eastAsia="es-ES_tradnl"/>
        </w:rPr>
        <w:t xml:space="preserve">El contrato de prestación de servicios es uno de los tipos contractuales consagrados en el Estatuto General de Contratación de la Administración Pública, que pueden celebrar las Entidades Estatales. Se trata de un contrato típico, ya que se encuentra definido en la ley en el artículo 32, numeral 3º, de la Ley 80 de 1993. </w:t>
      </w:r>
      <w:r w:rsidRPr="009D4217">
        <w:rPr>
          <w:rFonts w:ascii="Verdana" w:eastAsia="Calibri" w:hAnsi="Verdana" w:cs="Arial"/>
          <w:sz w:val="20"/>
          <w:szCs w:val="20"/>
          <w:lang w:val="es-ES" w:eastAsia="es-ES"/>
        </w:rPr>
        <w:t>De otro lado, la celebración de dicho contrato se debe efectuar a través de la modalidad de la contratación directa. Así lo prevé el artículo 2, numeral 4, literal h), de la Ley 1150 de 2007.</w:t>
      </w:r>
    </w:p>
    <w:p w14:paraId="3713B6FC" w14:textId="77777777" w:rsidR="008B51E0" w:rsidRPr="009D4217" w:rsidRDefault="008B51E0" w:rsidP="008B51E0">
      <w:pPr>
        <w:spacing w:after="0" w:line="240" w:lineRule="auto"/>
        <w:jc w:val="both"/>
        <w:rPr>
          <w:rFonts w:ascii="Verdana" w:eastAsia="Calibri" w:hAnsi="Verdana" w:cs="Arial"/>
          <w:sz w:val="20"/>
          <w:szCs w:val="20"/>
          <w:lang w:val="es-ES" w:eastAsia="es-ES"/>
        </w:rPr>
      </w:pPr>
    </w:p>
    <w:p w14:paraId="0A5FAC41" w14:textId="77777777" w:rsidR="008B51E0" w:rsidRPr="009D4217" w:rsidRDefault="008B51E0" w:rsidP="008B51E0">
      <w:pPr>
        <w:spacing w:after="0" w:line="240" w:lineRule="auto"/>
        <w:jc w:val="both"/>
        <w:rPr>
          <w:rFonts w:ascii="Verdana" w:eastAsia="Calibri" w:hAnsi="Verdana" w:cs="Arial"/>
          <w:sz w:val="20"/>
          <w:szCs w:val="20"/>
          <w:lang w:val="es-ES_tradnl" w:eastAsia="es-ES_tradnl"/>
        </w:rPr>
      </w:pPr>
      <w:r w:rsidRPr="009D4217">
        <w:rPr>
          <w:rFonts w:ascii="Verdana" w:eastAsia="Calibri" w:hAnsi="Verdana" w:cs="Arial"/>
          <w:sz w:val="20"/>
          <w:szCs w:val="20"/>
          <w:lang w:val="es-ES_tradnl" w:eastAsia="es-ES_tradnl"/>
        </w:rPr>
        <w:t>A partir de estos enunciados normativos, es posible señalar las siguientes características del contrato de prestación de servicios:</w:t>
      </w:r>
    </w:p>
    <w:p w14:paraId="135FF0C3" w14:textId="77777777" w:rsidR="008B51E0" w:rsidRPr="009D4217" w:rsidRDefault="008B51E0" w:rsidP="008B51E0">
      <w:pPr>
        <w:spacing w:after="0" w:line="240" w:lineRule="auto"/>
        <w:jc w:val="both"/>
        <w:rPr>
          <w:rFonts w:ascii="Verdana" w:eastAsia="Calibri" w:hAnsi="Verdana" w:cs="Arial"/>
          <w:sz w:val="20"/>
          <w:szCs w:val="20"/>
          <w:lang w:val="es-ES_tradnl" w:eastAsia="es-ES_tradnl"/>
        </w:rPr>
      </w:pPr>
    </w:p>
    <w:p w14:paraId="62A436B0" w14:textId="77777777" w:rsidR="008B51E0" w:rsidRPr="009D4217" w:rsidRDefault="008B51E0" w:rsidP="008B51E0">
      <w:pPr>
        <w:spacing w:after="0" w:line="240" w:lineRule="auto"/>
        <w:jc w:val="both"/>
        <w:rPr>
          <w:rFonts w:ascii="Verdana" w:eastAsia="Calibri" w:hAnsi="Verdana" w:cs="Arial"/>
          <w:sz w:val="20"/>
          <w:szCs w:val="20"/>
          <w:lang w:val="es-ES_tradnl" w:eastAsia="es-ES_tradnl"/>
        </w:rPr>
      </w:pPr>
      <w:r w:rsidRPr="009D4217">
        <w:rPr>
          <w:rFonts w:ascii="Verdana" w:eastAsia="Calibri" w:hAnsi="Verdana" w:cs="Arial"/>
          <w:sz w:val="20"/>
          <w:szCs w:val="20"/>
          <w:lang w:val="es-ES_tradnl" w:eastAsia="es-ES_tradnl"/>
        </w:rPr>
        <w:t>a) Solo puede celebrarse para realizar “actividades relacionadas con la administración o funcionamiento de la entidad”, es decir, que hagan parte de su giro ordinario o quehacer cotidiano.</w:t>
      </w:r>
    </w:p>
    <w:p w14:paraId="50D2F393" w14:textId="77777777" w:rsidR="008B51E0" w:rsidRPr="009D4217" w:rsidRDefault="008B51E0" w:rsidP="008B51E0">
      <w:pPr>
        <w:spacing w:after="0" w:line="240" w:lineRule="auto"/>
        <w:jc w:val="both"/>
        <w:rPr>
          <w:rFonts w:ascii="Verdana" w:eastAsia="Calibri" w:hAnsi="Verdana" w:cs="Arial"/>
          <w:sz w:val="20"/>
          <w:szCs w:val="20"/>
          <w:lang w:val="es-ES_tradnl" w:eastAsia="es-ES_tradnl"/>
        </w:rPr>
      </w:pPr>
      <w:r w:rsidRPr="009D4217">
        <w:rPr>
          <w:rFonts w:ascii="Verdana" w:eastAsia="Calibri" w:hAnsi="Verdana" w:cs="Arial"/>
          <w:sz w:val="20"/>
          <w:szCs w:val="20"/>
          <w:lang w:val="es-ES_tradnl" w:eastAsia="es-ES_tradnl"/>
        </w:rPr>
        <w:t>b) Admite que se suscriba tanto con personas naturales como con personas jurídicas. Y requiere que la Entidad Estatal justifique en los estudios previos que las actividades que buscan encomendarse a aquella “no puedan realizarse con personal de planta o requieran conocimientos especializados”.</w:t>
      </w:r>
    </w:p>
    <w:p w14:paraId="47D72EFC" w14:textId="77777777" w:rsidR="008B51E0" w:rsidRPr="009D4217" w:rsidRDefault="008B51E0" w:rsidP="008B51E0">
      <w:pPr>
        <w:spacing w:after="0" w:line="240" w:lineRule="auto"/>
        <w:jc w:val="both"/>
        <w:rPr>
          <w:rFonts w:ascii="Verdana" w:eastAsia="Calibri" w:hAnsi="Verdana" w:cs="Arial"/>
          <w:sz w:val="20"/>
          <w:szCs w:val="20"/>
          <w:lang w:val="es-ES" w:eastAsia="es-ES_tradnl"/>
        </w:rPr>
      </w:pPr>
      <w:r w:rsidRPr="009D4217">
        <w:rPr>
          <w:rFonts w:ascii="Verdana" w:eastAsia="Calibri" w:hAnsi="Verdana" w:cs="Arial"/>
          <w:sz w:val="20"/>
          <w:szCs w:val="20"/>
          <w:lang w:val="es-ES" w:eastAsia="es-ES_tradnl"/>
        </w:rPr>
        <w:t>c) Si bien se celebran para obtener la prestación personal de un servicio, se diferencian del contrato de trabajo en que quien celebra el contrato de prestación de servicios debe mantener autonomía e independencia en la ejecución de la labor, lo que significa que no puede existir la subordinación y dependencia, que es uno de los elementos constitutivos del vínculo laboral.</w:t>
      </w:r>
    </w:p>
    <w:p w14:paraId="2532588F" w14:textId="77777777" w:rsidR="008B51E0" w:rsidRPr="009D4217" w:rsidRDefault="008B51E0" w:rsidP="008B51E0">
      <w:pPr>
        <w:spacing w:after="0" w:line="240" w:lineRule="auto"/>
        <w:jc w:val="both"/>
        <w:rPr>
          <w:rFonts w:ascii="Verdana" w:eastAsia="Calibri" w:hAnsi="Verdana" w:cs="Arial"/>
          <w:sz w:val="20"/>
          <w:szCs w:val="20"/>
          <w:lang w:val="es-ES" w:eastAsia="es-ES_tradnl"/>
        </w:rPr>
      </w:pPr>
      <w:r w:rsidRPr="009D4217">
        <w:rPr>
          <w:rFonts w:ascii="Verdana" w:eastAsia="Calibri" w:hAnsi="Verdana" w:cs="Arial"/>
          <w:sz w:val="20"/>
          <w:szCs w:val="20"/>
          <w:lang w:val="es-ES" w:eastAsia="es-ES_tradnl"/>
        </w:rPr>
        <w:t>d) Deben ser temporales.</w:t>
      </w:r>
    </w:p>
    <w:p w14:paraId="177C25B7" w14:textId="77777777" w:rsidR="008B51E0" w:rsidRPr="009D4217" w:rsidRDefault="008B51E0" w:rsidP="008B51E0">
      <w:pPr>
        <w:spacing w:after="0" w:line="240" w:lineRule="auto"/>
        <w:jc w:val="both"/>
        <w:rPr>
          <w:rFonts w:ascii="Verdana" w:eastAsia="Calibri" w:hAnsi="Verdana" w:cs="Arial"/>
          <w:sz w:val="20"/>
          <w:szCs w:val="20"/>
          <w:lang w:val="es-ES" w:eastAsia="es-ES_tradnl"/>
        </w:rPr>
      </w:pPr>
      <w:r w:rsidRPr="009D4217">
        <w:rPr>
          <w:rFonts w:ascii="Verdana" w:eastAsia="Calibri" w:hAnsi="Verdana" w:cs="Arial"/>
          <w:sz w:val="20"/>
          <w:szCs w:val="20"/>
          <w:lang w:val="es-ES" w:eastAsia="es-ES_tradnl"/>
        </w:rPr>
        <w:t>e) Los contratos de prestación de servicios constituyen un género que incluye, como especies, los contratos de prestación de servicios profesionales, los contratos de prestación de servicios de apoyo a la gestión y los contratos de prestación de servicios artísticos que solo pueden encomendarse a determinadas personas naturales. La diferencia entre el contrato de prestación de servicios profesionales con las otras dos especies del género en el cual se ubican radica en su contenido intelectual intangible y, al mismo tiempo, en la formación profesional que se exige para desempeñar la labor.</w:t>
      </w:r>
    </w:p>
    <w:p w14:paraId="10BFA710" w14:textId="77777777" w:rsidR="008B51E0" w:rsidRPr="009D4217" w:rsidRDefault="008B51E0" w:rsidP="008B51E0">
      <w:pPr>
        <w:spacing w:after="0" w:line="240" w:lineRule="auto"/>
        <w:jc w:val="both"/>
        <w:rPr>
          <w:rFonts w:ascii="Verdana" w:eastAsia="Calibri" w:hAnsi="Verdana" w:cs="Arial"/>
          <w:sz w:val="20"/>
          <w:szCs w:val="20"/>
          <w:lang w:val="es-ES" w:eastAsia="es-ES_tradnl"/>
        </w:rPr>
      </w:pPr>
      <w:r w:rsidRPr="009D4217">
        <w:rPr>
          <w:rFonts w:ascii="Verdana" w:eastAsia="Calibri" w:hAnsi="Verdana" w:cs="Arial"/>
          <w:sz w:val="20"/>
          <w:szCs w:val="20"/>
          <w:lang w:val="es-ES" w:eastAsia="es-ES_tradnl"/>
        </w:rPr>
        <w:t>f)</w:t>
      </w:r>
      <w:r w:rsidRPr="009D4217">
        <w:rPr>
          <w:sz w:val="20"/>
          <w:szCs w:val="20"/>
        </w:rPr>
        <w:t xml:space="preserve"> </w:t>
      </w:r>
      <w:r w:rsidRPr="009D4217">
        <w:rPr>
          <w:rFonts w:ascii="Verdana" w:eastAsia="Calibri" w:hAnsi="Verdana" w:cs="Arial"/>
          <w:sz w:val="20"/>
          <w:szCs w:val="20"/>
          <w:lang w:val="es-ES" w:eastAsia="es-ES_tradnl"/>
        </w:rPr>
        <w:t>Su celebración debe realizarse a través de la modalidad de contratación directa, independientemente de la cuantía y del tipo de servicio.</w:t>
      </w:r>
    </w:p>
    <w:p w14:paraId="2378D287" w14:textId="77777777" w:rsidR="008B51E0" w:rsidRPr="009D4217" w:rsidRDefault="008B51E0" w:rsidP="008B51E0">
      <w:pPr>
        <w:spacing w:after="0" w:line="240" w:lineRule="auto"/>
        <w:jc w:val="both"/>
        <w:rPr>
          <w:rFonts w:ascii="Verdana" w:eastAsia="Calibri" w:hAnsi="Verdana" w:cs="Arial"/>
          <w:sz w:val="20"/>
          <w:szCs w:val="20"/>
          <w:lang w:val="es-ES" w:eastAsia="es-ES_tradnl"/>
        </w:rPr>
      </w:pPr>
      <w:r w:rsidRPr="009D4217">
        <w:rPr>
          <w:rFonts w:ascii="Verdana" w:eastAsia="Calibri" w:hAnsi="Verdana" w:cs="Arial"/>
          <w:sz w:val="20"/>
          <w:szCs w:val="20"/>
          <w:lang w:val="es-ES" w:eastAsia="es-ES_tradnl"/>
        </w:rPr>
        <w:t xml:space="preserve">g) Para su celebración no se requiere en algunos casos la expedición del acto administrativo de justificación de la contratación directa. </w:t>
      </w:r>
    </w:p>
    <w:p w14:paraId="6D3143FB" w14:textId="77777777" w:rsidR="008B51E0" w:rsidRPr="009D4217" w:rsidRDefault="008B51E0" w:rsidP="008B51E0">
      <w:pPr>
        <w:spacing w:after="0" w:line="240" w:lineRule="auto"/>
        <w:jc w:val="both"/>
        <w:rPr>
          <w:rFonts w:ascii="Verdana" w:eastAsia="Calibri" w:hAnsi="Verdana" w:cs="Arial"/>
          <w:sz w:val="20"/>
          <w:szCs w:val="20"/>
          <w:lang w:val="es-ES" w:eastAsia="es-ES_tradnl"/>
        </w:rPr>
      </w:pPr>
      <w:r w:rsidRPr="009D4217">
        <w:rPr>
          <w:rFonts w:ascii="Verdana" w:eastAsia="Calibri" w:hAnsi="Verdana" w:cs="Arial"/>
          <w:sz w:val="20"/>
          <w:szCs w:val="20"/>
          <w:lang w:val="es-ES" w:eastAsia="es-ES_tradnl"/>
        </w:rPr>
        <w:t xml:space="preserve">h) Admiten el pacto de cláusulas excepcionales. Para que puedan ejercerse dichas exorbitancias han debido quedar incluidas expresamente en el contrato, ya que no se entienden pactadas por naturaleza. </w:t>
      </w:r>
    </w:p>
    <w:p w14:paraId="1609E434" w14:textId="77777777" w:rsidR="008B51E0" w:rsidRPr="009D4217" w:rsidRDefault="008B51E0" w:rsidP="008B51E0">
      <w:pPr>
        <w:spacing w:after="0" w:line="240" w:lineRule="auto"/>
        <w:jc w:val="both"/>
        <w:rPr>
          <w:rFonts w:ascii="Verdana" w:eastAsia="Calibri" w:hAnsi="Verdana" w:cs="Arial"/>
          <w:sz w:val="20"/>
          <w:szCs w:val="20"/>
          <w:lang w:val="es-ES" w:eastAsia="es-ES_tradnl"/>
        </w:rPr>
      </w:pPr>
      <w:r w:rsidRPr="009D4217">
        <w:rPr>
          <w:rFonts w:ascii="Verdana" w:eastAsia="Calibri" w:hAnsi="Verdana" w:cs="Arial"/>
          <w:sz w:val="20"/>
          <w:szCs w:val="20"/>
          <w:lang w:val="es-ES" w:eastAsia="es-ES_tradnl"/>
        </w:rPr>
        <w:t>i) En algunos casos no es obligatoria la liquidación, pues así lo estableció el artículo 217 del Decreto 019 de 2012, que modificó el artículo 60 de la Ley 80 de 1993, refiriéndose a los contratos de prestación de servicios profesionales y de apoyo a la gestión.</w:t>
      </w:r>
    </w:p>
    <w:p w14:paraId="148467A6" w14:textId="77777777" w:rsidR="008B51E0" w:rsidRPr="009D4217" w:rsidRDefault="008B51E0" w:rsidP="008B51E0">
      <w:pPr>
        <w:spacing w:after="0" w:line="240" w:lineRule="auto"/>
        <w:jc w:val="both"/>
        <w:rPr>
          <w:rFonts w:ascii="Verdana" w:eastAsia="Calibri" w:hAnsi="Verdana" w:cs="Arial"/>
          <w:sz w:val="20"/>
          <w:szCs w:val="20"/>
          <w:lang w:val="es-ES" w:eastAsia="es-ES_tradnl"/>
        </w:rPr>
      </w:pPr>
      <w:r w:rsidRPr="009D4217">
        <w:rPr>
          <w:rFonts w:ascii="Verdana" w:eastAsia="Calibri" w:hAnsi="Verdana" w:cs="Arial"/>
          <w:sz w:val="20"/>
          <w:szCs w:val="20"/>
          <w:lang w:val="es-ES" w:eastAsia="es-ES_tradnl"/>
        </w:rPr>
        <w:t>j) Para su celebración no se requiere inscripción en el Registro Único de Proponentes – en adelante RUP–, según lo prevé el artículo 6 de la Ley 1150 de 2007.</w:t>
      </w:r>
    </w:p>
    <w:p w14:paraId="36890D18" w14:textId="77777777" w:rsidR="008B51E0" w:rsidRPr="009D4217" w:rsidRDefault="008B51E0" w:rsidP="008B51E0">
      <w:pPr>
        <w:spacing w:after="0" w:line="240" w:lineRule="auto"/>
        <w:jc w:val="both"/>
        <w:rPr>
          <w:rFonts w:ascii="Verdana" w:eastAsia="Calibri" w:hAnsi="Verdana" w:cs="Arial"/>
          <w:sz w:val="20"/>
          <w:szCs w:val="20"/>
          <w:lang w:val="es-ES" w:eastAsia="es-ES_tradnl"/>
        </w:rPr>
      </w:pPr>
      <w:r w:rsidRPr="009D4217">
        <w:rPr>
          <w:rFonts w:ascii="Verdana" w:eastAsia="Calibri" w:hAnsi="Verdana" w:cs="Arial"/>
          <w:sz w:val="20"/>
          <w:szCs w:val="20"/>
          <w:lang w:val="es-ES" w:eastAsia="es-ES_tradnl"/>
        </w:rPr>
        <w:t>k) En ellos no son necesarias las garantías.</w:t>
      </w:r>
    </w:p>
    <w:p w14:paraId="42C817A1" w14:textId="77777777" w:rsidR="008B51E0" w:rsidRPr="009D4217" w:rsidRDefault="008B51E0" w:rsidP="008B51E0">
      <w:pPr>
        <w:spacing w:after="0" w:line="240" w:lineRule="auto"/>
        <w:jc w:val="both"/>
        <w:rPr>
          <w:rFonts w:ascii="Verdana" w:eastAsia="Calibri" w:hAnsi="Verdana" w:cs="Arial"/>
          <w:sz w:val="20"/>
          <w:szCs w:val="20"/>
          <w:lang w:val="es-ES" w:eastAsia="es-ES_tradnl"/>
        </w:rPr>
      </w:pPr>
    </w:p>
    <w:p w14:paraId="6FA8E5BD" w14:textId="1E0FE7C6" w:rsidR="00315B9F" w:rsidRPr="008B51E0" w:rsidRDefault="00315B9F">
      <w:pPr>
        <w:rPr>
          <w:rFonts w:ascii="Verdana" w:eastAsia="Verdana" w:hAnsi="Verdana" w:cs="Verdana"/>
          <w:b/>
          <w:bCs/>
          <w:lang w:val="es-ES"/>
        </w:rPr>
      </w:pPr>
    </w:p>
    <w:p w14:paraId="759C5E33" w14:textId="77777777" w:rsidR="00315B9F" w:rsidRDefault="00315B9F">
      <w:pPr>
        <w:rPr>
          <w:rFonts w:ascii="Verdana" w:eastAsia="Verdana" w:hAnsi="Verdana" w:cs="Verdana"/>
          <w:b/>
          <w:bCs/>
        </w:rPr>
      </w:pPr>
    </w:p>
    <w:p w14:paraId="6B1E3145" w14:textId="77777777" w:rsidR="00315B9F" w:rsidRDefault="00315B9F">
      <w:pPr>
        <w:rPr>
          <w:rFonts w:ascii="Verdana" w:eastAsia="Verdana" w:hAnsi="Verdana" w:cs="Verdana"/>
          <w:b/>
          <w:bCs/>
        </w:rPr>
      </w:pPr>
    </w:p>
    <w:p w14:paraId="5B54F44B" w14:textId="77777777" w:rsidR="00315B9F" w:rsidRDefault="00315B9F">
      <w:pPr>
        <w:rPr>
          <w:rFonts w:ascii="Verdana" w:eastAsia="Verdana" w:hAnsi="Verdana" w:cs="Verdana"/>
          <w:b/>
          <w:bCs/>
        </w:rPr>
      </w:pPr>
    </w:p>
    <w:p w14:paraId="04A4066B" w14:textId="77777777" w:rsidR="00315B9F" w:rsidRDefault="00315B9F">
      <w:pPr>
        <w:rPr>
          <w:rFonts w:ascii="Verdana" w:eastAsia="Verdana" w:hAnsi="Verdana" w:cs="Verdana"/>
          <w:b/>
          <w:bCs/>
        </w:rPr>
      </w:pPr>
    </w:p>
    <w:p w14:paraId="707B008F" w14:textId="77777777" w:rsidR="00315B9F" w:rsidRDefault="00315B9F">
      <w:pPr>
        <w:rPr>
          <w:rFonts w:ascii="Verdana" w:eastAsia="Verdana" w:hAnsi="Verdana" w:cs="Verdana"/>
          <w:b/>
          <w:bCs/>
        </w:rPr>
      </w:pPr>
    </w:p>
    <w:p w14:paraId="3353364B" w14:textId="77777777" w:rsidR="00315B9F" w:rsidRDefault="00315B9F">
      <w:pPr>
        <w:rPr>
          <w:rFonts w:ascii="Verdana" w:eastAsia="Verdana" w:hAnsi="Verdana" w:cs="Verdana"/>
          <w:b/>
          <w:bCs/>
        </w:rPr>
      </w:pPr>
    </w:p>
    <w:p w14:paraId="07602D5B" w14:textId="77777777" w:rsidR="00315B9F" w:rsidRDefault="00315B9F">
      <w:pPr>
        <w:rPr>
          <w:rFonts w:ascii="Verdana" w:eastAsia="Verdana" w:hAnsi="Verdana" w:cs="Verdana"/>
          <w:b/>
          <w:bCs/>
        </w:rPr>
      </w:pPr>
    </w:p>
    <w:p w14:paraId="39DCDBD5" w14:textId="77777777" w:rsidR="00315B9F" w:rsidRDefault="00315B9F">
      <w:pPr>
        <w:rPr>
          <w:rFonts w:ascii="Verdana" w:eastAsia="Verdana" w:hAnsi="Verdana" w:cs="Verdana"/>
          <w:b/>
          <w:bCs/>
        </w:rPr>
      </w:pPr>
    </w:p>
    <w:p w14:paraId="7F5D6925" w14:textId="77777777" w:rsidR="00315B9F" w:rsidRDefault="00315B9F">
      <w:pPr>
        <w:rPr>
          <w:rFonts w:ascii="Verdana" w:eastAsia="Verdana" w:hAnsi="Verdana" w:cs="Verdana"/>
          <w:b/>
          <w:bCs/>
        </w:rPr>
      </w:pPr>
    </w:p>
    <w:p w14:paraId="7CD3F8F8" w14:textId="77777777" w:rsidR="00315B9F" w:rsidRDefault="00315B9F">
      <w:pPr>
        <w:rPr>
          <w:rFonts w:ascii="Verdana" w:eastAsia="Verdana" w:hAnsi="Verdana" w:cs="Verdana"/>
          <w:b/>
          <w:bCs/>
        </w:rPr>
      </w:pPr>
    </w:p>
    <w:p w14:paraId="737878F1" w14:textId="77777777" w:rsidR="00315B9F" w:rsidRDefault="00315B9F">
      <w:pPr>
        <w:rPr>
          <w:rFonts w:ascii="Verdana" w:eastAsia="Verdana" w:hAnsi="Verdana" w:cs="Verdana"/>
          <w:b/>
          <w:bCs/>
        </w:rPr>
      </w:pPr>
    </w:p>
    <w:p w14:paraId="678C09B9" w14:textId="77777777" w:rsidR="00315B9F" w:rsidRDefault="00315B9F">
      <w:pPr>
        <w:rPr>
          <w:rFonts w:ascii="Verdana" w:eastAsia="Verdana" w:hAnsi="Verdana" w:cs="Verdana"/>
          <w:b/>
          <w:bCs/>
        </w:rPr>
      </w:pPr>
    </w:p>
    <w:p w14:paraId="66558919" w14:textId="77777777" w:rsidR="00315B9F" w:rsidRDefault="00315B9F">
      <w:pPr>
        <w:rPr>
          <w:rFonts w:ascii="Verdana" w:eastAsia="Verdana" w:hAnsi="Verdana" w:cs="Verdana"/>
          <w:b/>
          <w:bCs/>
        </w:rPr>
      </w:pPr>
    </w:p>
    <w:p w14:paraId="1E7F3F1E" w14:textId="77777777" w:rsidR="00315B9F" w:rsidRDefault="00315B9F">
      <w:pPr>
        <w:rPr>
          <w:rFonts w:ascii="Verdana" w:eastAsia="Verdana" w:hAnsi="Verdana" w:cs="Verdana"/>
          <w:b/>
          <w:bCs/>
        </w:rPr>
      </w:pPr>
    </w:p>
    <w:p w14:paraId="6373C70F" w14:textId="77777777" w:rsidR="00315B9F" w:rsidRDefault="00315B9F">
      <w:pPr>
        <w:rPr>
          <w:rFonts w:ascii="Verdana" w:eastAsia="Verdana" w:hAnsi="Verdana" w:cs="Verdana"/>
          <w:b/>
          <w:bCs/>
        </w:rPr>
      </w:pPr>
    </w:p>
    <w:p w14:paraId="3B9CBD30" w14:textId="77777777" w:rsidR="00315B9F" w:rsidRDefault="00315B9F">
      <w:pPr>
        <w:rPr>
          <w:rFonts w:ascii="Verdana" w:eastAsia="Verdana" w:hAnsi="Verdana" w:cs="Verdana"/>
          <w:b/>
          <w:bCs/>
        </w:rPr>
      </w:pPr>
    </w:p>
    <w:p w14:paraId="7915510B" w14:textId="77777777" w:rsidR="00A63C43" w:rsidRDefault="00A63C43">
      <w:pPr>
        <w:rPr>
          <w:rFonts w:ascii="Verdana" w:eastAsia="Verdana" w:hAnsi="Verdana" w:cs="Verdana"/>
          <w:b/>
          <w:bCs/>
        </w:rPr>
      </w:pPr>
    </w:p>
    <w:p w14:paraId="77839151" w14:textId="77777777" w:rsidR="00554B70" w:rsidRDefault="00554B70" w:rsidP="30821638">
      <w:pPr>
        <w:spacing w:after="0"/>
        <w:rPr>
          <w:rFonts w:ascii="Verdana" w:eastAsia="Verdana" w:hAnsi="Verdana" w:cs="Verdana"/>
          <w:b/>
          <w:bCs/>
        </w:rPr>
      </w:pPr>
    </w:p>
    <w:p w14:paraId="537C9D22" w14:textId="77777777" w:rsidR="00554B70" w:rsidRDefault="00554B70" w:rsidP="30821638">
      <w:pPr>
        <w:spacing w:after="0"/>
        <w:rPr>
          <w:rFonts w:ascii="Verdana" w:eastAsia="Verdana" w:hAnsi="Verdana" w:cs="Verdana"/>
          <w:b/>
          <w:bCs/>
        </w:rPr>
      </w:pPr>
    </w:p>
    <w:p w14:paraId="12364146" w14:textId="00992D6D" w:rsidR="00F97471" w:rsidRDefault="006867A7" w:rsidP="30821638">
      <w:pPr>
        <w:spacing w:after="0"/>
      </w:pPr>
      <w:r w:rsidRPr="006867A7">
        <w:rPr>
          <w:rFonts w:ascii="Verdana" w:eastAsia="Verdana" w:hAnsi="Verdana" w:cs="Verdana"/>
          <w:noProof/>
        </w:rPr>
        <w:drawing>
          <wp:anchor distT="0" distB="0" distL="114300" distR="114300" simplePos="0" relativeHeight="251659264" behindDoc="1" locked="0" layoutInCell="1" allowOverlap="1" wp14:anchorId="245C4DA7" wp14:editId="53E9255F">
            <wp:simplePos x="0" y="0"/>
            <wp:positionH relativeFrom="column">
              <wp:posOffset>3248984</wp:posOffset>
            </wp:positionH>
            <wp:positionV relativeFrom="paragraph">
              <wp:posOffset>506</wp:posOffset>
            </wp:positionV>
            <wp:extent cx="2439670" cy="839470"/>
            <wp:effectExtent l="0" t="0" r="0" b="0"/>
            <wp:wrapTight wrapText="bothSides">
              <wp:wrapPolygon edited="0">
                <wp:start x="0" y="0"/>
                <wp:lineTo x="0" y="21077"/>
                <wp:lineTo x="21420" y="21077"/>
                <wp:lineTo x="21420" y="0"/>
                <wp:lineTo x="0" y="0"/>
              </wp:wrapPolygon>
            </wp:wrapTight>
            <wp:docPr id="4107807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9670" cy="839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 xml:space="preserve">Bogotá D.C., </w:t>
      </w:r>
      <w:r>
        <w:rPr>
          <w:rFonts w:ascii="Verdana" w:eastAsia="Verdana" w:hAnsi="Verdana" w:cs="Verdana"/>
        </w:rPr>
        <w:t xml:space="preserve">13 junio 2026  </w:t>
      </w:r>
      <w:r>
        <w:t xml:space="preserve"> </w:t>
      </w:r>
      <w:r w:rsidR="00C15139">
        <w:br/>
      </w:r>
    </w:p>
    <w:p w14:paraId="5F2CD078" w14:textId="268688AE" w:rsidR="00C15139" w:rsidRPr="00F97471" w:rsidRDefault="00C15139" w:rsidP="30821638">
      <w:pPr>
        <w:spacing w:after="0"/>
        <w:rPr>
          <w:rFonts w:ascii="Verdana" w:eastAsia="Verdana" w:hAnsi="Verdana" w:cs="Verdana"/>
        </w:rPr>
      </w:pPr>
      <w:r w:rsidRPr="30821638">
        <w:rPr>
          <w:rFonts w:ascii="Verdana" w:eastAsia="Verdana" w:hAnsi="Verdana" w:cs="Verdana"/>
          <w:lang w:val="es-MX"/>
        </w:rPr>
        <w:t>Señor</w:t>
      </w:r>
    </w:p>
    <w:p w14:paraId="527C7628" w14:textId="72A5CF7D" w:rsidR="00D10E48" w:rsidRPr="00CB5217" w:rsidRDefault="00D10E48" w:rsidP="30821638">
      <w:pPr>
        <w:spacing w:after="0"/>
        <w:rPr>
          <w:rFonts w:ascii="Verdana" w:eastAsia="Verdana" w:hAnsi="Verdana" w:cs="Verdana"/>
          <w:b/>
          <w:bCs/>
          <w:lang w:val="es-MX"/>
        </w:rPr>
      </w:pPr>
      <w:r w:rsidRPr="00CB5217">
        <w:rPr>
          <w:rFonts w:ascii="Verdana" w:eastAsia="Verdana" w:hAnsi="Verdana" w:cs="Verdana"/>
          <w:b/>
          <w:bCs/>
          <w:lang w:val="es-MX"/>
        </w:rPr>
        <w:t>L</w:t>
      </w:r>
      <w:r w:rsidR="00CB5217" w:rsidRPr="00CB5217">
        <w:rPr>
          <w:rFonts w:ascii="Verdana" w:eastAsia="Verdana" w:hAnsi="Verdana" w:cs="Verdana"/>
          <w:b/>
          <w:bCs/>
          <w:lang w:val="es-MX"/>
        </w:rPr>
        <w:t>uis</w:t>
      </w:r>
      <w:r w:rsidRPr="00CB5217">
        <w:rPr>
          <w:rFonts w:ascii="Verdana" w:eastAsia="Verdana" w:hAnsi="Verdana" w:cs="Verdana"/>
          <w:b/>
          <w:bCs/>
          <w:lang w:val="es-MX"/>
        </w:rPr>
        <w:t xml:space="preserve"> Alberto Arbelaez Maestre </w:t>
      </w:r>
    </w:p>
    <w:p w14:paraId="0B4102B1" w14:textId="0126E2EE" w:rsidR="00D10E48" w:rsidRDefault="00CB5217" w:rsidP="30821638">
      <w:pPr>
        <w:spacing w:after="0"/>
        <w:rPr>
          <w:rFonts w:ascii="Verdana" w:eastAsia="Verdana" w:hAnsi="Verdana" w:cs="Verdana"/>
          <w:lang w:val="es-MX"/>
        </w:rPr>
      </w:pPr>
      <w:hyperlink r:id="rId11" w:history="1">
        <w:r w:rsidRPr="006F2CDB">
          <w:rPr>
            <w:rStyle w:val="Hipervnculo"/>
            <w:rFonts w:ascii="Verdana" w:eastAsia="Verdana" w:hAnsi="Verdana" w:cs="Verdana"/>
            <w:lang w:val="es-MX"/>
          </w:rPr>
          <w:t>ing.arbelaezm@gmail.com</w:t>
        </w:r>
      </w:hyperlink>
      <w:r w:rsidR="00D10E48">
        <w:rPr>
          <w:rFonts w:ascii="Verdana" w:eastAsia="Verdana" w:hAnsi="Verdana" w:cs="Verdana"/>
          <w:lang w:val="es-MX"/>
        </w:rPr>
        <w:t xml:space="preserve"> </w:t>
      </w:r>
    </w:p>
    <w:p w14:paraId="509CD8E3" w14:textId="162D9BEE" w:rsidR="00CB5217" w:rsidRDefault="00CB5217" w:rsidP="30821638">
      <w:pPr>
        <w:spacing w:after="0"/>
        <w:rPr>
          <w:rFonts w:ascii="Verdana" w:eastAsia="Verdana" w:hAnsi="Verdana" w:cs="Verdana"/>
          <w:lang w:val="es-MX"/>
        </w:rPr>
      </w:pPr>
      <w:r>
        <w:rPr>
          <w:rFonts w:ascii="Verdana" w:eastAsia="Verdana" w:hAnsi="Verdana" w:cs="Verdana"/>
          <w:lang w:val="es-MX"/>
        </w:rPr>
        <w:t>Agustín Codazzi, Cesar</w:t>
      </w:r>
    </w:p>
    <w:p w14:paraId="0555FC9C" w14:textId="77777777" w:rsidR="006F7C54" w:rsidRPr="00A12CB6" w:rsidRDefault="006F7C54" w:rsidP="006F7C54">
      <w:pPr>
        <w:spacing w:after="0" w:line="256" w:lineRule="auto"/>
        <w:rPr>
          <w:rFonts w:ascii="Verdana" w:eastAsia="Calibri" w:hAnsi="Verdana" w:cs="Times New Roman"/>
        </w:rPr>
      </w:pPr>
    </w:p>
    <w:p w14:paraId="4EC892E2" w14:textId="294E1BD3" w:rsidR="006F7C54" w:rsidRPr="00A12CB6" w:rsidRDefault="006F7C54" w:rsidP="006F7C54">
      <w:pPr>
        <w:spacing w:after="0" w:line="256" w:lineRule="auto"/>
        <w:rPr>
          <w:rFonts w:ascii="Verdana" w:eastAsia="Calibri" w:hAnsi="Verdana" w:cs="Times New Roman"/>
          <w:b/>
          <w:bCs/>
          <w:lang w:val="es-ES"/>
        </w:rPr>
      </w:pPr>
      <w:r w:rsidRPr="00A12CB6">
        <w:rPr>
          <w:rFonts w:ascii="Verdana" w:eastAsia="Calibri" w:hAnsi="Verdana" w:cs="Times New Roman"/>
          <w:b/>
          <w:bCs/>
          <w:lang w:val="es-ES"/>
        </w:rPr>
        <w:t xml:space="preserve">                  </w:t>
      </w:r>
      <w:r>
        <w:rPr>
          <w:rFonts w:ascii="Verdana" w:eastAsia="Calibri" w:hAnsi="Verdana" w:cs="Times New Roman"/>
          <w:b/>
          <w:bCs/>
          <w:lang w:val="es-ES"/>
        </w:rPr>
        <w:t xml:space="preserve">                  Concepto C–</w:t>
      </w:r>
      <w:r w:rsidR="00384959">
        <w:rPr>
          <w:rFonts w:ascii="Verdana" w:eastAsia="Calibri" w:hAnsi="Verdana" w:cs="Times New Roman"/>
          <w:b/>
          <w:bCs/>
          <w:lang w:val="es-ES"/>
        </w:rPr>
        <w:t>1057 de 2026</w:t>
      </w:r>
    </w:p>
    <w:p w14:paraId="7FB7DA5D" w14:textId="77777777" w:rsidR="006F7C54" w:rsidRPr="00A12CB6" w:rsidRDefault="006F7C54" w:rsidP="006F7C54">
      <w:pPr>
        <w:spacing w:after="0" w:line="256"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6F7C54" w:rsidRPr="00A12CB6" w14:paraId="13D3DDBF" w14:textId="77777777" w:rsidTr="003E0DB8">
        <w:trPr>
          <w:trHeight w:val="645"/>
        </w:trPr>
        <w:tc>
          <w:tcPr>
            <w:tcW w:w="2685" w:type="dxa"/>
            <w:hideMark/>
          </w:tcPr>
          <w:p w14:paraId="4B412210" w14:textId="77777777" w:rsidR="006F7C54" w:rsidRPr="00A12CB6" w:rsidRDefault="006F7C54" w:rsidP="003E0DB8">
            <w:pPr>
              <w:spacing w:line="256" w:lineRule="auto"/>
              <w:rPr>
                <w:rFonts w:ascii="Verdana" w:hAnsi="Verdana"/>
                <w:b/>
                <w:bCs/>
                <w:lang w:val="es-ES_tradnl"/>
              </w:rPr>
            </w:pPr>
            <w:r w:rsidRPr="00A12CB6">
              <w:rPr>
                <w:rFonts w:ascii="Verdana" w:hAnsi="Verdana"/>
                <w:b/>
                <w:bCs/>
                <w:lang w:val="es-ES_tradnl"/>
              </w:rPr>
              <w:t xml:space="preserve">Temas:                   </w:t>
            </w:r>
          </w:p>
        </w:tc>
        <w:tc>
          <w:tcPr>
            <w:tcW w:w="6241" w:type="dxa"/>
            <w:hideMark/>
          </w:tcPr>
          <w:p w14:paraId="1CC49875" w14:textId="245D517C" w:rsidR="006F7C54" w:rsidRPr="00AA1328" w:rsidRDefault="00FB5C01" w:rsidP="003E0DB8">
            <w:pPr>
              <w:spacing w:line="276" w:lineRule="auto"/>
              <w:jc w:val="both"/>
              <w:rPr>
                <w:rFonts w:ascii="Verdana" w:hAnsi="Verdana" w:cs="Arial"/>
                <w:lang w:val="es-ES" w:eastAsia="es-ES"/>
              </w:rPr>
            </w:pPr>
            <w:r>
              <w:rPr>
                <w:rFonts w:ascii="Verdana" w:hAnsi="Verdana" w:cs="Arial"/>
                <w:lang w:eastAsia="es-ES"/>
              </w:rPr>
              <w:t xml:space="preserve"> </w:t>
            </w:r>
            <w:r w:rsidR="00D46A8E">
              <w:rPr>
                <w:rFonts w:ascii="Verdana" w:hAnsi="Verdana" w:cs="Arial"/>
                <w:lang w:eastAsia="es-ES"/>
              </w:rPr>
              <w:t xml:space="preserve">ACTA DE TERMINACIÓN – Noción – Finalidad /ACTAS DEL CONTRATO – Acta de liquidación – Acta de terminación – Constancia de cierre – Diferencias / </w:t>
            </w:r>
            <w:r w:rsidR="00D46A8E" w:rsidRPr="00623C09">
              <w:rPr>
                <w:rFonts w:ascii="Verdana" w:hAnsi="Verdana" w:cs="Arial"/>
                <w:lang w:eastAsia="es-ES"/>
              </w:rPr>
              <w:t xml:space="preserve">CIERRE DEL EXPEDIENTE DEL PROCESO – </w:t>
            </w:r>
            <w:r w:rsidR="00D46A8E">
              <w:rPr>
                <w:rFonts w:ascii="Verdana" w:hAnsi="Verdana" w:cs="Arial"/>
                <w:lang w:eastAsia="es-ES"/>
              </w:rPr>
              <w:t>C</w:t>
            </w:r>
            <w:r w:rsidR="00D46A8E" w:rsidRPr="00623C09">
              <w:rPr>
                <w:rFonts w:ascii="Verdana" w:hAnsi="Verdana" w:cs="Arial"/>
                <w:lang w:eastAsia="es-ES"/>
              </w:rPr>
              <w:t>onstancia administrativa</w:t>
            </w:r>
            <w:r w:rsidR="0076109B">
              <w:rPr>
                <w:rFonts w:ascii="Verdana" w:hAnsi="Verdana" w:cs="Arial"/>
                <w:lang w:eastAsia="es-ES"/>
              </w:rPr>
              <w:t xml:space="preserve"> / </w:t>
            </w:r>
            <w:r w:rsidR="0076109B" w:rsidRPr="0067284E">
              <w:rPr>
                <w:rFonts w:ascii="Verdana" w:hAnsi="Verdana" w:cs="Arial"/>
                <w:lang w:val="es-ES" w:eastAsia="es-ES"/>
              </w:rPr>
              <w:t>CONTRATO DE PRESTACIÓN DE SERVICIOS</w:t>
            </w:r>
            <w:r w:rsidR="0076109B">
              <w:rPr>
                <w:rFonts w:ascii="Verdana" w:hAnsi="Verdana" w:cs="Arial"/>
                <w:lang w:val="es-ES" w:eastAsia="es-ES"/>
              </w:rPr>
              <w:t xml:space="preserve"> – Definición – Contrato de prestación de servicios y de apoyo a la gestión </w:t>
            </w:r>
          </w:p>
        </w:tc>
        <w:tc>
          <w:tcPr>
            <w:tcW w:w="6237" w:type="dxa"/>
          </w:tcPr>
          <w:p w14:paraId="3D196F69" w14:textId="77777777" w:rsidR="006F7C54" w:rsidRPr="00757EE9" w:rsidRDefault="006F7C54" w:rsidP="003E0DB8">
            <w:pPr>
              <w:spacing w:line="256" w:lineRule="auto"/>
              <w:rPr>
                <w:rFonts w:ascii="Verdana" w:hAnsi="Verdana"/>
                <w:lang w:val="es-ES"/>
              </w:rPr>
            </w:pPr>
          </w:p>
        </w:tc>
      </w:tr>
      <w:tr w:rsidR="006F7C54" w:rsidRPr="00A12CB6" w14:paraId="29AA1653" w14:textId="77777777" w:rsidTr="003E0DB8">
        <w:tc>
          <w:tcPr>
            <w:tcW w:w="2685" w:type="dxa"/>
          </w:tcPr>
          <w:p w14:paraId="41EEB09E" w14:textId="77777777" w:rsidR="006F7C54" w:rsidRDefault="006F7C54" w:rsidP="003E0DB8">
            <w:pPr>
              <w:spacing w:line="256" w:lineRule="auto"/>
              <w:rPr>
                <w:rFonts w:ascii="Verdana" w:hAnsi="Verdana"/>
                <w:lang w:val="es-ES_tradnl"/>
              </w:rPr>
            </w:pPr>
          </w:p>
          <w:p w14:paraId="7CFA7B21" w14:textId="77777777" w:rsidR="006F7C54" w:rsidRPr="00A12CB6" w:rsidRDefault="006F7C54" w:rsidP="003E0DB8">
            <w:pPr>
              <w:spacing w:line="256" w:lineRule="auto"/>
              <w:rPr>
                <w:rFonts w:ascii="Verdana" w:hAnsi="Verdana"/>
                <w:lang w:val="es-ES_tradnl"/>
              </w:rPr>
            </w:pPr>
          </w:p>
          <w:p w14:paraId="3052AA1C" w14:textId="77777777" w:rsidR="006F7C54" w:rsidRPr="00A12CB6" w:rsidRDefault="006F7C54" w:rsidP="003E0DB8">
            <w:pPr>
              <w:spacing w:line="256" w:lineRule="auto"/>
              <w:rPr>
                <w:rFonts w:ascii="Verdana" w:hAnsi="Verdana"/>
                <w:b/>
                <w:bCs/>
                <w:lang w:val="es-ES_tradnl"/>
              </w:rPr>
            </w:pPr>
            <w:r w:rsidRPr="00A12CB6">
              <w:rPr>
                <w:rFonts w:ascii="Verdana" w:hAnsi="Verdana"/>
                <w:b/>
                <w:bCs/>
                <w:lang w:val="es-ES_tradnl"/>
              </w:rPr>
              <w:t xml:space="preserve">Radicación:               </w:t>
            </w:r>
          </w:p>
        </w:tc>
        <w:tc>
          <w:tcPr>
            <w:tcW w:w="6241" w:type="dxa"/>
          </w:tcPr>
          <w:p w14:paraId="43064214" w14:textId="77777777" w:rsidR="006F7C54" w:rsidRPr="00A12CB6" w:rsidRDefault="006F7C54" w:rsidP="003E0DB8">
            <w:pPr>
              <w:spacing w:line="257" w:lineRule="auto"/>
              <w:rPr>
                <w:rFonts w:ascii="Verdana" w:hAnsi="Verdana"/>
                <w:lang w:val="es-ES_tradnl"/>
              </w:rPr>
            </w:pPr>
          </w:p>
          <w:p w14:paraId="24EC1978" w14:textId="78FCEC28" w:rsidR="00384959" w:rsidRPr="00384959" w:rsidRDefault="006F7C54" w:rsidP="00384959">
            <w:pPr>
              <w:spacing w:line="257" w:lineRule="auto"/>
              <w:jc w:val="both"/>
              <w:rPr>
                <w:rFonts w:ascii="Verdana" w:hAnsi="Verdana"/>
              </w:rPr>
            </w:pPr>
            <w:r w:rsidRPr="00A12CB6">
              <w:rPr>
                <w:rFonts w:ascii="Verdana" w:hAnsi="Verdana"/>
                <w:lang w:val="es-ES_tradnl"/>
              </w:rPr>
              <w:t xml:space="preserve">Respuesta a consulta con radicado No. </w:t>
            </w:r>
            <w:r w:rsidR="00384959">
              <w:rPr>
                <w:rFonts w:ascii="Verdana" w:hAnsi="Verdana" w:cs="Calibri"/>
              </w:rPr>
              <w:t>1_2026_07_02_008834</w:t>
            </w:r>
          </w:p>
          <w:p w14:paraId="59E0C7C1" w14:textId="75E69D78" w:rsidR="006F7C54" w:rsidRPr="00A12CB6" w:rsidRDefault="006F7C54" w:rsidP="00384959">
            <w:pPr>
              <w:spacing w:line="257" w:lineRule="auto"/>
              <w:jc w:val="both"/>
              <w:rPr>
                <w:rFonts w:ascii="Verdana" w:hAnsi="Verdana"/>
              </w:rPr>
            </w:pPr>
          </w:p>
        </w:tc>
        <w:tc>
          <w:tcPr>
            <w:tcW w:w="6237" w:type="dxa"/>
          </w:tcPr>
          <w:p w14:paraId="1F5C0EA2" w14:textId="77777777" w:rsidR="006F7C54" w:rsidRPr="00A12CB6" w:rsidRDefault="006F7C54" w:rsidP="003E0DB8">
            <w:pPr>
              <w:spacing w:line="256" w:lineRule="auto"/>
              <w:rPr>
                <w:rFonts w:ascii="Verdana" w:hAnsi="Verdana"/>
                <w:lang w:val="es-ES_tradnl"/>
              </w:rPr>
            </w:pPr>
          </w:p>
        </w:tc>
      </w:tr>
    </w:tbl>
    <w:p w14:paraId="7456AE30" w14:textId="77777777" w:rsidR="00384959" w:rsidRDefault="00384959" w:rsidP="006F7C54">
      <w:pPr>
        <w:spacing w:after="0" w:line="256" w:lineRule="auto"/>
        <w:rPr>
          <w:rFonts w:ascii="Verdana" w:eastAsia="Calibri" w:hAnsi="Verdana" w:cs="Times New Roman"/>
          <w:lang w:val="es-ES"/>
        </w:rPr>
      </w:pPr>
    </w:p>
    <w:p w14:paraId="14DF0306" w14:textId="77777777" w:rsidR="00384959" w:rsidRDefault="00384959" w:rsidP="006F7C54">
      <w:pPr>
        <w:spacing w:after="0" w:line="256" w:lineRule="auto"/>
        <w:rPr>
          <w:rFonts w:ascii="Verdana" w:eastAsia="Calibri" w:hAnsi="Verdana" w:cs="Times New Roman"/>
          <w:lang w:val="es-ES"/>
        </w:rPr>
      </w:pPr>
    </w:p>
    <w:p w14:paraId="3AB7FC36" w14:textId="77777777" w:rsidR="00384959" w:rsidRDefault="00384959" w:rsidP="006F7C54">
      <w:pPr>
        <w:spacing w:after="0" w:line="256" w:lineRule="auto"/>
        <w:rPr>
          <w:rFonts w:ascii="Verdana" w:eastAsia="Calibri" w:hAnsi="Verdana" w:cs="Times New Roman"/>
          <w:lang w:val="es-ES"/>
        </w:rPr>
      </w:pPr>
    </w:p>
    <w:p w14:paraId="63167A14" w14:textId="1AB087F3" w:rsidR="006F7C54" w:rsidRDefault="00384959" w:rsidP="006F7C54">
      <w:pPr>
        <w:spacing w:after="0" w:line="256" w:lineRule="auto"/>
        <w:rPr>
          <w:rFonts w:ascii="Verdana" w:eastAsia="Calibri" w:hAnsi="Verdana" w:cs="Times New Roman"/>
          <w:lang w:val="es-ES"/>
        </w:rPr>
      </w:pPr>
      <w:r>
        <w:rPr>
          <w:rFonts w:ascii="Verdana" w:eastAsia="Calibri" w:hAnsi="Verdana" w:cs="Times New Roman"/>
          <w:lang w:val="es-ES"/>
        </w:rPr>
        <w:t xml:space="preserve">Estimado señor Arbelaez Maestre: </w:t>
      </w:r>
    </w:p>
    <w:p w14:paraId="49BC2CF4" w14:textId="77777777" w:rsidR="00384959" w:rsidRPr="00A12CB6" w:rsidRDefault="00384959" w:rsidP="006F7C54">
      <w:pPr>
        <w:spacing w:after="0" w:line="256" w:lineRule="auto"/>
        <w:rPr>
          <w:rFonts w:ascii="Verdana" w:eastAsia="Calibri" w:hAnsi="Verdana" w:cs="Times New Roman"/>
          <w:lang w:val="es-ES"/>
        </w:rPr>
      </w:pPr>
    </w:p>
    <w:p w14:paraId="70563D89" w14:textId="72757CED" w:rsidR="006F7C54" w:rsidRPr="00CA5EF9" w:rsidRDefault="006F7C54" w:rsidP="006F7C54">
      <w:pPr>
        <w:spacing w:after="0" w:line="276" w:lineRule="auto"/>
        <w:jc w:val="both"/>
        <w:rPr>
          <w:rFonts w:ascii="Verdana" w:eastAsia="Calibri" w:hAnsi="Verdana" w:cs="Times New Roman"/>
          <w:iCs/>
        </w:rPr>
      </w:pPr>
      <w:r w:rsidRPr="000D4347">
        <w:rPr>
          <w:rFonts w:ascii="Verdana" w:eastAsia="Calibri" w:hAnsi="Verdana" w:cs="Times New Roman"/>
          <w:lang w:val="es-ES"/>
        </w:rPr>
        <w:t xml:space="preserve">En ejercicio de la competencia otorgada por los artículos 3, numeral 5º, y 11, numeral 8º, del Decreto Ley 4170 de 2011, la Agencia Nacional de Contratación Pública – Colombia Compra Eficiente– responde la solicitud de consulta presentada el </w:t>
      </w:r>
      <w:r w:rsidR="00384959">
        <w:rPr>
          <w:rFonts w:ascii="Verdana" w:eastAsia="Calibri" w:hAnsi="Verdana" w:cs="Times New Roman"/>
          <w:lang w:val="es-ES"/>
        </w:rPr>
        <w:t>2</w:t>
      </w:r>
      <w:r w:rsidRPr="000D4347">
        <w:rPr>
          <w:rFonts w:ascii="Verdana" w:eastAsia="Calibri" w:hAnsi="Verdana" w:cs="Times New Roman"/>
          <w:lang w:val="es-ES"/>
        </w:rPr>
        <w:t xml:space="preserve"> de julio de 202</w:t>
      </w:r>
      <w:r w:rsidR="00384959">
        <w:rPr>
          <w:rFonts w:ascii="Verdana" w:eastAsia="Calibri" w:hAnsi="Verdana" w:cs="Times New Roman"/>
          <w:lang w:val="es-ES"/>
        </w:rPr>
        <w:t>6</w:t>
      </w:r>
      <w:r w:rsidRPr="000D4347">
        <w:rPr>
          <w:rFonts w:ascii="Verdana" w:eastAsia="Calibri" w:hAnsi="Verdana" w:cs="Times New Roman"/>
          <w:lang w:val="es-ES"/>
        </w:rPr>
        <w:t>, en la cual manifiesta:</w:t>
      </w:r>
      <w:r w:rsidRPr="000D4347">
        <w:rPr>
          <w:rFonts w:ascii="Verdana" w:eastAsia="Calibri" w:hAnsi="Verdana" w:cs="Times New Roman"/>
        </w:rPr>
        <w:t xml:space="preserve"> </w:t>
      </w:r>
    </w:p>
    <w:p w14:paraId="37839CAB" w14:textId="77777777" w:rsidR="006F7C54" w:rsidRPr="00A9209D" w:rsidRDefault="006F7C54" w:rsidP="006F7C54">
      <w:pPr>
        <w:spacing w:after="0" w:line="276" w:lineRule="auto"/>
        <w:jc w:val="both"/>
        <w:rPr>
          <w:rFonts w:ascii="Verdana" w:eastAsia="Calibri" w:hAnsi="Verdana" w:cs="Times New Roman"/>
          <w:sz w:val="20"/>
          <w:szCs w:val="20"/>
        </w:rPr>
      </w:pPr>
    </w:p>
    <w:p w14:paraId="4F1E152D" w14:textId="119EAE13" w:rsidR="006F7C54" w:rsidRDefault="006F7C54" w:rsidP="00C866F6">
      <w:pPr>
        <w:spacing w:after="0" w:line="240" w:lineRule="auto"/>
        <w:ind w:right="709"/>
        <w:jc w:val="both"/>
        <w:rPr>
          <w:rFonts w:ascii="Verdana" w:eastAsia="Calibri" w:hAnsi="Verdana" w:cs="Times New Roman"/>
          <w:b/>
          <w:sz w:val="20"/>
          <w:szCs w:val="20"/>
        </w:rPr>
      </w:pPr>
    </w:p>
    <w:p w14:paraId="7104AD83" w14:textId="77777777" w:rsidR="00C866F6" w:rsidRPr="009F2EE2" w:rsidRDefault="00C866F6" w:rsidP="009F2EE2">
      <w:pPr>
        <w:spacing w:after="0" w:line="240" w:lineRule="auto"/>
        <w:ind w:left="709" w:right="709"/>
        <w:jc w:val="both"/>
        <w:rPr>
          <w:rFonts w:ascii="Verdana" w:eastAsia="Calibri" w:hAnsi="Verdana" w:cs="Times New Roman"/>
          <w:bCs/>
          <w:i/>
          <w:iCs/>
          <w:sz w:val="21"/>
          <w:szCs w:val="21"/>
        </w:rPr>
      </w:pPr>
    </w:p>
    <w:p w14:paraId="10BB1639" w14:textId="2DCDF901" w:rsidR="00C866F6" w:rsidRPr="009F2EE2" w:rsidRDefault="00067D0C" w:rsidP="009F2EE2">
      <w:pPr>
        <w:spacing w:after="0" w:line="240" w:lineRule="auto"/>
        <w:ind w:left="709" w:right="709"/>
        <w:jc w:val="both"/>
        <w:rPr>
          <w:rFonts w:ascii="Verdana" w:eastAsia="Calibri" w:hAnsi="Verdana" w:cs="Times New Roman"/>
          <w:bCs/>
          <w:i/>
          <w:iCs/>
          <w:sz w:val="21"/>
          <w:szCs w:val="21"/>
        </w:rPr>
      </w:pPr>
      <w:r w:rsidRPr="009F2EE2">
        <w:rPr>
          <w:rFonts w:ascii="Verdana" w:eastAsia="Calibri" w:hAnsi="Verdana" w:cs="Times New Roman"/>
          <w:bCs/>
          <w:i/>
          <w:iCs/>
          <w:sz w:val="21"/>
          <w:szCs w:val="21"/>
        </w:rPr>
        <w:t>“</w:t>
      </w:r>
      <w:r w:rsidR="00C866F6" w:rsidRPr="009F2EE2">
        <w:rPr>
          <w:rFonts w:ascii="Verdana" w:eastAsia="Calibri" w:hAnsi="Verdana" w:cs="Times New Roman"/>
          <w:bCs/>
          <w:i/>
          <w:iCs/>
          <w:sz w:val="21"/>
          <w:szCs w:val="21"/>
        </w:rPr>
        <w:t xml:space="preserve">1. puede una entidad pagar la última cuenta de un contrato de prestación de servicios </w:t>
      </w:r>
      <w:r w:rsidR="00A30679" w:rsidRPr="009F2EE2">
        <w:rPr>
          <w:rFonts w:ascii="Verdana" w:eastAsia="Calibri" w:hAnsi="Verdana" w:cs="Times New Roman"/>
          <w:bCs/>
          <w:i/>
          <w:iCs/>
          <w:sz w:val="21"/>
          <w:szCs w:val="21"/>
        </w:rPr>
        <w:t xml:space="preserve">de apoyo a la gestión sin la firma del acta de </w:t>
      </w:r>
      <w:r w:rsidR="00453364" w:rsidRPr="009F2EE2">
        <w:rPr>
          <w:rFonts w:ascii="Verdana" w:eastAsia="Calibri" w:hAnsi="Verdana" w:cs="Times New Roman"/>
          <w:bCs/>
          <w:i/>
          <w:iCs/>
          <w:sz w:val="21"/>
          <w:szCs w:val="21"/>
        </w:rPr>
        <w:t>terminación</w:t>
      </w:r>
      <w:r w:rsidR="00031FF8" w:rsidRPr="009F2EE2">
        <w:rPr>
          <w:rFonts w:ascii="Verdana" w:eastAsia="Calibri" w:hAnsi="Verdana" w:cs="Times New Roman"/>
          <w:bCs/>
          <w:i/>
          <w:iCs/>
          <w:sz w:val="21"/>
          <w:szCs w:val="21"/>
        </w:rPr>
        <w:t xml:space="preserve">. </w:t>
      </w:r>
    </w:p>
    <w:p w14:paraId="2BF02CE6" w14:textId="4C6512EA" w:rsidR="00031FF8" w:rsidRPr="009F2EE2" w:rsidRDefault="00031FF8" w:rsidP="009F2EE2">
      <w:pPr>
        <w:spacing w:after="0" w:line="240" w:lineRule="auto"/>
        <w:ind w:left="709" w:right="709"/>
        <w:jc w:val="both"/>
        <w:rPr>
          <w:rFonts w:ascii="Verdana" w:eastAsia="Calibri" w:hAnsi="Verdana" w:cs="Times New Roman"/>
          <w:bCs/>
          <w:i/>
          <w:iCs/>
          <w:sz w:val="21"/>
          <w:szCs w:val="21"/>
        </w:rPr>
      </w:pPr>
      <w:r w:rsidRPr="009F2EE2">
        <w:rPr>
          <w:rFonts w:ascii="Verdana" w:eastAsia="Calibri" w:hAnsi="Verdana" w:cs="Times New Roman"/>
          <w:bCs/>
          <w:i/>
          <w:iCs/>
          <w:sz w:val="21"/>
          <w:szCs w:val="21"/>
        </w:rPr>
        <w:t xml:space="preserve">2. Se puede establecer en un mismo documento la terminación y liquidación de un contrato de prestación de servicios de apoyo a la gestión. </w:t>
      </w:r>
    </w:p>
    <w:p w14:paraId="0EF946DB" w14:textId="2FFA07FB" w:rsidR="00067D0C" w:rsidRPr="009F2EE2" w:rsidRDefault="00031FF8" w:rsidP="009F2EE2">
      <w:pPr>
        <w:spacing w:after="0" w:line="240" w:lineRule="auto"/>
        <w:ind w:left="709" w:right="709"/>
        <w:jc w:val="both"/>
        <w:rPr>
          <w:rFonts w:ascii="Verdana" w:eastAsia="Calibri" w:hAnsi="Verdana" w:cs="Times New Roman"/>
          <w:bCs/>
          <w:i/>
          <w:iCs/>
          <w:sz w:val="21"/>
          <w:szCs w:val="21"/>
        </w:rPr>
      </w:pPr>
      <w:r w:rsidRPr="009F2EE2">
        <w:rPr>
          <w:rFonts w:ascii="Verdana" w:eastAsia="Calibri" w:hAnsi="Verdana" w:cs="Times New Roman"/>
          <w:bCs/>
          <w:i/>
          <w:iCs/>
          <w:sz w:val="21"/>
          <w:szCs w:val="21"/>
        </w:rPr>
        <w:t xml:space="preserve">3. </w:t>
      </w:r>
      <w:r w:rsidR="00D70976" w:rsidRPr="009F2EE2">
        <w:rPr>
          <w:rFonts w:ascii="Verdana" w:eastAsia="Calibri" w:hAnsi="Verdana" w:cs="Times New Roman"/>
          <w:bCs/>
          <w:i/>
          <w:iCs/>
          <w:sz w:val="21"/>
          <w:szCs w:val="21"/>
        </w:rPr>
        <w:t xml:space="preserve">De lograrse el punto 2, es </w:t>
      </w:r>
      <w:proofErr w:type="spellStart"/>
      <w:r w:rsidR="00D70976" w:rsidRPr="009F2EE2">
        <w:rPr>
          <w:rFonts w:ascii="Verdana" w:eastAsia="Calibri" w:hAnsi="Verdana" w:cs="Times New Roman"/>
          <w:bCs/>
          <w:i/>
          <w:iCs/>
          <w:sz w:val="21"/>
          <w:szCs w:val="21"/>
        </w:rPr>
        <w:t>valido</w:t>
      </w:r>
      <w:proofErr w:type="spellEnd"/>
      <w:r w:rsidR="00D70976" w:rsidRPr="009F2EE2">
        <w:rPr>
          <w:rFonts w:ascii="Verdana" w:eastAsia="Calibri" w:hAnsi="Verdana" w:cs="Times New Roman"/>
          <w:bCs/>
          <w:i/>
          <w:iCs/>
          <w:sz w:val="21"/>
          <w:szCs w:val="21"/>
        </w:rPr>
        <w:t xml:space="preserve"> para la última cuenta de</w:t>
      </w:r>
      <w:r w:rsidR="00523230">
        <w:rPr>
          <w:rFonts w:ascii="Verdana" w:eastAsia="Calibri" w:hAnsi="Verdana" w:cs="Times New Roman"/>
          <w:bCs/>
          <w:i/>
          <w:iCs/>
          <w:sz w:val="21"/>
          <w:szCs w:val="21"/>
        </w:rPr>
        <w:t xml:space="preserve"> </w:t>
      </w:r>
      <w:proofErr w:type="spellStart"/>
      <w:r w:rsidR="00523230">
        <w:rPr>
          <w:rFonts w:ascii="Verdana" w:eastAsia="Calibri" w:hAnsi="Verdana" w:cs="Times New Roman"/>
          <w:bCs/>
          <w:i/>
          <w:iCs/>
          <w:sz w:val="21"/>
          <w:szCs w:val="21"/>
        </w:rPr>
        <w:t>de</w:t>
      </w:r>
      <w:proofErr w:type="spellEnd"/>
      <w:r w:rsidR="00D70976" w:rsidRPr="009F2EE2">
        <w:rPr>
          <w:rFonts w:ascii="Verdana" w:eastAsia="Calibri" w:hAnsi="Verdana" w:cs="Times New Roman"/>
          <w:bCs/>
          <w:i/>
          <w:iCs/>
          <w:sz w:val="21"/>
          <w:szCs w:val="21"/>
        </w:rPr>
        <w:t xml:space="preserve"> un contrato de prestación de servicios</w:t>
      </w:r>
      <w:r w:rsidR="00CF22B6" w:rsidRPr="009F2EE2">
        <w:rPr>
          <w:rFonts w:ascii="Verdana" w:eastAsia="Calibri" w:hAnsi="Verdana" w:cs="Times New Roman"/>
          <w:bCs/>
          <w:i/>
          <w:iCs/>
          <w:sz w:val="21"/>
          <w:szCs w:val="21"/>
        </w:rPr>
        <w:t xml:space="preserve"> de apoyo a la gestión sin la firma de </w:t>
      </w:r>
      <w:r w:rsidR="00067D0C" w:rsidRPr="009F2EE2">
        <w:rPr>
          <w:rFonts w:ascii="Verdana" w:eastAsia="Calibri" w:hAnsi="Verdana" w:cs="Times New Roman"/>
          <w:bCs/>
          <w:i/>
          <w:iCs/>
          <w:sz w:val="21"/>
          <w:szCs w:val="21"/>
        </w:rPr>
        <w:t>este documento</w:t>
      </w:r>
      <w:r w:rsidR="00CF22B6" w:rsidRPr="009F2EE2">
        <w:rPr>
          <w:rFonts w:ascii="Verdana" w:eastAsia="Calibri" w:hAnsi="Verdana" w:cs="Times New Roman"/>
          <w:bCs/>
          <w:i/>
          <w:iCs/>
          <w:sz w:val="21"/>
          <w:szCs w:val="21"/>
        </w:rPr>
        <w:t>”</w:t>
      </w:r>
      <w:r w:rsidR="00067D0C" w:rsidRPr="009F2EE2">
        <w:rPr>
          <w:rFonts w:ascii="Verdana" w:eastAsia="Calibri" w:hAnsi="Verdana" w:cs="Times New Roman"/>
          <w:bCs/>
          <w:i/>
          <w:iCs/>
          <w:sz w:val="21"/>
          <w:szCs w:val="21"/>
        </w:rPr>
        <w:t xml:space="preserve"> (SIC). </w:t>
      </w:r>
    </w:p>
    <w:p w14:paraId="04F6EC75" w14:textId="77777777" w:rsidR="00067D0C" w:rsidRDefault="00067D0C" w:rsidP="00C866F6">
      <w:pPr>
        <w:spacing w:after="0" w:line="240" w:lineRule="auto"/>
        <w:ind w:right="709"/>
        <w:jc w:val="both"/>
        <w:rPr>
          <w:rFonts w:ascii="Verdana" w:eastAsia="Calibri" w:hAnsi="Verdana" w:cs="Times New Roman"/>
          <w:bCs/>
          <w:sz w:val="21"/>
          <w:szCs w:val="21"/>
        </w:rPr>
      </w:pPr>
    </w:p>
    <w:p w14:paraId="382DA84E" w14:textId="77777777" w:rsidR="00067D0C" w:rsidRPr="00C866F6" w:rsidRDefault="00067D0C" w:rsidP="00C866F6">
      <w:pPr>
        <w:spacing w:after="0" w:line="240" w:lineRule="auto"/>
        <w:ind w:right="709"/>
        <w:jc w:val="both"/>
        <w:rPr>
          <w:rFonts w:ascii="Verdana" w:eastAsia="Calibri" w:hAnsi="Verdana" w:cs="Times New Roman"/>
          <w:bCs/>
          <w:sz w:val="21"/>
          <w:szCs w:val="21"/>
        </w:rPr>
      </w:pPr>
    </w:p>
    <w:p w14:paraId="630E70A6" w14:textId="77777777" w:rsidR="006F7C54" w:rsidRPr="00A12CB6" w:rsidRDefault="006F7C54" w:rsidP="009F2EE2">
      <w:pPr>
        <w:spacing w:after="120" w:line="276" w:lineRule="auto"/>
        <w:jc w:val="both"/>
        <w:rPr>
          <w:rFonts w:ascii="Verdana" w:eastAsia="Calibri" w:hAnsi="Verdana" w:cs="Times New Roman"/>
          <w:lang w:val="es-ES"/>
        </w:rPr>
      </w:pPr>
      <w:r w:rsidRPr="00A12CB6">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3C0478FB" w14:textId="77777777" w:rsidR="006F7C54" w:rsidRPr="00A12CB6" w:rsidRDefault="006F7C54" w:rsidP="006F7C54">
      <w:pPr>
        <w:spacing w:after="0" w:line="276" w:lineRule="auto"/>
        <w:ind w:firstLine="708"/>
        <w:jc w:val="both"/>
        <w:rPr>
          <w:rFonts w:ascii="Verdana" w:eastAsia="Calibri" w:hAnsi="Verdana" w:cs="Times New Roman"/>
          <w:lang w:val="es-ES"/>
        </w:rPr>
      </w:pPr>
      <w:r w:rsidRPr="00A12CB6">
        <w:rPr>
          <w:rFonts w:ascii="Verdana" w:eastAsia="Calibri" w:hAnsi="Verdana" w:cs="Times New Roman"/>
          <w:lang w:val="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w:t>
      </w:r>
      <w:r>
        <w:rPr>
          <w:rFonts w:ascii="Verdana" w:eastAsia="Calibri" w:hAnsi="Verdana" w:cs="Times New Roman"/>
          <w:lang w:val="es-ES"/>
        </w:rPr>
        <w:t xml:space="preserve">s generales relacionadas con los problemas jurídicos de su consulta. </w:t>
      </w:r>
    </w:p>
    <w:p w14:paraId="12A20583" w14:textId="77777777" w:rsidR="006F7C54" w:rsidRPr="00A12CB6" w:rsidRDefault="006F7C54" w:rsidP="006F7C54">
      <w:pPr>
        <w:spacing w:after="0" w:line="256" w:lineRule="auto"/>
        <w:rPr>
          <w:rFonts w:ascii="Verdana" w:eastAsia="Calibri" w:hAnsi="Verdana" w:cs="Times New Roman"/>
          <w:lang w:val="es-ES"/>
        </w:rPr>
      </w:pPr>
    </w:p>
    <w:p w14:paraId="6CBA1B46" w14:textId="057B0357" w:rsidR="006F7C54" w:rsidRPr="00A12CB6" w:rsidRDefault="009F2EE2" w:rsidP="009F2EE2">
      <w:pPr>
        <w:spacing w:after="0" w:line="256" w:lineRule="auto"/>
        <w:ind w:left="360"/>
        <w:contextualSpacing/>
        <w:rPr>
          <w:rFonts w:ascii="Verdana" w:eastAsia="Calibri" w:hAnsi="Verdana" w:cs="Times New Roman"/>
          <w:b/>
          <w:bCs/>
          <w:lang w:val="es-ES"/>
        </w:rPr>
      </w:pPr>
      <w:r>
        <w:rPr>
          <w:rFonts w:ascii="Verdana" w:eastAsia="Calibri" w:hAnsi="Verdana" w:cs="Times New Roman"/>
          <w:b/>
          <w:bCs/>
          <w:lang w:val="es-ES"/>
        </w:rPr>
        <w:t xml:space="preserve">1. </w:t>
      </w:r>
      <w:r w:rsidR="006F7C54" w:rsidRPr="00A12CB6">
        <w:rPr>
          <w:rFonts w:ascii="Verdana" w:eastAsia="Calibri" w:hAnsi="Verdana" w:cs="Times New Roman"/>
          <w:b/>
          <w:bCs/>
          <w:lang w:val="es-ES"/>
        </w:rPr>
        <w:t>Problema planteado:</w:t>
      </w:r>
    </w:p>
    <w:p w14:paraId="3AB53E79" w14:textId="77777777" w:rsidR="006F7C54" w:rsidRDefault="006F7C54" w:rsidP="006F7C54">
      <w:pPr>
        <w:spacing w:after="0" w:line="256" w:lineRule="auto"/>
        <w:rPr>
          <w:rFonts w:ascii="Verdana" w:eastAsia="Calibri" w:hAnsi="Verdana" w:cs="Times New Roman"/>
        </w:rPr>
      </w:pPr>
    </w:p>
    <w:p w14:paraId="34A8E47A" w14:textId="548DD45A" w:rsidR="006F7C54" w:rsidRDefault="006F7C54" w:rsidP="006F7C54">
      <w:pPr>
        <w:spacing w:after="0" w:line="276" w:lineRule="auto"/>
        <w:jc w:val="both"/>
        <w:rPr>
          <w:rFonts w:ascii="Verdana" w:eastAsia="Century Gothic" w:hAnsi="Verdana" w:cs="Century Gothic"/>
        </w:rPr>
      </w:pPr>
      <w:r w:rsidRPr="134495F9">
        <w:rPr>
          <w:rFonts w:ascii="Verdana" w:eastAsia="Calibri" w:hAnsi="Verdana" w:cs="Times New Roman"/>
        </w:rPr>
        <w:t>De acuerdo con el contenido</w:t>
      </w:r>
      <w:r>
        <w:rPr>
          <w:rFonts w:ascii="Verdana" w:eastAsia="Calibri" w:hAnsi="Verdana" w:cs="Times New Roman"/>
        </w:rPr>
        <w:t xml:space="preserve"> de sus solicitudes</w:t>
      </w:r>
      <w:r w:rsidRPr="134495F9">
        <w:rPr>
          <w:rFonts w:ascii="Verdana" w:eastAsia="Calibri" w:hAnsi="Verdana" w:cs="Times New Roman"/>
        </w:rPr>
        <w:t>, est</w:t>
      </w:r>
      <w:r>
        <w:rPr>
          <w:rFonts w:ascii="Verdana" w:eastAsia="Calibri" w:hAnsi="Verdana" w:cs="Times New Roman"/>
        </w:rPr>
        <w:t xml:space="preserve">a Agencia procede a resolver </w:t>
      </w:r>
      <w:r w:rsidR="003C7110">
        <w:rPr>
          <w:rFonts w:ascii="Verdana" w:eastAsia="Calibri" w:hAnsi="Verdana" w:cs="Times New Roman"/>
        </w:rPr>
        <w:t xml:space="preserve">el </w:t>
      </w:r>
      <w:r w:rsidR="00A41B50">
        <w:rPr>
          <w:rFonts w:ascii="Verdana" w:eastAsia="Calibri" w:hAnsi="Verdana" w:cs="Times New Roman"/>
        </w:rPr>
        <w:t>siguiente</w:t>
      </w:r>
      <w:r w:rsidR="0041506A">
        <w:rPr>
          <w:rFonts w:ascii="Verdana" w:eastAsia="Calibri" w:hAnsi="Verdana" w:cs="Times New Roman"/>
        </w:rPr>
        <w:t xml:space="preserve"> problema</w:t>
      </w:r>
      <w:r w:rsidR="003C7110">
        <w:rPr>
          <w:rFonts w:ascii="Verdana" w:eastAsia="Calibri" w:hAnsi="Verdana" w:cs="Times New Roman"/>
        </w:rPr>
        <w:t xml:space="preserve"> </w:t>
      </w:r>
      <w:r w:rsidR="0041506A">
        <w:rPr>
          <w:rFonts w:ascii="Verdana" w:eastAsia="Calibri" w:hAnsi="Verdana" w:cs="Times New Roman"/>
        </w:rPr>
        <w:t>jurídico:</w:t>
      </w:r>
      <w:r w:rsidR="00A41B50">
        <w:rPr>
          <w:rFonts w:ascii="Verdana" w:eastAsia="Calibri" w:hAnsi="Verdana" w:cs="Times New Roman"/>
        </w:rPr>
        <w:t xml:space="preserve"> </w:t>
      </w:r>
      <w:r w:rsidR="009A2ADE">
        <w:rPr>
          <w:rFonts w:ascii="Verdana" w:eastAsia="Calibri" w:hAnsi="Verdana" w:cs="Times New Roman"/>
        </w:rPr>
        <w:t>¿</w:t>
      </w:r>
      <w:r w:rsidR="00825350">
        <w:rPr>
          <w:rFonts w:ascii="Verdana" w:eastAsia="Calibri" w:hAnsi="Verdana" w:cs="Times New Roman"/>
        </w:rPr>
        <w:t>Es una obligación establecer</w:t>
      </w:r>
      <w:r w:rsidR="00343E90">
        <w:rPr>
          <w:rFonts w:ascii="Verdana" w:eastAsia="Calibri" w:hAnsi="Verdana" w:cs="Times New Roman"/>
        </w:rPr>
        <w:t xml:space="preserve"> </w:t>
      </w:r>
      <w:r w:rsidR="00B2635A">
        <w:rPr>
          <w:rFonts w:ascii="Verdana" w:eastAsia="Calibri" w:hAnsi="Verdana" w:cs="Times New Roman"/>
        </w:rPr>
        <w:t xml:space="preserve">el acta de </w:t>
      </w:r>
      <w:r w:rsidR="00343E90">
        <w:rPr>
          <w:rFonts w:ascii="Verdana" w:eastAsia="Calibri" w:hAnsi="Verdana" w:cs="Times New Roman"/>
        </w:rPr>
        <w:t>liquidación</w:t>
      </w:r>
      <w:r w:rsidR="00825350">
        <w:rPr>
          <w:rFonts w:ascii="Verdana" w:eastAsia="Calibri" w:hAnsi="Verdana" w:cs="Times New Roman"/>
        </w:rPr>
        <w:t xml:space="preserve"> </w:t>
      </w:r>
      <w:r w:rsidR="00397C0D">
        <w:rPr>
          <w:rFonts w:ascii="Verdana" w:eastAsia="Calibri" w:hAnsi="Verdana" w:cs="Times New Roman"/>
        </w:rPr>
        <w:t>en</w:t>
      </w:r>
      <w:r w:rsidR="00343E90">
        <w:rPr>
          <w:rFonts w:ascii="Verdana" w:eastAsia="Calibri" w:hAnsi="Verdana" w:cs="Times New Roman"/>
        </w:rPr>
        <w:t xml:space="preserve"> los contratos de prestación de servicios de apoyo a la gestión? </w:t>
      </w:r>
    </w:p>
    <w:p w14:paraId="1B7D0463" w14:textId="77777777" w:rsidR="00A673C9" w:rsidRPr="00A673C9" w:rsidRDefault="00A673C9" w:rsidP="006F7C54">
      <w:pPr>
        <w:spacing w:after="0" w:line="276" w:lineRule="auto"/>
        <w:jc w:val="both"/>
        <w:rPr>
          <w:rFonts w:ascii="Verdana" w:eastAsia="Century Gothic" w:hAnsi="Verdana" w:cs="Century Gothic"/>
        </w:rPr>
      </w:pPr>
    </w:p>
    <w:p w14:paraId="26D76561" w14:textId="7A336CA8" w:rsidR="00882876" w:rsidRDefault="009F2EE2" w:rsidP="00882876">
      <w:pPr>
        <w:spacing w:after="0" w:line="256" w:lineRule="auto"/>
        <w:ind w:left="360"/>
        <w:contextualSpacing/>
        <w:rPr>
          <w:rFonts w:ascii="Verdana" w:eastAsia="Calibri" w:hAnsi="Verdana" w:cs="Times New Roman"/>
          <w:b/>
          <w:bCs/>
          <w:lang w:val="es-ES"/>
        </w:rPr>
      </w:pPr>
      <w:r>
        <w:rPr>
          <w:rFonts w:ascii="Verdana" w:eastAsia="Calibri" w:hAnsi="Verdana" w:cs="Times New Roman"/>
          <w:b/>
          <w:bCs/>
          <w:lang w:val="es-ES"/>
        </w:rPr>
        <w:t xml:space="preserve">2. </w:t>
      </w:r>
      <w:r w:rsidR="006F7C54" w:rsidRPr="00A12CB6">
        <w:rPr>
          <w:rFonts w:ascii="Verdana" w:eastAsia="Calibri" w:hAnsi="Verdana" w:cs="Times New Roman"/>
          <w:b/>
          <w:bCs/>
          <w:lang w:val="es-ES"/>
        </w:rPr>
        <w:t>Respuesta:</w:t>
      </w:r>
    </w:p>
    <w:p w14:paraId="1DF4E909" w14:textId="77777777" w:rsidR="00882876" w:rsidRDefault="00882876" w:rsidP="00882876">
      <w:pPr>
        <w:spacing w:after="0" w:line="256" w:lineRule="auto"/>
        <w:ind w:left="360"/>
        <w:contextualSpacing/>
        <w:rPr>
          <w:rFonts w:ascii="Verdana" w:eastAsia="Calibri" w:hAnsi="Verdana" w:cs="Times New Roman"/>
          <w:b/>
          <w:bCs/>
          <w:lang w:val="es-ES"/>
        </w:rPr>
      </w:pPr>
    </w:p>
    <w:p w14:paraId="4219C899" w14:textId="240F6CB5" w:rsidR="00984A97" w:rsidRDefault="00EB57FD" w:rsidP="005C6069">
      <w:pPr>
        <w:pBdr>
          <w:top w:val="single" w:sz="4" w:space="1" w:color="auto"/>
          <w:left w:val="single" w:sz="4" w:space="4" w:color="auto"/>
          <w:bottom w:val="single" w:sz="4" w:space="1" w:color="auto"/>
          <w:right w:val="single" w:sz="4" w:space="4" w:color="auto"/>
        </w:pBdr>
        <w:spacing w:after="120"/>
        <w:ind w:firstLine="709"/>
        <w:jc w:val="both"/>
        <w:rPr>
          <w:rFonts w:ascii="Verdana" w:eastAsia="Verdana" w:hAnsi="Verdana" w:cs="Verdana"/>
          <w:lang w:val="es-MX"/>
        </w:rPr>
      </w:pPr>
      <w:r>
        <w:rPr>
          <w:rFonts w:ascii="Verdana" w:eastAsia="Verdana" w:hAnsi="Verdana" w:cs="Verdana"/>
          <w:lang w:val="es-MX"/>
        </w:rPr>
        <w:t xml:space="preserve">Para </w:t>
      </w:r>
      <w:r w:rsidR="00D145A4">
        <w:rPr>
          <w:rFonts w:ascii="Verdana" w:eastAsia="Verdana" w:hAnsi="Verdana" w:cs="Verdana"/>
          <w:lang w:val="es-MX"/>
        </w:rPr>
        <w:t xml:space="preserve">responder a su consulta es necesario explicar que la </w:t>
      </w:r>
      <w:r w:rsidR="00F20A1A">
        <w:rPr>
          <w:rFonts w:ascii="Verdana" w:eastAsia="Verdana" w:hAnsi="Verdana" w:cs="Verdana"/>
          <w:lang w:val="es-MX"/>
        </w:rPr>
        <w:t>liquidación es el momento en el cual</w:t>
      </w:r>
      <w:r>
        <w:rPr>
          <w:rFonts w:ascii="Verdana" w:eastAsia="Verdana" w:hAnsi="Verdana" w:cs="Verdana"/>
          <w:lang w:val="es-MX"/>
        </w:rPr>
        <w:t>,</w:t>
      </w:r>
      <w:r w:rsidR="00F20A1A">
        <w:rPr>
          <w:rFonts w:ascii="Verdana" w:eastAsia="Verdana" w:hAnsi="Verdana" w:cs="Verdana"/>
          <w:lang w:val="es-MX"/>
        </w:rPr>
        <w:t xml:space="preserve"> una vez concluido el contrato estatal, las partes cruza</w:t>
      </w:r>
      <w:r w:rsidR="00B230FA">
        <w:rPr>
          <w:rFonts w:ascii="Verdana" w:eastAsia="Verdana" w:hAnsi="Verdana" w:cs="Verdana"/>
          <w:lang w:val="es-MX"/>
        </w:rPr>
        <w:t xml:space="preserve">n cuentas respecto de sus obligaciones. El objetivo de la liquidación es determinar si las </w:t>
      </w:r>
      <w:r w:rsidR="00B230FA" w:rsidRPr="791E5719">
        <w:rPr>
          <w:rFonts w:ascii="Verdana" w:eastAsia="Verdana" w:hAnsi="Verdana" w:cs="Verdana"/>
          <w:lang w:val="es-MX"/>
        </w:rPr>
        <w:t>partes</w:t>
      </w:r>
      <w:r w:rsidR="00B230FA">
        <w:rPr>
          <w:rFonts w:ascii="Verdana" w:eastAsia="Verdana" w:hAnsi="Verdana" w:cs="Verdana"/>
          <w:lang w:val="es-MX"/>
        </w:rPr>
        <w:t xml:space="preserve"> pueden declararse a paz y salvo o si existen obl</w:t>
      </w:r>
      <w:r w:rsidR="00A65EE5">
        <w:rPr>
          <w:rFonts w:ascii="Verdana" w:eastAsia="Verdana" w:hAnsi="Verdana" w:cs="Verdana"/>
          <w:lang w:val="es-MX"/>
        </w:rPr>
        <w:t xml:space="preserve">igaciones por cumplir, y con ocasión de aquella que puede acordar la forma en que deben ser cumplidas. Por esta razón, la liquidación solo procede con posterioridad a la </w:t>
      </w:r>
      <w:r w:rsidR="00984A97">
        <w:rPr>
          <w:rFonts w:ascii="Verdana" w:eastAsia="Verdana" w:hAnsi="Verdana" w:cs="Verdana"/>
          <w:lang w:val="es-MX"/>
        </w:rPr>
        <w:t>terminación de la ejecución del contrato.</w:t>
      </w:r>
    </w:p>
    <w:p w14:paraId="4C5A511A" w14:textId="77777777" w:rsidR="009F3D02" w:rsidRDefault="00984A97" w:rsidP="009F3D02">
      <w:pPr>
        <w:pBdr>
          <w:top w:val="single" w:sz="4" w:space="1" w:color="auto"/>
          <w:left w:val="single" w:sz="4" w:space="4" w:color="auto"/>
          <w:bottom w:val="single" w:sz="4" w:space="1" w:color="auto"/>
          <w:right w:val="single" w:sz="4" w:space="4" w:color="auto"/>
        </w:pBdr>
        <w:spacing w:after="120"/>
        <w:ind w:firstLine="709"/>
        <w:jc w:val="both"/>
        <w:rPr>
          <w:rFonts w:ascii="Verdana" w:eastAsia="Verdana" w:hAnsi="Verdana" w:cs="Verdana"/>
          <w:lang w:val="es-MX"/>
        </w:rPr>
      </w:pPr>
      <w:r>
        <w:rPr>
          <w:rFonts w:ascii="Verdana" w:eastAsia="Verdana" w:hAnsi="Verdana" w:cs="Verdana"/>
          <w:lang w:val="es-MX"/>
        </w:rPr>
        <w:t>Ahora bien, las disposiciones legales que norman la etapa de liquidación de los contratos estatales son el artículo 690 de la Ley 80 de 1993</w:t>
      </w:r>
      <w:r w:rsidR="002C15C1">
        <w:rPr>
          <w:rFonts w:ascii="Verdana" w:eastAsia="Verdana" w:hAnsi="Verdana" w:cs="Verdana"/>
          <w:lang w:val="es-MX"/>
        </w:rPr>
        <w:t>, modificado por el artículo 217 del Decreto 019 de 2012, y el artículo 11 de la Ley 1150 de 2007</w:t>
      </w:r>
      <w:r w:rsidR="00EA7C11">
        <w:rPr>
          <w:rFonts w:ascii="Verdana" w:eastAsia="Verdana" w:hAnsi="Verdana" w:cs="Verdana"/>
          <w:lang w:val="es-MX"/>
        </w:rPr>
        <w:t xml:space="preserve">. El primero de estos artículos se refiere al alcance sustantivo de la liquidación, mientras que el segundo contiene las reglas procedimentales para su manejo. </w:t>
      </w:r>
    </w:p>
    <w:p w14:paraId="234A464F" w14:textId="68E5314A" w:rsidR="00D10E48" w:rsidRDefault="009F3D02" w:rsidP="009F3D02">
      <w:pPr>
        <w:pBdr>
          <w:top w:val="single" w:sz="4" w:space="1" w:color="auto"/>
          <w:left w:val="single" w:sz="4" w:space="4" w:color="auto"/>
          <w:bottom w:val="single" w:sz="4" w:space="1" w:color="auto"/>
          <w:right w:val="single" w:sz="4" w:space="4" w:color="auto"/>
        </w:pBdr>
        <w:spacing w:after="120"/>
        <w:ind w:firstLine="709"/>
        <w:jc w:val="both"/>
        <w:rPr>
          <w:rFonts w:ascii="Verdana" w:eastAsia="Verdana" w:hAnsi="Verdana" w:cs="Verdana"/>
          <w:lang w:val="es-MX"/>
        </w:rPr>
      </w:pPr>
      <w:r>
        <w:rPr>
          <w:rFonts w:ascii="Verdana" w:eastAsia="Verdana" w:hAnsi="Verdana" w:cs="Verdana"/>
          <w:lang w:val="es-MX"/>
        </w:rPr>
        <w:t xml:space="preserve">Por </w:t>
      </w:r>
      <w:r w:rsidR="00FC4C92">
        <w:rPr>
          <w:rFonts w:ascii="Verdana" w:eastAsia="Verdana" w:hAnsi="Verdana" w:cs="Verdana"/>
          <w:lang w:val="es-MX"/>
        </w:rPr>
        <w:t>otra parte</w:t>
      </w:r>
      <w:r>
        <w:rPr>
          <w:rFonts w:ascii="Verdana" w:eastAsia="Verdana" w:hAnsi="Verdana" w:cs="Verdana"/>
          <w:lang w:val="es-MX"/>
        </w:rPr>
        <w:t xml:space="preserve">, </w:t>
      </w:r>
      <w:r w:rsidR="00EB57FD">
        <w:rPr>
          <w:rFonts w:ascii="Verdana" w:eastAsia="Verdana" w:hAnsi="Verdana" w:cs="Verdana"/>
          <w:lang w:val="es-MX"/>
        </w:rPr>
        <w:t xml:space="preserve">es </w:t>
      </w:r>
      <w:r w:rsidR="004755ED">
        <w:rPr>
          <w:rFonts w:ascii="Verdana" w:eastAsia="Verdana" w:hAnsi="Verdana" w:cs="Verdana"/>
          <w:lang w:val="es-MX"/>
        </w:rPr>
        <w:t xml:space="preserve">importante mencionar, </w:t>
      </w:r>
      <w:r w:rsidR="00EB57FD">
        <w:rPr>
          <w:rFonts w:ascii="Verdana" w:eastAsia="Verdana" w:hAnsi="Verdana" w:cs="Verdana"/>
          <w:lang w:val="es-MX"/>
        </w:rPr>
        <w:t>que</w:t>
      </w:r>
      <w:r>
        <w:rPr>
          <w:rFonts w:ascii="Verdana" w:eastAsia="Verdana" w:hAnsi="Verdana" w:cs="Verdana"/>
          <w:lang w:val="es-MX"/>
        </w:rPr>
        <w:t xml:space="preserve"> </w:t>
      </w:r>
      <w:r w:rsidR="00EB57FD">
        <w:rPr>
          <w:rFonts w:ascii="Verdana" w:eastAsia="Verdana" w:hAnsi="Verdana" w:cs="Verdana"/>
          <w:lang w:val="es-MX"/>
        </w:rPr>
        <w:t xml:space="preserve">el artículo 60 de la Ley 80 de 1993, </w:t>
      </w:r>
      <w:r w:rsidR="003371EE">
        <w:rPr>
          <w:rFonts w:ascii="Verdana" w:eastAsia="Verdana" w:hAnsi="Verdana" w:cs="Verdana"/>
          <w:lang w:val="es-MX"/>
        </w:rPr>
        <w:t>prescribe que no serán obligatoria la liquidación en los contratos de prestación de servicios</w:t>
      </w:r>
      <w:r w:rsidR="00C66655">
        <w:rPr>
          <w:rFonts w:ascii="Verdana" w:eastAsia="Verdana" w:hAnsi="Verdana" w:cs="Verdana"/>
          <w:lang w:val="es-MX"/>
        </w:rPr>
        <w:t xml:space="preserve"> profesionales y de apoyo a la gestión. esta norma al referirse a la liquidación del contrato establece que esta es la etapa del Proceso de Contratación, en la que las partes pueden acordar los ajustes, revisiones y </w:t>
      </w:r>
      <w:r w:rsidR="00343E90">
        <w:rPr>
          <w:rFonts w:ascii="Verdana" w:eastAsia="Verdana" w:hAnsi="Verdana" w:cs="Verdana"/>
          <w:lang w:val="es-MX"/>
        </w:rPr>
        <w:t>reconocimientos a que haya lugar. A estos efectos, dicha norma establece que el acta de liquida</w:t>
      </w:r>
      <w:r w:rsidR="00CE210D">
        <w:rPr>
          <w:rFonts w:ascii="Verdana" w:eastAsia="Verdana" w:hAnsi="Verdana" w:cs="Verdana"/>
          <w:lang w:val="es-MX"/>
        </w:rPr>
        <w:t xml:space="preserve">ción </w:t>
      </w:r>
      <w:r w:rsidR="00825350">
        <w:rPr>
          <w:rFonts w:ascii="Verdana" w:eastAsia="Verdana" w:hAnsi="Verdana" w:cs="Verdana"/>
          <w:lang w:val="es-MX"/>
        </w:rPr>
        <w:t xml:space="preserve">debe </w:t>
      </w:r>
      <w:r w:rsidR="005C6069">
        <w:rPr>
          <w:rFonts w:ascii="Verdana" w:eastAsia="Verdana" w:hAnsi="Verdana" w:cs="Verdana"/>
          <w:lang w:val="es-MX"/>
        </w:rPr>
        <w:t>dejarse constancia de todos los acuerdos, conciliaciones y transacciones a que llegaren las partes para poner fin a las divergencias presentadas y poder a paz y salvo.</w:t>
      </w:r>
    </w:p>
    <w:p w14:paraId="46E5689D" w14:textId="41E9168A" w:rsidR="005C6069" w:rsidRDefault="005C6069" w:rsidP="005C6069">
      <w:pPr>
        <w:pBdr>
          <w:top w:val="single" w:sz="4" w:space="1" w:color="auto"/>
          <w:left w:val="single" w:sz="4" w:space="4" w:color="auto"/>
          <w:bottom w:val="single" w:sz="4" w:space="1" w:color="auto"/>
          <w:right w:val="single" w:sz="4" w:space="4" w:color="auto"/>
        </w:pBdr>
        <w:spacing w:after="120"/>
        <w:ind w:firstLine="709"/>
        <w:jc w:val="both"/>
        <w:rPr>
          <w:rFonts w:ascii="Verdana" w:eastAsia="Verdana" w:hAnsi="Verdana" w:cs="Verdana"/>
          <w:lang w:val="es-MX"/>
        </w:rPr>
      </w:pPr>
      <w:r>
        <w:rPr>
          <w:rFonts w:ascii="Verdana" w:eastAsia="Verdana" w:hAnsi="Verdana" w:cs="Verdana"/>
          <w:lang w:val="es-MX"/>
        </w:rPr>
        <w:t>Adicionalmente, el artículo 60 de la Ley 80 de 1993 establece que la liquidación no resulta obligatoria en los contratos de prestación de servicios profesionales y de apoyo a la gestión. en ese orden, frente a este tipo de contratos las Entidades Estatales deben definir la oportunidad y forma de recibir objeto contratado y, en cada caso</w:t>
      </w:r>
      <w:r w:rsidR="00FC429B">
        <w:rPr>
          <w:rFonts w:ascii="Verdana" w:eastAsia="Verdana" w:hAnsi="Verdana" w:cs="Verdana"/>
          <w:lang w:val="es-MX"/>
        </w:rPr>
        <w:t>, si un contrato</w:t>
      </w:r>
      <w:r w:rsidR="00C0774C">
        <w:rPr>
          <w:rFonts w:ascii="Verdana" w:eastAsia="Verdana" w:hAnsi="Verdana" w:cs="Verdana"/>
          <w:lang w:val="es-MX"/>
        </w:rPr>
        <w:t xml:space="preserve"> requiere o no de liquidación, con arreglo a criterios tales como la naturaleza, objeto y plazo del contrato, así como la probabilidad de que puedan surgir diferencias durante la ejecución del contrato. </w:t>
      </w:r>
    </w:p>
    <w:p w14:paraId="7C9026E2" w14:textId="77777777" w:rsidR="002A0DD0" w:rsidRPr="00E02524" w:rsidRDefault="002A0DD0" w:rsidP="30821638">
      <w:pPr>
        <w:spacing w:after="0" w:line="240" w:lineRule="auto"/>
        <w:jc w:val="both"/>
        <w:rPr>
          <w:rFonts w:ascii="Verdana" w:eastAsia="Verdana" w:hAnsi="Verdana" w:cs="Verdana"/>
          <w:b/>
          <w:bCs/>
          <w:lang w:val="es-MX"/>
        </w:rPr>
      </w:pPr>
    </w:p>
    <w:p w14:paraId="1006A388" w14:textId="54D1146B" w:rsidR="00C15139" w:rsidRPr="004755ED" w:rsidRDefault="004755ED" w:rsidP="30821638">
      <w:pPr>
        <w:spacing w:after="0" w:line="240" w:lineRule="auto"/>
        <w:jc w:val="both"/>
        <w:textAlignment w:val="baseline"/>
        <w:rPr>
          <w:rFonts w:ascii="Verdana" w:eastAsia="Verdana" w:hAnsi="Verdana" w:cs="Verdana"/>
          <w:b/>
          <w:bCs/>
          <w:lang w:eastAsia="es-CO"/>
        </w:rPr>
      </w:pPr>
      <w:r w:rsidRPr="004755ED">
        <w:rPr>
          <w:rFonts w:ascii="Verdana" w:eastAsia="Verdana" w:hAnsi="Verdana" w:cs="Verdana"/>
          <w:b/>
          <w:bCs/>
          <w:lang w:eastAsia="es-CO"/>
        </w:rPr>
        <w:t xml:space="preserve">3. Razones de la respuesta: </w:t>
      </w:r>
    </w:p>
    <w:p w14:paraId="0C450F56" w14:textId="3FE82063" w:rsidR="004755ED" w:rsidRDefault="004755ED" w:rsidP="30821638">
      <w:pPr>
        <w:spacing w:after="0" w:line="240" w:lineRule="auto"/>
        <w:jc w:val="both"/>
        <w:textAlignment w:val="baseline"/>
        <w:rPr>
          <w:rFonts w:ascii="Verdana" w:eastAsia="Verdana" w:hAnsi="Verdana" w:cs="Verdana"/>
          <w:lang w:eastAsia="es-CO"/>
        </w:rPr>
      </w:pPr>
      <w:r>
        <w:rPr>
          <w:rFonts w:ascii="Verdana" w:eastAsia="Verdana" w:hAnsi="Verdana" w:cs="Verdana"/>
          <w:lang w:eastAsia="es-CO"/>
        </w:rPr>
        <w:t xml:space="preserve"> </w:t>
      </w:r>
    </w:p>
    <w:p w14:paraId="7C54CC2B" w14:textId="6A6DF7F1" w:rsidR="004755ED" w:rsidRDefault="004755ED" w:rsidP="30821638">
      <w:pPr>
        <w:spacing w:after="0" w:line="240" w:lineRule="auto"/>
        <w:jc w:val="both"/>
        <w:textAlignment w:val="baseline"/>
        <w:rPr>
          <w:rFonts w:ascii="Verdana" w:eastAsia="Verdana" w:hAnsi="Verdana" w:cs="Verdana"/>
          <w:lang w:eastAsia="es-CO"/>
        </w:rPr>
      </w:pPr>
      <w:r>
        <w:rPr>
          <w:rFonts w:ascii="Verdana" w:eastAsia="Verdana" w:hAnsi="Verdana" w:cs="Verdana"/>
          <w:lang w:eastAsia="es-CO"/>
        </w:rPr>
        <w:t xml:space="preserve">Lo anterior se sustenta en las siguientes consideraciones: </w:t>
      </w:r>
    </w:p>
    <w:p w14:paraId="4C6EF366" w14:textId="77777777" w:rsidR="004755ED" w:rsidRDefault="004755ED" w:rsidP="30821638">
      <w:pPr>
        <w:spacing w:after="0" w:line="240" w:lineRule="auto"/>
        <w:jc w:val="both"/>
        <w:textAlignment w:val="baseline"/>
        <w:rPr>
          <w:rFonts w:ascii="Verdana" w:eastAsia="Verdana" w:hAnsi="Verdana" w:cs="Verdana"/>
          <w:lang w:eastAsia="es-CO"/>
        </w:rPr>
      </w:pPr>
    </w:p>
    <w:p w14:paraId="01B456C8" w14:textId="77777777" w:rsidR="007E10E1" w:rsidRPr="0057639B" w:rsidRDefault="007E10E1" w:rsidP="007E10E1">
      <w:pPr>
        <w:spacing w:after="120" w:line="276" w:lineRule="auto"/>
        <w:ind w:firstLine="709"/>
        <w:jc w:val="both"/>
        <w:rPr>
          <w:rFonts w:ascii="Verdana" w:hAnsi="Verdana" w:cs="Arial"/>
        </w:rPr>
      </w:pPr>
      <w:r w:rsidRPr="0057639B">
        <w:rPr>
          <w:rFonts w:ascii="Verdana" w:hAnsi="Verdana" w:cs="Arial"/>
        </w:rPr>
        <w:t xml:space="preserve">Para responder al primer problema jurídico planteado de acuerdo a su consulta es necesario explicar que la liquidación es el momento en el cual, una vez concluido el contrato estatal, las partes cruzan cuentas respecto de sus obligaciones. El objetivo de la liquidación es determinar si las partes pueden declararse a paz y salvo o si existen obligaciones por cumplir, y con ocasión de aquella se puede acordar la forma en que deben ser cumplidas. Por esta razón, la liquidación solo procede con posterioridad a la terminación de la ejecución del contrato. </w:t>
      </w:r>
    </w:p>
    <w:p w14:paraId="7E71DB11" w14:textId="77777777" w:rsidR="007E10E1" w:rsidRPr="0057639B" w:rsidRDefault="007E10E1" w:rsidP="007E10E1">
      <w:pPr>
        <w:spacing w:after="120" w:line="276" w:lineRule="auto"/>
        <w:ind w:firstLine="709"/>
        <w:jc w:val="both"/>
        <w:rPr>
          <w:rFonts w:ascii="Verdana" w:hAnsi="Verdana" w:cs="Arial"/>
        </w:rPr>
      </w:pPr>
      <w:r w:rsidRPr="0057639B">
        <w:rPr>
          <w:rFonts w:ascii="Verdana" w:hAnsi="Verdana" w:cs="Arial"/>
        </w:rPr>
        <w:t xml:space="preserve">Las disposiciones legales que norman la etapa de liquidación de los contratos estatales son el artículo 60 de la Ley 80 de 1993, modificado por el artículo 217 del Decreto 019 de 2012, y el artículo 11 de la Ley 1150 de 2007. El primero de estos artículos se refiere al alcance sustantivo de la liquidación, mientras que el segundo contiene reglas procedimentales para su manejo. </w:t>
      </w:r>
    </w:p>
    <w:p w14:paraId="70EE2605" w14:textId="77777777" w:rsidR="007E10E1" w:rsidRPr="0057639B" w:rsidRDefault="007E10E1" w:rsidP="007E10E1">
      <w:pPr>
        <w:spacing w:after="120" w:line="276" w:lineRule="auto"/>
        <w:ind w:firstLine="709"/>
        <w:jc w:val="both"/>
        <w:rPr>
          <w:rFonts w:ascii="Verdana" w:hAnsi="Verdana" w:cs="Arial"/>
        </w:rPr>
      </w:pPr>
      <w:r w:rsidRPr="0057639B">
        <w:rPr>
          <w:rFonts w:ascii="Verdana" w:hAnsi="Verdana" w:cs="Arial"/>
        </w:rPr>
        <w:t xml:space="preserve">De acuerdo con el artículo 60 de la Ley 80 de 1993, los contratos de tracto sucesivo, aquellos cuyo cumplimiento o ejecución se prolongue en el tiempo y los demás que lo requieran “serán objeto de liquidación”. El mismo artículo prescribe que no será obligatoria la liquidación en los contratos de prestación de servicios profesionales y de apoyo a la gestión. Esta norma al referirse a la liquidación del contrato establece que esta es la etapa del Proceso de Contratación, en la que las partes pueden acordar los ajustes, revisiones y reconocimientos a que haya lugar. A estos efectos, dicha norma establece que en el acta de liquidación debe dejarse constancia de todos los acuerdos, conciliaciones y transacciones a que llegaren las partes para poner fin a las divergencias presentadas y poder declararse a paz y salvo.   </w:t>
      </w:r>
    </w:p>
    <w:p w14:paraId="7B356E8C" w14:textId="77777777" w:rsidR="007E10E1" w:rsidRPr="0057639B" w:rsidRDefault="007E10E1" w:rsidP="007E10E1">
      <w:pPr>
        <w:spacing w:after="120" w:line="276" w:lineRule="auto"/>
        <w:ind w:firstLine="709"/>
        <w:jc w:val="both"/>
        <w:rPr>
          <w:rFonts w:ascii="Verdana" w:hAnsi="Verdana" w:cs="Arial"/>
        </w:rPr>
      </w:pPr>
      <w:r w:rsidRPr="0057639B">
        <w:rPr>
          <w:rFonts w:ascii="Verdana" w:hAnsi="Verdana" w:cs="Arial"/>
        </w:rPr>
        <w:t>Adicionalmente, el artículo 60 de la Ley 80 de 1993 establece que la liquidación no resulta obligatoria en los contratos de prestación de servicios profesionales y de apoyo a la gestión. En ese orden, frente a este tipo de contratos las Entidades Estatales deben definir la oportunidad y forma de recibir el objeto contratado y, en cada caso, si un contrato requiere o no de liquidación, con arreglo a criterios tales como la naturaleza, objeto y plazo del contrato</w:t>
      </w:r>
      <w:r w:rsidRPr="0057639B">
        <w:rPr>
          <w:rFonts w:ascii="Verdana" w:hAnsi="Verdana"/>
          <w:vertAlign w:val="superscript"/>
        </w:rPr>
        <w:footnoteReference w:id="1"/>
      </w:r>
      <w:r w:rsidRPr="0057639B">
        <w:rPr>
          <w:rFonts w:ascii="Verdana" w:hAnsi="Verdana" w:cs="Arial"/>
        </w:rPr>
        <w:t xml:space="preserve">, así como la probabilidad de que puedan surgir diferencias durante la ejecución del contrato.  </w:t>
      </w:r>
    </w:p>
    <w:p w14:paraId="4BDEDDE1" w14:textId="77777777" w:rsidR="007E10E1" w:rsidRPr="0057639B" w:rsidRDefault="007E10E1" w:rsidP="007E10E1">
      <w:pPr>
        <w:spacing w:after="120" w:line="276" w:lineRule="auto"/>
        <w:ind w:firstLine="709"/>
        <w:jc w:val="both"/>
        <w:rPr>
          <w:rFonts w:ascii="Verdana" w:hAnsi="Verdana" w:cs="Arial"/>
        </w:rPr>
      </w:pPr>
      <w:r w:rsidRPr="0057639B">
        <w:rPr>
          <w:rFonts w:ascii="Verdana" w:hAnsi="Verdana" w:cs="Arial"/>
        </w:rPr>
        <w:t xml:space="preserve">De </w:t>
      </w:r>
      <w:r w:rsidRPr="0057639B">
        <w:rPr>
          <w:rFonts w:ascii="Verdana" w:hAnsi="Verdana" w:cs="Arial"/>
          <w:iCs/>
        </w:rPr>
        <w:t>acuerdo con el artículo 11 de la Ley 1150 de 2007, existen tres tipos de liquidación: i) bilateral, ii) unilateral y iii) judicial. En términos generales, la primera, que puede ser total o parcial, debe hacerse en el término que estipulen las partes o, en su defecto, dentro del término supletivo de cuatro meses. La segunda se debe practicar d</w:t>
      </w:r>
      <w:r w:rsidRPr="0057639B">
        <w:rPr>
          <w:rFonts w:ascii="Verdana" w:hAnsi="Verdana" w:cs="Arial"/>
        </w:rPr>
        <w:t>entro de los dos meses siguientes al vencimiento del término que acuerden las partes, o ante el silencio de estas, luego de los cuatro meses para realizar la liquidación bilateral, sin que esta se efectúe. Finalmente, la tercera la realiza el juez contencioso administrativo o un tribunal arbitral dentro de un proceso judicial de controversias contractuales y puede darse con ocasión de una demanda del interesado solicitando dicha liquidación y para ello existe un plazo máximo de 2 años contados a partir de los dos meses establecidos en la Ley para realizar la liquidación unilateral, de conformidad con la citada sentencia de unificación del Consejo de Estado.</w:t>
      </w:r>
    </w:p>
    <w:p w14:paraId="3FF2E5AB" w14:textId="77777777" w:rsidR="007E10E1" w:rsidRPr="0057639B" w:rsidRDefault="007E10E1" w:rsidP="007E10E1">
      <w:pPr>
        <w:spacing w:after="120" w:line="276" w:lineRule="auto"/>
        <w:ind w:firstLine="709"/>
        <w:jc w:val="both"/>
        <w:rPr>
          <w:rFonts w:ascii="Verdana" w:hAnsi="Verdana" w:cs="Arial"/>
        </w:rPr>
      </w:pPr>
      <w:r w:rsidRPr="0057639B">
        <w:rPr>
          <w:rFonts w:ascii="Verdana" w:hAnsi="Verdana" w:cs="Arial"/>
        </w:rPr>
        <w:t xml:space="preserve">Explicado lo anterior, en aras de responder el primer interrogante es necesario aclarar que los términos </w:t>
      </w:r>
      <w:r w:rsidRPr="0057639B">
        <w:rPr>
          <w:rFonts w:ascii="Verdana" w:hAnsi="Verdana" w:cs="Arial"/>
          <w:i/>
          <w:iCs/>
        </w:rPr>
        <w:t>“acta de liquidación”</w:t>
      </w:r>
      <w:r w:rsidRPr="0057639B">
        <w:rPr>
          <w:rFonts w:ascii="Verdana" w:hAnsi="Verdana" w:cs="Arial"/>
        </w:rPr>
        <w:t xml:space="preserve"> y</w:t>
      </w:r>
      <w:r w:rsidRPr="0057639B">
        <w:rPr>
          <w:rFonts w:ascii="Verdana" w:hAnsi="Verdana" w:cs="Arial"/>
          <w:i/>
          <w:iCs/>
        </w:rPr>
        <w:t xml:space="preserve"> “acta de terminación”</w:t>
      </w:r>
      <w:r w:rsidRPr="0057639B">
        <w:rPr>
          <w:rFonts w:ascii="Verdana" w:hAnsi="Verdana" w:cs="Arial"/>
        </w:rPr>
        <w:t xml:space="preserve">, no resultan sinónimos en el contexto de la contratación estatal. Mientras que el primero se refiere a la liquidación en los términos regulados por los artículos 60 de la Ley 80 de 1993 y 11 Ley 1150 de 2007, el segundo hace referencia a un documento que suele utilizarse en contratos de tracto sucesivo como una suerte de constancia de la terminación del plazo de ejecución del contrato, en la que bien se puede dejar constancia de circunstancias de tiempo, modo y lugar alusivas al desarrollo del contrato, sin que ello necesariamente suponga la liquidación del contrato.  </w:t>
      </w:r>
    </w:p>
    <w:p w14:paraId="64619E4C" w14:textId="77777777" w:rsidR="007E10E1" w:rsidRPr="0057639B" w:rsidRDefault="007E10E1" w:rsidP="007E10E1">
      <w:pPr>
        <w:spacing w:after="120" w:line="276" w:lineRule="auto"/>
        <w:ind w:firstLine="709"/>
        <w:jc w:val="both"/>
        <w:rPr>
          <w:rFonts w:ascii="Verdana" w:hAnsi="Verdana" w:cs="Arial"/>
        </w:rPr>
      </w:pPr>
      <w:r w:rsidRPr="0057639B">
        <w:rPr>
          <w:rFonts w:ascii="Verdana" w:hAnsi="Verdana" w:cs="Arial"/>
        </w:rPr>
        <w:t xml:space="preserve">En ese orden, tanto el </w:t>
      </w:r>
      <w:r w:rsidRPr="0057639B">
        <w:rPr>
          <w:rFonts w:ascii="Verdana" w:hAnsi="Verdana" w:cs="Arial"/>
          <w:i/>
          <w:iCs/>
        </w:rPr>
        <w:t>“acta de liquidación”</w:t>
      </w:r>
      <w:r w:rsidRPr="0057639B">
        <w:rPr>
          <w:rFonts w:ascii="Verdana" w:hAnsi="Verdana" w:cs="Arial"/>
        </w:rPr>
        <w:t xml:space="preserve"> como el </w:t>
      </w:r>
      <w:r w:rsidRPr="0057639B">
        <w:rPr>
          <w:rFonts w:ascii="Verdana" w:hAnsi="Verdana" w:cs="Arial"/>
          <w:i/>
          <w:iCs/>
        </w:rPr>
        <w:t>“acta de terminación”</w:t>
      </w:r>
      <w:r w:rsidRPr="0057639B">
        <w:rPr>
          <w:rFonts w:ascii="Verdana" w:hAnsi="Verdana" w:cs="Arial"/>
        </w:rPr>
        <w:t xml:space="preserve"> son documentos que sobrevienen al plazo de ejecución del contrato, sin embargo, no resultan </w:t>
      </w:r>
      <w:r w:rsidRPr="0057639B">
        <w:rPr>
          <w:rFonts w:ascii="Verdana" w:hAnsi="Verdana" w:cs="Arial"/>
          <w:i/>
          <w:iCs/>
        </w:rPr>
        <w:t>per se</w:t>
      </w:r>
      <w:r w:rsidRPr="0057639B">
        <w:rPr>
          <w:rFonts w:ascii="Verdana" w:hAnsi="Verdana" w:cs="Arial"/>
        </w:rPr>
        <w:t xml:space="preserve"> homologables. Al respeto, es importante precisar que, una vez vencido el plazo de ejecución, dentro del plazo convenido por las partes en el término supletivo establecido en el artículo 11 de la Ley 1150 de 2007, bien podrían las partes de un contrato estatal concurrir a la suscripción de un “acta de terminación”, en el que se realice el cruce de cuentas al que hace referencia el artículo 60 de la Ley 80 de 1993, de tal manera que en el acta de terminación se realice la liquidación del contrato.   </w:t>
      </w:r>
    </w:p>
    <w:p w14:paraId="1002A6E6" w14:textId="77777777" w:rsidR="007E10E1" w:rsidRPr="0057639B" w:rsidRDefault="007E10E1" w:rsidP="007E10E1">
      <w:pPr>
        <w:spacing w:after="120" w:line="276" w:lineRule="auto"/>
        <w:ind w:firstLine="709"/>
        <w:jc w:val="both"/>
        <w:rPr>
          <w:rFonts w:ascii="Verdana" w:hAnsi="Verdana" w:cs="Arial"/>
          <w:color w:val="000000"/>
        </w:rPr>
      </w:pPr>
      <w:r w:rsidRPr="0057639B">
        <w:rPr>
          <w:rFonts w:ascii="Verdana" w:hAnsi="Verdana" w:cs="Arial"/>
        </w:rPr>
        <w:t>En todo caso, es importante distinguir las referidas actas de la constancia de cierre del expediente contractual a la que se refiere el artículo 2.2.1.1.2.4.3 del Decreto 1082 de 2015, la cual se trata de una constancia administrativa que culmina las actuaciones contractuales El “</w:t>
      </w:r>
      <w:r w:rsidRPr="0057639B">
        <w:rPr>
          <w:rFonts w:ascii="Verdana" w:hAnsi="Verdana" w:cs="Arial"/>
          <w:i/>
          <w:iCs/>
        </w:rPr>
        <w:t>cierre del expediente”</w:t>
      </w:r>
      <w:r w:rsidRPr="0057639B">
        <w:rPr>
          <w:rFonts w:ascii="Verdana" w:hAnsi="Verdana" w:cs="Arial"/>
        </w:rPr>
        <w:t xml:space="preserve"> al que se refiere este artículo es acto de trámite que realiza la Entidad Estatal </w:t>
      </w:r>
      <w:r w:rsidRPr="0057639B">
        <w:rPr>
          <w:rFonts w:ascii="Verdana" w:hAnsi="Verdana" w:cs="Arial"/>
          <w:color w:val="000000"/>
        </w:rPr>
        <w:t xml:space="preserve">siempre que se hubiera configurado alguno de los supuestos del artículo 2.2.1.1.2.4.3. del Decreto 1082 de 2015, esto es: i) cuando la administración establece condiciones de disposición final o recuperación ambiental de las obras o bienes; o ii) una vez vencidos los términos de las garantías de calidad, estabilidad y mantenimiento ─solo estas─. </w:t>
      </w:r>
    </w:p>
    <w:p w14:paraId="7CAFC413" w14:textId="77777777" w:rsidR="0057639B" w:rsidRPr="0057639B" w:rsidRDefault="0065319B" w:rsidP="0057639B">
      <w:pPr>
        <w:spacing w:after="0" w:line="276" w:lineRule="auto"/>
        <w:ind w:firstLine="708"/>
        <w:jc w:val="both"/>
        <w:rPr>
          <w:rFonts w:ascii="Verdana" w:eastAsia="Calibri" w:hAnsi="Verdana" w:cs="Arial"/>
          <w:color w:val="000000"/>
        </w:rPr>
      </w:pPr>
      <w:r w:rsidRPr="0057639B">
        <w:rPr>
          <w:rFonts w:ascii="Verdana" w:hAnsi="Verdana" w:cs="Arial"/>
          <w:color w:val="000000"/>
        </w:rPr>
        <w:t xml:space="preserve">Por otra parte, el </w:t>
      </w:r>
      <w:r w:rsidR="0057639B" w:rsidRPr="0057639B">
        <w:rPr>
          <w:rFonts w:ascii="Verdana" w:eastAsia="Calibri" w:hAnsi="Verdana" w:cs="Arial"/>
          <w:color w:val="000000"/>
        </w:rPr>
        <w:t>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p>
    <w:p w14:paraId="7E02019A" w14:textId="77777777" w:rsidR="0057639B" w:rsidRPr="009C2CE9" w:rsidRDefault="0057639B" w:rsidP="0057639B">
      <w:pPr>
        <w:spacing w:after="0" w:line="276" w:lineRule="auto"/>
        <w:jc w:val="both"/>
        <w:rPr>
          <w:rFonts w:ascii="Verdana" w:eastAsia="Calibri" w:hAnsi="Verdana" w:cs="Arial"/>
          <w:color w:val="000000"/>
        </w:rPr>
      </w:pPr>
    </w:p>
    <w:p w14:paraId="2E045A5F"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r w:rsidRPr="0057639B">
        <w:rPr>
          <w:rFonts w:ascii="Verdana" w:eastAsia="Calibri" w:hAnsi="Verdana" w:cs="Arial"/>
          <w:color w:val="000000"/>
          <w:sz w:val="21"/>
          <w:szCs w:val="21"/>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780BB7DD"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p>
    <w:p w14:paraId="749992D1"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r w:rsidRPr="0057639B">
        <w:rPr>
          <w:rFonts w:ascii="Verdana" w:eastAsia="Calibri" w:hAnsi="Verdana" w:cs="Arial"/>
          <w:color w:val="000000"/>
          <w:sz w:val="21"/>
          <w:szCs w:val="21"/>
        </w:rPr>
        <w:t>En ningún caso estos contratos generan relación laboral ni prestaciones sociales y se celebrarán por el término estrictamente indispensable.”</w:t>
      </w:r>
    </w:p>
    <w:p w14:paraId="42A24DBE"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p>
    <w:p w14:paraId="678D4890"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r w:rsidRPr="0057639B">
        <w:rPr>
          <w:rFonts w:ascii="Verdana" w:eastAsia="Calibri" w:hAnsi="Verdana" w:cs="Arial"/>
          <w:color w:val="000000"/>
          <w:sz w:val="21"/>
          <w:szCs w:val="21"/>
        </w:rPr>
        <w:t>De otro lado, la celebración de dicho contrato debe efectuarse mediante la modalidad de la contratación directa. Así lo prevé el artículo 2, numeral 4º, literal h) de la Ley 1150 de 2007, que dispone:</w:t>
      </w:r>
    </w:p>
    <w:p w14:paraId="3225B4A6"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p>
    <w:p w14:paraId="6B901334"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r w:rsidRPr="0057639B">
        <w:rPr>
          <w:rFonts w:ascii="Verdana" w:eastAsia="Calibri" w:hAnsi="Verdana" w:cs="Arial"/>
          <w:color w:val="000000"/>
          <w:sz w:val="21"/>
          <w:szCs w:val="21"/>
        </w:rPr>
        <w:t>“[…]</w:t>
      </w:r>
    </w:p>
    <w:p w14:paraId="113D95FF"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r w:rsidRPr="0057639B">
        <w:rPr>
          <w:rFonts w:ascii="Verdana" w:eastAsia="Calibri" w:hAnsi="Verdana" w:cs="Arial"/>
          <w:color w:val="000000"/>
          <w:sz w:val="21"/>
          <w:szCs w:val="21"/>
        </w:rPr>
        <w:t>Contratación directa. La modalidad de selección de contratación directa solamente procederá en los siguientes casos:</w:t>
      </w:r>
    </w:p>
    <w:p w14:paraId="02B024E4"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r w:rsidRPr="0057639B">
        <w:rPr>
          <w:rFonts w:ascii="Verdana" w:eastAsia="Calibri" w:hAnsi="Verdana" w:cs="Arial"/>
          <w:color w:val="000000"/>
          <w:sz w:val="21"/>
          <w:szCs w:val="21"/>
        </w:rPr>
        <w:t>[…]</w:t>
      </w:r>
    </w:p>
    <w:p w14:paraId="3A83FCB8"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r w:rsidRPr="0057639B">
        <w:rPr>
          <w:rFonts w:ascii="Verdana" w:eastAsia="Calibri" w:hAnsi="Verdana" w:cs="Arial"/>
          <w:color w:val="000000"/>
          <w:sz w:val="21"/>
          <w:szCs w:val="21"/>
        </w:rPr>
        <w:t>h) Para la prestación de servicios profesionales y de apoyo a la gestión, o para la ejecución de trabajos artísticos que sólo puedan encomendarse a determinadas personas naturales;”</w:t>
      </w:r>
    </w:p>
    <w:p w14:paraId="7482FA08" w14:textId="77777777" w:rsidR="0057639B" w:rsidRPr="00072FBB" w:rsidRDefault="0057639B" w:rsidP="0057639B">
      <w:pPr>
        <w:spacing w:after="0" w:line="276" w:lineRule="auto"/>
        <w:ind w:right="709"/>
        <w:jc w:val="both"/>
        <w:rPr>
          <w:rFonts w:ascii="Verdana" w:eastAsia="Calibri" w:hAnsi="Verdana" w:cs="Arial"/>
          <w:color w:val="000000"/>
        </w:rPr>
      </w:pPr>
    </w:p>
    <w:p w14:paraId="5FBEF7EB" w14:textId="77777777" w:rsidR="0057639B" w:rsidRPr="00F9262C" w:rsidRDefault="0057639B" w:rsidP="0057639B">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A partir de estos enunciados normativos, así como de otros, de carácter legal y reglamentario, que complementan su regulación, y de los pronunciamientos judiciales más destacados sobre el tema, es posible señalar las siguientes características del contrato de prestación de servicios:</w:t>
      </w:r>
    </w:p>
    <w:p w14:paraId="3C39EBAE" w14:textId="77777777" w:rsidR="0057639B" w:rsidRPr="009C2CE9" w:rsidRDefault="0057639B" w:rsidP="0057639B">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a) Solo puede celebrarse para realizar “actividades relacionadas con la administración o funcionamiento de la entidad”, es decir, que hagan parte de su giro ordinario o quehacer cotidiano.</w:t>
      </w:r>
    </w:p>
    <w:p w14:paraId="15134EFA" w14:textId="77777777" w:rsidR="0057639B" w:rsidRPr="009C2CE9" w:rsidRDefault="0057639B" w:rsidP="0057639B">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b)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Esto puede suceder en varios eventos, como, por ejemplo, que, efectivamente, no exista el personal de planta para encargarse de dichas labores; que exista, pero que está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w:t>
      </w:r>
    </w:p>
    <w:p w14:paraId="20C97B5A" w14:textId="77777777" w:rsidR="0057639B" w:rsidRDefault="0057639B" w:rsidP="0057639B">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c) Si bien se celebran para obtener la prestación personal de un servicio, se diferencian del contrato de trabajo</w:t>
      </w:r>
      <w:r w:rsidRPr="009C2CE9">
        <w:rPr>
          <w:rFonts w:ascii="Verdana" w:eastAsia="Calibri" w:hAnsi="Verdana" w:cs="Arial"/>
          <w:color w:val="000000"/>
          <w:vertAlign w:val="superscript"/>
        </w:rPr>
        <w:footnoteReference w:id="2"/>
      </w:r>
      <w:r w:rsidRPr="009C2CE9">
        <w:rPr>
          <w:rFonts w:ascii="Verdana" w:eastAsia="Calibri" w:hAnsi="Verdana" w:cs="Arial"/>
          <w:color w:val="000000"/>
        </w:rPr>
        <w:t xml:space="preserve"> en que quien celebra el contrato de prestación de servicios profesionales debe mantener autonomía e independencia en la ejecución de la labor, lo que significa que no puede existir la </w:t>
      </w:r>
      <w:r w:rsidRPr="009C2CE9">
        <w:rPr>
          <w:rFonts w:ascii="Verdana" w:eastAsia="Calibri" w:hAnsi="Verdana" w:cs="Arial"/>
          <w:i/>
          <w:color w:val="000000"/>
        </w:rPr>
        <w:t>subordinación y dependencia</w:t>
      </w:r>
      <w:r w:rsidRPr="009C2CE9">
        <w:rPr>
          <w:rFonts w:ascii="Verdana" w:eastAsia="Calibri" w:hAnsi="Verdana" w:cs="Arial"/>
          <w:iCs/>
          <w:color w:val="000000"/>
        </w:rPr>
        <w:t>,</w:t>
      </w:r>
      <w:r w:rsidRPr="009C2CE9">
        <w:rPr>
          <w:rFonts w:ascii="Verdana" w:eastAsia="Calibri" w:hAnsi="Verdana" w:cs="Arial"/>
          <w:color w:val="000000"/>
        </w:rPr>
        <w:t xml:space="preserve"> que es uno de los elementos constitutivos del vínculo laboral. Por ello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profesionales </w:t>
      </w:r>
      <w:r w:rsidRPr="009C2CE9">
        <w:rPr>
          <w:rFonts w:ascii="Verdana" w:eastAsia="Calibri" w:hAnsi="Verdana" w:cs="Arial"/>
          <w:i/>
          <w:color w:val="000000"/>
        </w:rPr>
        <w:t>no pueden</w:t>
      </w:r>
      <w:r w:rsidRPr="009C2CE9">
        <w:rPr>
          <w:rFonts w:ascii="Verdana" w:eastAsia="Calibri" w:hAnsi="Verdana" w:cs="Arial"/>
          <w:color w:val="000000"/>
        </w:rPr>
        <w:t xml:space="preserve"> generar relación laboral, ni dar lugar a que las entidades estatales paguen por su cuenta los aportes al Sistema de Seguridad Social Integral del contratista. </w:t>
      </w:r>
    </w:p>
    <w:p w14:paraId="6C8DFDD0" w14:textId="77777777" w:rsidR="0057639B" w:rsidRDefault="0057639B" w:rsidP="0057639B">
      <w:pPr>
        <w:spacing w:after="120" w:line="276" w:lineRule="auto"/>
        <w:ind w:firstLine="709"/>
        <w:jc w:val="both"/>
        <w:rPr>
          <w:rFonts w:ascii="Verdana" w:eastAsia="Calibri" w:hAnsi="Verdana" w:cs="Arial"/>
          <w:color w:val="000000"/>
        </w:rPr>
      </w:pPr>
      <w:r>
        <w:rPr>
          <w:rFonts w:ascii="Verdana" w:eastAsia="Calibri" w:hAnsi="Verdana" w:cs="Arial"/>
          <w:color w:val="000000"/>
        </w:rPr>
        <w:t>Lo anterior</w:t>
      </w:r>
      <w:r w:rsidRPr="009C2CE9">
        <w:rPr>
          <w:rFonts w:ascii="Verdana" w:eastAsia="Calibri" w:hAnsi="Verdana" w:cs="Arial"/>
          <w:color w:val="000000"/>
        </w:rPr>
        <w:t xml:space="preserve"> por cuanto, según se indicó, en dichos contratos no puede existir subordinación y dependencia; entonces, la relación laboral está proscrita y es el contratista quien, como “trabajador independiente” –como lo califican las normas en materia de seguridad social– debe cotizar por su cuenta y riesgo al Sistema de Seguridad Social Integral</w:t>
      </w:r>
      <w:r w:rsidRPr="009C2CE9">
        <w:rPr>
          <w:rFonts w:ascii="Verdana" w:eastAsia="Calibri" w:hAnsi="Verdana" w:cs="Arial"/>
          <w:color w:val="000000"/>
          <w:vertAlign w:val="superscript"/>
        </w:rPr>
        <w:footnoteReference w:id="3"/>
      </w:r>
      <w:r w:rsidRPr="009C2CE9">
        <w:rPr>
          <w:rFonts w:ascii="Verdana" w:eastAsia="Calibri" w:hAnsi="Verdana" w:cs="Arial"/>
          <w:color w:val="000000"/>
        </w:rPr>
        <w:t xml:space="preserve">. </w:t>
      </w:r>
    </w:p>
    <w:p w14:paraId="1E4F17C4" w14:textId="77777777" w:rsidR="0057639B" w:rsidRDefault="0057639B" w:rsidP="0057639B">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 xml:space="preserve">Pero es posible que, a pesar de este mandato deontológico, en la práctica surja la relación laboral, pues, como se sabe, el contrato de trabajo es un </w:t>
      </w:r>
      <w:r w:rsidRPr="009C2CE9">
        <w:rPr>
          <w:rFonts w:ascii="Verdana" w:eastAsia="Calibri" w:hAnsi="Verdana" w:cs="Arial"/>
          <w:i/>
          <w:color w:val="000000"/>
        </w:rPr>
        <w:t>contrato realidad</w:t>
      </w:r>
      <w:r w:rsidRPr="009C2CE9">
        <w:rPr>
          <w:rFonts w:ascii="Verdana" w:eastAsia="Calibri" w:hAnsi="Verdana" w:cs="Arial"/>
          <w:color w:val="000000"/>
        </w:rPr>
        <w:t xml:space="preserve">, ya que para su perfeccionamiento rige el principio de la prevalencia de la realidad sobre las formalidades. </w:t>
      </w:r>
    </w:p>
    <w:p w14:paraId="5B4F6FC7" w14:textId="77777777" w:rsidR="0057639B" w:rsidRPr="009C2CE9" w:rsidRDefault="0057639B" w:rsidP="0057639B">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d) Deben ser temporales. Así lo señaló la Corte Constitucional en la misma providencia a la que se aludió previamente, expresando que:</w:t>
      </w:r>
    </w:p>
    <w:p w14:paraId="117FFA44" w14:textId="77777777" w:rsidR="0057639B" w:rsidRPr="009C2CE9" w:rsidRDefault="0057639B" w:rsidP="0057639B">
      <w:pPr>
        <w:spacing w:after="0" w:line="276" w:lineRule="auto"/>
        <w:ind w:firstLine="709"/>
        <w:jc w:val="both"/>
        <w:rPr>
          <w:rFonts w:ascii="Verdana" w:eastAsia="Calibri" w:hAnsi="Verdana" w:cs="Arial"/>
          <w:color w:val="000000"/>
        </w:rPr>
      </w:pPr>
    </w:p>
    <w:p w14:paraId="75B0B56D"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r w:rsidRPr="0057639B">
        <w:rPr>
          <w:rFonts w:ascii="Verdana" w:eastAsia="Calibri" w:hAnsi="Verdana" w:cs="Arial"/>
          <w:color w:val="000000"/>
          <w:sz w:val="21"/>
          <w:szCs w:val="21"/>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57639B">
        <w:rPr>
          <w:rFonts w:ascii="Verdana" w:eastAsia="Calibri" w:hAnsi="Verdana" w:cs="Arial"/>
          <w:color w:val="000000"/>
          <w:sz w:val="21"/>
          <w:szCs w:val="21"/>
          <w:vertAlign w:val="superscript"/>
        </w:rPr>
        <w:footnoteReference w:id="4"/>
      </w:r>
      <w:r w:rsidRPr="0057639B">
        <w:rPr>
          <w:rFonts w:ascii="Verdana" w:eastAsia="Calibri" w:hAnsi="Verdana" w:cs="Arial"/>
          <w:color w:val="000000"/>
          <w:sz w:val="21"/>
          <w:szCs w:val="21"/>
        </w:rPr>
        <w:t>.</w:t>
      </w:r>
    </w:p>
    <w:p w14:paraId="172D15AE" w14:textId="77777777" w:rsidR="0057639B" w:rsidRPr="009C2CE9" w:rsidRDefault="0057639B" w:rsidP="0057639B">
      <w:pPr>
        <w:spacing w:after="0" w:line="276" w:lineRule="auto"/>
        <w:ind w:firstLine="709"/>
        <w:jc w:val="both"/>
        <w:rPr>
          <w:rFonts w:ascii="Verdana" w:eastAsia="Calibri" w:hAnsi="Verdana" w:cs="Arial"/>
          <w:color w:val="000000"/>
        </w:rPr>
      </w:pPr>
    </w:p>
    <w:p w14:paraId="37A56A16" w14:textId="670A389F" w:rsidR="0057639B" w:rsidRPr="009C2CE9" w:rsidRDefault="0057639B" w:rsidP="0057639B">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 xml:space="preserve">e) Los contratos de prestación </w:t>
      </w:r>
      <w:r>
        <w:rPr>
          <w:rFonts w:ascii="Verdana" w:eastAsia="Calibri" w:hAnsi="Verdana" w:cs="Arial"/>
          <w:color w:val="000000"/>
        </w:rPr>
        <w:t xml:space="preserve">es el </w:t>
      </w:r>
      <w:r w:rsidR="003B25F3">
        <w:rPr>
          <w:rFonts w:ascii="Verdana" w:eastAsia="Calibri" w:hAnsi="Verdana" w:cs="Arial"/>
          <w:color w:val="000000"/>
        </w:rPr>
        <w:t>género</w:t>
      </w:r>
      <w:r>
        <w:rPr>
          <w:rFonts w:ascii="Verdana" w:eastAsia="Calibri" w:hAnsi="Verdana" w:cs="Arial"/>
          <w:color w:val="000000"/>
        </w:rPr>
        <w:t>, y dentro de él se encuentran diferentes especies o clases, tales como el contrato de prestación de</w:t>
      </w:r>
      <w:r w:rsidRPr="009C2CE9">
        <w:rPr>
          <w:rFonts w:ascii="Verdana" w:eastAsia="Calibri" w:hAnsi="Verdana" w:cs="Arial"/>
          <w:color w:val="000000"/>
        </w:rPr>
        <w:t xml:space="preserve"> servicios profesionales</w:t>
      </w:r>
      <w:r>
        <w:rPr>
          <w:rFonts w:ascii="Verdana" w:eastAsia="Calibri" w:hAnsi="Verdana" w:cs="Arial"/>
          <w:color w:val="000000"/>
        </w:rPr>
        <w:t xml:space="preserve">, </w:t>
      </w:r>
      <w:r w:rsidRPr="009C2CE9">
        <w:rPr>
          <w:rFonts w:ascii="Verdana" w:eastAsia="Calibri" w:hAnsi="Verdana" w:cs="Arial"/>
          <w:color w:val="000000"/>
        </w:rPr>
        <w:t>los contratos de prestación de servicios de apoyo a la gestión y los contratos de prestación de servicios artísticos que solo pueden encomendarse a determinadas personas naturales, de acuerdo con lo reglamentado en el artículo 2.2.1.2.4.9. del Decreto 1082 de 2015</w:t>
      </w:r>
      <w:r w:rsidRPr="009C2CE9">
        <w:rPr>
          <w:rFonts w:ascii="Verdana" w:eastAsia="Calibri" w:hAnsi="Verdana" w:cs="Arial"/>
          <w:color w:val="000000"/>
          <w:vertAlign w:val="superscript"/>
        </w:rPr>
        <w:footnoteReference w:id="5"/>
      </w:r>
      <w:r w:rsidRPr="009C2CE9">
        <w:rPr>
          <w:rFonts w:ascii="Verdana" w:eastAsia="Calibri" w:hAnsi="Verdana" w:cs="Arial"/>
          <w:color w:val="000000"/>
        </w:rPr>
        <w:t xml:space="preserve">. La diferencia entre el contrato de prestación de servicios </w:t>
      </w:r>
      <w:r w:rsidRPr="009C2CE9">
        <w:rPr>
          <w:rFonts w:ascii="Verdana" w:eastAsia="Calibri" w:hAnsi="Verdana" w:cs="Arial"/>
          <w:i/>
          <w:color w:val="000000"/>
        </w:rPr>
        <w:t>profesionales</w:t>
      </w:r>
      <w:r w:rsidRPr="009C2CE9">
        <w:rPr>
          <w:rFonts w:ascii="Verdana" w:eastAsia="Calibri" w:hAnsi="Verdana" w:cs="Arial"/>
          <w:color w:val="000000"/>
        </w:rPr>
        <w:t xml:space="preserve"> con las otras dos especies del género en el cual se ubican radica en su contenido intelectual intangible y, al mismo tiempo, en la formación profesional que se exige para desempeñar la labor. Así lo consideró el Consejo de Estado</w:t>
      </w:r>
      <w:r>
        <w:rPr>
          <w:rFonts w:ascii="Verdana" w:eastAsia="Calibri" w:hAnsi="Verdana" w:cs="Arial"/>
          <w:color w:val="000000"/>
        </w:rPr>
        <w:t>,</w:t>
      </w:r>
      <w:r w:rsidRPr="009C2CE9">
        <w:rPr>
          <w:rFonts w:ascii="Verdana" w:eastAsia="Calibri" w:hAnsi="Verdana" w:cs="Arial"/>
          <w:color w:val="000000"/>
        </w:rPr>
        <w:t xml:space="preserve"> en sentencia de unificación jurisprudencial del 2 de diciembre de 2013, al indicar, respecto del contrato de prestación de servicios profesionales, que:</w:t>
      </w:r>
    </w:p>
    <w:p w14:paraId="5FE39878" w14:textId="77777777" w:rsidR="0057639B" w:rsidRPr="009C2CE9" w:rsidRDefault="0057639B" w:rsidP="0057639B">
      <w:pPr>
        <w:spacing w:after="0" w:line="276" w:lineRule="auto"/>
        <w:ind w:firstLine="709"/>
        <w:jc w:val="both"/>
        <w:rPr>
          <w:rFonts w:ascii="Verdana" w:eastAsia="Calibri" w:hAnsi="Verdana" w:cs="Arial"/>
          <w:color w:val="000000"/>
        </w:rPr>
      </w:pPr>
    </w:p>
    <w:p w14:paraId="395D2290"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r w:rsidRPr="0057639B">
        <w:rPr>
          <w:rFonts w:ascii="Verdana" w:eastAsia="Calibri" w:hAnsi="Verdana" w:cs="Arial"/>
          <w:color w:val="000000"/>
          <w:sz w:val="21"/>
          <w:szCs w:val="21"/>
        </w:rPr>
        <w:t>“Su objeto está determinado por el desarrollo de actividades identificables e intangibles que impliquen el desempeño de un esfuerzo o actividad, tendiente a satisfacer necesidades de las entidades estatales en lo relacionado con la gestión administrativa o funcionamiento que ellas requieran, bien sea acompañándolas, apoyándolas o soportándolas, con conocimientos especializados siempre y cuando dichos objetos estén encomendados a personas consideradas legalmente como profesionales. Se caracteriza por demandar un conocimiento intelectivo cualificado: el saber profesional”</w:t>
      </w:r>
      <w:r w:rsidRPr="0057639B">
        <w:rPr>
          <w:rFonts w:ascii="Verdana" w:eastAsia="Calibri" w:hAnsi="Verdana" w:cs="Arial"/>
          <w:color w:val="000000"/>
          <w:sz w:val="21"/>
          <w:szCs w:val="21"/>
          <w:vertAlign w:val="superscript"/>
        </w:rPr>
        <w:footnoteReference w:id="6"/>
      </w:r>
      <w:r w:rsidRPr="0057639B">
        <w:rPr>
          <w:rFonts w:ascii="Verdana" w:eastAsia="Calibri" w:hAnsi="Verdana" w:cs="Arial"/>
          <w:color w:val="000000"/>
          <w:sz w:val="21"/>
          <w:szCs w:val="21"/>
        </w:rPr>
        <w:t>.</w:t>
      </w:r>
    </w:p>
    <w:p w14:paraId="4503C887" w14:textId="77777777" w:rsidR="0057639B" w:rsidRPr="009C2CE9" w:rsidRDefault="0057639B" w:rsidP="0057639B">
      <w:pPr>
        <w:spacing w:after="0" w:line="276" w:lineRule="auto"/>
        <w:ind w:firstLine="709"/>
        <w:jc w:val="both"/>
        <w:rPr>
          <w:rFonts w:ascii="Verdana" w:eastAsia="Calibri" w:hAnsi="Verdana" w:cs="Arial"/>
          <w:color w:val="000000"/>
        </w:rPr>
      </w:pPr>
    </w:p>
    <w:p w14:paraId="3D30B132" w14:textId="77777777" w:rsidR="0057639B" w:rsidRPr="009C2CE9" w:rsidRDefault="0057639B" w:rsidP="0057639B">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Objeto que, según la sentencia que se cita, se diferencia del objeto del contrato de prestación de servicios de apoyo a la gestión, porque en este:</w:t>
      </w:r>
    </w:p>
    <w:p w14:paraId="100A8FF4" w14:textId="77777777" w:rsidR="0057639B" w:rsidRPr="009C2CE9" w:rsidRDefault="0057639B" w:rsidP="0057639B">
      <w:pPr>
        <w:spacing w:after="0" w:line="276" w:lineRule="auto"/>
        <w:ind w:firstLine="709"/>
        <w:jc w:val="both"/>
        <w:rPr>
          <w:rFonts w:ascii="Verdana" w:eastAsia="Calibri" w:hAnsi="Verdana" w:cs="Arial"/>
          <w:color w:val="000000"/>
        </w:rPr>
      </w:pPr>
    </w:p>
    <w:p w14:paraId="00412D61"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r w:rsidRPr="0057639B">
        <w:rPr>
          <w:rFonts w:ascii="Verdana" w:eastAsia="Calibri" w:hAnsi="Verdana" w:cs="Arial"/>
          <w:color w:val="000000"/>
          <w:sz w:val="21"/>
          <w:szCs w:val="21"/>
        </w:rPr>
        <w:t>Su objeto contractual participa de las características encaminadas a desarrollar actividades identificables e intangibles. Hay lugar a su celebración en aquellos casos en donde las necesidades de la Administración no demanden la presencia de personal profesional.</w:t>
      </w:r>
    </w:p>
    <w:p w14:paraId="5F769C62"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p>
    <w:p w14:paraId="645A33A4"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r w:rsidRPr="0057639B">
        <w:rPr>
          <w:rFonts w:ascii="Verdana" w:eastAsia="Calibri" w:hAnsi="Verdana" w:cs="Arial"/>
          <w:color w:val="000000"/>
          <w:sz w:val="21"/>
          <w:szCs w:val="21"/>
        </w:rPr>
        <w:t xml:space="preserve">Aunque también se caracteriza por el desempeño de actividad intelectiva, ésta </w:t>
      </w:r>
      <w:proofErr w:type="gramStart"/>
      <w:r w:rsidRPr="0057639B">
        <w:rPr>
          <w:rFonts w:ascii="Verdana" w:eastAsia="Calibri" w:hAnsi="Verdana" w:cs="Arial"/>
          <w:color w:val="000000"/>
          <w:sz w:val="21"/>
          <w:szCs w:val="21"/>
        </w:rPr>
        <w:t>se enmarca dentro de</w:t>
      </w:r>
      <w:proofErr w:type="gramEnd"/>
      <w:r w:rsidRPr="0057639B">
        <w:rPr>
          <w:rFonts w:ascii="Verdana" w:eastAsia="Calibri" w:hAnsi="Verdana" w:cs="Arial"/>
          <w:color w:val="000000"/>
          <w:sz w:val="21"/>
          <w:szCs w:val="21"/>
        </w:rPr>
        <w:t xml:space="preserve"> un saber propiamente técnico; igualmente involucra actividades en donde prima el esfuerzo físico o mecánico, en donde no se requiere de personal profesional.</w:t>
      </w:r>
    </w:p>
    <w:p w14:paraId="737C1336"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p>
    <w:p w14:paraId="79F9E963"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r w:rsidRPr="0057639B">
        <w:rPr>
          <w:rFonts w:ascii="Verdana" w:eastAsia="Calibri" w:hAnsi="Verdana" w:cs="Arial"/>
          <w:color w:val="000000"/>
          <w:sz w:val="21"/>
          <w:szCs w:val="21"/>
        </w:rPr>
        <w:t>Dentro de su objeto contractual pueden tener lugar actividades operativas, logísticas o asistenciales, siempre que satisfaga los requisitos antes mencionados y sea acorde con las necesidades de la Administración y el principio de planeación.</w:t>
      </w:r>
    </w:p>
    <w:p w14:paraId="037B7507" w14:textId="77777777" w:rsidR="0057639B" w:rsidRPr="0057639B" w:rsidRDefault="0057639B" w:rsidP="0057639B">
      <w:pPr>
        <w:spacing w:after="0" w:line="240" w:lineRule="auto"/>
        <w:ind w:left="709" w:right="709"/>
        <w:jc w:val="both"/>
        <w:rPr>
          <w:rFonts w:ascii="Verdana" w:eastAsia="Calibri" w:hAnsi="Verdana" w:cs="Arial"/>
          <w:color w:val="000000"/>
          <w:sz w:val="21"/>
          <w:szCs w:val="21"/>
        </w:rPr>
      </w:pPr>
    </w:p>
    <w:p w14:paraId="32453CF9" w14:textId="77777777" w:rsidR="0057639B" w:rsidRPr="00072FBB" w:rsidRDefault="0057639B" w:rsidP="0057639B">
      <w:pPr>
        <w:spacing w:after="0" w:line="240" w:lineRule="auto"/>
        <w:ind w:left="709" w:right="709"/>
        <w:jc w:val="both"/>
        <w:rPr>
          <w:rFonts w:ascii="Verdana" w:eastAsia="Calibri" w:hAnsi="Verdana" w:cs="Arial"/>
          <w:color w:val="000000"/>
          <w:sz w:val="20"/>
          <w:szCs w:val="20"/>
        </w:rPr>
      </w:pPr>
      <w:r w:rsidRPr="0057639B">
        <w:rPr>
          <w:rFonts w:ascii="Verdana" w:eastAsia="Calibri" w:hAnsi="Verdana" w:cs="Arial"/>
          <w:color w:val="000000"/>
          <w:sz w:val="21"/>
          <w:szCs w:val="21"/>
        </w:rPr>
        <w:t>Dentro de su objeto contractual pueden tener lugar actividades operativas, logísticas o asistenciales, siempre que satisfaga los requisitos antes</w:t>
      </w:r>
      <w:r w:rsidRPr="009C2CE9">
        <w:rPr>
          <w:rFonts w:ascii="Verdana" w:eastAsia="Calibri" w:hAnsi="Verdana" w:cs="Arial"/>
          <w:color w:val="000000"/>
          <w:sz w:val="20"/>
          <w:szCs w:val="20"/>
        </w:rPr>
        <w:t xml:space="preserve"> mencionados y sea acorde con las necesidades de la Administración y el principio de planeación</w:t>
      </w:r>
      <w:r w:rsidRPr="00072FBB">
        <w:rPr>
          <w:rFonts w:ascii="Verdana" w:eastAsia="Calibri" w:hAnsi="Verdana" w:cs="Arial"/>
          <w:color w:val="000000"/>
          <w:sz w:val="20"/>
          <w:szCs w:val="20"/>
          <w:vertAlign w:val="superscript"/>
        </w:rPr>
        <w:footnoteReference w:id="7"/>
      </w:r>
      <w:r w:rsidRPr="00072FBB">
        <w:rPr>
          <w:rFonts w:ascii="Verdana" w:eastAsia="Calibri" w:hAnsi="Verdana" w:cs="Arial"/>
          <w:color w:val="000000"/>
          <w:sz w:val="20"/>
          <w:szCs w:val="20"/>
        </w:rPr>
        <w:t>.</w:t>
      </w:r>
    </w:p>
    <w:p w14:paraId="2540F579" w14:textId="77777777" w:rsidR="0057639B" w:rsidRPr="009C2CE9" w:rsidRDefault="0057639B" w:rsidP="0057639B">
      <w:pPr>
        <w:spacing w:after="0" w:line="276" w:lineRule="auto"/>
        <w:ind w:firstLine="709"/>
        <w:jc w:val="both"/>
        <w:rPr>
          <w:rFonts w:ascii="Verdana" w:eastAsia="Calibri" w:hAnsi="Verdana" w:cs="Arial"/>
          <w:color w:val="000000"/>
        </w:rPr>
      </w:pPr>
    </w:p>
    <w:p w14:paraId="4815F4B4" w14:textId="77777777" w:rsidR="0057639B" w:rsidRPr="009C2CE9" w:rsidRDefault="0057639B" w:rsidP="0057639B">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f) Su celebración debe realizarse a través de la modalidad de contratación directa, independientemente de la cuantía y del tipo de servicio profesional, siempre que este no ingrese dentro del objeto del contrato de consultoría</w:t>
      </w:r>
      <w:r>
        <w:rPr>
          <w:rFonts w:ascii="Verdana" w:eastAsia="Calibri" w:hAnsi="Verdana" w:cs="Arial"/>
          <w:color w:val="000000"/>
        </w:rPr>
        <w:t>. C</w:t>
      </w:r>
      <w:r w:rsidRPr="009C2CE9">
        <w:rPr>
          <w:rFonts w:ascii="Verdana" w:eastAsia="Calibri" w:hAnsi="Verdana" w:cs="Arial"/>
          <w:color w:val="000000"/>
        </w:rPr>
        <w:t>omo lo indicó el Consejo de Estado</w:t>
      </w:r>
      <w:r>
        <w:rPr>
          <w:rFonts w:ascii="Verdana" w:eastAsia="Calibri" w:hAnsi="Verdana" w:cs="Arial"/>
          <w:color w:val="000000"/>
        </w:rPr>
        <w:t>,</w:t>
      </w:r>
      <w:r w:rsidRPr="009C2CE9">
        <w:rPr>
          <w:rFonts w:ascii="Verdana" w:eastAsia="Calibri" w:hAnsi="Verdana" w:cs="Arial"/>
          <w:color w:val="000000"/>
        </w:rPr>
        <w:t xml:space="preserve"> en la sentencia de unificación jurisprudencial a la que se hizo referencia, si bien en ambos existe un componente intelectual, profesional e intangible, el objeto del contrato de consultoría es especial y debe celebrarse, por regla general, precedido de un concurso de méritos</w:t>
      </w:r>
      <w:r w:rsidRPr="009C2CE9">
        <w:rPr>
          <w:rFonts w:ascii="Verdana" w:eastAsia="Calibri" w:hAnsi="Verdana" w:cs="Arial"/>
          <w:color w:val="000000"/>
          <w:vertAlign w:val="superscript"/>
        </w:rPr>
        <w:footnoteReference w:id="8"/>
      </w:r>
      <w:r w:rsidRPr="009C2CE9">
        <w:rPr>
          <w:rFonts w:ascii="Verdana" w:eastAsia="Calibri" w:hAnsi="Verdana" w:cs="Arial"/>
          <w:color w:val="000000"/>
        </w:rPr>
        <w:t xml:space="preserve">. Pero, tampoco puede suscribirse un contrato de prestación de servicios profesionales para que el contratista ejecute labores que </w:t>
      </w:r>
      <w:proofErr w:type="gramStart"/>
      <w:r w:rsidRPr="009C2CE9">
        <w:rPr>
          <w:rFonts w:ascii="Verdana" w:eastAsia="Calibri" w:hAnsi="Verdana" w:cs="Arial"/>
          <w:color w:val="000000"/>
        </w:rPr>
        <w:t>se enmarcan dentro de</w:t>
      </w:r>
      <w:proofErr w:type="gramEnd"/>
      <w:r w:rsidRPr="009C2CE9">
        <w:rPr>
          <w:rFonts w:ascii="Verdana" w:eastAsia="Calibri" w:hAnsi="Verdana" w:cs="Arial"/>
          <w:color w:val="000000"/>
        </w:rPr>
        <w:t xml:space="preserve"> los otros contratos tipificados en el artículo 32 de la Ley 80 de 1993, como, por ejemplo, para que el contratista de prestación de servicios construya una obra.</w:t>
      </w:r>
    </w:p>
    <w:p w14:paraId="0D597DC0" w14:textId="77777777" w:rsidR="0057639B" w:rsidRPr="009C2CE9" w:rsidRDefault="0057639B" w:rsidP="0057639B">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g) Para su celebración no se requiere la expedición del acto administrativo de justificación de la contratación directa</w:t>
      </w:r>
      <w:r w:rsidRPr="009C2CE9">
        <w:rPr>
          <w:rFonts w:ascii="Verdana" w:eastAsia="Calibri" w:hAnsi="Verdana" w:cs="Arial"/>
          <w:color w:val="000000"/>
          <w:vertAlign w:val="superscript"/>
        </w:rPr>
        <w:footnoteReference w:id="9"/>
      </w:r>
      <w:r w:rsidRPr="009C2CE9">
        <w:rPr>
          <w:rFonts w:ascii="Verdana" w:eastAsia="Calibri" w:hAnsi="Verdana" w:cs="Arial"/>
          <w:color w:val="000000"/>
        </w:rPr>
        <w:t xml:space="preserve">. </w:t>
      </w:r>
    </w:p>
    <w:p w14:paraId="3D39F8DB" w14:textId="77777777" w:rsidR="0057639B" w:rsidRPr="009C2CE9" w:rsidRDefault="0057639B" w:rsidP="0057639B">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h) Admiten el pacto de cláusulas excepcionales. Es decir, en los contratos de prestación de servicios puede estipularse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w:t>
      </w:r>
      <w:r w:rsidRPr="009C2CE9">
        <w:rPr>
          <w:rFonts w:ascii="Verdana" w:eastAsia="Calibri" w:hAnsi="Verdana" w:cs="Arial"/>
          <w:color w:val="000000"/>
          <w:vertAlign w:val="superscript"/>
        </w:rPr>
        <w:footnoteReference w:id="10"/>
      </w:r>
      <w:r w:rsidRPr="009C2CE9">
        <w:rPr>
          <w:rFonts w:ascii="Verdana" w:eastAsia="Calibri" w:hAnsi="Verdana" w:cs="Arial"/>
          <w:color w:val="000000"/>
        </w:rPr>
        <w:t>.</w:t>
      </w:r>
    </w:p>
    <w:p w14:paraId="740CB5AF" w14:textId="77777777" w:rsidR="0057639B" w:rsidRPr="009C2CE9" w:rsidRDefault="0057639B" w:rsidP="0057639B">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i) En ellos no es obligatoria la liquidación, pues así lo estableció el artículo 217 del Decreto 019 de 2012, que modificó el artículo 60 de la Ley 80 de 1993</w:t>
      </w:r>
      <w:r w:rsidRPr="009C2CE9">
        <w:rPr>
          <w:rFonts w:ascii="Verdana" w:eastAsia="Calibri" w:hAnsi="Verdana" w:cs="Arial"/>
          <w:color w:val="000000"/>
          <w:vertAlign w:val="superscript"/>
        </w:rPr>
        <w:footnoteReference w:id="11"/>
      </w:r>
      <w:r w:rsidRPr="009C2CE9">
        <w:rPr>
          <w:rFonts w:ascii="Verdana" w:eastAsia="Calibri" w:hAnsi="Verdana" w:cs="Arial"/>
          <w:color w:val="000000"/>
        </w:rPr>
        <w:t xml:space="preserve">, </w:t>
      </w:r>
      <w:r w:rsidRPr="009C2CE9">
        <w:rPr>
          <w:rFonts w:ascii="Verdana" w:eastAsia="Calibri" w:hAnsi="Verdana" w:cs="Arial"/>
          <w:color w:val="000000"/>
          <w:lang w:val="es-ES" w:eastAsia="es-ES"/>
        </w:rPr>
        <w:t>refiriéndose expresamente a los contratos de prestación de servicios profesionales y de apoyo a la gestión.</w:t>
      </w:r>
    </w:p>
    <w:p w14:paraId="26A2E965" w14:textId="77777777" w:rsidR="0057639B" w:rsidRPr="009C2CE9" w:rsidRDefault="0057639B" w:rsidP="0057639B">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j) Para su celebración no se requiere inscripción en el Registro Único de Proponentes (RUP), según lo prevé el artículo 6 de la Ley 1150 de 2007</w:t>
      </w:r>
      <w:r w:rsidRPr="009C2CE9">
        <w:rPr>
          <w:rFonts w:ascii="Verdana" w:eastAsia="Calibri" w:hAnsi="Verdana" w:cs="Arial"/>
          <w:color w:val="000000"/>
          <w:vertAlign w:val="superscript"/>
        </w:rPr>
        <w:footnoteReference w:id="12"/>
      </w:r>
      <w:r w:rsidRPr="009C2CE9">
        <w:rPr>
          <w:rFonts w:ascii="Verdana" w:eastAsia="Calibri" w:hAnsi="Verdana" w:cs="Arial"/>
          <w:color w:val="000000"/>
        </w:rPr>
        <w:t>.</w:t>
      </w:r>
    </w:p>
    <w:p w14:paraId="52E0940B" w14:textId="77777777" w:rsidR="0057639B" w:rsidRPr="009C2CE9" w:rsidRDefault="0057639B" w:rsidP="0057639B">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k) En ellos no son necesarias las garantías</w:t>
      </w:r>
      <w:r w:rsidRPr="009C2CE9">
        <w:rPr>
          <w:rFonts w:ascii="Verdana" w:eastAsia="Calibri" w:hAnsi="Verdana" w:cs="Arial"/>
          <w:color w:val="000000"/>
          <w:vertAlign w:val="superscript"/>
        </w:rPr>
        <w:footnoteReference w:id="13"/>
      </w:r>
      <w:r w:rsidRPr="009C2CE9">
        <w:rPr>
          <w:rFonts w:ascii="Verdana" w:eastAsia="Calibri" w:hAnsi="Verdana" w:cs="Arial"/>
          <w:color w:val="000000"/>
        </w:rPr>
        <w:t>.</w:t>
      </w:r>
    </w:p>
    <w:p w14:paraId="393431CB" w14:textId="77777777" w:rsidR="003B25F3" w:rsidRDefault="0057639B" w:rsidP="003B25F3">
      <w:pPr>
        <w:spacing w:after="120" w:line="276" w:lineRule="auto"/>
        <w:ind w:firstLine="709"/>
        <w:jc w:val="both"/>
        <w:rPr>
          <w:rFonts w:ascii="Verdana" w:eastAsia="Calibri" w:hAnsi="Verdana" w:cs="Arial"/>
          <w:i/>
          <w:color w:val="000000"/>
        </w:rPr>
      </w:pPr>
      <w:r w:rsidRPr="009C2CE9">
        <w:rPr>
          <w:rFonts w:ascii="Verdana" w:hAnsi="Verdana"/>
        </w:rPr>
        <w:t>Lo expuesto constituye</w:t>
      </w:r>
      <w:r w:rsidRPr="009C2CE9">
        <w:rPr>
          <w:rFonts w:ascii="Verdana" w:eastAsia="Calibri" w:hAnsi="Verdana" w:cs="Arial"/>
          <w:color w:val="000000"/>
        </w:rPr>
        <w:t xml:space="preserve"> el marco jurídico de los contratos de prestación de servicios y su aplicación es obligatoria para las entidades sometidas al Estatuto General de Contratación de la Administración Pública establecidas en el artículo 1 de la Ley 80 de 1993, como son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así como las entidades señaladas en el numeral b</w:t>
      </w:r>
      <w:r>
        <w:rPr>
          <w:rFonts w:ascii="Verdana" w:eastAsia="Calibri" w:hAnsi="Verdana" w:cs="Arial"/>
          <w:color w:val="000000"/>
        </w:rPr>
        <w:t>)</w:t>
      </w:r>
      <w:r w:rsidRPr="009C2CE9">
        <w:rPr>
          <w:rFonts w:ascii="Verdana" w:eastAsia="Calibri" w:hAnsi="Verdana" w:cs="Arial"/>
          <w:color w:val="000000"/>
        </w:rPr>
        <w:t xml:space="preserve"> </w:t>
      </w:r>
      <w:r w:rsidRPr="009C2CE9">
        <w:rPr>
          <w:rFonts w:ascii="Verdana" w:eastAsia="Calibri" w:hAnsi="Verdana" w:cs="Arial"/>
          <w:i/>
          <w:iCs/>
          <w:color w:val="000000"/>
        </w:rPr>
        <w:t>ibidem.</w:t>
      </w:r>
    </w:p>
    <w:p w14:paraId="24323EC3" w14:textId="18C78489" w:rsidR="0057639B" w:rsidRPr="003B25F3" w:rsidRDefault="0057639B" w:rsidP="003B25F3">
      <w:pPr>
        <w:spacing w:after="120" w:line="276" w:lineRule="auto"/>
        <w:ind w:firstLine="709"/>
        <w:jc w:val="both"/>
        <w:rPr>
          <w:rFonts w:ascii="Verdana" w:eastAsia="Calibri" w:hAnsi="Verdana" w:cs="Arial"/>
          <w:i/>
          <w:color w:val="000000"/>
        </w:rPr>
      </w:pPr>
      <w:r w:rsidRPr="00EA4DC1">
        <w:rPr>
          <w:rFonts w:ascii="Verdana" w:hAnsi="Verdana" w:cs="Arial"/>
        </w:rPr>
        <w:t>En lo relativo a</w:t>
      </w:r>
      <w:r>
        <w:rPr>
          <w:rFonts w:ascii="Verdana" w:hAnsi="Verdana" w:cs="Arial"/>
        </w:rPr>
        <w:t xml:space="preserve"> </w:t>
      </w:r>
      <w:r w:rsidRPr="00EA4DC1">
        <w:rPr>
          <w:rFonts w:ascii="Verdana" w:hAnsi="Verdana" w:cs="Arial"/>
        </w:rPr>
        <w:t>l</w:t>
      </w:r>
      <w:r>
        <w:rPr>
          <w:rFonts w:ascii="Verdana" w:hAnsi="Verdana" w:cs="Arial"/>
        </w:rPr>
        <w:t xml:space="preserve">as obligaciones pactadas dentro </w:t>
      </w:r>
      <w:r w:rsidRPr="00EA4DC1">
        <w:rPr>
          <w:rFonts w:ascii="Verdana" w:hAnsi="Verdana" w:cs="Arial"/>
        </w:rPr>
        <w:t>de los contratos de prestación de servicios</w:t>
      </w:r>
      <w:r>
        <w:rPr>
          <w:rFonts w:ascii="Verdana" w:hAnsi="Verdana" w:cs="Arial"/>
        </w:rPr>
        <w:t>,</w:t>
      </w:r>
      <w:r w:rsidRPr="00EA4DC1">
        <w:rPr>
          <w:rFonts w:ascii="Verdana" w:hAnsi="Verdana" w:cs="Arial"/>
        </w:rPr>
        <w:t xml:space="preserve"> debe destacarse lo señalado en el inciso segundo del numeral 3 del artículo 32 de la Ley 80 de 1993, el cual dispone que: </w:t>
      </w:r>
      <w:r w:rsidRPr="00072FBB">
        <w:rPr>
          <w:rFonts w:ascii="Verdana" w:hAnsi="Verdana" w:cs="Arial"/>
          <w:i/>
        </w:rPr>
        <w:t>“Estos contratos sólo podrán celebrarse con personas naturales cuando dichas actividades no puedan realizarse con personal de planta o requieran conocimientos especializados. En ningún caso estos contratos generan relación laboral ni prestaciones sociales y se celebrarán por el término estrictamente indispensable”.</w:t>
      </w:r>
    </w:p>
    <w:p w14:paraId="369E7850" w14:textId="77777777" w:rsidR="0057639B" w:rsidRDefault="0057639B" w:rsidP="0057639B">
      <w:pPr>
        <w:spacing w:after="120" w:line="276" w:lineRule="auto"/>
        <w:ind w:firstLine="709"/>
        <w:jc w:val="both"/>
        <w:rPr>
          <w:rFonts w:ascii="Verdana" w:eastAsia="Calibri" w:hAnsi="Verdana" w:cs="Arial"/>
          <w:color w:val="000000"/>
        </w:rPr>
      </w:pPr>
      <w:r>
        <w:rPr>
          <w:rFonts w:ascii="Verdana" w:eastAsia="Calibri" w:hAnsi="Verdana" w:cs="Arial"/>
          <w:color w:val="000000"/>
        </w:rPr>
        <w:t>De esta forma,</w:t>
      </w:r>
      <w:r w:rsidRPr="008D2E7A">
        <w:t xml:space="preserve"> </w:t>
      </w:r>
      <w:r>
        <w:rPr>
          <w:rFonts w:ascii="Verdana" w:hAnsi="Verdana"/>
        </w:rPr>
        <w:t>el uso de</w:t>
      </w:r>
      <w:r>
        <w:rPr>
          <w:rFonts w:ascii="Verdana" w:eastAsia="Calibri" w:hAnsi="Verdana" w:cs="Arial"/>
          <w:color w:val="000000"/>
        </w:rPr>
        <w:t xml:space="preserve"> cláusulas amplias o de obligaciones indeterminadas en</w:t>
      </w:r>
      <w:r w:rsidRPr="008D2E7A">
        <w:rPr>
          <w:rFonts w:ascii="Verdana" w:eastAsia="Calibri" w:hAnsi="Verdana" w:cs="Arial"/>
          <w:color w:val="000000"/>
        </w:rPr>
        <w:t xml:space="preserve"> los contratos de prestación de servicios</w:t>
      </w:r>
      <w:r>
        <w:rPr>
          <w:rFonts w:ascii="Verdana" w:eastAsia="Calibri" w:hAnsi="Verdana" w:cs="Arial"/>
          <w:color w:val="000000"/>
        </w:rPr>
        <w:t xml:space="preserve"> debe analizarse</w:t>
      </w:r>
      <w:r w:rsidRPr="008D2E7A">
        <w:rPr>
          <w:rFonts w:ascii="Verdana" w:eastAsia="Calibri" w:hAnsi="Verdana" w:cs="Arial"/>
          <w:color w:val="000000"/>
        </w:rPr>
        <w:t xml:space="preserve"> </w:t>
      </w:r>
      <w:r>
        <w:rPr>
          <w:rFonts w:ascii="Verdana" w:eastAsia="Calibri" w:hAnsi="Verdana" w:cs="Arial"/>
          <w:color w:val="000000"/>
        </w:rPr>
        <w:t xml:space="preserve">de acuerdo con las características enlistadas anteriormente. Así, los contratos de prestación de servicios solo pueden celebrarse </w:t>
      </w:r>
      <w:r w:rsidRPr="00D14454">
        <w:rPr>
          <w:rFonts w:ascii="Verdana" w:eastAsia="Calibri" w:hAnsi="Verdana" w:cs="Arial"/>
          <w:color w:val="000000"/>
        </w:rPr>
        <w:t>para realizar “actividades relacionadas con la administración o funcionamiento de la entidad”</w:t>
      </w:r>
      <w:r>
        <w:rPr>
          <w:rFonts w:ascii="Verdana" w:eastAsia="Calibri" w:hAnsi="Verdana" w:cs="Arial"/>
          <w:color w:val="000000"/>
        </w:rPr>
        <w:t xml:space="preserve">. En ese sentido, las cláusulas que se incluyan en los contratos deben guardar conexidad con el objeto contractual pactado. </w:t>
      </w:r>
    </w:p>
    <w:p w14:paraId="787A54C0" w14:textId="77777777" w:rsidR="0057639B" w:rsidRPr="009B4DB8" w:rsidRDefault="0057639B" w:rsidP="0057639B">
      <w:pPr>
        <w:spacing w:after="120" w:line="276" w:lineRule="auto"/>
        <w:ind w:firstLine="709"/>
        <w:jc w:val="both"/>
        <w:rPr>
          <w:rFonts w:ascii="Verdana" w:eastAsia="Calibri" w:hAnsi="Verdana" w:cs="Arial"/>
          <w:color w:val="000000"/>
        </w:rPr>
      </w:pPr>
      <w:r w:rsidRPr="009B4DB8">
        <w:rPr>
          <w:rFonts w:ascii="Verdana" w:eastAsia="Calibri" w:hAnsi="Verdana" w:cs="Arial"/>
          <w:color w:val="000000"/>
        </w:rPr>
        <w:t xml:space="preserve">En consecuencia, las </w:t>
      </w:r>
      <w:proofErr w:type="gramStart"/>
      <w:r w:rsidRPr="009B4DB8">
        <w:rPr>
          <w:rFonts w:ascii="Verdana" w:eastAsia="Calibri" w:hAnsi="Verdana" w:cs="Arial"/>
          <w:color w:val="000000"/>
        </w:rPr>
        <w:t>cláusulas</w:t>
      </w:r>
      <w:r w:rsidRPr="00DF64E0">
        <w:rPr>
          <w:rFonts w:ascii="Verdana" w:eastAsia="Calibri" w:hAnsi="Verdana" w:cs="Arial"/>
          <w:color w:val="000000"/>
        </w:rPr>
        <w:t xml:space="preserve">  que</w:t>
      </w:r>
      <w:proofErr w:type="gramEnd"/>
      <w:r w:rsidRPr="00DF64E0">
        <w:rPr>
          <w:rFonts w:ascii="Verdana" w:eastAsia="Calibri" w:hAnsi="Verdana" w:cs="Arial"/>
          <w:color w:val="000000"/>
        </w:rPr>
        <w:t xml:space="preserve"> se incluyan en el contrato deben interpretarse con</w:t>
      </w:r>
      <w:r w:rsidRPr="009B4DB8">
        <w:rPr>
          <w:rFonts w:ascii="Verdana" w:eastAsia="Calibri" w:hAnsi="Verdana" w:cs="Arial"/>
          <w:color w:val="000000"/>
        </w:rPr>
        <w:t>forme al objeto contractual definido a partir de los estudios previos, los cuales determinan tanto el propósito de la contratación como la forma en que se espera que el contratista ejecute el objeto y cumpla las obligaciones derivadas del contrato. De este modo, las obligaciones que se incluyan en el contrato, o que señale el supervisor del mismo deben restringirse al objeto del contrato conforme al principio de planeación y a la autonomía de la voluntad de las partes.</w:t>
      </w:r>
    </w:p>
    <w:p w14:paraId="081232BA" w14:textId="77777777" w:rsidR="0057639B" w:rsidRPr="000D374A" w:rsidRDefault="0057639B" w:rsidP="0057639B">
      <w:pPr>
        <w:spacing w:after="120" w:line="276" w:lineRule="auto"/>
        <w:ind w:firstLine="709"/>
        <w:jc w:val="both"/>
        <w:rPr>
          <w:rFonts w:ascii="Verdana" w:eastAsia="Arial" w:hAnsi="Verdana" w:cs="Arial"/>
        </w:rPr>
      </w:pPr>
      <w:r w:rsidRPr="000D374A">
        <w:rPr>
          <w:rFonts w:ascii="Verdana" w:eastAsia="Arial" w:hAnsi="Verdana" w:cs="Arial"/>
        </w:rPr>
        <w:t>Por consiguiente, los contratistas pueden participar en actividades relacionadas con la elaboración de documentos, apoyo técnico, jurídico o administrativo a los procesos contractuales, revisión de información, acompañamiento a la supervisión, seguimiento de obligaciones y demás actuaciones de apoyo requeridas para la gestión contractual. Sin embargo, no pueden asumir de manera autónoma funciones propias de la entidad estatal, adoptar decisiones reservadas a los servidores públicos, ejercer autoridad administrativa, sustituir integralmente al personal de planta ni desarrollar actividades que desborden el objeto contractual pactado.</w:t>
      </w:r>
    </w:p>
    <w:p w14:paraId="3D30CF7B" w14:textId="77777777" w:rsidR="0057639B" w:rsidRPr="000D374A" w:rsidRDefault="0057639B" w:rsidP="0057639B">
      <w:pPr>
        <w:spacing w:after="120" w:line="276" w:lineRule="auto"/>
        <w:ind w:firstLine="709"/>
        <w:jc w:val="both"/>
        <w:rPr>
          <w:rFonts w:ascii="Verdana" w:eastAsia="Arial" w:hAnsi="Verdana" w:cs="Arial"/>
        </w:rPr>
      </w:pPr>
      <w:r>
        <w:rPr>
          <w:rFonts w:ascii="Verdana" w:eastAsia="Arial" w:hAnsi="Verdana" w:cs="Arial"/>
        </w:rPr>
        <w:t xml:space="preserve">         </w:t>
      </w:r>
      <w:r w:rsidRPr="000D374A">
        <w:rPr>
          <w:rFonts w:ascii="Verdana" w:eastAsia="Arial" w:hAnsi="Verdana" w:cs="Arial"/>
        </w:rPr>
        <w:t>En todo caso, la determinación de las actividades específicas que pueden ser ejecutadas por un contratista exige analizar las condiciones particulares de cada contrato, sus estudios previos, el objeto contratado y las obligaciones pactadas, aspectos cuya valoración corresponde inicialmente a la entidad estatal en ejercicio de su autonomía administrativa y contractual.</w:t>
      </w:r>
    </w:p>
    <w:p w14:paraId="14946738" w14:textId="77777777" w:rsidR="0057639B" w:rsidRPr="00920927" w:rsidRDefault="0057639B" w:rsidP="0057639B">
      <w:pPr>
        <w:spacing w:after="120" w:line="276" w:lineRule="auto"/>
        <w:ind w:firstLine="709"/>
        <w:jc w:val="both"/>
        <w:rPr>
          <w:rFonts w:ascii="Verdana" w:eastAsia="Times New Roman" w:hAnsi="Verdana" w:cs="Arial"/>
          <w:lang w:eastAsia="es-MX"/>
        </w:rPr>
      </w:pPr>
      <w:r>
        <w:rPr>
          <w:rFonts w:ascii="Verdana" w:eastAsia="Calibri" w:hAnsi="Verdana" w:cs="Arial"/>
        </w:rPr>
        <w:t xml:space="preserve">    F</w:t>
      </w:r>
      <w:r w:rsidRPr="006B17A7">
        <w:rPr>
          <w:rFonts w:ascii="Verdana" w:eastAsia="Calibri" w:hAnsi="Verdana" w:cs="Arial"/>
        </w:rPr>
        <w:t xml:space="preserve">inalmente debe advertirse que el análisis requerido para resolver problemas específicos </w:t>
      </w:r>
      <w:r>
        <w:rPr>
          <w:rFonts w:ascii="Verdana" w:eastAsia="Calibri" w:hAnsi="Verdana" w:cs="Arial"/>
        </w:rPr>
        <w:t xml:space="preserve">frente a los requisitos habilitantes en procesos de contratación con sociedad extranjeras </w:t>
      </w:r>
      <w:r w:rsidRPr="006B17A7">
        <w:rPr>
          <w:rFonts w:ascii="Verdana" w:eastAsia="Calibri" w:hAnsi="Verdana" w:cs="Arial"/>
        </w:rPr>
        <w:t xml:space="preserve">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p w14:paraId="7F888EB6" w14:textId="12188023" w:rsidR="00D73B2A" w:rsidRPr="00A83996" w:rsidRDefault="0057639B" w:rsidP="00A83996">
      <w:pPr>
        <w:spacing w:after="120" w:line="276" w:lineRule="auto"/>
        <w:ind w:firstLine="709"/>
        <w:jc w:val="both"/>
        <w:rPr>
          <w:rFonts w:ascii="Verdana" w:eastAsia="Calibri" w:hAnsi="Verdana" w:cs="Arial"/>
        </w:rPr>
      </w:pPr>
      <w:r>
        <w:rPr>
          <w:rFonts w:ascii="Verdana" w:eastAsia="Calibri" w:hAnsi="Verdana" w:cs="Arial"/>
        </w:rPr>
        <w:t xml:space="preserve">    </w:t>
      </w:r>
      <w:r w:rsidRPr="006B17A7">
        <w:rPr>
          <w:rFonts w:ascii="Verdana" w:eastAsia="Calibri" w:hAnsi="Verdana" w:cs="Arial"/>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p w14:paraId="75261511" w14:textId="77777777" w:rsidR="007E10E1" w:rsidRDefault="007E10E1" w:rsidP="30821638">
      <w:pPr>
        <w:spacing w:after="0" w:line="240" w:lineRule="auto"/>
        <w:jc w:val="both"/>
        <w:textAlignment w:val="baseline"/>
        <w:rPr>
          <w:rFonts w:ascii="Verdana" w:eastAsia="Verdana" w:hAnsi="Verdana" w:cs="Verdana"/>
          <w:lang w:eastAsia="es-CO"/>
        </w:rPr>
      </w:pPr>
    </w:p>
    <w:p w14:paraId="5E5880EF" w14:textId="42E22E3B" w:rsidR="004755ED" w:rsidRPr="00D73B2A" w:rsidRDefault="00A77AD0" w:rsidP="30821638">
      <w:pPr>
        <w:spacing w:after="0" w:line="240" w:lineRule="auto"/>
        <w:jc w:val="both"/>
        <w:textAlignment w:val="baseline"/>
        <w:rPr>
          <w:rFonts w:ascii="Verdana" w:eastAsia="Verdana" w:hAnsi="Verdana" w:cs="Verdana"/>
          <w:b/>
          <w:bCs/>
          <w:lang w:eastAsia="es-CO"/>
        </w:rPr>
      </w:pPr>
      <w:r w:rsidRPr="00D73B2A">
        <w:rPr>
          <w:rFonts w:ascii="Verdana" w:eastAsia="Verdana" w:hAnsi="Verdana" w:cs="Verdana"/>
          <w:b/>
          <w:bCs/>
          <w:lang w:eastAsia="es-CO"/>
        </w:rPr>
        <w:t xml:space="preserve">4. Referencias normativas, jurisprudenciales y otras fuentes: </w:t>
      </w:r>
    </w:p>
    <w:p w14:paraId="7BB3BB22" w14:textId="77777777" w:rsidR="00A77AD0" w:rsidRDefault="00A77AD0" w:rsidP="30821638">
      <w:pPr>
        <w:spacing w:after="0" w:line="240" w:lineRule="auto"/>
        <w:jc w:val="both"/>
        <w:textAlignment w:val="baseline"/>
        <w:rPr>
          <w:rFonts w:ascii="Verdana" w:eastAsia="Verdana" w:hAnsi="Verdana" w:cs="Verdana"/>
          <w:lang w:eastAsia="es-CO"/>
        </w:rPr>
      </w:pPr>
    </w:p>
    <w:p w14:paraId="61823618" w14:textId="77777777" w:rsidR="00D73B2A" w:rsidRPr="00694910" w:rsidRDefault="00D73B2A" w:rsidP="00D73B2A">
      <w:pPr>
        <w:pStyle w:val="Prrafodelista"/>
        <w:widowControl w:val="0"/>
        <w:numPr>
          <w:ilvl w:val="0"/>
          <w:numId w:val="18"/>
        </w:numPr>
        <w:pBdr>
          <w:top w:val="single" w:sz="4" w:space="1" w:color="auto"/>
          <w:left w:val="single" w:sz="4" w:space="4" w:color="auto"/>
          <w:bottom w:val="single" w:sz="4" w:space="1" w:color="auto"/>
          <w:right w:val="single" w:sz="4" w:space="4" w:color="auto"/>
        </w:pBdr>
        <w:autoSpaceDE w:val="0"/>
        <w:autoSpaceDN w:val="0"/>
        <w:spacing w:line="276" w:lineRule="auto"/>
        <w:contextualSpacing w:val="0"/>
        <w:jc w:val="both"/>
        <w:rPr>
          <w:rFonts w:ascii="Verdana" w:hAnsi="Verdana" w:cs="Arial"/>
        </w:rPr>
      </w:pPr>
      <w:r w:rsidRPr="00694910">
        <w:rPr>
          <w:rFonts w:ascii="Verdana" w:hAnsi="Verdana" w:cs="Arial"/>
        </w:rPr>
        <w:t>Ley 60 de 1993.</w:t>
      </w:r>
    </w:p>
    <w:p w14:paraId="5B621474" w14:textId="7FB9062B" w:rsidR="00D73B2A" w:rsidRPr="00694910" w:rsidRDefault="00D73B2A" w:rsidP="00D73B2A">
      <w:pPr>
        <w:pStyle w:val="Prrafodelista"/>
        <w:widowControl w:val="0"/>
        <w:numPr>
          <w:ilvl w:val="0"/>
          <w:numId w:val="18"/>
        </w:numPr>
        <w:pBdr>
          <w:top w:val="single" w:sz="4" w:space="1" w:color="auto"/>
          <w:left w:val="single" w:sz="4" w:space="4" w:color="auto"/>
          <w:bottom w:val="single" w:sz="4" w:space="1" w:color="auto"/>
          <w:right w:val="single" w:sz="4" w:space="4" w:color="auto"/>
        </w:pBdr>
        <w:autoSpaceDE w:val="0"/>
        <w:autoSpaceDN w:val="0"/>
        <w:spacing w:line="276" w:lineRule="auto"/>
        <w:contextualSpacing w:val="0"/>
        <w:jc w:val="both"/>
        <w:rPr>
          <w:rFonts w:ascii="Verdana" w:hAnsi="Verdana" w:cs="Arial"/>
        </w:rPr>
      </w:pPr>
      <w:r w:rsidRPr="00694910">
        <w:rPr>
          <w:rFonts w:ascii="Verdana" w:hAnsi="Verdana" w:cs="Arial"/>
        </w:rPr>
        <w:t>Ley 80 de 1993, artículo</w:t>
      </w:r>
      <w:r w:rsidR="001750D4">
        <w:rPr>
          <w:rFonts w:ascii="Verdana" w:hAnsi="Verdana" w:cs="Arial"/>
        </w:rPr>
        <w:t>s 32, 40 y</w:t>
      </w:r>
      <w:r w:rsidRPr="00694910">
        <w:rPr>
          <w:rFonts w:ascii="Verdana" w:hAnsi="Verdana" w:cs="Arial"/>
        </w:rPr>
        <w:t xml:space="preserve"> 60. </w:t>
      </w:r>
    </w:p>
    <w:p w14:paraId="080BA278" w14:textId="00F5BAE8" w:rsidR="00D73B2A" w:rsidRDefault="00D73B2A" w:rsidP="00D73B2A">
      <w:pPr>
        <w:pStyle w:val="Prrafodelista"/>
        <w:widowControl w:val="0"/>
        <w:numPr>
          <w:ilvl w:val="0"/>
          <w:numId w:val="18"/>
        </w:numPr>
        <w:pBdr>
          <w:top w:val="single" w:sz="4" w:space="1" w:color="auto"/>
          <w:left w:val="single" w:sz="4" w:space="4" w:color="auto"/>
          <w:bottom w:val="single" w:sz="4" w:space="1" w:color="auto"/>
          <w:right w:val="single" w:sz="4" w:space="4" w:color="auto"/>
        </w:pBdr>
        <w:autoSpaceDE w:val="0"/>
        <w:autoSpaceDN w:val="0"/>
        <w:spacing w:line="276" w:lineRule="auto"/>
        <w:contextualSpacing w:val="0"/>
        <w:jc w:val="both"/>
        <w:rPr>
          <w:rFonts w:ascii="Verdana" w:hAnsi="Verdana" w:cs="Arial"/>
        </w:rPr>
      </w:pPr>
      <w:r w:rsidRPr="00694910">
        <w:rPr>
          <w:rFonts w:ascii="Verdana" w:hAnsi="Verdana" w:cs="Arial"/>
        </w:rPr>
        <w:t>Ley 1150 de 2007, artículo</w:t>
      </w:r>
      <w:r w:rsidR="001750D4">
        <w:rPr>
          <w:rFonts w:ascii="Verdana" w:hAnsi="Verdana" w:cs="Arial"/>
        </w:rPr>
        <w:t>s 2 y</w:t>
      </w:r>
      <w:r w:rsidRPr="00694910">
        <w:rPr>
          <w:rFonts w:ascii="Verdana" w:hAnsi="Verdana" w:cs="Arial"/>
        </w:rPr>
        <w:t xml:space="preserve"> 11</w:t>
      </w:r>
      <w:r w:rsidR="00AD10F1">
        <w:rPr>
          <w:rFonts w:ascii="Verdana" w:hAnsi="Verdana" w:cs="Arial"/>
        </w:rPr>
        <w:t>.</w:t>
      </w:r>
    </w:p>
    <w:p w14:paraId="6F257353" w14:textId="77777777" w:rsidR="001750D4" w:rsidRDefault="00465615" w:rsidP="001750D4">
      <w:pPr>
        <w:pStyle w:val="Prrafodelista"/>
        <w:widowControl w:val="0"/>
        <w:numPr>
          <w:ilvl w:val="0"/>
          <w:numId w:val="18"/>
        </w:numPr>
        <w:pBdr>
          <w:top w:val="single" w:sz="4" w:space="1" w:color="auto"/>
          <w:left w:val="single" w:sz="4" w:space="4" w:color="auto"/>
          <w:bottom w:val="single" w:sz="4" w:space="1" w:color="auto"/>
          <w:right w:val="single" w:sz="4" w:space="4" w:color="auto"/>
        </w:pBdr>
        <w:autoSpaceDE w:val="0"/>
        <w:autoSpaceDN w:val="0"/>
        <w:spacing w:line="276" w:lineRule="auto"/>
        <w:contextualSpacing w:val="0"/>
        <w:jc w:val="both"/>
        <w:rPr>
          <w:rFonts w:ascii="Verdana" w:hAnsi="Verdana" w:cs="Arial"/>
        </w:rPr>
      </w:pPr>
      <w:r>
        <w:rPr>
          <w:rFonts w:ascii="Verdana" w:hAnsi="Verdana" w:cs="Arial"/>
        </w:rPr>
        <w:t xml:space="preserve">Decreto 1082 de 2015, artículos </w:t>
      </w:r>
      <w:r w:rsidRPr="001D6F6E">
        <w:rPr>
          <w:rFonts w:ascii="Verdana" w:hAnsi="Verdana" w:cs="Arial"/>
        </w:rPr>
        <w:t>2.2.1.1.1.3.1</w:t>
      </w:r>
      <w:r>
        <w:rPr>
          <w:rFonts w:ascii="Verdana" w:hAnsi="Verdana" w:cs="Arial"/>
        </w:rPr>
        <w:t xml:space="preserve">, </w:t>
      </w:r>
      <w:r w:rsidRPr="001D6F6E">
        <w:rPr>
          <w:rFonts w:ascii="Verdana" w:eastAsia="Calibri" w:hAnsi="Verdana" w:cs="Arial"/>
          <w:color w:val="000000"/>
          <w:lang w:eastAsia="es-ES"/>
        </w:rPr>
        <w:t>2.2.1.1.2.4.3</w:t>
      </w:r>
      <w:r>
        <w:rPr>
          <w:rFonts w:ascii="Verdana" w:eastAsia="Calibri" w:hAnsi="Verdana" w:cs="Arial"/>
          <w:color w:val="000000"/>
          <w:lang w:eastAsia="es-ES"/>
        </w:rPr>
        <w:t xml:space="preserve"> y </w:t>
      </w:r>
      <w:r w:rsidRPr="001D6F6E">
        <w:rPr>
          <w:rFonts w:ascii="Verdana" w:hAnsi="Verdana" w:cs="Arial"/>
        </w:rPr>
        <w:t>2.2.1.2.3.1.7</w:t>
      </w:r>
    </w:p>
    <w:p w14:paraId="30058F70" w14:textId="77777777" w:rsidR="001750D4" w:rsidRPr="001750D4" w:rsidRDefault="001750D4" w:rsidP="001750D4">
      <w:pPr>
        <w:pStyle w:val="Prrafodelista"/>
        <w:widowControl w:val="0"/>
        <w:numPr>
          <w:ilvl w:val="0"/>
          <w:numId w:val="18"/>
        </w:numPr>
        <w:pBdr>
          <w:top w:val="single" w:sz="4" w:space="1" w:color="auto"/>
          <w:left w:val="single" w:sz="4" w:space="4" w:color="auto"/>
          <w:bottom w:val="single" w:sz="4" w:space="1" w:color="auto"/>
          <w:right w:val="single" w:sz="4" w:space="4" w:color="auto"/>
        </w:pBdr>
        <w:autoSpaceDE w:val="0"/>
        <w:autoSpaceDN w:val="0"/>
        <w:spacing w:line="276" w:lineRule="auto"/>
        <w:contextualSpacing w:val="0"/>
        <w:jc w:val="both"/>
        <w:rPr>
          <w:rFonts w:ascii="Verdana" w:hAnsi="Verdana" w:cs="Arial"/>
        </w:rPr>
      </w:pPr>
      <w:r w:rsidRPr="001750D4">
        <w:rPr>
          <w:rFonts w:ascii="Verdana" w:eastAsia="Aptos" w:hAnsi="Verdana" w:cs="Arial"/>
        </w:rPr>
        <w:t>Ley 1437 de 2011. Artículo 9</w:t>
      </w:r>
      <w:r>
        <w:rPr>
          <w:rFonts w:ascii="Verdana" w:eastAsia="Aptos" w:hAnsi="Verdana" w:cs="Arial"/>
        </w:rPr>
        <w:t>.</w:t>
      </w:r>
    </w:p>
    <w:p w14:paraId="1940AA2E" w14:textId="77777777" w:rsidR="001750D4" w:rsidRPr="001750D4" w:rsidRDefault="001750D4" w:rsidP="001750D4">
      <w:pPr>
        <w:pStyle w:val="Prrafodelista"/>
        <w:widowControl w:val="0"/>
        <w:numPr>
          <w:ilvl w:val="0"/>
          <w:numId w:val="18"/>
        </w:numPr>
        <w:pBdr>
          <w:top w:val="single" w:sz="4" w:space="1" w:color="auto"/>
          <w:left w:val="single" w:sz="4" w:space="4" w:color="auto"/>
          <w:bottom w:val="single" w:sz="4" w:space="1" w:color="auto"/>
          <w:right w:val="single" w:sz="4" w:space="4" w:color="auto"/>
        </w:pBdr>
        <w:autoSpaceDE w:val="0"/>
        <w:autoSpaceDN w:val="0"/>
        <w:spacing w:line="276" w:lineRule="auto"/>
        <w:contextualSpacing w:val="0"/>
        <w:jc w:val="both"/>
        <w:rPr>
          <w:rFonts w:ascii="Verdana" w:hAnsi="Verdana" w:cs="Arial"/>
        </w:rPr>
      </w:pPr>
      <w:r w:rsidRPr="001750D4">
        <w:rPr>
          <w:rFonts w:ascii="Verdana" w:eastAsia="Aptos" w:hAnsi="Verdana" w:cs="Arial"/>
        </w:rPr>
        <w:t>Ley 1955 de 2015. Artículo 244.</w:t>
      </w:r>
    </w:p>
    <w:p w14:paraId="17E65971" w14:textId="77777777" w:rsidR="001750D4" w:rsidRPr="001750D4" w:rsidRDefault="001750D4" w:rsidP="001750D4">
      <w:pPr>
        <w:pStyle w:val="Prrafodelista"/>
        <w:widowControl w:val="0"/>
        <w:numPr>
          <w:ilvl w:val="0"/>
          <w:numId w:val="18"/>
        </w:numPr>
        <w:pBdr>
          <w:top w:val="single" w:sz="4" w:space="1" w:color="auto"/>
          <w:left w:val="single" w:sz="4" w:space="4" w:color="auto"/>
          <w:bottom w:val="single" w:sz="4" w:space="1" w:color="auto"/>
          <w:right w:val="single" w:sz="4" w:space="4" w:color="auto"/>
        </w:pBdr>
        <w:autoSpaceDE w:val="0"/>
        <w:autoSpaceDN w:val="0"/>
        <w:spacing w:line="276" w:lineRule="auto"/>
        <w:contextualSpacing w:val="0"/>
        <w:jc w:val="both"/>
        <w:rPr>
          <w:rFonts w:ascii="Verdana" w:hAnsi="Verdana" w:cs="Arial"/>
        </w:rPr>
      </w:pPr>
      <w:r w:rsidRPr="001750D4">
        <w:rPr>
          <w:rFonts w:ascii="Verdana" w:eastAsia="Aptos" w:hAnsi="Verdana" w:cs="Arial"/>
        </w:rPr>
        <w:t>Corte Constitucional. Sentencia C-154 de 1997. Magistrado Ponente: Hernando Herrera Vergara.</w:t>
      </w:r>
    </w:p>
    <w:p w14:paraId="377B99EE" w14:textId="05B1FA92" w:rsidR="001750D4" w:rsidRPr="001750D4" w:rsidRDefault="001750D4" w:rsidP="001750D4">
      <w:pPr>
        <w:pStyle w:val="Prrafodelista"/>
        <w:widowControl w:val="0"/>
        <w:numPr>
          <w:ilvl w:val="0"/>
          <w:numId w:val="18"/>
        </w:numPr>
        <w:pBdr>
          <w:top w:val="single" w:sz="4" w:space="1" w:color="auto"/>
          <w:left w:val="single" w:sz="4" w:space="4" w:color="auto"/>
          <w:bottom w:val="single" w:sz="4" w:space="1" w:color="auto"/>
          <w:right w:val="single" w:sz="4" w:space="4" w:color="auto"/>
        </w:pBdr>
        <w:autoSpaceDE w:val="0"/>
        <w:autoSpaceDN w:val="0"/>
        <w:spacing w:line="276" w:lineRule="auto"/>
        <w:contextualSpacing w:val="0"/>
        <w:jc w:val="both"/>
        <w:rPr>
          <w:rFonts w:ascii="Verdana" w:hAnsi="Verdana" w:cs="Arial"/>
        </w:rPr>
      </w:pPr>
      <w:r w:rsidRPr="001750D4">
        <w:rPr>
          <w:rFonts w:ascii="Verdana" w:eastAsia="Aptos" w:hAnsi="Verdana" w:cs="Arial"/>
        </w:rPr>
        <w:t>Consejo de Estado. Sección Tercera. Subsección C. Sentencia del 2 de diciembre de 2013. Exp. 41719. Consejero Ponente: Jaime Orlando Santofimio Gamboa.</w:t>
      </w:r>
    </w:p>
    <w:p w14:paraId="2CAA5E17" w14:textId="1BCD1FF9" w:rsidR="001750D4" w:rsidRPr="00694910" w:rsidRDefault="001750D4" w:rsidP="001750D4">
      <w:pPr>
        <w:pStyle w:val="Prrafodelista"/>
        <w:widowControl w:val="0"/>
        <w:numPr>
          <w:ilvl w:val="0"/>
          <w:numId w:val="18"/>
        </w:numPr>
        <w:pBdr>
          <w:top w:val="single" w:sz="4" w:space="1" w:color="auto"/>
          <w:left w:val="single" w:sz="4" w:space="4" w:color="auto"/>
          <w:bottom w:val="single" w:sz="4" w:space="1" w:color="auto"/>
          <w:right w:val="single" w:sz="4" w:space="4" w:color="auto"/>
        </w:pBdr>
        <w:autoSpaceDE w:val="0"/>
        <w:autoSpaceDN w:val="0"/>
        <w:spacing w:line="276" w:lineRule="auto"/>
        <w:contextualSpacing w:val="0"/>
        <w:jc w:val="both"/>
        <w:rPr>
          <w:rFonts w:ascii="Verdana" w:hAnsi="Verdana" w:cs="Arial"/>
        </w:rPr>
      </w:pPr>
      <w:r w:rsidRPr="00BB054D">
        <w:rPr>
          <w:rFonts w:ascii="Verdana" w:eastAsia="Aptos" w:hAnsi="Verdana" w:cs="Arial"/>
        </w:rPr>
        <w:t>Consejo de Estado. Sección Segunda. Sentencia de Unificación Jurisprudencial SUJ-025-CE-S2-2021. Radicado (1317-2016).</w:t>
      </w:r>
    </w:p>
    <w:p w14:paraId="75972E29" w14:textId="77777777" w:rsidR="00A77AD0" w:rsidRDefault="00A77AD0" w:rsidP="30821638">
      <w:pPr>
        <w:spacing w:after="0" w:line="240" w:lineRule="auto"/>
        <w:jc w:val="both"/>
        <w:textAlignment w:val="baseline"/>
        <w:rPr>
          <w:rFonts w:ascii="Verdana" w:eastAsia="Verdana" w:hAnsi="Verdana" w:cs="Verdana"/>
          <w:lang w:eastAsia="es-CO"/>
        </w:rPr>
      </w:pPr>
    </w:p>
    <w:p w14:paraId="22CF821C" w14:textId="5A25BFAD" w:rsidR="004755ED" w:rsidRPr="00CA6AF3" w:rsidRDefault="001F1003" w:rsidP="30821638">
      <w:pPr>
        <w:spacing w:after="0" w:line="240" w:lineRule="auto"/>
        <w:jc w:val="both"/>
        <w:textAlignment w:val="baseline"/>
        <w:rPr>
          <w:rFonts w:ascii="Verdana" w:eastAsia="Verdana" w:hAnsi="Verdana" w:cs="Verdana"/>
          <w:b/>
          <w:bCs/>
          <w:lang w:eastAsia="es-CO"/>
        </w:rPr>
      </w:pPr>
      <w:r w:rsidRPr="00CA6AF3">
        <w:rPr>
          <w:rFonts w:ascii="Verdana" w:eastAsia="Verdana" w:hAnsi="Verdana" w:cs="Verdana"/>
          <w:b/>
          <w:bCs/>
          <w:lang w:eastAsia="es-CO"/>
        </w:rPr>
        <w:t xml:space="preserve">5. Doctrina de la Agencia Nacional de Contratación Pública. </w:t>
      </w:r>
    </w:p>
    <w:p w14:paraId="64ED2111" w14:textId="77777777" w:rsidR="001F1003" w:rsidRDefault="001F1003" w:rsidP="30821638">
      <w:pPr>
        <w:spacing w:after="0" w:line="240" w:lineRule="auto"/>
        <w:jc w:val="both"/>
        <w:textAlignment w:val="baseline"/>
        <w:rPr>
          <w:rFonts w:ascii="Verdana" w:eastAsia="Verdana" w:hAnsi="Verdana" w:cs="Verdana"/>
          <w:lang w:eastAsia="es-CO"/>
        </w:rPr>
      </w:pPr>
    </w:p>
    <w:p w14:paraId="2A4C3FFC" w14:textId="210ECB3A" w:rsidR="001F1003" w:rsidRDefault="00CA6AF3" w:rsidP="00D52709">
      <w:pPr>
        <w:spacing w:after="120" w:line="276" w:lineRule="auto"/>
        <w:jc w:val="both"/>
        <w:textAlignment w:val="baseline"/>
        <w:rPr>
          <w:rStyle w:val="normaltextrun"/>
          <w:rFonts w:ascii="Verdana" w:hAnsi="Verdana" w:cs="Arial"/>
          <w:color w:val="FF0000"/>
          <w:shd w:val="clear" w:color="auto" w:fill="FFFFFF"/>
          <w:lang w:val="es-ES"/>
        </w:rPr>
      </w:pPr>
      <w:r w:rsidRPr="000E4CD6">
        <w:rPr>
          <w:rStyle w:val="normaltextrun"/>
          <w:rFonts w:ascii="Verdana" w:hAnsi="Verdana" w:cs="Arial"/>
          <w:shd w:val="clear" w:color="auto" w:fill="FFFFFF"/>
          <w:lang w:val="es-ES_tradnl"/>
        </w:rPr>
        <w:t>Esta Subdirección se ha pronunciado sobre la liquidación en los Conceptos 4201912000004908 del 27 de septiembre de 2019, CU-028 de 25 de febrero de 2020, C-221 de 21 de abril de 2020, C-078 del 17 de marzo de 2021, C-220 del 18 de mayo de 2021, C-444 del 23 de julio de 2021, C-747 del 8 de noviembre de 2022, C-739 de del 29 de noviembre de 2022, C- 176 de 3 de mayo de 2023, C-158 del 6 de junio de 2023, C-326 del 15 de agosto de 2024</w:t>
      </w:r>
      <w:r>
        <w:rPr>
          <w:rStyle w:val="normaltextrun"/>
          <w:rFonts w:ascii="Verdana" w:hAnsi="Verdana" w:cs="Arial"/>
          <w:shd w:val="clear" w:color="auto" w:fill="FFFFFF"/>
          <w:lang w:val="es-ES_tradnl"/>
        </w:rPr>
        <w:t>,</w:t>
      </w:r>
      <w:r w:rsidRPr="000E4CD6">
        <w:rPr>
          <w:rStyle w:val="normaltextrun"/>
          <w:rFonts w:ascii="Verdana" w:hAnsi="Verdana" w:cs="Arial"/>
          <w:shd w:val="clear" w:color="auto" w:fill="FFFFFF"/>
          <w:lang w:val="es-ES_tradnl"/>
        </w:rPr>
        <w:t xml:space="preserve"> C-568 del 18 de octubre de 2024</w:t>
      </w:r>
      <w:r>
        <w:rPr>
          <w:rStyle w:val="normaltextrun"/>
          <w:rFonts w:ascii="Verdana" w:hAnsi="Verdana" w:cs="Arial"/>
          <w:shd w:val="clear" w:color="auto" w:fill="FFFFFF"/>
          <w:lang w:val="es-ES_tradnl"/>
        </w:rPr>
        <w:t>, C-968 del 16 de diciembre de 2024 y C-1685 del 1˚ de diciembre de 2025</w:t>
      </w:r>
      <w:r>
        <w:rPr>
          <w:rFonts w:ascii="Verdana" w:eastAsia="Calibri" w:hAnsi="Verdana" w:cs="Arial"/>
          <w:shd w:val="clear" w:color="auto" w:fill="FFFFFF"/>
        </w:rPr>
        <w:t xml:space="preserve">. </w:t>
      </w:r>
      <w:r w:rsidR="00A83996">
        <w:rPr>
          <w:rFonts w:ascii="Verdana" w:eastAsia="Calibri" w:hAnsi="Verdana" w:cs="Arial"/>
          <w:shd w:val="clear" w:color="auto" w:fill="FFFFFF"/>
        </w:rPr>
        <w:t xml:space="preserve">Por otra partes, esta Agencia, también se </w:t>
      </w:r>
      <w:r w:rsidR="00A83996" w:rsidRPr="006903C3">
        <w:rPr>
          <w:rFonts w:ascii="Verdana" w:eastAsia="Calibri" w:hAnsi="Verdana" w:cs="Arial"/>
          <w:lang w:val="es-ES"/>
        </w:rPr>
        <w:t xml:space="preserve">ha referido </w:t>
      </w:r>
      <w:r w:rsidR="00A83996" w:rsidRPr="006903C3">
        <w:rPr>
          <w:rFonts w:ascii="Verdana" w:hAnsi="Verdana" w:cs="Arial"/>
          <w:shd w:val="clear" w:color="auto" w:fill="FFFFFF"/>
          <w:lang w:val="es-ES"/>
        </w:rPr>
        <w:t xml:space="preserve">sobre </w:t>
      </w:r>
      <w:r w:rsidR="00A83996" w:rsidRPr="009C2CE9">
        <w:rPr>
          <w:rFonts w:ascii="Verdana" w:hAnsi="Verdana" w:cs="Arial"/>
          <w:shd w:val="clear" w:color="auto" w:fill="FFFFFF"/>
          <w:lang w:val="es-ES"/>
        </w:rPr>
        <w:t xml:space="preserve">los contratos de prestación de servicios, así como los requisitos para su </w:t>
      </w:r>
      <w:r w:rsidR="00A83996" w:rsidRPr="004E5317">
        <w:rPr>
          <w:rFonts w:ascii="Verdana" w:hAnsi="Verdana" w:cs="Arial"/>
          <w:shd w:val="clear" w:color="auto" w:fill="FFFFFF"/>
          <w:lang w:val="es-ES"/>
        </w:rPr>
        <w:t xml:space="preserve">celebración en los conceptos con radicado C-414 </w:t>
      </w:r>
      <w:r w:rsidR="00A83996" w:rsidRPr="009C2CE9">
        <w:rPr>
          <w:rFonts w:ascii="Verdana" w:hAnsi="Verdana" w:cs="Arial"/>
          <w:shd w:val="clear" w:color="auto" w:fill="FFFFFF"/>
          <w:lang w:val="es-ES"/>
        </w:rPr>
        <w:t xml:space="preserve">del 30 de junio de 2020,C-661 </w:t>
      </w:r>
      <w:r w:rsidR="00A83996" w:rsidRPr="00D52709">
        <w:rPr>
          <w:rFonts w:ascii="Verdana" w:hAnsi="Verdana" w:cs="Arial"/>
          <w:shd w:val="clear" w:color="auto" w:fill="FFFFFF"/>
          <w:lang w:val="es-ES"/>
        </w:rPr>
        <w:t>del 17 de noviembre de 2020 C−685 del 18 de diciembre de 2020, C-004 del 12 de febrero de 2021, C-106 del 7 de abril de 2021, C-181 del 07 de abril de 2022, C-214 del 22 de abril de 2022, C-491 de 01 de agosto de 2022, C-008 del 20 de febrero de 2023, C-009 del 20 de febrero de 2023, C-286 del 2023, C-351 del 30 de agosto de 2024, C-372 del 26 de Agosto 2024, C-904 del 9 de diciembre de 2024 , C-363 del 15 de abril de 2025, C-652 del 04 de julio de 2025 y C-706 del 15 de julio de 2025, C-1838 del 23 de enero de 2026 y C-188 del 20 de febrero de 2026, entre otros</w:t>
      </w:r>
      <w:r w:rsidR="00A83996" w:rsidRPr="00D52709">
        <w:rPr>
          <w:rFonts w:ascii="Verdana" w:eastAsia="Aptos" w:hAnsi="Verdana" w:cs="Segoe UI"/>
          <w:kern w:val="2"/>
          <w14:ligatures w14:val="standardContextual"/>
        </w:rPr>
        <w:t>.</w:t>
      </w:r>
      <w:r w:rsidR="00A83996" w:rsidRPr="00D52709">
        <w:rPr>
          <w:rFonts w:ascii="Verdana" w:eastAsia="Calibri" w:hAnsi="Verdana" w:cs="Arial"/>
          <w:shd w:val="clear" w:color="auto" w:fill="FFFFFF"/>
        </w:rPr>
        <w:t>.</w:t>
      </w:r>
      <w:r w:rsidR="00A83996" w:rsidRPr="00D52709">
        <w:rPr>
          <w:rStyle w:val="normaltextrun"/>
          <w:rFonts w:ascii="Verdana" w:hAnsi="Verdana" w:cs="Arial"/>
          <w:shd w:val="clear" w:color="auto" w:fill="FFFFFF"/>
        </w:rPr>
        <w:t xml:space="preserve"> Estos y otros conceptos se encuentran disponibles para consulta en el Sistema de relatoría de la Agencia</w:t>
      </w:r>
      <w:r w:rsidR="00A83996" w:rsidRPr="00D52709">
        <w:rPr>
          <w:rFonts w:ascii="Verdana" w:hAnsi="Verdana"/>
        </w:rPr>
        <w:t>, al cual puede accederse a través del siguiente enlace:</w:t>
      </w:r>
      <w:r w:rsidR="00A83996" w:rsidRPr="00D52709">
        <w:rPr>
          <w:rFonts w:ascii="Verdana" w:hAnsi="Verdana" w:cs="Arial"/>
          <w:shd w:val="clear" w:color="auto" w:fill="FFFFFF"/>
        </w:rPr>
        <w:t xml:space="preserve"> </w:t>
      </w:r>
      <w:hyperlink r:id="rId12" w:history="1">
        <w:r w:rsidR="00A83996" w:rsidRPr="00D52709">
          <w:rPr>
            <w:rStyle w:val="Hipervnculo"/>
            <w:rFonts w:ascii="Verdana" w:hAnsi="Verdana" w:cs="Arial"/>
            <w:shd w:val="clear" w:color="auto" w:fill="FFFFFF"/>
          </w:rPr>
          <w:t>https://relatoria.colombiacompra.gov.co/busqueda/conceptos</w:t>
        </w:r>
      </w:hyperlink>
      <w:r w:rsidR="00A83996" w:rsidRPr="00D52709">
        <w:rPr>
          <w:rStyle w:val="normaltextrun"/>
          <w:rFonts w:ascii="Verdana" w:hAnsi="Verdana" w:cs="Arial"/>
          <w:shd w:val="clear" w:color="auto" w:fill="FFFFFF"/>
        </w:rPr>
        <w:t>.</w:t>
      </w:r>
      <w:r w:rsidR="00A83996" w:rsidRPr="008D0AB0">
        <w:rPr>
          <w:rStyle w:val="normaltextrun"/>
          <w:rFonts w:ascii="Verdana" w:hAnsi="Verdana" w:cs="Arial"/>
          <w:shd w:val="clear" w:color="auto" w:fill="FFFFFF"/>
        </w:rPr>
        <w:t xml:space="preserve"> </w:t>
      </w:r>
      <w:r w:rsidR="00A83996">
        <w:rPr>
          <w:rStyle w:val="normaltextrun"/>
          <w:rFonts w:ascii="Verdana" w:hAnsi="Verdana" w:cs="Arial"/>
          <w:color w:val="FF0000"/>
          <w:shd w:val="clear" w:color="auto" w:fill="FFFFFF"/>
          <w:lang w:val="es-ES"/>
        </w:rPr>
        <w:t xml:space="preserve"> </w:t>
      </w:r>
    </w:p>
    <w:p w14:paraId="27D102F0" w14:textId="77777777" w:rsidR="00D52709" w:rsidRDefault="00D52709" w:rsidP="00D52709">
      <w:pPr>
        <w:spacing w:after="120" w:line="276" w:lineRule="auto"/>
        <w:jc w:val="both"/>
        <w:textAlignment w:val="baseline"/>
        <w:rPr>
          <w:rStyle w:val="normaltextrun"/>
          <w:rFonts w:ascii="Verdana" w:hAnsi="Verdana" w:cs="Arial"/>
          <w:color w:val="FF0000"/>
          <w:shd w:val="clear" w:color="auto" w:fill="FFFFFF"/>
          <w:lang w:val="es-ES"/>
        </w:rPr>
      </w:pPr>
    </w:p>
    <w:p w14:paraId="5ADFB442" w14:textId="77777777" w:rsidR="00D52709" w:rsidRPr="00324CBA" w:rsidRDefault="00D52709" w:rsidP="00D52709">
      <w:pPr>
        <w:jc w:val="both"/>
        <w:rPr>
          <w:rFonts w:ascii="Verdana" w:hAnsi="Verdana"/>
        </w:rPr>
      </w:pPr>
      <w:r w:rsidRPr="00324CBA">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324CBA">
        <w:rPr>
          <w:rFonts w:ascii="Verdana" w:hAnsi="Verdana"/>
          <w:b/>
          <w:bCs/>
        </w:rPr>
        <w:t>Guía para la Exigencia y Constitución de Garantías en los Procesos de Contratación</w:t>
      </w:r>
      <w:r w:rsidRPr="00324CBA">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w:t>
      </w:r>
      <w:r w:rsidRPr="00324CBA">
        <w:rPr>
          <w:rFonts w:ascii="Verdana" w:hAnsi="Verdana"/>
          <w:color w:val="0070C0"/>
        </w:rPr>
        <w:t> </w:t>
      </w:r>
      <w:hyperlink r:id="rId13" w:tgtFrame="_blank" w:tooltip="Dirección URL original: https://www.colombiacompra.gov.co/archivos/manual/guia-de-garantias-en-procesos-de-contratacion. Haga clic o pulse si confía en este vínculo." w:history="1">
        <w:r w:rsidRPr="00324CBA">
          <w:rPr>
            <w:rStyle w:val="Hipervnculo"/>
            <w:rFonts w:ascii="Verdana" w:hAnsi="Verdana"/>
            <w:color w:val="0070C0"/>
          </w:rPr>
          <w:t>https://www.colombiacompra.gov.co/archivos/manual/guia-de-garantias-en-procesos-de-contratacion</w:t>
        </w:r>
      </w:hyperlink>
    </w:p>
    <w:p w14:paraId="531331ED" w14:textId="77777777" w:rsidR="00D52709" w:rsidRPr="00324CBA" w:rsidRDefault="00D52709" w:rsidP="00D52709">
      <w:pPr>
        <w:jc w:val="both"/>
        <w:rPr>
          <w:rFonts w:ascii="Verdana" w:hAnsi="Verdana"/>
        </w:rPr>
      </w:pPr>
      <w:r w:rsidRPr="00324CBA">
        <w:rPr>
          <w:rFonts w:ascii="Verdana" w:hAnsi="Verdana"/>
        </w:rPr>
        <w:t>De otro lado, te contamos que el Decreto 287 del 19 de marzo de 2026 sustituyó los artículos 2.2.1.2.4.2.6., 2.2.1.2.4.2.7. y 2.2.1.2.4.2.8. del Decreto 1082 de 2015 y estructuró el </w:t>
      </w:r>
      <w:r w:rsidRPr="00324CBA">
        <w:rPr>
          <w:rFonts w:ascii="Verdana" w:hAnsi="Verdana"/>
          <w:b/>
          <w:bCs/>
        </w:rPr>
        <w:t>Sistema Integral de Preferencias en favor de las personas con discapacidad</w:t>
      </w:r>
      <w:r w:rsidRPr="00324CBA">
        <w:rPr>
          <w:rFonts w:ascii="Verdana" w:hAnsi="Verdana"/>
        </w:rPr>
        <w:t>, en cumplimiento del artículo 13 de la Ley Estatutaria 1618 de 2013. Para orientar su aplicación, esta Agencia expidió la </w:t>
      </w:r>
      <w:r w:rsidRPr="00324CBA">
        <w:rPr>
          <w:rFonts w:ascii="Verdana" w:hAnsi="Verdana"/>
          <w:b/>
          <w:bCs/>
        </w:rPr>
        <w:t>Circular Externa 003 del 12 de mayo de 2026, </w:t>
      </w:r>
      <w:r w:rsidRPr="00324CBA">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Dirección URL original: https://www.colombiacompra.gov.co/archivos/circular/circular-externa-003-de-2026. Haga clic o pulse si confía en este vínculo." w:history="1">
        <w:r w:rsidRPr="00324CBA">
          <w:rPr>
            <w:rStyle w:val="Hipervnculo"/>
            <w:rFonts w:ascii="Verdana" w:hAnsi="Verdana"/>
            <w:color w:val="0070C0"/>
          </w:rPr>
          <w:t>https://www.colombiacompra.gov.co/archivos/circular/circular-externa-003-de-2026</w:t>
        </w:r>
      </w:hyperlink>
    </w:p>
    <w:p w14:paraId="226F24CB" w14:textId="77777777" w:rsidR="00D52709" w:rsidRPr="00324CBA" w:rsidRDefault="00D52709" w:rsidP="00D52709">
      <w:pPr>
        <w:jc w:val="both"/>
        <w:rPr>
          <w:rFonts w:ascii="Verdana" w:hAnsi="Verdana"/>
        </w:rPr>
      </w:pPr>
      <w:r w:rsidRPr="00324CBA">
        <w:rPr>
          <w:rFonts w:ascii="Verdana" w:hAnsi="Verdana"/>
        </w:rPr>
        <w:t>Recuerda también que la</w:t>
      </w:r>
      <w:r w:rsidRPr="00324CBA">
        <w:rPr>
          <w:rFonts w:ascii="Verdana" w:hAnsi="Verdana"/>
          <w:b/>
          <w:bCs/>
        </w:rPr>
        <w:t> información sobre sanciones e inhabilidades </w:t>
      </w:r>
      <w:r w:rsidRPr="00324CBA">
        <w:rPr>
          <w:rFonts w:ascii="Verdana" w:hAnsi="Verdana"/>
        </w:rPr>
        <w:t>solo cumple su función preventiva si llega oportunamente a los registros públicos. Sobre este deber, esta Agencia expidió la </w:t>
      </w:r>
      <w:r w:rsidRPr="00324CBA">
        <w:rPr>
          <w:rFonts w:ascii="Verdana" w:hAnsi="Verdana"/>
          <w:b/>
          <w:bCs/>
        </w:rPr>
        <w:t>Circular Externa 002 del 5 de mayo de 2026,</w:t>
      </w:r>
      <w:r w:rsidRPr="00324CBA">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gtFrame="_blank" w:tooltip="Dirección URL original: https://www.colombiacompra.gov.co/archivos/circular/circular-externa-002-de-2026. Haga clic o pulse si confía en este vínculo." w:history="1">
        <w:r w:rsidRPr="00324CBA">
          <w:rPr>
            <w:rStyle w:val="Hipervnculo"/>
            <w:rFonts w:ascii="Verdana" w:hAnsi="Verdana"/>
            <w:color w:val="0070C0"/>
          </w:rPr>
          <w:t>https://www.colombiacompra.gov.co/archivos/circular/circular-externa-002-de-2026</w:t>
        </w:r>
      </w:hyperlink>
    </w:p>
    <w:p w14:paraId="1CE35577" w14:textId="77777777" w:rsidR="00D52709" w:rsidRPr="00324CBA" w:rsidRDefault="00D52709" w:rsidP="00D52709">
      <w:pPr>
        <w:jc w:val="both"/>
        <w:rPr>
          <w:rFonts w:ascii="Verdana" w:hAnsi="Verdana"/>
        </w:rPr>
      </w:pPr>
      <w:r w:rsidRPr="00324CBA">
        <w:rPr>
          <w:rFonts w:ascii="Verdana" w:hAnsi="Verdana"/>
        </w:rPr>
        <w:t>Finalmente, si quieres seguir de cerca la actividad de la Agencia, la tercera edición de 2026 del</w:t>
      </w:r>
      <w:r w:rsidRPr="00324CBA">
        <w:rPr>
          <w:rFonts w:ascii="Verdana" w:hAnsi="Verdana"/>
          <w:b/>
          <w:bCs/>
        </w:rPr>
        <w:t> Radar de la Compra Pública</w:t>
      </w:r>
      <w:r w:rsidRPr="00324CBA">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w:t>
      </w:r>
      <w:r w:rsidRPr="00324CBA">
        <w:rPr>
          <w:rFonts w:ascii="Verdana" w:hAnsi="Verdana"/>
          <w:color w:val="0070C0"/>
        </w:rPr>
        <w:t> </w:t>
      </w:r>
      <w:hyperlink r:id="rId16" w:tgtFrame="_blank" w:tooltip="Dirección URL original: https://www.colombiacompra.gov.co/archivos/boletin/boletin-edicion-n-3-de-2026-radar-de-la-compra-publica. Haga clic o pulse si confía en este vínculo." w:history="1">
        <w:r w:rsidRPr="00324CBA">
          <w:rPr>
            <w:rStyle w:val="Hipervnculo"/>
            <w:rFonts w:ascii="Verdana" w:hAnsi="Verdana"/>
            <w:color w:val="0070C0"/>
          </w:rPr>
          <w:t>https://www.colombiacompra.gov.co/archivos/boletin/boletin-edicion-n-3-de-2026-radar-de-la-compra-publica</w:t>
        </w:r>
      </w:hyperlink>
      <w:r w:rsidRPr="00324CBA">
        <w:rPr>
          <w:rFonts w:ascii="Verdana" w:hAnsi="Verdana"/>
        </w:rPr>
        <w:t>"</w:t>
      </w:r>
    </w:p>
    <w:p w14:paraId="149314A6" w14:textId="77777777" w:rsidR="007B789A" w:rsidRPr="00115E3D" w:rsidRDefault="007B789A" w:rsidP="007B789A">
      <w:pPr>
        <w:spacing w:after="0" w:line="240" w:lineRule="auto"/>
        <w:jc w:val="both"/>
        <w:rPr>
          <w:rFonts w:ascii="Verdana" w:hAnsi="Verdana"/>
          <w:color w:val="000000" w:themeColor="text1"/>
        </w:rPr>
      </w:pPr>
      <w:r>
        <w:rPr>
          <w:rFonts w:ascii="Verdana" w:hAnsi="Verdana"/>
          <w:color w:val="000000" w:themeColor="text1"/>
        </w:rPr>
        <w:t>L</w:t>
      </w:r>
      <w:r w:rsidRPr="00115E3D">
        <w:rPr>
          <w:rFonts w:ascii="Verdana" w:hAnsi="Verdana"/>
          <w:color w:val="000000" w:themeColor="text1"/>
        </w:rPr>
        <w:t xml:space="preserve">o invitamos a seguirnos en las redes sociales en las cuales se difunde información institucional: </w:t>
      </w:r>
    </w:p>
    <w:p w14:paraId="698BDD53" w14:textId="77777777" w:rsidR="007B789A" w:rsidRPr="00115E3D" w:rsidRDefault="007B789A" w:rsidP="007B789A">
      <w:pPr>
        <w:spacing w:after="0" w:line="240" w:lineRule="auto"/>
        <w:jc w:val="both"/>
        <w:rPr>
          <w:rFonts w:ascii="Verdana" w:hAnsi="Verdana"/>
          <w:color w:val="000000" w:themeColor="text1"/>
        </w:rPr>
      </w:pPr>
    </w:p>
    <w:p w14:paraId="35B69BC2" w14:textId="77777777" w:rsidR="007B789A" w:rsidRPr="00115E3D" w:rsidRDefault="007B789A" w:rsidP="007B789A">
      <w:pPr>
        <w:spacing w:after="0" w:line="240" w:lineRule="auto"/>
        <w:jc w:val="both"/>
        <w:rPr>
          <w:rFonts w:ascii="Verdana" w:hAnsi="Verdana"/>
          <w:color w:val="000000" w:themeColor="text1"/>
        </w:rPr>
      </w:pPr>
      <w:r w:rsidRPr="00115E3D">
        <w:rPr>
          <w:rFonts w:ascii="Verdana" w:hAnsi="Verdana"/>
          <w:color w:val="000000" w:themeColor="text1"/>
        </w:rPr>
        <w:t xml:space="preserve">Twitter: </w:t>
      </w:r>
      <w:r w:rsidRPr="00115E3D">
        <w:rPr>
          <w:rStyle w:val="Hipervnculo"/>
          <w:rFonts w:ascii="Verdana" w:hAnsi="Verdana"/>
          <w:color w:val="000000" w:themeColor="text1"/>
        </w:rPr>
        <w:t>@colombiacompra</w:t>
      </w:r>
      <w:r w:rsidRPr="00115E3D">
        <w:rPr>
          <w:rFonts w:ascii="Verdana" w:hAnsi="Verdana"/>
          <w:color w:val="000000" w:themeColor="text1"/>
        </w:rPr>
        <w:t xml:space="preserve"> </w:t>
      </w:r>
    </w:p>
    <w:p w14:paraId="39823CD1" w14:textId="77777777" w:rsidR="007B789A" w:rsidRPr="00115E3D" w:rsidRDefault="007B789A" w:rsidP="007B789A">
      <w:pPr>
        <w:spacing w:after="0" w:line="240" w:lineRule="auto"/>
        <w:jc w:val="both"/>
        <w:rPr>
          <w:rFonts w:ascii="Verdana" w:hAnsi="Verdana"/>
          <w:color w:val="000000" w:themeColor="text1"/>
        </w:rPr>
      </w:pPr>
      <w:r w:rsidRPr="00115E3D">
        <w:rPr>
          <w:rFonts w:ascii="Verdana" w:hAnsi="Verdana"/>
          <w:color w:val="000000" w:themeColor="text1"/>
        </w:rPr>
        <w:t xml:space="preserve">Facebook: </w:t>
      </w:r>
      <w:proofErr w:type="spellStart"/>
      <w:r w:rsidRPr="00115E3D">
        <w:rPr>
          <w:rStyle w:val="Hipervnculo"/>
          <w:rFonts w:ascii="Verdana" w:hAnsi="Verdana"/>
          <w:color w:val="000000" w:themeColor="text1"/>
        </w:rPr>
        <w:t>ColombiaCompraEficiente</w:t>
      </w:r>
      <w:proofErr w:type="spellEnd"/>
    </w:p>
    <w:p w14:paraId="5463E183" w14:textId="77777777" w:rsidR="007B789A" w:rsidRPr="00115E3D" w:rsidRDefault="007B789A" w:rsidP="007B789A">
      <w:pPr>
        <w:spacing w:after="0" w:line="240" w:lineRule="auto"/>
        <w:jc w:val="both"/>
        <w:rPr>
          <w:rFonts w:ascii="Verdana" w:hAnsi="Verdana"/>
          <w:color w:val="000000" w:themeColor="text1"/>
        </w:rPr>
      </w:pPr>
      <w:r w:rsidRPr="00115E3D">
        <w:rPr>
          <w:rFonts w:ascii="Verdana" w:hAnsi="Verdana"/>
          <w:color w:val="000000" w:themeColor="text1"/>
        </w:rPr>
        <w:t xml:space="preserve">LinkedIn: </w:t>
      </w:r>
      <w:r w:rsidRPr="00115E3D">
        <w:rPr>
          <w:rStyle w:val="Hipervnculo"/>
          <w:rFonts w:ascii="Verdana" w:hAnsi="Verdana"/>
          <w:color w:val="000000" w:themeColor="text1"/>
        </w:rPr>
        <w:t>Agencia Nacional de Contratación Pública - Colombia Compra Eficiente</w:t>
      </w:r>
      <w:r w:rsidRPr="00115E3D">
        <w:rPr>
          <w:rFonts w:ascii="Verdana" w:hAnsi="Verdana"/>
          <w:color w:val="000000" w:themeColor="text1"/>
        </w:rPr>
        <w:t xml:space="preserve"> Instagram: </w:t>
      </w:r>
      <w:r w:rsidRPr="00115E3D">
        <w:rPr>
          <w:rStyle w:val="Hipervnculo"/>
          <w:rFonts w:ascii="Verdana" w:hAnsi="Verdana"/>
          <w:color w:val="000000" w:themeColor="text1"/>
        </w:rPr>
        <w:t>@colombiacompraeficiente_cce</w:t>
      </w:r>
    </w:p>
    <w:p w14:paraId="16CF324A" w14:textId="77777777" w:rsidR="007B789A" w:rsidRPr="00115E3D" w:rsidRDefault="007B789A" w:rsidP="007B789A">
      <w:pPr>
        <w:widowControl w:val="0"/>
        <w:autoSpaceDE w:val="0"/>
        <w:autoSpaceDN w:val="0"/>
        <w:spacing w:after="0" w:line="276" w:lineRule="auto"/>
        <w:jc w:val="both"/>
        <w:rPr>
          <w:rFonts w:ascii="Verdana" w:hAnsi="Verdana" w:cs="Arial"/>
          <w:color w:val="000000" w:themeColor="text1"/>
        </w:rPr>
      </w:pPr>
    </w:p>
    <w:p w14:paraId="1E91260D" w14:textId="77777777" w:rsidR="006867A7" w:rsidRDefault="007B789A" w:rsidP="006867A7">
      <w:pPr>
        <w:widowControl w:val="0"/>
        <w:autoSpaceDE w:val="0"/>
        <w:autoSpaceDN w:val="0"/>
        <w:spacing w:after="0" w:line="276" w:lineRule="auto"/>
        <w:jc w:val="both"/>
        <w:rPr>
          <w:rFonts w:ascii="Verdana" w:hAnsi="Verdana" w:cs="Arial"/>
          <w:color w:val="000000" w:themeColor="text1"/>
          <w:lang w:val="es-ES_tradnl"/>
        </w:rPr>
      </w:pPr>
      <w:r w:rsidRPr="00115E3D">
        <w:rPr>
          <w:rFonts w:ascii="Verdana" w:hAnsi="Verdana" w:cs="Arial"/>
          <w:color w:val="000000" w:themeColor="text1"/>
        </w:rPr>
        <w:t xml:space="preserve">Este concepto tiene el alcance previsto en el artículo 28 del Código de Procedimiento Administrativo y de lo Contencioso Administrativo </w:t>
      </w:r>
      <w:r w:rsidRPr="00115E3D">
        <w:rPr>
          <w:rFonts w:ascii="Verdana" w:hAnsi="Verdana" w:cs="Arial"/>
          <w:color w:val="000000" w:themeColor="text1"/>
          <w:lang w:val="es-ES_tradnl"/>
        </w:rPr>
        <w:t>y las expresiones aquí utilizadas con mayúscula inicial deben ser entendidas con el significado que les otorga el artículo 2.2.1.1.1.3.1. del Decreto 1082 de 2015.</w:t>
      </w:r>
    </w:p>
    <w:p w14:paraId="22AA50B0" w14:textId="34F2164F" w:rsidR="006867A7" w:rsidRDefault="006867A7" w:rsidP="006867A7">
      <w:pPr>
        <w:widowControl w:val="0"/>
        <w:autoSpaceDE w:val="0"/>
        <w:autoSpaceDN w:val="0"/>
        <w:spacing w:after="0" w:line="276" w:lineRule="auto"/>
        <w:jc w:val="both"/>
        <w:rPr>
          <w:rFonts w:ascii="Verdana" w:hAnsi="Verdana" w:cs="Arial"/>
          <w:color w:val="000000" w:themeColor="text1"/>
          <w:lang w:val="es-ES_tradnl"/>
        </w:rPr>
      </w:pPr>
    </w:p>
    <w:p w14:paraId="38069D06" w14:textId="7C9DA069" w:rsidR="00CB308B" w:rsidRPr="006867A7" w:rsidRDefault="00E20725" w:rsidP="006867A7">
      <w:pPr>
        <w:widowControl w:val="0"/>
        <w:autoSpaceDE w:val="0"/>
        <w:autoSpaceDN w:val="0"/>
        <w:spacing w:after="0" w:line="276" w:lineRule="auto"/>
        <w:jc w:val="both"/>
        <w:rPr>
          <w:rFonts w:ascii="Verdana" w:hAnsi="Verdana" w:cs="Arial"/>
          <w:color w:val="000000" w:themeColor="text1"/>
          <w:lang w:val="es-ES_tradnl"/>
        </w:rPr>
      </w:pPr>
      <w:r w:rsidRPr="00E52F95">
        <w:rPr>
          <w:rFonts w:ascii="Verdana" w:eastAsia="Verdana" w:hAnsi="Verdana" w:cs="Verdana"/>
          <w:lang w:val="es-MX"/>
        </w:rPr>
        <w:t xml:space="preserve">Cordialmente, </w:t>
      </w:r>
    </w:p>
    <w:p w14:paraId="70C2BFCD" w14:textId="464E9F54" w:rsidR="00CB308B" w:rsidRDefault="006867A7" w:rsidP="00CB308B">
      <w:pPr>
        <w:spacing w:after="120" w:line="276" w:lineRule="auto"/>
        <w:contextualSpacing/>
        <w:jc w:val="both"/>
        <w:rPr>
          <w:rFonts w:ascii="Verdana" w:eastAsia="Aptos" w:hAnsi="Verdana" w:cs="Arial"/>
          <w:shd w:val="clear" w:color="auto" w:fill="FFFFFF"/>
          <w:lang w:val="es-ES"/>
        </w:rPr>
      </w:pPr>
      <w:r w:rsidRPr="002C3AD6">
        <w:rPr>
          <w:rFonts w:ascii="Century Gothic" w:hAnsi="Century Gothic"/>
          <w:noProof/>
        </w:rPr>
        <w:drawing>
          <wp:anchor distT="0" distB="0" distL="114300" distR="114300" simplePos="0" relativeHeight="251660288" behindDoc="1" locked="0" layoutInCell="1" allowOverlap="1" wp14:anchorId="23A8E0D0" wp14:editId="4C77599B">
            <wp:simplePos x="0" y="0"/>
            <wp:positionH relativeFrom="column">
              <wp:posOffset>1224099</wp:posOffset>
            </wp:positionH>
            <wp:positionV relativeFrom="paragraph">
              <wp:posOffset>212090</wp:posOffset>
            </wp:positionV>
            <wp:extent cx="3771900" cy="1066165"/>
            <wp:effectExtent l="0" t="0" r="0" b="635"/>
            <wp:wrapTight wrapText="bothSides">
              <wp:wrapPolygon edited="0">
                <wp:start x="0" y="0"/>
                <wp:lineTo x="0" y="21227"/>
                <wp:lineTo x="21491" y="21227"/>
                <wp:lineTo x="21491" y="0"/>
                <wp:lineTo x="0" y="0"/>
              </wp:wrapPolygon>
            </wp:wrapTight>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3771900" cy="1066165"/>
                    </a:xfrm>
                    <a:prstGeom prst="rect">
                      <a:avLst/>
                    </a:prstGeom>
                  </pic:spPr>
                </pic:pic>
              </a:graphicData>
            </a:graphic>
            <wp14:sizeRelV relativeFrom="margin">
              <wp14:pctHeight>0</wp14:pctHeight>
            </wp14:sizeRelV>
          </wp:anchor>
        </w:drawing>
      </w:r>
    </w:p>
    <w:tbl>
      <w:tblPr>
        <w:tblStyle w:val="Tablaconcuadrcula"/>
        <w:tblW w:w="6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436"/>
      </w:tblGrid>
      <w:tr w:rsidR="00CB308B" w:rsidRPr="004C0111" w14:paraId="44BA8E4F" w14:textId="77777777" w:rsidTr="00C5397F">
        <w:trPr>
          <w:trHeight w:val="622"/>
        </w:trPr>
        <w:tc>
          <w:tcPr>
            <w:tcW w:w="893" w:type="dxa"/>
            <w:vAlign w:val="center"/>
            <w:hideMark/>
          </w:tcPr>
          <w:p w14:paraId="7A450664" w14:textId="77777777" w:rsidR="00CB308B" w:rsidRPr="004C0111" w:rsidRDefault="00CB308B" w:rsidP="00C5397F">
            <w:pPr>
              <w:rPr>
                <w:rFonts w:ascii="Verdana" w:eastAsia="Calibri" w:hAnsi="Verdana" w:cs="Arial"/>
                <w:sz w:val="16"/>
                <w:szCs w:val="16"/>
                <w:lang w:val="es-ES_tradnl"/>
              </w:rPr>
            </w:pPr>
            <w:r w:rsidRPr="004C0111">
              <w:rPr>
                <w:rFonts w:ascii="Verdana" w:eastAsia="Calibri" w:hAnsi="Verdana" w:cs="Arial"/>
                <w:sz w:val="16"/>
                <w:szCs w:val="16"/>
                <w:lang w:val="es-ES_tradnl"/>
              </w:rPr>
              <w:t>Elaboró:</w:t>
            </w:r>
          </w:p>
        </w:tc>
        <w:tc>
          <w:tcPr>
            <w:tcW w:w="5436" w:type="dxa"/>
            <w:tcBorders>
              <w:top w:val="nil"/>
              <w:left w:val="nil"/>
              <w:bottom w:val="dotted" w:sz="4" w:space="0" w:color="7F7F7F" w:themeColor="text1" w:themeTint="80"/>
              <w:right w:val="nil"/>
            </w:tcBorders>
            <w:vAlign w:val="center"/>
            <w:hideMark/>
          </w:tcPr>
          <w:tbl>
            <w:tblPr>
              <w:tblW w:w="50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1"/>
            </w:tblGrid>
            <w:tr w:rsidR="00CB308B" w:rsidRPr="004C0111" w14:paraId="685D3E27" w14:textId="77777777" w:rsidTr="00C5397F">
              <w:trPr>
                <w:trHeight w:val="45"/>
              </w:trPr>
              <w:tc>
                <w:tcPr>
                  <w:tcW w:w="5091" w:type="dxa"/>
                  <w:tcBorders>
                    <w:top w:val="dotted" w:sz="6" w:space="0" w:color="7F7F7F" w:themeColor="text1" w:themeTint="80"/>
                    <w:left w:val="nil"/>
                    <w:bottom w:val="dotted" w:sz="6" w:space="0" w:color="7F7F7F" w:themeColor="text1" w:themeTint="80"/>
                    <w:right w:val="nil"/>
                  </w:tcBorders>
                  <w:vAlign w:val="center"/>
                  <w:hideMark/>
                </w:tcPr>
                <w:p w14:paraId="45133253" w14:textId="77777777" w:rsidR="00CB308B" w:rsidRPr="004C0111" w:rsidRDefault="00CB308B" w:rsidP="00C5397F">
                  <w:pPr>
                    <w:spacing w:after="0" w:line="240" w:lineRule="auto"/>
                    <w:rPr>
                      <w:rFonts w:ascii="Verdana" w:eastAsia="Times New Roman" w:hAnsi="Verdana" w:cs="Arial"/>
                      <w:sz w:val="16"/>
                      <w:szCs w:val="16"/>
                      <w:lang w:val="es-ES" w:eastAsia="es-ES"/>
                    </w:rPr>
                  </w:pPr>
                  <w:r w:rsidRPr="731A4B47">
                    <w:rPr>
                      <w:rFonts w:ascii="Verdana" w:eastAsia="Times New Roman" w:hAnsi="Verdana" w:cs="Arial"/>
                      <w:sz w:val="16"/>
                      <w:szCs w:val="16"/>
                      <w:lang w:val="es-ES" w:eastAsia="es-ES"/>
                    </w:rPr>
                    <w:t>Kelmis Yirama Brugés Alvarado</w:t>
                  </w:r>
                </w:p>
                <w:p w14:paraId="0C7E67B5" w14:textId="77777777" w:rsidR="00CB308B" w:rsidRPr="004C0111" w:rsidRDefault="00CB308B" w:rsidP="00C5397F">
                  <w:pPr>
                    <w:spacing w:after="0" w:line="240" w:lineRule="auto"/>
                    <w:rPr>
                      <w:rFonts w:ascii="Verdana" w:eastAsia="Times New Roman" w:hAnsi="Verdana" w:cs="Arial"/>
                      <w:sz w:val="16"/>
                      <w:szCs w:val="16"/>
                      <w:lang w:val="es-MX" w:eastAsia="es-CO"/>
                    </w:rPr>
                  </w:pPr>
                  <w:r w:rsidRPr="004C0111">
                    <w:rPr>
                      <w:rFonts w:ascii="Verdana" w:eastAsia="Times New Roman" w:hAnsi="Verdana" w:cs="Arial"/>
                      <w:sz w:val="16"/>
                      <w:szCs w:val="16"/>
                      <w:lang w:eastAsia="es-ES"/>
                    </w:rPr>
                    <w:t>Analista T2-</w:t>
                  </w:r>
                  <w:r>
                    <w:rPr>
                      <w:rFonts w:ascii="Verdana" w:eastAsia="Times New Roman" w:hAnsi="Verdana" w:cs="Arial"/>
                      <w:sz w:val="16"/>
                      <w:szCs w:val="16"/>
                      <w:lang w:eastAsia="es-ES"/>
                    </w:rPr>
                    <w:t>04</w:t>
                  </w:r>
                  <w:r w:rsidRPr="004C0111">
                    <w:rPr>
                      <w:rFonts w:ascii="Verdana" w:eastAsia="Times New Roman" w:hAnsi="Verdana" w:cs="Arial"/>
                      <w:sz w:val="16"/>
                      <w:szCs w:val="16"/>
                      <w:lang w:eastAsia="es-ES"/>
                    </w:rPr>
                    <w:t xml:space="preserve"> de la Subdirección de Gestión Contractual</w:t>
                  </w:r>
                </w:p>
              </w:tc>
            </w:tr>
          </w:tbl>
          <w:p w14:paraId="5C264F3C" w14:textId="77777777" w:rsidR="00CB308B" w:rsidRPr="004C0111" w:rsidRDefault="00CB308B" w:rsidP="00C5397F">
            <w:pPr>
              <w:rPr>
                <w:rFonts w:ascii="Verdana" w:eastAsia="Calibri" w:hAnsi="Verdana" w:cs="Arial"/>
                <w:sz w:val="16"/>
                <w:szCs w:val="16"/>
                <w:lang w:val="es-MX"/>
              </w:rPr>
            </w:pPr>
          </w:p>
        </w:tc>
      </w:tr>
      <w:tr w:rsidR="00CB308B" w:rsidRPr="004C0111" w14:paraId="7D104BD9" w14:textId="77777777" w:rsidTr="00C5397F">
        <w:trPr>
          <w:trHeight w:val="330"/>
        </w:trPr>
        <w:tc>
          <w:tcPr>
            <w:tcW w:w="893" w:type="dxa"/>
            <w:vAlign w:val="center"/>
            <w:hideMark/>
          </w:tcPr>
          <w:p w14:paraId="43F23A8D" w14:textId="77777777" w:rsidR="00CB308B" w:rsidRPr="004C0111" w:rsidRDefault="00CB308B" w:rsidP="00C5397F">
            <w:pPr>
              <w:rPr>
                <w:rFonts w:ascii="Verdana" w:eastAsia="Calibri" w:hAnsi="Verdana" w:cs="Arial"/>
                <w:sz w:val="16"/>
                <w:szCs w:val="16"/>
                <w:lang w:val="es-ES_tradnl"/>
              </w:rPr>
            </w:pPr>
            <w:r w:rsidRPr="004C0111">
              <w:rPr>
                <w:rFonts w:ascii="Verdana" w:eastAsia="Calibri" w:hAnsi="Verdana" w:cs="Arial"/>
                <w:sz w:val="16"/>
                <w:szCs w:val="16"/>
                <w:lang w:val="es-ES_tradnl"/>
              </w:rPr>
              <w:t>Revisó:</w:t>
            </w:r>
          </w:p>
        </w:tc>
        <w:tc>
          <w:tcPr>
            <w:tcW w:w="5436" w:type="dxa"/>
            <w:tcBorders>
              <w:top w:val="dotted" w:sz="4" w:space="0" w:color="7F7F7F" w:themeColor="text1" w:themeTint="80"/>
              <w:left w:val="nil"/>
              <w:bottom w:val="dotted" w:sz="4" w:space="0" w:color="7F7F7F" w:themeColor="text1" w:themeTint="80"/>
              <w:right w:val="nil"/>
            </w:tcBorders>
            <w:vAlign w:val="center"/>
            <w:hideMark/>
          </w:tcPr>
          <w:p w14:paraId="3EBD027F" w14:textId="77777777" w:rsidR="00CB308B" w:rsidRPr="004C0111" w:rsidRDefault="00CB308B" w:rsidP="00C5397F">
            <w:pPr>
              <w:textAlignment w:val="baseline"/>
              <w:rPr>
                <w:rFonts w:ascii="Verdana" w:eastAsia="Times New Roman" w:hAnsi="Verdana" w:cs="Arial"/>
                <w:sz w:val="16"/>
                <w:szCs w:val="16"/>
                <w:lang w:eastAsia="es-CO"/>
              </w:rPr>
            </w:pPr>
            <w:r>
              <w:rPr>
                <w:rFonts w:ascii="Verdana" w:eastAsia="Times New Roman" w:hAnsi="Verdana" w:cs="Arial"/>
                <w:sz w:val="16"/>
                <w:szCs w:val="16"/>
                <w:lang w:eastAsia="es-CO"/>
              </w:rPr>
              <w:t>Juan David Cárdenas Cabezas</w:t>
            </w:r>
          </w:p>
          <w:p w14:paraId="7415A2B7" w14:textId="77777777" w:rsidR="00CB308B" w:rsidRPr="004C0111" w:rsidRDefault="00CB308B" w:rsidP="00C5397F">
            <w:pPr>
              <w:textAlignment w:val="baseline"/>
              <w:rPr>
                <w:rFonts w:ascii="Verdana" w:eastAsia="Times New Roman" w:hAnsi="Verdana" w:cs="Arial"/>
                <w:sz w:val="16"/>
                <w:szCs w:val="16"/>
                <w:lang w:val="es-MX" w:eastAsia="es-CO"/>
              </w:rPr>
            </w:pPr>
            <w:r>
              <w:rPr>
                <w:rFonts w:ascii="Verdana" w:eastAsia="Times New Roman" w:hAnsi="Verdana" w:cs="Arial"/>
                <w:sz w:val="16"/>
                <w:szCs w:val="16"/>
                <w:lang w:eastAsia="es-CO"/>
              </w:rPr>
              <w:t xml:space="preserve">Contratista </w:t>
            </w:r>
            <w:r w:rsidRPr="004C0111">
              <w:rPr>
                <w:rFonts w:ascii="Verdana" w:eastAsia="Times New Roman" w:hAnsi="Verdana" w:cs="Arial"/>
                <w:sz w:val="16"/>
                <w:szCs w:val="16"/>
                <w:lang w:eastAsia="es-CO"/>
              </w:rPr>
              <w:t>de la Subdirección de Gestión Contractual</w:t>
            </w:r>
          </w:p>
        </w:tc>
      </w:tr>
      <w:tr w:rsidR="00CB308B" w:rsidRPr="004C0111" w14:paraId="1411C2DE" w14:textId="77777777" w:rsidTr="00C5397F">
        <w:trPr>
          <w:trHeight w:val="77"/>
        </w:trPr>
        <w:tc>
          <w:tcPr>
            <w:tcW w:w="893" w:type="dxa"/>
            <w:vAlign w:val="center"/>
          </w:tcPr>
          <w:p w14:paraId="753AD052" w14:textId="77777777" w:rsidR="00CB308B" w:rsidRPr="004C0111" w:rsidRDefault="00CB308B" w:rsidP="00C5397F">
            <w:pPr>
              <w:rPr>
                <w:rFonts w:ascii="Verdana" w:eastAsia="Calibri" w:hAnsi="Verdana" w:cs="Arial"/>
                <w:sz w:val="16"/>
                <w:szCs w:val="16"/>
                <w:lang w:val="es-ES_tradnl"/>
              </w:rPr>
            </w:pPr>
            <w:r w:rsidRPr="004C0111">
              <w:rPr>
                <w:rFonts w:ascii="Verdana" w:eastAsia="Calibri" w:hAnsi="Verdana" w:cs="Arial"/>
                <w:sz w:val="16"/>
                <w:szCs w:val="16"/>
                <w:lang w:val="es-ES_tradnl"/>
              </w:rPr>
              <w:t>Aprobó:</w:t>
            </w:r>
          </w:p>
        </w:tc>
        <w:tc>
          <w:tcPr>
            <w:tcW w:w="5436" w:type="dxa"/>
            <w:tcBorders>
              <w:top w:val="dotted" w:sz="4" w:space="0" w:color="7F7F7F" w:themeColor="text1" w:themeTint="80"/>
              <w:left w:val="nil"/>
              <w:bottom w:val="dotted" w:sz="4" w:space="0" w:color="7F7F7F" w:themeColor="text1" w:themeTint="80"/>
              <w:right w:val="nil"/>
            </w:tcBorders>
            <w:vAlign w:val="center"/>
          </w:tcPr>
          <w:p w14:paraId="6C56C9CE" w14:textId="77777777" w:rsidR="00CB308B" w:rsidRPr="002F2853" w:rsidRDefault="00CB308B" w:rsidP="00C5397F">
            <w:pPr>
              <w:rPr>
                <w:rFonts w:ascii="Verdana" w:eastAsia="Times New Roman" w:hAnsi="Verdana" w:cs="Arial"/>
                <w:sz w:val="16"/>
                <w:szCs w:val="16"/>
                <w:lang w:eastAsia="es-ES"/>
              </w:rPr>
            </w:pPr>
            <w:r w:rsidRPr="002F2853">
              <w:rPr>
                <w:rFonts w:ascii="Verdana" w:eastAsia="Times New Roman" w:hAnsi="Verdana" w:cs="Arial"/>
                <w:sz w:val="16"/>
                <w:szCs w:val="16"/>
                <w:lang w:eastAsia="es-ES"/>
              </w:rPr>
              <w:t>Carolina Quintero Gacharná</w:t>
            </w:r>
          </w:p>
          <w:p w14:paraId="5888D2F4" w14:textId="77777777" w:rsidR="00CB308B" w:rsidRPr="004C0111" w:rsidRDefault="00CB308B" w:rsidP="00C5397F">
            <w:pPr>
              <w:rPr>
                <w:rFonts w:ascii="Verdana" w:eastAsia="Calibri" w:hAnsi="Verdana" w:cs="Arial"/>
                <w:sz w:val="16"/>
                <w:szCs w:val="16"/>
                <w:lang w:val="es-ES_tradnl"/>
              </w:rPr>
            </w:pPr>
            <w:r w:rsidRPr="002F2853">
              <w:rPr>
                <w:rFonts w:ascii="Verdana" w:eastAsia="Times New Roman" w:hAnsi="Verdana" w:cs="Arial"/>
                <w:sz w:val="16"/>
                <w:szCs w:val="16"/>
                <w:lang w:eastAsia="es-ES"/>
              </w:rPr>
              <w:t>Subdirectora de Gestión Contractual ANCP – CCE</w:t>
            </w:r>
          </w:p>
        </w:tc>
      </w:tr>
    </w:tbl>
    <w:p w14:paraId="110EABE3" w14:textId="77777777" w:rsidR="00A83996" w:rsidRPr="000E2B93" w:rsidRDefault="00A83996" w:rsidP="30821638">
      <w:pPr>
        <w:spacing w:after="0" w:line="240" w:lineRule="auto"/>
        <w:jc w:val="both"/>
        <w:textAlignment w:val="baseline"/>
        <w:rPr>
          <w:rFonts w:ascii="Verdana" w:eastAsia="Verdana" w:hAnsi="Verdana" w:cs="Verdana"/>
          <w:lang w:eastAsia="es-CO"/>
        </w:rPr>
      </w:pPr>
    </w:p>
    <w:p w14:paraId="69BC4D14" w14:textId="05EC3BA5"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14B44" w14:textId="77777777" w:rsidR="002F650E" w:rsidRDefault="002F650E" w:rsidP="004A1847">
      <w:pPr>
        <w:spacing w:after="0" w:line="240" w:lineRule="auto"/>
      </w:pPr>
      <w:r>
        <w:separator/>
      </w:r>
    </w:p>
  </w:endnote>
  <w:endnote w:type="continuationSeparator" w:id="0">
    <w:p w14:paraId="303A4327" w14:textId="77777777" w:rsidR="002F650E" w:rsidRDefault="002F650E"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36C18" w14:textId="77777777" w:rsidR="002F650E" w:rsidRDefault="002F650E" w:rsidP="004A1847">
      <w:pPr>
        <w:spacing w:after="0" w:line="240" w:lineRule="auto"/>
      </w:pPr>
      <w:r>
        <w:separator/>
      </w:r>
    </w:p>
  </w:footnote>
  <w:footnote w:type="continuationSeparator" w:id="0">
    <w:p w14:paraId="0BA29392" w14:textId="77777777" w:rsidR="002F650E" w:rsidRDefault="002F650E" w:rsidP="004A1847">
      <w:pPr>
        <w:spacing w:after="0" w:line="240" w:lineRule="auto"/>
      </w:pPr>
      <w:r>
        <w:continuationSeparator/>
      </w:r>
    </w:p>
  </w:footnote>
  <w:footnote w:id="1">
    <w:p w14:paraId="5D06D023" w14:textId="77777777" w:rsidR="007E10E1" w:rsidRPr="007E2DF6" w:rsidRDefault="007E10E1" w:rsidP="007E10E1">
      <w:pPr>
        <w:pStyle w:val="Textonotapie"/>
        <w:ind w:firstLine="709"/>
        <w:jc w:val="both"/>
        <w:rPr>
          <w:rFonts w:ascii="Verdana" w:hAnsi="Verdana" w:cs="Arial"/>
          <w:sz w:val="16"/>
          <w:szCs w:val="16"/>
        </w:rPr>
      </w:pPr>
      <w:r w:rsidRPr="007E2DF6">
        <w:rPr>
          <w:rStyle w:val="Refdenotaalpie"/>
          <w:rFonts w:ascii="Verdana" w:hAnsi="Verdana" w:cs="Arial"/>
          <w:sz w:val="16"/>
          <w:szCs w:val="16"/>
        </w:rPr>
        <w:footnoteRef/>
      </w:r>
      <w:r w:rsidRPr="007E2DF6">
        <w:rPr>
          <w:rFonts w:ascii="Verdana" w:hAnsi="Verdana" w:cs="Arial"/>
          <w:sz w:val="16"/>
          <w:szCs w:val="16"/>
        </w:rPr>
        <w:t xml:space="preserve"> CONSEJO DE ESTADO, Sala de Consulta y Servicio Civil. Radicado No. 1453. Concepto de 6 de agosto de 2003. MP. Augusto Trejos.</w:t>
      </w:r>
    </w:p>
  </w:footnote>
  <w:footnote w:id="2">
    <w:p w14:paraId="573D6E44" w14:textId="77777777" w:rsidR="0057639B" w:rsidRDefault="0057639B" w:rsidP="0057639B">
      <w:pPr>
        <w:pStyle w:val="Textonotapie"/>
        <w:ind w:firstLine="709"/>
        <w:jc w:val="both"/>
        <w:rPr>
          <w:rFonts w:ascii="Verdana" w:hAnsi="Verdana" w:cs="Arial"/>
          <w:color w:val="000000"/>
          <w:sz w:val="16"/>
          <w:szCs w:val="16"/>
          <w:lang w:val="es-ES"/>
        </w:rPr>
      </w:pPr>
      <w:r w:rsidRPr="00373AD7">
        <w:rPr>
          <w:rStyle w:val="Refdenotaalpie"/>
          <w:rFonts w:ascii="Verdana" w:hAnsi="Verdana"/>
          <w:sz w:val="16"/>
          <w:szCs w:val="16"/>
        </w:rPr>
        <w:footnoteRef/>
      </w:r>
      <w:r w:rsidRPr="00373AD7">
        <w:rPr>
          <w:rFonts w:ascii="Verdana" w:hAnsi="Verdana"/>
          <w:sz w:val="16"/>
          <w:szCs w:val="16"/>
        </w:rPr>
        <w:t xml:space="preserve"> </w:t>
      </w:r>
      <w:r w:rsidRPr="00373AD7">
        <w:rPr>
          <w:rFonts w:ascii="Verdana" w:hAnsi="Verdana" w:cs="Arial"/>
          <w:color w:val="000000"/>
          <w:sz w:val="16"/>
          <w:szCs w:val="16"/>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Quien presta el servicio se denomina trabajador, quien lo recibe y remunera, empleador, y la remuneración, cualquiera que sea su forma, salario”.</w:t>
      </w:r>
    </w:p>
    <w:p w14:paraId="6ABC1419" w14:textId="77777777" w:rsidR="0057639B" w:rsidRPr="00373AD7" w:rsidRDefault="0057639B" w:rsidP="0057639B">
      <w:pPr>
        <w:pStyle w:val="Textonotapie"/>
        <w:ind w:firstLine="709"/>
        <w:jc w:val="both"/>
        <w:rPr>
          <w:rFonts w:ascii="Verdana" w:hAnsi="Verdana" w:cs="Arial"/>
          <w:color w:val="000000"/>
          <w:sz w:val="16"/>
          <w:szCs w:val="16"/>
          <w:lang w:val="es-ES"/>
        </w:rPr>
      </w:pPr>
    </w:p>
  </w:footnote>
  <w:footnote w:id="3">
    <w:p w14:paraId="4C5BE46A" w14:textId="77777777" w:rsidR="0057639B" w:rsidRPr="00373AD7" w:rsidRDefault="0057639B" w:rsidP="0057639B">
      <w:pPr>
        <w:pStyle w:val="Textonotapie"/>
        <w:ind w:firstLine="709"/>
        <w:jc w:val="both"/>
        <w:rPr>
          <w:rFonts w:ascii="Verdana" w:hAnsi="Verdana" w:cs="Arial"/>
          <w:color w:val="000000"/>
          <w:sz w:val="16"/>
          <w:szCs w:val="16"/>
          <w:lang w:val="es-ES"/>
        </w:rPr>
      </w:pPr>
      <w:r w:rsidRPr="00373AD7">
        <w:rPr>
          <w:rStyle w:val="Refdenotaalpie"/>
          <w:rFonts w:ascii="Verdana" w:hAnsi="Verdana"/>
          <w:sz w:val="16"/>
          <w:szCs w:val="16"/>
        </w:rPr>
        <w:footnoteRef/>
      </w:r>
      <w:r w:rsidRPr="00373AD7">
        <w:rPr>
          <w:rFonts w:ascii="Verdana" w:hAnsi="Verdana"/>
          <w:sz w:val="16"/>
          <w:szCs w:val="16"/>
        </w:rPr>
        <w:t xml:space="preserve"> </w:t>
      </w:r>
      <w:r w:rsidRPr="00373AD7">
        <w:rPr>
          <w:rFonts w:ascii="Verdana" w:hAnsi="Verdana" w:cs="Arial"/>
          <w:color w:val="000000"/>
          <w:sz w:val="16"/>
          <w:szCs w:val="16"/>
          <w:lang w:val="es-ES"/>
        </w:rPr>
        <w:t>En efecto, el artículo 244 de la Ley 1955 de 2015 dispone, en lo pertinente: “Los trabajadores independientes con ingresos netos iguales o superiores a 1 salario mínimo legal mensual vigente que celebren contratos de prestación de servicios personales, cotizarán mes vencido al Sistema de Seguridad Social Integral, sobre una base mínima del 40% del valor mensualizado del contrato, sin incluir el valor del Impuesto al Valor Agregado (IVA).</w:t>
      </w:r>
    </w:p>
    <w:p w14:paraId="7C568E78" w14:textId="77777777" w:rsidR="0057639B" w:rsidRPr="00AD7D22" w:rsidRDefault="0057639B" w:rsidP="0057639B">
      <w:pPr>
        <w:pStyle w:val="Textonotapie"/>
        <w:ind w:firstLine="709"/>
        <w:jc w:val="both"/>
        <w:rPr>
          <w:rFonts w:ascii="Verdana" w:hAnsi="Verdana" w:cs="Arial"/>
          <w:color w:val="000000"/>
          <w:sz w:val="16"/>
          <w:szCs w:val="16"/>
          <w:lang w:val="es-ES"/>
        </w:rPr>
      </w:pPr>
      <w:r w:rsidRPr="00373AD7">
        <w:rPr>
          <w:rFonts w:ascii="Verdana" w:hAnsi="Verdana" w:cs="Arial"/>
          <w:color w:val="000000"/>
          <w:sz w:val="16"/>
          <w:szCs w:val="16"/>
          <w:lang w:val="es-ES"/>
        </w:rPr>
        <w:t>Los independientes por cuenta propia y los trabajadores independientes con contratos diferentes a prestación de servicios personales con ingresos netos iguales o superiores a un (1) salario mínimo legal mensual vigente efectuarán su cotización mes vencido, sobre una base mínima de cotización del 40% del valor</w:t>
      </w:r>
      <w:r w:rsidRPr="00AD7D22">
        <w:rPr>
          <w:rFonts w:ascii="Verdana" w:hAnsi="Verdana" w:cs="Arial"/>
          <w:color w:val="000000"/>
          <w:sz w:val="16"/>
          <w:szCs w:val="16"/>
          <w:lang w:val="es-ES"/>
        </w:rPr>
        <w:t xml:space="preserve"> mensualizado de los ingresos, sin incluir el valor del Impuesto al Valor Agregado (IVA). En estos casos será procedente la imputación de costos y deducciones siempre que se cumplan los criterios determinados en el artículo 107 del Estatuto Tributario y sin exceder los valores incluidos en la declaración de renta de la respectiva vigencia.</w:t>
      </w:r>
    </w:p>
    <w:p w14:paraId="1FA49B3D" w14:textId="77777777" w:rsidR="0057639B" w:rsidRPr="00AD7D22" w:rsidRDefault="0057639B" w:rsidP="0057639B">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El Gobierno nacional reglamentará el mecanismo para realizar la mensualización de que trata el presente artículo.</w:t>
      </w:r>
    </w:p>
    <w:p w14:paraId="08E44091" w14:textId="77777777" w:rsidR="0057639B" w:rsidRDefault="0057639B" w:rsidP="0057639B">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w:t>
      </w:r>
    </w:p>
    <w:p w14:paraId="378DA024" w14:textId="77777777" w:rsidR="0057639B" w:rsidRPr="00AD7D22" w:rsidRDefault="0057639B" w:rsidP="0057639B">
      <w:pPr>
        <w:pStyle w:val="Textonotapie"/>
        <w:ind w:firstLine="709"/>
        <w:jc w:val="both"/>
        <w:rPr>
          <w:rFonts w:ascii="Verdana" w:hAnsi="Verdana" w:cs="Arial"/>
          <w:color w:val="000000"/>
          <w:sz w:val="16"/>
          <w:szCs w:val="16"/>
          <w:lang w:val="es-ES"/>
        </w:rPr>
      </w:pPr>
    </w:p>
  </w:footnote>
  <w:footnote w:id="4">
    <w:p w14:paraId="4F455806" w14:textId="77777777" w:rsidR="0057639B" w:rsidRDefault="0057639B" w:rsidP="0057639B">
      <w:pPr>
        <w:pStyle w:val="Textonotapie"/>
        <w:ind w:firstLine="709"/>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Corte Constitucional. Sentencia C-154 de 1997. Magistrado Ponente: Hernando Herrera Vergara.</w:t>
      </w:r>
    </w:p>
    <w:p w14:paraId="324EBAF1" w14:textId="77777777" w:rsidR="0057639B" w:rsidRPr="004D29E2" w:rsidRDefault="0057639B" w:rsidP="0057639B">
      <w:pPr>
        <w:pStyle w:val="Textonotapie"/>
        <w:ind w:firstLine="709"/>
        <w:rPr>
          <w:rFonts w:ascii="Verdana" w:hAnsi="Verdana" w:cs="Arial"/>
          <w:color w:val="000000"/>
          <w:sz w:val="16"/>
          <w:szCs w:val="16"/>
          <w:lang w:val="es-ES"/>
        </w:rPr>
      </w:pPr>
    </w:p>
  </w:footnote>
  <w:footnote w:id="5">
    <w:p w14:paraId="11668473" w14:textId="77777777" w:rsidR="0057639B" w:rsidRDefault="0057639B" w:rsidP="0057639B">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24F3DB8A" w14:textId="77777777" w:rsidR="0057639B" w:rsidRPr="003917D2" w:rsidRDefault="0057639B" w:rsidP="0057639B">
      <w:pPr>
        <w:pStyle w:val="Textonotapie"/>
        <w:ind w:firstLine="709"/>
        <w:jc w:val="both"/>
        <w:rPr>
          <w:rFonts w:ascii="Verdana" w:hAnsi="Verdana" w:cs="Arial"/>
          <w:color w:val="000000"/>
          <w:sz w:val="16"/>
          <w:szCs w:val="16"/>
          <w:lang w:val="es-ES"/>
        </w:rPr>
      </w:pPr>
    </w:p>
  </w:footnote>
  <w:footnote w:id="6">
    <w:p w14:paraId="3A39F39B" w14:textId="77777777" w:rsidR="0057639B" w:rsidRDefault="0057639B" w:rsidP="0057639B">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Consejo de Estado. Sección Tercera. Subsección C. Sentencia del 2 de diciembre de 2013. Exp. 41719. Consejero Ponente: Jaime Orlando Santofimio Gamboa.</w:t>
      </w:r>
    </w:p>
    <w:p w14:paraId="5C435D2B" w14:textId="77777777" w:rsidR="0057639B" w:rsidRPr="00515310" w:rsidRDefault="0057639B" w:rsidP="0057639B">
      <w:pPr>
        <w:pStyle w:val="Textonotapie"/>
        <w:ind w:firstLine="709"/>
        <w:jc w:val="both"/>
        <w:rPr>
          <w:rFonts w:ascii="Verdana" w:hAnsi="Verdana" w:cs="Arial"/>
          <w:color w:val="000000"/>
          <w:sz w:val="16"/>
          <w:szCs w:val="16"/>
          <w:lang w:val="es-ES"/>
        </w:rPr>
      </w:pPr>
    </w:p>
  </w:footnote>
  <w:footnote w:id="7">
    <w:p w14:paraId="1F5A2EFD" w14:textId="77777777" w:rsidR="0057639B" w:rsidRDefault="0057639B" w:rsidP="0057639B">
      <w:pPr>
        <w:pStyle w:val="Textonotapie"/>
        <w:ind w:firstLine="709"/>
        <w:rPr>
          <w:rFonts w:ascii="Verdana" w:hAnsi="Verdana"/>
          <w:sz w:val="16"/>
          <w:szCs w:val="16"/>
        </w:rPr>
      </w:pPr>
      <w:r w:rsidRPr="00AD7D22">
        <w:rPr>
          <w:rStyle w:val="Refdenotaalpie"/>
          <w:rFonts w:ascii="Verdana" w:hAnsi="Verdana"/>
          <w:sz w:val="16"/>
          <w:szCs w:val="16"/>
        </w:rPr>
        <w:footnoteRef/>
      </w:r>
      <w:r w:rsidRPr="00AD7D22">
        <w:rPr>
          <w:rFonts w:ascii="Verdana" w:hAnsi="Verdana"/>
          <w:sz w:val="16"/>
          <w:szCs w:val="16"/>
        </w:rPr>
        <w:t xml:space="preserve"> Ibid. </w:t>
      </w:r>
    </w:p>
    <w:p w14:paraId="61C956C2" w14:textId="77777777" w:rsidR="0057639B" w:rsidRPr="00AD7D22" w:rsidRDefault="0057639B" w:rsidP="0057639B">
      <w:pPr>
        <w:pStyle w:val="Textonotapie"/>
        <w:ind w:firstLine="709"/>
        <w:rPr>
          <w:rFonts w:ascii="Verdana" w:hAnsi="Verdana"/>
          <w:sz w:val="16"/>
          <w:szCs w:val="16"/>
          <w:lang w:val="es-ES"/>
        </w:rPr>
      </w:pPr>
    </w:p>
  </w:footnote>
  <w:footnote w:id="8">
    <w:p w14:paraId="041228D2" w14:textId="77777777" w:rsidR="0057639B" w:rsidRPr="00AD7D22" w:rsidRDefault="0057639B" w:rsidP="0057639B">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Ibid.</w:t>
      </w:r>
      <w:r>
        <w:rPr>
          <w:rFonts w:ascii="Verdana" w:hAnsi="Verdana" w:cs="Arial"/>
          <w:color w:val="000000"/>
          <w:sz w:val="16"/>
          <w:szCs w:val="16"/>
          <w:lang w:val="es-ES"/>
        </w:rPr>
        <w:t>-</w:t>
      </w:r>
      <w:r w:rsidRPr="00AD7D22">
        <w:rPr>
          <w:rFonts w:ascii="Verdana" w:hAnsi="Verdana" w:cs="Arial"/>
          <w:color w:val="000000"/>
          <w:sz w:val="16"/>
          <w:szCs w:val="16"/>
          <w:lang w:val="es-ES"/>
        </w:rPr>
        <w:t xml:space="preserve">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47B4B9AF" w14:textId="77777777" w:rsidR="0057639B" w:rsidRPr="00AD7D22" w:rsidRDefault="0057639B" w:rsidP="0057639B">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Son también contratos de consultoría los que tienen por objeto la interventoría, asesoría, gerencia de obra o de proyectos, dirección, programación y la ejecución de diseños, planos, anteproyectos y proyectos.</w:t>
      </w:r>
    </w:p>
    <w:p w14:paraId="7B444DA8" w14:textId="77777777" w:rsidR="0057639B" w:rsidRDefault="0057639B" w:rsidP="0057639B">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 xml:space="preserve">Ninguna orden del interventor de una obra podrá darse verbalmente. Es obligatorio para el interventor entregar por escrito sus órdenes o sugerencias y ellas deben enmarcarse dentro de los términos del respectivo contrato”. </w:t>
      </w:r>
    </w:p>
    <w:p w14:paraId="06641321" w14:textId="77777777" w:rsidR="0057639B" w:rsidRPr="00B356F2" w:rsidRDefault="0057639B" w:rsidP="0057639B">
      <w:pPr>
        <w:pStyle w:val="Textonotapie"/>
        <w:ind w:firstLine="709"/>
        <w:jc w:val="both"/>
        <w:rPr>
          <w:rFonts w:ascii="Verdana" w:hAnsi="Verdana" w:cs="Arial"/>
          <w:color w:val="000000"/>
          <w:sz w:val="16"/>
          <w:szCs w:val="16"/>
          <w:lang w:val="es-ES"/>
        </w:rPr>
      </w:pPr>
    </w:p>
  </w:footnote>
  <w:footnote w:id="9">
    <w:p w14:paraId="483E9E72" w14:textId="77777777" w:rsidR="0057639B" w:rsidRPr="00AD7D22" w:rsidRDefault="0057639B" w:rsidP="0057639B">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Así lo prevé el artículo 2.2.1.2.1.4.1. del Decreto 1082 de 2015: “La Entidad Estatal debe señalar en un acto administrativo la justificación para contratar bajo la modalidad de contratación directa, el cual debe contener:</w:t>
      </w:r>
    </w:p>
    <w:p w14:paraId="255163DE" w14:textId="77777777" w:rsidR="0057639B" w:rsidRPr="00AD7D22" w:rsidRDefault="0057639B" w:rsidP="0057639B">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1. La causal que invoca para contratar directamente.</w:t>
      </w:r>
    </w:p>
    <w:p w14:paraId="3E70F711" w14:textId="77777777" w:rsidR="0057639B" w:rsidRPr="00AD7D22" w:rsidRDefault="0057639B" w:rsidP="0057639B">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2. El objeto del contrato.</w:t>
      </w:r>
    </w:p>
    <w:p w14:paraId="0EC32297" w14:textId="77777777" w:rsidR="0057639B" w:rsidRPr="00AD7D22" w:rsidRDefault="0057639B" w:rsidP="0057639B">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3. El presupuesto para la contratación y las condiciones que exigirá al contratista.</w:t>
      </w:r>
    </w:p>
    <w:p w14:paraId="6F12C568" w14:textId="77777777" w:rsidR="0057639B" w:rsidRPr="00AD7D22" w:rsidRDefault="0057639B" w:rsidP="0057639B">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4. El lugar en el cual los interesados pueden consultar los estudios y documentos previos.</w:t>
      </w:r>
    </w:p>
    <w:p w14:paraId="3E2C1CB8" w14:textId="77777777" w:rsidR="0057639B" w:rsidRDefault="0057639B" w:rsidP="0057639B">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Este acto administrativo no es necesario cuando el contrato a celebrar es de prestación de servicios profesionales y de apoyo a la gestión, y para los contratos de que tratan los literales (a) y (b) del artículo 2.2.1.2.1.4.3 del presente decreto”.</w:t>
      </w:r>
    </w:p>
    <w:p w14:paraId="3D569516" w14:textId="77777777" w:rsidR="0057639B" w:rsidRPr="00B31452" w:rsidRDefault="0057639B" w:rsidP="0057639B">
      <w:pPr>
        <w:pStyle w:val="Textonotapie"/>
        <w:ind w:firstLine="709"/>
        <w:jc w:val="both"/>
        <w:rPr>
          <w:rFonts w:ascii="Verdana" w:hAnsi="Verdana" w:cs="Arial"/>
          <w:color w:val="000000"/>
          <w:sz w:val="16"/>
          <w:szCs w:val="16"/>
          <w:lang w:val="es-ES"/>
        </w:rPr>
      </w:pPr>
    </w:p>
  </w:footnote>
  <w:footnote w:id="10">
    <w:p w14:paraId="3DA24974" w14:textId="77777777" w:rsidR="0057639B" w:rsidRPr="00AD7D22" w:rsidRDefault="0057639B" w:rsidP="0057639B">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Esta norma expresa: “</w:t>
      </w:r>
      <w:r w:rsidRPr="00AD7D22">
        <w:rPr>
          <w:rFonts w:ascii="Verdana" w:hAnsi="Verdana" w:cs="Arial"/>
          <w:color w:val="000000"/>
          <w:sz w:val="16"/>
          <w:szCs w:val="16"/>
        </w:rPr>
        <w:t>P</w:t>
      </w:r>
      <w:r w:rsidRPr="00AD7D22">
        <w:rPr>
          <w:rFonts w:ascii="Verdana" w:hAnsi="Verdana" w:cs="Arial"/>
          <w:color w:val="000000"/>
          <w:sz w:val="16"/>
          <w:szCs w:val="16"/>
          <w:lang w:val="es-ES"/>
        </w:rPr>
        <w:t>ara el cumplimiento de los fines de la contratación, las entidades estatales al celebrar un contrato:</w:t>
      </w:r>
    </w:p>
    <w:p w14:paraId="15E8C687" w14:textId="77777777" w:rsidR="0057639B" w:rsidRPr="00AD7D22" w:rsidRDefault="0057639B" w:rsidP="0057639B">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w:t>
      </w:r>
    </w:p>
    <w:p w14:paraId="1E14E54A" w14:textId="77777777" w:rsidR="0057639B" w:rsidRPr="00AD7D22" w:rsidRDefault="0057639B" w:rsidP="0057639B">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22ACFCDC" w14:textId="77777777" w:rsidR="0057639B" w:rsidRPr="00AD7D22" w:rsidRDefault="0057639B" w:rsidP="0057639B">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Las entidades estatales podrán pactar estas cláusulas en los contratos de suministro y de prestación de servicios.</w:t>
      </w:r>
    </w:p>
    <w:p w14:paraId="616D4781" w14:textId="77777777" w:rsidR="0057639B" w:rsidRDefault="0057639B" w:rsidP="0057639B">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w:t>
      </w:r>
    </w:p>
    <w:p w14:paraId="385D19EC" w14:textId="77777777" w:rsidR="0057639B" w:rsidRPr="00B356F2" w:rsidRDefault="0057639B" w:rsidP="0057639B">
      <w:pPr>
        <w:pStyle w:val="Textonotapie"/>
        <w:ind w:firstLine="709"/>
        <w:jc w:val="both"/>
        <w:rPr>
          <w:rFonts w:ascii="Verdana" w:hAnsi="Verdana" w:cs="Arial"/>
          <w:color w:val="000000"/>
          <w:sz w:val="16"/>
          <w:szCs w:val="16"/>
          <w:lang w:val="es-ES"/>
        </w:rPr>
      </w:pPr>
    </w:p>
  </w:footnote>
  <w:footnote w:id="11">
    <w:p w14:paraId="66B84873" w14:textId="77777777" w:rsidR="0057639B" w:rsidRDefault="0057639B" w:rsidP="0057639B">
      <w:pPr>
        <w:pStyle w:val="Textonotapie"/>
        <w:ind w:firstLine="709"/>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La norma dispone: “La liquidación a que se refiere el presente artículo no será obligatoria en los contratos de prestación de servicios profesionales y de apoyo a la gestión”.</w:t>
      </w:r>
    </w:p>
    <w:p w14:paraId="46C05C30" w14:textId="77777777" w:rsidR="0057639B" w:rsidRPr="00B356F2" w:rsidRDefault="0057639B" w:rsidP="0057639B">
      <w:pPr>
        <w:pStyle w:val="Textonotapie"/>
        <w:ind w:firstLine="709"/>
        <w:rPr>
          <w:rFonts w:ascii="Verdana" w:hAnsi="Verdana" w:cs="Arial"/>
          <w:color w:val="000000"/>
          <w:sz w:val="16"/>
          <w:szCs w:val="16"/>
          <w:lang w:val="es-ES"/>
        </w:rPr>
      </w:pPr>
    </w:p>
  </w:footnote>
  <w:footnote w:id="12">
    <w:p w14:paraId="5C9D734E" w14:textId="77777777" w:rsidR="0057639B" w:rsidRPr="00AD7D22" w:rsidRDefault="0057639B" w:rsidP="0057639B">
      <w:pPr>
        <w:pStyle w:val="Textonotapie"/>
        <w:ind w:firstLine="709"/>
        <w:jc w:val="both"/>
        <w:rPr>
          <w:rFonts w:ascii="Verdana" w:hAnsi="Verdana" w:cs="Arial"/>
          <w:color w:val="000000"/>
          <w:sz w:val="16"/>
          <w:szCs w:val="16"/>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1F5D5752" w14:textId="77777777" w:rsidR="0057639B" w:rsidRPr="00AD7D22" w:rsidRDefault="0057639B" w:rsidP="0057639B">
      <w:pPr>
        <w:pStyle w:val="Textonotapie"/>
        <w:ind w:firstLine="709"/>
        <w:jc w:val="both"/>
        <w:rPr>
          <w:rFonts w:ascii="Verdana" w:hAnsi="Verdana" w:cs="Arial"/>
          <w:color w:val="000000"/>
          <w:sz w:val="16"/>
          <w:szCs w:val="16"/>
        </w:rPr>
      </w:pPr>
      <w:r w:rsidRPr="00AD7D22">
        <w:rPr>
          <w:rFonts w:ascii="Verdana" w:hAnsi="Verdana" w:cs="Arial"/>
          <w:color w:val="000000"/>
          <w:sz w:val="16"/>
          <w:szCs w:val="16"/>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5AEBB26A" w14:textId="77777777" w:rsidR="0057639B" w:rsidRDefault="0057639B" w:rsidP="0057639B">
      <w:pPr>
        <w:pStyle w:val="Textonotapie"/>
        <w:ind w:firstLine="709"/>
        <w:jc w:val="both"/>
        <w:rPr>
          <w:rFonts w:ascii="Verdana" w:hAnsi="Verdana" w:cs="Arial"/>
          <w:color w:val="000000"/>
          <w:sz w:val="16"/>
          <w:szCs w:val="16"/>
        </w:rPr>
      </w:pPr>
      <w:r w:rsidRPr="00AD7D22">
        <w:rPr>
          <w:rFonts w:ascii="Verdana" w:hAnsi="Verdana" w:cs="Arial"/>
          <w:color w:val="000000"/>
          <w:sz w:val="16"/>
          <w:szCs w:val="16"/>
        </w:rPr>
        <w:t>[…]”.</w:t>
      </w:r>
    </w:p>
    <w:p w14:paraId="1F286D3E" w14:textId="77777777" w:rsidR="0057639B" w:rsidRPr="00B356F2" w:rsidRDefault="0057639B" w:rsidP="0057639B">
      <w:pPr>
        <w:pStyle w:val="Textonotapie"/>
        <w:ind w:firstLine="709"/>
        <w:jc w:val="both"/>
        <w:rPr>
          <w:rFonts w:ascii="Verdana" w:hAnsi="Verdana" w:cs="Arial"/>
          <w:color w:val="000000"/>
          <w:sz w:val="16"/>
          <w:szCs w:val="16"/>
        </w:rPr>
      </w:pPr>
    </w:p>
  </w:footnote>
  <w:footnote w:id="13">
    <w:p w14:paraId="6CF3AA1A" w14:textId="77777777" w:rsidR="0057639B" w:rsidRPr="00AD7D22" w:rsidRDefault="0057639B" w:rsidP="0057639B">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5AD1ABB1" w14:textId="77777777" w:rsidR="0057639B" w:rsidRPr="00AD7D22" w:rsidRDefault="0057639B" w:rsidP="0057639B">
      <w:pPr>
        <w:pStyle w:val="Textonotapie"/>
        <w:ind w:firstLine="709"/>
        <w:rPr>
          <w:rFonts w:ascii="Verdana" w:hAnsi="Verdana"/>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2.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9C84389"/>
    <w:multiLevelType w:val="hybridMultilevel"/>
    <w:tmpl w:val="63E485A0"/>
    <w:lvl w:ilvl="0" w:tplc="DC48700A">
      <w:start w:val="1"/>
      <w:numFmt w:val="decimal"/>
      <w:lvlText w:val="%1."/>
      <w:lvlJc w:val="left"/>
      <w:pPr>
        <w:ind w:left="1069" w:hanging="360"/>
      </w:pPr>
      <w:rPr>
        <w:rFonts w:hint="default"/>
        <w:b w:val="0"/>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1"/>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0"/>
  </w:num>
  <w:num w:numId="13" w16cid:durableId="1512908409">
    <w:abstractNumId w:val="3"/>
  </w:num>
  <w:num w:numId="14" w16cid:durableId="895897244">
    <w:abstractNumId w:val="15"/>
  </w:num>
  <w:num w:numId="15" w16cid:durableId="390349800">
    <w:abstractNumId w:val="11"/>
  </w:num>
  <w:num w:numId="16" w16cid:durableId="1387682744">
    <w:abstractNumId w:val="4"/>
  </w:num>
  <w:num w:numId="17" w16cid:durableId="380636096">
    <w:abstractNumId w:val="2"/>
  </w:num>
  <w:num w:numId="18" w16cid:durableId="7948321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1E2B"/>
    <w:rsid w:val="00016F78"/>
    <w:rsid w:val="00031FF8"/>
    <w:rsid w:val="00046945"/>
    <w:rsid w:val="00056E21"/>
    <w:rsid w:val="00061B2A"/>
    <w:rsid w:val="00067D0C"/>
    <w:rsid w:val="00075ECE"/>
    <w:rsid w:val="00082362"/>
    <w:rsid w:val="000905F4"/>
    <w:rsid w:val="000A683E"/>
    <w:rsid w:val="000B19B9"/>
    <w:rsid w:val="000D0334"/>
    <w:rsid w:val="000D5DA7"/>
    <w:rsid w:val="000F6486"/>
    <w:rsid w:val="00105163"/>
    <w:rsid w:val="0011495F"/>
    <w:rsid w:val="00116940"/>
    <w:rsid w:val="001220C4"/>
    <w:rsid w:val="00125105"/>
    <w:rsid w:val="00127233"/>
    <w:rsid w:val="0015699B"/>
    <w:rsid w:val="001750D4"/>
    <w:rsid w:val="00183490"/>
    <w:rsid w:val="00194EF8"/>
    <w:rsid w:val="001A33BF"/>
    <w:rsid w:val="001E4177"/>
    <w:rsid w:val="001F0B24"/>
    <w:rsid w:val="001F1003"/>
    <w:rsid w:val="001F7DC6"/>
    <w:rsid w:val="0022400B"/>
    <w:rsid w:val="00240EA6"/>
    <w:rsid w:val="002421BB"/>
    <w:rsid w:val="0025796E"/>
    <w:rsid w:val="002707A2"/>
    <w:rsid w:val="00273022"/>
    <w:rsid w:val="0028000F"/>
    <w:rsid w:val="002951A0"/>
    <w:rsid w:val="002962BC"/>
    <w:rsid w:val="002A093D"/>
    <w:rsid w:val="002A0DD0"/>
    <w:rsid w:val="002A49AC"/>
    <w:rsid w:val="002A64FD"/>
    <w:rsid w:val="002C15C1"/>
    <w:rsid w:val="002C37CE"/>
    <w:rsid w:val="002C7A84"/>
    <w:rsid w:val="002E2BF8"/>
    <w:rsid w:val="002E4FD9"/>
    <w:rsid w:val="002F2360"/>
    <w:rsid w:val="002F650E"/>
    <w:rsid w:val="0030657A"/>
    <w:rsid w:val="00315B9F"/>
    <w:rsid w:val="00316219"/>
    <w:rsid w:val="00322A85"/>
    <w:rsid w:val="00324168"/>
    <w:rsid w:val="00330834"/>
    <w:rsid w:val="003371EE"/>
    <w:rsid w:val="00343E90"/>
    <w:rsid w:val="003448F4"/>
    <w:rsid w:val="00354AC1"/>
    <w:rsid w:val="00374F5E"/>
    <w:rsid w:val="00377E3E"/>
    <w:rsid w:val="00384959"/>
    <w:rsid w:val="00384DDE"/>
    <w:rsid w:val="00397C0D"/>
    <w:rsid w:val="003A5F42"/>
    <w:rsid w:val="003A779E"/>
    <w:rsid w:val="003B1F53"/>
    <w:rsid w:val="003B25F3"/>
    <w:rsid w:val="003C7110"/>
    <w:rsid w:val="003D0F4D"/>
    <w:rsid w:val="003D5B0D"/>
    <w:rsid w:val="003E0499"/>
    <w:rsid w:val="003E4F80"/>
    <w:rsid w:val="003E6439"/>
    <w:rsid w:val="003F2523"/>
    <w:rsid w:val="003F3941"/>
    <w:rsid w:val="00406575"/>
    <w:rsid w:val="00414C74"/>
    <w:rsid w:val="0041506A"/>
    <w:rsid w:val="004247E5"/>
    <w:rsid w:val="0042722E"/>
    <w:rsid w:val="0044528D"/>
    <w:rsid w:val="00453364"/>
    <w:rsid w:val="00465615"/>
    <w:rsid w:val="00466E39"/>
    <w:rsid w:val="004755ED"/>
    <w:rsid w:val="004A1847"/>
    <w:rsid w:val="004A305D"/>
    <w:rsid w:val="004F21C4"/>
    <w:rsid w:val="004F685F"/>
    <w:rsid w:val="005032C4"/>
    <w:rsid w:val="005063C5"/>
    <w:rsid w:val="00512531"/>
    <w:rsid w:val="00523230"/>
    <w:rsid w:val="00554B70"/>
    <w:rsid w:val="005566E8"/>
    <w:rsid w:val="005609AA"/>
    <w:rsid w:val="00574867"/>
    <w:rsid w:val="0057639B"/>
    <w:rsid w:val="00591460"/>
    <w:rsid w:val="00591D87"/>
    <w:rsid w:val="005A65E0"/>
    <w:rsid w:val="005C0AC4"/>
    <w:rsid w:val="005C3777"/>
    <w:rsid w:val="005C5CDC"/>
    <w:rsid w:val="005C6069"/>
    <w:rsid w:val="005D476C"/>
    <w:rsid w:val="00610D5C"/>
    <w:rsid w:val="006200BF"/>
    <w:rsid w:val="006219F8"/>
    <w:rsid w:val="006302F7"/>
    <w:rsid w:val="00646B9F"/>
    <w:rsid w:val="0065319B"/>
    <w:rsid w:val="00665D70"/>
    <w:rsid w:val="0066700E"/>
    <w:rsid w:val="006867A7"/>
    <w:rsid w:val="006900D9"/>
    <w:rsid w:val="006E69CB"/>
    <w:rsid w:val="006F7C54"/>
    <w:rsid w:val="00706C16"/>
    <w:rsid w:val="00711AD7"/>
    <w:rsid w:val="007338D0"/>
    <w:rsid w:val="007340C3"/>
    <w:rsid w:val="007511A6"/>
    <w:rsid w:val="0075235A"/>
    <w:rsid w:val="00756841"/>
    <w:rsid w:val="0076109B"/>
    <w:rsid w:val="007649AB"/>
    <w:rsid w:val="00771D0C"/>
    <w:rsid w:val="007833AC"/>
    <w:rsid w:val="007B268C"/>
    <w:rsid w:val="007B7171"/>
    <w:rsid w:val="007B789A"/>
    <w:rsid w:val="007C0C0F"/>
    <w:rsid w:val="007C3DC2"/>
    <w:rsid w:val="007C57AF"/>
    <w:rsid w:val="007E10E1"/>
    <w:rsid w:val="007E5497"/>
    <w:rsid w:val="007F569B"/>
    <w:rsid w:val="00806F5F"/>
    <w:rsid w:val="00820278"/>
    <w:rsid w:val="00825350"/>
    <w:rsid w:val="008258C9"/>
    <w:rsid w:val="0083195B"/>
    <w:rsid w:val="00844AE9"/>
    <w:rsid w:val="008454B9"/>
    <w:rsid w:val="00867F95"/>
    <w:rsid w:val="00882876"/>
    <w:rsid w:val="008843B6"/>
    <w:rsid w:val="00891928"/>
    <w:rsid w:val="008A446D"/>
    <w:rsid w:val="008B25F1"/>
    <w:rsid w:val="008B51E0"/>
    <w:rsid w:val="008D180B"/>
    <w:rsid w:val="008F0EA7"/>
    <w:rsid w:val="00923EEF"/>
    <w:rsid w:val="009419F9"/>
    <w:rsid w:val="009518D7"/>
    <w:rsid w:val="0095685E"/>
    <w:rsid w:val="00961B09"/>
    <w:rsid w:val="00965334"/>
    <w:rsid w:val="0097093E"/>
    <w:rsid w:val="00983BE1"/>
    <w:rsid w:val="00984A97"/>
    <w:rsid w:val="00990B79"/>
    <w:rsid w:val="009A0DFA"/>
    <w:rsid w:val="009A1C6F"/>
    <w:rsid w:val="009A2ADE"/>
    <w:rsid w:val="009B2D26"/>
    <w:rsid w:val="009C71FA"/>
    <w:rsid w:val="009C72E7"/>
    <w:rsid w:val="009C7F7E"/>
    <w:rsid w:val="009D3058"/>
    <w:rsid w:val="009F2EE2"/>
    <w:rsid w:val="009F3A13"/>
    <w:rsid w:val="009F3D02"/>
    <w:rsid w:val="00A122D3"/>
    <w:rsid w:val="00A14468"/>
    <w:rsid w:val="00A17F13"/>
    <w:rsid w:val="00A20739"/>
    <w:rsid w:val="00A23AF9"/>
    <w:rsid w:val="00A30679"/>
    <w:rsid w:val="00A30CD6"/>
    <w:rsid w:val="00A33C78"/>
    <w:rsid w:val="00A41B50"/>
    <w:rsid w:val="00A44898"/>
    <w:rsid w:val="00A63C43"/>
    <w:rsid w:val="00A65BAB"/>
    <w:rsid w:val="00A65EE5"/>
    <w:rsid w:val="00A673C9"/>
    <w:rsid w:val="00A77AD0"/>
    <w:rsid w:val="00A83996"/>
    <w:rsid w:val="00AB0ADB"/>
    <w:rsid w:val="00AD078D"/>
    <w:rsid w:val="00AD10F1"/>
    <w:rsid w:val="00B00C0E"/>
    <w:rsid w:val="00B01B1A"/>
    <w:rsid w:val="00B0381D"/>
    <w:rsid w:val="00B14412"/>
    <w:rsid w:val="00B230FA"/>
    <w:rsid w:val="00B2635A"/>
    <w:rsid w:val="00B44A47"/>
    <w:rsid w:val="00B72CD3"/>
    <w:rsid w:val="00B72FFF"/>
    <w:rsid w:val="00B74258"/>
    <w:rsid w:val="00B921DC"/>
    <w:rsid w:val="00B95800"/>
    <w:rsid w:val="00BC3D36"/>
    <w:rsid w:val="00BC5E69"/>
    <w:rsid w:val="00BD54A6"/>
    <w:rsid w:val="00BD7F72"/>
    <w:rsid w:val="00BF00B5"/>
    <w:rsid w:val="00BF489B"/>
    <w:rsid w:val="00BF7425"/>
    <w:rsid w:val="00C04FB3"/>
    <w:rsid w:val="00C0774C"/>
    <w:rsid w:val="00C11D8B"/>
    <w:rsid w:val="00C15139"/>
    <w:rsid w:val="00C330EB"/>
    <w:rsid w:val="00C50D69"/>
    <w:rsid w:val="00C5365C"/>
    <w:rsid w:val="00C66655"/>
    <w:rsid w:val="00C754BE"/>
    <w:rsid w:val="00C76B1C"/>
    <w:rsid w:val="00C866F6"/>
    <w:rsid w:val="00C925AC"/>
    <w:rsid w:val="00CA6852"/>
    <w:rsid w:val="00CA6AF3"/>
    <w:rsid w:val="00CB308B"/>
    <w:rsid w:val="00CB5217"/>
    <w:rsid w:val="00CB6357"/>
    <w:rsid w:val="00CC1B26"/>
    <w:rsid w:val="00CE210D"/>
    <w:rsid w:val="00CE79D8"/>
    <w:rsid w:val="00CF22B6"/>
    <w:rsid w:val="00D05BB6"/>
    <w:rsid w:val="00D10E48"/>
    <w:rsid w:val="00D145A4"/>
    <w:rsid w:val="00D14AE2"/>
    <w:rsid w:val="00D361FD"/>
    <w:rsid w:val="00D423A2"/>
    <w:rsid w:val="00D44E26"/>
    <w:rsid w:val="00D46A8E"/>
    <w:rsid w:val="00D520D8"/>
    <w:rsid w:val="00D52709"/>
    <w:rsid w:val="00D63AC2"/>
    <w:rsid w:val="00D70976"/>
    <w:rsid w:val="00D7383B"/>
    <w:rsid w:val="00D73B2A"/>
    <w:rsid w:val="00D7788A"/>
    <w:rsid w:val="00DA16F5"/>
    <w:rsid w:val="00DA231B"/>
    <w:rsid w:val="00DC39FC"/>
    <w:rsid w:val="00DF5254"/>
    <w:rsid w:val="00E02524"/>
    <w:rsid w:val="00E16408"/>
    <w:rsid w:val="00E20725"/>
    <w:rsid w:val="00E20894"/>
    <w:rsid w:val="00E245AB"/>
    <w:rsid w:val="00E2764C"/>
    <w:rsid w:val="00E27F2E"/>
    <w:rsid w:val="00E368F8"/>
    <w:rsid w:val="00E45170"/>
    <w:rsid w:val="00E50AFE"/>
    <w:rsid w:val="00E647AD"/>
    <w:rsid w:val="00E75C92"/>
    <w:rsid w:val="00E771DC"/>
    <w:rsid w:val="00E8772A"/>
    <w:rsid w:val="00E90F6B"/>
    <w:rsid w:val="00E92C27"/>
    <w:rsid w:val="00EA0E3D"/>
    <w:rsid w:val="00EA7C11"/>
    <w:rsid w:val="00EB57FD"/>
    <w:rsid w:val="00EC38A7"/>
    <w:rsid w:val="00EE1AA8"/>
    <w:rsid w:val="00EF2202"/>
    <w:rsid w:val="00EF4D97"/>
    <w:rsid w:val="00F03031"/>
    <w:rsid w:val="00F16926"/>
    <w:rsid w:val="00F20A1A"/>
    <w:rsid w:val="00F23FEA"/>
    <w:rsid w:val="00F31EDC"/>
    <w:rsid w:val="00F32B28"/>
    <w:rsid w:val="00F462B3"/>
    <w:rsid w:val="00F546CF"/>
    <w:rsid w:val="00F5664F"/>
    <w:rsid w:val="00F666C4"/>
    <w:rsid w:val="00F72E60"/>
    <w:rsid w:val="00F76AFC"/>
    <w:rsid w:val="00F97471"/>
    <w:rsid w:val="00FA234E"/>
    <w:rsid w:val="00FA47C0"/>
    <w:rsid w:val="00FB5C01"/>
    <w:rsid w:val="00FB5DD1"/>
    <w:rsid w:val="00FC2B5D"/>
    <w:rsid w:val="00FC429B"/>
    <w:rsid w:val="00FC4C92"/>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1E5719"/>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F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Re"/>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6F7C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6F7C54"/>
    <w:rPr>
      <w:rFonts w:ascii="Geomanist Light" w:hAnsi="Geomanist Light"/>
      <w:lang w:val="es-ES"/>
    </w:rPr>
  </w:style>
  <w:style w:type="paragraph" w:customStyle="1" w:styleId="Appelnotedebasde">
    <w:name w:val="Appel note de bas de..."/>
    <w:basedOn w:val="Normal"/>
    <w:link w:val="Refdenotaalpie"/>
    <w:uiPriority w:val="99"/>
    <w:rsid w:val="007E10E1"/>
    <w:pPr>
      <w:spacing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69495777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kelmis.bruges%40colombiacompra.gov.co%7C7128555136e04fa6887d08dee99e1b50%7C7b09041e245149d08cb179d5e3d8c1be%7C0%7C0%7C639205062448313260%7CUnknown%7CTWFpbGZsb3d8eyJFbXB0eU1hcGkiOnRydWUsIlYiOiIwLjAuMDAwMCIsIlAiOiJXaW4zMiIsIkFOIjoiTWFpbCIsIldUIjoyfQ%3D%3D%7C0%7C%7C%7C&amp;sdata=PWB8ysTfGANaKDXK6eWlLOU%2BBqiJe%2BINY2KXAKdmwC4%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kelmis.bruges%40colombiacompra.gov.co%7C7128555136e04fa6887d08dee99e1b50%7C7b09041e245149d08cb179d5e3d8c1be%7C0%7C0%7C639205062448449606%7CUnknown%7CTWFpbGZsb3d8eyJFbXB0eU1hcGkiOnRydWUsIlYiOiIwLjAuMDAwMCIsIlAiOiJXaW4zMiIsIkFOIjoiTWFpbCIsIldUIjoyfQ%3D%3D%7C0%7C%7C%7C&amp;sdata=T3S9FDtEoS67Wx8P%2FeZ4CtytwM37bW%2FCDD1BDi8JhU4%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g.arbelaezm@g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kelmis.bruges%40colombiacompra.gov.co%7C7128555136e04fa6887d08dee99e1b50%7C7b09041e245149d08cb179d5e3d8c1be%7C0%7C0%7C639205062448418483%7CUnknown%7CTWFpbGZsb3d8eyJFbXB0eU1hcGkiOnRydWUsIlYiOiIwLjAuMDAwMCIsIlAiOiJXaW4zMiIsIkFOIjoiTWFpbCIsIldUIjoyfQ%3D%3D%7C0%7C%7C%7C&amp;sdata=Lw88GN50UcFim3kzSl9M8dlsx3kbnb54uQShTOIBvAw%3D&amp;reserved=0" TargetMode="Externa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kelmis.bruges%40colombiacompra.gov.co%7C7128555136e04fa6887d08dee99e1b50%7C7b09041e245149d08cb179d5e3d8c1be%7C0%7C0%7C639205062448374558%7CUnknown%7CTWFpbGZsb3d8eyJFbXB0eU1hcGkiOnRydWUsIlYiOiIwLjAuMDAwMCIsIlAiOiJXaW4zMiIsIkFOIjoiTWFpbCIsIldUIjoyfQ%3D%3D%7C0%7C%7C%7C&amp;sdata=r%2FZhRCHF9UzC0eh%2FV6T2oxgPtj8EHPV2B4oylbUVf%2BA%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AB295D-AC9B-4091-8AD6-7C3D40866057}"/>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6209</Words>
  <Characters>34152</Characters>
  <Application>Microsoft Office Word</Application>
  <DocSecurity>0</DocSecurity>
  <Lines>284</Lines>
  <Paragraphs>80</Paragraphs>
  <ScaleCrop>false</ScaleCrop>
  <Company/>
  <LinksUpToDate>false</LinksUpToDate>
  <CharactersWithSpaces>40281</CharactersWithSpaces>
  <SharedDoc>false</SharedDoc>
  <HLinks>
    <vt:vector size="6" baseType="variant">
      <vt:variant>
        <vt:i4>7274499</vt:i4>
      </vt:variant>
      <vt:variant>
        <vt:i4>0</vt:i4>
      </vt:variant>
      <vt:variant>
        <vt:i4>0</vt:i4>
      </vt:variant>
      <vt:variant>
        <vt:i4>5</vt:i4>
      </vt:variant>
      <vt:variant>
        <vt:lpwstr>mailto:ing.arbelaezm@gmail.com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Kelmis Yimara Bruges Alvarado</cp:lastModifiedBy>
  <cp:revision>2</cp:revision>
  <cp:lastPrinted>2023-01-10T21:18:00Z</cp:lastPrinted>
  <dcterms:created xsi:type="dcterms:W3CDTF">2026-08-18T13:10:00Z</dcterms:created>
  <dcterms:modified xsi:type="dcterms:W3CDTF">2026-08-18T13:10:00Z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