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289FA" w14:textId="77777777" w:rsidR="00081323" w:rsidRPr="00886EF4" w:rsidRDefault="00081323" w:rsidP="000B5E8B">
      <w:pPr>
        <w:spacing w:after="0" w:line="240" w:lineRule="auto"/>
        <w:jc w:val="both"/>
        <w:rPr>
          <w:rFonts w:ascii="Verdana" w:eastAsia="Verdana" w:hAnsi="Verdana" w:cs="Verdana"/>
          <w:b/>
          <w:lang w:val="es-MX"/>
        </w:rPr>
      </w:pPr>
      <w:bookmarkStart w:id="0" w:name="_Hlk143780582"/>
      <w:r w:rsidRPr="00886EF4">
        <w:rPr>
          <w:rFonts w:ascii="Verdana" w:eastAsia="Verdana" w:hAnsi="Verdana" w:cs="Verdana"/>
          <w:b/>
          <w:lang w:val="es-MX"/>
        </w:rPr>
        <w:t xml:space="preserve">REQUISITOS HABILITANTES – Capacidad financiera – Autonomía de la entidad </w:t>
      </w:r>
    </w:p>
    <w:p w14:paraId="1F9FD69F" w14:textId="77777777" w:rsidR="00081323" w:rsidRPr="00886EF4" w:rsidRDefault="00081323" w:rsidP="000B5E8B">
      <w:pPr>
        <w:spacing w:after="0" w:line="240" w:lineRule="auto"/>
        <w:jc w:val="both"/>
        <w:rPr>
          <w:rFonts w:ascii="Verdana" w:eastAsia="Verdana" w:hAnsi="Verdana" w:cs="Verdana"/>
          <w:b/>
          <w:lang w:val="es-MX"/>
        </w:rPr>
      </w:pPr>
    </w:p>
    <w:p w14:paraId="03B43B1F" w14:textId="77777777" w:rsidR="00B36D0D" w:rsidRDefault="00B36D0D" w:rsidP="000B5E8B">
      <w:pPr>
        <w:spacing w:after="0" w:line="240" w:lineRule="auto"/>
        <w:jc w:val="both"/>
        <w:rPr>
          <w:rFonts w:ascii="Verdana" w:eastAsia="Verdana" w:hAnsi="Verdana" w:cs="Verdana"/>
          <w:sz w:val="20"/>
          <w:szCs w:val="20"/>
          <w:lang w:val="es-ES_tradnl"/>
        </w:rPr>
      </w:pPr>
      <w:r w:rsidRPr="00B36D0D">
        <w:rPr>
          <w:rFonts w:ascii="Verdana" w:eastAsia="Verdana" w:hAnsi="Verdana" w:cs="Verdana"/>
          <w:sz w:val="20"/>
          <w:szCs w:val="20"/>
          <w:lang w:val="es-ES_tradnl"/>
        </w:rPr>
        <w:t xml:space="preserve">Los </w:t>
      </w:r>
      <w:r w:rsidRPr="00B36D0D">
        <w:rPr>
          <w:rFonts w:ascii="Verdana" w:eastAsia="Verdana" w:hAnsi="Verdana" w:cs="Verdana"/>
          <w:i/>
          <w:iCs/>
          <w:sz w:val="20"/>
          <w:szCs w:val="20"/>
          <w:lang w:val="es-ES_tradnl"/>
        </w:rPr>
        <w:t>requisitos habilitantes</w:t>
      </w:r>
      <w:r w:rsidRPr="00B36D0D">
        <w:rPr>
          <w:rFonts w:ascii="Verdana" w:eastAsia="Verdana" w:hAnsi="Verdana" w:cs="Verdana"/>
          <w:sz w:val="20"/>
          <w:szCs w:val="20"/>
          <w:lang w:val="es-ES_tradnl"/>
        </w:rPr>
        <w:t xml:space="preserve"> se definen como exigencias de participación en los procedimientos de selección, establecidos en disposiciones normativas, de carácter legal o reglamentario, o contenidas en el acto administrativo que regula las reglas de la convocatoria, es decir, en el pliego de condiciones o el documento equivalente a este. Se diferencian de los </w:t>
      </w:r>
      <w:r w:rsidRPr="00B36D0D">
        <w:rPr>
          <w:rFonts w:ascii="Verdana" w:eastAsia="Verdana" w:hAnsi="Verdana" w:cs="Verdana"/>
          <w:i/>
          <w:iCs/>
          <w:sz w:val="20"/>
          <w:szCs w:val="20"/>
          <w:lang w:val="es-ES_tradnl"/>
        </w:rPr>
        <w:t>criterios de evaluación</w:t>
      </w:r>
      <w:r w:rsidRPr="00B36D0D">
        <w:rPr>
          <w:rFonts w:ascii="Verdana" w:eastAsia="Verdana" w:hAnsi="Verdana" w:cs="Verdana"/>
          <w:sz w:val="20"/>
          <w:szCs w:val="20"/>
          <w:lang w:val="es-ES_tradnl"/>
        </w:rPr>
        <w:t xml:space="preserve"> –también conocidos como </w:t>
      </w:r>
      <w:r w:rsidRPr="00B36D0D">
        <w:rPr>
          <w:rFonts w:ascii="Verdana" w:eastAsia="Verdana" w:hAnsi="Verdana" w:cs="Verdana"/>
          <w:i/>
          <w:iCs/>
          <w:sz w:val="20"/>
          <w:szCs w:val="20"/>
          <w:lang w:val="es-ES_tradnl"/>
        </w:rPr>
        <w:t>criterios de calificación</w:t>
      </w:r>
      <w:r w:rsidRPr="00B36D0D">
        <w:rPr>
          <w:rFonts w:ascii="Verdana" w:eastAsia="Verdana" w:hAnsi="Verdana" w:cs="Verdana"/>
          <w:sz w:val="20"/>
          <w:szCs w:val="20"/>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4381BC98" w14:textId="77777777" w:rsidR="00B36D0D" w:rsidRPr="00B36D0D" w:rsidRDefault="00B36D0D" w:rsidP="000B5E8B">
      <w:pPr>
        <w:spacing w:after="0" w:line="240" w:lineRule="auto"/>
        <w:jc w:val="both"/>
        <w:rPr>
          <w:rFonts w:ascii="Verdana" w:eastAsia="Verdana" w:hAnsi="Verdana" w:cs="Verdana"/>
          <w:sz w:val="20"/>
          <w:szCs w:val="20"/>
          <w:lang w:val="es-ES_tradnl"/>
        </w:rPr>
      </w:pPr>
    </w:p>
    <w:p w14:paraId="344CC32B" w14:textId="77777777" w:rsidR="00B36D0D" w:rsidRPr="00B36D0D" w:rsidRDefault="00B36D0D" w:rsidP="000B5E8B">
      <w:pPr>
        <w:spacing w:after="0" w:line="240" w:lineRule="auto"/>
        <w:jc w:val="both"/>
        <w:rPr>
          <w:rFonts w:ascii="Verdana" w:eastAsia="Verdana" w:hAnsi="Verdana" w:cs="Verdana"/>
          <w:sz w:val="20"/>
          <w:szCs w:val="20"/>
          <w:lang w:val="es-MX" w:bidi="es-ES"/>
        </w:rPr>
      </w:pPr>
      <w:r w:rsidRPr="00B36D0D">
        <w:rPr>
          <w:rFonts w:ascii="Verdana" w:eastAsia="Verdana" w:hAnsi="Verdana" w:cs="Verdana"/>
          <w:sz w:val="20"/>
          <w:szCs w:val="20"/>
          <w:lang w:val="es-MX" w:bidi="es-ES"/>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p>
    <w:p w14:paraId="672095F2" w14:textId="77777777" w:rsidR="00081323" w:rsidRPr="00886EF4" w:rsidRDefault="00081323" w:rsidP="000B5E8B">
      <w:pPr>
        <w:spacing w:after="0" w:line="240" w:lineRule="auto"/>
        <w:jc w:val="both"/>
        <w:rPr>
          <w:rFonts w:ascii="Verdana" w:eastAsia="Verdana" w:hAnsi="Verdana" w:cs="Verdana"/>
          <w:b/>
          <w:lang w:val="es-MX"/>
        </w:rPr>
      </w:pPr>
    </w:p>
    <w:p w14:paraId="26756230" w14:textId="77777777" w:rsidR="002A17FB" w:rsidRPr="00886EF4" w:rsidRDefault="00081323" w:rsidP="000B5E8B">
      <w:pPr>
        <w:spacing w:after="0" w:line="240" w:lineRule="auto"/>
        <w:jc w:val="both"/>
        <w:rPr>
          <w:rFonts w:ascii="Verdana" w:eastAsia="Verdana" w:hAnsi="Verdana" w:cs="Verdana"/>
          <w:b/>
          <w:lang w:val="es-MX"/>
        </w:rPr>
      </w:pPr>
      <w:r w:rsidRPr="00886EF4">
        <w:rPr>
          <w:rFonts w:ascii="Verdana" w:eastAsia="Verdana" w:hAnsi="Verdana" w:cs="Verdana"/>
          <w:b/>
          <w:lang w:val="es-MX"/>
        </w:rPr>
        <w:t>CAPACIDAD FINANCIERA – Definición – Indicadores</w:t>
      </w:r>
    </w:p>
    <w:p w14:paraId="628E5D18" w14:textId="77777777" w:rsidR="002A17FB" w:rsidRPr="00380DE2" w:rsidRDefault="002A17FB" w:rsidP="000B5E8B">
      <w:pPr>
        <w:spacing w:after="0" w:line="240" w:lineRule="auto"/>
        <w:jc w:val="both"/>
        <w:rPr>
          <w:rFonts w:ascii="Verdana" w:eastAsia="Verdana" w:hAnsi="Verdana" w:cs="Verdana"/>
          <w:sz w:val="20"/>
          <w:szCs w:val="20"/>
          <w:lang w:val="es-MX"/>
        </w:rPr>
      </w:pPr>
    </w:p>
    <w:p w14:paraId="4F3B67F0" w14:textId="18532D66" w:rsidR="00E66034" w:rsidRPr="00380DE2" w:rsidRDefault="00E66034" w:rsidP="000B5E8B">
      <w:pPr>
        <w:spacing w:after="0" w:line="240" w:lineRule="auto"/>
        <w:jc w:val="both"/>
        <w:rPr>
          <w:rFonts w:ascii="Verdana" w:eastAsia="Verdana" w:hAnsi="Verdana" w:cs="Verdana"/>
          <w:sz w:val="20"/>
          <w:szCs w:val="20"/>
          <w:lang w:val="es-MX"/>
        </w:rPr>
      </w:pPr>
      <w:r w:rsidRPr="00380DE2">
        <w:rPr>
          <w:rFonts w:ascii="Verdana" w:eastAsia="Verdana" w:hAnsi="Verdana" w:cs="Verdana"/>
          <w:sz w:val="20"/>
          <w:szCs w:val="20"/>
          <w:lang w:val="es-MX"/>
        </w:rPr>
        <w:t xml:space="preserve">Ahora bien, dentro de los requisitos habilitantes se destaca la capacidad financiera, la cual se deriva del comportamiento contable de la empresa, su liquidez y endeudamiento, para determinar que sus recursos y solidez financiera le permita cumplir los compromisos que adquiera. Como explica esta Agencia en el </w:t>
      </w:r>
      <w:r w:rsidRPr="00380DE2">
        <w:rPr>
          <w:rFonts w:ascii="Verdana" w:eastAsia="Verdana" w:hAnsi="Verdana" w:cs="Verdana"/>
          <w:i/>
          <w:iCs/>
          <w:sz w:val="20"/>
          <w:szCs w:val="20"/>
          <w:lang w:val="es-MX"/>
        </w:rPr>
        <w:t>Manual para determinar y verificar los requisitos habilitantes en los procesos de contratación</w:t>
      </w:r>
      <w:r w:rsidRPr="00380DE2">
        <w:rPr>
          <w:rFonts w:ascii="Verdana" w:eastAsia="Verdana" w:hAnsi="Verdana" w:cs="Verdana"/>
          <w:sz w:val="20"/>
          <w:szCs w:val="20"/>
          <w:lang w:val="es-MX"/>
        </w:rPr>
        <w:t xml:space="preserve">: </w:t>
      </w:r>
      <w:r w:rsidRPr="00380DE2">
        <w:rPr>
          <w:rFonts w:ascii="Verdana" w:eastAsia="Verdana" w:hAnsi="Verdana" w:cs="Verdana"/>
          <w:i/>
          <w:iCs/>
          <w:sz w:val="20"/>
          <w:szCs w:val="20"/>
          <w:lang w:val="es-MX"/>
        </w:rPr>
        <w:t>“Los indicadores de capacidad financiera buscan establecer unas condiciones mínimas que reflejan la salud financiera de los proponentes a través de su liquidez y endeudamiento. Estas condiciones muestran la aptitud del proponente para cumplir oportuna y cabalmente el objeto del contrato”</w:t>
      </w:r>
      <w:r w:rsidRPr="00380DE2">
        <w:rPr>
          <w:rFonts w:ascii="Verdana" w:eastAsia="Verdana" w:hAnsi="Verdana" w:cs="Verdana"/>
          <w:i/>
          <w:iCs/>
          <w:sz w:val="20"/>
          <w:szCs w:val="20"/>
          <w:lang w:val="es-ES_tradnl"/>
        </w:rPr>
        <w:t>.</w:t>
      </w:r>
      <w:r w:rsidRPr="00380DE2">
        <w:rPr>
          <w:rFonts w:ascii="Verdana" w:eastAsia="Verdana" w:hAnsi="Verdana" w:cs="Verdana"/>
          <w:sz w:val="20"/>
          <w:szCs w:val="20"/>
          <w:lang w:val="es-MX"/>
        </w:rPr>
        <w:t xml:space="preserve"> La Entidad Estatal, como responsable de la estructuración de su procedimiento de selección, es autónoma para determinar la capacidad financiera necesaria de acuerdo con el objeto contractual que se pretende satisfacer, no obstante, en atención a lo dispuesto en el artículo 2.2.1.1.1.6.2 del Decreto 1082 de 2015, debe ser establecida con sustento en el estudio del sector y sus componentes como la identificación de riesgos, el mercado y precio del bien, obra o servicio a contratar.</w:t>
      </w:r>
    </w:p>
    <w:p w14:paraId="65737C42" w14:textId="77777777" w:rsidR="002A17FB" w:rsidRPr="00380DE2" w:rsidRDefault="002A17FB" w:rsidP="000B5E8B">
      <w:pPr>
        <w:spacing w:after="0" w:line="240" w:lineRule="auto"/>
        <w:jc w:val="both"/>
        <w:rPr>
          <w:rFonts w:ascii="Verdana" w:eastAsia="Verdana" w:hAnsi="Verdana" w:cs="Verdana"/>
          <w:sz w:val="20"/>
          <w:szCs w:val="20"/>
          <w:lang w:val="es-ES_tradnl"/>
        </w:rPr>
      </w:pPr>
    </w:p>
    <w:p w14:paraId="7FC37802" w14:textId="77777777" w:rsidR="00E66034" w:rsidRPr="00380DE2" w:rsidRDefault="00E66034" w:rsidP="000B5E8B">
      <w:pPr>
        <w:spacing w:after="0" w:line="240" w:lineRule="auto"/>
        <w:jc w:val="both"/>
        <w:rPr>
          <w:rFonts w:ascii="Verdana" w:eastAsia="Verdana" w:hAnsi="Verdana" w:cs="Verdana"/>
          <w:sz w:val="20"/>
          <w:szCs w:val="20"/>
        </w:rPr>
      </w:pPr>
      <w:r w:rsidRPr="00380DE2">
        <w:rPr>
          <w:rFonts w:ascii="Verdana" w:eastAsia="Verdana" w:hAnsi="Verdana" w:cs="Verdana"/>
          <w:sz w:val="20"/>
          <w:szCs w:val="20"/>
          <w:lang w:val="es-ES_tradnl" w:bidi="es-ES"/>
        </w:rPr>
        <w:t xml:space="preserve">Según el artículo 2.2.1.1.1.5.3. del Decreto 1082 de 2015, el RUP contempla como indicadores de capacidad financiera los siguientes: i) el </w:t>
      </w:r>
      <w:r w:rsidRPr="00380DE2">
        <w:rPr>
          <w:rFonts w:ascii="Verdana" w:eastAsia="Verdana" w:hAnsi="Verdana" w:cs="Verdana"/>
          <w:i/>
          <w:iCs/>
          <w:sz w:val="20"/>
          <w:szCs w:val="20"/>
          <w:lang w:val="es-ES_tradnl" w:bidi="es-ES"/>
        </w:rPr>
        <w:t>índice de liquidez</w:t>
      </w:r>
      <w:r w:rsidRPr="00380DE2">
        <w:rPr>
          <w:rFonts w:ascii="Verdana" w:eastAsia="Verdana" w:hAnsi="Verdana" w:cs="Verdana"/>
          <w:sz w:val="20"/>
          <w:szCs w:val="20"/>
          <w:lang w:val="es-ES_tradnl" w:bidi="es-ES"/>
        </w:rPr>
        <w:t xml:space="preserve">, que corresponde a la división entre el activo corriente y el pasivo corriente, y que determina la capacidad que tiene el proponente para cumplir con sus obligaciones de corto plazo; </w:t>
      </w:r>
      <w:proofErr w:type="spellStart"/>
      <w:r w:rsidRPr="00380DE2">
        <w:rPr>
          <w:rFonts w:ascii="Verdana" w:eastAsia="Verdana" w:hAnsi="Verdana" w:cs="Verdana"/>
          <w:sz w:val="20"/>
          <w:szCs w:val="20"/>
          <w:lang w:val="es-ES_tradnl" w:bidi="es-ES"/>
        </w:rPr>
        <w:t>ii</w:t>
      </w:r>
      <w:proofErr w:type="spellEnd"/>
      <w:r w:rsidRPr="00380DE2">
        <w:rPr>
          <w:rFonts w:ascii="Verdana" w:eastAsia="Verdana" w:hAnsi="Verdana" w:cs="Verdana"/>
          <w:sz w:val="20"/>
          <w:szCs w:val="20"/>
          <w:lang w:val="es-ES_tradnl" w:bidi="es-ES"/>
        </w:rPr>
        <w:t xml:space="preserve">) el </w:t>
      </w:r>
      <w:r w:rsidRPr="00380DE2">
        <w:rPr>
          <w:rFonts w:ascii="Verdana" w:eastAsia="Verdana" w:hAnsi="Verdana" w:cs="Verdana"/>
          <w:i/>
          <w:iCs/>
          <w:sz w:val="20"/>
          <w:szCs w:val="20"/>
          <w:lang w:val="es-ES_tradnl" w:bidi="es-ES"/>
        </w:rPr>
        <w:t>índice de endeudamiento</w:t>
      </w:r>
      <w:r w:rsidRPr="00380DE2">
        <w:rPr>
          <w:rFonts w:ascii="Verdana" w:eastAsia="Verdana" w:hAnsi="Verdana" w:cs="Verdana"/>
          <w:sz w:val="20"/>
          <w:szCs w:val="20"/>
          <w:lang w:val="es-ES_tradnl" w:bidi="es-ES"/>
        </w:rPr>
        <w:t xml:space="preserve">, que se calcula dividiendo el pasivo total por el activo total, el cual determina el grado de endeudamiento en la estructura de financiación del </w:t>
      </w:r>
      <w:r w:rsidRPr="00380DE2">
        <w:rPr>
          <w:rFonts w:ascii="Verdana" w:eastAsia="Verdana" w:hAnsi="Verdana" w:cs="Verdana"/>
          <w:sz w:val="20"/>
          <w:szCs w:val="20"/>
          <w:lang w:val="es-ES_tradnl" w:bidi="es-ES"/>
        </w:rPr>
        <w:lastRenderedPageBreak/>
        <w:t xml:space="preserve">proponente; y </w:t>
      </w:r>
      <w:proofErr w:type="spellStart"/>
      <w:r w:rsidRPr="00380DE2">
        <w:rPr>
          <w:rFonts w:ascii="Verdana" w:eastAsia="Verdana" w:hAnsi="Verdana" w:cs="Verdana"/>
          <w:sz w:val="20"/>
          <w:szCs w:val="20"/>
          <w:lang w:val="es-ES_tradnl" w:bidi="es-ES"/>
        </w:rPr>
        <w:t>iii</w:t>
      </w:r>
      <w:proofErr w:type="spellEnd"/>
      <w:r w:rsidRPr="00380DE2">
        <w:rPr>
          <w:rFonts w:ascii="Verdana" w:eastAsia="Verdana" w:hAnsi="Verdana" w:cs="Verdana"/>
          <w:sz w:val="20"/>
          <w:szCs w:val="20"/>
          <w:lang w:val="es-ES_tradnl" w:bidi="es-ES"/>
        </w:rPr>
        <w:t xml:space="preserve">) la </w:t>
      </w:r>
      <w:r w:rsidRPr="00380DE2">
        <w:rPr>
          <w:rFonts w:ascii="Verdana" w:eastAsia="Verdana" w:hAnsi="Verdana" w:cs="Verdana"/>
          <w:i/>
          <w:iCs/>
          <w:sz w:val="20"/>
          <w:szCs w:val="20"/>
          <w:lang w:val="es-ES_tradnl" w:bidi="es-ES"/>
        </w:rPr>
        <w:t>razón de cobertura de intereses</w:t>
      </w:r>
      <w:r w:rsidRPr="00380DE2">
        <w:rPr>
          <w:rFonts w:ascii="Verdana" w:eastAsia="Verdana" w:hAnsi="Verdana" w:cs="Verdana"/>
          <w:sz w:val="20"/>
          <w:szCs w:val="20"/>
          <w:lang w:val="es-ES_tradnl" w:bidi="es-ES"/>
        </w:rPr>
        <w:t xml:space="preserve">, que es igual a la utilidad operacional, sobre los gastos de intereses, y que refleja la capacidad del proponente para cumplir con sus obligaciones financieras. En torno a este último indicador, es pertinente señalar que </w:t>
      </w:r>
      <w:r w:rsidRPr="00380DE2">
        <w:rPr>
          <w:rFonts w:ascii="Verdana" w:eastAsia="Verdana" w:hAnsi="Verdana" w:cs="Verdana"/>
          <w:sz w:val="20"/>
          <w:szCs w:val="20"/>
        </w:rPr>
        <w:t xml:space="preserve">es diseñado para medir la capacidad del proponente para atender sus obligaciones financieras, al evaluar cuántas veces la utilidad operacional cubre los gastos por intereses. </w:t>
      </w:r>
    </w:p>
    <w:p w14:paraId="3481D0E5" w14:textId="77777777" w:rsidR="00E66034" w:rsidRPr="00E66034" w:rsidRDefault="00E66034" w:rsidP="000B5E8B">
      <w:pPr>
        <w:spacing w:after="0" w:line="240" w:lineRule="auto"/>
        <w:jc w:val="both"/>
        <w:rPr>
          <w:rFonts w:ascii="Verdana" w:eastAsia="Verdana" w:hAnsi="Verdana" w:cs="Verdana"/>
          <w:b/>
          <w:lang w:val="es-ES_tradnl"/>
        </w:rPr>
      </w:pPr>
    </w:p>
    <w:p w14:paraId="388AB57E" w14:textId="77777777" w:rsidR="002A17FB" w:rsidRPr="00886EF4" w:rsidRDefault="00081323" w:rsidP="000B5E8B">
      <w:pPr>
        <w:spacing w:after="0" w:line="240" w:lineRule="auto"/>
        <w:jc w:val="both"/>
        <w:rPr>
          <w:rFonts w:ascii="Verdana" w:eastAsia="Verdana" w:hAnsi="Verdana" w:cs="Verdana"/>
          <w:b/>
          <w:lang w:val="es-MX"/>
        </w:rPr>
      </w:pPr>
      <w:r w:rsidRPr="00886EF4">
        <w:rPr>
          <w:rFonts w:ascii="Verdana" w:eastAsia="Verdana" w:hAnsi="Verdana" w:cs="Verdana"/>
          <w:b/>
          <w:lang w:val="es-MX"/>
        </w:rPr>
        <w:t>UTILIDAD OPERACIONAL – Definición - Razón de Cobertura de Interés</w:t>
      </w:r>
    </w:p>
    <w:p w14:paraId="047D531F" w14:textId="77777777" w:rsidR="002A17FB" w:rsidRPr="00380DE2" w:rsidRDefault="002A17FB" w:rsidP="000B5E8B">
      <w:pPr>
        <w:spacing w:after="0" w:line="240" w:lineRule="auto"/>
        <w:jc w:val="both"/>
        <w:rPr>
          <w:rFonts w:ascii="Verdana" w:eastAsia="Verdana" w:hAnsi="Verdana" w:cs="Verdana"/>
          <w:sz w:val="20"/>
          <w:szCs w:val="20"/>
          <w:lang w:val="es-MX"/>
        </w:rPr>
      </w:pPr>
    </w:p>
    <w:p w14:paraId="761C4EEA" w14:textId="6A37219D" w:rsidR="00E66034" w:rsidRDefault="00E66034" w:rsidP="000B5E8B">
      <w:pPr>
        <w:spacing w:after="0" w:line="240" w:lineRule="auto"/>
        <w:jc w:val="both"/>
        <w:rPr>
          <w:rFonts w:ascii="Verdana" w:eastAsia="Verdana" w:hAnsi="Verdana" w:cs="Verdana"/>
          <w:sz w:val="20"/>
          <w:szCs w:val="20"/>
          <w:lang w:val="es-ES_tradnl"/>
        </w:rPr>
      </w:pPr>
      <w:r w:rsidRPr="00380DE2">
        <w:rPr>
          <w:rFonts w:ascii="Verdana" w:eastAsia="Verdana" w:hAnsi="Verdana" w:cs="Verdana"/>
          <w:sz w:val="20"/>
          <w:szCs w:val="20"/>
          <w:lang w:val="es-ES_tradnl"/>
        </w:rPr>
        <w:t xml:space="preserve">La utilidad operacional no puede equipararse ni confundirse con los conceptos como utilidad del ejercicio, utilidad neta o utilidad líquida, ya que cada uno de estos refleja momentos y componentes distintos dentro del resultado financiero de una organización. La utilidad operacional se limita al desempeño de la actividad principal de la entidad, es decir, al resultado que se obtiene de confrontar los ingresos derivados del objeto social con los costos y gastos directamente asociados a su operación. Tal como lo menciona Héctor Ortiz Anaya, la utilidad operacional “es el resultado de restar de la utilidad bruta los gastos de administración y ventas. Indica la utilidad propia del negocio al cual se dedica la empresa”. Esta constituye un indicador financiero objetivo que refleja la capacidad de una empresa para generar beneficios económicos a partir de su actividad principal o giro ordinario de negocios. Desde la perspectiva del análisis financiero, la utilidad operacional constituye un indicador importante porque permite depurar el resultado empresarial de los efectos del endeudamiento de los hechos ajenos al giro ordinario, constituyéndose en un reflejo de la forma en la que una empresa administra sus recursos productivos. </w:t>
      </w:r>
    </w:p>
    <w:p w14:paraId="138F8976" w14:textId="77777777" w:rsidR="00380DE2" w:rsidRPr="00380DE2" w:rsidRDefault="00380DE2" w:rsidP="000B5E8B">
      <w:pPr>
        <w:spacing w:after="0" w:line="240" w:lineRule="auto"/>
        <w:jc w:val="both"/>
        <w:rPr>
          <w:rFonts w:ascii="Verdana" w:eastAsia="Verdana" w:hAnsi="Verdana" w:cs="Verdana"/>
          <w:sz w:val="20"/>
          <w:szCs w:val="20"/>
          <w:lang w:val="es-ES_tradnl"/>
        </w:rPr>
      </w:pPr>
    </w:p>
    <w:p w14:paraId="370C5D9F" w14:textId="42DC26F5" w:rsidR="00E66034" w:rsidRPr="00380DE2" w:rsidRDefault="00E66034" w:rsidP="000B5E8B">
      <w:pPr>
        <w:spacing w:after="0" w:line="240" w:lineRule="auto"/>
        <w:jc w:val="both"/>
        <w:rPr>
          <w:rFonts w:ascii="Verdana" w:eastAsia="Verdana" w:hAnsi="Verdana" w:cs="Verdana"/>
          <w:sz w:val="20"/>
          <w:szCs w:val="20"/>
          <w:lang w:val="es-ES_tradnl"/>
        </w:rPr>
      </w:pPr>
      <w:r w:rsidRPr="00380DE2">
        <w:rPr>
          <w:rFonts w:ascii="Verdana" w:eastAsia="Verdana" w:hAnsi="Verdana" w:cs="Verdana"/>
          <w:sz w:val="20"/>
          <w:szCs w:val="20"/>
        </w:rPr>
        <w:t>La utilidad operacional constituye un insumo clave para la lectura integral del desempeño institucional, en tanto sirve de base para calcular un indicador que permiten evaluar la capacidad financiera. A partir de este resultado es posible determinar, por ejemplo, la razón de cobertura de intereses, que mide la solvencia para atender obligaciones financieras.</w:t>
      </w:r>
      <w:r w:rsidRPr="00380DE2">
        <w:rPr>
          <w:rFonts w:ascii="Verdana" w:eastAsia="Verdana" w:hAnsi="Verdana" w:cs="Verdana"/>
          <w:sz w:val="20"/>
          <w:szCs w:val="20"/>
          <w:lang w:val="es-ES_tradnl"/>
        </w:rPr>
        <w:t xml:space="preserve"> En todo caso, la Agencia Nacional de Contratación Pública – Colombia Compra Eficiente recomienda valorar otro tipo de indicadores dentro de la capacidad financiera como el </w:t>
      </w:r>
      <w:r w:rsidRPr="00380DE2">
        <w:rPr>
          <w:rFonts w:ascii="Verdana" w:eastAsia="Verdana" w:hAnsi="Verdana" w:cs="Verdana"/>
          <w:i/>
          <w:iCs/>
          <w:sz w:val="20"/>
          <w:szCs w:val="20"/>
          <w:lang w:val="es-ES_tradnl"/>
        </w:rPr>
        <w:t>capital de trabajo</w:t>
      </w:r>
      <w:r w:rsidRPr="00380DE2">
        <w:rPr>
          <w:rFonts w:ascii="Verdana" w:eastAsia="Verdana" w:hAnsi="Verdana" w:cs="Verdana"/>
          <w:sz w:val="20"/>
          <w:szCs w:val="20"/>
          <w:lang w:val="es-ES_tradnl"/>
        </w:rPr>
        <w:t xml:space="preserve">, la </w:t>
      </w:r>
      <w:r w:rsidRPr="00380DE2">
        <w:rPr>
          <w:rFonts w:ascii="Verdana" w:eastAsia="Verdana" w:hAnsi="Verdana" w:cs="Verdana"/>
          <w:i/>
          <w:iCs/>
          <w:sz w:val="20"/>
          <w:szCs w:val="20"/>
          <w:lang w:val="es-ES_tradnl"/>
        </w:rPr>
        <w:t>razón de efectivo</w:t>
      </w:r>
      <w:r w:rsidRPr="00380DE2">
        <w:rPr>
          <w:rFonts w:ascii="Verdana" w:eastAsia="Verdana" w:hAnsi="Verdana" w:cs="Verdana"/>
          <w:sz w:val="20"/>
          <w:szCs w:val="20"/>
          <w:lang w:val="es-ES_tradnl"/>
        </w:rPr>
        <w:t xml:space="preserve">, la denominada </w:t>
      </w:r>
      <w:r w:rsidRPr="00380DE2">
        <w:rPr>
          <w:rFonts w:ascii="Verdana" w:eastAsia="Verdana" w:hAnsi="Verdana" w:cs="Verdana"/>
          <w:i/>
          <w:iCs/>
          <w:sz w:val="20"/>
          <w:szCs w:val="20"/>
          <w:lang w:val="es-ES_tradnl"/>
        </w:rPr>
        <w:t>prueba ácida</w:t>
      </w:r>
      <w:r w:rsidRPr="00380DE2">
        <w:rPr>
          <w:rFonts w:ascii="Verdana" w:eastAsia="Verdana" w:hAnsi="Verdana" w:cs="Verdana"/>
          <w:sz w:val="20"/>
          <w:szCs w:val="20"/>
          <w:lang w:val="es-ES_tradnl"/>
        </w:rPr>
        <w:t xml:space="preserve">, la </w:t>
      </w:r>
      <w:r w:rsidRPr="00380DE2">
        <w:rPr>
          <w:rFonts w:ascii="Verdana" w:eastAsia="Verdana" w:hAnsi="Verdana" w:cs="Verdana"/>
          <w:i/>
          <w:iCs/>
          <w:sz w:val="20"/>
          <w:szCs w:val="20"/>
          <w:lang w:val="es-ES_tradnl"/>
        </w:rPr>
        <w:t xml:space="preserve">concentración de endeudamiento a corto </w:t>
      </w:r>
      <w:r w:rsidRPr="00380DE2">
        <w:rPr>
          <w:rFonts w:ascii="Verdana" w:eastAsia="Verdana" w:hAnsi="Verdana" w:cs="Verdana"/>
          <w:sz w:val="20"/>
          <w:szCs w:val="20"/>
          <w:lang w:val="es-ES_tradnl"/>
        </w:rPr>
        <w:t>y</w:t>
      </w:r>
      <w:r w:rsidRPr="00380DE2">
        <w:rPr>
          <w:rFonts w:ascii="Verdana" w:eastAsia="Verdana" w:hAnsi="Verdana" w:cs="Verdana"/>
          <w:i/>
          <w:iCs/>
          <w:sz w:val="20"/>
          <w:szCs w:val="20"/>
          <w:lang w:val="es-ES_tradnl"/>
        </w:rPr>
        <w:t xml:space="preserve"> a largo plazo</w:t>
      </w:r>
      <w:r w:rsidRPr="00380DE2">
        <w:rPr>
          <w:rFonts w:ascii="Verdana" w:eastAsia="Verdana" w:hAnsi="Verdana" w:cs="Verdana"/>
          <w:sz w:val="20"/>
          <w:szCs w:val="20"/>
          <w:lang w:val="es-ES_tradnl"/>
        </w:rPr>
        <w:t xml:space="preserve"> y el </w:t>
      </w:r>
      <w:r w:rsidRPr="00380DE2">
        <w:rPr>
          <w:rFonts w:ascii="Verdana" w:eastAsia="Verdana" w:hAnsi="Verdana" w:cs="Verdana"/>
          <w:i/>
          <w:iCs/>
          <w:sz w:val="20"/>
          <w:szCs w:val="20"/>
          <w:lang w:val="es-ES_tradnl"/>
        </w:rPr>
        <w:t>patrimonio</w:t>
      </w:r>
      <w:r w:rsidRPr="00380DE2">
        <w:rPr>
          <w:rFonts w:ascii="Verdana" w:eastAsia="Verdana" w:hAnsi="Verdana" w:cs="Verdana"/>
          <w:sz w:val="20"/>
          <w:szCs w:val="20"/>
          <w:lang w:val="es-ES_tradnl"/>
        </w:rPr>
        <w:t>.</w:t>
      </w:r>
    </w:p>
    <w:p w14:paraId="7F60EE3D" w14:textId="77777777" w:rsidR="002A17FB" w:rsidRPr="00E66034" w:rsidRDefault="002A17FB" w:rsidP="000B5E8B">
      <w:pPr>
        <w:spacing w:after="0" w:line="240" w:lineRule="auto"/>
        <w:jc w:val="both"/>
        <w:rPr>
          <w:rFonts w:ascii="Verdana" w:eastAsia="Verdana" w:hAnsi="Verdana" w:cs="Verdana"/>
          <w:b/>
          <w:lang w:val="es-ES_tradnl"/>
        </w:rPr>
      </w:pPr>
    </w:p>
    <w:p w14:paraId="72B9FFDF" w14:textId="77777777" w:rsidR="002A17FB" w:rsidRPr="00886EF4" w:rsidRDefault="00081323" w:rsidP="000B5E8B">
      <w:pPr>
        <w:spacing w:after="0" w:line="240" w:lineRule="auto"/>
        <w:jc w:val="both"/>
        <w:rPr>
          <w:rFonts w:ascii="Verdana" w:eastAsia="Verdana" w:hAnsi="Verdana" w:cs="Verdana"/>
          <w:b/>
          <w:lang w:val="es-MX"/>
        </w:rPr>
      </w:pPr>
      <w:r w:rsidRPr="00886EF4">
        <w:rPr>
          <w:rFonts w:ascii="Verdana" w:eastAsia="Verdana" w:hAnsi="Verdana" w:cs="Verdana"/>
          <w:b/>
          <w:lang w:val="es-MX"/>
        </w:rPr>
        <w:t>CAPACIDAD ORGANIZACIONAL – Utilidad operacional – Renta del activo – Renta del Patrimonio</w:t>
      </w:r>
    </w:p>
    <w:p w14:paraId="320ABA6D" w14:textId="77777777" w:rsidR="002A17FB" w:rsidRPr="00274EEF" w:rsidRDefault="002A17FB" w:rsidP="000B5E8B">
      <w:pPr>
        <w:spacing w:after="0" w:line="240" w:lineRule="auto"/>
        <w:jc w:val="both"/>
        <w:rPr>
          <w:rFonts w:ascii="Verdana" w:eastAsia="Verdana" w:hAnsi="Verdana" w:cs="Verdana"/>
          <w:sz w:val="20"/>
          <w:szCs w:val="20"/>
          <w:lang w:val="es-MX"/>
        </w:rPr>
      </w:pPr>
    </w:p>
    <w:p w14:paraId="734B05C6" w14:textId="77777777" w:rsidR="00274EEF" w:rsidRDefault="00274EEF" w:rsidP="000B5E8B">
      <w:pPr>
        <w:spacing w:after="0" w:line="240" w:lineRule="auto"/>
        <w:jc w:val="both"/>
        <w:rPr>
          <w:rFonts w:ascii="Verdana" w:eastAsia="Verdana" w:hAnsi="Verdana" w:cs="Verdana"/>
          <w:sz w:val="20"/>
          <w:szCs w:val="20"/>
        </w:rPr>
      </w:pPr>
      <w:r w:rsidRPr="00274EEF">
        <w:rPr>
          <w:rFonts w:ascii="Verdana" w:eastAsia="Verdana" w:hAnsi="Verdana" w:cs="Verdana"/>
          <w:sz w:val="20"/>
          <w:szCs w:val="20"/>
        </w:rPr>
        <w:t>La utilidad operacional también cumple un papel determinante dentro de los indicadores que miden la capacidad organizacional, pues constituye la variable central en dos de sus métricas fundamentales: a) Rentabilidad del patrimonio, calculada a partir de la utilidad operacional dividida por el patrimonio, lo que permite establecer el nivel de excedentes generados con relación a los recursos propios de la entidad; b) Rentabilidad del activo, obtenida de la utilidad operacional dividida por el activo total, indicador que muestra la eficiencia con la que la organización utiliza todos sus recursos para producir resultados operativos.</w:t>
      </w:r>
    </w:p>
    <w:p w14:paraId="6063DB51" w14:textId="77777777" w:rsidR="00274EEF" w:rsidRPr="00274EEF" w:rsidRDefault="00274EEF" w:rsidP="000B5E8B">
      <w:pPr>
        <w:spacing w:after="0" w:line="240" w:lineRule="auto"/>
        <w:jc w:val="both"/>
        <w:rPr>
          <w:rFonts w:ascii="Verdana" w:eastAsia="Verdana" w:hAnsi="Verdana" w:cs="Verdana"/>
          <w:sz w:val="20"/>
          <w:szCs w:val="20"/>
        </w:rPr>
      </w:pPr>
    </w:p>
    <w:p w14:paraId="41C3C1A6" w14:textId="7E2A4C96" w:rsidR="002A17FB" w:rsidRDefault="00274EEF" w:rsidP="000B5E8B">
      <w:pPr>
        <w:spacing w:after="0" w:line="240" w:lineRule="auto"/>
        <w:jc w:val="both"/>
        <w:rPr>
          <w:rFonts w:ascii="Verdana" w:eastAsia="Verdana" w:hAnsi="Verdana" w:cs="Verdana"/>
          <w:sz w:val="20"/>
          <w:szCs w:val="20"/>
        </w:rPr>
      </w:pPr>
      <w:r w:rsidRPr="00274EEF">
        <w:rPr>
          <w:rFonts w:ascii="Verdana" w:eastAsia="Verdana" w:hAnsi="Verdana" w:cs="Verdana"/>
          <w:sz w:val="20"/>
          <w:szCs w:val="20"/>
        </w:rPr>
        <w:t>Para comprender la lógica de la capacidad organizacional, es necesario partir de su definición normativa. Esta se entiende por el Manual como “[…] la aptitud de un proponente para cumplir oportuna y cabalmente el objeto del contrato en función de su organización interna. El artículo 2.2.1.1.1.5.3 del Decreto 1082 de 2015 definió los indicadores de rentabilidad para medirla, teniendo en cuenta que un oferente está bien organizado cuando es rentable”. En consecuencia, la capacidad organizacional se evalúa a partir de la eficiencia con la que la entidad transforma sus recursos —patrimonio y activos— en resultados operativos positivos, evidenciando solidez interna, adecuada gestión y sostenibilidad en su operación. En esta línea, el numeral 5.1. del “Manual para determinar y verificar los requisitos habilitantes en los procesos de contratación”.</w:t>
      </w:r>
    </w:p>
    <w:p w14:paraId="7891D30C" w14:textId="77777777" w:rsidR="00274EEF" w:rsidRPr="00274EEF" w:rsidRDefault="00274EEF" w:rsidP="000B5E8B">
      <w:pPr>
        <w:spacing w:after="0" w:line="240" w:lineRule="auto"/>
        <w:jc w:val="both"/>
        <w:rPr>
          <w:rFonts w:ascii="Verdana" w:eastAsia="Verdana" w:hAnsi="Verdana" w:cs="Verdana"/>
          <w:sz w:val="20"/>
          <w:szCs w:val="20"/>
          <w:lang w:val="es-MX"/>
        </w:rPr>
      </w:pPr>
    </w:p>
    <w:p w14:paraId="55E3D349" w14:textId="77777777" w:rsidR="002A17FB" w:rsidRPr="00886EF4" w:rsidRDefault="00081323" w:rsidP="000B5E8B">
      <w:pPr>
        <w:spacing w:after="0" w:line="240" w:lineRule="auto"/>
        <w:jc w:val="both"/>
        <w:rPr>
          <w:rFonts w:ascii="Verdana" w:eastAsia="Verdana" w:hAnsi="Verdana" w:cs="Verdana"/>
          <w:b/>
          <w:lang w:val="es-MX"/>
        </w:rPr>
      </w:pPr>
      <w:r w:rsidRPr="00886EF4">
        <w:rPr>
          <w:rFonts w:ascii="Verdana" w:eastAsia="Verdana" w:hAnsi="Verdana" w:cs="Verdana"/>
          <w:b/>
          <w:lang w:val="es-MX"/>
        </w:rPr>
        <w:t xml:space="preserve">ENTIDADES SIN ÁNIMO DE LUCRO – Sin ánimo de lucro – Utilidad operacional </w:t>
      </w:r>
    </w:p>
    <w:p w14:paraId="0BA1B9BE" w14:textId="77777777" w:rsidR="002A17FB" w:rsidRPr="00886EF4" w:rsidRDefault="002A17FB" w:rsidP="000B5E8B">
      <w:pPr>
        <w:spacing w:after="0" w:line="240" w:lineRule="auto"/>
        <w:jc w:val="both"/>
        <w:rPr>
          <w:rFonts w:ascii="Verdana" w:eastAsia="Verdana" w:hAnsi="Verdana" w:cs="Verdana"/>
          <w:b/>
          <w:lang w:val="es-MX"/>
        </w:rPr>
      </w:pPr>
    </w:p>
    <w:p w14:paraId="7D6B7687" w14:textId="0890E513" w:rsidR="00324B4D" w:rsidRDefault="00324B4D" w:rsidP="000B5E8B">
      <w:pPr>
        <w:spacing w:after="0" w:line="240" w:lineRule="auto"/>
        <w:jc w:val="both"/>
        <w:rPr>
          <w:rFonts w:ascii="Verdana" w:eastAsia="Verdana" w:hAnsi="Verdana" w:cs="Verdana"/>
          <w:sz w:val="20"/>
          <w:szCs w:val="20"/>
          <w:lang w:val="es-ES"/>
        </w:rPr>
      </w:pPr>
      <w:r w:rsidRPr="00324B4D">
        <w:rPr>
          <w:rFonts w:ascii="Verdana" w:eastAsia="Verdana" w:hAnsi="Verdana" w:cs="Verdana"/>
          <w:sz w:val="20"/>
          <w:szCs w:val="20"/>
        </w:rPr>
        <w:t>En este sentido, aunque no es viable sustituir los indicadores del Decreto 1082 por lo regulado en el Decreto 092, sí es posible que la entidad contratante seleccione, dentro del marco del régimen general, aquellos indicadores que resulten pertinentes, proporcionales y adecuados para evaluar la capacidad financiera y la capacidad organizacional de los proponentes, evitando exigir aquellos cuya metodología dependa de la utilidad operacional cuando ello no sea relevante para el objeto contractual o cuando genere exclusiones injustificadas, como puede ocurrir con el caso de las ESAL, las cuales se caracterizan por no tener un ánimo de lucro. En este sentido</w:t>
      </w:r>
      <w:r w:rsidRPr="00324B4D">
        <w:rPr>
          <w:rFonts w:ascii="Verdana" w:eastAsia="Verdana" w:hAnsi="Verdana" w:cs="Verdana"/>
          <w:sz w:val="20"/>
          <w:szCs w:val="20"/>
          <w:lang w:val="es-ES"/>
        </w:rPr>
        <w:t xml:space="preserve">, el elemento característico de estas entidades es la ausencia de lucro, el cual está relacionado con que no haya una distribución o reparto de utilidades a sus miembros. </w:t>
      </w:r>
    </w:p>
    <w:p w14:paraId="0520CD6C" w14:textId="77777777" w:rsidR="00324B4D" w:rsidRPr="00324B4D" w:rsidRDefault="00324B4D" w:rsidP="000B5E8B">
      <w:pPr>
        <w:spacing w:after="0" w:line="240" w:lineRule="auto"/>
        <w:jc w:val="both"/>
        <w:rPr>
          <w:rFonts w:ascii="Verdana" w:eastAsia="Verdana" w:hAnsi="Verdana" w:cs="Verdana"/>
          <w:sz w:val="20"/>
          <w:szCs w:val="20"/>
        </w:rPr>
      </w:pPr>
    </w:p>
    <w:p w14:paraId="1EAF0FE2" w14:textId="77777777" w:rsidR="00324B4D" w:rsidRDefault="00324B4D" w:rsidP="000B5E8B">
      <w:pPr>
        <w:spacing w:after="0" w:line="240" w:lineRule="auto"/>
        <w:jc w:val="both"/>
        <w:rPr>
          <w:rFonts w:ascii="Verdana" w:eastAsia="Verdana" w:hAnsi="Verdana" w:cs="Verdana"/>
          <w:sz w:val="20"/>
          <w:szCs w:val="20"/>
        </w:rPr>
      </w:pPr>
      <w:r w:rsidRPr="00324B4D">
        <w:rPr>
          <w:rFonts w:ascii="Verdana" w:eastAsia="Verdana" w:hAnsi="Verdana" w:cs="Verdana"/>
          <w:sz w:val="20"/>
          <w:szCs w:val="20"/>
        </w:rPr>
        <w:t>La ausencia de ánimo de lucro implica que la utilidad operacional en las ESAL no se caracteriza por ser positiva; por el contrario, suele ser nula o incluso negativa. En este contexto, la entidad estatal puede optar por indicadores acordes con la naturaleza jurídica del proponente, tales como el índice de liquidez, el índice de endeudamiento, el capital de trabajo, la razón de efectivo, la concentración del endeudamiento a corto y largo plazo y el patrimonio, evitando supeditar la evaluación exclusivamente a indicadores de la capacidad financiera y capacidad organizacional que dependan de la utilidad operacional como variable.</w:t>
      </w:r>
    </w:p>
    <w:p w14:paraId="709C77A8" w14:textId="77777777" w:rsidR="00324B4D" w:rsidRPr="00324B4D" w:rsidRDefault="00324B4D" w:rsidP="000B5E8B">
      <w:pPr>
        <w:spacing w:after="0" w:line="240" w:lineRule="auto"/>
        <w:jc w:val="both"/>
        <w:rPr>
          <w:rFonts w:ascii="Verdana" w:eastAsia="Verdana" w:hAnsi="Verdana" w:cs="Verdana"/>
          <w:i/>
          <w:iCs/>
          <w:sz w:val="20"/>
          <w:szCs w:val="20"/>
          <w:lang w:val="es-MX" w:bidi="es-ES"/>
        </w:rPr>
      </w:pPr>
    </w:p>
    <w:p w14:paraId="3D0107E0" w14:textId="77777777" w:rsidR="00324B4D" w:rsidRPr="00324B4D" w:rsidRDefault="00324B4D" w:rsidP="000B5E8B">
      <w:pPr>
        <w:spacing w:after="0" w:line="240" w:lineRule="auto"/>
        <w:jc w:val="both"/>
        <w:rPr>
          <w:rFonts w:ascii="Verdana" w:eastAsia="Verdana" w:hAnsi="Verdana" w:cs="Verdana"/>
          <w:sz w:val="20"/>
          <w:szCs w:val="20"/>
        </w:rPr>
      </w:pPr>
      <w:r w:rsidRPr="00324B4D">
        <w:rPr>
          <w:rFonts w:ascii="Verdana" w:eastAsia="Verdana" w:hAnsi="Verdana" w:cs="Verdana"/>
          <w:sz w:val="20"/>
          <w:szCs w:val="20"/>
          <w:lang w:val="es-MX" w:bidi="es-ES"/>
        </w:rPr>
        <w:t xml:space="preserve">La alternativa </w:t>
      </w:r>
      <w:r w:rsidRPr="00324B4D">
        <w:rPr>
          <w:rFonts w:ascii="Verdana" w:eastAsia="Verdana" w:hAnsi="Verdana" w:cs="Verdana"/>
          <w:sz w:val="20"/>
          <w:szCs w:val="20"/>
        </w:rPr>
        <w:t xml:space="preserve">para evitar la exclusión de las ESAL no consiste en establecer criterios diferenciales para estas sin un soporte legal, sino en estructurar adecuadamente los requisitos habilitantes, seleccionando aquellos que permitan evaluar objetivamente la capacidad financiera y la capacidad organizacional de todos los participantes del mercado. La entidad debe justificar la pertinencia de los indicadores escogidos, demostrar su relación con los riesgos del contrato y garantizar que no generen barreras de acceso injustificadas. De esta manera, se armoniza el régimen general de contratación con los principios de igualdad, libre concurrencia, pluralidad de oferentes y selección objetiva, evitando decisiones que no atiendan a criterios de proporcionalidad y razonabilidad.  </w:t>
      </w:r>
    </w:p>
    <w:p w14:paraId="248B18E8" w14:textId="77777777" w:rsidR="002A17FB" w:rsidRPr="00324B4D" w:rsidRDefault="002A17FB" w:rsidP="000B5E8B">
      <w:pPr>
        <w:spacing w:after="0" w:line="240" w:lineRule="auto"/>
        <w:jc w:val="both"/>
        <w:rPr>
          <w:rFonts w:ascii="Verdana" w:eastAsia="Verdana" w:hAnsi="Verdana" w:cs="Verdana"/>
          <w:b/>
        </w:rPr>
      </w:pPr>
    </w:p>
    <w:p w14:paraId="538C79CA" w14:textId="77777777" w:rsidR="002A17FB" w:rsidRPr="00886EF4" w:rsidRDefault="002A17FB" w:rsidP="000B5E8B">
      <w:pPr>
        <w:spacing w:after="0" w:line="240" w:lineRule="auto"/>
        <w:jc w:val="both"/>
        <w:rPr>
          <w:rFonts w:ascii="Verdana" w:eastAsia="Verdana" w:hAnsi="Verdana" w:cs="Verdana"/>
          <w:b/>
          <w:lang w:val="es-MX"/>
        </w:rPr>
      </w:pPr>
    </w:p>
    <w:p w14:paraId="2AA313DC" w14:textId="1F28EF91" w:rsidR="00081323" w:rsidRPr="00886EF4" w:rsidRDefault="00081323" w:rsidP="000B5E8B">
      <w:pPr>
        <w:spacing w:after="0" w:line="240" w:lineRule="auto"/>
        <w:jc w:val="both"/>
        <w:rPr>
          <w:rFonts w:ascii="Verdana" w:eastAsia="Verdana" w:hAnsi="Verdana" w:cs="Verdana"/>
          <w:b/>
        </w:rPr>
      </w:pPr>
      <w:r w:rsidRPr="00886EF4">
        <w:rPr>
          <w:rFonts w:ascii="Verdana" w:eastAsia="Verdana" w:hAnsi="Verdana" w:cs="Verdana"/>
          <w:b/>
          <w:lang w:val="es-MX"/>
        </w:rPr>
        <w:t>CAPACIDAD FINANCIERA – Razón de cobertura de interés</w:t>
      </w:r>
    </w:p>
    <w:p w14:paraId="525C143B" w14:textId="77777777" w:rsidR="00081323" w:rsidRDefault="00081323" w:rsidP="000B5E8B">
      <w:pPr>
        <w:spacing w:after="0" w:line="240" w:lineRule="auto"/>
        <w:rPr>
          <w:rFonts w:ascii="Verdana" w:eastAsia="Verdana" w:hAnsi="Verdana" w:cs="Verdana"/>
        </w:rPr>
      </w:pPr>
    </w:p>
    <w:p w14:paraId="00598BDE" w14:textId="77777777" w:rsidR="00483A2C" w:rsidRPr="00483A2C" w:rsidRDefault="00483A2C" w:rsidP="000B5E8B">
      <w:pPr>
        <w:spacing w:after="0" w:line="240" w:lineRule="auto"/>
        <w:jc w:val="both"/>
        <w:rPr>
          <w:rFonts w:ascii="Verdana" w:eastAsia="Verdana" w:hAnsi="Verdana" w:cs="Verdana"/>
          <w:sz w:val="20"/>
          <w:szCs w:val="20"/>
          <w:lang w:val="es-ES"/>
        </w:rPr>
      </w:pPr>
      <w:r w:rsidRPr="00483A2C">
        <w:rPr>
          <w:rFonts w:ascii="Verdana" w:eastAsia="Verdana" w:hAnsi="Verdana" w:cs="Verdana"/>
          <w:sz w:val="20"/>
          <w:szCs w:val="20"/>
          <w:lang w:val="es-ES"/>
        </w:rPr>
        <w:t xml:space="preserve">De esta manera, se evidencia que, en indicadores como la razón de cobertura, es posible obtener resultados incomprensibles cuando el denominador es igual a cero, lo que podría dar lugar a que el resultado sea indeterminado. Así, debido a que la normativa de contratación pública no regula los casos donde el indicador sea indeterminado, la entidad estatal, como responsable de su proceso de contratación, debe definir en los pliegos de condiciones una regla que determine el cumplimiento de los requisitos habilitantes en estos casos. </w:t>
      </w:r>
      <w:r w:rsidRPr="00483A2C">
        <w:rPr>
          <w:rFonts w:ascii="Verdana" w:eastAsia="Verdana" w:hAnsi="Verdana" w:cs="Verdana"/>
          <w:sz w:val="20"/>
          <w:szCs w:val="20"/>
        </w:rPr>
        <w:t>En tal sentido, la entidad debe fijar umbrales razonables y reglas para casos en los que los indicadores sean indeterminados, como cuando el denominador es cero. Esto garantiza que la evaluación no excluya automáticamente a entidades que, por su naturaleza jurídica, no tienen gastos financieros y que no cuentan con una utilidad operacional. Bajo esta lógica, se afirma que la solución consiste en estructurar adecuadamente los requisitos habilitantes garantizando que no generen barreras de acceso injustificadas, armonizando así los principios de igualdad, libre concurrencia y selección objetiva.</w:t>
      </w:r>
    </w:p>
    <w:p w14:paraId="399C43A1" w14:textId="77777777" w:rsidR="00081323" w:rsidRPr="00483A2C" w:rsidRDefault="00081323" w:rsidP="000B5E8B">
      <w:pPr>
        <w:spacing w:after="0" w:line="240" w:lineRule="auto"/>
        <w:rPr>
          <w:rFonts w:ascii="Verdana" w:eastAsia="Verdana" w:hAnsi="Verdana" w:cs="Verdana"/>
          <w:lang w:val="es-ES"/>
        </w:rPr>
      </w:pPr>
    </w:p>
    <w:p w14:paraId="2623AA68" w14:textId="77777777" w:rsidR="00474527" w:rsidRDefault="00474527" w:rsidP="00CF7CCB">
      <w:pPr>
        <w:spacing w:after="0"/>
        <w:rPr>
          <w:rFonts w:ascii="Verdana" w:eastAsia="Verdana" w:hAnsi="Verdana" w:cs="Verdana"/>
        </w:rPr>
      </w:pPr>
    </w:p>
    <w:p w14:paraId="44F7A62A" w14:textId="77777777" w:rsidR="00474527" w:rsidRDefault="00474527" w:rsidP="00CF7CCB">
      <w:pPr>
        <w:spacing w:after="0"/>
        <w:rPr>
          <w:rFonts w:ascii="Verdana" w:eastAsia="Verdana" w:hAnsi="Verdana" w:cs="Verdana"/>
        </w:rPr>
      </w:pPr>
    </w:p>
    <w:p w14:paraId="1E431A9A" w14:textId="77777777" w:rsidR="00474527" w:rsidRDefault="00474527" w:rsidP="00CF7CCB">
      <w:pPr>
        <w:spacing w:after="0"/>
        <w:rPr>
          <w:rFonts w:ascii="Verdana" w:eastAsia="Verdana" w:hAnsi="Verdana" w:cs="Verdana"/>
        </w:rPr>
      </w:pPr>
    </w:p>
    <w:p w14:paraId="7B8D1EA0" w14:textId="77777777" w:rsidR="00474527" w:rsidRDefault="00474527" w:rsidP="00CF7CCB">
      <w:pPr>
        <w:spacing w:after="0"/>
        <w:rPr>
          <w:rFonts w:ascii="Verdana" w:eastAsia="Verdana" w:hAnsi="Verdana" w:cs="Verdana"/>
        </w:rPr>
      </w:pPr>
    </w:p>
    <w:p w14:paraId="05971F49" w14:textId="77777777" w:rsidR="00474527" w:rsidRDefault="00474527" w:rsidP="00CF7CCB">
      <w:pPr>
        <w:spacing w:after="0"/>
        <w:rPr>
          <w:rFonts w:ascii="Verdana" w:eastAsia="Verdana" w:hAnsi="Verdana" w:cs="Verdana"/>
        </w:rPr>
      </w:pPr>
    </w:p>
    <w:p w14:paraId="0D34C2EA" w14:textId="77777777" w:rsidR="00474527" w:rsidRDefault="00474527" w:rsidP="00CF7CCB">
      <w:pPr>
        <w:spacing w:after="0"/>
        <w:rPr>
          <w:rFonts w:ascii="Verdana" w:eastAsia="Verdana" w:hAnsi="Verdana" w:cs="Verdana"/>
        </w:rPr>
      </w:pPr>
    </w:p>
    <w:p w14:paraId="217FF4FF" w14:textId="77777777" w:rsidR="00474527" w:rsidRDefault="00474527" w:rsidP="00CF7CCB">
      <w:pPr>
        <w:spacing w:after="0"/>
        <w:rPr>
          <w:rFonts w:ascii="Verdana" w:eastAsia="Verdana" w:hAnsi="Verdana" w:cs="Verdana"/>
        </w:rPr>
      </w:pPr>
    </w:p>
    <w:p w14:paraId="60DD470B" w14:textId="77777777" w:rsidR="00474527" w:rsidRDefault="00474527" w:rsidP="00CF7CCB">
      <w:pPr>
        <w:spacing w:after="0"/>
        <w:rPr>
          <w:rFonts w:ascii="Verdana" w:eastAsia="Verdana" w:hAnsi="Verdana" w:cs="Verdana"/>
        </w:rPr>
      </w:pPr>
    </w:p>
    <w:p w14:paraId="7D5E23C9" w14:textId="77777777" w:rsidR="00474527" w:rsidRDefault="00474527" w:rsidP="00CF7CCB">
      <w:pPr>
        <w:spacing w:after="0"/>
        <w:rPr>
          <w:rFonts w:ascii="Verdana" w:eastAsia="Verdana" w:hAnsi="Verdana" w:cs="Verdana"/>
        </w:rPr>
      </w:pPr>
    </w:p>
    <w:p w14:paraId="6C705692" w14:textId="77777777" w:rsidR="00474527" w:rsidRDefault="00474527" w:rsidP="00CF7CCB">
      <w:pPr>
        <w:spacing w:after="0"/>
        <w:rPr>
          <w:rFonts w:ascii="Verdana" w:eastAsia="Verdana" w:hAnsi="Verdana" w:cs="Verdana"/>
        </w:rPr>
      </w:pPr>
    </w:p>
    <w:p w14:paraId="618BC2AF" w14:textId="77777777" w:rsidR="00474527" w:rsidRDefault="00474527" w:rsidP="00CF7CCB">
      <w:pPr>
        <w:spacing w:after="0"/>
        <w:rPr>
          <w:rFonts w:ascii="Verdana" w:eastAsia="Verdana" w:hAnsi="Verdana" w:cs="Verdana"/>
        </w:rPr>
      </w:pPr>
    </w:p>
    <w:p w14:paraId="4D31D256" w14:textId="77777777" w:rsidR="00474527" w:rsidRDefault="00474527" w:rsidP="00CF7CCB">
      <w:pPr>
        <w:spacing w:after="0"/>
        <w:rPr>
          <w:rFonts w:ascii="Verdana" w:eastAsia="Verdana" w:hAnsi="Verdana" w:cs="Verdana"/>
        </w:rPr>
      </w:pPr>
    </w:p>
    <w:p w14:paraId="58435AEE" w14:textId="77777777" w:rsidR="00474527" w:rsidRDefault="00474527" w:rsidP="00CF7CCB">
      <w:pPr>
        <w:spacing w:after="0"/>
        <w:rPr>
          <w:rFonts w:ascii="Verdana" w:eastAsia="Verdana" w:hAnsi="Verdana" w:cs="Verdana"/>
        </w:rPr>
      </w:pPr>
    </w:p>
    <w:p w14:paraId="5ADDA291" w14:textId="77777777" w:rsidR="00474527" w:rsidRDefault="00474527" w:rsidP="00CF7CCB">
      <w:pPr>
        <w:spacing w:after="0"/>
        <w:rPr>
          <w:rFonts w:ascii="Verdana" w:eastAsia="Verdana" w:hAnsi="Verdana" w:cs="Verdana"/>
        </w:rPr>
      </w:pPr>
    </w:p>
    <w:p w14:paraId="7193D51C" w14:textId="77777777" w:rsidR="00474527" w:rsidRDefault="00474527" w:rsidP="00CF7CCB">
      <w:pPr>
        <w:spacing w:after="0"/>
        <w:rPr>
          <w:rFonts w:ascii="Verdana" w:eastAsia="Verdana" w:hAnsi="Verdana" w:cs="Verdana"/>
        </w:rPr>
      </w:pPr>
    </w:p>
    <w:p w14:paraId="134FCD56" w14:textId="77777777" w:rsidR="00483A2C" w:rsidRDefault="00483A2C" w:rsidP="00CF7CCB">
      <w:pPr>
        <w:spacing w:after="0"/>
        <w:rPr>
          <w:rFonts w:ascii="Verdana" w:eastAsia="Verdana" w:hAnsi="Verdana" w:cs="Verdana"/>
        </w:rPr>
      </w:pPr>
    </w:p>
    <w:p w14:paraId="48344672" w14:textId="77777777" w:rsidR="00483A2C" w:rsidRDefault="00483A2C" w:rsidP="00CF7CCB">
      <w:pPr>
        <w:spacing w:after="0"/>
        <w:rPr>
          <w:rFonts w:ascii="Verdana" w:eastAsia="Verdana" w:hAnsi="Verdana" w:cs="Verdana"/>
        </w:rPr>
      </w:pPr>
    </w:p>
    <w:p w14:paraId="681564B3" w14:textId="77777777" w:rsidR="00483A2C" w:rsidRDefault="00483A2C" w:rsidP="00CF7CCB">
      <w:pPr>
        <w:spacing w:after="0"/>
        <w:rPr>
          <w:rFonts w:ascii="Verdana" w:eastAsia="Verdana" w:hAnsi="Verdana" w:cs="Verdana"/>
        </w:rPr>
      </w:pPr>
    </w:p>
    <w:p w14:paraId="7D79C267" w14:textId="77777777" w:rsidR="00483A2C" w:rsidRDefault="00483A2C" w:rsidP="00CF7CCB">
      <w:pPr>
        <w:spacing w:after="0"/>
        <w:rPr>
          <w:rFonts w:ascii="Verdana" w:eastAsia="Verdana" w:hAnsi="Verdana" w:cs="Verdana"/>
        </w:rPr>
      </w:pPr>
    </w:p>
    <w:p w14:paraId="5095EF3D" w14:textId="77777777" w:rsidR="00483A2C" w:rsidRDefault="00483A2C" w:rsidP="00CF7CCB">
      <w:pPr>
        <w:spacing w:after="0"/>
        <w:rPr>
          <w:rFonts w:ascii="Verdana" w:eastAsia="Verdana" w:hAnsi="Verdana" w:cs="Verdana"/>
        </w:rPr>
      </w:pPr>
    </w:p>
    <w:p w14:paraId="29DD7889" w14:textId="29684E48" w:rsidR="00CF7CCB" w:rsidRPr="004441A4" w:rsidRDefault="00D33680" w:rsidP="00CF7CCB">
      <w:pPr>
        <w:spacing w:after="0"/>
        <w:rPr>
          <w:rFonts w:ascii="Verdana" w:hAnsi="Verdana"/>
        </w:rPr>
      </w:pPr>
      <w:r w:rsidRPr="00D33680">
        <w:rPr>
          <w:noProof/>
        </w:rPr>
        <w:lastRenderedPageBreak/>
        <w:drawing>
          <wp:anchor distT="0" distB="0" distL="114300" distR="114300" simplePos="0" relativeHeight="251660288" behindDoc="0" locked="0" layoutInCell="1" allowOverlap="1" wp14:anchorId="619B1ED4" wp14:editId="691343BA">
            <wp:simplePos x="0" y="0"/>
            <wp:positionH relativeFrom="column">
              <wp:posOffset>2893695</wp:posOffset>
            </wp:positionH>
            <wp:positionV relativeFrom="paragraph">
              <wp:posOffset>55245</wp:posOffset>
            </wp:positionV>
            <wp:extent cx="2663190" cy="736600"/>
            <wp:effectExtent l="0" t="0" r="3810" b="6350"/>
            <wp:wrapSquare wrapText="bothSides"/>
            <wp:docPr id="907630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319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CCB" w:rsidRPr="30821638">
        <w:rPr>
          <w:rFonts w:ascii="Verdana" w:eastAsia="Verdana" w:hAnsi="Verdana" w:cs="Verdana"/>
        </w:rPr>
        <w:t xml:space="preserve">Bogotá D.C., </w:t>
      </w:r>
      <w:r w:rsidR="00680B82">
        <w:rPr>
          <w:rFonts w:ascii="Verdana" w:eastAsia="Verdana" w:hAnsi="Verdana" w:cs="Verdana"/>
        </w:rPr>
        <w:t>14 de agosto de 2026</w:t>
      </w:r>
      <w:r w:rsidR="00CF7CCB">
        <w:tab/>
      </w:r>
      <w:r w:rsidR="00CF7CCB">
        <w:br/>
      </w:r>
    </w:p>
    <w:p w14:paraId="3065EB39" w14:textId="77777777" w:rsidR="00CF7CCB" w:rsidRPr="004441A4" w:rsidRDefault="00CF7CCB" w:rsidP="00CF7CCB">
      <w:pPr>
        <w:spacing w:after="0" w:line="240" w:lineRule="auto"/>
        <w:rPr>
          <w:rFonts w:ascii="Verdana" w:hAnsi="Verdana"/>
        </w:rPr>
      </w:pPr>
    </w:p>
    <w:p w14:paraId="50FDC02C" w14:textId="77777777" w:rsidR="00CF7CCB" w:rsidRPr="008C5755" w:rsidRDefault="00CF7CCB" w:rsidP="00CF7CCB">
      <w:pPr>
        <w:spacing w:after="0" w:line="240" w:lineRule="auto"/>
        <w:rPr>
          <w:rFonts w:ascii="Verdana" w:eastAsia="Calibri" w:hAnsi="Verdana" w:cs="Times New Roman"/>
          <w:lang w:val="es-MX"/>
        </w:rPr>
      </w:pPr>
      <w:r w:rsidRPr="008C5755">
        <w:rPr>
          <w:rFonts w:ascii="Verdana" w:eastAsia="Calibri" w:hAnsi="Verdana" w:cs="Times New Roman"/>
          <w:lang w:val="es-MX"/>
        </w:rPr>
        <w:t>Señor</w:t>
      </w:r>
      <w:r>
        <w:rPr>
          <w:rFonts w:ascii="Verdana" w:eastAsia="Calibri" w:hAnsi="Verdana" w:cs="Times New Roman"/>
          <w:lang w:val="es-MX"/>
        </w:rPr>
        <w:t>a</w:t>
      </w:r>
      <w:r w:rsidRPr="008C5755">
        <w:rPr>
          <w:rFonts w:ascii="Verdana" w:eastAsia="Calibri" w:hAnsi="Verdana" w:cs="Times New Roman"/>
          <w:lang w:val="es-MX"/>
        </w:rPr>
        <w:t xml:space="preserve"> </w:t>
      </w:r>
    </w:p>
    <w:p w14:paraId="31C2495A" w14:textId="77777777" w:rsidR="00CF7CCB" w:rsidRDefault="00CF7CCB" w:rsidP="00CF7CCB">
      <w:pPr>
        <w:spacing w:after="0" w:line="240" w:lineRule="auto"/>
        <w:rPr>
          <w:rFonts w:ascii="Verdana" w:eastAsia="Calibri" w:hAnsi="Verdana" w:cs="Times New Roman"/>
          <w:b/>
        </w:rPr>
      </w:pPr>
      <w:r>
        <w:rPr>
          <w:rFonts w:ascii="Verdana" w:eastAsia="Calibri" w:hAnsi="Verdana" w:cs="Times New Roman"/>
          <w:b/>
        </w:rPr>
        <w:t>Angela María González Teran</w:t>
      </w:r>
    </w:p>
    <w:p w14:paraId="0584D4B8" w14:textId="77777777" w:rsidR="00CF7CCB" w:rsidRPr="00E17288" w:rsidRDefault="00CF7CCB" w:rsidP="00CF7CCB">
      <w:pPr>
        <w:spacing w:after="0" w:line="240" w:lineRule="auto"/>
        <w:rPr>
          <w:rFonts w:ascii="Verdana" w:eastAsia="Calibri" w:hAnsi="Verdana" w:cs="Times New Roman"/>
          <w:bCs/>
        </w:rPr>
      </w:pPr>
      <w:hyperlink r:id="rId12" w:history="1">
        <w:r w:rsidRPr="00E17288">
          <w:rPr>
            <w:rStyle w:val="Hipervnculo"/>
            <w:rFonts w:ascii="Verdana" w:eastAsia="Calibri" w:hAnsi="Verdana" w:cs="Times New Roman"/>
            <w:bCs/>
          </w:rPr>
          <w:t>amgonzalezt@desarrolloeconomico.gov.co</w:t>
        </w:r>
      </w:hyperlink>
    </w:p>
    <w:p w14:paraId="53E15436" w14:textId="77777777" w:rsidR="00CF7CCB" w:rsidRPr="00E17288" w:rsidRDefault="00CF7CCB" w:rsidP="00CF7CCB">
      <w:pPr>
        <w:spacing w:after="0" w:line="240" w:lineRule="auto"/>
        <w:rPr>
          <w:rFonts w:ascii="Verdana" w:eastAsia="Calibri" w:hAnsi="Verdana" w:cs="Times New Roman"/>
          <w:bCs/>
        </w:rPr>
      </w:pPr>
      <w:r w:rsidRPr="00E17288">
        <w:rPr>
          <w:rFonts w:ascii="Verdana" w:eastAsia="Calibri" w:hAnsi="Verdana" w:cs="Times New Roman"/>
          <w:bCs/>
        </w:rPr>
        <w:t>La ciudad</w:t>
      </w:r>
    </w:p>
    <w:p w14:paraId="06686C65" w14:textId="77777777" w:rsidR="00CF7CCB" w:rsidRPr="004441A4" w:rsidRDefault="00CF7CCB" w:rsidP="00CF7CCB">
      <w:pPr>
        <w:spacing w:after="0" w:line="240" w:lineRule="auto"/>
        <w:rPr>
          <w:rFonts w:ascii="Verdana" w:eastAsia="Calibri" w:hAnsi="Verdana" w:cs="Times New Roman"/>
        </w:rPr>
      </w:pPr>
    </w:p>
    <w:p w14:paraId="6F130AD2" w14:textId="77777777" w:rsidR="00CF7CCB" w:rsidRPr="004441A4" w:rsidRDefault="00CF7CCB" w:rsidP="00CF7CCB">
      <w:pPr>
        <w:spacing w:after="0" w:line="240" w:lineRule="auto"/>
        <w:rPr>
          <w:rFonts w:ascii="Verdana" w:eastAsia="Calibri" w:hAnsi="Verdana" w:cs="Times New Roman"/>
        </w:rPr>
      </w:pPr>
    </w:p>
    <w:p w14:paraId="489319F7" w14:textId="4A9255EA" w:rsidR="00CF7CCB" w:rsidRPr="004441A4" w:rsidRDefault="00CF7CCB" w:rsidP="00CF7CCB">
      <w:pPr>
        <w:spacing w:after="0" w:line="256" w:lineRule="auto"/>
        <w:rPr>
          <w:rFonts w:ascii="Verdana" w:eastAsia="Calibri" w:hAnsi="Verdana" w:cs="Times New Roman"/>
          <w:b/>
          <w:bCs/>
          <w:lang w:val="es-ES"/>
        </w:rPr>
      </w:pPr>
      <w:r w:rsidRPr="004441A4">
        <w:rPr>
          <w:rFonts w:ascii="Verdana" w:eastAsia="Calibri" w:hAnsi="Verdana" w:cs="Times New Roman"/>
          <w:b/>
          <w:bCs/>
          <w:lang w:val="es-ES"/>
        </w:rPr>
        <w:t xml:space="preserve">                                    Concepto C</w:t>
      </w:r>
      <w:r w:rsidR="00811A7D">
        <w:rPr>
          <w:rFonts w:ascii="Verdana" w:eastAsia="Calibri" w:hAnsi="Verdana" w:cs="Times New Roman"/>
          <w:b/>
          <w:bCs/>
          <w:lang w:val="es-ES"/>
        </w:rPr>
        <w:t>-</w:t>
      </w:r>
      <w:r w:rsidRPr="004441A4">
        <w:rPr>
          <w:rFonts w:ascii="Verdana" w:eastAsia="Calibri" w:hAnsi="Verdana" w:cs="Times New Roman"/>
          <w:b/>
          <w:bCs/>
          <w:lang w:val="es-ES"/>
        </w:rPr>
        <w:t>1058 de 2026</w:t>
      </w:r>
    </w:p>
    <w:p w14:paraId="4E58065A" w14:textId="77777777" w:rsidR="00CF7CCB" w:rsidRPr="004441A4" w:rsidRDefault="00CF7CCB" w:rsidP="00CF7CCB">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CF7CCB" w:rsidRPr="004441A4" w14:paraId="19D82F50" w14:textId="77777777" w:rsidTr="008E7798">
        <w:trPr>
          <w:trHeight w:val="645"/>
        </w:trPr>
        <w:tc>
          <w:tcPr>
            <w:tcW w:w="2685" w:type="dxa"/>
            <w:hideMark/>
          </w:tcPr>
          <w:p w14:paraId="21F87A92" w14:textId="77777777" w:rsidR="00CF7CCB" w:rsidRPr="004441A4" w:rsidRDefault="00CF7CCB" w:rsidP="008E7798">
            <w:pPr>
              <w:spacing w:line="256" w:lineRule="auto"/>
              <w:rPr>
                <w:rFonts w:ascii="Verdana" w:hAnsi="Verdana"/>
                <w:b/>
                <w:bCs/>
                <w:lang w:val="es-ES_tradnl"/>
              </w:rPr>
            </w:pPr>
            <w:r w:rsidRPr="004441A4">
              <w:rPr>
                <w:rFonts w:ascii="Verdana" w:hAnsi="Verdana"/>
                <w:b/>
                <w:bCs/>
                <w:lang w:val="es-ES_tradnl"/>
              </w:rPr>
              <w:t xml:space="preserve">Temas:                   </w:t>
            </w:r>
          </w:p>
        </w:tc>
        <w:tc>
          <w:tcPr>
            <w:tcW w:w="6241" w:type="dxa"/>
            <w:hideMark/>
          </w:tcPr>
          <w:p w14:paraId="5482FEA4" w14:textId="7AFBE145" w:rsidR="00CF7CCB" w:rsidRPr="004441A4" w:rsidRDefault="00CF7CCB" w:rsidP="008E7798">
            <w:pPr>
              <w:spacing w:line="276" w:lineRule="auto"/>
              <w:jc w:val="both"/>
              <w:rPr>
                <w:rFonts w:ascii="Verdana" w:hAnsi="Verdana" w:cs="Arial"/>
                <w:bCs/>
                <w:lang w:val="es-MX" w:eastAsia="es-ES"/>
              </w:rPr>
            </w:pPr>
            <w:r w:rsidRPr="004441A4">
              <w:rPr>
                <w:rFonts w:ascii="Verdana" w:hAnsi="Verdana" w:cs="Arial"/>
                <w:bCs/>
                <w:lang w:val="es-MX" w:eastAsia="es-ES"/>
              </w:rPr>
              <w:t>REQUISITOS HABILITANTES – Capacidad financiera – Autonomía de la entidad / CAPACIDAD FINANCIERA – Definición – Indicadores / UTILIDAD OPERACIONAL – Definición - Razón de Cobertura de Interés / CAPACIDAD ORGANIZACIONAL – Utilidad operacional – Renta del activo – Renta del Patrimonio</w:t>
            </w:r>
            <w:r>
              <w:rPr>
                <w:rFonts w:ascii="Verdana" w:hAnsi="Verdana" w:cs="Arial"/>
                <w:bCs/>
                <w:lang w:val="es-MX" w:eastAsia="es-ES"/>
              </w:rPr>
              <w:t xml:space="preserve"> / ENTIDADES SIN ÁNIMO DE LUCRO – Sin ánimo de lucro – Utilidad operacional</w:t>
            </w:r>
            <w:r w:rsidRPr="004441A4">
              <w:rPr>
                <w:rFonts w:ascii="Verdana" w:hAnsi="Verdana" w:cs="Arial"/>
                <w:bCs/>
                <w:lang w:val="es-MX" w:eastAsia="es-ES"/>
              </w:rPr>
              <w:t xml:space="preserve"> / CAPACIDAD FINANCIERA – Razón de cobertura de interés</w:t>
            </w:r>
          </w:p>
        </w:tc>
        <w:tc>
          <w:tcPr>
            <w:tcW w:w="6237" w:type="dxa"/>
          </w:tcPr>
          <w:p w14:paraId="406FBDFB" w14:textId="77777777" w:rsidR="00CF7CCB" w:rsidRPr="004441A4" w:rsidRDefault="00CF7CCB" w:rsidP="008E7798">
            <w:pPr>
              <w:spacing w:line="256" w:lineRule="auto"/>
              <w:rPr>
                <w:rFonts w:ascii="Verdana" w:hAnsi="Verdana"/>
              </w:rPr>
            </w:pPr>
          </w:p>
        </w:tc>
      </w:tr>
      <w:tr w:rsidR="00CF7CCB" w:rsidRPr="004441A4" w14:paraId="7627EFDC" w14:textId="77777777" w:rsidTr="008E7798">
        <w:tc>
          <w:tcPr>
            <w:tcW w:w="2685" w:type="dxa"/>
          </w:tcPr>
          <w:p w14:paraId="159BBD79" w14:textId="77777777" w:rsidR="00CF7CCB" w:rsidRPr="004441A4" w:rsidRDefault="00CF7CCB" w:rsidP="008E7798">
            <w:pPr>
              <w:spacing w:line="256" w:lineRule="auto"/>
              <w:rPr>
                <w:rFonts w:ascii="Verdana" w:hAnsi="Verdana"/>
                <w:lang w:val="es-ES_tradnl"/>
              </w:rPr>
            </w:pPr>
          </w:p>
          <w:p w14:paraId="12C08148" w14:textId="77777777" w:rsidR="00CF7CCB" w:rsidRPr="004441A4" w:rsidRDefault="00CF7CCB" w:rsidP="008E7798">
            <w:pPr>
              <w:spacing w:line="256" w:lineRule="auto"/>
              <w:rPr>
                <w:rFonts w:ascii="Verdana" w:hAnsi="Verdana"/>
                <w:lang w:val="es-ES_tradnl"/>
              </w:rPr>
            </w:pPr>
          </w:p>
          <w:p w14:paraId="7E2C7514" w14:textId="77777777" w:rsidR="00CF7CCB" w:rsidRPr="004441A4" w:rsidRDefault="00CF7CCB" w:rsidP="008E7798">
            <w:pPr>
              <w:spacing w:line="256" w:lineRule="auto"/>
              <w:rPr>
                <w:rFonts w:ascii="Verdana" w:hAnsi="Verdana"/>
                <w:b/>
                <w:bCs/>
                <w:lang w:val="es-ES_tradnl"/>
              </w:rPr>
            </w:pPr>
            <w:r w:rsidRPr="004441A4">
              <w:rPr>
                <w:rFonts w:ascii="Verdana" w:hAnsi="Verdana"/>
                <w:b/>
                <w:bCs/>
                <w:lang w:val="es-ES_tradnl"/>
              </w:rPr>
              <w:t xml:space="preserve">Radicación:               </w:t>
            </w:r>
          </w:p>
        </w:tc>
        <w:tc>
          <w:tcPr>
            <w:tcW w:w="6241" w:type="dxa"/>
          </w:tcPr>
          <w:p w14:paraId="0A947CE0" w14:textId="77777777" w:rsidR="00CF7CCB" w:rsidRPr="004441A4" w:rsidRDefault="00CF7CCB" w:rsidP="008E7798">
            <w:pPr>
              <w:spacing w:line="257" w:lineRule="auto"/>
              <w:rPr>
                <w:rFonts w:ascii="Verdana" w:hAnsi="Verdana"/>
                <w:lang w:val="es-ES_tradnl"/>
              </w:rPr>
            </w:pPr>
          </w:p>
          <w:p w14:paraId="7D87538B" w14:textId="77777777" w:rsidR="00CF7CCB" w:rsidRPr="004441A4" w:rsidRDefault="00CF7CCB" w:rsidP="008E7798">
            <w:pPr>
              <w:spacing w:line="257" w:lineRule="auto"/>
              <w:rPr>
                <w:rFonts w:ascii="Verdana" w:hAnsi="Verdana"/>
                <w:lang w:val="es-ES_tradnl"/>
              </w:rPr>
            </w:pPr>
          </w:p>
          <w:p w14:paraId="4B9D0836" w14:textId="77777777" w:rsidR="00CF7CCB" w:rsidRPr="004441A4" w:rsidRDefault="00CF7CCB" w:rsidP="008E7798">
            <w:pPr>
              <w:spacing w:line="257" w:lineRule="auto"/>
              <w:jc w:val="both"/>
              <w:rPr>
                <w:rFonts w:ascii="Verdana" w:hAnsi="Verdana"/>
              </w:rPr>
            </w:pPr>
            <w:r w:rsidRPr="004441A4">
              <w:rPr>
                <w:rFonts w:ascii="Verdana" w:hAnsi="Verdana"/>
                <w:lang w:val="es-ES_tradnl"/>
              </w:rPr>
              <w:t xml:space="preserve">Respuesta a consulta con radicados No. </w:t>
            </w:r>
            <w:r w:rsidRPr="004441A4">
              <w:rPr>
                <w:rFonts w:ascii="Verdana" w:hAnsi="Verdana"/>
              </w:rPr>
              <w:t xml:space="preserve">1_2026_07_02_008846 y 1_2026_07_02_008847 (acumulados) </w:t>
            </w:r>
          </w:p>
          <w:p w14:paraId="6250DE40" w14:textId="77777777" w:rsidR="00CF7CCB" w:rsidRPr="004441A4" w:rsidRDefault="00CF7CCB" w:rsidP="008E7798">
            <w:pPr>
              <w:spacing w:line="257" w:lineRule="auto"/>
              <w:jc w:val="both"/>
              <w:rPr>
                <w:rFonts w:ascii="Verdana" w:hAnsi="Verdana"/>
              </w:rPr>
            </w:pPr>
          </w:p>
          <w:p w14:paraId="536B26E6" w14:textId="77777777" w:rsidR="00CF7CCB" w:rsidRPr="004441A4" w:rsidRDefault="00CF7CCB" w:rsidP="008E7798">
            <w:pPr>
              <w:spacing w:line="257" w:lineRule="auto"/>
              <w:jc w:val="both"/>
              <w:rPr>
                <w:rFonts w:ascii="Verdana" w:hAnsi="Verdana"/>
              </w:rPr>
            </w:pPr>
          </w:p>
        </w:tc>
        <w:tc>
          <w:tcPr>
            <w:tcW w:w="6237" w:type="dxa"/>
          </w:tcPr>
          <w:p w14:paraId="50C023BD" w14:textId="77777777" w:rsidR="00CF7CCB" w:rsidRPr="004441A4" w:rsidRDefault="00CF7CCB" w:rsidP="008E7798">
            <w:pPr>
              <w:spacing w:line="256" w:lineRule="auto"/>
              <w:rPr>
                <w:rFonts w:ascii="Verdana" w:hAnsi="Verdana"/>
                <w:lang w:val="es-ES_tradnl"/>
              </w:rPr>
            </w:pPr>
          </w:p>
        </w:tc>
      </w:tr>
    </w:tbl>
    <w:p w14:paraId="7529C1D5" w14:textId="77777777" w:rsidR="00CF7CCB" w:rsidRPr="004441A4" w:rsidRDefault="00CF7CCB" w:rsidP="00CF7CCB">
      <w:pPr>
        <w:spacing w:after="0" w:line="256" w:lineRule="auto"/>
        <w:rPr>
          <w:rFonts w:ascii="Verdana" w:eastAsia="Calibri" w:hAnsi="Verdana" w:cs="Times New Roman"/>
          <w:lang w:val="es-ES"/>
        </w:rPr>
      </w:pPr>
      <w:r w:rsidRPr="004441A4">
        <w:rPr>
          <w:rFonts w:ascii="Verdana" w:eastAsia="Calibri" w:hAnsi="Verdana" w:cs="Times New Roman"/>
          <w:lang w:val="es-ES"/>
        </w:rPr>
        <w:t xml:space="preserve">Estimada Señora Angela: </w:t>
      </w:r>
    </w:p>
    <w:p w14:paraId="5DFDEC68" w14:textId="77777777" w:rsidR="00CF7CCB" w:rsidRPr="004441A4" w:rsidRDefault="00CF7CCB" w:rsidP="00CF7CCB">
      <w:pPr>
        <w:spacing w:after="0" w:line="276" w:lineRule="auto"/>
        <w:rPr>
          <w:rFonts w:ascii="Verdana" w:eastAsia="Calibri" w:hAnsi="Verdana" w:cs="Times New Roman"/>
          <w:lang w:val="es-ES"/>
        </w:rPr>
      </w:pPr>
    </w:p>
    <w:p w14:paraId="71633E80" w14:textId="77777777" w:rsidR="00CF7CCB" w:rsidRPr="004441A4" w:rsidRDefault="00CF7CCB" w:rsidP="00CF7CCB">
      <w:pPr>
        <w:spacing w:after="0" w:line="276" w:lineRule="auto"/>
        <w:jc w:val="both"/>
        <w:rPr>
          <w:rFonts w:ascii="Verdana" w:eastAsia="Calibri" w:hAnsi="Verdana" w:cs="Times New Roman"/>
          <w:bCs/>
          <w:lang w:val="es-ES" w:bidi="es-ES"/>
        </w:rPr>
      </w:pPr>
      <w:r w:rsidRPr="004441A4">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4441A4">
        <w:rPr>
          <w:rFonts w:ascii="Verdana" w:eastAsia="Calibri" w:hAnsi="Verdana" w:cs="Times New Roman"/>
          <w:bCs/>
          <w:lang w:bidi="es-ES"/>
        </w:rPr>
        <w:t>N°</w:t>
      </w:r>
      <w:proofErr w:type="spellEnd"/>
      <w:r w:rsidRPr="004441A4">
        <w:rPr>
          <w:rFonts w:ascii="Verdana" w:eastAsia="Calibri" w:hAnsi="Verdana" w:cs="Times New Roman"/>
          <w:bCs/>
          <w:lang w:bidi="es-ES"/>
        </w:rPr>
        <w:t xml:space="preserve"> 469 del 2025 expedida por esta Agencia, </w:t>
      </w:r>
      <w:r w:rsidRPr="004441A4">
        <w:rPr>
          <w:rFonts w:ascii="Verdana" w:eastAsia="Calibri" w:hAnsi="Verdana" w:cs="Times New Roman"/>
          <w:bCs/>
          <w:lang w:val="es-ES" w:bidi="es-ES"/>
        </w:rPr>
        <w:t xml:space="preserve">responde las solicitudes de consulta del 2 de julio de 2026, en la cual manifiesta: </w:t>
      </w:r>
    </w:p>
    <w:p w14:paraId="0761A3D9" w14:textId="77777777" w:rsidR="00CF7CCB" w:rsidRPr="004441A4" w:rsidRDefault="00CF7CCB" w:rsidP="00CF7CCB">
      <w:pPr>
        <w:spacing w:after="0" w:line="276" w:lineRule="auto"/>
        <w:jc w:val="both"/>
        <w:rPr>
          <w:rFonts w:ascii="Verdana" w:eastAsia="Calibri" w:hAnsi="Verdana" w:cs="Times New Roman"/>
          <w:bCs/>
          <w:lang w:val="es-ES" w:bidi="es-ES"/>
        </w:rPr>
      </w:pPr>
    </w:p>
    <w:p w14:paraId="47D76C4F"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Cs/>
          <w:sz w:val="20"/>
          <w:szCs w:val="20"/>
          <w:lang w:bidi="es-ES"/>
        </w:rPr>
        <w:lastRenderedPageBreak/>
        <w:t>“</w:t>
      </w:r>
      <w:r w:rsidRPr="004441A4">
        <w:rPr>
          <w:rFonts w:ascii="Verdana" w:eastAsia="Calibri" w:hAnsi="Verdana" w:cs="Times New Roman"/>
          <w:b/>
          <w:sz w:val="20"/>
          <w:szCs w:val="20"/>
          <w:lang w:bidi="es-ES"/>
        </w:rPr>
        <w:t>Primero.</w:t>
      </w:r>
      <w:r w:rsidRPr="004441A4">
        <w:rPr>
          <w:rFonts w:ascii="Verdana" w:eastAsia="Calibri" w:hAnsi="Verdana" w:cs="Times New Roman"/>
          <w:bCs/>
          <w:sz w:val="20"/>
          <w:szCs w:val="20"/>
          <w:lang w:bidi="es-ES"/>
        </w:rPr>
        <w:t xml:space="preserve"> El artículo 2.2.1.1.1.5.3 del Decreto 1082 de 2015 contempla, para efectos de la evaluación de la capacidad financiera y la capacidad organizacional, los indicadores de rentabilidad del patrimonio (ROE),</w:t>
      </w:r>
    </w:p>
    <w:p w14:paraId="2E63008C"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Cs/>
          <w:sz w:val="20"/>
          <w:szCs w:val="20"/>
          <w:lang w:bidi="es-ES"/>
        </w:rPr>
        <w:t>rentabilidad del activo (ROA) y razón de cobertura de intereses, los cuales dependen de la utilidad o de la utilidad operacional del proponente. Por su parte, la doctrina expedida por esa Agencia para los procesos regulados por el Decreto 092 de 2017 reconoce que la evaluación de la capacidad financiera de las entidades sin ánimo de lucro puede requerir metodologías acordes con su naturaleza jurídica y financiera.</w:t>
      </w:r>
    </w:p>
    <w:p w14:paraId="2718B947"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Cs/>
          <w:sz w:val="20"/>
          <w:szCs w:val="20"/>
          <w:lang w:bidi="es-ES"/>
        </w:rPr>
        <w:t>¿Resulta jurídicamente viable que, en procesos sometidos al régimen general de contratación estatal, las entidades estatales sustituyan, exclusivamente para las entidades sin ánimo de lucro, los indicadores cuya</w:t>
      </w:r>
    </w:p>
    <w:p w14:paraId="7A889807"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Cs/>
          <w:sz w:val="20"/>
          <w:szCs w:val="20"/>
          <w:lang w:bidi="es-ES"/>
        </w:rPr>
        <w:t>metodología depende de la utilidad o de la utilidad operacional por los indicadores o metodologías propuestos por esa Agencia para los procesos regulados por el Decreto 092 de 2017, cuando el estudio del sector demuestre que la aplicación de los primeros genera la exclusión sistemática de las ESAL que hacen parte del mercado relevante?</w:t>
      </w:r>
    </w:p>
    <w:p w14:paraId="653D506F"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
          <w:sz w:val="20"/>
          <w:szCs w:val="20"/>
          <w:lang w:bidi="es-ES"/>
        </w:rPr>
        <w:t>Segundo.</w:t>
      </w:r>
      <w:r w:rsidRPr="004441A4">
        <w:rPr>
          <w:rFonts w:ascii="Verdana" w:eastAsia="Calibri" w:hAnsi="Verdana" w:cs="Times New Roman"/>
          <w:bCs/>
          <w:sz w:val="20"/>
          <w:szCs w:val="20"/>
          <w:lang w:bidi="es-ES"/>
        </w:rPr>
        <w:t xml:space="preserve"> En caso de considerar que dicha sustitución no resulta jurídicamente viable, ¿qué alternativa jurídica tienen las entidades estatales para evitar la exclusión sistemática de las entidades sin ánimo de lucro que hacen parte del mercado relevante, cuando dicha exclusión obedece a la aplicación de indicadores cuya metodología depende de la utilidad o de la utilidad operacional y no a una insuficiente capacidad para ejecutar el contrato?</w:t>
      </w:r>
    </w:p>
    <w:p w14:paraId="7C4390F5"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
          <w:sz w:val="20"/>
          <w:szCs w:val="20"/>
          <w:lang w:bidi="es-ES"/>
        </w:rPr>
        <w:t>Tercero</w:t>
      </w:r>
      <w:r w:rsidRPr="004441A4">
        <w:rPr>
          <w:rFonts w:ascii="Verdana" w:eastAsia="Calibri" w:hAnsi="Verdana" w:cs="Times New Roman"/>
          <w:bCs/>
          <w:sz w:val="20"/>
          <w:szCs w:val="20"/>
          <w:lang w:bidi="es-ES"/>
        </w:rPr>
        <w:t>. ¿Considera esa Agencia que la exclusión sistemática de las entidades sin ánimo de lucro derivada de la aplicación de indicadores cuya metodología responde a un modelo económico propio de las entidades con ánimo de lucro resulta compatible con la finalidad prevista en el artículo 5 de la Ley 1150 de 2007 y con los principios de igualdad material, selección objetiva, libre concurrencia y pluralidad de oferentes?</w:t>
      </w:r>
    </w:p>
    <w:p w14:paraId="471CF0A7"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
          <w:sz w:val="20"/>
          <w:szCs w:val="20"/>
          <w:lang w:bidi="es-ES"/>
        </w:rPr>
        <w:t>Cuarto.</w:t>
      </w:r>
      <w:r w:rsidRPr="004441A4">
        <w:rPr>
          <w:rFonts w:ascii="Verdana" w:eastAsia="Calibri" w:hAnsi="Verdana" w:cs="Times New Roman"/>
          <w:bCs/>
          <w:sz w:val="20"/>
          <w:szCs w:val="20"/>
          <w:lang w:bidi="es-ES"/>
        </w:rPr>
        <w:t xml:space="preserve"> En caso de considerar que no es jurídicamente viable sustituir dichos indicadores ni establecer metodologías diferenciadas para las entidades sin ánimo de lucro, ¿cómo debe estructurar una entidad estatal</w:t>
      </w:r>
    </w:p>
    <w:p w14:paraId="3C491501" w14:textId="77777777" w:rsidR="00CF7CCB" w:rsidRPr="004441A4" w:rsidRDefault="00CF7CCB" w:rsidP="00CF7CCB">
      <w:pPr>
        <w:spacing w:after="0" w:line="240" w:lineRule="auto"/>
        <w:ind w:left="709" w:right="709"/>
        <w:jc w:val="both"/>
        <w:rPr>
          <w:rFonts w:ascii="Verdana" w:eastAsia="Calibri" w:hAnsi="Verdana" w:cs="Times New Roman"/>
          <w:bCs/>
          <w:sz w:val="20"/>
          <w:szCs w:val="20"/>
          <w:lang w:bidi="es-ES"/>
        </w:rPr>
      </w:pPr>
      <w:r w:rsidRPr="004441A4">
        <w:rPr>
          <w:rFonts w:ascii="Verdana" w:eastAsia="Calibri" w:hAnsi="Verdana" w:cs="Times New Roman"/>
          <w:bCs/>
          <w:sz w:val="20"/>
          <w:szCs w:val="20"/>
          <w:lang w:bidi="es-ES"/>
        </w:rPr>
        <w:t>los requisitos habilitantes en aquellos mercados donde concurren simultáneamente sociedades comerciales y entidades sin ánimo de lucro, de manera que los indicadores permitan evaluar objetivamente la capacidad financiera de ambos tipos de entidades sin producir la exclusión sistemática de las ESAL?”</w:t>
      </w:r>
    </w:p>
    <w:p w14:paraId="5AB79523" w14:textId="77777777" w:rsidR="00CF7CCB" w:rsidRPr="004441A4" w:rsidRDefault="00CF7CCB" w:rsidP="00CF7CCB">
      <w:pPr>
        <w:spacing w:after="0" w:line="240" w:lineRule="auto"/>
        <w:ind w:right="709"/>
        <w:jc w:val="both"/>
        <w:rPr>
          <w:rFonts w:ascii="Verdana" w:eastAsia="Calibri" w:hAnsi="Verdana" w:cs="Times New Roman"/>
          <w:bCs/>
          <w:sz w:val="21"/>
          <w:szCs w:val="21"/>
          <w:lang w:bidi="es-ES"/>
        </w:rPr>
      </w:pPr>
    </w:p>
    <w:p w14:paraId="4FE14E62" w14:textId="77777777" w:rsidR="00CF7CCB" w:rsidRPr="004441A4" w:rsidRDefault="00CF7CCB" w:rsidP="00CF7CCB">
      <w:pPr>
        <w:spacing w:after="120" w:line="276" w:lineRule="auto"/>
        <w:ind w:firstLine="709"/>
        <w:jc w:val="both"/>
        <w:rPr>
          <w:rFonts w:ascii="Verdana" w:eastAsia="Calibri" w:hAnsi="Verdana" w:cs="Times New Roman"/>
          <w:lang w:val="es-ES"/>
        </w:rPr>
      </w:pPr>
      <w:r w:rsidRPr="004441A4">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4441A4">
        <w:rPr>
          <w:rFonts w:ascii="Verdana" w:eastAsia="Calibri" w:hAnsi="Verdana" w:cs="Times New Roman"/>
          <w:lang w:val="es-ES"/>
        </w:rPr>
        <w:lastRenderedPageBreak/>
        <w:t>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188EA4F" w14:textId="77777777" w:rsidR="00CF7CCB" w:rsidRPr="004441A4" w:rsidRDefault="00CF7CCB" w:rsidP="00CF7CCB">
      <w:pPr>
        <w:spacing w:after="0" w:line="276" w:lineRule="auto"/>
        <w:ind w:firstLine="708"/>
        <w:jc w:val="both"/>
        <w:rPr>
          <w:rFonts w:ascii="Verdana" w:eastAsia="Calibri" w:hAnsi="Verdana" w:cs="Times New Roman"/>
          <w:lang w:val="es-ES"/>
        </w:rPr>
      </w:pPr>
      <w:r w:rsidRPr="004441A4">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4C9190F8" w14:textId="77777777" w:rsidR="00CF7CCB" w:rsidRPr="004441A4" w:rsidRDefault="00CF7CCB" w:rsidP="00CF7CCB">
      <w:pPr>
        <w:spacing w:after="0" w:line="276" w:lineRule="auto"/>
        <w:rPr>
          <w:rFonts w:ascii="Verdana" w:eastAsia="Calibri" w:hAnsi="Verdana" w:cs="Times New Roman"/>
          <w:lang w:val="es-ES"/>
        </w:rPr>
      </w:pPr>
    </w:p>
    <w:p w14:paraId="077363BF" w14:textId="77777777" w:rsidR="00CF7CCB" w:rsidRPr="004441A4" w:rsidRDefault="00CF7CCB" w:rsidP="00CF7CCB">
      <w:pPr>
        <w:numPr>
          <w:ilvl w:val="0"/>
          <w:numId w:val="16"/>
        </w:numPr>
        <w:spacing w:after="0" w:line="276" w:lineRule="auto"/>
        <w:rPr>
          <w:rFonts w:ascii="Verdana" w:eastAsia="Calibri" w:hAnsi="Verdana" w:cs="Times New Roman"/>
          <w:b/>
          <w:bCs/>
          <w:lang w:val="es-ES"/>
        </w:rPr>
      </w:pPr>
      <w:r w:rsidRPr="004441A4">
        <w:rPr>
          <w:rFonts w:ascii="Verdana" w:eastAsia="Calibri" w:hAnsi="Verdana" w:cs="Times New Roman"/>
          <w:b/>
          <w:bCs/>
          <w:lang w:val="es-ES"/>
        </w:rPr>
        <w:t>Problema planteado:</w:t>
      </w:r>
    </w:p>
    <w:p w14:paraId="70C64E35" w14:textId="77777777" w:rsidR="00CF7CCB" w:rsidRPr="004441A4" w:rsidRDefault="00CF7CCB" w:rsidP="00CF7CCB">
      <w:pPr>
        <w:spacing w:after="0" w:line="276" w:lineRule="auto"/>
        <w:rPr>
          <w:rFonts w:ascii="Verdana" w:eastAsia="Calibri" w:hAnsi="Verdana" w:cs="Times New Roman"/>
        </w:rPr>
      </w:pPr>
    </w:p>
    <w:p w14:paraId="02B32D76" w14:textId="77777777" w:rsidR="00CF7CCB" w:rsidRPr="004441A4" w:rsidRDefault="00CF7CCB" w:rsidP="00CF7CCB">
      <w:pPr>
        <w:spacing w:after="0" w:line="276" w:lineRule="auto"/>
        <w:jc w:val="both"/>
        <w:rPr>
          <w:rFonts w:ascii="Verdana" w:eastAsia="Calibri" w:hAnsi="Verdana"/>
        </w:rPr>
      </w:pPr>
      <w:r w:rsidRPr="004441A4">
        <w:rPr>
          <w:rFonts w:ascii="Verdana" w:eastAsia="Calibri" w:hAnsi="Verdana" w:cs="Times New Roman"/>
        </w:rPr>
        <w:t xml:space="preserve">De acuerdo con el contenido de sus solicitudes, la Agencia procede a resolver los siguientes problemas jurídicos: i) </w:t>
      </w:r>
      <w:r w:rsidRPr="004441A4">
        <w:rPr>
          <w:rFonts w:ascii="Verdana" w:eastAsia="Calibri" w:hAnsi="Verdana"/>
        </w:rPr>
        <w:t xml:space="preserve">¿Es procedente que, en los procesos sometidos al régimen general de contratación estatal, las entidades públicas sustituyan —exclusivamente para las entidades sin ánimo de lucro (ESAL)— los indicadores basados en utilidad operacional previstos en el Decreto 1082 de 2015, por metodologías alternativas diseñadas para el Decreto 092 de 2017?; </w:t>
      </w:r>
      <w:proofErr w:type="spellStart"/>
      <w:r w:rsidRPr="004441A4">
        <w:rPr>
          <w:rFonts w:ascii="Verdana" w:eastAsia="Calibri" w:hAnsi="Verdana"/>
        </w:rPr>
        <w:t>ii</w:t>
      </w:r>
      <w:proofErr w:type="spellEnd"/>
      <w:r w:rsidRPr="004441A4">
        <w:rPr>
          <w:rFonts w:ascii="Verdana" w:eastAsia="Calibri" w:hAnsi="Verdana"/>
        </w:rPr>
        <w:t xml:space="preserve">) </w:t>
      </w:r>
      <w:r w:rsidRPr="004441A4">
        <w:rPr>
          <w:rFonts w:ascii="Verdana" w:eastAsia="Calibri" w:hAnsi="Verdana" w:cs="Times New Roman"/>
        </w:rPr>
        <w:t>¿qué mecanismos normativos, metodológicos o de estructuración contractual pueden emplear las entidades estatales para evitar la exclusión sistemática de las ESAL en los procesos de selección, cuando no obedece a una insuficiente capacidad para ejecutar el contrato, sino a la aplicación de indicadores diseñados para otro tipo de entidades?</w:t>
      </w:r>
      <w:r w:rsidRPr="004441A4">
        <w:rPr>
          <w:rFonts w:ascii="Verdana" w:eastAsia="Calibri" w:hAnsi="Verdana"/>
        </w:rPr>
        <w:t xml:space="preserve">; </w:t>
      </w:r>
      <w:proofErr w:type="spellStart"/>
      <w:r w:rsidRPr="004441A4">
        <w:rPr>
          <w:rFonts w:ascii="Verdana" w:eastAsia="Calibri" w:hAnsi="Verdana"/>
        </w:rPr>
        <w:t>iii</w:t>
      </w:r>
      <w:proofErr w:type="spellEnd"/>
      <w:r w:rsidRPr="004441A4">
        <w:rPr>
          <w:rFonts w:ascii="Verdana" w:eastAsia="Calibri" w:hAnsi="Verdana"/>
        </w:rPr>
        <w:t>)</w:t>
      </w:r>
      <w:r w:rsidRPr="004441A4">
        <w:rPr>
          <w:rFonts w:ascii="Verdana" w:eastAsia="Calibri" w:hAnsi="Verdana" w:cs="Times New Roman"/>
        </w:rPr>
        <w:t xml:space="preserve"> ¿cómo deben estructurarse los requisitos habilitantes en mercados donde concurren sociedades comerciales y ESAL, de manera que los indicadores permitan evaluar de forma objetiva la capacidad financiera de ambos tipos de entidades sin generar exclusiones injustificadas?</w:t>
      </w:r>
    </w:p>
    <w:p w14:paraId="2EE3B20E" w14:textId="77777777" w:rsidR="00CF7CCB" w:rsidRPr="004441A4" w:rsidRDefault="00CF7CCB" w:rsidP="00CF7CCB">
      <w:pPr>
        <w:spacing w:after="0" w:line="276" w:lineRule="auto"/>
        <w:jc w:val="both"/>
        <w:rPr>
          <w:rFonts w:ascii="Verdana" w:eastAsia="Calibri" w:hAnsi="Verdana" w:cs="Times New Roman"/>
          <w:i/>
          <w:iCs/>
          <w:lang w:val="es-ES"/>
        </w:rPr>
      </w:pPr>
    </w:p>
    <w:p w14:paraId="703280AD" w14:textId="77777777" w:rsidR="00CF7CCB" w:rsidRPr="004441A4" w:rsidRDefault="00CF7CCB" w:rsidP="00CF7CCB">
      <w:pPr>
        <w:numPr>
          <w:ilvl w:val="0"/>
          <w:numId w:val="16"/>
        </w:numPr>
        <w:spacing w:after="0" w:line="256" w:lineRule="auto"/>
        <w:contextualSpacing/>
        <w:rPr>
          <w:rFonts w:ascii="Verdana" w:eastAsia="Calibri" w:hAnsi="Verdana" w:cs="Times New Roman"/>
          <w:b/>
          <w:bCs/>
          <w:lang w:val="es-ES"/>
        </w:rPr>
      </w:pPr>
      <w:r w:rsidRPr="004441A4">
        <w:rPr>
          <w:rFonts w:ascii="Verdana" w:eastAsia="Calibri" w:hAnsi="Verdana" w:cs="Times New Roman"/>
          <w:b/>
          <w:bCs/>
          <w:lang w:val="es-ES"/>
        </w:rPr>
        <w:t>Respuesta:</w:t>
      </w:r>
    </w:p>
    <w:p w14:paraId="5C7F6987" w14:textId="77777777" w:rsidR="00CF7CCB" w:rsidRPr="004441A4" w:rsidRDefault="00CF7CCB" w:rsidP="00CF7CCB">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CF7CCB" w:rsidRPr="004441A4" w14:paraId="2AF2B1DA" w14:textId="77777777" w:rsidTr="008E7798">
        <w:trPr>
          <w:trHeight w:val="345"/>
          <w:jc w:val="center"/>
        </w:trPr>
        <w:tc>
          <w:tcPr>
            <w:tcW w:w="8784" w:type="dxa"/>
            <w:tcBorders>
              <w:bottom w:val="single" w:sz="4" w:space="0" w:color="auto"/>
            </w:tcBorders>
          </w:tcPr>
          <w:p w14:paraId="1F00437A" w14:textId="77777777" w:rsidR="00CF7CCB" w:rsidRPr="004441A4" w:rsidRDefault="00CF7CCB" w:rsidP="008E7798">
            <w:pPr>
              <w:spacing w:after="120" w:line="276" w:lineRule="auto"/>
              <w:jc w:val="both"/>
              <w:rPr>
                <w:rFonts w:ascii="Verdana" w:eastAsia="Calibri" w:hAnsi="Verdana" w:cs="Times New Roman"/>
              </w:rPr>
            </w:pPr>
            <w:r w:rsidRPr="004441A4">
              <w:rPr>
                <w:rFonts w:ascii="Verdana" w:eastAsia="Calibri" w:hAnsi="Verdana" w:cs="Times New Roman"/>
              </w:rPr>
              <w:lastRenderedPageBreak/>
              <w:t>En cuanto a los problemas jurídicos, objeto de consulta, se señala lo siguiente:</w:t>
            </w:r>
          </w:p>
          <w:p w14:paraId="68295438" w14:textId="77777777" w:rsidR="00CF7CCB" w:rsidRPr="004441A4" w:rsidRDefault="00CF7CCB" w:rsidP="008E7798">
            <w:pPr>
              <w:spacing w:after="120" w:line="276" w:lineRule="auto"/>
              <w:jc w:val="both"/>
              <w:rPr>
                <w:rFonts w:ascii="Verdana" w:hAnsi="Verdana" w:cs="Arial"/>
                <w:lang w:eastAsia="es-ES"/>
              </w:rPr>
            </w:pPr>
            <w:r w:rsidRPr="004441A4">
              <w:rPr>
                <w:rFonts w:ascii="Verdana" w:hAnsi="Verdana" w:cs="Arial"/>
                <w:lang w:eastAsia="es-ES"/>
              </w:rPr>
              <w:t xml:space="preserve">i. En relación con el primer problema jurídico, se precisa que no es procedente que las entidades sometidas al régimen general de contratación estatal sustituyan, únicamente para las ESAL, los indicadores basados en una de las variables, como es la utilidad operacional previstos en el Decreto 1082 de 2015 por metodologías diseñadas para el Decreto 092 de 2017. De acuerdo con las razones de la respuesta se detalla que la sustitución de los indicadores no es procedente en los procesos sometidos al régimen general, porque los parámetros del Decreto 092 responden a un régimen especial de contratación con ESAL y no pueden trasladarse automáticamente al régimen general. Esta prohibición se fundamenta en la necesidad de preservar la selección objetiva y la igualdad de trato entre todos los proponentes, independiente de la forma organizativa, ya sea ESAL, </w:t>
            </w:r>
            <w:proofErr w:type="spellStart"/>
            <w:r w:rsidRPr="004441A4">
              <w:rPr>
                <w:rFonts w:ascii="Verdana" w:hAnsi="Verdana" w:cs="Arial"/>
                <w:lang w:eastAsia="es-ES"/>
              </w:rPr>
              <w:t>Mipymes</w:t>
            </w:r>
            <w:proofErr w:type="spellEnd"/>
            <w:r w:rsidRPr="004441A4">
              <w:rPr>
                <w:rFonts w:ascii="Verdana" w:hAnsi="Verdana" w:cs="Arial"/>
                <w:lang w:eastAsia="es-ES"/>
              </w:rPr>
              <w:t xml:space="preserve"> o cualquier otra.</w:t>
            </w:r>
          </w:p>
          <w:p w14:paraId="1490CB54"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 xml:space="preserve">La razón de fondo es que el Decreto 092 de 2017 fue concebido para un régimen excepcional, con reglas diferenciadas y finalidades específicas, mientras que el Decreto 1082 de 2015 estructura los requisitos habilitantes aplicables a todos los oferentes del mercado en el sistema de compras públicas. Por ello, aplicar metodologías alternativas solo para las ESAL implicaría introducir un trato preferencial sin soporte legal, lo cual vulneraría los principios de igualdad y libre concurrencia. En este aspecto, no pueden trasladarse automáticamente al régimen general, que se rige por parámetros distintos. </w:t>
            </w:r>
          </w:p>
          <w:p w14:paraId="11D506F9" w14:textId="77777777" w:rsidR="00CF7CCB" w:rsidRPr="004441A4" w:rsidRDefault="00CF7CCB" w:rsidP="008E7798">
            <w:pPr>
              <w:spacing w:after="120" w:line="276" w:lineRule="auto"/>
              <w:ind w:firstLine="709"/>
              <w:jc w:val="both"/>
              <w:rPr>
                <w:rFonts w:ascii="Verdana" w:hAnsi="Verdana" w:cs="Arial"/>
                <w:lang w:eastAsia="es-ES"/>
              </w:rPr>
            </w:pPr>
            <w:r w:rsidRPr="005B2071">
              <w:rPr>
                <w:rFonts w:ascii="Verdana" w:hAnsi="Verdana" w:cs="Arial"/>
                <w:lang w:eastAsia="es-ES"/>
              </w:rPr>
              <w:t xml:space="preserve">Adicionalmente, conviene precisar que el Decreto 092 de 2017 no contempla, en sentido estricto, una metodología de acreditación de capacidad financiera equiparable o sustituible por la del Decreto 1082 de 2015. La contratación que dicho decreto reglamenta —autorizada por el inciso segundo del artículo 355 de la Constitución Política— no se estructura sobre requisitos habilitantes verificados a través del RUP, sino sobre la acreditación de la condición de "reconocida idoneidad" de la entidad sin ánimo de lucro, la cual se verifica mediante su registro en el SECOP y la acreditación de indicadores de idoneidad, experiencia, eficacia, eficiencia, economía y manejo del Riesgo definidos por la propia entidad estatal, conforme al artículo 9.° del Decreto 092 de 2017. Se trata, entonces, no solo de dos regímenes distintos, sino de dos lógicas de verificación categorialmente distintas: una construida sobre </w:t>
            </w:r>
            <w:r w:rsidRPr="005B2071">
              <w:rPr>
                <w:rFonts w:ascii="Verdana" w:hAnsi="Verdana" w:cs="Arial"/>
                <w:lang w:eastAsia="es-ES"/>
              </w:rPr>
              <w:lastRenderedPageBreak/>
              <w:t>razones financieras contables (Decreto 1082) y otra sobre la idoneidad institucional y misional de la ESAL (Decreto 092). Por esta razón adicional —y no solo por tratarse de "regímenes distintos"— no existe un parámetro homologable que la entidad pueda "sustituir" dentro del régimen general</w:t>
            </w:r>
            <w:r>
              <w:rPr>
                <w:rFonts w:ascii="Verdana" w:hAnsi="Verdana" w:cs="Arial"/>
                <w:lang w:eastAsia="es-ES"/>
              </w:rPr>
              <w:t>.</w:t>
            </w:r>
          </w:p>
          <w:p w14:paraId="34792D70"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 xml:space="preserve">Por tanto, las entidades estatales no pueden reemplazar los indicadores basados en utilidad operacional únicamente para las ESAL, ni adoptar metodologías del Decreto 092 como si fueran equivalentes o intercambiables. La solución no está en crear regímenes paralelos, sino en estructurar adecuadamente los requisitos habilitantes dentro del marco del Decreto 1082 de 2015, seleccionando indicadores pertinentes y proporcionales que no generen exclusiones injustificadas, teniendo en cuenta las particularidades del contrato. </w:t>
            </w:r>
          </w:p>
          <w:p w14:paraId="27D0F742" w14:textId="77777777" w:rsidR="00CF7CCB" w:rsidRPr="004441A4" w:rsidRDefault="00CF7CCB" w:rsidP="008E7798">
            <w:pPr>
              <w:spacing w:after="120" w:line="276" w:lineRule="auto"/>
              <w:ind w:firstLine="709"/>
              <w:jc w:val="both"/>
              <w:rPr>
                <w:rFonts w:ascii="Verdana" w:hAnsi="Verdana" w:cs="Arial"/>
                <w:lang w:eastAsia="es-ES"/>
              </w:rPr>
            </w:pPr>
            <w:r w:rsidRPr="00D82FB1">
              <w:rPr>
                <w:rFonts w:ascii="Verdana" w:hAnsi="Verdana" w:cs="Arial"/>
                <w:lang w:eastAsia="es-ES"/>
              </w:rPr>
              <w:t>Debe precisarse que esta conclusión no varía aun cuando el estudio del sector realizado por la entidad demuestre, con evidencia empírica, que la aplicación de los indicadores basados en utilidad operacional genera la exclusión sistemática de las ESAL que hacen parte del mercado relevante. En tal escenario, el estudio del sector no habilita a la entidad a acudir a las metodologías del Decreto 092 de 2017, pero sí la obliga —en aplicación del artículo 2.2.1.1.1.6.2 del Decreto 1082 de 2015— a recalibrar, dentro del régimen general, los indicadores y umbrales de capacidad financiera y organizacional que exigirá en el proceso de contratación, en los términos que se desarrollan en la respuesta al segundo problema jurídico</w:t>
            </w:r>
            <w:r>
              <w:rPr>
                <w:rFonts w:ascii="Verdana" w:hAnsi="Verdana" w:cs="Arial"/>
                <w:lang w:eastAsia="es-ES"/>
              </w:rPr>
              <w:t xml:space="preserve">. </w:t>
            </w:r>
          </w:p>
          <w:p w14:paraId="16AA6317" w14:textId="77777777" w:rsidR="00CF7CCB" w:rsidRPr="004441A4" w:rsidRDefault="00CF7CCB" w:rsidP="008E7798">
            <w:pPr>
              <w:spacing w:after="120" w:line="276" w:lineRule="auto"/>
              <w:jc w:val="both"/>
              <w:rPr>
                <w:rFonts w:ascii="Verdana" w:hAnsi="Verdana" w:cs="Arial"/>
                <w:lang w:eastAsia="es-ES"/>
              </w:rPr>
            </w:pPr>
            <w:proofErr w:type="spellStart"/>
            <w:r w:rsidRPr="004441A4">
              <w:rPr>
                <w:rFonts w:ascii="Verdana" w:hAnsi="Verdana" w:cs="Arial"/>
                <w:lang w:eastAsia="es-ES"/>
              </w:rPr>
              <w:t>ii</w:t>
            </w:r>
            <w:proofErr w:type="spellEnd"/>
            <w:r w:rsidRPr="004441A4">
              <w:rPr>
                <w:rFonts w:ascii="Verdana" w:hAnsi="Verdana" w:cs="Arial"/>
                <w:lang w:eastAsia="es-ES"/>
              </w:rPr>
              <w:t>. En relación con el segundo problema jurídico, se señala que la alternativa jurídica para evitar la exclusión sistemática de las ESAL no consiste en crear criterios diferenciados sin soporte legal, sino en estructurar adecuadamente los requisitos habilitantes dentro del régimen general. En particular, se destaca que el artículo 2.2.1.1.1.5.3 del Decreto 1082 no obliga a exigir todos los indicadores del RUP en cada proceso, lo cual permite seleccionar aquellos que sean pertinentes para el objeto contractual. En tal sentido, una cosa es la información que debe certificar el RUP y otra, distinta, los elementos de capacidad financiera que la entidad decide establecer para efectos de verificación de requisitos.</w:t>
            </w:r>
          </w:p>
          <w:p w14:paraId="21A8211B"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 xml:space="preserve">Las entidades pueden evitar exclusiones injustificadas seleccionando indicadores que no dependan de la utilidad operacional cuando esta variable </w:t>
            </w:r>
            <w:r w:rsidRPr="004441A4">
              <w:rPr>
                <w:rFonts w:ascii="Verdana" w:hAnsi="Verdana" w:cs="Arial"/>
                <w:lang w:eastAsia="es-ES"/>
              </w:rPr>
              <w:lastRenderedPageBreak/>
              <w:t>no resulta pertinente para el objeto y particularidades del proceso de contratación. Ello es especialmente relevante en el caso de las ESAL, que por sus características propias no se orientan al ánimo de lucro y, en consecuencia, no reflejan utilidad operacional en sus estados financieros. En este aspecto, se plantea alternativas como el índice de liquidez, el índice de endeudamiento, el capital de trabajo, y el patrimonio, que permiten evaluar la capacidad financiera sin depender solo de la utilidad operacional. Esto se complementa con la obligación de justificar técnicamente la pertinencia de los indicadores y su relación con los riesgos del contrato.</w:t>
            </w:r>
          </w:p>
          <w:p w14:paraId="4A0AC1AE"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Asimismo, el Manual para determinar y verificar los requisitos habilitantes, exige que las entidades definan reglas para casos en los que los indicadores resulten indeterminados, como cuando el denominador es cero. En el caso de la razón de cobertura de intereses, las razones de la respuesta exponen que la regla puede ser que el proponente que no tiene obligaciones financieras resulta habilitado. Este tipo de reglas evita excluir ESAL que, por su naturaleza, no tengan obligaciones financieras y por lo general no cuente con utilidad operacional, garantizando una evaluación objetiva y proporcional.</w:t>
            </w:r>
          </w:p>
          <w:p w14:paraId="19B504E2" w14:textId="77777777" w:rsidR="00CF7CCB" w:rsidRPr="004441A4" w:rsidRDefault="00CF7CCB" w:rsidP="008E7798">
            <w:pPr>
              <w:spacing w:after="120" w:line="276" w:lineRule="auto"/>
              <w:jc w:val="both"/>
              <w:rPr>
                <w:rFonts w:ascii="Verdana" w:hAnsi="Verdana" w:cs="Arial"/>
                <w:lang w:eastAsia="es-ES"/>
              </w:rPr>
            </w:pPr>
            <w:proofErr w:type="spellStart"/>
            <w:r w:rsidRPr="004441A4">
              <w:rPr>
                <w:rFonts w:ascii="Verdana" w:hAnsi="Verdana" w:cs="Arial"/>
                <w:lang w:eastAsia="es-ES"/>
              </w:rPr>
              <w:t>iii</w:t>
            </w:r>
            <w:proofErr w:type="spellEnd"/>
            <w:r w:rsidRPr="004441A4">
              <w:rPr>
                <w:rFonts w:ascii="Verdana" w:hAnsi="Verdana" w:cs="Arial"/>
                <w:lang w:eastAsia="es-ES"/>
              </w:rPr>
              <w:t xml:space="preserve">. En referencia al tercer problema jurídico, se expone que en mercados donde concurren todo tipo de formas organizativas </w:t>
            </w:r>
            <w:r w:rsidRPr="004441A4">
              <w:rPr>
                <w:rFonts w:ascii="Verdana" w:hAnsi="Verdana" w:cs="Arial"/>
                <w:bCs/>
                <w:lang w:val="es-MX" w:eastAsia="es-ES"/>
              </w:rPr>
              <w:t>–</w:t>
            </w:r>
            <w:r w:rsidRPr="004441A4">
              <w:rPr>
                <w:rFonts w:ascii="Verdana" w:hAnsi="Verdana" w:cs="Arial"/>
                <w:lang w:eastAsia="es-ES"/>
              </w:rPr>
              <w:t>sociedades, ESAL, entre otros</w:t>
            </w:r>
            <w:r w:rsidRPr="004441A4">
              <w:rPr>
                <w:rFonts w:ascii="Verdana" w:hAnsi="Verdana" w:cs="Arial"/>
                <w:bCs/>
                <w:lang w:val="es-MX" w:eastAsia="es-ES"/>
              </w:rPr>
              <w:t>–</w:t>
            </w:r>
            <w:r w:rsidRPr="004441A4">
              <w:rPr>
                <w:rFonts w:ascii="Verdana" w:hAnsi="Verdana" w:cs="Arial"/>
                <w:lang w:eastAsia="es-ES"/>
              </w:rPr>
              <w:t xml:space="preserve"> los requisitos habilitantes deben estructurarse con base en criterios objetivos, proporcionales y relacionados con los riesgos del contrato. </w:t>
            </w:r>
            <w:r w:rsidRPr="00B71F9E">
              <w:rPr>
                <w:rFonts w:ascii="Verdana" w:hAnsi="Verdana" w:cs="Arial"/>
                <w:lang w:eastAsia="es-ES"/>
              </w:rPr>
              <w:t xml:space="preserve">En cuanto a la compatibilidad de la exclusión sistemática de las ESAL con el artículo 5 de la Ley 1150 de 2007 y con los principios de igualdad material, selección objetiva, libre concurrencia y pluralidad de oferentes planteada en la consulta, la Agencia precisa que dicha exclusión, cuando obedece exclusivamente a la aplicación mecánica de indicadores diseñados a partir de un modelo económico ajeno a la naturaleza de las ESAL —y no a una insuficiencia real de su capacidad para ejecutar el contrato—, resulta incompatible con dichos principios. La igualdad que protege el artículo 5 de la Ley 1150 de 2007 no se agota en la igualdad formal de imponer a todos los proponentes las mismas fórmulas financieras: exige, conforme a la igualdad material reconocida en el artículo 13 de la Constitución Política y desarrollada por la jurisprudencia constitucional, que los requisitos habilitantes midan realmente la aptitud de cada proponente para ejecutar el contrato, sin introducir barreras ajenas a su capacidad real. En consecuencia, la respuesta </w:t>
            </w:r>
            <w:r w:rsidRPr="00B71F9E">
              <w:rPr>
                <w:rFonts w:ascii="Verdana" w:hAnsi="Verdana" w:cs="Arial"/>
                <w:lang w:eastAsia="es-ES"/>
              </w:rPr>
              <w:lastRenderedPageBreak/>
              <w:t>a la exclusión sistemática no es la creación de un régimen diferenciado sin soporte legal para las ESAL —lo que sí vulneraría la igualdad formal y la libre concurrencia—, sino la selección de indicadores objetivos y proporcionales que sean igualmente idóneos para medir la capacidad financiera y organizacional de cualquier forma organizativa, preservando así, junto con la selección objetiva, la pluralidad de oferentes que exige el sistema de compra pública. Ello se desarrolla a continuación.</w:t>
            </w:r>
            <w:r>
              <w:rPr>
                <w:rFonts w:ascii="Verdana" w:hAnsi="Verdana" w:cs="Arial"/>
                <w:lang w:eastAsia="es-ES"/>
              </w:rPr>
              <w:t xml:space="preserve"> </w:t>
            </w:r>
            <w:r w:rsidRPr="004441A4">
              <w:rPr>
                <w:rFonts w:ascii="Verdana" w:hAnsi="Verdana" w:cs="Arial"/>
                <w:lang w:eastAsia="es-ES"/>
              </w:rPr>
              <w:t>En esta línea, los indicadores deben fijarse en función de las características del contrato, como su naturaleza, valor, plazo y complejidad, evitando su aplicación mecánica. Esto implica que la entidad debe analizar el mercado relevante y seleccionar indicadores que midan realmente la capacidad financiera de cualquier tipo de proponente.</w:t>
            </w:r>
          </w:p>
          <w:p w14:paraId="50890F51"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 xml:space="preserve">La entidad puede optar por indicadores que no dependan solo de la utilidad operacional cuando esta variable no sea adecuada para evaluar la capacidad de los diferentes proponentes, independiente de su naturaleza y forma organizativa. En tal sentido, es posible escoger indicadores como liquidez, endeudamiento, capital de trabajo, o patrimonio, siempre que sean pertinentes y proporcionales. La clave es que los indicadores permitan evaluar de manera objetiva la capacidad financiera de todos los participantes, sin generar exclusiones injustificadas ni barreras de acceso que no respondan a las particularidades del contrato, como puede presentarse en el caso de las ESAL que por sus particularidades no tienen lucro, </w:t>
            </w:r>
            <w:proofErr w:type="gramStart"/>
            <w:r w:rsidRPr="004441A4">
              <w:rPr>
                <w:rFonts w:ascii="Verdana" w:hAnsi="Verdana" w:cs="Arial"/>
                <w:lang w:eastAsia="es-ES"/>
              </w:rPr>
              <w:t>y</w:t>
            </w:r>
            <w:proofErr w:type="gramEnd"/>
            <w:r w:rsidRPr="004441A4">
              <w:rPr>
                <w:rFonts w:ascii="Verdana" w:hAnsi="Verdana" w:cs="Arial"/>
                <w:lang w:eastAsia="es-ES"/>
              </w:rPr>
              <w:t xml:space="preserve"> por ende, su utilidad operacional</w:t>
            </w:r>
            <w:r>
              <w:rPr>
                <w:rFonts w:ascii="Verdana" w:hAnsi="Verdana" w:cs="Arial"/>
                <w:lang w:eastAsia="es-ES"/>
              </w:rPr>
              <w:t xml:space="preserve"> no es positiva</w:t>
            </w:r>
            <w:r w:rsidRPr="004441A4">
              <w:rPr>
                <w:rFonts w:ascii="Verdana" w:hAnsi="Verdana" w:cs="Arial"/>
                <w:lang w:eastAsia="es-ES"/>
              </w:rPr>
              <w:t>.</w:t>
            </w:r>
          </w:p>
          <w:p w14:paraId="351D7FA0" w14:textId="77777777" w:rsidR="00CF7CCB" w:rsidRPr="004441A4" w:rsidRDefault="00CF7CCB" w:rsidP="008E7798">
            <w:pPr>
              <w:spacing w:after="120" w:line="276" w:lineRule="auto"/>
              <w:ind w:firstLine="709"/>
              <w:jc w:val="both"/>
              <w:rPr>
                <w:rFonts w:ascii="Verdana" w:hAnsi="Verdana" w:cs="Arial"/>
                <w:lang w:eastAsia="es-ES"/>
              </w:rPr>
            </w:pPr>
            <w:r w:rsidRPr="004441A4">
              <w:rPr>
                <w:rFonts w:ascii="Verdana" w:hAnsi="Verdana" w:cs="Arial"/>
                <w:lang w:eastAsia="es-ES"/>
              </w:rPr>
              <w:t>Finalmente, la entidad debe fijar umbrales razonables y reglas para casos en los que los indicadores sean indeterminados, como cuando el denominador es cero. Esto garantiza que la evaluación no excluya automáticamente a entidades que, por su naturaleza jurídica, no generan utilidad operacional o no tienen gastos financieros. Bajo esta lógica, se afirma que la solución consiste en estructurar adecuadamente los requisitos habilitantes garantizando que no generen barreras de acceso injustificadas, armonizando así los principios de igualdad, libre concurrencia y selección objetiva.</w:t>
            </w:r>
          </w:p>
          <w:p w14:paraId="47B5F7DD" w14:textId="77777777" w:rsidR="00CF7CCB" w:rsidRPr="004441A4" w:rsidRDefault="00CF7CCB" w:rsidP="008E7798">
            <w:pPr>
              <w:spacing w:line="276" w:lineRule="auto"/>
              <w:ind w:firstLine="709"/>
              <w:jc w:val="both"/>
              <w:rPr>
                <w:rFonts w:ascii="Verdana" w:hAnsi="Verdana" w:cs="Arial"/>
                <w:lang w:val="es-ES" w:eastAsia="es-ES"/>
              </w:rPr>
            </w:pPr>
            <w:r w:rsidRPr="004441A4">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w:t>
            </w:r>
            <w:r w:rsidRPr="004441A4">
              <w:rPr>
                <w:rFonts w:ascii="Verdana" w:hAnsi="Verdana" w:cs="Arial"/>
                <w:lang w:val="es-ES" w:eastAsia="es-ES"/>
              </w:rPr>
              <w:lastRenderedPageBreak/>
              <w:t>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3B9DC67F" w14:textId="77777777" w:rsidR="00CF7CCB" w:rsidRPr="004441A4" w:rsidRDefault="00CF7CCB" w:rsidP="00CF7CCB">
      <w:pPr>
        <w:spacing w:after="0" w:line="240" w:lineRule="auto"/>
        <w:jc w:val="both"/>
        <w:rPr>
          <w:rFonts w:ascii="Verdana" w:eastAsia="Calibri" w:hAnsi="Verdana" w:cs="Arial"/>
          <w:bCs/>
        </w:rPr>
      </w:pPr>
    </w:p>
    <w:p w14:paraId="2ED4C8DC" w14:textId="77777777" w:rsidR="00CF7CCB" w:rsidRPr="004441A4" w:rsidRDefault="00CF7CCB" w:rsidP="00CF7CCB">
      <w:pPr>
        <w:numPr>
          <w:ilvl w:val="0"/>
          <w:numId w:val="16"/>
        </w:numPr>
        <w:tabs>
          <w:tab w:val="left" w:pos="2268"/>
        </w:tabs>
        <w:spacing w:after="0" w:line="240" w:lineRule="auto"/>
        <w:rPr>
          <w:rFonts w:ascii="Verdana" w:eastAsia="Calibri" w:hAnsi="Verdana" w:cs="Times New Roman"/>
          <w:b/>
          <w:bCs/>
          <w:lang w:val="es-ES"/>
        </w:rPr>
      </w:pPr>
      <w:r w:rsidRPr="004441A4">
        <w:rPr>
          <w:rFonts w:ascii="Verdana" w:eastAsia="Calibri" w:hAnsi="Verdana" w:cs="Times New Roman"/>
          <w:b/>
          <w:bCs/>
          <w:lang w:val="es-ES"/>
        </w:rPr>
        <w:t>Razones de la respuesta:</w:t>
      </w:r>
    </w:p>
    <w:p w14:paraId="342A67C7" w14:textId="77777777" w:rsidR="00CF7CCB" w:rsidRPr="004441A4" w:rsidRDefault="00CF7CCB" w:rsidP="00CF7CCB">
      <w:pPr>
        <w:spacing w:after="0" w:line="240" w:lineRule="auto"/>
        <w:rPr>
          <w:rFonts w:ascii="Verdana" w:eastAsia="Calibri" w:hAnsi="Verdana" w:cs="Times New Roman"/>
          <w:b/>
          <w:bCs/>
          <w:lang w:val="es-ES"/>
        </w:rPr>
      </w:pPr>
    </w:p>
    <w:p w14:paraId="59DC1E8C" w14:textId="77777777" w:rsidR="00CF7CCB" w:rsidRPr="004441A4" w:rsidRDefault="00CF7CCB" w:rsidP="00CF7CCB">
      <w:pPr>
        <w:spacing w:after="0" w:line="240" w:lineRule="auto"/>
        <w:jc w:val="both"/>
        <w:rPr>
          <w:rFonts w:ascii="Verdana" w:eastAsia="Calibri" w:hAnsi="Verdana" w:cs="Arial"/>
          <w:lang w:val="es-ES"/>
        </w:rPr>
      </w:pPr>
      <w:r w:rsidRPr="004441A4">
        <w:rPr>
          <w:rFonts w:ascii="Verdana" w:eastAsia="Calibri" w:hAnsi="Verdana" w:cs="Arial"/>
          <w:lang w:val="es-ES"/>
        </w:rPr>
        <w:t xml:space="preserve">Lo anterior se sustenta en las siguientes consideraciones: </w:t>
      </w:r>
    </w:p>
    <w:p w14:paraId="6C8CD838" w14:textId="77777777" w:rsidR="00CF7CCB" w:rsidRPr="004441A4" w:rsidRDefault="00CF7CCB" w:rsidP="00CF7CCB">
      <w:pPr>
        <w:spacing w:after="0" w:line="240" w:lineRule="auto"/>
        <w:jc w:val="both"/>
        <w:rPr>
          <w:rFonts w:ascii="Verdana" w:hAnsi="Verdana" w:cs="Arial"/>
          <w:bCs/>
          <w:lang w:val="es-ES" w:eastAsia="es-ES" w:bidi="es-ES"/>
        </w:rPr>
      </w:pPr>
    </w:p>
    <w:p w14:paraId="724FC3BE" w14:textId="77777777" w:rsidR="00CF7CCB" w:rsidRPr="004441A4" w:rsidRDefault="00CF7CCB" w:rsidP="00CF7CCB">
      <w:pPr>
        <w:spacing w:after="120" w:line="276" w:lineRule="auto"/>
        <w:jc w:val="both"/>
        <w:rPr>
          <w:rFonts w:ascii="Verdana" w:hAnsi="Verdana" w:cs="Arial"/>
          <w:bCs/>
          <w:lang w:val="es-ES_tradnl" w:eastAsia="es-ES" w:bidi="es-ES"/>
        </w:rPr>
      </w:pPr>
      <w:r w:rsidRPr="004441A4">
        <w:rPr>
          <w:rFonts w:ascii="Verdana" w:hAnsi="Verdana" w:cs="Arial"/>
          <w:bCs/>
          <w:lang w:val="es-ES_tradnl" w:eastAsia="es-ES" w:bidi="es-ES"/>
        </w:rPr>
        <w:t xml:space="preserve">i. Los </w:t>
      </w:r>
      <w:r w:rsidRPr="004441A4">
        <w:rPr>
          <w:rFonts w:ascii="Verdana" w:hAnsi="Verdana" w:cs="Arial"/>
          <w:bCs/>
          <w:i/>
          <w:iCs/>
          <w:lang w:val="es-ES_tradnl" w:eastAsia="es-ES" w:bidi="es-ES"/>
        </w:rPr>
        <w:t>requisitos habilitantes</w:t>
      </w:r>
      <w:r w:rsidRPr="004441A4">
        <w:rPr>
          <w:rFonts w:ascii="Verdana" w:hAnsi="Verdana" w:cs="Arial"/>
          <w:bCs/>
          <w:lang w:val="es-ES_tradnl" w:eastAsia="es-ES" w:bidi="es-ES"/>
        </w:rPr>
        <w:t xml:space="preserve"> se definen como exigencias de participación en los procedimientos de selección, establecidos en disposiciones normativas, de carácter legal o reglamentario, o contenidas en el acto administrativo que regula las reglas de la convocatoria, es decir, en el pliego de condiciones o el documento equivalente a este. Se diferencian de los </w:t>
      </w:r>
      <w:r w:rsidRPr="004441A4">
        <w:rPr>
          <w:rFonts w:ascii="Verdana" w:hAnsi="Verdana" w:cs="Arial"/>
          <w:bCs/>
          <w:i/>
          <w:iCs/>
          <w:lang w:val="es-ES_tradnl" w:eastAsia="es-ES" w:bidi="es-ES"/>
        </w:rPr>
        <w:t>criterios de evaluación</w:t>
      </w:r>
      <w:r w:rsidRPr="004441A4">
        <w:rPr>
          <w:rFonts w:ascii="Verdana" w:hAnsi="Verdana" w:cs="Arial"/>
          <w:bCs/>
          <w:lang w:val="es-ES_tradnl" w:eastAsia="es-ES" w:bidi="es-ES"/>
        </w:rPr>
        <w:t xml:space="preserve"> –también conocidos como </w:t>
      </w:r>
      <w:r w:rsidRPr="004441A4">
        <w:rPr>
          <w:rFonts w:ascii="Verdana" w:hAnsi="Verdana" w:cs="Arial"/>
          <w:bCs/>
          <w:i/>
          <w:iCs/>
          <w:lang w:val="es-ES_tradnl" w:eastAsia="es-ES" w:bidi="es-ES"/>
        </w:rPr>
        <w:t>criterios de calificación</w:t>
      </w:r>
      <w:r w:rsidRPr="004441A4">
        <w:rPr>
          <w:rFonts w:ascii="Verdana" w:hAnsi="Verdana" w:cs="Arial"/>
          <w:bCs/>
          <w:lang w:val="es-ES_tradnl" w:eastAsia="es-ES" w:bidi="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79154356" w14:textId="77777777" w:rsidR="00CF7CCB" w:rsidRPr="004441A4" w:rsidRDefault="00CF7CCB" w:rsidP="00CF7CCB">
      <w:pPr>
        <w:spacing w:after="120" w:line="276" w:lineRule="auto"/>
        <w:ind w:firstLine="708"/>
        <w:jc w:val="both"/>
        <w:rPr>
          <w:rFonts w:ascii="Verdana" w:hAnsi="Verdana" w:cs="Arial"/>
          <w:bCs/>
          <w:lang w:val="es-ES" w:eastAsia="es-ES" w:bidi="es-ES"/>
        </w:rPr>
      </w:pPr>
      <w:r w:rsidRPr="004441A4">
        <w:rPr>
          <w:rFonts w:ascii="Verdana" w:hAnsi="Verdana" w:cs="Arial"/>
          <w:bCs/>
          <w:lang w:val="es-ES" w:eastAsia="es-ES" w:bidi="es-ES"/>
        </w:rPr>
        <w:t>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p>
    <w:p w14:paraId="3FC52910" w14:textId="77777777" w:rsidR="00CF7CCB" w:rsidRPr="004441A4" w:rsidRDefault="00CF7CCB" w:rsidP="00CF7CCB">
      <w:pPr>
        <w:spacing w:after="120" w:line="276" w:lineRule="auto"/>
        <w:ind w:firstLine="708"/>
        <w:jc w:val="both"/>
        <w:rPr>
          <w:rFonts w:ascii="Verdana" w:hAnsi="Verdana" w:cs="Arial"/>
          <w:bCs/>
          <w:lang w:val="es-ES" w:eastAsia="es-ES" w:bidi="es-ES"/>
        </w:rPr>
      </w:pPr>
      <w:r w:rsidRPr="004441A4">
        <w:rPr>
          <w:rFonts w:ascii="Verdana" w:hAnsi="Verdana" w:cs="Arial"/>
          <w:bCs/>
          <w:lang w:val="es-ES" w:eastAsia="es-ES" w:bidi="es-ES"/>
        </w:rPr>
        <w:t xml:space="preserve">El mencionado artículo dispone que se considera </w:t>
      </w:r>
      <w:r w:rsidRPr="004441A4">
        <w:rPr>
          <w:rFonts w:ascii="Verdana" w:hAnsi="Verdana" w:cs="Arial"/>
          <w:bCs/>
          <w:i/>
          <w:iCs/>
          <w:lang w:val="es-ES" w:eastAsia="es-ES" w:bidi="es-ES"/>
        </w:rPr>
        <w:t>“objetiva la selección en la cual la escogencia se haga al ofrecimiento más favorable a la entidad y a los fines que ella busca, sin tener en consideración factores de afecto o de interés y, en general, cualquier clase de motivación subjetiva”.</w:t>
      </w:r>
      <w:r w:rsidRPr="004441A4">
        <w:rPr>
          <w:rFonts w:ascii="Verdana" w:hAnsi="Verdana" w:cs="Arial"/>
          <w:bCs/>
          <w:lang w:val="es-ES" w:eastAsia="es-ES" w:bidi="es-ES"/>
        </w:rPr>
        <w:t xml:space="preserve"> En ese contexto, los factores de escogencia y calificación que establezcan las entidades en los pliegos de condiciones o sus documentos equivalentes deberán tener en cuenta, entre </w:t>
      </w:r>
      <w:r w:rsidRPr="004441A4">
        <w:rPr>
          <w:rFonts w:ascii="Verdana" w:hAnsi="Verdana" w:cs="Arial"/>
          <w:bCs/>
          <w:lang w:val="es-ES" w:eastAsia="es-ES" w:bidi="es-ES"/>
        </w:rPr>
        <w:lastRenderedPageBreak/>
        <w:t xml:space="preserve">otras cuestiones, los criterios establecidos en dicha disposición. Específicamente, el numeral 1º del artículo referido establece que en los procesos de selección de contratistas serán objeto de verificación, como requisitos habilitantes, </w:t>
      </w:r>
      <w:r w:rsidRPr="004441A4">
        <w:rPr>
          <w:rFonts w:ascii="Verdana" w:hAnsi="Verdana" w:cs="Arial"/>
          <w:bCs/>
          <w:i/>
          <w:iCs/>
          <w:lang w:val="es-ES" w:eastAsia="es-ES" w:bidi="es-ES"/>
        </w:rPr>
        <w:t>entre otros</w:t>
      </w:r>
      <w:r w:rsidRPr="004441A4">
        <w:rPr>
          <w:rFonts w:ascii="Verdana" w:hAnsi="Verdana" w:cs="Arial"/>
          <w:bCs/>
          <w:lang w:val="es-ES" w:eastAsia="es-ES" w:bidi="es-ES"/>
        </w:rPr>
        <w:t xml:space="preserve">, los siguientes: i) la capacidad jurídica; </w:t>
      </w:r>
      <w:proofErr w:type="spellStart"/>
      <w:r w:rsidRPr="004441A4">
        <w:rPr>
          <w:rFonts w:ascii="Verdana" w:hAnsi="Verdana" w:cs="Arial"/>
          <w:bCs/>
          <w:lang w:val="es-ES" w:eastAsia="es-ES" w:bidi="es-ES"/>
        </w:rPr>
        <w:t>ii</w:t>
      </w:r>
      <w:proofErr w:type="spellEnd"/>
      <w:r w:rsidRPr="004441A4">
        <w:rPr>
          <w:rFonts w:ascii="Verdana" w:hAnsi="Verdana" w:cs="Arial"/>
          <w:bCs/>
          <w:lang w:val="es-ES" w:eastAsia="es-ES" w:bidi="es-ES"/>
        </w:rPr>
        <w:t xml:space="preserve">) la experiencia; </w:t>
      </w:r>
      <w:proofErr w:type="spellStart"/>
      <w:r w:rsidRPr="004441A4">
        <w:rPr>
          <w:rFonts w:ascii="Verdana" w:hAnsi="Verdana" w:cs="Arial"/>
          <w:bCs/>
          <w:lang w:val="es-ES" w:eastAsia="es-ES" w:bidi="es-ES"/>
        </w:rPr>
        <w:t>iii</w:t>
      </w:r>
      <w:proofErr w:type="spellEnd"/>
      <w:r w:rsidRPr="004441A4">
        <w:rPr>
          <w:rFonts w:ascii="Verdana" w:hAnsi="Verdana" w:cs="Arial"/>
          <w:bCs/>
          <w:lang w:val="es-ES" w:eastAsia="es-ES" w:bidi="es-ES"/>
        </w:rPr>
        <w:t xml:space="preserve">) la capacidad financiera y </w:t>
      </w:r>
      <w:proofErr w:type="spellStart"/>
      <w:r w:rsidRPr="004441A4">
        <w:rPr>
          <w:rFonts w:ascii="Verdana" w:hAnsi="Verdana" w:cs="Arial"/>
          <w:bCs/>
          <w:lang w:val="es-ES" w:eastAsia="es-ES" w:bidi="es-ES"/>
        </w:rPr>
        <w:t>iv</w:t>
      </w:r>
      <w:proofErr w:type="spellEnd"/>
      <w:r w:rsidRPr="004441A4">
        <w:rPr>
          <w:rFonts w:ascii="Verdana" w:hAnsi="Verdana" w:cs="Arial"/>
          <w:bCs/>
          <w:lang w:val="es-ES" w:eastAsia="es-ES" w:bidi="es-ES"/>
        </w:rPr>
        <w:t>) la capacidad de organización. En efecto, la normativa citada prescribe:</w:t>
      </w:r>
    </w:p>
    <w:p w14:paraId="09C5172B" w14:textId="77777777" w:rsidR="00CF7CCB" w:rsidRPr="004441A4" w:rsidRDefault="00CF7CCB" w:rsidP="00CF7CCB">
      <w:pPr>
        <w:spacing w:after="0" w:line="240" w:lineRule="auto"/>
        <w:ind w:left="709" w:right="709"/>
        <w:jc w:val="both"/>
        <w:rPr>
          <w:rFonts w:ascii="Verdana" w:hAnsi="Verdana" w:cs="Arial"/>
          <w:bCs/>
          <w:sz w:val="21"/>
          <w:szCs w:val="21"/>
          <w:lang w:val="es-ES_tradnl" w:eastAsia="es-ES" w:bidi="es-ES"/>
        </w:rPr>
      </w:pPr>
      <w:r w:rsidRPr="004441A4">
        <w:rPr>
          <w:rFonts w:ascii="Verdana" w:hAnsi="Verdana" w:cs="Arial"/>
          <w:bCs/>
          <w:i/>
          <w:iCs/>
          <w:sz w:val="21"/>
          <w:szCs w:val="21"/>
          <w:lang w:val="es-ES_tradnl" w:eastAsia="es-ES" w:bidi="es-ES"/>
        </w:rPr>
        <w:t>“</w:t>
      </w:r>
      <w:r w:rsidRPr="004441A4">
        <w:rPr>
          <w:rFonts w:ascii="Verdana" w:hAnsi="Verdana" w:cs="Arial"/>
          <w:bCs/>
          <w:sz w:val="21"/>
          <w:szCs w:val="21"/>
          <w:lang w:val="es-ES_tradnl" w:eastAsia="es-ES" w:bidi="es-ES"/>
        </w:rPr>
        <w:t xml:space="preserve">Artículo 5. De la Selección Objetiva. </w:t>
      </w:r>
    </w:p>
    <w:p w14:paraId="6916839E" w14:textId="77777777" w:rsidR="00CF7CCB" w:rsidRPr="004441A4" w:rsidRDefault="00CF7CCB" w:rsidP="00CF7CCB">
      <w:pPr>
        <w:spacing w:after="0" w:line="240" w:lineRule="auto"/>
        <w:ind w:left="709" w:right="709"/>
        <w:jc w:val="both"/>
        <w:rPr>
          <w:rFonts w:ascii="Verdana" w:hAnsi="Verdana" w:cs="Arial"/>
          <w:bCs/>
          <w:sz w:val="21"/>
          <w:szCs w:val="21"/>
          <w:lang w:val="es-ES_tradnl" w:eastAsia="es-ES" w:bidi="es-ES"/>
        </w:rPr>
      </w:pPr>
      <w:r w:rsidRPr="004441A4">
        <w:rPr>
          <w:rFonts w:ascii="Verdana" w:hAnsi="Verdana" w:cs="Arial"/>
          <w:bCs/>
          <w:sz w:val="21"/>
          <w:szCs w:val="21"/>
          <w:lang w:val="es-ES_tradnl" w:eastAsia="es-ES" w:bidi="es-ES"/>
        </w:rPr>
        <w:t>[…]</w:t>
      </w:r>
    </w:p>
    <w:p w14:paraId="1FC42AAE" w14:textId="77777777" w:rsidR="00CF7CCB" w:rsidRPr="004441A4" w:rsidRDefault="00CF7CCB" w:rsidP="00CF7CCB">
      <w:pPr>
        <w:numPr>
          <w:ilvl w:val="0"/>
          <w:numId w:val="27"/>
        </w:numPr>
        <w:spacing w:after="0" w:line="240" w:lineRule="auto"/>
        <w:ind w:left="709" w:right="709"/>
        <w:jc w:val="both"/>
        <w:rPr>
          <w:rFonts w:ascii="Verdana" w:hAnsi="Verdana" w:cs="Arial"/>
          <w:bCs/>
          <w:sz w:val="21"/>
          <w:szCs w:val="21"/>
          <w:lang w:val="es-ES" w:eastAsia="es-ES" w:bidi="es-ES"/>
        </w:rPr>
      </w:pPr>
      <w:r w:rsidRPr="004441A4">
        <w:rPr>
          <w:rFonts w:ascii="Verdana" w:hAnsi="Verdana" w:cs="Arial"/>
          <w:bCs/>
          <w:sz w:val="21"/>
          <w:szCs w:val="21"/>
          <w:lang w:val="es-ES" w:eastAsia="es-ES" w:bidi="es-ES"/>
        </w:rPr>
        <w:t>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43A6065D" w14:textId="77777777" w:rsidR="00CF7CCB" w:rsidRPr="004441A4" w:rsidRDefault="00CF7CCB" w:rsidP="00CF7CCB">
      <w:pPr>
        <w:spacing w:after="0" w:line="240" w:lineRule="auto"/>
        <w:jc w:val="both"/>
        <w:rPr>
          <w:rFonts w:ascii="Verdana" w:hAnsi="Verdana" w:cs="Arial"/>
          <w:bCs/>
          <w:lang w:val="es-ES_tradnl" w:eastAsia="es-ES" w:bidi="es-ES"/>
        </w:rPr>
      </w:pPr>
    </w:p>
    <w:p w14:paraId="534EFD9E" w14:textId="77777777" w:rsidR="00CF7CCB" w:rsidRPr="004441A4" w:rsidRDefault="00CF7CCB" w:rsidP="00CF7CCB">
      <w:pPr>
        <w:spacing w:after="120" w:line="276" w:lineRule="auto"/>
        <w:ind w:firstLine="708"/>
        <w:jc w:val="both"/>
        <w:rPr>
          <w:rFonts w:ascii="Verdana" w:hAnsi="Verdana" w:cs="Arial"/>
          <w:bCs/>
          <w:lang w:val="es-MX" w:eastAsia="es-ES" w:bidi="es-ES"/>
        </w:rPr>
      </w:pPr>
      <w:r w:rsidRPr="004441A4">
        <w:rPr>
          <w:rFonts w:ascii="Verdana" w:hAnsi="Verdana" w:cs="Arial"/>
          <w:bCs/>
          <w:lang w:val="es-MX" w:eastAsia="es-ES" w:bidi="es-ES"/>
        </w:rPr>
        <w:t>Una vez fijados los requisitos habilitantes por la Entidad Estatal, quienes presenten ofertas deben acreditar que cumplen con los mismos, pues, en el evento contrario, las propuestas deberán rechazarse. El ente encargado de verificar el cumplimiento por parte de los proponentes sobre los requisitos que haya considerado la entidad como habilitantes será la Cámara de Comercio, esto en la medida en que, mediante el Registro Único de Proponentes –RUP</w:t>
      </w:r>
      <w:r w:rsidRPr="004441A4">
        <w:rPr>
          <w:rFonts w:ascii="Verdana" w:hAnsi="Verdana" w:cs="Arial"/>
          <w:bCs/>
          <w:vertAlign w:val="superscript"/>
          <w:lang w:val="es-ES_tradnl" w:eastAsia="es-ES" w:bidi="es-ES"/>
        </w:rPr>
        <w:footnoteReference w:id="1"/>
      </w:r>
      <w:r w:rsidRPr="004441A4">
        <w:rPr>
          <w:rFonts w:ascii="Verdana" w:hAnsi="Verdana" w:cs="Arial"/>
          <w:bCs/>
          <w:lang w:val="es-MX" w:eastAsia="es-ES" w:bidi="es-ES"/>
        </w:rPr>
        <w:t xml:space="preserve">–, se pondrá de presente toda la información relacionada con la experiencia, </w:t>
      </w:r>
      <w:r w:rsidRPr="004441A4">
        <w:rPr>
          <w:rFonts w:ascii="Verdana" w:hAnsi="Verdana" w:cs="Arial"/>
          <w:bCs/>
          <w:lang w:val="es-MX" w:eastAsia="es-ES" w:bidi="es-ES"/>
        </w:rPr>
        <w:lastRenderedPageBreak/>
        <w:t xml:space="preserve">capacidad jurídica, capacidad financiera y organizacional, así como la clasificación del proponente. </w:t>
      </w:r>
    </w:p>
    <w:p w14:paraId="18647C74" w14:textId="77777777" w:rsidR="00CF7CCB" w:rsidRPr="004441A4" w:rsidRDefault="00CF7CCB" w:rsidP="00CF7CCB">
      <w:pPr>
        <w:spacing w:after="120" w:line="276" w:lineRule="auto"/>
        <w:ind w:firstLine="708"/>
        <w:jc w:val="both"/>
        <w:rPr>
          <w:rFonts w:ascii="Verdana" w:hAnsi="Verdana" w:cs="Arial"/>
          <w:bCs/>
          <w:lang w:val="es-MX" w:eastAsia="es-ES" w:bidi="es-ES"/>
        </w:rPr>
      </w:pPr>
      <w:r w:rsidRPr="004441A4">
        <w:rPr>
          <w:rFonts w:ascii="Verdana" w:hAnsi="Verdana" w:cs="Arial"/>
          <w:bCs/>
          <w:lang w:val="es-MX" w:eastAsia="es-ES" w:bidi="es-ES"/>
        </w:rPr>
        <w:t>El artículo 6 de la Ley 1150 de 2007, que regula los sujetos que deben inscribirse en el RUP, señaló que deben hacerlo las personas naturales o jurídicas, nacionales o extranjeras que tengan domicilio o sucursal en el país. Estas personas tienen la obligación de registrarse en el RUP, en dos casos: a) cuando pretendan celebrar contratos estatales y b) si el procedimiento de contratación es de aquellos en los cuales no se exceptúa el RUP, de acuerdo con el inciso segundo del artículo 6 de la Ley 1150 de 2007 –contratación directa, contratos para la prestación de servicios de salud, contratos de mínima cuantía, entre otros puestos de presente por la norma–. De esto, se desprende que las personas extranjeras sin domicilio o sucursal en Colombia que pretendan celebrar contratos con el Estado colombiano no están obligadas a inscribirse en el RUP, puesto que, tratándose de proponentes extranjeros la norma únicamente señala como obligados a quienes tengan domicilio o sucursal en el país. En consecuencia, este tipo de proponentes extranjeros deberán acreditar la experiencia y los demás requisitos habilitantes exigidos en los procesos de selección de contratación pública en los que participen mediante la presentación de los documentos que cumplan con los requisitos de validez dispuestos por la ley y el pliego de condiciones que haya determinado previamente la Entidad Estatal, para que sirvan de prueba, y la Entidad Estatal deberá realizar una verificación directa del cumplimiento de los requisitos habilitantes.</w:t>
      </w:r>
    </w:p>
    <w:p w14:paraId="620730C0" w14:textId="77777777" w:rsidR="00CF7CCB" w:rsidRPr="004441A4" w:rsidRDefault="00CF7CCB" w:rsidP="00CF7CCB">
      <w:pPr>
        <w:spacing w:after="120" w:line="276" w:lineRule="auto"/>
        <w:ind w:firstLine="708"/>
        <w:jc w:val="both"/>
        <w:rPr>
          <w:rFonts w:ascii="Verdana" w:hAnsi="Verdana" w:cs="Arial"/>
          <w:bCs/>
          <w:lang w:val="es-MX" w:eastAsia="es-ES" w:bidi="es-ES"/>
        </w:rPr>
      </w:pPr>
      <w:r w:rsidRPr="004441A4">
        <w:rPr>
          <w:rFonts w:ascii="Verdana" w:hAnsi="Verdana" w:cs="Arial"/>
          <w:bCs/>
          <w:lang w:val="es-MX" w:eastAsia="es-ES" w:bidi="es-ES"/>
        </w:rPr>
        <w:t xml:space="preserve">Ahora bien, dentro de los requisitos habilitantes se destaca la capacidad financiera, la cual se deriva del comportamiento contable de la empresa, su liquidez y endeudamiento, para determinar que sus recursos y solidez financiera le permita cumplir los compromisos que adquiera. Como explica esta Agencia en el </w:t>
      </w:r>
      <w:r w:rsidRPr="004441A4">
        <w:rPr>
          <w:rFonts w:ascii="Verdana" w:hAnsi="Verdana" w:cs="Arial"/>
          <w:bCs/>
          <w:i/>
          <w:iCs/>
          <w:lang w:val="es-MX" w:eastAsia="es-ES" w:bidi="es-ES"/>
        </w:rPr>
        <w:t>Manual para determinar y verificar los requisitos habilitantes en los procesos de contratación</w:t>
      </w:r>
      <w:r w:rsidRPr="004441A4">
        <w:rPr>
          <w:rFonts w:ascii="Verdana" w:hAnsi="Verdana" w:cs="Arial"/>
          <w:bCs/>
          <w:lang w:val="es-MX" w:eastAsia="es-ES" w:bidi="es-ES"/>
        </w:rPr>
        <w:t xml:space="preserve">: </w:t>
      </w:r>
      <w:r w:rsidRPr="004441A4">
        <w:rPr>
          <w:rFonts w:ascii="Verdana" w:hAnsi="Verdana" w:cs="Arial"/>
          <w:bCs/>
          <w:i/>
          <w:iCs/>
          <w:lang w:val="es-MX" w:eastAsia="es-ES" w:bidi="es-ES"/>
        </w:rPr>
        <w:t>“Los indicadores de capacidad financiera buscan establecer unas condiciones mínimas que reflejan la salud financiera de los proponentes a través de su liquidez y endeudamiento. Estas condiciones muestran la aptitud del proponente para cumplir oportuna y cabalmente el objeto del contrato”</w:t>
      </w:r>
      <w:r w:rsidRPr="004441A4">
        <w:rPr>
          <w:rFonts w:ascii="Verdana" w:hAnsi="Verdana" w:cs="Arial"/>
          <w:bCs/>
          <w:i/>
          <w:iCs/>
          <w:vertAlign w:val="superscript"/>
          <w:lang w:val="es-ES_tradnl" w:eastAsia="es-ES" w:bidi="es-ES"/>
        </w:rPr>
        <w:footnoteReference w:id="2"/>
      </w:r>
      <w:r w:rsidRPr="004441A4">
        <w:rPr>
          <w:rFonts w:ascii="Verdana" w:hAnsi="Verdana" w:cs="Arial"/>
          <w:bCs/>
          <w:i/>
          <w:iCs/>
          <w:lang w:val="es-ES_tradnl" w:eastAsia="es-ES" w:bidi="es-ES"/>
        </w:rPr>
        <w:t>.</w:t>
      </w:r>
      <w:r w:rsidRPr="004441A4">
        <w:rPr>
          <w:rFonts w:ascii="Verdana" w:hAnsi="Verdana" w:cs="Arial"/>
          <w:bCs/>
          <w:lang w:val="es-MX" w:eastAsia="es-ES" w:bidi="es-ES"/>
        </w:rPr>
        <w:t xml:space="preserve"> La Entidad Estatal, como responsable de la estructuración de su procedimiento de selección, es autónoma para determinar la capacidad financiera necesaria de </w:t>
      </w:r>
      <w:r w:rsidRPr="004441A4">
        <w:rPr>
          <w:rFonts w:ascii="Verdana" w:hAnsi="Verdana" w:cs="Arial"/>
          <w:bCs/>
          <w:lang w:val="es-MX" w:eastAsia="es-ES" w:bidi="es-ES"/>
        </w:rPr>
        <w:lastRenderedPageBreak/>
        <w:t>acuerdo con el objeto contractual que se pretende satisfacer, no obstante, en atención a lo dispuesto en el artículo 2.2.1.1.1.6.2 del Decreto 1082 de 2015, debe ser establecida con sustento en el estudio del sector</w:t>
      </w:r>
      <w:r w:rsidRPr="004441A4">
        <w:rPr>
          <w:rFonts w:ascii="Verdana" w:hAnsi="Verdana" w:cs="Arial"/>
          <w:bCs/>
          <w:vertAlign w:val="superscript"/>
          <w:lang w:val="es-MX" w:eastAsia="es-ES" w:bidi="es-ES"/>
        </w:rPr>
        <w:footnoteReference w:id="3"/>
      </w:r>
      <w:r w:rsidRPr="004441A4">
        <w:rPr>
          <w:rFonts w:ascii="Verdana" w:hAnsi="Verdana" w:cs="Arial"/>
          <w:bCs/>
          <w:lang w:val="es-MX" w:eastAsia="es-ES" w:bidi="es-ES"/>
        </w:rPr>
        <w:t xml:space="preserve"> y sus componentes como la identificación de riesgos, el mercado y precio del bien, obra o servicio a contratar</w:t>
      </w:r>
      <w:r w:rsidRPr="004441A4">
        <w:rPr>
          <w:rFonts w:ascii="Verdana" w:hAnsi="Verdana" w:cs="Arial"/>
          <w:bCs/>
          <w:vertAlign w:val="superscript"/>
          <w:lang w:val="es-MX" w:eastAsia="es-ES" w:bidi="es-ES"/>
        </w:rPr>
        <w:footnoteReference w:id="4"/>
      </w:r>
      <w:r w:rsidRPr="004441A4">
        <w:rPr>
          <w:rFonts w:ascii="Verdana" w:hAnsi="Verdana" w:cs="Arial"/>
          <w:bCs/>
          <w:lang w:val="es-MX" w:eastAsia="es-ES" w:bidi="es-ES"/>
        </w:rPr>
        <w:t>.</w:t>
      </w:r>
    </w:p>
    <w:p w14:paraId="48E621F2" w14:textId="77777777" w:rsidR="00CF7CCB" w:rsidRPr="004441A4" w:rsidRDefault="00CF7CCB" w:rsidP="00CF7CCB">
      <w:pPr>
        <w:spacing w:after="120" w:line="276" w:lineRule="auto"/>
        <w:ind w:firstLine="708"/>
        <w:jc w:val="both"/>
        <w:rPr>
          <w:rFonts w:ascii="Verdana" w:hAnsi="Verdana" w:cs="Arial"/>
          <w:bCs/>
          <w:lang w:val="es-ES_tradnl" w:eastAsia="es-ES" w:bidi="es-ES"/>
        </w:rPr>
      </w:pPr>
      <w:r w:rsidRPr="004441A4">
        <w:rPr>
          <w:rFonts w:ascii="Verdana" w:hAnsi="Verdana" w:cs="Arial"/>
          <w:bCs/>
          <w:lang w:val="es-ES_tradnl" w:eastAsia="es-ES" w:bidi="es-ES"/>
        </w:rPr>
        <w:t xml:space="preserve">De conformidad con lo dispuesto en los artículos 5, numeral 1 de la Ley 1150 de 2007 y 2.2.1.1.1.5.3 del Decreto 1082 de 2015, por regla general, la acreditación del requisito habilitante de capacidad financiera se realiza mediante el RUP. En atención a esto, para los tramites de inscripción, renovación y actualización el numeral 2.3 del artículo 2.2.1.1.1.5.2 del Decreto 1082 de 2015 exige la presentación de los </w:t>
      </w:r>
      <w:r w:rsidRPr="004441A4">
        <w:rPr>
          <w:rFonts w:ascii="Verdana" w:hAnsi="Verdana" w:cs="Arial"/>
          <w:bCs/>
          <w:i/>
          <w:iCs/>
          <w:lang w:val="es-ES_tradnl" w:eastAsia="es-ES" w:bidi="es-ES"/>
        </w:rPr>
        <w:t>“</w:t>
      </w:r>
      <w:r w:rsidRPr="004441A4">
        <w:rPr>
          <w:rFonts w:ascii="Verdana" w:hAnsi="Verdana" w:cs="Arial"/>
          <w:bCs/>
          <w:i/>
          <w:iCs/>
          <w:lang w:eastAsia="es-ES" w:bidi="es-ES"/>
        </w:rPr>
        <w:t>Estados financieros de la sociedad y los estados financieros consolidados del grupo empresarial, cuando la norma aplicable lo exige, auditados con sus notas […]”</w:t>
      </w:r>
      <w:r w:rsidRPr="004441A4">
        <w:rPr>
          <w:rFonts w:ascii="Verdana" w:hAnsi="Verdana" w:cs="Arial"/>
          <w:bCs/>
          <w:lang w:val="es-ES_tradnl" w:eastAsia="es-ES" w:bidi="es-ES"/>
        </w:rPr>
        <w:t>, además de unos anexos dirigidos a servir de medio de verificación de la salud financiera de los proponentes</w:t>
      </w:r>
      <w:r w:rsidRPr="004441A4">
        <w:rPr>
          <w:rFonts w:ascii="Verdana" w:hAnsi="Verdana" w:cs="Arial"/>
          <w:bCs/>
          <w:vertAlign w:val="superscript"/>
          <w:lang w:val="es-ES_tradnl" w:eastAsia="es-ES" w:bidi="es-ES"/>
        </w:rPr>
        <w:footnoteReference w:id="5"/>
      </w:r>
      <w:r w:rsidRPr="004441A4">
        <w:rPr>
          <w:rFonts w:ascii="Verdana" w:hAnsi="Verdana" w:cs="Arial"/>
          <w:bCs/>
          <w:lang w:val="es-ES_tradnl" w:eastAsia="es-ES" w:bidi="es-ES"/>
        </w:rPr>
        <w:t xml:space="preserve">. De este modo, lo que se verifica con el registro es que el proponente cumpla con los </w:t>
      </w:r>
      <w:r w:rsidRPr="004441A4">
        <w:rPr>
          <w:rFonts w:ascii="Verdana" w:hAnsi="Verdana" w:cs="Arial"/>
          <w:bCs/>
          <w:lang w:val="es-ES_tradnl" w:eastAsia="es-ES" w:bidi="es-ES"/>
        </w:rPr>
        <w:lastRenderedPageBreak/>
        <w:t xml:space="preserve">indicadores financieros solicitados por la entidad para medir la capacidad financiera requerida para el procedimiento de selección. </w:t>
      </w:r>
    </w:p>
    <w:p w14:paraId="3FB125D8"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val="es-ES" w:eastAsia="es-ES" w:bidi="es-ES"/>
        </w:rPr>
        <w:t xml:space="preserve">Según el artículo 2.2.1.1.1.5.3. del Decreto 1082 de 2015, el RUP contempla como indicadores de capacidad financiera los siguientes: i) el </w:t>
      </w:r>
      <w:r w:rsidRPr="004441A4">
        <w:rPr>
          <w:rFonts w:ascii="Verdana" w:hAnsi="Verdana" w:cs="Arial"/>
          <w:bCs/>
          <w:i/>
          <w:iCs/>
          <w:lang w:val="es-ES" w:eastAsia="es-ES" w:bidi="es-ES"/>
        </w:rPr>
        <w:t>índice de liquidez</w:t>
      </w:r>
      <w:r w:rsidRPr="004441A4">
        <w:rPr>
          <w:rFonts w:ascii="Verdana" w:hAnsi="Verdana" w:cs="Arial"/>
          <w:bCs/>
          <w:lang w:val="es-ES" w:eastAsia="es-ES" w:bidi="es-ES"/>
        </w:rPr>
        <w:t xml:space="preserve">, que corresponde a la división entre el activo corriente y el pasivo corriente, y que determina la capacidad que tiene el proponente para cumplir con sus obligaciones de corto plazo; </w:t>
      </w:r>
      <w:proofErr w:type="spellStart"/>
      <w:r w:rsidRPr="004441A4">
        <w:rPr>
          <w:rFonts w:ascii="Verdana" w:hAnsi="Verdana" w:cs="Arial"/>
          <w:bCs/>
          <w:lang w:val="es-ES" w:eastAsia="es-ES" w:bidi="es-ES"/>
        </w:rPr>
        <w:t>ii</w:t>
      </w:r>
      <w:proofErr w:type="spellEnd"/>
      <w:r w:rsidRPr="004441A4">
        <w:rPr>
          <w:rFonts w:ascii="Verdana" w:hAnsi="Verdana" w:cs="Arial"/>
          <w:bCs/>
          <w:lang w:val="es-ES" w:eastAsia="es-ES" w:bidi="es-ES"/>
        </w:rPr>
        <w:t xml:space="preserve">) el </w:t>
      </w:r>
      <w:r w:rsidRPr="004441A4">
        <w:rPr>
          <w:rFonts w:ascii="Verdana" w:hAnsi="Verdana" w:cs="Arial"/>
          <w:bCs/>
          <w:i/>
          <w:iCs/>
          <w:lang w:val="es-ES" w:eastAsia="es-ES" w:bidi="es-ES"/>
        </w:rPr>
        <w:t>índice de endeudamiento</w:t>
      </w:r>
      <w:r w:rsidRPr="004441A4">
        <w:rPr>
          <w:rFonts w:ascii="Verdana" w:hAnsi="Verdana" w:cs="Arial"/>
          <w:bCs/>
          <w:lang w:val="es-ES" w:eastAsia="es-ES" w:bidi="es-ES"/>
        </w:rPr>
        <w:t xml:space="preserve">, que se calcula dividiendo el pasivo total por el activo total, el cual determina el grado de endeudamiento en la estructura de financiación del proponente; y </w:t>
      </w:r>
      <w:proofErr w:type="spellStart"/>
      <w:r w:rsidRPr="004441A4">
        <w:rPr>
          <w:rFonts w:ascii="Verdana" w:hAnsi="Verdana" w:cs="Arial"/>
          <w:bCs/>
          <w:lang w:val="es-ES" w:eastAsia="es-ES" w:bidi="es-ES"/>
        </w:rPr>
        <w:t>iii</w:t>
      </w:r>
      <w:proofErr w:type="spellEnd"/>
      <w:r w:rsidRPr="004441A4">
        <w:rPr>
          <w:rFonts w:ascii="Verdana" w:hAnsi="Verdana" w:cs="Arial"/>
          <w:bCs/>
          <w:lang w:val="es-ES" w:eastAsia="es-ES" w:bidi="es-ES"/>
        </w:rPr>
        <w:t xml:space="preserve">) la </w:t>
      </w:r>
      <w:r w:rsidRPr="004441A4">
        <w:rPr>
          <w:rFonts w:ascii="Verdana" w:hAnsi="Verdana" w:cs="Arial"/>
          <w:bCs/>
          <w:i/>
          <w:iCs/>
          <w:lang w:val="es-ES" w:eastAsia="es-ES" w:bidi="es-ES"/>
        </w:rPr>
        <w:t>razón de cobertura de intereses</w:t>
      </w:r>
      <w:r w:rsidRPr="004441A4">
        <w:rPr>
          <w:rFonts w:ascii="Verdana" w:hAnsi="Verdana" w:cs="Arial"/>
          <w:bCs/>
          <w:lang w:val="es-ES" w:eastAsia="es-ES" w:bidi="es-ES"/>
        </w:rPr>
        <w:t xml:space="preserve">, que es igual a la utilidad operacional, sobre los gastos de intereses, y que refleja la capacidad del proponente para cumplir con sus obligaciones financieras. En torno a este último indicador, es pertinente señalar que </w:t>
      </w:r>
      <w:r w:rsidRPr="004441A4">
        <w:rPr>
          <w:rFonts w:ascii="Verdana" w:hAnsi="Verdana" w:cs="Arial"/>
          <w:bCs/>
          <w:lang w:eastAsia="es-ES" w:bidi="es-ES"/>
        </w:rPr>
        <w:t xml:space="preserve">es diseñado para medir la capacidad del proponente para atender sus obligaciones financieras, al evaluar cuántas veces la utilidad operacional cubre los gastos por intereses. </w:t>
      </w:r>
    </w:p>
    <w:p w14:paraId="0A059CA6" w14:textId="77777777" w:rsidR="00CF7CCB" w:rsidRPr="004441A4" w:rsidRDefault="00CF7CCB" w:rsidP="00CF7CCB">
      <w:pPr>
        <w:spacing w:after="120" w:line="276" w:lineRule="auto"/>
        <w:ind w:firstLine="708"/>
        <w:jc w:val="both"/>
        <w:rPr>
          <w:rFonts w:ascii="Verdana" w:hAnsi="Verdana" w:cs="Arial"/>
          <w:bCs/>
          <w:lang w:val="es-ES" w:eastAsia="es-ES" w:bidi="es-ES"/>
        </w:rPr>
      </w:pPr>
      <w:r w:rsidRPr="004441A4">
        <w:rPr>
          <w:rFonts w:ascii="Verdana" w:hAnsi="Verdana" w:cs="Arial"/>
          <w:bCs/>
          <w:lang w:eastAsia="es-ES" w:bidi="es-ES"/>
        </w:rPr>
        <w:t xml:space="preserve">En este aspecto, cobra relevancia </w:t>
      </w:r>
      <w:r w:rsidRPr="004441A4">
        <w:rPr>
          <w:rFonts w:ascii="Verdana" w:hAnsi="Verdana" w:cs="Arial"/>
          <w:bCs/>
          <w:lang w:val="es-ES" w:eastAsia="es-ES" w:bidi="es-ES"/>
        </w:rPr>
        <w:t xml:space="preserve">la utilidad operacional, el cual es un concepto financiero que se refiere al resultado económico obtenido por una entidad como consecuencia directa de su actividad ordinaria, antes de considerar ingresos o gastos de naturaleza no operativa, financieros o extraordinarios. Las cámaras de comercio suelen entender esta categoría como el indicador que refleja la eficiencia de la operación principal de la empresa, al medir la capacidad de generar excedentes a partir de su objeto social, sin incorporar elementos ajenos al giro normal del negocio. </w:t>
      </w:r>
    </w:p>
    <w:p w14:paraId="1457433B"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val="es-ES" w:eastAsia="es-ES" w:bidi="es-ES"/>
        </w:rPr>
        <w:t>En términos prácticos, la utilidad operacional se determina comparando los ingresos generados por la actividad ordinaria con los costos y gastos necesarios para desarrollarla. Así, se obtiene al sumar la totalidad de los ingresos operacionales y restar los costos y gastos propios de la actividad, conforme a la siguiente fórmula: Utilidad Operacional = Ingresos Totales – Costos y Gastos de la Actividad.</w:t>
      </w:r>
      <w:r w:rsidRPr="004441A4">
        <w:rPr>
          <w:rFonts w:ascii="Times New Roman" w:eastAsia="Times New Roman" w:hAnsi="Times New Roman" w:cs="Times New Roman"/>
          <w:sz w:val="24"/>
          <w:szCs w:val="24"/>
          <w:lang w:eastAsia="es-CO"/>
        </w:rPr>
        <w:t xml:space="preserve"> </w:t>
      </w:r>
      <w:r w:rsidRPr="004441A4">
        <w:rPr>
          <w:rFonts w:ascii="Verdana" w:hAnsi="Verdana" w:cs="Arial"/>
          <w:bCs/>
          <w:lang w:eastAsia="es-ES" w:bidi="es-ES"/>
        </w:rPr>
        <w:t>Este indicador es clave para el análisis financiero, la toma de decisiones y la planeación estratégica, ya que evidencia la capacidad de la entidad para generar valor a partir de su operación ordinaria, identificar brechas de eficiencia y orientar acciones de mejora continua.</w:t>
      </w:r>
    </w:p>
    <w:p w14:paraId="72BAE760" w14:textId="77777777" w:rsidR="00CF7CCB" w:rsidRPr="004441A4" w:rsidRDefault="00CF7CCB" w:rsidP="00CF7CCB">
      <w:pPr>
        <w:spacing w:after="120" w:line="276" w:lineRule="auto"/>
        <w:ind w:firstLine="708"/>
        <w:jc w:val="both"/>
        <w:rPr>
          <w:rFonts w:ascii="Verdana" w:hAnsi="Verdana" w:cs="Arial"/>
          <w:bCs/>
          <w:lang w:val="es-ES" w:eastAsia="es-ES" w:bidi="es-ES"/>
        </w:rPr>
      </w:pPr>
      <w:r w:rsidRPr="004441A4">
        <w:rPr>
          <w:rFonts w:ascii="Verdana" w:hAnsi="Verdana" w:cs="Arial"/>
          <w:bCs/>
          <w:lang w:val="es-ES" w:eastAsia="es-ES" w:bidi="es-ES"/>
        </w:rPr>
        <w:t xml:space="preserve">La utilidad operacional no puede equipararse ni confundirse con los conceptos como utilidad del ejercicio, utilidad neta o utilidad líquida, ya que cada </w:t>
      </w:r>
      <w:r w:rsidRPr="004441A4">
        <w:rPr>
          <w:rFonts w:ascii="Verdana" w:hAnsi="Verdana" w:cs="Arial"/>
          <w:bCs/>
          <w:lang w:val="es-ES" w:eastAsia="es-ES" w:bidi="es-ES"/>
        </w:rPr>
        <w:lastRenderedPageBreak/>
        <w:t>uno de estos refleja momentos y componentes distintos dentro del resultado financiero de una organización. La utilidad operacional se limita al desempeño de la actividad principal de la entidad, es decir, al resultado que se obtiene de confrontar los ingresos derivados del objeto social con los costos y gastos directamente asociados a su operación. Tal como lo menciona Héctor Ortiz Anaya, la utilidad operacional “es el resultado de restar de la utilidad bruta los gastos de administración y ventas. Indica la utilidad propia del negocio al cual se dedica la empresa”</w:t>
      </w:r>
      <w:r w:rsidRPr="004441A4">
        <w:rPr>
          <w:rFonts w:ascii="Verdana" w:hAnsi="Verdana" w:cs="Arial"/>
          <w:bCs/>
          <w:vertAlign w:val="superscript"/>
          <w:lang w:val="es-ES" w:eastAsia="es-ES" w:bidi="es-ES"/>
        </w:rPr>
        <w:footnoteReference w:id="6"/>
      </w:r>
      <w:r w:rsidRPr="004441A4">
        <w:rPr>
          <w:rFonts w:ascii="Verdana" w:hAnsi="Verdana" w:cs="Arial"/>
          <w:bCs/>
          <w:lang w:val="es-ES" w:eastAsia="es-ES" w:bidi="es-ES"/>
        </w:rPr>
        <w:t xml:space="preserve">. Esta constituye un indicador financiero objetivo que refleja la capacidad de una empresa para generar beneficios económicos a partir de su actividad principal o giro ordinario de negocios. Desde la perspectiva del análisis financiero, la utilidad operacional constituye un indicador importante porque permite depurar el resultado empresarial de los efectos del endeudamiento de los hechos ajenos al giro ordinario, constituyéndose en un reflejo de la forma en la que una empresa administra sus recursos productivos. </w:t>
      </w:r>
    </w:p>
    <w:p w14:paraId="074B4FE1" w14:textId="77777777" w:rsidR="00CF7CCB" w:rsidRPr="004441A4" w:rsidRDefault="00CF7CCB" w:rsidP="00CF7CCB">
      <w:pPr>
        <w:spacing w:after="120" w:line="276" w:lineRule="auto"/>
        <w:ind w:firstLine="708"/>
        <w:jc w:val="both"/>
        <w:rPr>
          <w:rFonts w:ascii="Verdana" w:hAnsi="Verdana" w:cs="Arial"/>
          <w:bCs/>
          <w:lang w:val="es-ES" w:eastAsia="es-ES" w:bidi="es-ES"/>
        </w:rPr>
      </w:pPr>
      <w:r w:rsidRPr="004441A4">
        <w:rPr>
          <w:rFonts w:ascii="Verdana" w:hAnsi="Verdana" w:cs="Arial"/>
          <w:bCs/>
          <w:lang w:eastAsia="es-ES" w:bidi="es-ES"/>
        </w:rPr>
        <w:t>La utilidad operacional constituye un insumo clave para la lectura integral del desempeño institucional, en tanto sirve de base para calcular un indicador que permiten evaluar la capacidad financiera. A partir de este resultado es posible determinar, por ejemplo, la razón de cobertura de intereses, que mide la solvencia para atender obligaciones financieras.</w:t>
      </w:r>
      <w:r w:rsidRPr="004441A4">
        <w:rPr>
          <w:rFonts w:ascii="Verdana" w:hAnsi="Verdana" w:cs="Arial"/>
          <w:bCs/>
          <w:lang w:val="es-ES" w:eastAsia="es-ES" w:bidi="es-ES"/>
        </w:rPr>
        <w:t xml:space="preserve"> En todo caso, la Agencia Nacional de Contratación Pública – Colombia Compra Eficiente recomienda valorar otro tipo de indicadores dentro de la capacidad financiera como el </w:t>
      </w:r>
      <w:r w:rsidRPr="004441A4">
        <w:rPr>
          <w:rFonts w:ascii="Verdana" w:hAnsi="Verdana" w:cs="Arial"/>
          <w:bCs/>
          <w:i/>
          <w:iCs/>
          <w:lang w:val="es-ES" w:eastAsia="es-ES" w:bidi="es-ES"/>
        </w:rPr>
        <w:t>capital de trabajo</w:t>
      </w:r>
      <w:r w:rsidRPr="004441A4">
        <w:rPr>
          <w:rFonts w:ascii="Verdana" w:hAnsi="Verdana" w:cs="Arial"/>
          <w:bCs/>
          <w:lang w:val="es-ES" w:eastAsia="es-ES" w:bidi="es-ES"/>
        </w:rPr>
        <w:t xml:space="preserve">, la </w:t>
      </w:r>
      <w:r w:rsidRPr="004441A4">
        <w:rPr>
          <w:rFonts w:ascii="Verdana" w:hAnsi="Verdana" w:cs="Arial"/>
          <w:bCs/>
          <w:i/>
          <w:iCs/>
          <w:lang w:val="es-ES" w:eastAsia="es-ES" w:bidi="es-ES"/>
        </w:rPr>
        <w:t>razón de efectivo</w:t>
      </w:r>
      <w:r w:rsidRPr="004441A4">
        <w:rPr>
          <w:rFonts w:ascii="Verdana" w:hAnsi="Verdana" w:cs="Arial"/>
          <w:bCs/>
          <w:lang w:val="es-ES" w:eastAsia="es-ES" w:bidi="es-ES"/>
        </w:rPr>
        <w:t xml:space="preserve">, la denominada </w:t>
      </w:r>
      <w:r w:rsidRPr="004441A4">
        <w:rPr>
          <w:rFonts w:ascii="Verdana" w:hAnsi="Verdana" w:cs="Arial"/>
          <w:bCs/>
          <w:i/>
          <w:iCs/>
          <w:lang w:val="es-ES" w:eastAsia="es-ES" w:bidi="es-ES"/>
        </w:rPr>
        <w:t>prueba ácida</w:t>
      </w:r>
      <w:r w:rsidRPr="004441A4">
        <w:rPr>
          <w:rFonts w:ascii="Verdana" w:hAnsi="Verdana" w:cs="Arial"/>
          <w:bCs/>
          <w:vertAlign w:val="superscript"/>
          <w:lang w:val="es-ES" w:eastAsia="es-ES" w:bidi="es-ES"/>
        </w:rPr>
        <w:footnoteReference w:id="7"/>
      </w:r>
      <w:r w:rsidRPr="004441A4">
        <w:rPr>
          <w:rFonts w:ascii="Verdana" w:hAnsi="Verdana" w:cs="Arial"/>
          <w:bCs/>
          <w:lang w:val="es-ES" w:eastAsia="es-ES" w:bidi="es-ES"/>
        </w:rPr>
        <w:t xml:space="preserve">, la </w:t>
      </w:r>
      <w:r w:rsidRPr="004441A4">
        <w:rPr>
          <w:rFonts w:ascii="Verdana" w:hAnsi="Verdana" w:cs="Arial"/>
          <w:bCs/>
          <w:i/>
          <w:iCs/>
          <w:lang w:val="es-ES" w:eastAsia="es-ES" w:bidi="es-ES"/>
        </w:rPr>
        <w:t xml:space="preserve">concentración de endeudamiento a corto </w:t>
      </w:r>
      <w:r w:rsidRPr="004441A4">
        <w:rPr>
          <w:rFonts w:ascii="Verdana" w:hAnsi="Verdana" w:cs="Arial"/>
          <w:bCs/>
          <w:lang w:val="es-ES" w:eastAsia="es-ES" w:bidi="es-ES"/>
        </w:rPr>
        <w:t>y</w:t>
      </w:r>
      <w:r w:rsidRPr="004441A4">
        <w:rPr>
          <w:rFonts w:ascii="Verdana" w:hAnsi="Verdana" w:cs="Arial"/>
          <w:bCs/>
          <w:i/>
          <w:iCs/>
          <w:lang w:val="es-ES" w:eastAsia="es-ES" w:bidi="es-ES"/>
        </w:rPr>
        <w:t xml:space="preserve"> a largo plazo</w:t>
      </w:r>
      <w:r w:rsidRPr="004441A4">
        <w:rPr>
          <w:rFonts w:ascii="Verdana" w:hAnsi="Verdana" w:cs="Arial"/>
          <w:bCs/>
          <w:lang w:val="es-ES" w:eastAsia="es-ES" w:bidi="es-ES"/>
        </w:rPr>
        <w:t xml:space="preserve"> y el </w:t>
      </w:r>
      <w:r w:rsidRPr="004441A4">
        <w:rPr>
          <w:rFonts w:ascii="Verdana" w:hAnsi="Verdana" w:cs="Arial"/>
          <w:bCs/>
          <w:i/>
          <w:iCs/>
          <w:lang w:val="es-ES" w:eastAsia="es-ES" w:bidi="es-ES"/>
        </w:rPr>
        <w:t>patrimonio</w:t>
      </w:r>
      <w:r w:rsidRPr="004441A4">
        <w:rPr>
          <w:rFonts w:ascii="Verdana" w:hAnsi="Verdana" w:cs="Arial"/>
          <w:bCs/>
          <w:i/>
          <w:iCs/>
          <w:vertAlign w:val="superscript"/>
          <w:lang w:val="es-ES" w:eastAsia="es-ES" w:bidi="es-ES"/>
        </w:rPr>
        <w:footnoteReference w:id="8"/>
      </w:r>
      <w:r w:rsidRPr="004441A4">
        <w:rPr>
          <w:rFonts w:ascii="Verdana" w:hAnsi="Verdana" w:cs="Arial"/>
          <w:bCs/>
          <w:lang w:val="es-ES" w:eastAsia="es-ES" w:bidi="es-ES"/>
        </w:rPr>
        <w:t>.</w:t>
      </w:r>
    </w:p>
    <w:p w14:paraId="6F4423E8"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eastAsia="es-ES" w:bidi="es-ES"/>
        </w:rPr>
        <w:t xml:space="preserve">La utilidad operacional también cumple un papel determinante dentro de los indicadores que miden la capacidad organizacional, pues constituye la variable central en dos de sus métricas fundamentales: a) Rentabilidad del patrimonio, calculada a partir de la utilidad operacional dividida por el patrimonio, lo que permite establecer el nivel de excedentes generados con relación a los recursos propios de la entidad; b) Rentabilidad del activo, obtenida </w:t>
      </w:r>
      <w:r w:rsidRPr="004441A4">
        <w:rPr>
          <w:rFonts w:ascii="Verdana" w:hAnsi="Verdana" w:cs="Arial"/>
          <w:bCs/>
          <w:lang w:eastAsia="es-ES" w:bidi="es-ES"/>
        </w:rPr>
        <w:lastRenderedPageBreak/>
        <w:t>de la utilidad operacional dividida por el activo total, indicador que muestra la eficiencia con la que la organización utiliza todos sus recursos para producir resultados operativos.</w:t>
      </w:r>
    </w:p>
    <w:p w14:paraId="24226BD3"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eastAsia="es-ES" w:bidi="es-ES"/>
        </w:rPr>
        <w:t>Para comprender la lógica de la capacidad organizacional, es necesario partir de su definición normativa. Esta se entiende por el Manual como “[…] la aptitud de un proponente para cumplir oportuna y cabalmente el objeto del contrato en función de su organización interna. El artículo 2.2.1.1.1.5.3 del Decreto 1082 de 2015 definió los indicadores de rentabilidad para medirla, teniendo en cuenta que un oferente está bien organizado cuando es rentable”</w:t>
      </w:r>
      <w:r w:rsidRPr="004441A4">
        <w:rPr>
          <w:rStyle w:val="Refdenotaalpie"/>
          <w:rFonts w:ascii="Verdana" w:hAnsi="Verdana" w:cs="Arial"/>
          <w:bCs/>
          <w:lang w:eastAsia="es-ES" w:bidi="es-ES"/>
        </w:rPr>
        <w:footnoteReference w:id="9"/>
      </w:r>
      <w:r w:rsidRPr="004441A4">
        <w:rPr>
          <w:rFonts w:ascii="Verdana" w:hAnsi="Verdana" w:cs="Arial"/>
          <w:bCs/>
          <w:lang w:eastAsia="es-ES" w:bidi="es-ES"/>
        </w:rPr>
        <w:t>. En consecuencia, la capacidad organizacional se evalúa a partir de la eficiencia con la que la entidad transforma sus recursos —patrimonio y activos— en resultados operativos positivos, evidenciando solidez interna, adecuada gestión y sostenibilidad en su operación. En esta línea, el numeral 5.1. del “Manual para determinar y verificar los requisitos habilitantes en los procesos de contratación”, detalla lo siguiente:</w:t>
      </w:r>
    </w:p>
    <w:p w14:paraId="578F50E6"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noProof/>
          <w:lang w:val="es-ES" w:eastAsia="es-ES" w:bidi="es-ES"/>
        </w:rPr>
        <w:drawing>
          <wp:anchor distT="0" distB="0" distL="114300" distR="114300" simplePos="0" relativeHeight="251659264" behindDoc="0" locked="0" layoutInCell="1" allowOverlap="1" wp14:anchorId="3B5BAE30" wp14:editId="473640FA">
            <wp:simplePos x="0" y="0"/>
            <wp:positionH relativeFrom="margin">
              <wp:align>right</wp:align>
            </wp:positionH>
            <wp:positionV relativeFrom="paragraph">
              <wp:posOffset>62865</wp:posOffset>
            </wp:positionV>
            <wp:extent cx="5612130" cy="3287395"/>
            <wp:effectExtent l="0" t="0" r="7620" b="8255"/>
            <wp:wrapSquare wrapText="bothSides"/>
            <wp:docPr id="4443921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92134" name=""/>
                    <pic:cNvPicPr/>
                  </pic:nvPicPr>
                  <pic:blipFill>
                    <a:blip r:embed="rId13">
                      <a:extLst>
                        <a:ext uri="{28A0092B-C50C-407E-A947-70E740481C1C}">
                          <a14:useLocalDpi xmlns:a14="http://schemas.microsoft.com/office/drawing/2010/main" val="0"/>
                        </a:ext>
                      </a:extLst>
                    </a:blip>
                    <a:stretch>
                      <a:fillRect/>
                    </a:stretch>
                  </pic:blipFill>
                  <pic:spPr>
                    <a:xfrm>
                      <a:off x="0" y="0"/>
                      <a:ext cx="5612130" cy="3287395"/>
                    </a:xfrm>
                    <a:prstGeom prst="rect">
                      <a:avLst/>
                    </a:prstGeom>
                  </pic:spPr>
                </pic:pic>
              </a:graphicData>
            </a:graphic>
          </wp:anchor>
        </w:drawing>
      </w:r>
    </w:p>
    <w:p w14:paraId="301F59D4"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eastAsia="es-ES" w:bidi="es-ES"/>
        </w:rPr>
        <w:lastRenderedPageBreak/>
        <w:t>En dicho Manual, la Agencia expresa que la determinación de cada requisito habilitante debe enmarcarse en el análisis y el concepto de lo que mide el indicador. Si el indicador representa una mayor probabilidad de Riesgo a medida que su valor aumenta, la Entidad Estatal debe fijar un valor máximo para el requisito habilitante. Si el indicador refleja una menor probabilidad de Riesgo a medida que su valor es mayor, la Entidad Estatal debe establecer un mínimo.</w:t>
      </w:r>
    </w:p>
    <w:p w14:paraId="3DC5DE6D"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eastAsia="es-ES" w:bidi="es-ES"/>
        </w:rPr>
        <w:t xml:space="preserve">De igual modo, las Entidades Estatales pueden establecer indicadores de capacidad organizacional adicionales a los previstos en el numeral 4 del artículo 2.2.1.1.1.5.3 del Decreto 1082 de 2015, solo en aquellos casos en que, por las características del objeto a contratar, valor del contrato, la naturaleza, complejidad y Riesgo del Proceso de Contratación se requiera. En este aspecto, destaca como indicadores el margen bruto, margen operacional, el margen neto, retorno sobre el capital invertido, rotación de activos totales, rotación de activos fijos y rotación de inventarios. </w:t>
      </w:r>
    </w:p>
    <w:p w14:paraId="6AF2CF37" w14:textId="77777777" w:rsidR="00CF7CCB" w:rsidRPr="004441A4" w:rsidRDefault="00CF7CCB" w:rsidP="00CF7CCB">
      <w:pPr>
        <w:spacing w:after="120" w:line="276" w:lineRule="auto"/>
        <w:ind w:firstLine="708"/>
        <w:jc w:val="both"/>
        <w:rPr>
          <w:rFonts w:ascii="Verdana" w:hAnsi="Verdana" w:cs="Arial"/>
          <w:bCs/>
          <w:lang w:eastAsia="es-ES" w:bidi="es-ES"/>
        </w:rPr>
      </w:pPr>
      <w:r w:rsidRPr="004441A4">
        <w:rPr>
          <w:rFonts w:ascii="Verdana" w:hAnsi="Verdana" w:cs="Arial"/>
          <w:bCs/>
          <w:lang w:eastAsia="es-ES" w:bidi="es-ES"/>
        </w:rPr>
        <w:t xml:space="preserve">Teniendo en cuenta estas precisiones, se señala que la sustitución de los indicadores de capacidad financiera, así como de la capacidad organizacional previstos en el artículo 2.2.1.1.1.5.3 del Decreto 1082 de 2015 —particularmente aquellos cuya metodología depende de la utilidad operacional— no es procedente en los procesos sometidos al régimen general de contratación estatal, si se exigió dentro del proceso de contratación. Ello se debe a que las exigencias que se estructuran dentro del Decreto 092 de 2017 fueron diseñados para un régimen especial de contratación con ESAL de reconocida idoneidad y no pueden trasladarse automáticamente al régimen general, que se rige por parámetros distintos y por reglas de selección objetiva aplicables a todos los proponentes. </w:t>
      </w:r>
    </w:p>
    <w:p w14:paraId="00046619" w14:textId="77777777" w:rsidR="00CF7CCB" w:rsidRPr="004441A4" w:rsidRDefault="00CF7CCB" w:rsidP="00CF7CCB">
      <w:pPr>
        <w:spacing w:after="120" w:line="276" w:lineRule="auto"/>
        <w:jc w:val="both"/>
        <w:rPr>
          <w:rFonts w:ascii="Verdana" w:hAnsi="Verdana" w:cs="Arial"/>
          <w:bCs/>
          <w:lang w:eastAsia="es-ES" w:bidi="es-ES"/>
        </w:rPr>
      </w:pPr>
      <w:proofErr w:type="spellStart"/>
      <w:r>
        <w:rPr>
          <w:rFonts w:ascii="Verdana" w:hAnsi="Verdana" w:cs="Arial"/>
          <w:bCs/>
          <w:lang w:eastAsia="es-ES" w:bidi="es-ES"/>
        </w:rPr>
        <w:t>ii</w:t>
      </w:r>
      <w:proofErr w:type="spellEnd"/>
      <w:r>
        <w:rPr>
          <w:rFonts w:ascii="Verdana" w:hAnsi="Verdana" w:cs="Arial"/>
          <w:bCs/>
          <w:lang w:eastAsia="es-ES" w:bidi="es-ES"/>
        </w:rPr>
        <w:t xml:space="preserve">. </w:t>
      </w:r>
      <w:r w:rsidRPr="004441A4">
        <w:rPr>
          <w:rFonts w:ascii="Verdana" w:hAnsi="Verdana" w:cs="Arial"/>
          <w:bCs/>
          <w:lang w:eastAsia="es-ES" w:bidi="es-ES"/>
        </w:rPr>
        <w:t xml:space="preserve">Sin embargo, es fundamental precisar que el numerales 3 y 4 del artículo 2.2.1.1.1.5.3 del Decreto 1082 de 2015 no obliga a que todos los indicadores del RUP deban ser exigidos en cada proceso de selección. Esta disposición regula los aspectos que las cámaras de comercio deben verificar al momento de la inscripción, renovación o actualización del RUP, pero no determina cuáles indicadores deben exigirse como requisitos habilitantes en cada procedimiento contractual. Una cosa es la información que debe certificar el RUP y otra, distinta, los elementos de capacidad financiera y la capacidad organizacional que la </w:t>
      </w:r>
      <w:r w:rsidRPr="004441A4">
        <w:rPr>
          <w:rFonts w:ascii="Verdana" w:hAnsi="Verdana" w:cs="Arial"/>
          <w:bCs/>
          <w:lang w:eastAsia="es-ES" w:bidi="es-ES"/>
        </w:rPr>
        <w:lastRenderedPageBreak/>
        <w:t xml:space="preserve">entidad contratante decide evaluar en el proceso, según las características del objeto contractual y del mercado relevante. Por tanto, la entidad no está obligada a exigir en el pliego todos los indicadores del RUP, pero si debe a partir del análisis del sector aquellos indicadores son los necesarios para exigirse dentro del proceso de contratación. </w:t>
      </w:r>
    </w:p>
    <w:p w14:paraId="43CD7CF6" w14:textId="77777777" w:rsidR="00CF7CCB" w:rsidRPr="0017378C" w:rsidRDefault="00CF7CCB" w:rsidP="00CF7CCB">
      <w:pPr>
        <w:spacing w:after="0" w:line="276" w:lineRule="auto"/>
        <w:ind w:firstLine="708"/>
        <w:jc w:val="both"/>
        <w:rPr>
          <w:rFonts w:ascii="Verdana" w:eastAsia="Calibri" w:hAnsi="Verdana" w:cs="Arial"/>
          <w:lang w:val="es-ES"/>
        </w:rPr>
      </w:pPr>
      <w:r w:rsidRPr="004441A4">
        <w:rPr>
          <w:rFonts w:ascii="Verdana" w:hAnsi="Verdana" w:cs="Arial"/>
          <w:bCs/>
          <w:lang w:eastAsia="es-ES" w:bidi="es-ES"/>
        </w:rPr>
        <w:t>En este sentido, aunque no es viable sustituir los indicadores del Decreto 1082 por lo regulado en el Decreto 092, sí es posible que la entidad contratante seleccione, dentro del marco del régimen general, aquellos indicadores que resulten pertinentes, proporcionales y adecuados para evaluar la capacidad financiera y la capacidad organizacional de los proponentes, evitando exigir aquellos cuya metodología dependa de la utilidad operacional cuando ello no sea relevante para el objeto contractual o cuando genere exclusiones injustificadas</w:t>
      </w:r>
      <w:r>
        <w:rPr>
          <w:rFonts w:ascii="Verdana" w:hAnsi="Verdana" w:cs="Arial"/>
          <w:bCs/>
          <w:lang w:eastAsia="es-ES" w:bidi="es-ES"/>
        </w:rPr>
        <w:t>, como puede ocurrir con el caso de las ESAL, las cuales se caracterizan por no tener un ánimo de lucro. En este sentido</w:t>
      </w:r>
      <w:r>
        <w:rPr>
          <w:rFonts w:ascii="Verdana" w:eastAsia="Calibri" w:hAnsi="Verdana" w:cs="Arial"/>
          <w:lang w:val="es-ES"/>
        </w:rPr>
        <w:t>, e</w:t>
      </w:r>
      <w:r w:rsidRPr="0017378C">
        <w:rPr>
          <w:rFonts w:ascii="Verdana" w:eastAsia="Calibri" w:hAnsi="Verdana" w:cs="Arial"/>
          <w:lang w:val="es-ES"/>
        </w:rPr>
        <w:t>l elemento característico de estas entidades es la ausencia de lucro, el cual está relacionado con que no haya una distribución o reparto de utilidades a sus miembros. Al respecto, el Consejo de Estado ha precisado:</w:t>
      </w:r>
    </w:p>
    <w:p w14:paraId="3D3FC5D5" w14:textId="77777777" w:rsidR="00CF7CCB" w:rsidRPr="0017378C" w:rsidRDefault="00CF7CCB" w:rsidP="00CF7CCB">
      <w:pPr>
        <w:spacing w:after="0" w:line="276" w:lineRule="auto"/>
        <w:ind w:left="720"/>
        <w:jc w:val="both"/>
        <w:rPr>
          <w:rFonts w:ascii="Verdana" w:eastAsia="Calibri" w:hAnsi="Verdana" w:cs="Arial"/>
          <w:lang w:val="es-ES"/>
        </w:rPr>
      </w:pPr>
    </w:p>
    <w:p w14:paraId="52954343" w14:textId="77777777" w:rsidR="00CF7CCB" w:rsidRPr="0017378C" w:rsidRDefault="00CF7CCB" w:rsidP="00CF7CCB">
      <w:pPr>
        <w:spacing w:after="0" w:line="240" w:lineRule="auto"/>
        <w:ind w:left="709" w:right="709"/>
        <w:jc w:val="both"/>
        <w:rPr>
          <w:rFonts w:ascii="Verdana" w:eastAsia="Calibri" w:hAnsi="Verdana" w:cs="Arial"/>
          <w:sz w:val="20"/>
          <w:szCs w:val="20"/>
          <w:lang w:val="es-ES"/>
        </w:rPr>
      </w:pPr>
      <w:r w:rsidRPr="0017378C">
        <w:rPr>
          <w:rFonts w:ascii="Verdana" w:eastAsia="Calibri" w:hAnsi="Verdana" w:cs="Arial"/>
          <w:sz w:val="20"/>
          <w:szCs w:val="20"/>
          <w:lang w:val="es-ES"/>
        </w:rPr>
        <w:t>“El criterio de lucro o las finalidades de lucro no se relacionan, no pueden relacionarse a las utilidades obtenidas, sino a la destinación que se les dé. La estipulación o norma, que elimina los fines de lucro, es la que tiene como consecuencia, la de que los rendimientos o utilidades obtenidas no sean objeto de distribución o reparto entre socios o integrantes de la persona moral que las genera. Este criterio o concepto ha sido tradicionalmente concebido y respetado siempre.</w:t>
      </w:r>
      <w:r w:rsidRPr="0017378C">
        <w:rPr>
          <w:rStyle w:val="Refdenotaalpie"/>
          <w:rFonts w:ascii="Verdana" w:eastAsia="Calibri" w:hAnsi="Verdana" w:cs="Arial"/>
          <w:sz w:val="20"/>
          <w:szCs w:val="20"/>
          <w:lang w:val="es-ES"/>
        </w:rPr>
        <w:footnoteReference w:id="10"/>
      </w:r>
      <w:r w:rsidRPr="0017378C">
        <w:rPr>
          <w:rFonts w:ascii="Verdana" w:eastAsia="Calibri" w:hAnsi="Verdana" w:cs="Arial"/>
          <w:sz w:val="20"/>
          <w:szCs w:val="20"/>
          <w:lang w:val="es-ES"/>
        </w:rPr>
        <w:t xml:space="preserve">” </w:t>
      </w:r>
    </w:p>
    <w:p w14:paraId="434234BC" w14:textId="77777777" w:rsidR="00CF7CCB" w:rsidRDefault="00CF7CCB" w:rsidP="00CF7CCB">
      <w:pPr>
        <w:spacing w:after="120" w:line="276" w:lineRule="auto"/>
        <w:jc w:val="both"/>
        <w:rPr>
          <w:rFonts w:ascii="Verdana" w:hAnsi="Verdana" w:cs="Arial"/>
          <w:bCs/>
          <w:lang w:eastAsia="es-ES" w:bidi="es-ES"/>
        </w:rPr>
      </w:pPr>
    </w:p>
    <w:p w14:paraId="5DEDF081" w14:textId="77777777" w:rsidR="00CF7CCB" w:rsidRPr="004441A4" w:rsidRDefault="00CF7CCB" w:rsidP="00CF7CCB">
      <w:pPr>
        <w:spacing w:after="120" w:line="276" w:lineRule="auto"/>
        <w:ind w:firstLine="708"/>
        <w:jc w:val="both"/>
        <w:rPr>
          <w:rFonts w:ascii="Verdana" w:hAnsi="Verdana" w:cs="Arial"/>
          <w:bCs/>
          <w:i/>
          <w:iCs/>
          <w:lang w:val="es-ES" w:eastAsia="es-ES" w:bidi="es-ES"/>
        </w:rPr>
      </w:pPr>
      <w:r w:rsidRPr="00ED0022">
        <w:rPr>
          <w:rFonts w:ascii="Verdana" w:hAnsi="Verdana" w:cs="Arial"/>
          <w:bCs/>
          <w:lang w:eastAsia="es-ES" w:bidi="es-ES"/>
        </w:rPr>
        <w:t xml:space="preserve">La ausencia de ánimo de lucro implica que la utilidad operacional en las ESAL no se caracteriza por ser positiva; por el contrario, suele ser nula o incluso negativa. En este contexto, la entidad estatal puede optar por indicadores acordes con la naturaleza jurídica del proponente, tales como el índice de liquidez, el índice de endeudamiento, el capital de trabajo, la razón de efectivo, la concentración del endeudamiento a corto y largo plazo y el patrimonio, evitando supeditar la evaluación exclusivamente a </w:t>
      </w:r>
      <w:r>
        <w:rPr>
          <w:rFonts w:ascii="Verdana" w:hAnsi="Verdana" w:cs="Arial"/>
          <w:bCs/>
          <w:lang w:eastAsia="es-ES" w:bidi="es-ES"/>
        </w:rPr>
        <w:t xml:space="preserve">indicadores de la capacidad </w:t>
      </w:r>
      <w:r>
        <w:rPr>
          <w:rFonts w:ascii="Verdana" w:hAnsi="Verdana" w:cs="Arial"/>
          <w:bCs/>
          <w:lang w:eastAsia="es-ES" w:bidi="es-ES"/>
        </w:rPr>
        <w:lastRenderedPageBreak/>
        <w:t>financiera y capacidad organizacional que dependan de la</w:t>
      </w:r>
      <w:r w:rsidRPr="00ED0022">
        <w:rPr>
          <w:rFonts w:ascii="Verdana" w:hAnsi="Verdana" w:cs="Arial"/>
          <w:bCs/>
          <w:lang w:eastAsia="es-ES" w:bidi="es-ES"/>
        </w:rPr>
        <w:t xml:space="preserve"> utilidad operacional como variable</w:t>
      </w:r>
      <w:r>
        <w:rPr>
          <w:rFonts w:ascii="Verdana" w:hAnsi="Verdana" w:cs="Arial"/>
          <w:bCs/>
          <w:lang w:eastAsia="es-ES" w:bidi="es-ES"/>
        </w:rPr>
        <w:t>.</w:t>
      </w:r>
    </w:p>
    <w:p w14:paraId="0C306766" w14:textId="77777777" w:rsidR="00CF7CCB" w:rsidRPr="004441A4" w:rsidRDefault="00CF7CCB" w:rsidP="00CF7CCB">
      <w:pPr>
        <w:spacing w:after="0" w:line="276" w:lineRule="auto"/>
        <w:ind w:firstLine="708"/>
        <w:jc w:val="both"/>
        <w:rPr>
          <w:rFonts w:ascii="Verdana" w:hAnsi="Verdana" w:cs="Arial"/>
          <w:bCs/>
          <w:lang w:eastAsia="es-ES" w:bidi="es-ES"/>
        </w:rPr>
      </w:pPr>
      <w:r>
        <w:rPr>
          <w:rFonts w:ascii="Verdana" w:hAnsi="Verdana" w:cs="Arial"/>
          <w:bCs/>
          <w:lang w:val="es-ES" w:eastAsia="es-ES" w:bidi="es-ES"/>
        </w:rPr>
        <w:t xml:space="preserve">La alternativa </w:t>
      </w:r>
      <w:r w:rsidRPr="004441A4">
        <w:rPr>
          <w:rFonts w:ascii="Verdana" w:hAnsi="Verdana" w:cs="Arial"/>
          <w:bCs/>
          <w:lang w:eastAsia="es-ES" w:bidi="es-ES"/>
        </w:rPr>
        <w:t xml:space="preserve">para evitar la exclusión de las ESAL no consiste en establecer criterios diferenciales para estas sin un soporte legal, sino en estructurar adecuadamente los requisitos habilitantes, seleccionando aquellos que permitan evaluar objetivamente la capacidad financiera y la capacidad organizacional de todos los participantes del mercado. La entidad debe justificar la pertinencia de los indicadores escogidos, demostrar su relación con los riesgos del contrato y garantizar que no generen barreras de acceso injustificadas. De esta manera, se armoniza el régimen general de contratación con los principios de igualdad, libre concurrencia, pluralidad de oferentes y selección objetiva, evitando decisiones que no atiendan a criterios de proporcionalidad y razonabilidad.  </w:t>
      </w:r>
    </w:p>
    <w:p w14:paraId="37FB6210" w14:textId="77777777" w:rsidR="00CF7CCB" w:rsidRPr="004441A4" w:rsidRDefault="00CF7CCB" w:rsidP="00CF7CCB">
      <w:pPr>
        <w:spacing w:after="0" w:line="276" w:lineRule="auto"/>
        <w:ind w:firstLine="708"/>
        <w:jc w:val="both"/>
        <w:rPr>
          <w:rFonts w:ascii="Verdana" w:hAnsi="Verdana" w:cs="Arial"/>
          <w:bCs/>
          <w:lang w:eastAsia="es-ES" w:bidi="es-ES"/>
        </w:rPr>
      </w:pPr>
    </w:p>
    <w:p w14:paraId="41EDC785" w14:textId="77777777" w:rsidR="00CF7CCB" w:rsidRPr="004441A4" w:rsidRDefault="00CF7CCB" w:rsidP="00CF7CCB">
      <w:pPr>
        <w:spacing w:after="0" w:line="276" w:lineRule="auto"/>
        <w:jc w:val="both"/>
        <w:rPr>
          <w:rFonts w:ascii="Verdana" w:eastAsia="Calibri" w:hAnsi="Verdana" w:cs="Arial"/>
          <w:lang w:eastAsia="es-MX"/>
        </w:rPr>
      </w:pPr>
      <w:proofErr w:type="spellStart"/>
      <w:r w:rsidRPr="004441A4">
        <w:rPr>
          <w:rFonts w:ascii="Verdana" w:eastAsia="Calibri" w:hAnsi="Verdana" w:cs="Arial"/>
          <w:lang w:eastAsia="es-MX"/>
        </w:rPr>
        <w:t>iii</w:t>
      </w:r>
      <w:proofErr w:type="spellEnd"/>
      <w:r w:rsidRPr="004441A4">
        <w:rPr>
          <w:rFonts w:ascii="Verdana" w:eastAsia="Calibri" w:hAnsi="Verdana" w:cs="Arial"/>
          <w:lang w:eastAsia="es-MX"/>
        </w:rPr>
        <w:t xml:space="preserve">. Para efectos de fijar los indicadores de capacidad financiera en el proceso de contratación, el Manual para Determinar y Verificar los Requisitos Habilitantes en los Procesos de Contratación establece un marco detallado para estructurar la capacidad financiera de los proponentes, garantizando que estos puedan cumplir con las obligaciones del contrato de manera eficiente y oportuna. El numeral 4.1 del Manual establece la fórmula y la descripción de cada uno de estos indicadores así: </w:t>
      </w:r>
    </w:p>
    <w:p w14:paraId="5A0C0CA3" w14:textId="77777777" w:rsidR="00CF7CCB" w:rsidRPr="004441A4" w:rsidRDefault="00CF7CCB" w:rsidP="00CF7CCB">
      <w:pPr>
        <w:spacing w:before="120" w:after="120" w:line="276" w:lineRule="auto"/>
        <w:ind w:firstLine="709"/>
        <w:jc w:val="both"/>
        <w:rPr>
          <w:rFonts w:ascii="Verdana" w:eastAsia="Calibri" w:hAnsi="Verdana" w:cs="Arial"/>
          <w:lang w:eastAsia="es-MX"/>
        </w:rPr>
      </w:pPr>
      <w:r w:rsidRPr="004441A4">
        <w:rPr>
          <w:rFonts w:ascii="Verdana" w:eastAsia="Calibri" w:hAnsi="Verdana" w:cs="Arial"/>
          <w:noProof/>
          <w:lang w:eastAsia="es-MX"/>
        </w:rPr>
        <w:drawing>
          <wp:inline distT="0" distB="0" distL="0" distR="0" wp14:anchorId="076792FC" wp14:editId="2B7E910F">
            <wp:extent cx="4876800" cy="2552700"/>
            <wp:effectExtent l="0" t="0" r="0" b="0"/>
            <wp:docPr id="1658878428" name="Imagen 1" descr="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78428" name="Imagen 1" descr="Tabla"/>
                    <pic:cNvPicPr/>
                  </pic:nvPicPr>
                  <pic:blipFill>
                    <a:blip r:embed="rId14"/>
                    <a:stretch>
                      <a:fillRect/>
                    </a:stretch>
                  </pic:blipFill>
                  <pic:spPr>
                    <a:xfrm>
                      <a:off x="0" y="0"/>
                      <a:ext cx="4876800" cy="2552700"/>
                    </a:xfrm>
                    <a:prstGeom prst="rect">
                      <a:avLst/>
                    </a:prstGeom>
                  </pic:spPr>
                </pic:pic>
              </a:graphicData>
            </a:graphic>
          </wp:inline>
        </w:drawing>
      </w:r>
    </w:p>
    <w:p w14:paraId="1B4DA275" w14:textId="77777777" w:rsidR="00CF7CCB" w:rsidRPr="004441A4" w:rsidRDefault="00CF7CCB" w:rsidP="00CF7CCB">
      <w:pPr>
        <w:spacing w:before="120" w:after="120" w:line="276" w:lineRule="auto"/>
        <w:ind w:firstLine="709"/>
        <w:jc w:val="both"/>
        <w:rPr>
          <w:rFonts w:ascii="Verdana" w:eastAsia="Calibri" w:hAnsi="Verdana" w:cs="Arial"/>
          <w:lang w:eastAsia="es-MX"/>
        </w:rPr>
      </w:pPr>
      <w:r w:rsidRPr="004441A4">
        <w:rPr>
          <w:rFonts w:ascii="Verdana" w:eastAsia="Calibri" w:hAnsi="Verdana" w:cs="Arial"/>
          <w:lang w:eastAsia="es-MX"/>
        </w:rPr>
        <w:lastRenderedPageBreak/>
        <w:t xml:space="preserve">La entidad también debe establecer valores mínimos o máximos para estos indicadores según el nivel de riesgo que representan. Para tales efectos, el Manual ilustra una tabla que muestra la interpretación de cada uno de los indicadores de capacidad financiera que debe contener el RUP y su relación con la probabilidad de Riesgo: </w:t>
      </w:r>
    </w:p>
    <w:p w14:paraId="0C5E22CC" w14:textId="77777777" w:rsidR="00CF7CCB" w:rsidRPr="004441A4" w:rsidRDefault="00CF7CCB" w:rsidP="00CF7CCB">
      <w:pPr>
        <w:spacing w:before="120" w:after="120" w:line="276" w:lineRule="auto"/>
        <w:ind w:firstLine="709"/>
        <w:jc w:val="both"/>
        <w:rPr>
          <w:rFonts w:ascii="Verdana" w:eastAsia="Calibri" w:hAnsi="Verdana" w:cs="Arial"/>
          <w:lang w:eastAsia="es-MX"/>
        </w:rPr>
      </w:pPr>
      <w:r w:rsidRPr="004441A4">
        <w:rPr>
          <w:rFonts w:ascii="Verdana" w:eastAsia="Calibri" w:hAnsi="Verdana" w:cs="Arial"/>
          <w:noProof/>
          <w:lang w:eastAsia="es-MX"/>
        </w:rPr>
        <w:drawing>
          <wp:inline distT="0" distB="0" distL="0" distR="0" wp14:anchorId="318FB92D" wp14:editId="71BFCD2F">
            <wp:extent cx="4869180" cy="1623060"/>
            <wp:effectExtent l="0" t="0" r="7620" b="0"/>
            <wp:docPr id="667454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54653" name=""/>
                    <pic:cNvPicPr/>
                  </pic:nvPicPr>
                  <pic:blipFill>
                    <a:blip r:embed="rId15"/>
                    <a:stretch>
                      <a:fillRect/>
                    </a:stretch>
                  </pic:blipFill>
                  <pic:spPr>
                    <a:xfrm>
                      <a:off x="0" y="0"/>
                      <a:ext cx="4880214" cy="1626738"/>
                    </a:xfrm>
                    <a:prstGeom prst="rect">
                      <a:avLst/>
                    </a:prstGeom>
                  </pic:spPr>
                </pic:pic>
              </a:graphicData>
            </a:graphic>
          </wp:inline>
        </w:drawing>
      </w:r>
    </w:p>
    <w:p w14:paraId="126999BE" w14:textId="77777777" w:rsidR="00CF7CCB" w:rsidRPr="004441A4" w:rsidRDefault="00CF7CCB" w:rsidP="00CF7CCB">
      <w:pPr>
        <w:spacing w:after="120" w:line="276" w:lineRule="auto"/>
        <w:ind w:firstLine="709"/>
        <w:jc w:val="both"/>
        <w:rPr>
          <w:rFonts w:ascii="Verdana" w:eastAsia="Calibri" w:hAnsi="Verdana" w:cs="Arial"/>
          <w:lang w:eastAsia="es-MX"/>
        </w:rPr>
      </w:pPr>
      <w:r w:rsidRPr="004441A4">
        <w:rPr>
          <w:rFonts w:ascii="Verdana" w:eastAsia="Calibri" w:hAnsi="Verdana" w:cs="Arial"/>
          <w:lang w:eastAsia="es-MX"/>
        </w:rPr>
        <w:t xml:space="preserve">En este contexto, la Entidad Estatal debe establecer el límite para los indicadores de capacidad financiera en función de las características del contrato, como su naturaleza, valor, plazo y complejidad y evitar hacerlo de manera mecánica, pues cada proceso de contratación tiene una naturaleza distinta y está asociado a riesgos particulares. Por tanto, la entidad debe establecer un umbral adecuado para el indicador, fijando valores máximos o mínimos aceptables con los operadores "menor o igual (≤)" o "mayor o igual (≥)", según lo que considere apropiado para asegurar que el proponente pueda cumplir con sus obligaciones contractuales sin comprometer su estabilidad financiera. </w:t>
      </w:r>
    </w:p>
    <w:p w14:paraId="783BD940" w14:textId="77777777" w:rsidR="00CF7CCB" w:rsidRPr="004441A4" w:rsidRDefault="00CF7CCB" w:rsidP="00CF7CCB">
      <w:pPr>
        <w:spacing w:after="0" w:line="276" w:lineRule="auto"/>
        <w:ind w:firstLine="709"/>
        <w:jc w:val="both"/>
        <w:rPr>
          <w:rFonts w:ascii="Verdana" w:hAnsi="Verdana" w:cs="Arial"/>
        </w:rPr>
      </w:pPr>
      <w:r w:rsidRPr="004441A4">
        <w:rPr>
          <w:rFonts w:ascii="Verdana" w:hAnsi="Verdana" w:cs="Arial"/>
        </w:rPr>
        <w:t xml:space="preserve">El numeral 5.3 del Manual establece las pautas </w:t>
      </w:r>
      <w:proofErr w:type="gramStart"/>
      <w:r w:rsidRPr="004441A4">
        <w:rPr>
          <w:rFonts w:ascii="Verdana" w:hAnsi="Verdana" w:cs="Arial"/>
        </w:rPr>
        <w:t>a</w:t>
      </w:r>
      <w:proofErr w:type="gramEnd"/>
      <w:r w:rsidRPr="004441A4">
        <w:rPr>
          <w:rFonts w:ascii="Verdana" w:hAnsi="Verdana" w:cs="Arial"/>
        </w:rPr>
        <w:t xml:space="preserve"> tener en cuenta por las entidades estatales para fijar los indicadores de capacidad financiera y organizacional y señala la necesidad de determinar reglas específicas para los casos en los que el indicador cuente con valores en cero. Al respecto, señaló lo siguiente: </w:t>
      </w:r>
    </w:p>
    <w:p w14:paraId="2B0A542D" w14:textId="77777777" w:rsidR="00CF7CCB" w:rsidRPr="004441A4" w:rsidRDefault="00CF7CCB" w:rsidP="00CF7CCB">
      <w:pPr>
        <w:spacing w:after="0" w:line="276" w:lineRule="auto"/>
        <w:ind w:firstLine="709"/>
        <w:jc w:val="both"/>
        <w:rPr>
          <w:rFonts w:ascii="Verdana" w:hAnsi="Verdana" w:cs="Arial"/>
        </w:rPr>
      </w:pPr>
    </w:p>
    <w:p w14:paraId="464C19CA" w14:textId="77777777" w:rsidR="00CF7CCB" w:rsidRPr="004441A4" w:rsidRDefault="00CF7CCB" w:rsidP="00CF7CCB">
      <w:pPr>
        <w:spacing w:after="0" w:line="240" w:lineRule="auto"/>
        <w:ind w:left="709" w:right="709"/>
        <w:jc w:val="both"/>
        <w:rPr>
          <w:rFonts w:ascii="Verdana" w:eastAsia="Calibri" w:hAnsi="Verdana" w:cs="Arial"/>
          <w:i/>
          <w:sz w:val="20"/>
          <w:szCs w:val="20"/>
          <w:lang w:val="es-ES" w:eastAsia="es-ES"/>
        </w:rPr>
      </w:pPr>
      <w:r w:rsidRPr="004441A4">
        <w:rPr>
          <w:rFonts w:ascii="Verdana" w:eastAsia="Calibri" w:hAnsi="Verdana" w:cs="Arial"/>
          <w:sz w:val="20"/>
          <w:szCs w:val="20"/>
          <w:lang w:val="es-ES" w:eastAsia="es-ES"/>
        </w:rPr>
        <w:t xml:space="preserve">Debido a que hay indicadores que resultan de realizar divisiones entre valores, la Entidad Estatal debe establecer explícitamente en los Documentos del Proceso una regla para determinar cómo lo evaluará cuando el denominador es cero, pues en este caso no es posible realizar esta operación matemática. </w:t>
      </w:r>
      <w:r w:rsidRPr="004441A4">
        <w:rPr>
          <w:rFonts w:ascii="Verdana" w:eastAsia="Calibri" w:hAnsi="Verdana" w:cs="Arial"/>
          <w:i/>
          <w:sz w:val="20"/>
          <w:szCs w:val="20"/>
          <w:lang w:val="es-ES" w:eastAsia="es-ES"/>
        </w:rPr>
        <w:t xml:space="preserve">Por ejemplo, en el caso del indicador de cobertura de intereses, puede haber empresas que no presentan </w:t>
      </w:r>
      <w:r w:rsidRPr="004441A4">
        <w:rPr>
          <w:rFonts w:ascii="Verdana" w:eastAsia="Calibri" w:hAnsi="Verdana" w:cs="Arial"/>
          <w:i/>
          <w:sz w:val="20"/>
          <w:szCs w:val="20"/>
          <w:lang w:val="es-ES" w:eastAsia="es-ES"/>
        </w:rPr>
        <w:lastRenderedPageBreak/>
        <w:t xml:space="preserve">obligaciones financieras y, por ende, no incurren en gastos financieros, es decir, el denominador es cero (0) y no sería posible calcular el indicador. En este evento, la regla puede ser que el proponente que no tiene obligaciones financieras resulta habilitado. </w:t>
      </w:r>
      <w:r w:rsidRPr="004441A4">
        <w:rPr>
          <w:rFonts w:ascii="Verdana" w:eastAsia="Calibri" w:hAnsi="Verdana" w:cs="Arial"/>
          <w:sz w:val="20"/>
          <w:szCs w:val="20"/>
          <w:lang w:val="es-ES" w:eastAsia="es-ES"/>
        </w:rPr>
        <w:t>(Énfasis por fuera de texto).</w:t>
      </w:r>
    </w:p>
    <w:p w14:paraId="7086333F" w14:textId="77777777" w:rsidR="00CF7CCB" w:rsidRPr="004441A4" w:rsidRDefault="00CF7CCB" w:rsidP="00CF7CCB">
      <w:pPr>
        <w:spacing w:after="0" w:line="276" w:lineRule="auto"/>
        <w:ind w:firstLine="709"/>
        <w:jc w:val="both"/>
        <w:rPr>
          <w:rFonts w:ascii="Verdana" w:eastAsia="Arial" w:hAnsi="Verdana" w:cs="Arial"/>
          <w:lang w:val="es-ES"/>
        </w:rPr>
      </w:pPr>
    </w:p>
    <w:p w14:paraId="6768E20F" w14:textId="77777777" w:rsidR="00CF7CCB" w:rsidRPr="004441A4" w:rsidRDefault="00CF7CCB" w:rsidP="00CF7CCB">
      <w:pPr>
        <w:spacing w:before="120" w:after="0" w:line="276" w:lineRule="auto"/>
        <w:ind w:firstLine="709"/>
        <w:jc w:val="both"/>
        <w:rPr>
          <w:rFonts w:ascii="Verdana" w:eastAsia="Arial" w:hAnsi="Verdana" w:cs="Arial"/>
          <w:lang w:val="es-ES"/>
        </w:rPr>
      </w:pPr>
      <w:r w:rsidRPr="004441A4">
        <w:rPr>
          <w:rFonts w:ascii="Verdana" w:eastAsia="Arial" w:hAnsi="Verdana" w:cs="Arial"/>
          <w:lang w:val="es-ES"/>
        </w:rPr>
        <w:t xml:space="preserve">De esta manera, se evidencia que, en indicadores como la razón de cobertura, es posible obtener resultados incomprensibles cuando el denominador es igual a cero, lo que podría dar lugar a que el resultado sea indeterminado. Así, debido a que la normativa de contratación pública no regula los casos donde el indicador sea indeterminado, la entidad estatal, como responsable de su proceso de contratación, debe definir en los pliegos de condiciones una regla que determine el cumplimiento de los requisitos habilitantes en estos casos. </w:t>
      </w:r>
      <w:r w:rsidRPr="004441A4">
        <w:rPr>
          <w:rFonts w:ascii="Verdana" w:eastAsia="Arial" w:hAnsi="Verdana" w:cs="Arial"/>
        </w:rPr>
        <w:t>En tal sentido, la entidad debe fijar umbrales razonables y reglas para casos en los que los indicadores sean indeterminados, como cuando el denominador es cero. Esto garantiza que la evaluación no excluya automáticamente a entidades que, por su naturaleza jurídica, no tienen gastos financieros y que no cuentan con una utilidad operacional. Bajo esta lógica, se afirma que la solución consiste en estructurar adecuadamente los requisitos habilitantes garantizando que no generen barreras de acceso injustificadas, armonizando así los principios de igualdad, libre concurrencia y selección objetiva.</w:t>
      </w:r>
    </w:p>
    <w:p w14:paraId="3DB54220" w14:textId="77777777" w:rsidR="00CF7CCB" w:rsidRPr="004441A4" w:rsidRDefault="00CF7CCB" w:rsidP="00CF7CCB">
      <w:pPr>
        <w:spacing w:after="0" w:line="276" w:lineRule="auto"/>
        <w:jc w:val="both"/>
        <w:rPr>
          <w:rFonts w:ascii="Verdana" w:eastAsia="Times New Roman" w:hAnsi="Verdana" w:cs="Arial"/>
        </w:rPr>
      </w:pPr>
    </w:p>
    <w:p w14:paraId="6DB695F2" w14:textId="77777777" w:rsidR="00CF7CCB" w:rsidRPr="004441A4" w:rsidRDefault="00CF7CCB" w:rsidP="00CF7CCB">
      <w:pPr>
        <w:spacing w:after="120" w:line="276" w:lineRule="auto"/>
        <w:jc w:val="both"/>
        <w:rPr>
          <w:rFonts w:ascii="Verdana" w:eastAsia="Calibri" w:hAnsi="Verdana" w:cs="Arial"/>
          <w:lang w:val="es-ES"/>
        </w:rPr>
      </w:pPr>
      <w:proofErr w:type="spellStart"/>
      <w:r w:rsidRPr="004441A4">
        <w:rPr>
          <w:rFonts w:ascii="Verdana" w:eastAsia="Calibri" w:hAnsi="Verdana" w:cs="Arial"/>
          <w:lang w:eastAsia="es-MX"/>
        </w:rPr>
        <w:t>i</w:t>
      </w:r>
      <w:r>
        <w:rPr>
          <w:rFonts w:ascii="Verdana" w:eastAsia="Calibri" w:hAnsi="Verdana" w:cs="Arial"/>
          <w:lang w:eastAsia="es-MX"/>
        </w:rPr>
        <w:t>v</w:t>
      </w:r>
      <w:proofErr w:type="spellEnd"/>
      <w:r w:rsidRPr="004441A4">
        <w:rPr>
          <w:rFonts w:ascii="Verdana" w:eastAsia="Calibri" w:hAnsi="Verdana" w:cs="Arial"/>
          <w:lang w:eastAsia="es-MX"/>
        </w:rPr>
        <w:t xml:space="preserve">. </w:t>
      </w:r>
      <w:r w:rsidRPr="004441A4">
        <w:rPr>
          <w:rFonts w:ascii="Verdana" w:eastAsia="Calibri" w:hAnsi="Verdana" w:cs="Arial"/>
          <w:lang w:val="es-ES"/>
        </w:rPr>
        <w:t xml:space="preserve">Al </w:t>
      </w:r>
      <w:r w:rsidRPr="004441A4">
        <w:rPr>
          <w:rFonts w:ascii="Verdana" w:hAnsi="Verdana" w:cs="Arial"/>
          <w:lang w:val="es-ES_tradnl" w:eastAsia="es-ES"/>
        </w:rPr>
        <w:t>margen de la explicación precedente debe advertirse que el análisis requerido para resolver problemas específicos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0A35A54" w14:textId="77777777" w:rsidR="00CF7CCB" w:rsidRPr="004441A4" w:rsidRDefault="00CF7CCB" w:rsidP="00CF7CCB">
      <w:pPr>
        <w:spacing w:after="0" w:line="276" w:lineRule="auto"/>
        <w:ind w:firstLine="709"/>
        <w:jc w:val="both"/>
        <w:rPr>
          <w:rFonts w:ascii="Verdana" w:hAnsi="Verdana" w:cs="Arial"/>
          <w:lang w:val="es-ES" w:eastAsia="es-ES"/>
        </w:rPr>
      </w:pPr>
      <w:r w:rsidRPr="004441A4">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w:t>
      </w:r>
      <w:r w:rsidRPr="004441A4">
        <w:rPr>
          <w:rFonts w:ascii="Verdana" w:hAnsi="Verdana" w:cs="Arial"/>
          <w:lang w:val="es-ES" w:eastAsia="es-ES"/>
        </w:rPr>
        <w:lastRenderedPageBreak/>
        <w:t>pública adopten la decisión que corresponda, lo cual es acorde con el principio de juridicidad. Así, cada entidad definirá la forma de adelantar su gestión contractual, sin que sea atribución de Colombia Compra Eficiente validar sus actuaciones.</w:t>
      </w:r>
    </w:p>
    <w:p w14:paraId="65CD1444" w14:textId="77777777" w:rsidR="00CF7CCB" w:rsidRPr="004441A4" w:rsidRDefault="00CF7CCB" w:rsidP="00CF7CCB">
      <w:pPr>
        <w:spacing w:after="0" w:line="276" w:lineRule="auto"/>
        <w:jc w:val="both"/>
        <w:rPr>
          <w:rFonts w:ascii="Verdana" w:eastAsia="Calibri" w:hAnsi="Verdana" w:cs="Arial"/>
          <w:lang w:val="es-ES" w:eastAsia="es-MX"/>
        </w:rPr>
      </w:pPr>
    </w:p>
    <w:p w14:paraId="078F670C" w14:textId="77777777" w:rsidR="00CF7CCB" w:rsidRPr="004441A4" w:rsidRDefault="00CF7CCB" w:rsidP="00CF7CCB">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4441A4">
        <w:rPr>
          <w:rFonts w:ascii="Verdana" w:eastAsia="Century Gothic" w:hAnsi="Verdana" w:cs="Century Gothic"/>
          <w:b/>
          <w:bCs/>
        </w:rPr>
        <w:t>Referencias normativas:</w:t>
      </w:r>
    </w:p>
    <w:p w14:paraId="2370F1E1" w14:textId="77777777" w:rsidR="00CF7CCB" w:rsidRPr="004441A4" w:rsidRDefault="00CF7CCB" w:rsidP="00CF7CCB">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F7CCB" w:rsidRPr="004441A4" w14:paraId="42CF3618" w14:textId="77777777" w:rsidTr="008E7798">
        <w:trPr>
          <w:trHeight w:val="595"/>
          <w:jc w:val="center"/>
        </w:trPr>
        <w:tc>
          <w:tcPr>
            <w:tcW w:w="8647" w:type="dxa"/>
          </w:tcPr>
          <w:p w14:paraId="3EFC1942" w14:textId="77777777" w:rsidR="00CF7CCB" w:rsidRPr="004441A4" w:rsidRDefault="00CF7CCB" w:rsidP="008E779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4441A4">
              <w:rPr>
                <w:rFonts w:ascii="Verdana" w:eastAsia="Arial MT" w:hAnsi="Verdana" w:cs="Arial"/>
                <w:lang w:val="es-ES" w:eastAsia="es-ES" w:bidi="es-ES"/>
              </w:rPr>
              <w:t xml:space="preserve"> Ley 1150 de 2007: artículos 5 y 6</w:t>
            </w:r>
          </w:p>
          <w:p w14:paraId="6861CE9E" w14:textId="77777777" w:rsidR="00CF7CCB" w:rsidRDefault="00CF7CCB" w:rsidP="008E779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4441A4">
              <w:rPr>
                <w:rFonts w:ascii="Verdana" w:eastAsia="Arial MT" w:hAnsi="Verdana" w:cs="Arial"/>
                <w:lang w:val="es-ES" w:eastAsia="es-ES" w:bidi="es-ES"/>
              </w:rPr>
              <w:t xml:space="preserve">Decreto 1082 de 2015: artículos </w:t>
            </w:r>
            <w:r w:rsidRPr="004441A4">
              <w:rPr>
                <w:rFonts w:ascii="Verdana" w:eastAsia="Arial MT" w:hAnsi="Verdana" w:cs="Arial"/>
                <w:lang w:val="es-ES_tradnl" w:eastAsia="es-ES" w:bidi="es-ES"/>
              </w:rPr>
              <w:t>2.2.1.1.1.6.2.</w:t>
            </w:r>
            <w:r w:rsidRPr="004441A4">
              <w:rPr>
                <w:rFonts w:ascii="Verdana" w:eastAsia="Arial MT" w:hAnsi="Verdana" w:cs="Arial"/>
                <w:lang w:val="es-ES" w:eastAsia="es-ES" w:bidi="es-ES"/>
              </w:rPr>
              <w:t>, 2.2.1.1.1.5.2 y 2.2.1.1.1.5.3</w:t>
            </w:r>
          </w:p>
          <w:p w14:paraId="0B4074D8" w14:textId="77777777" w:rsidR="00CF7CCB" w:rsidRPr="00A87A69" w:rsidRDefault="00CF7CCB" w:rsidP="008E779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7E2FEA">
              <w:rPr>
                <w:rFonts w:ascii="Verdana" w:eastAsia="Arial MT" w:hAnsi="Verdana" w:cs="Arial"/>
                <w:lang w:val="es-ES" w:eastAsia="es-ES" w:bidi="es-ES"/>
              </w:rPr>
              <w:t xml:space="preserve">Decreto 092 de 2017: artículos </w:t>
            </w:r>
            <w:proofErr w:type="gramStart"/>
            <w:r w:rsidRPr="007E2FEA">
              <w:rPr>
                <w:rFonts w:ascii="Verdana" w:eastAsia="Arial MT" w:hAnsi="Verdana" w:cs="Arial"/>
                <w:lang w:val="es-ES" w:eastAsia="es-ES" w:bidi="es-ES"/>
              </w:rPr>
              <w:t>1.°</w:t>
            </w:r>
            <w:proofErr w:type="gramEnd"/>
            <w:r w:rsidRPr="007E2FEA">
              <w:rPr>
                <w:rFonts w:ascii="Verdana" w:eastAsia="Arial MT" w:hAnsi="Verdana" w:cs="Arial"/>
                <w:lang w:val="es-ES" w:eastAsia="es-ES" w:bidi="es-ES"/>
              </w:rPr>
              <w:t xml:space="preserve">, </w:t>
            </w:r>
            <w:proofErr w:type="gramStart"/>
            <w:r w:rsidRPr="007E2FEA">
              <w:rPr>
                <w:rFonts w:ascii="Verdana" w:eastAsia="Arial MT" w:hAnsi="Verdana" w:cs="Arial"/>
                <w:lang w:val="es-ES" w:eastAsia="es-ES" w:bidi="es-ES"/>
              </w:rPr>
              <w:t>2.°</w:t>
            </w:r>
            <w:proofErr w:type="gramEnd"/>
            <w:r w:rsidRPr="007E2FEA">
              <w:rPr>
                <w:rFonts w:ascii="Verdana" w:eastAsia="Arial MT" w:hAnsi="Verdana" w:cs="Arial"/>
                <w:lang w:val="es-ES" w:eastAsia="es-ES" w:bidi="es-ES"/>
              </w:rPr>
              <w:t xml:space="preserve">, </w:t>
            </w:r>
            <w:proofErr w:type="gramStart"/>
            <w:r w:rsidRPr="007E2FEA">
              <w:rPr>
                <w:rFonts w:ascii="Verdana" w:eastAsia="Arial MT" w:hAnsi="Verdana" w:cs="Arial"/>
                <w:lang w:val="es-ES" w:eastAsia="es-ES" w:bidi="es-ES"/>
              </w:rPr>
              <w:t>3.°</w:t>
            </w:r>
            <w:proofErr w:type="gramEnd"/>
            <w:r w:rsidRPr="007E2FEA">
              <w:rPr>
                <w:rFonts w:ascii="Verdana" w:eastAsia="Arial MT" w:hAnsi="Verdana" w:cs="Arial"/>
                <w:lang w:val="es-ES" w:eastAsia="es-ES" w:bidi="es-ES"/>
              </w:rPr>
              <w:t xml:space="preserve"> y </w:t>
            </w:r>
            <w:proofErr w:type="gramStart"/>
            <w:r w:rsidRPr="007E2FEA">
              <w:rPr>
                <w:rFonts w:ascii="Verdana" w:eastAsia="Arial MT" w:hAnsi="Verdana" w:cs="Arial"/>
                <w:lang w:val="es-ES" w:eastAsia="es-ES" w:bidi="es-ES"/>
              </w:rPr>
              <w:t>9.°</w:t>
            </w:r>
            <w:proofErr w:type="gramEnd"/>
          </w:p>
        </w:tc>
      </w:tr>
    </w:tbl>
    <w:p w14:paraId="225B1654" w14:textId="77777777" w:rsidR="00CF7CCB" w:rsidRPr="004441A4" w:rsidRDefault="00CF7CCB" w:rsidP="00CF7CCB">
      <w:pPr>
        <w:pStyle w:val="Prrafodelista"/>
        <w:tabs>
          <w:tab w:val="left" w:pos="142"/>
          <w:tab w:val="left" w:pos="284"/>
        </w:tabs>
        <w:spacing w:after="0" w:line="276" w:lineRule="auto"/>
        <w:ind w:left="0"/>
        <w:jc w:val="both"/>
        <w:rPr>
          <w:rFonts w:ascii="Verdana" w:hAnsi="Verdana" w:cs="Arial"/>
          <w:lang w:val="es-CO" w:eastAsia="es-ES"/>
        </w:rPr>
      </w:pPr>
    </w:p>
    <w:p w14:paraId="1B7465AA" w14:textId="77777777" w:rsidR="00CF7CCB" w:rsidRPr="004441A4" w:rsidRDefault="00CF7CCB" w:rsidP="00CF7CCB">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4441A4">
        <w:rPr>
          <w:rFonts w:ascii="Verdana" w:eastAsia="Century Gothic" w:hAnsi="Verdana" w:cs="Century Gothic"/>
          <w:b/>
          <w:bCs/>
        </w:rPr>
        <w:t>Doctrina de la Agencia Nacional de Contratación Pública:</w:t>
      </w:r>
    </w:p>
    <w:p w14:paraId="5B6CF9BB" w14:textId="77777777" w:rsidR="00CF7CCB" w:rsidRPr="004441A4" w:rsidRDefault="00CF7CCB" w:rsidP="00CF7CCB">
      <w:pPr>
        <w:widowControl w:val="0"/>
        <w:autoSpaceDE w:val="0"/>
        <w:autoSpaceDN w:val="0"/>
        <w:spacing w:after="0" w:line="276" w:lineRule="auto"/>
        <w:jc w:val="both"/>
        <w:rPr>
          <w:rFonts w:ascii="Verdana" w:hAnsi="Verdana" w:cs="Arial"/>
        </w:rPr>
      </w:pPr>
    </w:p>
    <w:p w14:paraId="7EB56601" w14:textId="77777777" w:rsidR="00CF7CCB" w:rsidRPr="00C932A0" w:rsidRDefault="00CF7CCB" w:rsidP="00CF7CCB">
      <w:pPr>
        <w:widowControl w:val="0"/>
        <w:autoSpaceDE w:val="0"/>
        <w:autoSpaceDN w:val="0"/>
        <w:spacing w:after="0" w:line="276" w:lineRule="auto"/>
        <w:jc w:val="both"/>
        <w:rPr>
          <w:rFonts w:ascii="Verdana" w:hAnsi="Verdana" w:cs="Arial"/>
          <w:shd w:val="clear" w:color="auto" w:fill="FFFFFF"/>
          <w:lang w:val="es-ES_tradnl"/>
        </w:rPr>
      </w:pPr>
      <w:r w:rsidRPr="004441A4">
        <w:rPr>
          <w:rFonts w:ascii="Verdana" w:hAnsi="Verdana" w:cs="Arial"/>
          <w:shd w:val="clear" w:color="auto" w:fill="FFFFFF"/>
        </w:rPr>
        <w:t xml:space="preserve">Esta Subdirección </w:t>
      </w:r>
      <w:r w:rsidRPr="004441A4">
        <w:rPr>
          <w:rFonts w:ascii="Verdana" w:hAnsi="Verdana" w:cs="Arial"/>
          <w:shd w:val="clear" w:color="auto" w:fill="FFFFFF"/>
          <w:lang w:val="es-ES"/>
        </w:rPr>
        <w:t xml:space="preserve">se pronunció sobre la acreditación de los indicadores de la capacidad financiera y organizacional, entre otros, en los conceptos No. 4201912000006798 del 24 de octubre de 2019, C-002 del 12 de febrero de 2020, C-089 del 4 de marzo de 2020, C-099 del 06 de abril de 2020, C-166 del 14 de abril de 2020, C-233 del 16 de abril de 2020, C-326 del 9 de junio de 2020, C-140 del 9 de abril de 2021, C-439 del </w:t>
      </w:r>
      <w:r w:rsidRPr="004441A4">
        <w:rPr>
          <w:rFonts w:ascii="Verdana" w:hAnsi="Verdana" w:cs="Arial"/>
          <w:shd w:val="clear" w:color="auto" w:fill="FFFFFF"/>
          <w:lang w:val="es-ES_tradnl"/>
        </w:rPr>
        <w:t xml:space="preserve">5 de julio de 2022, C-673 del 19 de octubre de 2022, C-865 del 30 de diciembre de 2024 y C-996 del 29 de enero de 2025, C-116 del 11 de marzo de 2025, C-883 del 8 de julio de 2026, entre otros. Así mismo, se ponen consideraciones especiales con respecto a la utilidad operacional como una variable para determinar indicadores de la capacidad financiera y de la capacidad organizacional. </w:t>
      </w:r>
      <w:r w:rsidRPr="00392E13">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101723DC" w14:textId="77777777" w:rsidR="00CF7CCB" w:rsidRPr="005D2193" w:rsidRDefault="00CF7CCB" w:rsidP="00CF7CCB">
      <w:pPr>
        <w:spacing w:after="0" w:line="256" w:lineRule="auto"/>
        <w:jc w:val="both"/>
        <w:rPr>
          <w:rStyle w:val="normaltextrun"/>
          <w:rFonts w:ascii="Verdana" w:eastAsia="Calibri" w:hAnsi="Verdana" w:cs="Times New Roman"/>
        </w:rPr>
      </w:pPr>
      <w:hyperlink r:id="rId16" w:history="1">
        <w:r w:rsidRPr="00E47CAB">
          <w:rPr>
            <w:rStyle w:val="Hipervnculo"/>
            <w:rFonts w:ascii="Verdana" w:hAnsi="Verdana"/>
          </w:rPr>
          <w:t>https://www.colombiacompra.gov.co/normativa-y-relatoria/conoce-la-relatoria</w:t>
        </w:r>
      </w:hyperlink>
      <w:r w:rsidRPr="00E47CAB">
        <w:rPr>
          <w:rFonts w:ascii="Verdana" w:hAnsi="Verdana"/>
        </w:rPr>
        <w:t xml:space="preserve"> </w:t>
      </w:r>
    </w:p>
    <w:p w14:paraId="62C76D2F" w14:textId="77777777" w:rsidR="00CF7CCB" w:rsidRDefault="00CF7CCB" w:rsidP="00CF7CCB">
      <w:pPr>
        <w:spacing w:after="0" w:line="240" w:lineRule="auto"/>
        <w:rPr>
          <w:rFonts w:ascii="Verdana" w:eastAsia="Verdana" w:hAnsi="Verdana" w:cs="Verdana"/>
          <w:bCs/>
        </w:rPr>
      </w:pPr>
    </w:p>
    <w:p w14:paraId="17B4A21B" w14:textId="77777777" w:rsidR="00CF7CCB" w:rsidRPr="003D5C91" w:rsidRDefault="00CF7CCB" w:rsidP="00CF7CCB">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 xml:space="preserve">Las garantías no son un requisito formal: son el instrumento con el que se protege el patrimonio público frente a los riesgos del contrato. Por ello, la Agencia Nacional de Contratación Pública –Colombia Compra Eficiente– te invita </w:t>
      </w:r>
      <w:r w:rsidRPr="003D5C91">
        <w:rPr>
          <w:rFonts w:ascii="Verdana" w:eastAsia="Calibri" w:hAnsi="Verdana" w:cs="Arial"/>
          <w:color w:val="000000"/>
          <w:lang w:eastAsia="es-ES_tradnl"/>
        </w:rPr>
        <w:lastRenderedPageBreak/>
        <w:t>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7"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07BBAD38" w14:textId="77777777" w:rsidR="00CF7CCB" w:rsidRDefault="00CF7CCB" w:rsidP="00CF7CCB">
      <w:pPr>
        <w:spacing w:after="0" w:line="276" w:lineRule="auto"/>
        <w:jc w:val="both"/>
        <w:rPr>
          <w:rFonts w:ascii="Verdana" w:eastAsia="Calibri" w:hAnsi="Verdana" w:cs="Arial"/>
          <w:color w:val="000000"/>
          <w:lang w:eastAsia="es-ES_tradnl"/>
        </w:rPr>
      </w:pPr>
    </w:p>
    <w:p w14:paraId="45F0F4CA" w14:textId="77777777" w:rsidR="00CF7CCB" w:rsidRPr="003D5C91" w:rsidRDefault="00CF7CCB" w:rsidP="00CF7CCB">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8"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47EBD31B" w14:textId="77777777" w:rsidR="00CF7CCB" w:rsidRDefault="00CF7CCB" w:rsidP="00CF7CCB">
      <w:pPr>
        <w:spacing w:after="0" w:line="276" w:lineRule="auto"/>
        <w:jc w:val="both"/>
        <w:rPr>
          <w:rFonts w:ascii="Verdana" w:eastAsia="Calibri" w:hAnsi="Verdana" w:cs="Arial"/>
          <w:color w:val="000000"/>
          <w:lang w:eastAsia="es-ES_tradnl"/>
        </w:rPr>
      </w:pPr>
    </w:p>
    <w:p w14:paraId="3D0E97F6" w14:textId="77777777" w:rsidR="00CF7CCB" w:rsidRDefault="00CF7CCB" w:rsidP="00CF7CCB">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9"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73E89A72" w14:textId="77777777" w:rsidR="00CF7CCB" w:rsidRPr="003D5C91" w:rsidRDefault="00CF7CCB" w:rsidP="00CF7CCB">
      <w:pPr>
        <w:spacing w:after="0" w:line="276" w:lineRule="auto"/>
        <w:jc w:val="both"/>
        <w:rPr>
          <w:rFonts w:ascii="Verdana" w:eastAsia="Calibri" w:hAnsi="Verdana" w:cs="Arial"/>
          <w:color w:val="000000"/>
          <w:lang w:eastAsia="es-ES_tradnl"/>
        </w:rPr>
      </w:pPr>
    </w:p>
    <w:p w14:paraId="3D79FEB3" w14:textId="77777777" w:rsidR="00CF7CCB" w:rsidRPr="003D5C91" w:rsidRDefault="00CF7CCB" w:rsidP="00CF7CCB">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contenidos, la Circular Externa 003 de 2026, el Decreto 552 de 2026, un estudio </w:t>
      </w:r>
      <w:r w:rsidRPr="003D5C91">
        <w:rPr>
          <w:rFonts w:ascii="Verdana" w:eastAsia="Calibri" w:hAnsi="Verdana" w:cs="Arial"/>
          <w:color w:val="000000"/>
          <w:lang w:eastAsia="es-ES_tradnl"/>
        </w:rPr>
        <w:lastRenderedPageBreak/>
        <w:t>sobre inteligencia artificial en la compra pública, los avances de la Relatoría, análisis jurisprudencial, conceptos jurídicos destacados y la oferta de la Escuela Virtual ANCP-CCE. Descárgalo aquí: </w:t>
      </w:r>
      <w:hyperlink r:id="rId20"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0C2CF977" w14:textId="77777777" w:rsidR="00CF7CCB" w:rsidRDefault="00CF7CCB" w:rsidP="00CF7CCB">
      <w:pPr>
        <w:spacing w:after="0"/>
        <w:jc w:val="both"/>
        <w:rPr>
          <w:rFonts w:ascii="Verdana" w:hAnsi="Verdana"/>
        </w:rPr>
      </w:pPr>
    </w:p>
    <w:p w14:paraId="346AF4F1" w14:textId="77777777" w:rsidR="00CF7CCB" w:rsidRPr="00116940" w:rsidRDefault="00CF7CCB" w:rsidP="00CF7CCB">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06438990" w14:textId="77777777" w:rsidR="00CF7CCB" w:rsidRPr="00116940" w:rsidRDefault="00CF7CCB" w:rsidP="00CF7CCB">
      <w:pPr>
        <w:spacing w:after="0"/>
        <w:jc w:val="both"/>
        <w:rPr>
          <w:rFonts w:ascii="Verdana" w:hAnsi="Verdana"/>
        </w:rPr>
      </w:pPr>
    </w:p>
    <w:p w14:paraId="6800FBC7" w14:textId="77777777" w:rsidR="00CF7CCB" w:rsidRPr="00116940" w:rsidRDefault="00CF7CCB" w:rsidP="00CF7CCB">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8C7F06A" w14:textId="77777777" w:rsidR="00CF7CCB" w:rsidRPr="00116940" w:rsidRDefault="00CF7CCB" w:rsidP="00CF7CCB">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795ED44B" w14:textId="77777777" w:rsidR="00CF7CCB" w:rsidRPr="00116940" w:rsidRDefault="00CF7CCB" w:rsidP="00CF7CCB">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21">
        <w:r w:rsidRPr="00116940">
          <w:rPr>
            <w:rStyle w:val="Hipervnculo"/>
            <w:rFonts w:ascii="Verdana" w:eastAsia="Verdana" w:hAnsi="Verdana" w:cs="Verdana"/>
            <w:lang w:val="es-MX"/>
          </w:rPr>
          <w:t>ventanilladeradicacion@colombiacompra.gov.co</w:t>
        </w:r>
      </w:hyperlink>
    </w:p>
    <w:p w14:paraId="46032D84" w14:textId="77777777" w:rsidR="00CF7CCB" w:rsidRPr="00116940" w:rsidRDefault="00CF7CCB" w:rsidP="00CF7CCB">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2">
        <w:r w:rsidRPr="00116940">
          <w:rPr>
            <w:rStyle w:val="Hipervnculo"/>
            <w:rFonts w:ascii="Verdana" w:eastAsia="Verdana" w:hAnsi="Verdana" w:cs="Verdana"/>
            <w:lang w:val="es-MX"/>
          </w:rPr>
          <w:t>https://www.colombiacompra.gov.co/pqrsd/informacion-importante-antes-de-formular-una-pqrsd</w:t>
        </w:r>
      </w:hyperlink>
    </w:p>
    <w:p w14:paraId="02F60CEE" w14:textId="77777777" w:rsidR="00CF7CCB" w:rsidRPr="00116940" w:rsidRDefault="00CF7CCB" w:rsidP="00CF7CCB">
      <w:pPr>
        <w:spacing w:after="0" w:line="240" w:lineRule="auto"/>
        <w:ind w:left="720"/>
        <w:jc w:val="both"/>
        <w:rPr>
          <w:rFonts w:ascii="Verdana" w:hAnsi="Verdana"/>
        </w:rPr>
      </w:pPr>
    </w:p>
    <w:p w14:paraId="345AB01F" w14:textId="77777777" w:rsidR="00CF7CCB" w:rsidRPr="00116940" w:rsidRDefault="00CF7CCB" w:rsidP="00CF7CCB">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3"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6236ECE" w14:textId="77777777" w:rsidR="00CF7CCB" w:rsidRPr="00116940" w:rsidRDefault="00CF7CCB" w:rsidP="00CF7CCB">
      <w:pPr>
        <w:spacing w:after="0" w:line="240" w:lineRule="auto"/>
        <w:rPr>
          <w:rFonts w:ascii="Verdana" w:hAnsi="Verdana"/>
        </w:rPr>
      </w:pPr>
    </w:p>
    <w:p w14:paraId="685EA1A3" w14:textId="77777777" w:rsidR="00CF7CCB" w:rsidRPr="00116940" w:rsidRDefault="00CF7CCB" w:rsidP="00CF7CCB">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16BCB06" w14:textId="77777777" w:rsidR="00CF7CCB" w:rsidRPr="00116940" w:rsidRDefault="00CF7CCB" w:rsidP="00CF7CCB">
      <w:pPr>
        <w:spacing w:after="0" w:line="240" w:lineRule="auto"/>
        <w:jc w:val="both"/>
        <w:rPr>
          <w:rFonts w:ascii="Verdana" w:hAnsi="Verdana"/>
        </w:rPr>
      </w:pPr>
    </w:p>
    <w:p w14:paraId="6F5872BA" w14:textId="77777777" w:rsidR="00CF7CCB" w:rsidRPr="00116940" w:rsidRDefault="00CF7CCB" w:rsidP="00CF7CCB">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F3649B3" w14:textId="77777777" w:rsidR="00CF7CCB" w:rsidRPr="00116940" w:rsidRDefault="00CF7CCB" w:rsidP="00CF7CCB">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0B622E1" w14:textId="77777777" w:rsidR="00CF7CCB" w:rsidRPr="00116940" w:rsidRDefault="00CF7CCB" w:rsidP="00CF7CCB">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664FD2F" w14:textId="77777777" w:rsidR="00CF7CCB" w:rsidRPr="00116940" w:rsidRDefault="00CF7CCB" w:rsidP="00CF7CCB">
      <w:pPr>
        <w:spacing w:after="0" w:line="240" w:lineRule="auto"/>
        <w:jc w:val="both"/>
        <w:rPr>
          <w:rFonts w:ascii="Verdana" w:hAnsi="Verdana"/>
        </w:rPr>
      </w:pPr>
    </w:p>
    <w:p w14:paraId="1B51E00C" w14:textId="77777777" w:rsidR="00CF7CCB" w:rsidRPr="009037F6" w:rsidRDefault="00CF7CCB" w:rsidP="00CF7CCB">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F0CFC76" w14:textId="77777777" w:rsidR="00CF7CCB" w:rsidRPr="00492C4A" w:rsidRDefault="00CF7CCB" w:rsidP="00CF7CCB">
      <w:pPr>
        <w:spacing w:after="0" w:line="256" w:lineRule="auto"/>
        <w:jc w:val="both"/>
        <w:rPr>
          <w:rFonts w:ascii="Verdana" w:eastAsia="Calibri" w:hAnsi="Verdana" w:cs="Times New Roman"/>
          <w:lang w:val="es-ES_tradnl"/>
        </w:rPr>
      </w:pPr>
    </w:p>
    <w:p w14:paraId="203DF504" w14:textId="77777777" w:rsidR="00CF7CCB" w:rsidRDefault="00CF7CCB" w:rsidP="00CF7CCB">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03ED4C22" w14:textId="77777777" w:rsidR="00CF7CCB" w:rsidRPr="00B513EA" w:rsidRDefault="00CF7CCB" w:rsidP="00CF7CCB">
      <w:pPr>
        <w:spacing w:after="0" w:line="256" w:lineRule="auto"/>
        <w:jc w:val="both"/>
        <w:rPr>
          <w:rFonts w:ascii="Verdana" w:eastAsia="Calibri" w:hAnsi="Verdana" w:cs="Times New Roman"/>
        </w:rPr>
      </w:pPr>
    </w:p>
    <w:p w14:paraId="418E783D" w14:textId="514AC36B" w:rsidR="00CF7CCB" w:rsidRPr="004441A4" w:rsidRDefault="000B5E8B" w:rsidP="00CF7CCB">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3C37C45A" wp14:editId="42747A6D">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4"/>
                    <a:stretch>
                      <a:fillRect/>
                    </a:stretch>
                  </pic:blipFill>
                  <pic:spPr>
                    <a:xfrm>
                      <a:off x="0" y="0"/>
                      <a:ext cx="3312722" cy="1229722"/>
                    </a:xfrm>
                    <a:prstGeom prst="rect">
                      <a:avLst/>
                    </a:prstGeom>
                  </pic:spPr>
                </pic:pic>
              </a:graphicData>
            </a:graphic>
          </wp:inline>
        </w:drawing>
      </w:r>
    </w:p>
    <w:p w14:paraId="11A7855E" w14:textId="77777777" w:rsidR="00CF7CCB" w:rsidRPr="004441A4" w:rsidRDefault="00CF7CCB" w:rsidP="00CF7CCB">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CF7CCB" w:rsidRPr="004441A4" w14:paraId="780500C7" w14:textId="77777777" w:rsidTr="008E7798">
        <w:trPr>
          <w:trHeight w:val="409"/>
        </w:trPr>
        <w:tc>
          <w:tcPr>
            <w:tcW w:w="817" w:type="dxa"/>
            <w:tcBorders>
              <w:top w:val="nil"/>
              <w:left w:val="nil"/>
              <w:bottom w:val="nil"/>
              <w:right w:val="nil"/>
            </w:tcBorders>
            <w:vAlign w:val="center"/>
            <w:hideMark/>
          </w:tcPr>
          <w:p w14:paraId="62B42C61"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35177F26"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José Luis Sánchez Cardona</w:t>
            </w:r>
          </w:p>
          <w:p w14:paraId="61759C96"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Contratista de la Subdirección de Gestión Contractual</w:t>
            </w:r>
          </w:p>
        </w:tc>
      </w:tr>
      <w:tr w:rsidR="00CF7CCB" w:rsidRPr="004441A4" w14:paraId="7473B32D" w14:textId="77777777" w:rsidTr="008E7798">
        <w:trPr>
          <w:trHeight w:val="409"/>
        </w:trPr>
        <w:tc>
          <w:tcPr>
            <w:tcW w:w="817" w:type="dxa"/>
            <w:tcBorders>
              <w:top w:val="nil"/>
              <w:left w:val="nil"/>
              <w:bottom w:val="nil"/>
              <w:right w:val="nil"/>
            </w:tcBorders>
            <w:vAlign w:val="center"/>
            <w:hideMark/>
          </w:tcPr>
          <w:p w14:paraId="72FBCDC6"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1120BF5"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Alejandro R. Sarmiento Cantillo</w:t>
            </w:r>
          </w:p>
          <w:p w14:paraId="6C61868D"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Gestor T1-15 de la Subdirección de Gestión Contractual </w:t>
            </w:r>
          </w:p>
        </w:tc>
      </w:tr>
      <w:tr w:rsidR="00CF7CCB" w:rsidRPr="004441A4" w14:paraId="597761DF" w14:textId="77777777" w:rsidTr="008E7798">
        <w:trPr>
          <w:trHeight w:val="389"/>
        </w:trPr>
        <w:tc>
          <w:tcPr>
            <w:tcW w:w="817" w:type="dxa"/>
            <w:tcBorders>
              <w:top w:val="nil"/>
              <w:left w:val="nil"/>
              <w:bottom w:val="nil"/>
              <w:right w:val="nil"/>
            </w:tcBorders>
            <w:vAlign w:val="center"/>
            <w:hideMark/>
          </w:tcPr>
          <w:p w14:paraId="15ADAB2E"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28CB17E"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Carolina Quintero Gacharná</w:t>
            </w:r>
          </w:p>
          <w:p w14:paraId="2A8207F1" w14:textId="77777777" w:rsidR="00CF7CCB" w:rsidRPr="004441A4" w:rsidRDefault="00CF7CCB" w:rsidP="008E7798">
            <w:pPr>
              <w:spacing w:after="0" w:line="256" w:lineRule="auto"/>
              <w:rPr>
                <w:rFonts w:ascii="Verdana" w:eastAsia="Calibri" w:hAnsi="Verdana" w:cs="Times New Roman"/>
                <w:sz w:val="16"/>
                <w:szCs w:val="16"/>
              </w:rPr>
            </w:pPr>
            <w:r w:rsidRPr="004441A4">
              <w:rPr>
                <w:rFonts w:ascii="Verdana" w:eastAsia="Calibri" w:hAnsi="Verdana" w:cs="Times New Roman"/>
                <w:sz w:val="16"/>
                <w:szCs w:val="16"/>
              </w:rPr>
              <w:t>Subdirectora de Gestión Contractual ANCP – CCE</w:t>
            </w:r>
          </w:p>
        </w:tc>
      </w:tr>
    </w:tbl>
    <w:p w14:paraId="53F28020" w14:textId="7C0F7402" w:rsidR="00CF7CCB" w:rsidRPr="004441A4" w:rsidRDefault="00CF7CCB" w:rsidP="00CF7CCB">
      <w:pPr>
        <w:spacing w:after="0" w:line="240" w:lineRule="auto"/>
        <w:textAlignment w:val="baseline"/>
        <w:rPr>
          <w:rFonts w:ascii="Verdana" w:eastAsia="Verdana" w:hAnsi="Verdana" w:cs="Verdana"/>
          <w:lang w:eastAsia="es-CO"/>
        </w:rPr>
      </w:pPr>
      <w:r w:rsidRPr="004441A4">
        <w:rPr>
          <w:rFonts w:ascii="Verdana" w:eastAsia="Verdana" w:hAnsi="Verdana" w:cs="Verdana"/>
          <w:lang w:eastAsia="es-CO"/>
        </w:rPr>
        <w:t> </w:t>
      </w:r>
    </w:p>
    <w:p w14:paraId="192A3CD8" w14:textId="77777777" w:rsidR="00CF7CCB" w:rsidRPr="004441A4" w:rsidRDefault="00CF7CCB" w:rsidP="00CF7CCB"/>
    <w:p w14:paraId="046CEF8E" w14:textId="77777777" w:rsidR="00CF7CCB" w:rsidRPr="000E2B93" w:rsidRDefault="00CF7CCB" w:rsidP="00CF7CCB">
      <w:pPr>
        <w:spacing w:after="0" w:line="240" w:lineRule="auto"/>
        <w:jc w:val="both"/>
        <w:textAlignment w:val="baseline"/>
        <w:rPr>
          <w:rFonts w:ascii="Verdana" w:eastAsia="Verdana" w:hAnsi="Verdana" w:cs="Verdana"/>
          <w:lang w:eastAsia="es-CO"/>
        </w:rPr>
      </w:pPr>
    </w:p>
    <w:p w14:paraId="622EE031" w14:textId="77777777" w:rsidR="00CF7CCB" w:rsidRPr="000E2B93" w:rsidRDefault="00CF7CCB" w:rsidP="00CF7CCB">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73C61EC8" w14:textId="6F72BE13" w:rsidR="00EB224C" w:rsidRPr="00CF7CCB" w:rsidRDefault="00EB224C" w:rsidP="00CF7CCB"/>
    <w:sectPr w:rsidR="00EB224C" w:rsidRPr="00CF7CCB" w:rsidSect="007C0C0F">
      <w:headerReference w:type="default" r:id="rId25"/>
      <w:footerReference w:type="default" r:id="rId2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2A0E4" w14:textId="77777777" w:rsidR="00B93C91" w:rsidRDefault="00B93C91" w:rsidP="004A1847">
      <w:pPr>
        <w:spacing w:after="0" w:line="240" w:lineRule="auto"/>
      </w:pPr>
      <w:r>
        <w:separator/>
      </w:r>
    </w:p>
  </w:endnote>
  <w:endnote w:type="continuationSeparator" w:id="0">
    <w:p w14:paraId="74A05A69" w14:textId="77777777" w:rsidR="00B93C91" w:rsidRDefault="00B93C9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5146BA10"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B56A37" w:rsidRPr="00B56A37">
      <w:rPr>
        <w:rFonts w:ascii="Verdana" w:eastAsiaTheme="minorEastAsia" w:hAnsi="Verdana"/>
        <w:b/>
        <w:bCs/>
        <w:noProof/>
        <w:sz w:val="16"/>
        <w:szCs w:val="16"/>
      </w:rPr>
      <w:t>34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B1A2" w14:textId="77777777" w:rsidR="00B93C91" w:rsidRDefault="00B93C91" w:rsidP="004A1847">
      <w:pPr>
        <w:spacing w:after="0" w:line="240" w:lineRule="auto"/>
      </w:pPr>
      <w:r>
        <w:separator/>
      </w:r>
    </w:p>
  </w:footnote>
  <w:footnote w:type="continuationSeparator" w:id="0">
    <w:p w14:paraId="73B85FD8" w14:textId="77777777" w:rsidR="00B93C91" w:rsidRDefault="00B93C91" w:rsidP="004A1847">
      <w:pPr>
        <w:spacing w:after="0" w:line="240" w:lineRule="auto"/>
      </w:pPr>
      <w:r>
        <w:continuationSeparator/>
      </w:r>
    </w:p>
  </w:footnote>
  <w:footnote w:id="1">
    <w:p w14:paraId="33D4CAD9" w14:textId="77777777" w:rsidR="00CF7CCB" w:rsidRPr="002361DD" w:rsidRDefault="00CF7CCB" w:rsidP="00CF7CCB">
      <w:pPr>
        <w:pStyle w:val="NormalWeb"/>
        <w:spacing w:before="0" w:beforeAutospacing="0" w:after="0" w:afterAutospacing="0"/>
        <w:ind w:firstLine="708"/>
        <w:jc w:val="both"/>
        <w:rPr>
          <w:rFonts w:ascii="Verdana" w:eastAsia="Calibri" w:hAnsi="Verdana" w:cs="Arial"/>
          <w:color w:val="000000"/>
          <w:sz w:val="16"/>
          <w:szCs w:val="16"/>
          <w:lang w:val="es-ES_tradnl" w:eastAsia="es-ES_tradnl"/>
        </w:rPr>
      </w:pPr>
      <w:r w:rsidRPr="0057702A">
        <w:rPr>
          <w:rStyle w:val="Refdenotaalpie"/>
          <w:rFonts w:ascii="Verdana" w:hAnsi="Verdana" w:cs="Arial"/>
          <w:color w:val="000000" w:themeColor="text1"/>
          <w:sz w:val="16"/>
          <w:szCs w:val="16"/>
        </w:rPr>
        <w:footnoteRef/>
      </w:r>
      <w:r w:rsidRPr="0057702A">
        <w:rPr>
          <w:rFonts w:ascii="Verdana" w:hAnsi="Verdana" w:cs="Arial"/>
          <w:color w:val="000000" w:themeColor="text1"/>
          <w:sz w:val="16"/>
          <w:szCs w:val="16"/>
        </w:rPr>
        <w:t xml:space="preserve"> </w:t>
      </w:r>
      <w:r w:rsidRPr="0057702A">
        <w:rPr>
          <w:rFonts w:ascii="Verdana" w:eastAsia="Calibri" w:hAnsi="Verdana" w:cs="Arial"/>
          <w:color w:val="000000"/>
          <w:sz w:val="16"/>
          <w:szCs w:val="16"/>
          <w:lang w:val="es-ES_tradnl" w:eastAsia="es-ES_tradnl"/>
        </w:rPr>
        <w:t xml:space="preserve">Ley 1150 </w:t>
      </w:r>
      <w:r w:rsidRPr="002361DD">
        <w:rPr>
          <w:rFonts w:ascii="Verdana" w:eastAsia="Calibri" w:hAnsi="Verdana" w:cs="Arial"/>
          <w:color w:val="000000"/>
          <w:sz w:val="16"/>
          <w:szCs w:val="16"/>
          <w:lang w:val="es-ES_tradnl" w:eastAsia="es-ES_tradnl"/>
        </w:rPr>
        <w:t>de 2007: “Artículo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0576C0AD" w14:textId="77777777" w:rsidR="00CF7CCB" w:rsidRPr="002361DD" w:rsidRDefault="00CF7CCB" w:rsidP="00CF7CCB">
      <w:pPr>
        <w:pStyle w:val="NormalWeb"/>
        <w:spacing w:before="0" w:beforeAutospacing="0" w:after="0" w:afterAutospacing="0"/>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37CA5828" w14:textId="77777777" w:rsidR="00CF7CCB" w:rsidRPr="002361DD" w:rsidRDefault="00CF7CCB" w:rsidP="00CF7CCB">
      <w:pPr>
        <w:pStyle w:val="NormalWeb"/>
        <w:spacing w:before="0" w:beforeAutospacing="0" w:after="0" w:afterAutospacing="0"/>
        <w:ind w:firstLine="708"/>
        <w:jc w:val="both"/>
        <w:rPr>
          <w:rFonts w:ascii="Verdana" w:hAnsi="Verdana" w:cs="Arial"/>
          <w:color w:val="000000" w:themeColor="text1"/>
          <w:sz w:val="16"/>
          <w:szCs w:val="16"/>
        </w:rPr>
      </w:pPr>
      <w:r w:rsidRPr="002361DD">
        <w:rPr>
          <w:rFonts w:ascii="Verdana" w:eastAsia="Calibri" w:hAnsi="Verdana" w:cs="Arial"/>
          <w:color w:val="000000"/>
          <w:sz w:val="16"/>
          <w:szCs w:val="16"/>
          <w:lang w:val="es-ES_tradnl" w:eastAsia="es-ES_tradnl"/>
        </w:rPr>
        <w:t>En dicho registro constará la información relacionada con la experiencia, capacidad jurídica, financiera y de organización del proponente y su clasificación”.</w:t>
      </w:r>
    </w:p>
  </w:footnote>
  <w:footnote w:id="2">
    <w:p w14:paraId="68A4CFEB" w14:textId="77777777" w:rsidR="00CF7CCB" w:rsidRPr="002361DD" w:rsidRDefault="00CF7CCB" w:rsidP="00CF7CCB">
      <w:pPr>
        <w:pStyle w:val="Textonotapie"/>
        <w:ind w:firstLine="709"/>
        <w:jc w:val="both"/>
        <w:rPr>
          <w:rFonts w:ascii="Verdana" w:hAnsi="Verdana" w:cs="Arial"/>
          <w:sz w:val="16"/>
          <w:szCs w:val="16"/>
          <w:lang w:val="es-ES"/>
        </w:rPr>
      </w:pPr>
      <w:r w:rsidRPr="002361DD">
        <w:rPr>
          <w:rStyle w:val="Refdenotaalpie"/>
          <w:rFonts w:ascii="Verdana" w:hAnsi="Verdana" w:cs="Arial"/>
          <w:sz w:val="16"/>
          <w:szCs w:val="16"/>
        </w:rPr>
        <w:footnoteRef/>
      </w:r>
      <w:r w:rsidRPr="002361DD">
        <w:rPr>
          <w:rFonts w:ascii="Verdana" w:hAnsi="Verdana" w:cs="Arial"/>
          <w:sz w:val="16"/>
          <w:szCs w:val="16"/>
        </w:rPr>
        <w:t xml:space="preserve"> </w:t>
      </w:r>
      <w:r w:rsidRPr="002361DD">
        <w:rPr>
          <w:rFonts w:ascii="Verdana" w:eastAsia="Calibri" w:hAnsi="Verdana" w:cs="Arial"/>
          <w:color w:val="000000"/>
          <w:sz w:val="16"/>
          <w:szCs w:val="16"/>
          <w:lang w:val="es-ES_tradnl" w:eastAsia="es-ES_tradnl"/>
        </w:rPr>
        <w:t>Ibídem.</w:t>
      </w:r>
    </w:p>
  </w:footnote>
  <w:footnote w:id="3">
    <w:p w14:paraId="15C95EF6"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olor w:val="000000"/>
          <w:sz w:val="16"/>
          <w:szCs w:val="16"/>
          <w:lang w:val="es-ES_tradnl" w:eastAsia="es-ES_tradnl"/>
        </w:rPr>
        <w:footnoteRef/>
      </w:r>
      <w:r w:rsidRPr="002361DD">
        <w:rPr>
          <w:rFonts w:ascii="Verdana" w:eastAsia="Calibri" w:hAnsi="Verdana" w:cs="Arial"/>
          <w:color w:val="000000"/>
          <w:sz w:val="16"/>
          <w:szCs w:val="16"/>
          <w:lang w:val="es-ES_tradnl" w:eastAsia="es-ES_tradnl"/>
        </w:rPr>
        <w:t xml:space="preserve"> Para la realización de los respectivos análisis del sector de los Procesos de Contratación, esta Agencia recomienda tener en cuenta la última modificación de la “Guía de Elaboración de Estudios del Sector”, </w:t>
      </w:r>
      <w:r w:rsidRPr="00925464">
        <w:rPr>
          <w:rFonts w:ascii="Verdana" w:eastAsia="Calibri" w:hAnsi="Verdana" w:cs="Arial"/>
          <w:color w:val="000000"/>
          <w:sz w:val="16"/>
          <w:szCs w:val="16"/>
          <w:lang w:val="es-ES_tradnl" w:eastAsia="es-ES_tradnl"/>
        </w:rPr>
        <w:t xml:space="preserve">que puede ser consultada en el siguiente link: </w:t>
      </w:r>
      <w:hyperlink r:id="rId1" w:history="1">
        <w:r w:rsidRPr="000A50A8">
          <w:rPr>
            <w:rStyle w:val="Hipervnculo"/>
            <w:rFonts w:ascii="Verdana" w:eastAsia="Calibri" w:hAnsi="Verdana" w:cs="Arial"/>
            <w:sz w:val="16"/>
            <w:szCs w:val="16"/>
            <w:lang w:val="es-ES_tradnl" w:eastAsia="es-ES_tradnl"/>
          </w:rPr>
          <w:t>https://r.search.yahoo.com/_ylt=AwrjixDCxn1qbQIA7Fmrcgx.;_ylu=Y29sbwNiZjEEcG9zAzEEdnRpZAMEc2VjA3Ny/RV=2/RE=1787837379/RO=10/RU=https%3a%2f%2fcolombiacompra.gov.co%2fwp-content%2fuploads%2f2025%2f08%2fGuia-para-la-elaboracion-de-estudios-del-sector-Original-Firmado.pdf/RK=2/RS=m1icBF6BNGeK1Dub.gqhy6DTMkM-</w:t>
        </w:r>
      </w:hyperlink>
      <w:r>
        <w:rPr>
          <w:rFonts w:ascii="Verdana" w:eastAsia="Calibri" w:hAnsi="Verdana" w:cs="Arial"/>
          <w:color w:val="000000"/>
          <w:sz w:val="16"/>
          <w:szCs w:val="16"/>
          <w:lang w:val="es-ES_tradnl" w:eastAsia="es-ES_tradnl"/>
        </w:rPr>
        <w:t xml:space="preserve"> </w:t>
      </w:r>
    </w:p>
  </w:footnote>
  <w:footnote w:id="4">
    <w:p w14:paraId="694CCF1E"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olor w:val="000000"/>
          <w:sz w:val="16"/>
          <w:szCs w:val="16"/>
          <w:lang w:val="es-ES_tradnl" w:eastAsia="es-ES_tradnl"/>
        </w:rPr>
        <w:footnoteRef/>
      </w:r>
      <w:r w:rsidRPr="002361DD">
        <w:rPr>
          <w:rFonts w:ascii="Verdana" w:eastAsia="Calibri" w:hAnsi="Verdana" w:cs="Arial"/>
          <w:color w:val="000000"/>
          <w:sz w:val="16"/>
          <w:szCs w:val="16"/>
          <w:lang w:val="es-ES_tradnl" w:eastAsia="es-ES_tradnl"/>
        </w:rPr>
        <w:t xml:space="preserve"> 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5">
    <w:p w14:paraId="42B2A43D"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olor w:val="000000"/>
          <w:sz w:val="16"/>
          <w:szCs w:val="16"/>
          <w:lang w:val="es-ES_tradnl" w:eastAsia="es-ES_tradnl"/>
        </w:rPr>
        <w:footnoteRef/>
      </w:r>
      <w:r w:rsidRPr="002361DD">
        <w:rPr>
          <w:rFonts w:ascii="Verdana" w:eastAsia="Calibri" w:hAnsi="Verdana" w:cs="Arial"/>
          <w:color w:val="000000"/>
          <w:sz w:val="16"/>
          <w:szCs w:val="16"/>
          <w:lang w:val="es-ES_tradnl" w:eastAsia="es-ES_tradnl"/>
        </w:rPr>
        <w:t xml:space="preserve"> Decreto 1082 de 2015: “</w:t>
      </w:r>
      <w:r w:rsidRPr="002361DD">
        <w:rPr>
          <w:rFonts w:ascii="Verdana" w:eastAsia="Calibri" w:hAnsi="Verdana"/>
          <w:sz w:val="16"/>
          <w:szCs w:val="16"/>
          <w:lang w:val="es-ES_tradnl" w:eastAsia="es-ES_tradnl"/>
        </w:rPr>
        <w:t>Artículo 2.2.1.1.1.5.2.</w:t>
      </w:r>
      <w:r w:rsidRPr="002361DD">
        <w:rPr>
          <w:rFonts w:ascii="Verdana" w:eastAsia="Calibri" w:hAnsi="Verdana"/>
          <w:b/>
          <w:sz w:val="16"/>
          <w:szCs w:val="16"/>
          <w:lang w:val="es-ES_tradnl" w:eastAsia="es-ES_tradnl"/>
        </w:rPr>
        <w:t> </w:t>
      </w:r>
      <w:r w:rsidRPr="002361DD">
        <w:rPr>
          <w:rFonts w:ascii="Verdana" w:eastAsia="Calibri" w:hAnsi="Verdana"/>
          <w:i/>
          <w:sz w:val="16"/>
          <w:szCs w:val="16"/>
          <w:lang w:val="es-ES_tradnl" w:eastAsia="es-ES_tradnl"/>
        </w:rPr>
        <w:t>Información para inscripción, renovación o actualización. </w:t>
      </w:r>
      <w:r w:rsidRPr="002361DD">
        <w:rPr>
          <w:rFonts w:ascii="Verdana" w:eastAsia="Calibri" w:hAnsi="Verdana" w:cs="Arial"/>
          <w:color w:val="000000"/>
          <w:sz w:val="16"/>
          <w:szCs w:val="16"/>
          <w:lang w:val="es-ES_tradnl" w:eastAsia="es-ES_tradnl"/>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 </w:t>
      </w:r>
    </w:p>
    <w:p w14:paraId="5A53990B"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w:t>
      </w:r>
    </w:p>
    <w:p w14:paraId="54230F84"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 xml:space="preserve">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 </w:t>
      </w:r>
    </w:p>
    <w:p w14:paraId="60171098"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 xml:space="preserve">I. Principales cuentas detalladas del balance general. </w:t>
      </w:r>
    </w:p>
    <w:p w14:paraId="6FE488A8"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 xml:space="preserve">II. Principales cuentas del estado de pérdidas y ganancias. </w:t>
      </w:r>
    </w:p>
    <w:p w14:paraId="2D5B9563"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s="Arial"/>
          <w:color w:val="000000"/>
          <w:sz w:val="16"/>
          <w:szCs w:val="16"/>
          <w:lang w:val="es-ES_tradnl" w:eastAsia="es-ES_tradnl"/>
        </w:rPr>
        <w:t xml:space="preserve">III. Cuentas contingentes deudoras y acreedoras. </w:t>
      </w:r>
    </w:p>
    <w:p w14:paraId="2D7EB049" w14:textId="77777777" w:rsidR="00CF7CCB" w:rsidRPr="002361DD" w:rsidRDefault="00CF7CCB" w:rsidP="00CF7CCB">
      <w:pPr>
        <w:pStyle w:val="Textonotapie"/>
        <w:ind w:firstLine="708"/>
        <w:jc w:val="both"/>
        <w:rPr>
          <w:rFonts w:ascii="Verdana" w:hAnsi="Verdana" w:cs="Arial"/>
          <w:sz w:val="16"/>
          <w:szCs w:val="16"/>
        </w:rPr>
      </w:pPr>
      <w:r w:rsidRPr="002361DD">
        <w:rPr>
          <w:rFonts w:ascii="Verdana" w:eastAsia="Calibri" w:hAnsi="Verdana" w:cs="Arial"/>
          <w:color w:val="000000"/>
          <w:sz w:val="16"/>
          <w:szCs w:val="16"/>
          <w:lang w:val="es-ES_tradnl" w:eastAsia="es-ES_tradnl"/>
        </w:rPr>
        <w:t>Si el interesado no tiene antigüedad suficiente para tener estados financieros auditados a 31 de diciembre, debe inscribirse con estados financieros de corte trimestral, suscritos por el representante legal y el auditor o contador o estados financieros de apertura[...]”</w:t>
      </w:r>
      <w:r w:rsidRPr="002361DD">
        <w:rPr>
          <w:rFonts w:ascii="Verdana" w:hAnsi="Verdana" w:cs="Arial"/>
          <w:sz w:val="16"/>
          <w:szCs w:val="16"/>
        </w:rPr>
        <w:t xml:space="preserve">  </w:t>
      </w:r>
    </w:p>
  </w:footnote>
  <w:footnote w:id="6">
    <w:p w14:paraId="703DB8A2" w14:textId="77777777" w:rsidR="00CF7CCB" w:rsidRPr="002361DD" w:rsidRDefault="00CF7CCB" w:rsidP="00CF7CCB">
      <w:pPr>
        <w:spacing w:after="0"/>
        <w:ind w:firstLine="708"/>
        <w:jc w:val="both"/>
        <w:rPr>
          <w:rFonts w:ascii="Verdana" w:hAnsi="Verdana" w:cs="Arial"/>
          <w:sz w:val="16"/>
          <w:szCs w:val="16"/>
          <w:lang w:val="es-ES"/>
        </w:rPr>
      </w:pPr>
      <w:r w:rsidRPr="002361DD">
        <w:rPr>
          <w:rFonts w:ascii="Verdana" w:hAnsi="Verdana" w:cs="Arial"/>
          <w:sz w:val="16"/>
          <w:szCs w:val="16"/>
          <w:vertAlign w:val="superscript"/>
          <w:lang w:val="es-ES"/>
        </w:rPr>
        <w:footnoteRef/>
      </w:r>
      <w:r w:rsidRPr="002361DD">
        <w:rPr>
          <w:rFonts w:ascii="Verdana" w:hAnsi="Verdana" w:cs="Arial"/>
          <w:sz w:val="16"/>
          <w:szCs w:val="16"/>
          <w:lang w:val="es-ES"/>
        </w:rPr>
        <w:t xml:space="preserve"> ORTÍZ ANAYA, Héctor. </w:t>
      </w:r>
      <w:r w:rsidRPr="002361DD">
        <w:rPr>
          <w:rFonts w:ascii="Verdana" w:eastAsia="Arial" w:hAnsi="Verdana" w:cs="Arial"/>
          <w:sz w:val="16"/>
          <w:szCs w:val="16"/>
          <w:lang w:val="es-ES"/>
        </w:rPr>
        <w:t>Análisis financiero aplicado y principios de administración financiera, 14.ª ed. Bogotá: Universidad Externado de Colombia, 2006. p. 419.</w:t>
      </w:r>
    </w:p>
  </w:footnote>
  <w:footnote w:id="7">
    <w:p w14:paraId="0AE11012" w14:textId="77777777" w:rsidR="00CF7CCB" w:rsidRPr="002361DD"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Style w:val="Refdenotaalpie"/>
          <w:rFonts w:ascii="Verdana" w:hAnsi="Verdana" w:cs="Arial"/>
          <w:sz w:val="16"/>
          <w:szCs w:val="16"/>
        </w:rPr>
        <w:footnoteRef/>
      </w:r>
      <w:r w:rsidRPr="002361DD">
        <w:rPr>
          <w:rFonts w:ascii="Verdana" w:hAnsi="Verdana" w:cs="Arial"/>
          <w:sz w:val="16"/>
          <w:szCs w:val="16"/>
        </w:rPr>
        <w:t xml:space="preserve"> </w:t>
      </w:r>
      <w:r w:rsidRPr="002361DD">
        <w:rPr>
          <w:rFonts w:ascii="Verdana" w:eastAsia="Calibri" w:hAnsi="Verdana" w:cs="Arial"/>
          <w:color w:val="000000"/>
          <w:sz w:val="16"/>
          <w:szCs w:val="16"/>
          <w:lang w:val="es-ES_tradnl" w:eastAsia="es-ES_tradnl"/>
        </w:rPr>
        <w:t>Mide la liquidez del proponente de manera más estricta que el índice de liquidez, pues no tiene en cuenta su inventario. El inventario es excluido, teniendo en cuenta que es la cuenta menos líquida del activo corriente y no debe ser usada para pagar las obligaciones de corto plazo.</w:t>
      </w:r>
    </w:p>
  </w:footnote>
  <w:footnote w:id="8">
    <w:p w14:paraId="773247B2" w14:textId="77777777" w:rsidR="00CF7CCB" w:rsidRPr="0044017C" w:rsidRDefault="00CF7CCB" w:rsidP="00CF7CCB">
      <w:pPr>
        <w:pStyle w:val="Textonotapie"/>
        <w:ind w:firstLine="708"/>
        <w:jc w:val="both"/>
        <w:rPr>
          <w:rFonts w:ascii="Verdana" w:eastAsia="Calibri" w:hAnsi="Verdana" w:cs="Arial"/>
          <w:color w:val="000000"/>
          <w:sz w:val="16"/>
          <w:szCs w:val="16"/>
          <w:lang w:val="es-ES_tradnl" w:eastAsia="es-ES_tradnl"/>
        </w:rPr>
      </w:pPr>
      <w:r w:rsidRPr="002361DD">
        <w:rPr>
          <w:rFonts w:ascii="Verdana" w:eastAsia="Calibri" w:hAnsi="Verdana"/>
          <w:color w:val="000000"/>
          <w:sz w:val="16"/>
          <w:szCs w:val="16"/>
          <w:vertAlign w:val="superscript"/>
          <w:lang w:val="es-ES_tradnl" w:eastAsia="es-ES_tradnl"/>
        </w:rPr>
        <w:footnoteRef/>
      </w:r>
      <w:r w:rsidRPr="002361DD">
        <w:rPr>
          <w:rFonts w:ascii="Verdana" w:eastAsia="Calibri" w:hAnsi="Verdana" w:cs="Arial"/>
          <w:color w:val="000000"/>
          <w:sz w:val="16"/>
          <w:szCs w:val="16"/>
          <w:vertAlign w:val="superscript"/>
          <w:lang w:val="es-ES_tradnl" w:eastAsia="es-ES_tradnl"/>
        </w:rPr>
        <w:t xml:space="preserve"> </w:t>
      </w:r>
      <w:r w:rsidRPr="002361DD">
        <w:rPr>
          <w:rFonts w:ascii="Verdana" w:eastAsia="Calibri" w:hAnsi="Verdana" w:cs="Arial"/>
          <w:color w:val="000000"/>
          <w:sz w:val="16"/>
          <w:szCs w:val="16"/>
          <w:lang w:val="es-ES_tradnl" w:eastAsia="es-ES_tradnl"/>
        </w:rPr>
        <w:t>Agencia Nacional de Contratación Pública – Colombia Compra Eficiente, “Manual</w:t>
      </w:r>
      <w:r w:rsidRPr="0057702A">
        <w:rPr>
          <w:rFonts w:ascii="Verdana" w:eastAsia="Calibri" w:hAnsi="Verdana" w:cs="Arial"/>
          <w:color w:val="000000"/>
          <w:sz w:val="16"/>
          <w:szCs w:val="16"/>
          <w:lang w:val="es-ES_tradnl" w:eastAsia="es-ES_tradnl"/>
        </w:rPr>
        <w:t xml:space="preserve"> para determinar y verificar los requisitos habilitantes en los Procesos de Contratación”.</w:t>
      </w:r>
    </w:p>
  </w:footnote>
  <w:footnote w:id="9">
    <w:p w14:paraId="5EF56A9A" w14:textId="77777777" w:rsidR="00CF7CCB" w:rsidRPr="00F65034" w:rsidRDefault="00CF7CCB" w:rsidP="00CF7CCB">
      <w:pPr>
        <w:pStyle w:val="Textonotapie"/>
        <w:ind w:firstLine="708"/>
        <w:rPr>
          <w:rFonts w:ascii="Verdana" w:hAnsi="Verdana"/>
          <w:sz w:val="16"/>
          <w:szCs w:val="16"/>
        </w:rPr>
      </w:pPr>
      <w:r w:rsidRPr="00F65034">
        <w:rPr>
          <w:rStyle w:val="Refdenotaalpie"/>
          <w:rFonts w:ascii="Verdana" w:hAnsi="Verdana"/>
          <w:sz w:val="16"/>
          <w:szCs w:val="16"/>
        </w:rPr>
        <w:footnoteRef/>
      </w:r>
      <w:r w:rsidRPr="00F65034">
        <w:rPr>
          <w:rFonts w:ascii="Verdana" w:hAnsi="Verdana"/>
          <w:sz w:val="16"/>
          <w:szCs w:val="16"/>
        </w:rPr>
        <w:t xml:space="preserve"> Ibidem. </w:t>
      </w:r>
    </w:p>
  </w:footnote>
  <w:footnote w:id="10">
    <w:p w14:paraId="0807885D" w14:textId="77777777" w:rsidR="00CF7CCB" w:rsidRPr="00D54D27" w:rsidRDefault="00CF7CCB" w:rsidP="00CF7CCB">
      <w:pPr>
        <w:pStyle w:val="Textonotapie"/>
        <w:ind w:firstLine="709"/>
        <w:jc w:val="both"/>
        <w:rPr>
          <w:rFonts w:ascii="Verdana" w:hAnsi="Verdana"/>
          <w:sz w:val="16"/>
          <w:szCs w:val="16"/>
          <w:lang w:val="es-ES"/>
        </w:rPr>
      </w:pPr>
      <w:r w:rsidRPr="00D54D27">
        <w:rPr>
          <w:rStyle w:val="Refdenotaalpie"/>
          <w:rFonts w:ascii="Verdana" w:hAnsi="Verdana"/>
          <w:sz w:val="16"/>
          <w:szCs w:val="16"/>
        </w:rPr>
        <w:footnoteRef/>
      </w:r>
      <w:r w:rsidRPr="00D02B23">
        <w:rPr>
          <w:rFonts w:ascii="Verdana" w:hAnsi="Verdana"/>
          <w:sz w:val="16"/>
          <w:szCs w:val="16"/>
        </w:rPr>
        <w:t xml:space="preserve"> </w:t>
      </w:r>
      <w:r w:rsidRPr="00D02B23">
        <w:rPr>
          <w:rFonts w:ascii="Verdana" w:eastAsia="Georgia" w:hAnsi="Verdana" w:cs="Georgia"/>
          <w:sz w:val="16"/>
          <w:szCs w:val="16"/>
        </w:rPr>
        <w:t xml:space="preserve">CONSEJO DE ESTADO, </w:t>
      </w:r>
      <w:r w:rsidRPr="00F65034">
        <w:rPr>
          <w:rFonts w:ascii="Verdana" w:eastAsia="Georgia" w:hAnsi="Verdana" w:cs="Georgia"/>
          <w:sz w:val="16"/>
          <w:szCs w:val="16"/>
        </w:rPr>
        <w:t xml:space="preserve">Sentencia No. 1444 del 6 de febrero de 1987, M.P. Policarpo Castillo Dávila, citada en Agencia Nacional de Contratación Pública – Colombia Compra Eficiente, Concepto C-210 de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17683"/>
    <w:multiLevelType w:val="multilevel"/>
    <w:tmpl w:val="B99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22C350D"/>
    <w:multiLevelType w:val="hybridMultilevel"/>
    <w:tmpl w:val="89B6917E"/>
    <w:lvl w:ilvl="0" w:tplc="A7B2FCBE">
      <w:start w:val="1"/>
      <w:numFmt w:val="decimal"/>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17" w15:restartNumberingAfterBreak="0">
    <w:nsid w:val="5AA52AF5"/>
    <w:multiLevelType w:val="multilevel"/>
    <w:tmpl w:val="8314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9"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17059A"/>
    <w:multiLevelType w:val="hybridMultilevel"/>
    <w:tmpl w:val="A4CEFBF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4193185">
    <w:abstractNumId w:val="12"/>
  </w:num>
  <w:num w:numId="2" w16cid:durableId="193231847">
    <w:abstractNumId w:val="3"/>
  </w:num>
  <w:num w:numId="3" w16cid:durableId="1096943890">
    <w:abstractNumId w:val="10"/>
  </w:num>
  <w:num w:numId="4" w16cid:durableId="409931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367354">
    <w:abstractNumId w:val="3"/>
  </w:num>
  <w:num w:numId="6" w16cid:durableId="793476298">
    <w:abstractNumId w:val="22"/>
  </w:num>
  <w:num w:numId="7" w16cid:durableId="1388140985">
    <w:abstractNumId w:val="11"/>
  </w:num>
  <w:num w:numId="8" w16cid:durableId="8221745">
    <w:abstractNumId w:val="21"/>
  </w:num>
  <w:num w:numId="9" w16cid:durableId="44108025">
    <w:abstractNumId w:val="13"/>
  </w:num>
  <w:num w:numId="10" w16cid:durableId="1696543001">
    <w:abstractNumId w:val="19"/>
  </w:num>
  <w:num w:numId="11" w16cid:durableId="78798313">
    <w:abstractNumId w:val="14"/>
  </w:num>
  <w:num w:numId="12" w16cid:durableId="1454789457">
    <w:abstractNumId w:val="1"/>
  </w:num>
  <w:num w:numId="13" w16cid:durableId="1691956119">
    <w:abstractNumId w:val="6"/>
  </w:num>
  <w:num w:numId="14" w16cid:durableId="2087654391">
    <w:abstractNumId w:val="23"/>
  </w:num>
  <w:num w:numId="15" w16cid:durableId="1096054913">
    <w:abstractNumId w:val="18"/>
  </w:num>
  <w:num w:numId="16" w16cid:durableId="336543805">
    <w:abstractNumId w:val="8"/>
  </w:num>
  <w:num w:numId="17" w16cid:durableId="1497068304">
    <w:abstractNumId w:val="15"/>
  </w:num>
  <w:num w:numId="18" w16cid:durableId="1424061722">
    <w:abstractNumId w:val="26"/>
  </w:num>
  <w:num w:numId="19" w16cid:durableId="1329286817">
    <w:abstractNumId w:val="25"/>
  </w:num>
  <w:num w:numId="20" w16cid:durableId="648248107">
    <w:abstractNumId w:val="2"/>
  </w:num>
  <w:num w:numId="21" w16cid:durableId="64300868">
    <w:abstractNumId w:val="5"/>
  </w:num>
  <w:num w:numId="22" w16cid:durableId="277875109">
    <w:abstractNumId w:val="9"/>
  </w:num>
  <w:num w:numId="23" w16cid:durableId="1614360989">
    <w:abstractNumId w:val="4"/>
  </w:num>
  <w:num w:numId="24" w16cid:durableId="465394615">
    <w:abstractNumId w:val="24"/>
  </w:num>
  <w:num w:numId="25" w16cid:durableId="361709235">
    <w:abstractNumId w:val="0"/>
  </w:num>
  <w:num w:numId="26" w16cid:durableId="832528327">
    <w:abstractNumId w:val="7"/>
  </w:num>
  <w:num w:numId="27" w16cid:durableId="897938637">
    <w:abstractNumId w:val="16"/>
  </w:num>
  <w:num w:numId="28" w16cid:durableId="220136284">
    <w:abstractNumId w:val="20"/>
  </w:num>
  <w:num w:numId="29" w16cid:durableId="12985360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F5C"/>
    <w:rsid w:val="00004704"/>
    <w:rsid w:val="0000603D"/>
    <w:rsid w:val="000134D5"/>
    <w:rsid w:val="00013B01"/>
    <w:rsid w:val="00016687"/>
    <w:rsid w:val="00016F78"/>
    <w:rsid w:val="00020A42"/>
    <w:rsid w:val="00024C42"/>
    <w:rsid w:val="000353BD"/>
    <w:rsid w:val="00037B41"/>
    <w:rsid w:val="000462F8"/>
    <w:rsid w:val="00046945"/>
    <w:rsid w:val="00047801"/>
    <w:rsid w:val="00052288"/>
    <w:rsid w:val="00061B2A"/>
    <w:rsid w:val="000711A6"/>
    <w:rsid w:val="000711CF"/>
    <w:rsid w:val="0007421E"/>
    <w:rsid w:val="00076D52"/>
    <w:rsid w:val="000800CB"/>
    <w:rsid w:val="00080B1D"/>
    <w:rsid w:val="00081323"/>
    <w:rsid w:val="000818BE"/>
    <w:rsid w:val="00082362"/>
    <w:rsid w:val="00085193"/>
    <w:rsid w:val="0008566D"/>
    <w:rsid w:val="0009079C"/>
    <w:rsid w:val="00092186"/>
    <w:rsid w:val="000955E1"/>
    <w:rsid w:val="00096008"/>
    <w:rsid w:val="00097319"/>
    <w:rsid w:val="00097F5C"/>
    <w:rsid w:val="000A127B"/>
    <w:rsid w:val="000A1642"/>
    <w:rsid w:val="000A30EF"/>
    <w:rsid w:val="000A66E5"/>
    <w:rsid w:val="000A683E"/>
    <w:rsid w:val="000A77C4"/>
    <w:rsid w:val="000B0FAA"/>
    <w:rsid w:val="000B1865"/>
    <w:rsid w:val="000B19B9"/>
    <w:rsid w:val="000B2054"/>
    <w:rsid w:val="000B2660"/>
    <w:rsid w:val="000B27F0"/>
    <w:rsid w:val="000B35FF"/>
    <w:rsid w:val="000B4A06"/>
    <w:rsid w:val="000B5E8B"/>
    <w:rsid w:val="000B6072"/>
    <w:rsid w:val="000C5A9E"/>
    <w:rsid w:val="000D0334"/>
    <w:rsid w:val="000D1DC8"/>
    <w:rsid w:val="000D23B5"/>
    <w:rsid w:val="000D4734"/>
    <w:rsid w:val="000D5A41"/>
    <w:rsid w:val="000D5DA7"/>
    <w:rsid w:val="000E1CE3"/>
    <w:rsid w:val="000E4370"/>
    <w:rsid w:val="000E4DD8"/>
    <w:rsid w:val="000E6E2C"/>
    <w:rsid w:val="000E7635"/>
    <w:rsid w:val="000F01E9"/>
    <w:rsid w:val="000F078F"/>
    <w:rsid w:val="000F16C0"/>
    <w:rsid w:val="000F3444"/>
    <w:rsid w:val="000F4BBC"/>
    <w:rsid w:val="000F512E"/>
    <w:rsid w:val="000F5322"/>
    <w:rsid w:val="000F6486"/>
    <w:rsid w:val="000F7FD4"/>
    <w:rsid w:val="0010436A"/>
    <w:rsid w:val="0010582C"/>
    <w:rsid w:val="00105C57"/>
    <w:rsid w:val="00110057"/>
    <w:rsid w:val="00112906"/>
    <w:rsid w:val="00113184"/>
    <w:rsid w:val="001161CA"/>
    <w:rsid w:val="001168F2"/>
    <w:rsid w:val="00116940"/>
    <w:rsid w:val="00125105"/>
    <w:rsid w:val="00126A57"/>
    <w:rsid w:val="00127233"/>
    <w:rsid w:val="00127EBB"/>
    <w:rsid w:val="001310E5"/>
    <w:rsid w:val="001328F3"/>
    <w:rsid w:val="00132957"/>
    <w:rsid w:val="0013449B"/>
    <w:rsid w:val="001428DC"/>
    <w:rsid w:val="00145780"/>
    <w:rsid w:val="00145C3A"/>
    <w:rsid w:val="00146A22"/>
    <w:rsid w:val="0015318C"/>
    <w:rsid w:val="0015699B"/>
    <w:rsid w:val="001615EA"/>
    <w:rsid w:val="00161C03"/>
    <w:rsid w:val="001620BF"/>
    <w:rsid w:val="00171640"/>
    <w:rsid w:val="001732E9"/>
    <w:rsid w:val="00174D6E"/>
    <w:rsid w:val="00175F71"/>
    <w:rsid w:val="001760EB"/>
    <w:rsid w:val="00182004"/>
    <w:rsid w:val="00185003"/>
    <w:rsid w:val="00191DEB"/>
    <w:rsid w:val="001954DA"/>
    <w:rsid w:val="00195785"/>
    <w:rsid w:val="0019787F"/>
    <w:rsid w:val="0019795A"/>
    <w:rsid w:val="001A06F6"/>
    <w:rsid w:val="001A12F0"/>
    <w:rsid w:val="001A1683"/>
    <w:rsid w:val="001A328E"/>
    <w:rsid w:val="001A33BF"/>
    <w:rsid w:val="001A5A37"/>
    <w:rsid w:val="001B0949"/>
    <w:rsid w:val="001B203D"/>
    <w:rsid w:val="001B43E8"/>
    <w:rsid w:val="001B69A3"/>
    <w:rsid w:val="001C04B8"/>
    <w:rsid w:val="001C3DA1"/>
    <w:rsid w:val="001C4ADF"/>
    <w:rsid w:val="001C5AE4"/>
    <w:rsid w:val="001C61B3"/>
    <w:rsid w:val="001C61DA"/>
    <w:rsid w:val="001D02CC"/>
    <w:rsid w:val="001D23B5"/>
    <w:rsid w:val="001D3904"/>
    <w:rsid w:val="001D64AE"/>
    <w:rsid w:val="001E297C"/>
    <w:rsid w:val="001E2E05"/>
    <w:rsid w:val="001E4177"/>
    <w:rsid w:val="001E5DD7"/>
    <w:rsid w:val="001F0B24"/>
    <w:rsid w:val="001F2FA2"/>
    <w:rsid w:val="001F7DC6"/>
    <w:rsid w:val="00207466"/>
    <w:rsid w:val="002110A3"/>
    <w:rsid w:val="00211E12"/>
    <w:rsid w:val="00212AD1"/>
    <w:rsid w:val="002150C1"/>
    <w:rsid w:val="002168F7"/>
    <w:rsid w:val="00216B10"/>
    <w:rsid w:val="00217FCA"/>
    <w:rsid w:val="002209DE"/>
    <w:rsid w:val="00220ADC"/>
    <w:rsid w:val="00221063"/>
    <w:rsid w:val="0022400B"/>
    <w:rsid w:val="002361DD"/>
    <w:rsid w:val="00241236"/>
    <w:rsid w:val="00241392"/>
    <w:rsid w:val="002421BB"/>
    <w:rsid w:val="00244F8A"/>
    <w:rsid w:val="00246F1F"/>
    <w:rsid w:val="00251160"/>
    <w:rsid w:val="00251424"/>
    <w:rsid w:val="00253436"/>
    <w:rsid w:val="0025796E"/>
    <w:rsid w:val="00260F3F"/>
    <w:rsid w:val="0026579C"/>
    <w:rsid w:val="002707A2"/>
    <w:rsid w:val="002735F7"/>
    <w:rsid w:val="00274EEF"/>
    <w:rsid w:val="00275482"/>
    <w:rsid w:val="00277C07"/>
    <w:rsid w:val="002809BD"/>
    <w:rsid w:val="00281D43"/>
    <w:rsid w:val="002823E4"/>
    <w:rsid w:val="00286A65"/>
    <w:rsid w:val="0028778F"/>
    <w:rsid w:val="00291C70"/>
    <w:rsid w:val="00292FDC"/>
    <w:rsid w:val="002941CC"/>
    <w:rsid w:val="002951A0"/>
    <w:rsid w:val="002962BC"/>
    <w:rsid w:val="002972D0"/>
    <w:rsid w:val="002975A4"/>
    <w:rsid w:val="0029793E"/>
    <w:rsid w:val="002A093D"/>
    <w:rsid w:val="002A0DD0"/>
    <w:rsid w:val="002A17FB"/>
    <w:rsid w:val="002A296D"/>
    <w:rsid w:val="002A30B3"/>
    <w:rsid w:val="002A49AC"/>
    <w:rsid w:val="002A49F5"/>
    <w:rsid w:val="002A588F"/>
    <w:rsid w:val="002A64FD"/>
    <w:rsid w:val="002B14A4"/>
    <w:rsid w:val="002B678B"/>
    <w:rsid w:val="002B730F"/>
    <w:rsid w:val="002C3824"/>
    <w:rsid w:val="002C3A66"/>
    <w:rsid w:val="002C7A84"/>
    <w:rsid w:val="002D5C45"/>
    <w:rsid w:val="002E0420"/>
    <w:rsid w:val="002E05EF"/>
    <w:rsid w:val="002E2BF8"/>
    <w:rsid w:val="002E4FD9"/>
    <w:rsid w:val="002E665E"/>
    <w:rsid w:val="002F0847"/>
    <w:rsid w:val="002F17CB"/>
    <w:rsid w:val="002F4407"/>
    <w:rsid w:val="002F48FD"/>
    <w:rsid w:val="00302519"/>
    <w:rsid w:val="0030657A"/>
    <w:rsid w:val="003120DC"/>
    <w:rsid w:val="003136DC"/>
    <w:rsid w:val="003156BF"/>
    <w:rsid w:val="00316053"/>
    <w:rsid w:val="003165C4"/>
    <w:rsid w:val="00316912"/>
    <w:rsid w:val="00317257"/>
    <w:rsid w:val="00322A85"/>
    <w:rsid w:val="00322C00"/>
    <w:rsid w:val="00322D77"/>
    <w:rsid w:val="00322DCF"/>
    <w:rsid w:val="003238B3"/>
    <w:rsid w:val="00324168"/>
    <w:rsid w:val="00324B4D"/>
    <w:rsid w:val="00330834"/>
    <w:rsid w:val="003332A8"/>
    <w:rsid w:val="003350BF"/>
    <w:rsid w:val="003404D8"/>
    <w:rsid w:val="003448F4"/>
    <w:rsid w:val="00351B69"/>
    <w:rsid w:val="0035259C"/>
    <w:rsid w:val="00354D5E"/>
    <w:rsid w:val="003577C7"/>
    <w:rsid w:val="003603CC"/>
    <w:rsid w:val="00362941"/>
    <w:rsid w:val="00362BC1"/>
    <w:rsid w:val="00366F4B"/>
    <w:rsid w:val="00367536"/>
    <w:rsid w:val="00374F5E"/>
    <w:rsid w:val="003769E1"/>
    <w:rsid w:val="0037709D"/>
    <w:rsid w:val="00377E3E"/>
    <w:rsid w:val="00380DE2"/>
    <w:rsid w:val="003812E8"/>
    <w:rsid w:val="00381BAB"/>
    <w:rsid w:val="003826ED"/>
    <w:rsid w:val="0038312B"/>
    <w:rsid w:val="00383CA0"/>
    <w:rsid w:val="00384CDB"/>
    <w:rsid w:val="00391022"/>
    <w:rsid w:val="00391AB8"/>
    <w:rsid w:val="003945F5"/>
    <w:rsid w:val="00394A16"/>
    <w:rsid w:val="003A43A4"/>
    <w:rsid w:val="003A75A7"/>
    <w:rsid w:val="003A779E"/>
    <w:rsid w:val="003B0DFC"/>
    <w:rsid w:val="003C0ED7"/>
    <w:rsid w:val="003C3EA3"/>
    <w:rsid w:val="003C4875"/>
    <w:rsid w:val="003C48DC"/>
    <w:rsid w:val="003C7601"/>
    <w:rsid w:val="003D0F4D"/>
    <w:rsid w:val="003D2A79"/>
    <w:rsid w:val="003D494E"/>
    <w:rsid w:val="003D5B0D"/>
    <w:rsid w:val="003E0499"/>
    <w:rsid w:val="003E3A56"/>
    <w:rsid w:val="003E3E13"/>
    <w:rsid w:val="003E3E69"/>
    <w:rsid w:val="003E4F80"/>
    <w:rsid w:val="003E5B3D"/>
    <w:rsid w:val="003E6439"/>
    <w:rsid w:val="003E7669"/>
    <w:rsid w:val="003F18C5"/>
    <w:rsid w:val="003F1FD8"/>
    <w:rsid w:val="003F3941"/>
    <w:rsid w:val="003F7AA4"/>
    <w:rsid w:val="00403EFA"/>
    <w:rsid w:val="00406575"/>
    <w:rsid w:val="00406BA1"/>
    <w:rsid w:val="00406D60"/>
    <w:rsid w:val="00411BBA"/>
    <w:rsid w:val="004140B3"/>
    <w:rsid w:val="0041489C"/>
    <w:rsid w:val="00414C74"/>
    <w:rsid w:val="004156BE"/>
    <w:rsid w:val="00417675"/>
    <w:rsid w:val="0042104D"/>
    <w:rsid w:val="00421179"/>
    <w:rsid w:val="00424314"/>
    <w:rsid w:val="00427202"/>
    <w:rsid w:val="0042722E"/>
    <w:rsid w:val="00431C48"/>
    <w:rsid w:val="00432550"/>
    <w:rsid w:val="0043600A"/>
    <w:rsid w:val="0044017C"/>
    <w:rsid w:val="00443AA5"/>
    <w:rsid w:val="004441A4"/>
    <w:rsid w:val="0044528D"/>
    <w:rsid w:val="00451137"/>
    <w:rsid w:val="00453C0D"/>
    <w:rsid w:val="004555EA"/>
    <w:rsid w:val="00456FEB"/>
    <w:rsid w:val="0045785F"/>
    <w:rsid w:val="00461A85"/>
    <w:rsid w:val="004626F4"/>
    <w:rsid w:val="00464AD8"/>
    <w:rsid w:val="00465183"/>
    <w:rsid w:val="00466E39"/>
    <w:rsid w:val="0047068D"/>
    <w:rsid w:val="00474527"/>
    <w:rsid w:val="00480D04"/>
    <w:rsid w:val="004823C2"/>
    <w:rsid w:val="00483A2C"/>
    <w:rsid w:val="00484E40"/>
    <w:rsid w:val="0048787A"/>
    <w:rsid w:val="00490486"/>
    <w:rsid w:val="00492C4A"/>
    <w:rsid w:val="00494F04"/>
    <w:rsid w:val="004A0A0B"/>
    <w:rsid w:val="004A0E5C"/>
    <w:rsid w:val="004A1847"/>
    <w:rsid w:val="004A298F"/>
    <w:rsid w:val="004A305D"/>
    <w:rsid w:val="004A6575"/>
    <w:rsid w:val="004A7AD4"/>
    <w:rsid w:val="004A7D0E"/>
    <w:rsid w:val="004B38BB"/>
    <w:rsid w:val="004B3DAC"/>
    <w:rsid w:val="004B5CC5"/>
    <w:rsid w:val="004B62AE"/>
    <w:rsid w:val="004B73B9"/>
    <w:rsid w:val="004C0DBB"/>
    <w:rsid w:val="004C18E6"/>
    <w:rsid w:val="004C38E0"/>
    <w:rsid w:val="004C551B"/>
    <w:rsid w:val="004D2B6F"/>
    <w:rsid w:val="004D3759"/>
    <w:rsid w:val="004E2B92"/>
    <w:rsid w:val="004E596D"/>
    <w:rsid w:val="004E7AD6"/>
    <w:rsid w:val="004F21C4"/>
    <w:rsid w:val="004F4074"/>
    <w:rsid w:val="004F685F"/>
    <w:rsid w:val="005000A1"/>
    <w:rsid w:val="0050076D"/>
    <w:rsid w:val="005026F8"/>
    <w:rsid w:val="00511182"/>
    <w:rsid w:val="00511808"/>
    <w:rsid w:val="00513BF7"/>
    <w:rsid w:val="00517955"/>
    <w:rsid w:val="005220CD"/>
    <w:rsid w:val="005229DB"/>
    <w:rsid w:val="00522EAD"/>
    <w:rsid w:val="00525889"/>
    <w:rsid w:val="00532FAF"/>
    <w:rsid w:val="00534886"/>
    <w:rsid w:val="00536A0E"/>
    <w:rsid w:val="005407B2"/>
    <w:rsid w:val="0055069F"/>
    <w:rsid w:val="0055262A"/>
    <w:rsid w:val="00553040"/>
    <w:rsid w:val="00553F50"/>
    <w:rsid w:val="00555B54"/>
    <w:rsid w:val="005566E8"/>
    <w:rsid w:val="00556B15"/>
    <w:rsid w:val="00556FE6"/>
    <w:rsid w:val="00557CCC"/>
    <w:rsid w:val="00560892"/>
    <w:rsid w:val="005609AB"/>
    <w:rsid w:val="00561EE4"/>
    <w:rsid w:val="0056266D"/>
    <w:rsid w:val="00563834"/>
    <w:rsid w:val="00563AE7"/>
    <w:rsid w:val="00564AF4"/>
    <w:rsid w:val="00570B00"/>
    <w:rsid w:val="00572622"/>
    <w:rsid w:val="00573280"/>
    <w:rsid w:val="00573BA2"/>
    <w:rsid w:val="00574867"/>
    <w:rsid w:val="00591460"/>
    <w:rsid w:val="00591A60"/>
    <w:rsid w:val="00592C94"/>
    <w:rsid w:val="00595011"/>
    <w:rsid w:val="005A2CAB"/>
    <w:rsid w:val="005A473F"/>
    <w:rsid w:val="005A482A"/>
    <w:rsid w:val="005A52A7"/>
    <w:rsid w:val="005A5DC1"/>
    <w:rsid w:val="005A65E0"/>
    <w:rsid w:val="005A71AF"/>
    <w:rsid w:val="005C0881"/>
    <w:rsid w:val="005C3777"/>
    <w:rsid w:val="005C4944"/>
    <w:rsid w:val="005C5CDC"/>
    <w:rsid w:val="005D2566"/>
    <w:rsid w:val="005D476C"/>
    <w:rsid w:val="005D56FB"/>
    <w:rsid w:val="005D61A0"/>
    <w:rsid w:val="005D63B0"/>
    <w:rsid w:val="005E45D4"/>
    <w:rsid w:val="005E46C4"/>
    <w:rsid w:val="005E55A7"/>
    <w:rsid w:val="005F20A4"/>
    <w:rsid w:val="005F5F61"/>
    <w:rsid w:val="00600D92"/>
    <w:rsid w:val="00601773"/>
    <w:rsid w:val="00603C5B"/>
    <w:rsid w:val="0061143B"/>
    <w:rsid w:val="00611CE6"/>
    <w:rsid w:val="006137E1"/>
    <w:rsid w:val="00617200"/>
    <w:rsid w:val="00617724"/>
    <w:rsid w:val="00617E91"/>
    <w:rsid w:val="006200BF"/>
    <w:rsid w:val="0062143E"/>
    <w:rsid w:val="006219F8"/>
    <w:rsid w:val="006233EF"/>
    <w:rsid w:val="00624A89"/>
    <w:rsid w:val="00624EEC"/>
    <w:rsid w:val="006301DA"/>
    <w:rsid w:val="006302F7"/>
    <w:rsid w:val="00632A17"/>
    <w:rsid w:val="00637187"/>
    <w:rsid w:val="00637833"/>
    <w:rsid w:val="00640C4B"/>
    <w:rsid w:val="00646B9F"/>
    <w:rsid w:val="00646F24"/>
    <w:rsid w:val="00652A27"/>
    <w:rsid w:val="006530D3"/>
    <w:rsid w:val="006547C3"/>
    <w:rsid w:val="00660C46"/>
    <w:rsid w:val="00663A04"/>
    <w:rsid w:val="00665D70"/>
    <w:rsid w:val="00666535"/>
    <w:rsid w:val="00666975"/>
    <w:rsid w:val="00676527"/>
    <w:rsid w:val="00680B82"/>
    <w:rsid w:val="00684152"/>
    <w:rsid w:val="00684F67"/>
    <w:rsid w:val="00686822"/>
    <w:rsid w:val="0068758B"/>
    <w:rsid w:val="006900D9"/>
    <w:rsid w:val="006942B6"/>
    <w:rsid w:val="006943CF"/>
    <w:rsid w:val="00694474"/>
    <w:rsid w:val="0069741A"/>
    <w:rsid w:val="006A1494"/>
    <w:rsid w:val="006A2BE4"/>
    <w:rsid w:val="006A36D8"/>
    <w:rsid w:val="006A5D1A"/>
    <w:rsid w:val="006A7953"/>
    <w:rsid w:val="006B15B0"/>
    <w:rsid w:val="006B1979"/>
    <w:rsid w:val="006B4707"/>
    <w:rsid w:val="006C6385"/>
    <w:rsid w:val="006D0D33"/>
    <w:rsid w:val="006D0F23"/>
    <w:rsid w:val="006D13BA"/>
    <w:rsid w:val="006D591D"/>
    <w:rsid w:val="006D64EE"/>
    <w:rsid w:val="006E3027"/>
    <w:rsid w:val="006E3138"/>
    <w:rsid w:val="006E518E"/>
    <w:rsid w:val="006F056F"/>
    <w:rsid w:val="006F0853"/>
    <w:rsid w:val="006F1315"/>
    <w:rsid w:val="006F2238"/>
    <w:rsid w:val="006F234B"/>
    <w:rsid w:val="006F392D"/>
    <w:rsid w:val="006F4199"/>
    <w:rsid w:val="006F4FF6"/>
    <w:rsid w:val="006F6996"/>
    <w:rsid w:val="006F6F9E"/>
    <w:rsid w:val="006F7921"/>
    <w:rsid w:val="007009D7"/>
    <w:rsid w:val="007014D5"/>
    <w:rsid w:val="007025D7"/>
    <w:rsid w:val="00702F10"/>
    <w:rsid w:val="00703A14"/>
    <w:rsid w:val="00706C16"/>
    <w:rsid w:val="00706E01"/>
    <w:rsid w:val="0071463F"/>
    <w:rsid w:val="0071557C"/>
    <w:rsid w:val="00727CB4"/>
    <w:rsid w:val="00731F30"/>
    <w:rsid w:val="007340C3"/>
    <w:rsid w:val="0073510E"/>
    <w:rsid w:val="00743FDA"/>
    <w:rsid w:val="0074404E"/>
    <w:rsid w:val="007458D3"/>
    <w:rsid w:val="007458DE"/>
    <w:rsid w:val="0075235A"/>
    <w:rsid w:val="00752CDB"/>
    <w:rsid w:val="00755468"/>
    <w:rsid w:val="0075557D"/>
    <w:rsid w:val="00755A90"/>
    <w:rsid w:val="00756841"/>
    <w:rsid w:val="00757418"/>
    <w:rsid w:val="00763C3E"/>
    <w:rsid w:val="007649AB"/>
    <w:rsid w:val="00766315"/>
    <w:rsid w:val="00771AEF"/>
    <w:rsid w:val="00771D0C"/>
    <w:rsid w:val="00771E58"/>
    <w:rsid w:val="00772AD9"/>
    <w:rsid w:val="00773C68"/>
    <w:rsid w:val="00776C62"/>
    <w:rsid w:val="00777388"/>
    <w:rsid w:val="00780C7D"/>
    <w:rsid w:val="00781C2E"/>
    <w:rsid w:val="00782ED2"/>
    <w:rsid w:val="007833AC"/>
    <w:rsid w:val="00783A2B"/>
    <w:rsid w:val="00787286"/>
    <w:rsid w:val="007902CF"/>
    <w:rsid w:val="00792D02"/>
    <w:rsid w:val="00795086"/>
    <w:rsid w:val="007969A8"/>
    <w:rsid w:val="007A037B"/>
    <w:rsid w:val="007A1830"/>
    <w:rsid w:val="007B268C"/>
    <w:rsid w:val="007B6AC6"/>
    <w:rsid w:val="007B70FE"/>
    <w:rsid w:val="007B7171"/>
    <w:rsid w:val="007B723F"/>
    <w:rsid w:val="007C0C0F"/>
    <w:rsid w:val="007C212F"/>
    <w:rsid w:val="007C2234"/>
    <w:rsid w:val="007C3DC2"/>
    <w:rsid w:val="007C4353"/>
    <w:rsid w:val="007C51DA"/>
    <w:rsid w:val="007D1663"/>
    <w:rsid w:val="007D3058"/>
    <w:rsid w:val="007D351F"/>
    <w:rsid w:val="007D4B12"/>
    <w:rsid w:val="007D5866"/>
    <w:rsid w:val="007D67A1"/>
    <w:rsid w:val="007E1B2C"/>
    <w:rsid w:val="007E43AC"/>
    <w:rsid w:val="007E5497"/>
    <w:rsid w:val="007F10DE"/>
    <w:rsid w:val="007F6B1C"/>
    <w:rsid w:val="00803584"/>
    <w:rsid w:val="00804E7E"/>
    <w:rsid w:val="00806F5F"/>
    <w:rsid w:val="008103F6"/>
    <w:rsid w:val="00811A7D"/>
    <w:rsid w:val="00820278"/>
    <w:rsid w:val="0082087F"/>
    <w:rsid w:val="008258C9"/>
    <w:rsid w:val="00830893"/>
    <w:rsid w:val="00833286"/>
    <w:rsid w:val="00835E48"/>
    <w:rsid w:val="0083601F"/>
    <w:rsid w:val="00836232"/>
    <w:rsid w:val="00836709"/>
    <w:rsid w:val="00837E3F"/>
    <w:rsid w:val="00841E29"/>
    <w:rsid w:val="008427B7"/>
    <w:rsid w:val="00844AE9"/>
    <w:rsid w:val="00844CA6"/>
    <w:rsid w:val="00845310"/>
    <w:rsid w:val="00845BF4"/>
    <w:rsid w:val="00850B04"/>
    <w:rsid w:val="00851067"/>
    <w:rsid w:val="0085545E"/>
    <w:rsid w:val="0085552D"/>
    <w:rsid w:val="00861D58"/>
    <w:rsid w:val="00865494"/>
    <w:rsid w:val="00867994"/>
    <w:rsid w:val="00867F95"/>
    <w:rsid w:val="00871AAC"/>
    <w:rsid w:val="00883BDA"/>
    <w:rsid w:val="008843B6"/>
    <w:rsid w:val="00884F5B"/>
    <w:rsid w:val="008852B7"/>
    <w:rsid w:val="00886410"/>
    <w:rsid w:val="00886C7D"/>
    <w:rsid w:val="00886EF4"/>
    <w:rsid w:val="008876C5"/>
    <w:rsid w:val="0089018C"/>
    <w:rsid w:val="00891928"/>
    <w:rsid w:val="0089624B"/>
    <w:rsid w:val="008A00B3"/>
    <w:rsid w:val="008A446D"/>
    <w:rsid w:val="008B0D0F"/>
    <w:rsid w:val="008B25F1"/>
    <w:rsid w:val="008B4380"/>
    <w:rsid w:val="008B554D"/>
    <w:rsid w:val="008C11FD"/>
    <w:rsid w:val="008C2316"/>
    <w:rsid w:val="008C4DD5"/>
    <w:rsid w:val="008C517A"/>
    <w:rsid w:val="008C5755"/>
    <w:rsid w:val="008C5E31"/>
    <w:rsid w:val="008C60DB"/>
    <w:rsid w:val="008C6AE5"/>
    <w:rsid w:val="008C6C0B"/>
    <w:rsid w:val="008D1660"/>
    <w:rsid w:val="008D180B"/>
    <w:rsid w:val="008D5458"/>
    <w:rsid w:val="008D7FAE"/>
    <w:rsid w:val="008E1735"/>
    <w:rsid w:val="008E7A14"/>
    <w:rsid w:val="008F0EA7"/>
    <w:rsid w:val="008F1556"/>
    <w:rsid w:val="008F17DC"/>
    <w:rsid w:val="008F32A6"/>
    <w:rsid w:val="008F4334"/>
    <w:rsid w:val="008F5034"/>
    <w:rsid w:val="008F553F"/>
    <w:rsid w:val="008F6705"/>
    <w:rsid w:val="00901213"/>
    <w:rsid w:val="00901E68"/>
    <w:rsid w:val="009037F6"/>
    <w:rsid w:val="00905153"/>
    <w:rsid w:val="0090556D"/>
    <w:rsid w:val="00905E1C"/>
    <w:rsid w:val="00906A87"/>
    <w:rsid w:val="00910D76"/>
    <w:rsid w:val="0091143C"/>
    <w:rsid w:val="009148F0"/>
    <w:rsid w:val="00915597"/>
    <w:rsid w:val="00920817"/>
    <w:rsid w:val="0092246D"/>
    <w:rsid w:val="00923EEF"/>
    <w:rsid w:val="00925464"/>
    <w:rsid w:val="00926814"/>
    <w:rsid w:val="00930117"/>
    <w:rsid w:val="00933E3F"/>
    <w:rsid w:val="009348CC"/>
    <w:rsid w:val="009419F9"/>
    <w:rsid w:val="00942FA7"/>
    <w:rsid w:val="00947098"/>
    <w:rsid w:val="0095685E"/>
    <w:rsid w:val="009571D9"/>
    <w:rsid w:val="00961B09"/>
    <w:rsid w:val="00961FE5"/>
    <w:rsid w:val="00962E89"/>
    <w:rsid w:val="00963E12"/>
    <w:rsid w:val="00964321"/>
    <w:rsid w:val="00965334"/>
    <w:rsid w:val="00967503"/>
    <w:rsid w:val="0097093E"/>
    <w:rsid w:val="0097157B"/>
    <w:rsid w:val="009722DE"/>
    <w:rsid w:val="009725F1"/>
    <w:rsid w:val="00974AD2"/>
    <w:rsid w:val="00974FFB"/>
    <w:rsid w:val="00980195"/>
    <w:rsid w:val="0098050D"/>
    <w:rsid w:val="00982BA2"/>
    <w:rsid w:val="00984DB3"/>
    <w:rsid w:val="00992E19"/>
    <w:rsid w:val="00995F6C"/>
    <w:rsid w:val="009A0486"/>
    <w:rsid w:val="009A0DFA"/>
    <w:rsid w:val="009A68F5"/>
    <w:rsid w:val="009B28B9"/>
    <w:rsid w:val="009B2D26"/>
    <w:rsid w:val="009B43BD"/>
    <w:rsid w:val="009B6100"/>
    <w:rsid w:val="009C1BEA"/>
    <w:rsid w:val="009C71FA"/>
    <w:rsid w:val="009C7269"/>
    <w:rsid w:val="009C72E7"/>
    <w:rsid w:val="009C7F7E"/>
    <w:rsid w:val="009D19F9"/>
    <w:rsid w:val="009D23F2"/>
    <w:rsid w:val="009D3058"/>
    <w:rsid w:val="009D777D"/>
    <w:rsid w:val="009E1F28"/>
    <w:rsid w:val="009E569B"/>
    <w:rsid w:val="009E6924"/>
    <w:rsid w:val="009E7AED"/>
    <w:rsid w:val="009F1AC7"/>
    <w:rsid w:val="009F3A13"/>
    <w:rsid w:val="009F4298"/>
    <w:rsid w:val="009F4B67"/>
    <w:rsid w:val="009F7A6E"/>
    <w:rsid w:val="00A0334B"/>
    <w:rsid w:val="00A0526C"/>
    <w:rsid w:val="00A111B4"/>
    <w:rsid w:val="00A122D3"/>
    <w:rsid w:val="00A14468"/>
    <w:rsid w:val="00A17F13"/>
    <w:rsid w:val="00A17F56"/>
    <w:rsid w:val="00A20739"/>
    <w:rsid w:val="00A20A19"/>
    <w:rsid w:val="00A23AF9"/>
    <w:rsid w:val="00A256B2"/>
    <w:rsid w:val="00A31A76"/>
    <w:rsid w:val="00A33C78"/>
    <w:rsid w:val="00A41A09"/>
    <w:rsid w:val="00A44B3F"/>
    <w:rsid w:val="00A53338"/>
    <w:rsid w:val="00A569E4"/>
    <w:rsid w:val="00A630BA"/>
    <w:rsid w:val="00A650BA"/>
    <w:rsid w:val="00A73F45"/>
    <w:rsid w:val="00A74A9E"/>
    <w:rsid w:val="00A74BFA"/>
    <w:rsid w:val="00A76F39"/>
    <w:rsid w:val="00A821FC"/>
    <w:rsid w:val="00A84233"/>
    <w:rsid w:val="00A875EB"/>
    <w:rsid w:val="00A87A69"/>
    <w:rsid w:val="00A91941"/>
    <w:rsid w:val="00A92973"/>
    <w:rsid w:val="00A92DFF"/>
    <w:rsid w:val="00A9377F"/>
    <w:rsid w:val="00AA1A94"/>
    <w:rsid w:val="00AA1E47"/>
    <w:rsid w:val="00AA7682"/>
    <w:rsid w:val="00AA786B"/>
    <w:rsid w:val="00AB0779"/>
    <w:rsid w:val="00AB0ADB"/>
    <w:rsid w:val="00AB0E06"/>
    <w:rsid w:val="00AB0F40"/>
    <w:rsid w:val="00AB27F6"/>
    <w:rsid w:val="00AB28BD"/>
    <w:rsid w:val="00AB436E"/>
    <w:rsid w:val="00AC10CB"/>
    <w:rsid w:val="00AC5F0C"/>
    <w:rsid w:val="00AD0BF7"/>
    <w:rsid w:val="00AD173A"/>
    <w:rsid w:val="00AD4F6A"/>
    <w:rsid w:val="00AD7D5F"/>
    <w:rsid w:val="00AE1F6E"/>
    <w:rsid w:val="00AE3513"/>
    <w:rsid w:val="00AE5D9D"/>
    <w:rsid w:val="00AE5DD2"/>
    <w:rsid w:val="00AF1348"/>
    <w:rsid w:val="00AF1444"/>
    <w:rsid w:val="00AF243C"/>
    <w:rsid w:val="00AF3E90"/>
    <w:rsid w:val="00AF44DC"/>
    <w:rsid w:val="00AF5A10"/>
    <w:rsid w:val="00AF7207"/>
    <w:rsid w:val="00AF74BD"/>
    <w:rsid w:val="00AF7B1D"/>
    <w:rsid w:val="00B00C0E"/>
    <w:rsid w:val="00B01B1A"/>
    <w:rsid w:val="00B04DA1"/>
    <w:rsid w:val="00B065B6"/>
    <w:rsid w:val="00B11075"/>
    <w:rsid w:val="00B16C3F"/>
    <w:rsid w:val="00B17770"/>
    <w:rsid w:val="00B234CF"/>
    <w:rsid w:val="00B3082B"/>
    <w:rsid w:val="00B30F45"/>
    <w:rsid w:val="00B358CD"/>
    <w:rsid w:val="00B36D0D"/>
    <w:rsid w:val="00B37907"/>
    <w:rsid w:val="00B37EB5"/>
    <w:rsid w:val="00B41B25"/>
    <w:rsid w:val="00B41CBC"/>
    <w:rsid w:val="00B43658"/>
    <w:rsid w:val="00B43C1D"/>
    <w:rsid w:val="00B446DD"/>
    <w:rsid w:val="00B44A47"/>
    <w:rsid w:val="00B44EF5"/>
    <w:rsid w:val="00B47F89"/>
    <w:rsid w:val="00B513EA"/>
    <w:rsid w:val="00B54271"/>
    <w:rsid w:val="00B5550F"/>
    <w:rsid w:val="00B56A37"/>
    <w:rsid w:val="00B6149C"/>
    <w:rsid w:val="00B64484"/>
    <w:rsid w:val="00B651D0"/>
    <w:rsid w:val="00B71758"/>
    <w:rsid w:val="00B71FD5"/>
    <w:rsid w:val="00B72CD3"/>
    <w:rsid w:val="00B72FFF"/>
    <w:rsid w:val="00B74092"/>
    <w:rsid w:val="00B80F53"/>
    <w:rsid w:val="00B93C91"/>
    <w:rsid w:val="00B94493"/>
    <w:rsid w:val="00B95DAC"/>
    <w:rsid w:val="00B97245"/>
    <w:rsid w:val="00BA037D"/>
    <w:rsid w:val="00BA23DC"/>
    <w:rsid w:val="00BA2EB9"/>
    <w:rsid w:val="00BA5C5D"/>
    <w:rsid w:val="00BA703D"/>
    <w:rsid w:val="00BB5C6B"/>
    <w:rsid w:val="00BC3502"/>
    <w:rsid w:val="00BC3D36"/>
    <w:rsid w:val="00BC4D35"/>
    <w:rsid w:val="00BC5D42"/>
    <w:rsid w:val="00BC70CB"/>
    <w:rsid w:val="00BD039D"/>
    <w:rsid w:val="00BD13AC"/>
    <w:rsid w:val="00BD2D5F"/>
    <w:rsid w:val="00BD44DD"/>
    <w:rsid w:val="00BD54A6"/>
    <w:rsid w:val="00BD62B1"/>
    <w:rsid w:val="00BD7F72"/>
    <w:rsid w:val="00BE2D4C"/>
    <w:rsid w:val="00BE5004"/>
    <w:rsid w:val="00BF056C"/>
    <w:rsid w:val="00BF3B66"/>
    <w:rsid w:val="00BF577F"/>
    <w:rsid w:val="00BF5878"/>
    <w:rsid w:val="00BF5C08"/>
    <w:rsid w:val="00BF7425"/>
    <w:rsid w:val="00C02035"/>
    <w:rsid w:val="00C030AE"/>
    <w:rsid w:val="00C04EAF"/>
    <w:rsid w:val="00C04FB3"/>
    <w:rsid w:val="00C07902"/>
    <w:rsid w:val="00C11D8B"/>
    <w:rsid w:val="00C12C3E"/>
    <w:rsid w:val="00C134D9"/>
    <w:rsid w:val="00C15150"/>
    <w:rsid w:val="00C1559F"/>
    <w:rsid w:val="00C2126D"/>
    <w:rsid w:val="00C22738"/>
    <w:rsid w:val="00C23010"/>
    <w:rsid w:val="00C245DB"/>
    <w:rsid w:val="00C24CC6"/>
    <w:rsid w:val="00C251B0"/>
    <w:rsid w:val="00C27072"/>
    <w:rsid w:val="00C31C21"/>
    <w:rsid w:val="00C330EB"/>
    <w:rsid w:val="00C401D3"/>
    <w:rsid w:val="00C419DF"/>
    <w:rsid w:val="00C41C0F"/>
    <w:rsid w:val="00C43126"/>
    <w:rsid w:val="00C50D69"/>
    <w:rsid w:val="00C5365C"/>
    <w:rsid w:val="00C55F75"/>
    <w:rsid w:val="00C575F3"/>
    <w:rsid w:val="00C61773"/>
    <w:rsid w:val="00C619D4"/>
    <w:rsid w:val="00C61D93"/>
    <w:rsid w:val="00C638F3"/>
    <w:rsid w:val="00C66CE2"/>
    <w:rsid w:val="00C70CC8"/>
    <w:rsid w:val="00C72D3A"/>
    <w:rsid w:val="00C73B36"/>
    <w:rsid w:val="00C74B7E"/>
    <w:rsid w:val="00C754BE"/>
    <w:rsid w:val="00C76B1C"/>
    <w:rsid w:val="00C779B9"/>
    <w:rsid w:val="00C81F01"/>
    <w:rsid w:val="00C82667"/>
    <w:rsid w:val="00C90C96"/>
    <w:rsid w:val="00C925AC"/>
    <w:rsid w:val="00C932A0"/>
    <w:rsid w:val="00C94828"/>
    <w:rsid w:val="00C94E45"/>
    <w:rsid w:val="00C963BE"/>
    <w:rsid w:val="00C96B64"/>
    <w:rsid w:val="00CA2858"/>
    <w:rsid w:val="00CA4757"/>
    <w:rsid w:val="00CB02F1"/>
    <w:rsid w:val="00CB2EF0"/>
    <w:rsid w:val="00CB6357"/>
    <w:rsid w:val="00CB72F3"/>
    <w:rsid w:val="00CC1B26"/>
    <w:rsid w:val="00CC57E1"/>
    <w:rsid w:val="00CC6871"/>
    <w:rsid w:val="00CC7CD2"/>
    <w:rsid w:val="00CD357C"/>
    <w:rsid w:val="00CD38D7"/>
    <w:rsid w:val="00CD48D4"/>
    <w:rsid w:val="00CD4C85"/>
    <w:rsid w:val="00CD7653"/>
    <w:rsid w:val="00CE02CC"/>
    <w:rsid w:val="00CE1317"/>
    <w:rsid w:val="00CE3C1C"/>
    <w:rsid w:val="00CE4026"/>
    <w:rsid w:val="00CE620D"/>
    <w:rsid w:val="00CF0FAB"/>
    <w:rsid w:val="00CF20D2"/>
    <w:rsid w:val="00CF2C32"/>
    <w:rsid w:val="00CF3E87"/>
    <w:rsid w:val="00CF57DF"/>
    <w:rsid w:val="00CF72D3"/>
    <w:rsid w:val="00CF7CCB"/>
    <w:rsid w:val="00D02F11"/>
    <w:rsid w:val="00D039B6"/>
    <w:rsid w:val="00D06146"/>
    <w:rsid w:val="00D0699E"/>
    <w:rsid w:val="00D1210B"/>
    <w:rsid w:val="00D15F2E"/>
    <w:rsid w:val="00D20BA7"/>
    <w:rsid w:val="00D21BBE"/>
    <w:rsid w:val="00D22D2B"/>
    <w:rsid w:val="00D334DD"/>
    <w:rsid w:val="00D33680"/>
    <w:rsid w:val="00D34EA3"/>
    <w:rsid w:val="00D361FD"/>
    <w:rsid w:val="00D36B0E"/>
    <w:rsid w:val="00D41F9F"/>
    <w:rsid w:val="00D423A2"/>
    <w:rsid w:val="00D42DCD"/>
    <w:rsid w:val="00D44E26"/>
    <w:rsid w:val="00D503DA"/>
    <w:rsid w:val="00D51A5D"/>
    <w:rsid w:val="00D520D8"/>
    <w:rsid w:val="00D532D4"/>
    <w:rsid w:val="00D56F8A"/>
    <w:rsid w:val="00D57121"/>
    <w:rsid w:val="00D62084"/>
    <w:rsid w:val="00D62B9C"/>
    <w:rsid w:val="00D63AC2"/>
    <w:rsid w:val="00D64111"/>
    <w:rsid w:val="00D646E5"/>
    <w:rsid w:val="00D64AFC"/>
    <w:rsid w:val="00D665D8"/>
    <w:rsid w:val="00D67061"/>
    <w:rsid w:val="00D734FF"/>
    <w:rsid w:val="00D7383B"/>
    <w:rsid w:val="00D73DBD"/>
    <w:rsid w:val="00D7482C"/>
    <w:rsid w:val="00D7541C"/>
    <w:rsid w:val="00D7788A"/>
    <w:rsid w:val="00D813E8"/>
    <w:rsid w:val="00D8385D"/>
    <w:rsid w:val="00D843F0"/>
    <w:rsid w:val="00D85F06"/>
    <w:rsid w:val="00D92B9C"/>
    <w:rsid w:val="00D936A2"/>
    <w:rsid w:val="00DA0D3C"/>
    <w:rsid w:val="00DA231B"/>
    <w:rsid w:val="00DB13F4"/>
    <w:rsid w:val="00DB4877"/>
    <w:rsid w:val="00DB55AC"/>
    <w:rsid w:val="00DB55DA"/>
    <w:rsid w:val="00DB7E67"/>
    <w:rsid w:val="00DC170A"/>
    <w:rsid w:val="00DC39FC"/>
    <w:rsid w:val="00DC61E7"/>
    <w:rsid w:val="00DC7CCB"/>
    <w:rsid w:val="00DD20D0"/>
    <w:rsid w:val="00DD3EFB"/>
    <w:rsid w:val="00DE04CF"/>
    <w:rsid w:val="00DE1F14"/>
    <w:rsid w:val="00DE32F3"/>
    <w:rsid w:val="00DE39BF"/>
    <w:rsid w:val="00DE46B5"/>
    <w:rsid w:val="00DE62C9"/>
    <w:rsid w:val="00DE6EC3"/>
    <w:rsid w:val="00DE7681"/>
    <w:rsid w:val="00DF4F7F"/>
    <w:rsid w:val="00DF5254"/>
    <w:rsid w:val="00E02524"/>
    <w:rsid w:val="00E1159D"/>
    <w:rsid w:val="00E129B7"/>
    <w:rsid w:val="00E138E0"/>
    <w:rsid w:val="00E1451E"/>
    <w:rsid w:val="00E15D38"/>
    <w:rsid w:val="00E16408"/>
    <w:rsid w:val="00E17288"/>
    <w:rsid w:val="00E177CE"/>
    <w:rsid w:val="00E20894"/>
    <w:rsid w:val="00E245AB"/>
    <w:rsid w:val="00E2546E"/>
    <w:rsid w:val="00E27341"/>
    <w:rsid w:val="00E2764C"/>
    <w:rsid w:val="00E27F2E"/>
    <w:rsid w:val="00E31225"/>
    <w:rsid w:val="00E35B64"/>
    <w:rsid w:val="00E41CFD"/>
    <w:rsid w:val="00E45702"/>
    <w:rsid w:val="00E501E7"/>
    <w:rsid w:val="00E50AFE"/>
    <w:rsid w:val="00E5426D"/>
    <w:rsid w:val="00E577E2"/>
    <w:rsid w:val="00E6080B"/>
    <w:rsid w:val="00E615C4"/>
    <w:rsid w:val="00E61DC2"/>
    <w:rsid w:val="00E6231A"/>
    <w:rsid w:val="00E631A5"/>
    <w:rsid w:val="00E66034"/>
    <w:rsid w:val="00E71E1B"/>
    <w:rsid w:val="00E72B83"/>
    <w:rsid w:val="00E75738"/>
    <w:rsid w:val="00E75870"/>
    <w:rsid w:val="00E75C92"/>
    <w:rsid w:val="00E771DC"/>
    <w:rsid w:val="00E83E4D"/>
    <w:rsid w:val="00E845C3"/>
    <w:rsid w:val="00E866E2"/>
    <w:rsid w:val="00E8772A"/>
    <w:rsid w:val="00E9035E"/>
    <w:rsid w:val="00E90F6B"/>
    <w:rsid w:val="00E91AED"/>
    <w:rsid w:val="00E92C27"/>
    <w:rsid w:val="00E96B5C"/>
    <w:rsid w:val="00EA0229"/>
    <w:rsid w:val="00EA0E3D"/>
    <w:rsid w:val="00EA2DC0"/>
    <w:rsid w:val="00EA3C37"/>
    <w:rsid w:val="00EA3DDA"/>
    <w:rsid w:val="00EA426C"/>
    <w:rsid w:val="00EA4E95"/>
    <w:rsid w:val="00EA59F1"/>
    <w:rsid w:val="00EA6D0E"/>
    <w:rsid w:val="00EA71E4"/>
    <w:rsid w:val="00EB224C"/>
    <w:rsid w:val="00EC006D"/>
    <w:rsid w:val="00EC23D8"/>
    <w:rsid w:val="00EC297F"/>
    <w:rsid w:val="00EC38A7"/>
    <w:rsid w:val="00EC5051"/>
    <w:rsid w:val="00EC5082"/>
    <w:rsid w:val="00ED0022"/>
    <w:rsid w:val="00ED4980"/>
    <w:rsid w:val="00EE0CEB"/>
    <w:rsid w:val="00EE1AA8"/>
    <w:rsid w:val="00EE265D"/>
    <w:rsid w:val="00EE3D99"/>
    <w:rsid w:val="00EE4E55"/>
    <w:rsid w:val="00EE7010"/>
    <w:rsid w:val="00EF1D4F"/>
    <w:rsid w:val="00EF3213"/>
    <w:rsid w:val="00EF5E13"/>
    <w:rsid w:val="00EF647F"/>
    <w:rsid w:val="00F00F5C"/>
    <w:rsid w:val="00F03314"/>
    <w:rsid w:val="00F0580C"/>
    <w:rsid w:val="00F06207"/>
    <w:rsid w:val="00F065F1"/>
    <w:rsid w:val="00F113D0"/>
    <w:rsid w:val="00F13BF9"/>
    <w:rsid w:val="00F220FE"/>
    <w:rsid w:val="00F22588"/>
    <w:rsid w:val="00F23FEA"/>
    <w:rsid w:val="00F27B7B"/>
    <w:rsid w:val="00F31EDC"/>
    <w:rsid w:val="00F34294"/>
    <w:rsid w:val="00F3754A"/>
    <w:rsid w:val="00F40F32"/>
    <w:rsid w:val="00F462B3"/>
    <w:rsid w:val="00F5071B"/>
    <w:rsid w:val="00F54CB4"/>
    <w:rsid w:val="00F55436"/>
    <w:rsid w:val="00F557E6"/>
    <w:rsid w:val="00F5664F"/>
    <w:rsid w:val="00F575AE"/>
    <w:rsid w:val="00F57DEE"/>
    <w:rsid w:val="00F60DC6"/>
    <w:rsid w:val="00F61DAA"/>
    <w:rsid w:val="00F6293F"/>
    <w:rsid w:val="00F666C4"/>
    <w:rsid w:val="00F66C25"/>
    <w:rsid w:val="00F76AFC"/>
    <w:rsid w:val="00F819E1"/>
    <w:rsid w:val="00F81BF0"/>
    <w:rsid w:val="00F82E88"/>
    <w:rsid w:val="00F85DF0"/>
    <w:rsid w:val="00F86E11"/>
    <w:rsid w:val="00F86E3E"/>
    <w:rsid w:val="00F95C74"/>
    <w:rsid w:val="00F961E1"/>
    <w:rsid w:val="00F96B5D"/>
    <w:rsid w:val="00FA347C"/>
    <w:rsid w:val="00FA47C0"/>
    <w:rsid w:val="00FA5FFD"/>
    <w:rsid w:val="00FB5DD1"/>
    <w:rsid w:val="00FB5F4F"/>
    <w:rsid w:val="00FB6EA8"/>
    <w:rsid w:val="00FC0444"/>
    <w:rsid w:val="00FC2B5D"/>
    <w:rsid w:val="00FD1DDC"/>
    <w:rsid w:val="00FD3AD2"/>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B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Fuerte">
    <w:name w:val="Strong"/>
    <w:basedOn w:val="Fuentedeprrafopredeter"/>
    <w:uiPriority w:val="22"/>
    <w:qFormat/>
    <w:rsid w:val="00F575AE"/>
    <w:rPr>
      <w:b/>
      <w:bCs/>
    </w:rPr>
  </w:style>
  <w:style w:type="character" w:customStyle="1" w:styleId="NormalWebCar">
    <w:name w:val="Normal (Web) Car"/>
    <w:link w:val="NormalWeb"/>
    <w:uiPriority w:val="99"/>
    <w:locked/>
    <w:rsid w:val="00F575AE"/>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F575AE"/>
    <w:rPr>
      <w:i/>
      <w:iCs/>
    </w:rPr>
  </w:style>
  <w:style w:type="character" w:styleId="Mencinsinresolver">
    <w:name w:val="Unresolved Mention"/>
    <w:basedOn w:val="Fuentedeprrafopredeter"/>
    <w:uiPriority w:val="99"/>
    <w:semiHidden/>
    <w:unhideWhenUsed/>
    <w:rsid w:val="008C5755"/>
    <w:rPr>
      <w:color w:val="605E5C"/>
      <w:shd w:val="clear" w:color="auto" w:fill="E1DFDD"/>
    </w:rPr>
  </w:style>
  <w:style w:type="character" w:styleId="Refdecomentario">
    <w:name w:val="annotation reference"/>
    <w:basedOn w:val="Fuentedeprrafopredeter"/>
    <w:uiPriority w:val="99"/>
    <w:semiHidden/>
    <w:unhideWhenUsed/>
    <w:rsid w:val="002735F7"/>
    <w:rPr>
      <w:sz w:val="16"/>
      <w:szCs w:val="16"/>
    </w:rPr>
  </w:style>
  <w:style w:type="paragraph" w:styleId="Textocomentario">
    <w:name w:val="annotation text"/>
    <w:basedOn w:val="Normal"/>
    <w:link w:val="TextocomentarioCar"/>
    <w:uiPriority w:val="99"/>
    <w:unhideWhenUsed/>
    <w:rsid w:val="002735F7"/>
    <w:pPr>
      <w:spacing w:line="240" w:lineRule="auto"/>
    </w:pPr>
    <w:rPr>
      <w:sz w:val="20"/>
      <w:szCs w:val="20"/>
    </w:rPr>
  </w:style>
  <w:style w:type="character" w:customStyle="1" w:styleId="TextocomentarioCar">
    <w:name w:val="Texto comentario Car"/>
    <w:basedOn w:val="Fuentedeprrafopredeter"/>
    <w:link w:val="Textocomentario"/>
    <w:uiPriority w:val="99"/>
    <w:rsid w:val="002735F7"/>
    <w:rPr>
      <w:sz w:val="20"/>
      <w:szCs w:val="20"/>
    </w:rPr>
  </w:style>
  <w:style w:type="paragraph" w:styleId="Asuntodelcomentario">
    <w:name w:val="annotation subject"/>
    <w:basedOn w:val="Textocomentario"/>
    <w:next w:val="Textocomentario"/>
    <w:link w:val="AsuntodelcomentarioCar"/>
    <w:uiPriority w:val="99"/>
    <w:semiHidden/>
    <w:unhideWhenUsed/>
    <w:rsid w:val="002735F7"/>
    <w:rPr>
      <w:b/>
      <w:bCs/>
    </w:rPr>
  </w:style>
  <w:style w:type="character" w:customStyle="1" w:styleId="AsuntodelcomentarioCar">
    <w:name w:val="Asunto del comentario Car"/>
    <w:basedOn w:val="TextocomentarioCar"/>
    <w:link w:val="Asuntodelcomentario"/>
    <w:uiPriority w:val="99"/>
    <w:semiHidden/>
    <w:rsid w:val="00273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olombiacompra.gov.co/archivos/circular/circular-externa-003-de-202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ventanilladeradicacion@colombiacompra.gov.co" TargetMode="External"/><Relationship Id="rId7" Type="http://schemas.openxmlformats.org/officeDocument/2006/relationships/settings" Target="settings.xml"/><Relationship Id="rId12" Type="http://schemas.openxmlformats.org/officeDocument/2006/relationships/hyperlink" Target="mailto:amgonzalezt@desarrolloeconomico.gov.co" TargetMode="External"/><Relationship Id="rId17" Type="http://schemas.openxmlformats.org/officeDocument/2006/relationships/hyperlink" Target="https://www.colombiacompra.gov.co/archivos/manual/guia-de-garantias-en-procesos-de-contratac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lombiacompra.gov.co/normativa-y-relatoria/conoce-la-relatoria" TargetMode="External"/><Relationship Id="rId20" Type="http://schemas.openxmlformats.org/officeDocument/2006/relationships/hyperlink" Target="https://www.colombiacompra.gov.co/archivos/boletin/boletin-edicion-n-3-de-2026-radar-de-la-compra-publi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forms.office.com/r/pPHyWVs2SZ"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olombiacompra.gov.co/archivos/circular/circular-externa-002-de-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olombiacompra.gov.co/pqrsd/informacion-importante-antes-de-formular-una-pqrsd"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search.yahoo.com/_ylt=AwrjixDCxn1qbQIA7Fmrcgx.;_ylu=Y29sbwNiZjEEcG9zAzEEdnRpZAMEc2VjA3Ny/RV=2/RE=1787837379/RO=10/RU=https%3a%2f%2fcolombiacompra.gov.co%2fwp-content%2fuploads%2f2025%2f08%2fGuia-para-la-elaboracion-de-estudios-del-sector-Original-Firmado.pdf/RK=2/RS=m1icBF6BNGeK1Dub.gqhy6DTMk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D7AA2-1C8F-471C-8355-18073CB70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E8E21-5770-4F3E-B957-A333756C0F50}">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20</TotalTime>
  <Pages>27</Pages>
  <Words>8976</Words>
  <Characters>49369</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19</cp:revision>
  <cp:lastPrinted>2023-01-10T21:18:00Z</cp:lastPrinted>
  <dcterms:created xsi:type="dcterms:W3CDTF">2026-08-14T16:11:00Z</dcterms:created>
  <dcterms:modified xsi:type="dcterms:W3CDTF">2026-08-18T14:39:00Z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