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27C2" w14:textId="77777777" w:rsidR="00113C9D" w:rsidRPr="001F57FC" w:rsidRDefault="00113C9D" w:rsidP="00113C9D">
      <w:pPr>
        <w:spacing w:after="0" w:line="276" w:lineRule="auto"/>
        <w:jc w:val="both"/>
        <w:rPr>
          <w:rFonts w:ascii="Verdana" w:eastAsia="Calibri" w:hAnsi="Verdana" w:cs="Arial"/>
          <w:b/>
          <w:bCs/>
          <w:kern w:val="2"/>
          <w:lang w:val="es-ES_tradnl" w:eastAsia="es-MX"/>
          <w14:ligatures w14:val="standardContextual"/>
        </w:rPr>
      </w:pPr>
      <w:bookmarkStart w:id="0" w:name="_Hlk143780582"/>
      <w:r w:rsidRPr="001F57FC">
        <w:rPr>
          <w:rFonts w:ascii="Verdana" w:eastAsia="Calibri" w:hAnsi="Verdana" w:cs="Arial"/>
          <w:b/>
          <w:bCs/>
          <w:kern w:val="2"/>
          <w:lang w:val="es-ES_tradnl" w:eastAsia="es-MX"/>
          <w14:ligatures w14:val="standardContextual"/>
        </w:rPr>
        <w:t xml:space="preserve">DOCUMENTOS TIPO – Fundamento normativo – Obligatoriedad </w:t>
      </w:r>
    </w:p>
    <w:p w14:paraId="72FD01CF" w14:textId="77777777" w:rsidR="00113C9D" w:rsidRPr="001F57FC" w:rsidRDefault="00113C9D" w:rsidP="00113C9D">
      <w:pPr>
        <w:spacing w:after="0" w:line="276" w:lineRule="auto"/>
        <w:jc w:val="both"/>
        <w:rPr>
          <w:rFonts w:ascii="Verdana" w:eastAsia="Calibri" w:hAnsi="Verdana" w:cs="Arial"/>
          <w:b/>
          <w:bCs/>
          <w:kern w:val="2"/>
          <w:sz w:val="20"/>
          <w:szCs w:val="20"/>
          <w:lang w:val="es-ES_tradnl" w:eastAsia="es-MX"/>
          <w14:ligatures w14:val="standardContextual"/>
        </w:rPr>
      </w:pPr>
    </w:p>
    <w:p w14:paraId="6F3B5536" w14:textId="77777777" w:rsidR="00113C9D" w:rsidRPr="001F57FC" w:rsidRDefault="00113C9D" w:rsidP="00113C9D">
      <w:pPr>
        <w:tabs>
          <w:tab w:val="left" w:pos="709"/>
        </w:tabs>
        <w:spacing w:after="0" w:line="240" w:lineRule="auto"/>
        <w:jc w:val="both"/>
        <w:rPr>
          <w:rFonts w:ascii="Verdana" w:eastAsia="Calibri" w:hAnsi="Verdana" w:cs="Arial"/>
          <w:kern w:val="2"/>
          <w:sz w:val="20"/>
          <w:szCs w:val="20"/>
          <w:lang w:val="es-ES" w:eastAsia="es-MX"/>
          <w14:ligatures w14:val="standardContextual"/>
        </w:rPr>
      </w:pPr>
      <w:r w:rsidRPr="001F57FC">
        <w:rPr>
          <w:rFonts w:ascii="Verdana" w:eastAsia="Calibri" w:hAnsi="Verdana" w:cs="Arial"/>
          <w:kern w:val="2"/>
          <w:sz w:val="20"/>
          <w:szCs w:val="20"/>
          <w:lang w:val="es-ES" w:eastAsia="es-MX"/>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5240F1ED" w14:textId="77777777" w:rsidR="00113C9D" w:rsidRPr="001F57FC" w:rsidRDefault="00113C9D" w:rsidP="00113C9D">
      <w:pPr>
        <w:spacing w:after="0" w:line="276" w:lineRule="auto"/>
        <w:jc w:val="both"/>
        <w:rPr>
          <w:rFonts w:ascii="Verdana" w:eastAsia="Calibri" w:hAnsi="Verdana" w:cs="Arial"/>
          <w:b/>
          <w:bCs/>
          <w:kern w:val="2"/>
          <w:sz w:val="24"/>
          <w:szCs w:val="24"/>
          <w:lang w:val="es-ES_tradnl" w:eastAsia="es-MX"/>
          <w14:ligatures w14:val="standardContextual"/>
        </w:rPr>
      </w:pPr>
    </w:p>
    <w:p w14:paraId="208DEDF0" w14:textId="77777777" w:rsidR="00113C9D" w:rsidRPr="001F57FC" w:rsidRDefault="00113C9D" w:rsidP="00113C9D">
      <w:pPr>
        <w:widowControl w:val="0"/>
        <w:autoSpaceDE w:val="0"/>
        <w:autoSpaceDN w:val="0"/>
        <w:spacing w:after="0" w:line="276" w:lineRule="auto"/>
        <w:jc w:val="both"/>
        <w:rPr>
          <w:rFonts w:ascii="Verdana" w:eastAsia="Calibri" w:hAnsi="Verdana" w:cs="Times New Roman"/>
          <w:b/>
          <w:bCs/>
          <w:kern w:val="2"/>
          <w:sz w:val="24"/>
          <w:szCs w:val="24"/>
          <w:lang w:val="es-ES" w:eastAsia="es-MX"/>
          <w14:ligatures w14:val="standardContextual"/>
        </w:rPr>
      </w:pPr>
      <w:r w:rsidRPr="00B91265">
        <w:rPr>
          <w:rFonts w:ascii="Verdana" w:eastAsia="Calibri" w:hAnsi="Verdana" w:cs="Arial"/>
          <w:b/>
          <w:bCs/>
          <w:kern w:val="2"/>
          <w:lang w:eastAsia="es-MX"/>
          <w14:ligatures w14:val="standardContextual"/>
        </w:rPr>
        <w:t xml:space="preserve">DOCUMENTOS TIPO – Infraestructura de Transporte – Selección Abreviada de Menor Cuantía – Matriz 1 Experiencia – Alcantarillado – Infraestructura Vial – Alcance del Objeto Contractual </w:t>
      </w:r>
    </w:p>
    <w:p w14:paraId="7FEDC5AF" w14:textId="77777777" w:rsidR="00113C9D" w:rsidRPr="00B91265" w:rsidRDefault="00113C9D" w:rsidP="00113C9D">
      <w:pPr>
        <w:spacing w:before="120" w:after="120" w:line="240" w:lineRule="auto"/>
        <w:jc w:val="both"/>
        <w:rPr>
          <w:rFonts w:ascii="Verdana" w:hAnsi="Verdana"/>
          <w:sz w:val="20"/>
          <w:szCs w:val="20"/>
          <w:lang w:val="es-ES"/>
        </w:rPr>
      </w:pPr>
      <w:r w:rsidRPr="00B91265">
        <w:rPr>
          <w:rFonts w:ascii="Verdana" w:hAnsi="Verdana"/>
          <w:sz w:val="20"/>
          <w:szCs w:val="20"/>
        </w:rPr>
        <w:t xml:space="preserve">Ahora bien, </w:t>
      </w:r>
      <w:r w:rsidRPr="00B91265">
        <w:rPr>
          <w:rFonts w:ascii="Verdana" w:hAnsi="Verdana"/>
          <w:sz w:val="20"/>
          <w:szCs w:val="20"/>
          <w:lang w:val="es-ES"/>
        </w:rPr>
        <w:t>conforme a la consulta planteada, se menciona que el proyecto contempla como parte de su alcance la construcción o reposición de redes de alcantarillado urbano asociadas a una vía, así como la construcción de un tramo de vía en concreto rígido para restablecer la infraestructura vial intervenida. En ese sentido, resulta necesario determinar si las actividades que integran el objeto contractual corresponden a alguna de las contempladas en la “Matriz 1 – Experiencia” de los Documentos Tipo de infraestructura de transporte. De ser así, el proceso podría encontrarse dentro del ámbito de aplicación de la Resolución 463 de 2024, “Por la cual se adopta la versión -3- de los Documentos Tipo para los procesos de selección abreviada de menor cuantía de obra pública de infraestructura de transporte y se deroga la Resolución 241 de 2020”, siempre que se cumplan los demás presupuestos establecidos para su aplicación.</w:t>
      </w:r>
    </w:p>
    <w:p w14:paraId="5FC5BEF0" w14:textId="77777777" w:rsidR="00113C9D" w:rsidRPr="00B91265" w:rsidRDefault="00113C9D" w:rsidP="00113C9D">
      <w:pPr>
        <w:spacing w:before="120" w:after="120" w:line="240" w:lineRule="auto"/>
        <w:jc w:val="both"/>
        <w:rPr>
          <w:rFonts w:ascii="Verdana" w:hAnsi="Verdana"/>
          <w:sz w:val="20"/>
          <w:szCs w:val="20"/>
        </w:rPr>
      </w:pPr>
      <w:r w:rsidRPr="00B91265">
        <w:rPr>
          <w:rFonts w:ascii="Verdana" w:hAnsi="Verdana"/>
          <w:sz w:val="20"/>
          <w:szCs w:val="20"/>
        </w:rPr>
        <w:t>Le corresponde a la entidad estatal, de acuerdo con las condiciones particulares del proyecto y con fundamento en los estudios y documentos que soportan la planeación del proceso, identificar las actividades que integran el objeto contractual, establecer su relación y relevancia dentro del alcance integral de la obra y verificar si estas se encuentran comprendidas en la “Matriz 1 – Experiencia” de los Documentos Tipo para los procesos de selección abreviada de menor cuantía de obra pública de infraestructura de transporte. A partir de este análisis, deberá determinar si el proyecto se encuentra dentro del ámbito de aplicación de los Documentos Tipo expedidos por la Agencia.</w:t>
      </w:r>
    </w:p>
    <w:p w14:paraId="403ADA79"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2CDC3344"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16A79358"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35CC5011"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7A285F62"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79E0302E"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28A53F09"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66700C84"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739D1265"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6BD7A2DA"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4A8F7044" w14:textId="77777777" w:rsidR="00113C9D" w:rsidRDefault="00113C9D" w:rsidP="00113C9D">
      <w:pPr>
        <w:spacing w:after="0" w:line="240" w:lineRule="auto"/>
        <w:jc w:val="both"/>
        <w:rPr>
          <w:rFonts w:ascii="Verdana" w:eastAsia="Calibri" w:hAnsi="Verdana" w:cs="Times New Roman"/>
          <w:b/>
          <w:bCs/>
          <w:kern w:val="2"/>
          <w:lang w:val="es-ES" w:eastAsia="es-MX"/>
          <w14:ligatures w14:val="standardContextual"/>
        </w:rPr>
      </w:pPr>
    </w:p>
    <w:p w14:paraId="26C40873" w14:textId="77777777" w:rsidR="00113C9D" w:rsidRPr="001F57FC" w:rsidRDefault="00113C9D" w:rsidP="00113C9D">
      <w:pPr>
        <w:spacing w:after="0" w:line="240" w:lineRule="auto"/>
        <w:jc w:val="both"/>
        <w:rPr>
          <w:rFonts w:ascii="Verdana" w:eastAsia="Calibri" w:hAnsi="Verdana" w:cs="Arial"/>
          <w:b/>
          <w:bCs/>
          <w:color w:val="000000"/>
          <w:sz w:val="24"/>
          <w:szCs w:val="24"/>
          <w:lang w:eastAsia="es-MX"/>
        </w:rPr>
      </w:pPr>
    </w:p>
    <w:p w14:paraId="4984F513" w14:textId="33B64D8B" w:rsidR="00113C9D" w:rsidRPr="006E58BB" w:rsidRDefault="003D6CF3" w:rsidP="00113C9D">
      <w:pPr>
        <w:spacing w:after="0"/>
        <w:rPr>
          <w:rFonts w:ascii="Verdana" w:hAnsi="Verdana"/>
        </w:rPr>
      </w:pPr>
      <w:r w:rsidRPr="003D6CF3">
        <w:rPr>
          <w:rFonts w:ascii="Verdana" w:hAnsi="Verdana"/>
        </w:rPr>
        <w:lastRenderedPageBreak/>
        <w:t>Bogotá D.C, 13 Agosto 2026</w:t>
      </w:r>
    </w:p>
    <w:p w14:paraId="0CBAB6D1" w14:textId="6E46B259" w:rsidR="00113C9D" w:rsidRPr="006E58BB" w:rsidRDefault="008D0F4B" w:rsidP="00113C9D">
      <w:pPr>
        <w:spacing w:after="0"/>
        <w:rPr>
          <w:rFonts w:ascii="Verdana" w:hAnsi="Verdana"/>
        </w:rPr>
      </w:pPr>
      <w:r w:rsidRPr="008D0F4B">
        <w:rPr>
          <w:rFonts w:ascii="Verdana" w:eastAsia="Calibri" w:hAnsi="Verdana" w:cs="Arial"/>
          <w:lang w:val="es-ES" w:eastAsia="es-ES"/>
        </w:rPr>
        <w:drawing>
          <wp:anchor distT="0" distB="0" distL="114300" distR="114300" simplePos="0" relativeHeight="251658240" behindDoc="0" locked="0" layoutInCell="1" allowOverlap="1" wp14:anchorId="611318E8" wp14:editId="4F43B480">
            <wp:simplePos x="0" y="0"/>
            <wp:positionH relativeFrom="margin">
              <wp:posOffset>3233420</wp:posOffset>
            </wp:positionH>
            <wp:positionV relativeFrom="margin">
              <wp:posOffset>280035</wp:posOffset>
            </wp:positionV>
            <wp:extent cx="2552700" cy="781050"/>
            <wp:effectExtent l="0" t="0" r="0" b="0"/>
            <wp:wrapSquare wrapText="bothSides"/>
            <wp:docPr id="168643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3560" name=""/>
                    <pic:cNvPicPr/>
                  </pic:nvPicPr>
                  <pic:blipFill>
                    <a:blip r:embed="rId10">
                      <a:extLst>
                        <a:ext uri="{28A0092B-C50C-407E-A947-70E740481C1C}">
                          <a14:useLocalDpi xmlns:a14="http://schemas.microsoft.com/office/drawing/2010/main" val="0"/>
                        </a:ext>
                      </a:extLst>
                    </a:blip>
                    <a:stretch>
                      <a:fillRect/>
                    </a:stretch>
                  </pic:blipFill>
                  <pic:spPr>
                    <a:xfrm>
                      <a:off x="0" y="0"/>
                      <a:ext cx="2552700" cy="781050"/>
                    </a:xfrm>
                    <a:prstGeom prst="rect">
                      <a:avLst/>
                    </a:prstGeom>
                  </pic:spPr>
                </pic:pic>
              </a:graphicData>
            </a:graphic>
          </wp:anchor>
        </w:drawing>
      </w:r>
    </w:p>
    <w:p w14:paraId="72042C64" w14:textId="66F8B50D" w:rsidR="00113C9D" w:rsidRPr="004E16E3" w:rsidRDefault="00113C9D" w:rsidP="00113C9D">
      <w:pPr>
        <w:spacing w:after="0" w:line="276" w:lineRule="auto"/>
        <w:rPr>
          <w:rFonts w:ascii="Verdana" w:eastAsia="Calibri" w:hAnsi="Verdana" w:cs="Arial"/>
          <w:lang w:val="es-ES" w:eastAsia="es-ES"/>
        </w:rPr>
      </w:pPr>
      <w:r w:rsidRPr="004E16E3">
        <w:rPr>
          <w:rFonts w:ascii="Verdana" w:eastAsia="Calibri" w:hAnsi="Verdana" w:cs="Arial"/>
          <w:lang w:val="es-ES" w:eastAsia="es-ES"/>
        </w:rPr>
        <w:t>Señor</w:t>
      </w:r>
    </w:p>
    <w:p w14:paraId="2527E893" w14:textId="77777777" w:rsidR="00113C9D" w:rsidRPr="00113C9D" w:rsidRDefault="00113C9D" w:rsidP="00113C9D">
      <w:pPr>
        <w:spacing w:after="0" w:line="276" w:lineRule="auto"/>
        <w:rPr>
          <w:rFonts w:ascii="Verdana" w:eastAsia="Calibri" w:hAnsi="Verdana" w:cs="Arial"/>
          <w:b/>
          <w:bCs/>
          <w:lang w:val="es-ES" w:eastAsia="es-ES"/>
        </w:rPr>
      </w:pPr>
      <w:r w:rsidRPr="00113C9D">
        <w:rPr>
          <w:rFonts w:ascii="Verdana" w:eastAsia="Calibri" w:hAnsi="Verdana" w:cs="Arial"/>
          <w:b/>
          <w:bCs/>
          <w:lang w:val="es-ES" w:eastAsia="es-ES"/>
        </w:rPr>
        <w:t>Daniel Esteban Benitez Guerrero</w:t>
      </w:r>
    </w:p>
    <w:p w14:paraId="071206A1" w14:textId="77777777" w:rsidR="00113C9D" w:rsidRPr="004E16E3" w:rsidRDefault="00113C9D" w:rsidP="00113C9D">
      <w:pPr>
        <w:spacing w:after="0" w:line="276" w:lineRule="auto"/>
        <w:rPr>
          <w:rFonts w:ascii="Verdana" w:hAnsi="Verdana"/>
        </w:rPr>
      </w:pPr>
      <w:hyperlink r:id="rId11" w:history="1">
        <w:r w:rsidRPr="004E16E3">
          <w:rPr>
            <w:rStyle w:val="Hipervnculo"/>
            <w:rFonts w:ascii="Verdana" w:hAnsi="Verdana"/>
          </w:rPr>
          <w:t>daniel.benitez@uptc.edu.co</w:t>
        </w:r>
      </w:hyperlink>
    </w:p>
    <w:p w14:paraId="5994FCF1" w14:textId="77777777" w:rsidR="00113C9D" w:rsidRPr="004E16E3" w:rsidRDefault="00113C9D" w:rsidP="00113C9D">
      <w:pPr>
        <w:spacing w:after="0" w:line="276" w:lineRule="auto"/>
        <w:rPr>
          <w:rFonts w:ascii="Verdana" w:hAnsi="Verdana"/>
        </w:rPr>
      </w:pPr>
      <w:r w:rsidRPr="004E16E3">
        <w:rPr>
          <w:rFonts w:ascii="Verdana" w:hAnsi="Verdana"/>
        </w:rPr>
        <w:t>Tunja, Boyacá</w:t>
      </w:r>
    </w:p>
    <w:p w14:paraId="43B89B11" w14:textId="77777777" w:rsidR="00113C9D" w:rsidRPr="007E53B7" w:rsidRDefault="00113C9D" w:rsidP="00113C9D">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5972"/>
      </w:tblGrid>
      <w:tr w:rsidR="00113C9D" w:rsidRPr="007E53B7" w14:paraId="5D0CECA0" w14:textId="77777777" w:rsidTr="00113C9D">
        <w:trPr>
          <w:trHeight w:val="463"/>
        </w:trPr>
        <w:tc>
          <w:tcPr>
            <w:tcW w:w="3261" w:type="dxa"/>
          </w:tcPr>
          <w:p w14:paraId="1C21BC23" w14:textId="77777777" w:rsidR="00113C9D" w:rsidRPr="007E53B7" w:rsidRDefault="00113C9D" w:rsidP="00113C9D">
            <w:pPr>
              <w:spacing w:line="276" w:lineRule="auto"/>
              <w:jc w:val="both"/>
              <w:rPr>
                <w:rFonts w:ascii="Verdana" w:eastAsia="Calibri" w:hAnsi="Verdana" w:cs="Arial"/>
                <w:b/>
                <w:bCs/>
                <w:color w:val="66CCFF"/>
                <w:lang w:val="es-ES_tradnl" w:eastAsia="es-ES_tradnl"/>
              </w:rPr>
            </w:pPr>
          </w:p>
        </w:tc>
        <w:tc>
          <w:tcPr>
            <w:tcW w:w="5972" w:type="dxa"/>
            <w:hideMark/>
          </w:tcPr>
          <w:p w14:paraId="553B3FD7" w14:textId="77777777" w:rsidR="00113C9D" w:rsidRPr="00DF2EA7" w:rsidRDefault="00113C9D" w:rsidP="00113C9D">
            <w:pPr>
              <w:spacing w:line="276" w:lineRule="auto"/>
              <w:jc w:val="both"/>
              <w:rPr>
                <w:rFonts w:ascii="Verdana" w:eastAsia="Calibri" w:hAnsi="Verdana" w:cs="Arial"/>
                <w:b/>
                <w:bCs/>
                <w:lang w:val="es-ES" w:eastAsia="es-ES"/>
              </w:rPr>
            </w:pPr>
            <w:r>
              <w:rPr>
                <w:rFonts w:ascii="Verdana" w:eastAsia="Calibri" w:hAnsi="Verdana" w:cs="Arial"/>
                <w:b/>
                <w:bCs/>
                <w:lang w:val="es-ES" w:eastAsia="es-ES"/>
              </w:rPr>
              <w:t>C</w:t>
            </w:r>
            <w:r w:rsidRPr="00DF2EA7">
              <w:rPr>
                <w:rFonts w:ascii="Verdana" w:eastAsia="Calibri" w:hAnsi="Verdana" w:cs="Arial"/>
                <w:b/>
                <w:bCs/>
                <w:lang w:val="es-ES" w:eastAsia="es-ES"/>
              </w:rPr>
              <w:t xml:space="preserve">oncepto C – </w:t>
            </w:r>
            <w:r>
              <w:rPr>
                <w:rFonts w:ascii="Verdana" w:eastAsia="Calibri" w:hAnsi="Verdana" w:cs="Arial"/>
                <w:b/>
                <w:bCs/>
                <w:lang w:val="es-ES" w:eastAsia="es-ES"/>
              </w:rPr>
              <w:t xml:space="preserve">1059 </w:t>
            </w:r>
            <w:r w:rsidRPr="00DF2EA7">
              <w:rPr>
                <w:rFonts w:ascii="Verdana" w:eastAsia="Calibri" w:hAnsi="Verdana" w:cs="Arial"/>
                <w:b/>
                <w:bCs/>
                <w:lang w:val="es-ES" w:eastAsia="es-ES"/>
              </w:rPr>
              <w:t>de 2026</w:t>
            </w:r>
          </w:p>
        </w:tc>
      </w:tr>
      <w:tr w:rsidR="00113C9D" w:rsidRPr="00CC7242" w14:paraId="142A4DD3" w14:textId="77777777" w:rsidTr="00113C9D">
        <w:trPr>
          <w:trHeight w:val="1605"/>
        </w:trPr>
        <w:tc>
          <w:tcPr>
            <w:tcW w:w="3261" w:type="dxa"/>
            <w:hideMark/>
          </w:tcPr>
          <w:p w14:paraId="53DEA7F1" w14:textId="77777777" w:rsidR="00113C9D" w:rsidRPr="00A11AA2" w:rsidRDefault="00113C9D" w:rsidP="00113C9D">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5972" w:type="dxa"/>
          </w:tcPr>
          <w:p w14:paraId="1FDD9F05" w14:textId="77777777" w:rsidR="00113C9D" w:rsidRPr="00B91265" w:rsidRDefault="00113C9D" w:rsidP="00113C9D">
            <w:pPr>
              <w:spacing w:line="276" w:lineRule="auto"/>
              <w:jc w:val="both"/>
              <w:rPr>
                <w:rFonts w:ascii="Verdana" w:eastAsia="Calibri" w:hAnsi="Verdana" w:cs="Arial"/>
                <w:kern w:val="2"/>
                <w:lang w:val="es-ES_tradnl" w:eastAsia="es-MX"/>
                <w14:ligatures w14:val="standardContextual"/>
              </w:rPr>
            </w:pPr>
            <w:r w:rsidRPr="00B91265">
              <w:rPr>
                <w:rFonts w:ascii="Verdana" w:eastAsia="Calibri" w:hAnsi="Verdana" w:cs="Arial"/>
                <w:kern w:val="2"/>
                <w:lang w:val="es-ES_tradnl" w:eastAsia="es-MX"/>
                <w14:ligatures w14:val="standardContextual"/>
              </w:rPr>
              <w:t xml:space="preserve">DOCUMENTOS TIPO – Fundamento normativo – Obligatoriedad / </w:t>
            </w:r>
            <w:r w:rsidRPr="00B91265">
              <w:rPr>
                <w:rFonts w:ascii="Verdana" w:eastAsia="Calibri" w:hAnsi="Verdana" w:cs="Arial"/>
                <w:kern w:val="2"/>
                <w:lang w:eastAsia="es-MX"/>
                <w14:ligatures w14:val="standardContextual"/>
              </w:rPr>
              <w:t>DOCUMENTOS TIPO – Infraestructura de Transporte – Selección Abreviada de Menor Cuantía – Matriz 1 Experiencia – Alcantarillado – Infraestructura Vial – Alcance del Objeto Contractual.</w:t>
            </w:r>
          </w:p>
        </w:tc>
      </w:tr>
      <w:tr w:rsidR="00113C9D" w:rsidRPr="00724695" w14:paraId="2ACAF8CB" w14:textId="77777777" w:rsidTr="00113C9D">
        <w:trPr>
          <w:trHeight w:val="597"/>
        </w:trPr>
        <w:tc>
          <w:tcPr>
            <w:tcW w:w="3261" w:type="dxa"/>
            <w:hideMark/>
          </w:tcPr>
          <w:p w14:paraId="35F84450" w14:textId="77777777" w:rsidR="00113C9D" w:rsidRPr="008C5E3B" w:rsidRDefault="00113C9D" w:rsidP="00113C9D">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5972" w:type="dxa"/>
          </w:tcPr>
          <w:p w14:paraId="10616E6F" w14:textId="77777777" w:rsidR="00113C9D" w:rsidRPr="004E16E3" w:rsidRDefault="00113C9D" w:rsidP="00113C9D">
            <w:pPr>
              <w:spacing w:line="276" w:lineRule="auto"/>
              <w:jc w:val="both"/>
              <w:rPr>
                <w:rFonts w:ascii="Verdana" w:eastAsia="Calibri" w:hAnsi="Verdana" w:cs="Arial"/>
                <w:bCs/>
                <w:lang w:val="es-ES" w:eastAsia="es-ES_tradnl"/>
              </w:rPr>
            </w:pPr>
            <w:r w:rsidRPr="00724695">
              <w:rPr>
                <w:rFonts w:ascii="Verdana" w:eastAsia="Calibri" w:hAnsi="Verdana" w:cs="Arial"/>
                <w:bCs/>
                <w:lang w:val="es-ES_tradnl" w:eastAsia="es-ES_tradnl"/>
              </w:rPr>
              <w:t xml:space="preserve">Respuesta a consulta con radicado </w:t>
            </w:r>
            <w:r w:rsidRPr="00724695">
              <w:rPr>
                <w:rFonts w:ascii="Verdana" w:eastAsia="Calibri" w:hAnsi="Verdana" w:cs="Arial"/>
                <w:bCs/>
                <w:lang w:eastAsia="es-ES_tradnl"/>
              </w:rPr>
              <w:t xml:space="preserve">No. </w:t>
            </w:r>
            <w:r w:rsidRPr="00A55FA2">
              <w:rPr>
                <w:rFonts w:ascii="Verdana" w:eastAsia="Calibri" w:hAnsi="Verdana" w:cs="Arial"/>
                <w:bCs/>
                <w:lang w:eastAsia="es-ES_tradnl"/>
              </w:rPr>
              <w:t>1</w:t>
            </w:r>
            <w:r w:rsidRPr="004E16E3">
              <w:rPr>
                <w:rFonts w:ascii="Verdana" w:eastAsia="Calibri" w:hAnsi="Verdana" w:cs="Arial"/>
                <w:bCs/>
                <w:lang w:val="es-ES" w:eastAsia="es-ES_tradnl"/>
              </w:rPr>
              <w:t>_2026_07_02_008856</w:t>
            </w:r>
          </w:p>
          <w:p w14:paraId="04D642BD" w14:textId="77777777" w:rsidR="00113C9D" w:rsidRPr="00724695" w:rsidRDefault="00113C9D" w:rsidP="00113C9D">
            <w:pPr>
              <w:spacing w:line="276" w:lineRule="auto"/>
              <w:jc w:val="both"/>
              <w:rPr>
                <w:rFonts w:ascii="Verdana" w:eastAsia="Calibri" w:hAnsi="Verdana" w:cs="Arial"/>
                <w:bCs/>
                <w:lang w:val="es-ES_tradnl" w:eastAsia="es-ES_tradnl"/>
              </w:rPr>
            </w:pPr>
          </w:p>
        </w:tc>
      </w:tr>
    </w:tbl>
    <w:p w14:paraId="47B75D0F" w14:textId="77777777" w:rsidR="00113C9D" w:rsidRPr="00AB5C52" w:rsidRDefault="00113C9D" w:rsidP="00113C9D">
      <w:pPr>
        <w:spacing w:after="0" w:line="276" w:lineRule="auto"/>
        <w:jc w:val="both"/>
        <w:rPr>
          <w:rFonts w:ascii="Verdana" w:eastAsia="Calibri" w:hAnsi="Verdana" w:cs="Arial"/>
          <w:bCs/>
          <w:lang w:val="es-ES_tradnl" w:eastAsia="es-ES_tradnl"/>
        </w:rPr>
      </w:pPr>
    </w:p>
    <w:p w14:paraId="6079F611" w14:textId="77777777" w:rsidR="00113C9D" w:rsidRPr="009B1BD0" w:rsidRDefault="00113C9D" w:rsidP="00113C9D">
      <w:pPr>
        <w:spacing w:after="0" w:line="276" w:lineRule="auto"/>
        <w:jc w:val="both"/>
        <w:rPr>
          <w:rFonts w:ascii="Verdana" w:eastAsia="Calibri" w:hAnsi="Verdana" w:cs="Arial"/>
          <w:bCs/>
          <w:lang w:val="es-ES" w:eastAsia="es-ES"/>
        </w:rPr>
      </w:pPr>
      <w:r w:rsidRPr="009B1BD0">
        <w:rPr>
          <w:rFonts w:ascii="Verdana" w:eastAsia="Calibri" w:hAnsi="Verdana" w:cs="Arial"/>
          <w:bCs/>
          <w:lang w:val="es-ES" w:eastAsia="es-ES"/>
        </w:rPr>
        <w:t>Estimada señor</w:t>
      </w:r>
      <w:r>
        <w:rPr>
          <w:rFonts w:ascii="Verdana" w:eastAsia="Calibri" w:hAnsi="Verdana" w:cs="Arial"/>
          <w:bCs/>
          <w:lang w:val="es-ES" w:eastAsia="es-ES"/>
        </w:rPr>
        <w:t xml:space="preserve"> Daniel Esteban:</w:t>
      </w:r>
      <w:r w:rsidRPr="009B1BD0">
        <w:rPr>
          <w:rFonts w:ascii="Verdana" w:eastAsia="Calibri" w:hAnsi="Verdana" w:cs="Arial"/>
          <w:bCs/>
          <w:lang w:val="es-ES" w:eastAsia="es-ES"/>
        </w:rPr>
        <w:t xml:space="preserve"> </w:t>
      </w:r>
    </w:p>
    <w:p w14:paraId="41E1E06A" w14:textId="77777777" w:rsidR="00113C9D" w:rsidRPr="00AB5C52" w:rsidRDefault="00113C9D" w:rsidP="00113C9D">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116B0E1D" w14:textId="77777777" w:rsidR="00113C9D" w:rsidRPr="003125D1" w:rsidRDefault="00113C9D" w:rsidP="00113C9D">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Pr>
          <w:rFonts w:ascii="Verdana" w:eastAsia="Calibri" w:hAnsi="Verdana" w:cs="Arial"/>
          <w:lang w:val="es-ES" w:eastAsia="es-ES"/>
        </w:rPr>
        <w:t xml:space="preserve">02 de julio </w:t>
      </w:r>
      <w:r w:rsidRPr="003125D1">
        <w:rPr>
          <w:rFonts w:ascii="Verdana" w:eastAsia="Calibri" w:hAnsi="Verdana" w:cs="Arial"/>
          <w:lang w:val="es-ES" w:eastAsia="es-ES"/>
        </w:rPr>
        <w:t xml:space="preserve">de 2026, en la cual manifiesta lo siguiente: </w:t>
      </w:r>
      <w:bookmarkStart w:id="1" w:name="_Hlk95313578"/>
    </w:p>
    <w:p w14:paraId="53092C93" w14:textId="77777777" w:rsidR="00113C9D" w:rsidRPr="003125D1" w:rsidRDefault="00113C9D" w:rsidP="00113C9D">
      <w:pPr>
        <w:spacing w:after="0" w:line="276" w:lineRule="auto"/>
        <w:jc w:val="both"/>
        <w:rPr>
          <w:rFonts w:ascii="Verdana" w:eastAsia="Calibri" w:hAnsi="Verdana" w:cs="Arial"/>
          <w:bCs/>
          <w:lang w:val="es-ES" w:eastAsia="es-ES"/>
        </w:rPr>
      </w:pPr>
    </w:p>
    <w:bookmarkEnd w:id="1"/>
    <w:p w14:paraId="21FFEC87" w14:textId="77777777" w:rsidR="00113C9D" w:rsidRDefault="00113C9D" w:rsidP="00113C9D">
      <w:pPr>
        <w:spacing w:after="0" w:line="240" w:lineRule="auto"/>
        <w:ind w:left="709" w:right="709"/>
        <w:jc w:val="both"/>
        <w:rPr>
          <w:rFonts w:ascii="Verdana" w:eastAsia="Calibri" w:hAnsi="Verdana" w:cs="Arial"/>
          <w:i/>
          <w:iCs/>
          <w:sz w:val="20"/>
          <w:szCs w:val="20"/>
          <w:lang w:val="es-ES" w:eastAsia="es-ES"/>
        </w:rPr>
      </w:pPr>
      <w:r w:rsidRPr="008F18F2">
        <w:rPr>
          <w:rFonts w:ascii="Verdana" w:eastAsia="Calibri" w:hAnsi="Verdana" w:cs="Arial"/>
          <w:i/>
          <w:iCs/>
          <w:sz w:val="20"/>
          <w:szCs w:val="20"/>
          <w:lang w:val="es-ES" w:eastAsia="es-ES"/>
        </w:rPr>
        <w:t>“(…)</w:t>
      </w:r>
    </w:p>
    <w:p w14:paraId="7221CACF" w14:textId="77777777" w:rsidR="00113C9D" w:rsidRDefault="00113C9D" w:rsidP="00113C9D">
      <w:pPr>
        <w:spacing w:after="0" w:line="240" w:lineRule="auto"/>
        <w:ind w:left="709" w:right="709"/>
        <w:jc w:val="both"/>
        <w:rPr>
          <w:rFonts w:ascii="Verdana" w:eastAsia="Calibri" w:hAnsi="Verdana" w:cs="Arial"/>
          <w:i/>
          <w:iCs/>
          <w:sz w:val="20"/>
          <w:szCs w:val="20"/>
          <w:lang w:val="es-ES" w:eastAsia="es-ES"/>
        </w:rPr>
      </w:pPr>
    </w:p>
    <w:p w14:paraId="156E6A40" w14:textId="77777777" w:rsidR="00113C9D" w:rsidRPr="004E16E3" w:rsidRDefault="00113C9D" w:rsidP="00113C9D">
      <w:pPr>
        <w:spacing w:after="0" w:line="240" w:lineRule="auto"/>
        <w:ind w:left="709" w:right="709"/>
        <w:jc w:val="both"/>
        <w:rPr>
          <w:rFonts w:ascii="Verdana" w:eastAsia="Calibri" w:hAnsi="Verdana" w:cs="Arial"/>
          <w:i/>
          <w:iCs/>
          <w:sz w:val="20"/>
          <w:szCs w:val="20"/>
          <w:lang w:eastAsia="es-ES"/>
        </w:rPr>
      </w:pPr>
      <w:r w:rsidRPr="004E16E3">
        <w:rPr>
          <w:rFonts w:ascii="Verdana" w:eastAsia="Calibri" w:hAnsi="Verdana" w:cs="Arial"/>
          <w:i/>
          <w:iCs/>
          <w:sz w:val="20"/>
          <w:szCs w:val="20"/>
          <w:lang w:eastAsia="es-ES"/>
        </w:rPr>
        <w:t>Solicito concepto sobre la aplicación de los Documentos Tipo en u</w:t>
      </w:r>
      <w:r>
        <w:rPr>
          <w:rFonts w:ascii="Verdana" w:eastAsia="Calibri" w:hAnsi="Verdana" w:cs="Arial"/>
          <w:i/>
          <w:iCs/>
          <w:sz w:val="20"/>
          <w:szCs w:val="20"/>
          <w:lang w:eastAsia="es-ES"/>
        </w:rPr>
        <w:t xml:space="preserve">n </w:t>
      </w:r>
      <w:r w:rsidRPr="004E16E3">
        <w:rPr>
          <w:rFonts w:ascii="Verdana" w:eastAsia="Calibri" w:hAnsi="Verdana" w:cs="Arial"/>
          <w:i/>
          <w:iCs/>
          <w:sz w:val="20"/>
          <w:szCs w:val="20"/>
          <w:lang w:eastAsia="es-ES"/>
        </w:rPr>
        <w:t>proceso de Selección Abreviada de Menor Cuantía cuyo componente</w:t>
      </w:r>
      <w:r>
        <w:rPr>
          <w:rFonts w:ascii="Verdana" w:eastAsia="Calibri" w:hAnsi="Verdana" w:cs="Arial"/>
          <w:i/>
          <w:iCs/>
          <w:sz w:val="20"/>
          <w:szCs w:val="20"/>
          <w:lang w:eastAsia="es-ES"/>
        </w:rPr>
        <w:t xml:space="preserve"> </w:t>
      </w:r>
      <w:r w:rsidRPr="004E16E3">
        <w:rPr>
          <w:rFonts w:ascii="Verdana" w:eastAsia="Calibri" w:hAnsi="Verdana" w:cs="Arial"/>
          <w:i/>
          <w:iCs/>
          <w:sz w:val="20"/>
          <w:szCs w:val="20"/>
          <w:lang w:eastAsia="es-ES"/>
        </w:rPr>
        <w:t>principal corresponde a la construcción o reposición de redes de</w:t>
      </w:r>
      <w:r>
        <w:rPr>
          <w:rFonts w:ascii="Verdana" w:eastAsia="Calibri" w:hAnsi="Verdana" w:cs="Arial"/>
          <w:i/>
          <w:iCs/>
          <w:sz w:val="20"/>
          <w:szCs w:val="20"/>
          <w:lang w:eastAsia="es-ES"/>
        </w:rPr>
        <w:t xml:space="preserve"> </w:t>
      </w:r>
      <w:r w:rsidRPr="004E16E3">
        <w:rPr>
          <w:rFonts w:ascii="Verdana" w:eastAsia="Calibri" w:hAnsi="Verdana" w:cs="Arial"/>
          <w:i/>
          <w:iCs/>
          <w:sz w:val="20"/>
          <w:szCs w:val="20"/>
          <w:lang w:eastAsia="es-ES"/>
        </w:rPr>
        <w:t>alcantarillado urbano asociadas a una vía, e incluye la construcción de un</w:t>
      </w:r>
      <w:r>
        <w:rPr>
          <w:rFonts w:ascii="Verdana" w:eastAsia="Calibri" w:hAnsi="Verdana" w:cs="Arial"/>
          <w:i/>
          <w:iCs/>
          <w:sz w:val="20"/>
          <w:szCs w:val="20"/>
          <w:lang w:eastAsia="es-ES"/>
        </w:rPr>
        <w:t xml:space="preserve"> </w:t>
      </w:r>
      <w:r w:rsidRPr="004E16E3">
        <w:rPr>
          <w:rFonts w:ascii="Verdana" w:eastAsia="Calibri" w:hAnsi="Verdana" w:cs="Arial"/>
          <w:i/>
          <w:iCs/>
          <w:sz w:val="20"/>
          <w:szCs w:val="20"/>
          <w:lang w:eastAsia="es-ES"/>
        </w:rPr>
        <w:t>tramo de vía en concreto rígido para restablecer la infraestructura vial</w:t>
      </w:r>
      <w:r>
        <w:rPr>
          <w:rFonts w:ascii="Verdana" w:eastAsia="Calibri" w:hAnsi="Verdana" w:cs="Arial"/>
          <w:i/>
          <w:iCs/>
          <w:sz w:val="20"/>
          <w:szCs w:val="20"/>
          <w:lang w:eastAsia="es-ES"/>
        </w:rPr>
        <w:t xml:space="preserve"> </w:t>
      </w:r>
      <w:r w:rsidRPr="004E16E3">
        <w:rPr>
          <w:rFonts w:ascii="Verdana" w:eastAsia="Calibri" w:hAnsi="Verdana" w:cs="Arial"/>
          <w:i/>
          <w:iCs/>
          <w:sz w:val="20"/>
          <w:szCs w:val="20"/>
          <w:lang w:eastAsia="es-ES"/>
        </w:rPr>
        <w:t>intervenida.</w:t>
      </w:r>
    </w:p>
    <w:p w14:paraId="47EEE740" w14:textId="77777777" w:rsidR="00113C9D" w:rsidRDefault="00113C9D" w:rsidP="00113C9D">
      <w:pPr>
        <w:spacing w:after="0" w:line="240" w:lineRule="auto"/>
        <w:ind w:left="709" w:right="709"/>
        <w:jc w:val="both"/>
        <w:rPr>
          <w:rFonts w:ascii="Verdana" w:eastAsia="Calibri" w:hAnsi="Verdana" w:cs="Arial"/>
          <w:i/>
          <w:iCs/>
          <w:sz w:val="20"/>
          <w:szCs w:val="20"/>
          <w:lang w:eastAsia="es-ES"/>
        </w:rPr>
      </w:pPr>
    </w:p>
    <w:p w14:paraId="332A5F76" w14:textId="77777777" w:rsidR="00113C9D" w:rsidRPr="00367B52" w:rsidRDefault="00113C9D" w:rsidP="00113C9D">
      <w:pPr>
        <w:spacing w:after="0" w:line="240" w:lineRule="auto"/>
        <w:ind w:left="709" w:right="709"/>
        <w:jc w:val="both"/>
        <w:rPr>
          <w:rFonts w:ascii="Verdana" w:eastAsia="Calibri" w:hAnsi="Verdana" w:cs="Arial"/>
          <w:i/>
          <w:iCs/>
          <w:sz w:val="20"/>
          <w:szCs w:val="20"/>
          <w:lang w:eastAsia="es-ES"/>
        </w:rPr>
      </w:pPr>
      <w:r w:rsidRPr="004E16E3">
        <w:rPr>
          <w:rFonts w:ascii="Verdana" w:eastAsia="Calibri" w:hAnsi="Verdana" w:cs="Arial"/>
          <w:i/>
          <w:iCs/>
          <w:sz w:val="20"/>
          <w:szCs w:val="20"/>
          <w:lang w:eastAsia="es-ES"/>
        </w:rPr>
        <w:t>¿En este caso resulta obligatoria la aplicación de los Documentos Tipo de</w:t>
      </w:r>
      <w:r>
        <w:rPr>
          <w:rFonts w:ascii="Verdana" w:eastAsia="Calibri" w:hAnsi="Verdana" w:cs="Arial"/>
          <w:i/>
          <w:iCs/>
          <w:sz w:val="20"/>
          <w:szCs w:val="20"/>
          <w:lang w:eastAsia="es-ES"/>
        </w:rPr>
        <w:t xml:space="preserve"> </w:t>
      </w:r>
      <w:r w:rsidRPr="004E16E3">
        <w:rPr>
          <w:rFonts w:ascii="Verdana" w:eastAsia="Calibri" w:hAnsi="Verdana" w:cs="Arial"/>
          <w:i/>
          <w:iCs/>
          <w:sz w:val="20"/>
          <w:szCs w:val="20"/>
          <w:lang w:eastAsia="es-ES"/>
        </w:rPr>
        <w:t>Infraestructura de Transporte? En caso afirmativo, ¿cuál es el criterio</w:t>
      </w:r>
      <w:r>
        <w:rPr>
          <w:rFonts w:ascii="Verdana" w:eastAsia="Calibri" w:hAnsi="Verdana" w:cs="Arial"/>
          <w:i/>
          <w:iCs/>
          <w:sz w:val="20"/>
          <w:szCs w:val="20"/>
          <w:lang w:eastAsia="es-ES"/>
        </w:rPr>
        <w:t xml:space="preserve"> </w:t>
      </w:r>
      <w:r w:rsidRPr="004E16E3">
        <w:rPr>
          <w:rFonts w:ascii="Verdana" w:eastAsia="Calibri" w:hAnsi="Verdana" w:cs="Arial"/>
          <w:i/>
          <w:iCs/>
          <w:sz w:val="20"/>
          <w:szCs w:val="20"/>
          <w:lang w:eastAsia="es-ES"/>
        </w:rPr>
        <w:t>jurídico para determinar cuándo un contrato de esta naturaleza debe</w:t>
      </w:r>
      <w:r>
        <w:rPr>
          <w:rFonts w:ascii="Verdana" w:eastAsia="Calibri" w:hAnsi="Verdana" w:cs="Arial"/>
          <w:i/>
          <w:iCs/>
          <w:sz w:val="20"/>
          <w:szCs w:val="20"/>
          <w:lang w:eastAsia="es-ES"/>
        </w:rPr>
        <w:t xml:space="preserve"> </w:t>
      </w:r>
      <w:r w:rsidRPr="00367B52">
        <w:rPr>
          <w:rFonts w:ascii="Verdana" w:eastAsia="Calibri" w:hAnsi="Verdana" w:cs="Arial"/>
          <w:i/>
          <w:iCs/>
          <w:sz w:val="20"/>
          <w:szCs w:val="20"/>
          <w:lang w:eastAsia="es-ES"/>
        </w:rPr>
        <w:t>considerarse de infraestructura de transporte? ¿Depende del alcance técnico, del porcentaje de participación de las actividades, del valor de cada componente o de algún otro criterio objetivo?:</w:t>
      </w:r>
      <w:r w:rsidRPr="00367B52">
        <w:rPr>
          <w:rFonts w:ascii="Verdana" w:eastAsia="Calibri" w:hAnsi="Verdana" w:cs="Arial"/>
          <w:i/>
          <w:iCs/>
          <w:sz w:val="20"/>
          <w:szCs w:val="20"/>
          <w:lang w:val="es-ES" w:eastAsia="es-ES"/>
        </w:rPr>
        <w:t xml:space="preserve"> (…)</w:t>
      </w:r>
      <w:r w:rsidRPr="00367B52">
        <w:rPr>
          <w:rFonts w:ascii="Verdana" w:eastAsia="Calibri" w:hAnsi="Verdana" w:cs="Arial"/>
          <w:i/>
          <w:iCs/>
          <w:sz w:val="20"/>
          <w:szCs w:val="20"/>
          <w:lang w:eastAsia="es-ES"/>
        </w:rPr>
        <w:t>”</w:t>
      </w:r>
    </w:p>
    <w:p w14:paraId="7B9D0A34" w14:textId="77777777" w:rsidR="00113C9D" w:rsidRPr="00367B52" w:rsidRDefault="00113C9D" w:rsidP="00113C9D">
      <w:pPr>
        <w:spacing w:after="0" w:line="276" w:lineRule="auto"/>
        <w:ind w:left="709" w:right="709"/>
        <w:jc w:val="both"/>
        <w:rPr>
          <w:rFonts w:ascii="Verdana" w:eastAsia="Times New Roman" w:hAnsi="Verdana" w:cs="Times New Roman"/>
          <w:sz w:val="20"/>
          <w:szCs w:val="20"/>
          <w:lang w:eastAsia="es-CO"/>
        </w:rPr>
      </w:pPr>
    </w:p>
    <w:p w14:paraId="529D7303" w14:textId="77777777" w:rsidR="00113C9D" w:rsidRPr="00367B52" w:rsidRDefault="00113C9D" w:rsidP="00113C9D">
      <w:pPr>
        <w:spacing w:after="120" w:line="276" w:lineRule="auto"/>
        <w:ind w:firstLine="709"/>
        <w:jc w:val="both"/>
        <w:rPr>
          <w:rFonts w:ascii="Verdana" w:eastAsia="Calibri" w:hAnsi="Verdana" w:cs="Arial"/>
          <w:lang w:val="es-ES_tradnl" w:eastAsia="es-ES_tradnl"/>
        </w:rPr>
      </w:pPr>
      <w:r w:rsidRPr="00367B52">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67B52">
        <w:rPr>
          <w:rFonts w:ascii="Verdana" w:eastAsia="Calibri" w:hAnsi="Verdana" w:cs="Arial"/>
          <w:lang w:val="es-ES_tradnl" w:eastAsia="es-ES_tradnl"/>
        </w:rPr>
        <w:tab/>
      </w:r>
    </w:p>
    <w:p w14:paraId="7D52192C" w14:textId="77777777" w:rsidR="00113C9D" w:rsidRPr="00367B52" w:rsidRDefault="00113C9D" w:rsidP="00113C9D">
      <w:pPr>
        <w:spacing w:after="0" w:line="276" w:lineRule="auto"/>
        <w:ind w:firstLine="708"/>
        <w:jc w:val="both"/>
        <w:rPr>
          <w:rFonts w:ascii="Verdana" w:eastAsia="Calibri" w:hAnsi="Verdana" w:cs="Arial"/>
          <w:lang w:val="es-ES" w:eastAsia="es-ES"/>
        </w:rPr>
      </w:pPr>
      <w:r w:rsidRPr="00367B52">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519C9A14" w14:textId="77777777" w:rsidR="00113C9D" w:rsidRPr="00367B52" w:rsidRDefault="00113C9D" w:rsidP="00113C9D">
      <w:pPr>
        <w:spacing w:after="0" w:line="276" w:lineRule="auto"/>
        <w:ind w:firstLine="709"/>
        <w:jc w:val="both"/>
        <w:rPr>
          <w:rFonts w:ascii="Verdana" w:eastAsia="Calibri" w:hAnsi="Verdana" w:cs="Arial"/>
          <w:lang w:val="es-ES" w:eastAsia="es-ES"/>
        </w:rPr>
      </w:pPr>
    </w:p>
    <w:p w14:paraId="7FCFDD15" w14:textId="77777777" w:rsidR="00113C9D" w:rsidRPr="00367B52" w:rsidRDefault="00113C9D" w:rsidP="00113C9D">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67B52">
        <w:rPr>
          <w:rFonts w:ascii="Verdana" w:eastAsia="Century Gothic" w:hAnsi="Verdana" w:cs="Century Gothic"/>
          <w:b/>
          <w:bCs/>
          <w:lang w:val="es-ES"/>
        </w:rPr>
        <w:t>Problema planteado:</w:t>
      </w:r>
    </w:p>
    <w:p w14:paraId="64617D71" w14:textId="77777777" w:rsidR="00113C9D" w:rsidRPr="00367B52" w:rsidRDefault="00113C9D" w:rsidP="00113C9D">
      <w:pPr>
        <w:tabs>
          <w:tab w:val="left" w:pos="426"/>
        </w:tabs>
        <w:spacing w:after="0" w:line="276" w:lineRule="auto"/>
        <w:jc w:val="both"/>
        <w:rPr>
          <w:rFonts w:ascii="Verdana" w:eastAsia="Century Gothic" w:hAnsi="Verdana" w:cs="Century Gothic"/>
          <w:lang w:val="es-ES"/>
        </w:rPr>
      </w:pPr>
    </w:p>
    <w:p w14:paraId="0B1639D6" w14:textId="77777777" w:rsidR="00113C9D" w:rsidRPr="00367B52" w:rsidRDefault="00113C9D" w:rsidP="00113C9D">
      <w:pPr>
        <w:spacing w:line="276" w:lineRule="auto"/>
        <w:jc w:val="both"/>
        <w:rPr>
          <w:rFonts w:ascii="Verdana" w:eastAsia="Century Gothic" w:hAnsi="Verdana" w:cs="Century Gothic"/>
        </w:rPr>
      </w:pPr>
      <w:r w:rsidRPr="00367B52">
        <w:rPr>
          <w:rFonts w:ascii="Verdana" w:eastAsia="Century Gothic" w:hAnsi="Verdana" w:cs="Century Gothic"/>
        </w:rPr>
        <w:t>De acuerdo con el contenido de su solicitud, esta Agencia resolverá el siguiente problema jurídico:</w:t>
      </w:r>
    </w:p>
    <w:p w14:paraId="6EB57BCA" w14:textId="77777777" w:rsidR="00113C9D" w:rsidRPr="00367B52" w:rsidRDefault="00113C9D" w:rsidP="00113C9D">
      <w:pPr>
        <w:pStyle w:val="Prrafodelista"/>
        <w:numPr>
          <w:ilvl w:val="0"/>
          <w:numId w:val="19"/>
        </w:numPr>
        <w:spacing w:after="0" w:line="276" w:lineRule="auto"/>
        <w:jc w:val="both"/>
        <w:rPr>
          <w:rFonts w:ascii="Verdana" w:eastAsia="Century Gothic" w:hAnsi="Verdana" w:cs="Century Gothic"/>
          <w:lang w:eastAsia="es-MX"/>
        </w:rPr>
      </w:pPr>
      <w:r w:rsidRPr="00367B52">
        <w:rPr>
          <w:rFonts w:ascii="Verdana" w:eastAsia="Century Gothic" w:hAnsi="Verdana" w:cs="Century Gothic"/>
          <w:lang w:val="es-CO"/>
        </w:rPr>
        <w:t>¿</w:t>
      </w:r>
      <w:r w:rsidRPr="00367B52">
        <w:rPr>
          <w:rFonts w:ascii="Verdana" w:hAnsi="Verdana"/>
          <w:lang w:val="es-CO"/>
        </w:rPr>
        <w:t xml:space="preserve"> </w:t>
      </w:r>
      <w:r w:rsidRPr="00367B52">
        <w:rPr>
          <w:rFonts w:ascii="Verdana" w:eastAsia="Century Gothic" w:hAnsi="Verdana" w:cs="Century Gothic"/>
          <w:lang w:val="es-CO" w:eastAsia="es-MX"/>
        </w:rPr>
        <w:t>Cuál es el régimen de Documentos Tipo aplicable a los procesos de Selección Abreviada de Menor Cuantía cuyo objeto comprende la construcción o reposición de redes de alcantarillado urbano asociadas a una vía y, adicionalmente, la construcción o reposición de infraestructura vial requerida para el restablecimiento de la vía intervenida ?</w:t>
      </w:r>
    </w:p>
    <w:p w14:paraId="435AE54D" w14:textId="77777777" w:rsidR="00113C9D" w:rsidRPr="00367B52" w:rsidRDefault="00113C9D" w:rsidP="00113C9D">
      <w:pPr>
        <w:pStyle w:val="Prrafodelista"/>
        <w:spacing w:after="0" w:line="276" w:lineRule="auto"/>
        <w:jc w:val="both"/>
        <w:rPr>
          <w:rFonts w:ascii="Verdana" w:eastAsia="Century Gothic" w:hAnsi="Verdana" w:cs="Century Gothic"/>
          <w:lang w:eastAsia="es-MX"/>
        </w:rPr>
      </w:pPr>
    </w:p>
    <w:p w14:paraId="111B8AA0" w14:textId="77777777" w:rsidR="00113C9D" w:rsidRPr="00367B52" w:rsidRDefault="00113C9D" w:rsidP="00113C9D">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67B52">
        <w:rPr>
          <w:rFonts w:ascii="Verdana" w:eastAsia="Century Gothic" w:hAnsi="Verdana" w:cs="Century Gothic"/>
          <w:b/>
          <w:bCs/>
          <w:lang w:val="es-ES"/>
        </w:rPr>
        <w:t>Respuesta:</w:t>
      </w:r>
    </w:p>
    <w:p w14:paraId="68A1D2D2" w14:textId="77777777" w:rsidR="00113C9D" w:rsidRPr="00367B52" w:rsidRDefault="00113C9D" w:rsidP="00113C9D">
      <w:pPr>
        <w:tabs>
          <w:tab w:val="left" w:pos="142"/>
          <w:tab w:val="left" w:pos="284"/>
        </w:tabs>
        <w:spacing w:line="276" w:lineRule="auto"/>
        <w:contextualSpacing/>
        <w:jc w:val="both"/>
        <w:rPr>
          <w:rFonts w:ascii="Verdana" w:eastAsia="Century Gothic" w:hAnsi="Verdana" w:cs="Century Gothic"/>
          <w:b/>
          <w:bCs/>
          <w:color w:val="4CC5E9"/>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13C9D" w:rsidRPr="00367B52" w14:paraId="1B662759" w14:textId="77777777" w:rsidTr="00113C9D">
        <w:trPr>
          <w:trHeight w:val="1057"/>
        </w:trPr>
        <w:tc>
          <w:tcPr>
            <w:tcW w:w="8828" w:type="dxa"/>
            <w:tcBorders>
              <w:top w:val="dotted" w:sz="4" w:space="0" w:color="auto"/>
              <w:left w:val="dotted" w:sz="4" w:space="0" w:color="auto"/>
              <w:bottom w:val="dotted" w:sz="4" w:space="0" w:color="auto"/>
              <w:right w:val="dotted" w:sz="4" w:space="0" w:color="auto"/>
            </w:tcBorders>
          </w:tcPr>
          <w:p w14:paraId="2321B30F" w14:textId="77777777" w:rsidR="00113C9D" w:rsidRPr="006610E9" w:rsidRDefault="00113C9D" w:rsidP="00113C9D">
            <w:pPr>
              <w:spacing w:after="120" w:line="276" w:lineRule="auto"/>
              <w:jc w:val="both"/>
              <w:rPr>
                <w:rFonts w:ascii="Verdana" w:eastAsia="Calibri" w:hAnsi="Verdana" w:cs="Arial"/>
                <w:bCs/>
                <w:color w:val="000000" w:themeColor="text1"/>
                <w:lang w:val="es-ES" w:eastAsia="es-MX"/>
              </w:rPr>
            </w:pPr>
            <w:r w:rsidRPr="006610E9">
              <w:rPr>
                <w:rFonts w:ascii="Verdana" w:eastAsia="Calibri" w:hAnsi="Verdana" w:cs="Arial"/>
                <w:bCs/>
                <w:color w:val="000000" w:themeColor="text1"/>
                <w:lang w:val="es-ES" w:eastAsia="es-MX"/>
              </w:rPr>
              <w:t xml:space="preserve">De acuerdo con lo expuesto, la aplicación de los Documentos Tipo de en un proceso de Selección Abreviada de Menor Cuantía cuyo objeto comprenda la construcción o reposición de redes de alcantarillado urbano asociadas a una vía y, adicionalmente, la construcción de un tramo de vía en concreto rígido </w:t>
            </w:r>
            <w:r w:rsidRPr="006610E9">
              <w:rPr>
                <w:rFonts w:ascii="Verdana" w:eastAsia="Calibri" w:hAnsi="Verdana" w:cs="Arial"/>
                <w:bCs/>
                <w:color w:val="000000" w:themeColor="text1"/>
                <w:lang w:val="es-ES" w:eastAsia="es-MX"/>
              </w:rPr>
              <w:lastRenderedPageBreak/>
              <w:t xml:space="preserve">para restablecer la infraestructura vial intervenida, debe determinarse a partir del alcance integral del objeto contractual y de su correspondencia con las actividades contempladas en la “Matriz 1 – Experiencia” </w:t>
            </w:r>
            <w:r w:rsidRPr="00B91265">
              <w:rPr>
                <w:rFonts w:ascii="Verdana" w:eastAsia="Calibri" w:hAnsi="Verdana" w:cs="Arial"/>
                <w:bCs/>
                <w:color w:val="000000" w:themeColor="text1"/>
                <w:lang w:val="es-ES" w:eastAsia="es-MX"/>
              </w:rPr>
              <w:t xml:space="preserve">, en este caso </w:t>
            </w:r>
            <w:r w:rsidRPr="006610E9">
              <w:rPr>
                <w:rFonts w:ascii="Verdana" w:eastAsia="Calibri" w:hAnsi="Verdana" w:cs="Arial"/>
                <w:bCs/>
                <w:color w:val="000000" w:themeColor="text1"/>
                <w:lang w:val="es-ES" w:eastAsia="es-MX"/>
              </w:rPr>
              <w:t>de los Documentos Tipo de infraestructura de transporte.</w:t>
            </w:r>
          </w:p>
          <w:p w14:paraId="5EDF0816" w14:textId="77777777" w:rsidR="00113C9D" w:rsidRPr="006610E9" w:rsidRDefault="00113C9D" w:rsidP="00113C9D">
            <w:pPr>
              <w:spacing w:after="120" w:line="276" w:lineRule="auto"/>
              <w:ind w:firstLine="708"/>
              <w:jc w:val="both"/>
              <w:rPr>
                <w:rFonts w:ascii="Verdana" w:eastAsia="Calibri" w:hAnsi="Verdana" w:cs="Arial"/>
                <w:bCs/>
                <w:color w:val="000000" w:themeColor="text1"/>
                <w:lang w:val="es-ES" w:eastAsia="es-MX"/>
              </w:rPr>
            </w:pPr>
            <w:r w:rsidRPr="006610E9">
              <w:rPr>
                <w:rFonts w:ascii="Verdana" w:eastAsia="Calibri" w:hAnsi="Verdana" w:cs="Arial"/>
                <w:bCs/>
                <w:color w:val="000000" w:themeColor="text1"/>
                <w:lang w:val="es-ES" w:eastAsia="es-MX"/>
              </w:rPr>
              <w:t>En ese sentido, no es suficiente atender al porcentaje de participación de cada componente, al valor individual de las actividades o a la identificación de un componente como “principal” para determinar la aplicación de los Documentos Tipo. Corresponde a la entidad estatal, con fundamento en los estudios previos, estudios y diseños, presupuesto, cantidades de obra y demás documentos que soportan la planeación, establecer la naturaleza, finalidad y alcance de las actividades que integran el proyecto y verificar si estas corresponden a alguna de las actividades estandarizadas en la “Matriz 1 – Experiencia”.</w:t>
            </w:r>
          </w:p>
          <w:p w14:paraId="2D461254" w14:textId="77777777" w:rsidR="00113C9D" w:rsidRPr="006610E9" w:rsidRDefault="00113C9D" w:rsidP="00113C9D">
            <w:pPr>
              <w:spacing w:after="120" w:line="276" w:lineRule="auto"/>
              <w:ind w:firstLine="708"/>
              <w:jc w:val="both"/>
              <w:rPr>
                <w:rFonts w:ascii="Verdana" w:eastAsia="Calibri" w:hAnsi="Verdana" w:cs="Arial"/>
                <w:bCs/>
                <w:color w:val="000000" w:themeColor="text1"/>
                <w:lang w:val="es-ES" w:eastAsia="es-MX"/>
              </w:rPr>
            </w:pPr>
            <w:r w:rsidRPr="006610E9">
              <w:rPr>
                <w:rFonts w:ascii="Verdana" w:eastAsia="Calibri" w:hAnsi="Verdana" w:cs="Arial"/>
                <w:bCs/>
                <w:color w:val="000000" w:themeColor="text1"/>
                <w:lang w:val="es-ES" w:eastAsia="es-MX"/>
              </w:rPr>
              <w:t>Así, si del análisis integral del proyecto se determina que este corresponde a una obra pública de infraestructura de transporte y que la intervención de la vía se encuentra comprendida dentro de las actividades previstas en la “Matriz 1 – Experiencia”, resultará obligatoria la aplicación de los Documentos Tipo adoptados mediante la Resolución 463 de 2024, siempre que se cumplan los demás presupuestos de aplicación previstos en dicha regulación.</w:t>
            </w:r>
          </w:p>
          <w:p w14:paraId="7439EE4A" w14:textId="77777777" w:rsidR="00113C9D" w:rsidRPr="006610E9" w:rsidRDefault="00113C9D" w:rsidP="00113C9D">
            <w:pPr>
              <w:spacing w:after="120" w:line="276" w:lineRule="auto"/>
              <w:ind w:firstLine="708"/>
              <w:jc w:val="both"/>
              <w:rPr>
                <w:rFonts w:ascii="Verdana" w:eastAsia="Calibri" w:hAnsi="Verdana" w:cs="Arial"/>
                <w:bCs/>
                <w:color w:val="000000" w:themeColor="text1"/>
                <w:lang w:val="es-ES" w:eastAsia="es-MX"/>
              </w:rPr>
            </w:pPr>
            <w:r w:rsidRPr="006610E9">
              <w:rPr>
                <w:rFonts w:ascii="Verdana" w:eastAsia="Calibri" w:hAnsi="Verdana" w:cs="Arial"/>
                <w:bCs/>
                <w:color w:val="000000" w:themeColor="text1"/>
                <w:lang w:val="es-ES" w:eastAsia="es-MX"/>
              </w:rPr>
              <w:t>Ahora bien, el hecho de que el proyecto incluya actividades de construcción o reposición de redes de alcantarillado no excluye, por sí mismo, la aplicación de los Documentos Tipo de infraestructura de transporte. Si estas actividades no se encuentran incluidas en la “Matriz 1 – Experiencia” aplicable, pero están relacionadas con la obra pública de infraestructura de transporte, podrán ser consideradas como obras adicionales en los términos del artículo 4 de la Resolución 463 de 2024. En consecuencia, la entidad deberá aplicar los Documentos Tipo de infraestructura de transporte y, excepcionalmente, podrá establecer requisitos de experiencia adicionales respecto de dichas actividades, siempre que cumpla los parámetros establecidos en el citado artículo.</w:t>
            </w:r>
          </w:p>
          <w:p w14:paraId="6D777B8D" w14:textId="77777777" w:rsidR="00113C9D" w:rsidRPr="006610E9" w:rsidRDefault="00113C9D" w:rsidP="00113C9D">
            <w:pPr>
              <w:spacing w:after="120" w:line="276" w:lineRule="auto"/>
              <w:ind w:firstLine="708"/>
              <w:jc w:val="both"/>
              <w:rPr>
                <w:rFonts w:ascii="Verdana" w:eastAsia="Calibri" w:hAnsi="Verdana" w:cs="Arial"/>
                <w:bCs/>
                <w:color w:val="000000" w:themeColor="text1"/>
                <w:lang w:val="es-ES" w:eastAsia="es-MX"/>
              </w:rPr>
            </w:pPr>
            <w:r w:rsidRPr="006610E9">
              <w:rPr>
                <w:rFonts w:ascii="Verdana" w:eastAsia="Calibri" w:hAnsi="Verdana" w:cs="Arial"/>
                <w:bCs/>
                <w:color w:val="000000" w:themeColor="text1"/>
                <w:lang w:val="es-ES" w:eastAsia="es-MX"/>
              </w:rPr>
              <w:t xml:space="preserve">De igual manera, cuando las actividades adicionales correspondan a aquellas comprendidas en otros Documentos Tipo, la entidad deberá observar las reglas de combinación de experiencia previstas en el numeral 3.5.2 del </w:t>
            </w:r>
            <w:r w:rsidRPr="006610E9">
              <w:rPr>
                <w:rFonts w:ascii="Verdana" w:eastAsia="Calibri" w:hAnsi="Verdana" w:cs="Arial"/>
                <w:bCs/>
                <w:color w:val="000000" w:themeColor="text1"/>
                <w:lang w:val="es-ES" w:eastAsia="es-MX"/>
              </w:rPr>
              <w:lastRenderedPageBreak/>
              <w:t>Documento Base, de conformidad con el parágrafo 1 del artículo 4 de la Resolución 463 de 2024.</w:t>
            </w:r>
          </w:p>
          <w:p w14:paraId="1BCBB501" w14:textId="77777777" w:rsidR="00113C9D" w:rsidRPr="006610E9" w:rsidRDefault="00113C9D" w:rsidP="00113C9D">
            <w:pPr>
              <w:spacing w:after="120" w:line="276" w:lineRule="auto"/>
              <w:ind w:firstLine="708"/>
              <w:jc w:val="both"/>
              <w:rPr>
                <w:rFonts w:ascii="Verdana" w:eastAsia="Calibri" w:hAnsi="Verdana" w:cs="Arial"/>
                <w:bCs/>
                <w:color w:val="000000" w:themeColor="text1"/>
                <w:lang w:val="es-ES" w:eastAsia="es-MX"/>
              </w:rPr>
            </w:pPr>
            <w:r w:rsidRPr="006610E9">
              <w:rPr>
                <w:rFonts w:ascii="Verdana" w:eastAsia="Calibri" w:hAnsi="Verdana" w:cs="Arial"/>
                <w:bCs/>
                <w:color w:val="000000" w:themeColor="text1"/>
                <w:lang w:val="es-ES" w:eastAsia="es-MX"/>
              </w:rPr>
              <w:t>Por tanto, para el caso objeto de consulta, la entidad deberá verificar si la construcción del tramo de vía en concreto rígido para restablecer la infraestructura vial intervenida corresponde a una actividad de infraestructura de transporte contemplada en la “Matriz 1 – Experiencia”. Si así se determina y el objeto contractual se encuentra dentro del ámbito de aplicación de la Resolución 463 de 2024, serán obligatorios los Documentos Tipo de infraestructura de transporte, aun cuando el proyecto incluya adicionalmente actividades de construcción o reposición de redes de alcantarillado.</w:t>
            </w:r>
          </w:p>
          <w:p w14:paraId="70EBA6AD" w14:textId="77777777" w:rsidR="00113C9D" w:rsidRPr="00B91265" w:rsidRDefault="00113C9D" w:rsidP="00113C9D">
            <w:pPr>
              <w:spacing w:after="120" w:line="276" w:lineRule="auto"/>
              <w:ind w:firstLine="708"/>
              <w:jc w:val="both"/>
              <w:rPr>
                <w:rFonts w:ascii="Verdana" w:eastAsia="Calibri" w:hAnsi="Verdana" w:cs="Arial"/>
                <w:bCs/>
                <w:color w:val="000000" w:themeColor="text1"/>
                <w:lang w:val="es-ES" w:eastAsia="es-MX"/>
              </w:rPr>
            </w:pPr>
            <w:r w:rsidRPr="006610E9">
              <w:rPr>
                <w:rFonts w:ascii="Verdana" w:eastAsia="Calibri" w:hAnsi="Verdana" w:cs="Arial"/>
                <w:bCs/>
                <w:color w:val="000000" w:themeColor="text1"/>
                <w:lang w:val="es-ES" w:eastAsia="es-MX"/>
              </w:rPr>
              <w:t xml:space="preserve">En consecuencia, el criterio para determinar la aplicación de los Documentos Tipo no corresponde a un porcentaje mínimo de participación de las actividades viales, ni al valor económico de cada componente, sino a la naturaleza y alcance integral del objeto contractual y a su correspondencia con las actividades estandarizadas por la Agencia en la respectiva Matriz de Experiencia. </w:t>
            </w:r>
          </w:p>
        </w:tc>
      </w:tr>
    </w:tbl>
    <w:p w14:paraId="39003568" w14:textId="77777777" w:rsidR="00113C9D" w:rsidRPr="00367B52" w:rsidRDefault="00113C9D" w:rsidP="00113C9D">
      <w:pPr>
        <w:tabs>
          <w:tab w:val="left" w:pos="142"/>
          <w:tab w:val="left" w:pos="284"/>
        </w:tabs>
        <w:spacing w:after="0" w:line="276" w:lineRule="auto"/>
        <w:ind w:left="142" w:hanging="142"/>
        <w:jc w:val="both"/>
        <w:rPr>
          <w:rFonts w:ascii="Verdana" w:eastAsia="Century Gothic" w:hAnsi="Verdana" w:cs="Century Gothic"/>
          <w:b/>
          <w:bCs/>
          <w:color w:val="000000" w:themeColor="text1"/>
          <w:lang w:val="es-ES"/>
        </w:rPr>
      </w:pPr>
    </w:p>
    <w:p w14:paraId="580DB9D6" w14:textId="77777777" w:rsidR="00113C9D" w:rsidRPr="00367B52" w:rsidRDefault="00113C9D" w:rsidP="00113C9D">
      <w:pPr>
        <w:numPr>
          <w:ilvl w:val="0"/>
          <w:numId w:val="16"/>
        </w:num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367B52">
        <w:rPr>
          <w:rFonts w:ascii="Verdana" w:eastAsia="Century Gothic" w:hAnsi="Verdana" w:cs="Century Gothic"/>
          <w:b/>
          <w:bCs/>
          <w:color w:val="000000" w:themeColor="text1"/>
          <w:lang w:val="es-ES"/>
        </w:rPr>
        <w:t>Razones de la respuesta:</w:t>
      </w:r>
    </w:p>
    <w:p w14:paraId="219F2587" w14:textId="77777777" w:rsidR="00113C9D" w:rsidRPr="00367B52" w:rsidRDefault="00113C9D" w:rsidP="00113C9D">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p>
    <w:p w14:paraId="716F7D43" w14:textId="77777777" w:rsidR="00113C9D" w:rsidRPr="00367B52" w:rsidRDefault="00113C9D" w:rsidP="00113C9D">
      <w:p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367B52">
        <w:rPr>
          <w:rFonts w:ascii="Verdana" w:eastAsia="Calibri" w:hAnsi="Verdana" w:cs="Arial"/>
          <w:color w:val="000000" w:themeColor="text1"/>
          <w:lang w:val="es-ES" w:eastAsia="es-MX"/>
        </w:rPr>
        <w:t xml:space="preserve">Lo anterior se sustenta en las siguientes consideraciones: </w:t>
      </w:r>
    </w:p>
    <w:p w14:paraId="5D256FA5" w14:textId="77777777" w:rsidR="00113C9D" w:rsidRPr="00367B52" w:rsidRDefault="00113C9D" w:rsidP="00113C9D">
      <w:pPr>
        <w:spacing w:after="0" w:line="276" w:lineRule="auto"/>
        <w:jc w:val="both"/>
        <w:rPr>
          <w:rFonts w:ascii="Verdana" w:eastAsia="Calibri" w:hAnsi="Verdana" w:cs="Arial"/>
          <w:lang w:val="es-ES" w:eastAsia="es-MX"/>
        </w:rPr>
      </w:pPr>
    </w:p>
    <w:p w14:paraId="0038F3F9" w14:textId="77777777" w:rsidR="00113C9D" w:rsidRPr="00367B52" w:rsidRDefault="00113C9D" w:rsidP="00113C9D">
      <w:pPr>
        <w:spacing w:after="120" w:line="276" w:lineRule="auto"/>
        <w:jc w:val="both"/>
        <w:rPr>
          <w:rFonts w:ascii="Verdana" w:eastAsia="Aptos" w:hAnsi="Verdana" w:cs="Arial"/>
          <w:lang w:eastAsia="es-MX"/>
        </w:rPr>
      </w:pPr>
      <w:r w:rsidRPr="00367B52">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23F44192" w14:textId="77777777" w:rsidR="00113C9D" w:rsidRDefault="00113C9D" w:rsidP="00113C9D">
      <w:pPr>
        <w:spacing w:after="120" w:line="276" w:lineRule="auto"/>
        <w:ind w:firstLine="708"/>
        <w:jc w:val="both"/>
        <w:rPr>
          <w:rFonts w:ascii="Verdana" w:eastAsia="Aptos" w:hAnsi="Verdana" w:cs="Arial"/>
          <w:lang w:val="es-ES" w:eastAsia="es-MX"/>
        </w:rPr>
      </w:pPr>
      <w:r w:rsidRPr="00367B52">
        <w:rPr>
          <w:rFonts w:ascii="Verdana" w:eastAsia="Aptos" w:hAnsi="Verdana" w:cs="Arial"/>
          <w:lang w:val="es-ES" w:eastAsia="es-MX"/>
        </w:rPr>
        <w:t xml:space="preserve">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w:t>
      </w:r>
      <w:r w:rsidRPr="00367B52">
        <w:rPr>
          <w:rFonts w:ascii="Verdana" w:eastAsia="Aptos" w:hAnsi="Verdana" w:cs="Arial"/>
          <w:lang w:val="es-ES" w:eastAsia="es-MX"/>
        </w:rPr>
        <w:lastRenderedPageBreak/>
        <w:t>de licitación pública, selección abreviada de menor cuantía, mínima cuantía, concurso de méritos y contratación directa.</w:t>
      </w:r>
    </w:p>
    <w:p w14:paraId="6C8434A9" w14:textId="77777777" w:rsidR="00113C9D" w:rsidRPr="00F71992" w:rsidRDefault="00113C9D" w:rsidP="00113C9D">
      <w:pPr>
        <w:spacing w:after="120" w:line="276" w:lineRule="auto"/>
        <w:ind w:firstLine="708"/>
        <w:jc w:val="both"/>
        <w:rPr>
          <w:rFonts w:ascii="Verdana" w:eastAsia="Aptos" w:hAnsi="Verdana" w:cs="Arial"/>
          <w:lang w:eastAsia="es-MX"/>
        </w:rPr>
      </w:pPr>
      <w:r w:rsidRPr="00F71992">
        <w:rPr>
          <w:rFonts w:ascii="Verdana" w:eastAsia="Aptos" w:hAnsi="Verdana" w:cs="Arial"/>
          <w:lang w:eastAsia="es-MX"/>
        </w:rPr>
        <w:t>En desarrollo de la función que recae en la Agencia Nacional de Contratación Pública – Colombia Compra Eficiente conforme al artículo 2º del Decreto Ley 4170 de 2011, la Agencia concretará la voluntad del legislador con la implementación, desarrollo, publicación, revisión y actualización de los documentos tipo, según el avance y aplicación que éstos vayan teniendo en los sectores en los cuales vienen siendo adoptados.</w:t>
      </w:r>
    </w:p>
    <w:p w14:paraId="26E52F95" w14:textId="77777777" w:rsidR="00113C9D" w:rsidRPr="00F71992" w:rsidRDefault="00113C9D" w:rsidP="00113C9D">
      <w:pPr>
        <w:spacing w:after="120" w:line="276" w:lineRule="auto"/>
        <w:ind w:firstLine="708"/>
        <w:jc w:val="both"/>
        <w:rPr>
          <w:rFonts w:ascii="Verdana" w:eastAsia="Aptos" w:hAnsi="Verdana" w:cs="Arial"/>
          <w:lang w:eastAsia="es-MX"/>
        </w:rPr>
      </w:pPr>
      <w:r w:rsidRPr="00F71992">
        <w:rPr>
          <w:rFonts w:ascii="Verdana" w:eastAsia="Aptos" w:hAnsi="Verdana" w:cs="Arial"/>
          <w:lang w:eastAsia="es-MX"/>
        </w:rPr>
        <w:t>Esta situación resulta particularmente relevante teniendo en cuenta que, los documentos tipo, al fijar reglas uniformes para las entidades estatales sometidas al estatuto general de contratación de la administración pública y otros sujetos obligados a su aplicación, pueden convertirse en barreras estructurales de acceso cuando no incorporan enfoques diferenciales, afectando la participación de poblaciones históricamente excluidas.</w:t>
      </w:r>
    </w:p>
    <w:p w14:paraId="415F2818" w14:textId="77777777" w:rsidR="00113C9D" w:rsidRPr="00F71992" w:rsidRDefault="00113C9D" w:rsidP="00113C9D">
      <w:pPr>
        <w:spacing w:after="120" w:line="276" w:lineRule="auto"/>
        <w:ind w:firstLine="708"/>
        <w:jc w:val="both"/>
        <w:rPr>
          <w:rFonts w:ascii="Verdana" w:eastAsia="Aptos" w:hAnsi="Verdana" w:cs="Arial"/>
          <w:lang w:eastAsia="es-MX"/>
        </w:rPr>
      </w:pPr>
      <w:r w:rsidRPr="00F71992">
        <w:rPr>
          <w:rFonts w:ascii="Verdana" w:hAnsi="Verdana"/>
        </w:rPr>
        <w:t xml:space="preserve">Actualmente no existen documentos tipo para selección abreviada de menor cuantía para el sector de agua potable y saneamiento básico, actualmente la Agencia solo ha expedido las siguientes Resoluciones para este sector de Infraestructura, así:  </w:t>
      </w:r>
    </w:p>
    <w:p w14:paraId="7A91E6B3" w14:textId="77777777" w:rsidR="00113C9D" w:rsidRPr="00F71992" w:rsidRDefault="00113C9D" w:rsidP="00113C9D">
      <w:pPr>
        <w:pStyle w:val="Prrafodelista"/>
        <w:numPr>
          <w:ilvl w:val="0"/>
          <w:numId w:val="20"/>
        </w:numPr>
        <w:spacing w:line="278" w:lineRule="auto"/>
        <w:jc w:val="both"/>
        <w:rPr>
          <w:rFonts w:ascii="Verdana" w:hAnsi="Verdana"/>
        </w:rPr>
      </w:pPr>
      <w:r w:rsidRPr="00F71992">
        <w:rPr>
          <w:rFonts w:ascii="Verdana" w:hAnsi="Verdana"/>
        </w:rPr>
        <w:t>Resolución 248 del 1 de diciembre de 2020: «Por la cual se adoptan los documentos tipo para los procesos de licitación pública para obras de infraestructura de agua potable y saneamiento básico»</w:t>
      </w:r>
    </w:p>
    <w:p w14:paraId="4A4C53E4" w14:textId="77777777" w:rsidR="00113C9D" w:rsidRPr="00F71992" w:rsidRDefault="00113C9D" w:rsidP="00113C9D">
      <w:pPr>
        <w:pStyle w:val="Prrafodelista"/>
        <w:numPr>
          <w:ilvl w:val="0"/>
          <w:numId w:val="20"/>
        </w:numPr>
        <w:spacing w:line="278" w:lineRule="auto"/>
        <w:jc w:val="both"/>
        <w:rPr>
          <w:rFonts w:ascii="Verdana" w:hAnsi="Verdana"/>
        </w:rPr>
      </w:pPr>
      <w:r w:rsidRPr="00F71992">
        <w:rPr>
          <w:rFonts w:ascii="Verdana" w:hAnsi="Verdana"/>
        </w:rPr>
        <w:t>Resolución 249 del 1 de diciembre de 2020: «Por la cual se adoptan los documentos tipo para los procesos de licitación pública para obras de infraestructura de agua potable y saneamiento básico en la modalidad de llave en mano».</w:t>
      </w:r>
    </w:p>
    <w:p w14:paraId="6D3B3D33" w14:textId="77777777" w:rsidR="00113C9D" w:rsidRPr="00F71992" w:rsidRDefault="00113C9D" w:rsidP="00113C9D">
      <w:pPr>
        <w:pStyle w:val="Prrafodelista"/>
        <w:numPr>
          <w:ilvl w:val="0"/>
          <w:numId w:val="20"/>
        </w:numPr>
        <w:spacing w:line="278" w:lineRule="auto"/>
        <w:jc w:val="both"/>
        <w:rPr>
          <w:rFonts w:ascii="Verdana" w:hAnsi="Verdana"/>
        </w:rPr>
      </w:pPr>
      <w:r w:rsidRPr="00F71992">
        <w:rPr>
          <w:rFonts w:ascii="Verdana" w:hAnsi="Verdana"/>
        </w:rPr>
        <w:t>Resolución 333 del 27 de julio de 2022: «Por la cual se adoptan los documentos tipo para los procesos de selección de concurso de méritos para contratar la interventoría de obras públicas de infraestructura de agua potable y saneamiento básico».</w:t>
      </w:r>
    </w:p>
    <w:p w14:paraId="14A7B289" w14:textId="77777777" w:rsidR="00113C9D" w:rsidRPr="00F71992" w:rsidRDefault="00113C9D" w:rsidP="00113C9D">
      <w:pPr>
        <w:spacing w:after="120"/>
        <w:ind w:firstLine="708"/>
        <w:jc w:val="both"/>
        <w:rPr>
          <w:rFonts w:ascii="Verdana" w:eastAsia="Aptos" w:hAnsi="Verdana" w:cs="ArialMT"/>
        </w:rPr>
      </w:pPr>
      <w:r w:rsidRPr="00F71992">
        <w:rPr>
          <w:rFonts w:ascii="Verdana" w:eastAsia="Aptos" w:hAnsi="Verdana" w:cs="ArialMT"/>
        </w:rPr>
        <w:t xml:space="preserve">Ahora bien, 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w:t>
      </w:r>
      <w:r w:rsidRPr="00F71992">
        <w:rPr>
          <w:rFonts w:ascii="Verdana" w:eastAsia="Aptos" w:hAnsi="Verdana" w:cs="ArialMT"/>
        </w:rPr>
        <w:lastRenderedPageBreak/>
        <w:t>cuando se ha establecido que el objeto contractual y la modalidad en la que debe contratarse están dentro del ámbito de aplicación de las resoluciones expedidas por esta Agencia mediante las cuales se adoptan documentos tipo.</w:t>
      </w:r>
    </w:p>
    <w:p w14:paraId="0078DF8E" w14:textId="77777777" w:rsidR="00113C9D" w:rsidRPr="00367B52" w:rsidRDefault="00113C9D" w:rsidP="00113C9D">
      <w:pPr>
        <w:spacing w:after="120"/>
        <w:ind w:firstLine="708"/>
        <w:jc w:val="both"/>
        <w:rPr>
          <w:rFonts w:ascii="Verdana" w:eastAsia="Aptos" w:hAnsi="Verdana" w:cs="ArialMT"/>
        </w:rPr>
      </w:pPr>
      <w:r w:rsidRPr="00367B52">
        <w:rPr>
          <w:rFonts w:ascii="Verdana" w:eastAsia="Aptos" w:hAnsi="Verdana" w:cs="ArialMT"/>
        </w:rPr>
        <w:t xml:space="preserve">La Ley 2022 de 2020 indicó que la Agencia Nacional de Contratación Pública – Colombia Compra Eficiente, debe revisar constantemente el contenido de los documentos tipo que expida. En desarrollo de este deber, esta Agencia estableció un procedimiento para recibir y revisar los comentarios a los documentos tipo de infraestructura de transporte, realizados por todos los partícipes del sistema de la compra pública en el primero y parte del segundo semestre del año 2024. Como consecuencia de ello, se expidieron los diferentes actos administrativos por medio de los cuales se adoptaron y/o modificaron los documentos tipo de este sector, y en simultaneo se publicaron las respuestas a todas las observaciones y/o comentarios realizados a los proyectos de documentos tipo. </w:t>
      </w:r>
    </w:p>
    <w:p w14:paraId="3824FD63" w14:textId="77777777" w:rsidR="00113C9D" w:rsidRPr="00367B52" w:rsidRDefault="00113C9D" w:rsidP="00113C9D">
      <w:pPr>
        <w:spacing w:after="120"/>
        <w:ind w:firstLine="708"/>
        <w:jc w:val="both"/>
        <w:rPr>
          <w:rFonts w:ascii="Verdana" w:eastAsia="Aptos" w:hAnsi="Verdana" w:cs="ArialMT"/>
        </w:rPr>
      </w:pPr>
      <w:r w:rsidRPr="00367B52">
        <w:rPr>
          <w:rFonts w:ascii="Verdana" w:eastAsia="Aptos" w:hAnsi="Verdana" w:cs="ArialMT"/>
        </w:rPr>
        <w:t xml:space="preserve">Así, los documentos tipo del sector de infraestructura de transporte fueron modificados después de surtir el procedimiento interno establecido por esta Agencia. En la actualización de estos documentos tipo, participaron entidades técnicas y especializadas del sector transporte, tales como el Instituto Nacional de Vías – INVIAS, el Instituto de Desarrollo Urbano – IDU, el Instituto de Infraestructura y Concesiones de Cundinamarca – ICCU, entre otras. </w:t>
      </w:r>
    </w:p>
    <w:p w14:paraId="7E199EA5" w14:textId="77777777" w:rsidR="00113C9D" w:rsidRPr="00367B52" w:rsidRDefault="00113C9D" w:rsidP="00113C9D">
      <w:pPr>
        <w:spacing w:before="120" w:after="120" w:line="276" w:lineRule="auto"/>
        <w:ind w:firstLine="709"/>
        <w:jc w:val="both"/>
        <w:rPr>
          <w:rFonts w:ascii="Verdana" w:eastAsia="Calibri" w:hAnsi="Verdana" w:cs="Arial"/>
          <w:kern w:val="2"/>
          <w14:ligatures w14:val="standardContextual"/>
        </w:rPr>
      </w:pPr>
      <w:r w:rsidRPr="00367B52">
        <w:rPr>
          <w:rFonts w:ascii="Verdana" w:eastAsia="Aptos" w:hAnsi="Verdana" w:cs="Arial"/>
          <w:lang w:val="es-ES"/>
        </w:rPr>
        <w:t xml:space="preserve">En relación con los documentos tipo de licitación de obra pública de infraestructura de transporte, mediante la Resolución 463 del 10 de septiembre de 2024, se adoptó la </w:t>
      </w:r>
      <w:r w:rsidRPr="00367B52">
        <w:rPr>
          <w:rFonts w:ascii="Verdana" w:eastAsia="Calibri" w:hAnsi="Verdana" w:cs="Arial"/>
          <w:kern w:val="2"/>
          <w14:ligatures w14:val="standardContextual"/>
        </w:rPr>
        <w:t xml:space="preserve">versión 3 de estos documentos y se derogó la Resolución 241 de 2020. </w:t>
      </w:r>
    </w:p>
    <w:p w14:paraId="37E829E3" w14:textId="77777777" w:rsidR="00113C9D" w:rsidRPr="00367B52" w:rsidRDefault="00113C9D" w:rsidP="00113C9D">
      <w:pPr>
        <w:spacing w:before="120" w:after="120" w:line="276" w:lineRule="auto"/>
        <w:ind w:firstLine="709"/>
        <w:jc w:val="both"/>
        <w:rPr>
          <w:rFonts w:ascii="Verdana" w:eastAsia="Aptos" w:hAnsi="Verdana" w:cs="Arial"/>
          <w:lang w:val="es-ES"/>
        </w:rPr>
      </w:pPr>
      <w:r w:rsidRPr="00367B52">
        <w:rPr>
          <w:rFonts w:ascii="Verdana" w:eastAsia="Aptos" w:hAnsi="Verdana" w:cs="Arial"/>
          <w:lang w:val="es-ES"/>
        </w:rPr>
        <w:t>La parte introductoria del pliego de condiciones de los documentos tipo analizados dispone que estos se aplican a los procedimientos de selección abreviada de menor cuantía de obra pública de infraestructura de transporte (versión 3), que correspondan a las actividades definidas en la “Matriz 1 – Experiencia”. En consecuencia, las actividades de infraestructura de transporte no contempladas en la Matriz 1 – Experiencia no tienen que aplicar los documentos tipo; sin perjuicio de lo previsto en el artículo 2.2.1.1.1.2.1 del Decreto 1082 de 2015 o la norma que la modifique, sustituya o complemente, además, de lo contenido en el artículo 4 de la Resolución 463 de 2024, relacionados con la posibilidad de exigir experiencia adicional en determinados supuestos.</w:t>
      </w:r>
    </w:p>
    <w:p w14:paraId="609BAC60" w14:textId="77777777" w:rsidR="00113C9D" w:rsidRPr="00367B52" w:rsidRDefault="00113C9D" w:rsidP="00113C9D">
      <w:pPr>
        <w:spacing w:before="120" w:after="120" w:line="276" w:lineRule="auto"/>
        <w:ind w:firstLine="709"/>
        <w:jc w:val="both"/>
        <w:rPr>
          <w:rFonts w:ascii="Verdana" w:hAnsi="Verdana"/>
          <w:lang w:val="es-ES"/>
        </w:rPr>
      </w:pPr>
      <w:r w:rsidRPr="00367B52">
        <w:rPr>
          <w:rFonts w:ascii="Verdana" w:hAnsi="Verdana"/>
        </w:rPr>
        <w:lastRenderedPageBreak/>
        <w:t xml:space="preserve">Ahora bien, </w:t>
      </w:r>
      <w:r w:rsidRPr="00367B52">
        <w:rPr>
          <w:rFonts w:ascii="Verdana" w:hAnsi="Verdana"/>
          <w:lang w:val="es-ES"/>
        </w:rPr>
        <w:t>conforme a la consulta planteada, se menciona que el proyecto contempla como parte de su alcance la construcción o reposición de redes de alcantarillado urbano asociadas a una vía, así como la construcción de un tramo de vía en concreto rígido para restablecer la infraestructura vial intervenida. En ese sentido, resulta necesario determinar si las actividades que integran el objeto contractual corresponden a alguna de las contempladas en la “Matriz 1 – Experiencia” de los Documentos Tipo de infraestructura de transporte. De ser así, el proceso podría encontrarse dentro del ámbito de aplicación de la Resolución 463 de 2024, “Por la cual se adopta la versión -3- de los Documentos Tipo para los procesos de selección abreviada de menor cuantía de obra pública de infraestructura de transporte y se deroga la Resolución 241 de 2020”, siempre que se cumplan los demás presupuestos establecidos para su aplicación.</w:t>
      </w:r>
    </w:p>
    <w:p w14:paraId="4F30C095" w14:textId="77777777" w:rsidR="00113C9D" w:rsidRPr="00367B52" w:rsidRDefault="00113C9D" w:rsidP="00113C9D">
      <w:pPr>
        <w:spacing w:before="120" w:after="120" w:line="276" w:lineRule="auto"/>
        <w:ind w:firstLine="709"/>
        <w:jc w:val="both"/>
        <w:rPr>
          <w:rFonts w:ascii="Verdana" w:hAnsi="Verdana"/>
        </w:rPr>
      </w:pPr>
      <w:r w:rsidRPr="00367B52">
        <w:rPr>
          <w:rFonts w:ascii="Verdana" w:hAnsi="Verdana"/>
        </w:rPr>
        <w:t>Le corresponde a la entidad estatal, de acuerdo con las condiciones particulares del proyecto y con fundamento en los estudios y documentos que soportan la planeación del proceso, identificar las actividades que integran el objeto contractual, establecer su relación y relevancia dentro del alcance integral de la obra y verificar si estas se encuentran comprendidas en la “Matriz 1 – Experiencia” de los Documentos Tipo para los procesos de selección abreviada de menor cuantía de obra pública de infraestructura de transporte. A partir de este análisis, deberá determinar si el proyecto se encuentra dentro del ámbito de aplicación de los Documentos Tipo expedidos por la Agencia.</w:t>
      </w:r>
    </w:p>
    <w:p w14:paraId="1C58E893" w14:textId="77777777" w:rsidR="00113C9D" w:rsidRPr="00367B52" w:rsidRDefault="00113C9D" w:rsidP="00113C9D">
      <w:pPr>
        <w:spacing w:before="120" w:after="120" w:line="276" w:lineRule="auto"/>
        <w:ind w:firstLine="709"/>
        <w:jc w:val="both"/>
        <w:rPr>
          <w:rFonts w:ascii="Verdana" w:hAnsi="Verdana"/>
        </w:rPr>
      </w:pPr>
      <w:r w:rsidRPr="00367B52">
        <w:rPr>
          <w:rFonts w:ascii="Verdana" w:hAnsi="Verdana"/>
        </w:rPr>
        <w:t>Ahora bien, conforme al artículo 4 de la Resolución 463 de 2024, cuando el objeto contractual incluya obras, bienes o servicios adicionales a la obra pública de infraestructura de transporte, la entidad estatal deberá aplicar los Documentos Tipo y, excepcionalmente, podrá exigir experiencia adicional para evaluar la idoneidad del contratista respecto de aquellas actividades que no se encuentren incluidas en la matriz de experiencia aplicable, siempre que observe los parámetros establecidos en dicha disposición.</w:t>
      </w:r>
    </w:p>
    <w:p w14:paraId="19DF1E14" w14:textId="77777777" w:rsidR="00113C9D" w:rsidRPr="00367B52" w:rsidRDefault="00113C9D" w:rsidP="00113C9D">
      <w:pPr>
        <w:spacing w:before="120" w:after="120" w:line="276" w:lineRule="auto"/>
        <w:ind w:firstLine="709"/>
        <w:jc w:val="both"/>
        <w:rPr>
          <w:rFonts w:ascii="Verdana" w:hAnsi="Verdana"/>
        </w:rPr>
      </w:pPr>
      <w:r w:rsidRPr="00367B52">
        <w:rPr>
          <w:rFonts w:ascii="Verdana" w:hAnsi="Verdana"/>
        </w:rPr>
        <w:t>En efecto, el referido artículo dispone:</w:t>
      </w:r>
    </w:p>
    <w:p w14:paraId="1F91B478" w14:textId="77777777" w:rsidR="00113C9D" w:rsidRPr="00367B52" w:rsidRDefault="00113C9D" w:rsidP="00113C9D">
      <w:pPr>
        <w:ind w:left="708" w:right="1041"/>
        <w:jc w:val="both"/>
        <w:rPr>
          <w:rFonts w:ascii="Verdana" w:hAnsi="Verdana"/>
          <w:i/>
          <w:iCs/>
          <w:sz w:val="20"/>
          <w:szCs w:val="20"/>
        </w:rPr>
      </w:pPr>
      <w:r w:rsidRPr="00367B52">
        <w:rPr>
          <w:rFonts w:ascii="Verdana" w:hAnsi="Verdana"/>
          <w:i/>
          <w:iCs/>
          <w:sz w:val="20"/>
          <w:szCs w:val="20"/>
        </w:rPr>
        <w:t xml:space="preserve"> “Artículo 4. Obras, bienes o servicios adicionales a la obra pública de infraestructura de transporte. Cuando el objeto contractual incluya obras, bienes o servicios adicionales a la obra pública de infraestructura de transporte, la entidad estatal deberá aplicar los documentos tipo. Si de manera excepcional requiere incluir experiencia adicional para evaluar la idoneidad respecto de los bienes o servicios adicionales a la </w:t>
      </w:r>
      <w:r w:rsidRPr="00367B52">
        <w:rPr>
          <w:rFonts w:ascii="Verdana" w:hAnsi="Verdana"/>
          <w:i/>
          <w:iCs/>
          <w:sz w:val="20"/>
          <w:szCs w:val="20"/>
        </w:rPr>
        <w:lastRenderedPageBreak/>
        <w:t xml:space="preserve">obra pública de infraestructura de transporte, deberá seguir los siguientes parámetros: </w:t>
      </w:r>
    </w:p>
    <w:p w14:paraId="33C512D9" w14:textId="77777777" w:rsidR="00113C9D" w:rsidRPr="00367B52" w:rsidRDefault="00113C9D" w:rsidP="00113C9D">
      <w:pPr>
        <w:ind w:left="708" w:right="1041"/>
        <w:jc w:val="both"/>
        <w:rPr>
          <w:rFonts w:ascii="Verdana" w:hAnsi="Verdana"/>
          <w:i/>
          <w:iCs/>
          <w:sz w:val="20"/>
          <w:szCs w:val="20"/>
        </w:rPr>
      </w:pPr>
      <w:r w:rsidRPr="00367B52">
        <w:rPr>
          <w:rFonts w:ascii="Verdana" w:hAnsi="Verdana"/>
          <w:i/>
          <w:iCs/>
          <w:sz w:val="20"/>
          <w:szCs w:val="20"/>
        </w:rPr>
        <w:t xml:space="preserve">1. Demostrar en los estudios previos que ha verificado las condiciones de mercado para la contratación de las obras, bienes o servicios adicionales al componente de obra pública, de tal manera que la experiencia adicional que se exija para tales bienes o servicios procure la pluralidad de oferentes y no limite la concurrencia al proceso de contratación. Para tal efecto, la entidad realizará el estudio previo y el análisis del sector en los términos de los artículos 2.2.1.1.1.6.1 y 2.2.1.1.1.6.2 del Decreto 1082 de 2015, o la norma que los adicione, complemente o sustituya </w:t>
      </w:r>
    </w:p>
    <w:p w14:paraId="2A70CB9A" w14:textId="77777777" w:rsidR="00113C9D" w:rsidRPr="00367B52" w:rsidRDefault="00113C9D" w:rsidP="00113C9D">
      <w:pPr>
        <w:ind w:left="708" w:right="1041"/>
        <w:jc w:val="both"/>
        <w:rPr>
          <w:rFonts w:ascii="Verdana" w:hAnsi="Verdana"/>
          <w:i/>
          <w:iCs/>
          <w:sz w:val="20"/>
          <w:szCs w:val="20"/>
        </w:rPr>
      </w:pPr>
      <w:r w:rsidRPr="00367B52">
        <w:rPr>
          <w:rFonts w:ascii="Verdana" w:hAnsi="Verdana"/>
          <w:i/>
          <w:iCs/>
          <w:sz w:val="20"/>
          <w:szCs w:val="20"/>
        </w:rPr>
        <w:t xml:space="preserve">2. Conservar los requisitos exigidos en los documentos tipo. </w:t>
      </w:r>
    </w:p>
    <w:p w14:paraId="443F9256" w14:textId="77777777" w:rsidR="00113C9D" w:rsidRPr="00367B52" w:rsidRDefault="00113C9D" w:rsidP="00113C9D">
      <w:pPr>
        <w:ind w:left="708" w:right="1041"/>
        <w:jc w:val="both"/>
        <w:rPr>
          <w:rFonts w:ascii="Verdana" w:hAnsi="Verdana"/>
          <w:i/>
          <w:iCs/>
          <w:sz w:val="20"/>
          <w:szCs w:val="20"/>
        </w:rPr>
      </w:pPr>
      <w:r w:rsidRPr="00367B52">
        <w:rPr>
          <w:rFonts w:ascii="Verdana" w:hAnsi="Verdana"/>
          <w:i/>
          <w:iCs/>
          <w:sz w:val="20"/>
          <w:szCs w:val="20"/>
        </w:rPr>
        <w:t xml:space="preserve">3. Abstenerse de pedir experiencia exclusiva con entidades estatales, experiencia previa en un territorio específico, limitada en el tiempo o que incluya volúmenes o cantidades de obra específica. </w:t>
      </w:r>
    </w:p>
    <w:p w14:paraId="55DDBA58" w14:textId="77777777" w:rsidR="00113C9D" w:rsidRPr="00367B52" w:rsidRDefault="00113C9D" w:rsidP="00113C9D">
      <w:pPr>
        <w:ind w:left="708" w:right="1041"/>
        <w:jc w:val="both"/>
        <w:rPr>
          <w:rFonts w:ascii="Verdana" w:hAnsi="Verdana"/>
          <w:i/>
          <w:iCs/>
          <w:sz w:val="20"/>
          <w:szCs w:val="20"/>
        </w:rPr>
      </w:pPr>
      <w:r w:rsidRPr="00367B52">
        <w:rPr>
          <w:rFonts w:ascii="Verdana" w:hAnsi="Verdana"/>
          <w:i/>
          <w:iCs/>
          <w:sz w:val="20"/>
          <w:szCs w:val="20"/>
        </w:rPr>
        <w:t xml:space="preserve">4. Clasificar la experiencia requerida solo hasta el tercer nivel del Clasificador de Bienes y Servicios e incluir exclusivamente los códigos que estén relacionados directamente con el objeto a contratar. </w:t>
      </w:r>
    </w:p>
    <w:p w14:paraId="36429849" w14:textId="77777777" w:rsidR="00113C9D" w:rsidRPr="00367B52" w:rsidRDefault="00113C9D" w:rsidP="00113C9D">
      <w:pPr>
        <w:ind w:left="708" w:right="1041"/>
        <w:jc w:val="both"/>
        <w:rPr>
          <w:rFonts w:ascii="Verdana" w:hAnsi="Verdana"/>
          <w:i/>
          <w:iCs/>
          <w:sz w:val="20"/>
          <w:szCs w:val="20"/>
        </w:rPr>
      </w:pPr>
      <w:r w:rsidRPr="00367B52">
        <w:rPr>
          <w:rFonts w:ascii="Verdana" w:hAnsi="Verdana"/>
          <w:i/>
          <w:iCs/>
          <w:sz w:val="20"/>
          <w:szCs w:val="20"/>
        </w:rPr>
        <w:t>Parágrafo 1°. En los casos en que el objeto contractual incluya actividades que son abarcadas por otros documentos tipo, la Entidad Estatal aplicará las reglas de combinación de experiencia previstas en el numeral 3.5.2 del documento base.</w:t>
      </w:r>
    </w:p>
    <w:p w14:paraId="33D90BF3" w14:textId="77777777" w:rsidR="00113C9D" w:rsidRPr="00367B52" w:rsidRDefault="00113C9D" w:rsidP="00113C9D">
      <w:pPr>
        <w:ind w:left="708" w:right="1041"/>
        <w:jc w:val="both"/>
        <w:rPr>
          <w:rFonts w:ascii="Verdana" w:hAnsi="Verdana"/>
          <w:i/>
          <w:iCs/>
          <w:sz w:val="20"/>
          <w:szCs w:val="20"/>
        </w:rPr>
      </w:pPr>
      <w:r w:rsidRPr="00367B52">
        <w:rPr>
          <w:rFonts w:ascii="Verdana" w:hAnsi="Verdana"/>
          <w:i/>
          <w:iCs/>
          <w:sz w:val="20"/>
          <w:szCs w:val="20"/>
        </w:rPr>
        <w:t>Parágrafo 2°. Para los efectos de este artículo se entiende por "obras, bienes o servicios adicionales" aquellas actividades que no están incluidas en la matriz de experiencia de los documentos tipo de infraestructura de transporte aplicable, pero que están relacionadas con el contrato a ejecutar. Por ejemplo, en caso de que el proyecto de obra pública a ejecutar esté relacionado con infraestructura de transporte, pero, además, con proyectos de agua potable y saneamiento básico o con proyectos de infraestructura social, el servicio adicional serán las actividades de obra pública en infraestructura de agua potable y saneamiento básico o las actividades de obra pública de infraestructura social.</w:t>
      </w:r>
    </w:p>
    <w:p w14:paraId="28AC448B" w14:textId="77777777" w:rsidR="00113C9D" w:rsidRDefault="00113C9D" w:rsidP="00113C9D">
      <w:pPr>
        <w:ind w:firstLine="708"/>
        <w:jc w:val="both"/>
        <w:rPr>
          <w:rFonts w:ascii="Verdana" w:hAnsi="Verdana"/>
          <w:lang w:val="es-ES"/>
        </w:rPr>
      </w:pPr>
      <w:r w:rsidRPr="00367B52">
        <w:rPr>
          <w:rFonts w:ascii="Verdana" w:hAnsi="Verdana"/>
          <w:lang w:val="es-ES"/>
        </w:rPr>
        <w:t xml:space="preserve">En ese sentido, si conforme al alcance integral del proyecto la entidad determina que este corresponde a una obra pública de infraestructura de transporte y que, adicionalmente, comprende actividades de construcción o reposición de redes de alcantarillado que no se encuentran incluidas en la “Matriz 1 – Experiencia” aplicable, dichas actividades podrían ser consideradas como </w:t>
      </w:r>
      <w:r w:rsidRPr="00367B52">
        <w:rPr>
          <w:rFonts w:ascii="Verdana" w:hAnsi="Verdana"/>
          <w:lang w:val="es-ES"/>
        </w:rPr>
        <w:lastRenderedPageBreak/>
        <w:t>obras adicionales en los términos del artículo 4 de la Resolución 463 de 2024. En tal evento, la entidad deberá aplicar los Documentos Tipo de infraestructura de transporte y, si excepcionalmente considera necesario acreditar experiencia respecto de las actividades adicionales, deberá observar los parámetros establecidos en la citada disposición</w:t>
      </w:r>
      <w:r>
        <w:rPr>
          <w:rFonts w:ascii="Verdana" w:hAnsi="Verdana"/>
          <w:lang w:val="es-ES"/>
        </w:rPr>
        <w:t>.</w:t>
      </w:r>
    </w:p>
    <w:p w14:paraId="73CE451C" w14:textId="77777777" w:rsidR="00113C9D" w:rsidRPr="00367B52" w:rsidRDefault="00113C9D" w:rsidP="00113C9D">
      <w:pPr>
        <w:ind w:firstLine="708"/>
        <w:jc w:val="both"/>
        <w:rPr>
          <w:rFonts w:ascii="Verdana" w:hAnsi="Verdana"/>
          <w:lang w:val="es-ES"/>
        </w:rPr>
      </w:pPr>
      <w:r w:rsidRPr="00367B52">
        <w:rPr>
          <w:rFonts w:ascii="Verdana" w:hAnsi="Verdana"/>
          <w:lang w:val="es-ES"/>
        </w:rPr>
        <w:t>Esto, además, permite conectar directamente con el parágrafo 1 del artículo 4, según el cual, cuando el objeto contractual incluya actividades que sean abarcadas por otros Documentos Tipo, la entidad deberá aplicar las reglas de combinación de experiencia previstas en el numeral 3.5.2 del Documento Base.</w:t>
      </w:r>
    </w:p>
    <w:p w14:paraId="4B3E415A" w14:textId="77777777" w:rsidR="00113C9D" w:rsidRPr="00367B52" w:rsidRDefault="00113C9D" w:rsidP="00113C9D">
      <w:pPr>
        <w:jc w:val="both"/>
        <w:rPr>
          <w:lang w:val="es-ES"/>
        </w:rPr>
      </w:pPr>
    </w:p>
    <w:p w14:paraId="2E5DEF0A" w14:textId="77777777" w:rsidR="00113C9D" w:rsidRPr="00B26CFE" w:rsidRDefault="00113C9D" w:rsidP="00113C9D">
      <w:pPr>
        <w:spacing w:before="120" w:after="120" w:line="276" w:lineRule="auto"/>
        <w:ind w:firstLine="709"/>
        <w:jc w:val="both"/>
        <w:rPr>
          <w:rFonts w:ascii="Verdana" w:eastAsia="Calibri" w:hAnsi="Verdana" w:cs="Arial"/>
          <w:kern w:val="2"/>
          <w14:ligatures w14:val="standardContextual"/>
        </w:rPr>
      </w:pPr>
    </w:p>
    <w:p w14:paraId="64A82833" w14:textId="77777777" w:rsidR="00113C9D" w:rsidRDefault="00113C9D" w:rsidP="00113C9D">
      <w:pPr>
        <w:tabs>
          <w:tab w:val="left" w:pos="142"/>
          <w:tab w:val="left" w:pos="284"/>
        </w:tabs>
        <w:snapToGrid w:val="0"/>
        <w:spacing w:after="0" w:line="276" w:lineRule="auto"/>
        <w:ind w:left="357"/>
        <w:jc w:val="both"/>
        <w:rPr>
          <w:rFonts w:ascii="Verdana" w:eastAsia="Century Gothic" w:hAnsi="Verdana" w:cs="Century Gothic"/>
          <w:b/>
          <w:bCs/>
          <w:lang w:val="es-ES_tradnl"/>
        </w:rPr>
      </w:pPr>
    </w:p>
    <w:p w14:paraId="221B1701" w14:textId="77777777" w:rsidR="00113C9D" w:rsidRPr="004D7523" w:rsidRDefault="00113C9D" w:rsidP="00113C9D">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044E391D" w14:textId="77777777" w:rsidR="00113C9D" w:rsidRPr="004D7523" w:rsidRDefault="00113C9D" w:rsidP="00113C9D">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113C9D" w:rsidRPr="00D56B2A" w14:paraId="6877A9B6" w14:textId="77777777" w:rsidTr="00113C9D">
        <w:trPr>
          <w:trHeight w:val="2116"/>
        </w:trPr>
        <w:tc>
          <w:tcPr>
            <w:tcW w:w="8647" w:type="dxa"/>
            <w:tcBorders>
              <w:top w:val="dotted" w:sz="4" w:space="0" w:color="auto"/>
              <w:left w:val="dotted" w:sz="4" w:space="0" w:color="auto"/>
              <w:bottom w:val="dotted" w:sz="4" w:space="0" w:color="auto"/>
              <w:right w:val="dotted" w:sz="4" w:space="0" w:color="auto"/>
            </w:tcBorders>
          </w:tcPr>
          <w:p w14:paraId="47F1C668" w14:textId="77777777" w:rsidR="00113C9D" w:rsidRPr="00D56B2A" w:rsidRDefault="00113C9D" w:rsidP="00113C9D">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21555874" w14:textId="77777777" w:rsidR="00113C9D" w:rsidRPr="00DA2A79" w:rsidRDefault="00113C9D" w:rsidP="00113C9D">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622F175B" w14:textId="77777777" w:rsidR="00113C9D" w:rsidRPr="00F71992" w:rsidRDefault="00113C9D" w:rsidP="00113C9D">
            <w:pPr>
              <w:widowControl w:val="0"/>
              <w:numPr>
                <w:ilvl w:val="0"/>
                <w:numId w:val="17"/>
              </w:numPr>
              <w:autoSpaceDE w:val="0"/>
              <w:autoSpaceDN w:val="0"/>
              <w:spacing w:after="120" w:line="276" w:lineRule="auto"/>
              <w:jc w:val="both"/>
              <w:rPr>
                <w:rFonts w:ascii="Verdana" w:hAnsi="Verdana" w:cs="Arial"/>
                <w:color w:val="3399FF"/>
              </w:rPr>
            </w:pPr>
            <w:r w:rsidRPr="00F71992">
              <w:rPr>
                <w:rFonts w:ascii="Verdana" w:eastAsia="Aptos" w:hAnsi="Verdana" w:cs="Arial"/>
                <w:lang w:eastAsia="es-MX"/>
              </w:rPr>
              <w:t>Decreto Ley 4170 de 2011</w:t>
            </w:r>
            <w:r>
              <w:rPr>
                <w:rFonts w:ascii="Verdana" w:eastAsia="Aptos" w:hAnsi="Verdana" w:cs="Arial"/>
                <w:lang w:eastAsia="es-MX"/>
              </w:rPr>
              <w:t>, artículo 2</w:t>
            </w:r>
          </w:p>
          <w:p w14:paraId="439FE742" w14:textId="77777777" w:rsidR="00113C9D" w:rsidRPr="00254D68" w:rsidRDefault="00113C9D" w:rsidP="00113C9D">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tc>
      </w:tr>
    </w:tbl>
    <w:p w14:paraId="51B6AA0C" w14:textId="77777777" w:rsidR="00113C9D" w:rsidRPr="00155CC1" w:rsidRDefault="00113C9D" w:rsidP="00113C9D">
      <w:pPr>
        <w:tabs>
          <w:tab w:val="left" w:pos="142"/>
          <w:tab w:val="left" w:pos="284"/>
        </w:tabs>
        <w:spacing w:after="0" w:line="276" w:lineRule="auto"/>
        <w:jc w:val="both"/>
        <w:rPr>
          <w:rFonts w:ascii="Verdana" w:eastAsia="Calibri" w:hAnsi="Verdana" w:cs="Arial"/>
          <w:color w:val="6699FF"/>
        </w:rPr>
      </w:pPr>
    </w:p>
    <w:p w14:paraId="67A65CA8" w14:textId="77777777" w:rsidR="00113C9D" w:rsidRPr="0026211F" w:rsidRDefault="00113C9D" w:rsidP="00113C9D">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743D921D" w14:textId="77777777" w:rsidR="00113C9D" w:rsidRDefault="00113C9D" w:rsidP="00113C9D">
      <w:pPr>
        <w:widowControl w:val="0"/>
        <w:autoSpaceDE w:val="0"/>
        <w:autoSpaceDN w:val="0"/>
        <w:spacing w:after="120" w:line="276" w:lineRule="auto"/>
        <w:jc w:val="both"/>
        <w:rPr>
          <w:rFonts w:ascii="Verdana" w:eastAsia="Calibri" w:hAnsi="Verdana" w:cs="Arial"/>
          <w:shd w:val="clear" w:color="auto" w:fill="FFFFFF"/>
        </w:rPr>
      </w:pPr>
    </w:p>
    <w:p w14:paraId="791B50C0" w14:textId="77777777" w:rsidR="00113C9D" w:rsidRPr="00E15FD8" w:rsidRDefault="00113C9D" w:rsidP="00113C9D">
      <w:pPr>
        <w:widowControl w:val="0"/>
        <w:autoSpaceDE w:val="0"/>
        <w:autoSpaceDN w:val="0"/>
        <w:spacing w:after="120" w:line="276" w:lineRule="auto"/>
        <w:jc w:val="both"/>
        <w:rPr>
          <w:rFonts w:ascii="Verdana" w:eastAsia="Times New Roman" w:hAnsi="Verdana" w:cs="Arial"/>
          <w:shd w:val="clear" w:color="auto" w:fill="FFFFFF"/>
          <w:lang w:val="es-ES"/>
        </w:rPr>
      </w:pPr>
      <w:r w:rsidRPr="00E15FD8">
        <w:rPr>
          <w:rFonts w:ascii="Verdana" w:eastAsia="Calibri" w:hAnsi="Verdana" w:cs="Arial"/>
          <w:shd w:val="clear" w:color="auto" w:fill="FFFFFF"/>
        </w:rPr>
        <w:t>L</w:t>
      </w:r>
      <w:r w:rsidRPr="00E15FD8">
        <w:rPr>
          <w:rFonts w:ascii="Verdana" w:eastAsia="Calibri" w:hAnsi="Verdana" w:cs="Arial"/>
          <w:shd w:val="clear" w:color="auto" w:fill="FFFFFF"/>
          <w:lang w:val="es-ES"/>
        </w:rPr>
        <w:t xml:space="preserve">a Agencia Nacional de Contratación Pública – Colombia Compra Eficiente, se ha pronunciado sobre el fundamento normativo de los documentos tipo en los conceptos: </w:t>
      </w:r>
      <w:r w:rsidRPr="00E15FD8">
        <w:rPr>
          <w:rFonts w:ascii="Verdana" w:eastAsia="Times New Roman" w:hAnsi="Verdana" w:cs="Arial"/>
          <w:shd w:val="clear" w:color="auto" w:fill="FFFFFF"/>
          <w:lang w:val="es-ES"/>
        </w:rPr>
        <w:t xml:space="preserve">C-653 del 9 de noviembre de 2020, C-665 del 11 de noviembre de 2020, C-698 del 19 de noviembre de 2020, C-716 del 30 de noviembre de 2020, C-775 de 2020 del 11 de diciembre de 2020, C-798 del 25 de enero de 2021, C-027 del 1 de marzo de 2021 y C-204 del 6 de mayo de 2021, C-215 del 12 de mayo de 2021, C-224 del 20 de mayo, C-264 del 2 de junio del 2021, C-268 del 3 de junio de 2021, C-312 del 29 de junio de 2021, C-344 del 13 de julio de 2021, C-384 del 30 de julio de 2021, C-412 del 17 de agosto de 2021, C-433 </w:t>
      </w:r>
      <w:r w:rsidRPr="00E15FD8">
        <w:rPr>
          <w:rFonts w:ascii="Verdana" w:eastAsia="Times New Roman" w:hAnsi="Verdana" w:cs="Arial"/>
          <w:shd w:val="clear" w:color="auto" w:fill="FFFFFF"/>
          <w:lang w:val="es-ES"/>
        </w:rPr>
        <w:lastRenderedPageBreak/>
        <w:t xml:space="preserve">del 20 de agosto de 2021, C-471 del 30 de agosto de 2021, C-450 del 31 de agosto de 2021, C-473 del 7 de septiembre de 2021, C-591 del 31 de agosto de 2021, C-493 del 13 de septiembre de 2021, C-569 del 12 de octubre de 2021, C-599 del 26 de octubre de 2021, C-643 del 17 de noviembre de 2021 y C-356 del 6 de julio de 2022, C-654 del 7 de octubre de 2022, C-874 del 22 de diciembre de 2022, C-909 del 5 de enero de 2023, C-945 del 17 de febrero de 2023, C-042 del 29 de marzo de 2023, C-051 del 28 de abril de 2023, C-299 del 24 de julio de 2023, C- 272 del 22 de agosto de 2024, C- 516 del 07 de octubre de 2024, C- 481 del 09 de noviembre de 2024, C- 692 del 19 de noviembre de 2024, C-753 del 4 de enero de 2024 y C-133 del 10 de marzo de 2025. </w:t>
      </w:r>
    </w:p>
    <w:p w14:paraId="27F5DD72" w14:textId="77777777" w:rsidR="00113C9D" w:rsidRPr="006610E9" w:rsidRDefault="00113C9D" w:rsidP="00113C9D">
      <w:pPr>
        <w:spacing w:after="0" w:line="240" w:lineRule="auto"/>
        <w:jc w:val="both"/>
        <w:rPr>
          <w:rFonts w:ascii="Verdana" w:eastAsia="Verdana" w:hAnsi="Verdana" w:cs="Verdana"/>
          <w:kern w:val="2"/>
          <w14:ligatures w14:val="standardContextual"/>
        </w:rPr>
      </w:pPr>
      <w:r w:rsidRPr="00E15FD8">
        <w:rPr>
          <w:rFonts w:ascii="Verdana" w:eastAsia="Times New Roman" w:hAnsi="Verdana" w:cs="Arial"/>
          <w:shd w:val="clear" w:color="auto" w:fill="FFFFFF"/>
          <w:lang w:val="es-ES"/>
        </w:rPr>
        <w:t xml:space="preserve">Así mismo, en los conceptos C-085 del 10 de abril de 2023, C-375 del 2 de noviembre de 2023, C-063 del 17 de mayo de 2024, C-120 del 11 de junio de 2024, C-092 del 14 de junio de 2024, C-127 del 28 de junio de 2024, C-276 del 5 de julio de 2024, C-153 del 12 de julio de 2024, C-147 del 17 de julio de 2024, C-229 del 09 de agosto de 2024, C-549 del 15 de octubre de 2024, C-400 del 18 de octubre de 2024, C-587 del 23 de octubre de 2024, C-753 del 4 de diciembre de 2024, C-753 del 4 de diciembre de 2024, C-213 del 6 de marzo de 2025, C-283 del 14 de abril de 2025, C-168 del 12 de septiembre de 2025 , C-581 del 24 de junio de 2025, C-1093 del 15 de septiembre del 2025, C-1286 del 15 de septiembre de 2025, C-1360 del 9 de octubre de 2025 y C-1532 del 2 de diciembre de 2025, </w:t>
      </w:r>
      <w:r>
        <w:rPr>
          <w:rFonts w:ascii="Verdana" w:eastAsia="Times New Roman" w:hAnsi="Verdana" w:cs="Arial"/>
          <w:shd w:val="clear" w:color="auto" w:fill="FFFFFF"/>
          <w:lang w:val="es-ES"/>
        </w:rPr>
        <w:t xml:space="preserve"> C-1040 del </w:t>
      </w:r>
      <w:r>
        <w:rPr>
          <w:rFonts w:ascii="Verdana" w:eastAsia="Verdana" w:hAnsi="Verdana" w:cs="Verdana"/>
          <w:kern w:val="2"/>
          <w14:ligatures w14:val="standardContextual"/>
        </w:rPr>
        <w:t>12 de agosto de 2026</w:t>
      </w:r>
      <w:r>
        <w:rPr>
          <w:rFonts w:ascii="Verdana" w:eastAsia="Times New Roman" w:hAnsi="Verdana" w:cs="Arial"/>
          <w:shd w:val="clear" w:color="auto" w:fill="FFFFFF"/>
          <w:lang w:val="es-ES"/>
        </w:rPr>
        <w:t xml:space="preserve"> </w:t>
      </w:r>
      <w:r w:rsidRPr="00E15FD8">
        <w:rPr>
          <w:rFonts w:ascii="Verdana" w:eastAsia="Times New Roman" w:hAnsi="Verdana" w:cs="Arial"/>
          <w:shd w:val="clear" w:color="auto" w:fill="FFFFFF"/>
          <w:lang w:val="es-ES"/>
        </w:rPr>
        <w:t xml:space="preserve">esta Agencia se pronunció sobre la Matriz 1 – Experiencia de los documentos tipo de infraestructura de transporte. </w:t>
      </w:r>
    </w:p>
    <w:p w14:paraId="1E3D3675" w14:textId="77777777" w:rsidR="00113C9D" w:rsidRDefault="00113C9D" w:rsidP="00113C9D">
      <w:pPr>
        <w:spacing w:after="0" w:line="276" w:lineRule="auto"/>
        <w:jc w:val="both"/>
        <w:rPr>
          <w:rFonts w:ascii="Verdana" w:eastAsia="Calibri" w:hAnsi="Verdana" w:cs="Arial"/>
          <w:lang w:val="es-ES"/>
        </w:rPr>
      </w:pPr>
    </w:p>
    <w:p w14:paraId="2D5EEA64" w14:textId="77777777" w:rsidR="00113C9D" w:rsidRPr="003C2A6A" w:rsidRDefault="00113C9D" w:rsidP="00113C9D">
      <w:pPr>
        <w:spacing w:after="0" w:line="276" w:lineRule="auto"/>
        <w:jc w:val="both"/>
        <w:rPr>
          <w:rFonts w:ascii="Verdana" w:eastAsia="Calibri" w:hAnsi="Verdana" w:cs="Arial"/>
        </w:rPr>
      </w:pPr>
      <w:r w:rsidRPr="00240C45">
        <w:rPr>
          <w:rFonts w:ascii="Verdana" w:eastAsia="Calibri" w:hAnsi="Verdana" w:cs="Arial"/>
        </w:rPr>
        <w:t xml:space="preserve">Estos y otros conceptos se encuentran disponibles para consulta en el Sistema de relatoría de la Agencia, al cual se puede acceder a través del siguiente enlace: </w:t>
      </w:r>
      <w:hyperlink r:id="rId13" w:history="1">
        <w:r w:rsidRPr="00DE636B">
          <w:rPr>
            <w:rStyle w:val="Hipervnculo"/>
            <w:rFonts w:ascii="Verdana" w:eastAsia="Calibri" w:hAnsi="Verdana" w:cs="Arial"/>
          </w:rPr>
          <w:t>https://relatoria.colombiacompra.gov.co/busqueda/conceptos</w:t>
        </w:r>
      </w:hyperlink>
      <w:r w:rsidRPr="00240C45">
        <w:rPr>
          <w:rFonts w:ascii="Verdana" w:eastAsia="Calibri" w:hAnsi="Verdana" w:cs="Arial"/>
        </w:rPr>
        <w:t>.</w:t>
      </w:r>
    </w:p>
    <w:p w14:paraId="2D52C789" w14:textId="77777777" w:rsidR="00113C9D" w:rsidRPr="00EF54B1" w:rsidRDefault="00113C9D" w:rsidP="00113C9D">
      <w:pPr>
        <w:spacing w:after="0" w:line="240" w:lineRule="auto"/>
        <w:jc w:val="both"/>
        <w:rPr>
          <w:rFonts w:ascii="Verdana" w:eastAsia="Calibri" w:hAnsi="Verdana" w:cs="Arial"/>
          <w:color w:val="000000" w:themeColor="text1"/>
          <w:shd w:val="clear" w:color="auto" w:fill="FFFFFF"/>
        </w:rPr>
      </w:pPr>
    </w:p>
    <w:p w14:paraId="5BBD9800" w14:textId="77777777" w:rsidR="00113C9D" w:rsidRPr="00E15FD8" w:rsidRDefault="00113C9D" w:rsidP="00113C9D">
      <w:pPr>
        <w:widowControl w:val="0"/>
        <w:autoSpaceDE w:val="0"/>
        <w:autoSpaceDN w:val="0"/>
        <w:spacing w:after="120" w:line="276" w:lineRule="auto"/>
        <w:jc w:val="both"/>
        <w:rPr>
          <w:rFonts w:ascii="Verdana" w:eastAsia="Calibri" w:hAnsi="Verdana" w:cs="Arial"/>
          <w:color w:val="0000FF"/>
          <w:kern w:val="2"/>
          <w:u w:val="single"/>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 </w:t>
      </w:r>
      <w:r w:rsidRPr="00E15FD8">
        <w:rPr>
          <w:rFonts w:ascii="Verdana" w:eastAsia="Times New Roman" w:hAnsi="Verdana" w:cs="Arial"/>
          <w:shd w:val="clear" w:color="auto" w:fill="FFFFFF"/>
          <w:lang w:val="es-ES"/>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4" w:tgtFrame="_blank" w:tooltip="Dirección URL original: https://relatoria.colombiacompra.gov.co/. Haga clic o pulse si confía en este vínculo." w:history="1">
        <w:r w:rsidRPr="00E15FD8">
          <w:rPr>
            <w:rFonts w:ascii="Verdana" w:eastAsia="Calibri" w:hAnsi="Verdana" w:cs="Arial"/>
            <w:color w:val="0000FF"/>
            <w:kern w:val="2"/>
            <w:u w:val="single"/>
            <w:shd w:val="clear" w:color="auto" w:fill="FFFFFF"/>
            <w14:ligatures w14:val="standardContextual"/>
          </w:rPr>
          <w:t>https://relatoria.colombiacompra.gov.co/</w:t>
        </w:r>
      </w:hyperlink>
      <w:r w:rsidRPr="00E15FD8">
        <w:rPr>
          <w:rFonts w:ascii="Verdana" w:eastAsia="Calibri" w:hAnsi="Verdana" w:cs="Arial"/>
          <w:color w:val="0000FF"/>
          <w:kern w:val="2"/>
          <w:u w:val="single"/>
          <w:shd w:val="clear" w:color="auto" w:fill="FFFFFF"/>
          <w14:ligatures w14:val="standardContextual"/>
        </w:rPr>
        <w:t> .</w:t>
      </w:r>
    </w:p>
    <w:p w14:paraId="137D31E9" w14:textId="77777777" w:rsidR="00113C9D" w:rsidRPr="00E15FD8" w:rsidRDefault="00113C9D" w:rsidP="00113C9D">
      <w:pPr>
        <w:spacing w:after="120" w:line="276" w:lineRule="auto"/>
        <w:jc w:val="both"/>
        <w:rPr>
          <w:rFonts w:ascii="Aptos" w:eastAsia="Aptos" w:hAnsi="Aptos" w:cs="Times New Roman"/>
          <w:kern w:val="2"/>
          <w:sz w:val="24"/>
          <w:szCs w:val="24"/>
          <w14:ligatures w14:val="standardContextual"/>
        </w:rPr>
      </w:pPr>
      <w:r w:rsidRPr="00E15FD8">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15FD8">
        <w:rPr>
          <w:rFonts w:ascii="Verdana" w:eastAsia="Aptos" w:hAnsi="Verdana" w:cs="Times New Roman"/>
          <w:b/>
          <w:bCs/>
          <w:color w:val="000000"/>
          <w:kern w:val="2"/>
          <w14:ligatures w14:val="standardContextual"/>
        </w:rPr>
        <w:t xml:space="preserve">Guía para la Exigencia y Constitución de </w:t>
      </w:r>
      <w:r w:rsidRPr="00E15FD8">
        <w:rPr>
          <w:rFonts w:ascii="Verdana" w:eastAsia="Aptos" w:hAnsi="Verdana" w:cs="Times New Roman"/>
          <w:b/>
          <w:bCs/>
          <w:color w:val="000000"/>
          <w:kern w:val="2"/>
          <w14:ligatures w14:val="standardContextual"/>
        </w:rPr>
        <w:lastRenderedPageBreak/>
        <w:t>Garantías en los Procesos de Contratación</w:t>
      </w:r>
      <w:r w:rsidRPr="00E15FD8">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ooltip="https://nam02.safelinks.protection.outlook.com/?url=https%3A%2F%2Fwww.colombiacompra.gov.co%2Farchivos%2Fmanual%2Fguia-de-garantias-en-procesos-de-contratacion&amp;data=05%7C02%7Ccarlos.castrillon%40colombiacompra.gov.co%7C7128555136e04fa6887d08dee99e1b50%7C7b0904" w:history="1">
        <w:r w:rsidRPr="00B91265">
          <w:rPr>
            <w:rFonts w:ascii="Verdana" w:eastAsia="Aptos" w:hAnsi="Verdana" w:cs="Times New Roman"/>
            <w:color w:val="0000FF"/>
            <w:kern w:val="2"/>
            <w:u w:val="single"/>
            <w14:ligatures w14:val="standardContextual"/>
          </w:rPr>
          <w:t>https://www.colombiacompra.gov.co/archivos/manual/guia-de-garantias-en-procesos-de-contratacion</w:t>
        </w:r>
      </w:hyperlink>
    </w:p>
    <w:p w14:paraId="44F07F6D" w14:textId="77777777" w:rsidR="00113C9D" w:rsidRPr="00E15FD8" w:rsidRDefault="00113C9D" w:rsidP="00113C9D">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E15FD8">
        <w:rPr>
          <w:rFonts w:ascii="Verdana" w:eastAsia="Aptos" w:hAnsi="Verdana" w:cs="Times New Roman"/>
          <w:b/>
          <w:bCs/>
          <w:color w:val="000000"/>
          <w:kern w:val="2"/>
          <w14:ligatures w14:val="standardContextual"/>
        </w:rPr>
        <w:t>Sistema Integral de Preferencias en favor de las personas con discapacidad</w:t>
      </w:r>
      <w:r w:rsidRPr="00E15FD8">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E15FD8">
        <w:rPr>
          <w:rFonts w:ascii="Verdana" w:eastAsia="Aptos" w:hAnsi="Verdana" w:cs="Times New Roman"/>
          <w:b/>
          <w:bCs/>
          <w:color w:val="000000"/>
          <w:kern w:val="2"/>
          <w14:ligatures w14:val="standardContextual"/>
        </w:rPr>
        <w:t>Circular Externa 003 del 12 de mayo de 2026, </w:t>
      </w:r>
      <w:r w:rsidRPr="00E15FD8">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6" w:tooltip="https://nam02.safelinks.protection.outlook.com/?url=https%3A%2F%2Fwww.colombiacompra.gov.co%2Farchivos%2Fcircular%2Fcircular-externa-003-de-2026&amp;data=05%7C02%7Ccarlos.castrillon%40colombiacompra.gov.co%7C7128555136e04fa6887d08dee99e1b50%7C7b09041e245149d08cb17" w:history="1">
        <w:r w:rsidRPr="00B91265">
          <w:rPr>
            <w:rFonts w:ascii="Verdana" w:eastAsia="Aptos" w:hAnsi="Verdana" w:cs="Times New Roman"/>
            <w:color w:val="0000FF"/>
            <w:kern w:val="2"/>
            <w:u w:val="single"/>
            <w14:ligatures w14:val="standardContextual"/>
          </w:rPr>
          <w:t>https://www.colombiacompra.gov.co/archivos/circular/circular-externa-003-de-2026</w:t>
        </w:r>
      </w:hyperlink>
    </w:p>
    <w:p w14:paraId="595552E3" w14:textId="77777777" w:rsidR="00113C9D" w:rsidRPr="00E15FD8" w:rsidRDefault="00113C9D" w:rsidP="00113C9D">
      <w:pPr>
        <w:spacing w:after="120" w:line="276" w:lineRule="auto"/>
        <w:jc w:val="both"/>
        <w:rPr>
          <w:rFonts w:ascii="Verdana" w:eastAsia="Aptos" w:hAnsi="Verdana" w:cs="Times New Roman"/>
          <w:color w:val="000000"/>
          <w:kern w:val="2"/>
          <w14:ligatures w14:val="standardContextual"/>
        </w:rPr>
      </w:pPr>
      <w:r w:rsidRPr="00E15FD8">
        <w:rPr>
          <w:rFonts w:ascii="Verdana" w:eastAsia="Aptos" w:hAnsi="Verdana" w:cs="Times New Roman"/>
          <w:color w:val="000000"/>
          <w:kern w:val="2"/>
          <w14:ligatures w14:val="standardContextual"/>
        </w:rPr>
        <w:t>Recuerda también que la</w:t>
      </w:r>
      <w:r w:rsidRPr="00E15FD8">
        <w:rPr>
          <w:rFonts w:ascii="Verdana" w:eastAsia="Aptos" w:hAnsi="Verdana" w:cs="Times New Roman"/>
          <w:b/>
          <w:bCs/>
          <w:color w:val="000000"/>
          <w:kern w:val="2"/>
          <w14:ligatures w14:val="standardContextual"/>
        </w:rPr>
        <w:t> información sobre sanciones e inhabilidades </w:t>
      </w:r>
      <w:r w:rsidRPr="00E15FD8">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E15FD8">
        <w:rPr>
          <w:rFonts w:ascii="Verdana" w:eastAsia="Aptos" w:hAnsi="Verdana" w:cs="Times New Roman"/>
          <w:b/>
          <w:bCs/>
          <w:color w:val="000000"/>
          <w:kern w:val="2"/>
          <w14:ligatures w14:val="standardContextual"/>
        </w:rPr>
        <w:t>Circular Externa 002 del 5 de mayo de 2026,</w:t>
      </w:r>
      <w:r w:rsidRPr="00E15FD8">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ooltip="https://nam02.safelinks.protection.outlook.com/?url=https%3A%2F%2Fwww.colombiacompra.gov.co%2Farchivos%2Fcircular%2Fcircular-externa-002-de-2026&amp;data=05%7C02%7Ccarlos.castrillon%40colombiacompra.gov.co%7C7128555136e04fa6887d08dee99e1b50%7C7b09041e245149d08cb17" w:history="1">
        <w:r w:rsidRPr="00B91265">
          <w:rPr>
            <w:rFonts w:ascii="Verdana" w:eastAsia="Aptos" w:hAnsi="Verdana" w:cs="Times New Roman"/>
            <w:color w:val="0000FF"/>
            <w:kern w:val="2"/>
            <w:u w:val="single"/>
            <w14:ligatures w14:val="standardContextual"/>
          </w:rPr>
          <w:t>https://www.colombiacompra.gov.co/archivos/circular/circular-externa-002-de-2026</w:t>
        </w:r>
      </w:hyperlink>
    </w:p>
    <w:p w14:paraId="3959A396" w14:textId="77777777" w:rsidR="00113C9D" w:rsidRPr="00B91265" w:rsidRDefault="00113C9D" w:rsidP="00113C9D">
      <w:pPr>
        <w:spacing w:after="120" w:line="276" w:lineRule="auto"/>
        <w:jc w:val="both"/>
        <w:rPr>
          <w:rFonts w:ascii="Verdana" w:eastAsia="Aptos" w:hAnsi="Verdana" w:cs="Times New Roman"/>
          <w:color w:val="0000FF"/>
          <w:kern w:val="2"/>
          <w14:ligatures w14:val="standardContextual"/>
        </w:rPr>
      </w:pPr>
      <w:r w:rsidRPr="00E15FD8">
        <w:rPr>
          <w:rFonts w:ascii="Verdana" w:eastAsia="Aptos" w:hAnsi="Verdana" w:cs="Times New Roman"/>
          <w:color w:val="000000"/>
          <w:kern w:val="2"/>
          <w14:ligatures w14:val="standardContextual"/>
        </w:rPr>
        <w:t>Finalmente, si quieres seguir de cerca la actividad de la Agencia, la tercera edición de 2026 del</w:t>
      </w:r>
      <w:r w:rsidRPr="00E15FD8">
        <w:rPr>
          <w:rFonts w:ascii="Verdana" w:eastAsia="Aptos" w:hAnsi="Verdana" w:cs="Times New Roman"/>
          <w:b/>
          <w:bCs/>
          <w:color w:val="000000"/>
          <w:kern w:val="2"/>
          <w14:ligatures w14:val="standardContextual"/>
        </w:rPr>
        <w:t> Radar de la Compra Pública</w:t>
      </w:r>
      <w:r w:rsidRPr="00E15FD8">
        <w:rPr>
          <w:rFonts w:ascii="Verdana" w:eastAsia="Aptos" w:hAnsi="Verdana" w:cs="Times New Roman"/>
          <w:color w:val="000000"/>
          <w:kern w:val="2"/>
          <w14:ligatures w14:val="standardContextual"/>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w:t>
      </w:r>
      <w:r w:rsidRPr="00E15FD8">
        <w:rPr>
          <w:rFonts w:ascii="Verdana" w:eastAsia="Aptos" w:hAnsi="Verdana" w:cs="Times New Roman"/>
          <w:color w:val="000000"/>
          <w:kern w:val="2"/>
          <w14:ligatures w14:val="standardContextual"/>
        </w:rPr>
        <w:lastRenderedPageBreak/>
        <w:t>aquí: </w:t>
      </w:r>
      <w:hyperlink r:id="rId18" w:tooltip="https://nam02.safelinks.protection.outlook.com/?url=https%3A%2F%2Fwww.colombiacompra.gov.co%2Farchivos%2Fboletin%2Fboletin-edicion-n-3-de-2026-radar-de-la-compra-publica&amp;data=05%7C02%7Ccarlos.castrillon%40colombiacompra.gov.co%7C7128555136e04fa6887d08dee99e1b5" w:history="1">
        <w:r w:rsidRPr="00B91265">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56C7873D" w14:textId="77777777" w:rsidR="00113C9D" w:rsidRPr="00EF54B1" w:rsidRDefault="00113C9D" w:rsidP="00113C9D">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p>
    <w:p w14:paraId="2DFF8948" w14:textId="091BC035" w:rsidR="00113C9D" w:rsidRPr="009552C8" w:rsidRDefault="00113C9D" w:rsidP="00113C9D">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3F42646D" w14:textId="77777777" w:rsidR="00113C9D" w:rsidRPr="009552C8" w:rsidRDefault="00113C9D" w:rsidP="00113C9D">
      <w:pPr>
        <w:spacing w:after="0" w:line="240" w:lineRule="auto"/>
        <w:jc w:val="both"/>
        <w:rPr>
          <w:rFonts w:ascii="Verdana" w:eastAsia="Aptos" w:hAnsi="Verdana" w:cs="Times New Roman"/>
          <w:kern w:val="2"/>
          <w14:ligatures w14:val="standardContextual"/>
        </w:rPr>
      </w:pPr>
    </w:p>
    <w:p w14:paraId="71137832" w14:textId="77777777" w:rsidR="00113C9D" w:rsidRPr="009552C8" w:rsidRDefault="00113C9D" w:rsidP="00113C9D">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12F704C3" w14:textId="77777777" w:rsidR="00113C9D" w:rsidRPr="009552C8" w:rsidRDefault="00113C9D" w:rsidP="00113C9D">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r w:rsidRPr="007603CE">
        <w:rPr>
          <w:rFonts w:ascii="Verdana" w:eastAsia="Calibri" w:hAnsi="Verdana" w:cs="Times New Roman"/>
          <w:color w:val="0000FF"/>
          <w:kern w:val="2"/>
          <w:u w:val="single"/>
          <w14:ligatures w14:val="standardContextual"/>
        </w:rPr>
        <w:t>ColombiaCompraEficiente</w:t>
      </w:r>
    </w:p>
    <w:p w14:paraId="297E6437" w14:textId="77777777" w:rsidR="00113C9D" w:rsidRPr="009552C8" w:rsidRDefault="00113C9D" w:rsidP="00113C9D">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 xml:space="preserve">Agencia </w:t>
      </w:r>
      <w:r w:rsidRPr="00B91265">
        <w:rPr>
          <w:rFonts w:ascii="Verdana" w:eastAsia="Calibri" w:hAnsi="Verdana" w:cs="Times New Roman"/>
          <w:color w:val="0000FF"/>
          <w:kern w:val="2"/>
          <w:u w:val="single"/>
          <w14:ligatures w14:val="standardContextual"/>
        </w:rPr>
        <w:t>Nacional de Contratación</w:t>
      </w:r>
      <w:r w:rsidRPr="007603CE">
        <w:rPr>
          <w:rFonts w:ascii="Verdana" w:eastAsia="Calibri" w:hAnsi="Verdana" w:cs="Times New Roman"/>
          <w:color w:val="0000FF"/>
          <w:kern w:val="2"/>
          <w:u w:val="single"/>
          <w14:ligatures w14:val="standardContextual"/>
        </w:rPr>
        <w:t xml:space="preserve">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70D74E5F" w14:textId="77777777" w:rsidR="00113C9D" w:rsidRPr="005D21BF" w:rsidRDefault="00113C9D" w:rsidP="00113C9D">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1BB0E04B" w14:textId="77777777" w:rsidR="00113C9D" w:rsidRDefault="00113C9D" w:rsidP="00113C9D">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B9960AE" w14:textId="77777777" w:rsidR="00113C9D" w:rsidRPr="00EF54B1" w:rsidRDefault="00113C9D" w:rsidP="00113C9D">
      <w:pPr>
        <w:widowControl w:val="0"/>
        <w:autoSpaceDE w:val="0"/>
        <w:autoSpaceDN w:val="0"/>
        <w:spacing w:after="0" w:line="276" w:lineRule="auto"/>
        <w:jc w:val="both"/>
        <w:rPr>
          <w:rFonts w:ascii="Verdana" w:eastAsia="Calibri" w:hAnsi="Verdana" w:cs="Arial"/>
          <w:color w:val="000000" w:themeColor="text1"/>
        </w:rPr>
      </w:pPr>
    </w:p>
    <w:p w14:paraId="761EDF54" w14:textId="77777777" w:rsidR="00113C9D" w:rsidRPr="00EF54B1" w:rsidRDefault="00113C9D" w:rsidP="00113C9D">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196A9DEB" w14:textId="77777777" w:rsidR="00113C9D" w:rsidRDefault="00113C9D" w:rsidP="00113C9D">
      <w:pPr>
        <w:tabs>
          <w:tab w:val="left" w:pos="1320"/>
        </w:tabs>
        <w:rPr>
          <w:noProof/>
        </w:rPr>
      </w:pPr>
    </w:p>
    <w:p w14:paraId="2A38F25A" w14:textId="41E13C94" w:rsidR="00113C9D" w:rsidRPr="000D5EB1" w:rsidRDefault="00635688" w:rsidP="00113C9D">
      <w:pPr>
        <w:tabs>
          <w:tab w:val="left" w:pos="1320"/>
        </w:tabs>
        <w:jc w:val="center"/>
        <w:rPr>
          <w:noProof/>
        </w:rPr>
      </w:pPr>
      <w:r>
        <w:rPr>
          <w:noProof/>
        </w:rPr>
        <w:drawing>
          <wp:inline distT="0" distB="0" distL="0" distR="0" wp14:anchorId="78DDD95F" wp14:editId="140BFA3B">
            <wp:extent cx="3493311" cy="1298561"/>
            <wp:effectExtent l="0" t="0" r="0" b="0"/>
            <wp:docPr id="2008573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73729" name="Imagen 2008573729"/>
                    <pic:cNvPicPr/>
                  </pic:nvPicPr>
                  <pic:blipFill>
                    <a:blip r:embed="rId19">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inline>
        </w:drawing>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113C9D" w14:paraId="3DFEDE7A" w14:textId="77777777" w:rsidTr="00113C9D">
        <w:trPr>
          <w:trHeight w:val="315"/>
        </w:trPr>
        <w:tc>
          <w:tcPr>
            <w:tcW w:w="1185" w:type="dxa"/>
            <w:tcBorders>
              <w:top w:val="nil"/>
              <w:left w:val="nil"/>
              <w:bottom w:val="nil"/>
              <w:right w:val="nil"/>
            </w:tcBorders>
            <w:tcMar>
              <w:left w:w="105" w:type="dxa"/>
              <w:right w:w="105" w:type="dxa"/>
            </w:tcMar>
            <w:vAlign w:val="center"/>
          </w:tcPr>
          <w:p w14:paraId="65B62017" w14:textId="77777777" w:rsidR="00113C9D" w:rsidRDefault="00113C9D" w:rsidP="00113C9D">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o</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16F9F171" w14:textId="77777777" w:rsidR="00113C9D" w:rsidRDefault="00113C9D" w:rsidP="00113C9D">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0DB042C9" w14:textId="77777777" w:rsidR="00113C9D" w:rsidRPr="00AE4414" w:rsidRDefault="00113C9D" w:rsidP="00113C9D">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113C9D" w14:paraId="2FCD23D0" w14:textId="77777777" w:rsidTr="00113C9D">
        <w:trPr>
          <w:trHeight w:val="315"/>
        </w:trPr>
        <w:tc>
          <w:tcPr>
            <w:tcW w:w="1185" w:type="dxa"/>
            <w:tcBorders>
              <w:top w:val="nil"/>
              <w:left w:val="nil"/>
              <w:bottom w:val="nil"/>
              <w:right w:val="nil"/>
            </w:tcBorders>
            <w:tcMar>
              <w:left w:w="105" w:type="dxa"/>
              <w:right w:w="105" w:type="dxa"/>
            </w:tcMar>
            <w:vAlign w:val="center"/>
          </w:tcPr>
          <w:p w14:paraId="75A9D6C4" w14:textId="77777777" w:rsidR="00113C9D" w:rsidRDefault="00113C9D" w:rsidP="00113C9D">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0FA1255A" w14:textId="77777777" w:rsidR="00113C9D" w:rsidRDefault="00113C9D" w:rsidP="00113C9D">
            <w:pPr>
              <w:rPr>
                <w:rFonts w:ascii="Verdana" w:eastAsia="Verdana" w:hAnsi="Verdana" w:cs="Verdana"/>
                <w:sz w:val="16"/>
                <w:szCs w:val="16"/>
              </w:rPr>
            </w:pPr>
            <w:r w:rsidRPr="3F869DD7">
              <w:rPr>
                <w:rFonts w:ascii="Verdana" w:eastAsia="Verdana" w:hAnsi="Verdana" w:cs="Verdana"/>
                <w:sz w:val="16"/>
                <w:szCs w:val="16"/>
              </w:rPr>
              <w:t xml:space="preserve">Juan David Cárdenas Cabeza </w:t>
            </w:r>
          </w:p>
          <w:p w14:paraId="3422A2D2" w14:textId="77777777" w:rsidR="00113C9D" w:rsidRDefault="00113C9D" w:rsidP="00113C9D">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113C9D" w14:paraId="00793AAF" w14:textId="77777777" w:rsidTr="00113C9D">
        <w:trPr>
          <w:trHeight w:val="300"/>
        </w:trPr>
        <w:tc>
          <w:tcPr>
            <w:tcW w:w="1185" w:type="dxa"/>
            <w:tcBorders>
              <w:top w:val="nil"/>
              <w:left w:val="nil"/>
              <w:bottom w:val="nil"/>
              <w:right w:val="nil"/>
            </w:tcBorders>
            <w:tcMar>
              <w:left w:w="105" w:type="dxa"/>
              <w:right w:w="105" w:type="dxa"/>
            </w:tcMar>
            <w:vAlign w:val="center"/>
          </w:tcPr>
          <w:p w14:paraId="6BE3AE03" w14:textId="77777777" w:rsidR="00113C9D" w:rsidRDefault="00113C9D" w:rsidP="00113C9D">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1897A5EC" w14:textId="77777777" w:rsidR="00113C9D" w:rsidRDefault="00113C9D" w:rsidP="00113C9D">
            <w:pPr>
              <w:rPr>
                <w:rFonts w:ascii="Verdana" w:eastAsia="Verdana" w:hAnsi="Verdana" w:cs="Verdana"/>
                <w:sz w:val="16"/>
                <w:szCs w:val="16"/>
              </w:rPr>
            </w:pPr>
            <w:r w:rsidRPr="3F869DD7">
              <w:rPr>
                <w:rFonts w:ascii="Verdana" w:eastAsia="Verdana" w:hAnsi="Verdana" w:cs="Verdana"/>
                <w:sz w:val="16"/>
                <w:szCs w:val="16"/>
              </w:rPr>
              <w:t>Carolina Quintero Gacharná</w:t>
            </w:r>
          </w:p>
          <w:p w14:paraId="0CC519BE" w14:textId="77777777" w:rsidR="00113C9D" w:rsidRDefault="00113C9D" w:rsidP="00113C9D">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45CD08F1" w14:textId="77777777" w:rsidR="00113C9D" w:rsidRPr="000E2B93" w:rsidRDefault="00113C9D" w:rsidP="00113C9D">
      <w:pPr>
        <w:spacing w:after="0" w:line="240" w:lineRule="auto"/>
        <w:jc w:val="both"/>
        <w:textAlignment w:val="baseline"/>
        <w:rPr>
          <w:rFonts w:ascii="Verdana" w:eastAsia="Verdana" w:hAnsi="Verdana" w:cs="Verdana"/>
          <w:lang w:eastAsia="es-CO"/>
        </w:rPr>
      </w:pPr>
    </w:p>
    <w:p w14:paraId="7C9026E2" w14:textId="6143E0C3"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2CBBD8A2"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0F293BF4" w14:textId="01AC4786" w:rsidR="00127233" w:rsidRPr="0015699B" w:rsidRDefault="00127233" w:rsidP="00113C9D">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E9CAD" w14:textId="77777777" w:rsidR="00127B4A" w:rsidRDefault="00127B4A" w:rsidP="004A1847">
      <w:pPr>
        <w:spacing w:after="0" w:line="240" w:lineRule="auto"/>
      </w:pPr>
      <w:r>
        <w:separator/>
      </w:r>
    </w:p>
  </w:endnote>
  <w:endnote w:type="continuationSeparator" w:id="0">
    <w:p w14:paraId="1547F073" w14:textId="77777777" w:rsidR="00127B4A" w:rsidRDefault="00127B4A" w:rsidP="004A1847">
      <w:pPr>
        <w:spacing w:after="0" w:line="240" w:lineRule="auto"/>
      </w:pPr>
      <w:r>
        <w:continuationSeparator/>
      </w:r>
    </w:p>
  </w:endnote>
  <w:endnote w:type="continuationNotice" w:id="1">
    <w:p w14:paraId="4ABC7406" w14:textId="77777777" w:rsidR="00127B4A" w:rsidRDefault="00127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sig w:usb0="00000001"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MT">
    <w:altName w:val="Heiti TC Light"/>
    <w:charset w:val="00"/>
    <w:family w:val="roman"/>
    <w:pitch w:val="default"/>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08B7A" w14:textId="77777777" w:rsidR="00127B4A" w:rsidRDefault="00127B4A" w:rsidP="004A1847">
      <w:pPr>
        <w:spacing w:after="0" w:line="240" w:lineRule="auto"/>
      </w:pPr>
      <w:r>
        <w:separator/>
      </w:r>
    </w:p>
  </w:footnote>
  <w:footnote w:type="continuationSeparator" w:id="0">
    <w:p w14:paraId="523479A9" w14:textId="77777777" w:rsidR="00127B4A" w:rsidRDefault="00127B4A" w:rsidP="004A1847">
      <w:pPr>
        <w:spacing w:after="0" w:line="240" w:lineRule="auto"/>
      </w:pPr>
      <w:r>
        <w:continuationSeparator/>
      </w:r>
    </w:p>
  </w:footnote>
  <w:footnote w:type="continuationNotice" w:id="1">
    <w:p w14:paraId="33609B81" w14:textId="77777777" w:rsidR="00127B4A" w:rsidRDefault="00127B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9"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a:extLst xmlns:a="http://schemas.openxmlformats.org/drawingml/2006/main">
              <a:ext uri="{FF2B5EF4-FFF2-40B4-BE49-F238E27FC236}">
                <a16:creationId xmlns:a16="http://schemas.microsoft.com/office/drawing/2014/main" id="{B42578A5-A200-4BC0-BBF8-B4DC759F3A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2337"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a:extLst xmlns:a="http://schemas.openxmlformats.org/drawingml/2006/main">
              <a:ext uri="{FF2B5EF4-FFF2-40B4-BE49-F238E27FC236}">
                <a16:creationId xmlns:a16="http://schemas.microsoft.com/office/drawing/2014/main" id="{885AD730-3DA0-4B3F-8D6B-824E16901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9CE3728"/>
    <w:multiLevelType w:val="hybridMultilevel"/>
    <w:tmpl w:val="CA3CF9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61AC4840"/>
    <w:multiLevelType w:val="hybridMultilevel"/>
    <w:tmpl w:val="438E05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0"/>
  </w:num>
  <w:num w:numId="18" w16cid:durableId="341274352">
    <w:abstractNumId w:val="0"/>
  </w:num>
  <w:num w:numId="19" w16cid:durableId="735320529">
    <w:abstractNumId w:val="3"/>
  </w:num>
  <w:num w:numId="20" w16cid:durableId="1535539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C3BAA"/>
    <w:rsid w:val="000D0334"/>
    <w:rsid w:val="000D5DA7"/>
    <w:rsid w:val="000F6486"/>
    <w:rsid w:val="00113C9D"/>
    <w:rsid w:val="00116940"/>
    <w:rsid w:val="00125105"/>
    <w:rsid w:val="00127233"/>
    <w:rsid w:val="00127B4A"/>
    <w:rsid w:val="001511D1"/>
    <w:rsid w:val="0015699B"/>
    <w:rsid w:val="001A33BF"/>
    <w:rsid w:val="001E4177"/>
    <w:rsid w:val="001F0B24"/>
    <w:rsid w:val="001F7DC6"/>
    <w:rsid w:val="0022400B"/>
    <w:rsid w:val="002421BB"/>
    <w:rsid w:val="002459AF"/>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D6CF3"/>
    <w:rsid w:val="003E0499"/>
    <w:rsid w:val="003E4F80"/>
    <w:rsid w:val="003E6439"/>
    <w:rsid w:val="003F3941"/>
    <w:rsid w:val="00406575"/>
    <w:rsid w:val="00414C74"/>
    <w:rsid w:val="0042722E"/>
    <w:rsid w:val="0044528D"/>
    <w:rsid w:val="00466E39"/>
    <w:rsid w:val="004A1847"/>
    <w:rsid w:val="004A305D"/>
    <w:rsid w:val="004E4F37"/>
    <w:rsid w:val="004F21C4"/>
    <w:rsid w:val="004F685F"/>
    <w:rsid w:val="005566E8"/>
    <w:rsid w:val="00574867"/>
    <w:rsid w:val="00591460"/>
    <w:rsid w:val="005A65E0"/>
    <w:rsid w:val="005C3777"/>
    <w:rsid w:val="005C5CDC"/>
    <w:rsid w:val="005D476C"/>
    <w:rsid w:val="006200BF"/>
    <w:rsid w:val="006219F8"/>
    <w:rsid w:val="006302F7"/>
    <w:rsid w:val="00635688"/>
    <w:rsid w:val="00646B9F"/>
    <w:rsid w:val="00665D70"/>
    <w:rsid w:val="006900D9"/>
    <w:rsid w:val="00706C16"/>
    <w:rsid w:val="007340C3"/>
    <w:rsid w:val="0075235A"/>
    <w:rsid w:val="00756841"/>
    <w:rsid w:val="007649AB"/>
    <w:rsid w:val="00771D0C"/>
    <w:rsid w:val="007833AC"/>
    <w:rsid w:val="007A4BCC"/>
    <w:rsid w:val="007B268C"/>
    <w:rsid w:val="007B7171"/>
    <w:rsid w:val="007C0C0F"/>
    <w:rsid w:val="007C3DC2"/>
    <w:rsid w:val="007E09CC"/>
    <w:rsid w:val="007E5497"/>
    <w:rsid w:val="00806F5F"/>
    <w:rsid w:val="00820278"/>
    <w:rsid w:val="008258C9"/>
    <w:rsid w:val="00844AE9"/>
    <w:rsid w:val="00867F95"/>
    <w:rsid w:val="008843B6"/>
    <w:rsid w:val="00891928"/>
    <w:rsid w:val="008A446D"/>
    <w:rsid w:val="008B25F1"/>
    <w:rsid w:val="008C15E4"/>
    <w:rsid w:val="008D0F4B"/>
    <w:rsid w:val="008D180B"/>
    <w:rsid w:val="008F0EA7"/>
    <w:rsid w:val="00923EEF"/>
    <w:rsid w:val="009419F9"/>
    <w:rsid w:val="0095685E"/>
    <w:rsid w:val="00960F80"/>
    <w:rsid w:val="00961B09"/>
    <w:rsid w:val="00965334"/>
    <w:rsid w:val="0097093E"/>
    <w:rsid w:val="009910E1"/>
    <w:rsid w:val="009A0DFA"/>
    <w:rsid w:val="009A1C6F"/>
    <w:rsid w:val="009B2D26"/>
    <w:rsid w:val="009C71FA"/>
    <w:rsid w:val="009C72E7"/>
    <w:rsid w:val="009C7F7E"/>
    <w:rsid w:val="009D3058"/>
    <w:rsid w:val="009F1358"/>
    <w:rsid w:val="009F3A13"/>
    <w:rsid w:val="00A122D3"/>
    <w:rsid w:val="00A14468"/>
    <w:rsid w:val="00A17F13"/>
    <w:rsid w:val="00A20739"/>
    <w:rsid w:val="00A23AF9"/>
    <w:rsid w:val="00A33C78"/>
    <w:rsid w:val="00AB0ADB"/>
    <w:rsid w:val="00B00C0E"/>
    <w:rsid w:val="00B01B1A"/>
    <w:rsid w:val="00B0381D"/>
    <w:rsid w:val="00B06020"/>
    <w:rsid w:val="00B44683"/>
    <w:rsid w:val="00B44A47"/>
    <w:rsid w:val="00B72CD3"/>
    <w:rsid w:val="00B72FFF"/>
    <w:rsid w:val="00BA241B"/>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F5DDE"/>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B73"/>
    <w:rsid w:val="00EA0E3D"/>
    <w:rsid w:val="00EC38A7"/>
    <w:rsid w:val="00EE1AA8"/>
    <w:rsid w:val="00F23FEA"/>
    <w:rsid w:val="00F31EDC"/>
    <w:rsid w:val="00F462B3"/>
    <w:rsid w:val="00F5664F"/>
    <w:rsid w:val="00F666C4"/>
    <w:rsid w:val="00F74547"/>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2E140E1-1450-4C6F-B032-E787322C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113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13C9D"/>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iel.benitez@uptc.edu.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CA280E84-8BD6-4680-A7C0-F4306C8A22B6}"/>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12</TotalTime>
  <Pages>13</Pages>
  <Words>4916</Words>
  <Characters>27042</Characters>
  <Application>Microsoft Office Word</Application>
  <DocSecurity>0</DocSecurity>
  <Lines>225</Lines>
  <Paragraphs>63</Paragraphs>
  <ScaleCrop>false</ScaleCrop>
  <Company/>
  <LinksUpToDate>false</LinksUpToDate>
  <CharactersWithSpaces>31895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7</cp:revision>
  <cp:lastPrinted>2023-01-11T00:18:00Z</cp:lastPrinted>
  <dcterms:created xsi:type="dcterms:W3CDTF">2026-08-13T15:24:00Z</dcterms:created>
  <dcterms:modified xsi:type="dcterms:W3CDTF">2026-08-21T16:59:00Z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