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BA7B4E" w14:textId="04EDE800" w:rsidR="003D7CBB" w:rsidRPr="003D7CBB" w:rsidRDefault="003D7CBB" w:rsidP="003D7CBB">
      <w:pPr>
        <w:spacing w:after="0"/>
        <w:jc w:val="both"/>
        <w:rPr>
          <w:rFonts w:ascii="Verdana" w:eastAsia="Verdana" w:hAnsi="Verdana" w:cs="Verdana"/>
        </w:rPr>
      </w:pPr>
      <w:bookmarkStart w:id="0" w:name="_Hlk143780582"/>
      <w:r w:rsidRPr="003D7CBB">
        <w:rPr>
          <w:rFonts w:ascii="Verdana" w:eastAsia="Calibri" w:hAnsi="Verdana" w:cs="Times New Roman"/>
          <w:b/>
          <w:bCs/>
          <w:lang w:val="es-ES"/>
        </w:rPr>
        <w:t>DOCUMENTOS TIPO – Inalterabilidad – Alcance</w:t>
      </w:r>
    </w:p>
    <w:p w14:paraId="71194097" w14:textId="77777777" w:rsidR="003D7CBB" w:rsidRPr="003D7CBB" w:rsidRDefault="003D7CBB" w:rsidP="003D7CBB">
      <w:pPr>
        <w:spacing w:after="0" w:line="240" w:lineRule="auto"/>
        <w:jc w:val="both"/>
        <w:rPr>
          <w:rFonts w:ascii="Verdana" w:eastAsia="Calibri" w:hAnsi="Verdana" w:cs="Times New Roman"/>
          <w:b/>
          <w:bCs/>
          <w:lang w:val="es-ES"/>
        </w:rPr>
      </w:pPr>
    </w:p>
    <w:p w14:paraId="3D45853C" w14:textId="030C2F19" w:rsidR="00E8201E" w:rsidRDefault="00E8201E" w:rsidP="00E8201E">
      <w:pPr>
        <w:tabs>
          <w:tab w:val="center" w:pos="4419"/>
          <w:tab w:val="right" w:pos="8838"/>
        </w:tabs>
        <w:spacing w:after="0" w:line="240" w:lineRule="auto"/>
        <w:jc w:val="both"/>
        <w:rPr>
          <w:rFonts w:ascii="Verdana" w:eastAsia="Calibri" w:hAnsi="Verdana" w:cs="Arial"/>
          <w:color w:val="000000"/>
          <w:sz w:val="20"/>
          <w:szCs w:val="20"/>
          <w:lang w:val="es-ES"/>
        </w:rPr>
      </w:pPr>
      <w:r w:rsidRPr="00E8201E">
        <w:rPr>
          <w:rFonts w:ascii="Verdana" w:eastAsia="Calibri" w:hAnsi="Verdana" w:cs="Arial"/>
          <w:color w:val="000000"/>
          <w:sz w:val="20"/>
          <w:szCs w:val="20"/>
          <w:lang w:val="es-ES"/>
        </w:rPr>
        <w:t>Todas las resolucione</w:t>
      </w:r>
      <w:r w:rsidRPr="00E8201E">
        <w:rPr>
          <w:rFonts w:ascii="Verdana" w:eastAsia="Calibri" w:hAnsi="Verdana" w:cs="Arial"/>
          <w:color w:val="000000"/>
          <w:sz w:val="20"/>
          <w:szCs w:val="20"/>
          <w:lang w:val="es-ES"/>
        </w:rPr>
        <w:t xml:space="preserve">s </w:t>
      </w:r>
      <w:r w:rsidRPr="00E8201E">
        <w:rPr>
          <w:rFonts w:ascii="Verdana" w:eastAsia="Calibri" w:hAnsi="Verdana" w:cs="Arial"/>
          <w:color w:val="000000"/>
          <w:sz w:val="20"/>
          <w:szCs w:val="20"/>
          <w:lang w:val="es-ES"/>
        </w:rPr>
        <w:t xml:space="preserve">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E8201E">
        <w:rPr>
          <w:rFonts w:ascii="Verdana" w:eastAsia="Calibri" w:hAnsi="Verdana" w:cs="Arial"/>
          <w:i/>
          <w:iCs/>
          <w:color w:val="000000"/>
          <w:sz w:val="20"/>
          <w:szCs w:val="20"/>
          <w:lang w:val="es-ES"/>
        </w:rPr>
        <w:t>Documentos del Proceso</w:t>
      </w:r>
      <w:r w:rsidRPr="00E8201E">
        <w:rPr>
          <w:rFonts w:ascii="Verdana" w:eastAsia="Calibri" w:hAnsi="Verdana" w:cs="Arial"/>
          <w:color w:val="000000"/>
          <w:sz w:val="20"/>
          <w:szCs w:val="2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7D5670CF" w14:textId="77777777" w:rsidR="001F7B57" w:rsidRPr="00E8201E" w:rsidRDefault="001F7B57" w:rsidP="00E8201E">
      <w:pPr>
        <w:tabs>
          <w:tab w:val="center" w:pos="4419"/>
          <w:tab w:val="right" w:pos="8838"/>
        </w:tabs>
        <w:spacing w:after="0" w:line="240" w:lineRule="auto"/>
        <w:jc w:val="both"/>
        <w:rPr>
          <w:rFonts w:ascii="Verdana" w:eastAsia="Calibri" w:hAnsi="Verdana" w:cs="Arial"/>
          <w:color w:val="000000"/>
          <w:sz w:val="20"/>
          <w:szCs w:val="20"/>
          <w:lang w:val="es-ES"/>
        </w:rPr>
      </w:pPr>
    </w:p>
    <w:p w14:paraId="0E8A0AF7" w14:textId="27929CCD" w:rsidR="003D7CBB" w:rsidRPr="001F7B57" w:rsidRDefault="00E8201E" w:rsidP="001F7B57">
      <w:pPr>
        <w:spacing w:after="0" w:line="240" w:lineRule="auto"/>
        <w:jc w:val="both"/>
        <w:rPr>
          <w:rFonts w:ascii="Verdana" w:eastAsia="Calibri" w:hAnsi="Verdana" w:cs="Arial"/>
          <w:sz w:val="20"/>
          <w:szCs w:val="20"/>
          <w:lang w:val="es-ES_tradnl"/>
        </w:rPr>
      </w:pPr>
      <w:r w:rsidRPr="00E8201E">
        <w:rPr>
          <w:rFonts w:ascii="Verdana" w:eastAsia="Calibri" w:hAnsi="Verdana" w:cs="Arial"/>
          <w:sz w:val="20"/>
          <w:szCs w:val="20"/>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Pero eso no significa que antes no rigiera, pues así también lo disponía el artículo 4 de la Ley 1882 de 2018. Por vía reglamentaria, también quedó consignado en su momento el carácter inmodificable de los pliegos tipo en el artículo 1 de los Decretos 342 de 2019, Decreto 2096 de 2019 y 594 de 2020, que adicionaron, respectivamente, los artículos 2.2.1.2.6.1.4, 2.2.1.2.6.2.3 y 2.2.1.2.6.3.4 al Decreto 1082 de 2015.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60D36A23" w14:textId="77777777" w:rsidR="003D7CBB" w:rsidRPr="003D7CBB" w:rsidRDefault="003D7CBB" w:rsidP="003D7CBB">
      <w:pPr>
        <w:spacing w:after="0" w:line="240" w:lineRule="auto"/>
        <w:jc w:val="both"/>
        <w:rPr>
          <w:rFonts w:ascii="Verdana" w:eastAsia="Calibri" w:hAnsi="Verdana" w:cs="Times New Roman"/>
          <w:b/>
          <w:bCs/>
          <w:lang w:val="es-ES"/>
        </w:rPr>
      </w:pPr>
    </w:p>
    <w:p w14:paraId="299BBAB3" w14:textId="77777777" w:rsidR="003D7CBB" w:rsidRPr="003D7CBB" w:rsidRDefault="003D7CBB" w:rsidP="003D7CBB">
      <w:pPr>
        <w:spacing w:after="0" w:line="240" w:lineRule="auto"/>
        <w:contextualSpacing/>
        <w:jc w:val="both"/>
        <w:rPr>
          <w:rFonts w:ascii="Verdana" w:eastAsia="Calibri" w:hAnsi="Verdana" w:cs="Arial"/>
          <w:b/>
          <w:bCs/>
          <w:kern w:val="2"/>
          <w:sz w:val="24"/>
          <w:szCs w:val="24"/>
          <w:lang w:val="es-ES" w:eastAsia="es-ES"/>
          <w14:ligatures w14:val="standardContextual"/>
        </w:rPr>
      </w:pPr>
      <w:r w:rsidRPr="003D7CBB">
        <w:rPr>
          <w:rFonts w:ascii="Verdana" w:eastAsia="Calibri" w:hAnsi="Verdana" w:cs="Arial"/>
          <w:b/>
          <w:bCs/>
          <w:kern w:val="2"/>
          <w:sz w:val="24"/>
          <w:szCs w:val="24"/>
          <w:lang w:val="es-ES" w:eastAsia="es-ES"/>
          <w14:ligatures w14:val="standardContextual"/>
        </w:rPr>
        <w:t>SISTEMA DE GESTIÓN DE SEGURIDAD Y SALUD EN EL TRABAJO SG-SST – Contratos Estatales – Documentos Tipo</w:t>
      </w:r>
    </w:p>
    <w:p w14:paraId="565633C7" w14:textId="77777777" w:rsidR="003D7CBB" w:rsidRPr="003D7CBB" w:rsidRDefault="003D7CBB" w:rsidP="003D7CBB">
      <w:pPr>
        <w:spacing w:after="0" w:line="240" w:lineRule="auto"/>
        <w:rPr>
          <w:rFonts w:ascii="Verdana" w:eastAsia="Calibri" w:hAnsi="Verdana" w:cs="Times New Roman"/>
          <w:b/>
          <w:bCs/>
          <w:lang w:val="es-ES"/>
        </w:rPr>
      </w:pPr>
    </w:p>
    <w:p w14:paraId="7CF3E2FF" w14:textId="77777777" w:rsidR="00E8201E" w:rsidRDefault="003D7CBB" w:rsidP="001F7B57">
      <w:pPr>
        <w:widowControl w:val="0"/>
        <w:autoSpaceDE w:val="0"/>
        <w:autoSpaceDN w:val="0"/>
        <w:snapToGrid w:val="0"/>
        <w:spacing w:after="0" w:line="240" w:lineRule="auto"/>
        <w:jc w:val="both"/>
        <w:rPr>
          <w:rFonts w:ascii="Verdana" w:eastAsia="Calibri" w:hAnsi="Verdana" w:cs="Arial"/>
          <w:color w:val="000000"/>
          <w:kern w:val="2"/>
          <w:sz w:val="20"/>
          <w:szCs w:val="20"/>
          <w:lang w:val="es-ES"/>
          <w14:ligatures w14:val="standardContextual"/>
        </w:rPr>
      </w:pPr>
      <w:r w:rsidRPr="001F7B57">
        <w:rPr>
          <w:rFonts w:ascii="Verdana" w:eastAsia="Calibri" w:hAnsi="Verdana" w:cs="Arial"/>
          <w:sz w:val="20"/>
          <w:szCs w:val="20"/>
          <w:lang w:val="es-MX"/>
        </w:rPr>
        <w:t xml:space="preserve">[…] </w:t>
      </w:r>
      <w:r w:rsidR="00E8201E" w:rsidRPr="001F7B57">
        <w:rPr>
          <w:rFonts w:ascii="Verdana" w:eastAsia="Calibri" w:hAnsi="Verdana" w:cs="Arial"/>
          <w:sz w:val="20"/>
          <w:szCs w:val="20"/>
          <w:lang w:val="es-MX"/>
        </w:rPr>
        <w:t xml:space="preserve">respecto al Sistema de Gestión de Seguridad y Salud en el Trabajo (SG-SST), </w:t>
      </w:r>
      <w:r w:rsidR="00E8201E" w:rsidRPr="001F7B57">
        <w:rPr>
          <w:rFonts w:ascii="Verdana" w:eastAsia="Calibri" w:hAnsi="Verdana" w:cs="Arial"/>
          <w:color w:val="000000"/>
          <w:kern w:val="2"/>
          <w:sz w:val="20"/>
          <w:szCs w:val="20"/>
          <w:lang w:val="es-ES"/>
          <w14:ligatures w14:val="standardContextual"/>
        </w:rPr>
        <w:t>el artículo 1 de la Ley 1562 de 2012, que modificó el Sistema de Riesgos Laborales, contempló que el programa de salud ocupacional en adelante se conocería como el Sistema de Gestión de la Seguridad y Salud en el Trabajo, definido como un “Sistema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salud en el trabajo.”</w:t>
      </w:r>
    </w:p>
    <w:p w14:paraId="257012B5" w14:textId="77777777" w:rsidR="001F7B57" w:rsidRPr="001F7B57" w:rsidRDefault="001F7B57" w:rsidP="001F7B57">
      <w:pPr>
        <w:widowControl w:val="0"/>
        <w:autoSpaceDE w:val="0"/>
        <w:autoSpaceDN w:val="0"/>
        <w:snapToGrid w:val="0"/>
        <w:spacing w:after="0" w:line="240" w:lineRule="auto"/>
        <w:jc w:val="both"/>
        <w:rPr>
          <w:rFonts w:ascii="Verdana" w:eastAsia="Calibri" w:hAnsi="Verdana" w:cs="Arial"/>
          <w:color w:val="000000"/>
          <w:kern w:val="2"/>
          <w:sz w:val="20"/>
          <w:szCs w:val="20"/>
          <w:lang w:val="es-ES"/>
          <w14:ligatures w14:val="standardContextual"/>
        </w:rPr>
      </w:pPr>
    </w:p>
    <w:p w14:paraId="33585915" w14:textId="77777777" w:rsidR="00E8201E" w:rsidRPr="001F7B57" w:rsidRDefault="00E8201E" w:rsidP="001F7B57">
      <w:pPr>
        <w:widowControl w:val="0"/>
        <w:autoSpaceDE w:val="0"/>
        <w:autoSpaceDN w:val="0"/>
        <w:snapToGrid w:val="0"/>
        <w:spacing w:after="0" w:line="240" w:lineRule="auto"/>
        <w:jc w:val="both"/>
        <w:rPr>
          <w:rFonts w:ascii="Verdana" w:eastAsia="Calibri" w:hAnsi="Verdana" w:cs="Arial"/>
          <w:color w:val="000000"/>
          <w:kern w:val="2"/>
          <w:sz w:val="20"/>
          <w:szCs w:val="20"/>
          <w:lang w:val="es-ES"/>
          <w14:ligatures w14:val="standardContextual"/>
        </w:rPr>
      </w:pPr>
      <w:r w:rsidRPr="001F7B57">
        <w:rPr>
          <w:rFonts w:ascii="Verdana" w:eastAsia="Calibri" w:hAnsi="Verdana" w:cs="Arial"/>
          <w:color w:val="000000"/>
          <w:kern w:val="2"/>
          <w:sz w:val="20"/>
          <w:szCs w:val="20"/>
          <w:lang w:val="es-ES"/>
          <w14:ligatures w14:val="standardContextual"/>
        </w:rPr>
        <w:t xml:space="preserve">Por su parte, el Decreto 1443 de 2014, compilado posteriormente en el capítulo 6 del Decreto 1072 de 2015, “por medio del cual se expidió el Decreto Reglamentario del Sector Trabajo”, definió las directrices para la implementación del SG-SST. En particular, el artículo 2.2.4.6.4. del Decreto 1072 de 2015 dispuso que el Sistema de Gestión de Seguridad y Salud en el Trabajo debe ser liderado e implementado por el empleador o </w:t>
      </w:r>
      <w:r w:rsidRPr="001F7B57">
        <w:rPr>
          <w:rFonts w:ascii="Verdana" w:eastAsia="Calibri" w:hAnsi="Verdana" w:cs="Arial"/>
          <w:color w:val="000000"/>
          <w:kern w:val="2"/>
          <w:sz w:val="20"/>
          <w:szCs w:val="20"/>
          <w:lang w:val="es-ES"/>
          <w14:ligatures w14:val="standardContextual"/>
        </w:rPr>
        <w:lastRenderedPageBreak/>
        <w:t xml:space="preserve">contratante, con la participación de los trabajadores y/o contratistas. Para ello, el artículo estableció que los empleadores o contratantes, entre los que se encuentran las Entidades Estatales, deben garantizar la implementación, mantenimiento y mejora continua del SG-SST en sus contratistas. </w:t>
      </w:r>
    </w:p>
    <w:p w14:paraId="37D587ED" w14:textId="5F5E4BA0" w:rsidR="003D7CBB" w:rsidRPr="003D7CBB" w:rsidRDefault="003D7CBB" w:rsidP="00E8201E">
      <w:pPr>
        <w:widowControl w:val="0"/>
        <w:autoSpaceDE w:val="0"/>
        <w:autoSpaceDN w:val="0"/>
        <w:snapToGrid w:val="0"/>
        <w:spacing w:after="0" w:line="240" w:lineRule="auto"/>
        <w:jc w:val="both"/>
        <w:rPr>
          <w:rFonts w:ascii="Verdana" w:eastAsia="Calibri" w:hAnsi="Verdana" w:cs="Arial"/>
          <w:color w:val="000000"/>
          <w:kern w:val="2"/>
          <w:sz w:val="20"/>
          <w:szCs w:val="20"/>
          <w:lang w:val="es-ES"/>
          <w14:ligatures w14:val="standardContextual"/>
        </w:rPr>
      </w:pPr>
      <w:r w:rsidRPr="003D7CBB">
        <w:rPr>
          <w:rFonts w:ascii="Verdana" w:eastAsia="Calibri" w:hAnsi="Verdana" w:cs="Arial"/>
          <w:color w:val="000000"/>
          <w:kern w:val="2"/>
          <w:sz w:val="20"/>
          <w:szCs w:val="20"/>
          <w:lang w:val="es-ES"/>
          <w14:ligatures w14:val="standardContextual"/>
        </w:rPr>
        <w:t xml:space="preserve"> </w:t>
      </w:r>
    </w:p>
    <w:p w14:paraId="15CC7155" w14:textId="77777777" w:rsidR="003D7CBB" w:rsidRPr="003D7CBB" w:rsidRDefault="003D7CBB" w:rsidP="003D7CBB">
      <w:pPr>
        <w:spacing w:after="0" w:line="240" w:lineRule="auto"/>
        <w:rPr>
          <w:rFonts w:ascii="Verdana" w:eastAsia="Calibri" w:hAnsi="Verdana" w:cs="Times New Roman"/>
          <w:b/>
          <w:bCs/>
          <w:lang w:val="es-ES"/>
        </w:rPr>
      </w:pPr>
    </w:p>
    <w:p w14:paraId="5F248260" w14:textId="77777777" w:rsidR="003D7CBB" w:rsidRPr="003D7CBB" w:rsidRDefault="003D7CBB" w:rsidP="003D7CBB">
      <w:pPr>
        <w:spacing w:after="0" w:line="240" w:lineRule="auto"/>
        <w:rPr>
          <w:rFonts w:ascii="Verdana" w:eastAsia="Calibri" w:hAnsi="Verdana" w:cs="Times New Roman"/>
          <w:b/>
          <w:bCs/>
          <w:lang w:val="es-ES"/>
        </w:rPr>
      </w:pPr>
    </w:p>
    <w:p w14:paraId="16AA7512" w14:textId="77777777" w:rsidR="003D7CBB" w:rsidRPr="003D7CBB" w:rsidRDefault="003D7CBB" w:rsidP="003D7CBB">
      <w:pPr>
        <w:spacing w:after="0" w:line="240" w:lineRule="auto"/>
        <w:rPr>
          <w:rFonts w:ascii="Verdana" w:eastAsia="Calibri" w:hAnsi="Verdana" w:cs="Times New Roman"/>
          <w:b/>
          <w:bCs/>
          <w:lang w:val="es-ES"/>
        </w:rPr>
      </w:pPr>
    </w:p>
    <w:p w14:paraId="2459DF00" w14:textId="77777777" w:rsidR="003D7CBB" w:rsidRPr="003D7CBB" w:rsidRDefault="003D7CBB" w:rsidP="003D7CBB">
      <w:pPr>
        <w:spacing w:after="0" w:line="240" w:lineRule="auto"/>
        <w:rPr>
          <w:rFonts w:ascii="Verdana" w:eastAsia="Calibri" w:hAnsi="Verdana" w:cs="Times New Roman"/>
          <w:b/>
          <w:bCs/>
          <w:lang w:val="es-ES"/>
        </w:rPr>
      </w:pPr>
    </w:p>
    <w:p w14:paraId="26CCC3F7" w14:textId="77777777" w:rsidR="003D7CBB" w:rsidRPr="003D7CBB" w:rsidRDefault="003D7CBB" w:rsidP="003D7CBB">
      <w:pPr>
        <w:spacing w:after="0" w:line="240" w:lineRule="auto"/>
        <w:rPr>
          <w:rFonts w:ascii="Verdana" w:eastAsia="Calibri" w:hAnsi="Verdana" w:cs="Times New Roman"/>
          <w:b/>
          <w:bCs/>
          <w:lang w:val="es-ES"/>
        </w:rPr>
      </w:pPr>
    </w:p>
    <w:p w14:paraId="1886A0B7" w14:textId="77777777" w:rsidR="003D7CBB" w:rsidRPr="003D7CBB" w:rsidRDefault="003D7CBB" w:rsidP="003D7CBB">
      <w:pPr>
        <w:rPr>
          <w:rFonts w:ascii="Verdana" w:eastAsia="Calibri" w:hAnsi="Verdana" w:cs="Times New Roman"/>
          <w:b/>
          <w:bCs/>
          <w:lang w:val="es-ES"/>
        </w:rPr>
      </w:pPr>
      <w:r w:rsidRPr="003D7CBB">
        <w:rPr>
          <w:rFonts w:ascii="Verdana" w:eastAsia="Calibri" w:hAnsi="Verdana" w:cs="Times New Roman"/>
          <w:b/>
          <w:bCs/>
          <w:lang w:val="es-ES"/>
        </w:rPr>
        <w:br w:type="page"/>
      </w:r>
    </w:p>
    <w:p w14:paraId="76F2807A" w14:textId="4EA8ABE6" w:rsidR="003D7CBB" w:rsidRDefault="000C095A" w:rsidP="003D7CBB">
      <w:pPr>
        <w:spacing w:after="0" w:line="278" w:lineRule="auto"/>
        <w:rPr>
          <w:rFonts w:ascii="Verdana" w:eastAsia="Verdana" w:hAnsi="Verdana" w:cs="Verdana"/>
        </w:rPr>
      </w:pPr>
      <w:r w:rsidRPr="30821638">
        <w:rPr>
          <w:rFonts w:ascii="Verdana" w:eastAsia="Verdana" w:hAnsi="Verdana" w:cs="Verdana"/>
        </w:rPr>
        <w:lastRenderedPageBreak/>
        <w:t xml:space="preserve">Bogotá D.C., </w:t>
      </w:r>
      <w:r w:rsidR="00C743BF">
        <w:rPr>
          <w:rFonts w:ascii="Verdana" w:eastAsia="Verdana" w:hAnsi="Verdana" w:cs="Verdana"/>
        </w:rPr>
        <w:t>18 Agosto 2026</w:t>
      </w:r>
    </w:p>
    <w:p w14:paraId="5037CCB8" w14:textId="75E6F0F8" w:rsidR="003D7CBB" w:rsidRPr="003D7CBB" w:rsidRDefault="00C743BF" w:rsidP="00C743BF">
      <w:pPr>
        <w:spacing w:after="0" w:line="278" w:lineRule="auto"/>
        <w:jc w:val="right"/>
        <w:rPr>
          <w:rFonts w:ascii="Verdana" w:eastAsia="Aptos" w:hAnsi="Verdana" w:cs="Times New Roman"/>
          <w:kern w:val="2"/>
          <w:sz w:val="24"/>
          <w:szCs w:val="24"/>
          <w14:ligatures w14:val="standardContextual"/>
        </w:rPr>
      </w:pPr>
      <w:r>
        <w:rPr>
          <w:rFonts w:ascii="Verdana" w:eastAsia="Aptos" w:hAnsi="Verdana" w:cs="Times New Roman"/>
          <w:noProof/>
          <w:kern w:val="2"/>
          <w:sz w:val="24"/>
          <w:szCs w:val="24"/>
        </w:rPr>
        <w:drawing>
          <wp:inline distT="0" distB="0" distL="0" distR="0" wp14:anchorId="37B74D1C" wp14:editId="50CC370F">
            <wp:extent cx="2455779" cy="713259"/>
            <wp:effectExtent l="0" t="0" r="0" b="0"/>
            <wp:docPr id="809378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78959" name="Imagen 809378959"/>
                    <pic:cNvPicPr/>
                  </pic:nvPicPr>
                  <pic:blipFill>
                    <a:blip r:embed="rId10">
                      <a:extLst>
                        <a:ext uri="{28A0092B-C50C-407E-A947-70E740481C1C}">
                          <a14:useLocalDpi xmlns:a14="http://schemas.microsoft.com/office/drawing/2010/main" val="0"/>
                        </a:ext>
                      </a:extLst>
                    </a:blip>
                    <a:stretch>
                      <a:fillRect/>
                    </a:stretch>
                  </pic:blipFill>
                  <pic:spPr>
                    <a:xfrm>
                      <a:off x="0" y="0"/>
                      <a:ext cx="2486560" cy="722199"/>
                    </a:xfrm>
                    <a:prstGeom prst="rect">
                      <a:avLst/>
                    </a:prstGeom>
                  </pic:spPr>
                </pic:pic>
              </a:graphicData>
            </a:graphic>
          </wp:inline>
        </w:drawing>
      </w:r>
    </w:p>
    <w:p w14:paraId="07B58730" w14:textId="77777777" w:rsidR="003D7CBB" w:rsidRPr="003D7CBB" w:rsidRDefault="003D7CBB" w:rsidP="003D7CBB">
      <w:pPr>
        <w:spacing w:after="0" w:line="240" w:lineRule="auto"/>
        <w:rPr>
          <w:rFonts w:ascii="Verdana" w:eastAsia="Calibri" w:hAnsi="Verdana" w:cs="Arial"/>
          <w:kern w:val="2"/>
          <w:lang w:val="es-ES" w:eastAsia="es-ES"/>
          <w14:ligatures w14:val="standardContextual"/>
        </w:rPr>
      </w:pPr>
      <w:r w:rsidRPr="003D7CBB">
        <w:rPr>
          <w:rFonts w:ascii="Verdana" w:eastAsia="Calibri" w:hAnsi="Verdana" w:cs="Arial"/>
          <w:kern w:val="2"/>
          <w:lang w:val="es-ES" w:eastAsia="es-ES"/>
          <w14:ligatures w14:val="standardContextual"/>
        </w:rPr>
        <w:t>Señora</w:t>
      </w:r>
    </w:p>
    <w:p w14:paraId="5A0FF5D5" w14:textId="77777777" w:rsidR="003D7CBB" w:rsidRPr="003D7CBB" w:rsidRDefault="003D7CBB" w:rsidP="003D7CBB">
      <w:pPr>
        <w:spacing w:after="0" w:line="240" w:lineRule="auto"/>
        <w:rPr>
          <w:rFonts w:ascii="Verdana" w:eastAsia="Calibri" w:hAnsi="Verdana" w:cs="Arial"/>
          <w:b/>
          <w:bCs/>
          <w:kern w:val="2"/>
          <w:lang w:val="es-ES" w:eastAsia="es-ES"/>
          <w14:ligatures w14:val="standardContextual"/>
        </w:rPr>
      </w:pPr>
      <w:r w:rsidRPr="003D7CBB">
        <w:rPr>
          <w:rFonts w:ascii="Verdana" w:eastAsia="Calibri" w:hAnsi="Verdana" w:cs="Arial"/>
          <w:b/>
          <w:bCs/>
          <w:kern w:val="2"/>
          <w:lang w:val="es-ES" w:eastAsia="es-ES"/>
          <w14:ligatures w14:val="standardContextual"/>
        </w:rPr>
        <w:t>Luz Amanda Durán Espitia</w:t>
      </w:r>
    </w:p>
    <w:p w14:paraId="3156CB77" w14:textId="77777777" w:rsidR="003D7CBB" w:rsidRPr="003D7CBB" w:rsidRDefault="003D7CBB" w:rsidP="003D7CBB">
      <w:pPr>
        <w:spacing w:after="0" w:line="240" w:lineRule="auto"/>
        <w:rPr>
          <w:rFonts w:ascii="Verdana" w:eastAsia="Calibri" w:hAnsi="Verdana" w:cs="Arial"/>
          <w:kern w:val="2"/>
          <w:lang w:val="es-ES" w:eastAsia="es-ES"/>
          <w14:ligatures w14:val="standardContextual"/>
        </w:rPr>
      </w:pPr>
      <w:r w:rsidRPr="003D7CBB">
        <w:rPr>
          <w:rFonts w:ascii="Verdana" w:eastAsia="Calibri" w:hAnsi="Verdana" w:cs="Arial"/>
          <w:kern w:val="2"/>
          <w:lang w:val="es-ES" w:eastAsia="es-ES"/>
          <w14:ligatures w14:val="standardContextual"/>
        </w:rPr>
        <w:t>Agencia Logística de las Fuerzas Militares</w:t>
      </w:r>
    </w:p>
    <w:p w14:paraId="69C85AF6" w14:textId="77777777" w:rsidR="003D7CBB" w:rsidRPr="003D7CBB" w:rsidRDefault="003D7CBB" w:rsidP="003D7CBB">
      <w:pPr>
        <w:spacing w:after="0" w:line="240" w:lineRule="auto"/>
        <w:rPr>
          <w:rFonts w:ascii="Verdana" w:eastAsia="Calibri" w:hAnsi="Verdana" w:cs="Arial"/>
          <w:lang w:val="es-ES_tradnl" w:eastAsia="es-ES_tradnl"/>
        </w:rPr>
      </w:pPr>
      <w:r w:rsidRPr="003D7CBB">
        <w:rPr>
          <w:rFonts w:ascii="Verdana" w:eastAsia="Calibri" w:hAnsi="Verdana" w:cs="Arial"/>
          <w:kern w:val="2"/>
          <w:lang w:val="es-ES" w:eastAsia="es-ES"/>
          <w14:ligatures w14:val="standardContextual"/>
        </w:rPr>
        <w:t>Bogotá, D.C.</w:t>
      </w:r>
    </w:p>
    <w:p w14:paraId="46567B30" w14:textId="77777777" w:rsidR="003D7CBB" w:rsidRPr="003D7CBB" w:rsidRDefault="003D7CBB" w:rsidP="003D7CBB">
      <w:pPr>
        <w:spacing w:after="0" w:line="240" w:lineRule="auto"/>
        <w:rPr>
          <w:rFonts w:ascii="Verdana" w:eastAsia="Calibri" w:hAnsi="Verdana" w:cs="Arial"/>
          <w:b/>
          <w:bCs/>
          <w:lang w:val="es-ES_tradnl" w:eastAsia="es-ES_tradnl"/>
        </w:rPr>
      </w:pPr>
    </w:p>
    <w:p w14:paraId="7EC0C8E2" w14:textId="77777777" w:rsidR="003D7CBB" w:rsidRPr="003D7CBB" w:rsidRDefault="003D7CBB" w:rsidP="003D7CBB">
      <w:pPr>
        <w:spacing w:after="0" w:line="240" w:lineRule="auto"/>
        <w:rPr>
          <w:rFonts w:ascii="Verdana" w:eastAsia="Calibri" w:hAnsi="Verdana" w:cs="Arial"/>
          <w:b/>
          <w:bCs/>
          <w:lang w:val="es-ES_tradnl" w:eastAsia="es-ES_tradnl"/>
        </w:rPr>
      </w:pPr>
    </w:p>
    <w:tbl>
      <w:tblPr>
        <w:tblStyle w:val="Tablaconcuadrcula1"/>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3D7CBB" w:rsidRPr="003D7CBB" w14:paraId="0B07EAB3" w14:textId="77777777" w:rsidTr="00B16EA6">
        <w:trPr>
          <w:trHeight w:val="229"/>
        </w:trPr>
        <w:tc>
          <w:tcPr>
            <w:tcW w:w="1985" w:type="dxa"/>
          </w:tcPr>
          <w:p w14:paraId="44E78E3F" w14:textId="77777777" w:rsidR="003D7CBB" w:rsidRPr="003D7CBB" w:rsidRDefault="003D7CBB" w:rsidP="003D7CBB">
            <w:pPr>
              <w:jc w:val="both"/>
              <w:rPr>
                <w:rFonts w:ascii="Verdana" w:eastAsia="Calibri" w:hAnsi="Verdana" w:cs="Arial"/>
                <w:b/>
                <w:bCs/>
                <w:lang w:val="es-ES_tradnl" w:eastAsia="es-ES_tradnl"/>
              </w:rPr>
            </w:pPr>
          </w:p>
        </w:tc>
        <w:tc>
          <w:tcPr>
            <w:tcW w:w="6383" w:type="dxa"/>
          </w:tcPr>
          <w:p w14:paraId="0248E261" w14:textId="77777777" w:rsidR="003D7CBB" w:rsidRPr="003D7CBB" w:rsidRDefault="003D7CBB" w:rsidP="003D7CBB">
            <w:pPr>
              <w:jc w:val="both"/>
              <w:rPr>
                <w:rFonts w:ascii="Verdana" w:eastAsia="Calibri" w:hAnsi="Verdana" w:cs="Arial"/>
                <w:b/>
                <w:bCs/>
                <w:lang w:val="es-ES" w:eastAsia="es-ES"/>
              </w:rPr>
            </w:pPr>
            <w:r w:rsidRPr="003D7CBB">
              <w:rPr>
                <w:rFonts w:ascii="Verdana" w:eastAsia="Calibri" w:hAnsi="Verdana" w:cs="Arial"/>
                <w:b/>
                <w:bCs/>
                <w:lang w:val="es-ES" w:eastAsia="es-ES"/>
              </w:rPr>
              <w:t>Concepto C – 1061 de 2026</w:t>
            </w:r>
          </w:p>
          <w:p w14:paraId="41214E66" w14:textId="77777777" w:rsidR="003D7CBB" w:rsidRPr="003D7CBB" w:rsidRDefault="003D7CBB" w:rsidP="003D7CBB">
            <w:pPr>
              <w:jc w:val="both"/>
              <w:rPr>
                <w:rFonts w:ascii="Verdana" w:eastAsia="Calibri" w:hAnsi="Verdana" w:cs="Arial"/>
                <w:b/>
                <w:bCs/>
                <w:lang w:val="es-ES" w:eastAsia="es-ES"/>
              </w:rPr>
            </w:pPr>
          </w:p>
          <w:p w14:paraId="35C96A83" w14:textId="77777777" w:rsidR="003D7CBB" w:rsidRPr="003D7CBB" w:rsidRDefault="003D7CBB" w:rsidP="003D7CBB">
            <w:pPr>
              <w:jc w:val="both"/>
              <w:rPr>
                <w:rFonts w:ascii="Verdana" w:eastAsia="Calibri" w:hAnsi="Verdana" w:cs="Arial"/>
                <w:b/>
                <w:bCs/>
                <w:lang w:val="es-ES" w:eastAsia="es-ES"/>
              </w:rPr>
            </w:pPr>
          </w:p>
        </w:tc>
      </w:tr>
      <w:tr w:rsidR="003D7CBB" w:rsidRPr="003D7CBB" w14:paraId="6CCAC4F8" w14:textId="77777777" w:rsidTr="00B16EA6">
        <w:trPr>
          <w:trHeight w:val="884"/>
        </w:trPr>
        <w:tc>
          <w:tcPr>
            <w:tcW w:w="1985" w:type="dxa"/>
          </w:tcPr>
          <w:p w14:paraId="49C396F7" w14:textId="77777777" w:rsidR="003D7CBB" w:rsidRPr="003D7CBB" w:rsidRDefault="003D7CBB" w:rsidP="003D7CBB">
            <w:pPr>
              <w:jc w:val="both"/>
              <w:rPr>
                <w:rFonts w:ascii="Verdana" w:eastAsia="Calibri" w:hAnsi="Verdana" w:cs="Arial"/>
                <w:lang w:val="es-ES_tradnl" w:eastAsia="es-ES_tradnl"/>
              </w:rPr>
            </w:pPr>
            <w:r w:rsidRPr="003D7CBB">
              <w:rPr>
                <w:rFonts w:ascii="Verdana" w:eastAsia="Calibri" w:hAnsi="Verdana" w:cs="Arial"/>
                <w:b/>
                <w:lang w:val="es-ES_tradnl" w:eastAsia="es-ES_tradnl"/>
              </w:rPr>
              <w:t>Temas:</w:t>
            </w:r>
            <w:r w:rsidRPr="003D7CBB">
              <w:rPr>
                <w:rFonts w:ascii="Verdana" w:eastAsia="Calibri" w:hAnsi="Verdana" w:cs="Arial"/>
                <w:lang w:val="es-ES_tradnl" w:eastAsia="es-ES_tradnl"/>
              </w:rPr>
              <w:t xml:space="preserve">                   </w:t>
            </w:r>
          </w:p>
        </w:tc>
        <w:tc>
          <w:tcPr>
            <w:tcW w:w="6383" w:type="dxa"/>
          </w:tcPr>
          <w:p w14:paraId="6F835593" w14:textId="77777777" w:rsidR="003D7CBB" w:rsidRPr="003D7CBB" w:rsidRDefault="003D7CBB" w:rsidP="003D7CBB">
            <w:pPr>
              <w:spacing w:line="276" w:lineRule="auto"/>
              <w:contextualSpacing/>
              <w:jc w:val="both"/>
              <w:rPr>
                <w:rFonts w:ascii="Verdana" w:eastAsia="Calibri" w:hAnsi="Verdana" w:cs="Arial"/>
                <w:lang w:val="es-ES" w:eastAsia="es-ES"/>
              </w:rPr>
            </w:pPr>
            <w:r w:rsidRPr="003D7CBB">
              <w:rPr>
                <w:rFonts w:ascii="Verdana" w:eastAsia="Calibri" w:hAnsi="Verdana" w:cs="Times New Roman"/>
                <w:lang w:val="es-ES"/>
              </w:rPr>
              <w:t xml:space="preserve">DOCUMENTOS TIPO – Inalterabilidad – Alcance / </w:t>
            </w:r>
            <w:r w:rsidRPr="003D7CBB">
              <w:rPr>
                <w:rFonts w:ascii="Verdana" w:eastAsia="Calibri" w:hAnsi="Verdana" w:cs="Arial"/>
                <w:lang w:val="es-ES" w:eastAsia="es-ES"/>
              </w:rPr>
              <w:t>SISTEMA DE GESTIÓN DE SEGURIDAD Y SALUD EN EL TRABAJO SG-SST – Contratos Estatales – Documentos Tipo</w:t>
            </w:r>
          </w:p>
          <w:p w14:paraId="1C76CC0F" w14:textId="77777777" w:rsidR="003D7CBB" w:rsidRPr="003D7CBB" w:rsidRDefault="003D7CBB" w:rsidP="003D7CBB">
            <w:pPr>
              <w:widowControl w:val="0"/>
              <w:autoSpaceDE w:val="0"/>
              <w:autoSpaceDN w:val="0"/>
              <w:spacing w:line="276" w:lineRule="auto"/>
              <w:jc w:val="both"/>
              <w:rPr>
                <w:rFonts w:ascii="Verdana" w:eastAsia="Calibri" w:hAnsi="Verdana" w:cs="Times New Roman"/>
                <w:lang w:val="es-ES"/>
              </w:rPr>
            </w:pPr>
          </w:p>
          <w:p w14:paraId="147F2568" w14:textId="77777777" w:rsidR="003D7CBB" w:rsidRPr="003D7CBB" w:rsidRDefault="003D7CBB" w:rsidP="003D7CBB">
            <w:pPr>
              <w:widowControl w:val="0"/>
              <w:autoSpaceDE w:val="0"/>
              <w:autoSpaceDN w:val="0"/>
              <w:spacing w:line="276" w:lineRule="auto"/>
              <w:jc w:val="both"/>
              <w:rPr>
                <w:rFonts w:ascii="Verdana" w:eastAsia="Calibri" w:hAnsi="Verdana" w:cs="Times New Roman"/>
                <w:lang w:val="es-ES"/>
              </w:rPr>
            </w:pPr>
          </w:p>
        </w:tc>
      </w:tr>
      <w:tr w:rsidR="003D7CBB" w:rsidRPr="003D7CBB" w14:paraId="4BB01BC1" w14:textId="77777777" w:rsidTr="00B16EA6">
        <w:tc>
          <w:tcPr>
            <w:tcW w:w="1985" w:type="dxa"/>
          </w:tcPr>
          <w:p w14:paraId="39F35528" w14:textId="77777777" w:rsidR="003D7CBB" w:rsidRPr="003D7CBB" w:rsidRDefault="003D7CBB" w:rsidP="003D7CBB">
            <w:pPr>
              <w:jc w:val="both"/>
              <w:rPr>
                <w:rFonts w:ascii="Verdana" w:eastAsia="Calibri" w:hAnsi="Verdana" w:cs="Arial"/>
                <w:b/>
                <w:lang w:val="es-ES_tradnl" w:eastAsia="es-ES_tradnl"/>
              </w:rPr>
            </w:pPr>
            <w:r w:rsidRPr="003D7CBB">
              <w:rPr>
                <w:rFonts w:ascii="Verdana" w:eastAsia="Calibri" w:hAnsi="Verdana" w:cs="Arial"/>
                <w:b/>
                <w:lang w:val="es-ES_tradnl" w:eastAsia="es-ES_tradnl"/>
              </w:rPr>
              <w:t>Radicación:</w:t>
            </w:r>
            <w:r w:rsidRPr="003D7CBB">
              <w:rPr>
                <w:rFonts w:ascii="Verdana" w:eastAsia="Calibri" w:hAnsi="Verdana" w:cs="Arial"/>
                <w:lang w:val="es-ES_tradnl" w:eastAsia="es-ES_tradnl"/>
              </w:rPr>
              <w:t xml:space="preserve">               </w:t>
            </w:r>
          </w:p>
        </w:tc>
        <w:tc>
          <w:tcPr>
            <w:tcW w:w="6383" w:type="dxa"/>
          </w:tcPr>
          <w:p w14:paraId="4716AB22" w14:textId="77777777" w:rsidR="003D7CBB" w:rsidRPr="003D7CBB" w:rsidRDefault="003D7CBB" w:rsidP="003D7CBB">
            <w:pPr>
              <w:spacing w:line="276" w:lineRule="auto"/>
              <w:ind w:left="3" w:hanging="3"/>
              <w:jc w:val="both"/>
              <w:rPr>
                <w:rFonts w:ascii="Verdana" w:eastAsia="Calibri" w:hAnsi="Verdana" w:cs="Arial"/>
                <w:lang w:val="es-ES_tradnl" w:eastAsia="es-ES_tradnl"/>
              </w:rPr>
            </w:pPr>
            <w:r w:rsidRPr="003D7CBB">
              <w:rPr>
                <w:rFonts w:ascii="Verdana" w:eastAsia="Calibri" w:hAnsi="Verdana" w:cs="Arial"/>
                <w:lang w:val="es-ES_tradnl" w:eastAsia="es-ES_tradnl"/>
              </w:rPr>
              <w:t>Respuesta a consulta con radicado No. 1_2026_07_03_008862</w:t>
            </w:r>
          </w:p>
        </w:tc>
      </w:tr>
    </w:tbl>
    <w:p w14:paraId="3E25A43D" w14:textId="77777777" w:rsidR="003D7CBB" w:rsidRPr="003D7CBB" w:rsidRDefault="003D7CBB" w:rsidP="003D7CBB">
      <w:pPr>
        <w:spacing w:after="0" w:line="240" w:lineRule="auto"/>
        <w:jc w:val="both"/>
        <w:rPr>
          <w:rFonts w:ascii="Verdana" w:eastAsia="Calibri" w:hAnsi="Verdana" w:cs="Arial"/>
          <w:lang w:val="es-ES_tradnl" w:eastAsia="es-ES_tradnl"/>
        </w:rPr>
      </w:pPr>
    </w:p>
    <w:p w14:paraId="451A8BEE" w14:textId="77777777" w:rsidR="003D7CBB" w:rsidRPr="003D7CBB" w:rsidRDefault="003D7CBB" w:rsidP="003D7CBB">
      <w:pPr>
        <w:spacing w:after="0" w:line="240" w:lineRule="auto"/>
        <w:jc w:val="both"/>
        <w:rPr>
          <w:rFonts w:ascii="Verdana" w:eastAsia="Calibri" w:hAnsi="Verdana" w:cs="Arial"/>
          <w:lang w:val="es-ES_tradnl" w:eastAsia="es-ES_tradnl"/>
        </w:rPr>
      </w:pPr>
    </w:p>
    <w:p w14:paraId="26770626" w14:textId="77777777" w:rsidR="003D7CBB" w:rsidRPr="003D7CBB" w:rsidRDefault="003D7CBB" w:rsidP="003D7CBB">
      <w:pPr>
        <w:spacing w:after="0" w:line="276" w:lineRule="auto"/>
        <w:jc w:val="both"/>
        <w:rPr>
          <w:rFonts w:ascii="Verdana" w:eastAsia="Calibri" w:hAnsi="Verdana" w:cs="Arial"/>
          <w:lang w:val="es-ES" w:eastAsia="es-ES"/>
        </w:rPr>
      </w:pPr>
      <w:r w:rsidRPr="003D7CBB">
        <w:rPr>
          <w:rFonts w:ascii="Verdana" w:eastAsia="Calibri" w:hAnsi="Verdana" w:cs="Arial"/>
          <w:lang w:val="es-ES" w:eastAsia="es-ES"/>
        </w:rPr>
        <w:t>Estimada señora Durán Espitia</w:t>
      </w:r>
      <w:r w:rsidRPr="003D7CBB">
        <w:rPr>
          <w:rFonts w:ascii="Verdana" w:eastAsia="Calibri" w:hAnsi="Verdana" w:cs="Arial"/>
          <w:kern w:val="2"/>
          <w:lang w:eastAsia="es-ES_tradnl"/>
          <w14:ligatures w14:val="standardContextual"/>
        </w:rPr>
        <w:t>:</w:t>
      </w:r>
      <w:r w:rsidRPr="003D7CBB">
        <w:rPr>
          <w:rFonts w:ascii="Verdana" w:eastAsia="Calibri" w:hAnsi="Verdana" w:cs="Arial"/>
          <w:lang w:val="es-ES" w:eastAsia="es-ES"/>
        </w:rPr>
        <w:t xml:space="preserve"> </w:t>
      </w:r>
    </w:p>
    <w:p w14:paraId="3F33ADBB" w14:textId="77777777" w:rsidR="003D7CBB" w:rsidRPr="003D7CBB" w:rsidRDefault="003D7CBB" w:rsidP="003D7CBB">
      <w:pPr>
        <w:tabs>
          <w:tab w:val="left" w:pos="3768"/>
        </w:tabs>
        <w:spacing w:after="0" w:line="276" w:lineRule="auto"/>
        <w:jc w:val="both"/>
        <w:rPr>
          <w:rFonts w:ascii="Verdana" w:eastAsia="Calibri" w:hAnsi="Verdana" w:cs="Arial"/>
          <w:lang w:val="es-ES" w:eastAsia="es-ES"/>
        </w:rPr>
      </w:pPr>
      <w:r w:rsidRPr="003D7CBB">
        <w:rPr>
          <w:rFonts w:ascii="Verdana" w:eastAsia="Calibri" w:hAnsi="Verdana" w:cs="Arial"/>
          <w:lang w:val="es-ES" w:eastAsia="es-ES"/>
        </w:rPr>
        <w:t xml:space="preserve"> </w:t>
      </w:r>
    </w:p>
    <w:p w14:paraId="3C9CB52D" w14:textId="77777777" w:rsidR="003D7CBB" w:rsidRPr="003D7CBB" w:rsidRDefault="003D7CBB" w:rsidP="003D7CBB">
      <w:pPr>
        <w:spacing w:after="0" w:line="276" w:lineRule="auto"/>
        <w:jc w:val="both"/>
        <w:rPr>
          <w:rFonts w:ascii="Verdana" w:eastAsia="Calibri" w:hAnsi="Verdana" w:cs="Arial"/>
          <w:lang w:val="es-ES" w:eastAsia="es-ES"/>
        </w:rPr>
      </w:pPr>
      <w:r w:rsidRPr="003D7CBB">
        <w:rPr>
          <w:rFonts w:ascii="Verdana" w:eastAsia="Calibri" w:hAnsi="Verdana" w:cs="Arial"/>
          <w:lang w:val="es-ES" w:eastAsia="es-ES"/>
        </w:rPr>
        <w:t>En ejercicio de la competencia otorgada por los artículos 3, numeral 5º, y 11, numeral 8º, del Decreto Ley 4170 de 2011,</w:t>
      </w:r>
      <w:r w:rsidRPr="003D7CBB">
        <w:rPr>
          <w:rFonts w:ascii="Verdana" w:eastAsia="Arial MT" w:hAnsi="Verdana" w:cs="Arial MT"/>
          <w:lang w:val="es-ES" w:eastAsia="es-ES"/>
        </w:rPr>
        <w:t xml:space="preserve"> </w:t>
      </w:r>
      <w:r w:rsidRPr="003D7CBB">
        <w:rPr>
          <w:rFonts w:ascii="Verdana" w:eastAsia="Calibri" w:hAnsi="Verdana" w:cs="Arial"/>
        </w:rPr>
        <w:t xml:space="preserve">así como lo establecido en la Resolución No. 469 del 2025 expedida por esta Entidad, </w:t>
      </w:r>
      <w:r w:rsidRPr="003D7CBB">
        <w:rPr>
          <w:rFonts w:ascii="Verdana" w:eastAsia="Calibri" w:hAnsi="Verdana" w:cs="Arial"/>
          <w:lang w:val="es-ES" w:eastAsia="es-ES"/>
        </w:rPr>
        <w:t>la Agencia Nacional de Contratación Pública –Colombia Compra Eficiente– responde su solicitud de consulta del 2 de julio de 2026, en la cual manifiesta lo siguiente:</w:t>
      </w:r>
    </w:p>
    <w:p w14:paraId="62DF5BCF" w14:textId="77777777" w:rsidR="003D7CBB" w:rsidRPr="003D7CBB" w:rsidRDefault="003D7CBB" w:rsidP="003D7CBB">
      <w:pPr>
        <w:spacing w:after="0" w:line="276" w:lineRule="auto"/>
        <w:jc w:val="both"/>
        <w:rPr>
          <w:rFonts w:ascii="Verdana" w:eastAsia="Calibri" w:hAnsi="Verdana" w:cs="Arial"/>
          <w:lang w:val="es-ES" w:eastAsia="es-ES"/>
        </w:rPr>
      </w:pPr>
    </w:p>
    <w:p w14:paraId="2DD1F396" w14:textId="77777777" w:rsidR="003D7CBB" w:rsidRPr="003D7CBB" w:rsidRDefault="003D7CBB" w:rsidP="003D7CBB">
      <w:pPr>
        <w:spacing w:after="0" w:line="240" w:lineRule="auto"/>
        <w:ind w:left="709" w:right="709"/>
        <w:jc w:val="both"/>
        <w:rPr>
          <w:rFonts w:ascii="Verdana" w:eastAsia="Aptos" w:hAnsi="Verdana" w:cs="Times New Roman"/>
          <w:kern w:val="2"/>
          <w:sz w:val="21"/>
          <w:szCs w:val="21"/>
          <w14:ligatures w14:val="standardContextual"/>
        </w:rPr>
      </w:pPr>
      <w:r w:rsidRPr="003D7CBB">
        <w:rPr>
          <w:rFonts w:ascii="Verdana" w:eastAsia="Aptos" w:hAnsi="Verdana" w:cs="Helvetica"/>
          <w:color w:val="000000"/>
          <w:sz w:val="21"/>
          <w:szCs w:val="21"/>
          <w14:ligatures w14:val="standardContextual"/>
        </w:rPr>
        <w:t>“</w:t>
      </w:r>
      <w:r w:rsidRPr="003D7CBB">
        <w:rPr>
          <w:rFonts w:ascii="Verdana" w:eastAsia="Aptos" w:hAnsi="Verdana" w:cs="Times New Roman"/>
          <w:kern w:val="2"/>
          <w:sz w:val="21"/>
          <w:szCs w:val="21"/>
          <w14:ligatures w14:val="standardContextual"/>
        </w:rPr>
        <w:t xml:space="preserve">Buenos días, en aplicación a los documentos tipo de infraestructura social vigentes a partir de febrero de este año por esta Agencia, se observa que por disposición de Colombia Compra Eficiente se señala: '¿Cómo utilizar los Documentos </w:t>
      </w:r>
      <w:proofErr w:type="spellStart"/>
      <w:r w:rsidRPr="003D7CBB">
        <w:rPr>
          <w:rFonts w:ascii="Verdana" w:eastAsia="Aptos" w:hAnsi="Verdana" w:cs="Times New Roman"/>
          <w:kern w:val="2"/>
          <w:sz w:val="21"/>
          <w:szCs w:val="21"/>
          <w14:ligatures w14:val="standardContextual"/>
        </w:rPr>
        <w:t>Tipo?Los</w:t>
      </w:r>
      <w:proofErr w:type="spellEnd"/>
      <w:r w:rsidRPr="003D7CBB">
        <w:rPr>
          <w:rFonts w:ascii="Verdana" w:eastAsia="Aptos" w:hAnsi="Verdana" w:cs="Times New Roman"/>
          <w:kern w:val="2"/>
          <w:sz w:val="21"/>
          <w:szCs w:val="21"/>
          <w14:ligatures w14:val="standardContextual"/>
        </w:rPr>
        <w:t xml:space="preserve"> Documentos Tipo están disponibles en formato Word para que las Entidades Estatales puedan diligenciar los espacios señalados en corchetes. En virtud del artículo 2.2.1.2.6.1.4 del Decreto 1082 de 2015 las Entidades Estatales contratantes no podrán incluir o modificar dentro de los Documentos </w:t>
      </w:r>
      <w:r w:rsidRPr="003D7CBB">
        <w:rPr>
          <w:rFonts w:ascii="Verdana" w:eastAsia="Aptos" w:hAnsi="Verdana" w:cs="Times New Roman"/>
          <w:kern w:val="2"/>
          <w:sz w:val="21"/>
          <w:szCs w:val="21"/>
          <w14:ligatures w14:val="standardContextual"/>
        </w:rPr>
        <w:lastRenderedPageBreak/>
        <w:t xml:space="preserve">del Proceso, las condiciones habilitantes, factores técnicos y económicos de escogencia y sistemas de ponderación distintos a los señalados en los Documentos </w:t>
      </w:r>
      <w:proofErr w:type="spellStart"/>
      <w:r w:rsidRPr="003D7CBB">
        <w:rPr>
          <w:rFonts w:ascii="Verdana" w:eastAsia="Aptos" w:hAnsi="Verdana" w:cs="Times New Roman"/>
          <w:kern w:val="2"/>
          <w:sz w:val="21"/>
          <w:szCs w:val="21"/>
          <w14:ligatures w14:val="standardContextual"/>
        </w:rPr>
        <w:t>Tipo'.Tenemos</w:t>
      </w:r>
      <w:proofErr w:type="spellEnd"/>
      <w:r w:rsidRPr="003D7CBB">
        <w:rPr>
          <w:rFonts w:ascii="Verdana" w:eastAsia="Aptos" w:hAnsi="Verdana" w:cs="Times New Roman"/>
          <w:kern w:val="2"/>
          <w:sz w:val="21"/>
          <w:szCs w:val="21"/>
          <w14:ligatures w14:val="standardContextual"/>
        </w:rPr>
        <w:t xml:space="preserve"> una duda respecto de si podemos o no solicitar el cumplimiento como requisito habilitante de SG-SST en dichos procesos con documentos tipo, teniendo en cuenta que esta Agencia ha expedido unos lineamientos respecto de los mismos, para que los oferentes presenten una documentación específica de acuerdo al tipo de empresa, acorde a las directrices del Artículo 2.2.4.6.28 del Capítulo 6 del Decreto 1072 de 2015 y siendo que Colombia Compra Eficiente señala que no se puede incluir dentro de los Documentos del Proceso, las condiciones habilitantes, factores técnicos y económicos de escogencia y sistemas de ponderación distintos a los señalados en los Documentos Tipo, no sabemos si es posible que solicitemos estos requisitos de SG-SST o </w:t>
      </w:r>
      <w:proofErr w:type="spellStart"/>
      <w:r w:rsidRPr="003D7CBB">
        <w:rPr>
          <w:rFonts w:ascii="Verdana" w:eastAsia="Aptos" w:hAnsi="Verdana" w:cs="Times New Roman"/>
          <w:kern w:val="2"/>
          <w:sz w:val="21"/>
          <w:szCs w:val="21"/>
          <w14:ligatures w14:val="standardContextual"/>
        </w:rPr>
        <w:t>no.Agradezco</w:t>
      </w:r>
      <w:proofErr w:type="spellEnd"/>
      <w:r w:rsidRPr="003D7CBB">
        <w:rPr>
          <w:rFonts w:ascii="Verdana" w:eastAsia="Aptos" w:hAnsi="Verdana" w:cs="Times New Roman"/>
          <w:kern w:val="2"/>
          <w:sz w:val="21"/>
          <w:szCs w:val="21"/>
          <w14:ligatures w14:val="standardContextual"/>
        </w:rPr>
        <w:t xml:space="preserve"> la aclaración con el debido soporte normativo al respecto, gracias”.</w:t>
      </w:r>
    </w:p>
    <w:p w14:paraId="6A7A7DBB" w14:textId="77777777" w:rsidR="003D7CBB" w:rsidRPr="003D7CBB" w:rsidRDefault="003D7CBB" w:rsidP="003D7CBB">
      <w:pPr>
        <w:spacing w:after="0" w:line="276" w:lineRule="auto"/>
        <w:jc w:val="both"/>
        <w:rPr>
          <w:rFonts w:ascii="Verdana" w:eastAsia="Calibri" w:hAnsi="Verdana" w:cs="Arial"/>
          <w:lang w:val="es-ES" w:eastAsia="es-ES"/>
        </w:rPr>
      </w:pPr>
    </w:p>
    <w:p w14:paraId="783670A2" w14:textId="77777777" w:rsidR="003D7CBB" w:rsidRPr="003D7CBB" w:rsidRDefault="003D7CBB" w:rsidP="003D7CBB">
      <w:pPr>
        <w:spacing w:after="120" w:line="276" w:lineRule="auto"/>
        <w:ind w:firstLine="709"/>
        <w:jc w:val="both"/>
        <w:rPr>
          <w:rFonts w:ascii="Verdana" w:eastAsia="Calibri" w:hAnsi="Verdana" w:cs="Arial"/>
          <w:color w:val="000000"/>
          <w:lang w:val="es-ES" w:eastAsia="es-ES"/>
        </w:rPr>
      </w:pPr>
      <w:r w:rsidRPr="003D7CBB">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5B8BE0CC" w14:textId="77777777" w:rsidR="003D7CBB" w:rsidRPr="003D7CBB" w:rsidRDefault="003D7CBB" w:rsidP="003D7CBB">
      <w:pPr>
        <w:spacing w:after="0" w:line="276" w:lineRule="auto"/>
        <w:ind w:firstLine="709"/>
        <w:jc w:val="both"/>
        <w:rPr>
          <w:rFonts w:ascii="Verdana" w:eastAsia="Calibri" w:hAnsi="Verdana" w:cs="Arial"/>
          <w:color w:val="000000"/>
          <w:lang w:val="es-ES" w:eastAsia="es-ES"/>
        </w:rPr>
      </w:pPr>
      <w:r w:rsidRPr="003D7CBB">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3D7CBB">
        <w:rPr>
          <w:rFonts w:ascii="Verdana" w:eastAsia="Calibri" w:hAnsi="Verdana" w:cs="Arial"/>
          <w:color w:val="7030A0"/>
          <w:lang w:val="es-ES" w:eastAsia="es-ES"/>
        </w:rPr>
        <w:t xml:space="preserve"> </w:t>
      </w:r>
      <w:r w:rsidRPr="003D7CBB">
        <w:rPr>
          <w:rFonts w:ascii="Verdana" w:eastAsia="Calibri" w:hAnsi="Verdana" w:cs="Arial"/>
          <w:color w:val="000000"/>
          <w:lang w:val="es-ES" w:eastAsia="es-ES"/>
        </w:rPr>
        <w:t>problema</w:t>
      </w:r>
      <w:r w:rsidRPr="003D7CBB">
        <w:rPr>
          <w:rFonts w:ascii="Verdana" w:eastAsia="Calibri" w:hAnsi="Verdana" w:cs="Arial"/>
          <w:color w:val="7030A0"/>
          <w:lang w:val="es-ES" w:eastAsia="es-ES"/>
        </w:rPr>
        <w:t xml:space="preserve"> </w:t>
      </w:r>
      <w:r w:rsidRPr="003D7CBB">
        <w:rPr>
          <w:rFonts w:ascii="Verdana" w:eastAsia="Calibri" w:hAnsi="Verdana" w:cs="Arial"/>
          <w:color w:val="000000"/>
          <w:lang w:val="es-ES" w:eastAsia="es-ES"/>
        </w:rPr>
        <w:t>jurídico</w:t>
      </w:r>
      <w:r w:rsidRPr="003D7CBB">
        <w:rPr>
          <w:rFonts w:ascii="Verdana" w:eastAsia="Calibri" w:hAnsi="Verdana" w:cs="Arial"/>
          <w:color w:val="7030A0"/>
          <w:lang w:val="es-ES" w:eastAsia="es-ES"/>
        </w:rPr>
        <w:t xml:space="preserve"> </w:t>
      </w:r>
      <w:r w:rsidRPr="003D7CBB">
        <w:rPr>
          <w:rFonts w:ascii="Verdana" w:eastAsia="Calibri" w:hAnsi="Verdana" w:cs="Arial"/>
          <w:color w:val="000000"/>
          <w:lang w:val="es-ES" w:eastAsia="es-ES"/>
        </w:rPr>
        <w:t xml:space="preserve">de su consulta. </w:t>
      </w:r>
    </w:p>
    <w:p w14:paraId="203BEC52" w14:textId="77777777" w:rsidR="003D7CBB" w:rsidRPr="003D7CBB" w:rsidRDefault="003D7CBB" w:rsidP="003D7CBB">
      <w:pPr>
        <w:tabs>
          <w:tab w:val="left" w:pos="142"/>
          <w:tab w:val="left" w:pos="284"/>
        </w:tabs>
        <w:spacing w:after="0" w:line="276" w:lineRule="auto"/>
        <w:contextualSpacing/>
        <w:jc w:val="both"/>
        <w:rPr>
          <w:rFonts w:ascii="Verdana" w:eastAsia="Century Gothic" w:hAnsi="Verdana" w:cs="Century Gothic"/>
          <w:b/>
          <w:bCs/>
          <w:lang w:val="es-ES"/>
        </w:rPr>
      </w:pPr>
    </w:p>
    <w:p w14:paraId="35E5C315" w14:textId="77777777" w:rsidR="003D7CBB" w:rsidRPr="003D7CBB" w:rsidRDefault="003D7CBB" w:rsidP="003D7CBB">
      <w:pPr>
        <w:tabs>
          <w:tab w:val="left" w:pos="142"/>
          <w:tab w:val="left" w:pos="284"/>
        </w:tabs>
        <w:spacing w:after="0" w:line="276" w:lineRule="auto"/>
        <w:contextualSpacing/>
        <w:jc w:val="both"/>
        <w:rPr>
          <w:rFonts w:ascii="Verdana" w:eastAsia="Century Gothic" w:hAnsi="Verdana" w:cs="Century Gothic"/>
          <w:b/>
          <w:bCs/>
          <w:lang w:val="es-ES"/>
        </w:rPr>
      </w:pPr>
      <w:r w:rsidRPr="003D7CBB">
        <w:rPr>
          <w:rFonts w:ascii="Verdana" w:eastAsia="Century Gothic" w:hAnsi="Verdana" w:cs="Century Gothic"/>
          <w:b/>
          <w:bCs/>
          <w:lang w:val="es-ES"/>
        </w:rPr>
        <w:t>1. Problema planteado:</w:t>
      </w:r>
    </w:p>
    <w:p w14:paraId="4A79C66F" w14:textId="77777777" w:rsidR="003D7CBB" w:rsidRPr="003D7CBB" w:rsidRDefault="003D7CBB" w:rsidP="003D7CBB">
      <w:pPr>
        <w:tabs>
          <w:tab w:val="left" w:pos="426"/>
        </w:tabs>
        <w:spacing w:after="0" w:line="276" w:lineRule="auto"/>
        <w:jc w:val="both"/>
        <w:rPr>
          <w:rFonts w:ascii="Verdana" w:eastAsia="Century Gothic" w:hAnsi="Verdana" w:cs="Century Gothic"/>
          <w:lang w:val="es-ES"/>
        </w:rPr>
      </w:pPr>
    </w:p>
    <w:p w14:paraId="3CBE66F1" w14:textId="77777777" w:rsidR="003D7CBB" w:rsidRPr="003D7CBB" w:rsidRDefault="003D7CBB" w:rsidP="003D7CBB">
      <w:pPr>
        <w:spacing w:after="0" w:line="276" w:lineRule="auto"/>
        <w:jc w:val="both"/>
        <w:rPr>
          <w:rFonts w:ascii="Verdana" w:eastAsia="Calibri" w:hAnsi="Verdana" w:cs="Arial"/>
          <w:bCs/>
          <w:lang w:val="es-ES_tradnl" w:eastAsia="es-ES_tradnl"/>
        </w:rPr>
      </w:pPr>
      <w:r w:rsidRPr="003D7CBB">
        <w:rPr>
          <w:rFonts w:ascii="Verdana" w:eastAsia="Century Gothic" w:hAnsi="Verdana" w:cs="Century Gothic"/>
        </w:rPr>
        <w:lastRenderedPageBreak/>
        <w:t>De acuerdo con el contenido de su solicitud, esta Agencia resolverá el siguiente problema jurídico: ¿es posible incluir requisitos habilitantes relacionados con el Sistema de Gestión de Seguridad y Salud en el Trabajo en los documentos tipo?</w:t>
      </w:r>
    </w:p>
    <w:p w14:paraId="6F80047D" w14:textId="77777777" w:rsidR="003D7CBB" w:rsidRPr="003D7CBB" w:rsidRDefault="003D7CBB" w:rsidP="003D7CBB">
      <w:pPr>
        <w:spacing w:after="0" w:line="276" w:lineRule="auto"/>
        <w:jc w:val="both"/>
        <w:rPr>
          <w:rFonts w:ascii="Verdana" w:eastAsia="Century Gothic" w:hAnsi="Verdana" w:cs="Century Gothic"/>
          <w:lang w:val="es-ES_tradnl"/>
        </w:rPr>
      </w:pPr>
    </w:p>
    <w:p w14:paraId="1D39208E" w14:textId="77777777" w:rsidR="003D7CBB" w:rsidRPr="003D7CBB" w:rsidRDefault="003D7CBB" w:rsidP="003D7CBB">
      <w:pPr>
        <w:tabs>
          <w:tab w:val="left" w:pos="142"/>
          <w:tab w:val="left" w:pos="284"/>
        </w:tabs>
        <w:spacing w:after="0" w:line="276" w:lineRule="auto"/>
        <w:contextualSpacing/>
        <w:jc w:val="both"/>
        <w:rPr>
          <w:rFonts w:ascii="Verdana" w:eastAsia="Century Gothic" w:hAnsi="Verdana" w:cs="Century Gothic"/>
          <w:b/>
          <w:bCs/>
          <w:lang w:val="es-ES"/>
        </w:rPr>
      </w:pPr>
      <w:r w:rsidRPr="003D7CBB">
        <w:rPr>
          <w:rFonts w:ascii="Verdana" w:eastAsia="Century Gothic" w:hAnsi="Verdana" w:cs="Century Gothic"/>
          <w:b/>
          <w:bCs/>
          <w:lang w:val="es-ES"/>
        </w:rPr>
        <w:t>2. Respuesta:</w:t>
      </w:r>
    </w:p>
    <w:p w14:paraId="33A2A5DA" w14:textId="77777777" w:rsidR="003D7CBB" w:rsidRPr="003D7CBB" w:rsidRDefault="003D7CBB" w:rsidP="003D7CBB">
      <w:pPr>
        <w:tabs>
          <w:tab w:val="left" w:pos="142"/>
          <w:tab w:val="left" w:pos="284"/>
        </w:tabs>
        <w:spacing w:after="0"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D7CBB" w:rsidRPr="003D7CBB" w14:paraId="3518EC24" w14:textId="77777777" w:rsidTr="00012FE0">
        <w:trPr>
          <w:trHeight w:val="1445"/>
        </w:trPr>
        <w:tc>
          <w:tcPr>
            <w:tcW w:w="8828" w:type="dxa"/>
            <w:tcBorders>
              <w:top w:val="dotted" w:sz="4" w:space="0" w:color="auto"/>
              <w:left w:val="dotted" w:sz="4" w:space="0" w:color="auto"/>
              <w:bottom w:val="dotted" w:sz="4" w:space="0" w:color="auto"/>
              <w:right w:val="dotted" w:sz="4" w:space="0" w:color="auto"/>
            </w:tcBorders>
          </w:tcPr>
          <w:p w14:paraId="01C173DE" w14:textId="77777777" w:rsidR="003D7CBB" w:rsidRPr="003D7CBB" w:rsidRDefault="003D7CBB" w:rsidP="003D7CBB">
            <w:pPr>
              <w:tabs>
                <w:tab w:val="center" w:pos="4419"/>
                <w:tab w:val="right" w:pos="8838"/>
              </w:tabs>
              <w:snapToGrid w:val="0"/>
              <w:spacing w:after="120" w:line="276" w:lineRule="auto"/>
              <w:jc w:val="both"/>
              <w:rPr>
                <w:rFonts w:ascii="Verdana" w:eastAsia="Calibri" w:hAnsi="Verdana" w:cs="Arial"/>
                <w:color w:val="000000"/>
                <w:lang w:val="es-ES"/>
              </w:rPr>
            </w:pPr>
            <w:r w:rsidRPr="003D7CBB">
              <w:rPr>
                <w:rFonts w:ascii="Verdana" w:eastAsia="Calibri" w:hAnsi="Verdana" w:cs="Arial"/>
                <w:color w:val="000000"/>
                <w:lang w:val="es-ES"/>
              </w:rPr>
              <w:t xml:space="preserve">Todas las resoluciones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3D7CBB">
              <w:rPr>
                <w:rFonts w:ascii="Verdana" w:eastAsia="Calibri" w:hAnsi="Verdana" w:cs="Arial"/>
                <w:i/>
                <w:iCs/>
                <w:color w:val="000000"/>
                <w:lang w:val="es-ES"/>
              </w:rPr>
              <w:t>Documentos del Proceso</w:t>
            </w:r>
            <w:r w:rsidRPr="003D7CBB">
              <w:rPr>
                <w:rFonts w:ascii="Verdana" w:eastAsia="Calibri" w:hAnsi="Verdana" w:cs="Arial"/>
                <w:color w:val="00000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7586ACB0" w14:textId="77777777" w:rsidR="003D7CBB" w:rsidRPr="003D7CBB" w:rsidRDefault="003D7CBB" w:rsidP="003D7CBB">
            <w:pPr>
              <w:snapToGrid w:val="0"/>
              <w:spacing w:after="120" w:line="276" w:lineRule="auto"/>
              <w:ind w:firstLine="709"/>
              <w:jc w:val="both"/>
              <w:rPr>
                <w:rFonts w:ascii="Verdana" w:eastAsia="Calibri" w:hAnsi="Verdana" w:cs="Arial"/>
                <w:lang w:val="es-ES_tradnl"/>
              </w:rPr>
            </w:pPr>
            <w:r w:rsidRPr="003D7CBB">
              <w:rPr>
                <w:rFonts w:ascii="Verdana" w:eastAsia="Calibri" w:hAnsi="Verdana" w:cs="Arial"/>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0C64A961" w14:textId="77777777" w:rsidR="003D7CBB" w:rsidRPr="003D7CBB" w:rsidRDefault="003D7CBB" w:rsidP="003D7CBB">
            <w:pPr>
              <w:snapToGrid w:val="0"/>
              <w:spacing w:after="120" w:line="276" w:lineRule="auto"/>
              <w:ind w:firstLine="708"/>
              <w:jc w:val="both"/>
              <w:rPr>
                <w:rFonts w:ascii="Verdana" w:eastAsia="Calibri" w:hAnsi="Verdana" w:cs="Arial"/>
                <w:color w:val="000000"/>
                <w:lang w:val="es-ES"/>
              </w:rPr>
            </w:pPr>
            <w:r w:rsidRPr="003D7CBB">
              <w:rPr>
                <w:rFonts w:ascii="Verdana" w:eastAsia="Calibri" w:hAnsi="Verdana" w:cs="Arial"/>
                <w:lang w:val="es-MX"/>
              </w:rPr>
              <w:t xml:space="preserve">La parte introductoria de los documentos base de los documentos tipo disponen que los aspectos incluidos en corchetes y resaltados en gris </w:t>
            </w:r>
            <w:r w:rsidRPr="003D7CBB">
              <w:rPr>
                <w:rFonts w:ascii="Verdana" w:eastAsia="Aptos" w:hAnsi="Verdana" w:cs="Arial"/>
              </w:rPr>
              <w:t>–[</w:t>
            </w:r>
            <w:r w:rsidRPr="003D7CBB">
              <w:rPr>
                <w:rFonts w:ascii="Verdana" w:eastAsia="Aptos" w:hAnsi="Verdana" w:cs="Arial"/>
                <w:highlight w:val="lightGray"/>
              </w:rPr>
              <w:t>texto de ejemplo</w:t>
            </w:r>
            <w:r w:rsidRPr="003D7CBB">
              <w:rPr>
                <w:rFonts w:ascii="Verdana" w:eastAsia="Aptos" w:hAnsi="Verdana" w:cs="Arial"/>
              </w:rPr>
              <w:t xml:space="preserve">]– </w:t>
            </w:r>
            <w:r w:rsidRPr="003D7CBB">
              <w:rPr>
                <w:rFonts w:ascii="Verdana" w:eastAsia="Calibri" w:hAnsi="Verdana" w:cs="Arial"/>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w:t>
            </w:r>
            <w:r w:rsidRPr="003D7CBB">
              <w:rPr>
                <w:rFonts w:ascii="Verdana" w:eastAsia="Calibri" w:hAnsi="Verdana" w:cs="Arial"/>
                <w:lang w:val="es-MX"/>
              </w:rPr>
              <w:lastRenderedPageBreak/>
              <w:t xml:space="preserve">que se diligenciará en los documentos tipo, de acuerdo con su necesidad y las instrucciones de los mismos documentos tipo. </w:t>
            </w:r>
          </w:p>
          <w:p w14:paraId="0CC2991A" w14:textId="77777777" w:rsidR="003D7CBB" w:rsidRPr="003D7CBB" w:rsidRDefault="003D7CBB" w:rsidP="003D7CBB">
            <w:pPr>
              <w:spacing w:after="120" w:line="276" w:lineRule="auto"/>
              <w:ind w:firstLine="709"/>
              <w:jc w:val="both"/>
              <w:rPr>
                <w:rFonts w:ascii="Verdana" w:eastAsia="Calibri" w:hAnsi="Verdana" w:cs="Arial"/>
                <w:bCs/>
                <w:lang w:val="es-MX"/>
              </w:rPr>
            </w:pPr>
            <w:r w:rsidRPr="003D7CBB">
              <w:rPr>
                <w:rFonts w:ascii="Verdana" w:eastAsia="Calibri" w:hAnsi="Verdana" w:cs="Arial"/>
                <w:bCs/>
                <w:lang w:val="es-MX"/>
              </w:rPr>
              <w:t>En suma,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documentos tipo. En tal sentido, estos solo se podrán modificar respecto a aquellos contenidos que el mismo documento tipo lo permita.</w:t>
            </w:r>
          </w:p>
          <w:p w14:paraId="20782A07" w14:textId="77777777" w:rsidR="003D7CBB" w:rsidRPr="003D7CBB" w:rsidRDefault="003D7CBB" w:rsidP="003D7CBB">
            <w:pPr>
              <w:widowControl w:val="0"/>
              <w:autoSpaceDE w:val="0"/>
              <w:autoSpaceDN w:val="0"/>
              <w:snapToGrid w:val="0"/>
              <w:spacing w:after="120" w:line="276" w:lineRule="auto"/>
              <w:ind w:firstLine="709"/>
              <w:jc w:val="both"/>
              <w:rPr>
                <w:rFonts w:ascii="Verdana" w:eastAsia="Calibri" w:hAnsi="Verdana" w:cs="Arial"/>
                <w:color w:val="000000"/>
                <w:lang w:val="es-ES"/>
              </w:rPr>
            </w:pPr>
            <w:r w:rsidRPr="003D7CBB">
              <w:rPr>
                <w:rFonts w:ascii="Verdana" w:eastAsia="Calibri" w:hAnsi="Verdana" w:cs="Arial"/>
                <w:lang w:val="es-MX"/>
              </w:rPr>
              <w:t xml:space="preserve">Ahora bien, respecto al Sistema de Gestión de Seguridad y Salud en el Trabajo (SG-SST), </w:t>
            </w:r>
            <w:r w:rsidRPr="003D7CBB">
              <w:rPr>
                <w:rFonts w:ascii="Verdana" w:eastAsia="Calibri" w:hAnsi="Verdana" w:cs="Arial"/>
                <w:color w:val="000000"/>
                <w:lang w:val="es-ES"/>
              </w:rPr>
              <w:t>el artículo 1 de la Ley 1562 de 2012, que modificó el Sistema de Riesgos Laborales, contempló que el programa de salud ocupacional en adelante se conocería como el Sistema de Gestión de la Seguridad y Salud en el Trabajo, definido como un “Sistema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salud en el trabajo.”</w:t>
            </w:r>
          </w:p>
          <w:p w14:paraId="3CF10F22" w14:textId="77777777" w:rsidR="003D7CBB" w:rsidRPr="003D7CBB" w:rsidRDefault="003D7CBB" w:rsidP="003D7CBB">
            <w:pPr>
              <w:widowControl w:val="0"/>
              <w:autoSpaceDE w:val="0"/>
              <w:autoSpaceDN w:val="0"/>
              <w:snapToGrid w:val="0"/>
              <w:spacing w:after="120" w:line="276" w:lineRule="auto"/>
              <w:ind w:firstLine="709"/>
              <w:jc w:val="both"/>
              <w:rPr>
                <w:rFonts w:ascii="Verdana" w:eastAsia="Calibri" w:hAnsi="Verdana" w:cs="Arial"/>
                <w:color w:val="000000"/>
                <w:lang w:val="es-ES"/>
              </w:rPr>
            </w:pPr>
            <w:r w:rsidRPr="003D7CBB">
              <w:rPr>
                <w:rFonts w:ascii="Verdana" w:eastAsia="Calibri" w:hAnsi="Verdana" w:cs="Arial"/>
                <w:color w:val="000000"/>
                <w:lang w:val="es-ES"/>
              </w:rPr>
              <w:t xml:space="preserve">Por su parte, el Decreto 1443 de 2014, compilado posteriormente en el capítulo 6 del Decreto 1072 de 2015, “por medio del cual se expidió el Decreto Reglamentario del Sector Trabajo”, definió las directrices para la implementación del SG-SST. En particular, el artículo 2.2.4.6.4. del Decreto 1072 de 2015 dispuso que el Sistema de Gestión de Seguridad y Salud en el Trabajo debe ser liderado e implementado por el empleador o contratante, con la participación de los trabajadores y/o contratistas. Para ello, el artículo estableció que los empleadores o contratantes, entre los que se encuentran las Entidades Estatales, deben garantizar la implementación, mantenimiento y mejora continua del SG-SST en sus contratistas. </w:t>
            </w:r>
          </w:p>
          <w:p w14:paraId="06DE54DC" w14:textId="77777777" w:rsidR="003D7CBB" w:rsidRPr="003D7CBB" w:rsidRDefault="003D7CBB" w:rsidP="003D7CBB">
            <w:pPr>
              <w:widowControl w:val="0"/>
              <w:autoSpaceDE w:val="0"/>
              <w:autoSpaceDN w:val="0"/>
              <w:snapToGrid w:val="0"/>
              <w:spacing w:after="120" w:line="276" w:lineRule="auto"/>
              <w:ind w:firstLine="709"/>
              <w:jc w:val="both"/>
              <w:rPr>
                <w:rFonts w:ascii="Verdana" w:eastAsia="Calibri" w:hAnsi="Verdana" w:cs="Arial"/>
                <w:color w:val="000000"/>
                <w:lang w:val="es-ES"/>
              </w:rPr>
            </w:pPr>
            <w:r w:rsidRPr="003D7CBB">
              <w:rPr>
                <w:rFonts w:ascii="Verdana" w:eastAsia="Calibri" w:hAnsi="Verdana" w:cs="Arial"/>
                <w:color w:val="000000"/>
                <w:lang w:val="es-ES"/>
              </w:rPr>
              <w:t>Para esto,</w:t>
            </w:r>
            <w:r w:rsidRPr="003D7CBB">
              <w:rPr>
                <w:rFonts w:ascii="Aptos" w:eastAsia="Aptos" w:hAnsi="Aptos" w:cs="Times New Roman"/>
                <w:lang w:val="es-ES"/>
              </w:rPr>
              <w:t xml:space="preserve"> </w:t>
            </w:r>
            <w:r w:rsidRPr="003D7CBB">
              <w:rPr>
                <w:rFonts w:ascii="Verdana" w:eastAsia="Calibri" w:hAnsi="Verdana" w:cs="Arial"/>
                <w:color w:val="000000"/>
                <w:lang w:val="es-ES"/>
              </w:rPr>
              <w:t xml:space="preserve">el parágrafo 1º </w:t>
            </w:r>
            <w:r w:rsidRPr="003D7CBB">
              <w:rPr>
                <w:rFonts w:ascii="Verdana" w:eastAsia="Calibri" w:hAnsi="Verdana" w:cs="Arial"/>
                <w:i/>
                <w:iCs/>
                <w:color w:val="000000"/>
                <w:lang w:val="es-ES"/>
              </w:rPr>
              <w:t>ibidem</w:t>
            </w:r>
            <w:r w:rsidRPr="003D7CBB">
              <w:rPr>
                <w:rFonts w:ascii="Verdana" w:eastAsia="Calibri" w:hAnsi="Verdana" w:cs="Arial"/>
                <w:color w:val="000000"/>
                <w:lang w:val="es-ES"/>
              </w:rPr>
              <w:t xml:space="preserve"> estableció que el Ministerio del Trabajo, o quien haga sus veces, determinaría de manera progresiva los estándares que hacen parte de los componentes del SG-SST, de conformidad con el desarrollo y avances técnicos y científicos del sector y del país, realizando los ajustes y actualizaciones a que haya lugar. También dispuso que dichos estándares deberán ser implementados por los integrantes del Sistema General de Riesgos Laborales en las fases y dentro de las fechas que </w:t>
            </w:r>
            <w:r w:rsidRPr="003D7CBB">
              <w:rPr>
                <w:rFonts w:ascii="Verdana" w:eastAsia="Calibri" w:hAnsi="Verdana" w:cs="Arial"/>
                <w:color w:val="000000"/>
                <w:lang w:val="es-ES"/>
              </w:rPr>
              <w:lastRenderedPageBreak/>
              <w:t>al respecto defina el Ministerio de Trabajo. Por su parte, el parágrafo 2° dispuso que “</w:t>
            </w:r>
            <w:r w:rsidRPr="003D7CBB">
              <w:rPr>
                <w:rFonts w:ascii="Verdana" w:eastAsia="Calibri" w:hAnsi="Verdana" w:cs="Arial"/>
                <w:i/>
                <w:iCs/>
                <w:color w:val="000000"/>
                <w:lang w:val="es-ES"/>
              </w:rPr>
              <w:t>Dentro de los parámetros de selección y evaluación de proveedores y contratistas, el contratante podrá incluir criterios que le permitan conocer que la empresa a contratar cuente con el Sistema de Gestión de la Seguridad y Salud en el Trabajo (SG-SST)</w:t>
            </w:r>
            <w:r w:rsidRPr="003D7CBB">
              <w:rPr>
                <w:rFonts w:ascii="Verdana" w:eastAsia="Calibri" w:hAnsi="Verdana" w:cs="Arial"/>
                <w:color w:val="000000"/>
                <w:lang w:val="es-ES"/>
              </w:rPr>
              <w:t>”.</w:t>
            </w:r>
          </w:p>
          <w:p w14:paraId="1A6A36AB" w14:textId="77777777" w:rsidR="003D7CBB" w:rsidRPr="003D7CBB" w:rsidRDefault="003D7CBB" w:rsidP="003D7CBB">
            <w:pPr>
              <w:snapToGrid w:val="0"/>
              <w:spacing w:after="120" w:line="276" w:lineRule="auto"/>
              <w:ind w:firstLine="709"/>
              <w:jc w:val="both"/>
              <w:rPr>
                <w:rFonts w:ascii="Verdana" w:eastAsia="Calibri" w:hAnsi="Verdana" w:cs="Arial"/>
                <w:lang w:val="es-ES"/>
              </w:rPr>
            </w:pPr>
            <w:r w:rsidRPr="003D7CBB">
              <w:rPr>
                <w:rFonts w:ascii="Verdana" w:eastAsia="Calibri" w:hAnsi="Verdana" w:cs="Arial"/>
                <w:lang w:val="es-ES"/>
              </w:rPr>
              <w:t xml:space="preserve">Con base en dicho marco normativo, el Ministerio del Trabajo expidió la Resolución 312 del 13 de febrero de 2019, mediante la cual se definió los estándares mínimos del SG-SST. En los artículos 14 y 19, la Resolución dispuso los parámetros de selección y evaluación de proveedores y contratistas que pueden incluir los contratantes en sus procesos de selección, lo cual incluye los procesos de contratación que adelanten las Entidades Estatales. </w:t>
            </w:r>
          </w:p>
          <w:p w14:paraId="77C0012E" w14:textId="77777777" w:rsidR="003D7CBB" w:rsidRPr="003D7CBB" w:rsidRDefault="003D7CBB" w:rsidP="003D7CBB">
            <w:pPr>
              <w:widowControl w:val="0"/>
              <w:autoSpaceDE w:val="0"/>
              <w:autoSpaceDN w:val="0"/>
              <w:snapToGrid w:val="0"/>
              <w:spacing w:after="120" w:line="276" w:lineRule="auto"/>
              <w:ind w:firstLine="709"/>
              <w:jc w:val="both"/>
              <w:rPr>
                <w:rFonts w:ascii="Verdana" w:eastAsia="Calibri" w:hAnsi="Verdana" w:cs="Arial"/>
                <w:lang w:val="es-ES"/>
              </w:rPr>
            </w:pPr>
            <w:r w:rsidRPr="003D7CBB">
              <w:rPr>
                <w:rFonts w:ascii="Verdana" w:eastAsia="Calibri" w:hAnsi="Verdana" w:cs="Arial"/>
                <w:color w:val="000000"/>
                <w:lang w:val="es-ES"/>
              </w:rPr>
              <w:t>Al respecto, es pertinente indicar que el Consejo de Estado en sentencia del 18 de noviembre de 2024 señ</w:t>
            </w:r>
            <w:r w:rsidRPr="003D7CBB">
              <w:rPr>
                <w:rFonts w:ascii="Verdana" w:eastAsia="Calibri" w:hAnsi="Verdana" w:cs="Arial"/>
                <w:lang w:val="es-ES"/>
              </w:rPr>
              <w:t xml:space="preserve">aló que “En términos generales, la Resolución 312 de 2019 establece la obligación para las empresas de contar con un Sistema de Gestión de la Seguridad y Salud en el Trabajo -SG-SST- dirigido a anticipar, reconocer, evaluar y controlar los riesgos que puedan afectar la seguridad y la salud en el ejercicio laboral. Sin embargo, </w:t>
            </w:r>
            <w:r w:rsidRPr="003D7CBB">
              <w:rPr>
                <w:rFonts w:ascii="Verdana" w:eastAsia="Calibri" w:hAnsi="Verdana" w:cs="Arial"/>
                <w:i/>
                <w:iCs/>
                <w:lang w:val="es-ES"/>
              </w:rPr>
              <w:t>en ninguna de sus disposiciones se consagra que el certificado previsto en su artículo deba ser considerado como un requisito insoslayable para dotar de juridicidad un procedimiento de selección en la contratación pública o privada</w:t>
            </w:r>
            <w:r w:rsidRPr="003D7CBB">
              <w:rPr>
                <w:rFonts w:ascii="Verdana" w:eastAsia="Calibri" w:hAnsi="Verdana" w:cs="Arial"/>
                <w:i/>
                <w:iCs/>
                <w:vertAlign w:val="superscript"/>
                <w:lang w:val="es-ES"/>
              </w:rPr>
              <w:footnoteReference w:id="1"/>
            </w:r>
            <w:r w:rsidRPr="003D7CBB">
              <w:rPr>
                <w:rFonts w:ascii="Verdana" w:eastAsia="Calibri" w:hAnsi="Verdana" w:cs="Arial"/>
                <w:lang w:val="es-ES"/>
              </w:rPr>
              <w:t>”. [Énfasis por fuera de texto]</w:t>
            </w:r>
          </w:p>
          <w:p w14:paraId="1BFA315B" w14:textId="77777777" w:rsidR="003D7CBB" w:rsidRPr="003D7CBB" w:rsidRDefault="003D7CBB" w:rsidP="003D7CBB">
            <w:pPr>
              <w:widowControl w:val="0"/>
              <w:autoSpaceDE w:val="0"/>
              <w:autoSpaceDN w:val="0"/>
              <w:snapToGrid w:val="0"/>
              <w:spacing w:after="120" w:line="276" w:lineRule="auto"/>
              <w:ind w:firstLine="709"/>
              <w:jc w:val="both"/>
              <w:rPr>
                <w:rFonts w:ascii="Verdana" w:eastAsia="Calibri" w:hAnsi="Verdana" w:cs="Arial"/>
                <w:lang w:val="es-ES"/>
              </w:rPr>
            </w:pPr>
            <w:r w:rsidRPr="003D7CBB">
              <w:rPr>
                <w:rFonts w:ascii="Verdana" w:eastAsia="Calibri" w:hAnsi="Verdana" w:cs="Arial"/>
                <w:lang w:val="es-ES"/>
              </w:rPr>
              <w:t xml:space="preserve">La anterior no quiere decir que, durante la ejecución del contrato estatal, la entidad no pueda y deba supervisar el cumplimiento de unos estándares mínimos que exige la ley sobre la implementación del Sistema de Gestión de la Seguridad y Salud en el Trabajo, discriminados en la Resolución 0312 del 13 de febrero de 2019. En efecto, los artículos 3, 9, 16 y 20 de esa resolución establecen exigencias mínimas que deberán cumplir las empresas, empleadores y contratantes a los que se refiere el artículo 2 de dicho acto administrativo. Por su parte, el artículo 2.2.4.6.28 del Decreto 1072 de 2015 contempló, en materia de contratación, el deber en cabeza del empleador de adoptar y mantener las disposiciones que garanticen el cumplimiento de las normas de seguridad y salud en el trabajo de su empresa, por parte de los proveedores, trabajadores dependientes, trabajadores cooperados, </w:t>
            </w:r>
            <w:r w:rsidRPr="003D7CBB">
              <w:rPr>
                <w:rFonts w:ascii="Verdana" w:eastAsia="Calibri" w:hAnsi="Verdana" w:cs="Arial"/>
                <w:lang w:val="es-ES"/>
              </w:rPr>
              <w:lastRenderedPageBreak/>
              <w:t>trabajadores en misión, contratistas y sus trabajadores o subcontratistas, durante el desempeño de las actividades del objeto del contrato, es decir, durante la supervisión del contrato.</w:t>
            </w:r>
          </w:p>
          <w:p w14:paraId="68443C69" w14:textId="77777777" w:rsidR="003D7CBB" w:rsidRPr="003D7CBB" w:rsidRDefault="003D7CBB" w:rsidP="003D7CBB">
            <w:pPr>
              <w:snapToGrid w:val="0"/>
              <w:spacing w:after="120" w:line="276" w:lineRule="auto"/>
              <w:ind w:firstLine="709"/>
              <w:jc w:val="both"/>
              <w:rPr>
                <w:rFonts w:ascii="Verdana" w:eastAsia="Calibri" w:hAnsi="Verdana" w:cs="Arial"/>
                <w:lang w:val="es-ES"/>
              </w:rPr>
            </w:pPr>
            <w:r w:rsidRPr="003D7CBB">
              <w:rPr>
                <w:rFonts w:ascii="Verdana" w:eastAsia="Calibri" w:hAnsi="Verdana" w:cs="Arial"/>
                <w:lang w:val="es-ES"/>
              </w:rPr>
              <w:t xml:space="preserve">De este modo, el seguimiento de la ejecución del contrato para la dirección, control y vigilancia del correcto cumplimiento del objeto es un deber legal que permite a las entidades estatales tomar medidas orientadas a la satisfacción de los fines de la contratación, dentro de las cuales se encuentra el cumplimiento del ordenamiento jurídico vigente, por lo que las normas técnicas que se encuentran reguladas en la Resolución 0312 de 2019 constituyen estándares mínimos que deberán ser supervisados durante la ejecución del contrato estatal por tratarse de exigencias de rango legal. </w:t>
            </w:r>
          </w:p>
          <w:p w14:paraId="2CCACB19" w14:textId="77777777" w:rsidR="003D7CBB" w:rsidRDefault="003D7CBB" w:rsidP="00DA1D4D">
            <w:pPr>
              <w:snapToGrid w:val="0"/>
              <w:spacing w:after="120" w:line="276" w:lineRule="auto"/>
              <w:ind w:firstLine="709"/>
              <w:jc w:val="both"/>
              <w:rPr>
                <w:rFonts w:ascii="Verdana" w:eastAsia="Calibri" w:hAnsi="Verdana" w:cs="Arial"/>
                <w:lang w:val="es-ES"/>
              </w:rPr>
            </w:pPr>
            <w:r w:rsidRPr="003D7CBB">
              <w:rPr>
                <w:rFonts w:ascii="Verdana" w:eastAsia="Calibri" w:hAnsi="Verdana" w:cs="Arial"/>
                <w:lang w:val="es-ES"/>
              </w:rPr>
              <w:t>En ese orden, aun cuando conforme a la regla de inalterabilidad no es posible incluir requisitos habilitantes distintos o adicionales a aquellos contenidos en los documentos tipo, dicha prohibición no exime a los contratistas de cumplir con el marco normativo vigente que les sea aplicable, lo cual involucra, entre otras cosas, las disposiciones aquí vistas relacionadas con el Sistema de Gestión de Seguridad y Salud en el Trabajo.</w:t>
            </w:r>
          </w:p>
          <w:p w14:paraId="1CCE6582" w14:textId="7B6EA5E3" w:rsidR="00B21E17" w:rsidRPr="003D7CBB" w:rsidRDefault="00B21E17" w:rsidP="003D7CBB">
            <w:pPr>
              <w:snapToGrid w:val="0"/>
              <w:spacing w:line="276" w:lineRule="auto"/>
              <w:ind w:firstLine="709"/>
              <w:jc w:val="both"/>
              <w:rPr>
                <w:rFonts w:ascii="Verdana" w:eastAsia="Calibri" w:hAnsi="Verdana" w:cs="Arial"/>
                <w:lang w:val="es-ES"/>
              </w:rPr>
            </w:pPr>
            <w:r>
              <w:rPr>
                <w:rFonts w:ascii="Verdana" w:eastAsia="Calibri" w:hAnsi="Verdana" w:cs="Arial"/>
                <w:lang w:val="es-ES"/>
              </w:rPr>
              <w:t>Además, en el marco de su autonomía, las entidades contra</w:t>
            </w:r>
            <w:r w:rsidR="00903C61">
              <w:rPr>
                <w:rFonts w:ascii="Verdana" w:eastAsia="Calibri" w:hAnsi="Verdana" w:cs="Arial"/>
                <w:lang w:val="es-ES"/>
              </w:rPr>
              <w:t>ta</w:t>
            </w:r>
            <w:r>
              <w:rPr>
                <w:rFonts w:ascii="Verdana" w:eastAsia="Calibri" w:hAnsi="Verdana" w:cs="Arial"/>
                <w:lang w:val="es-ES"/>
              </w:rPr>
              <w:t xml:space="preserve">ntes pueden incluir este tipo de obligaciones relacionadas con el </w:t>
            </w:r>
            <w:r w:rsidR="000D2F71">
              <w:rPr>
                <w:rFonts w:ascii="Verdana" w:eastAsia="Calibri" w:hAnsi="Verdana" w:cs="Arial"/>
                <w:lang w:val="es-ES"/>
              </w:rPr>
              <w:t>SG-SST dentro de las obligaciones del contrato</w:t>
            </w:r>
            <w:r w:rsidR="00310E40">
              <w:rPr>
                <w:rFonts w:ascii="Verdana" w:eastAsia="Calibri" w:hAnsi="Verdana" w:cs="Arial"/>
                <w:lang w:val="es-ES"/>
              </w:rPr>
              <w:t xml:space="preserve">. Lo anterior, en virtud de la posibilidad </w:t>
            </w:r>
            <w:r w:rsidR="00DE7DA7">
              <w:rPr>
                <w:rFonts w:ascii="Verdana" w:eastAsia="Calibri" w:hAnsi="Verdana" w:cs="Arial"/>
                <w:lang w:val="es-ES"/>
              </w:rPr>
              <w:t>que tienen las entidades de establecer</w:t>
            </w:r>
            <w:r w:rsidR="00903C61">
              <w:rPr>
                <w:rFonts w:ascii="Verdana" w:eastAsia="Calibri" w:hAnsi="Verdana" w:cs="Arial"/>
                <w:lang w:val="es-ES"/>
              </w:rPr>
              <w:t xml:space="preserve"> las</w:t>
            </w:r>
            <w:r w:rsidR="00DE7DA7">
              <w:rPr>
                <w:rFonts w:ascii="Verdana" w:eastAsia="Calibri" w:hAnsi="Verdana" w:cs="Arial"/>
                <w:lang w:val="es-ES"/>
              </w:rPr>
              <w:t xml:space="preserve"> obligaciones </w:t>
            </w:r>
            <w:r w:rsidR="00E263F7">
              <w:rPr>
                <w:rFonts w:ascii="Verdana" w:eastAsia="Calibri" w:hAnsi="Verdana" w:cs="Arial"/>
                <w:lang w:val="es-ES"/>
              </w:rPr>
              <w:t xml:space="preserve">que considere convenientes </w:t>
            </w:r>
            <w:r w:rsidR="00DE7DA7">
              <w:rPr>
                <w:rFonts w:ascii="Verdana" w:eastAsia="Calibri" w:hAnsi="Verdana" w:cs="Arial"/>
                <w:lang w:val="es-ES"/>
              </w:rPr>
              <w:t xml:space="preserve">en el </w:t>
            </w:r>
            <w:r w:rsidR="00903C61">
              <w:rPr>
                <w:rFonts w:ascii="Verdana" w:eastAsia="Calibri" w:hAnsi="Verdana" w:cs="Arial"/>
                <w:lang w:val="es-ES"/>
              </w:rPr>
              <w:t>“</w:t>
            </w:r>
            <w:r w:rsidR="00DE7DA7">
              <w:rPr>
                <w:rFonts w:ascii="Verdana" w:eastAsia="Calibri" w:hAnsi="Verdana" w:cs="Arial"/>
                <w:lang w:val="es-ES"/>
              </w:rPr>
              <w:t xml:space="preserve">Anexo – Minuta del </w:t>
            </w:r>
            <w:r w:rsidR="00903C61">
              <w:rPr>
                <w:rFonts w:ascii="Verdana" w:eastAsia="Calibri" w:hAnsi="Verdana" w:cs="Arial"/>
                <w:lang w:val="es-ES"/>
              </w:rPr>
              <w:t>C</w:t>
            </w:r>
            <w:r w:rsidR="00DE7DA7">
              <w:rPr>
                <w:rFonts w:ascii="Verdana" w:eastAsia="Calibri" w:hAnsi="Verdana" w:cs="Arial"/>
                <w:lang w:val="es-ES"/>
              </w:rPr>
              <w:t>ontrato</w:t>
            </w:r>
            <w:r w:rsidR="00903C61">
              <w:rPr>
                <w:rFonts w:ascii="Verdana" w:eastAsia="Calibri" w:hAnsi="Verdana" w:cs="Arial"/>
                <w:lang w:val="es-ES"/>
              </w:rPr>
              <w:t>”</w:t>
            </w:r>
            <w:r w:rsidR="00DE7DA7">
              <w:rPr>
                <w:rFonts w:ascii="Verdana" w:eastAsia="Calibri" w:hAnsi="Verdana" w:cs="Arial"/>
                <w:lang w:val="es-ES"/>
              </w:rPr>
              <w:t xml:space="preserve">, </w:t>
            </w:r>
            <w:r w:rsidR="00C51D69">
              <w:rPr>
                <w:rFonts w:ascii="Verdana" w:eastAsia="Calibri" w:hAnsi="Verdana" w:cs="Arial"/>
                <w:lang w:val="es-ES"/>
              </w:rPr>
              <w:t xml:space="preserve">de acuerdo con la naturaleza </w:t>
            </w:r>
            <w:r w:rsidR="00903C61">
              <w:rPr>
                <w:rFonts w:ascii="Verdana" w:eastAsia="Calibri" w:hAnsi="Verdana" w:cs="Arial"/>
                <w:lang w:val="es-ES"/>
              </w:rPr>
              <w:t xml:space="preserve">y objeto del contrato. </w:t>
            </w:r>
          </w:p>
        </w:tc>
      </w:tr>
    </w:tbl>
    <w:p w14:paraId="1827F899" w14:textId="77777777" w:rsidR="003D7CBB" w:rsidRPr="003D7CBB" w:rsidRDefault="003D7CBB" w:rsidP="003D7CBB">
      <w:pPr>
        <w:tabs>
          <w:tab w:val="left" w:pos="142"/>
          <w:tab w:val="left" w:pos="284"/>
        </w:tabs>
        <w:spacing w:after="0" w:line="276" w:lineRule="auto"/>
        <w:jc w:val="both"/>
        <w:rPr>
          <w:rFonts w:ascii="Verdana" w:eastAsia="Century Gothic" w:hAnsi="Verdana" w:cs="Century Gothic"/>
          <w:b/>
          <w:bCs/>
          <w:lang w:val="es-ES"/>
        </w:rPr>
      </w:pPr>
    </w:p>
    <w:p w14:paraId="5078BF0D" w14:textId="77777777" w:rsidR="003D7CBB" w:rsidRPr="003D7CBB" w:rsidRDefault="003D7CBB" w:rsidP="003D7CBB">
      <w:pPr>
        <w:tabs>
          <w:tab w:val="left" w:pos="142"/>
          <w:tab w:val="left" w:pos="284"/>
        </w:tabs>
        <w:spacing w:after="0" w:line="276" w:lineRule="auto"/>
        <w:jc w:val="both"/>
        <w:rPr>
          <w:rFonts w:ascii="Verdana" w:eastAsia="Century Gothic" w:hAnsi="Verdana" w:cs="Century Gothic"/>
          <w:b/>
          <w:bCs/>
          <w:lang w:val="es-ES"/>
        </w:rPr>
      </w:pPr>
      <w:r w:rsidRPr="003D7CBB">
        <w:rPr>
          <w:rFonts w:ascii="Verdana" w:eastAsia="Century Gothic" w:hAnsi="Verdana" w:cs="Century Gothic"/>
          <w:b/>
          <w:bCs/>
          <w:lang w:val="es-ES"/>
        </w:rPr>
        <w:t>3. Razones de la respuesta:</w:t>
      </w:r>
    </w:p>
    <w:p w14:paraId="43463BC6" w14:textId="77777777" w:rsidR="003D7CBB" w:rsidRPr="003D7CBB" w:rsidRDefault="003D7CBB" w:rsidP="003D7CBB">
      <w:pPr>
        <w:spacing w:after="0" w:line="276" w:lineRule="auto"/>
        <w:jc w:val="both"/>
        <w:rPr>
          <w:rFonts w:ascii="Verdana" w:eastAsia="Calibri" w:hAnsi="Verdana" w:cs="Arial"/>
          <w:lang w:val="es-ES"/>
        </w:rPr>
      </w:pPr>
    </w:p>
    <w:p w14:paraId="787003E7" w14:textId="77777777" w:rsidR="003D7CBB" w:rsidRPr="003D7CBB" w:rsidRDefault="003D7CBB" w:rsidP="003D7CBB">
      <w:pPr>
        <w:spacing w:after="0" w:line="276" w:lineRule="auto"/>
        <w:jc w:val="both"/>
        <w:rPr>
          <w:rFonts w:ascii="Verdana" w:eastAsia="Calibri" w:hAnsi="Verdana" w:cs="Arial"/>
          <w:lang w:val="es-ES"/>
        </w:rPr>
      </w:pPr>
      <w:r w:rsidRPr="003D7CBB">
        <w:rPr>
          <w:rFonts w:ascii="Verdana" w:eastAsia="Calibri" w:hAnsi="Verdana" w:cs="Arial"/>
          <w:lang w:val="es-ES"/>
        </w:rPr>
        <w:t xml:space="preserve">Lo anterior se sustenta en las siguientes consideraciones: </w:t>
      </w:r>
      <w:bookmarkStart w:id="1" w:name="_Hlk113022941"/>
    </w:p>
    <w:p w14:paraId="7C52A11C" w14:textId="77777777" w:rsidR="003D7CBB" w:rsidRPr="003D7CBB" w:rsidRDefault="003D7CBB" w:rsidP="003D7CBB">
      <w:pPr>
        <w:spacing w:after="0" w:line="276" w:lineRule="auto"/>
        <w:jc w:val="both"/>
        <w:rPr>
          <w:rFonts w:ascii="Verdana" w:eastAsia="Calibri" w:hAnsi="Verdana" w:cs="Arial"/>
          <w:lang w:val="es-ES"/>
        </w:rPr>
      </w:pPr>
    </w:p>
    <w:p w14:paraId="08FBBA78" w14:textId="77777777" w:rsidR="003D7CBB" w:rsidRPr="003D7CBB" w:rsidRDefault="003D7CBB" w:rsidP="003D7CBB">
      <w:pPr>
        <w:tabs>
          <w:tab w:val="center" w:pos="4419"/>
          <w:tab w:val="right" w:pos="8838"/>
        </w:tabs>
        <w:spacing w:after="120" w:line="276" w:lineRule="auto"/>
        <w:jc w:val="both"/>
        <w:rPr>
          <w:rFonts w:ascii="Verdana" w:eastAsia="Calibri" w:hAnsi="Verdana" w:cs="Arial"/>
          <w:color w:val="000000"/>
          <w:lang w:val="es-ES"/>
        </w:rPr>
      </w:pPr>
      <w:r w:rsidRPr="003D7CBB">
        <w:rPr>
          <w:rFonts w:ascii="Verdana" w:eastAsia="Calibri" w:hAnsi="Verdana" w:cs="Arial"/>
          <w:color w:val="000000"/>
          <w:lang w:val="es-ES"/>
        </w:rPr>
        <w:t>Todas las resoluciones</w:t>
      </w:r>
      <w:r w:rsidRPr="003D7CBB">
        <w:rPr>
          <w:rFonts w:ascii="Verdana" w:eastAsia="Calibri" w:hAnsi="Verdana" w:cs="Arial"/>
          <w:color w:val="000000"/>
          <w:vertAlign w:val="superscript"/>
          <w:lang w:val="es-ES"/>
        </w:rPr>
        <w:footnoteReference w:id="2"/>
      </w:r>
      <w:r w:rsidRPr="003D7CBB">
        <w:rPr>
          <w:rFonts w:ascii="Verdana" w:eastAsia="Calibri" w:hAnsi="Verdana" w:cs="Arial"/>
          <w:color w:val="000000"/>
          <w:lang w:val="es-ES"/>
        </w:rPr>
        <w:t xml:space="preserve"> expedidas por la Agencia Nacional de Contratación Pública – Colombia Compra Eficiente, mediante las cuales se adoptaron los </w:t>
      </w:r>
      <w:r w:rsidRPr="003D7CBB">
        <w:rPr>
          <w:rFonts w:ascii="Verdana" w:eastAsia="Calibri" w:hAnsi="Verdana" w:cs="Arial"/>
          <w:color w:val="000000"/>
          <w:lang w:val="es-ES"/>
        </w:rPr>
        <w:lastRenderedPageBreak/>
        <w:t xml:space="preserve">documentos tipo, consagran la regla de la inalterabilidad. Esta prohibición consiste en que las entidades estatales no pueden incluir o modificar en los </w:t>
      </w:r>
      <w:r w:rsidRPr="003D7CBB">
        <w:rPr>
          <w:rFonts w:ascii="Verdana" w:eastAsia="Calibri" w:hAnsi="Verdana" w:cs="Arial"/>
          <w:i/>
          <w:iCs/>
          <w:color w:val="000000"/>
          <w:lang w:val="es-ES"/>
        </w:rPr>
        <w:t>Documentos del Proceso</w:t>
      </w:r>
      <w:r w:rsidRPr="003D7CBB">
        <w:rPr>
          <w:rFonts w:ascii="Verdana" w:eastAsia="Calibri" w:hAnsi="Verdana" w:cs="Arial"/>
          <w:color w:val="00000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3C2D347B" w14:textId="77777777" w:rsidR="003D7CBB" w:rsidRPr="003D7CBB" w:rsidRDefault="003D7CBB" w:rsidP="003D7CBB">
      <w:pPr>
        <w:spacing w:before="120" w:after="120" w:line="276" w:lineRule="auto"/>
        <w:ind w:firstLine="709"/>
        <w:jc w:val="both"/>
        <w:rPr>
          <w:rFonts w:ascii="Verdana" w:eastAsia="Calibri" w:hAnsi="Verdana" w:cs="Arial"/>
          <w:lang w:val="es-ES_tradnl"/>
        </w:rPr>
      </w:pPr>
      <w:r w:rsidRPr="003D7CBB">
        <w:rPr>
          <w:rFonts w:ascii="Verdana" w:eastAsia="Calibri" w:hAnsi="Verdana" w:cs="Arial"/>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Pero eso no significa que antes no rigiera, pues así también lo disponía el artículo 4 de la Ley 1882 de 2018. Por vía reglamentaria, también quedó consignado en su momento el carácter inmodificable de los pliegos tipo en el artículo 1 de los Decretos 342 de 2019, Decreto 2096 de 2019 y 594 de 2020, que adicionaron, respectivamente, los artículos 2.2.1.2.6.1.4, 2.2.1.2.6.2.3 y 2.2.1.2.6.3.4 al Decreto 1082 de 2015.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2D4336F0" w14:textId="77777777" w:rsidR="003D7CBB" w:rsidRPr="003D7CBB" w:rsidRDefault="003D7CBB" w:rsidP="003D7CBB">
      <w:pPr>
        <w:spacing w:before="120" w:after="120" w:line="276" w:lineRule="auto"/>
        <w:ind w:firstLine="709"/>
        <w:jc w:val="both"/>
        <w:rPr>
          <w:rFonts w:ascii="Verdana" w:eastAsia="Calibri" w:hAnsi="Verdana" w:cs="Arial"/>
          <w:lang w:val="es-ES_tradnl"/>
        </w:rPr>
      </w:pPr>
      <w:r w:rsidRPr="003D7CBB">
        <w:rPr>
          <w:rFonts w:ascii="Verdana" w:eastAsia="Calibri" w:hAnsi="Verdana" w:cs="Arial"/>
          <w:lang w:val="es-ES_tradnl"/>
        </w:rPr>
        <w:t>La inalterabilidad de los documentos tipo es una manifestación en mayor grado de las potestades regladas, lo cual implica una reducción de la discrecionalidad de la Administración en el momento de tomar una decisión en el proceso de contratación</w:t>
      </w:r>
      <w:r w:rsidRPr="003D7CBB">
        <w:rPr>
          <w:rFonts w:ascii="Verdana" w:eastAsia="Calibri" w:hAnsi="Verdana" w:cs="Arial"/>
          <w:vertAlign w:val="superscript"/>
          <w:lang w:val="es-ES_tradnl"/>
        </w:rPr>
        <w:footnoteReference w:id="3"/>
      </w:r>
      <w:r w:rsidRPr="003D7CBB">
        <w:rPr>
          <w:rFonts w:ascii="Verdana" w:eastAsia="Calibri" w:hAnsi="Verdana" w:cs="Arial"/>
          <w:lang w:val="es-ES_tradnl"/>
        </w:rPr>
        <w:t xml:space="preserve">. Cada entidad pública sujeta a los documentos tipo </w:t>
      </w:r>
      <w:r w:rsidRPr="003D7CBB">
        <w:rPr>
          <w:rFonts w:ascii="Verdana" w:eastAsia="Calibri" w:hAnsi="Verdana" w:cs="Arial"/>
          <w:lang w:val="es-ES_tradnl"/>
        </w:rPr>
        <w:lastRenderedPageBreak/>
        <w:t xml:space="preserve">deberá hacer una aplicación o constatación irrestricta de las reglas y condiciones dispuestas en estos, salvo que las mismas posibilitan la discrecionalidad en determinados aspectos. </w:t>
      </w:r>
    </w:p>
    <w:p w14:paraId="069F7061" w14:textId="77777777" w:rsidR="003D7CBB" w:rsidRPr="003D7CBB" w:rsidRDefault="003D7CBB" w:rsidP="003D7CBB">
      <w:pPr>
        <w:spacing w:before="120" w:after="120" w:line="276" w:lineRule="auto"/>
        <w:ind w:firstLine="709"/>
        <w:jc w:val="both"/>
        <w:rPr>
          <w:rFonts w:ascii="Verdana" w:eastAsia="Calibri" w:hAnsi="Verdana" w:cs="Arial"/>
          <w:lang w:val="es-ES"/>
        </w:rPr>
      </w:pPr>
      <w:r w:rsidRPr="003D7CBB">
        <w:rPr>
          <w:rFonts w:ascii="Verdana" w:eastAsia="Calibri" w:hAnsi="Verdana" w:cs="Arial"/>
          <w:lang w:val="es-ES"/>
        </w:rPr>
        <w:t xml:space="preserve">Además, las entidades estatales deben garantizar el </w:t>
      </w:r>
      <w:r w:rsidRPr="003D7CBB">
        <w:rPr>
          <w:rFonts w:ascii="Verdana" w:eastAsia="Calibri" w:hAnsi="Verdana" w:cs="Arial"/>
          <w:i/>
          <w:iCs/>
          <w:lang w:val="es-ES"/>
        </w:rPr>
        <w:t>principio de economía</w:t>
      </w:r>
      <w:r w:rsidRPr="003D7CBB">
        <w:rPr>
          <w:rFonts w:ascii="Verdana" w:eastAsia="Calibri" w:hAnsi="Verdana" w:cs="Arial"/>
          <w:lang w:val="es-ES"/>
        </w:rPr>
        <w:t>, del cual se desprende que no pueden exigir documentos o requisitos más allá de los que permitan la Constitución, la ley y los reglamentos. Este postulado ha sido recogido no solo en la contratación estatal</w:t>
      </w:r>
      <w:r w:rsidRPr="003D7CBB">
        <w:rPr>
          <w:rFonts w:ascii="Verdana" w:eastAsia="Calibri" w:hAnsi="Verdana" w:cs="Arial"/>
          <w:vertAlign w:val="superscript"/>
          <w:lang w:val="es-ES"/>
        </w:rPr>
        <w:footnoteReference w:id="4"/>
      </w:r>
      <w:r w:rsidRPr="003D7CBB">
        <w:rPr>
          <w:rFonts w:ascii="Verdana" w:eastAsia="Calibri" w:hAnsi="Verdana" w:cs="Arial"/>
          <w:lang w:val="es-ES"/>
        </w:rPr>
        <w:t xml:space="preserve"> sino además en la normativa </w:t>
      </w:r>
      <w:proofErr w:type="spellStart"/>
      <w:r w:rsidRPr="003D7CBB">
        <w:rPr>
          <w:rFonts w:ascii="Verdana" w:eastAsia="Calibri" w:hAnsi="Verdana" w:cs="Arial"/>
          <w:lang w:val="es-ES"/>
        </w:rPr>
        <w:t>antitrámites</w:t>
      </w:r>
      <w:proofErr w:type="spellEnd"/>
      <w:r w:rsidRPr="003D7CBB">
        <w:rPr>
          <w:rFonts w:ascii="Verdana" w:eastAsia="Calibri" w:hAnsi="Verdana" w:cs="Arial"/>
          <w:vertAlign w:val="superscript"/>
          <w:lang w:val="es-ES"/>
        </w:rPr>
        <w:footnoteReference w:id="5"/>
      </w:r>
      <w:r w:rsidRPr="003D7CBB">
        <w:rPr>
          <w:rFonts w:ascii="Verdana" w:eastAsia="Calibri" w:hAnsi="Verdana" w:cs="Arial"/>
          <w:lang w:val="es-ES"/>
        </w:rPr>
        <w:t>; pues se inscribe dentro de la tendencia de simplificación y racionalización de los procedimientos administrativos. De ahí que cuando las autoridades solicitan la entrega de documentación innecesaria, desconocen el principio de economía.</w:t>
      </w:r>
    </w:p>
    <w:p w14:paraId="2DA6EEE3" w14:textId="77777777" w:rsidR="003D7CBB" w:rsidRPr="003D7CBB" w:rsidRDefault="003D7CBB" w:rsidP="003D7CBB">
      <w:pPr>
        <w:spacing w:after="120" w:line="276" w:lineRule="auto"/>
        <w:ind w:firstLine="708"/>
        <w:jc w:val="both"/>
        <w:rPr>
          <w:rFonts w:ascii="Verdana" w:eastAsia="Calibri" w:hAnsi="Verdana" w:cs="Arial"/>
          <w:color w:val="000000"/>
          <w:lang w:val="es-ES"/>
        </w:rPr>
      </w:pPr>
      <w:r w:rsidRPr="003D7CBB">
        <w:rPr>
          <w:rFonts w:ascii="Verdana" w:eastAsia="Calibri" w:hAnsi="Verdana" w:cs="Arial"/>
          <w:color w:val="000000"/>
          <w:lang w:val="es-ES"/>
        </w:rPr>
        <w:t>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w:t>
      </w:r>
      <w:r w:rsidRPr="003D7CBB">
        <w:rPr>
          <w:rFonts w:ascii="Verdana" w:eastAsia="Calibri" w:hAnsi="Verdana" w:cs="Arial"/>
          <w:color w:val="000000"/>
          <w:vertAlign w:val="superscript"/>
          <w:lang w:val="es-ES"/>
        </w:rPr>
        <w:footnoteReference w:id="6"/>
      </w:r>
      <w:r w:rsidRPr="003D7CBB">
        <w:rPr>
          <w:rFonts w:ascii="Verdana" w:eastAsia="Calibri" w:hAnsi="Verdana" w:cs="Arial"/>
          <w:color w:val="000000"/>
          <w:lang w:val="es-ES"/>
        </w:rPr>
        <w:t xml:space="preserve">. Si las autoridades pudiesen agregar, eliminar o modificar todos y cada uno de los aspectos contenidos en los </w:t>
      </w:r>
      <w:r w:rsidRPr="003D7CBB">
        <w:rPr>
          <w:rFonts w:ascii="Verdana" w:eastAsia="Calibri" w:hAnsi="Verdana" w:cs="Arial"/>
          <w:color w:val="000000"/>
          <w:lang w:val="es-ES"/>
        </w:rPr>
        <w:lastRenderedPageBreak/>
        <w:t xml:space="preserve">pliegos tipo, estos documentos, llanamente, no podrían ser llamados pliegos tipo. </w:t>
      </w:r>
    </w:p>
    <w:p w14:paraId="78275666" w14:textId="77777777" w:rsidR="003D7CBB" w:rsidRPr="003D7CBB" w:rsidRDefault="003D7CBB" w:rsidP="003D7CBB">
      <w:pPr>
        <w:spacing w:after="120" w:line="276" w:lineRule="auto"/>
        <w:ind w:firstLine="708"/>
        <w:jc w:val="both"/>
        <w:rPr>
          <w:rFonts w:ascii="Verdana" w:eastAsia="Calibri" w:hAnsi="Verdana" w:cs="Arial"/>
          <w:color w:val="000000"/>
          <w:lang w:val="es-ES"/>
        </w:rPr>
      </w:pPr>
      <w:r w:rsidRPr="003D7CBB">
        <w:rPr>
          <w:rFonts w:ascii="Verdana" w:eastAsia="Calibri" w:hAnsi="Verdana" w:cs="Arial"/>
          <w:color w:val="000000"/>
          <w:lang w:val="es-ES"/>
        </w:rPr>
        <w:t xml:space="preserve">De otra parte, a la luz de los objetivos perseguidos, si la normativa permitiera la alteración de todo el documento tipo, sería imposible verificar en la práctica las ventajas perseguidas por el legislador. Así, por ejemplo, si cada autoridad pudiese rediseñar por completo el documento, la transparencia del sistema de compras públicas no sería mayor con la introducción de la estandarización de documentos. De similar manera, bajo la hipótesis de trabajo referida, las entidades podrían modificar todo el contenido del pliego, retornando a una de las prácticas que se buscó eliminar: la elaboración de “pliegos sastre”, que eliminan la competencia. En ese orden, si se permite ilimitadamente introducir ajustes, las entidades estatales podrían reintroducir los sesgos interpretativos incorrectos que se buscó erradicar con la introducción de la herramienta analizada. </w:t>
      </w:r>
    </w:p>
    <w:p w14:paraId="182A8264" w14:textId="77777777" w:rsidR="003D7CBB" w:rsidRPr="003D7CBB" w:rsidRDefault="003D7CBB" w:rsidP="003D7CBB">
      <w:pPr>
        <w:spacing w:after="120" w:line="276" w:lineRule="auto"/>
        <w:ind w:firstLine="708"/>
        <w:jc w:val="both"/>
        <w:rPr>
          <w:rFonts w:ascii="Verdana" w:eastAsia="Calibri" w:hAnsi="Verdana" w:cs="Arial"/>
          <w:color w:val="000000"/>
          <w:lang w:val="es-ES"/>
        </w:rPr>
      </w:pPr>
      <w:r w:rsidRPr="003D7CBB">
        <w:rPr>
          <w:rFonts w:ascii="Verdana" w:eastAsia="Calibri" w:hAnsi="Verdana" w:cs="Arial"/>
          <w:color w:val="000000"/>
          <w:lang w:val="es-ES"/>
        </w:rPr>
        <w:t>Con base en lo dicho, se observa con toda claridad la necesidad de que existan unos mínimos inalterables que permitan, de un lado, que los pliegos tipo sean propiamente tales y, del otro, que se garanticen los fines expresamente perseguidos por el legislador con su introducción al ordenamiento nacional.</w:t>
      </w:r>
    </w:p>
    <w:p w14:paraId="31D8E935" w14:textId="77777777" w:rsidR="003D7CBB" w:rsidRPr="003D7CBB" w:rsidRDefault="003D7CBB" w:rsidP="003D7CBB">
      <w:pPr>
        <w:spacing w:after="120" w:line="276" w:lineRule="auto"/>
        <w:ind w:firstLine="708"/>
        <w:jc w:val="both"/>
        <w:rPr>
          <w:rFonts w:ascii="Verdana" w:eastAsia="Calibri" w:hAnsi="Verdana" w:cs="Arial"/>
          <w:color w:val="000000"/>
          <w:lang w:val="es-ES"/>
        </w:rPr>
      </w:pPr>
      <w:r w:rsidRPr="003D7CBB">
        <w:rPr>
          <w:rFonts w:ascii="Verdana" w:eastAsia="Calibri" w:hAnsi="Verdana" w:cs="Arial"/>
          <w:lang w:val="es-MX"/>
        </w:rPr>
        <w:t xml:space="preserve">No obstante, la parte introductoria de los documentos base de los documentos tipo disponen que los aspectos incluidos en corchetes y resaltados en gris </w:t>
      </w:r>
      <w:r w:rsidRPr="003D7CBB">
        <w:rPr>
          <w:rFonts w:ascii="Verdana" w:eastAsia="Aptos" w:hAnsi="Verdana" w:cs="Arial"/>
        </w:rPr>
        <w:t>–[</w:t>
      </w:r>
      <w:r w:rsidRPr="003D7CBB">
        <w:rPr>
          <w:rFonts w:ascii="Verdana" w:eastAsia="Aptos" w:hAnsi="Verdana" w:cs="Arial"/>
          <w:highlight w:val="lightGray"/>
        </w:rPr>
        <w:t>texto de ejemplo</w:t>
      </w:r>
      <w:r w:rsidRPr="003D7CBB">
        <w:rPr>
          <w:rFonts w:ascii="Verdana" w:eastAsia="Aptos" w:hAnsi="Verdana" w:cs="Arial"/>
        </w:rPr>
        <w:t xml:space="preserve">]– </w:t>
      </w:r>
      <w:r w:rsidRPr="003D7CBB">
        <w:rPr>
          <w:rFonts w:ascii="Verdana" w:eastAsia="Calibri" w:hAnsi="Verdana" w:cs="Arial"/>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6977568A" w14:textId="77777777" w:rsidR="003D7CBB" w:rsidRPr="003D7CBB" w:rsidRDefault="003D7CBB" w:rsidP="003D7CBB">
      <w:pPr>
        <w:spacing w:after="120" w:line="276" w:lineRule="auto"/>
        <w:ind w:firstLine="708"/>
        <w:jc w:val="both"/>
        <w:rPr>
          <w:rFonts w:ascii="Aptos" w:eastAsia="Aptos" w:hAnsi="Aptos" w:cs="Times New Roman"/>
          <w:kern w:val="2"/>
          <w:sz w:val="24"/>
          <w:szCs w:val="24"/>
          <w:lang w:val="es-MX"/>
          <w14:ligatures w14:val="standardContextual"/>
        </w:rPr>
      </w:pPr>
      <w:r w:rsidRPr="003D7CBB">
        <w:rPr>
          <w:rFonts w:ascii="Verdana" w:eastAsia="Calibri" w:hAnsi="Verdana" w:cs="Arial"/>
          <w:lang w:val="es-MX"/>
        </w:rPr>
        <w:t xml:space="preserve">Debe indicarse que, la regla de inalterabilidad que recae sobre los documentos tipo, también se encuentra consagrada de forma expresa en el documento base. Así, por ejemplo, en el aparte sobre las normas de interpretación del pliego de condiciones, el literal I del numeral 1.17 del pliego tipo de los documentos tipo de licitación de obra pública de infraestructura de transporte dispone lo siguiente: </w:t>
      </w:r>
      <w:r w:rsidRPr="003D7CBB">
        <w:rPr>
          <w:rFonts w:ascii="Verdana" w:eastAsia="Calibri" w:hAnsi="Verdana" w:cs="Arial"/>
          <w:i/>
          <w:iCs/>
          <w:lang w:val="es-MX"/>
        </w:rPr>
        <w:t>“</w:t>
      </w:r>
      <w:r w:rsidRPr="003D7CBB">
        <w:rPr>
          <w:rFonts w:ascii="Verdana" w:eastAsia="Aptos" w:hAnsi="Verdana" w:cs="Times New Roman"/>
          <w:i/>
          <w:iCs/>
          <w:kern w:val="2"/>
          <w:lang w:val="es-MX"/>
          <w14:ligatures w14:val="standardContextual"/>
        </w:rPr>
        <w:t xml:space="preserve">Los Documentos Tipo son inalterables y no se podrán incluir o modificar los Anexos, Formatos y Formularios, ni exigir soportes </w:t>
      </w:r>
      <w:r w:rsidRPr="003D7CBB">
        <w:rPr>
          <w:rFonts w:ascii="Verdana" w:eastAsia="Aptos" w:hAnsi="Verdana" w:cs="Times New Roman"/>
          <w:i/>
          <w:iCs/>
          <w:kern w:val="2"/>
          <w:lang w:val="es-MX"/>
          <w14:ligatures w14:val="standardContextual"/>
        </w:rPr>
        <w:lastRenderedPageBreak/>
        <w:t>o requisitos adicionales; salvo cuando se permita en forma expresa, es decir, en los aspectos incluidos en corchetes y resaltados en gris”.</w:t>
      </w:r>
      <w:r w:rsidRPr="003D7CBB">
        <w:rPr>
          <w:rFonts w:ascii="Aptos" w:eastAsia="Aptos" w:hAnsi="Aptos" w:cs="Times New Roman"/>
          <w:kern w:val="2"/>
          <w:sz w:val="24"/>
          <w:szCs w:val="24"/>
          <w:lang w:val="es-MX"/>
          <w14:ligatures w14:val="standardContextual"/>
        </w:rPr>
        <w:t xml:space="preserve"> </w:t>
      </w:r>
    </w:p>
    <w:p w14:paraId="223FE67E" w14:textId="77777777" w:rsidR="003D7CBB" w:rsidRPr="003D7CBB" w:rsidRDefault="003D7CBB" w:rsidP="003D7CBB">
      <w:pPr>
        <w:spacing w:before="120" w:after="120" w:line="276" w:lineRule="auto"/>
        <w:ind w:firstLine="709"/>
        <w:jc w:val="both"/>
        <w:rPr>
          <w:rFonts w:ascii="Verdana" w:eastAsia="Calibri" w:hAnsi="Verdana" w:cs="Arial"/>
          <w:bCs/>
          <w:lang w:val="es-MX"/>
        </w:rPr>
      </w:pPr>
      <w:r w:rsidRPr="003D7CBB">
        <w:rPr>
          <w:rFonts w:ascii="Verdana" w:eastAsia="Calibri" w:hAnsi="Verdana" w:cs="Arial"/>
          <w:bCs/>
          <w:lang w:val="es-MX"/>
        </w:rPr>
        <w:t>En suma,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documentos tipo. En tal sentido, estos solo se podrán modificar respecto a aquellos contenidos que el mismo documento tipo lo permita.</w:t>
      </w:r>
    </w:p>
    <w:p w14:paraId="087A3B01" w14:textId="77777777" w:rsidR="003D7CBB" w:rsidRPr="003D7CBB" w:rsidRDefault="003D7CBB" w:rsidP="003D7CBB">
      <w:pPr>
        <w:snapToGrid w:val="0"/>
        <w:spacing w:after="120" w:line="276" w:lineRule="auto"/>
        <w:ind w:firstLine="709"/>
        <w:jc w:val="both"/>
        <w:rPr>
          <w:rFonts w:ascii="Verdana" w:eastAsia="Calibri" w:hAnsi="Verdana" w:cs="Arial"/>
          <w:bCs/>
          <w:lang w:val="es-MX"/>
        </w:rPr>
      </w:pPr>
      <w:r w:rsidRPr="003D7CBB">
        <w:rPr>
          <w:rFonts w:ascii="Verdana" w:eastAsia="Calibri" w:hAnsi="Verdana" w:cs="Arial"/>
          <w:bCs/>
          <w:lang w:val="es-MX"/>
        </w:rPr>
        <w:t xml:space="preserve">Esta regla de inalterabilidad </w:t>
      </w:r>
      <w:r w:rsidRPr="003D7CBB">
        <w:rPr>
          <w:rFonts w:ascii="Verdana" w:eastAsia="Calibri" w:hAnsi="Verdana" w:cs="Arial"/>
          <w:bCs/>
          <w:i/>
          <w:iCs/>
          <w:lang w:val="es-MX"/>
        </w:rPr>
        <w:t>también aplica a los formatos, formularios, anexos y matrices</w:t>
      </w:r>
      <w:r w:rsidRPr="003D7CBB">
        <w:rPr>
          <w:rFonts w:ascii="Verdana" w:eastAsia="Calibri" w:hAnsi="Verdana" w:cs="Arial"/>
          <w:bCs/>
          <w:lang w:val="es-MX"/>
        </w:rPr>
        <w:t xml:space="preserve"> implementados junto con el “Documento Base”, los cuales deben usarse en el procedimiento de contratación. Estos, al igual que el “Documento Base”, contienen apartes entre corchetes y resaltados en gris, los cuales deben ser diligenciados por la entidad, al igual que otros aspectos relativos a información que debe ser completada por los oferentes al hacer uso del formato. </w:t>
      </w:r>
    </w:p>
    <w:p w14:paraId="543656ED" w14:textId="77777777" w:rsidR="003D7CBB" w:rsidRPr="003D7CBB" w:rsidRDefault="003D7CBB" w:rsidP="003D7CBB">
      <w:pPr>
        <w:snapToGrid w:val="0"/>
        <w:spacing w:after="120" w:line="276" w:lineRule="auto"/>
        <w:ind w:firstLine="709"/>
        <w:jc w:val="both"/>
        <w:rPr>
          <w:rFonts w:ascii="Verdana" w:eastAsia="Calibri" w:hAnsi="Verdana" w:cs="Arial"/>
          <w:lang w:val="es-MX"/>
        </w:rPr>
      </w:pPr>
      <w:r w:rsidRPr="003D7CBB">
        <w:rPr>
          <w:rFonts w:ascii="Verdana" w:eastAsia="Calibri" w:hAnsi="Verdana" w:cs="Arial"/>
          <w:lang w:val="es-MX"/>
        </w:rPr>
        <w:t xml:space="preserve">Con todo, la regla de inalterabilidad de los documentos tipo debe armonizarse con principios de orden constitucional, especialmente con el de prevalencia del derecho sustancial, consagrado en el artículo 228 de la Constitución Política. La interpretación armónica de tales principios, a juicio de la Agencia Nacional de Contratación Pública, impide que la entidad que adelanta el proceso contractual le rinda culto a las “formas”, pues, en últimas, el deber que le asiste es el de tener en cuenta y aplicar los aspectos sustanciales de los documentos tipo, sin distingo de la formalidad de la que se sirva para ello los actores de la contratación pública. </w:t>
      </w:r>
    </w:p>
    <w:p w14:paraId="43B19977" w14:textId="77777777" w:rsidR="003D7CBB" w:rsidRPr="003D7CBB" w:rsidRDefault="003D7CBB" w:rsidP="003D7CBB">
      <w:pPr>
        <w:snapToGrid w:val="0"/>
        <w:spacing w:after="120" w:line="276" w:lineRule="auto"/>
        <w:ind w:firstLine="709"/>
        <w:jc w:val="both"/>
        <w:rPr>
          <w:rFonts w:ascii="Verdana" w:eastAsia="Aptos" w:hAnsi="Verdana" w:cs="Arial"/>
        </w:rPr>
      </w:pPr>
      <w:r w:rsidRPr="003D7CBB">
        <w:rPr>
          <w:rFonts w:ascii="Verdana" w:eastAsia="Aptos" w:hAnsi="Verdana" w:cs="Arial"/>
        </w:rPr>
        <w:t xml:space="preserve">En relación con el principio constitucional </w:t>
      </w:r>
      <w:r w:rsidRPr="003D7CBB">
        <w:rPr>
          <w:rFonts w:ascii="Verdana" w:eastAsia="Aptos" w:hAnsi="Verdana" w:cs="Arial"/>
          <w:i/>
          <w:iCs/>
        </w:rPr>
        <w:t>sub examine</w:t>
      </w:r>
      <w:r w:rsidRPr="003D7CBB">
        <w:rPr>
          <w:rFonts w:ascii="Verdana" w:eastAsia="Aptos" w:hAnsi="Verdana" w:cs="Arial"/>
        </w:rPr>
        <w:t>, la Corte Constitucional explica que “(…) por disposición del artículo 228 Superior, las formas no deben convertirse en un obstáculo para la efectividad del derecho sustancial, sino que deben propender por su realización. Es decir, que las normas procesales son un medio para lograr la efectividad de los derechos subjetivos y no fines en sí mismas”</w:t>
      </w:r>
      <w:r w:rsidRPr="003D7CBB">
        <w:rPr>
          <w:rFonts w:ascii="Verdana" w:eastAsia="Aptos" w:hAnsi="Verdana" w:cs="Arial"/>
          <w:vertAlign w:val="superscript"/>
        </w:rPr>
        <w:footnoteReference w:id="7"/>
      </w:r>
      <w:r w:rsidRPr="003D7CBB">
        <w:rPr>
          <w:rFonts w:ascii="Verdana" w:eastAsia="Aptos" w:hAnsi="Verdana" w:cs="Arial"/>
        </w:rPr>
        <w:t xml:space="preserve">. </w:t>
      </w:r>
    </w:p>
    <w:p w14:paraId="0F593C21" w14:textId="77777777" w:rsidR="003D7CBB" w:rsidRPr="003D7CBB" w:rsidRDefault="003D7CBB" w:rsidP="003D7CBB">
      <w:pPr>
        <w:snapToGrid w:val="0"/>
        <w:spacing w:after="120" w:line="276" w:lineRule="auto"/>
        <w:ind w:firstLine="709"/>
        <w:jc w:val="both"/>
        <w:rPr>
          <w:rFonts w:ascii="Verdana" w:eastAsia="Calibri" w:hAnsi="Verdana" w:cs="Arial"/>
          <w:lang w:val="es-MX"/>
        </w:rPr>
      </w:pPr>
      <w:r w:rsidRPr="003D7CBB">
        <w:rPr>
          <w:rFonts w:ascii="Verdana" w:eastAsia="Calibri" w:hAnsi="Verdana" w:cs="Arial"/>
          <w:lang w:val="es-MX"/>
        </w:rPr>
        <w:lastRenderedPageBreak/>
        <w:t>El carácter inalterable de los documentos tipo no puede, por tanto, hacerse extensivo a los aspectos meramente formales de tales documentos, esto es, el tamaño y tipo de letra, las márgenes o las expresiones que pretenden hacer más comprensible el documento, como es el caso de aquellas que informan que una expresión larga será referida con otra similar pero más corta. Lo anterior considerando que estos aspectos en nada afectan la aplicación y alcance de los documentos tipos, es decir, no afectan su contenido esencial y, mucho menos, las obligaciones, deberes y derechos que se derivan para las partes contratantes.</w:t>
      </w:r>
    </w:p>
    <w:p w14:paraId="6D6485EB" w14:textId="77777777" w:rsidR="003D7CBB" w:rsidRPr="003D7CBB" w:rsidRDefault="003D7CBB" w:rsidP="003D7CBB">
      <w:pPr>
        <w:widowControl w:val="0"/>
        <w:autoSpaceDE w:val="0"/>
        <w:autoSpaceDN w:val="0"/>
        <w:snapToGrid w:val="0"/>
        <w:spacing w:after="120" w:line="276" w:lineRule="auto"/>
        <w:ind w:firstLine="709"/>
        <w:jc w:val="both"/>
        <w:rPr>
          <w:rFonts w:ascii="Verdana" w:eastAsia="Calibri" w:hAnsi="Verdana" w:cs="Arial"/>
          <w:color w:val="000000"/>
          <w:kern w:val="2"/>
          <w:lang w:val="es-ES"/>
          <w14:ligatures w14:val="standardContextual"/>
        </w:rPr>
      </w:pPr>
      <w:r w:rsidRPr="003D7CBB">
        <w:rPr>
          <w:rFonts w:ascii="Verdana" w:eastAsia="Calibri" w:hAnsi="Verdana" w:cs="Arial"/>
          <w:lang w:val="es-MX"/>
        </w:rPr>
        <w:t xml:space="preserve">Ahora bien, respecto al Sistema de Gestión de Seguridad y Salud en el Trabajo (SG-SST), </w:t>
      </w:r>
      <w:r w:rsidRPr="003D7CBB">
        <w:rPr>
          <w:rFonts w:ascii="Verdana" w:eastAsia="Calibri" w:hAnsi="Verdana" w:cs="Arial"/>
          <w:color w:val="000000"/>
          <w:kern w:val="2"/>
          <w:lang w:val="es-ES"/>
          <w14:ligatures w14:val="standardContextual"/>
        </w:rPr>
        <w:t>el artículo 1 de la Ley 1562 de 2012, que modificó el Sistema de Riesgos Laborales, contempló que el programa de salud ocupacional en adelante se conocería como el Sistema de Gestión de la Seguridad y Salud en el Trabajo, definido como un “Sistema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salud en el trabajo.”</w:t>
      </w:r>
    </w:p>
    <w:p w14:paraId="44727099" w14:textId="77777777" w:rsidR="003D7CBB" w:rsidRPr="003D7CBB" w:rsidRDefault="003D7CBB" w:rsidP="003D7CBB">
      <w:pPr>
        <w:widowControl w:val="0"/>
        <w:autoSpaceDE w:val="0"/>
        <w:autoSpaceDN w:val="0"/>
        <w:snapToGrid w:val="0"/>
        <w:spacing w:after="120" w:line="276" w:lineRule="auto"/>
        <w:ind w:firstLine="709"/>
        <w:jc w:val="both"/>
        <w:rPr>
          <w:rFonts w:ascii="Verdana" w:eastAsia="Calibri" w:hAnsi="Verdana" w:cs="Arial"/>
          <w:color w:val="000000"/>
          <w:kern w:val="2"/>
          <w:lang w:val="es-ES"/>
          <w14:ligatures w14:val="standardContextual"/>
        </w:rPr>
      </w:pPr>
      <w:r w:rsidRPr="003D7CBB">
        <w:rPr>
          <w:rFonts w:ascii="Verdana" w:eastAsia="Calibri" w:hAnsi="Verdana" w:cs="Arial"/>
          <w:color w:val="000000"/>
          <w:kern w:val="2"/>
          <w:lang w:val="es-ES"/>
          <w14:ligatures w14:val="standardContextual"/>
        </w:rPr>
        <w:t xml:space="preserve">Por su parte, el Decreto 1443 de 2014, compilado posteriormente en el capítulo 6 del Decreto 1072 de 2015, “por medio del cual se expidió el Decreto Reglamentario del Sector Trabajo”, definió las directrices para la implementación del SG-SST. En particular, el artículo 2.2.4.6.4. del Decreto 1072 de 2015 dispuso que </w:t>
      </w:r>
      <w:bookmarkStart w:id="3" w:name="_Hlk182775658"/>
      <w:r w:rsidRPr="003D7CBB">
        <w:rPr>
          <w:rFonts w:ascii="Verdana" w:eastAsia="Calibri" w:hAnsi="Verdana" w:cs="Arial"/>
          <w:color w:val="000000"/>
          <w:kern w:val="2"/>
          <w:lang w:val="es-ES"/>
          <w14:ligatures w14:val="standardContextual"/>
        </w:rPr>
        <w:t xml:space="preserve">el Sistema de Gestión de Seguridad y Salud en el Trabajo </w:t>
      </w:r>
      <w:bookmarkEnd w:id="3"/>
      <w:r w:rsidRPr="003D7CBB">
        <w:rPr>
          <w:rFonts w:ascii="Verdana" w:eastAsia="Calibri" w:hAnsi="Verdana" w:cs="Arial"/>
          <w:color w:val="000000"/>
          <w:kern w:val="2"/>
          <w:lang w:val="es-ES"/>
          <w14:ligatures w14:val="standardContextual"/>
        </w:rPr>
        <w:t xml:space="preserve">debe ser liderado e implementado por el empleador o contratante, con la participación de los trabajadores y/o contratistas. Para ello, el artículo estableció que los empleadores o contratantes, entre los que se encuentran las Entidades Estatales, deben garantizar la implementación, mantenimiento y mejora continua del SG-SST en sus contratistas. </w:t>
      </w:r>
    </w:p>
    <w:p w14:paraId="75566A88" w14:textId="77777777" w:rsidR="003D7CBB" w:rsidRPr="003D7CBB" w:rsidRDefault="003D7CBB" w:rsidP="003D7CBB">
      <w:pPr>
        <w:widowControl w:val="0"/>
        <w:autoSpaceDE w:val="0"/>
        <w:autoSpaceDN w:val="0"/>
        <w:snapToGrid w:val="0"/>
        <w:spacing w:after="120" w:line="276" w:lineRule="auto"/>
        <w:ind w:firstLine="709"/>
        <w:jc w:val="both"/>
        <w:rPr>
          <w:rFonts w:ascii="Verdana" w:eastAsia="Calibri" w:hAnsi="Verdana" w:cs="Arial"/>
          <w:color w:val="000000"/>
          <w:kern w:val="2"/>
          <w:lang w:val="es-ES"/>
          <w14:ligatures w14:val="standardContextual"/>
        </w:rPr>
      </w:pPr>
      <w:r w:rsidRPr="003D7CBB">
        <w:rPr>
          <w:rFonts w:ascii="Verdana" w:eastAsia="Calibri" w:hAnsi="Verdana" w:cs="Arial"/>
          <w:color w:val="000000"/>
          <w:kern w:val="2"/>
          <w:lang w:val="es-ES"/>
          <w14:ligatures w14:val="standardContextual"/>
        </w:rPr>
        <w:t>Para esto,</w:t>
      </w:r>
      <w:r w:rsidRPr="003D7CBB">
        <w:rPr>
          <w:rFonts w:ascii="Aptos" w:eastAsia="Aptos" w:hAnsi="Aptos" w:cs="Times New Roman"/>
          <w:kern w:val="2"/>
          <w:lang w:val="es-ES"/>
          <w14:ligatures w14:val="standardContextual"/>
        </w:rPr>
        <w:t xml:space="preserve"> </w:t>
      </w:r>
      <w:r w:rsidRPr="003D7CBB">
        <w:rPr>
          <w:rFonts w:ascii="Verdana" w:eastAsia="Calibri" w:hAnsi="Verdana" w:cs="Arial"/>
          <w:color w:val="000000"/>
          <w:kern w:val="2"/>
          <w:lang w:val="es-ES"/>
          <w14:ligatures w14:val="standardContextual"/>
        </w:rPr>
        <w:t xml:space="preserve">el parágrafo 1º </w:t>
      </w:r>
      <w:r w:rsidRPr="003D7CBB">
        <w:rPr>
          <w:rFonts w:ascii="Verdana" w:eastAsia="Calibri" w:hAnsi="Verdana" w:cs="Arial"/>
          <w:i/>
          <w:iCs/>
          <w:color w:val="000000"/>
          <w:kern w:val="2"/>
          <w:lang w:val="es-ES"/>
          <w14:ligatures w14:val="standardContextual"/>
        </w:rPr>
        <w:t>ibidem</w:t>
      </w:r>
      <w:r w:rsidRPr="003D7CBB">
        <w:rPr>
          <w:rFonts w:ascii="Verdana" w:eastAsia="Calibri" w:hAnsi="Verdana" w:cs="Arial"/>
          <w:color w:val="000000"/>
          <w:kern w:val="2"/>
          <w:lang w:val="es-ES"/>
          <w14:ligatures w14:val="standardContextual"/>
        </w:rPr>
        <w:t xml:space="preserve"> estableció que el Ministerio del Trabajo, o quien haga sus veces, determinaría de manera progresiva los estándares que hacen parte de los componentes del SG-SST, de conformidad con el desarrollo y avances técnicos y científicos del sector y del país, realizando los ajustes y actualizaciones a que haya lugar. También dispuso que dichos estándares deberán ser implementados por los integrantes del Sistema General de Riesgos </w:t>
      </w:r>
      <w:r w:rsidRPr="003D7CBB">
        <w:rPr>
          <w:rFonts w:ascii="Verdana" w:eastAsia="Calibri" w:hAnsi="Verdana" w:cs="Arial"/>
          <w:color w:val="000000"/>
          <w:kern w:val="2"/>
          <w:lang w:val="es-ES"/>
          <w14:ligatures w14:val="standardContextual"/>
        </w:rPr>
        <w:lastRenderedPageBreak/>
        <w:t>Laborales en las fases y dentro de las fechas que al respecto defina el Ministerio de Trabajo. Por su parte, el parágrafo 2° dispuso que “</w:t>
      </w:r>
      <w:bookmarkStart w:id="4" w:name="_Hlk182833290"/>
      <w:r w:rsidRPr="003D7CBB">
        <w:rPr>
          <w:rFonts w:ascii="Verdana" w:eastAsia="Calibri" w:hAnsi="Verdana" w:cs="Arial"/>
          <w:i/>
          <w:iCs/>
          <w:color w:val="000000"/>
          <w:kern w:val="2"/>
          <w:lang w:val="es-ES"/>
          <w14:ligatures w14:val="standardContextual"/>
        </w:rPr>
        <w:t>Dentro de los parámetros de selección y evaluación de proveedores y contratistas</w:t>
      </w:r>
      <w:bookmarkEnd w:id="4"/>
      <w:r w:rsidRPr="003D7CBB">
        <w:rPr>
          <w:rFonts w:ascii="Verdana" w:eastAsia="Calibri" w:hAnsi="Verdana" w:cs="Arial"/>
          <w:i/>
          <w:iCs/>
          <w:color w:val="000000"/>
          <w:kern w:val="2"/>
          <w:lang w:val="es-ES"/>
          <w14:ligatures w14:val="standardContextual"/>
        </w:rPr>
        <w:t>, el contratante podrá incluir criterios que le permitan conocer que la empresa a contratar cuente con el Sistema de Gestión de la Seguridad y Salud en el Trabajo (SG-SST)</w:t>
      </w:r>
      <w:r w:rsidRPr="003D7CBB">
        <w:rPr>
          <w:rFonts w:ascii="Verdana" w:eastAsia="Calibri" w:hAnsi="Verdana" w:cs="Arial"/>
          <w:color w:val="000000"/>
          <w:kern w:val="2"/>
          <w:lang w:val="es-ES"/>
          <w14:ligatures w14:val="standardContextual"/>
        </w:rPr>
        <w:t>”.</w:t>
      </w:r>
    </w:p>
    <w:p w14:paraId="0F41D227" w14:textId="77777777" w:rsidR="003D7CBB" w:rsidRPr="003D7CBB" w:rsidRDefault="003D7CBB" w:rsidP="003D7CBB">
      <w:pPr>
        <w:snapToGrid w:val="0"/>
        <w:spacing w:after="120" w:line="276" w:lineRule="auto"/>
        <w:ind w:firstLine="709"/>
        <w:jc w:val="both"/>
        <w:rPr>
          <w:rFonts w:ascii="Verdana" w:eastAsia="Calibri" w:hAnsi="Verdana" w:cs="Arial"/>
          <w:kern w:val="2"/>
          <w:lang w:val="es-ES"/>
          <w14:ligatures w14:val="standardContextual"/>
        </w:rPr>
      </w:pPr>
      <w:r w:rsidRPr="003D7CBB">
        <w:rPr>
          <w:rFonts w:ascii="Verdana" w:eastAsia="Calibri" w:hAnsi="Verdana" w:cs="Arial"/>
          <w:kern w:val="2"/>
          <w:lang w:val="es-ES"/>
          <w14:ligatures w14:val="standardContextual"/>
        </w:rPr>
        <w:t xml:space="preserve">Con base en dicho marco normativo, el Ministerio del Trabajo expidió la Resolución 312 del 13 de febrero de 2019, mediante la cual se definió los estándares mínimos del SG-SST. En los artículos 14 y 19, la Resolución dispuso los parámetros de selección y evaluación de proveedores y contratistas que pueden incluir los contratantes en sus procesos de selección, lo cual incluye los procesos de contratación que adelanten las Entidades Estatales. </w:t>
      </w:r>
    </w:p>
    <w:p w14:paraId="6B27E7A0" w14:textId="77777777" w:rsidR="003D7CBB" w:rsidRPr="003D7CBB" w:rsidRDefault="003D7CBB" w:rsidP="003D7CBB">
      <w:pPr>
        <w:widowControl w:val="0"/>
        <w:autoSpaceDE w:val="0"/>
        <w:autoSpaceDN w:val="0"/>
        <w:snapToGrid w:val="0"/>
        <w:spacing w:after="120" w:line="276" w:lineRule="auto"/>
        <w:ind w:firstLine="709"/>
        <w:jc w:val="both"/>
        <w:rPr>
          <w:rFonts w:ascii="Verdana" w:eastAsia="Calibri" w:hAnsi="Verdana" w:cs="Arial"/>
          <w:kern w:val="2"/>
          <w:lang w:val="es-ES"/>
          <w14:ligatures w14:val="standardContextual"/>
        </w:rPr>
      </w:pPr>
      <w:r w:rsidRPr="003D7CBB">
        <w:rPr>
          <w:rFonts w:ascii="Verdana" w:eastAsia="Calibri" w:hAnsi="Verdana" w:cs="Arial"/>
          <w:color w:val="000000"/>
          <w:kern w:val="2"/>
          <w:lang w:val="es-ES"/>
          <w14:ligatures w14:val="standardContextual"/>
        </w:rPr>
        <w:t>Al respecto, es pertinente indicar que el Consejo de Estado en sentencia del 18 de noviembre de 2024 señ</w:t>
      </w:r>
      <w:r w:rsidRPr="003D7CBB">
        <w:rPr>
          <w:rFonts w:ascii="Verdana" w:eastAsia="Calibri" w:hAnsi="Verdana" w:cs="Arial"/>
          <w:kern w:val="2"/>
          <w:lang w:val="es-ES"/>
          <w14:ligatures w14:val="standardContextual"/>
        </w:rPr>
        <w:t xml:space="preserve">aló que “En términos generales, la Resolución </w:t>
      </w:r>
      <w:bookmarkStart w:id="5" w:name="_Hlk186491639"/>
      <w:r w:rsidRPr="003D7CBB">
        <w:rPr>
          <w:rFonts w:ascii="Verdana" w:eastAsia="Calibri" w:hAnsi="Verdana" w:cs="Arial"/>
          <w:kern w:val="2"/>
          <w:lang w:val="es-ES"/>
          <w14:ligatures w14:val="standardContextual"/>
        </w:rPr>
        <w:t xml:space="preserve">312 de 2019 </w:t>
      </w:r>
      <w:bookmarkEnd w:id="5"/>
      <w:r w:rsidRPr="003D7CBB">
        <w:rPr>
          <w:rFonts w:ascii="Verdana" w:eastAsia="Calibri" w:hAnsi="Verdana" w:cs="Arial"/>
          <w:kern w:val="2"/>
          <w:lang w:val="es-ES"/>
          <w14:ligatures w14:val="standardContextual"/>
        </w:rPr>
        <w:t xml:space="preserve">establece la obligación para las empresas de contar con </w:t>
      </w:r>
      <w:bookmarkStart w:id="6" w:name="_Hlk186491484"/>
      <w:r w:rsidRPr="003D7CBB">
        <w:rPr>
          <w:rFonts w:ascii="Verdana" w:eastAsia="Calibri" w:hAnsi="Verdana" w:cs="Arial"/>
          <w:kern w:val="2"/>
          <w:lang w:val="es-ES"/>
          <w14:ligatures w14:val="standardContextual"/>
        </w:rPr>
        <w:t>un Sistema de Gestión de la Seguridad y Salud en el Trabajo -SG-SST</w:t>
      </w:r>
      <w:bookmarkEnd w:id="6"/>
      <w:r w:rsidRPr="003D7CBB">
        <w:rPr>
          <w:rFonts w:ascii="Verdana" w:eastAsia="Calibri" w:hAnsi="Verdana" w:cs="Arial"/>
          <w:kern w:val="2"/>
          <w:lang w:val="es-ES"/>
          <w14:ligatures w14:val="standardContextual"/>
        </w:rPr>
        <w:t xml:space="preserve">- dirigido a anticipar, reconocer, evaluar y controlar los riesgos que puedan afectar la seguridad y la salud en el ejercicio laboral. Sin embargo, </w:t>
      </w:r>
      <w:r w:rsidRPr="003D7CBB">
        <w:rPr>
          <w:rFonts w:ascii="Verdana" w:eastAsia="Calibri" w:hAnsi="Verdana" w:cs="Arial"/>
          <w:i/>
          <w:iCs/>
          <w:kern w:val="2"/>
          <w:lang w:val="es-ES"/>
          <w14:ligatures w14:val="standardContextual"/>
        </w:rPr>
        <w:t>en ninguna de sus disposiciones se consagra que el certificado previsto en su artículo deba ser considerado como un requisito insoslayable para dotar de juridicidad un procedimiento de selección en la contratación pública o privada</w:t>
      </w:r>
      <w:r w:rsidRPr="003D7CBB">
        <w:rPr>
          <w:rFonts w:ascii="Verdana" w:eastAsia="Calibri" w:hAnsi="Verdana" w:cs="Arial"/>
          <w:i/>
          <w:iCs/>
          <w:kern w:val="2"/>
          <w:vertAlign w:val="superscript"/>
          <w:lang w:val="es-ES"/>
          <w14:ligatures w14:val="standardContextual"/>
        </w:rPr>
        <w:footnoteReference w:id="8"/>
      </w:r>
      <w:r w:rsidRPr="003D7CBB">
        <w:rPr>
          <w:rFonts w:ascii="Verdana" w:eastAsia="Calibri" w:hAnsi="Verdana" w:cs="Arial"/>
          <w:kern w:val="2"/>
          <w:lang w:val="es-ES"/>
          <w14:ligatures w14:val="standardContextual"/>
        </w:rPr>
        <w:t>”. [Énfasis por fuera de texto]</w:t>
      </w:r>
    </w:p>
    <w:p w14:paraId="74EDCD92" w14:textId="77777777" w:rsidR="003D7CBB" w:rsidRPr="003D7CBB" w:rsidRDefault="003D7CBB" w:rsidP="003D7CBB">
      <w:pPr>
        <w:widowControl w:val="0"/>
        <w:autoSpaceDE w:val="0"/>
        <w:autoSpaceDN w:val="0"/>
        <w:snapToGrid w:val="0"/>
        <w:spacing w:after="120" w:line="276" w:lineRule="auto"/>
        <w:ind w:firstLine="709"/>
        <w:jc w:val="both"/>
        <w:rPr>
          <w:rFonts w:ascii="Verdana" w:eastAsia="Calibri" w:hAnsi="Verdana" w:cs="Arial"/>
          <w:kern w:val="2"/>
          <w:lang w:val="es-ES"/>
          <w14:ligatures w14:val="standardContextual"/>
        </w:rPr>
      </w:pPr>
      <w:r w:rsidRPr="003D7CBB">
        <w:rPr>
          <w:rFonts w:ascii="Verdana" w:eastAsia="Calibri" w:hAnsi="Verdana" w:cs="Arial"/>
          <w:kern w:val="2"/>
          <w:lang w:val="es-ES"/>
          <w14:ligatures w14:val="standardContextual"/>
        </w:rPr>
        <w:t xml:space="preserve">La anterior no quiere decir que, durante la ejecución del contrato estatal, la entidad no pueda y deba supervisar el cumplimiento de unos estándares mínimos que exige la ley sobre la implementación del Sistema de Gestión de la Seguridad y Salud en el Trabajo, discriminados en la Resolución 0312 del 13 de febrero de 2019. En efecto, los artículos 3, 9, 16 y 20 de esa resolución establecen exigencias mínimas que deberán cumplir las empresas, empleadores y contratantes a los que se refiere el artículo 2 de dicho acto administrativo. Por su parte, el artículo 2.2.4.6.28 del Decreto 1072 de 2015 contempló, en materia de contratación, el deber en cabeza del empleador de adoptar y mantener las disposiciones que garanticen el cumplimiento de las normas de seguridad y salud en el trabajo de su empresa, por parte de los proveedores, trabajadores dependientes, trabajadores cooperados, trabajadores en misión, contratistas y sus trabajadores o subcontratistas, durante el desempeño de las actividades del </w:t>
      </w:r>
      <w:r w:rsidRPr="003D7CBB">
        <w:rPr>
          <w:rFonts w:ascii="Verdana" w:eastAsia="Calibri" w:hAnsi="Verdana" w:cs="Arial"/>
          <w:kern w:val="2"/>
          <w:lang w:val="es-ES"/>
          <w14:ligatures w14:val="standardContextual"/>
        </w:rPr>
        <w:lastRenderedPageBreak/>
        <w:t>objeto del contrato, es decir, durante la supervisión del contrato.</w:t>
      </w:r>
    </w:p>
    <w:p w14:paraId="61F46255" w14:textId="77777777" w:rsidR="003D7CBB" w:rsidRPr="003D7CBB" w:rsidRDefault="003D7CBB" w:rsidP="003D7CBB">
      <w:pPr>
        <w:snapToGrid w:val="0"/>
        <w:spacing w:after="120" w:line="276" w:lineRule="auto"/>
        <w:ind w:firstLine="709"/>
        <w:jc w:val="both"/>
        <w:rPr>
          <w:rFonts w:ascii="Verdana" w:eastAsia="Calibri" w:hAnsi="Verdana" w:cs="Arial"/>
          <w:kern w:val="2"/>
          <w:lang w:val="es-ES"/>
          <w14:ligatures w14:val="standardContextual"/>
        </w:rPr>
      </w:pPr>
      <w:r w:rsidRPr="003D7CBB">
        <w:rPr>
          <w:rFonts w:ascii="Verdana" w:eastAsia="Calibri" w:hAnsi="Verdana" w:cs="Arial"/>
          <w:kern w:val="2"/>
          <w:lang w:val="es-ES"/>
          <w14:ligatures w14:val="standardContextual"/>
        </w:rPr>
        <w:t xml:space="preserve">De este modo, el seguimiento de la ejecución del contrato para la dirección, control y vigilancia del correcto cumplimiento del objeto es un deber legal que permite a las entidades estatales tomar medidas orientadas a la satisfacción de los fines de la contratación, dentro de las cuales se encuentra el cumplimiento del ordenamiento jurídico vigente, por lo que las normas técnicas que se encuentran reguladas en la Resolución 0312 de 2019 constituyen estándares mínimos que deberán ser supervisados durante la ejecución del contrato estatal por tratarse de exigencias de rango legal. </w:t>
      </w:r>
    </w:p>
    <w:p w14:paraId="776D404D" w14:textId="77777777" w:rsidR="003D7CBB" w:rsidRDefault="003D7CBB" w:rsidP="00833901">
      <w:pPr>
        <w:snapToGrid w:val="0"/>
        <w:spacing w:after="120" w:line="276" w:lineRule="auto"/>
        <w:ind w:firstLine="709"/>
        <w:jc w:val="both"/>
        <w:rPr>
          <w:rFonts w:ascii="Verdana" w:eastAsia="Calibri" w:hAnsi="Verdana" w:cs="Arial"/>
          <w:kern w:val="2"/>
          <w:lang w:val="es-ES"/>
          <w14:ligatures w14:val="standardContextual"/>
        </w:rPr>
      </w:pPr>
      <w:r w:rsidRPr="003D7CBB">
        <w:rPr>
          <w:rFonts w:ascii="Verdana" w:eastAsia="Calibri" w:hAnsi="Verdana" w:cs="Arial"/>
          <w:kern w:val="2"/>
          <w:lang w:val="es-ES"/>
          <w14:ligatures w14:val="standardContextual"/>
        </w:rPr>
        <w:t>En ese orden, aun cuando conforme a la regla de inalterabilidad no es posible incluir requisitos habilitantes distintos o adicionales a aquellos contenidos en los documentos tipo, dicha prohibición no exime a los contratistas de cumplir con el marco normativo vigente que les sea aplicable, lo cual involucra, entre otras cosas, las disposiciones aquí vistas relacionadas con el Sistema de Gestión de Seguridad y Salud en el Trabajo.</w:t>
      </w:r>
    </w:p>
    <w:p w14:paraId="0D83AD0D" w14:textId="289D7C90" w:rsidR="00833901" w:rsidRPr="003D7CBB" w:rsidRDefault="00833901" w:rsidP="003D7CBB">
      <w:pPr>
        <w:snapToGrid w:val="0"/>
        <w:spacing w:after="0" w:line="276" w:lineRule="auto"/>
        <w:ind w:firstLine="709"/>
        <w:jc w:val="both"/>
        <w:rPr>
          <w:rFonts w:ascii="Verdana" w:eastAsia="Calibri" w:hAnsi="Verdana" w:cs="Arial"/>
          <w:kern w:val="2"/>
          <w:lang w:val="es-ES"/>
          <w14:ligatures w14:val="standardContextual"/>
        </w:rPr>
      </w:pPr>
      <w:r>
        <w:rPr>
          <w:rFonts w:ascii="Verdana" w:eastAsia="Calibri" w:hAnsi="Verdana" w:cs="Arial"/>
          <w:lang w:val="es-ES"/>
        </w:rPr>
        <w:t>Además, en el marco de su autonomía, las entidades contratantes pueden incluir este tipo de obligaciones relacionadas con el SG-SST dentro de las obligaciones del contrato. Lo anterior, en virtud de la posibilidad que tienen las entidades de establecer las obligaciones que considere convenientes en el “Anexo – Minuta del Contrato”, de acuerdo con la naturaleza y objeto del contrato.</w:t>
      </w:r>
    </w:p>
    <w:bookmarkEnd w:id="1"/>
    <w:p w14:paraId="3548B99E" w14:textId="77777777" w:rsidR="003D7CBB" w:rsidRPr="003D7CBB" w:rsidRDefault="003D7CBB" w:rsidP="003D7CBB">
      <w:pPr>
        <w:tabs>
          <w:tab w:val="left" w:pos="142"/>
          <w:tab w:val="left" w:pos="284"/>
        </w:tabs>
        <w:spacing w:after="0" w:line="276" w:lineRule="auto"/>
        <w:jc w:val="both"/>
        <w:rPr>
          <w:rFonts w:ascii="Verdana" w:eastAsia="Century Gothic" w:hAnsi="Verdana" w:cs="Century Gothic"/>
          <w:lang w:val="es-ES_tradnl"/>
        </w:rPr>
      </w:pPr>
    </w:p>
    <w:p w14:paraId="4205AEC0" w14:textId="77777777" w:rsidR="003D7CBB" w:rsidRPr="003D7CBB" w:rsidRDefault="003D7CBB" w:rsidP="003D7CBB">
      <w:pPr>
        <w:tabs>
          <w:tab w:val="left" w:pos="142"/>
          <w:tab w:val="left" w:pos="284"/>
        </w:tabs>
        <w:spacing w:after="0" w:line="276" w:lineRule="auto"/>
        <w:jc w:val="both"/>
        <w:rPr>
          <w:rFonts w:ascii="Verdana" w:eastAsia="Century Gothic" w:hAnsi="Verdana" w:cs="Century Gothic"/>
          <w:b/>
          <w:bCs/>
          <w:lang w:val="es-ES_tradnl"/>
        </w:rPr>
      </w:pPr>
      <w:r w:rsidRPr="003D7CBB">
        <w:rPr>
          <w:rFonts w:ascii="Verdana" w:eastAsia="Century Gothic" w:hAnsi="Verdana" w:cs="Century Gothic"/>
          <w:b/>
          <w:bCs/>
          <w:lang w:val="es-ES_tradnl"/>
        </w:rPr>
        <w:t>4. Referencias normativas, jurisprudenciales y otras fuentes:</w:t>
      </w:r>
    </w:p>
    <w:p w14:paraId="6F0DD91C" w14:textId="77777777" w:rsidR="003D7CBB" w:rsidRPr="003D7CBB" w:rsidRDefault="003D7CBB" w:rsidP="003D7CBB">
      <w:pPr>
        <w:spacing w:after="0"/>
        <w:ind w:left="-15840"/>
        <w:jc w:val="both"/>
        <w:rPr>
          <w:rFonts w:ascii="Verdana" w:eastAsia="Calibri" w:hAnsi="Verdana" w:cs="Arial"/>
          <w:b/>
          <w:bCs/>
        </w:rPr>
      </w:pPr>
      <w:r w:rsidRPr="003D7CBB">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3D7CBB" w:rsidRPr="003D7CBB" w14:paraId="41F67B5C" w14:textId="77777777" w:rsidTr="00B16EA6">
        <w:trPr>
          <w:trHeight w:val="870"/>
        </w:trPr>
        <w:tc>
          <w:tcPr>
            <w:tcW w:w="8647" w:type="dxa"/>
            <w:tcBorders>
              <w:top w:val="dotted" w:sz="4" w:space="0" w:color="auto"/>
              <w:left w:val="dotted" w:sz="4" w:space="0" w:color="auto"/>
              <w:bottom w:val="dotted" w:sz="4" w:space="0" w:color="auto"/>
              <w:right w:val="dotted" w:sz="4" w:space="0" w:color="auto"/>
            </w:tcBorders>
          </w:tcPr>
          <w:p w14:paraId="014EED74" w14:textId="77777777" w:rsidR="003D7CBB" w:rsidRPr="003D7CBB" w:rsidRDefault="003D7CBB" w:rsidP="003D7CBB">
            <w:pPr>
              <w:widowControl w:val="0"/>
              <w:numPr>
                <w:ilvl w:val="0"/>
                <w:numId w:val="16"/>
              </w:numPr>
              <w:autoSpaceDE w:val="0"/>
              <w:autoSpaceDN w:val="0"/>
              <w:snapToGrid w:val="0"/>
              <w:spacing w:after="120" w:line="276" w:lineRule="auto"/>
              <w:jc w:val="both"/>
              <w:rPr>
                <w:rFonts w:ascii="Verdana" w:eastAsia="Aptos" w:hAnsi="Verdana" w:cs="Arial"/>
              </w:rPr>
            </w:pPr>
            <w:r w:rsidRPr="003D7CBB">
              <w:rPr>
                <w:rFonts w:ascii="Verdana" w:eastAsia="Aptos" w:hAnsi="Verdana" w:cs="Arial"/>
              </w:rPr>
              <w:t>Ley 80 de 1993, artículo 25.</w:t>
            </w:r>
          </w:p>
          <w:p w14:paraId="4BF82C5E" w14:textId="77777777" w:rsidR="003D7CBB" w:rsidRPr="003D7CBB" w:rsidRDefault="003D7CBB" w:rsidP="003D7CBB">
            <w:pPr>
              <w:widowControl w:val="0"/>
              <w:numPr>
                <w:ilvl w:val="0"/>
                <w:numId w:val="16"/>
              </w:numPr>
              <w:autoSpaceDE w:val="0"/>
              <w:autoSpaceDN w:val="0"/>
              <w:snapToGrid w:val="0"/>
              <w:spacing w:after="120" w:line="276" w:lineRule="auto"/>
              <w:jc w:val="both"/>
              <w:rPr>
                <w:rFonts w:ascii="Verdana" w:eastAsia="Calibri" w:hAnsi="Verdana" w:cs="Arial"/>
                <w:lang w:val="es-ES_tradnl"/>
              </w:rPr>
            </w:pPr>
            <w:r w:rsidRPr="003D7CBB">
              <w:rPr>
                <w:rFonts w:ascii="Verdana" w:eastAsia="Calibri" w:hAnsi="Verdana" w:cs="Arial"/>
                <w:lang w:val="es-ES_tradnl"/>
              </w:rPr>
              <w:t xml:space="preserve">Ley 2022 de 2020, artículo 1. </w:t>
            </w:r>
          </w:p>
          <w:p w14:paraId="0ACAF8F4" w14:textId="77777777" w:rsidR="003D7CBB" w:rsidRPr="003D7CBB" w:rsidRDefault="003D7CBB" w:rsidP="003D7CBB">
            <w:pPr>
              <w:widowControl w:val="0"/>
              <w:numPr>
                <w:ilvl w:val="0"/>
                <w:numId w:val="16"/>
              </w:numPr>
              <w:autoSpaceDE w:val="0"/>
              <w:autoSpaceDN w:val="0"/>
              <w:snapToGrid w:val="0"/>
              <w:spacing w:after="120" w:line="276" w:lineRule="auto"/>
              <w:jc w:val="both"/>
              <w:rPr>
                <w:rFonts w:ascii="Verdana" w:eastAsia="Calibri" w:hAnsi="Verdana" w:cs="Arial"/>
              </w:rPr>
            </w:pPr>
            <w:r w:rsidRPr="003D7CBB">
              <w:rPr>
                <w:rFonts w:ascii="Verdana" w:eastAsia="Aptos" w:hAnsi="Verdana" w:cs="Arial"/>
              </w:rPr>
              <w:t>Decreto Ley 4170 de 2011, artículos 3 y 11.</w:t>
            </w:r>
          </w:p>
          <w:p w14:paraId="27BD6FAD" w14:textId="77777777" w:rsidR="003D7CBB" w:rsidRPr="003D7CBB" w:rsidRDefault="003D7CBB" w:rsidP="003D7CBB">
            <w:pPr>
              <w:widowControl w:val="0"/>
              <w:numPr>
                <w:ilvl w:val="0"/>
                <w:numId w:val="16"/>
              </w:numPr>
              <w:autoSpaceDE w:val="0"/>
              <w:autoSpaceDN w:val="0"/>
              <w:snapToGrid w:val="0"/>
              <w:spacing w:after="120" w:line="276" w:lineRule="auto"/>
              <w:jc w:val="both"/>
              <w:rPr>
                <w:rFonts w:ascii="Verdana" w:eastAsia="Calibri" w:hAnsi="Verdana" w:cs="Arial"/>
                <w:lang w:val="es-ES_tradnl"/>
              </w:rPr>
            </w:pPr>
            <w:r w:rsidRPr="003D7CBB">
              <w:rPr>
                <w:rFonts w:ascii="Verdana" w:eastAsia="Calibri" w:hAnsi="Verdana" w:cs="Arial"/>
                <w:lang w:val="es-ES_tradnl"/>
              </w:rPr>
              <w:t>Decreto 1082 de 2015, artículos 2.2.1.2.6.1.4, 2.2.1.2.6.2.3 y 2.2.1.2.6.3.</w:t>
            </w:r>
          </w:p>
          <w:p w14:paraId="2971FAD1" w14:textId="77777777" w:rsidR="003D7CBB" w:rsidRPr="003D7CBB" w:rsidRDefault="003D7CBB" w:rsidP="003D7CBB">
            <w:pPr>
              <w:widowControl w:val="0"/>
              <w:numPr>
                <w:ilvl w:val="0"/>
                <w:numId w:val="16"/>
              </w:numPr>
              <w:autoSpaceDE w:val="0"/>
              <w:autoSpaceDN w:val="0"/>
              <w:snapToGrid w:val="0"/>
              <w:spacing w:after="120" w:line="276" w:lineRule="auto"/>
              <w:jc w:val="both"/>
              <w:rPr>
                <w:rFonts w:ascii="Verdana" w:eastAsia="Aptos" w:hAnsi="Verdana" w:cs="Arial"/>
                <w:lang w:val="es-ES_tradnl"/>
              </w:rPr>
            </w:pPr>
            <w:r w:rsidRPr="003D7CBB">
              <w:rPr>
                <w:rFonts w:ascii="Verdana" w:eastAsia="Aptos" w:hAnsi="Verdana" w:cs="Arial"/>
                <w:lang w:val="es-ES_tradnl"/>
              </w:rPr>
              <w:t>Ley 1562 de 2012, artículo 1</w:t>
            </w:r>
          </w:p>
          <w:p w14:paraId="14AFFBE5" w14:textId="77777777" w:rsidR="003D7CBB" w:rsidRPr="003D7CBB" w:rsidRDefault="003D7CBB" w:rsidP="003D7CBB">
            <w:pPr>
              <w:widowControl w:val="0"/>
              <w:numPr>
                <w:ilvl w:val="0"/>
                <w:numId w:val="16"/>
              </w:numPr>
              <w:autoSpaceDE w:val="0"/>
              <w:autoSpaceDN w:val="0"/>
              <w:snapToGrid w:val="0"/>
              <w:spacing w:after="120" w:line="276" w:lineRule="auto"/>
              <w:jc w:val="both"/>
              <w:rPr>
                <w:rFonts w:ascii="Verdana" w:eastAsia="Aptos" w:hAnsi="Verdana" w:cs="Arial"/>
                <w:lang w:val="es-ES_tradnl"/>
              </w:rPr>
            </w:pPr>
            <w:r w:rsidRPr="003D7CBB">
              <w:rPr>
                <w:rFonts w:ascii="Verdana" w:eastAsia="Aptos" w:hAnsi="Verdana" w:cs="Arial"/>
                <w:lang w:val="es-ES_tradnl"/>
              </w:rPr>
              <w:t>Decreto 1072 de 2015: artículos 2.2.4.6.4 y 2.2.4.6.28</w:t>
            </w:r>
          </w:p>
          <w:p w14:paraId="3E5F3D1C" w14:textId="77777777" w:rsidR="003D7CBB" w:rsidRPr="003D7CBB" w:rsidRDefault="003D7CBB" w:rsidP="003D7CBB">
            <w:pPr>
              <w:widowControl w:val="0"/>
              <w:numPr>
                <w:ilvl w:val="0"/>
                <w:numId w:val="16"/>
              </w:numPr>
              <w:autoSpaceDE w:val="0"/>
              <w:autoSpaceDN w:val="0"/>
              <w:snapToGrid w:val="0"/>
              <w:spacing w:after="120" w:line="276" w:lineRule="auto"/>
              <w:jc w:val="both"/>
              <w:rPr>
                <w:rFonts w:ascii="Verdana" w:eastAsia="Aptos" w:hAnsi="Verdana" w:cs="Arial"/>
              </w:rPr>
            </w:pPr>
            <w:r w:rsidRPr="003D7CBB">
              <w:rPr>
                <w:rFonts w:ascii="Verdana" w:eastAsia="Aptos" w:hAnsi="Verdana" w:cs="Arial"/>
                <w:lang w:val="es-ES_tradnl"/>
              </w:rPr>
              <w:t>Resolución 312 del 13 de febrero de 2019 del Ministerio del Trabajo.</w:t>
            </w:r>
          </w:p>
          <w:p w14:paraId="66B8287F" w14:textId="77777777" w:rsidR="003D7CBB" w:rsidRPr="003D7CBB" w:rsidRDefault="003D7CBB" w:rsidP="003D7CBB">
            <w:pPr>
              <w:widowControl w:val="0"/>
              <w:numPr>
                <w:ilvl w:val="0"/>
                <w:numId w:val="16"/>
              </w:numPr>
              <w:autoSpaceDE w:val="0"/>
              <w:autoSpaceDN w:val="0"/>
              <w:snapToGrid w:val="0"/>
              <w:spacing w:after="120" w:line="276" w:lineRule="auto"/>
              <w:jc w:val="both"/>
              <w:rPr>
                <w:rFonts w:ascii="Verdana" w:eastAsia="Calibri" w:hAnsi="Verdana" w:cs="Arial"/>
              </w:rPr>
            </w:pPr>
            <w:r w:rsidRPr="003D7CBB">
              <w:rPr>
                <w:rFonts w:ascii="Verdana" w:eastAsia="Calibri" w:hAnsi="Verdana" w:cs="Arial"/>
                <w:lang w:val="es-ES_tradnl"/>
              </w:rPr>
              <w:lastRenderedPageBreak/>
              <w:t xml:space="preserve">Documentos Tipo. Disponibles en: </w:t>
            </w:r>
            <w:hyperlink r:id="rId11" w:history="1">
              <w:r w:rsidRPr="003D7CBB">
                <w:rPr>
                  <w:rFonts w:ascii="Verdana" w:eastAsia="Calibri" w:hAnsi="Verdana" w:cs="Arial"/>
                  <w:color w:val="0000FF"/>
                  <w:u w:val="single"/>
                  <w:lang w:val="es-ES_tradnl"/>
                </w:rPr>
                <w:t>https://www.colombiacompra.gov.co/documentos-tipo/documentos-tipo</w:t>
              </w:r>
            </w:hyperlink>
            <w:r w:rsidRPr="003D7CBB">
              <w:rPr>
                <w:rFonts w:ascii="Verdana" w:eastAsia="Calibri" w:hAnsi="Verdana" w:cs="Arial"/>
                <w:lang w:val="es-ES_tradnl"/>
              </w:rPr>
              <w:t>.</w:t>
            </w:r>
          </w:p>
        </w:tc>
      </w:tr>
    </w:tbl>
    <w:p w14:paraId="27E74F7E" w14:textId="77777777" w:rsidR="003D7CBB" w:rsidRPr="003D7CBB" w:rsidRDefault="003D7CBB" w:rsidP="003D7CBB">
      <w:pPr>
        <w:tabs>
          <w:tab w:val="left" w:pos="142"/>
          <w:tab w:val="left" w:pos="284"/>
        </w:tabs>
        <w:spacing w:after="0" w:line="276" w:lineRule="auto"/>
        <w:jc w:val="both"/>
        <w:rPr>
          <w:rFonts w:ascii="Verdana" w:eastAsia="Calibri" w:hAnsi="Verdana" w:cs="Arial"/>
        </w:rPr>
      </w:pPr>
    </w:p>
    <w:p w14:paraId="6FE14ACB" w14:textId="77777777" w:rsidR="003D7CBB" w:rsidRPr="003D7CBB" w:rsidRDefault="003D7CBB" w:rsidP="003D7CBB">
      <w:pPr>
        <w:tabs>
          <w:tab w:val="left" w:pos="142"/>
          <w:tab w:val="left" w:pos="284"/>
        </w:tabs>
        <w:spacing w:after="0" w:line="276" w:lineRule="auto"/>
        <w:jc w:val="both"/>
        <w:rPr>
          <w:rFonts w:ascii="Verdana" w:eastAsia="Century Gothic" w:hAnsi="Verdana" w:cs="Century Gothic"/>
          <w:b/>
          <w:bCs/>
          <w:lang w:val="es-ES"/>
        </w:rPr>
      </w:pPr>
      <w:r w:rsidRPr="003D7CBB">
        <w:rPr>
          <w:rFonts w:ascii="Verdana" w:eastAsia="Calibri" w:hAnsi="Verdana" w:cs="Arial"/>
          <w:b/>
          <w:bCs/>
        </w:rPr>
        <w:t xml:space="preserve">5. </w:t>
      </w:r>
      <w:r w:rsidRPr="003D7CBB">
        <w:rPr>
          <w:rFonts w:ascii="Verdana" w:eastAsia="Century Gothic" w:hAnsi="Verdana" w:cs="Century Gothic"/>
          <w:b/>
          <w:bCs/>
          <w:lang w:val="es-ES"/>
        </w:rPr>
        <w:t>Doctrina de la Agencia Nacional de Contratación Pública:</w:t>
      </w:r>
    </w:p>
    <w:p w14:paraId="30FF4C87" w14:textId="77777777" w:rsidR="003D7CBB" w:rsidRPr="003D7CBB" w:rsidRDefault="003D7CBB" w:rsidP="003D7CBB">
      <w:pPr>
        <w:widowControl w:val="0"/>
        <w:autoSpaceDE w:val="0"/>
        <w:autoSpaceDN w:val="0"/>
        <w:spacing w:after="0" w:line="276" w:lineRule="auto"/>
        <w:jc w:val="both"/>
        <w:rPr>
          <w:rFonts w:ascii="Verdana" w:eastAsia="Calibri" w:hAnsi="Verdana" w:cs="Arial"/>
        </w:rPr>
      </w:pPr>
    </w:p>
    <w:p w14:paraId="4D279768" w14:textId="77777777" w:rsidR="003D7CBB" w:rsidRPr="003D7CBB" w:rsidRDefault="003D7CBB" w:rsidP="003D7CBB">
      <w:pPr>
        <w:widowControl w:val="0"/>
        <w:autoSpaceDE w:val="0"/>
        <w:autoSpaceDN w:val="0"/>
        <w:spacing w:after="0" w:line="276" w:lineRule="auto"/>
        <w:jc w:val="both"/>
        <w:rPr>
          <w:rFonts w:ascii="Verdana" w:eastAsia="Times New Roman" w:hAnsi="Verdana" w:cs="Arial"/>
          <w:kern w:val="2"/>
          <w:shd w:val="clear" w:color="auto" w:fill="FFFFFF"/>
          <w:lang w:val="es-ES"/>
          <w14:ligatures w14:val="standardContextual"/>
        </w:rPr>
      </w:pPr>
      <w:r w:rsidRPr="003D7CBB">
        <w:rPr>
          <w:rFonts w:ascii="Verdana" w:eastAsia="Calibri" w:hAnsi="Verdana" w:cs="Arial"/>
          <w:kern w:val="2"/>
          <w:shd w:val="clear" w:color="auto" w:fill="FFFFFF"/>
          <w14:ligatures w14:val="standardContextual"/>
        </w:rPr>
        <w:t>L</w:t>
      </w:r>
      <w:r w:rsidRPr="003D7CBB">
        <w:rPr>
          <w:rFonts w:ascii="Verdana" w:eastAsia="Calibri" w:hAnsi="Verdana" w:cs="Arial"/>
          <w:kern w:val="2"/>
          <w:shd w:val="clear" w:color="auto" w:fill="FFFFFF"/>
          <w:lang w:val="es-ES"/>
          <w14:ligatures w14:val="standardContextual"/>
        </w:rPr>
        <w:t>a Agencia Nacional de Contratación Pública – Colombia Compra Eficiente, se ha pronunciado sobre la regla de la inalterabilidad de los documentos tipo en los siguiente conceptos: C-058 del 8 de marzo de 2022, C-657 del 11 de octubre de 2022, C-051 del 28 de abril de 2023</w:t>
      </w:r>
      <w:r w:rsidRPr="003D7CBB">
        <w:rPr>
          <w:rFonts w:ascii="Verdana" w:eastAsia="Times New Roman" w:hAnsi="Verdana" w:cs="Arial"/>
          <w:kern w:val="2"/>
          <w:shd w:val="clear" w:color="auto" w:fill="FFFFFF"/>
          <w:lang w:val="es-ES"/>
          <w14:ligatures w14:val="standardContextual"/>
        </w:rPr>
        <w:t xml:space="preserve">, </w:t>
      </w:r>
      <w:r w:rsidRPr="003D7CBB">
        <w:rPr>
          <w:rFonts w:ascii="Verdana" w:eastAsia="Calibri" w:hAnsi="Verdana" w:cs="Arial"/>
          <w:kern w:val="2"/>
          <w:shd w:val="clear" w:color="auto" w:fill="FFFFFF"/>
          <w:lang w:val="es-ES"/>
          <w14:ligatures w14:val="standardContextual"/>
        </w:rPr>
        <w:t>C-513 del 7 de octubre de 2024, C-730 del 27 de noviembre de 2024, C-870 del 15 de diciembre de 2024, C-092 del 4 de marzo de 2025, C-110 del 7 de marzo de 2025, C-133 del 10 de marzo de 2025, C-241 del 14 de marzo de 2025, C-283 del 14 de abril de 2025, C-302 del 21 de abril de 2025, C-386 del 22 de abril de 2025, C-322 del 25 de abril de 2025, C-325 del 25 de abril de 2025, C-342 del 25 de abril de 2025, C-365 del 2 de mayo de 2025, C-382 del 6 de mayo de 2025, C497 del 5 de junio de 2025, C-522 del 9 de junio de 2025, C-562 del 19 de junio de 2025, C-582 del 25 de junio de 2025</w:t>
      </w:r>
      <w:r w:rsidRPr="003D7CBB">
        <w:rPr>
          <w:rFonts w:ascii="Verdana" w:eastAsia="Calibri" w:hAnsi="Verdana" w:cs="Arial"/>
          <w:shd w:val="clear" w:color="auto" w:fill="FFFFFF"/>
          <w:lang w:val="es-ES"/>
        </w:rPr>
        <w:t xml:space="preserve">, C-043 del 13 de febrero de 2026, C-246 del 12 de marzo de 2026, C-467 del 21 de abril de 2026, entre otros. A su vez, esta entidad se pronunció sobre el Sistema de Gestión de la Seguridad y Salud del Trabajo y los requisitos habilitantes o de calificación, en los conceptos C-317 del 18 de septiembre de 2023, C-1013 del 31 de diciembre de 2024, C-589 de 2025 y C-900 del 26 de junio de 2026. </w:t>
      </w:r>
    </w:p>
    <w:p w14:paraId="02E84BC0" w14:textId="77777777" w:rsidR="003D7CBB" w:rsidRPr="003D7CBB" w:rsidRDefault="003D7CBB" w:rsidP="003D7CBB">
      <w:pPr>
        <w:widowControl w:val="0"/>
        <w:autoSpaceDE w:val="0"/>
        <w:autoSpaceDN w:val="0"/>
        <w:spacing w:after="0" w:line="276" w:lineRule="auto"/>
        <w:jc w:val="both"/>
        <w:rPr>
          <w:rFonts w:ascii="Verdana" w:eastAsia="Times New Roman" w:hAnsi="Verdana" w:cs="Arial"/>
          <w:shd w:val="clear" w:color="auto" w:fill="FFFFFF"/>
          <w:lang w:val="es-ES"/>
        </w:rPr>
      </w:pPr>
    </w:p>
    <w:p w14:paraId="24AEA57F" w14:textId="77777777" w:rsidR="003D7CBB" w:rsidRPr="003D7CBB" w:rsidRDefault="003D7CBB" w:rsidP="003D7CBB">
      <w:pPr>
        <w:widowControl w:val="0"/>
        <w:autoSpaceDE w:val="0"/>
        <w:autoSpaceDN w:val="0"/>
        <w:spacing w:after="0" w:line="276" w:lineRule="auto"/>
        <w:jc w:val="both"/>
        <w:rPr>
          <w:rFonts w:ascii="Verdana" w:eastAsia="Times New Roman" w:hAnsi="Verdana" w:cs="Arial"/>
          <w:shd w:val="clear" w:color="auto" w:fill="FFFFFF"/>
          <w:lang w:val="es-ES"/>
        </w:rPr>
      </w:pPr>
      <w:r w:rsidRPr="003D7CBB">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2" w:history="1">
        <w:r w:rsidRPr="003D7CBB">
          <w:rPr>
            <w:rFonts w:ascii="Verdana" w:eastAsia="Aptos" w:hAnsi="Verdana" w:cs="Arial"/>
            <w:color w:val="0000FF"/>
            <w:kern w:val="2"/>
            <w:u w:val="single"/>
            <w:shd w:val="clear" w:color="auto" w:fill="FFFFFF"/>
            <w14:ligatures w14:val="standardContextual"/>
          </w:rPr>
          <w:t>https://relatoria.colombiacompra.gov.co/busqueda/conceptos</w:t>
        </w:r>
      </w:hyperlink>
      <w:r w:rsidRPr="003D7CBB">
        <w:rPr>
          <w:rFonts w:ascii="Verdana" w:eastAsia="Aptos" w:hAnsi="Verdana" w:cs="Arial"/>
          <w:kern w:val="2"/>
          <w:shd w:val="clear" w:color="auto" w:fill="FFFFFF"/>
          <w14:ligatures w14:val="standardContextual"/>
        </w:rPr>
        <w:t xml:space="preserve">. </w:t>
      </w:r>
      <w:r w:rsidRPr="003D7CBB">
        <w:rPr>
          <w:rFonts w:ascii="Verdana" w:eastAsia="Aptos" w:hAnsi="Verdana" w:cs="Arial"/>
          <w:color w:val="FF0000"/>
          <w:kern w:val="2"/>
          <w:shd w:val="clear" w:color="auto" w:fill="FFFFFF"/>
          <w:lang w:val="es-ES"/>
          <w14:ligatures w14:val="standardContextual"/>
        </w:rPr>
        <w:t xml:space="preserve">  </w:t>
      </w:r>
    </w:p>
    <w:p w14:paraId="5B0FBB13" w14:textId="77777777" w:rsidR="003D7CBB" w:rsidRPr="003D7CBB" w:rsidRDefault="003D7CBB" w:rsidP="003D7CBB">
      <w:pPr>
        <w:spacing w:after="0" w:line="240" w:lineRule="auto"/>
        <w:jc w:val="both"/>
        <w:rPr>
          <w:rFonts w:ascii="Verdana" w:eastAsia="Calibri" w:hAnsi="Verdana" w:cs="Arial"/>
          <w:color w:val="000000"/>
          <w:shd w:val="clear" w:color="auto" w:fill="FFFFFF"/>
        </w:rPr>
      </w:pPr>
    </w:p>
    <w:p w14:paraId="0588B2C1" w14:textId="77777777" w:rsidR="003D7CBB" w:rsidRPr="003D7CBB" w:rsidRDefault="003D7CBB" w:rsidP="003D7CBB">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3D7CBB">
        <w:rPr>
          <w:rFonts w:ascii="Verdana" w:eastAsia="Calibri" w:hAnsi="Verdana" w:cs="Arial"/>
          <w:kern w:val="2"/>
          <w:shd w:val="clear" w:color="auto" w:fill="FFFFFF"/>
          <w:lang w:val="es-ES_tradnl"/>
          <w14:ligatures w14:val="standardContextual"/>
        </w:rPr>
        <w:t>La</w:t>
      </w:r>
      <w:r w:rsidRPr="003D7CBB">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3D7CBB">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3D7CBB">
        <w:rPr>
          <w:rFonts w:ascii="Verdana" w:eastAsia="Calibri" w:hAnsi="Verdana" w:cs="Arial"/>
          <w:b/>
          <w:bCs/>
          <w:kern w:val="2"/>
          <w:shd w:val="clear" w:color="auto" w:fill="FFFFFF"/>
          <w:lang w:val="es-ES_tradnl"/>
          <w14:ligatures w14:val="standardContextual"/>
        </w:rPr>
        <w:t>Documentos Tipo</w:t>
      </w:r>
      <w:r w:rsidRPr="003D7CBB">
        <w:rPr>
          <w:rFonts w:ascii="Verdana" w:eastAsia="Calibri" w:hAnsi="Verdana" w:cs="Arial"/>
          <w:kern w:val="2"/>
          <w:shd w:val="clear" w:color="auto" w:fill="FFFFFF"/>
          <w:lang w:val="es-ES_tradnl"/>
          <w14:ligatures w14:val="standardContextual"/>
        </w:rPr>
        <w:t xml:space="preserve">. Esta recomendación es válida tanto para su uso obligatorio, cuando así lo establezca la normatividad vigente, como para su implementación como una </w:t>
      </w:r>
      <w:r w:rsidRPr="003D7CBB">
        <w:rPr>
          <w:rFonts w:ascii="Verdana" w:eastAsia="Calibri" w:hAnsi="Verdana" w:cs="Arial"/>
          <w:kern w:val="2"/>
          <w:shd w:val="clear" w:color="auto" w:fill="FFFFFF"/>
          <w:lang w:val="es-ES_tradnl"/>
          <w14:ligatures w14:val="standardContextual"/>
        </w:rPr>
        <w:lastRenderedPageBreak/>
        <w:t>buena práctica. El objetivo es garantizar la </w:t>
      </w:r>
      <w:r w:rsidRPr="003D7CBB">
        <w:rPr>
          <w:rFonts w:ascii="Verdana" w:eastAsia="Calibri" w:hAnsi="Verdana" w:cs="Arial"/>
          <w:b/>
          <w:bCs/>
          <w:kern w:val="2"/>
          <w:shd w:val="clear" w:color="auto" w:fill="FFFFFF"/>
          <w:lang w:val="es-ES_tradnl"/>
          <w14:ligatures w14:val="standardContextual"/>
        </w:rPr>
        <w:t>transparencia</w:t>
      </w:r>
      <w:r w:rsidRPr="003D7CBB">
        <w:rPr>
          <w:rFonts w:ascii="Verdana" w:eastAsia="Calibri" w:hAnsi="Verdana" w:cs="Arial"/>
          <w:kern w:val="2"/>
          <w:shd w:val="clear" w:color="auto" w:fill="FFFFFF"/>
          <w:lang w:val="es-ES_tradnl"/>
          <w14:ligatures w14:val="standardContextual"/>
        </w:rPr>
        <w:t> y promover un proceso de </w:t>
      </w:r>
      <w:r w:rsidRPr="003D7CBB">
        <w:rPr>
          <w:rFonts w:ascii="Verdana" w:eastAsia="Calibri" w:hAnsi="Verdana" w:cs="Arial"/>
          <w:b/>
          <w:bCs/>
          <w:kern w:val="2"/>
          <w:shd w:val="clear" w:color="auto" w:fill="FFFFFF"/>
          <w:lang w:val="es-ES_tradnl"/>
          <w14:ligatures w14:val="standardContextual"/>
        </w:rPr>
        <w:t>selección objetiva</w:t>
      </w:r>
      <w:r w:rsidRPr="003D7CBB">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683E4A56" w14:textId="77777777" w:rsidR="003D7CBB" w:rsidRPr="003D7CBB" w:rsidRDefault="003D7CBB" w:rsidP="003D7CBB">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38B6B63C" w14:textId="77777777" w:rsidR="003D7CBB" w:rsidRPr="0072564A" w:rsidRDefault="003D7CBB" w:rsidP="003D7CBB">
      <w:pPr>
        <w:spacing w:after="0" w:line="276" w:lineRule="auto"/>
        <w:jc w:val="both"/>
        <w:rPr>
          <w:rFonts w:ascii="Verdana" w:eastAsia="Aptos" w:hAnsi="Verdana" w:cs="Times New Roman"/>
          <w:kern w:val="2"/>
          <w:lang w:val="it-IT"/>
          <w14:ligatures w14:val="standardContextual"/>
        </w:rPr>
      </w:pPr>
      <w:r w:rsidRPr="003D7CBB">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3D7CBB">
        <w:rPr>
          <w:rFonts w:ascii="Verdana" w:eastAsia="Aptos" w:hAnsi="Verdana" w:cs="Times New Roman"/>
          <w:b/>
          <w:bCs/>
          <w:kern w:val="2"/>
          <w14:ligatures w14:val="standardContextual"/>
        </w:rPr>
        <w:t>Guía para la Exigencia y Constitución de Garantías en los Procesos de Contratación</w:t>
      </w:r>
      <w:r w:rsidRPr="003D7CBB">
        <w:rPr>
          <w:rFonts w:ascii="Verdana" w:eastAsia="Aptos" w:hAnsi="Verdana" w:cs="Times New Roman"/>
          <w:kern w:val="2"/>
          <w14:ligatures w14:val="standardContextual"/>
        </w:rPr>
        <w:t xml:space="preserve">,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w:t>
      </w:r>
      <w:proofErr w:type="spellStart"/>
      <w:r w:rsidRPr="0072564A">
        <w:rPr>
          <w:rFonts w:ascii="Verdana" w:eastAsia="Aptos" w:hAnsi="Verdana" w:cs="Times New Roman"/>
          <w:kern w:val="2"/>
          <w:lang w:val="it-IT"/>
          <w14:ligatures w14:val="standardContextual"/>
        </w:rPr>
        <w:t>Consúltela</w:t>
      </w:r>
      <w:proofErr w:type="spellEnd"/>
      <w:r w:rsidRPr="0072564A">
        <w:rPr>
          <w:rFonts w:ascii="Verdana" w:eastAsia="Aptos" w:hAnsi="Verdana" w:cs="Times New Roman"/>
          <w:kern w:val="2"/>
          <w:lang w:val="it-IT"/>
          <w14:ligatures w14:val="standardContextual"/>
        </w:rPr>
        <w:t xml:space="preserve"> aquí: </w:t>
      </w:r>
      <w:hyperlink r:id="rId13" w:tgtFrame="_blank" w:tooltip="Original URL: https://www.colombiacompra.gov.co/archivos/manual/guia-de-garantias-en-procesos-de-contratacion. Click or tap if you trust this link." w:history="1">
        <w:r w:rsidRPr="0072564A">
          <w:rPr>
            <w:rFonts w:ascii="Verdana" w:eastAsia="Aptos" w:hAnsi="Verdana" w:cs="Times New Roman"/>
            <w:color w:val="0000FF"/>
            <w:kern w:val="2"/>
            <w:u w:val="single"/>
            <w:lang w:val="it-IT"/>
            <w14:ligatures w14:val="standardContextual"/>
          </w:rPr>
          <w:t>https://www.colombiacompra.gov.co/archivos/manual/guia-de-garantias-en-procesos-de-contratacion</w:t>
        </w:r>
      </w:hyperlink>
    </w:p>
    <w:p w14:paraId="5479F257" w14:textId="77777777" w:rsidR="003D7CBB" w:rsidRPr="0072564A" w:rsidRDefault="003D7CBB" w:rsidP="003D7CBB">
      <w:pPr>
        <w:spacing w:after="0" w:line="276" w:lineRule="auto"/>
        <w:jc w:val="both"/>
        <w:rPr>
          <w:rFonts w:ascii="Verdana" w:eastAsia="Aptos" w:hAnsi="Verdana" w:cs="Times New Roman"/>
          <w:kern w:val="2"/>
          <w:lang w:val="it-IT"/>
          <w14:ligatures w14:val="standardContextual"/>
        </w:rPr>
      </w:pPr>
    </w:p>
    <w:p w14:paraId="6552C593" w14:textId="77777777" w:rsidR="003D7CBB" w:rsidRPr="0072564A" w:rsidRDefault="003D7CBB" w:rsidP="003D7CBB">
      <w:pPr>
        <w:spacing w:after="0" w:line="276" w:lineRule="auto"/>
        <w:jc w:val="both"/>
        <w:rPr>
          <w:rFonts w:ascii="Verdana" w:eastAsia="Aptos" w:hAnsi="Verdana" w:cs="Times New Roman"/>
          <w:kern w:val="2"/>
          <w:lang w:val="it-IT"/>
          <w14:ligatures w14:val="standardContextual"/>
        </w:rPr>
      </w:pPr>
      <w:r w:rsidRPr="003D7CBB">
        <w:rPr>
          <w:rFonts w:ascii="Verdana" w:eastAsia="Aptos" w:hAnsi="Verdana" w:cs="Times New Roman"/>
          <w:kern w:val="2"/>
          <w14:ligatures w14:val="standardContextual"/>
        </w:rPr>
        <w:t>De otro lado, le contamos que el Decreto 287 del 19 de marzo de 2026 sustituyó los artículos 2.2.1.2.4.2.6., 2.2.1.2.4.2.7. y 2.2.1.2.4.2.8. del Decreto 1082 de 2015 y estructuró el </w:t>
      </w:r>
      <w:r w:rsidRPr="003D7CBB">
        <w:rPr>
          <w:rFonts w:ascii="Verdana" w:eastAsia="Aptos" w:hAnsi="Verdana" w:cs="Times New Roman"/>
          <w:b/>
          <w:bCs/>
          <w:kern w:val="2"/>
          <w14:ligatures w14:val="standardContextual"/>
        </w:rPr>
        <w:t>Sistema Integral de Preferencias en favor de las personas con discapacidad</w:t>
      </w:r>
      <w:r w:rsidRPr="003D7CBB">
        <w:rPr>
          <w:rFonts w:ascii="Verdana" w:eastAsia="Aptos" w:hAnsi="Verdana" w:cs="Times New Roman"/>
          <w:kern w:val="2"/>
          <w14:ligatures w14:val="standardContextual"/>
        </w:rPr>
        <w:t>, en cumplimiento del artículo 13 de la Ley Estatutaria 1618 de 2013. Para orientar su aplicación, esta Agencia expidió la </w:t>
      </w:r>
      <w:r w:rsidRPr="003D7CBB">
        <w:rPr>
          <w:rFonts w:ascii="Verdana" w:eastAsia="Aptos" w:hAnsi="Verdana" w:cs="Times New Roman"/>
          <w:b/>
          <w:bCs/>
          <w:kern w:val="2"/>
          <w14:ligatures w14:val="standardContextual"/>
        </w:rPr>
        <w:t>Circular Externa 003 del 12 de mayo de 2026, </w:t>
      </w:r>
      <w:r w:rsidRPr="003D7CBB">
        <w:rPr>
          <w:rFonts w:ascii="Verdana" w:eastAsia="Aptos" w:hAnsi="Verdana" w:cs="Times New Roman"/>
          <w:kern w:val="2"/>
          <w14:ligatures w14:val="standardContextual"/>
        </w:rPr>
        <w:t xml:space="preserve">en la que precisa quiénes son los beneficiarios, las cinco medidas que integran el sistema y su obligatoriedad según la modalidad de selección, y el régimen de transición aplicable a los procesos en curso. </w:t>
      </w:r>
      <w:proofErr w:type="spellStart"/>
      <w:r w:rsidRPr="0072564A">
        <w:rPr>
          <w:rFonts w:ascii="Verdana" w:eastAsia="Aptos" w:hAnsi="Verdana" w:cs="Times New Roman"/>
          <w:kern w:val="2"/>
          <w:lang w:val="it-IT"/>
          <w14:ligatures w14:val="standardContextual"/>
        </w:rPr>
        <w:t>Consúltela</w:t>
      </w:r>
      <w:proofErr w:type="spellEnd"/>
      <w:r w:rsidRPr="0072564A">
        <w:rPr>
          <w:rFonts w:ascii="Verdana" w:eastAsia="Aptos" w:hAnsi="Verdana" w:cs="Times New Roman"/>
          <w:kern w:val="2"/>
          <w:lang w:val="it-IT"/>
          <w14:ligatures w14:val="standardContextual"/>
        </w:rPr>
        <w:t xml:space="preserve"> aquí: </w:t>
      </w:r>
      <w:hyperlink r:id="rId14" w:tgtFrame="_blank" w:tooltip="Original URL: https://www.colombiacompra.gov.co/archivos/circular/circular-externa-003-de-2026. Click or tap if you trust this link." w:history="1">
        <w:r w:rsidRPr="0072564A">
          <w:rPr>
            <w:rFonts w:ascii="Verdana" w:eastAsia="Aptos" w:hAnsi="Verdana" w:cs="Times New Roman"/>
            <w:color w:val="0000FF"/>
            <w:kern w:val="2"/>
            <w:u w:val="single"/>
            <w:lang w:val="it-IT"/>
            <w14:ligatures w14:val="standardContextual"/>
          </w:rPr>
          <w:t>https://www.colombiacompra.gov.co/archivos/circular/circular-externa-003-de-2026</w:t>
        </w:r>
      </w:hyperlink>
    </w:p>
    <w:p w14:paraId="33728DAB" w14:textId="77777777" w:rsidR="003D7CBB" w:rsidRPr="0072564A" w:rsidRDefault="003D7CBB" w:rsidP="003D7CBB">
      <w:pPr>
        <w:spacing w:after="0" w:line="276" w:lineRule="auto"/>
        <w:jc w:val="both"/>
        <w:rPr>
          <w:rFonts w:ascii="Verdana" w:eastAsia="Aptos" w:hAnsi="Verdana" w:cs="Times New Roman"/>
          <w:kern w:val="2"/>
          <w:lang w:val="it-IT"/>
          <w14:ligatures w14:val="standardContextual"/>
        </w:rPr>
      </w:pPr>
    </w:p>
    <w:p w14:paraId="4CB196DD" w14:textId="77777777" w:rsidR="003D7CBB" w:rsidRPr="003D7CBB" w:rsidRDefault="003D7CBB" w:rsidP="003D7CBB">
      <w:pPr>
        <w:spacing w:after="0" w:line="276" w:lineRule="auto"/>
        <w:jc w:val="both"/>
        <w:rPr>
          <w:rFonts w:ascii="Verdana" w:eastAsia="Aptos" w:hAnsi="Verdana" w:cs="Times New Roman"/>
          <w:kern w:val="2"/>
          <w:lang w:val="es-ES_tradnl"/>
          <w14:ligatures w14:val="standardContextual"/>
        </w:rPr>
      </w:pPr>
      <w:r w:rsidRPr="003D7CBB">
        <w:rPr>
          <w:rFonts w:ascii="Verdana" w:eastAsia="Aptos" w:hAnsi="Verdana" w:cs="Times New Roman"/>
          <w:kern w:val="2"/>
          <w14:ligatures w14:val="standardContextual"/>
        </w:rPr>
        <w:t>Recuerde también que la</w:t>
      </w:r>
      <w:r w:rsidRPr="003D7CBB">
        <w:rPr>
          <w:rFonts w:ascii="Verdana" w:eastAsia="Aptos" w:hAnsi="Verdana" w:cs="Times New Roman"/>
          <w:b/>
          <w:bCs/>
          <w:kern w:val="2"/>
          <w14:ligatures w14:val="standardContextual"/>
        </w:rPr>
        <w:t> información sobre sanciones e inhabilidades </w:t>
      </w:r>
      <w:r w:rsidRPr="003D7CBB">
        <w:rPr>
          <w:rFonts w:ascii="Verdana" w:eastAsia="Aptos" w:hAnsi="Verdana" w:cs="Times New Roman"/>
          <w:kern w:val="2"/>
          <w14:ligatures w14:val="standardContextual"/>
        </w:rPr>
        <w:t>solo cumple su función preventiva si llega oportunamente a los registros públicos. Sobre este deber, esta Agencia expidió la </w:t>
      </w:r>
      <w:r w:rsidRPr="003D7CBB">
        <w:rPr>
          <w:rFonts w:ascii="Verdana" w:eastAsia="Aptos" w:hAnsi="Verdana" w:cs="Times New Roman"/>
          <w:b/>
          <w:bCs/>
          <w:kern w:val="2"/>
          <w14:ligatures w14:val="standardContextual"/>
        </w:rPr>
        <w:t>Circular Externa 002 del 5 de mayo de 2026,</w:t>
      </w:r>
      <w:r w:rsidRPr="003D7CBB">
        <w:rPr>
          <w:rFonts w:ascii="Verdana" w:eastAsia="Aptos" w:hAnsi="Verdana" w:cs="Times New Roman"/>
          <w:kern w:val="2"/>
          <w14:ligatures w14:val="standardContextua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w:t>
      </w:r>
      <w:r w:rsidRPr="003D7CBB">
        <w:rPr>
          <w:rFonts w:ascii="Verdana" w:eastAsia="Aptos" w:hAnsi="Verdana" w:cs="Times New Roman"/>
          <w:kern w:val="2"/>
          <w14:ligatures w14:val="standardContextual"/>
        </w:rPr>
        <w:lastRenderedPageBreak/>
        <w:t>responsables, los portales dispuestos para el efecto y las consecuencias disciplinarias de omitir este deber. Consúltala aquí: </w:t>
      </w:r>
      <w:hyperlink r:id="rId15" w:tgtFrame="_blank" w:tooltip="Original URL: https://www.colombiacompra.gov.co/archivos/circular/circular-externa-002-de-2026. Click or tap if you trust this link." w:history="1">
        <w:r w:rsidRPr="003D7CBB">
          <w:rPr>
            <w:rFonts w:ascii="Verdana" w:eastAsia="Aptos" w:hAnsi="Verdana" w:cs="Times New Roman"/>
            <w:color w:val="0000FF"/>
            <w:kern w:val="2"/>
            <w:u w:val="single"/>
            <w14:ligatures w14:val="standardContextual"/>
          </w:rPr>
          <w:t>https://www.colombiacompra.gov.co/archivos/circular/circular-externa-002-de-2026</w:t>
        </w:r>
      </w:hyperlink>
    </w:p>
    <w:p w14:paraId="53F56989" w14:textId="77777777" w:rsidR="003D7CBB" w:rsidRPr="003D7CBB" w:rsidRDefault="003D7CBB" w:rsidP="003D7CBB">
      <w:pPr>
        <w:spacing w:after="0" w:line="276" w:lineRule="auto"/>
        <w:jc w:val="both"/>
        <w:rPr>
          <w:rFonts w:ascii="Verdana" w:eastAsia="Aptos" w:hAnsi="Verdana" w:cs="Times New Roman"/>
          <w:kern w:val="2"/>
          <w14:ligatures w14:val="standardContextual"/>
        </w:rPr>
      </w:pPr>
    </w:p>
    <w:p w14:paraId="08DE9107" w14:textId="77777777" w:rsidR="003D7CBB" w:rsidRPr="003D7CBB" w:rsidRDefault="003D7CBB" w:rsidP="003D7CBB">
      <w:pPr>
        <w:spacing w:after="0" w:line="276" w:lineRule="auto"/>
        <w:jc w:val="both"/>
        <w:rPr>
          <w:rFonts w:ascii="Verdana" w:eastAsia="Aptos" w:hAnsi="Verdana" w:cs="Times New Roman"/>
          <w:kern w:val="2"/>
          <w14:ligatures w14:val="standardContextual"/>
        </w:rPr>
      </w:pPr>
      <w:r w:rsidRPr="003D7CBB">
        <w:rPr>
          <w:rFonts w:ascii="Verdana" w:eastAsia="Aptos" w:hAnsi="Verdana" w:cs="Times New Roman"/>
          <w:kern w:val="2"/>
          <w14:ligatures w14:val="standardContextual"/>
        </w:rPr>
        <w:t>Finalmente, si quiere seguir de cerca la actividad de la Agencia, la tercera edición de 2026 del</w:t>
      </w:r>
      <w:r w:rsidRPr="003D7CBB">
        <w:rPr>
          <w:rFonts w:ascii="Verdana" w:eastAsia="Aptos" w:hAnsi="Verdana" w:cs="Times New Roman"/>
          <w:b/>
          <w:bCs/>
          <w:kern w:val="2"/>
          <w14:ligatures w14:val="standardContextual"/>
        </w:rPr>
        <w:t> Radar de la Compra Pública</w:t>
      </w:r>
      <w:r w:rsidRPr="003D7CBB">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6" w:tgtFrame="_blank" w:tooltip="Original URL: https://www.colombiacompra.gov.co/archivos/boletin/boletin-edicion-n-3-de-2026-radar-de-la-compra-publica. Click or tap if you trust this link." w:history="1">
        <w:r w:rsidRPr="003D7CBB">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5D6E6E5E" w14:textId="77777777" w:rsidR="003D7CBB" w:rsidRPr="003D7CBB" w:rsidRDefault="003D7CBB" w:rsidP="003D7CBB">
      <w:pPr>
        <w:widowControl w:val="0"/>
        <w:autoSpaceDE w:val="0"/>
        <w:autoSpaceDN w:val="0"/>
        <w:spacing w:after="0" w:line="276" w:lineRule="auto"/>
        <w:jc w:val="both"/>
        <w:rPr>
          <w:rFonts w:ascii="Verdana" w:eastAsia="Calibri" w:hAnsi="Verdana" w:cs="Arial"/>
          <w:shd w:val="clear" w:color="auto" w:fill="FFFFFF"/>
          <w:lang w:val="es-ES_tradnl"/>
        </w:rPr>
      </w:pPr>
    </w:p>
    <w:p w14:paraId="708CE828" w14:textId="77777777" w:rsidR="003D7CBB" w:rsidRPr="003D7CBB" w:rsidRDefault="003D7CBB" w:rsidP="003D7CBB">
      <w:pPr>
        <w:spacing w:after="0" w:line="276" w:lineRule="auto"/>
        <w:jc w:val="both"/>
        <w:rPr>
          <w:rFonts w:ascii="Verdana" w:eastAsia="Calibri" w:hAnsi="Verdana" w:cs="Times New Roman"/>
          <w:lang w:val="es-ES_tradnl"/>
        </w:rPr>
      </w:pPr>
      <w:r w:rsidRPr="003D7CBB">
        <w:rPr>
          <w:rFonts w:ascii="Verdana" w:eastAsia="Calibri" w:hAnsi="Verdana" w:cs="Times New Roman"/>
          <w:lang w:val="es-ES_tradnl"/>
        </w:rPr>
        <w:t xml:space="preserve">Por último, los invitamos a seguirnos en las redes sociales, en las cuales se difunde información institucional: </w:t>
      </w:r>
    </w:p>
    <w:p w14:paraId="68B348D4" w14:textId="77777777" w:rsidR="003D7CBB" w:rsidRPr="003D7CBB" w:rsidRDefault="003D7CBB" w:rsidP="003D7CBB">
      <w:pPr>
        <w:spacing w:after="0" w:line="240" w:lineRule="auto"/>
        <w:jc w:val="both"/>
        <w:rPr>
          <w:rFonts w:ascii="Verdana" w:eastAsia="Aptos" w:hAnsi="Verdana" w:cs="Times New Roman"/>
          <w:lang w:eastAsia="es-MX"/>
        </w:rPr>
      </w:pPr>
    </w:p>
    <w:p w14:paraId="40FDE86C" w14:textId="77777777" w:rsidR="003D7CBB" w:rsidRPr="003D7CBB" w:rsidRDefault="003D7CBB" w:rsidP="003D7CBB">
      <w:pPr>
        <w:spacing w:after="0" w:line="240" w:lineRule="auto"/>
        <w:jc w:val="both"/>
        <w:rPr>
          <w:rFonts w:ascii="Verdana" w:eastAsia="Aptos" w:hAnsi="Verdana" w:cs="Times New Roman"/>
          <w:lang w:eastAsia="es-MX"/>
        </w:rPr>
      </w:pPr>
      <w:r w:rsidRPr="003D7CBB">
        <w:rPr>
          <w:rFonts w:ascii="Verdana" w:eastAsia="Aptos" w:hAnsi="Verdana" w:cs="Times New Roman"/>
          <w:lang w:eastAsia="es-MX"/>
        </w:rPr>
        <w:t xml:space="preserve">X: </w:t>
      </w:r>
      <w:r w:rsidRPr="003D7CBB">
        <w:rPr>
          <w:rFonts w:ascii="Verdana" w:eastAsia="Calibri" w:hAnsi="Verdana" w:cs="Times New Roman"/>
          <w:color w:val="156082"/>
          <w:u w:val="single"/>
          <w:lang w:eastAsia="es-MX"/>
        </w:rPr>
        <w:t>@colombiacompra</w:t>
      </w:r>
      <w:r w:rsidRPr="003D7CBB">
        <w:rPr>
          <w:rFonts w:ascii="Verdana" w:eastAsia="Calibri" w:hAnsi="Verdana" w:cs="Times New Roman"/>
          <w:color w:val="156082"/>
          <w:lang w:eastAsia="es-MX"/>
        </w:rPr>
        <w:t xml:space="preserve"> </w:t>
      </w:r>
    </w:p>
    <w:p w14:paraId="67CA574A" w14:textId="77777777" w:rsidR="003D7CBB" w:rsidRPr="003D7CBB" w:rsidRDefault="003D7CBB" w:rsidP="003D7CBB">
      <w:pPr>
        <w:spacing w:after="0" w:line="240" w:lineRule="auto"/>
        <w:jc w:val="both"/>
        <w:rPr>
          <w:rFonts w:ascii="Verdana" w:eastAsia="Aptos" w:hAnsi="Verdana" w:cs="Times New Roman"/>
          <w:lang w:eastAsia="es-MX"/>
        </w:rPr>
      </w:pPr>
      <w:r w:rsidRPr="003D7CBB">
        <w:rPr>
          <w:rFonts w:ascii="Verdana" w:eastAsia="Aptos" w:hAnsi="Verdana" w:cs="Times New Roman"/>
          <w:lang w:eastAsia="es-MX"/>
        </w:rPr>
        <w:t xml:space="preserve">Facebook: </w:t>
      </w:r>
      <w:proofErr w:type="spellStart"/>
      <w:r w:rsidRPr="003D7CBB">
        <w:rPr>
          <w:rFonts w:ascii="Verdana" w:eastAsia="Calibri" w:hAnsi="Verdana" w:cs="Times New Roman"/>
          <w:color w:val="156082"/>
          <w:u w:val="single"/>
          <w:lang w:eastAsia="es-MX"/>
        </w:rPr>
        <w:t>ColombiaCompraEficiente</w:t>
      </w:r>
      <w:proofErr w:type="spellEnd"/>
    </w:p>
    <w:p w14:paraId="5883ACD7" w14:textId="77777777" w:rsidR="003D7CBB" w:rsidRPr="003D7CBB" w:rsidRDefault="003D7CBB" w:rsidP="003D7CBB">
      <w:pPr>
        <w:spacing w:after="0" w:line="240" w:lineRule="auto"/>
        <w:jc w:val="both"/>
        <w:rPr>
          <w:rFonts w:ascii="Verdana" w:eastAsia="Aptos" w:hAnsi="Verdana" w:cs="Times New Roman"/>
          <w:lang w:eastAsia="es-MX"/>
        </w:rPr>
      </w:pPr>
      <w:r w:rsidRPr="003D7CBB">
        <w:rPr>
          <w:rFonts w:ascii="Verdana" w:eastAsia="Aptos" w:hAnsi="Verdana" w:cs="Times New Roman"/>
          <w:lang w:eastAsia="es-MX"/>
        </w:rPr>
        <w:t xml:space="preserve">LinkedIn: </w:t>
      </w:r>
      <w:r w:rsidRPr="003D7CBB">
        <w:rPr>
          <w:rFonts w:ascii="Verdana" w:eastAsia="Calibri" w:hAnsi="Verdana" w:cs="Times New Roman"/>
          <w:color w:val="156082"/>
          <w:u w:val="single"/>
          <w:lang w:eastAsia="es-MX"/>
        </w:rPr>
        <w:t>Agencia Nacional de Contratación Pública - Colombia Compra Eficiente</w:t>
      </w:r>
      <w:r w:rsidRPr="003D7CBB">
        <w:rPr>
          <w:rFonts w:ascii="Verdana" w:eastAsia="Calibri" w:hAnsi="Verdana" w:cs="Times New Roman"/>
          <w:color w:val="156082"/>
          <w:lang w:eastAsia="es-MX"/>
        </w:rPr>
        <w:t xml:space="preserve"> </w:t>
      </w:r>
      <w:r w:rsidRPr="003D7CBB">
        <w:rPr>
          <w:rFonts w:ascii="Verdana" w:eastAsia="Aptos" w:hAnsi="Verdana" w:cs="Times New Roman"/>
          <w:lang w:eastAsia="es-MX"/>
        </w:rPr>
        <w:t xml:space="preserve">Instagram: </w:t>
      </w:r>
      <w:r w:rsidRPr="003D7CBB">
        <w:rPr>
          <w:rFonts w:ascii="Verdana" w:eastAsia="Calibri" w:hAnsi="Verdana" w:cs="Times New Roman"/>
          <w:color w:val="156082"/>
          <w:u w:val="single"/>
          <w:lang w:eastAsia="es-MX"/>
        </w:rPr>
        <w:t>@colombiacompraeficiente_cce</w:t>
      </w:r>
    </w:p>
    <w:p w14:paraId="4E8A90B7" w14:textId="77777777" w:rsidR="003D7CBB" w:rsidRPr="003D7CBB" w:rsidRDefault="003D7CBB" w:rsidP="003D7CBB">
      <w:pPr>
        <w:spacing w:after="0" w:line="276" w:lineRule="auto"/>
        <w:jc w:val="both"/>
        <w:rPr>
          <w:rFonts w:ascii="Verdana" w:eastAsia="Aptos" w:hAnsi="Verdana" w:cs="Times New Roman"/>
          <w:lang w:eastAsia="es-MX"/>
        </w:rPr>
      </w:pPr>
    </w:p>
    <w:p w14:paraId="34DEA9CD" w14:textId="77777777" w:rsidR="003D7CBB" w:rsidRPr="003D7CBB" w:rsidRDefault="003D7CBB" w:rsidP="003D7CBB">
      <w:pPr>
        <w:spacing w:after="0" w:line="276" w:lineRule="auto"/>
        <w:jc w:val="both"/>
        <w:rPr>
          <w:rFonts w:ascii="Verdana" w:eastAsia="Calibri" w:hAnsi="Verdana" w:cs="Times New Roman"/>
          <w:bCs/>
          <w:lang w:val="es-ES_tradnl" w:eastAsia="es-MX"/>
        </w:rPr>
      </w:pPr>
      <w:r w:rsidRPr="003D7CBB">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D24F7D6" w14:textId="77777777" w:rsidR="003D7CBB" w:rsidRPr="003D7CBB" w:rsidRDefault="003D7CBB" w:rsidP="003D7CBB">
      <w:pPr>
        <w:spacing w:after="0" w:line="276" w:lineRule="auto"/>
        <w:jc w:val="both"/>
        <w:rPr>
          <w:rFonts w:ascii="Verdana" w:eastAsia="Calibri" w:hAnsi="Verdana" w:cs="Times New Roman"/>
          <w:lang w:eastAsia="es-MX"/>
        </w:rPr>
      </w:pPr>
    </w:p>
    <w:p w14:paraId="6E44A8D4" w14:textId="77777777" w:rsidR="003D7CBB" w:rsidRPr="003D7CBB" w:rsidRDefault="003D7CBB" w:rsidP="003D7CBB">
      <w:pPr>
        <w:spacing w:after="0" w:line="276" w:lineRule="auto"/>
        <w:jc w:val="both"/>
        <w:rPr>
          <w:rFonts w:ascii="Verdana" w:eastAsia="Calibri" w:hAnsi="Verdana" w:cs="Times New Roman"/>
          <w:lang w:eastAsia="es-MX"/>
        </w:rPr>
      </w:pPr>
      <w:r w:rsidRPr="003D7CBB">
        <w:rPr>
          <w:rFonts w:ascii="Verdana" w:eastAsia="Calibri" w:hAnsi="Verdana" w:cs="Times New Roman"/>
          <w:lang w:eastAsia="es-MX"/>
        </w:rPr>
        <w:t>Atentamente,</w:t>
      </w:r>
    </w:p>
    <w:p w14:paraId="5B0DAFEB" w14:textId="74EBF5DD" w:rsidR="003D7CBB" w:rsidRPr="003D7CBB" w:rsidRDefault="009C0D40" w:rsidP="003D7CBB">
      <w:pPr>
        <w:tabs>
          <w:tab w:val="left" w:pos="1320"/>
        </w:tabs>
        <w:spacing w:after="0"/>
        <w:jc w:val="center"/>
        <w:rPr>
          <w:rFonts w:ascii="Verdana" w:eastAsia="Calibri" w:hAnsi="Verdana" w:cs="Times New Roman"/>
          <w:lang w:eastAsia="es-MX"/>
        </w:rPr>
      </w:pPr>
      <w:r w:rsidRPr="002C3AD6">
        <w:rPr>
          <w:rFonts w:ascii="Century Gothic" w:hAnsi="Century Gothic"/>
          <w:noProof/>
        </w:rPr>
        <w:drawing>
          <wp:inline distT="0" distB="0" distL="0" distR="0" wp14:anchorId="1B442868" wp14:editId="20CEE0D8">
            <wp:extent cx="3200400" cy="1188026"/>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219498" cy="1195115"/>
                    </a:xfrm>
                    <a:prstGeom prst="rect">
                      <a:avLst/>
                    </a:prstGeom>
                  </pic:spPr>
                </pic:pic>
              </a:graphicData>
            </a:graphic>
          </wp:inline>
        </w:drawing>
      </w:r>
    </w:p>
    <w:tbl>
      <w:tblPr>
        <w:tblStyle w:val="Tablaconcuadrcula2"/>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3D7CBB" w:rsidRPr="003D7CBB" w14:paraId="6BB7E16D" w14:textId="77777777" w:rsidTr="00B16EA6">
        <w:trPr>
          <w:trHeight w:val="323"/>
        </w:trPr>
        <w:tc>
          <w:tcPr>
            <w:tcW w:w="1041" w:type="dxa"/>
            <w:vAlign w:val="center"/>
            <w:hideMark/>
          </w:tcPr>
          <w:p w14:paraId="3722C195" w14:textId="77777777" w:rsidR="003D7CBB" w:rsidRPr="003D7CBB" w:rsidRDefault="003D7CBB" w:rsidP="003D7CBB">
            <w:pPr>
              <w:rPr>
                <w:rFonts w:ascii="Verdana" w:eastAsia="Calibri" w:hAnsi="Verdana" w:cs="Arial"/>
                <w:sz w:val="16"/>
                <w:szCs w:val="16"/>
                <w:lang w:val="es-ES_tradnl" w:eastAsia="es-ES"/>
              </w:rPr>
            </w:pPr>
            <w:r w:rsidRPr="003D7CBB">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4B694A98" w14:textId="77777777" w:rsidR="003D7CBB" w:rsidRPr="003D7CBB" w:rsidRDefault="003D7CBB" w:rsidP="003D7CBB">
            <w:pPr>
              <w:rPr>
                <w:rFonts w:ascii="Verdana" w:eastAsia="Arial" w:hAnsi="Verdana" w:cs="Arial"/>
                <w:sz w:val="16"/>
                <w:szCs w:val="16"/>
                <w:lang w:val="es-ES" w:eastAsia="es-MX"/>
              </w:rPr>
            </w:pPr>
            <w:r w:rsidRPr="003D7CBB">
              <w:rPr>
                <w:rFonts w:ascii="Verdana" w:eastAsia="Arial" w:hAnsi="Verdana" w:cs="Arial"/>
                <w:sz w:val="16"/>
                <w:szCs w:val="16"/>
                <w:lang w:val="es-ES" w:eastAsia="es-MX"/>
              </w:rPr>
              <w:t xml:space="preserve">Kevin Arlid Herrera Santa </w:t>
            </w:r>
          </w:p>
          <w:p w14:paraId="215F7E6A" w14:textId="77777777" w:rsidR="003D7CBB" w:rsidRPr="003D7CBB" w:rsidRDefault="003D7CBB" w:rsidP="003D7CBB">
            <w:pPr>
              <w:rPr>
                <w:rFonts w:ascii="Verdana" w:eastAsia="Arial" w:hAnsi="Verdana" w:cs="Arial"/>
                <w:sz w:val="16"/>
                <w:szCs w:val="16"/>
                <w:lang w:val="es-ES_tradnl" w:eastAsia="es-MX"/>
              </w:rPr>
            </w:pPr>
            <w:r w:rsidRPr="003D7CBB">
              <w:rPr>
                <w:rFonts w:ascii="Verdana" w:eastAsia="Arial" w:hAnsi="Verdana" w:cs="Arial"/>
                <w:sz w:val="16"/>
                <w:szCs w:val="16"/>
                <w:lang w:val="es-ES_tradnl" w:eastAsia="es-MX"/>
              </w:rPr>
              <w:t>Contratista de la Subdirección de Gestión Contractual</w:t>
            </w:r>
          </w:p>
          <w:p w14:paraId="67817023" w14:textId="77777777" w:rsidR="003D7CBB" w:rsidRPr="003D7CBB" w:rsidRDefault="003D7CBB" w:rsidP="003D7CBB">
            <w:pPr>
              <w:rPr>
                <w:rFonts w:ascii="Verdana" w:eastAsia="Arial" w:hAnsi="Verdana" w:cs="Arial"/>
                <w:sz w:val="16"/>
                <w:szCs w:val="16"/>
                <w:lang w:val="es-ES_tradnl" w:eastAsia="es-MX"/>
              </w:rPr>
            </w:pPr>
          </w:p>
        </w:tc>
      </w:tr>
      <w:tr w:rsidR="003D7CBB" w:rsidRPr="003D7CBB" w14:paraId="20F44EEB" w14:textId="77777777" w:rsidTr="00B16EA6">
        <w:trPr>
          <w:trHeight w:val="338"/>
        </w:trPr>
        <w:tc>
          <w:tcPr>
            <w:tcW w:w="1041" w:type="dxa"/>
            <w:vAlign w:val="center"/>
            <w:hideMark/>
          </w:tcPr>
          <w:p w14:paraId="08501653" w14:textId="77777777" w:rsidR="003D7CBB" w:rsidRPr="003D7CBB" w:rsidRDefault="003D7CBB" w:rsidP="003D7CBB">
            <w:pPr>
              <w:rPr>
                <w:rFonts w:ascii="Verdana" w:eastAsia="Calibri" w:hAnsi="Verdana" w:cs="Arial"/>
                <w:sz w:val="16"/>
                <w:szCs w:val="16"/>
                <w:lang w:val="es-ES_tradnl" w:eastAsia="es-ES"/>
              </w:rPr>
            </w:pPr>
            <w:r w:rsidRPr="003D7CBB">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03752E38" w14:textId="77777777" w:rsidR="003D7CBB" w:rsidRPr="003D7CBB" w:rsidRDefault="003D7CBB" w:rsidP="003D7CBB">
            <w:pPr>
              <w:rPr>
                <w:rFonts w:ascii="Verdana" w:eastAsia="Arial" w:hAnsi="Verdana" w:cs="Arial"/>
                <w:sz w:val="16"/>
                <w:szCs w:val="16"/>
                <w:lang w:val="es-ES" w:eastAsia="es-MX"/>
              </w:rPr>
            </w:pPr>
            <w:r w:rsidRPr="003D7CBB">
              <w:rPr>
                <w:rFonts w:ascii="Verdana" w:eastAsia="Arial" w:hAnsi="Verdana" w:cs="Arial"/>
                <w:sz w:val="16"/>
                <w:szCs w:val="16"/>
                <w:lang w:val="es-ES" w:eastAsia="es-MX"/>
              </w:rPr>
              <w:t>Martha Alicia Romero Vargas</w:t>
            </w:r>
          </w:p>
          <w:p w14:paraId="417AD96F" w14:textId="77777777" w:rsidR="003D7CBB" w:rsidRPr="003D7CBB" w:rsidRDefault="003D7CBB" w:rsidP="003D7CBB">
            <w:pPr>
              <w:rPr>
                <w:rFonts w:ascii="Verdana" w:eastAsia="Arial" w:hAnsi="Verdana" w:cs="Arial"/>
                <w:sz w:val="16"/>
                <w:szCs w:val="16"/>
                <w:lang w:val="es-ES_tradnl" w:eastAsia="es-MX"/>
              </w:rPr>
            </w:pPr>
            <w:r w:rsidRPr="003D7CBB">
              <w:rPr>
                <w:rFonts w:ascii="Verdana" w:eastAsia="Arial" w:hAnsi="Verdana" w:cs="Arial"/>
                <w:sz w:val="16"/>
                <w:szCs w:val="16"/>
                <w:lang w:val="es-ES_tradnl" w:eastAsia="es-MX"/>
              </w:rPr>
              <w:t>Gestor T1-15 de la Subdirección de Gestión Contractual</w:t>
            </w:r>
          </w:p>
        </w:tc>
      </w:tr>
      <w:tr w:rsidR="003D7CBB" w:rsidRPr="003D7CBB" w14:paraId="37D93AEB" w14:textId="77777777" w:rsidTr="00B16EA6">
        <w:trPr>
          <w:trHeight w:val="308"/>
        </w:trPr>
        <w:tc>
          <w:tcPr>
            <w:tcW w:w="1041" w:type="dxa"/>
            <w:vAlign w:val="center"/>
          </w:tcPr>
          <w:p w14:paraId="57844DCF" w14:textId="77777777" w:rsidR="003D7CBB" w:rsidRPr="003D7CBB" w:rsidRDefault="003D7CBB" w:rsidP="003D7CBB">
            <w:pPr>
              <w:rPr>
                <w:rFonts w:ascii="Verdana" w:eastAsia="Calibri" w:hAnsi="Verdana" w:cs="Arial"/>
                <w:sz w:val="16"/>
                <w:szCs w:val="16"/>
                <w:lang w:val="es-ES_tradnl" w:eastAsia="es-ES"/>
              </w:rPr>
            </w:pPr>
            <w:r w:rsidRPr="003D7CBB">
              <w:rPr>
                <w:rFonts w:ascii="Verdana" w:eastAsia="Calibri" w:hAnsi="Verdana" w:cs="Arial"/>
                <w:sz w:val="16"/>
                <w:szCs w:val="16"/>
                <w:lang w:val="es-ES_tradnl" w:eastAsia="es-ES"/>
              </w:rPr>
              <w:lastRenderedPageBreak/>
              <w:t>Aprobó:</w:t>
            </w:r>
          </w:p>
        </w:tc>
        <w:tc>
          <w:tcPr>
            <w:tcW w:w="6561" w:type="dxa"/>
            <w:tcBorders>
              <w:top w:val="dotted" w:sz="4" w:space="0" w:color="7F7F7F"/>
              <w:left w:val="nil"/>
              <w:bottom w:val="dotted" w:sz="4" w:space="0" w:color="7F7F7F"/>
              <w:right w:val="nil"/>
            </w:tcBorders>
            <w:vAlign w:val="center"/>
          </w:tcPr>
          <w:p w14:paraId="09A9E022" w14:textId="77777777" w:rsidR="003D7CBB" w:rsidRPr="003D7CBB" w:rsidRDefault="003D7CBB" w:rsidP="003D7CBB">
            <w:pPr>
              <w:rPr>
                <w:rFonts w:ascii="Verdana" w:eastAsia="Calibri" w:hAnsi="Verdana" w:cs="Arial"/>
                <w:sz w:val="16"/>
                <w:szCs w:val="16"/>
                <w:lang w:val="es-ES" w:eastAsia="es-ES"/>
              </w:rPr>
            </w:pPr>
            <w:r w:rsidRPr="003D7CBB">
              <w:rPr>
                <w:rFonts w:ascii="Verdana" w:eastAsia="Calibri" w:hAnsi="Verdana" w:cs="Arial"/>
                <w:sz w:val="16"/>
                <w:szCs w:val="16"/>
                <w:lang w:val="es-ES" w:eastAsia="es-ES"/>
              </w:rPr>
              <w:t>Carolina Quintero Gacharná</w:t>
            </w:r>
          </w:p>
          <w:p w14:paraId="55083B56" w14:textId="77777777" w:rsidR="003D7CBB" w:rsidRPr="003D7CBB" w:rsidRDefault="003D7CBB" w:rsidP="003D7CBB">
            <w:pPr>
              <w:rPr>
                <w:rFonts w:ascii="Verdana" w:eastAsia="Calibri" w:hAnsi="Verdana" w:cs="Arial"/>
                <w:sz w:val="16"/>
                <w:szCs w:val="16"/>
                <w:lang w:val="es-ES_tradnl" w:eastAsia="es-ES"/>
              </w:rPr>
            </w:pPr>
            <w:r w:rsidRPr="003D7CBB">
              <w:rPr>
                <w:rFonts w:ascii="Verdana" w:eastAsia="Calibri" w:hAnsi="Verdana" w:cs="Arial"/>
                <w:sz w:val="16"/>
                <w:szCs w:val="16"/>
                <w:lang w:val="es-ES_tradnl" w:eastAsia="es-ES"/>
              </w:rPr>
              <w:t>Subdirectora de Gestión Contractual ANCP – CCE</w:t>
            </w:r>
          </w:p>
        </w:tc>
      </w:tr>
    </w:tbl>
    <w:p w14:paraId="69BC4D14" w14:textId="525EA095"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43A401" w14:textId="77777777" w:rsidR="00AF3807" w:rsidRDefault="00AF3807" w:rsidP="004A1847">
      <w:pPr>
        <w:spacing w:after="0" w:line="240" w:lineRule="auto"/>
      </w:pPr>
      <w:r>
        <w:separator/>
      </w:r>
    </w:p>
  </w:endnote>
  <w:endnote w:type="continuationSeparator" w:id="0">
    <w:p w14:paraId="5489FA35" w14:textId="77777777" w:rsidR="00AF3807" w:rsidRDefault="00AF380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87AD44" w14:textId="77777777" w:rsidR="00AF3807" w:rsidRDefault="00AF3807" w:rsidP="004A1847">
      <w:pPr>
        <w:spacing w:after="0" w:line="240" w:lineRule="auto"/>
      </w:pPr>
      <w:r>
        <w:separator/>
      </w:r>
    </w:p>
  </w:footnote>
  <w:footnote w:type="continuationSeparator" w:id="0">
    <w:p w14:paraId="10BB7108" w14:textId="77777777" w:rsidR="00AF3807" w:rsidRDefault="00AF3807" w:rsidP="004A1847">
      <w:pPr>
        <w:spacing w:after="0" w:line="240" w:lineRule="auto"/>
      </w:pPr>
      <w:r>
        <w:continuationSeparator/>
      </w:r>
    </w:p>
  </w:footnote>
  <w:footnote w:id="1">
    <w:p w14:paraId="044441CF" w14:textId="77777777" w:rsidR="003D7CBB" w:rsidRPr="00DF7B90" w:rsidRDefault="003D7CBB" w:rsidP="003D7CBB">
      <w:pPr>
        <w:pStyle w:val="Textonotapie"/>
        <w:snapToGrid w:val="0"/>
        <w:ind w:firstLine="709"/>
        <w:jc w:val="both"/>
        <w:rPr>
          <w:rFonts w:ascii="Verdana" w:hAnsi="Verdana"/>
          <w:sz w:val="18"/>
          <w:szCs w:val="18"/>
          <w:lang w:val="es-CO"/>
        </w:rPr>
      </w:pPr>
      <w:r w:rsidRPr="00DF7B90">
        <w:rPr>
          <w:rStyle w:val="Refdenotaalpie"/>
          <w:rFonts w:ascii="Verdana" w:hAnsi="Verdana"/>
          <w:sz w:val="18"/>
          <w:szCs w:val="18"/>
        </w:rPr>
        <w:footnoteRef/>
      </w:r>
      <w:r w:rsidRPr="00DF7B90">
        <w:rPr>
          <w:rFonts w:ascii="Verdana" w:hAnsi="Verdana"/>
          <w:sz w:val="18"/>
          <w:szCs w:val="18"/>
        </w:rPr>
        <w:t xml:space="preserve"> </w:t>
      </w:r>
      <w:r w:rsidRPr="00DF7B90">
        <w:rPr>
          <w:rFonts w:ascii="Verdana" w:hAnsi="Verdana"/>
          <w:sz w:val="18"/>
          <w:szCs w:val="18"/>
          <w:lang w:val="es-CO"/>
        </w:rPr>
        <w:t xml:space="preserve">Consejo de Estado. Sección tercera. Sentencia del 18 de noviembre de 2024. </w:t>
      </w:r>
      <w:proofErr w:type="spellStart"/>
      <w:r w:rsidRPr="00DF7B90">
        <w:rPr>
          <w:rFonts w:ascii="Verdana" w:hAnsi="Verdana"/>
          <w:sz w:val="18"/>
          <w:szCs w:val="18"/>
          <w:lang w:val="es-CO"/>
        </w:rPr>
        <w:t>Exp</w:t>
      </w:r>
      <w:proofErr w:type="spellEnd"/>
      <w:r w:rsidRPr="00DF7B90">
        <w:rPr>
          <w:rFonts w:ascii="Verdana" w:hAnsi="Verdana"/>
          <w:sz w:val="18"/>
          <w:szCs w:val="18"/>
          <w:lang w:val="es-CO"/>
        </w:rPr>
        <w:t xml:space="preserve">. 66750. C.P María Adriana Marina. </w:t>
      </w:r>
    </w:p>
  </w:footnote>
  <w:footnote w:id="2">
    <w:p w14:paraId="499D506E" w14:textId="77777777" w:rsidR="003D7CBB" w:rsidRPr="00DF7B90" w:rsidRDefault="003D7CBB" w:rsidP="003D7CBB">
      <w:pPr>
        <w:pStyle w:val="Textonotapie"/>
        <w:snapToGrid w:val="0"/>
        <w:ind w:firstLine="709"/>
        <w:jc w:val="both"/>
        <w:rPr>
          <w:rFonts w:ascii="Verdana" w:hAnsi="Verdana" w:cs="Arial"/>
          <w:sz w:val="18"/>
          <w:szCs w:val="18"/>
        </w:rPr>
      </w:pPr>
    </w:p>
    <w:p w14:paraId="33236893" w14:textId="77777777" w:rsidR="003D7CBB" w:rsidRPr="00DF7B90" w:rsidRDefault="003D7CBB" w:rsidP="003D7CBB">
      <w:pPr>
        <w:pStyle w:val="Textonotapie"/>
        <w:snapToGrid w:val="0"/>
        <w:ind w:firstLine="709"/>
        <w:jc w:val="both"/>
        <w:rPr>
          <w:rFonts w:ascii="Verdana" w:hAnsi="Verdana" w:cs="Arial"/>
          <w:sz w:val="18"/>
          <w:szCs w:val="18"/>
          <w:lang w:val="es-ES"/>
        </w:rPr>
      </w:pPr>
      <w:r w:rsidRPr="00DF7B90">
        <w:rPr>
          <w:rStyle w:val="Refdenotaalpie"/>
          <w:rFonts w:ascii="Verdana" w:hAnsi="Verdana" w:cs="Arial"/>
          <w:sz w:val="18"/>
          <w:szCs w:val="18"/>
        </w:rPr>
        <w:footnoteRef/>
      </w:r>
      <w:r w:rsidRPr="00DF7B90">
        <w:rPr>
          <w:rFonts w:ascii="Verdana" w:hAnsi="Verdana" w:cs="Arial"/>
          <w:sz w:val="18"/>
          <w:szCs w:val="18"/>
        </w:rPr>
        <w:t xml:space="preserve"> </w:t>
      </w:r>
      <w:r w:rsidRPr="00DF7B90">
        <w:rPr>
          <w:rFonts w:ascii="Verdana" w:hAnsi="Verdana" w:cs="Arial"/>
          <w:sz w:val="18"/>
          <w:szCs w:val="18"/>
          <w:lang w:val="es-ES"/>
        </w:rPr>
        <w:t>En cuanto a las resoluciones vigentes, dicha regla se observa en el artículo 3 de las Resoluciones</w:t>
      </w:r>
      <w:bookmarkStart w:id="2" w:name="_Hlk82363077"/>
      <w:r w:rsidRPr="00DF7B90">
        <w:rPr>
          <w:rFonts w:ascii="Verdana" w:hAnsi="Verdana" w:cs="Arial"/>
          <w:sz w:val="18"/>
          <w:szCs w:val="18"/>
          <w:lang w:val="es-ES"/>
        </w:rPr>
        <w:t xml:space="preserve"> 248 de 2020, 249 de 2020, 269 de 2020, 219 de 2021, 220 de 2021, 392 de 2021, 454 de 2021, 333 de 2022, 358 de 2023, 798 de 2023, 456 de 2024, 463 de 2024, 464 de 2024, 725 de 2024, 726 de 2024, entre otras</w:t>
      </w:r>
      <w:bookmarkEnd w:id="2"/>
      <w:r w:rsidRPr="00DF7B90">
        <w:rPr>
          <w:rFonts w:ascii="Verdana" w:hAnsi="Verdana" w:cs="Arial"/>
          <w:sz w:val="18"/>
          <w:szCs w:val="18"/>
          <w:lang w:val="es-ES"/>
        </w:rPr>
        <w:t xml:space="preserve">. </w:t>
      </w:r>
    </w:p>
    <w:p w14:paraId="706F965B" w14:textId="77777777" w:rsidR="003D7CBB" w:rsidRPr="00DF7B90" w:rsidRDefault="003D7CBB" w:rsidP="003D7CBB">
      <w:pPr>
        <w:pStyle w:val="Textonotapie"/>
        <w:snapToGrid w:val="0"/>
        <w:ind w:firstLine="709"/>
        <w:jc w:val="both"/>
        <w:rPr>
          <w:rFonts w:ascii="Verdana" w:hAnsi="Verdana" w:cs="Arial"/>
          <w:sz w:val="18"/>
          <w:szCs w:val="18"/>
          <w:lang w:val="es-ES"/>
        </w:rPr>
      </w:pPr>
    </w:p>
  </w:footnote>
  <w:footnote w:id="3">
    <w:p w14:paraId="03E821CA" w14:textId="77777777" w:rsidR="003D7CBB" w:rsidRPr="00DF7B90" w:rsidRDefault="003D7CBB" w:rsidP="003D7CBB">
      <w:pPr>
        <w:pStyle w:val="Textonotapie"/>
        <w:snapToGrid w:val="0"/>
        <w:ind w:firstLine="709"/>
        <w:jc w:val="both"/>
        <w:rPr>
          <w:rFonts w:ascii="Verdana" w:hAnsi="Verdana" w:cs="Arial"/>
          <w:sz w:val="18"/>
          <w:szCs w:val="18"/>
        </w:rPr>
      </w:pPr>
      <w:r w:rsidRPr="00DF7B90">
        <w:rPr>
          <w:rStyle w:val="Refdenotaalpie"/>
          <w:rFonts w:ascii="Verdana" w:hAnsi="Verdana" w:cs="Arial"/>
          <w:sz w:val="18"/>
          <w:szCs w:val="18"/>
        </w:rPr>
        <w:footnoteRef/>
      </w:r>
      <w:r w:rsidRPr="00DF7B90">
        <w:rPr>
          <w:rFonts w:ascii="Verdana" w:hAnsi="Verdana" w:cs="Arial"/>
          <w:sz w:val="18"/>
          <w:szCs w:val="18"/>
        </w:rPr>
        <w:t xml:space="preserve"> </w:t>
      </w:r>
      <w:r w:rsidRPr="00DF7B90">
        <w:rPr>
          <w:rFonts w:ascii="Verdana" w:hAnsi="Verdana" w:cs="Arial"/>
          <w:sz w:val="18"/>
          <w:szCs w:val="18"/>
        </w:rPr>
        <w:t>En torno a las potestades regladas, García de Enterría y Ramón Fernández manifiestan: “El ejercicio de las potestades regladas reduce a la Administración a la constatación (accertamento, en el expresivo concepto italiano) del supuesto de hecho legalmente definido de manera completa y aplicar en presencia del mismo lo que la propia Ley ha determinado también agotadoramente […] La decisión en que consista el ejercicio de la potestad es obligatoria en presencia de dicho supuesto y su contenido no puede ser configurado libremente por la Administración, sino que ha de limitarse a lo que la propia Ley ha previsto sobre ese contenido de modo preciso y completo” (GARCÍA DE ENTERRÍA, Eduardo; y RAMÓN FERNÁNDEZ, Tomas. Curso de derecho administrativo. Tomo I. Madrid: Civitas, 1997. pp. 444-445).</w:t>
      </w:r>
    </w:p>
    <w:p w14:paraId="7B64F841" w14:textId="77777777" w:rsidR="003D7CBB" w:rsidRPr="00DF7B90" w:rsidRDefault="003D7CBB" w:rsidP="003D7CBB">
      <w:pPr>
        <w:pStyle w:val="Textonotapie"/>
        <w:snapToGrid w:val="0"/>
        <w:ind w:firstLine="709"/>
        <w:jc w:val="both"/>
        <w:rPr>
          <w:rFonts w:ascii="Verdana" w:hAnsi="Verdana" w:cs="Arial"/>
          <w:sz w:val="18"/>
          <w:szCs w:val="18"/>
        </w:rPr>
      </w:pPr>
    </w:p>
  </w:footnote>
  <w:footnote w:id="4">
    <w:p w14:paraId="6B94C674" w14:textId="77777777" w:rsidR="003D7CBB" w:rsidRPr="00DF7B90" w:rsidRDefault="003D7CBB" w:rsidP="003D7CBB">
      <w:pPr>
        <w:pStyle w:val="Textonotapie"/>
        <w:snapToGrid w:val="0"/>
        <w:ind w:firstLine="709"/>
        <w:jc w:val="both"/>
        <w:rPr>
          <w:rFonts w:ascii="Verdana" w:hAnsi="Verdana" w:cs="Arial"/>
          <w:sz w:val="18"/>
          <w:szCs w:val="18"/>
        </w:rPr>
      </w:pPr>
      <w:r w:rsidRPr="00DF7B90">
        <w:rPr>
          <w:rStyle w:val="Refdenotaalpie"/>
          <w:rFonts w:ascii="Verdana" w:hAnsi="Verdana" w:cs="Arial"/>
          <w:sz w:val="18"/>
          <w:szCs w:val="18"/>
        </w:rPr>
        <w:footnoteRef/>
      </w:r>
      <w:r w:rsidRPr="00DF7B90">
        <w:rPr>
          <w:rFonts w:ascii="Verdana" w:hAnsi="Verdana" w:cs="Arial"/>
          <w:sz w:val="18"/>
          <w:szCs w:val="18"/>
        </w:rPr>
        <w:t xml:space="preserve"> </w:t>
      </w:r>
      <w:r w:rsidRPr="00DF7B90">
        <w:rPr>
          <w:rFonts w:ascii="Verdana" w:hAnsi="Verdana" w:cs="Arial"/>
          <w:sz w:val="18"/>
          <w:szCs w:val="18"/>
        </w:rPr>
        <w:t>El artículo 25, numeral 1º de la Ley 80 de 1993 establece que “En las normas de selección y en los pliegos de condiciones para la escogencia de contratistas, se cumplirán y establecerán los procedimientos y etapas estrictamente necesarios para asegurar la selección objetiva de la propuesta más favorable. Para este propósito, se señalarán términos preclusivos y perentorios para las diferentes etapas de la selección y las autoridades darán impulso oficioso a las actuaciones”.</w:t>
      </w:r>
    </w:p>
    <w:p w14:paraId="458E3F42" w14:textId="77777777" w:rsidR="003D7CBB" w:rsidRPr="00DF7B90" w:rsidRDefault="003D7CBB" w:rsidP="003D7CBB">
      <w:pPr>
        <w:pStyle w:val="Textonotapie"/>
        <w:snapToGrid w:val="0"/>
        <w:ind w:firstLine="709"/>
        <w:jc w:val="both"/>
        <w:rPr>
          <w:rFonts w:ascii="Verdana" w:hAnsi="Verdana" w:cs="Arial"/>
          <w:sz w:val="18"/>
          <w:szCs w:val="18"/>
        </w:rPr>
      </w:pPr>
    </w:p>
  </w:footnote>
  <w:footnote w:id="5">
    <w:p w14:paraId="76D72AC4" w14:textId="43DD112F" w:rsidR="003D7CBB" w:rsidRPr="00DF7B90" w:rsidRDefault="003D7CBB" w:rsidP="00DA1D4D">
      <w:pPr>
        <w:snapToGrid w:val="0"/>
        <w:ind w:firstLine="709"/>
        <w:jc w:val="both"/>
        <w:rPr>
          <w:rFonts w:ascii="Verdana" w:hAnsi="Verdana" w:cs="Arial"/>
          <w:sz w:val="18"/>
          <w:szCs w:val="18"/>
          <w:lang w:val="es-ES"/>
        </w:rPr>
      </w:pPr>
      <w:r w:rsidRPr="00DF7B90">
        <w:rPr>
          <w:rStyle w:val="Refdenotaalpie"/>
          <w:rFonts w:ascii="Verdana" w:hAnsi="Verdana" w:cs="Arial"/>
          <w:sz w:val="18"/>
          <w:szCs w:val="18"/>
        </w:rPr>
        <w:footnoteRef/>
      </w:r>
      <w:r w:rsidRPr="00DF7B90">
        <w:rPr>
          <w:rFonts w:ascii="Verdana" w:hAnsi="Verdana" w:cs="Arial"/>
          <w:sz w:val="18"/>
          <w:szCs w:val="18"/>
        </w:rPr>
        <w:t xml:space="preserve"> </w:t>
      </w:r>
      <w:r w:rsidRPr="00DF7B90">
        <w:rPr>
          <w:rFonts w:ascii="Verdana" w:hAnsi="Verdana" w:cs="Arial"/>
          <w:sz w:val="18"/>
          <w:szCs w:val="18"/>
          <w:lang w:val="es-ES"/>
        </w:rPr>
        <w:t>En efecto, el artículo 5 del Decreto 019 de 2012 prevé lo siguiente: “Las normas de procedimiento administrativo deben ser utilizadas para agilizar las decisiones; los procedimientos se deben adelantar en el menor tiempo y con la menor cantidad de gastos de quienes intervienen en ellos; las autoridades administrativas y los particulares que cumplen funciones administrativas no deben exigir más documentos y copias que los estrictamente necesarios, ni autenticaciones ni notas de presentación personal sino cuando la ley lo ordene en forma expresa, o tratándose de poderes especiales. En tal virtud, las autoridades deberán proceder con austeridad y eficiencia, optimizar el uso del tiempo y de los demás recursos, procurando el más alto nivel de calidad en sus actuaciones y la protección de los derechos de las personas”.</w:t>
      </w:r>
    </w:p>
  </w:footnote>
  <w:footnote w:id="6">
    <w:p w14:paraId="37908921" w14:textId="77777777" w:rsidR="003D7CBB" w:rsidRPr="00DF7B90" w:rsidRDefault="003D7CBB" w:rsidP="003D7CBB">
      <w:pPr>
        <w:pStyle w:val="Textonotapie"/>
        <w:snapToGrid w:val="0"/>
        <w:ind w:firstLine="709"/>
        <w:jc w:val="both"/>
        <w:rPr>
          <w:rFonts w:ascii="Verdana" w:hAnsi="Verdana" w:cs="Arial"/>
          <w:sz w:val="18"/>
          <w:szCs w:val="18"/>
          <w:lang w:val="es-ES"/>
        </w:rPr>
      </w:pPr>
      <w:r w:rsidRPr="00DF7B90">
        <w:rPr>
          <w:rStyle w:val="Refdenotaalpie"/>
          <w:rFonts w:ascii="Verdana" w:hAnsi="Verdana" w:cs="Arial"/>
          <w:sz w:val="18"/>
          <w:szCs w:val="18"/>
        </w:rPr>
        <w:footnoteRef/>
      </w:r>
      <w:r w:rsidRPr="00DF7B90">
        <w:rPr>
          <w:rFonts w:ascii="Verdana" w:hAnsi="Verdana" w:cs="Arial"/>
          <w:sz w:val="18"/>
          <w:szCs w:val="18"/>
        </w:rPr>
        <w:t xml:space="preserve"> </w:t>
      </w:r>
      <w:r w:rsidRPr="00DF7B90">
        <w:rPr>
          <w:rFonts w:ascii="Verdana" w:hAnsi="Verdana" w:cs="Arial"/>
          <w:sz w:val="18"/>
          <w:szCs w:val="18"/>
        </w:rPr>
        <w:t xml:space="preserve">Diccionario de la Real Academia Española, versión online disponible en: </w:t>
      </w:r>
      <w:r>
        <w:fldChar w:fldCharType="begin"/>
      </w:r>
      <w:r>
        <w:instrText>HYPERLINK "https://dle.rae.es/est%C3%A1ndar"</w:instrText>
      </w:r>
      <w:r>
        <w:fldChar w:fldCharType="separate"/>
      </w:r>
      <w:r w:rsidRPr="00DF7B90">
        <w:rPr>
          <w:rStyle w:val="Hipervnculo"/>
          <w:rFonts w:ascii="Verdana" w:hAnsi="Verdana" w:cs="Arial"/>
          <w:color w:val="auto"/>
          <w:sz w:val="18"/>
          <w:szCs w:val="18"/>
        </w:rPr>
        <w:t>https://dle.rae.es/est%C3%A1ndar</w:t>
      </w:r>
      <w:r>
        <w:fldChar w:fldCharType="end"/>
      </w:r>
      <w:r w:rsidRPr="00DF7B90">
        <w:rPr>
          <w:rFonts w:ascii="Verdana" w:hAnsi="Verdana" w:cs="Arial"/>
          <w:sz w:val="18"/>
          <w:szCs w:val="18"/>
        </w:rPr>
        <w:t xml:space="preserve">, consultado el 23 de abril de 2026. </w:t>
      </w:r>
    </w:p>
  </w:footnote>
  <w:footnote w:id="7">
    <w:p w14:paraId="3EE98E6E" w14:textId="77777777" w:rsidR="003D7CBB" w:rsidRPr="00DF7B90" w:rsidRDefault="003D7CBB" w:rsidP="003D7CBB">
      <w:pPr>
        <w:snapToGrid w:val="0"/>
        <w:ind w:firstLine="709"/>
        <w:jc w:val="both"/>
        <w:rPr>
          <w:rFonts w:ascii="Verdana" w:hAnsi="Verdana" w:cs="Arial"/>
          <w:sz w:val="18"/>
          <w:szCs w:val="18"/>
        </w:rPr>
      </w:pPr>
      <w:r w:rsidRPr="00DF7B90">
        <w:rPr>
          <w:rStyle w:val="Refdenotaalpie"/>
          <w:rFonts w:ascii="Verdana" w:hAnsi="Verdana" w:cs="Arial"/>
          <w:sz w:val="18"/>
          <w:szCs w:val="18"/>
        </w:rPr>
        <w:footnoteRef/>
      </w:r>
      <w:r w:rsidRPr="00DF7B90">
        <w:rPr>
          <w:rFonts w:ascii="Verdana" w:hAnsi="Verdana" w:cs="Arial"/>
          <w:sz w:val="18"/>
          <w:szCs w:val="18"/>
        </w:rPr>
        <w:t xml:space="preserve"> </w:t>
      </w:r>
      <w:r w:rsidRPr="00DF7B90">
        <w:rPr>
          <w:rFonts w:ascii="Verdana" w:hAnsi="Verdana" w:cs="Arial"/>
          <w:sz w:val="18"/>
          <w:szCs w:val="18"/>
        </w:rPr>
        <w:t>Cita tomada de la providencia del 20 de febrero de 2020, dictada por el Consejo de Estado. Sección Tercera. Subsección A, dentro del expediente 47001-23-33-000-2018-00035-01 (63.854), cuya ponente fue Marta Nubia Velásquez Rico.</w:t>
      </w:r>
    </w:p>
    <w:p w14:paraId="2109EAD4" w14:textId="77777777" w:rsidR="003D7CBB" w:rsidRPr="00DF7B90" w:rsidRDefault="003D7CBB" w:rsidP="003D7CBB">
      <w:pPr>
        <w:snapToGrid w:val="0"/>
        <w:ind w:firstLine="709"/>
        <w:jc w:val="both"/>
        <w:rPr>
          <w:rFonts w:ascii="Verdana" w:hAnsi="Verdana" w:cs="Arial"/>
          <w:sz w:val="18"/>
          <w:szCs w:val="18"/>
        </w:rPr>
      </w:pPr>
    </w:p>
  </w:footnote>
  <w:footnote w:id="8">
    <w:p w14:paraId="14828AD4" w14:textId="77777777" w:rsidR="003D7CBB" w:rsidRPr="00DF7B90" w:rsidRDefault="003D7CBB" w:rsidP="003D7CBB">
      <w:pPr>
        <w:pStyle w:val="Textonotapie"/>
        <w:snapToGrid w:val="0"/>
        <w:ind w:firstLine="709"/>
        <w:jc w:val="both"/>
        <w:rPr>
          <w:rFonts w:ascii="Verdana" w:hAnsi="Verdana"/>
          <w:sz w:val="18"/>
          <w:szCs w:val="18"/>
          <w:lang w:val="es-CO"/>
        </w:rPr>
      </w:pPr>
      <w:r w:rsidRPr="00DF7B90">
        <w:rPr>
          <w:rStyle w:val="Refdenotaalpie"/>
          <w:rFonts w:ascii="Verdana" w:hAnsi="Verdana"/>
          <w:sz w:val="18"/>
          <w:szCs w:val="18"/>
        </w:rPr>
        <w:footnoteRef/>
      </w:r>
      <w:r w:rsidRPr="00DF7B90">
        <w:rPr>
          <w:rFonts w:ascii="Verdana" w:hAnsi="Verdana"/>
          <w:sz w:val="18"/>
          <w:szCs w:val="18"/>
        </w:rPr>
        <w:t xml:space="preserve"> </w:t>
      </w:r>
      <w:r w:rsidRPr="00DF7B90">
        <w:rPr>
          <w:rFonts w:ascii="Verdana" w:hAnsi="Verdana"/>
          <w:sz w:val="18"/>
          <w:szCs w:val="18"/>
          <w:lang w:val="es-CO"/>
        </w:rPr>
        <w:t xml:space="preserve">Consejo de Estado. Sección tercera. Sentencia del 18 de noviembre de 2024. </w:t>
      </w:r>
      <w:proofErr w:type="spellStart"/>
      <w:r w:rsidRPr="00DF7B90">
        <w:rPr>
          <w:rFonts w:ascii="Verdana" w:hAnsi="Verdana"/>
          <w:sz w:val="18"/>
          <w:szCs w:val="18"/>
          <w:lang w:val="es-CO"/>
        </w:rPr>
        <w:t>Exp</w:t>
      </w:r>
      <w:proofErr w:type="spellEnd"/>
      <w:r w:rsidRPr="00DF7B90">
        <w:rPr>
          <w:rFonts w:ascii="Verdana" w:hAnsi="Verdana"/>
          <w:sz w:val="18"/>
          <w:szCs w:val="18"/>
          <w:lang w:val="es-CO"/>
        </w:rPr>
        <w:t xml:space="preserve">. 66750. C.P María Adriana Marina.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5pt;height:11.3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2F3AAE"/>
    <w:multiLevelType w:val="hybridMultilevel"/>
    <w:tmpl w:val="5C0A57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10488472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2FE0"/>
    <w:rsid w:val="00016F78"/>
    <w:rsid w:val="00046945"/>
    <w:rsid w:val="00061B2A"/>
    <w:rsid w:val="00082362"/>
    <w:rsid w:val="000A683E"/>
    <w:rsid w:val="000B19B9"/>
    <w:rsid w:val="000C095A"/>
    <w:rsid w:val="000D0334"/>
    <w:rsid w:val="000D2F71"/>
    <w:rsid w:val="000D5DA7"/>
    <w:rsid w:val="000F6486"/>
    <w:rsid w:val="00116940"/>
    <w:rsid w:val="00125105"/>
    <w:rsid w:val="00127233"/>
    <w:rsid w:val="0015699B"/>
    <w:rsid w:val="001A33BF"/>
    <w:rsid w:val="001E4177"/>
    <w:rsid w:val="001F0B24"/>
    <w:rsid w:val="001F7B57"/>
    <w:rsid w:val="001F7DC6"/>
    <w:rsid w:val="002116EF"/>
    <w:rsid w:val="0022400B"/>
    <w:rsid w:val="002319CB"/>
    <w:rsid w:val="002421BB"/>
    <w:rsid w:val="0025796E"/>
    <w:rsid w:val="002707A2"/>
    <w:rsid w:val="002951A0"/>
    <w:rsid w:val="002962BC"/>
    <w:rsid w:val="002A093D"/>
    <w:rsid w:val="002A0DD0"/>
    <w:rsid w:val="002A49AC"/>
    <w:rsid w:val="002A64FD"/>
    <w:rsid w:val="002C7A84"/>
    <w:rsid w:val="002E2BF8"/>
    <w:rsid w:val="002E4FD9"/>
    <w:rsid w:val="0030657A"/>
    <w:rsid w:val="00310E40"/>
    <w:rsid w:val="00322A85"/>
    <w:rsid w:val="00324168"/>
    <w:rsid w:val="00330834"/>
    <w:rsid w:val="003448F4"/>
    <w:rsid w:val="00357E11"/>
    <w:rsid w:val="00374F5E"/>
    <w:rsid w:val="00377E3E"/>
    <w:rsid w:val="003866EF"/>
    <w:rsid w:val="0039199B"/>
    <w:rsid w:val="003A779E"/>
    <w:rsid w:val="003D0F4D"/>
    <w:rsid w:val="003D5B0D"/>
    <w:rsid w:val="003D7CBB"/>
    <w:rsid w:val="003E0499"/>
    <w:rsid w:val="003E4F80"/>
    <w:rsid w:val="003E6439"/>
    <w:rsid w:val="003F3941"/>
    <w:rsid w:val="003F4272"/>
    <w:rsid w:val="00406575"/>
    <w:rsid w:val="00411C81"/>
    <w:rsid w:val="00414C74"/>
    <w:rsid w:val="0042722E"/>
    <w:rsid w:val="0044528D"/>
    <w:rsid w:val="00466E39"/>
    <w:rsid w:val="00481242"/>
    <w:rsid w:val="00492C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2564A"/>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33901"/>
    <w:rsid w:val="00844AE9"/>
    <w:rsid w:val="00867F95"/>
    <w:rsid w:val="008843B6"/>
    <w:rsid w:val="00891928"/>
    <w:rsid w:val="008A446D"/>
    <w:rsid w:val="008B25F1"/>
    <w:rsid w:val="008D180B"/>
    <w:rsid w:val="008F0EA7"/>
    <w:rsid w:val="00903C61"/>
    <w:rsid w:val="00923EEF"/>
    <w:rsid w:val="009419F9"/>
    <w:rsid w:val="0095685E"/>
    <w:rsid w:val="00961B09"/>
    <w:rsid w:val="00965334"/>
    <w:rsid w:val="0097093E"/>
    <w:rsid w:val="009A0DFA"/>
    <w:rsid w:val="009A1C6F"/>
    <w:rsid w:val="009B2D26"/>
    <w:rsid w:val="009C0D40"/>
    <w:rsid w:val="009C71FA"/>
    <w:rsid w:val="009C72E7"/>
    <w:rsid w:val="009C7F7E"/>
    <w:rsid w:val="009D3058"/>
    <w:rsid w:val="009F3A13"/>
    <w:rsid w:val="00A122D3"/>
    <w:rsid w:val="00A14468"/>
    <w:rsid w:val="00A17F13"/>
    <w:rsid w:val="00A20739"/>
    <w:rsid w:val="00A23AF9"/>
    <w:rsid w:val="00A33C78"/>
    <w:rsid w:val="00AB0ADB"/>
    <w:rsid w:val="00AF3807"/>
    <w:rsid w:val="00B00C0E"/>
    <w:rsid w:val="00B01B1A"/>
    <w:rsid w:val="00B0381D"/>
    <w:rsid w:val="00B21E17"/>
    <w:rsid w:val="00B44A47"/>
    <w:rsid w:val="00B72CD3"/>
    <w:rsid w:val="00B72FFF"/>
    <w:rsid w:val="00BC3D36"/>
    <w:rsid w:val="00BD54A6"/>
    <w:rsid w:val="00BD7F72"/>
    <w:rsid w:val="00BE4BC1"/>
    <w:rsid w:val="00BF7425"/>
    <w:rsid w:val="00C04FB3"/>
    <w:rsid w:val="00C11D8B"/>
    <w:rsid w:val="00C15139"/>
    <w:rsid w:val="00C330EB"/>
    <w:rsid w:val="00C50D69"/>
    <w:rsid w:val="00C51D69"/>
    <w:rsid w:val="00C5365C"/>
    <w:rsid w:val="00C743BF"/>
    <w:rsid w:val="00C754BE"/>
    <w:rsid w:val="00C76B1C"/>
    <w:rsid w:val="00C925AC"/>
    <w:rsid w:val="00CB6357"/>
    <w:rsid w:val="00CC1B26"/>
    <w:rsid w:val="00D361FD"/>
    <w:rsid w:val="00D423A2"/>
    <w:rsid w:val="00D44E26"/>
    <w:rsid w:val="00D520D8"/>
    <w:rsid w:val="00D63AC2"/>
    <w:rsid w:val="00D7383B"/>
    <w:rsid w:val="00D7788A"/>
    <w:rsid w:val="00DA1D4D"/>
    <w:rsid w:val="00DA231B"/>
    <w:rsid w:val="00DC39FC"/>
    <w:rsid w:val="00DE7DA7"/>
    <w:rsid w:val="00DF5254"/>
    <w:rsid w:val="00E02524"/>
    <w:rsid w:val="00E16408"/>
    <w:rsid w:val="00E20894"/>
    <w:rsid w:val="00E245AB"/>
    <w:rsid w:val="00E263F7"/>
    <w:rsid w:val="00E2764C"/>
    <w:rsid w:val="00E27F2E"/>
    <w:rsid w:val="00E50AFE"/>
    <w:rsid w:val="00E75C92"/>
    <w:rsid w:val="00E771DC"/>
    <w:rsid w:val="00E8201E"/>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3D7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3D7CBB"/>
    <w:pPr>
      <w:spacing w:line="240" w:lineRule="exact"/>
    </w:pPr>
    <w:rPr>
      <w:vertAlign w:val="superscript"/>
    </w:rPr>
  </w:style>
  <w:style w:type="table" w:customStyle="1" w:styleId="Tablaconcuadrcula2">
    <w:name w:val="Tabla con cuadrícula2"/>
    <w:basedOn w:val="Tablanormal"/>
    <w:next w:val="Tablaconcuadrcula"/>
    <w:uiPriority w:val="39"/>
    <w:qFormat/>
    <w:rsid w:val="003D7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866EF"/>
    <w:rPr>
      <w:sz w:val="16"/>
      <w:szCs w:val="16"/>
    </w:rPr>
  </w:style>
  <w:style w:type="paragraph" w:styleId="Textocomentario">
    <w:name w:val="annotation text"/>
    <w:basedOn w:val="Normal"/>
    <w:link w:val="TextocomentarioCar"/>
    <w:uiPriority w:val="99"/>
    <w:unhideWhenUsed/>
    <w:rsid w:val="003866EF"/>
    <w:pPr>
      <w:spacing w:line="240" w:lineRule="auto"/>
    </w:pPr>
    <w:rPr>
      <w:sz w:val="20"/>
      <w:szCs w:val="20"/>
    </w:rPr>
  </w:style>
  <w:style w:type="character" w:customStyle="1" w:styleId="TextocomentarioCar">
    <w:name w:val="Texto comentario Car"/>
    <w:basedOn w:val="Fuentedeprrafopredeter"/>
    <w:link w:val="Textocomentario"/>
    <w:uiPriority w:val="99"/>
    <w:rsid w:val="003866EF"/>
    <w:rPr>
      <w:sz w:val="20"/>
      <w:szCs w:val="20"/>
    </w:rPr>
  </w:style>
  <w:style w:type="paragraph" w:styleId="Asuntodelcomentario">
    <w:name w:val="annotation subject"/>
    <w:basedOn w:val="Textocomentario"/>
    <w:next w:val="Textocomentario"/>
    <w:link w:val="AsuntodelcomentarioCar"/>
    <w:uiPriority w:val="99"/>
    <w:semiHidden/>
    <w:unhideWhenUsed/>
    <w:rsid w:val="003866EF"/>
    <w:rPr>
      <w:b/>
      <w:bCs/>
    </w:rPr>
  </w:style>
  <w:style w:type="character" w:customStyle="1" w:styleId="AsuntodelcomentarioCar">
    <w:name w:val="Asunto del comentario Car"/>
    <w:basedOn w:val="TextocomentarioCar"/>
    <w:link w:val="Asuntodelcomentario"/>
    <w:uiPriority w:val="99"/>
    <w:semiHidden/>
    <w:rsid w:val="003866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01784EC0-29ED-4126-B9D3-28645451DA9B}"/>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19</Pages>
  <Words>6167</Words>
  <Characters>33923</Characters>
  <Application>Microsoft Office Word</Application>
  <DocSecurity>0</DocSecurity>
  <Lines>282</Lines>
  <Paragraphs>80</Paragraphs>
  <ScaleCrop>false</ScaleCrop>
  <Company/>
  <LinksUpToDate>false</LinksUpToDate>
  <CharactersWithSpaces>40010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Herrera</cp:lastModifiedBy>
  <cp:revision>4</cp:revision>
  <cp:lastPrinted>2023-01-10T21:18:00Z</cp:lastPrinted>
  <dcterms:created xsi:type="dcterms:W3CDTF">2026-08-18T21:13:00Z</dcterms:created>
  <dcterms:modified xsi:type="dcterms:W3CDTF">2026-08-18T21:15:00Z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