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86DD5" w14:textId="77777777" w:rsidR="00347903" w:rsidRDefault="00347903" w:rsidP="00347903">
      <w:pPr>
        <w:jc w:val="both"/>
        <w:rPr>
          <w:rFonts w:ascii="Verdana" w:eastAsia="Aptos" w:hAnsi="Verdana" w:cs="Times New Roman"/>
          <w:b/>
          <w:bCs/>
        </w:rPr>
      </w:pPr>
      <w:bookmarkStart w:id="0" w:name="_Hlk143780582"/>
      <w:r w:rsidRPr="00347903">
        <w:rPr>
          <w:rFonts w:ascii="Verdana" w:eastAsia="Aptos" w:hAnsi="Verdana" w:cs="Times New Roman"/>
          <w:b/>
          <w:bCs/>
        </w:rPr>
        <w:t xml:space="preserve">CLÁUSULAS EXCEPCIONALES – Finalidad </w:t>
      </w:r>
    </w:p>
    <w:p w14:paraId="0F921957" w14:textId="313875EE" w:rsidR="00C95D39" w:rsidRDefault="00C95D39" w:rsidP="00C95D39">
      <w:pPr>
        <w:spacing w:after="0" w:line="240" w:lineRule="auto"/>
        <w:jc w:val="both"/>
        <w:rPr>
          <w:rFonts w:ascii="Verdana" w:hAnsi="Verdana" w:cs="Arial"/>
          <w:color w:val="000000" w:themeColor="text1"/>
          <w:sz w:val="20"/>
          <w:szCs w:val="20"/>
          <w:lang w:val="es-MX"/>
        </w:rPr>
      </w:pPr>
      <w:r w:rsidRPr="00C95D39">
        <w:rPr>
          <w:rFonts w:ascii="Verdana" w:hAnsi="Verdana" w:cs="Arial"/>
          <w:color w:val="000000" w:themeColor="text1"/>
          <w:sz w:val="20"/>
          <w:szCs w:val="20"/>
          <w:lang w:val="es-MX"/>
        </w:rPr>
        <w:t>En relación con las cláusulas excepcionales al derecho común de terminación, interpretación y modificación unilaterales, el numeral 2 del mencionado artículo 14 regula su ejercicio en atención al tipo de contrato de que se trate. En la exposición de motivos de la Ley 80 de 1993 se establece que la administración debe estar dotada de mecanismos eficaces, así fueren excepcionales, que contribuyan a la adecuada realización de la finalidad contractual y de los fines estatales. Es por eso por lo que, cuando se presenten circunstancias que amenacen la paralización de los servicios, las entidades públicas pueden tomar medidas que conduzcan a garantizar la continua y adecuada prestación del servicio, con fundamento en la prevalencia del interés público sobre el particular.</w:t>
      </w:r>
    </w:p>
    <w:p w14:paraId="04544DC7" w14:textId="77777777" w:rsidR="00C95D39" w:rsidRDefault="00C95D39" w:rsidP="00C95D39">
      <w:pPr>
        <w:spacing w:after="0" w:line="240" w:lineRule="auto"/>
        <w:jc w:val="both"/>
        <w:rPr>
          <w:rFonts w:ascii="Verdana" w:hAnsi="Verdana" w:cs="Arial"/>
          <w:color w:val="000000" w:themeColor="text1"/>
          <w:sz w:val="20"/>
          <w:szCs w:val="20"/>
          <w:lang w:val="es-MX"/>
        </w:rPr>
      </w:pPr>
    </w:p>
    <w:p w14:paraId="2F71CAFD" w14:textId="77777777" w:rsidR="00C95D39" w:rsidRDefault="00C95D39" w:rsidP="00C95D39">
      <w:pPr>
        <w:spacing w:after="0" w:line="240" w:lineRule="auto"/>
        <w:jc w:val="both"/>
        <w:rPr>
          <w:rFonts w:ascii="Verdana" w:hAnsi="Verdana" w:cs="Arial"/>
          <w:color w:val="000000" w:themeColor="text1"/>
          <w:sz w:val="20"/>
          <w:szCs w:val="20"/>
          <w:lang w:val="es-MX"/>
        </w:rPr>
      </w:pPr>
      <w:r w:rsidRPr="00C95D39">
        <w:rPr>
          <w:rFonts w:ascii="Verdana" w:hAnsi="Verdana" w:cs="Arial"/>
          <w:color w:val="000000" w:themeColor="text1"/>
          <w:sz w:val="20"/>
          <w:szCs w:val="20"/>
          <w:lang w:val="es-MX"/>
        </w:rPr>
        <w:t>En este sentido, los motivos aducidos por la entidad estatal para ejercer las cláusulas excepcionales deben ser graves, ya que no cualquier hecho puede provocarla pues son inescindibles al interés general, sin que se pueda desconocer las compensaciones e indemnizaciones a que tendrán derecho las personas objeto de tales medidas, traducida en la contraprestación necesaria para mantener la igualdad contractual</w:t>
      </w:r>
      <w:r w:rsidRPr="00792E4B">
        <w:rPr>
          <w:rFonts w:ascii="Verdana" w:hAnsi="Verdana" w:cs="Arial"/>
          <w:color w:val="000000" w:themeColor="text1"/>
          <w:lang w:val="es-MX"/>
        </w:rPr>
        <w:t>.</w:t>
      </w:r>
    </w:p>
    <w:p w14:paraId="7E1FE741" w14:textId="77777777" w:rsidR="00C95D39" w:rsidRDefault="00C95D39" w:rsidP="00C95D39">
      <w:pPr>
        <w:spacing w:after="0" w:line="240" w:lineRule="auto"/>
        <w:jc w:val="both"/>
        <w:rPr>
          <w:rFonts w:ascii="Verdana" w:hAnsi="Verdana" w:cs="Arial"/>
          <w:color w:val="000000" w:themeColor="text1"/>
          <w:sz w:val="20"/>
          <w:szCs w:val="20"/>
          <w:lang w:val="es-MX"/>
        </w:rPr>
      </w:pPr>
    </w:p>
    <w:p w14:paraId="77CA79A9" w14:textId="3B85266D" w:rsidR="00347903" w:rsidRDefault="00347903" w:rsidP="00C95D39">
      <w:pPr>
        <w:spacing w:after="0" w:line="240" w:lineRule="auto"/>
        <w:jc w:val="both"/>
        <w:rPr>
          <w:rFonts w:ascii="Verdana" w:eastAsia="Aptos" w:hAnsi="Verdana" w:cs="Times New Roman"/>
          <w:b/>
          <w:bCs/>
        </w:rPr>
      </w:pPr>
      <w:r w:rsidRPr="00347903">
        <w:rPr>
          <w:rFonts w:ascii="Verdana" w:eastAsia="Aptos" w:hAnsi="Verdana" w:cs="Times New Roman"/>
          <w:b/>
          <w:bCs/>
        </w:rPr>
        <w:t xml:space="preserve">TERMINACIÓN UNILATERAL DEL CONTRATO – Requisitos – Finalidad - Efectos </w:t>
      </w:r>
    </w:p>
    <w:p w14:paraId="4033CA53" w14:textId="77777777" w:rsidR="00C95D39" w:rsidRDefault="00C95D39" w:rsidP="00C95D39">
      <w:pPr>
        <w:spacing w:after="0" w:line="240" w:lineRule="auto"/>
        <w:jc w:val="both"/>
        <w:rPr>
          <w:rFonts w:ascii="Verdana" w:eastAsia="Aptos" w:hAnsi="Verdana" w:cs="Times New Roman"/>
          <w:b/>
          <w:bCs/>
        </w:rPr>
      </w:pPr>
    </w:p>
    <w:p w14:paraId="219319CB" w14:textId="77777777" w:rsidR="00C95D39" w:rsidRDefault="00C95D39" w:rsidP="00C95D39">
      <w:pPr>
        <w:spacing w:after="0" w:line="240" w:lineRule="auto"/>
        <w:jc w:val="both"/>
        <w:rPr>
          <w:rFonts w:ascii="Verdana" w:hAnsi="Verdana" w:cs="Arial"/>
          <w:color w:val="000000" w:themeColor="text1"/>
          <w:sz w:val="20"/>
          <w:szCs w:val="20"/>
          <w:lang w:val="es-MX"/>
        </w:rPr>
      </w:pPr>
      <w:r w:rsidRPr="00C95D39">
        <w:rPr>
          <w:rFonts w:ascii="Verdana" w:hAnsi="Verdana" w:cs="Arial"/>
          <w:color w:val="000000" w:themeColor="text1"/>
          <w:sz w:val="20"/>
          <w:szCs w:val="20"/>
          <w:lang w:val="es-MX"/>
        </w:rPr>
        <w:t xml:space="preserve">En lo atinente a la terminación unilateral del contrato, si bien la ley otorga a las entidades públicas la potestad de actuar en ejercicio de una facultad exorbitante, les impone el cumplimiento de presupuestos de forzosa aplicación y a la vez restringe la medida a los eventos previstos en la misma. Efectivamente, para declarar la terminación unilateral se requiere i) que la manifestación de la voluntad de la administración se materialice en un acto administrativo, </w:t>
      </w:r>
      <w:proofErr w:type="spellStart"/>
      <w:r w:rsidRPr="00C95D39">
        <w:rPr>
          <w:rFonts w:ascii="Verdana" w:hAnsi="Verdana" w:cs="Arial"/>
          <w:color w:val="000000" w:themeColor="text1"/>
          <w:sz w:val="20"/>
          <w:szCs w:val="20"/>
          <w:lang w:val="es-MX"/>
        </w:rPr>
        <w:t>ii</w:t>
      </w:r>
      <w:proofErr w:type="spellEnd"/>
      <w:r w:rsidRPr="00C95D39">
        <w:rPr>
          <w:rFonts w:ascii="Verdana" w:hAnsi="Verdana" w:cs="Arial"/>
          <w:color w:val="000000" w:themeColor="text1"/>
          <w:sz w:val="20"/>
          <w:szCs w:val="20"/>
          <w:lang w:val="es-MX"/>
        </w:rPr>
        <w:t xml:space="preserve">) que dicho acto debe ser el resultado de un análisis soportado en la realidad del contrato, es decir, debe estar debidamente motivado y </w:t>
      </w:r>
      <w:proofErr w:type="spellStart"/>
      <w:r w:rsidRPr="00C95D39">
        <w:rPr>
          <w:rFonts w:ascii="Verdana" w:hAnsi="Verdana" w:cs="Arial"/>
          <w:color w:val="000000" w:themeColor="text1"/>
          <w:sz w:val="20"/>
          <w:szCs w:val="20"/>
          <w:lang w:val="es-MX"/>
        </w:rPr>
        <w:t>iii</w:t>
      </w:r>
      <w:proofErr w:type="spellEnd"/>
      <w:r w:rsidRPr="00C95D39">
        <w:rPr>
          <w:rFonts w:ascii="Verdana" w:hAnsi="Verdana" w:cs="Arial"/>
          <w:color w:val="000000" w:themeColor="text1"/>
          <w:sz w:val="20"/>
          <w:szCs w:val="20"/>
          <w:lang w:val="es-MX"/>
        </w:rPr>
        <w:t>) que la causal que se alegue en la decisión se encuentre enmarcada en los eventos que la ley ha dispuesto.</w:t>
      </w:r>
    </w:p>
    <w:p w14:paraId="049AD7CC" w14:textId="77777777" w:rsidR="00C95D39" w:rsidRDefault="00C95D39" w:rsidP="00C95D39">
      <w:pPr>
        <w:spacing w:after="0" w:line="240" w:lineRule="auto"/>
        <w:jc w:val="both"/>
        <w:rPr>
          <w:rFonts w:ascii="Verdana" w:hAnsi="Verdana" w:cs="Arial"/>
          <w:color w:val="000000" w:themeColor="text1"/>
          <w:sz w:val="20"/>
          <w:szCs w:val="20"/>
          <w:lang w:val="es-MX"/>
        </w:rPr>
      </w:pPr>
    </w:p>
    <w:p w14:paraId="0644D817" w14:textId="374F9F30" w:rsidR="00C95D39" w:rsidRDefault="00C95D39" w:rsidP="00C95D39">
      <w:pPr>
        <w:spacing w:after="0" w:line="240" w:lineRule="auto"/>
        <w:jc w:val="both"/>
        <w:rPr>
          <w:rFonts w:ascii="Verdana" w:hAnsi="Verdana" w:cs="Arial"/>
          <w:color w:val="000000" w:themeColor="text1"/>
          <w:sz w:val="20"/>
          <w:szCs w:val="20"/>
          <w:lang w:val="es-MX"/>
        </w:rPr>
      </w:pPr>
      <w:r>
        <w:rPr>
          <w:rFonts w:ascii="Verdana" w:hAnsi="Verdana" w:cs="Arial"/>
          <w:color w:val="000000" w:themeColor="text1"/>
          <w:sz w:val="20"/>
          <w:szCs w:val="20"/>
          <w:lang w:val="es-MX"/>
        </w:rPr>
        <w:t>[…]</w:t>
      </w:r>
    </w:p>
    <w:p w14:paraId="3C9275BC" w14:textId="77777777" w:rsidR="00C95D39" w:rsidRDefault="00C95D39" w:rsidP="00C95D39">
      <w:pPr>
        <w:spacing w:after="0" w:line="240" w:lineRule="auto"/>
        <w:jc w:val="both"/>
        <w:rPr>
          <w:rFonts w:ascii="Verdana" w:hAnsi="Verdana" w:cs="Arial"/>
          <w:color w:val="000000" w:themeColor="text1"/>
          <w:sz w:val="20"/>
          <w:szCs w:val="20"/>
          <w:lang w:val="es-MX"/>
        </w:rPr>
      </w:pPr>
    </w:p>
    <w:p w14:paraId="09E01F87" w14:textId="3C2A28C2" w:rsidR="00C95D39" w:rsidRDefault="00C95D39" w:rsidP="00C95D39">
      <w:pPr>
        <w:spacing w:after="0" w:line="240" w:lineRule="auto"/>
        <w:jc w:val="both"/>
        <w:rPr>
          <w:rFonts w:ascii="Verdana" w:hAnsi="Verdana" w:cs="Arial"/>
          <w:color w:val="000000" w:themeColor="text1"/>
          <w:sz w:val="20"/>
          <w:szCs w:val="20"/>
          <w:lang w:val="es-MX"/>
        </w:rPr>
      </w:pPr>
      <w:r w:rsidRPr="00C95D39">
        <w:rPr>
          <w:rFonts w:ascii="Verdana" w:hAnsi="Verdana" w:cs="Arial"/>
          <w:color w:val="000000" w:themeColor="text1"/>
          <w:sz w:val="20"/>
          <w:szCs w:val="20"/>
          <w:lang w:val="es-MX"/>
        </w:rPr>
        <w:t xml:space="preserve">Esta figura no tiene como finalidad sancionar al contratista, sino que se encuentra dirigida a evitar la paralización del contrato estatal y garantizar su correcta ejecución. </w:t>
      </w:r>
    </w:p>
    <w:p w14:paraId="6858E972" w14:textId="77777777" w:rsidR="00C95D39" w:rsidRDefault="00C95D39" w:rsidP="00C95D39">
      <w:pPr>
        <w:spacing w:after="0" w:line="240" w:lineRule="auto"/>
        <w:jc w:val="both"/>
        <w:rPr>
          <w:rFonts w:ascii="Verdana" w:hAnsi="Verdana" w:cs="Arial"/>
          <w:color w:val="000000" w:themeColor="text1"/>
          <w:sz w:val="20"/>
          <w:szCs w:val="20"/>
          <w:lang w:val="es-MX"/>
        </w:rPr>
      </w:pPr>
    </w:p>
    <w:p w14:paraId="54F5B1B7" w14:textId="4048DA2C" w:rsidR="00C95D39" w:rsidRDefault="00C95D39" w:rsidP="00C95D39">
      <w:pPr>
        <w:spacing w:after="0" w:line="240" w:lineRule="auto"/>
        <w:jc w:val="both"/>
        <w:rPr>
          <w:rFonts w:ascii="Verdana" w:hAnsi="Verdana" w:cs="Arial"/>
          <w:color w:val="000000" w:themeColor="text1"/>
          <w:sz w:val="20"/>
          <w:szCs w:val="20"/>
          <w:lang w:val="es-MX"/>
        </w:rPr>
      </w:pPr>
      <w:r>
        <w:rPr>
          <w:rFonts w:ascii="Verdana" w:hAnsi="Verdana" w:cs="Arial"/>
          <w:color w:val="000000" w:themeColor="text1"/>
          <w:sz w:val="20"/>
          <w:szCs w:val="20"/>
          <w:lang w:val="es-MX"/>
        </w:rPr>
        <w:t>[…] la ter</w:t>
      </w:r>
      <w:r w:rsidRPr="00C95D39">
        <w:rPr>
          <w:rFonts w:ascii="Verdana" w:hAnsi="Verdana" w:cs="Arial"/>
          <w:color w:val="000000" w:themeColor="text1"/>
          <w:sz w:val="20"/>
          <w:szCs w:val="20"/>
          <w:lang w:val="es-MX"/>
        </w:rPr>
        <w:t>minación unilateral del contrato es una prerrogativa excepcional que, lejos de fungir como un acto represivo contra el contratista o en contra de la ejecución del contrato mismo, constituye una herramienta cuyo fin exclusivo es el de lograr el cabal cumplimiento de los cometidos estatales. En todo caso, el ejercicio de esta potestad supone el reconocimiento y pago de las compensaciones e indemnizaciones a las que haya lugar, así como la aplicación de los mecanismos de reajuste. Lo anterior indica que la terminación unilateral del contrato estatal no entraña una sanción, por lo que, a partir de su ejecutoria no se genera inhabilidad para el contratista por este solo hecho.</w:t>
      </w:r>
    </w:p>
    <w:p w14:paraId="3E006D33" w14:textId="77777777" w:rsidR="000E0D20" w:rsidRDefault="000E0D20" w:rsidP="00C95D39">
      <w:pPr>
        <w:spacing w:after="0" w:line="240" w:lineRule="auto"/>
        <w:jc w:val="both"/>
        <w:rPr>
          <w:rFonts w:ascii="Verdana" w:hAnsi="Verdana" w:cs="Arial"/>
          <w:color w:val="000000" w:themeColor="text1"/>
          <w:sz w:val="20"/>
          <w:szCs w:val="20"/>
          <w:lang w:val="es-MX"/>
        </w:rPr>
      </w:pPr>
    </w:p>
    <w:p w14:paraId="4BC1FD55" w14:textId="47C6EE88" w:rsidR="000E0D20" w:rsidRPr="000E0D20" w:rsidRDefault="000E0D20" w:rsidP="00C95D39">
      <w:pPr>
        <w:spacing w:after="0" w:line="240" w:lineRule="auto"/>
        <w:jc w:val="both"/>
        <w:rPr>
          <w:rFonts w:ascii="Verdana" w:hAnsi="Verdana" w:cs="Arial"/>
          <w:color w:val="000000" w:themeColor="text1"/>
          <w:sz w:val="20"/>
          <w:szCs w:val="20"/>
          <w:lang w:val="es-MX"/>
        </w:rPr>
      </w:pPr>
      <w:r w:rsidRPr="000E0D20">
        <w:rPr>
          <w:rFonts w:ascii="Verdana" w:hAnsi="Verdana" w:cs="Arial"/>
          <w:color w:val="000000"/>
          <w:sz w:val="20"/>
          <w:szCs w:val="20"/>
          <w:shd w:val="clear" w:color="auto" w:fill="FFFFFF"/>
          <w:lang w:val="es-MX" w:eastAsia="es-CO"/>
        </w:rPr>
        <w:lastRenderedPageBreak/>
        <w:t xml:space="preserve">Así mismo, según lo dispuesto por el Consejo de Estado i) la terminación produce el efecto de poner fin de manera anticipada el respectivo contrato estatal, </w:t>
      </w:r>
      <w:proofErr w:type="spellStart"/>
      <w:r w:rsidRPr="000E0D20">
        <w:rPr>
          <w:rFonts w:ascii="Verdana" w:hAnsi="Verdana" w:cs="Arial"/>
          <w:color w:val="000000"/>
          <w:sz w:val="20"/>
          <w:szCs w:val="20"/>
          <w:shd w:val="clear" w:color="auto" w:fill="FFFFFF"/>
          <w:lang w:val="es-MX" w:eastAsia="es-CO"/>
        </w:rPr>
        <w:t>ii</w:t>
      </w:r>
      <w:proofErr w:type="spellEnd"/>
      <w:r w:rsidRPr="000E0D20">
        <w:rPr>
          <w:rFonts w:ascii="Verdana" w:hAnsi="Verdana" w:cs="Arial"/>
          <w:color w:val="000000"/>
          <w:sz w:val="20"/>
          <w:szCs w:val="20"/>
          <w:shd w:val="clear" w:color="auto" w:fill="FFFFFF"/>
          <w:lang w:val="es-MX" w:eastAsia="es-CO"/>
        </w:rPr>
        <w:t xml:space="preserve">) la declaratoria supone un verdadero acto administrativo de naturaleza contractual y sujeto a control jurisdiccional, </w:t>
      </w:r>
      <w:proofErr w:type="spellStart"/>
      <w:r w:rsidRPr="000E0D20">
        <w:rPr>
          <w:rFonts w:ascii="Verdana" w:hAnsi="Verdana" w:cs="Arial"/>
          <w:color w:val="000000"/>
          <w:sz w:val="20"/>
          <w:szCs w:val="20"/>
          <w:shd w:val="clear" w:color="auto" w:fill="FFFFFF"/>
          <w:lang w:val="es-MX" w:eastAsia="es-CO"/>
        </w:rPr>
        <w:t>iii</w:t>
      </w:r>
      <w:proofErr w:type="spellEnd"/>
      <w:r w:rsidRPr="000E0D20">
        <w:rPr>
          <w:rFonts w:ascii="Verdana" w:hAnsi="Verdana" w:cs="Arial"/>
          <w:color w:val="000000"/>
          <w:sz w:val="20"/>
          <w:szCs w:val="20"/>
          <w:shd w:val="clear" w:color="auto" w:fill="FFFFFF"/>
          <w:lang w:val="es-MX" w:eastAsia="es-CO"/>
        </w:rPr>
        <w:t xml:space="preserve">) deberá proceder la liquidación del contrato una vez ejecutoriada la decisión correspondiente y </w:t>
      </w:r>
      <w:proofErr w:type="spellStart"/>
      <w:r w:rsidRPr="000E0D20">
        <w:rPr>
          <w:rFonts w:ascii="Verdana" w:hAnsi="Verdana" w:cs="Arial"/>
          <w:color w:val="000000"/>
          <w:sz w:val="20"/>
          <w:szCs w:val="20"/>
          <w:shd w:val="clear" w:color="auto" w:fill="FFFFFF"/>
          <w:lang w:val="es-MX" w:eastAsia="es-CO"/>
        </w:rPr>
        <w:t>iv</w:t>
      </w:r>
      <w:proofErr w:type="spellEnd"/>
      <w:r w:rsidRPr="000E0D20">
        <w:rPr>
          <w:rFonts w:ascii="Verdana" w:hAnsi="Verdana" w:cs="Arial"/>
          <w:color w:val="000000"/>
          <w:sz w:val="20"/>
          <w:szCs w:val="20"/>
          <w:shd w:val="clear" w:color="auto" w:fill="FFFFFF"/>
          <w:lang w:val="es-MX" w:eastAsia="es-CO"/>
        </w:rPr>
        <w:t>) la terminación unilateral y anticipada del contrato solo es posible aplicarla respecto de los contratos vigentes</w:t>
      </w:r>
      <w:r w:rsidRPr="000E0D20">
        <w:rPr>
          <w:rFonts w:ascii="Verdana" w:hAnsi="Verdana" w:cs="Arial"/>
          <w:color w:val="000000"/>
          <w:sz w:val="20"/>
          <w:szCs w:val="20"/>
          <w:shd w:val="clear" w:color="auto" w:fill="FFFFFF"/>
          <w:lang w:val="es-MX" w:eastAsia="es-CO"/>
        </w:rPr>
        <w:t>.</w:t>
      </w:r>
    </w:p>
    <w:p w14:paraId="0FFE15B2" w14:textId="77777777" w:rsidR="00C95D39" w:rsidRPr="00C95D39" w:rsidRDefault="00C95D39" w:rsidP="00C95D39">
      <w:pPr>
        <w:spacing w:after="0" w:line="240" w:lineRule="auto"/>
        <w:jc w:val="both"/>
        <w:rPr>
          <w:rFonts w:ascii="Verdana" w:hAnsi="Verdana" w:cs="Arial"/>
          <w:color w:val="000000" w:themeColor="text1"/>
          <w:sz w:val="20"/>
          <w:szCs w:val="20"/>
          <w:lang w:val="es-MX"/>
        </w:rPr>
      </w:pPr>
    </w:p>
    <w:p w14:paraId="6474E813" w14:textId="77777777" w:rsidR="00347903" w:rsidRDefault="00347903" w:rsidP="00347903">
      <w:pPr>
        <w:jc w:val="both"/>
        <w:rPr>
          <w:rFonts w:ascii="Verdana" w:hAnsi="Verdana" w:cs="Arial"/>
          <w:b/>
          <w:bCs/>
          <w:lang w:val="es-ES_tradnl" w:eastAsia="es-ES" w:bidi="es-ES"/>
        </w:rPr>
      </w:pPr>
      <w:r w:rsidRPr="00347903">
        <w:rPr>
          <w:rFonts w:ascii="Verdana" w:eastAsia="Aptos" w:hAnsi="Verdana" w:cs="Times New Roman"/>
          <w:b/>
          <w:bCs/>
        </w:rPr>
        <w:t xml:space="preserve">PRINCIPIO DE PUBLICIDAD - </w:t>
      </w:r>
      <w:r w:rsidRPr="00347903">
        <w:rPr>
          <w:rFonts w:ascii="Verdana" w:eastAsia="Arial" w:hAnsi="Verdana" w:cs="Arial"/>
          <w:b/>
          <w:bCs/>
          <w:lang w:val="es-ES"/>
        </w:rPr>
        <w:t>Concepto – Fundamento constitucional</w:t>
      </w:r>
      <w:r w:rsidRPr="00347903">
        <w:rPr>
          <w:rFonts w:ascii="Verdana" w:hAnsi="Verdana" w:cs="Arial"/>
          <w:b/>
          <w:bCs/>
          <w:lang w:val="es-ES_tradnl" w:eastAsia="es-ES" w:bidi="es-ES"/>
        </w:rPr>
        <w:t xml:space="preserve"> </w:t>
      </w:r>
    </w:p>
    <w:p w14:paraId="44D6462E" w14:textId="1BE3E970" w:rsidR="000E0D20" w:rsidRPr="000E0D20" w:rsidRDefault="000E0D20" w:rsidP="000E0D20">
      <w:pPr>
        <w:spacing w:after="0" w:line="240" w:lineRule="auto"/>
        <w:jc w:val="both"/>
        <w:rPr>
          <w:rFonts w:ascii="Verdana" w:hAnsi="Verdana" w:cs="Arial"/>
          <w:sz w:val="20"/>
          <w:szCs w:val="20"/>
          <w:lang w:val="es-ES" w:eastAsia="es-ES" w:bidi="es-ES"/>
        </w:rPr>
      </w:pPr>
      <w:r>
        <w:rPr>
          <w:rFonts w:ascii="Verdana" w:hAnsi="Verdana" w:cs="Arial"/>
          <w:sz w:val="20"/>
          <w:szCs w:val="20"/>
          <w:lang w:val="es-ES" w:eastAsia="es-ES" w:bidi="es-ES"/>
        </w:rPr>
        <w:t xml:space="preserve">[…] </w:t>
      </w:r>
      <w:r w:rsidRPr="000E0D20">
        <w:rPr>
          <w:rFonts w:ascii="Verdana" w:hAnsi="Verdana" w:cs="Arial"/>
          <w:sz w:val="20"/>
          <w:szCs w:val="20"/>
          <w:lang w:val="es-ES" w:eastAsia="es-ES" w:bidi="es-ES"/>
        </w:rPr>
        <w:t>la Constitución Política de 1991 consagra en varios artículos la publicidad como un principio rector del Estado colombiano. Entre los más destacados, puede mencionarse el 209, que afirma que la publicidad es uno de los principios que fundamentan el ejercicio de la función administrativa, y el 74, que consagra la garantía de acceso a los documentos públicos que no gocen de reserva –y esta, además, es excepcional, pues solo procede si existe causal constitucional o legal expresa–.</w:t>
      </w:r>
    </w:p>
    <w:p w14:paraId="127C7233" w14:textId="77777777" w:rsidR="000E0D20" w:rsidRPr="000E0D20" w:rsidRDefault="000E0D20" w:rsidP="000E0D20">
      <w:pPr>
        <w:spacing w:after="0" w:line="240" w:lineRule="auto"/>
        <w:jc w:val="both"/>
        <w:rPr>
          <w:rFonts w:ascii="Verdana" w:hAnsi="Verdana" w:cs="Arial"/>
          <w:lang w:val="es-ES" w:eastAsia="es-ES" w:bidi="es-ES"/>
        </w:rPr>
      </w:pPr>
    </w:p>
    <w:p w14:paraId="0E1B2664" w14:textId="77777777" w:rsidR="00347903" w:rsidRDefault="00347903" w:rsidP="00347903">
      <w:pPr>
        <w:jc w:val="both"/>
        <w:rPr>
          <w:rFonts w:ascii="Verdana" w:hAnsi="Verdana" w:cs="Arial"/>
          <w:b/>
          <w:bCs/>
          <w:lang w:val="es-ES_tradnl" w:eastAsia="es-ES" w:bidi="es-ES"/>
        </w:rPr>
      </w:pPr>
      <w:r w:rsidRPr="00347903">
        <w:rPr>
          <w:rFonts w:ascii="Verdana" w:hAnsi="Verdana" w:cs="Arial"/>
          <w:b/>
          <w:bCs/>
          <w:lang w:val="es-ES_tradnl" w:eastAsia="es-ES" w:bidi="es-ES"/>
        </w:rPr>
        <w:t xml:space="preserve">PRINCIPIO DE PUBLICIDAD – Ley 1712 de 2014 – Sujetos Obligados </w:t>
      </w:r>
    </w:p>
    <w:p w14:paraId="414761B9" w14:textId="77777777" w:rsidR="000E0D20" w:rsidRDefault="000E0D20" w:rsidP="000E0D20">
      <w:pPr>
        <w:jc w:val="both"/>
        <w:rPr>
          <w:rFonts w:ascii="Verdana" w:eastAsia="Times New Roman" w:hAnsi="Verdana" w:cs="Arial"/>
          <w:sz w:val="20"/>
          <w:szCs w:val="20"/>
          <w:lang w:val="es-ES" w:eastAsia="es-ES"/>
          <w14:ligatures w14:val="standardContextual"/>
        </w:rPr>
      </w:pPr>
      <w:r w:rsidRPr="000E0D20">
        <w:rPr>
          <w:rFonts w:ascii="Verdana" w:eastAsia="Times New Roman" w:hAnsi="Verdana" w:cs="Arial"/>
          <w:sz w:val="20"/>
          <w:szCs w:val="20"/>
          <w:lang w:val="es-ES" w:eastAsia="es-ES"/>
          <w14:ligatures w14:val="standardContextual"/>
        </w:rPr>
        <w:t>De otra parte, la Ley 1712 de 2014 – Ley estatutaria que regula la transparencia y el derecho de acceso a la información y a los documentos públicos –, identifica como principios que orientan el derecho de acceso a la información pública, el de máxima publicidad, transparencia en la información y buena fe. El principio de máxima publicidad establece que “toda información en posesión, bajo control o custodia de un sujeto obligado es pública y no podrá ser reservada o limitada sino por disposición constitucional o legal”. El principio de transparencia en la información alude al deber de los sujetos de proporcionar y facilitar el acceso a la misma en los términos más amplios posibles, y a través de los medios y procedimientos legales. En este sentido, el artículo la Ley 1712 de 2014 establece el ámbito de ampliación, esto es, quienes son los sujetos obligados a publicar su información</w:t>
      </w:r>
      <w:r w:rsidRPr="000E0D20">
        <w:rPr>
          <w:rFonts w:ascii="Verdana" w:eastAsia="Times New Roman" w:hAnsi="Verdana" w:cs="Arial"/>
          <w:sz w:val="20"/>
          <w:szCs w:val="20"/>
          <w:lang w:val="es-ES" w:eastAsia="es-ES"/>
          <w14:ligatures w14:val="standardContextual"/>
        </w:rPr>
        <w:t>.</w:t>
      </w:r>
    </w:p>
    <w:p w14:paraId="0C0ACEFD" w14:textId="2C292399" w:rsidR="000E0D20" w:rsidRDefault="000E0D20" w:rsidP="000E0D20">
      <w:pPr>
        <w:spacing w:after="0" w:line="240" w:lineRule="auto"/>
        <w:jc w:val="both"/>
        <w:rPr>
          <w:rFonts w:ascii="Verdana" w:eastAsia="Times New Roman" w:hAnsi="Verdana" w:cs="Arial"/>
          <w:sz w:val="20"/>
          <w:szCs w:val="20"/>
          <w:lang w:val="es-ES" w:eastAsia="es-ES"/>
          <w14:ligatures w14:val="standardContextual"/>
        </w:rPr>
      </w:pPr>
      <w:r>
        <w:rPr>
          <w:rFonts w:ascii="Verdana" w:eastAsia="Times New Roman" w:hAnsi="Verdana" w:cs="Arial"/>
          <w:sz w:val="20"/>
          <w:szCs w:val="20"/>
          <w:lang w:val="es-ES" w:eastAsia="es-ES"/>
          <w14:ligatures w14:val="standardContextual"/>
        </w:rPr>
        <w:t>[…]</w:t>
      </w:r>
    </w:p>
    <w:p w14:paraId="52881F8C" w14:textId="77777777" w:rsidR="000E0D20" w:rsidRDefault="000E0D20" w:rsidP="000E0D20">
      <w:pPr>
        <w:jc w:val="both"/>
        <w:rPr>
          <w:rFonts w:ascii="Verdana" w:eastAsia="Times New Roman" w:hAnsi="Verdana" w:cs="Arial"/>
          <w:sz w:val="20"/>
          <w:szCs w:val="20"/>
          <w:lang w:val="es-ES_tradnl" w:eastAsia="es-ES"/>
          <w14:ligatures w14:val="standardContextual"/>
        </w:rPr>
      </w:pPr>
    </w:p>
    <w:p w14:paraId="47252E8A" w14:textId="6A7CD870" w:rsidR="000E0D20" w:rsidRPr="000E0D20" w:rsidRDefault="000E0D20" w:rsidP="000E0D20">
      <w:pPr>
        <w:spacing w:after="0" w:line="240" w:lineRule="auto"/>
        <w:jc w:val="both"/>
        <w:rPr>
          <w:rFonts w:ascii="Verdana" w:eastAsia="Times New Roman" w:hAnsi="Verdana" w:cs="Arial"/>
          <w:sz w:val="20"/>
          <w:szCs w:val="20"/>
          <w:lang w:val="es-ES_tradnl" w:eastAsia="es-ES"/>
          <w14:ligatures w14:val="standardContextual"/>
        </w:rPr>
      </w:pPr>
      <w:r>
        <w:rPr>
          <w:rFonts w:ascii="Verdana" w:eastAsia="Times New Roman" w:hAnsi="Verdana" w:cs="Arial"/>
          <w:sz w:val="20"/>
          <w:szCs w:val="20"/>
          <w:lang w:val="es-ES_tradnl" w:eastAsia="es-ES"/>
          <w14:ligatures w14:val="standardContextual"/>
        </w:rPr>
        <w:t xml:space="preserve">[…] </w:t>
      </w:r>
      <w:r w:rsidRPr="000E0D20">
        <w:rPr>
          <w:rFonts w:ascii="Verdana" w:eastAsia="Times New Roman" w:hAnsi="Verdana" w:cs="Arial"/>
          <w:sz w:val="20"/>
          <w:szCs w:val="20"/>
          <w:lang w:val="es-ES_tradnl" w:eastAsia="es-ES"/>
          <w14:ligatures w14:val="standardContextual"/>
        </w:rPr>
        <w:t>es pertinente señalar que el precitado artículo dispone que la Ley 1712 aplica a un amplio conjunto de sujetos obligados, incluyendo todas las entidades públicas de cualquier rama y nivel; órganos autónomos y de control; personas naturales o jurídicas, públicas o privadas, que ejerzan función pública o presten servicios públicos respecto de la información relacionada con dicha función; empresas estatales; partidos y movimientos políticos; y entidades que administren recursos públicos o parafiscales. Además, quienes reciban o intermedien fondos públicos, sin cumplir otros criterios, solo deben cumplir la ley respecto de la información vinculada a esos recursos. Finalmente, aclara que los usuarios privados de información pública no son sujetos obligados.</w:t>
      </w:r>
    </w:p>
    <w:p w14:paraId="71F09CDF" w14:textId="77777777" w:rsidR="000E0D20" w:rsidRDefault="000E0D20" w:rsidP="000E0D20">
      <w:pPr>
        <w:jc w:val="both"/>
        <w:rPr>
          <w:rFonts w:ascii="Verdana" w:hAnsi="Verdana" w:cs="Arial"/>
          <w:b/>
          <w:bCs/>
          <w:sz w:val="20"/>
          <w:szCs w:val="20"/>
          <w:lang w:val="es-ES_tradnl" w:eastAsia="es-ES" w:bidi="es-ES"/>
        </w:rPr>
      </w:pPr>
    </w:p>
    <w:p w14:paraId="71D7648C" w14:textId="77777777" w:rsidR="000E0D20" w:rsidRPr="000E0D20" w:rsidRDefault="000E0D20" w:rsidP="000E0D20">
      <w:pPr>
        <w:spacing w:after="0" w:line="240" w:lineRule="auto"/>
        <w:jc w:val="both"/>
        <w:rPr>
          <w:rFonts w:ascii="Verdana" w:hAnsi="Verdana" w:cs="Arial"/>
          <w:b/>
          <w:bCs/>
          <w:sz w:val="20"/>
          <w:szCs w:val="20"/>
          <w:lang w:val="es-ES_tradnl" w:eastAsia="es-ES" w:bidi="es-ES"/>
        </w:rPr>
      </w:pPr>
    </w:p>
    <w:p w14:paraId="00D36C75" w14:textId="73F80D17" w:rsidR="00347903" w:rsidRDefault="00347903" w:rsidP="000E0D20">
      <w:pPr>
        <w:spacing w:after="0" w:line="240" w:lineRule="auto"/>
        <w:jc w:val="both"/>
        <w:rPr>
          <w:rFonts w:ascii="Verdana" w:hAnsi="Verdana" w:cs="Arial"/>
          <w:b/>
          <w:bCs/>
          <w:lang w:val="es-ES_tradnl" w:eastAsia="es-ES" w:bidi="es-ES"/>
        </w:rPr>
      </w:pPr>
      <w:r w:rsidRPr="00347903">
        <w:rPr>
          <w:rFonts w:ascii="Verdana" w:hAnsi="Verdana" w:cs="Arial"/>
          <w:b/>
          <w:bCs/>
          <w:lang w:val="es-ES_tradnl" w:eastAsia="es-ES" w:bidi="es-ES"/>
        </w:rPr>
        <w:t xml:space="preserve">PRINCIPIO DE PUBLICIDAD – Documentos del proceso – Deber de publicación </w:t>
      </w:r>
    </w:p>
    <w:p w14:paraId="003FB3AC" w14:textId="77777777" w:rsidR="000E0D20" w:rsidRDefault="000E0D20" w:rsidP="000E0D20">
      <w:pPr>
        <w:spacing w:after="0" w:line="240" w:lineRule="auto"/>
        <w:jc w:val="both"/>
        <w:rPr>
          <w:rFonts w:ascii="Verdana" w:hAnsi="Verdana" w:cs="Arial"/>
          <w:sz w:val="20"/>
          <w:szCs w:val="20"/>
          <w:lang w:eastAsia="es-ES" w:bidi="es-ES"/>
        </w:rPr>
      </w:pPr>
    </w:p>
    <w:p w14:paraId="1E2BE9C8" w14:textId="6F3931FD" w:rsidR="000E0D20" w:rsidRPr="000E0D20" w:rsidRDefault="000E0D20" w:rsidP="000E0D20">
      <w:pPr>
        <w:spacing w:after="0" w:line="240" w:lineRule="auto"/>
        <w:jc w:val="both"/>
        <w:rPr>
          <w:rFonts w:ascii="Verdana" w:hAnsi="Verdana" w:cs="Arial"/>
          <w:sz w:val="20"/>
          <w:szCs w:val="20"/>
          <w:lang w:eastAsia="es-ES" w:bidi="es-ES"/>
        </w:rPr>
      </w:pPr>
      <w:r w:rsidRPr="000E0D20">
        <w:rPr>
          <w:rFonts w:ascii="Verdana" w:hAnsi="Verdana" w:cs="Arial"/>
          <w:sz w:val="20"/>
          <w:szCs w:val="20"/>
          <w:lang w:eastAsia="es-ES" w:bidi="es-ES"/>
        </w:rPr>
        <w:t xml:space="preserve">Asimismo, de acuerdo con el literal g) del artículo 11 de la Ley 1712 de 2014, todos los destinatarios de la Ley Estatutaria de Transparencia y Acceso a la Información Pública deben garantizar la publicidad de “sus procedimientos, lineamientos, políticas en materia de adquisiciones y compras, así como todos los datos de adjudicación y ejecución de contratos, incluidos concursos y licitaciones”, y esta información también debe estar en el SECOP. </w:t>
      </w:r>
    </w:p>
    <w:p w14:paraId="7069AAD9" w14:textId="77777777" w:rsidR="000E0D20" w:rsidRDefault="000E0D20" w:rsidP="000E0D20">
      <w:pPr>
        <w:spacing w:after="0" w:line="240" w:lineRule="auto"/>
        <w:jc w:val="both"/>
        <w:rPr>
          <w:rFonts w:ascii="Verdana" w:hAnsi="Verdana" w:cs="Arial"/>
          <w:sz w:val="20"/>
          <w:szCs w:val="20"/>
          <w:lang w:eastAsia="es-ES" w:bidi="es-ES"/>
        </w:rPr>
      </w:pPr>
    </w:p>
    <w:p w14:paraId="05ECC8FB" w14:textId="77777777" w:rsidR="000E0D20" w:rsidRDefault="000E0D20" w:rsidP="000E0D20">
      <w:pPr>
        <w:jc w:val="both"/>
        <w:rPr>
          <w:rFonts w:ascii="Verdana" w:hAnsi="Verdana" w:cs="Arial"/>
          <w:sz w:val="20"/>
          <w:szCs w:val="20"/>
          <w:lang w:eastAsia="es-ES" w:bidi="es-ES"/>
        </w:rPr>
      </w:pPr>
      <w:r>
        <w:rPr>
          <w:rFonts w:ascii="Verdana" w:hAnsi="Verdana" w:cs="Arial"/>
          <w:sz w:val="20"/>
          <w:szCs w:val="20"/>
          <w:lang w:eastAsia="es-ES" w:bidi="es-ES"/>
        </w:rPr>
        <w:t>[…]</w:t>
      </w:r>
    </w:p>
    <w:p w14:paraId="15B45029" w14:textId="1A11469F" w:rsidR="000E0D20" w:rsidRPr="000E0D20" w:rsidRDefault="000E0D20" w:rsidP="00593408">
      <w:pPr>
        <w:spacing w:after="0" w:line="240" w:lineRule="auto"/>
        <w:jc w:val="both"/>
        <w:rPr>
          <w:rFonts w:ascii="Verdana" w:hAnsi="Verdana" w:cs="Arial"/>
          <w:sz w:val="20"/>
          <w:szCs w:val="20"/>
          <w:lang w:eastAsia="es-ES" w:bidi="es-ES"/>
        </w:rPr>
      </w:pPr>
      <w:r>
        <w:rPr>
          <w:rFonts w:ascii="Verdana" w:hAnsi="Verdana" w:cs="Arial"/>
          <w:sz w:val="20"/>
          <w:szCs w:val="20"/>
          <w:lang w:eastAsia="es-ES" w:bidi="es-ES"/>
        </w:rPr>
        <w:t xml:space="preserve">[…] </w:t>
      </w:r>
      <w:r w:rsidRPr="000E0D20">
        <w:rPr>
          <w:rFonts w:ascii="Verdana" w:hAnsi="Verdana" w:cs="Arial"/>
          <w:sz w:val="20"/>
          <w:szCs w:val="20"/>
          <w:lang w:eastAsia="es-ES" w:bidi="es-ES"/>
        </w:rPr>
        <w:t>las Entidades Estatales, conforme al artículo 2.2.1.1.1.7.1 del Decreto 1082 de 2015, tienen la obligación de publicar en el SECOP “[…] los Documentos del Proceso y los actos administrativos del Proceso de Contratación, dentro de los tres (3) días siguientes a su expedición […]”.</w:t>
      </w:r>
    </w:p>
    <w:p w14:paraId="566C2DC7" w14:textId="77777777" w:rsidR="000E0D20" w:rsidRDefault="000E0D20" w:rsidP="00593408">
      <w:pPr>
        <w:spacing w:after="0" w:line="240" w:lineRule="auto"/>
        <w:jc w:val="both"/>
        <w:rPr>
          <w:rFonts w:ascii="Verdana" w:hAnsi="Verdana" w:cs="Arial"/>
          <w:sz w:val="20"/>
          <w:szCs w:val="20"/>
          <w:lang w:eastAsia="es-ES" w:bidi="es-ES"/>
        </w:rPr>
      </w:pPr>
    </w:p>
    <w:p w14:paraId="3741E600" w14:textId="77777777" w:rsidR="00593408" w:rsidRDefault="000E0D20" w:rsidP="00593408">
      <w:pPr>
        <w:spacing w:after="0" w:line="240" w:lineRule="auto"/>
        <w:jc w:val="both"/>
        <w:rPr>
          <w:rFonts w:ascii="Verdana" w:hAnsi="Verdana" w:cs="Arial"/>
          <w:sz w:val="20"/>
          <w:szCs w:val="20"/>
          <w:lang w:eastAsia="es-ES" w:bidi="es-ES"/>
        </w:rPr>
      </w:pPr>
      <w:r w:rsidRPr="000E0D20">
        <w:rPr>
          <w:rFonts w:ascii="Verdana" w:hAnsi="Verdana" w:cs="Arial"/>
          <w:sz w:val="20"/>
          <w:szCs w:val="20"/>
          <w:lang w:eastAsia="es-ES" w:bidi="es-ES"/>
        </w:rPr>
        <w:t>La expresión Documentos del Proceso está definida en el artículo 2.2.1.1.1.3.1. del Decreto 1082 de 2015, donde se establece que: “son: (a) los estudios y documentos previos; (b) el aviso de convocatoria; (c) los pliegos de condiciones o la invitación; (d) las adendas; (e) la oferta; (f) el informe de evaluación; (g) el contrato; y cualquier otro documento expedido por la Entidad Estatal durante el Proceso de Contratación”. [Énfasis fuera de texto]</w:t>
      </w:r>
    </w:p>
    <w:p w14:paraId="65BF864A" w14:textId="77777777" w:rsidR="00593408" w:rsidRDefault="00593408" w:rsidP="00593408">
      <w:pPr>
        <w:spacing w:after="0" w:line="240" w:lineRule="auto"/>
        <w:jc w:val="both"/>
        <w:rPr>
          <w:rFonts w:ascii="Verdana" w:hAnsi="Verdana" w:cs="Arial"/>
          <w:sz w:val="20"/>
          <w:szCs w:val="20"/>
          <w:lang w:eastAsia="es-ES" w:bidi="es-ES"/>
        </w:rPr>
      </w:pPr>
    </w:p>
    <w:p w14:paraId="5475533E" w14:textId="13F2D419" w:rsidR="00593408" w:rsidRDefault="000E0D20" w:rsidP="00593408">
      <w:pPr>
        <w:spacing w:after="0" w:line="240" w:lineRule="auto"/>
        <w:jc w:val="both"/>
        <w:rPr>
          <w:rFonts w:ascii="Verdana" w:hAnsi="Verdana" w:cs="Arial"/>
          <w:sz w:val="20"/>
          <w:szCs w:val="20"/>
          <w:lang w:eastAsia="es-ES" w:bidi="es-ES"/>
        </w:rPr>
      </w:pPr>
      <w:r w:rsidRPr="000E0D20">
        <w:rPr>
          <w:rFonts w:ascii="Verdana" w:hAnsi="Verdana" w:cs="Arial"/>
          <w:sz w:val="20"/>
          <w:szCs w:val="20"/>
          <w:lang w:eastAsia="es-ES" w:bidi="es-ES"/>
        </w:rPr>
        <w:t xml:space="preserve">Sin embargo, para identificar los documentos que deben publicarse, es necesario realizar una interpretación sistemática de las disposiciones del Decreto 1082 del 2015, comoquiera que el anterior no es un listado taxativo, sino enunciativo, porque además de los documentos enlistados, el artículo 2.2.1.1.1.3.1 Ibidem recoge en la noción de Documentos del Proceso “cualquier otro documento expedido por la Entidad Estatal durante el Proceso de Contratación”. </w:t>
      </w:r>
    </w:p>
    <w:p w14:paraId="715CE60F" w14:textId="77777777" w:rsidR="00593408" w:rsidRDefault="00593408" w:rsidP="00593408">
      <w:pPr>
        <w:spacing w:after="0" w:line="240" w:lineRule="auto"/>
        <w:jc w:val="both"/>
        <w:rPr>
          <w:rFonts w:ascii="Verdana" w:hAnsi="Verdana" w:cs="Arial"/>
          <w:sz w:val="20"/>
          <w:szCs w:val="20"/>
          <w:lang w:eastAsia="es-ES" w:bidi="es-ES"/>
        </w:rPr>
      </w:pPr>
    </w:p>
    <w:p w14:paraId="6E3B4EA0" w14:textId="37346D96" w:rsidR="000E0D20" w:rsidRPr="000E0D20" w:rsidRDefault="000E0D20" w:rsidP="00593408">
      <w:pPr>
        <w:spacing w:after="0" w:line="240" w:lineRule="auto"/>
        <w:jc w:val="both"/>
        <w:rPr>
          <w:rFonts w:ascii="Verdana" w:hAnsi="Verdana" w:cs="Arial"/>
          <w:sz w:val="20"/>
          <w:szCs w:val="20"/>
          <w:lang w:eastAsia="es-ES" w:bidi="es-ES"/>
        </w:rPr>
      </w:pPr>
      <w:r w:rsidRPr="000E0D20">
        <w:rPr>
          <w:rFonts w:ascii="Verdana" w:hAnsi="Verdana" w:cs="Arial"/>
          <w:sz w:val="20"/>
          <w:szCs w:val="20"/>
          <w:lang w:eastAsia="es-ES" w:bidi="es-ES"/>
        </w:rPr>
        <w:t>Este mismo artículo define la expresión Proceso de Contratación como el “Conjunto de actos y actividades, y su secuencia, adelantadas por la Entidad Estatal desde la planeación hasta el vencimiento de las garantías de calidad, estabilidad y mantenimiento, o las condiciones de disposición final o recuperación ambiental de las obras o bienes o el vencimiento del plazo, lo que ocurra más tarde”. Nótese que la norma se refiere a los documentos “expedidos por la entidad estatal” durante el proceso de contratación, excluyendo de la noción de Documentos del Proceso los expedidos por un sujeto distinto a la entidad, salvo la oferta, la cual se incluye expresamente en el referido artículo 2.2.1.1.1.3.</w:t>
      </w:r>
    </w:p>
    <w:p w14:paraId="19064563" w14:textId="77777777" w:rsidR="00593408" w:rsidRDefault="00593408" w:rsidP="00593408">
      <w:pPr>
        <w:spacing w:after="0" w:line="240" w:lineRule="auto"/>
        <w:jc w:val="both"/>
        <w:rPr>
          <w:rFonts w:ascii="Verdana" w:hAnsi="Verdana" w:cs="Arial"/>
          <w:sz w:val="20"/>
          <w:szCs w:val="20"/>
          <w:lang w:eastAsia="es-ES" w:bidi="es-ES"/>
        </w:rPr>
      </w:pPr>
    </w:p>
    <w:p w14:paraId="0E56DA56" w14:textId="77777777" w:rsidR="00B840D7" w:rsidRDefault="000E0D20" w:rsidP="00B840D7">
      <w:pPr>
        <w:spacing w:after="0" w:line="240" w:lineRule="auto"/>
        <w:jc w:val="both"/>
        <w:rPr>
          <w:rFonts w:ascii="Verdana" w:hAnsi="Verdana" w:cs="Arial"/>
          <w:sz w:val="20"/>
          <w:szCs w:val="20"/>
          <w:lang w:eastAsia="es-ES" w:bidi="es-ES"/>
        </w:rPr>
      </w:pPr>
      <w:r w:rsidRPr="000E0D20">
        <w:rPr>
          <w:rFonts w:ascii="Verdana" w:hAnsi="Verdana" w:cs="Arial"/>
          <w:sz w:val="20"/>
          <w:szCs w:val="20"/>
          <w:lang w:eastAsia="es-ES" w:bidi="es-ES"/>
        </w:rPr>
        <w:t xml:space="preserve">En ese sentido, la interpretación sistemática de los preceptos del Decreto 1082 de 2015, de acuerdo con el principio de publicidad, inicialmente, indica que las Entidades Estatales tienen la obligación de publicar todos los documentos que expidan con ocasión del Proceso de Contratación, es decir, que todos los documentos expedidos por la entidad durante las etapas precontractual, de ejecución y </w:t>
      </w:r>
      <w:proofErr w:type="spellStart"/>
      <w:r w:rsidRPr="000E0D20">
        <w:rPr>
          <w:rFonts w:ascii="Verdana" w:hAnsi="Verdana" w:cs="Arial"/>
          <w:sz w:val="20"/>
          <w:szCs w:val="20"/>
          <w:lang w:eastAsia="es-ES" w:bidi="es-ES"/>
        </w:rPr>
        <w:t>postcontractual</w:t>
      </w:r>
      <w:proofErr w:type="spellEnd"/>
      <w:r w:rsidRPr="000E0D20">
        <w:rPr>
          <w:rFonts w:ascii="Verdana" w:hAnsi="Verdana" w:cs="Arial"/>
          <w:sz w:val="20"/>
          <w:szCs w:val="20"/>
          <w:lang w:eastAsia="es-ES" w:bidi="es-ES"/>
        </w:rPr>
        <w:t xml:space="preserve"> deberán publicarse en SECOP dentro de los tres (3) días siguientes a su expedición, para cumplir el deber de publicidad regulado por el artículo 2.2.1.1.1.7.1. del Decreto 1082 de 2015.</w:t>
      </w:r>
    </w:p>
    <w:p w14:paraId="2F8E072D" w14:textId="77777777" w:rsidR="00B840D7" w:rsidRDefault="00B840D7" w:rsidP="00B840D7">
      <w:pPr>
        <w:spacing w:after="0" w:line="240" w:lineRule="auto"/>
        <w:jc w:val="both"/>
        <w:rPr>
          <w:rFonts w:ascii="Verdana" w:hAnsi="Verdana" w:cs="Arial"/>
          <w:b/>
          <w:bCs/>
          <w:lang w:val="es-ES_tradnl" w:eastAsia="es-ES" w:bidi="es-ES"/>
        </w:rPr>
      </w:pPr>
    </w:p>
    <w:p w14:paraId="184AA1F0" w14:textId="1DCF2A14" w:rsidR="00347903" w:rsidRPr="00B840D7" w:rsidRDefault="00347903" w:rsidP="00347903">
      <w:pPr>
        <w:spacing w:after="0" w:line="240" w:lineRule="auto"/>
        <w:jc w:val="both"/>
        <w:rPr>
          <w:rFonts w:ascii="Verdana" w:hAnsi="Verdana" w:cs="Arial"/>
          <w:sz w:val="20"/>
          <w:szCs w:val="20"/>
          <w:lang w:eastAsia="es-ES" w:bidi="es-ES"/>
        </w:rPr>
      </w:pPr>
      <w:r w:rsidRPr="00347903">
        <w:rPr>
          <w:rFonts w:ascii="Verdana" w:hAnsi="Verdana" w:cs="Arial"/>
          <w:b/>
          <w:bCs/>
          <w:lang w:val="es-ES_tradnl" w:eastAsia="es-ES" w:bidi="es-ES"/>
        </w:rPr>
        <w:t xml:space="preserve">CIRCULAR EXTERNA 002 de 2026 – Ámbito de aplicación </w:t>
      </w:r>
    </w:p>
    <w:p w14:paraId="2993705E" w14:textId="77777777" w:rsidR="00347903" w:rsidRPr="00B840D7" w:rsidRDefault="00347903" w:rsidP="00B840D7">
      <w:pPr>
        <w:spacing w:after="0" w:line="240" w:lineRule="auto"/>
        <w:rPr>
          <w:rFonts w:ascii="Verdana" w:eastAsia="Verdana" w:hAnsi="Verdana" w:cs="Verdana"/>
          <w:sz w:val="20"/>
          <w:szCs w:val="20"/>
        </w:rPr>
      </w:pPr>
    </w:p>
    <w:p w14:paraId="05EC64AC" w14:textId="017A3E78" w:rsidR="00B840D7" w:rsidRPr="00B840D7" w:rsidRDefault="00B840D7" w:rsidP="00B840D7">
      <w:pPr>
        <w:tabs>
          <w:tab w:val="left" w:pos="709"/>
        </w:tabs>
        <w:spacing w:after="0" w:line="240" w:lineRule="auto"/>
        <w:jc w:val="both"/>
        <w:rPr>
          <w:rFonts w:ascii="Verdana" w:hAnsi="Verdana" w:cs="Arial"/>
          <w:sz w:val="20"/>
          <w:szCs w:val="20"/>
          <w:shd w:val="clear" w:color="auto" w:fill="FFFFFF"/>
        </w:rPr>
      </w:pPr>
      <w:r w:rsidRPr="00B840D7">
        <w:rPr>
          <w:rFonts w:ascii="Verdana" w:eastAsia="Calibri" w:hAnsi="Verdana" w:cs="Arial"/>
          <w:sz w:val="20"/>
          <w:szCs w:val="20"/>
        </w:rPr>
        <w:t xml:space="preserve">De otro lado, la Circular Externa 002 de 2026 expedida por la Agencia Nacional de Contratación Pública tiene como objetivo recordarle a las entidades sin distinción de su régimen de contratación aplicable  </w:t>
      </w:r>
      <w:r w:rsidRPr="00B840D7">
        <w:rPr>
          <w:rFonts w:ascii="Verdana" w:eastAsia="Calibri" w:hAnsi="Verdana" w:cs="Arial"/>
          <w:color w:val="000000" w:themeColor="text1"/>
          <w:sz w:val="20"/>
          <w:szCs w:val="20"/>
          <w:lang w:val="es-ES_tradnl"/>
        </w:rPr>
        <w:t xml:space="preserve">la obligatoriedad de reportar la declaratoria de caducidad, multas, sanciones, declaratorias de incumplimiento, inhabilidades y sentencias condenatorias impuestas a los contratistas del Estado ante las Cámaras de Comercio, Procuraduría General de la Nación y en el SECOP, por lo que el acto administrativo que termina de manera unilateral el contrato conforme a lo dispuesto en el artículo 17 de la Ley 80 de 1993, no es de aquellos definidos en el artículo 31 de la Ley 80 de 1993, el artículo </w:t>
      </w:r>
      <w:r w:rsidRPr="00B840D7">
        <w:rPr>
          <w:rFonts w:ascii="Verdana" w:eastAsia="Calibri" w:hAnsi="Verdana" w:cs="Arial"/>
          <w:color w:val="000000" w:themeColor="text1"/>
          <w:sz w:val="20"/>
          <w:szCs w:val="20"/>
        </w:rPr>
        <w:t xml:space="preserve">2.2.1.1.1.5.7 del Decreto 1082 de 2015, el artículo 38 numeral 43 y 238 de la Ley 1952 de 2019, por lo tanto, la Circular Externa 002 de 2026 no resulta aplicable para los actos administrativos que terminan de manera unilateral el contrato, por cuanto no tiene una finalidad sancionatoria. En ese contexto, la entidad sí está obligada a publicar </w:t>
      </w:r>
      <w:r w:rsidRPr="00B840D7">
        <w:rPr>
          <w:rFonts w:ascii="Verdana" w:hAnsi="Verdana" w:cs="Arial"/>
          <w:sz w:val="20"/>
          <w:szCs w:val="20"/>
          <w:shd w:val="clear" w:color="auto" w:fill="FFFFFF"/>
        </w:rPr>
        <w:t xml:space="preserve">todos los documentos que expidan con ocasión del Proceso de Contratación, es decir, que todos los documentos expedidos por la entidad durante las etapas precontractual, de ejecución y </w:t>
      </w:r>
      <w:proofErr w:type="spellStart"/>
      <w:r w:rsidRPr="00B840D7">
        <w:rPr>
          <w:rFonts w:ascii="Verdana" w:hAnsi="Verdana" w:cs="Arial"/>
          <w:sz w:val="20"/>
          <w:szCs w:val="20"/>
          <w:shd w:val="clear" w:color="auto" w:fill="FFFFFF"/>
        </w:rPr>
        <w:t>postcontractual</w:t>
      </w:r>
      <w:proofErr w:type="spellEnd"/>
      <w:r w:rsidRPr="00B840D7">
        <w:rPr>
          <w:rFonts w:ascii="Verdana" w:hAnsi="Verdana" w:cs="Arial"/>
          <w:sz w:val="20"/>
          <w:szCs w:val="20"/>
          <w:shd w:val="clear" w:color="auto" w:fill="FFFFFF"/>
        </w:rPr>
        <w:t xml:space="preserve"> deberán publicarse en SECOP dentro de los tres (3) días siguientes a su expedición, para cumplir el deber de publicidad regulado por el artículo 2.2.1.1.1.7.1. del Decreto 1082 de 2015.</w:t>
      </w:r>
    </w:p>
    <w:p w14:paraId="43C8F0AA" w14:textId="77777777" w:rsidR="00B840D7" w:rsidRDefault="00B840D7" w:rsidP="00307A0C">
      <w:pPr>
        <w:spacing w:after="0" w:line="240" w:lineRule="auto"/>
        <w:rPr>
          <w:rFonts w:ascii="Verdana" w:eastAsia="Verdana" w:hAnsi="Verdana" w:cs="Verdana"/>
        </w:rPr>
      </w:pPr>
    </w:p>
    <w:p w14:paraId="48063C5C" w14:textId="77777777" w:rsidR="00B840D7" w:rsidRDefault="00B840D7" w:rsidP="00307A0C">
      <w:pPr>
        <w:spacing w:after="0" w:line="240" w:lineRule="auto"/>
        <w:rPr>
          <w:rFonts w:ascii="Verdana" w:eastAsia="Verdana" w:hAnsi="Verdana" w:cs="Verdana"/>
        </w:rPr>
      </w:pPr>
    </w:p>
    <w:p w14:paraId="6E851F87" w14:textId="77777777" w:rsidR="00B840D7" w:rsidRDefault="00B840D7" w:rsidP="00307A0C">
      <w:pPr>
        <w:spacing w:after="0" w:line="240" w:lineRule="auto"/>
        <w:rPr>
          <w:rFonts w:ascii="Verdana" w:eastAsia="Verdana" w:hAnsi="Verdana" w:cs="Verdana"/>
        </w:rPr>
      </w:pPr>
    </w:p>
    <w:p w14:paraId="0F7F003F" w14:textId="77777777" w:rsidR="00B840D7" w:rsidRDefault="00B840D7" w:rsidP="00307A0C">
      <w:pPr>
        <w:spacing w:after="0" w:line="240" w:lineRule="auto"/>
        <w:rPr>
          <w:rFonts w:ascii="Verdana" w:eastAsia="Verdana" w:hAnsi="Verdana" w:cs="Verdana"/>
        </w:rPr>
      </w:pPr>
    </w:p>
    <w:p w14:paraId="2B489D89" w14:textId="77777777" w:rsidR="00B840D7" w:rsidRDefault="00B840D7" w:rsidP="00307A0C">
      <w:pPr>
        <w:spacing w:after="0" w:line="240" w:lineRule="auto"/>
        <w:rPr>
          <w:rFonts w:ascii="Verdana" w:eastAsia="Verdana" w:hAnsi="Verdana" w:cs="Verdana"/>
        </w:rPr>
      </w:pPr>
    </w:p>
    <w:p w14:paraId="20808EEE" w14:textId="77777777" w:rsidR="00B840D7" w:rsidRDefault="00B840D7" w:rsidP="00307A0C">
      <w:pPr>
        <w:spacing w:after="0" w:line="240" w:lineRule="auto"/>
        <w:rPr>
          <w:rFonts w:ascii="Verdana" w:eastAsia="Verdana" w:hAnsi="Verdana" w:cs="Verdana"/>
        </w:rPr>
      </w:pPr>
    </w:p>
    <w:p w14:paraId="0D1344CC" w14:textId="77777777" w:rsidR="00B840D7" w:rsidRDefault="00B840D7" w:rsidP="00307A0C">
      <w:pPr>
        <w:spacing w:after="0" w:line="240" w:lineRule="auto"/>
        <w:rPr>
          <w:rFonts w:ascii="Verdana" w:eastAsia="Verdana" w:hAnsi="Verdana" w:cs="Verdana"/>
        </w:rPr>
      </w:pPr>
    </w:p>
    <w:p w14:paraId="20AFB2AF" w14:textId="77777777" w:rsidR="00B840D7" w:rsidRDefault="00B840D7" w:rsidP="00307A0C">
      <w:pPr>
        <w:spacing w:after="0" w:line="240" w:lineRule="auto"/>
        <w:rPr>
          <w:rFonts w:ascii="Verdana" w:eastAsia="Verdana" w:hAnsi="Verdana" w:cs="Verdana"/>
        </w:rPr>
      </w:pPr>
    </w:p>
    <w:p w14:paraId="6D7E623D" w14:textId="77777777" w:rsidR="00B840D7" w:rsidRDefault="00B840D7" w:rsidP="00307A0C">
      <w:pPr>
        <w:spacing w:after="0" w:line="240" w:lineRule="auto"/>
        <w:rPr>
          <w:rFonts w:ascii="Verdana" w:eastAsia="Verdana" w:hAnsi="Verdana" w:cs="Verdana"/>
        </w:rPr>
      </w:pPr>
    </w:p>
    <w:p w14:paraId="1C587278" w14:textId="77777777" w:rsidR="00B840D7" w:rsidRDefault="00B840D7" w:rsidP="00307A0C">
      <w:pPr>
        <w:spacing w:after="0" w:line="240" w:lineRule="auto"/>
        <w:rPr>
          <w:rFonts w:ascii="Verdana" w:eastAsia="Verdana" w:hAnsi="Verdana" w:cs="Verdana"/>
        </w:rPr>
      </w:pPr>
    </w:p>
    <w:p w14:paraId="239601FE" w14:textId="77777777" w:rsidR="00B840D7" w:rsidRDefault="00B840D7" w:rsidP="00307A0C">
      <w:pPr>
        <w:spacing w:after="0" w:line="240" w:lineRule="auto"/>
        <w:rPr>
          <w:rFonts w:ascii="Verdana" w:eastAsia="Verdana" w:hAnsi="Verdana" w:cs="Verdana"/>
        </w:rPr>
      </w:pPr>
    </w:p>
    <w:p w14:paraId="74BF8F88" w14:textId="77777777" w:rsidR="00B840D7" w:rsidRDefault="00B840D7" w:rsidP="00307A0C">
      <w:pPr>
        <w:spacing w:after="0" w:line="240" w:lineRule="auto"/>
        <w:rPr>
          <w:rFonts w:ascii="Verdana" w:eastAsia="Verdana" w:hAnsi="Verdana" w:cs="Verdana"/>
        </w:rPr>
      </w:pPr>
    </w:p>
    <w:p w14:paraId="2F65FBDF" w14:textId="77777777" w:rsidR="00B840D7" w:rsidRDefault="00B840D7" w:rsidP="00307A0C">
      <w:pPr>
        <w:spacing w:after="0" w:line="240" w:lineRule="auto"/>
        <w:rPr>
          <w:rFonts w:ascii="Verdana" w:eastAsia="Verdana" w:hAnsi="Verdana" w:cs="Verdana"/>
        </w:rPr>
      </w:pPr>
    </w:p>
    <w:p w14:paraId="1BFFEBB4" w14:textId="77777777" w:rsidR="00B840D7" w:rsidRDefault="00B840D7" w:rsidP="00307A0C">
      <w:pPr>
        <w:spacing w:after="0" w:line="240" w:lineRule="auto"/>
        <w:rPr>
          <w:rFonts w:ascii="Verdana" w:eastAsia="Verdana" w:hAnsi="Verdana" w:cs="Verdana"/>
        </w:rPr>
      </w:pPr>
    </w:p>
    <w:p w14:paraId="1E011026" w14:textId="77777777" w:rsidR="00B840D7" w:rsidRDefault="00B840D7" w:rsidP="00307A0C">
      <w:pPr>
        <w:spacing w:after="0" w:line="240" w:lineRule="auto"/>
        <w:rPr>
          <w:rFonts w:ascii="Verdana" w:eastAsia="Verdana" w:hAnsi="Verdana" w:cs="Verdana"/>
        </w:rPr>
      </w:pPr>
    </w:p>
    <w:p w14:paraId="77636F0B" w14:textId="77777777" w:rsidR="00B840D7" w:rsidRDefault="00B840D7" w:rsidP="00307A0C">
      <w:pPr>
        <w:spacing w:after="0" w:line="240" w:lineRule="auto"/>
        <w:rPr>
          <w:rFonts w:ascii="Verdana" w:eastAsia="Verdana" w:hAnsi="Verdana" w:cs="Verdana"/>
        </w:rPr>
      </w:pPr>
    </w:p>
    <w:p w14:paraId="12D66DDD" w14:textId="77777777" w:rsidR="00B840D7" w:rsidRDefault="00B840D7" w:rsidP="00307A0C">
      <w:pPr>
        <w:spacing w:after="0" w:line="240" w:lineRule="auto"/>
        <w:rPr>
          <w:rFonts w:ascii="Verdana" w:eastAsia="Verdana" w:hAnsi="Verdana" w:cs="Verdana"/>
        </w:rPr>
      </w:pPr>
    </w:p>
    <w:p w14:paraId="357E176F" w14:textId="77777777" w:rsidR="00B840D7" w:rsidRDefault="00B840D7" w:rsidP="00307A0C">
      <w:pPr>
        <w:spacing w:after="0" w:line="240" w:lineRule="auto"/>
        <w:rPr>
          <w:rFonts w:ascii="Verdana" w:eastAsia="Verdana" w:hAnsi="Verdana" w:cs="Verdana"/>
        </w:rPr>
      </w:pPr>
    </w:p>
    <w:p w14:paraId="122CBA76" w14:textId="77777777" w:rsidR="00B840D7" w:rsidRDefault="00B840D7" w:rsidP="00307A0C">
      <w:pPr>
        <w:spacing w:after="0" w:line="240" w:lineRule="auto"/>
        <w:rPr>
          <w:rFonts w:ascii="Verdana" w:eastAsia="Verdana" w:hAnsi="Verdana" w:cs="Verdana"/>
        </w:rPr>
      </w:pPr>
    </w:p>
    <w:p w14:paraId="2E34C21C" w14:textId="77777777" w:rsidR="00B840D7" w:rsidRDefault="00B840D7" w:rsidP="00307A0C">
      <w:pPr>
        <w:spacing w:after="0" w:line="240" w:lineRule="auto"/>
        <w:rPr>
          <w:rFonts w:ascii="Verdana" w:eastAsia="Verdana" w:hAnsi="Verdana" w:cs="Verdana"/>
        </w:rPr>
      </w:pPr>
    </w:p>
    <w:p w14:paraId="0BF99949" w14:textId="77777777" w:rsidR="00B840D7" w:rsidRDefault="00B840D7" w:rsidP="00307A0C">
      <w:pPr>
        <w:spacing w:after="0" w:line="240" w:lineRule="auto"/>
        <w:rPr>
          <w:rFonts w:ascii="Verdana" w:eastAsia="Verdana" w:hAnsi="Verdana" w:cs="Verdana"/>
        </w:rPr>
      </w:pPr>
    </w:p>
    <w:p w14:paraId="60424EDA" w14:textId="0EC5742B" w:rsidR="00347903" w:rsidRDefault="002F2C6F" w:rsidP="00307A0C">
      <w:pPr>
        <w:spacing w:after="0" w:line="240" w:lineRule="auto"/>
        <w:rPr>
          <w:rFonts w:ascii="Verdana" w:hAnsi="Verdana"/>
        </w:rPr>
      </w:pPr>
      <w:r w:rsidRPr="30821638">
        <w:rPr>
          <w:rFonts w:ascii="Verdana" w:eastAsia="Verdana" w:hAnsi="Verdana" w:cs="Verdana"/>
        </w:rPr>
        <w:t xml:space="preserve">Bogotá D.C., </w:t>
      </w:r>
      <w:r w:rsidR="00347903">
        <w:rPr>
          <w:rFonts w:ascii="Verdana" w:eastAsia="Verdana" w:hAnsi="Verdana" w:cs="Verdana"/>
        </w:rPr>
        <w:t xml:space="preserve">13 </w:t>
      </w:r>
      <w:proofErr w:type="gramStart"/>
      <w:r w:rsidR="00347903">
        <w:rPr>
          <w:rFonts w:ascii="Verdana" w:eastAsia="Verdana" w:hAnsi="Verdana" w:cs="Verdana"/>
        </w:rPr>
        <w:t>Agosto</w:t>
      </w:r>
      <w:proofErr w:type="gramEnd"/>
      <w:r w:rsidR="00347903">
        <w:rPr>
          <w:rFonts w:ascii="Verdana" w:eastAsia="Verdana" w:hAnsi="Verdana" w:cs="Verdana"/>
        </w:rPr>
        <w:t xml:space="preserve"> 2026</w:t>
      </w:r>
      <w:r w:rsidRPr="00307A0C">
        <w:rPr>
          <w:rFonts w:ascii="Verdana" w:hAnsi="Verdana"/>
        </w:rPr>
        <w:tab/>
      </w:r>
    </w:p>
    <w:p w14:paraId="696D7B08" w14:textId="2EB2C666" w:rsidR="002F2C6F" w:rsidRPr="00307A0C" w:rsidRDefault="00347903" w:rsidP="00347903">
      <w:pPr>
        <w:spacing w:after="0" w:line="240" w:lineRule="auto"/>
        <w:jc w:val="right"/>
        <w:rPr>
          <w:rFonts w:ascii="Verdana" w:hAnsi="Verdana"/>
        </w:rPr>
      </w:pPr>
      <w:r w:rsidRPr="00347903">
        <w:rPr>
          <w:rFonts w:ascii="Verdana" w:hAnsi="Verdana"/>
        </w:rPr>
        <w:drawing>
          <wp:inline distT="0" distB="0" distL="0" distR="0" wp14:anchorId="6EACE1F0" wp14:editId="0861E59F">
            <wp:extent cx="2154741" cy="473075"/>
            <wp:effectExtent l="0" t="0" r="0" b="3175"/>
            <wp:docPr id="14525912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591228" name=""/>
                    <pic:cNvPicPr/>
                  </pic:nvPicPr>
                  <pic:blipFill>
                    <a:blip r:embed="rId10"/>
                    <a:stretch>
                      <a:fillRect/>
                    </a:stretch>
                  </pic:blipFill>
                  <pic:spPr>
                    <a:xfrm>
                      <a:off x="0" y="0"/>
                      <a:ext cx="2167960" cy="475977"/>
                    </a:xfrm>
                    <a:prstGeom prst="rect">
                      <a:avLst/>
                    </a:prstGeom>
                  </pic:spPr>
                </pic:pic>
              </a:graphicData>
            </a:graphic>
          </wp:inline>
        </w:drawing>
      </w:r>
      <w:bookmarkEnd w:id="0"/>
      <w:r w:rsidR="002F2C6F" w:rsidRPr="00307A0C">
        <w:rPr>
          <w:rFonts w:ascii="Verdana" w:hAnsi="Verdana"/>
        </w:rPr>
        <w:tab/>
      </w:r>
    </w:p>
    <w:p w14:paraId="61BE4914" w14:textId="77777777" w:rsidR="002F2C6F" w:rsidRPr="00307A0C" w:rsidRDefault="002F2C6F" w:rsidP="002F2C6F">
      <w:pPr>
        <w:spacing w:after="0" w:line="240" w:lineRule="auto"/>
        <w:jc w:val="both"/>
        <w:rPr>
          <w:rFonts w:ascii="Verdana" w:eastAsia="Calibri" w:hAnsi="Verdana" w:cs="Arial"/>
          <w:lang w:eastAsia="es-ES"/>
        </w:rPr>
      </w:pPr>
      <w:bookmarkStart w:id="1" w:name="_Hlk214366482"/>
      <w:r w:rsidRPr="00307A0C">
        <w:rPr>
          <w:rFonts w:ascii="Verdana" w:eastAsia="Calibri" w:hAnsi="Verdana" w:cs="Arial"/>
          <w:lang w:eastAsia="es-ES"/>
        </w:rPr>
        <w:t xml:space="preserve">Señor </w:t>
      </w:r>
    </w:p>
    <w:p w14:paraId="5C0676AE" w14:textId="77777777" w:rsidR="002F2C6F" w:rsidRPr="00B06C57" w:rsidRDefault="002F2C6F" w:rsidP="002F2C6F">
      <w:pPr>
        <w:spacing w:after="0" w:line="240" w:lineRule="auto"/>
        <w:jc w:val="both"/>
        <w:rPr>
          <w:rFonts w:ascii="Verdana" w:eastAsia="Calibri" w:hAnsi="Verdana" w:cs="Arial"/>
          <w:b/>
          <w:bCs/>
          <w:lang w:eastAsia="es-ES"/>
        </w:rPr>
      </w:pPr>
      <w:r w:rsidRPr="00B06C57">
        <w:rPr>
          <w:rFonts w:ascii="Verdana" w:eastAsia="Calibri" w:hAnsi="Verdana" w:cs="Arial"/>
          <w:b/>
          <w:bCs/>
          <w:lang w:eastAsia="es-ES"/>
        </w:rPr>
        <w:t>Luís Hernando Pérez Palacio</w:t>
      </w:r>
    </w:p>
    <w:p w14:paraId="7F03D90F" w14:textId="77777777" w:rsidR="002F2C6F" w:rsidRPr="00B06C57" w:rsidRDefault="002F2C6F" w:rsidP="002F2C6F">
      <w:pPr>
        <w:spacing w:after="0" w:line="240" w:lineRule="auto"/>
        <w:jc w:val="both"/>
        <w:rPr>
          <w:rFonts w:ascii="Verdana" w:eastAsia="Calibri" w:hAnsi="Verdana" w:cs="Arial"/>
          <w:lang w:eastAsia="es-ES"/>
        </w:rPr>
      </w:pPr>
      <w:r w:rsidRPr="00B06C57">
        <w:rPr>
          <w:rFonts w:ascii="Verdana" w:eastAsia="Calibri" w:hAnsi="Verdana" w:cs="Arial"/>
          <w:lang w:eastAsia="es-ES"/>
        </w:rPr>
        <w:t>P</w:t>
      </w:r>
      <w:r>
        <w:rPr>
          <w:rFonts w:ascii="Verdana" w:eastAsia="Calibri" w:hAnsi="Verdana" w:cs="Arial"/>
          <w:lang w:eastAsia="es-ES"/>
        </w:rPr>
        <w:t xml:space="preserve">ersonero Encargado </w:t>
      </w:r>
    </w:p>
    <w:p w14:paraId="597F99EB" w14:textId="77777777" w:rsidR="004B04FE" w:rsidRPr="004B04FE" w:rsidRDefault="004B04FE">
      <w:pPr>
        <w:spacing w:after="0" w:line="240" w:lineRule="auto"/>
        <w:jc w:val="both"/>
        <w:rPr>
          <w:rFonts w:ascii="Verdana" w:eastAsia="Calibri" w:hAnsi="Verdana" w:cs="Arial"/>
          <w:b/>
          <w:bCs/>
          <w:lang w:eastAsia="es-ES"/>
        </w:rPr>
      </w:pPr>
      <w:r w:rsidRPr="004B04FE">
        <w:rPr>
          <w:rFonts w:ascii="Verdana" w:eastAsia="Calibri" w:hAnsi="Verdana" w:cs="Arial"/>
          <w:b/>
          <w:bCs/>
          <w:lang w:eastAsia="es-ES"/>
        </w:rPr>
        <w:t>Personería De Bello</w:t>
      </w:r>
    </w:p>
    <w:p w14:paraId="51AB0B36" w14:textId="77777777" w:rsidR="002F2C6F" w:rsidRPr="00B06C57" w:rsidRDefault="002F2C6F" w:rsidP="002F2C6F">
      <w:pPr>
        <w:spacing w:after="0" w:line="240" w:lineRule="auto"/>
        <w:jc w:val="both"/>
        <w:rPr>
          <w:rFonts w:ascii="Verdana" w:hAnsi="Verdana"/>
          <w:b/>
          <w:bCs/>
        </w:rPr>
      </w:pPr>
      <w:hyperlink r:id="rId11" w:history="1">
        <w:r w:rsidRPr="004B04FE">
          <w:rPr>
            <w:rStyle w:val="Hipervnculo"/>
            <w:rFonts w:ascii="Verdana" w:hAnsi="Verdana"/>
            <w:b/>
            <w:bCs/>
          </w:rPr>
          <w:t>gestiondocumental@personeriabello.gov.co</w:t>
        </w:r>
      </w:hyperlink>
    </w:p>
    <w:p w14:paraId="29D9ECB6" w14:textId="77777777" w:rsidR="002F2C6F" w:rsidRDefault="002F2C6F" w:rsidP="002F2C6F">
      <w:pPr>
        <w:spacing w:after="0" w:line="240" w:lineRule="auto"/>
        <w:jc w:val="both"/>
        <w:rPr>
          <w:rFonts w:ascii="Verdana" w:hAnsi="Verdana"/>
        </w:rPr>
      </w:pPr>
      <w:r>
        <w:rPr>
          <w:rFonts w:ascii="Verdana" w:hAnsi="Verdana"/>
        </w:rPr>
        <w:t xml:space="preserve">Bello – Antioquia </w:t>
      </w:r>
    </w:p>
    <w:p w14:paraId="285AD0A5" w14:textId="77777777" w:rsidR="002F2C6F" w:rsidRPr="007F2AEC" w:rsidRDefault="002F2C6F" w:rsidP="002F2C6F">
      <w:pPr>
        <w:spacing w:after="0" w:line="240" w:lineRule="auto"/>
        <w:jc w:val="both"/>
        <w:rPr>
          <w:rFonts w:ascii="Verdana" w:hAnsi="Verdana"/>
        </w:rPr>
      </w:pPr>
    </w:p>
    <w:p w14:paraId="3F030B34" w14:textId="77777777" w:rsidR="002F2C6F" w:rsidRPr="007F2AEC" w:rsidRDefault="002F2C6F" w:rsidP="002F2C6F">
      <w:pPr>
        <w:spacing w:after="0" w:line="240" w:lineRule="auto"/>
        <w:jc w:val="both"/>
        <w:rPr>
          <w:rFonts w:ascii="Verdana" w:eastAsia="Calibri" w:hAnsi="Verdana" w:cs="Arial"/>
          <w:b/>
          <w:bCs/>
          <w:color w:val="000000"/>
          <w:lang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5670"/>
      </w:tblGrid>
      <w:tr w:rsidR="002F2C6F" w:rsidRPr="005644FE" w14:paraId="7438EBE4" w14:textId="77777777" w:rsidTr="00902C3B">
        <w:trPr>
          <w:trHeight w:val="162"/>
        </w:trPr>
        <w:tc>
          <w:tcPr>
            <w:tcW w:w="3119" w:type="dxa"/>
          </w:tcPr>
          <w:p w14:paraId="72D1ABBF" w14:textId="77777777" w:rsidR="002F2C6F" w:rsidRPr="007F2AEC" w:rsidRDefault="002F2C6F" w:rsidP="00902C3B">
            <w:pPr>
              <w:jc w:val="both"/>
              <w:rPr>
                <w:rFonts w:ascii="Verdana" w:eastAsia="Calibri" w:hAnsi="Verdana" w:cs="Arial"/>
                <w:b/>
                <w:bCs/>
                <w:color w:val="7030A0"/>
                <w:lang w:eastAsia="es-ES_tradnl"/>
              </w:rPr>
            </w:pPr>
          </w:p>
        </w:tc>
        <w:tc>
          <w:tcPr>
            <w:tcW w:w="5670" w:type="dxa"/>
          </w:tcPr>
          <w:p w14:paraId="70B6A0C4" w14:textId="77777777" w:rsidR="002F2C6F" w:rsidRPr="005644FE" w:rsidRDefault="002F2C6F" w:rsidP="00902C3B">
            <w:pPr>
              <w:jc w:val="both"/>
              <w:rPr>
                <w:rFonts w:ascii="Verdana" w:eastAsia="Calibri" w:hAnsi="Verdana" w:cs="Arial"/>
                <w:b/>
                <w:bCs/>
                <w:lang w:eastAsia="es-ES"/>
              </w:rPr>
            </w:pPr>
            <w:r w:rsidRPr="005644FE">
              <w:rPr>
                <w:rFonts w:ascii="Verdana" w:eastAsia="Calibri" w:hAnsi="Verdana" w:cs="Arial"/>
                <w:b/>
                <w:bCs/>
                <w:lang w:eastAsia="es-ES"/>
              </w:rPr>
              <w:t>Concepto C</w:t>
            </w:r>
            <w:r w:rsidRPr="00D260F1">
              <w:rPr>
                <w:rFonts w:ascii="Verdana" w:eastAsia="Calibri" w:hAnsi="Verdana" w:cs="Arial"/>
                <w:b/>
                <w:bCs/>
                <w:lang w:eastAsia="es-ES"/>
              </w:rPr>
              <w:t>-</w:t>
            </w:r>
            <w:r>
              <w:rPr>
                <w:rFonts w:ascii="Verdana" w:eastAsia="Calibri" w:hAnsi="Verdana" w:cs="Arial"/>
                <w:b/>
                <w:bCs/>
                <w:lang w:eastAsia="es-ES"/>
              </w:rPr>
              <w:t xml:space="preserve"> 1063 de 2026</w:t>
            </w:r>
          </w:p>
          <w:p w14:paraId="29426C13" w14:textId="77777777" w:rsidR="002F2C6F" w:rsidRPr="005644FE" w:rsidRDefault="002F2C6F" w:rsidP="00902C3B">
            <w:pPr>
              <w:jc w:val="both"/>
              <w:rPr>
                <w:rFonts w:ascii="Verdana" w:eastAsia="Calibri" w:hAnsi="Verdana" w:cs="Arial"/>
                <w:b/>
                <w:bCs/>
                <w:color w:val="7030A0"/>
                <w:lang w:eastAsia="es-ES"/>
              </w:rPr>
            </w:pPr>
          </w:p>
        </w:tc>
      </w:tr>
      <w:tr w:rsidR="002F2C6F" w:rsidRPr="005644FE" w14:paraId="75BDB1CA" w14:textId="77777777" w:rsidTr="00902C3B">
        <w:trPr>
          <w:trHeight w:val="884"/>
        </w:trPr>
        <w:tc>
          <w:tcPr>
            <w:tcW w:w="3119" w:type="dxa"/>
          </w:tcPr>
          <w:p w14:paraId="46BE859C" w14:textId="77777777" w:rsidR="002F2C6F" w:rsidRPr="005644FE" w:rsidRDefault="002F2C6F" w:rsidP="00902C3B">
            <w:pPr>
              <w:jc w:val="both"/>
              <w:rPr>
                <w:rFonts w:ascii="Verdana" w:eastAsia="Calibri" w:hAnsi="Verdana" w:cs="Arial"/>
                <w:color w:val="000000"/>
                <w:lang w:eastAsia="es-ES_tradnl"/>
              </w:rPr>
            </w:pPr>
            <w:r w:rsidRPr="005644FE">
              <w:rPr>
                <w:rFonts w:ascii="Verdana" w:eastAsia="Calibri" w:hAnsi="Verdana" w:cs="Arial"/>
                <w:b/>
                <w:color w:val="000000"/>
                <w:lang w:eastAsia="es-ES_tradnl"/>
              </w:rPr>
              <w:t>Temas:</w:t>
            </w:r>
            <w:r w:rsidRPr="005644FE">
              <w:rPr>
                <w:rFonts w:ascii="Verdana" w:eastAsia="Calibri" w:hAnsi="Verdana" w:cs="Arial"/>
                <w:color w:val="000000"/>
                <w:lang w:eastAsia="es-ES_tradnl"/>
              </w:rPr>
              <w:t xml:space="preserve">                   </w:t>
            </w:r>
          </w:p>
        </w:tc>
        <w:tc>
          <w:tcPr>
            <w:tcW w:w="5670" w:type="dxa"/>
          </w:tcPr>
          <w:p w14:paraId="16188E36" w14:textId="77777777" w:rsidR="002F2C6F" w:rsidRPr="00070EC3" w:rsidRDefault="002F2C6F" w:rsidP="00307A0C">
            <w:pPr>
              <w:jc w:val="both"/>
              <w:rPr>
                <w:rFonts w:ascii="Verdana" w:eastAsia="Aptos" w:hAnsi="Verdana" w:cs="Times New Roman"/>
              </w:rPr>
            </w:pPr>
            <w:r>
              <w:rPr>
                <w:rFonts w:ascii="Verdana" w:eastAsia="Aptos" w:hAnsi="Verdana" w:cs="Times New Roman"/>
              </w:rPr>
              <w:t xml:space="preserve">CLÁUSULAS EXCEPCIONALES – Finalidad / TERMINACIÓN UNILATERAL DEL CONTRATO – Requisitos – Finalidad - Efectos / PRINCIPIO DE PUBLICIDAD - </w:t>
            </w:r>
            <w:r w:rsidRPr="00AD6B46">
              <w:rPr>
                <w:rFonts w:ascii="Verdana" w:eastAsia="Arial" w:hAnsi="Verdana" w:cs="Arial"/>
                <w:lang w:val="es-ES"/>
              </w:rPr>
              <w:t>Concepto – Fundamento constitucional</w:t>
            </w:r>
            <w:r w:rsidRPr="00AD6B46">
              <w:rPr>
                <w:rFonts w:ascii="Verdana" w:hAnsi="Verdana" w:cs="Arial"/>
                <w:bCs/>
                <w:lang w:val="es-ES_tradnl" w:eastAsia="es-ES" w:bidi="es-ES"/>
              </w:rPr>
              <w:t xml:space="preserve"> / </w:t>
            </w:r>
            <w:r>
              <w:rPr>
                <w:rFonts w:ascii="Verdana" w:hAnsi="Verdana" w:cs="Arial"/>
                <w:bCs/>
                <w:lang w:val="es-ES_tradnl" w:eastAsia="es-ES" w:bidi="es-ES"/>
              </w:rPr>
              <w:t xml:space="preserve">PRINCIPIO DE PUBLICIDAD – Ley 1712 de 2014 – Sujetos Obligados / </w:t>
            </w:r>
            <w:r w:rsidRPr="00AD6B46">
              <w:rPr>
                <w:rFonts w:ascii="Verdana" w:hAnsi="Verdana" w:cs="Arial"/>
                <w:bCs/>
                <w:lang w:val="es-ES_tradnl" w:eastAsia="es-ES" w:bidi="es-ES"/>
              </w:rPr>
              <w:t>PRINCIPIO DE PUBLICIDAD – Documentos del proceso – Deber de publicación /</w:t>
            </w:r>
            <w:r>
              <w:rPr>
                <w:rFonts w:ascii="Verdana" w:hAnsi="Verdana" w:cs="Arial"/>
                <w:bCs/>
                <w:lang w:val="es-ES_tradnl" w:eastAsia="es-ES" w:bidi="es-ES"/>
              </w:rPr>
              <w:t xml:space="preserve"> CIRCULAR EXTERNA 002 de 2026 – Ámbito de aplicación </w:t>
            </w:r>
          </w:p>
          <w:p w14:paraId="47146D9B" w14:textId="77777777" w:rsidR="002F2C6F" w:rsidRPr="00205703" w:rsidRDefault="002F2C6F" w:rsidP="00307A0C">
            <w:pPr>
              <w:jc w:val="both"/>
              <w:rPr>
                <w:rFonts w:ascii="Verdana" w:hAnsi="Verdana" w:cs="Arial"/>
                <w:bCs/>
                <w:lang w:eastAsia="es-ES" w:bidi="es-ES"/>
              </w:rPr>
            </w:pPr>
          </w:p>
        </w:tc>
      </w:tr>
      <w:tr w:rsidR="002F2C6F" w:rsidRPr="005644FE" w14:paraId="1CF4B9EB" w14:textId="77777777" w:rsidTr="00902C3B">
        <w:tc>
          <w:tcPr>
            <w:tcW w:w="3119" w:type="dxa"/>
          </w:tcPr>
          <w:p w14:paraId="095A9476" w14:textId="77777777" w:rsidR="002F2C6F" w:rsidRPr="005644FE" w:rsidRDefault="002F2C6F" w:rsidP="00902C3B">
            <w:pPr>
              <w:jc w:val="both"/>
              <w:rPr>
                <w:rFonts w:ascii="Verdana" w:eastAsia="Calibri" w:hAnsi="Verdana" w:cs="Arial"/>
                <w:b/>
                <w:lang w:eastAsia="es-ES_tradnl"/>
              </w:rPr>
            </w:pPr>
            <w:r w:rsidRPr="005644FE">
              <w:rPr>
                <w:rFonts w:ascii="Verdana" w:eastAsia="Calibri" w:hAnsi="Verdana" w:cs="Arial"/>
                <w:b/>
                <w:lang w:eastAsia="es-ES_tradnl"/>
              </w:rPr>
              <w:t>Radicación:</w:t>
            </w:r>
            <w:r w:rsidRPr="005644FE">
              <w:rPr>
                <w:rFonts w:ascii="Verdana" w:eastAsia="Calibri" w:hAnsi="Verdana" w:cs="Arial"/>
                <w:lang w:eastAsia="es-ES_tradnl"/>
              </w:rPr>
              <w:t xml:space="preserve">               </w:t>
            </w:r>
          </w:p>
        </w:tc>
        <w:tc>
          <w:tcPr>
            <w:tcW w:w="5670" w:type="dxa"/>
          </w:tcPr>
          <w:p w14:paraId="72FE32EE" w14:textId="77777777" w:rsidR="002F2C6F" w:rsidRPr="00F04657" w:rsidRDefault="002F2C6F" w:rsidP="00307A0C">
            <w:pPr>
              <w:jc w:val="both"/>
              <w:rPr>
                <w:rFonts w:ascii="Verdana" w:eastAsia="Calibri" w:hAnsi="Verdana" w:cs="Arial"/>
                <w:lang w:eastAsia="es-ES"/>
              </w:rPr>
            </w:pPr>
            <w:r w:rsidRPr="74C89D8F">
              <w:rPr>
                <w:rFonts w:ascii="Verdana" w:eastAsia="Calibri" w:hAnsi="Verdana" w:cs="Arial"/>
                <w:lang w:eastAsia="es-ES"/>
              </w:rPr>
              <w:t>Respuesta a consulta con radicado</w:t>
            </w:r>
            <w:r>
              <w:rPr>
                <w:rFonts w:ascii="Verdana" w:eastAsia="Calibri" w:hAnsi="Verdana" w:cs="Arial"/>
                <w:lang w:eastAsia="es-ES"/>
              </w:rPr>
              <w:t xml:space="preserve"> </w:t>
            </w:r>
            <w:r w:rsidRPr="00B06C57">
              <w:rPr>
                <w:rFonts w:ascii="Verdana" w:eastAsia="Calibri" w:hAnsi="Verdana" w:cs="Arial"/>
                <w:lang w:eastAsia="es-ES"/>
              </w:rPr>
              <w:t>1_2026_07_03_008877</w:t>
            </w:r>
          </w:p>
        </w:tc>
      </w:tr>
    </w:tbl>
    <w:p w14:paraId="738D1DBF" w14:textId="77777777" w:rsidR="002F2C6F" w:rsidRPr="005644FE" w:rsidRDefault="002F2C6F" w:rsidP="00307A0C">
      <w:pPr>
        <w:spacing w:after="0" w:line="240" w:lineRule="auto"/>
        <w:jc w:val="both"/>
        <w:rPr>
          <w:rFonts w:ascii="Verdana" w:eastAsia="Calibri" w:hAnsi="Verdana" w:cs="Arial"/>
          <w:lang w:eastAsia="es-ES_tradnl"/>
        </w:rPr>
      </w:pPr>
      <w:r>
        <w:rPr>
          <w:rFonts w:ascii="Verdana" w:eastAsia="Calibri" w:hAnsi="Verdana" w:cs="Arial"/>
          <w:lang w:eastAsia="es-ES_tradnl"/>
        </w:rPr>
        <w:t xml:space="preserve"> </w:t>
      </w:r>
    </w:p>
    <w:p w14:paraId="07BB1D21" w14:textId="77777777" w:rsidR="002F2C6F" w:rsidRPr="005644FE" w:rsidRDefault="002F2C6F" w:rsidP="002F2C6F">
      <w:pPr>
        <w:spacing w:after="0" w:line="276" w:lineRule="auto"/>
        <w:jc w:val="both"/>
        <w:rPr>
          <w:rFonts w:ascii="Verdana" w:eastAsia="Calibri" w:hAnsi="Verdana" w:cs="Arial"/>
          <w:lang w:eastAsia="es-ES"/>
        </w:rPr>
      </w:pPr>
      <w:r>
        <w:rPr>
          <w:rFonts w:ascii="Verdana" w:eastAsia="Calibri" w:hAnsi="Verdana" w:cs="Arial"/>
          <w:lang w:eastAsia="es-ES"/>
        </w:rPr>
        <w:t>Estimada Entidad:</w:t>
      </w:r>
    </w:p>
    <w:p w14:paraId="30592E77" w14:textId="77777777" w:rsidR="002F2C6F" w:rsidRPr="00E02524" w:rsidRDefault="002F2C6F" w:rsidP="00307A0C">
      <w:pPr>
        <w:spacing w:after="0" w:line="276" w:lineRule="auto"/>
        <w:jc w:val="both"/>
        <w:rPr>
          <w:rFonts w:ascii="Verdana" w:hAnsi="Verdana"/>
          <w:lang w:val="es-MX"/>
        </w:rPr>
      </w:pPr>
    </w:p>
    <w:p w14:paraId="68585CE6" w14:textId="2C309B82" w:rsidR="002F2C6F" w:rsidRPr="0084712D" w:rsidRDefault="002F2C6F" w:rsidP="004B04FE">
      <w:pPr>
        <w:spacing w:after="0" w:line="276" w:lineRule="auto"/>
        <w:jc w:val="both"/>
        <w:rPr>
          <w:rFonts w:ascii="Verdana" w:hAnsi="Verdana"/>
        </w:rPr>
      </w:pPr>
      <w:r w:rsidRPr="0084712D">
        <w:rPr>
          <w:rFonts w:ascii="Verdana" w:hAnsi="Verdana"/>
        </w:rPr>
        <w:t xml:space="preserve">La Agencia Nacional de Contratación Pública – Colombia Compra Eficiente –, en ejercicio de las competencias otorgadas por los artículos 3, numeral 5º, y 11, numeral 8º, del Decreto Ley 4170 de 2011 y de conformidad con las modalidades del derecho de petición contempladas en la Ley 1755 de 2015 y en la resolución </w:t>
      </w:r>
      <w:proofErr w:type="spellStart"/>
      <w:r w:rsidRPr="0084712D">
        <w:rPr>
          <w:rFonts w:ascii="Verdana" w:hAnsi="Verdana"/>
        </w:rPr>
        <w:t>N°</w:t>
      </w:r>
      <w:proofErr w:type="spellEnd"/>
      <w:r w:rsidRPr="0084712D">
        <w:rPr>
          <w:rFonts w:ascii="Verdana" w:hAnsi="Verdana"/>
        </w:rPr>
        <w:t xml:space="preserve"> 469 del 2025 expedida por esta Agencia, responde </w:t>
      </w:r>
      <w:r>
        <w:rPr>
          <w:rFonts w:ascii="Verdana" w:hAnsi="Verdana"/>
        </w:rPr>
        <w:t xml:space="preserve">su </w:t>
      </w:r>
      <w:r w:rsidRPr="0084712D">
        <w:rPr>
          <w:rFonts w:ascii="Verdana" w:hAnsi="Verdana"/>
        </w:rPr>
        <w:t>solicitud de consulta</w:t>
      </w:r>
      <w:r>
        <w:rPr>
          <w:rFonts w:ascii="Verdana" w:hAnsi="Verdana"/>
        </w:rPr>
        <w:t xml:space="preserve"> de 3 de julio de 2026 </w:t>
      </w:r>
      <w:r w:rsidRPr="0084712D">
        <w:rPr>
          <w:rFonts w:ascii="Verdana" w:hAnsi="Verdana"/>
        </w:rPr>
        <w:t>en la cual manifiesta lo siguiente:</w:t>
      </w:r>
    </w:p>
    <w:p w14:paraId="5FCAA0BB" w14:textId="77777777" w:rsidR="004B04FE" w:rsidRPr="0084712D" w:rsidRDefault="004B04FE" w:rsidP="00307A0C">
      <w:pPr>
        <w:spacing w:after="0" w:line="276" w:lineRule="auto"/>
        <w:jc w:val="both"/>
        <w:rPr>
          <w:rFonts w:ascii="Verdana" w:hAnsi="Verdana"/>
        </w:rPr>
      </w:pPr>
    </w:p>
    <w:p w14:paraId="20F0E34F" w14:textId="7B850799" w:rsidR="002F2C6F" w:rsidRDefault="002F2C6F" w:rsidP="004B04FE">
      <w:pPr>
        <w:spacing w:after="0" w:line="276" w:lineRule="auto"/>
        <w:jc w:val="both"/>
        <w:rPr>
          <w:rFonts w:ascii="Verdana" w:hAnsi="Verdana"/>
        </w:rPr>
      </w:pPr>
      <w:r w:rsidRPr="00E02524">
        <w:rPr>
          <w:rFonts w:ascii="Verdana" w:hAnsi="Verdana"/>
        </w:rPr>
        <w:t xml:space="preserve">PETICIÓN REALIZADA </w:t>
      </w:r>
    </w:p>
    <w:p w14:paraId="3981830D" w14:textId="77777777" w:rsidR="004B04FE" w:rsidRDefault="004B04FE" w:rsidP="00307A0C">
      <w:pPr>
        <w:spacing w:after="0" w:line="276" w:lineRule="auto"/>
        <w:jc w:val="both"/>
        <w:rPr>
          <w:rFonts w:ascii="Verdana" w:hAnsi="Verdana"/>
        </w:rPr>
      </w:pPr>
    </w:p>
    <w:p w14:paraId="544D1BEC" w14:textId="77777777" w:rsidR="002F2C6F" w:rsidRDefault="002F2C6F" w:rsidP="00307A0C">
      <w:pPr>
        <w:spacing w:after="0" w:line="240" w:lineRule="auto"/>
        <w:ind w:left="709" w:right="709"/>
        <w:jc w:val="both"/>
        <w:rPr>
          <w:rFonts w:ascii="Verdana" w:hAnsi="Verdana"/>
          <w:sz w:val="20"/>
          <w:szCs w:val="20"/>
        </w:rPr>
      </w:pPr>
      <w:r>
        <w:rPr>
          <w:rFonts w:ascii="Verdana" w:hAnsi="Verdana"/>
          <w:sz w:val="20"/>
          <w:szCs w:val="20"/>
        </w:rPr>
        <w:t xml:space="preserve">“(…) La Personería Municipal de Bello – Antioquia se tuvo que proceder con la declaratoria de </w:t>
      </w:r>
      <w:r>
        <w:rPr>
          <w:rFonts w:ascii="Verdana" w:hAnsi="Verdana"/>
          <w:b/>
          <w:bCs/>
          <w:sz w:val="20"/>
          <w:szCs w:val="20"/>
        </w:rPr>
        <w:t xml:space="preserve">TERMINACIÓN UNILATERAL </w:t>
      </w:r>
      <w:r>
        <w:rPr>
          <w:rFonts w:ascii="Verdana" w:hAnsi="Verdana"/>
          <w:sz w:val="20"/>
          <w:szCs w:val="20"/>
        </w:rPr>
        <w:t xml:space="preserve">del contrato de prestación de servicios profesionales (…) ante la imposibilidad de cumplir la ejecución de las obligaciones por parte del contratista, </w:t>
      </w:r>
      <w:proofErr w:type="gramStart"/>
      <w:r>
        <w:rPr>
          <w:rFonts w:ascii="Verdana" w:hAnsi="Verdana"/>
          <w:sz w:val="20"/>
          <w:szCs w:val="20"/>
        </w:rPr>
        <w:t>en relación a</w:t>
      </w:r>
      <w:proofErr w:type="gramEnd"/>
      <w:r>
        <w:rPr>
          <w:rFonts w:ascii="Verdana" w:hAnsi="Verdana"/>
          <w:sz w:val="20"/>
          <w:szCs w:val="20"/>
        </w:rPr>
        <w:t xml:space="preserve"> los motivos de salud que expuso durante una etapa del debido proceso. </w:t>
      </w:r>
      <w:r w:rsidRPr="0022356D">
        <w:rPr>
          <w:rFonts w:ascii="Verdana" w:hAnsi="Verdana"/>
          <w:sz w:val="20"/>
          <w:szCs w:val="20"/>
        </w:rPr>
        <w:t xml:space="preserve"> </w:t>
      </w:r>
    </w:p>
    <w:p w14:paraId="2D351EDA" w14:textId="77777777" w:rsidR="002F2C6F" w:rsidRDefault="002F2C6F" w:rsidP="00307A0C">
      <w:pPr>
        <w:spacing w:after="0" w:line="240" w:lineRule="auto"/>
        <w:ind w:left="709" w:right="709"/>
        <w:jc w:val="both"/>
        <w:rPr>
          <w:rFonts w:ascii="Verdana" w:hAnsi="Verdana"/>
          <w:sz w:val="20"/>
          <w:szCs w:val="20"/>
        </w:rPr>
      </w:pPr>
    </w:p>
    <w:p w14:paraId="69ED5D2C" w14:textId="77777777" w:rsidR="002F2C6F" w:rsidRDefault="002F2C6F" w:rsidP="00307A0C">
      <w:pPr>
        <w:spacing w:after="0" w:line="240" w:lineRule="auto"/>
        <w:ind w:left="709" w:right="709"/>
        <w:jc w:val="both"/>
        <w:rPr>
          <w:rFonts w:ascii="Verdana" w:hAnsi="Verdana"/>
          <w:sz w:val="20"/>
          <w:szCs w:val="20"/>
        </w:rPr>
      </w:pPr>
      <w:r>
        <w:rPr>
          <w:rFonts w:ascii="Verdana" w:hAnsi="Verdana"/>
          <w:sz w:val="20"/>
          <w:szCs w:val="20"/>
        </w:rPr>
        <w:t xml:space="preserve">En este caso las evidencias de los requerimientos del supervisor, informes elaborados, citación a audiencia y resolución por medio de la cual se adopta la decisión de terminación unilateral (…). </w:t>
      </w:r>
    </w:p>
    <w:p w14:paraId="521C41DE" w14:textId="77777777" w:rsidR="002F2C6F" w:rsidRDefault="002F2C6F" w:rsidP="00307A0C">
      <w:pPr>
        <w:spacing w:after="0" w:line="240" w:lineRule="auto"/>
        <w:ind w:left="709" w:right="709"/>
        <w:jc w:val="both"/>
        <w:rPr>
          <w:rFonts w:ascii="Verdana" w:hAnsi="Verdana"/>
          <w:sz w:val="20"/>
          <w:szCs w:val="20"/>
        </w:rPr>
      </w:pPr>
    </w:p>
    <w:p w14:paraId="2117B62B" w14:textId="77777777" w:rsidR="002F2C6F" w:rsidRDefault="002F2C6F" w:rsidP="00307A0C">
      <w:pPr>
        <w:spacing w:after="0" w:line="240" w:lineRule="auto"/>
        <w:ind w:left="709" w:right="709"/>
        <w:jc w:val="both"/>
        <w:rPr>
          <w:rFonts w:ascii="Verdana" w:hAnsi="Verdana"/>
          <w:sz w:val="20"/>
          <w:szCs w:val="20"/>
        </w:rPr>
      </w:pPr>
      <w:r>
        <w:rPr>
          <w:rFonts w:ascii="Verdana" w:hAnsi="Verdana"/>
          <w:sz w:val="20"/>
          <w:szCs w:val="20"/>
        </w:rPr>
        <w:t xml:space="preserve">En este caso no se aplicó sanciones de orden económico, ni se predica la figura de caducidad, toda vez que el contratista, aunque no estuvo en capacidad de cumplir con sus obligaciones, tampoco generó ningún egreso a la entidad, lo cual permitió la liberación del registro y compromiso presupuestal por el valor total del contrato. </w:t>
      </w:r>
    </w:p>
    <w:p w14:paraId="25B46544" w14:textId="77777777" w:rsidR="002F2C6F" w:rsidRDefault="002F2C6F" w:rsidP="00307A0C">
      <w:pPr>
        <w:spacing w:after="0" w:line="240" w:lineRule="auto"/>
        <w:ind w:left="709" w:right="709"/>
        <w:jc w:val="both"/>
        <w:rPr>
          <w:rFonts w:ascii="Verdana" w:hAnsi="Verdana"/>
          <w:sz w:val="20"/>
          <w:szCs w:val="20"/>
        </w:rPr>
      </w:pPr>
    </w:p>
    <w:p w14:paraId="149DACC9" w14:textId="77777777" w:rsidR="002F2C6F" w:rsidRDefault="002F2C6F" w:rsidP="00307A0C">
      <w:pPr>
        <w:spacing w:after="0" w:line="240" w:lineRule="auto"/>
        <w:ind w:left="709" w:right="709"/>
        <w:jc w:val="both"/>
        <w:rPr>
          <w:rFonts w:ascii="Verdana" w:hAnsi="Verdana"/>
          <w:sz w:val="20"/>
          <w:szCs w:val="20"/>
        </w:rPr>
      </w:pPr>
      <w:r>
        <w:rPr>
          <w:rFonts w:ascii="Verdana" w:hAnsi="Verdana"/>
          <w:sz w:val="20"/>
          <w:szCs w:val="20"/>
        </w:rPr>
        <w:t>(…) Brindamos este contexto ante la Agencia (…) para indicar el motivo de la consulta que presentamos, toda vez que la Circular habla sobre la obligatoriedad de reportar declaratoria de caducidad, multas, sanciones, declaratorias de incumplimiento, inhabilidades y sentencias condenatorias impuestas a los contratistas del estado ante las Cámaras de Comercio, Procuraduría General de la Nación y en el SECOP, pero este cado presenta una condición atípica, toda vez que es claro que el contratista no pudo cumplir con sus obligaciones, pero los motivos que llevaron a este escenario reclamaban una valoración del contexto y condiciones.</w:t>
      </w:r>
    </w:p>
    <w:p w14:paraId="7FFA4EA4" w14:textId="77777777" w:rsidR="002F2C6F" w:rsidRDefault="002F2C6F" w:rsidP="00307A0C">
      <w:pPr>
        <w:spacing w:after="0" w:line="240" w:lineRule="auto"/>
        <w:ind w:left="709" w:right="709"/>
        <w:jc w:val="both"/>
        <w:rPr>
          <w:rFonts w:ascii="Verdana" w:hAnsi="Verdana"/>
          <w:sz w:val="20"/>
          <w:szCs w:val="20"/>
        </w:rPr>
      </w:pPr>
    </w:p>
    <w:p w14:paraId="40A7EF8D" w14:textId="77777777" w:rsidR="002F2C6F" w:rsidRPr="0022356D" w:rsidRDefault="002F2C6F" w:rsidP="00307A0C">
      <w:pPr>
        <w:spacing w:after="0" w:line="240" w:lineRule="auto"/>
        <w:ind w:left="709" w:right="709"/>
        <w:jc w:val="both"/>
        <w:rPr>
          <w:rFonts w:ascii="Verdana" w:hAnsi="Verdana"/>
          <w:sz w:val="20"/>
          <w:szCs w:val="20"/>
        </w:rPr>
      </w:pPr>
      <w:r>
        <w:rPr>
          <w:rFonts w:ascii="Verdana" w:hAnsi="Verdana"/>
          <w:sz w:val="20"/>
          <w:szCs w:val="20"/>
        </w:rPr>
        <w:t xml:space="preserve">(…) antes de proceder con la remisión las entidades referidas en la circular debemos agotar los medios para verificar que dicha acción no constituya un error en la forma de proceder, toda vez que, aunque el contrato se tuvo que terminar de forma unilateral en estricto término no derivo en declaratoria de caducidad, multas, sanciones, por motivos de inhabilidades o sentencias condenatorias impuestas </w:t>
      </w:r>
      <w:r w:rsidRPr="0022356D">
        <w:rPr>
          <w:rFonts w:ascii="Verdana" w:hAnsi="Verdana"/>
          <w:sz w:val="20"/>
          <w:szCs w:val="20"/>
        </w:rPr>
        <w:t>(…)”.</w:t>
      </w:r>
    </w:p>
    <w:p w14:paraId="059DC560" w14:textId="77777777" w:rsidR="002F2C6F" w:rsidRPr="00647D77" w:rsidRDefault="002F2C6F" w:rsidP="002F2C6F">
      <w:pPr>
        <w:spacing w:after="0" w:line="240" w:lineRule="auto"/>
        <w:ind w:right="709"/>
        <w:jc w:val="both"/>
        <w:rPr>
          <w:rFonts w:ascii="Verdana" w:hAnsi="Verdana"/>
        </w:rPr>
      </w:pPr>
    </w:p>
    <w:p w14:paraId="10A99C7D" w14:textId="77777777" w:rsidR="002F2C6F" w:rsidRDefault="002F2C6F" w:rsidP="002F2C6F">
      <w:pPr>
        <w:spacing w:after="120" w:line="276" w:lineRule="auto"/>
        <w:ind w:firstLine="709"/>
        <w:jc w:val="both"/>
        <w:rPr>
          <w:rFonts w:ascii="Verdana" w:eastAsia="Calibri" w:hAnsi="Verdana" w:cs="Arial"/>
          <w:color w:val="000000"/>
          <w:szCs w:val="24"/>
          <w:lang w:eastAsia="es-ES_tradnl"/>
        </w:rPr>
      </w:pPr>
      <w:r w:rsidRPr="005644FE">
        <w:rPr>
          <w:rFonts w:ascii="Verdana" w:eastAsia="Calibri" w:hAnsi="Verdana" w:cs="Arial"/>
          <w:color w:val="000000"/>
          <w:lang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w:t>
      </w:r>
      <w:r>
        <w:rPr>
          <w:rFonts w:ascii="Verdana" w:eastAsia="Calibri" w:hAnsi="Verdana" w:cs="Arial"/>
          <w:color w:val="000000"/>
          <w:lang w:eastAsia="es-ES"/>
        </w:rPr>
        <w:t xml:space="preserve">la Agencia Nacional de Contratación Pública - </w:t>
      </w:r>
      <w:r w:rsidRPr="005644FE">
        <w:rPr>
          <w:rFonts w:ascii="Verdana" w:eastAsia="Calibri" w:hAnsi="Verdana" w:cs="Arial"/>
          <w:color w:val="000000"/>
          <w:lang w:eastAsia="es-ES"/>
        </w:rPr>
        <w:t xml:space="preserve">Colombia Compra Eficiente como una autoridad para solucionar problemas jurídicos particulares de todos los partícipes del sistema de compra pública. La competencia de esta entidad se fija con límites claros, con </w:t>
      </w:r>
      <w:r w:rsidRPr="00F64722">
        <w:rPr>
          <w:rFonts w:ascii="Verdana" w:eastAsia="Calibri" w:hAnsi="Verdana" w:cs="Arial"/>
          <w:color w:val="000000"/>
          <w:lang w:eastAsia="es-ES"/>
        </w:rPr>
        <w:t xml:space="preserve">el objeto de evitar que la Agencia actúe como una instancia de validación de las actuaciones de las entidades sujetas a la Ley 80 de 1993 o de los demás participantes de la contratación </w:t>
      </w:r>
      <w:r w:rsidRPr="00990488">
        <w:rPr>
          <w:rFonts w:ascii="Verdana" w:eastAsia="Calibri" w:hAnsi="Verdana" w:cs="Arial"/>
          <w:color w:val="000000"/>
          <w:lang w:eastAsia="es-ES"/>
        </w:rPr>
        <w:t xml:space="preserve">pública. Esta competencia de interpretación de normas generales, por definición, no puede extenderse a la resolución de controversias, ni a brindar asesorías sobre casos puntuales. </w:t>
      </w:r>
    </w:p>
    <w:p w14:paraId="55E52C1E" w14:textId="77777777" w:rsidR="002F2C6F" w:rsidRDefault="002F2C6F" w:rsidP="00307A0C">
      <w:pPr>
        <w:spacing w:after="0" w:line="276" w:lineRule="auto"/>
        <w:ind w:firstLine="709"/>
        <w:jc w:val="both"/>
        <w:rPr>
          <w:rFonts w:ascii="Verdana" w:eastAsia="Calibri" w:hAnsi="Verdana" w:cs="Arial"/>
          <w:lang w:eastAsia="es-ES"/>
        </w:rPr>
      </w:pPr>
      <w:r w:rsidRPr="005B0F95">
        <w:rPr>
          <w:rFonts w:ascii="Verdana" w:eastAsia="Calibri" w:hAnsi="Verdana" w:cs="Arial"/>
          <w:color w:val="000000"/>
          <w:lang w:eastAsia="es-ES"/>
        </w:rPr>
        <w:t>Conforme lo expuesto, en aras de garantizar el derecho fundamental de petición, se resolverá su petición dentro de los límites de la referida competencia consultiva, esto es, haciendo abstracción del caso particular y concreto señalado en su petición, pero señalando algunas consideraciones sobre las normas generales relacionadas a los problemas jurídicos de su consulta.</w:t>
      </w:r>
      <w:r w:rsidRPr="005B0F95">
        <w:rPr>
          <w:rFonts w:ascii="Verdana" w:eastAsia="Calibri" w:hAnsi="Verdana" w:cs="Arial"/>
          <w:lang w:eastAsia="es-ES"/>
        </w:rPr>
        <w:t xml:space="preserve"> </w:t>
      </w:r>
    </w:p>
    <w:p w14:paraId="53DA6A64" w14:textId="77777777" w:rsidR="002F2C6F" w:rsidRPr="00321DC0" w:rsidRDefault="002F2C6F" w:rsidP="00307A0C">
      <w:pPr>
        <w:spacing w:after="0" w:line="276" w:lineRule="auto"/>
        <w:ind w:firstLine="709"/>
        <w:jc w:val="both"/>
        <w:rPr>
          <w:rFonts w:ascii="Verdana" w:eastAsia="Calibri" w:hAnsi="Verdana" w:cs="Arial"/>
          <w:color w:val="000000"/>
          <w:szCs w:val="24"/>
          <w:lang w:eastAsia="es-ES_tradnl"/>
        </w:rPr>
      </w:pPr>
    </w:p>
    <w:p w14:paraId="7D3062F4" w14:textId="77777777" w:rsidR="002F2C6F" w:rsidRPr="005B0F95" w:rsidRDefault="002F2C6F" w:rsidP="0020438B">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B0F95">
        <w:rPr>
          <w:rFonts w:ascii="Verdana" w:eastAsia="Century Gothic" w:hAnsi="Verdana" w:cs="Century Gothic"/>
          <w:b/>
          <w:bCs/>
        </w:rPr>
        <w:t>Problema planteado:</w:t>
      </w:r>
    </w:p>
    <w:p w14:paraId="445128AC" w14:textId="77777777" w:rsidR="002F2C6F" w:rsidRPr="005B0F95" w:rsidRDefault="002F2C6F" w:rsidP="00307A0C">
      <w:pPr>
        <w:spacing w:after="0" w:line="276" w:lineRule="auto"/>
        <w:jc w:val="both"/>
        <w:rPr>
          <w:rFonts w:ascii="Verdana" w:eastAsia="Calibri" w:hAnsi="Verdana" w:cs="Arial"/>
          <w:color w:val="000000"/>
          <w:lang w:eastAsia="es-ES"/>
        </w:rPr>
      </w:pPr>
    </w:p>
    <w:p w14:paraId="7892160A" w14:textId="5C39E00D" w:rsidR="002F2C6F" w:rsidRDefault="002F2C6F" w:rsidP="00307A0C">
      <w:pPr>
        <w:spacing w:after="0" w:line="276" w:lineRule="auto"/>
        <w:jc w:val="both"/>
        <w:rPr>
          <w:rFonts w:ascii="Verdana" w:eastAsia="Century Gothic" w:hAnsi="Verdana" w:cs="Century Gothic"/>
        </w:rPr>
      </w:pPr>
      <w:r w:rsidRPr="005B0F95">
        <w:rPr>
          <w:rFonts w:ascii="Verdana" w:eastAsia="Calibri" w:hAnsi="Verdana" w:cs="Arial"/>
          <w:color w:val="000000"/>
          <w:lang w:eastAsia="es-ES"/>
        </w:rPr>
        <w:t xml:space="preserve">De acuerdo con el contenido de su solicitud, esta Agencia resolverá los siguientes problemas jurídicos: </w:t>
      </w:r>
      <w:r w:rsidRPr="005B0F95">
        <w:rPr>
          <w:rFonts w:ascii="Verdana" w:eastAsia="Century Gothic" w:hAnsi="Verdana" w:cs="Century Gothic"/>
        </w:rPr>
        <w:t xml:space="preserve">i) ¿Cuáles son las características de la terminación unilateral consagrada en el artículo 17 de la Ley 80 de 1993? </w:t>
      </w:r>
      <w:r w:rsidR="002D3E59">
        <w:rPr>
          <w:rFonts w:ascii="Verdana" w:eastAsia="Century Gothic" w:hAnsi="Verdana" w:cs="Century Gothic"/>
        </w:rPr>
        <w:t xml:space="preserve">y </w:t>
      </w:r>
      <w:proofErr w:type="spellStart"/>
      <w:r w:rsidRPr="005B0F95">
        <w:rPr>
          <w:rFonts w:ascii="Verdana" w:eastAsia="Century Gothic" w:hAnsi="Verdana" w:cs="Century Gothic"/>
        </w:rPr>
        <w:t>ii</w:t>
      </w:r>
      <w:proofErr w:type="spellEnd"/>
      <w:r w:rsidRPr="005B0F95">
        <w:rPr>
          <w:rFonts w:ascii="Verdana" w:eastAsia="Century Gothic" w:hAnsi="Verdana" w:cs="Century Gothic"/>
        </w:rPr>
        <w:t xml:space="preserve">) ¿Cuál es el alcance </w:t>
      </w:r>
      <w:r w:rsidRPr="005B0F95">
        <w:rPr>
          <w:rFonts w:ascii="Verdana" w:eastAsia="Calibri" w:hAnsi="Verdana" w:cs="Times New Roman"/>
          <w:iCs/>
          <w:lang w:val="es-ES"/>
        </w:rPr>
        <w:t>de la Circular Externa 002 de 2026 proferida por la Agencia Nacional de Contratación Pública – Colombia Compra Eficiente</w:t>
      </w:r>
      <w:r w:rsidR="00915161">
        <w:rPr>
          <w:rFonts w:ascii="Verdana" w:eastAsia="Calibri" w:hAnsi="Verdana" w:cs="Times New Roman"/>
          <w:iCs/>
          <w:lang w:val="es-ES"/>
        </w:rPr>
        <w:t xml:space="preserve"> en relación con el reporte de la terminación unilateral efectuada en el marco de un contrato estatal</w:t>
      </w:r>
      <w:r w:rsidRPr="005B0F95">
        <w:rPr>
          <w:rFonts w:ascii="Verdana" w:eastAsia="Century Gothic" w:hAnsi="Verdana" w:cs="Century Gothic"/>
        </w:rPr>
        <w:t>?</w:t>
      </w:r>
    </w:p>
    <w:p w14:paraId="17646962" w14:textId="77777777" w:rsidR="002F2C6F" w:rsidRDefault="002F2C6F" w:rsidP="00307A0C">
      <w:pPr>
        <w:spacing w:after="0" w:line="276" w:lineRule="auto"/>
        <w:jc w:val="both"/>
        <w:rPr>
          <w:rFonts w:ascii="Verdana" w:eastAsia="Century Gothic" w:hAnsi="Verdana" w:cs="Century Gothic"/>
        </w:rPr>
      </w:pPr>
    </w:p>
    <w:p w14:paraId="022B8FE0" w14:textId="77777777" w:rsidR="002F2C6F" w:rsidRPr="00321DC0" w:rsidRDefault="002F2C6F" w:rsidP="00307A0C">
      <w:pPr>
        <w:spacing w:after="0" w:line="276" w:lineRule="auto"/>
        <w:jc w:val="both"/>
        <w:rPr>
          <w:rFonts w:ascii="Verdana" w:eastAsia="Century Gothic" w:hAnsi="Verdana" w:cs="Century Gothic"/>
        </w:rPr>
      </w:pPr>
      <w:r w:rsidRPr="00B33011">
        <w:rPr>
          <w:rFonts w:ascii="Verdana" w:eastAsia="Century Gothic" w:hAnsi="Verdana" w:cs="Century Gothic"/>
          <w:b/>
          <w:bCs/>
        </w:rPr>
        <w:t>2. Respuesta:</w:t>
      </w:r>
    </w:p>
    <w:p w14:paraId="5C3B2B7C" w14:textId="77777777" w:rsidR="002F2C6F" w:rsidRPr="00185290" w:rsidRDefault="002F2C6F" w:rsidP="002F2C6F">
      <w:pPr>
        <w:spacing w:after="0" w:line="276" w:lineRule="auto"/>
        <w:jc w:val="both"/>
        <w:rPr>
          <w:rFonts w:ascii="Verdana" w:eastAsia="Century Gothic" w:hAnsi="Verdana" w:cs="Century Gothic"/>
        </w:rPr>
      </w:pPr>
    </w:p>
    <w:tbl>
      <w:tblPr>
        <w:tblStyle w:val="Tablaconcuadrcula"/>
        <w:tblW w:w="0" w:type="auto"/>
        <w:tblLook w:val="04A0" w:firstRow="1" w:lastRow="0" w:firstColumn="1" w:lastColumn="0" w:noHBand="0" w:noVBand="1"/>
      </w:tblPr>
      <w:tblGrid>
        <w:gridCol w:w="8828"/>
      </w:tblGrid>
      <w:tr w:rsidR="002F2C6F" w:rsidRPr="005644FE" w14:paraId="2B36FCF4" w14:textId="77777777" w:rsidTr="00902C3B">
        <w:tc>
          <w:tcPr>
            <w:tcW w:w="8828" w:type="dxa"/>
          </w:tcPr>
          <w:p w14:paraId="65002D35" w14:textId="77777777" w:rsidR="002F2C6F" w:rsidRDefault="002F2C6F" w:rsidP="00902C3B">
            <w:pPr>
              <w:spacing w:after="120" w:line="276" w:lineRule="auto"/>
              <w:jc w:val="both"/>
              <w:rPr>
                <w:rFonts w:ascii="Verdana" w:hAnsi="Verdana" w:cs="Arial"/>
                <w:color w:val="000000" w:themeColor="text1"/>
                <w:lang w:val="es-MX"/>
              </w:rPr>
            </w:pPr>
            <w:r>
              <w:rPr>
                <w:rFonts w:ascii="Verdana" w:hAnsi="Verdana" w:cs="Arial"/>
                <w:color w:val="000000" w:themeColor="text1"/>
                <w:lang w:val="es-MX"/>
              </w:rPr>
              <w:t xml:space="preserve">i) </w:t>
            </w:r>
            <w:r w:rsidRPr="00792E4B">
              <w:rPr>
                <w:rFonts w:ascii="Verdana" w:hAnsi="Verdana" w:cs="Arial"/>
                <w:color w:val="000000" w:themeColor="text1"/>
                <w:lang w:val="es-MX"/>
              </w:rPr>
              <w:t xml:space="preserve">En lo atinente a la terminación unilateral del contrato, si bien la ley otorga a las entidades públicas la potestad de actuar en ejercicio de una </w:t>
            </w:r>
            <w:r w:rsidRPr="1065807C">
              <w:rPr>
                <w:rFonts w:ascii="Verdana" w:hAnsi="Verdana" w:cs="Arial"/>
                <w:color w:val="000000" w:themeColor="text1"/>
                <w:lang w:val="es-MX"/>
              </w:rPr>
              <w:t>facultad</w:t>
            </w:r>
            <w:r w:rsidRPr="00792E4B">
              <w:rPr>
                <w:rFonts w:ascii="Verdana" w:hAnsi="Verdana" w:cs="Arial"/>
                <w:color w:val="000000" w:themeColor="text1"/>
                <w:lang w:val="es-MX"/>
              </w:rPr>
              <w:t xml:space="preserve"> exorbitante, les impone el cumplimiento de presupuestos de forzosa aplicación y a la vez restringe la medida a los eventos previstos en la misma. Efectivamente, para declarar la terminación unilateral se requiere i) que la manifestación de la voluntad de la administración se materialice en un acto administrativo, </w:t>
            </w:r>
            <w:proofErr w:type="spellStart"/>
            <w:r w:rsidRPr="00792E4B">
              <w:rPr>
                <w:rFonts w:ascii="Verdana" w:hAnsi="Verdana" w:cs="Arial"/>
                <w:color w:val="000000" w:themeColor="text1"/>
                <w:lang w:val="es-MX"/>
              </w:rPr>
              <w:t>ii</w:t>
            </w:r>
            <w:proofErr w:type="spellEnd"/>
            <w:r w:rsidRPr="00792E4B">
              <w:rPr>
                <w:rFonts w:ascii="Verdana" w:hAnsi="Verdana" w:cs="Arial"/>
                <w:color w:val="000000" w:themeColor="text1"/>
                <w:lang w:val="es-MX"/>
              </w:rPr>
              <w:t xml:space="preserve">) que dicho acto debe ser el resultado de un análisis soportado en la realidad del contrato, es decir, debe estar debidamente motivado y </w:t>
            </w:r>
            <w:proofErr w:type="spellStart"/>
            <w:r w:rsidRPr="00792E4B">
              <w:rPr>
                <w:rFonts w:ascii="Verdana" w:hAnsi="Verdana" w:cs="Arial"/>
                <w:color w:val="000000" w:themeColor="text1"/>
                <w:lang w:val="es-MX"/>
              </w:rPr>
              <w:t>iii</w:t>
            </w:r>
            <w:proofErr w:type="spellEnd"/>
            <w:r w:rsidRPr="00792E4B">
              <w:rPr>
                <w:rFonts w:ascii="Verdana" w:hAnsi="Verdana" w:cs="Arial"/>
                <w:color w:val="000000" w:themeColor="text1"/>
                <w:lang w:val="es-MX"/>
              </w:rPr>
              <w:t>) que la causal que se alegue en la decisión se encuentre enmarcada en los eventos que la ley ha dispuesto.</w:t>
            </w:r>
          </w:p>
          <w:p w14:paraId="52D33015" w14:textId="77777777" w:rsidR="002F2C6F" w:rsidRDefault="002F2C6F" w:rsidP="00902C3B">
            <w:pPr>
              <w:spacing w:after="120" w:line="276" w:lineRule="auto"/>
              <w:ind w:firstLine="709"/>
              <w:jc w:val="both"/>
              <w:rPr>
                <w:rFonts w:ascii="Verdana" w:hAnsi="Verdana" w:cs="Arial"/>
                <w:color w:val="000000" w:themeColor="text1"/>
                <w:lang w:val="es-MX"/>
              </w:rPr>
            </w:pPr>
            <w:r w:rsidRPr="008A6163">
              <w:rPr>
                <w:rFonts w:ascii="Verdana" w:hAnsi="Verdana" w:cs="Arial"/>
                <w:color w:val="000000" w:themeColor="text1"/>
                <w:lang w:val="es-MX"/>
              </w:rPr>
              <w:t>El artículo 17 de la Ley 80 de 1993 establece expresamente los eventos en que procede la terminación unilateral del contrato</w:t>
            </w:r>
            <w:r>
              <w:rPr>
                <w:rFonts w:ascii="Verdana" w:hAnsi="Verdana" w:cs="Arial"/>
                <w:color w:val="000000" w:themeColor="text1"/>
                <w:lang w:val="es-MX"/>
              </w:rPr>
              <w:t xml:space="preserve">. </w:t>
            </w:r>
            <w:r w:rsidRPr="00792E4B">
              <w:rPr>
                <w:rFonts w:ascii="Verdana" w:hAnsi="Verdana" w:cs="Arial"/>
                <w:color w:val="000000" w:themeColor="text1"/>
                <w:lang w:val="es-MX"/>
              </w:rPr>
              <w:t>Esta figura no tiene como finalidad sancionar al contratista, sino que se encuentra dirigida a evitar la paralización del contrato estatal y garantizar su correcta ejecución.</w:t>
            </w:r>
          </w:p>
          <w:p w14:paraId="0AE869B4" w14:textId="77777777" w:rsidR="002F2C6F" w:rsidRDefault="002F2C6F" w:rsidP="00902C3B">
            <w:pPr>
              <w:spacing w:after="120" w:line="276" w:lineRule="auto"/>
              <w:ind w:firstLine="709"/>
              <w:jc w:val="both"/>
              <w:rPr>
                <w:rFonts w:ascii="Verdana" w:hAnsi="Verdana" w:cs="Arial"/>
                <w:color w:val="000000"/>
                <w:shd w:val="clear" w:color="auto" w:fill="FFFFFF"/>
                <w:lang w:val="es-MX" w:eastAsia="es-CO"/>
              </w:rPr>
            </w:pPr>
            <w:r w:rsidRPr="00792E4B">
              <w:rPr>
                <w:rFonts w:ascii="Verdana" w:hAnsi="Verdana" w:cs="Arial"/>
                <w:color w:val="000000"/>
                <w:shd w:val="clear" w:color="auto" w:fill="FFFFFF"/>
                <w:lang w:val="es-MX"/>
              </w:rPr>
              <w:t xml:space="preserve">En todo caso, el ejercicio de esta potestad supone el reconocimiento y pago de las compensaciones e indemnizaciones a las que haya lugar, así como la aplicación de los mecanismos de reajuste. </w:t>
            </w:r>
            <w:r w:rsidRPr="00792E4B">
              <w:rPr>
                <w:rFonts w:ascii="Verdana" w:hAnsi="Verdana" w:cs="Arial"/>
                <w:color w:val="000000"/>
                <w:shd w:val="clear" w:color="auto" w:fill="FFFFFF"/>
                <w:lang w:val="es-MX" w:eastAsia="es-CO"/>
              </w:rPr>
              <w:t xml:space="preserve">Lo anterior indica que la terminación unilateral del contrato estatal no entraña una sanción, por lo que, a partir de su ejecutoria no se genera inhabilidad para el contratista por este solo hecho. </w:t>
            </w:r>
          </w:p>
          <w:p w14:paraId="112BCA3A" w14:textId="77777777" w:rsidR="002F2C6F" w:rsidRDefault="002F2C6F" w:rsidP="00902C3B">
            <w:pPr>
              <w:spacing w:after="120" w:line="276" w:lineRule="auto"/>
              <w:ind w:firstLine="709"/>
              <w:jc w:val="both"/>
              <w:rPr>
                <w:rFonts w:ascii="Verdana" w:hAnsi="Verdana" w:cs="Arial"/>
                <w:color w:val="000000" w:themeColor="text1"/>
                <w:lang w:val="es-MX"/>
              </w:rPr>
            </w:pPr>
            <w:r>
              <w:rPr>
                <w:rFonts w:ascii="Verdana" w:hAnsi="Verdana" w:cs="Arial"/>
                <w:color w:val="000000"/>
                <w:shd w:val="clear" w:color="auto" w:fill="FFFFFF"/>
                <w:lang w:val="es-MX" w:eastAsia="es-CO"/>
              </w:rPr>
              <w:t xml:space="preserve">Así mismo, según lo dispuesto por el Consejo de Estado i) la terminación produce el efecto de poner fin de manera anticipada el respectivo contrato estatal; </w:t>
            </w:r>
            <w:proofErr w:type="spellStart"/>
            <w:r>
              <w:rPr>
                <w:rFonts w:ascii="Verdana" w:hAnsi="Verdana" w:cs="Arial"/>
                <w:color w:val="000000"/>
                <w:shd w:val="clear" w:color="auto" w:fill="FFFFFF"/>
                <w:lang w:val="es-MX" w:eastAsia="es-CO"/>
              </w:rPr>
              <w:t>ii</w:t>
            </w:r>
            <w:proofErr w:type="spellEnd"/>
            <w:r>
              <w:rPr>
                <w:rFonts w:ascii="Verdana" w:hAnsi="Verdana" w:cs="Arial"/>
                <w:color w:val="000000"/>
                <w:shd w:val="clear" w:color="auto" w:fill="FFFFFF"/>
                <w:lang w:val="es-MX" w:eastAsia="es-CO"/>
              </w:rPr>
              <w:t xml:space="preserve">) la declaratoria supone un verdadero acto administrativo de naturaleza contractual y sujeto a control jurisdiccional; </w:t>
            </w:r>
            <w:proofErr w:type="spellStart"/>
            <w:r>
              <w:rPr>
                <w:rFonts w:ascii="Verdana" w:hAnsi="Verdana" w:cs="Arial"/>
                <w:color w:val="000000"/>
                <w:shd w:val="clear" w:color="auto" w:fill="FFFFFF"/>
                <w:lang w:val="es-MX" w:eastAsia="es-CO"/>
              </w:rPr>
              <w:t>iii</w:t>
            </w:r>
            <w:proofErr w:type="spellEnd"/>
            <w:r>
              <w:rPr>
                <w:rFonts w:ascii="Verdana" w:hAnsi="Verdana" w:cs="Arial"/>
                <w:color w:val="000000"/>
                <w:shd w:val="clear" w:color="auto" w:fill="FFFFFF"/>
                <w:lang w:val="es-MX" w:eastAsia="es-CO"/>
              </w:rPr>
              <w:t xml:space="preserve">) deberá proceder la liquidación del contrato una vez ejecutoriada la decisión correspondiente y </w:t>
            </w:r>
            <w:proofErr w:type="spellStart"/>
            <w:r>
              <w:rPr>
                <w:rFonts w:ascii="Verdana" w:hAnsi="Verdana" w:cs="Arial"/>
                <w:color w:val="000000"/>
                <w:shd w:val="clear" w:color="auto" w:fill="FFFFFF"/>
                <w:lang w:val="es-MX" w:eastAsia="es-CO"/>
              </w:rPr>
              <w:t>iv</w:t>
            </w:r>
            <w:proofErr w:type="spellEnd"/>
            <w:r>
              <w:rPr>
                <w:rFonts w:ascii="Verdana" w:hAnsi="Verdana" w:cs="Arial"/>
                <w:color w:val="000000"/>
                <w:shd w:val="clear" w:color="auto" w:fill="FFFFFF"/>
                <w:lang w:val="es-MX" w:eastAsia="es-CO"/>
              </w:rPr>
              <w:t>) la terminación unilateral y anticipada del contrato solo es posible aplicarla respecto de los contratos vigentes.</w:t>
            </w:r>
          </w:p>
          <w:p w14:paraId="57F9D083" w14:textId="77777777" w:rsidR="002F2C6F" w:rsidRDefault="002F2C6F" w:rsidP="00902C3B">
            <w:pPr>
              <w:spacing w:after="120" w:line="276" w:lineRule="auto"/>
              <w:jc w:val="both"/>
              <w:rPr>
                <w:rFonts w:ascii="Verdana" w:eastAsia="Times New Roman" w:hAnsi="Verdana" w:cs="Arial"/>
                <w:lang w:val="es-ES" w:eastAsia="es-ES"/>
                <w14:ligatures w14:val="standardContextual"/>
              </w:rPr>
            </w:pPr>
            <w:proofErr w:type="spellStart"/>
            <w:r>
              <w:rPr>
                <w:rFonts w:ascii="Verdana" w:hAnsi="Verdana" w:cs="Arial"/>
                <w:color w:val="000000" w:themeColor="text1"/>
                <w:lang w:val="es-MX"/>
              </w:rPr>
              <w:t>ii</w:t>
            </w:r>
            <w:proofErr w:type="spellEnd"/>
            <w:r>
              <w:rPr>
                <w:rFonts w:ascii="Verdana" w:hAnsi="Verdana" w:cs="Arial"/>
                <w:color w:val="000000" w:themeColor="text1"/>
                <w:lang w:val="es-MX"/>
              </w:rPr>
              <w:t xml:space="preserve">) Por otro lado, </w:t>
            </w:r>
            <w:r w:rsidRPr="006C0CAF">
              <w:rPr>
                <w:rFonts w:ascii="Verdana" w:eastAsia="Times New Roman" w:hAnsi="Verdana" w:cs="Arial"/>
                <w:lang w:val="es-ES" w:eastAsia="es-ES"/>
                <w14:ligatures w14:val="standardContextual"/>
              </w:rPr>
              <w:t xml:space="preserve">la Constitución Política de 1991 consagra en varios artículos la publicidad como un principio rector del Estado colombiano. Entre los más destacados, puede mencionarse el 209, que afirma que la publicidad es uno de los principios que fundamentan el ejercicio de la función administrativa, y el 74, que consagra la garantía de acceso a los documentos públicos que no gocen de reserva –y esta, además, es excepcional, pues solo procede si existe causal constitucional o legal expresa–. </w:t>
            </w:r>
          </w:p>
          <w:p w14:paraId="25C10955" w14:textId="77777777" w:rsidR="002F2C6F" w:rsidRDefault="002F2C6F" w:rsidP="00902C3B">
            <w:pPr>
              <w:spacing w:after="120" w:line="276" w:lineRule="auto"/>
              <w:ind w:firstLine="709"/>
              <w:jc w:val="both"/>
              <w:rPr>
                <w:rFonts w:ascii="Verdana" w:eastAsia="Times New Roman" w:hAnsi="Verdana" w:cs="Arial"/>
                <w:lang w:val="es-ES" w:eastAsia="es-ES"/>
                <w14:ligatures w14:val="standardContextual"/>
              </w:rPr>
            </w:pPr>
            <w:r w:rsidRPr="043A1B52">
              <w:rPr>
                <w:rFonts w:ascii="Verdana" w:eastAsia="Times New Roman" w:hAnsi="Verdana" w:cs="Arial"/>
                <w:lang w:val="es-ES" w:eastAsia="es-ES"/>
                <w14:ligatures w14:val="standardContextual"/>
              </w:rPr>
              <w:t>De otra parte, la Ley 1712 de 2014 –</w:t>
            </w:r>
            <w:r>
              <w:rPr>
                <w:rFonts w:ascii="Verdana" w:eastAsia="Times New Roman" w:hAnsi="Verdana" w:cs="Arial"/>
                <w:lang w:val="es-ES" w:eastAsia="es-ES"/>
                <w14:ligatures w14:val="standardContextual"/>
              </w:rPr>
              <w:t xml:space="preserve"> </w:t>
            </w:r>
            <w:r w:rsidRPr="043A1B52">
              <w:rPr>
                <w:rFonts w:ascii="Verdana" w:eastAsia="Times New Roman" w:hAnsi="Verdana" w:cs="Arial"/>
                <w:lang w:val="es-ES" w:eastAsia="es-ES"/>
                <w14:ligatures w14:val="standardContextual"/>
              </w:rPr>
              <w:t>Ley estatutaria que regula la transparencia y el derecho de acceso a la información y a los documentos públicos</w:t>
            </w:r>
            <w:r>
              <w:rPr>
                <w:rFonts w:ascii="Verdana" w:eastAsia="Times New Roman" w:hAnsi="Verdana" w:cs="Arial"/>
                <w:lang w:val="es-ES" w:eastAsia="es-ES"/>
                <w14:ligatures w14:val="standardContextual"/>
              </w:rPr>
              <w:t xml:space="preserve"> </w:t>
            </w:r>
            <w:r w:rsidRPr="043A1B52">
              <w:rPr>
                <w:rFonts w:ascii="Verdana" w:eastAsia="Times New Roman" w:hAnsi="Verdana" w:cs="Arial"/>
                <w:lang w:val="es-ES" w:eastAsia="es-ES"/>
                <w14:ligatures w14:val="standardContextual"/>
              </w:rPr>
              <w:t>–, identifica como principios que orientan el derecho de acceso a la información pública, el de máxima publicidad, transparencia en la información y buena fe. El principio de máxima publicidad establece que “toda información en posesión, bajo control o custodia de un sujeto obligado es pública y no podrá ser reservada o limitada sino por disposición constitucional o legal”. El principio de transparencia en la información alude al deber de los sujetos de proporcionar y facilitar el acceso a la misma en los términos más amplios posibles, y a través de los medios y procedimientos legales. En este sentido, el artículo la Ley 1712 de 2014 establece el ámbito de ampliación, esto es, quienes son los sujetos obligados a publicar su información</w:t>
            </w:r>
            <w:r>
              <w:rPr>
                <w:rFonts w:ascii="Verdana" w:eastAsia="Times New Roman" w:hAnsi="Verdana" w:cs="Arial"/>
                <w:lang w:val="es-ES" w:eastAsia="es-ES"/>
                <w14:ligatures w14:val="standardContextual"/>
              </w:rPr>
              <w:t>.</w:t>
            </w:r>
          </w:p>
          <w:p w14:paraId="798FD040" w14:textId="77777777" w:rsidR="002F2C6F" w:rsidRPr="00AD6B46" w:rsidRDefault="002F2C6F" w:rsidP="00902C3B">
            <w:pPr>
              <w:spacing w:after="120" w:line="276" w:lineRule="auto"/>
              <w:ind w:firstLine="709"/>
              <w:jc w:val="both"/>
              <w:rPr>
                <w:rFonts w:ascii="Verdana" w:eastAsia="Times New Roman" w:hAnsi="Verdana" w:cs="Arial"/>
                <w:lang w:val="es-ES_tradnl" w:eastAsia="es-ES_tradnl"/>
                <w14:ligatures w14:val="standardContextual"/>
              </w:rPr>
            </w:pPr>
            <w:r w:rsidRPr="00AD6B46">
              <w:rPr>
                <w:rFonts w:ascii="Verdana" w:eastAsia="Times New Roman" w:hAnsi="Verdana" w:cs="Arial"/>
                <w:lang w:val="es-ES_tradnl" w:eastAsia="es-ES_tradnl"/>
                <w14:ligatures w14:val="standardContextual"/>
              </w:rPr>
              <w:t xml:space="preserve">Asimismo, de acuerdo con el literal g) del artículo 11 de la Ley 1712 de 2014, todos los destinatarios de la Ley Estatutaria de Transparencia y Acceso a la Información Pública deben garantizar la publicidad de “sus procedimientos, lineamientos, políticas en materia de adquisiciones y compras, así como todos los datos de adjudicación y ejecución de contratos, incluidos concursos y licitaciones”, y esta información también debe estar en el SECOP. </w:t>
            </w:r>
          </w:p>
          <w:p w14:paraId="1D35274E" w14:textId="77777777" w:rsidR="002F2C6F" w:rsidRPr="00AD6B46" w:rsidRDefault="002F2C6F" w:rsidP="00902C3B">
            <w:pPr>
              <w:spacing w:after="120" w:line="276" w:lineRule="auto"/>
              <w:ind w:firstLine="709"/>
              <w:jc w:val="both"/>
              <w:rPr>
                <w:rFonts w:ascii="Verdana" w:eastAsia="Times New Roman" w:hAnsi="Verdana" w:cs="Arial"/>
                <w:lang w:val="es-ES_tradnl" w:eastAsia="es-ES_tradnl"/>
                <w14:ligatures w14:val="standardContextual"/>
              </w:rPr>
            </w:pPr>
            <w:r w:rsidRPr="00AD6B46">
              <w:rPr>
                <w:rFonts w:ascii="Verdana" w:eastAsia="Times New Roman" w:hAnsi="Verdana" w:cs="Arial"/>
                <w:lang w:val="es-ES_tradnl" w:eastAsia="es-ES_tradnl"/>
                <w14:ligatures w14:val="standardContextual"/>
              </w:rPr>
              <w:t>El derecho de acceso a la información pública o de interés público permite a toda persona, sin necesidad de acreditar calidad, interés o condición particular, conocer la existencia de información pública, acceder a la misma y difundirla o publicarla, según su interés. En ese contexto, las Entidades Estatales, conforme al artículo 2.2.1.1.1.7.1 del Decreto 1082 de 2015, tienen la obligación de publicar en el SECOP “[…] los Documentos del Proceso y los actos administrativos del Proceso de Contratación, dentro de los tres (3) días siguientes a su expedición […]”.</w:t>
            </w:r>
          </w:p>
          <w:p w14:paraId="1B319F26" w14:textId="77777777" w:rsidR="002F2C6F" w:rsidRPr="00AD6B46" w:rsidRDefault="002F2C6F" w:rsidP="00902C3B">
            <w:pPr>
              <w:tabs>
                <w:tab w:val="left" w:pos="709"/>
              </w:tabs>
              <w:spacing w:after="120" w:line="276" w:lineRule="auto"/>
              <w:ind w:firstLine="709"/>
              <w:jc w:val="both"/>
              <w:rPr>
                <w:rFonts w:ascii="Verdana" w:hAnsi="Verdana" w:cs="Arial"/>
                <w:shd w:val="clear" w:color="auto" w:fill="FFFFFF"/>
              </w:rPr>
            </w:pPr>
            <w:r w:rsidRPr="00AD6B46">
              <w:rPr>
                <w:rFonts w:ascii="Verdana" w:hAnsi="Verdana" w:cs="Arial"/>
                <w:shd w:val="clear" w:color="auto" w:fill="FFFFFF"/>
              </w:rPr>
              <w:t xml:space="preserve">La expresión </w:t>
            </w:r>
            <w:r w:rsidRPr="00AD6B46">
              <w:rPr>
                <w:rFonts w:ascii="Verdana" w:hAnsi="Verdana" w:cs="Arial"/>
                <w:i/>
                <w:iCs/>
                <w:shd w:val="clear" w:color="auto" w:fill="FFFFFF"/>
              </w:rPr>
              <w:t xml:space="preserve">Documentos del Proceso </w:t>
            </w:r>
            <w:r w:rsidRPr="00AD6B46">
              <w:rPr>
                <w:rFonts w:ascii="Verdana" w:hAnsi="Verdana" w:cs="Arial"/>
                <w:shd w:val="clear" w:color="auto" w:fill="FFFFFF"/>
              </w:rPr>
              <w:t>está definida en el artículo 2.2.1.1.1.3.1. del Decreto 1082 de 2015,</w:t>
            </w:r>
            <w:r>
              <w:rPr>
                <w:rFonts w:ascii="Verdana" w:hAnsi="Verdana" w:cs="Arial"/>
                <w:shd w:val="clear" w:color="auto" w:fill="FFFFFF"/>
              </w:rPr>
              <w:t xml:space="preserve"> s</w:t>
            </w:r>
            <w:r w:rsidRPr="00AD6B46">
              <w:rPr>
                <w:rFonts w:ascii="Verdana" w:hAnsi="Verdana" w:cs="Arial"/>
                <w:shd w:val="clear" w:color="auto" w:fill="FFFFFF"/>
              </w:rPr>
              <w:t xml:space="preserve">in embargo, para identificar los documentos que deben publicarse, es necesario realizar una interpretación sistemática de las disposiciones del Decreto 1082 del 2015, comoquiera que el anterior no es un listado taxativo, sino enunciativo, porque además de los documentos enlistados, el artículo 2.2.1.1.1.3.1 </w:t>
            </w:r>
            <w:r w:rsidRPr="00AD6B46">
              <w:rPr>
                <w:rFonts w:ascii="Verdana" w:hAnsi="Verdana" w:cs="Arial"/>
                <w:i/>
                <w:iCs/>
                <w:shd w:val="clear" w:color="auto" w:fill="FFFFFF"/>
              </w:rPr>
              <w:t>Ibidem</w:t>
            </w:r>
            <w:r w:rsidRPr="00AD6B46">
              <w:rPr>
                <w:rFonts w:ascii="Verdana" w:hAnsi="Verdana" w:cs="Arial"/>
                <w:shd w:val="clear" w:color="auto" w:fill="FFFFFF"/>
              </w:rPr>
              <w:t xml:space="preserve"> recoge en la noción de Documentos del Proceso “cualquier otro documento expedido por la Entidad Estatal durante el Proceso de Contratación”. </w:t>
            </w:r>
          </w:p>
          <w:p w14:paraId="59B3370A" w14:textId="77777777" w:rsidR="002F2C6F" w:rsidRPr="00AD6B46" w:rsidRDefault="002F2C6F" w:rsidP="00902C3B">
            <w:pPr>
              <w:tabs>
                <w:tab w:val="left" w:pos="709"/>
              </w:tabs>
              <w:spacing w:before="120" w:after="120" w:line="276" w:lineRule="auto"/>
              <w:ind w:firstLine="709"/>
              <w:jc w:val="both"/>
              <w:rPr>
                <w:rFonts w:ascii="Verdana" w:hAnsi="Verdana" w:cs="Arial"/>
                <w:shd w:val="clear" w:color="auto" w:fill="FFFFFF"/>
              </w:rPr>
            </w:pPr>
            <w:r w:rsidRPr="00AD6B46">
              <w:rPr>
                <w:rFonts w:ascii="Verdana" w:hAnsi="Verdana" w:cs="Arial"/>
                <w:shd w:val="clear" w:color="auto" w:fill="FFFFFF"/>
              </w:rPr>
              <w:t xml:space="preserve">En ese sentido, la interpretación sistemática de los preceptos del Decreto 1082 de 2015, de acuerdo con el principio de publicidad, inicialmente, indica que las Entidades Estatales tienen la obligación de publicar todos los documentos que expidan con ocasión del Proceso de Contratación, es decir, que todos los documentos expedidos por la entidad durante las etapas precontractual, de ejecución y </w:t>
            </w:r>
            <w:proofErr w:type="spellStart"/>
            <w:r w:rsidRPr="00AD6B46">
              <w:rPr>
                <w:rFonts w:ascii="Verdana" w:hAnsi="Verdana" w:cs="Arial"/>
                <w:shd w:val="clear" w:color="auto" w:fill="FFFFFF"/>
              </w:rPr>
              <w:t>postcontractual</w:t>
            </w:r>
            <w:proofErr w:type="spellEnd"/>
            <w:r w:rsidRPr="00AD6B46">
              <w:rPr>
                <w:rFonts w:ascii="Verdana" w:hAnsi="Verdana" w:cs="Arial"/>
                <w:shd w:val="clear" w:color="auto" w:fill="FFFFFF"/>
              </w:rPr>
              <w:t xml:space="preserve"> deberán publicarse en SECOP dentro de los tres (3) días siguientes a su expedición, para cumplir el deber de publicidad regulado por el artículo 2.2.1.1.1.7.1. del Decreto 1082 de 2015.</w:t>
            </w:r>
          </w:p>
          <w:p w14:paraId="4B536A5A" w14:textId="77777777" w:rsidR="002F2C6F" w:rsidRDefault="002F2C6F" w:rsidP="00902C3B">
            <w:pPr>
              <w:spacing w:after="120" w:line="276" w:lineRule="auto"/>
              <w:ind w:firstLine="709"/>
              <w:jc w:val="both"/>
              <w:rPr>
                <w:rFonts w:ascii="Verdana" w:eastAsia="Calibri" w:hAnsi="Verdana" w:cs="Arial"/>
              </w:rPr>
            </w:pPr>
            <w:r>
              <w:rPr>
                <w:rFonts w:ascii="Verdana" w:eastAsia="Calibri" w:hAnsi="Verdana" w:cs="Arial"/>
              </w:rPr>
              <w:t xml:space="preserve">Ahora bien, en atención a la expedición del acto administrativo por medio de la cual se procede a la terminación anticipada del contrato de forma unilateral con fundamento en lo dispuesto en el artículo 17 de la Ley 80 de 1993, no es menos cierto que la entidad deberá publicar este tipo de documentos con fundamento en lo dispuesto en la normatividad antes definida. </w:t>
            </w:r>
          </w:p>
          <w:p w14:paraId="5A23D1DD" w14:textId="77777777" w:rsidR="002F2C6F" w:rsidRPr="008A6163" w:rsidRDefault="002F2C6F" w:rsidP="00902C3B">
            <w:pPr>
              <w:tabs>
                <w:tab w:val="left" w:pos="709"/>
              </w:tabs>
              <w:spacing w:after="120" w:line="276" w:lineRule="auto"/>
              <w:ind w:firstLine="709"/>
              <w:jc w:val="both"/>
              <w:rPr>
                <w:rFonts w:ascii="Verdana" w:hAnsi="Verdana" w:cs="Arial"/>
                <w:shd w:val="clear" w:color="auto" w:fill="FFFFFF"/>
              </w:rPr>
            </w:pPr>
            <w:r>
              <w:rPr>
                <w:rFonts w:ascii="Verdana" w:eastAsia="Calibri" w:hAnsi="Verdana" w:cs="Arial"/>
              </w:rPr>
              <w:t xml:space="preserve">De otro lado, la Circular Externa 002 de 2026 expedida por la Agencia Nacional de Contratación Pública tiene como objetivo recordarle a las entidades sin distinción de su régimen de contratación aplicable </w:t>
            </w:r>
            <w:r>
              <w:rPr>
                <w:rFonts w:ascii="Verdana" w:eastAsia="Calibri" w:hAnsi="Verdana" w:cs="Arial"/>
                <w:color w:val="000000" w:themeColor="text1"/>
                <w:lang w:val="es-ES_tradnl"/>
              </w:rPr>
              <w:t>la o</w:t>
            </w:r>
            <w:r w:rsidRPr="00D667B9">
              <w:rPr>
                <w:rFonts w:ascii="Verdana" w:eastAsia="Calibri" w:hAnsi="Verdana" w:cs="Arial"/>
                <w:color w:val="000000" w:themeColor="text1"/>
                <w:lang w:val="es-ES_tradnl"/>
              </w:rPr>
              <w:t xml:space="preserve">bligatoriedad de reportar </w:t>
            </w:r>
            <w:r>
              <w:rPr>
                <w:rFonts w:ascii="Verdana" w:eastAsia="Calibri" w:hAnsi="Verdana" w:cs="Arial"/>
                <w:color w:val="000000" w:themeColor="text1"/>
                <w:lang w:val="es-ES_tradnl"/>
              </w:rPr>
              <w:t xml:space="preserve">la </w:t>
            </w:r>
            <w:r w:rsidRPr="00D667B9">
              <w:rPr>
                <w:rFonts w:ascii="Verdana" w:eastAsia="Calibri" w:hAnsi="Verdana" w:cs="Arial"/>
                <w:color w:val="000000" w:themeColor="text1"/>
                <w:lang w:val="es-ES_tradnl"/>
              </w:rPr>
              <w:t>declaratoria de caducidad, multas, sanciones, declaratorias de incumplimiento, inhabilidades y sentencias condenatorias impuestas a los contratistas del Estado ante las Cámaras de Comercio, Procuraduría General de la Nación y en el SECOP</w:t>
            </w:r>
            <w:r>
              <w:rPr>
                <w:rFonts w:ascii="Verdana" w:eastAsia="Calibri" w:hAnsi="Verdana" w:cs="Arial"/>
                <w:color w:val="000000" w:themeColor="text1"/>
                <w:lang w:val="es-ES_tradnl"/>
              </w:rPr>
              <w:t xml:space="preserve">, por lo que el acto administrativo que termina de manera unilateral el contrato conforme a lo dispuesto en el artículo 17 de la Ley 80 de 1993, no es de aquellos definidos en el artículo 31 de la Ley 80 de 1993, el artículo </w:t>
            </w:r>
            <w:r w:rsidRPr="00D24FE7">
              <w:rPr>
                <w:rFonts w:ascii="Verdana" w:eastAsia="Calibri" w:hAnsi="Verdana" w:cs="Arial"/>
                <w:color w:val="000000" w:themeColor="text1"/>
              </w:rPr>
              <w:t>2.2.1.1.1.5.7</w:t>
            </w:r>
            <w:r>
              <w:rPr>
                <w:rFonts w:ascii="Verdana" w:eastAsia="Calibri" w:hAnsi="Verdana" w:cs="Arial"/>
                <w:color w:val="000000" w:themeColor="text1"/>
              </w:rPr>
              <w:t xml:space="preserve"> del Decreto 1082 de 2015, el artículo 38 numeral 43 y 238 de la Ley 1952 de 2019, por lo tanto, la Circular Externa 002 de 2026 no resulta aplicable para los actos administrativos que terminan de manera unilateral el contrato, por cuanto no tiene una finalidad sancionatoria. En ese contexto, la entidad sí está obligada a publicar </w:t>
            </w:r>
            <w:r w:rsidRPr="00AD6B46">
              <w:rPr>
                <w:rFonts w:ascii="Verdana" w:hAnsi="Verdana" w:cs="Arial"/>
                <w:shd w:val="clear" w:color="auto" w:fill="FFFFFF"/>
              </w:rPr>
              <w:t xml:space="preserve">todos los documentos que expidan con ocasión del Proceso de Contratación, es decir, que todos los documentos expedidos por la entidad durante las etapas precontractual, de ejecución y </w:t>
            </w:r>
            <w:proofErr w:type="spellStart"/>
            <w:r w:rsidRPr="00AD6B46">
              <w:rPr>
                <w:rFonts w:ascii="Verdana" w:hAnsi="Verdana" w:cs="Arial"/>
                <w:shd w:val="clear" w:color="auto" w:fill="FFFFFF"/>
              </w:rPr>
              <w:t>postcontractual</w:t>
            </w:r>
            <w:proofErr w:type="spellEnd"/>
            <w:r w:rsidRPr="00AD6B46">
              <w:rPr>
                <w:rFonts w:ascii="Verdana" w:hAnsi="Verdana" w:cs="Arial"/>
                <w:shd w:val="clear" w:color="auto" w:fill="FFFFFF"/>
              </w:rPr>
              <w:t xml:space="preserve"> deberán publicarse en SECOP dentro de los tres (3) días siguientes a su expedición, para cumplir el deber de publicidad regulado por el artículo 2.2.1.1.1.7.1. del Decreto 1082 de 2015.</w:t>
            </w:r>
          </w:p>
        </w:tc>
      </w:tr>
    </w:tbl>
    <w:p w14:paraId="7792E52B" w14:textId="77777777" w:rsidR="002F2C6F" w:rsidRDefault="002F2C6F" w:rsidP="002F2C6F">
      <w:pPr>
        <w:tabs>
          <w:tab w:val="left" w:pos="142"/>
          <w:tab w:val="left" w:pos="284"/>
        </w:tabs>
        <w:spacing w:after="0" w:line="276" w:lineRule="auto"/>
        <w:jc w:val="both"/>
        <w:rPr>
          <w:rFonts w:ascii="Verdana" w:eastAsia="Century Gothic" w:hAnsi="Verdana" w:cs="Century Gothic"/>
          <w:b/>
          <w:bCs/>
        </w:rPr>
      </w:pPr>
    </w:p>
    <w:p w14:paraId="596E9C3A" w14:textId="77777777" w:rsidR="002F2C6F" w:rsidRDefault="002F2C6F" w:rsidP="002F2C6F">
      <w:pPr>
        <w:tabs>
          <w:tab w:val="left" w:pos="142"/>
          <w:tab w:val="left" w:pos="284"/>
        </w:tabs>
        <w:spacing w:after="0" w:line="276" w:lineRule="auto"/>
        <w:jc w:val="both"/>
        <w:rPr>
          <w:rFonts w:ascii="Verdana" w:eastAsia="Century Gothic" w:hAnsi="Verdana" w:cs="Century Gothic"/>
          <w:b/>
          <w:bCs/>
        </w:rPr>
      </w:pPr>
      <w:r w:rsidRPr="005644FE">
        <w:rPr>
          <w:rFonts w:ascii="Verdana" w:eastAsia="Century Gothic" w:hAnsi="Verdana" w:cs="Century Gothic"/>
          <w:b/>
          <w:bCs/>
        </w:rPr>
        <w:t>3. Razones de la respuesta:</w:t>
      </w:r>
    </w:p>
    <w:p w14:paraId="036C55C9" w14:textId="77777777" w:rsidR="002F2C6F" w:rsidRPr="005644FE" w:rsidRDefault="002F2C6F" w:rsidP="002F2C6F">
      <w:pPr>
        <w:tabs>
          <w:tab w:val="left" w:pos="142"/>
          <w:tab w:val="left" w:pos="284"/>
        </w:tabs>
        <w:spacing w:after="0" w:line="276" w:lineRule="auto"/>
        <w:jc w:val="both"/>
        <w:rPr>
          <w:rFonts w:ascii="Verdana" w:eastAsia="Century Gothic" w:hAnsi="Verdana" w:cs="Century Gothic"/>
          <w:b/>
          <w:bCs/>
        </w:rPr>
      </w:pPr>
    </w:p>
    <w:p w14:paraId="6E23A508" w14:textId="77777777" w:rsidR="002F2C6F" w:rsidRDefault="002F2C6F" w:rsidP="002F2C6F">
      <w:pPr>
        <w:tabs>
          <w:tab w:val="left" w:pos="142"/>
          <w:tab w:val="left" w:pos="284"/>
          <w:tab w:val="left" w:pos="6975"/>
        </w:tabs>
        <w:spacing w:after="0" w:line="276" w:lineRule="auto"/>
        <w:jc w:val="both"/>
        <w:rPr>
          <w:rFonts w:ascii="Verdana" w:eastAsia="Calibri" w:hAnsi="Verdana" w:cs="Arial"/>
        </w:rPr>
      </w:pPr>
      <w:r w:rsidRPr="005644FE">
        <w:rPr>
          <w:rFonts w:ascii="Verdana" w:eastAsia="Calibri" w:hAnsi="Verdana" w:cs="Arial"/>
        </w:rPr>
        <w:t>Lo anterior se sustenta en las siguientes consideraciones:</w:t>
      </w:r>
    </w:p>
    <w:p w14:paraId="687F19C4" w14:textId="77777777" w:rsidR="002F2C6F" w:rsidRDefault="002F2C6F" w:rsidP="002F2C6F">
      <w:pPr>
        <w:tabs>
          <w:tab w:val="left" w:pos="142"/>
          <w:tab w:val="left" w:pos="284"/>
          <w:tab w:val="left" w:pos="6975"/>
        </w:tabs>
        <w:spacing w:after="0" w:line="240" w:lineRule="auto"/>
        <w:jc w:val="both"/>
        <w:rPr>
          <w:rFonts w:ascii="Verdana" w:eastAsia="Calibri" w:hAnsi="Verdana" w:cs="Arial"/>
        </w:rPr>
      </w:pPr>
    </w:p>
    <w:p w14:paraId="6F0C69C3" w14:textId="77777777" w:rsidR="002F2C6F" w:rsidRPr="00792E4B" w:rsidRDefault="002F2C6F" w:rsidP="002F2C6F">
      <w:pPr>
        <w:spacing w:after="120" w:line="276" w:lineRule="auto"/>
        <w:jc w:val="both"/>
        <w:rPr>
          <w:rFonts w:ascii="Verdana" w:hAnsi="Verdana" w:cs="Arial"/>
          <w:color w:val="000000" w:themeColor="text1"/>
          <w:lang w:val="es-MX"/>
        </w:rPr>
      </w:pPr>
      <w:r>
        <w:rPr>
          <w:rFonts w:ascii="Verdana" w:hAnsi="Verdana" w:cs="Arial"/>
          <w:color w:val="000000" w:themeColor="text1"/>
          <w:lang w:val="es-MX"/>
        </w:rPr>
        <w:t xml:space="preserve">i) </w:t>
      </w:r>
      <w:r w:rsidRPr="00792E4B">
        <w:rPr>
          <w:rFonts w:ascii="Verdana" w:hAnsi="Verdana" w:cs="Arial"/>
          <w:color w:val="000000" w:themeColor="text1"/>
          <w:lang w:val="es-MX"/>
        </w:rPr>
        <w:t>El artículo 3 de la Ley 80 de 1993 dispone que en la celebración de los contratos y en la ejecución de estos, las entidades y los servidores públicos deben tener en cuenta el cumplimiento de los fines estatales, la continua y eficiente prestación de los servicios públicos y la efectividad de los derechos e intereses de los administrados que colaboran con ellas en la consecución de dichos fines. Los particulares, por su parte, también deben contribuir al logro y satisfacción del interés general, cumpliendo de esta forma una función social en desarrollo de sus obligaciones contractuales como colaboradores del Estado.</w:t>
      </w:r>
    </w:p>
    <w:p w14:paraId="4A425DD1" w14:textId="77777777" w:rsidR="002F2C6F" w:rsidRDefault="002F2C6F" w:rsidP="002F2C6F">
      <w:pPr>
        <w:spacing w:after="120" w:line="276" w:lineRule="auto"/>
        <w:ind w:firstLine="709"/>
        <w:jc w:val="both"/>
        <w:rPr>
          <w:rFonts w:ascii="Verdana" w:hAnsi="Verdana" w:cs="Arial"/>
          <w:color w:val="000000" w:themeColor="text1"/>
          <w:lang w:val="es-MX"/>
        </w:rPr>
      </w:pPr>
      <w:r w:rsidRPr="00792E4B">
        <w:rPr>
          <w:rFonts w:ascii="Verdana" w:hAnsi="Verdana" w:cs="Arial"/>
          <w:color w:val="000000" w:themeColor="text1"/>
          <w:lang w:val="es-MX"/>
        </w:rPr>
        <w:t xml:space="preserve">Para el cumplimiento de los fines de la contratación, las entidades estatales tendrán la dirección general y la responsabilidad de ejercer el control y vigilancia de la ejecución del contrato. En consecuencia, en el marco de lo señalado en el artículo 14 de la Ley 80 de 1993 y con el único objeto de evitar la paralización o la afectación grave de los servicios públicos y asegurar la inmediata, continua y adecuada prestación de los mismos, dichas entidades podrán interpretar los documentos contractuales y las estipulaciones en ellos contenidas, introducir modificaciones a lo pactado y, cuando las condiciones particulares de la prestación así lo exijan, terminar unilateralmente el contrato celebrado. Es decir, las entidades estatales pueden usar estas potestades “[…] como manifestación de su </w:t>
      </w:r>
      <w:proofErr w:type="spellStart"/>
      <w:r w:rsidRPr="00792E4B">
        <w:rPr>
          <w:rFonts w:ascii="Verdana" w:hAnsi="Verdana" w:cs="Arial"/>
          <w:i/>
          <w:iCs/>
          <w:color w:val="000000" w:themeColor="text1"/>
          <w:lang w:val="es-MX"/>
        </w:rPr>
        <w:t>imperium</w:t>
      </w:r>
      <w:proofErr w:type="spellEnd"/>
      <w:r w:rsidRPr="00792E4B">
        <w:rPr>
          <w:rFonts w:ascii="Verdana" w:hAnsi="Verdana" w:cs="Arial"/>
          <w:i/>
          <w:iCs/>
          <w:color w:val="000000" w:themeColor="text1"/>
          <w:lang w:val="es-MX"/>
        </w:rPr>
        <w:t xml:space="preserve"> </w:t>
      </w:r>
      <w:r w:rsidRPr="00792E4B">
        <w:rPr>
          <w:rFonts w:ascii="Verdana" w:hAnsi="Verdana" w:cs="Arial"/>
          <w:color w:val="000000" w:themeColor="text1"/>
          <w:lang w:val="es-MX"/>
        </w:rPr>
        <w:t>o poder de Estado, que se concreta en el poder jurídico para imponer coactivamente su voluntad, lo cual debe matizarse, dado que estás prerrogativas solo podrán ser ejercidas en las situaciones en las situaciones de hecho previamente establecidas por la ley y dentro de los limites señalados por la misma”</w:t>
      </w:r>
      <w:r w:rsidRPr="0071334E">
        <w:rPr>
          <w:vertAlign w:val="superscript"/>
          <w:lang w:val="es-MX"/>
        </w:rPr>
        <w:footnoteReference w:id="1"/>
      </w:r>
      <w:r w:rsidRPr="00792E4B">
        <w:rPr>
          <w:rFonts w:ascii="Verdana" w:hAnsi="Verdana" w:cs="Arial"/>
          <w:color w:val="000000" w:themeColor="text1"/>
          <w:lang w:val="es-MX"/>
        </w:rPr>
        <w:t xml:space="preserve">.  </w:t>
      </w:r>
    </w:p>
    <w:p w14:paraId="6F15FE0E" w14:textId="77777777" w:rsidR="002F2C6F" w:rsidRDefault="002F2C6F" w:rsidP="002F2C6F">
      <w:pPr>
        <w:spacing w:after="120" w:line="276" w:lineRule="auto"/>
        <w:ind w:firstLine="709"/>
        <w:jc w:val="both"/>
        <w:rPr>
          <w:rFonts w:ascii="Verdana" w:hAnsi="Verdana" w:cs="Arial"/>
          <w:color w:val="000000" w:themeColor="text1"/>
          <w:lang w:val="es-MX"/>
        </w:rPr>
      </w:pPr>
      <w:r w:rsidRPr="00792E4B">
        <w:rPr>
          <w:rFonts w:ascii="Verdana" w:hAnsi="Verdana" w:cs="Arial"/>
          <w:color w:val="000000" w:themeColor="text1"/>
          <w:lang w:val="es-MX"/>
        </w:rPr>
        <w:t xml:space="preserve">En </w:t>
      </w:r>
      <w:r>
        <w:rPr>
          <w:rFonts w:ascii="Verdana" w:hAnsi="Verdana" w:cs="Arial"/>
          <w:color w:val="000000" w:themeColor="text1"/>
          <w:lang w:val="es-MX"/>
        </w:rPr>
        <w:t>relación</w:t>
      </w:r>
      <w:r w:rsidRPr="00792E4B">
        <w:rPr>
          <w:rFonts w:ascii="Verdana" w:hAnsi="Verdana" w:cs="Arial"/>
          <w:color w:val="000000" w:themeColor="text1"/>
          <w:lang w:val="es-MX"/>
        </w:rPr>
        <w:t xml:space="preserve"> con las cláusulas excepcionales al derecho común de terminación, interpretación y modificación unilaterales, el numeral 2 del mencionado artículo 14 regula su ejercicio en atención al tipo de contrato de que se trate. En la exposición de motivos de la Ley 80 de 1993</w:t>
      </w:r>
      <w:r w:rsidRPr="0071334E">
        <w:rPr>
          <w:vertAlign w:val="superscript"/>
          <w:lang w:val="es-MX"/>
        </w:rPr>
        <w:footnoteReference w:id="2"/>
      </w:r>
      <w:r w:rsidRPr="00792E4B">
        <w:rPr>
          <w:rFonts w:ascii="Verdana" w:hAnsi="Verdana" w:cs="Arial"/>
          <w:color w:val="000000" w:themeColor="text1"/>
          <w:lang w:val="es-MX"/>
        </w:rPr>
        <w:t xml:space="preserve"> se establece que la administración debe estar dotada de mecanismos eficaces, así fueren excepcionales, que contribuyan a la adecuada realización de la finalidad contractual y de los fines estatales. Es por eso por lo que, cuando se presenten circunstancias que amenacen la paralización de los servicios, las entidades públicas pueden tomar medidas que conduzcan a garantizar la continua y adecuada prestación del servicio, con fundamento en la prevalencia del interés público sobre el particular.</w:t>
      </w:r>
    </w:p>
    <w:p w14:paraId="39C044D7" w14:textId="77777777" w:rsidR="002F2C6F" w:rsidRDefault="002F2C6F" w:rsidP="002F2C6F">
      <w:pPr>
        <w:spacing w:after="120" w:line="276" w:lineRule="auto"/>
        <w:ind w:firstLine="709"/>
        <w:jc w:val="both"/>
        <w:rPr>
          <w:rFonts w:ascii="Verdana" w:hAnsi="Verdana" w:cs="Arial"/>
          <w:color w:val="000000" w:themeColor="text1"/>
          <w:lang w:val="es-MX"/>
        </w:rPr>
      </w:pPr>
      <w:r w:rsidRPr="00792E4B">
        <w:rPr>
          <w:rFonts w:ascii="Verdana" w:hAnsi="Verdana" w:cs="Arial"/>
          <w:color w:val="000000" w:themeColor="text1"/>
          <w:lang w:val="es-MX"/>
        </w:rPr>
        <w:t>En este sentido, los motivos aducidos por la entidad estatal para ejercer las cláusulas excepcionales deben ser graves, ya que no cualquier hecho puede provocarla pues son inescindibles al interés general, sin que se pueda desconocer las compensaciones e indemnizaciones a que tendrán derecho las personas objeto de tales medidas, traducida en la contraprestación necesaria para mantener la igualdad contractual.</w:t>
      </w:r>
    </w:p>
    <w:p w14:paraId="201DB95C" w14:textId="77777777" w:rsidR="002F2C6F" w:rsidRDefault="002F2C6F" w:rsidP="002F2C6F">
      <w:pPr>
        <w:spacing w:after="120" w:line="276" w:lineRule="auto"/>
        <w:ind w:firstLine="709"/>
        <w:jc w:val="both"/>
        <w:rPr>
          <w:rFonts w:ascii="Verdana" w:hAnsi="Verdana" w:cs="Arial"/>
          <w:color w:val="000000" w:themeColor="text1"/>
          <w:lang w:val="es-MX"/>
        </w:rPr>
      </w:pPr>
      <w:r w:rsidRPr="00792E4B">
        <w:rPr>
          <w:rFonts w:ascii="Verdana" w:hAnsi="Verdana" w:cs="Arial"/>
          <w:color w:val="000000" w:themeColor="text1"/>
          <w:lang w:val="es-MX"/>
        </w:rPr>
        <w:t xml:space="preserve">En lo atinente a la terminación unilateral del contrato, si bien la ley otorga a las entidades públicas la potestad de actuar en ejercicio de una </w:t>
      </w:r>
      <w:r w:rsidRPr="1065807C">
        <w:rPr>
          <w:rFonts w:ascii="Verdana" w:hAnsi="Verdana" w:cs="Arial"/>
          <w:color w:val="000000" w:themeColor="text1"/>
          <w:lang w:val="es-MX"/>
        </w:rPr>
        <w:t>facultad</w:t>
      </w:r>
      <w:r w:rsidRPr="00792E4B">
        <w:rPr>
          <w:rFonts w:ascii="Verdana" w:hAnsi="Verdana" w:cs="Arial"/>
          <w:color w:val="000000" w:themeColor="text1"/>
          <w:lang w:val="es-MX"/>
        </w:rPr>
        <w:t xml:space="preserve"> exorbitante, les impone el cumplimiento de presupuestos de forzosa aplicación y a la vez restringe la medida a los eventos previstos en la misma. Efectivamente, para declarar la terminación unilateral se requiere i) que la manifestación de la voluntad de la administración se materialice en un acto administrativo, </w:t>
      </w:r>
      <w:proofErr w:type="spellStart"/>
      <w:r w:rsidRPr="00792E4B">
        <w:rPr>
          <w:rFonts w:ascii="Verdana" w:hAnsi="Verdana" w:cs="Arial"/>
          <w:color w:val="000000" w:themeColor="text1"/>
          <w:lang w:val="es-MX"/>
        </w:rPr>
        <w:t>ii</w:t>
      </w:r>
      <w:proofErr w:type="spellEnd"/>
      <w:r w:rsidRPr="00792E4B">
        <w:rPr>
          <w:rFonts w:ascii="Verdana" w:hAnsi="Verdana" w:cs="Arial"/>
          <w:color w:val="000000" w:themeColor="text1"/>
          <w:lang w:val="es-MX"/>
        </w:rPr>
        <w:t xml:space="preserve">) que dicho acto debe ser el resultado de un análisis soportado en la realidad del contrato, es decir, debe estar debidamente motivado y </w:t>
      </w:r>
      <w:proofErr w:type="spellStart"/>
      <w:r w:rsidRPr="00792E4B">
        <w:rPr>
          <w:rFonts w:ascii="Verdana" w:hAnsi="Verdana" w:cs="Arial"/>
          <w:color w:val="000000" w:themeColor="text1"/>
          <w:lang w:val="es-MX"/>
        </w:rPr>
        <w:t>iii</w:t>
      </w:r>
      <w:proofErr w:type="spellEnd"/>
      <w:r w:rsidRPr="00792E4B">
        <w:rPr>
          <w:rFonts w:ascii="Verdana" w:hAnsi="Verdana" w:cs="Arial"/>
          <w:color w:val="000000" w:themeColor="text1"/>
          <w:lang w:val="es-MX"/>
        </w:rPr>
        <w:t>) que la causal que se alegue en la decisión se encuentre enmarcada en los eventos que la ley ha dispuesto.</w:t>
      </w:r>
    </w:p>
    <w:p w14:paraId="2F5CBC50" w14:textId="77777777" w:rsidR="002F2C6F" w:rsidRPr="00792E4B" w:rsidRDefault="002F2C6F" w:rsidP="002F2C6F">
      <w:pPr>
        <w:spacing w:after="120" w:line="276" w:lineRule="auto"/>
        <w:ind w:firstLine="709"/>
        <w:jc w:val="both"/>
        <w:rPr>
          <w:rFonts w:ascii="Verdana" w:hAnsi="Verdana" w:cs="Arial"/>
          <w:color w:val="000000" w:themeColor="text1"/>
          <w:lang w:val="es-MX"/>
        </w:rPr>
      </w:pPr>
      <w:r w:rsidRPr="00792E4B">
        <w:rPr>
          <w:rFonts w:ascii="Verdana" w:hAnsi="Verdana" w:cs="Arial"/>
          <w:color w:val="000000" w:themeColor="text1"/>
          <w:lang w:val="es-MX"/>
        </w:rPr>
        <w:t xml:space="preserve">El artículo 17 de la Ley 80 de 1993 establece expresamente </w:t>
      </w:r>
      <w:r>
        <w:rPr>
          <w:rFonts w:ascii="Verdana" w:hAnsi="Verdana" w:cs="Arial"/>
          <w:color w:val="000000" w:themeColor="text1"/>
          <w:lang w:val="es-MX"/>
        </w:rPr>
        <w:t xml:space="preserve">los eventos </w:t>
      </w:r>
      <w:r w:rsidRPr="00792E4B">
        <w:rPr>
          <w:rFonts w:ascii="Verdana" w:hAnsi="Verdana" w:cs="Arial"/>
          <w:color w:val="000000" w:themeColor="text1"/>
          <w:lang w:val="es-MX"/>
        </w:rPr>
        <w:t>en que procede la terminación unilateral del contrato. Al efecto, la norma establece las siguientes causales:</w:t>
      </w:r>
    </w:p>
    <w:p w14:paraId="13B12441" w14:textId="77777777" w:rsidR="002F2C6F" w:rsidRPr="0071334E" w:rsidRDefault="002F2C6F" w:rsidP="002F2C6F">
      <w:pPr>
        <w:pStyle w:val="Prrafodelista"/>
        <w:rPr>
          <w:rFonts w:ascii="Verdana" w:hAnsi="Verdana" w:cs="Arial"/>
          <w:color w:val="000000" w:themeColor="text1"/>
          <w:lang w:val="es-MX"/>
        </w:rPr>
      </w:pPr>
    </w:p>
    <w:p w14:paraId="0DC88744" w14:textId="77777777" w:rsidR="002F2C6F" w:rsidRDefault="002F2C6F" w:rsidP="002F2C6F">
      <w:pPr>
        <w:pStyle w:val="Prrafodelista"/>
        <w:spacing w:after="200" w:line="240" w:lineRule="auto"/>
        <w:ind w:left="851" w:right="616"/>
        <w:jc w:val="both"/>
        <w:rPr>
          <w:rFonts w:ascii="Verdana" w:hAnsi="Verdana" w:cs="Arial"/>
          <w:color w:val="000000"/>
          <w:sz w:val="20"/>
          <w:szCs w:val="20"/>
          <w:lang w:val="es-MX" w:eastAsia="es-CO"/>
        </w:rPr>
      </w:pPr>
      <w:r w:rsidRPr="0071334E">
        <w:rPr>
          <w:rFonts w:ascii="Verdana" w:hAnsi="Verdana" w:cs="Arial"/>
          <w:color w:val="000000"/>
          <w:sz w:val="20"/>
          <w:szCs w:val="20"/>
          <w:lang w:val="es-MX" w:eastAsia="es-CO"/>
        </w:rPr>
        <w:t>Artículo 17. De la terminación unilateral</w:t>
      </w:r>
      <w:r w:rsidRPr="0071334E">
        <w:rPr>
          <w:rFonts w:ascii="Verdana" w:hAnsi="Verdana" w:cs="Arial"/>
          <w:b/>
          <w:bCs/>
          <w:color w:val="000000"/>
          <w:sz w:val="20"/>
          <w:szCs w:val="20"/>
          <w:lang w:val="es-MX" w:eastAsia="es-CO"/>
        </w:rPr>
        <w:t>.</w:t>
      </w:r>
      <w:r w:rsidRPr="0071334E">
        <w:rPr>
          <w:rFonts w:ascii="Verdana" w:hAnsi="Verdana" w:cs="Arial"/>
          <w:color w:val="000000"/>
          <w:sz w:val="20"/>
          <w:szCs w:val="20"/>
          <w:lang w:val="es-MX" w:eastAsia="es-CO"/>
        </w:rPr>
        <w:t> La entidad en acto administrativo debidamente motivado dispondrá la terminación anticipada del contrato en los siguientes eventos: </w:t>
      </w:r>
    </w:p>
    <w:p w14:paraId="60F9F146" w14:textId="77777777" w:rsidR="002F2C6F" w:rsidRDefault="002F2C6F" w:rsidP="002F2C6F">
      <w:pPr>
        <w:pStyle w:val="Prrafodelista"/>
        <w:spacing w:after="200" w:line="240" w:lineRule="auto"/>
        <w:ind w:left="851" w:right="616"/>
        <w:jc w:val="both"/>
        <w:rPr>
          <w:rFonts w:ascii="Verdana" w:hAnsi="Verdana" w:cs="Arial"/>
          <w:color w:val="000000"/>
          <w:sz w:val="20"/>
          <w:szCs w:val="20"/>
          <w:u w:val="single"/>
          <w:lang w:val="es-MX" w:eastAsia="es-CO"/>
        </w:rPr>
      </w:pPr>
    </w:p>
    <w:p w14:paraId="6FAA05C2" w14:textId="77777777" w:rsidR="002F2C6F" w:rsidRPr="001E4B17" w:rsidRDefault="002F2C6F" w:rsidP="002F2C6F">
      <w:pPr>
        <w:pStyle w:val="Prrafodelista"/>
        <w:spacing w:after="200" w:line="240" w:lineRule="auto"/>
        <w:ind w:left="851" w:right="616"/>
        <w:jc w:val="both"/>
        <w:rPr>
          <w:rFonts w:ascii="Verdana" w:hAnsi="Verdana" w:cs="Arial"/>
          <w:color w:val="000000"/>
          <w:sz w:val="20"/>
          <w:szCs w:val="20"/>
          <w:lang w:val="es-MX" w:eastAsia="es-CO"/>
        </w:rPr>
      </w:pPr>
      <w:r w:rsidRPr="001E4B17">
        <w:rPr>
          <w:rFonts w:ascii="Verdana" w:hAnsi="Verdana" w:cs="Arial"/>
          <w:color w:val="000000"/>
          <w:sz w:val="20"/>
          <w:szCs w:val="20"/>
          <w:lang w:val="es-MX" w:eastAsia="es-CO"/>
        </w:rPr>
        <w:t>1o. Cuando las exigencias del servicio público lo requieran o la situación de orden público lo imponga. </w:t>
      </w:r>
    </w:p>
    <w:p w14:paraId="68ABE2ED" w14:textId="77777777" w:rsidR="002F2C6F" w:rsidRDefault="002F2C6F" w:rsidP="002F2C6F">
      <w:pPr>
        <w:pStyle w:val="Prrafodelista"/>
        <w:spacing w:after="200" w:line="240" w:lineRule="auto"/>
        <w:ind w:left="851" w:right="616"/>
        <w:jc w:val="both"/>
        <w:rPr>
          <w:rFonts w:ascii="Verdana" w:hAnsi="Verdana" w:cs="Arial"/>
          <w:i/>
          <w:iCs/>
          <w:color w:val="000000"/>
          <w:sz w:val="20"/>
          <w:szCs w:val="20"/>
          <w:lang w:val="es-MX" w:eastAsia="es-CO"/>
        </w:rPr>
      </w:pPr>
      <w:r w:rsidRPr="001E4B17">
        <w:rPr>
          <w:rFonts w:ascii="Verdana" w:hAnsi="Verdana" w:cs="Arial"/>
          <w:i/>
          <w:iCs/>
          <w:color w:val="000000"/>
          <w:sz w:val="20"/>
          <w:szCs w:val="20"/>
          <w:lang w:val="es-MX" w:eastAsia="es-CO"/>
        </w:rPr>
        <w:t>2o. Por muerte o incapacidad física permanente del contratista, si es persona natural, o por disolución de la persona jurídica del contratista. </w:t>
      </w:r>
    </w:p>
    <w:p w14:paraId="252D9D41" w14:textId="77777777" w:rsidR="002F2C6F" w:rsidRDefault="002F2C6F" w:rsidP="002F2C6F">
      <w:pPr>
        <w:pStyle w:val="Prrafodelista"/>
        <w:spacing w:after="200" w:line="240" w:lineRule="auto"/>
        <w:ind w:left="851" w:right="616"/>
        <w:jc w:val="both"/>
        <w:rPr>
          <w:rFonts w:ascii="Verdana" w:hAnsi="Verdana" w:cs="Arial"/>
          <w:color w:val="000000"/>
          <w:sz w:val="20"/>
          <w:szCs w:val="20"/>
          <w:lang w:val="es-MX" w:eastAsia="es-CO"/>
        </w:rPr>
      </w:pPr>
      <w:r w:rsidRPr="001E4B17">
        <w:rPr>
          <w:rFonts w:ascii="Verdana" w:hAnsi="Verdana" w:cs="Arial"/>
          <w:color w:val="000000"/>
          <w:sz w:val="20"/>
          <w:szCs w:val="20"/>
          <w:lang w:val="es-MX" w:eastAsia="es-CO"/>
        </w:rPr>
        <w:t>3o. Por interdicción judicial o declaración de quiebra del contratista. </w:t>
      </w:r>
    </w:p>
    <w:p w14:paraId="61F68374" w14:textId="77777777" w:rsidR="002F2C6F" w:rsidRDefault="002F2C6F" w:rsidP="002F2C6F">
      <w:pPr>
        <w:pStyle w:val="Prrafodelista"/>
        <w:spacing w:after="200" w:line="240" w:lineRule="auto"/>
        <w:ind w:left="851" w:right="616"/>
        <w:jc w:val="both"/>
        <w:rPr>
          <w:rFonts w:ascii="Verdana" w:hAnsi="Verdana" w:cs="Arial"/>
          <w:color w:val="000000"/>
          <w:sz w:val="20"/>
          <w:szCs w:val="20"/>
          <w:lang w:val="es-MX" w:eastAsia="es-CO"/>
        </w:rPr>
      </w:pPr>
      <w:r w:rsidRPr="001E4B17">
        <w:rPr>
          <w:rFonts w:ascii="Verdana" w:hAnsi="Verdana" w:cs="Arial"/>
          <w:color w:val="000000"/>
          <w:sz w:val="20"/>
          <w:szCs w:val="20"/>
          <w:lang w:val="es-MX" w:eastAsia="es-CO"/>
        </w:rPr>
        <w:t>4o. Por cesación de pagos, concurso de acreedores o embargos judiciales del contratista que afecten de manera grave el cumplimiento del contrato. </w:t>
      </w:r>
    </w:p>
    <w:p w14:paraId="491DE5DD" w14:textId="77777777" w:rsidR="002F2C6F" w:rsidRDefault="002F2C6F" w:rsidP="002F2C6F">
      <w:pPr>
        <w:pStyle w:val="Prrafodelista"/>
        <w:spacing w:after="200" w:line="240" w:lineRule="auto"/>
        <w:ind w:left="851" w:right="616"/>
        <w:jc w:val="both"/>
        <w:rPr>
          <w:rFonts w:ascii="Verdana" w:hAnsi="Verdana" w:cs="Arial"/>
          <w:color w:val="000000"/>
          <w:sz w:val="20"/>
          <w:szCs w:val="20"/>
          <w:lang w:val="es-MX" w:eastAsia="es-CO"/>
        </w:rPr>
      </w:pPr>
      <w:r w:rsidRPr="001E4B17">
        <w:rPr>
          <w:rFonts w:ascii="Verdana" w:hAnsi="Verdana" w:cs="Arial"/>
          <w:color w:val="000000"/>
          <w:sz w:val="20"/>
          <w:szCs w:val="20"/>
          <w:lang w:val="es-MX" w:eastAsia="es-CO"/>
        </w:rPr>
        <w:t>Sin embargo, en los casos a que se refieren los numerales 2o. y 3o. de este artículo podrá continuarse la ejecución con el garante de la obligación. </w:t>
      </w:r>
    </w:p>
    <w:p w14:paraId="1B081845" w14:textId="77777777" w:rsidR="002F2C6F" w:rsidRPr="004C020E" w:rsidRDefault="002F2C6F" w:rsidP="002F2C6F">
      <w:pPr>
        <w:pStyle w:val="Prrafodelista"/>
        <w:spacing w:after="200" w:line="240" w:lineRule="auto"/>
        <w:ind w:left="851" w:right="616"/>
        <w:jc w:val="both"/>
        <w:rPr>
          <w:rFonts w:ascii="Verdana" w:hAnsi="Verdana" w:cs="Arial"/>
          <w:color w:val="000000"/>
          <w:sz w:val="20"/>
          <w:szCs w:val="20"/>
          <w:lang w:val="es-MX" w:eastAsia="es-CO"/>
        </w:rPr>
      </w:pPr>
      <w:r w:rsidRPr="001E4B17">
        <w:rPr>
          <w:rFonts w:ascii="Verdana" w:hAnsi="Verdana" w:cs="Arial"/>
          <w:color w:val="000000"/>
          <w:sz w:val="20"/>
          <w:szCs w:val="20"/>
          <w:lang w:val="es-MX" w:eastAsia="es-CO"/>
        </w:rPr>
        <w:t>La iniciación de trámite concordatario no dará lugar a la declaratoria de terminación unilateral. En tal evento la ejecución se hará con sujeción a las normas sobre administración de negocios del deudor en concordato. La entidad dispondrá las medidas de inspección, control y vigilancia necesarias para asegurar el cumplimiento del objeto contractual e impedir la paralización del servicio. [Énfasis fuera de texto]</w:t>
      </w:r>
    </w:p>
    <w:p w14:paraId="2097BF66" w14:textId="77777777" w:rsidR="002F2C6F" w:rsidRPr="001E4B17" w:rsidRDefault="002F2C6F" w:rsidP="002F2C6F">
      <w:pPr>
        <w:spacing w:after="120" w:line="276" w:lineRule="auto"/>
        <w:ind w:firstLine="709"/>
        <w:jc w:val="both"/>
        <w:rPr>
          <w:rFonts w:ascii="Verdana" w:hAnsi="Verdana" w:cs="Arial"/>
          <w:color w:val="000000" w:themeColor="text1"/>
          <w:lang w:val="es-MX"/>
        </w:rPr>
      </w:pPr>
      <w:r w:rsidRPr="00792E4B">
        <w:rPr>
          <w:rFonts w:ascii="Verdana" w:hAnsi="Verdana" w:cs="Arial"/>
          <w:color w:val="000000" w:themeColor="text1"/>
          <w:lang w:val="es-MX"/>
        </w:rPr>
        <w:t>Esta figura no tiene como finalidad sancionar al contratista, sino que se encuentra dirigida a evitar la paralización del contrato estatal y garantizar su correcta ejecución. La doctrina ha considerado que “[…] el artículo 17 de la Ley 80 de 1993 consagra, en virtud del principio de legalidad regente para toda la actividad administrativa, la potestad de las entidades estatales de finiquitar la relación contractual con su contratista a partir de la configuración de cualquiera de las causales expresadas en dicha norma […]”</w:t>
      </w:r>
      <w:r w:rsidRPr="0071334E">
        <w:rPr>
          <w:vertAlign w:val="superscript"/>
          <w:lang w:val="es-MX"/>
        </w:rPr>
        <w:footnoteReference w:id="3"/>
      </w:r>
      <w:r w:rsidRPr="00792E4B">
        <w:rPr>
          <w:rFonts w:ascii="Verdana" w:hAnsi="Verdana" w:cs="Arial"/>
          <w:color w:val="000000" w:themeColor="text1"/>
          <w:lang w:val="es-MX"/>
        </w:rPr>
        <w:t xml:space="preserve">. En igual sentido lo ha reconocido el Consejo de Estado al poner de presente que: </w:t>
      </w:r>
    </w:p>
    <w:p w14:paraId="78966599" w14:textId="77777777" w:rsidR="002F2C6F" w:rsidRPr="005141DF" w:rsidRDefault="002F2C6F" w:rsidP="002F2C6F">
      <w:pPr>
        <w:pStyle w:val="Prrafodelista"/>
        <w:spacing w:after="0" w:line="240" w:lineRule="auto"/>
        <w:ind w:left="851" w:right="616"/>
        <w:jc w:val="both"/>
        <w:rPr>
          <w:rFonts w:ascii="Verdana" w:eastAsia="Times New Roman" w:hAnsi="Verdana" w:cs="Arial"/>
          <w:sz w:val="20"/>
          <w:szCs w:val="20"/>
          <w:lang w:eastAsia="es-CO"/>
        </w:rPr>
      </w:pPr>
      <w:r>
        <w:rPr>
          <w:rFonts w:ascii="Verdana" w:eastAsia="Times New Roman" w:hAnsi="Verdana" w:cs="Arial"/>
          <w:sz w:val="20"/>
          <w:szCs w:val="20"/>
          <w:lang w:eastAsia="es-CO"/>
        </w:rPr>
        <w:t>“</w:t>
      </w:r>
      <w:r w:rsidRPr="005141DF">
        <w:rPr>
          <w:rFonts w:ascii="Verdana" w:eastAsia="Times New Roman" w:hAnsi="Verdana" w:cs="Arial"/>
          <w:sz w:val="20"/>
          <w:szCs w:val="20"/>
          <w:lang w:eastAsia="es-CO"/>
        </w:rPr>
        <w:t xml:space="preserve">Según los explícitos dictados de la referida Ley 80, es claro que dicha forma de terminación unilateral tiene </w:t>
      </w:r>
      <w:r w:rsidRPr="005141DF">
        <w:rPr>
          <w:rFonts w:ascii="Verdana" w:eastAsia="Times New Roman" w:hAnsi="Verdana" w:cs="Arial"/>
          <w:i/>
          <w:iCs/>
          <w:sz w:val="20"/>
          <w:szCs w:val="20"/>
          <w:lang w:eastAsia="es-CO"/>
        </w:rPr>
        <w:t xml:space="preserve">“(...) el exclusivo objeto de evitar la paralización o la afectación grave de los servicios públicos a su cargo </w:t>
      </w:r>
      <w:r w:rsidRPr="005141DF">
        <w:rPr>
          <w:rFonts w:ascii="Verdana" w:eastAsia="Times New Roman" w:hAnsi="Verdana" w:cs="Arial"/>
          <w:sz w:val="20"/>
          <w:szCs w:val="20"/>
          <w:lang w:eastAsia="es-CO"/>
        </w:rPr>
        <w:t xml:space="preserve">[se refiere a la entidad estatal contratante] </w:t>
      </w:r>
      <w:r w:rsidRPr="005141DF">
        <w:rPr>
          <w:rFonts w:ascii="Verdana" w:eastAsia="Times New Roman" w:hAnsi="Verdana" w:cs="Arial"/>
          <w:i/>
          <w:iCs/>
          <w:sz w:val="20"/>
          <w:szCs w:val="20"/>
          <w:lang w:eastAsia="es-CO"/>
        </w:rPr>
        <w:t xml:space="preserve">y asegurar la inmediata, continua y adecuada prestación (...)” </w:t>
      </w:r>
      <w:r w:rsidRPr="005141DF">
        <w:rPr>
          <w:rFonts w:ascii="Verdana" w:eastAsia="Times New Roman" w:hAnsi="Verdana" w:cs="Arial"/>
          <w:sz w:val="20"/>
          <w:szCs w:val="20"/>
          <w:lang w:eastAsia="es-CO"/>
        </w:rPr>
        <w:t xml:space="preserve">de los mismos. </w:t>
      </w:r>
    </w:p>
    <w:p w14:paraId="3CC48B9A" w14:textId="77777777" w:rsidR="002F2C6F" w:rsidRPr="005141DF" w:rsidRDefault="002F2C6F" w:rsidP="002F2C6F">
      <w:pPr>
        <w:pStyle w:val="Prrafodelista"/>
        <w:spacing w:after="0" w:line="240" w:lineRule="auto"/>
        <w:ind w:left="851" w:right="616"/>
        <w:jc w:val="both"/>
        <w:rPr>
          <w:rFonts w:ascii="Verdana" w:eastAsia="Times New Roman" w:hAnsi="Verdana" w:cs="Arial"/>
          <w:sz w:val="20"/>
          <w:szCs w:val="20"/>
          <w:lang w:eastAsia="es-CO"/>
        </w:rPr>
      </w:pPr>
    </w:p>
    <w:p w14:paraId="5B2C77DF" w14:textId="77777777" w:rsidR="002F2C6F" w:rsidRPr="005141DF" w:rsidRDefault="002F2C6F" w:rsidP="002F2C6F">
      <w:pPr>
        <w:pStyle w:val="Prrafodelista"/>
        <w:spacing w:after="0" w:line="240" w:lineRule="auto"/>
        <w:ind w:left="851" w:right="616"/>
        <w:jc w:val="both"/>
        <w:rPr>
          <w:rFonts w:ascii="Verdana" w:eastAsia="Times New Roman" w:hAnsi="Verdana" w:cs="Arial"/>
          <w:sz w:val="20"/>
          <w:szCs w:val="20"/>
          <w:lang w:eastAsia="es-CO"/>
        </w:rPr>
      </w:pPr>
      <w:r w:rsidRPr="005141DF">
        <w:rPr>
          <w:rFonts w:ascii="Verdana" w:eastAsia="Times New Roman" w:hAnsi="Verdana" w:cs="Arial"/>
          <w:sz w:val="20"/>
          <w:szCs w:val="20"/>
          <w:lang w:eastAsia="es-CO"/>
        </w:rPr>
        <w:t xml:space="preserve">Esta modalidad de terminación unilateral únicamente puede tener aplicación respecto de aquellos específicos contratos estatales señalados en el numeral 2o del artículo 14 de la Ley 80, esto es: </w:t>
      </w:r>
      <w:r w:rsidRPr="005141DF">
        <w:rPr>
          <w:rFonts w:ascii="Verdana" w:eastAsia="Times New Roman" w:hAnsi="Verdana" w:cs="Arial"/>
          <w:i/>
          <w:iCs/>
          <w:sz w:val="20"/>
          <w:szCs w:val="20"/>
          <w:lang w:eastAsia="es-CO"/>
        </w:rPr>
        <w:t xml:space="preserve">a) “en los contratos que tengan por objeto el ejercicio de una actividad que constituya monopolio estatal”; b) </w:t>
      </w:r>
      <w:r w:rsidRPr="005141DF">
        <w:rPr>
          <w:rFonts w:ascii="Verdana" w:eastAsia="Times New Roman" w:hAnsi="Verdana" w:cs="Arial"/>
          <w:sz w:val="20"/>
          <w:szCs w:val="20"/>
          <w:lang w:eastAsia="es-CO"/>
        </w:rPr>
        <w:t xml:space="preserve">en los contratos que tengan por objeto </w:t>
      </w:r>
      <w:r w:rsidRPr="005141DF">
        <w:rPr>
          <w:rFonts w:ascii="Verdana" w:eastAsia="Times New Roman" w:hAnsi="Verdana" w:cs="Arial"/>
          <w:i/>
          <w:iCs/>
          <w:sz w:val="20"/>
          <w:szCs w:val="20"/>
          <w:lang w:eastAsia="es-CO"/>
        </w:rPr>
        <w:t xml:space="preserve">“la prestación de servicios públicos”; c) </w:t>
      </w:r>
      <w:r w:rsidRPr="005141DF">
        <w:rPr>
          <w:rFonts w:ascii="Verdana" w:eastAsia="Times New Roman" w:hAnsi="Verdana" w:cs="Arial"/>
          <w:sz w:val="20"/>
          <w:szCs w:val="20"/>
          <w:lang w:eastAsia="es-CO"/>
        </w:rPr>
        <w:t xml:space="preserve">en los contratos que tengan por objeto </w:t>
      </w:r>
      <w:r w:rsidRPr="005141DF">
        <w:rPr>
          <w:rFonts w:ascii="Verdana" w:eastAsia="Times New Roman" w:hAnsi="Verdana" w:cs="Arial"/>
          <w:i/>
          <w:iCs/>
          <w:sz w:val="20"/>
          <w:szCs w:val="20"/>
          <w:lang w:eastAsia="es-CO"/>
        </w:rPr>
        <w:t xml:space="preserve">“la explotación y concesión de bienes del Estado” </w:t>
      </w:r>
      <w:r w:rsidRPr="005141DF">
        <w:rPr>
          <w:rFonts w:ascii="Verdana" w:eastAsia="Times New Roman" w:hAnsi="Verdana" w:cs="Arial"/>
          <w:sz w:val="20"/>
          <w:szCs w:val="20"/>
          <w:lang w:eastAsia="es-CO"/>
        </w:rPr>
        <w:t xml:space="preserve">y </w:t>
      </w:r>
      <w:r w:rsidRPr="005141DF">
        <w:rPr>
          <w:rFonts w:ascii="Verdana" w:eastAsia="Times New Roman" w:hAnsi="Verdana" w:cs="Arial"/>
          <w:i/>
          <w:iCs/>
          <w:sz w:val="20"/>
          <w:szCs w:val="20"/>
          <w:lang w:eastAsia="es-CO"/>
        </w:rPr>
        <w:t>d) “en los contratos de obra”</w:t>
      </w:r>
      <w:r w:rsidRPr="005141DF">
        <w:rPr>
          <w:rFonts w:ascii="Verdana" w:eastAsia="Times New Roman" w:hAnsi="Verdana" w:cs="Arial"/>
          <w:sz w:val="20"/>
          <w:szCs w:val="20"/>
          <w:lang w:eastAsia="es-CO"/>
        </w:rPr>
        <w:t xml:space="preserve">, en cuanto en todos ellos resulta imperativa la inclusión de la cláusula excepcional de terminación unilateral; así́ mismo podría aplicarse en aquellos </w:t>
      </w:r>
      <w:r w:rsidRPr="005141DF">
        <w:rPr>
          <w:rFonts w:ascii="Verdana" w:eastAsia="Times New Roman" w:hAnsi="Verdana" w:cs="Arial"/>
          <w:i/>
          <w:iCs/>
          <w:sz w:val="20"/>
          <w:szCs w:val="20"/>
          <w:lang w:eastAsia="es-CO"/>
        </w:rPr>
        <w:t xml:space="preserve">f) “contratos de suministro” </w:t>
      </w:r>
      <w:r w:rsidRPr="005141DF">
        <w:rPr>
          <w:rFonts w:ascii="Verdana" w:eastAsia="Times New Roman" w:hAnsi="Verdana" w:cs="Arial"/>
          <w:sz w:val="20"/>
          <w:szCs w:val="20"/>
          <w:lang w:eastAsia="es-CO"/>
        </w:rPr>
        <w:t xml:space="preserve">y </w:t>
      </w:r>
      <w:r w:rsidRPr="005141DF">
        <w:rPr>
          <w:rFonts w:ascii="Verdana" w:eastAsia="Times New Roman" w:hAnsi="Verdana" w:cs="Arial"/>
          <w:i/>
          <w:iCs/>
          <w:sz w:val="20"/>
          <w:szCs w:val="20"/>
          <w:lang w:eastAsia="es-CO"/>
        </w:rPr>
        <w:t xml:space="preserve">g) </w:t>
      </w:r>
      <w:r w:rsidRPr="005141DF">
        <w:rPr>
          <w:rFonts w:ascii="Verdana" w:eastAsia="Times New Roman" w:hAnsi="Verdana" w:cs="Arial"/>
          <w:sz w:val="20"/>
          <w:szCs w:val="20"/>
          <w:lang w:eastAsia="es-CO"/>
        </w:rPr>
        <w:t xml:space="preserve">contratos </w:t>
      </w:r>
      <w:r w:rsidRPr="005141DF">
        <w:rPr>
          <w:rFonts w:ascii="Verdana" w:eastAsia="Times New Roman" w:hAnsi="Verdana" w:cs="Arial"/>
          <w:i/>
          <w:iCs/>
          <w:sz w:val="20"/>
          <w:szCs w:val="20"/>
          <w:lang w:eastAsia="es-CO"/>
        </w:rPr>
        <w:t xml:space="preserve">“de prestación de servicios”, </w:t>
      </w:r>
      <w:r w:rsidRPr="005141DF">
        <w:rPr>
          <w:rFonts w:ascii="Verdana" w:eastAsia="Times New Roman" w:hAnsi="Verdana" w:cs="Arial"/>
          <w:sz w:val="20"/>
          <w:szCs w:val="20"/>
          <w:lang w:eastAsia="es-CO"/>
        </w:rPr>
        <w:t xml:space="preserve">en los cuales se hubiere incluido expresamente esa cláusula excepcional, comoquiera que en estos dos (2) últimos dicha estipulación resulta facultativa y, por tanto, se encuentra expresamente autorizada por la ley su inclusión. </w:t>
      </w:r>
    </w:p>
    <w:p w14:paraId="53FF998D" w14:textId="77777777" w:rsidR="002F2C6F" w:rsidRPr="005141DF" w:rsidRDefault="002F2C6F" w:rsidP="002F2C6F">
      <w:pPr>
        <w:pStyle w:val="Prrafodelista"/>
        <w:spacing w:after="0" w:line="240" w:lineRule="auto"/>
        <w:ind w:left="851" w:right="616"/>
        <w:jc w:val="both"/>
        <w:rPr>
          <w:rFonts w:ascii="Verdana" w:eastAsia="Times New Roman" w:hAnsi="Verdana" w:cs="Arial"/>
          <w:sz w:val="20"/>
          <w:szCs w:val="20"/>
          <w:lang w:eastAsia="es-CO"/>
        </w:rPr>
      </w:pPr>
    </w:p>
    <w:p w14:paraId="0FB29383" w14:textId="77777777" w:rsidR="002F2C6F" w:rsidRPr="005141DF" w:rsidRDefault="002F2C6F" w:rsidP="002F2C6F">
      <w:pPr>
        <w:pStyle w:val="Prrafodelista"/>
        <w:spacing w:after="0" w:line="240" w:lineRule="auto"/>
        <w:ind w:left="851" w:right="616"/>
        <w:jc w:val="both"/>
        <w:rPr>
          <w:rFonts w:ascii="Verdana" w:eastAsia="Times New Roman" w:hAnsi="Verdana" w:cs="Arial"/>
          <w:sz w:val="20"/>
          <w:szCs w:val="20"/>
          <w:lang w:eastAsia="es-CO"/>
        </w:rPr>
      </w:pPr>
      <w:r w:rsidRPr="005141DF">
        <w:rPr>
          <w:rFonts w:ascii="Verdana" w:eastAsia="Times New Roman" w:hAnsi="Verdana" w:cs="Arial"/>
          <w:sz w:val="20"/>
          <w:szCs w:val="20"/>
          <w:lang w:eastAsia="es-CO"/>
        </w:rPr>
        <w:t xml:space="preserve">Tal como lo ordena el inciso 2o del numeral 1o del citado artículo 14 de la Ley 80, cada vez que una entidad estatal ejerza esta potestad excepcional de terminación unilateral </w:t>
      </w:r>
      <w:r w:rsidRPr="005141DF">
        <w:rPr>
          <w:rFonts w:ascii="Verdana" w:eastAsia="Times New Roman" w:hAnsi="Verdana" w:cs="Arial"/>
          <w:i/>
          <w:iCs/>
          <w:sz w:val="20"/>
          <w:szCs w:val="20"/>
          <w:lang w:eastAsia="es-CO"/>
        </w:rPr>
        <w:t xml:space="preserve">“(...) deberá́ procederse al reconocimiento y orden de pago de las compensación e indemnizaciones a que tengan derecho las personas objeto de tales medidas y se aplicarán los mecanismos de ajuste de las condiciones y términos contractuales a que haya lugar, todo ello con el fin de mantener la ecuación o equilibrio inicial”. </w:t>
      </w:r>
    </w:p>
    <w:p w14:paraId="50D1C189" w14:textId="77777777" w:rsidR="002F2C6F" w:rsidRPr="005141DF" w:rsidRDefault="002F2C6F" w:rsidP="002F2C6F">
      <w:pPr>
        <w:pStyle w:val="Prrafodelista"/>
        <w:spacing w:after="0" w:line="240" w:lineRule="auto"/>
        <w:ind w:left="851" w:right="616"/>
        <w:jc w:val="both"/>
        <w:rPr>
          <w:rFonts w:ascii="Verdana" w:eastAsia="Times New Roman" w:hAnsi="Verdana" w:cs="Arial"/>
          <w:sz w:val="20"/>
          <w:szCs w:val="20"/>
          <w:lang w:eastAsia="es-CO"/>
        </w:rPr>
      </w:pPr>
    </w:p>
    <w:p w14:paraId="19FA8069" w14:textId="77777777" w:rsidR="002F2C6F" w:rsidRPr="004C020E" w:rsidRDefault="002F2C6F" w:rsidP="002F2C6F">
      <w:pPr>
        <w:pStyle w:val="Prrafodelista"/>
        <w:spacing w:after="0" w:line="240" w:lineRule="auto"/>
        <w:ind w:left="851" w:right="616"/>
        <w:jc w:val="both"/>
        <w:rPr>
          <w:rFonts w:ascii="Verdana" w:eastAsia="Times New Roman" w:hAnsi="Verdana" w:cs="Arial"/>
          <w:sz w:val="20"/>
          <w:szCs w:val="20"/>
          <w:lang w:eastAsia="es-CO"/>
        </w:rPr>
      </w:pPr>
      <w:r w:rsidRPr="005141DF">
        <w:rPr>
          <w:rFonts w:ascii="Verdana" w:eastAsia="Times New Roman" w:hAnsi="Verdana" w:cs="Arial"/>
          <w:sz w:val="20"/>
          <w:szCs w:val="20"/>
          <w:lang w:eastAsia="es-CO"/>
        </w:rPr>
        <w:t>El aspecto que se acaba de destacar pone de manifiesto que esta especie o modalidad de terminación unilateral de los contratos estatales no comporta la imposición de sanción alguna y, por tanto, a partir de su ejecutoria no se genera inhabilidad alguna en relación con el contratista afectado, lo cual, además, encuentra explicación suficiente en las causales, expresamente consagradas en la ley, que dan lugar a su aplicación</w:t>
      </w:r>
      <w:r>
        <w:rPr>
          <w:rFonts w:ascii="Verdana" w:eastAsia="Times New Roman" w:hAnsi="Verdana" w:cs="Arial"/>
          <w:sz w:val="20"/>
          <w:szCs w:val="20"/>
          <w:lang w:eastAsia="es-CO"/>
        </w:rPr>
        <w:t>”</w:t>
      </w:r>
      <w:r w:rsidRPr="005141DF">
        <w:rPr>
          <w:rFonts w:ascii="Verdana" w:eastAsia="Times New Roman" w:hAnsi="Verdana" w:cs="Arial"/>
          <w:sz w:val="20"/>
          <w:szCs w:val="20"/>
          <w:lang w:eastAsia="es-CO"/>
        </w:rPr>
        <w:t>.</w:t>
      </w:r>
      <w:r w:rsidRPr="005141DF">
        <w:rPr>
          <w:rFonts w:ascii="Verdana" w:hAnsi="Verdana"/>
          <w:sz w:val="20"/>
          <w:szCs w:val="20"/>
          <w:vertAlign w:val="superscript"/>
          <w:lang w:eastAsia="es-CO"/>
        </w:rPr>
        <w:footnoteReference w:id="4"/>
      </w:r>
    </w:p>
    <w:p w14:paraId="3A1CF53E" w14:textId="77777777" w:rsidR="002F2C6F" w:rsidRDefault="002F2C6F" w:rsidP="002F2C6F">
      <w:pPr>
        <w:spacing w:after="120" w:line="276" w:lineRule="auto"/>
        <w:ind w:firstLine="709"/>
        <w:jc w:val="both"/>
        <w:rPr>
          <w:rFonts w:ascii="Verdana" w:hAnsi="Verdana" w:cs="Arial"/>
          <w:color w:val="000000"/>
          <w:shd w:val="clear" w:color="auto" w:fill="FFFFFF"/>
          <w:lang w:val="es-MX" w:eastAsia="es-CO"/>
        </w:rPr>
      </w:pPr>
      <w:r w:rsidRPr="00792E4B">
        <w:rPr>
          <w:rFonts w:ascii="Verdana" w:hAnsi="Verdana" w:cs="Arial"/>
          <w:lang w:val="es-MX"/>
        </w:rPr>
        <w:t xml:space="preserve">Conforme </w:t>
      </w:r>
      <w:r>
        <w:rPr>
          <w:rFonts w:ascii="Verdana" w:hAnsi="Verdana" w:cs="Arial"/>
          <w:lang w:val="es-MX"/>
        </w:rPr>
        <w:t>con</w:t>
      </w:r>
      <w:r w:rsidRPr="00792E4B">
        <w:rPr>
          <w:rFonts w:ascii="Verdana" w:hAnsi="Verdana" w:cs="Arial"/>
          <w:lang w:val="es-MX"/>
        </w:rPr>
        <w:t xml:space="preserve"> lo anterior, la terminación unilateral del contrato </w:t>
      </w:r>
      <w:r w:rsidRPr="00792E4B">
        <w:rPr>
          <w:rFonts w:ascii="Verdana" w:hAnsi="Verdana" w:cs="Arial"/>
          <w:color w:val="000000"/>
          <w:shd w:val="clear" w:color="auto" w:fill="FFFFFF"/>
          <w:lang w:val="es-MX"/>
        </w:rPr>
        <w:t xml:space="preserve">es una prerrogativa excepcional que, lejos de fungir como un acto represivo contra el contratista o en contra de la ejecución del contrato mismo, constituye una herramienta cuyo fin exclusivo es el de lograr el cabal cumplimiento de los cometidos estatales. En todo caso, el ejercicio de esta potestad supone el reconocimiento y pago de las compensaciones e indemnizaciones a las que haya lugar, así como la aplicación de los mecanismos de reajuste. </w:t>
      </w:r>
      <w:r w:rsidRPr="00792E4B">
        <w:rPr>
          <w:rFonts w:ascii="Verdana" w:hAnsi="Verdana" w:cs="Arial"/>
          <w:color w:val="000000"/>
          <w:shd w:val="clear" w:color="auto" w:fill="FFFFFF"/>
          <w:lang w:val="es-MX" w:eastAsia="es-CO"/>
        </w:rPr>
        <w:t xml:space="preserve">Lo anterior indica que la terminación unilateral del contrato estatal no entraña una sanción, por lo que, a partir de su ejecutoria no se genera inhabilidad para el contratista por este solo hecho. </w:t>
      </w:r>
    </w:p>
    <w:p w14:paraId="03F90EBD" w14:textId="77777777" w:rsidR="002F2C6F" w:rsidRDefault="002F2C6F" w:rsidP="002F2C6F">
      <w:pPr>
        <w:spacing w:after="120" w:line="276" w:lineRule="auto"/>
        <w:ind w:firstLine="709"/>
        <w:jc w:val="both"/>
        <w:rPr>
          <w:rFonts w:ascii="Verdana" w:hAnsi="Verdana" w:cs="Arial"/>
          <w:color w:val="000000"/>
          <w:shd w:val="clear" w:color="auto" w:fill="FFFFFF"/>
          <w:lang w:val="es-MX" w:eastAsia="es-CO"/>
        </w:rPr>
      </w:pPr>
      <w:r>
        <w:rPr>
          <w:rFonts w:ascii="Verdana" w:hAnsi="Verdana" w:cs="Arial"/>
          <w:color w:val="000000"/>
          <w:shd w:val="clear" w:color="auto" w:fill="FFFFFF"/>
          <w:lang w:val="es-MX" w:eastAsia="es-CO"/>
        </w:rPr>
        <w:t xml:space="preserve">Así mismo, según lo dispuesto por el Consejo de Estado i) la terminación produce el efecto de poner fin de manera anticipada el respectivo contrato estatal, </w:t>
      </w:r>
      <w:proofErr w:type="spellStart"/>
      <w:r>
        <w:rPr>
          <w:rFonts w:ascii="Verdana" w:hAnsi="Verdana" w:cs="Arial"/>
          <w:color w:val="000000"/>
          <w:shd w:val="clear" w:color="auto" w:fill="FFFFFF"/>
          <w:lang w:val="es-MX" w:eastAsia="es-CO"/>
        </w:rPr>
        <w:t>ii</w:t>
      </w:r>
      <w:proofErr w:type="spellEnd"/>
      <w:r>
        <w:rPr>
          <w:rFonts w:ascii="Verdana" w:hAnsi="Verdana" w:cs="Arial"/>
          <w:color w:val="000000"/>
          <w:shd w:val="clear" w:color="auto" w:fill="FFFFFF"/>
          <w:lang w:val="es-MX" w:eastAsia="es-CO"/>
        </w:rPr>
        <w:t xml:space="preserve">) la declaratoria supone un verdadero acto administrativo de naturaleza contractual y sujeto a control jurisdiccional, </w:t>
      </w:r>
      <w:proofErr w:type="spellStart"/>
      <w:r>
        <w:rPr>
          <w:rFonts w:ascii="Verdana" w:hAnsi="Verdana" w:cs="Arial"/>
          <w:color w:val="000000"/>
          <w:shd w:val="clear" w:color="auto" w:fill="FFFFFF"/>
          <w:lang w:val="es-MX" w:eastAsia="es-CO"/>
        </w:rPr>
        <w:t>iii</w:t>
      </w:r>
      <w:proofErr w:type="spellEnd"/>
      <w:r>
        <w:rPr>
          <w:rFonts w:ascii="Verdana" w:hAnsi="Verdana" w:cs="Arial"/>
          <w:color w:val="000000"/>
          <w:shd w:val="clear" w:color="auto" w:fill="FFFFFF"/>
          <w:lang w:val="es-MX" w:eastAsia="es-CO"/>
        </w:rPr>
        <w:t xml:space="preserve">) deberá proceder la liquidación del contrato una vez ejecutoriada la decisión correspondiente y </w:t>
      </w:r>
      <w:proofErr w:type="spellStart"/>
      <w:r>
        <w:rPr>
          <w:rFonts w:ascii="Verdana" w:hAnsi="Verdana" w:cs="Arial"/>
          <w:color w:val="000000"/>
          <w:shd w:val="clear" w:color="auto" w:fill="FFFFFF"/>
          <w:lang w:val="es-MX" w:eastAsia="es-CO"/>
        </w:rPr>
        <w:t>iv</w:t>
      </w:r>
      <w:proofErr w:type="spellEnd"/>
      <w:r>
        <w:rPr>
          <w:rFonts w:ascii="Verdana" w:hAnsi="Verdana" w:cs="Arial"/>
          <w:color w:val="000000"/>
          <w:shd w:val="clear" w:color="auto" w:fill="FFFFFF"/>
          <w:lang w:val="es-MX" w:eastAsia="es-CO"/>
        </w:rPr>
        <w:t>) la terminación unilateral y anticipada del contrato solo es posible aplicarla respecto de los contratos vigentes</w:t>
      </w:r>
      <w:r>
        <w:rPr>
          <w:rStyle w:val="Refdenotaalpie"/>
          <w:rFonts w:ascii="Verdana" w:hAnsi="Verdana" w:cs="Arial"/>
          <w:color w:val="000000"/>
          <w:shd w:val="clear" w:color="auto" w:fill="FFFFFF"/>
          <w:lang w:val="es-MX" w:eastAsia="es-CO"/>
        </w:rPr>
        <w:footnoteReference w:id="5"/>
      </w:r>
      <w:r>
        <w:rPr>
          <w:rFonts w:ascii="Verdana" w:hAnsi="Verdana" w:cs="Arial"/>
          <w:color w:val="000000"/>
          <w:shd w:val="clear" w:color="auto" w:fill="FFFFFF"/>
          <w:lang w:val="es-MX" w:eastAsia="es-CO"/>
        </w:rPr>
        <w:t xml:space="preserve">. </w:t>
      </w:r>
    </w:p>
    <w:p w14:paraId="04B71984" w14:textId="77777777" w:rsidR="002F2C6F" w:rsidRPr="007E1970" w:rsidRDefault="002F2C6F" w:rsidP="002F2C6F">
      <w:pPr>
        <w:spacing w:after="120" w:line="276" w:lineRule="auto"/>
        <w:ind w:firstLine="709"/>
        <w:jc w:val="both"/>
        <w:rPr>
          <w:rFonts w:ascii="Verdana" w:hAnsi="Verdana" w:cs="Arial"/>
          <w:color w:val="000000"/>
          <w:shd w:val="clear" w:color="auto" w:fill="FFFFFF"/>
          <w:lang w:val="es-MX" w:eastAsia="es-CO"/>
        </w:rPr>
      </w:pPr>
      <w:proofErr w:type="spellStart"/>
      <w:r>
        <w:rPr>
          <w:rFonts w:ascii="Verdana" w:hAnsi="Verdana" w:cs="Arial"/>
          <w:color w:val="000000"/>
          <w:shd w:val="clear" w:color="auto" w:fill="FFFFFF"/>
          <w:lang w:val="es-MX" w:eastAsia="es-CO"/>
        </w:rPr>
        <w:t>ii</w:t>
      </w:r>
      <w:proofErr w:type="spellEnd"/>
      <w:r>
        <w:rPr>
          <w:rFonts w:ascii="Verdana" w:hAnsi="Verdana" w:cs="Arial"/>
          <w:color w:val="000000"/>
          <w:shd w:val="clear" w:color="auto" w:fill="FFFFFF"/>
          <w:lang w:val="es-MX" w:eastAsia="es-CO"/>
        </w:rPr>
        <w:t>) Por otro lado, u</w:t>
      </w:r>
      <w:r w:rsidRPr="007E1970">
        <w:rPr>
          <w:rFonts w:ascii="Verdana" w:hAnsi="Verdana" w:cs="Arial"/>
          <w:color w:val="000000"/>
          <w:shd w:val="clear" w:color="auto" w:fill="FFFFFF"/>
          <w:lang w:val="es-MX" w:eastAsia="es-CO"/>
        </w:rPr>
        <w:t>no de los postulados más importantes de un Estado social y democrático de derecho es el principio de publicidad, pues este permite que las actuaciones de las autoridades gocen de visibilidad. En tal sentido, la filosofía política ha indicado que la democracia “[…] es idealmente el gobierno de un poder visible, es decir, el gobierno cuyos actos se realizan ante el público y bajo la supervisión de la opinión pública”</w:t>
      </w:r>
      <w:r w:rsidRPr="007E1970">
        <w:rPr>
          <w:rFonts w:ascii="Verdana" w:hAnsi="Verdana" w:cs="Arial"/>
          <w:color w:val="000000"/>
          <w:shd w:val="clear" w:color="auto" w:fill="FFFFFF"/>
          <w:vertAlign w:val="superscript"/>
          <w:lang w:val="es-MX" w:eastAsia="es-CO"/>
        </w:rPr>
        <w:footnoteReference w:id="6"/>
      </w:r>
      <w:r w:rsidRPr="007E1970">
        <w:rPr>
          <w:rFonts w:ascii="Verdana" w:hAnsi="Verdana" w:cs="Arial"/>
          <w:color w:val="000000"/>
          <w:shd w:val="clear" w:color="auto" w:fill="FFFFFF"/>
          <w:lang w:val="es-MX" w:eastAsia="es-CO"/>
        </w:rPr>
        <w:t xml:space="preserve">. El secreto generalizado en el ejercicio del poder político constituye, por el contrario, una negación de la democracia, porque dificulta la supervisión de las autoridades por parte de la sociedad civil y establece una barrera para la participación ciudadana. Inspirada en esta concepción axiológica, en los Estados de derecho se pregonan la publicidad de las actuaciones de los poderes públicos. </w:t>
      </w:r>
    </w:p>
    <w:p w14:paraId="7F5AA0E9" w14:textId="77777777" w:rsidR="002F2C6F" w:rsidRPr="006C0CAF" w:rsidRDefault="002F2C6F" w:rsidP="002F2C6F">
      <w:pPr>
        <w:spacing w:after="120" w:line="276" w:lineRule="auto"/>
        <w:ind w:firstLine="708"/>
        <w:jc w:val="both"/>
        <w:rPr>
          <w:rFonts w:ascii="Verdana" w:eastAsia="Times New Roman" w:hAnsi="Verdana" w:cs="Arial"/>
          <w:lang w:val="es-ES" w:eastAsia="es-ES"/>
          <w14:ligatures w14:val="standardContextual"/>
        </w:rPr>
      </w:pPr>
      <w:r w:rsidRPr="006C0CAF">
        <w:rPr>
          <w:rFonts w:ascii="Verdana" w:eastAsia="Times New Roman" w:hAnsi="Verdana" w:cs="Arial"/>
          <w:lang w:val="es-ES" w:eastAsia="es-ES"/>
          <w14:ligatures w14:val="standardContextual"/>
        </w:rPr>
        <w:t xml:space="preserve">Como evidencia de ello, la Constitución Política de 1991 consagra en varios artículos la publicidad como un principio rector del Estado colombiano. Entre los más destacados, puede mencionarse el 209, que afirma que la publicidad es uno de los principios que fundamentan el ejercicio de la función administrativa, y el 74, que consagra la garantía de acceso a los documentos públicos que no gocen de reserva –y esta, además, es excepcional, pues solo procede si existe causal constitucional o legal expresa–. </w:t>
      </w:r>
    </w:p>
    <w:p w14:paraId="52DC012E" w14:textId="77777777" w:rsidR="002F2C6F" w:rsidRPr="00C82E47" w:rsidRDefault="002F2C6F" w:rsidP="002F2C6F">
      <w:pPr>
        <w:spacing w:after="120" w:line="276" w:lineRule="auto"/>
        <w:ind w:firstLine="709"/>
        <w:jc w:val="both"/>
        <w:rPr>
          <w:rFonts w:ascii="Verdana" w:eastAsia="Times New Roman" w:hAnsi="Verdana" w:cs="Arial"/>
          <w:lang w:val="es-ES" w:eastAsia="es-ES"/>
          <w14:ligatures w14:val="standardContextual"/>
        </w:rPr>
      </w:pPr>
      <w:r w:rsidRPr="043A1B52">
        <w:rPr>
          <w:rFonts w:ascii="Verdana" w:eastAsia="Times New Roman" w:hAnsi="Verdana" w:cs="Arial"/>
          <w:lang w:val="es-ES" w:eastAsia="es-ES"/>
          <w14:ligatures w14:val="standardContextual"/>
        </w:rPr>
        <w:t>De otra parte, la Ley 1712 de 2014 –</w:t>
      </w:r>
      <w:r>
        <w:rPr>
          <w:rFonts w:ascii="Verdana" w:eastAsia="Times New Roman" w:hAnsi="Verdana" w:cs="Arial"/>
          <w:lang w:val="es-ES" w:eastAsia="es-ES"/>
          <w14:ligatures w14:val="standardContextual"/>
        </w:rPr>
        <w:t xml:space="preserve"> </w:t>
      </w:r>
      <w:r w:rsidRPr="043A1B52">
        <w:rPr>
          <w:rFonts w:ascii="Verdana" w:eastAsia="Times New Roman" w:hAnsi="Verdana" w:cs="Arial"/>
          <w:lang w:val="es-ES" w:eastAsia="es-ES"/>
          <w14:ligatures w14:val="standardContextual"/>
        </w:rPr>
        <w:t>Ley estatutaria que regula la transparencia y el derecho de acceso a la información y a los documentos públicos</w:t>
      </w:r>
      <w:r>
        <w:rPr>
          <w:rFonts w:ascii="Verdana" w:eastAsia="Times New Roman" w:hAnsi="Verdana" w:cs="Arial"/>
          <w:lang w:val="es-ES" w:eastAsia="es-ES"/>
          <w14:ligatures w14:val="standardContextual"/>
        </w:rPr>
        <w:t xml:space="preserve"> </w:t>
      </w:r>
      <w:r w:rsidRPr="043A1B52">
        <w:rPr>
          <w:rFonts w:ascii="Verdana" w:eastAsia="Times New Roman" w:hAnsi="Verdana" w:cs="Arial"/>
          <w:lang w:val="es-ES" w:eastAsia="es-ES"/>
          <w14:ligatures w14:val="standardContextual"/>
        </w:rPr>
        <w:t>–, identifica como principios que orientan el derecho de acceso a la información pública, el de máxima publicidad, transparencia en la información y buena fe. El principio de máxima publicidad establece que “toda información en posesión, bajo control o custodia de un sujeto obligado es pública y no podrá ser reservada o limitada sino por disposición constitucional o legal”</w:t>
      </w:r>
      <w:r w:rsidRPr="043A1B52">
        <w:rPr>
          <w:rFonts w:ascii="Verdana" w:eastAsia="Times New Roman" w:hAnsi="Verdana" w:cs="Arial"/>
          <w:vertAlign w:val="superscript"/>
          <w:lang w:val="es-ES" w:eastAsia="es-ES"/>
          <w14:ligatures w14:val="standardContextual"/>
        </w:rPr>
        <w:footnoteReference w:id="7"/>
      </w:r>
      <w:r w:rsidRPr="043A1B52">
        <w:rPr>
          <w:rFonts w:ascii="Verdana" w:eastAsia="Times New Roman" w:hAnsi="Verdana" w:cs="Arial"/>
          <w:lang w:val="es-ES" w:eastAsia="es-ES"/>
          <w14:ligatures w14:val="standardContextual"/>
        </w:rPr>
        <w:t>. El principio de transparencia en la información alude al deber de los sujetos de proporcionar y facilitar el acceso a la misma en los términos más amplios posibles, y a través de los medios y procedimientos legales. En este sentido, el artículo la Ley 1712 de 2014 establece el ámbito de ampliación, esto es, quienes son los sujetos obligados a publicar su información:</w:t>
      </w:r>
    </w:p>
    <w:p w14:paraId="5D262956" w14:textId="77777777" w:rsidR="002F2C6F" w:rsidRPr="00C77C27" w:rsidRDefault="002F2C6F" w:rsidP="002F2C6F">
      <w:pPr>
        <w:spacing w:after="0" w:line="240" w:lineRule="auto"/>
        <w:ind w:left="709" w:right="709"/>
        <w:jc w:val="both"/>
        <w:rPr>
          <w:rFonts w:ascii="Verdana" w:hAnsi="Verdana" w:cs="Arial"/>
          <w:sz w:val="20"/>
          <w:szCs w:val="20"/>
          <w:lang w:eastAsia="es-ES"/>
          <w14:ligatures w14:val="standardContextual"/>
        </w:rPr>
      </w:pPr>
      <w:bookmarkStart w:id="2" w:name="5"/>
      <w:r w:rsidRPr="00C77C27">
        <w:rPr>
          <w:rFonts w:ascii="Verdana" w:hAnsi="Verdana" w:cs="Arial"/>
          <w:sz w:val="20"/>
          <w:szCs w:val="20"/>
          <w:lang w:eastAsia="es-ES"/>
          <w14:ligatures w14:val="standardContextual"/>
        </w:rPr>
        <w:t>ARTÍCULO 5o. Ámbito de Aplicación</w:t>
      </w:r>
      <w:r w:rsidRPr="00C77C27">
        <w:rPr>
          <w:rFonts w:ascii="Verdana" w:hAnsi="Verdana" w:cs="Arial"/>
          <w:b/>
          <w:bCs/>
          <w:sz w:val="20"/>
          <w:szCs w:val="20"/>
          <w:lang w:eastAsia="es-ES"/>
          <w14:ligatures w14:val="standardContextual"/>
        </w:rPr>
        <w:t>.</w:t>
      </w:r>
      <w:bookmarkEnd w:id="2"/>
      <w:r w:rsidRPr="00C77C27">
        <w:rPr>
          <w:rFonts w:ascii="Verdana" w:hAnsi="Verdana" w:cs="Arial"/>
          <w:sz w:val="20"/>
          <w:szCs w:val="20"/>
          <w:lang w:eastAsia="es-ES"/>
          <w14:ligatures w14:val="standardContextual"/>
        </w:rPr>
        <w:t> &lt;Artículo corregido por el artículo </w:t>
      </w:r>
      <w:hyperlink r:id="rId12" w:anchor="1" w:history="1">
        <w:r w:rsidRPr="00C77C27">
          <w:rPr>
            <w:rStyle w:val="Hipervnculo"/>
            <w:rFonts w:ascii="Verdana" w:hAnsi="Verdana" w:cs="Arial"/>
            <w:color w:val="auto"/>
            <w:sz w:val="20"/>
            <w:szCs w:val="20"/>
            <w:u w:val="none"/>
            <w:lang w:eastAsia="es-ES"/>
            <w14:ligatures w14:val="standardContextual"/>
          </w:rPr>
          <w:t>1</w:t>
        </w:r>
      </w:hyperlink>
      <w:r w:rsidRPr="00C77C27">
        <w:rPr>
          <w:rFonts w:ascii="Verdana" w:hAnsi="Verdana" w:cs="Arial"/>
          <w:sz w:val="20"/>
          <w:szCs w:val="20"/>
          <w:lang w:eastAsia="es-ES"/>
          <w14:ligatures w14:val="standardContextual"/>
        </w:rPr>
        <w:t> del Decreto 1494 de 2015. El nuevo texto es el siguiente:&gt; Las disposiciones de esta ley serán aplicables a las siguientes personas en calidad de sujetos obligados:</w:t>
      </w:r>
    </w:p>
    <w:p w14:paraId="1C0CAA1A" w14:textId="77777777" w:rsidR="002F2C6F" w:rsidRPr="00C77C27" w:rsidRDefault="002F2C6F" w:rsidP="002F2C6F">
      <w:pPr>
        <w:spacing w:after="0" w:line="240" w:lineRule="auto"/>
        <w:ind w:left="709" w:right="709"/>
        <w:jc w:val="both"/>
        <w:rPr>
          <w:rFonts w:ascii="Verdana" w:eastAsia="Times New Roman" w:hAnsi="Verdana" w:cs="Arial"/>
          <w:sz w:val="20"/>
          <w:szCs w:val="20"/>
          <w:lang w:eastAsia="es-ES"/>
          <w14:ligatures w14:val="standardContextual"/>
        </w:rPr>
      </w:pPr>
      <w:r w:rsidRPr="00C77C27">
        <w:rPr>
          <w:rFonts w:ascii="Verdana" w:eastAsia="Times New Roman" w:hAnsi="Verdana" w:cs="Arial"/>
          <w:sz w:val="20"/>
          <w:szCs w:val="20"/>
          <w:lang w:eastAsia="es-ES"/>
          <w14:ligatures w14:val="standardContextual"/>
        </w:rPr>
        <w:t>a) Toda entidad pública, incluyendo las pertenecientes a todas las Ramas del Poder Público, en todos los niveles de la estructura estatal, central o descentralizada por servicios o territorialmente, en los órdenes nacional, departamental, municipal y distrital.</w:t>
      </w:r>
    </w:p>
    <w:p w14:paraId="2CE66377" w14:textId="77777777" w:rsidR="002F2C6F" w:rsidRPr="00C77C27" w:rsidRDefault="002F2C6F" w:rsidP="002F2C6F">
      <w:pPr>
        <w:spacing w:after="0" w:line="240" w:lineRule="auto"/>
        <w:ind w:left="709" w:right="709"/>
        <w:jc w:val="both"/>
        <w:rPr>
          <w:rFonts w:ascii="Verdana" w:eastAsia="Times New Roman" w:hAnsi="Verdana" w:cs="Arial"/>
          <w:sz w:val="20"/>
          <w:szCs w:val="20"/>
          <w:lang w:eastAsia="es-ES"/>
          <w14:ligatures w14:val="standardContextual"/>
        </w:rPr>
      </w:pPr>
      <w:r w:rsidRPr="00C77C27">
        <w:rPr>
          <w:rFonts w:ascii="Verdana" w:eastAsia="Times New Roman" w:hAnsi="Verdana" w:cs="Arial"/>
          <w:sz w:val="20"/>
          <w:szCs w:val="20"/>
          <w:lang w:eastAsia="es-ES"/>
          <w14:ligatures w14:val="standardContextual"/>
        </w:rPr>
        <w:t>b) Los órganos, organismos y entidades estatales independientes o autónomos y de control.</w:t>
      </w:r>
    </w:p>
    <w:p w14:paraId="1D8292AA" w14:textId="77777777" w:rsidR="002F2C6F" w:rsidRPr="00C77C27" w:rsidRDefault="002F2C6F" w:rsidP="002F2C6F">
      <w:pPr>
        <w:spacing w:after="0" w:line="240" w:lineRule="auto"/>
        <w:ind w:left="709" w:right="709"/>
        <w:jc w:val="both"/>
        <w:rPr>
          <w:rFonts w:ascii="Verdana" w:eastAsia="Times New Roman" w:hAnsi="Verdana" w:cs="Arial"/>
          <w:sz w:val="20"/>
          <w:szCs w:val="20"/>
          <w:lang w:eastAsia="es-ES"/>
          <w14:ligatures w14:val="standardContextual"/>
        </w:rPr>
      </w:pPr>
      <w:r w:rsidRPr="00C77C27">
        <w:rPr>
          <w:rFonts w:ascii="Verdana" w:eastAsia="Times New Roman" w:hAnsi="Verdana" w:cs="Arial"/>
          <w:sz w:val="20"/>
          <w:szCs w:val="20"/>
          <w:lang w:eastAsia="es-ES"/>
          <w14:ligatures w14:val="standardContextual"/>
        </w:rPr>
        <w:t>c) Las personas naturales y jurídicas, públicas o privadas, que presten función pública, que presten servicios públicos respecto de la información directamente relacionada con la prestación del servicio público.</w:t>
      </w:r>
    </w:p>
    <w:p w14:paraId="354153B5" w14:textId="77777777" w:rsidR="002F2C6F" w:rsidRPr="00C77C27" w:rsidRDefault="002F2C6F" w:rsidP="002F2C6F">
      <w:pPr>
        <w:spacing w:after="0" w:line="240" w:lineRule="auto"/>
        <w:ind w:left="709" w:right="709"/>
        <w:jc w:val="both"/>
        <w:rPr>
          <w:rFonts w:ascii="Verdana" w:eastAsia="Times New Roman" w:hAnsi="Verdana" w:cs="Arial"/>
          <w:sz w:val="20"/>
          <w:szCs w:val="20"/>
          <w:lang w:eastAsia="es-ES"/>
          <w14:ligatures w14:val="standardContextual"/>
        </w:rPr>
      </w:pPr>
      <w:r w:rsidRPr="00C77C27">
        <w:rPr>
          <w:rFonts w:ascii="Verdana" w:eastAsia="Times New Roman" w:hAnsi="Verdana" w:cs="Arial"/>
          <w:sz w:val="20"/>
          <w:szCs w:val="20"/>
          <w:lang w:eastAsia="es-ES"/>
          <w14:ligatures w14:val="standardContextual"/>
        </w:rPr>
        <w:t xml:space="preserve">d) Cualquier persona natural, jurídica o dependencia de persona jurídica que desempeñe función pública o de </w:t>
      </w:r>
      <w:proofErr w:type="gramStart"/>
      <w:r w:rsidRPr="00C77C27">
        <w:rPr>
          <w:rFonts w:ascii="Verdana" w:eastAsia="Times New Roman" w:hAnsi="Verdana" w:cs="Arial"/>
          <w:sz w:val="20"/>
          <w:szCs w:val="20"/>
          <w:lang w:eastAsia="es-ES"/>
          <w14:ligatures w14:val="standardContextual"/>
        </w:rPr>
        <w:t>autoridad pública</w:t>
      </w:r>
      <w:proofErr w:type="gramEnd"/>
      <w:r w:rsidRPr="00C77C27">
        <w:rPr>
          <w:rFonts w:ascii="Verdana" w:eastAsia="Times New Roman" w:hAnsi="Verdana" w:cs="Arial"/>
          <w:sz w:val="20"/>
          <w:szCs w:val="20"/>
          <w:lang w:eastAsia="es-ES"/>
          <w14:ligatures w14:val="standardContextual"/>
        </w:rPr>
        <w:t>, respecto de la información directamente relacionada con el desempeño de su función.</w:t>
      </w:r>
    </w:p>
    <w:p w14:paraId="26351954" w14:textId="77777777" w:rsidR="002F2C6F" w:rsidRPr="00C77C27" w:rsidRDefault="002F2C6F" w:rsidP="002F2C6F">
      <w:pPr>
        <w:spacing w:after="0" w:line="240" w:lineRule="auto"/>
        <w:ind w:left="709" w:right="709"/>
        <w:jc w:val="both"/>
        <w:rPr>
          <w:rFonts w:ascii="Verdana" w:eastAsia="Times New Roman" w:hAnsi="Verdana" w:cs="Arial"/>
          <w:sz w:val="20"/>
          <w:szCs w:val="20"/>
          <w:lang w:eastAsia="es-ES"/>
          <w14:ligatures w14:val="standardContextual"/>
        </w:rPr>
      </w:pPr>
      <w:r w:rsidRPr="00C77C27">
        <w:rPr>
          <w:rFonts w:ascii="Verdana" w:eastAsia="Times New Roman" w:hAnsi="Verdana" w:cs="Arial"/>
          <w:sz w:val="20"/>
          <w:szCs w:val="20"/>
          <w:lang w:eastAsia="es-ES"/>
          <w14:ligatures w14:val="standardContextual"/>
        </w:rPr>
        <w:t>e) Las empresas públicas creadas por ley, las empresas del Estado y sociedades en que este tenga participación.</w:t>
      </w:r>
    </w:p>
    <w:p w14:paraId="5E19656F" w14:textId="77777777" w:rsidR="002F2C6F" w:rsidRPr="00C77C27" w:rsidRDefault="002F2C6F" w:rsidP="002F2C6F">
      <w:pPr>
        <w:spacing w:after="0" w:line="240" w:lineRule="auto"/>
        <w:ind w:left="709" w:right="709"/>
        <w:jc w:val="both"/>
        <w:rPr>
          <w:rFonts w:ascii="Verdana" w:eastAsia="Times New Roman" w:hAnsi="Verdana" w:cs="Arial"/>
          <w:sz w:val="20"/>
          <w:szCs w:val="20"/>
          <w:lang w:eastAsia="es-ES"/>
          <w14:ligatures w14:val="standardContextual"/>
        </w:rPr>
      </w:pPr>
      <w:r w:rsidRPr="00C77C27">
        <w:rPr>
          <w:rFonts w:ascii="Verdana" w:eastAsia="Times New Roman" w:hAnsi="Verdana" w:cs="Arial"/>
          <w:sz w:val="20"/>
          <w:szCs w:val="20"/>
          <w:lang w:eastAsia="es-ES"/>
          <w14:ligatures w14:val="standardContextual"/>
        </w:rPr>
        <w:t>f) Los partidos o movimientos políticos y los grupos significativos de ciudadanos.</w:t>
      </w:r>
    </w:p>
    <w:p w14:paraId="0F553CD4" w14:textId="77777777" w:rsidR="002F2C6F" w:rsidRPr="00C77C27" w:rsidRDefault="002F2C6F" w:rsidP="002F2C6F">
      <w:pPr>
        <w:spacing w:after="0" w:line="240" w:lineRule="auto"/>
        <w:ind w:left="709" w:right="709"/>
        <w:jc w:val="both"/>
        <w:rPr>
          <w:rFonts w:ascii="Verdana" w:eastAsia="Times New Roman" w:hAnsi="Verdana" w:cs="Arial"/>
          <w:sz w:val="20"/>
          <w:szCs w:val="20"/>
          <w:lang w:eastAsia="es-ES"/>
          <w14:ligatures w14:val="standardContextual"/>
        </w:rPr>
      </w:pPr>
      <w:r w:rsidRPr="00C77C27">
        <w:rPr>
          <w:rFonts w:ascii="Verdana" w:eastAsia="Times New Roman" w:hAnsi="Verdana" w:cs="Arial"/>
          <w:sz w:val="20"/>
          <w:szCs w:val="20"/>
          <w:lang w:eastAsia="es-ES"/>
          <w14:ligatures w14:val="standardContextual"/>
        </w:rPr>
        <w:t>g) Las entidades que administren instituciones parafiscales, fondos o recursos de naturaleza u origen público.</w:t>
      </w:r>
    </w:p>
    <w:p w14:paraId="540B3AE6" w14:textId="77777777" w:rsidR="002F2C6F" w:rsidRPr="00C77C27" w:rsidRDefault="002F2C6F" w:rsidP="002F2C6F">
      <w:pPr>
        <w:spacing w:after="0" w:line="240" w:lineRule="auto"/>
        <w:ind w:left="709" w:right="709"/>
        <w:jc w:val="both"/>
        <w:rPr>
          <w:rFonts w:ascii="Verdana" w:eastAsia="Times New Roman" w:hAnsi="Verdana" w:cs="Arial"/>
          <w:sz w:val="20"/>
          <w:szCs w:val="20"/>
          <w:lang w:eastAsia="es-ES"/>
          <w14:ligatures w14:val="standardContextual"/>
        </w:rPr>
      </w:pPr>
      <w:r w:rsidRPr="00C77C27">
        <w:rPr>
          <w:rFonts w:ascii="Verdana" w:eastAsia="Times New Roman" w:hAnsi="Verdana" w:cs="Arial"/>
          <w:sz w:val="20"/>
          <w:szCs w:val="20"/>
          <w:lang w:eastAsia="es-ES"/>
          <w14:ligatures w14:val="standardContextual"/>
        </w:rPr>
        <w:t>Las personas naturales o jurídicas que reciban o intermedien fondos o beneficios públicos territoriales y nacionales y no cumplan ninguno de los otros requisitos para ser considerados sujetos obligados, solo deberán cumplir con la presente ley respecto de aquella información que se produzca en relación con fondos públicos que reciban o intermedien.</w:t>
      </w:r>
    </w:p>
    <w:p w14:paraId="4DDF7800" w14:textId="77777777" w:rsidR="002F2C6F" w:rsidRDefault="002F2C6F" w:rsidP="002F2C6F">
      <w:pPr>
        <w:spacing w:after="0" w:line="240" w:lineRule="auto"/>
        <w:ind w:left="709" w:right="709"/>
        <w:jc w:val="both"/>
        <w:rPr>
          <w:rFonts w:ascii="Verdana" w:eastAsia="Times New Roman" w:hAnsi="Verdana" w:cs="Arial"/>
          <w:sz w:val="20"/>
          <w:szCs w:val="20"/>
          <w:lang w:eastAsia="es-ES"/>
          <w14:ligatures w14:val="standardContextual"/>
        </w:rPr>
      </w:pPr>
      <w:r w:rsidRPr="00C77C27">
        <w:rPr>
          <w:rFonts w:ascii="Verdana" w:eastAsia="Times New Roman" w:hAnsi="Verdana" w:cs="Arial"/>
          <w:sz w:val="20"/>
          <w:szCs w:val="20"/>
          <w:lang w:eastAsia="es-ES"/>
          <w14:ligatures w14:val="standardContextual"/>
        </w:rPr>
        <w:t>PARÁGRAFO 1o</w:t>
      </w:r>
      <w:r w:rsidRPr="00C77C27">
        <w:rPr>
          <w:rFonts w:ascii="Verdana" w:eastAsia="Times New Roman" w:hAnsi="Verdana" w:cs="Arial"/>
          <w:b/>
          <w:bCs/>
          <w:sz w:val="20"/>
          <w:szCs w:val="20"/>
          <w:lang w:eastAsia="es-ES"/>
          <w14:ligatures w14:val="standardContextual"/>
        </w:rPr>
        <w:t>.</w:t>
      </w:r>
      <w:r w:rsidRPr="00C77C27">
        <w:rPr>
          <w:rFonts w:ascii="Verdana" w:eastAsia="Times New Roman" w:hAnsi="Verdana" w:cs="Arial"/>
          <w:sz w:val="20"/>
          <w:szCs w:val="20"/>
          <w:lang w:eastAsia="es-ES"/>
          <w14:ligatures w14:val="standardContextual"/>
        </w:rPr>
        <w:t> No serán sujetos obligados aquellas personas naturales o jurídicas de carácter privado que sean usuarios de información pública.</w:t>
      </w:r>
    </w:p>
    <w:p w14:paraId="110B67CD" w14:textId="77777777" w:rsidR="002F2C6F" w:rsidRPr="000B66AF" w:rsidRDefault="002F2C6F" w:rsidP="002F2C6F">
      <w:pPr>
        <w:spacing w:after="0" w:line="240" w:lineRule="auto"/>
        <w:ind w:left="709" w:right="709"/>
        <w:jc w:val="both"/>
        <w:rPr>
          <w:rFonts w:ascii="Verdana" w:eastAsia="Times New Roman" w:hAnsi="Verdana" w:cs="Arial"/>
          <w:sz w:val="20"/>
          <w:szCs w:val="20"/>
          <w:lang w:eastAsia="es-ES"/>
          <w14:ligatures w14:val="standardContextual"/>
        </w:rPr>
      </w:pPr>
    </w:p>
    <w:p w14:paraId="7D99E81B" w14:textId="77777777" w:rsidR="002F2C6F" w:rsidRDefault="002F2C6F" w:rsidP="002F2C6F">
      <w:pPr>
        <w:spacing w:after="120" w:line="276" w:lineRule="auto"/>
        <w:ind w:firstLine="709"/>
        <w:jc w:val="both"/>
        <w:rPr>
          <w:rFonts w:ascii="Verdana" w:eastAsia="Times New Roman" w:hAnsi="Verdana" w:cs="Arial"/>
          <w:lang w:val="es-ES_tradnl" w:eastAsia="es-ES_tradnl"/>
          <w14:ligatures w14:val="standardContextual"/>
        </w:rPr>
      </w:pPr>
      <w:r>
        <w:rPr>
          <w:rFonts w:ascii="Verdana" w:eastAsia="Times New Roman" w:hAnsi="Verdana" w:cs="Arial"/>
          <w:lang w:val="es-ES_tradnl" w:eastAsia="es-ES_tradnl"/>
          <w14:ligatures w14:val="standardContextual"/>
        </w:rPr>
        <w:t xml:space="preserve">Teniendo en cuenta quiénes son los sujetos obligados a publicar la información, es pertinente señalar que el precitado artículo dispone que la Ley 1712 aplica </w:t>
      </w:r>
      <w:r w:rsidRPr="004878FE">
        <w:rPr>
          <w:rFonts w:ascii="Verdana" w:eastAsia="Times New Roman" w:hAnsi="Verdana" w:cs="Arial"/>
          <w:lang w:val="es-ES_tradnl" w:eastAsia="es-ES_tradnl"/>
          <w14:ligatures w14:val="standardContextual"/>
        </w:rPr>
        <w:t>a un amplio conjunto de sujetos obligados, incluyendo todas las entidades públicas de cualquier rama y nivel; órganos autónomos y de control; personas naturales o jurídicas, públicas o privadas, que ejerzan función pública o presten servicios públicos respecto de la información relacionada con dicha función; empresas estatales; partidos y movimientos políticos; y entidades que administren recursos públicos o parafiscales. Además, quienes reciban o intermedien fondos públicos, sin cumplir otros criterios, solo deben cumplir la ley respecto de la información vinculada a esos recursos. Finalmente, aclara que los usuarios privados de información pública no son sujetos obligados.</w:t>
      </w:r>
    </w:p>
    <w:p w14:paraId="146A3C56" w14:textId="77777777" w:rsidR="002F2C6F" w:rsidRDefault="002F2C6F" w:rsidP="002F2C6F">
      <w:pPr>
        <w:spacing w:after="120" w:line="276" w:lineRule="auto"/>
        <w:ind w:firstLine="709"/>
        <w:jc w:val="both"/>
        <w:rPr>
          <w:rFonts w:ascii="Verdana" w:eastAsia="Times New Roman" w:hAnsi="Verdana" w:cs="Arial"/>
          <w:lang w:val="es-ES_tradnl" w:eastAsia="es-ES_tradnl"/>
          <w14:ligatures w14:val="standardContextual"/>
        </w:rPr>
      </w:pPr>
      <w:r>
        <w:rPr>
          <w:rFonts w:ascii="Verdana" w:eastAsia="Times New Roman" w:hAnsi="Verdana" w:cs="Arial"/>
          <w:lang w:val="es-ES_tradnl" w:eastAsia="es-ES_tradnl"/>
          <w14:ligatures w14:val="standardContextual"/>
        </w:rPr>
        <w:t>Dicho artículo establece una serie de entidades y organizaciones que no se caracterizan siempre por ser de naturaleza pública, sino que depende de la función o a la administración de recursos para cumplir el deber de publicar su información. Así mismo, e</w:t>
      </w:r>
      <w:r w:rsidRPr="00100483">
        <w:rPr>
          <w:rFonts w:ascii="Verdana" w:eastAsia="Times New Roman" w:hAnsi="Verdana" w:cs="Arial"/>
          <w:lang w:val="es-ES_tradnl" w:eastAsia="es-ES_tradnl"/>
          <w14:ligatures w14:val="standardContextual"/>
        </w:rPr>
        <w:t xml:space="preserve">l artículo </w:t>
      </w:r>
      <w:r>
        <w:rPr>
          <w:rFonts w:ascii="Verdana" w:eastAsia="Times New Roman" w:hAnsi="Verdana" w:cs="Arial"/>
          <w:lang w:val="es-ES_tradnl" w:eastAsia="es-ES_tradnl"/>
          <w14:ligatures w14:val="standardContextual"/>
        </w:rPr>
        <w:t xml:space="preserve">9 de la Ley 1712 de 2014 </w:t>
      </w:r>
      <w:r w:rsidRPr="00100483">
        <w:rPr>
          <w:rFonts w:ascii="Verdana" w:eastAsia="Times New Roman" w:hAnsi="Verdana" w:cs="Arial"/>
          <w:lang w:val="es-ES_tradnl" w:eastAsia="es-ES_tradnl"/>
          <w14:ligatures w14:val="standardContextual"/>
        </w:rPr>
        <w:t xml:space="preserve">exige que todo sujeto obligado publique de forma proactiva información básica sobre su estructura y gestión: su organización interna, funciones, sedes y horarios; su presupuesto, ejecución y planes de gasto; un directorio con cargos, contactos y escalas salariales; las normas, políticas, metas, manuales e indicadores de desempeño; el plan anual de compras y los contratos adjudicados, incluyendo datos esenciales de los contratistas; los plazos de los contratos; y el Plan Anticorrupción y de Atención al Ciudadano. Además, la información debe ser clara, comprensible, veraz y oportuna, ajustarse a los formatos definidos por Función Pública para servidores y contratistas, y cumplir con las directrices de la estrategia de gobierno en línea. </w:t>
      </w:r>
    </w:p>
    <w:p w14:paraId="4A9971B4" w14:textId="77777777" w:rsidR="002F2C6F" w:rsidRPr="00AD6B46" w:rsidRDefault="002F2C6F" w:rsidP="002F2C6F">
      <w:pPr>
        <w:spacing w:after="120" w:line="276" w:lineRule="auto"/>
        <w:ind w:firstLine="709"/>
        <w:jc w:val="both"/>
        <w:rPr>
          <w:rFonts w:ascii="Verdana" w:eastAsia="Times New Roman" w:hAnsi="Verdana" w:cs="Arial"/>
          <w:lang w:val="es-ES_tradnl" w:eastAsia="es-ES_tradnl"/>
          <w14:ligatures w14:val="standardContextual"/>
        </w:rPr>
      </w:pPr>
      <w:r w:rsidRPr="00AD6B46">
        <w:rPr>
          <w:rFonts w:ascii="Verdana" w:eastAsia="Times New Roman" w:hAnsi="Verdana" w:cs="Arial"/>
          <w:lang w:val="es-ES_tradnl" w:eastAsia="es-ES_tradnl"/>
          <w14:ligatures w14:val="standardContextual"/>
        </w:rPr>
        <w:t xml:space="preserve">Asimismo, de acuerdo con el literal g) del artículo 11 de la Ley 1712 de 2014, todos los destinatarios de la Ley Estatutaria de Transparencia y Acceso a la Información Pública deben garantizar la publicidad de “sus procedimientos, lineamientos, políticas en materia de adquisiciones y compras, así como todos los datos de adjudicación y ejecución de contratos, incluidos concursos y licitaciones”, y esta información también debe estar en el SECOP. </w:t>
      </w:r>
    </w:p>
    <w:p w14:paraId="7BABE4A6" w14:textId="77777777" w:rsidR="002F2C6F" w:rsidRPr="00AD6B46" w:rsidRDefault="002F2C6F" w:rsidP="002F2C6F">
      <w:pPr>
        <w:spacing w:after="120" w:line="276" w:lineRule="auto"/>
        <w:ind w:firstLine="709"/>
        <w:jc w:val="both"/>
        <w:rPr>
          <w:rFonts w:ascii="Verdana" w:eastAsia="Times New Roman" w:hAnsi="Verdana" w:cs="Arial"/>
          <w:lang w:val="es-ES_tradnl" w:eastAsia="es-ES_tradnl"/>
          <w14:ligatures w14:val="standardContextual"/>
        </w:rPr>
      </w:pPr>
      <w:r w:rsidRPr="00AD6B46">
        <w:rPr>
          <w:rFonts w:ascii="Verdana" w:eastAsia="Times New Roman" w:hAnsi="Verdana" w:cs="Arial"/>
          <w:lang w:val="es-ES_tradnl" w:eastAsia="es-ES_tradnl"/>
          <w14:ligatures w14:val="standardContextual"/>
        </w:rPr>
        <w:t>El derecho de acceso a la información pública o de interés público permite a toda persona, sin necesidad de acreditar calidad, interés o condición particular, conocer la existencia de información pública, acceder a la misma y difundirla o publicarla, según su interés</w:t>
      </w:r>
      <w:r w:rsidRPr="00AD6B46">
        <w:rPr>
          <w:rFonts w:ascii="Verdana" w:eastAsia="Times New Roman" w:hAnsi="Verdana" w:cs="Arial"/>
          <w:vertAlign w:val="superscript"/>
          <w:lang w:val="es-ES_tradnl" w:eastAsia="es-ES_tradnl"/>
          <w14:ligatures w14:val="standardContextual"/>
        </w:rPr>
        <w:footnoteReference w:id="8"/>
      </w:r>
      <w:r w:rsidRPr="00AD6B46">
        <w:rPr>
          <w:rFonts w:ascii="Verdana" w:eastAsia="Times New Roman" w:hAnsi="Verdana" w:cs="Arial"/>
          <w:lang w:val="es-ES_tradnl" w:eastAsia="es-ES_tradnl"/>
          <w14:ligatures w14:val="standardContextual"/>
        </w:rPr>
        <w:t>. En ese contexto, las Entidades Estatales, conforme al artículo 2.2.1.1.1.7.1 del Decreto 1082 de 2015, tienen la obligación de publicar en el SECOP “[…] los Documentos del Proceso y los actos administrativos del Proceso de Contratación, dentro de los tres (3) días siguientes a su expedición […]”.</w:t>
      </w:r>
    </w:p>
    <w:p w14:paraId="0C6FA17B" w14:textId="77777777" w:rsidR="002F2C6F" w:rsidRPr="00AD6B46" w:rsidRDefault="002F2C6F" w:rsidP="002F2C6F">
      <w:pPr>
        <w:tabs>
          <w:tab w:val="left" w:pos="709"/>
        </w:tabs>
        <w:spacing w:after="120" w:line="276" w:lineRule="auto"/>
        <w:ind w:firstLine="709"/>
        <w:jc w:val="both"/>
        <w:rPr>
          <w:rFonts w:ascii="Verdana" w:hAnsi="Verdana" w:cs="Arial"/>
          <w:shd w:val="clear" w:color="auto" w:fill="FFFFFF"/>
        </w:rPr>
      </w:pPr>
      <w:r w:rsidRPr="00AD6B46">
        <w:rPr>
          <w:rFonts w:ascii="Verdana" w:hAnsi="Verdana" w:cs="Arial"/>
          <w:shd w:val="clear" w:color="auto" w:fill="FFFFFF"/>
        </w:rPr>
        <w:t xml:space="preserve">La expresión </w:t>
      </w:r>
      <w:r w:rsidRPr="00AD6B46">
        <w:rPr>
          <w:rFonts w:ascii="Verdana" w:hAnsi="Verdana" w:cs="Arial"/>
          <w:i/>
          <w:iCs/>
          <w:shd w:val="clear" w:color="auto" w:fill="FFFFFF"/>
        </w:rPr>
        <w:t xml:space="preserve">Documentos del Proceso </w:t>
      </w:r>
      <w:r w:rsidRPr="00AD6B46">
        <w:rPr>
          <w:rFonts w:ascii="Verdana" w:hAnsi="Verdana" w:cs="Arial"/>
          <w:shd w:val="clear" w:color="auto" w:fill="FFFFFF"/>
        </w:rPr>
        <w:t xml:space="preserve">está definida en el artículo 2.2.1.1.1.3.1. del Decreto 1082 de 2015, donde se establece que: “son: (a) los estudios y documentos previos; (b) el aviso de convocatoria; (c) los pliegos de condiciones o la invitación; (d) las adendas; (e) la oferta; (f) el informe de evaluación; (g) el contrato; </w:t>
      </w:r>
      <w:r w:rsidRPr="00AD6B46">
        <w:rPr>
          <w:rFonts w:ascii="Verdana" w:hAnsi="Verdana" w:cs="Arial"/>
          <w:i/>
          <w:iCs/>
          <w:shd w:val="clear" w:color="auto" w:fill="FFFFFF"/>
        </w:rPr>
        <w:t>y cualquier otro documento expedido por la Entidad Estatal durante el Proceso de Contratación</w:t>
      </w:r>
      <w:r w:rsidRPr="00AD6B46">
        <w:rPr>
          <w:rFonts w:ascii="Verdana" w:hAnsi="Verdana" w:cs="Arial"/>
          <w:shd w:val="clear" w:color="auto" w:fill="FFFFFF"/>
        </w:rPr>
        <w:t>”. [Énfasis fuera de texto]</w:t>
      </w:r>
    </w:p>
    <w:p w14:paraId="319291D3" w14:textId="77777777" w:rsidR="002F2C6F" w:rsidRPr="00AD6B46" w:rsidRDefault="002F2C6F" w:rsidP="002F2C6F">
      <w:pPr>
        <w:tabs>
          <w:tab w:val="left" w:pos="709"/>
        </w:tabs>
        <w:spacing w:after="120" w:line="276" w:lineRule="auto"/>
        <w:ind w:firstLine="709"/>
        <w:jc w:val="both"/>
        <w:rPr>
          <w:rFonts w:ascii="Verdana" w:hAnsi="Verdana" w:cs="Arial"/>
          <w:shd w:val="clear" w:color="auto" w:fill="FFFFFF"/>
        </w:rPr>
      </w:pPr>
      <w:r w:rsidRPr="00AD6B46">
        <w:rPr>
          <w:rFonts w:ascii="Verdana" w:hAnsi="Verdana" w:cs="Arial"/>
          <w:shd w:val="clear" w:color="auto" w:fill="FFFFFF"/>
        </w:rPr>
        <w:t xml:space="preserve">Sin embargo, para identificar los documentos que deben publicarse, es necesario realizar una interpretación sistemática de las disposiciones del Decreto 1082 del 2015, comoquiera que el anterior no es un listado taxativo, sino enunciativo, porque además de los documentos enlistados, el artículo 2.2.1.1.1.3.1 </w:t>
      </w:r>
      <w:r w:rsidRPr="00AD6B46">
        <w:rPr>
          <w:rFonts w:ascii="Verdana" w:hAnsi="Verdana" w:cs="Arial"/>
          <w:i/>
          <w:iCs/>
          <w:shd w:val="clear" w:color="auto" w:fill="FFFFFF"/>
        </w:rPr>
        <w:t>Ibidem</w:t>
      </w:r>
      <w:r w:rsidRPr="00AD6B46">
        <w:rPr>
          <w:rFonts w:ascii="Verdana" w:hAnsi="Verdana" w:cs="Arial"/>
          <w:shd w:val="clear" w:color="auto" w:fill="FFFFFF"/>
        </w:rPr>
        <w:t xml:space="preserve"> recoge en la noción de Documentos del Proceso “cualquier otro documento expedido por la Entidad Estatal durante el Proceso de Contratación”. </w:t>
      </w:r>
    </w:p>
    <w:p w14:paraId="5EF11096" w14:textId="77777777" w:rsidR="002F2C6F" w:rsidRPr="00AD6B46" w:rsidRDefault="002F2C6F" w:rsidP="002F2C6F">
      <w:pPr>
        <w:tabs>
          <w:tab w:val="left" w:pos="709"/>
        </w:tabs>
        <w:spacing w:after="120" w:line="276" w:lineRule="auto"/>
        <w:ind w:firstLine="709"/>
        <w:jc w:val="both"/>
        <w:rPr>
          <w:rFonts w:ascii="Verdana" w:hAnsi="Verdana" w:cs="Arial"/>
          <w:shd w:val="clear" w:color="auto" w:fill="FFFFFF"/>
        </w:rPr>
      </w:pPr>
      <w:r w:rsidRPr="00AD6B46">
        <w:rPr>
          <w:rFonts w:ascii="Verdana" w:hAnsi="Verdana" w:cs="Arial"/>
          <w:shd w:val="clear" w:color="auto" w:fill="FFFFFF"/>
        </w:rPr>
        <w:t>Este mismo artículo define la expresión Proceso de Contratación como el “Conjunto de actos y actividades, y su secuencia, adelantadas por la Entidad Estatal desde la planeación hasta el vencimiento de las garantías de calidad, estabilidad y mantenimiento, o las condiciones de disposición final o recuperación ambiental de las obras o bienes o el vencimiento del plazo, lo que ocurra más tarde”. Nótese que la norma se refiere a los documentos “expedidos por la entidad estatal” durante el proceso de contratación, excluyendo de la noción de Documentos del Proceso los expedidos por un sujeto distinto a la entidad, salvo la oferta, la cual se incluye expresamente en el referido artículo 2.2.1.1.1.3.</w:t>
      </w:r>
    </w:p>
    <w:p w14:paraId="61162887" w14:textId="77777777" w:rsidR="002F2C6F" w:rsidRPr="00AD6B46" w:rsidRDefault="002F2C6F" w:rsidP="002F2C6F">
      <w:pPr>
        <w:tabs>
          <w:tab w:val="left" w:pos="709"/>
        </w:tabs>
        <w:spacing w:before="120" w:after="120" w:line="276" w:lineRule="auto"/>
        <w:ind w:firstLine="709"/>
        <w:jc w:val="both"/>
        <w:rPr>
          <w:rFonts w:ascii="Verdana" w:hAnsi="Verdana" w:cs="Arial"/>
          <w:shd w:val="clear" w:color="auto" w:fill="FFFFFF"/>
        </w:rPr>
      </w:pPr>
      <w:r w:rsidRPr="00AD6B46">
        <w:rPr>
          <w:rFonts w:ascii="Verdana" w:hAnsi="Verdana" w:cs="Arial"/>
          <w:shd w:val="clear" w:color="auto" w:fill="FFFFFF"/>
        </w:rPr>
        <w:t xml:space="preserve">En ese sentido, la interpretación sistemática de los preceptos del Decreto 1082 de 2015, de acuerdo con el principio de publicidad, inicialmente, indica que las Entidades Estatales tienen la obligación de publicar todos los documentos que expidan con ocasión del Proceso de Contratación, es decir, que todos los documentos expedidos por la entidad durante las etapas precontractual, de ejecución y </w:t>
      </w:r>
      <w:proofErr w:type="spellStart"/>
      <w:r w:rsidRPr="00AD6B46">
        <w:rPr>
          <w:rFonts w:ascii="Verdana" w:hAnsi="Verdana" w:cs="Arial"/>
          <w:shd w:val="clear" w:color="auto" w:fill="FFFFFF"/>
        </w:rPr>
        <w:t>postcontractual</w:t>
      </w:r>
      <w:proofErr w:type="spellEnd"/>
      <w:r w:rsidRPr="00AD6B46">
        <w:rPr>
          <w:rFonts w:ascii="Verdana" w:hAnsi="Verdana" w:cs="Arial"/>
          <w:shd w:val="clear" w:color="auto" w:fill="FFFFFF"/>
        </w:rPr>
        <w:t xml:space="preserve"> deberán publicarse en SECOP dentro de los tres (3) días siguientes a su expedición, para cumplir el deber de publicidad regulado por el artículo 2.2.1.1.1.7.1. del Decreto 1082 de 2015.</w:t>
      </w:r>
    </w:p>
    <w:p w14:paraId="2A1D9B4F" w14:textId="77777777" w:rsidR="002F2C6F" w:rsidRPr="00AD6B46" w:rsidRDefault="002F2C6F" w:rsidP="002F2C6F">
      <w:pPr>
        <w:tabs>
          <w:tab w:val="left" w:pos="709"/>
        </w:tabs>
        <w:spacing w:before="120" w:after="120" w:line="276" w:lineRule="auto"/>
        <w:ind w:firstLine="709"/>
        <w:jc w:val="both"/>
        <w:rPr>
          <w:rFonts w:ascii="Verdana" w:hAnsi="Verdana" w:cs="Arial"/>
          <w:shd w:val="clear" w:color="auto" w:fill="FFFFFF"/>
        </w:rPr>
      </w:pPr>
      <w:r w:rsidRPr="00AD6B46">
        <w:rPr>
          <w:rFonts w:ascii="Verdana" w:hAnsi="Verdana" w:cs="Arial"/>
          <w:shd w:val="clear" w:color="auto" w:fill="FFFFFF"/>
        </w:rPr>
        <w:t>Con el propósito de garantizar el cumplimiento del mencionado deber de publicidad, se le asignó a la Agencia Nacional de Contratación Pública - Colombia Compra Eficiente, la función de administrar el SECOP</w:t>
      </w:r>
      <w:r w:rsidRPr="00AD6B46">
        <w:rPr>
          <w:rFonts w:ascii="Verdana" w:hAnsi="Verdana" w:cs="Arial"/>
          <w:shd w:val="clear" w:color="auto" w:fill="FFFFFF"/>
          <w:vertAlign w:val="superscript"/>
        </w:rPr>
        <w:footnoteReference w:id="9"/>
      </w:r>
      <w:r w:rsidRPr="00AD6B46">
        <w:rPr>
          <w:rFonts w:ascii="Verdana" w:hAnsi="Verdana" w:cs="Arial"/>
          <w:shd w:val="clear" w:color="auto" w:fill="FFFFFF"/>
        </w:rPr>
        <w:t>. Dicha plataforma ha tenido dos versiones, esto es, el SECOP I y el SECOP II. La primera versión de la plataforma –SECOP I–, sólo funciona como medio de publicidad, es decir, no es transaccional, lo que significa que el procedimiento contractual ocurre fuera de la plataforma y a través de un expediente físico en la entidad, pero las actuaciones y los documentos se convierten en electrónicos para ser cargados a la plataforma, por quien tenga la función dentro de la entidad, de acuerdo con su organización interna.</w:t>
      </w:r>
    </w:p>
    <w:p w14:paraId="4CDBFE7D" w14:textId="77777777" w:rsidR="002F2C6F" w:rsidRPr="00AD6B46" w:rsidRDefault="002F2C6F" w:rsidP="002F2C6F">
      <w:pPr>
        <w:tabs>
          <w:tab w:val="left" w:pos="709"/>
        </w:tabs>
        <w:spacing w:before="120" w:after="120" w:line="276" w:lineRule="auto"/>
        <w:ind w:firstLine="709"/>
        <w:jc w:val="both"/>
        <w:rPr>
          <w:rFonts w:ascii="Verdana" w:hAnsi="Verdana" w:cs="Arial"/>
          <w:shd w:val="clear" w:color="auto" w:fill="FFFFFF"/>
        </w:rPr>
      </w:pPr>
      <w:r w:rsidRPr="00AD6B46">
        <w:rPr>
          <w:rFonts w:ascii="Verdana" w:hAnsi="Verdana" w:cs="Arial"/>
          <w:shd w:val="clear" w:color="auto" w:fill="FFFFFF"/>
        </w:rPr>
        <w:t>En cambio, el SECOP II, es una plataforma transaccional que permite gestionar en línea los procedimientos de contratación, con cuentas y usuarios asociados a estas, para las entidades y los proveedores, y vista pública para cualquier interesado en hacer seguimiento a la contratación pública. Desde sus cuentas, las entidades crean, evalúan y adjudican procedimientos de contratación, y gestionan la fase de ejecución del contrato. Los proveedores pueden hacer comentarios a los documentos del procedimiento, presentar ofertas y seguir el procedimiento de selección en línea.</w:t>
      </w:r>
    </w:p>
    <w:p w14:paraId="2EBEE49E" w14:textId="77777777" w:rsidR="002F2C6F" w:rsidRDefault="002F2C6F" w:rsidP="002F2C6F">
      <w:pPr>
        <w:spacing w:after="120" w:line="276" w:lineRule="auto"/>
        <w:ind w:firstLine="709"/>
        <w:jc w:val="both"/>
        <w:rPr>
          <w:rFonts w:ascii="Verdana" w:eastAsia="Calibri" w:hAnsi="Verdana" w:cs="Arial"/>
          <w:lang w:val="es-ES"/>
        </w:rPr>
      </w:pPr>
      <w:r w:rsidRPr="00AD6B46">
        <w:rPr>
          <w:rFonts w:ascii="Verdana" w:eastAsia="Calibri" w:hAnsi="Verdana" w:cs="Arial"/>
          <w:lang w:val="es-ES"/>
        </w:rPr>
        <w:t xml:space="preserve">Sin embargo, pese a que los documentos que deben publicarse en el SECOP II corresponden a los mismos que deben publicarse en el SECOP I, esto es, todos los expedidos con ocasión el proceso de contratación con excepción de los expresamente excluidos, la naturaleza transaccional del SECOP II implica que los procesos contractuales no sólo deban ser publicados mediante esta plataforma, sino también gestionados a través de ella, al consistir la mayoría de los hitos contractuales en documentos y actuaciones electrónicas generadas en tiempo real, de tal manera que el proceso contractual avanza en la medida en la que se generen y aprueben estos documentos y actuaciones electrónicas en la plataforma. Esto a diferencia de los procesos publicados en el SECOP I, en los que primero se generan los documentos escritos y luego se publican en la plataforma dentro del plazo de tres (3) días previsto en el artículo 2.2.1.1.1.7.1 del Decreto 1082 de 2015. </w:t>
      </w:r>
    </w:p>
    <w:p w14:paraId="6C5547C1" w14:textId="77777777" w:rsidR="002F2C6F" w:rsidRDefault="002F2C6F" w:rsidP="002F2C6F">
      <w:pPr>
        <w:spacing w:after="120" w:line="276" w:lineRule="auto"/>
        <w:ind w:firstLine="709"/>
        <w:jc w:val="both"/>
        <w:rPr>
          <w:rStyle w:val="eop"/>
          <w:rFonts w:ascii="Verdana" w:eastAsia="Calibri" w:hAnsi="Verdana" w:cs="Arial"/>
          <w:lang w:val="es-ES"/>
        </w:rPr>
      </w:pPr>
      <w:r>
        <w:rPr>
          <w:rFonts w:ascii="Verdana" w:eastAsia="Calibri" w:hAnsi="Verdana" w:cs="Arial"/>
          <w:lang w:val="es-ES"/>
        </w:rPr>
        <w:t xml:space="preserve">De esta manera, la entidad estatal, como es el caso de la personería municipal, deberá publicar </w:t>
      </w:r>
      <w:r w:rsidRPr="008440E1">
        <w:rPr>
          <w:rFonts w:ascii="Verdana" w:hAnsi="Verdana" w:cs="Arial"/>
          <w:shd w:val="clear" w:color="auto" w:fill="FFFFFF"/>
        </w:rPr>
        <w:t>todos los documentos generados durante las fases</w:t>
      </w:r>
      <w:r w:rsidRPr="00A81666">
        <w:rPr>
          <w:rFonts w:ascii="Verdana" w:hAnsi="Verdana" w:cs="Arial"/>
          <w:shd w:val="clear" w:color="auto" w:fill="FFFFFF"/>
        </w:rPr>
        <w:t xml:space="preserve"> precontractual, contractual y </w:t>
      </w:r>
      <w:proofErr w:type="spellStart"/>
      <w:r w:rsidRPr="00A81666">
        <w:rPr>
          <w:rFonts w:ascii="Verdana" w:hAnsi="Verdana" w:cs="Arial"/>
          <w:shd w:val="clear" w:color="auto" w:fill="FFFFFF"/>
        </w:rPr>
        <w:t>postcontractual</w:t>
      </w:r>
      <w:proofErr w:type="spellEnd"/>
      <w:r w:rsidRPr="00A81666">
        <w:rPr>
          <w:rFonts w:ascii="Verdana" w:hAnsi="Verdana" w:cs="Arial"/>
          <w:shd w:val="clear" w:color="auto" w:fill="FFFFFF"/>
        </w:rPr>
        <w:t xml:space="preserve">, como contratos, actos administrativos e información sobre los involucrados en el proceso. </w:t>
      </w:r>
      <w:r>
        <w:rPr>
          <w:rFonts w:ascii="Verdana" w:hAnsi="Verdana" w:cs="Arial"/>
          <w:shd w:val="clear" w:color="auto" w:fill="FFFFFF"/>
        </w:rPr>
        <w:t>Esto</w:t>
      </w:r>
      <w:r w:rsidRPr="00A81666">
        <w:rPr>
          <w:rFonts w:ascii="Verdana" w:hAnsi="Verdana" w:cs="Arial"/>
          <w:shd w:val="clear" w:color="auto" w:fill="FFFFFF"/>
        </w:rPr>
        <w:t xml:space="preserve"> tiene como objetivo garantizar la transparencia, el acceso público a la información y el control social sobre la contratación pública, permitiendo que la ciudadanía tenga acceso a los documentos en un sistema unificado y oficial, el SECOP II o la plataforma transaccional que haga sus veces en el futuro.</w:t>
      </w:r>
    </w:p>
    <w:p w14:paraId="1EAEA676" w14:textId="77777777" w:rsidR="002F2C6F" w:rsidRDefault="002F2C6F" w:rsidP="002F2C6F">
      <w:pPr>
        <w:spacing w:after="120" w:line="276" w:lineRule="auto"/>
        <w:ind w:firstLine="709"/>
        <w:jc w:val="both"/>
        <w:rPr>
          <w:rFonts w:ascii="Verdana" w:eastAsia="Calibri" w:hAnsi="Verdana" w:cs="Arial"/>
        </w:rPr>
      </w:pPr>
      <w:r>
        <w:rPr>
          <w:rFonts w:ascii="Verdana" w:eastAsia="Calibri" w:hAnsi="Verdana" w:cs="Arial"/>
        </w:rPr>
        <w:t xml:space="preserve">Ahora bien, en atención a la expedición del acto administrativo por medio de la cual se procede a la terminación anticipada del contrato de forma unilateral con fundamento en lo dispuesto en el artículo 17 de la Ley 80 de 1993, no es menos cierto que la entidad deberá publicar este tipo de documentos con fundamento en lo dispuesto en la normatividad antes definida. </w:t>
      </w:r>
    </w:p>
    <w:p w14:paraId="2D34AD59" w14:textId="77777777" w:rsidR="002F2C6F" w:rsidRPr="00FA3156" w:rsidRDefault="002F2C6F" w:rsidP="002F2C6F">
      <w:pPr>
        <w:tabs>
          <w:tab w:val="left" w:pos="709"/>
        </w:tabs>
        <w:spacing w:after="120" w:line="276" w:lineRule="auto"/>
        <w:ind w:firstLine="709"/>
        <w:jc w:val="both"/>
        <w:rPr>
          <w:rFonts w:ascii="Verdana" w:hAnsi="Verdana" w:cs="Arial"/>
          <w:shd w:val="clear" w:color="auto" w:fill="FFFFFF"/>
        </w:rPr>
      </w:pPr>
      <w:r>
        <w:rPr>
          <w:rFonts w:ascii="Verdana" w:eastAsia="Calibri" w:hAnsi="Verdana" w:cs="Arial"/>
        </w:rPr>
        <w:t>De otro lado, la Circular Externa 002 de 2026 expedida por la Agencia Nacional de Contratación Pública</w:t>
      </w:r>
      <w:r>
        <w:rPr>
          <w:rStyle w:val="Refdenotaalpie"/>
          <w:rFonts w:ascii="Verdana" w:eastAsia="Calibri" w:hAnsi="Verdana" w:cs="Arial"/>
        </w:rPr>
        <w:footnoteReference w:id="10"/>
      </w:r>
      <w:r>
        <w:rPr>
          <w:rFonts w:ascii="Verdana" w:eastAsia="Calibri" w:hAnsi="Verdana" w:cs="Arial"/>
        </w:rPr>
        <w:t xml:space="preserve"> tiene como objetivo recordarle a las entidades sin distinción de su régimen de contratación aplicable  </w:t>
      </w:r>
      <w:r>
        <w:rPr>
          <w:rFonts w:ascii="Verdana" w:eastAsia="Calibri" w:hAnsi="Verdana" w:cs="Arial"/>
          <w:color w:val="000000" w:themeColor="text1"/>
          <w:lang w:val="es-ES_tradnl"/>
        </w:rPr>
        <w:t>la o</w:t>
      </w:r>
      <w:r w:rsidRPr="00D667B9">
        <w:rPr>
          <w:rFonts w:ascii="Verdana" w:eastAsia="Calibri" w:hAnsi="Verdana" w:cs="Arial"/>
          <w:color w:val="000000" w:themeColor="text1"/>
          <w:lang w:val="es-ES_tradnl"/>
        </w:rPr>
        <w:t xml:space="preserve">bligatoriedad de reportar </w:t>
      </w:r>
      <w:r>
        <w:rPr>
          <w:rFonts w:ascii="Verdana" w:eastAsia="Calibri" w:hAnsi="Verdana" w:cs="Arial"/>
          <w:color w:val="000000" w:themeColor="text1"/>
          <w:lang w:val="es-ES_tradnl"/>
        </w:rPr>
        <w:t xml:space="preserve">la </w:t>
      </w:r>
      <w:r w:rsidRPr="00D667B9">
        <w:rPr>
          <w:rFonts w:ascii="Verdana" w:eastAsia="Calibri" w:hAnsi="Verdana" w:cs="Arial"/>
          <w:color w:val="000000" w:themeColor="text1"/>
          <w:lang w:val="es-ES_tradnl"/>
        </w:rPr>
        <w:t>declaratoria de caducidad, multas, sanciones, declaratorias de incumplimiento, inhabilidades y sentencias condenatorias impuestas a los contratistas del Estado ante las Cámaras de Comercio, Procuraduría General de la Nación y en el SECOP</w:t>
      </w:r>
      <w:r>
        <w:rPr>
          <w:rFonts w:ascii="Verdana" w:eastAsia="Calibri" w:hAnsi="Verdana" w:cs="Arial"/>
          <w:color w:val="000000" w:themeColor="text1"/>
          <w:lang w:val="es-ES_tradnl"/>
        </w:rPr>
        <w:t xml:space="preserve">, por lo que el acto administrativo que termina de manera unilateral el contrato conforme a lo dispuesto en el artículo 17 de la Ley 80 de 1993, no es de aquellos definidos en el artículo 31 de la Ley 80 de 1993, el artículo </w:t>
      </w:r>
      <w:r w:rsidRPr="00D24FE7">
        <w:rPr>
          <w:rFonts w:ascii="Verdana" w:eastAsia="Calibri" w:hAnsi="Verdana" w:cs="Arial"/>
          <w:color w:val="000000" w:themeColor="text1"/>
        </w:rPr>
        <w:t>2.2.1.1.1.5.7</w:t>
      </w:r>
      <w:r>
        <w:rPr>
          <w:rFonts w:ascii="Verdana" w:eastAsia="Calibri" w:hAnsi="Verdana" w:cs="Arial"/>
          <w:color w:val="000000" w:themeColor="text1"/>
        </w:rPr>
        <w:t xml:space="preserve"> del Decreto 1082 de 2015, el artículo 38 numeral 43 y 238 de la Ley 1952 de 2019, por lo tanto, la Circular Externa 002 de 2026 no resulta aplicable para los actos administrativos que terminan de manera unilateral el contrato, por cuanto no tiene una finalidad sancionatoria. En ese contexto, la entidad sí está obligada a publicar </w:t>
      </w:r>
      <w:r w:rsidRPr="00AD6B46">
        <w:rPr>
          <w:rFonts w:ascii="Verdana" w:hAnsi="Verdana" w:cs="Arial"/>
          <w:shd w:val="clear" w:color="auto" w:fill="FFFFFF"/>
        </w:rPr>
        <w:t xml:space="preserve">todos los documentos que expidan con ocasión del Proceso de Contratación, es decir, que todos los documentos expedidos por la entidad durante las etapas precontractual, de ejecución y </w:t>
      </w:r>
      <w:proofErr w:type="spellStart"/>
      <w:r w:rsidRPr="00AD6B46">
        <w:rPr>
          <w:rFonts w:ascii="Verdana" w:hAnsi="Verdana" w:cs="Arial"/>
          <w:shd w:val="clear" w:color="auto" w:fill="FFFFFF"/>
        </w:rPr>
        <w:t>postcontractual</w:t>
      </w:r>
      <w:proofErr w:type="spellEnd"/>
      <w:r w:rsidRPr="00AD6B46">
        <w:rPr>
          <w:rFonts w:ascii="Verdana" w:hAnsi="Verdana" w:cs="Arial"/>
          <w:shd w:val="clear" w:color="auto" w:fill="FFFFFF"/>
        </w:rPr>
        <w:t xml:space="preserve"> deberán publicarse en SECOP dentro de los tres (3) días siguientes a su expedición, para cumplir el deber de publicidad regulado por el artículo 2.2.1.1.1.7.1. del Decreto 1082 de 2015.</w:t>
      </w:r>
    </w:p>
    <w:p w14:paraId="58EAF6D0" w14:textId="77777777" w:rsidR="002F2C6F" w:rsidRDefault="002F2C6F" w:rsidP="002F2C6F">
      <w:pPr>
        <w:spacing w:after="120" w:line="276" w:lineRule="auto"/>
        <w:ind w:firstLine="709"/>
        <w:jc w:val="both"/>
        <w:rPr>
          <w:rFonts w:ascii="Verdana" w:eastAsia="Times New Roman" w:hAnsi="Verdana" w:cs="Arial"/>
          <w:lang w:eastAsia="es-ES_tradnl"/>
        </w:rPr>
      </w:pPr>
      <w:r w:rsidRPr="00070EC3">
        <w:rPr>
          <w:rFonts w:ascii="Verdana" w:hAnsi="Verdana" w:cs="Arial"/>
          <w:lang w:eastAsia="es-ES"/>
        </w:rPr>
        <w:t xml:space="preserve">Al margen de la explicación precedente debe advertirse que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 </w:t>
      </w:r>
    </w:p>
    <w:p w14:paraId="490B6E57" w14:textId="77777777" w:rsidR="002F2C6F" w:rsidRPr="00FA3156" w:rsidRDefault="002F2C6F" w:rsidP="002F2C6F">
      <w:pPr>
        <w:spacing w:after="120" w:line="276" w:lineRule="auto"/>
        <w:ind w:firstLine="709"/>
        <w:jc w:val="both"/>
        <w:rPr>
          <w:rFonts w:ascii="Verdana" w:eastAsia="Times New Roman" w:hAnsi="Verdana" w:cs="Arial"/>
          <w:lang w:eastAsia="es-ES_tradnl"/>
        </w:rPr>
      </w:pPr>
      <w:r w:rsidRPr="00070EC3">
        <w:rPr>
          <w:rFonts w:ascii="Verdana" w:hAnsi="Verdana" w:cs="Arial"/>
          <w:lang w:eastAsia="es-ES"/>
        </w:rPr>
        <w:t>Dentro de este marco, la entidad pública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p>
    <w:p w14:paraId="5694E535" w14:textId="77777777" w:rsidR="002F2C6F" w:rsidRPr="009E51D7" w:rsidRDefault="002F2C6F" w:rsidP="002F2C6F">
      <w:pPr>
        <w:tabs>
          <w:tab w:val="left" w:pos="142"/>
          <w:tab w:val="left" w:pos="284"/>
        </w:tabs>
        <w:spacing w:after="0" w:line="276" w:lineRule="auto"/>
        <w:jc w:val="both"/>
        <w:rPr>
          <w:rFonts w:ascii="Verdana" w:eastAsia="Century Gothic" w:hAnsi="Verdana" w:cs="Century Gothic"/>
          <w:b/>
          <w:bCs/>
        </w:rPr>
      </w:pPr>
      <w:r w:rsidRPr="009E51D7">
        <w:rPr>
          <w:rFonts w:ascii="Verdana" w:eastAsia="Calibri" w:hAnsi="Verdana" w:cs="Arial"/>
          <w:b/>
          <w:color w:val="000000" w:themeColor="text1"/>
        </w:rPr>
        <w:t xml:space="preserve">4. </w:t>
      </w:r>
      <w:r w:rsidRPr="009E51D7">
        <w:rPr>
          <w:rFonts w:ascii="Verdana" w:eastAsia="Century Gothic" w:hAnsi="Verdana" w:cs="Century Gothic"/>
          <w:b/>
          <w:bCs/>
        </w:rPr>
        <w:t>Referencias normativas, jurisprudenciales y otras fuentes:</w:t>
      </w:r>
    </w:p>
    <w:p w14:paraId="292A07C9" w14:textId="77777777" w:rsidR="002F2C6F" w:rsidRPr="00E5656D" w:rsidRDefault="002F2C6F" w:rsidP="002F2C6F">
      <w:pPr>
        <w:spacing w:after="0" w:line="276" w:lineRule="auto"/>
        <w:jc w:val="both"/>
        <w:rPr>
          <w:rFonts w:ascii="Verdana" w:eastAsia="Century Gothic" w:hAnsi="Verdana" w:cs="Century Gothic"/>
          <w:b/>
          <w:bCs/>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2F2C6F" w:rsidRPr="002D2C18" w14:paraId="71019E20" w14:textId="77777777" w:rsidTr="00902C3B">
        <w:trPr>
          <w:trHeight w:val="56"/>
          <w:jc w:val="center"/>
        </w:trPr>
        <w:tc>
          <w:tcPr>
            <w:tcW w:w="8647" w:type="dxa"/>
          </w:tcPr>
          <w:p w14:paraId="4C796237" w14:textId="77777777" w:rsidR="002F2C6F" w:rsidRPr="00DE0D5E" w:rsidRDefault="002F2C6F" w:rsidP="002F2C6F">
            <w:pPr>
              <w:pStyle w:val="Prrafodelista"/>
              <w:widowControl w:val="0"/>
              <w:numPr>
                <w:ilvl w:val="0"/>
                <w:numId w:val="17"/>
              </w:numPr>
              <w:autoSpaceDE w:val="0"/>
              <w:autoSpaceDN w:val="0"/>
              <w:spacing w:after="120" w:line="276" w:lineRule="auto"/>
              <w:ind w:left="714" w:hanging="357"/>
              <w:jc w:val="both"/>
              <w:rPr>
                <w:rFonts w:ascii="Verdana" w:hAnsi="Verdana" w:cs="Arial"/>
                <w:lang w:eastAsia="es-ES"/>
              </w:rPr>
            </w:pPr>
            <w:r>
              <w:rPr>
                <w:rFonts w:ascii="Verdana" w:hAnsi="Verdana" w:cs="Arial"/>
                <w:lang w:eastAsia="es-ES"/>
              </w:rPr>
              <w:t>Ley 80 de 1993. Artículos 3, 14, 17, 31.</w:t>
            </w:r>
          </w:p>
          <w:p w14:paraId="67B9BAA9" w14:textId="77777777" w:rsidR="002F2C6F" w:rsidRPr="00DE0D5E" w:rsidRDefault="002F2C6F" w:rsidP="002F2C6F">
            <w:pPr>
              <w:pStyle w:val="Prrafodelista"/>
              <w:widowControl w:val="0"/>
              <w:numPr>
                <w:ilvl w:val="0"/>
                <w:numId w:val="17"/>
              </w:numPr>
              <w:autoSpaceDE w:val="0"/>
              <w:autoSpaceDN w:val="0"/>
              <w:spacing w:after="120" w:line="276" w:lineRule="auto"/>
              <w:ind w:left="714" w:hanging="357"/>
              <w:jc w:val="both"/>
              <w:rPr>
                <w:rFonts w:ascii="Verdana" w:hAnsi="Verdana" w:cs="Arial"/>
                <w:lang w:eastAsia="es-ES"/>
              </w:rPr>
            </w:pPr>
            <w:r>
              <w:rPr>
                <w:rFonts w:ascii="Verdana" w:eastAsia="Times New Roman" w:hAnsi="Verdana" w:cs="Arial"/>
                <w:lang w:eastAsia="es-ES"/>
                <w14:ligatures w14:val="standardContextual"/>
              </w:rPr>
              <w:t>L</w:t>
            </w:r>
            <w:r w:rsidRPr="043A1B52">
              <w:rPr>
                <w:rFonts w:ascii="Verdana" w:eastAsia="Times New Roman" w:hAnsi="Verdana" w:cs="Arial"/>
                <w:lang w:eastAsia="es-ES"/>
                <w14:ligatures w14:val="standardContextual"/>
              </w:rPr>
              <w:t>ey 1712 de 2014</w:t>
            </w:r>
            <w:r>
              <w:rPr>
                <w:rFonts w:ascii="Verdana" w:eastAsia="Times New Roman" w:hAnsi="Verdana" w:cs="Arial"/>
                <w:lang w:eastAsia="es-ES"/>
                <w14:ligatures w14:val="standardContextual"/>
              </w:rPr>
              <w:t>. Artículos 5, 9, 11 literal g).</w:t>
            </w:r>
          </w:p>
          <w:p w14:paraId="5B3AC7B3" w14:textId="77777777" w:rsidR="002F2C6F" w:rsidRPr="00DE0D5E" w:rsidRDefault="002F2C6F" w:rsidP="002F2C6F">
            <w:pPr>
              <w:pStyle w:val="Prrafodelista"/>
              <w:widowControl w:val="0"/>
              <w:numPr>
                <w:ilvl w:val="0"/>
                <w:numId w:val="17"/>
              </w:numPr>
              <w:autoSpaceDE w:val="0"/>
              <w:autoSpaceDN w:val="0"/>
              <w:spacing w:after="120" w:line="276" w:lineRule="auto"/>
              <w:ind w:left="714" w:hanging="357"/>
              <w:jc w:val="both"/>
              <w:rPr>
                <w:rFonts w:ascii="Verdana" w:hAnsi="Verdana" w:cs="Arial"/>
                <w:lang w:eastAsia="es-ES"/>
              </w:rPr>
            </w:pPr>
            <w:r>
              <w:rPr>
                <w:rFonts w:ascii="Verdana" w:hAnsi="Verdana" w:cs="Arial"/>
                <w:lang w:eastAsia="es-ES"/>
              </w:rPr>
              <w:t xml:space="preserve">Decreto 1082 de 2015. Artículos </w:t>
            </w:r>
            <w:r w:rsidRPr="00AD6B46">
              <w:rPr>
                <w:rFonts w:ascii="Verdana" w:hAnsi="Verdana" w:cs="Arial"/>
                <w:shd w:val="clear" w:color="auto" w:fill="FFFFFF"/>
              </w:rPr>
              <w:t>2.2.1.1.1.3.1.</w:t>
            </w:r>
            <w:r>
              <w:rPr>
                <w:rFonts w:ascii="Verdana" w:hAnsi="Verdana" w:cs="Arial"/>
                <w:shd w:val="clear" w:color="auto" w:fill="FFFFFF"/>
              </w:rPr>
              <w:t>,</w:t>
            </w:r>
            <w:r>
              <w:rPr>
                <w:rFonts w:ascii="Verdana" w:hAnsi="Verdana" w:cs="Arial"/>
                <w:lang w:eastAsia="es-ES"/>
              </w:rPr>
              <w:t xml:space="preserve"> </w:t>
            </w:r>
            <w:r w:rsidRPr="00AD6B46">
              <w:rPr>
                <w:rFonts w:ascii="Verdana" w:eastAsia="Times New Roman" w:hAnsi="Verdana" w:cs="Arial"/>
                <w:lang w:val="es-ES_tradnl" w:eastAsia="es-ES_tradnl"/>
                <w14:ligatures w14:val="standardContextual"/>
              </w:rPr>
              <w:t>2.2.1.1.1.7.1</w:t>
            </w:r>
            <w:r>
              <w:rPr>
                <w:rFonts w:ascii="Verdana" w:eastAsia="Times New Roman" w:hAnsi="Verdana" w:cs="Arial"/>
                <w:lang w:val="es-ES_tradnl" w:eastAsia="es-ES_tradnl"/>
                <w14:ligatures w14:val="standardContextual"/>
              </w:rPr>
              <w:t xml:space="preserve">., </w:t>
            </w:r>
            <w:r w:rsidRPr="00D24FE7">
              <w:rPr>
                <w:rFonts w:ascii="Verdana" w:eastAsia="Calibri" w:hAnsi="Verdana" w:cs="Arial"/>
                <w:color w:val="000000" w:themeColor="text1"/>
                <w:lang w:val="es-CO"/>
              </w:rPr>
              <w:t>2.2.1.1.1.5.7</w:t>
            </w:r>
            <w:r>
              <w:rPr>
                <w:rFonts w:ascii="Verdana" w:eastAsia="Calibri" w:hAnsi="Verdana" w:cs="Arial"/>
                <w:color w:val="000000" w:themeColor="text1"/>
                <w:lang w:val="es-CO"/>
              </w:rPr>
              <w:t>.</w:t>
            </w:r>
          </w:p>
          <w:p w14:paraId="790C03DA" w14:textId="77777777" w:rsidR="002F2C6F" w:rsidRDefault="002F2C6F" w:rsidP="002F2C6F">
            <w:pPr>
              <w:pStyle w:val="Prrafodelista"/>
              <w:widowControl w:val="0"/>
              <w:numPr>
                <w:ilvl w:val="0"/>
                <w:numId w:val="17"/>
              </w:numPr>
              <w:autoSpaceDE w:val="0"/>
              <w:autoSpaceDN w:val="0"/>
              <w:spacing w:after="120" w:line="276" w:lineRule="auto"/>
              <w:ind w:left="714" w:hanging="357"/>
              <w:jc w:val="both"/>
              <w:rPr>
                <w:rFonts w:ascii="Verdana" w:hAnsi="Verdana" w:cs="Arial"/>
                <w:lang w:eastAsia="es-ES"/>
              </w:rPr>
            </w:pPr>
            <w:r>
              <w:rPr>
                <w:rFonts w:ascii="Verdana" w:eastAsia="Calibri" w:hAnsi="Verdana" w:cs="Arial"/>
                <w:color w:val="000000" w:themeColor="text1"/>
              </w:rPr>
              <w:t>Ley 1952 de 2019. Artículos 38 numeral 43 y 238.</w:t>
            </w:r>
          </w:p>
          <w:p w14:paraId="5CFCBCA0" w14:textId="77777777" w:rsidR="002F2C6F" w:rsidRDefault="002F2C6F" w:rsidP="002F2C6F">
            <w:pPr>
              <w:pStyle w:val="Prrafodelista"/>
              <w:widowControl w:val="0"/>
              <w:numPr>
                <w:ilvl w:val="0"/>
                <w:numId w:val="17"/>
              </w:numPr>
              <w:autoSpaceDE w:val="0"/>
              <w:autoSpaceDN w:val="0"/>
              <w:spacing w:after="120" w:line="276" w:lineRule="auto"/>
              <w:ind w:left="714" w:hanging="357"/>
              <w:jc w:val="both"/>
              <w:rPr>
                <w:rFonts w:ascii="Verdana" w:hAnsi="Verdana" w:cs="Arial"/>
                <w:lang w:eastAsia="es-ES"/>
              </w:rPr>
            </w:pPr>
            <w:r w:rsidRPr="00DE0D5E">
              <w:rPr>
                <w:rFonts w:ascii="Verdana" w:hAnsi="Verdana" w:cs="Arial"/>
                <w:lang w:eastAsia="es-ES"/>
              </w:rPr>
              <w:t xml:space="preserve">Consejo de Estado. Sala de lo Contencioso Administrativo. Sección Tercera. Subsección A. Sentencia de 9 de mayo de 2012. </w:t>
            </w:r>
            <w:proofErr w:type="spellStart"/>
            <w:r w:rsidRPr="00DE0D5E">
              <w:rPr>
                <w:rFonts w:ascii="Verdana" w:hAnsi="Verdana" w:cs="Arial"/>
                <w:lang w:eastAsia="es-ES"/>
              </w:rPr>
              <w:t>Exp</w:t>
            </w:r>
            <w:proofErr w:type="spellEnd"/>
            <w:r w:rsidRPr="00DE0D5E">
              <w:rPr>
                <w:rFonts w:ascii="Verdana" w:hAnsi="Verdana" w:cs="Arial"/>
                <w:lang w:eastAsia="es-ES"/>
              </w:rPr>
              <w:t>. 20.968. C.P. Mauricio Fajardo Gómez.</w:t>
            </w:r>
          </w:p>
          <w:p w14:paraId="66DD3ED5" w14:textId="77777777" w:rsidR="002F2C6F" w:rsidRDefault="002F2C6F" w:rsidP="002F2C6F">
            <w:pPr>
              <w:pStyle w:val="Prrafodelista"/>
              <w:widowControl w:val="0"/>
              <w:numPr>
                <w:ilvl w:val="0"/>
                <w:numId w:val="17"/>
              </w:numPr>
              <w:autoSpaceDE w:val="0"/>
              <w:autoSpaceDN w:val="0"/>
              <w:spacing w:after="120" w:line="276" w:lineRule="auto"/>
              <w:ind w:left="714" w:hanging="357"/>
              <w:jc w:val="both"/>
              <w:rPr>
                <w:rFonts w:ascii="Verdana" w:hAnsi="Verdana" w:cs="Arial"/>
                <w:lang w:eastAsia="es-ES"/>
              </w:rPr>
            </w:pPr>
            <w:r w:rsidRPr="00DE0D5E">
              <w:rPr>
                <w:rFonts w:ascii="Verdana" w:hAnsi="Verdana" w:cs="Arial"/>
                <w:lang w:eastAsia="es-ES"/>
              </w:rPr>
              <w:t xml:space="preserve">Consejo de Estado. Sala de lo Contencioso Administrativo. Sección Tercera. Subsección A. 10 de noviembre de 2017. Radicado: 68001-23-31-000-2003-01342-01(39536). C.P: Carlos Alberto Zambrano Barrera.  </w:t>
            </w:r>
            <w:r>
              <w:rPr>
                <w:rFonts w:ascii="Verdana" w:hAnsi="Verdana" w:cs="Arial"/>
                <w:lang w:eastAsia="es-ES"/>
              </w:rPr>
              <w:t xml:space="preserve"> </w:t>
            </w:r>
          </w:p>
          <w:p w14:paraId="50C0631F" w14:textId="77777777" w:rsidR="002F2C6F" w:rsidRDefault="002F2C6F" w:rsidP="002F2C6F">
            <w:pPr>
              <w:pStyle w:val="Prrafodelista"/>
              <w:widowControl w:val="0"/>
              <w:numPr>
                <w:ilvl w:val="0"/>
                <w:numId w:val="17"/>
              </w:numPr>
              <w:autoSpaceDE w:val="0"/>
              <w:autoSpaceDN w:val="0"/>
              <w:spacing w:after="120" w:line="276" w:lineRule="auto"/>
              <w:ind w:left="714" w:hanging="357"/>
              <w:jc w:val="both"/>
              <w:rPr>
                <w:rFonts w:ascii="Verdana" w:hAnsi="Verdana" w:cs="Arial"/>
                <w:lang w:eastAsia="es-ES"/>
              </w:rPr>
            </w:pPr>
            <w:r w:rsidRPr="00DE0D5E">
              <w:rPr>
                <w:rFonts w:ascii="Verdana" w:hAnsi="Verdana" w:cs="Arial"/>
                <w:lang w:eastAsia="es-ES"/>
              </w:rPr>
              <w:t>Corte Constitucional. Sentencia C‒274 de 9 de mayo de 2013. M.P. María Victoria Calle Correa.</w:t>
            </w:r>
          </w:p>
          <w:p w14:paraId="7FA76BC2" w14:textId="77777777" w:rsidR="002F2C6F" w:rsidRDefault="002F2C6F" w:rsidP="002F2C6F">
            <w:pPr>
              <w:pStyle w:val="Prrafodelista"/>
              <w:widowControl w:val="0"/>
              <w:numPr>
                <w:ilvl w:val="0"/>
                <w:numId w:val="17"/>
              </w:numPr>
              <w:autoSpaceDE w:val="0"/>
              <w:autoSpaceDN w:val="0"/>
              <w:spacing w:after="120" w:line="276" w:lineRule="auto"/>
              <w:ind w:left="714" w:hanging="357"/>
              <w:jc w:val="both"/>
              <w:rPr>
                <w:rFonts w:ascii="Verdana" w:hAnsi="Verdana" w:cs="Arial"/>
                <w:lang w:eastAsia="es-ES"/>
              </w:rPr>
            </w:pPr>
            <w:r w:rsidRPr="00DE0D5E">
              <w:rPr>
                <w:rFonts w:ascii="Verdana" w:hAnsi="Verdana" w:cs="Arial"/>
                <w:lang w:eastAsia="es-ES"/>
              </w:rPr>
              <w:t>EXPÓSITO VÉLEZ, Juan Carlos. Forma y contenido del contrato estatal, Bogotá: Universidad Externado de Colombia, 2013</w:t>
            </w:r>
            <w:r>
              <w:rPr>
                <w:rFonts w:ascii="Verdana" w:hAnsi="Verdana" w:cs="Arial"/>
                <w:lang w:eastAsia="es-ES"/>
              </w:rPr>
              <w:t>.</w:t>
            </w:r>
          </w:p>
          <w:p w14:paraId="54DDE6F7" w14:textId="77777777" w:rsidR="002F2C6F" w:rsidRDefault="002F2C6F" w:rsidP="002F2C6F">
            <w:pPr>
              <w:pStyle w:val="Prrafodelista"/>
              <w:widowControl w:val="0"/>
              <w:numPr>
                <w:ilvl w:val="0"/>
                <w:numId w:val="17"/>
              </w:numPr>
              <w:autoSpaceDE w:val="0"/>
              <w:autoSpaceDN w:val="0"/>
              <w:spacing w:after="120" w:line="276" w:lineRule="auto"/>
              <w:ind w:left="714" w:hanging="357"/>
              <w:jc w:val="both"/>
              <w:rPr>
                <w:rFonts w:ascii="Verdana" w:hAnsi="Verdana" w:cs="Arial"/>
                <w:lang w:eastAsia="es-ES"/>
              </w:rPr>
            </w:pPr>
            <w:r w:rsidRPr="00DE0D5E">
              <w:rPr>
                <w:rFonts w:ascii="Verdana" w:hAnsi="Verdana" w:cs="Arial"/>
                <w:lang w:eastAsia="es-ES"/>
              </w:rPr>
              <w:t>BOBBIO, Norberto. Democracia y secreto. México: Fondo de Cultura Económica, 2013.</w:t>
            </w:r>
          </w:p>
          <w:p w14:paraId="5FF26460" w14:textId="77777777" w:rsidR="002F2C6F" w:rsidRPr="00DE0D5E" w:rsidRDefault="002F2C6F" w:rsidP="002F2C6F">
            <w:pPr>
              <w:pStyle w:val="Prrafodelista"/>
              <w:widowControl w:val="0"/>
              <w:numPr>
                <w:ilvl w:val="0"/>
                <w:numId w:val="17"/>
              </w:numPr>
              <w:autoSpaceDE w:val="0"/>
              <w:autoSpaceDN w:val="0"/>
              <w:spacing w:after="120" w:line="276" w:lineRule="auto"/>
              <w:ind w:left="714" w:hanging="357"/>
              <w:jc w:val="both"/>
              <w:rPr>
                <w:rFonts w:ascii="Verdana" w:hAnsi="Verdana" w:cs="Arial"/>
                <w:lang w:eastAsia="es-ES"/>
              </w:rPr>
            </w:pPr>
            <w:r w:rsidRPr="00DE0D5E">
              <w:rPr>
                <w:rFonts w:ascii="Verdana" w:eastAsia="Calibri" w:hAnsi="Verdana" w:cs="Arial"/>
              </w:rPr>
              <w:t xml:space="preserve">Circular Externa 002 de 2026 disponible en </w:t>
            </w:r>
            <w:hyperlink r:id="rId13" w:history="1">
              <w:r w:rsidRPr="00DE0D5E">
                <w:rPr>
                  <w:rStyle w:val="Hipervnculo"/>
                  <w:rFonts w:ascii="Verdana" w:hAnsi="Verdana"/>
                  <w:lang w:val="es-CO"/>
                </w:rPr>
                <w:t>Microsoft Word - CIRCULAR EXTERNA 002 DE 2026</w:t>
              </w:r>
            </w:hyperlink>
          </w:p>
        </w:tc>
      </w:tr>
    </w:tbl>
    <w:p w14:paraId="661C1700" w14:textId="77777777" w:rsidR="002F2C6F" w:rsidRDefault="002F2C6F" w:rsidP="002F2C6F">
      <w:pPr>
        <w:tabs>
          <w:tab w:val="left" w:pos="142"/>
          <w:tab w:val="left" w:pos="284"/>
          <w:tab w:val="left" w:pos="3828"/>
        </w:tabs>
        <w:spacing w:after="0" w:line="276" w:lineRule="auto"/>
        <w:jc w:val="both"/>
        <w:rPr>
          <w:rFonts w:ascii="Verdana" w:eastAsia="Century Gothic" w:hAnsi="Verdana" w:cs="Century Gothic"/>
          <w:b/>
          <w:bCs/>
        </w:rPr>
      </w:pPr>
    </w:p>
    <w:p w14:paraId="5EAB520F" w14:textId="77777777" w:rsidR="002F2C6F" w:rsidRPr="0091091D" w:rsidRDefault="002F2C6F" w:rsidP="002F2C6F">
      <w:pPr>
        <w:tabs>
          <w:tab w:val="left" w:pos="142"/>
          <w:tab w:val="left" w:pos="284"/>
          <w:tab w:val="left" w:pos="3828"/>
        </w:tabs>
        <w:spacing w:after="0" w:line="276" w:lineRule="auto"/>
        <w:jc w:val="both"/>
        <w:rPr>
          <w:rFonts w:ascii="Verdana" w:eastAsia="Century Gothic" w:hAnsi="Verdana" w:cs="Century Gothic"/>
          <w:b/>
          <w:bCs/>
        </w:rPr>
      </w:pPr>
      <w:r w:rsidRPr="0091091D">
        <w:rPr>
          <w:rFonts w:ascii="Verdana" w:eastAsia="Century Gothic" w:hAnsi="Verdana" w:cs="Century Gothic"/>
          <w:b/>
          <w:bCs/>
        </w:rPr>
        <w:t>5. Doctrina de la Agencia Nacional de Contratación Pública:</w:t>
      </w:r>
    </w:p>
    <w:p w14:paraId="6D77FB56" w14:textId="77777777" w:rsidR="002F2C6F" w:rsidRPr="007A3DD4" w:rsidRDefault="002F2C6F" w:rsidP="002F2C6F">
      <w:pPr>
        <w:widowControl w:val="0"/>
        <w:autoSpaceDE w:val="0"/>
        <w:autoSpaceDN w:val="0"/>
        <w:spacing w:after="0" w:line="240" w:lineRule="auto"/>
        <w:jc w:val="both"/>
        <w:rPr>
          <w:rStyle w:val="normaltextrun"/>
          <w:rFonts w:ascii="Verdana" w:hAnsi="Verdana" w:cs="Arial"/>
          <w:shd w:val="clear" w:color="auto" w:fill="FFFFFF"/>
        </w:rPr>
      </w:pPr>
    </w:p>
    <w:p w14:paraId="2EF2160B" w14:textId="77777777" w:rsidR="002F2C6F" w:rsidRDefault="002F2C6F" w:rsidP="002F2C6F">
      <w:pPr>
        <w:spacing w:after="120" w:line="276" w:lineRule="auto"/>
        <w:jc w:val="both"/>
        <w:rPr>
          <w:rFonts w:ascii="Verdana" w:eastAsia="Calibri" w:hAnsi="Verdana" w:cs="Arial"/>
          <w:color w:val="000000" w:themeColor="text1"/>
          <w:lang w:eastAsia="es-ES_tradnl"/>
        </w:rPr>
      </w:pPr>
      <w:r w:rsidRPr="003B636A">
        <w:rPr>
          <w:rFonts w:ascii="Verdana" w:hAnsi="Verdana" w:cs="Arial"/>
          <w:bCs/>
          <w:shd w:val="clear" w:color="auto" w:fill="FFFFFF"/>
        </w:rPr>
        <w:t xml:space="preserve">La Agencia Nacional de Contratación Pública – Colombia Compra Eficiente se ha pronunciado sobre la terminación unilateral del contrato con fundamento en el artículo 17 de la Ley 80 de 1993 en los conceptos </w:t>
      </w:r>
      <w:r w:rsidRPr="003B636A">
        <w:rPr>
          <w:rStyle w:val="normaltextrun"/>
          <w:rFonts w:ascii="Verdana" w:hAnsi="Verdana" w:cs="Arial"/>
          <w:shd w:val="clear" w:color="auto" w:fill="FFFFFF"/>
          <w:lang w:val="es-ES"/>
        </w:rPr>
        <w:t xml:space="preserve">C-286 del 12 de mayo de 2022, C-805 del 23 de noviembre de 2022, C-514 del 10 de agosto del 2022, y C-873 del 21 de diciembre de 2022, C-005 del 29 de febrero de 2024, C-1365 del 17 de octubre de 2025, C-1421 del 12 de noviembre de 2025, </w:t>
      </w:r>
      <w:r w:rsidRPr="003B636A">
        <w:rPr>
          <w:rFonts w:ascii="Verdana" w:hAnsi="Verdana" w:cs="Arial"/>
          <w:shd w:val="clear" w:color="auto" w:fill="FFFFFF"/>
        </w:rPr>
        <w:t>entre otros</w:t>
      </w:r>
      <w:r w:rsidRPr="003B636A">
        <w:rPr>
          <w:rFonts w:ascii="Verdana" w:eastAsia="Calibri" w:hAnsi="Verdana" w:cs="Arial"/>
          <w:color w:val="000000" w:themeColor="text1"/>
          <w:lang w:eastAsia="es-ES_tradnl"/>
        </w:rPr>
        <w:t xml:space="preserve">. </w:t>
      </w:r>
    </w:p>
    <w:p w14:paraId="18446AF5" w14:textId="77777777" w:rsidR="002F2C6F" w:rsidRDefault="002F2C6F" w:rsidP="002F2C6F">
      <w:pPr>
        <w:spacing w:after="120" w:line="276" w:lineRule="auto"/>
        <w:jc w:val="both"/>
        <w:rPr>
          <w:rFonts w:ascii="Verdana" w:hAnsi="Verdana" w:cs="Arial"/>
          <w:bCs/>
          <w:shd w:val="clear" w:color="auto" w:fill="FFFFFF"/>
        </w:rPr>
      </w:pPr>
      <w:r>
        <w:rPr>
          <w:rFonts w:ascii="Verdana" w:eastAsia="Calibri" w:hAnsi="Verdana" w:cs="Arial"/>
          <w:color w:val="000000" w:themeColor="text1"/>
          <w:lang w:eastAsia="es-ES_tradnl"/>
        </w:rPr>
        <w:t xml:space="preserve">Así mismo, la Agencia </w:t>
      </w:r>
      <w:r w:rsidRPr="003B636A">
        <w:rPr>
          <w:rFonts w:ascii="Verdana" w:hAnsi="Verdana" w:cs="Arial"/>
          <w:bCs/>
          <w:shd w:val="clear" w:color="auto" w:fill="FFFFFF"/>
        </w:rPr>
        <w:t>Nacional de Contratación Pública – Colombia Compra Eficiente</w:t>
      </w:r>
      <w:r>
        <w:rPr>
          <w:rFonts w:ascii="Verdana" w:hAnsi="Verdana" w:cs="Arial"/>
          <w:bCs/>
          <w:shd w:val="clear" w:color="auto" w:fill="FFFFFF"/>
        </w:rPr>
        <w:t xml:space="preserve"> se ha pronunciado sobre el deber de publicar los documentos de contratación en los conceptos </w:t>
      </w:r>
      <w:r w:rsidRPr="00392E13">
        <w:rPr>
          <w:rFonts w:ascii="Verdana" w:hAnsi="Verdana" w:cs="Arial"/>
          <w:bCs/>
          <w:shd w:val="clear" w:color="auto" w:fill="FFFFFF"/>
          <w:lang w:val="es-ES_tradnl"/>
        </w:rPr>
        <w:t>CU-367 del 23 de julio de 2020, reiterado en los conceptos: C−433 de 24 de julio de 2020, C−468 del 24 de julio de 2020, C−474 de 24 de julio de 2020, C−488 del 28 de julio de 2020, C−544 del 21 de agosto de 2020, C−575 del 27 de agosto de 2020, C−643 del 26 de octubre de 2020, C−661 del 17 de noviembre de 2020, C-094 del 13 de abril de 2021, C−068 del 22 de abril de 2021, C-185 del 29 de abril de 2021, C-472 del 6 de septiembre de 2021 y C-804 de 2024</w:t>
      </w:r>
      <w:r w:rsidRPr="00392E13">
        <w:rPr>
          <w:rFonts w:ascii="Verdana" w:hAnsi="Verdana" w:cs="Arial"/>
          <w:bCs/>
          <w:shd w:val="clear" w:color="auto" w:fill="FFFFFF"/>
        </w:rPr>
        <w:t>, C-185 del 2</w:t>
      </w:r>
      <w:r>
        <w:rPr>
          <w:rFonts w:ascii="Verdana" w:hAnsi="Verdana" w:cs="Arial"/>
          <w:bCs/>
          <w:shd w:val="clear" w:color="auto" w:fill="FFFFFF"/>
        </w:rPr>
        <w:t xml:space="preserve">4 de marzo de 2025, C-487 del 30 de mayo de 2025, C-1177 del 1 de octubre de 2025, C-1784 del 22 de diciembre de 2026, C-809 del 25 de junio de 2026, C-982 del 27 de julio de 2026, entre otros. </w:t>
      </w:r>
    </w:p>
    <w:p w14:paraId="13C7ED02" w14:textId="77777777" w:rsidR="002F2C6F" w:rsidRDefault="002F2C6F" w:rsidP="002F2C6F">
      <w:pPr>
        <w:spacing w:after="0" w:line="240" w:lineRule="auto"/>
        <w:jc w:val="both"/>
        <w:rPr>
          <w:rFonts w:ascii="Verdana" w:hAnsi="Verdana" w:cs="Arial"/>
          <w:bCs/>
          <w:shd w:val="clear" w:color="auto" w:fill="FFFFFF"/>
        </w:rPr>
      </w:pPr>
    </w:p>
    <w:p w14:paraId="77DC1B72" w14:textId="77777777" w:rsidR="002F2C6F" w:rsidRDefault="002F2C6F" w:rsidP="002F2C6F">
      <w:pPr>
        <w:spacing w:after="120" w:line="276" w:lineRule="auto"/>
        <w:jc w:val="both"/>
        <w:rPr>
          <w:rFonts w:ascii="Verdana" w:hAnsi="Verdana" w:cs="Arial"/>
          <w:bCs/>
          <w:shd w:val="clear" w:color="auto" w:fill="FFFFFF"/>
        </w:rPr>
      </w:pPr>
      <w:r>
        <w:rPr>
          <w:rFonts w:ascii="Verdana" w:hAnsi="Verdana" w:cs="Arial"/>
          <w:bCs/>
          <w:shd w:val="clear" w:color="auto" w:fill="FFFFFF"/>
        </w:rPr>
        <w:t xml:space="preserve">De la misma manera esta Subdirección se ha pronunciado sobre el alcance de la Circular Externa 002 de 2026 en los conceptos C- </w:t>
      </w:r>
      <w:r w:rsidRPr="00567CE1">
        <w:rPr>
          <w:rStyle w:val="normaltextrun"/>
          <w:rFonts w:ascii="Verdana" w:hAnsi="Verdana" w:cs="Arial"/>
          <w:shd w:val="clear" w:color="auto" w:fill="FFFFFF"/>
          <w:lang w:val="es-ES_tradnl"/>
        </w:rPr>
        <w:t>892 del 11 de junio de 2026</w:t>
      </w:r>
      <w:r>
        <w:rPr>
          <w:rStyle w:val="normaltextrun"/>
          <w:rFonts w:ascii="Verdana" w:hAnsi="Verdana" w:cs="Arial"/>
          <w:shd w:val="clear" w:color="auto" w:fill="FFFFFF"/>
          <w:lang w:val="es-ES_tradnl"/>
        </w:rPr>
        <w:t xml:space="preserve">, C-948 del 22 de julio </w:t>
      </w:r>
      <w:r w:rsidRPr="00321DC0">
        <w:rPr>
          <w:rStyle w:val="normaltextrun"/>
          <w:rFonts w:ascii="Verdana" w:hAnsi="Verdana" w:cs="Arial"/>
          <w:shd w:val="clear" w:color="auto" w:fill="FFFFFF"/>
          <w:lang w:val="es-ES_tradnl"/>
        </w:rPr>
        <w:t>de 2026.</w:t>
      </w:r>
      <w:r w:rsidRPr="00321DC0">
        <w:rPr>
          <w:rFonts w:ascii="Verdana" w:hAnsi="Verdana" w:cs="Arial"/>
          <w:bCs/>
          <w:shd w:val="clear" w:color="auto" w:fill="FFFFFF"/>
        </w:rPr>
        <w:t xml:space="preserve"> </w:t>
      </w:r>
      <w:r w:rsidRPr="00321DC0">
        <w:rPr>
          <w:rFonts w:ascii="Verdana" w:hAnsi="Verdana" w:cs="Arial"/>
        </w:rPr>
        <w:t xml:space="preserve">Estos y otros </w:t>
      </w:r>
      <w:r w:rsidRPr="00321DC0">
        <w:rPr>
          <w:rFonts w:ascii="Verdana" w:hAnsi="Verdana"/>
        </w:rPr>
        <w:t>conceptos se encuentran disponibles para consulta en el Sistema de relatoría de la Agencia, al cual se puede acceder a través del siguiente</w:t>
      </w:r>
      <w:r w:rsidRPr="00185290">
        <w:rPr>
          <w:rFonts w:ascii="Verdana" w:hAnsi="Verdana"/>
        </w:rPr>
        <w:t xml:space="preserve"> enlace:</w:t>
      </w:r>
      <w:r w:rsidRPr="00185290">
        <w:rPr>
          <w:rFonts w:ascii="Verdana" w:hAnsi="Verdana" w:cs="Arial"/>
          <w:shd w:val="clear" w:color="auto" w:fill="FFFFFF"/>
        </w:rPr>
        <w:t xml:space="preserve"> </w:t>
      </w:r>
      <w:hyperlink r:id="rId14" w:history="1">
        <w:r w:rsidRPr="00185290">
          <w:rPr>
            <w:rFonts w:ascii="Verdana" w:hAnsi="Verdana" w:cs="Arial"/>
            <w:color w:val="0563C1" w:themeColor="hyperlink"/>
            <w:u w:val="single"/>
            <w:shd w:val="clear" w:color="auto" w:fill="FFFFFF"/>
          </w:rPr>
          <w:t>https://relatoria.colombiacompra.gov.co/busqueda/conceptos</w:t>
        </w:r>
      </w:hyperlink>
      <w:r w:rsidRPr="00185290">
        <w:rPr>
          <w:rFonts w:ascii="Verdana" w:hAnsi="Verdana" w:cs="Arial"/>
          <w:shd w:val="clear" w:color="auto" w:fill="FFFFFF"/>
        </w:rPr>
        <w:t>.</w:t>
      </w:r>
      <w:r w:rsidRPr="00185290">
        <w:rPr>
          <w:rFonts w:ascii="Verdana" w:hAnsi="Verdana" w:cs="Arial"/>
          <w:color w:val="FF0000"/>
          <w:shd w:val="clear" w:color="auto" w:fill="FFFFFF"/>
        </w:rPr>
        <w:t xml:space="preserve"> </w:t>
      </w:r>
    </w:p>
    <w:p w14:paraId="5215EDAF" w14:textId="77777777" w:rsidR="002F2C6F" w:rsidRDefault="002F2C6F" w:rsidP="002F2C6F">
      <w:pPr>
        <w:spacing w:after="0" w:line="240" w:lineRule="auto"/>
        <w:jc w:val="both"/>
        <w:rPr>
          <w:rFonts w:ascii="Verdana" w:hAnsi="Verdana" w:cs="Arial"/>
          <w:bCs/>
          <w:shd w:val="clear" w:color="auto" w:fill="FFFFFF"/>
        </w:rPr>
      </w:pPr>
    </w:p>
    <w:p w14:paraId="2E4C236C" w14:textId="77777777" w:rsidR="002F2C6F" w:rsidRDefault="002F2C6F" w:rsidP="002F2C6F">
      <w:pPr>
        <w:spacing w:after="120" w:line="276" w:lineRule="auto"/>
        <w:jc w:val="both"/>
        <w:rPr>
          <w:rFonts w:ascii="Verdana" w:hAnsi="Verdana" w:cs="Arial"/>
          <w:bCs/>
          <w:shd w:val="clear" w:color="auto" w:fill="FFFFFF"/>
        </w:rPr>
      </w:pPr>
      <w:r w:rsidRPr="00986400">
        <w:rPr>
          <w:rFonts w:ascii="Verdana" w:hAnsi="Verdana"/>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986400">
        <w:rPr>
          <w:rFonts w:ascii="Verdana" w:hAnsi="Verdana"/>
          <w:b/>
          <w:bCs/>
        </w:rPr>
        <w:t>Guía para la Exigencia y Constitución de Garantías en los Procesos de Contratación</w:t>
      </w:r>
      <w:r w:rsidRPr="00986400">
        <w:rPr>
          <w:rFonts w:ascii="Verdana" w:hAnsi="Verdana"/>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5" w:tgtFrame="_blank" w:tooltip="Dirección URL original: https://www.colombiacompra.gov.co/archivos/manual/guia-de-garantias-en-procesos-de-contratacion. Haga clic o pulse si confía en este vínculo." w:history="1">
        <w:r w:rsidRPr="00986400">
          <w:rPr>
            <w:rStyle w:val="Hipervnculo"/>
            <w:rFonts w:ascii="Verdana" w:hAnsi="Verdana"/>
          </w:rPr>
          <w:t>https://www.colombiacompra.gov.co/archivos/manual/guia-de-garantias-en-procesos-de-contratacion</w:t>
        </w:r>
      </w:hyperlink>
    </w:p>
    <w:p w14:paraId="39F7BFB3" w14:textId="77777777" w:rsidR="002F2C6F" w:rsidRDefault="002F2C6F" w:rsidP="002F2C6F">
      <w:pPr>
        <w:spacing w:after="0" w:line="240" w:lineRule="auto"/>
        <w:jc w:val="both"/>
        <w:rPr>
          <w:rFonts w:ascii="Verdana" w:hAnsi="Verdana" w:cs="Arial"/>
          <w:bCs/>
          <w:shd w:val="clear" w:color="auto" w:fill="FFFFFF"/>
        </w:rPr>
      </w:pPr>
    </w:p>
    <w:p w14:paraId="70820B38" w14:textId="77777777" w:rsidR="002F2C6F" w:rsidRPr="00321DC0" w:rsidRDefault="002F2C6F" w:rsidP="002F2C6F">
      <w:pPr>
        <w:spacing w:after="120" w:line="276" w:lineRule="auto"/>
        <w:jc w:val="both"/>
        <w:rPr>
          <w:rFonts w:ascii="Verdana" w:hAnsi="Verdana" w:cs="Arial"/>
          <w:bCs/>
          <w:shd w:val="clear" w:color="auto" w:fill="FFFFFF"/>
        </w:rPr>
      </w:pPr>
      <w:r w:rsidRPr="00986400">
        <w:rPr>
          <w:rFonts w:ascii="Verdana" w:hAnsi="Verdana"/>
        </w:rPr>
        <w:t>De otro lado, te contamos que el Decreto 287 del 19 de marzo de 2026 sustituyó los artículos 2.2.1.2.4.2.6., 2.2.1.2.4.2.7. y 2.2.1.2.4.2.8. del Decreto 1082 de 2015 y estructuró el </w:t>
      </w:r>
      <w:r w:rsidRPr="00986400">
        <w:rPr>
          <w:rFonts w:ascii="Verdana" w:hAnsi="Verdana"/>
          <w:b/>
          <w:bCs/>
        </w:rPr>
        <w:t>Sistema Integral de Preferencias en favor de las personas con discapacidad</w:t>
      </w:r>
      <w:r w:rsidRPr="00986400">
        <w:rPr>
          <w:rFonts w:ascii="Verdana" w:hAnsi="Verdana"/>
        </w:rPr>
        <w:t>, en cumplimiento del artículo 13 de la Ley Estatutaria 1618 de 2013. Para orientar su aplicación, esta Agencia expidió la </w:t>
      </w:r>
      <w:r w:rsidRPr="00986400">
        <w:rPr>
          <w:rFonts w:ascii="Verdana" w:hAnsi="Verdana"/>
          <w:b/>
          <w:bCs/>
        </w:rPr>
        <w:t>Circular Externa 003 del 12 de mayo de 2026, </w:t>
      </w:r>
      <w:r w:rsidRPr="00986400">
        <w:rPr>
          <w:rFonts w:ascii="Verdana" w:hAnsi="Verdana"/>
        </w:rPr>
        <w:t>en la que precisa quiénes son los beneficiarios, las cinco medidas que integran el sistema y su obligatoriedad según la modalidad de selección, y el régimen de transición aplicable a los procesos en curso. Consúltala aquí: </w:t>
      </w:r>
      <w:hyperlink r:id="rId16" w:tgtFrame="_blank" w:tooltip="Dirección URL original: https://www.colombiacompra.gov.co/archivos/circular/circular-externa-003-de-2026. Haga clic o pulse si confía en este vínculo." w:history="1">
        <w:r w:rsidRPr="00986400">
          <w:rPr>
            <w:rStyle w:val="Hipervnculo"/>
            <w:rFonts w:ascii="Verdana" w:hAnsi="Verdana"/>
          </w:rPr>
          <w:t>https://www.colombiacompra.gov.co/archivos/circular/circular-externa-003-de-2026</w:t>
        </w:r>
      </w:hyperlink>
    </w:p>
    <w:p w14:paraId="47F55157" w14:textId="77777777" w:rsidR="002F2C6F" w:rsidRDefault="002F2C6F" w:rsidP="002F2C6F">
      <w:pPr>
        <w:widowControl w:val="0"/>
        <w:autoSpaceDE w:val="0"/>
        <w:autoSpaceDN w:val="0"/>
        <w:spacing w:after="0" w:line="240" w:lineRule="auto"/>
        <w:jc w:val="both"/>
        <w:rPr>
          <w:rFonts w:ascii="Verdana" w:hAnsi="Verdana"/>
        </w:rPr>
      </w:pPr>
    </w:p>
    <w:p w14:paraId="293E42F6" w14:textId="77777777" w:rsidR="002F2C6F" w:rsidRDefault="002F2C6F" w:rsidP="002F2C6F">
      <w:pPr>
        <w:widowControl w:val="0"/>
        <w:autoSpaceDE w:val="0"/>
        <w:autoSpaceDN w:val="0"/>
        <w:spacing w:after="120" w:line="276" w:lineRule="auto"/>
        <w:jc w:val="both"/>
        <w:rPr>
          <w:rFonts w:ascii="Verdana" w:hAnsi="Verdana"/>
        </w:rPr>
      </w:pPr>
      <w:r w:rsidRPr="00986400">
        <w:rPr>
          <w:rFonts w:ascii="Verdana" w:hAnsi="Verdana"/>
        </w:rPr>
        <w:t>Recuerda también que la</w:t>
      </w:r>
      <w:r w:rsidRPr="00986400">
        <w:rPr>
          <w:rFonts w:ascii="Verdana" w:hAnsi="Verdana"/>
          <w:b/>
          <w:bCs/>
        </w:rPr>
        <w:t> información sobre sanciones e inhabilidades </w:t>
      </w:r>
      <w:r w:rsidRPr="00986400">
        <w:rPr>
          <w:rFonts w:ascii="Verdana" w:hAnsi="Verdana"/>
        </w:rPr>
        <w:t>solo cumple su función preventiva si llega oportunamente a los registros públicos. Sobre este deber, esta Agencia expidió la </w:t>
      </w:r>
      <w:r w:rsidRPr="00986400">
        <w:rPr>
          <w:rFonts w:ascii="Verdana" w:hAnsi="Verdana"/>
          <w:b/>
          <w:bCs/>
        </w:rPr>
        <w:t>Circular Externa 002 del 5 de mayo de 2026,</w:t>
      </w:r>
      <w:r w:rsidRPr="00986400">
        <w:rPr>
          <w:rFonts w:ascii="Verdana" w:hAnsi="Verdana"/>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7" w:tgtFrame="_blank" w:tooltip="Dirección URL original: https://www.colombiacompra.gov.co/archivos/circular/circular-externa-002-de-2026. Haga clic o pulse si confía en este vínculo." w:history="1">
        <w:r w:rsidRPr="00986400">
          <w:rPr>
            <w:rStyle w:val="Hipervnculo"/>
            <w:rFonts w:ascii="Verdana" w:hAnsi="Verdana"/>
          </w:rPr>
          <w:t>https://www.colombiacompra.gov.co/archivos/circular/circular-externa-002-de-2026</w:t>
        </w:r>
      </w:hyperlink>
    </w:p>
    <w:p w14:paraId="549B8E5D" w14:textId="77777777" w:rsidR="002F2C6F" w:rsidRDefault="002F2C6F" w:rsidP="002F2C6F">
      <w:pPr>
        <w:widowControl w:val="0"/>
        <w:autoSpaceDE w:val="0"/>
        <w:autoSpaceDN w:val="0"/>
        <w:spacing w:after="0" w:line="240" w:lineRule="auto"/>
        <w:jc w:val="both"/>
        <w:rPr>
          <w:rFonts w:ascii="Verdana" w:hAnsi="Verdana"/>
        </w:rPr>
      </w:pPr>
    </w:p>
    <w:p w14:paraId="6EB16C0F" w14:textId="77777777" w:rsidR="002F2C6F" w:rsidRDefault="002F2C6F" w:rsidP="002F2C6F">
      <w:pPr>
        <w:widowControl w:val="0"/>
        <w:autoSpaceDE w:val="0"/>
        <w:autoSpaceDN w:val="0"/>
        <w:spacing w:after="120" w:line="276" w:lineRule="auto"/>
        <w:jc w:val="both"/>
        <w:rPr>
          <w:rFonts w:ascii="Verdana" w:hAnsi="Verdana"/>
        </w:rPr>
      </w:pPr>
      <w:r w:rsidRPr="00986400">
        <w:rPr>
          <w:rFonts w:ascii="Verdana" w:hAnsi="Verdana"/>
        </w:rPr>
        <w:t>Finalmente, si quieres seguir de cerca la actividad de la Agencia, la tercera edición de 2026 del</w:t>
      </w:r>
      <w:r w:rsidRPr="00986400">
        <w:rPr>
          <w:rFonts w:ascii="Verdana" w:hAnsi="Verdana"/>
          <w:b/>
          <w:bCs/>
        </w:rPr>
        <w:t> Radar de la Compra Pública</w:t>
      </w:r>
      <w:r w:rsidRPr="00986400">
        <w:rPr>
          <w:rFonts w:ascii="Verdana" w:hAnsi="Verdana"/>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8" w:tgtFrame="_blank" w:tooltip="Dirección URL original: https://www.colombiacompra.gov.co/archivos/boletin/boletin-edicion-n-3-de-2026-radar-de-la-compra-publica. Haga clic o pulse si confía en este vínculo." w:history="1">
        <w:r w:rsidRPr="00986400">
          <w:rPr>
            <w:rStyle w:val="Hipervnculo"/>
            <w:rFonts w:ascii="Verdana" w:hAnsi="Verdana"/>
          </w:rPr>
          <w:t>https://www.colombiacompra.gov.co/archivos/boletin/boletin-edicion-n-3-de-2026-radar-de-la-compra-publica</w:t>
        </w:r>
      </w:hyperlink>
      <w:r w:rsidRPr="00986400">
        <w:rPr>
          <w:rFonts w:ascii="Verdana" w:hAnsi="Verdana"/>
        </w:rPr>
        <w:t>"</w:t>
      </w:r>
    </w:p>
    <w:p w14:paraId="278B7955" w14:textId="77777777" w:rsidR="002F2C6F" w:rsidRDefault="002F2C6F" w:rsidP="002F2C6F">
      <w:pPr>
        <w:widowControl w:val="0"/>
        <w:autoSpaceDE w:val="0"/>
        <w:autoSpaceDN w:val="0"/>
        <w:spacing w:after="0" w:line="240" w:lineRule="auto"/>
        <w:jc w:val="both"/>
        <w:rPr>
          <w:rFonts w:ascii="Verdana" w:hAnsi="Verdana"/>
        </w:rPr>
      </w:pPr>
    </w:p>
    <w:p w14:paraId="2CBA6B5A" w14:textId="77777777" w:rsidR="002F2C6F" w:rsidRPr="00986400" w:rsidRDefault="002F2C6F" w:rsidP="002F2C6F">
      <w:pPr>
        <w:widowControl w:val="0"/>
        <w:autoSpaceDE w:val="0"/>
        <w:autoSpaceDN w:val="0"/>
        <w:spacing w:after="120" w:line="276" w:lineRule="auto"/>
        <w:jc w:val="both"/>
        <w:rPr>
          <w:rFonts w:ascii="Verdana" w:hAnsi="Verdana"/>
        </w:rPr>
      </w:pPr>
      <w:r w:rsidRPr="001A68FB">
        <w:rPr>
          <w:rFonts w:ascii="Verdana" w:hAnsi="Verdana"/>
        </w:rPr>
        <w:t>Por último, aprovechamos la oportunidad de manifestar la entera disposición de la Agencia Nacional de Contratación Pública –Colombia Compra Eficiente– para atender las peticiones o solicitudes, así como para brindar el apoyo que se requiera en el marco de nuestras funciones a través de nuestros diferentes canales de atención:</w:t>
      </w:r>
      <w:r w:rsidRPr="00116940">
        <w:rPr>
          <w:rFonts w:ascii="Verdana" w:hAnsi="Verdana"/>
        </w:rPr>
        <w:t xml:space="preserve"> </w:t>
      </w:r>
    </w:p>
    <w:p w14:paraId="06B51B63" w14:textId="77777777" w:rsidR="002F2C6F" w:rsidRPr="00116940" w:rsidRDefault="002F2C6F" w:rsidP="002F2C6F">
      <w:pPr>
        <w:pStyle w:val="Prrafodelista"/>
        <w:numPr>
          <w:ilvl w:val="0"/>
          <w:numId w:val="15"/>
        </w:numPr>
        <w:spacing w:after="0" w:line="276" w:lineRule="auto"/>
        <w:contextualSpacing w:val="0"/>
        <w:jc w:val="both"/>
        <w:rPr>
          <w:rFonts w:ascii="Verdana" w:eastAsia="Verdana" w:hAnsi="Verdana" w:cs="Verdana"/>
          <w:color w:val="4472C4" w:themeColor="accent1"/>
          <w:u w:val="single"/>
          <w:lang w:val="es-MX"/>
        </w:rPr>
      </w:pPr>
      <w:r w:rsidRPr="00116940">
        <w:rPr>
          <w:rFonts w:ascii="Verdana" w:eastAsia="Verdana" w:hAnsi="Verdana" w:cs="Verdana"/>
          <w:lang w:val="es-MX"/>
        </w:rPr>
        <w:t xml:space="preserve">Línea nacional gratuita o servicio a la ciudadanía (Mesa de servicio): </w:t>
      </w:r>
      <w:r w:rsidRPr="00116940">
        <w:rPr>
          <w:rStyle w:val="Hipervnculo"/>
          <w:rFonts w:ascii="Verdana" w:hAnsi="Verdana"/>
        </w:rPr>
        <w:t>01800 0520808</w:t>
      </w:r>
    </w:p>
    <w:p w14:paraId="6CE86793" w14:textId="77777777" w:rsidR="002F2C6F" w:rsidRPr="00116940" w:rsidRDefault="002F2C6F" w:rsidP="002F2C6F">
      <w:pPr>
        <w:pStyle w:val="Prrafodelista"/>
        <w:numPr>
          <w:ilvl w:val="0"/>
          <w:numId w:val="15"/>
        </w:numPr>
        <w:spacing w:after="0" w:line="276" w:lineRule="auto"/>
        <w:contextualSpacing w:val="0"/>
        <w:rPr>
          <w:rFonts w:ascii="Verdana" w:eastAsia="Verdana" w:hAnsi="Verdana" w:cs="Verdana"/>
          <w:color w:val="4472C4" w:themeColor="accent1"/>
          <w:u w:val="single"/>
          <w:lang w:val="es-MX"/>
        </w:rPr>
      </w:pPr>
      <w:r w:rsidRPr="00116940">
        <w:rPr>
          <w:rFonts w:ascii="Verdana" w:eastAsia="Verdana" w:hAnsi="Verdana" w:cs="Verdana"/>
          <w:lang w:val="es-MX"/>
        </w:rPr>
        <w:t>Línea en Bogotá (Mesa de servicio</w:t>
      </w:r>
      <w:proofErr w:type="gramStart"/>
      <w:r w:rsidRPr="00116940">
        <w:rPr>
          <w:rFonts w:ascii="Verdana" w:eastAsia="Verdana" w:hAnsi="Verdana" w:cs="Verdana"/>
          <w:lang w:val="es-MX"/>
        </w:rPr>
        <w:t>):</w:t>
      </w:r>
      <w:r w:rsidRPr="00116940">
        <w:rPr>
          <w:rStyle w:val="Hipervnculo"/>
          <w:rFonts w:ascii="Verdana" w:hAnsi="Verdana"/>
        </w:rPr>
        <w:t>+</w:t>
      </w:r>
      <w:proofErr w:type="gramEnd"/>
      <w:r w:rsidRPr="00116940">
        <w:rPr>
          <w:rStyle w:val="Hipervnculo"/>
          <w:rFonts w:ascii="Verdana" w:hAnsi="Verdana"/>
        </w:rPr>
        <w:t>57 601 7456788</w:t>
      </w:r>
    </w:p>
    <w:p w14:paraId="2ADA5E9A" w14:textId="77777777" w:rsidR="002F2C6F" w:rsidRPr="00116940" w:rsidRDefault="002F2C6F" w:rsidP="002F2C6F">
      <w:pPr>
        <w:pStyle w:val="Prrafodelista"/>
        <w:numPr>
          <w:ilvl w:val="0"/>
          <w:numId w:val="15"/>
        </w:numPr>
        <w:spacing w:after="0" w:line="276" w:lineRule="auto"/>
        <w:contextualSpacing w:val="0"/>
        <w:rPr>
          <w:rFonts w:ascii="Verdana" w:eastAsia="Verdana" w:hAnsi="Verdana" w:cs="Verdana"/>
          <w:color w:val="0000FF"/>
          <w:u w:val="single"/>
          <w:lang w:val="es-MX"/>
        </w:rPr>
      </w:pPr>
      <w:r w:rsidRPr="00116940">
        <w:rPr>
          <w:rFonts w:ascii="Verdana" w:eastAsia="Verdana" w:hAnsi="Verdana" w:cs="Verdana"/>
          <w:lang w:val="es-MX"/>
        </w:rPr>
        <w:t xml:space="preserve">Correo de radicación de correspondencia: </w:t>
      </w:r>
      <w:hyperlink r:id="rId19">
        <w:r w:rsidRPr="00116940">
          <w:rPr>
            <w:rStyle w:val="Hipervnculo"/>
            <w:rFonts w:ascii="Verdana" w:eastAsia="Verdana" w:hAnsi="Verdana" w:cs="Verdana"/>
            <w:lang w:val="es-MX"/>
          </w:rPr>
          <w:t>ventanilladeradicacion@colombiacompra.gov.co</w:t>
        </w:r>
      </w:hyperlink>
    </w:p>
    <w:p w14:paraId="166BF883" w14:textId="77777777" w:rsidR="002F2C6F" w:rsidRPr="00116940" w:rsidRDefault="002F2C6F" w:rsidP="002F2C6F">
      <w:pPr>
        <w:pStyle w:val="Prrafodelista"/>
        <w:numPr>
          <w:ilvl w:val="0"/>
          <w:numId w:val="15"/>
        </w:numPr>
        <w:spacing w:after="0" w:line="276" w:lineRule="auto"/>
        <w:contextualSpacing w:val="0"/>
        <w:rPr>
          <w:rFonts w:ascii="Verdana" w:eastAsia="Verdana" w:hAnsi="Verdana" w:cs="Verdana"/>
          <w:color w:val="0000FF"/>
          <w:u w:val="single"/>
          <w:lang w:val="es-MX"/>
        </w:rPr>
      </w:pPr>
      <w:r w:rsidRPr="00116940">
        <w:rPr>
          <w:rFonts w:ascii="Verdana" w:eastAsia="Verdana" w:hAnsi="Verdana" w:cs="Verdana"/>
        </w:rPr>
        <w:t>Formulario web para</w:t>
      </w:r>
      <w:r w:rsidRPr="00116940">
        <w:rPr>
          <w:rFonts w:ascii="Verdana" w:eastAsia="Verdana" w:hAnsi="Verdana" w:cs="Verdana"/>
          <w:lang w:val="es"/>
        </w:rPr>
        <w:t xml:space="preserve"> PQRSD: </w:t>
      </w:r>
      <w:hyperlink r:id="rId20">
        <w:r w:rsidRPr="00116940">
          <w:rPr>
            <w:rStyle w:val="Hipervnculo"/>
            <w:rFonts w:ascii="Verdana" w:eastAsia="Verdana" w:hAnsi="Verdana" w:cs="Verdana"/>
            <w:lang w:val="es-MX"/>
          </w:rPr>
          <w:t>https://www.colombiacompra.gov.co/pqrsd/informacion-importante-antes-de-formular-una-pqrsd</w:t>
        </w:r>
      </w:hyperlink>
    </w:p>
    <w:p w14:paraId="472986C4" w14:textId="77777777" w:rsidR="002F2C6F" w:rsidRDefault="002F2C6F" w:rsidP="002F2C6F">
      <w:pPr>
        <w:spacing w:after="0" w:line="276" w:lineRule="auto"/>
        <w:jc w:val="both"/>
        <w:rPr>
          <w:rFonts w:ascii="Verdana" w:hAnsi="Verdana"/>
        </w:rPr>
      </w:pPr>
    </w:p>
    <w:p w14:paraId="1F23EA7E" w14:textId="77777777" w:rsidR="002F2C6F" w:rsidRDefault="002F2C6F" w:rsidP="002F2C6F">
      <w:pPr>
        <w:spacing w:after="0" w:line="276" w:lineRule="auto"/>
        <w:jc w:val="both"/>
        <w:rPr>
          <w:rFonts w:ascii="Verdana" w:hAnsi="Verdana"/>
        </w:rPr>
      </w:pPr>
      <w:r w:rsidRPr="00116940">
        <w:rPr>
          <w:rFonts w:ascii="Verdana" w:hAnsi="Verdana"/>
        </w:rPr>
        <w:t>Evalúa el servicio que ofrece la Agencia por el canal de atención de PQRSD en el siguiente enlace:</w:t>
      </w:r>
      <w:r>
        <w:rPr>
          <w:rFonts w:ascii="Verdana" w:hAnsi="Verdana"/>
        </w:rPr>
        <w:t xml:space="preserve"> </w:t>
      </w:r>
      <w:hyperlink r:id="rId21" w:history="1">
        <w:r w:rsidRPr="008746BD">
          <w:rPr>
            <w:rStyle w:val="Hipervnculo"/>
            <w:rFonts w:ascii="Verdana" w:eastAsia="Verdana" w:hAnsi="Verdana" w:cs="Verdana"/>
            <w:lang w:val="es-MX"/>
          </w:rPr>
          <w:t>https://forms.office.com/r/pPHyWVs2SZ</w:t>
        </w:r>
      </w:hyperlink>
      <w:r w:rsidRPr="008746BD">
        <w:rPr>
          <w:rStyle w:val="Hipervnculo"/>
          <w:rFonts w:ascii="Verdana" w:eastAsia="Verdana" w:hAnsi="Verdana" w:cs="Verdana"/>
          <w:lang w:val="es-MX"/>
        </w:rPr>
        <w:t>.</w:t>
      </w:r>
      <w:r>
        <w:rPr>
          <w:rFonts w:ascii="Verdana" w:hAnsi="Verdana"/>
        </w:rPr>
        <w:t xml:space="preserve"> </w:t>
      </w:r>
      <w:r w:rsidRPr="00116940">
        <w:rPr>
          <w:rFonts w:ascii="Verdana" w:hAnsi="Verdana"/>
        </w:rPr>
        <w:t>¡Ayúdanos a mejorar porque el compromiso es de todos!</w:t>
      </w:r>
    </w:p>
    <w:p w14:paraId="3FE79CB8" w14:textId="77777777" w:rsidR="002F2C6F" w:rsidRDefault="002F2C6F" w:rsidP="002F2C6F">
      <w:pPr>
        <w:spacing w:after="0" w:line="240" w:lineRule="auto"/>
        <w:jc w:val="both"/>
        <w:rPr>
          <w:rFonts w:ascii="Verdana" w:hAnsi="Verdana"/>
        </w:rPr>
      </w:pPr>
    </w:p>
    <w:p w14:paraId="33741A7B" w14:textId="77777777" w:rsidR="002F2C6F" w:rsidRPr="00116940" w:rsidRDefault="002F2C6F" w:rsidP="002F2C6F">
      <w:pPr>
        <w:spacing w:after="0" w:line="276" w:lineRule="auto"/>
        <w:jc w:val="both"/>
        <w:rPr>
          <w:rFonts w:ascii="Verdana" w:hAnsi="Verdana"/>
        </w:rPr>
      </w:pPr>
      <w:r w:rsidRPr="00116940">
        <w:rPr>
          <w:rFonts w:ascii="Verdana" w:hAnsi="Verdana"/>
        </w:rPr>
        <w:t xml:space="preserve">Por último, lo invitamos a seguirnos en las redes sociales en las cuales se difunde información institucional: </w:t>
      </w:r>
    </w:p>
    <w:p w14:paraId="1E600EA8" w14:textId="77777777" w:rsidR="002F2C6F" w:rsidRPr="00116940" w:rsidRDefault="002F2C6F" w:rsidP="002F2C6F">
      <w:pPr>
        <w:spacing w:after="0" w:line="276" w:lineRule="auto"/>
        <w:jc w:val="both"/>
        <w:rPr>
          <w:rFonts w:ascii="Verdana" w:hAnsi="Verdana"/>
        </w:rPr>
      </w:pPr>
      <w:r w:rsidRPr="00116940">
        <w:rPr>
          <w:rFonts w:ascii="Verdana" w:hAnsi="Verdana"/>
        </w:rPr>
        <w:t xml:space="preserve">Twitter: </w:t>
      </w:r>
      <w:r w:rsidRPr="00116940">
        <w:rPr>
          <w:rStyle w:val="Hipervnculo"/>
          <w:rFonts w:ascii="Verdana" w:hAnsi="Verdana"/>
        </w:rPr>
        <w:t>@colombiacompra</w:t>
      </w:r>
      <w:r w:rsidRPr="00116940">
        <w:rPr>
          <w:rFonts w:ascii="Verdana" w:hAnsi="Verdana"/>
        </w:rPr>
        <w:t xml:space="preserve"> </w:t>
      </w:r>
    </w:p>
    <w:p w14:paraId="661EF3E2" w14:textId="77777777" w:rsidR="002F2C6F" w:rsidRPr="00116940" w:rsidRDefault="002F2C6F" w:rsidP="002F2C6F">
      <w:pPr>
        <w:spacing w:after="0" w:line="276" w:lineRule="auto"/>
        <w:jc w:val="both"/>
        <w:rPr>
          <w:rFonts w:ascii="Verdana" w:hAnsi="Verdana"/>
        </w:rPr>
      </w:pPr>
      <w:r w:rsidRPr="00116940">
        <w:rPr>
          <w:rFonts w:ascii="Verdana" w:hAnsi="Verdana"/>
        </w:rPr>
        <w:t xml:space="preserve">Facebook: </w:t>
      </w:r>
      <w:proofErr w:type="spellStart"/>
      <w:r w:rsidRPr="00116940">
        <w:rPr>
          <w:rStyle w:val="Hipervnculo"/>
          <w:rFonts w:ascii="Verdana" w:hAnsi="Verdana"/>
        </w:rPr>
        <w:t>ColombiaCompraEficiente</w:t>
      </w:r>
      <w:proofErr w:type="spellEnd"/>
    </w:p>
    <w:p w14:paraId="4C7F0F6D" w14:textId="77777777" w:rsidR="002F2C6F" w:rsidRPr="00116940" w:rsidRDefault="002F2C6F" w:rsidP="002F2C6F">
      <w:pPr>
        <w:spacing w:after="0" w:line="276" w:lineRule="auto"/>
        <w:jc w:val="both"/>
        <w:rPr>
          <w:rFonts w:ascii="Verdana" w:hAnsi="Verdana"/>
        </w:rPr>
      </w:pPr>
      <w:r w:rsidRPr="00116940">
        <w:rPr>
          <w:rFonts w:ascii="Verdana" w:hAnsi="Verdana"/>
        </w:rPr>
        <w:t xml:space="preserve">LinkedIn: </w:t>
      </w:r>
      <w:r w:rsidRPr="00116940">
        <w:rPr>
          <w:rStyle w:val="Hipervnculo"/>
          <w:rFonts w:ascii="Verdana" w:hAnsi="Verdana"/>
        </w:rPr>
        <w:t>Agencia Nacional de Contratación Pública - Colombia Compra Eficiente</w:t>
      </w:r>
      <w:r w:rsidRPr="00116940">
        <w:rPr>
          <w:rFonts w:ascii="Verdana" w:hAnsi="Verdana"/>
        </w:rPr>
        <w:t xml:space="preserve"> Instagram: </w:t>
      </w:r>
      <w:r w:rsidRPr="00116940">
        <w:rPr>
          <w:rStyle w:val="Hipervnculo"/>
          <w:rFonts w:ascii="Verdana" w:hAnsi="Verdana"/>
        </w:rPr>
        <w:t>@colombiacompraeficiente_cce</w:t>
      </w:r>
    </w:p>
    <w:p w14:paraId="417F98C5" w14:textId="77777777" w:rsidR="002F2C6F" w:rsidRDefault="002F2C6F" w:rsidP="002F2C6F">
      <w:pPr>
        <w:spacing w:after="0" w:line="276" w:lineRule="auto"/>
        <w:jc w:val="both"/>
        <w:rPr>
          <w:rFonts w:ascii="Century Gothic" w:eastAsia="Century Gothic" w:hAnsi="Century Gothic" w:cs="Century Gothic"/>
          <w:lang w:val="es-ES" w:eastAsia="es-ES_tradnl"/>
        </w:rPr>
      </w:pPr>
    </w:p>
    <w:p w14:paraId="5714A50B" w14:textId="77777777" w:rsidR="002F2C6F" w:rsidRPr="00842775" w:rsidRDefault="002F2C6F" w:rsidP="002F2C6F">
      <w:pPr>
        <w:spacing w:after="120" w:line="276" w:lineRule="auto"/>
        <w:jc w:val="both"/>
        <w:rPr>
          <w:rFonts w:ascii="Verdana" w:hAnsi="Verdana"/>
          <w:lang w:val="es-MX"/>
        </w:rPr>
      </w:pPr>
      <w:r w:rsidRPr="00842775">
        <w:rPr>
          <w:rFonts w:ascii="Verdana" w:eastAsia="Century Gothic" w:hAnsi="Verdana" w:cs="Century Gothic"/>
          <w:lang w:val="es-ES" w:eastAsia="es-ES_tradnl"/>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r>
        <w:rPr>
          <w:rFonts w:ascii="Verdana" w:eastAsia="Century Gothic" w:hAnsi="Verdana" w:cs="Century Gothic"/>
          <w:lang w:val="es-ES" w:eastAsia="es-ES_tradnl"/>
        </w:rPr>
        <w:t>.</w:t>
      </w:r>
    </w:p>
    <w:p w14:paraId="4E0C6AEA" w14:textId="77777777" w:rsidR="002F2C6F" w:rsidRDefault="002F2C6F" w:rsidP="002F2C6F">
      <w:pPr>
        <w:spacing w:after="0" w:line="276" w:lineRule="auto"/>
        <w:jc w:val="both"/>
        <w:rPr>
          <w:rFonts w:ascii="Verdana" w:hAnsi="Verdana"/>
          <w:lang w:val="es-MX"/>
        </w:rPr>
      </w:pPr>
    </w:p>
    <w:p w14:paraId="4D6E7DA1" w14:textId="77777777" w:rsidR="002F2C6F" w:rsidRPr="00330029" w:rsidRDefault="002F2C6F" w:rsidP="002F2C6F">
      <w:pPr>
        <w:spacing w:after="0" w:line="276" w:lineRule="auto"/>
        <w:jc w:val="both"/>
        <w:rPr>
          <w:rFonts w:ascii="Verdana" w:hAnsi="Verdana"/>
          <w:lang w:val="es-MX"/>
        </w:rPr>
      </w:pPr>
      <w:r w:rsidRPr="00E02524">
        <w:rPr>
          <w:rFonts w:ascii="Verdana" w:hAnsi="Verdana"/>
          <w:lang w:val="es-MX"/>
        </w:rPr>
        <w:t>Cordialmente,</w:t>
      </w:r>
    </w:p>
    <w:p w14:paraId="22D67589" w14:textId="1B721564" w:rsidR="002F2C6F" w:rsidRDefault="002F2C6F" w:rsidP="002F2C6F">
      <w:pPr>
        <w:spacing w:after="0" w:line="256" w:lineRule="auto"/>
        <w:jc w:val="center"/>
        <w:rPr>
          <w:rFonts w:ascii="Verdana" w:eastAsia="Calibri" w:hAnsi="Verdana" w:cs="Times New Roman"/>
        </w:rPr>
      </w:pPr>
    </w:p>
    <w:p w14:paraId="1867DFC4" w14:textId="4F904DDC" w:rsidR="002F2C6F" w:rsidRDefault="00347903" w:rsidP="002F2C6F">
      <w:pPr>
        <w:spacing w:after="0" w:line="256" w:lineRule="auto"/>
        <w:jc w:val="center"/>
        <w:rPr>
          <w:rFonts w:ascii="Verdana" w:eastAsia="Calibri" w:hAnsi="Verdana" w:cs="Times New Roman"/>
        </w:rPr>
      </w:pPr>
      <w:r w:rsidRPr="0065791A">
        <w:rPr>
          <w:rFonts w:ascii="Century Gothic" w:hAnsi="Century Gothic"/>
          <w:noProof/>
        </w:rPr>
        <w:drawing>
          <wp:inline distT="0" distB="0" distL="0" distR="0" wp14:anchorId="6E07D134" wp14:editId="3CF1A164">
            <wp:extent cx="3962953" cy="1867161"/>
            <wp:effectExtent l="0" t="0" r="0" b="0"/>
            <wp:docPr id="119417683" name="Imagen 1" descr="Interfaz de usuario gráfica, Texto, Aplicación&#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17683" name="Imagen 1" descr="Interfaz de usuario gráfica, Texto, Aplicación&#10;&#10;Descripción generada automáticamente con confianza media"/>
                    <pic:cNvPicPr/>
                  </pic:nvPicPr>
                  <pic:blipFill>
                    <a:blip r:embed="rId22"/>
                    <a:stretch>
                      <a:fillRect/>
                    </a:stretch>
                  </pic:blipFill>
                  <pic:spPr>
                    <a:xfrm>
                      <a:off x="0" y="0"/>
                      <a:ext cx="3962953" cy="1867161"/>
                    </a:xfrm>
                    <a:prstGeom prst="rect">
                      <a:avLst/>
                    </a:prstGeom>
                  </pic:spPr>
                </pic:pic>
              </a:graphicData>
            </a:graphic>
          </wp:inline>
        </w:drawing>
      </w:r>
    </w:p>
    <w:p w14:paraId="3AD6721D" w14:textId="77777777" w:rsidR="00347903" w:rsidRDefault="00347903" w:rsidP="002F2C6F">
      <w:pPr>
        <w:spacing w:after="0" w:line="256" w:lineRule="auto"/>
        <w:jc w:val="center"/>
        <w:rPr>
          <w:rFonts w:ascii="Verdana" w:eastAsia="Calibri" w:hAnsi="Verdana" w:cs="Times New Roman"/>
        </w:rPr>
      </w:pPr>
    </w:p>
    <w:tbl>
      <w:tblPr>
        <w:tblStyle w:val="Tablaconcuadrcula"/>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061"/>
      </w:tblGrid>
      <w:tr w:rsidR="002F2C6F" w:rsidRPr="00C9162A" w14:paraId="1EF11C30" w14:textId="77777777" w:rsidTr="00902C3B">
        <w:trPr>
          <w:trHeight w:val="288"/>
        </w:trPr>
        <w:tc>
          <w:tcPr>
            <w:tcW w:w="893" w:type="dxa"/>
            <w:vAlign w:val="center"/>
            <w:hideMark/>
          </w:tcPr>
          <w:p w14:paraId="64001142" w14:textId="77777777" w:rsidR="002F2C6F" w:rsidRPr="00C9162A" w:rsidRDefault="002F2C6F" w:rsidP="00902C3B">
            <w:pPr>
              <w:contextualSpacing/>
              <w:rPr>
                <w:rFonts w:ascii="Verdana" w:hAnsi="Verdana" w:cs="Arial"/>
                <w:sz w:val="14"/>
                <w:szCs w:val="14"/>
                <w:lang w:eastAsia="es-ES"/>
              </w:rPr>
            </w:pPr>
            <w:r w:rsidRPr="00C9162A">
              <w:rPr>
                <w:rFonts w:ascii="Verdana" w:hAnsi="Verdana" w:cs="Arial"/>
                <w:sz w:val="14"/>
                <w:szCs w:val="14"/>
                <w:lang w:eastAsia="es-ES"/>
              </w:rPr>
              <w:t>Elaboró:</w:t>
            </w:r>
          </w:p>
        </w:tc>
        <w:tc>
          <w:tcPr>
            <w:tcW w:w="5061" w:type="dxa"/>
            <w:tcBorders>
              <w:top w:val="nil"/>
              <w:left w:val="nil"/>
              <w:bottom w:val="dotted" w:sz="4" w:space="0" w:color="7F7F7F" w:themeColor="text1" w:themeTint="80"/>
              <w:right w:val="nil"/>
            </w:tcBorders>
            <w:vAlign w:val="center"/>
            <w:hideMark/>
          </w:tcPr>
          <w:p w14:paraId="71A2ED83" w14:textId="77777777" w:rsidR="002F2C6F" w:rsidRPr="00C9162A" w:rsidRDefault="002F2C6F" w:rsidP="00902C3B">
            <w:pPr>
              <w:contextualSpacing/>
              <w:rPr>
                <w:rStyle w:val="normaltextrun"/>
                <w:rFonts w:ascii="Verdana" w:hAnsi="Verdana"/>
                <w:sz w:val="14"/>
                <w:szCs w:val="14"/>
              </w:rPr>
            </w:pPr>
            <w:r w:rsidRPr="00C9162A">
              <w:rPr>
                <w:rStyle w:val="normaltextrun"/>
                <w:rFonts w:ascii="Verdana" w:hAnsi="Verdana"/>
                <w:sz w:val="14"/>
                <w:szCs w:val="14"/>
              </w:rPr>
              <w:t xml:space="preserve">Esperanza Contreras P </w:t>
            </w:r>
          </w:p>
          <w:p w14:paraId="127EA0F2" w14:textId="77777777" w:rsidR="002F2C6F" w:rsidRPr="00C9162A" w:rsidRDefault="002F2C6F" w:rsidP="00902C3B">
            <w:pPr>
              <w:contextualSpacing/>
              <w:rPr>
                <w:rFonts w:ascii="Verdana" w:eastAsia="Arial" w:hAnsi="Verdana" w:cs="Arial"/>
                <w:sz w:val="14"/>
                <w:szCs w:val="14"/>
              </w:rPr>
            </w:pPr>
            <w:r w:rsidRPr="00C9162A">
              <w:rPr>
                <w:rStyle w:val="normaltextrun"/>
                <w:rFonts w:ascii="Verdana" w:hAnsi="Verdana" w:cs="Arial"/>
                <w:sz w:val="14"/>
                <w:szCs w:val="14"/>
              </w:rPr>
              <w:t>Contratista de la Subdirección de Gestión Contractual</w:t>
            </w:r>
            <w:r w:rsidRPr="00C9162A">
              <w:rPr>
                <w:rStyle w:val="eop"/>
                <w:rFonts w:ascii="Verdana" w:hAnsi="Verdana" w:cs="Arial"/>
                <w:sz w:val="14"/>
                <w:szCs w:val="14"/>
              </w:rPr>
              <w:t> </w:t>
            </w:r>
          </w:p>
        </w:tc>
      </w:tr>
      <w:tr w:rsidR="002F2C6F" w:rsidRPr="00C9162A" w14:paraId="0A477AF5" w14:textId="77777777" w:rsidTr="00902C3B">
        <w:trPr>
          <w:trHeight w:val="330"/>
        </w:trPr>
        <w:tc>
          <w:tcPr>
            <w:tcW w:w="893" w:type="dxa"/>
            <w:vAlign w:val="center"/>
            <w:hideMark/>
          </w:tcPr>
          <w:p w14:paraId="22D320BA" w14:textId="77777777" w:rsidR="002F2C6F" w:rsidRPr="00C9162A" w:rsidRDefault="002F2C6F" w:rsidP="00902C3B">
            <w:pPr>
              <w:contextualSpacing/>
              <w:rPr>
                <w:rFonts w:ascii="Verdana" w:hAnsi="Verdana" w:cs="Arial"/>
                <w:sz w:val="14"/>
                <w:szCs w:val="14"/>
                <w:lang w:eastAsia="es-ES"/>
              </w:rPr>
            </w:pPr>
            <w:r w:rsidRPr="00C9162A">
              <w:rPr>
                <w:rFonts w:ascii="Verdana" w:hAnsi="Verdana" w:cs="Arial"/>
                <w:sz w:val="14"/>
                <w:szCs w:val="14"/>
                <w:lang w:eastAsia="es-ES"/>
              </w:rPr>
              <w:t>Revisó:</w:t>
            </w:r>
          </w:p>
        </w:tc>
        <w:tc>
          <w:tcPr>
            <w:tcW w:w="5061" w:type="dxa"/>
            <w:tcBorders>
              <w:top w:val="dotted" w:sz="4" w:space="0" w:color="7F7F7F" w:themeColor="text1" w:themeTint="80"/>
              <w:left w:val="nil"/>
              <w:bottom w:val="dotted" w:sz="4" w:space="0" w:color="7F7F7F" w:themeColor="text1" w:themeTint="80"/>
              <w:right w:val="nil"/>
            </w:tcBorders>
            <w:vAlign w:val="center"/>
            <w:hideMark/>
          </w:tcPr>
          <w:p w14:paraId="189B3765" w14:textId="77777777" w:rsidR="002F2C6F" w:rsidRPr="00C9162A" w:rsidRDefault="002F2C6F" w:rsidP="00902C3B">
            <w:pPr>
              <w:pStyle w:val="paragraph"/>
              <w:spacing w:before="0" w:beforeAutospacing="0" w:after="0" w:afterAutospacing="0"/>
              <w:contextualSpacing/>
              <w:textAlignment w:val="baseline"/>
              <w:rPr>
                <w:rStyle w:val="normaltextrun"/>
                <w:rFonts w:ascii="Verdana" w:hAnsi="Verdana"/>
                <w:sz w:val="14"/>
                <w:szCs w:val="14"/>
              </w:rPr>
            </w:pPr>
            <w:r w:rsidRPr="00C9162A">
              <w:rPr>
                <w:rStyle w:val="normaltextrun"/>
                <w:rFonts w:ascii="Verdana" w:hAnsi="Verdana"/>
                <w:sz w:val="14"/>
                <w:szCs w:val="14"/>
              </w:rPr>
              <w:t xml:space="preserve">Diana Lucía Saavedra Castañeda. </w:t>
            </w:r>
          </w:p>
          <w:p w14:paraId="15A8DD89" w14:textId="77777777" w:rsidR="002F2C6F" w:rsidRPr="00C9162A" w:rsidRDefault="002F2C6F" w:rsidP="00902C3B">
            <w:pPr>
              <w:pStyle w:val="paragraph"/>
              <w:spacing w:before="0" w:beforeAutospacing="0" w:after="0" w:afterAutospacing="0"/>
              <w:contextualSpacing/>
              <w:textAlignment w:val="baseline"/>
              <w:rPr>
                <w:rFonts w:ascii="Verdana" w:hAnsi="Verdana" w:cs="Segoe UI"/>
                <w:sz w:val="14"/>
                <w:szCs w:val="14"/>
              </w:rPr>
            </w:pPr>
            <w:r w:rsidRPr="00C9162A">
              <w:rPr>
                <w:rStyle w:val="normaltextrun"/>
                <w:rFonts w:ascii="Verdana" w:hAnsi="Verdana"/>
                <w:sz w:val="14"/>
                <w:szCs w:val="14"/>
              </w:rPr>
              <w:t xml:space="preserve">Contratista Subdirección Gestión Contractual  </w:t>
            </w:r>
          </w:p>
        </w:tc>
      </w:tr>
      <w:tr w:rsidR="002F2C6F" w:rsidRPr="00C9162A" w14:paraId="24672D40" w14:textId="77777777" w:rsidTr="00902C3B">
        <w:trPr>
          <w:trHeight w:val="300"/>
        </w:trPr>
        <w:tc>
          <w:tcPr>
            <w:tcW w:w="893" w:type="dxa"/>
            <w:vAlign w:val="center"/>
          </w:tcPr>
          <w:p w14:paraId="7344C698" w14:textId="77777777" w:rsidR="002F2C6F" w:rsidRPr="00C9162A" w:rsidRDefault="002F2C6F" w:rsidP="00902C3B">
            <w:pPr>
              <w:contextualSpacing/>
              <w:rPr>
                <w:rFonts w:ascii="Verdana" w:hAnsi="Verdana" w:cs="Arial"/>
                <w:sz w:val="14"/>
                <w:szCs w:val="14"/>
                <w:lang w:eastAsia="es-ES"/>
              </w:rPr>
            </w:pPr>
            <w:r w:rsidRPr="00C9162A">
              <w:rPr>
                <w:rFonts w:ascii="Verdana" w:hAnsi="Verdana" w:cs="Arial"/>
                <w:sz w:val="14"/>
                <w:szCs w:val="14"/>
                <w:lang w:eastAsia="es-ES"/>
              </w:rPr>
              <w:t>Aprobó:</w:t>
            </w:r>
          </w:p>
        </w:tc>
        <w:tc>
          <w:tcPr>
            <w:tcW w:w="5061" w:type="dxa"/>
            <w:tcBorders>
              <w:top w:val="dotted" w:sz="4" w:space="0" w:color="7F7F7F" w:themeColor="text1" w:themeTint="80"/>
              <w:left w:val="nil"/>
              <w:bottom w:val="dotted" w:sz="4" w:space="0" w:color="7F7F7F" w:themeColor="text1" w:themeTint="80"/>
              <w:right w:val="nil"/>
            </w:tcBorders>
            <w:vAlign w:val="center"/>
          </w:tcPr>
          <w:p w14:paraId="30839AE6" w14:textId="77777777" w:rsidR="002F2C6F" w:rsidRPr="00C9162A" w:rsidRDefault="002F2C6F" w:rsidP="00902C3B">
            <w:pPr>
              <w:contextualSpacing/>
              <w:rPr>
                <w:rFonts w:ascii="Verdana" w:eastAsia="Calibri" w:hAnsi="Verdana" w:cs="Arial"/>
                <w:sz w:val="14"/>
                <w:szCs w:val="14"/>
                <w:lang w:eastAsia="es-ES"/>
              </w:rPr>
            </w:pPr>
            <w:r w:rsidRPr="00C9162A">
              <w:rPr>
                <w:rFonts w:ascii="Verdana" w:eastAsia="Calibri" w:hAnsi="Verdana" w:cs="Arial"/>
                <w:sz w:val="14"/>
                <w:szCs w:val="14"/>
                <w:lang w:eastAsia="es-ES"/>
              </w:rPr>
              <w:t>Carolina Quintero Gacharná</w:t>
            </w:r>
          </w:p>
          <w:p w14:paraId="43DA2FC3" w14:textId="77777777" w:rsidR="002F2C6F" w:rsidRPr="00C9162A" w:rsidRDefault="002F2C6F" w:rsidP="00902C3B">
            <w:pPr>
              <w:contextualSpacing/>
              <w:rPr>
                <w:rFonts w:ascii="Verdana" w:eastAsia="Calibri" w:hAnsi="Verdana" w:cs="Arial"/>
                <w:sz w:val="14"/>
                <w:szCs w:val="14"/>
                <w:lang w:eastAsia="es-ES"/>
              </w:rPr>
            </w:pPr>
            <w:r w:rsidRPr="00C9162A">
              <w:rPr>
                <w:rFonts w:ascii="Verdana" w:eastAsia="Calibri" w:hAnsi="Verdana" w:cs="Arial"/>
                <w:sz w:val="14"/>
                <w:szCs w:val="14"/>
                <w:lang w:eastAsia="es-ES"/>
              </w:rPr>
              <w:t>Subdirectora de Gestión Contractual ANCP – CCE</w:t>
            </w:r>
          </w:p>
        </w:tc>
      </w:tr>
      <w:bookmarkEnd w:id="1"/>
    </w:tbl>
    <w:p w14:paraId="253FA8D3" w14:textId="77777777" w:rsidR="002F2C6F" w:rsidRPr="00C9162A" w:rsidRDefault="002F2C6F" w:rsidP="002F2C6F">
      <w:pPr>
        <w:spacing w:after="0"/>
        <w:rPr>
          <w:rFonts w:ascii="Verdana" w:eastAsia="Verdana" w:hAnsi="Verdana" w:cs="Verdana"/>
          <w:sz w:val="14"/>
          <w:szCs w:val="14"/>
        </w:rPr>
      </w:pPr>
    </w:p>
    <w:p w14:paraId="163C5F73" w14:textId="77777777" w:rsidR="002F2C6F" w:rsidRPr="00C9162A" w:rsidRDefault="002F2C6F" w:rsidP="002F2C6F">
      <w:pPr>
        <w:spacing w:after="0"/>
        <w:rPr>
          <w:rFonts w:ascii="Verdana" w:eastAsia="Verdana" w:hAnsi="Verdana" w:cs="Verdana"/>
          <w:sz w:val="14"/>
          <w:szCs w:val="14"/>
        </w:rPr>
      </w:pPr>
    </w:p>
    <w:p w14:paraId="0F293BF4" w14:textId="3942BC6C" w:rsidR="00127233" w:rsidRPr="0015699B" w:rsidRDefault="00127233" w:rsidP="00DA2305">
      <w:pPr>
        <w:spacing w:after="0" w:line="240" w:lineRule="auto"/>
        <w:jc w:val="both"/>
        <w:textAlignment w:val="baseline"/>
        <w:rPr>
          <w:rFonts w:ascii="Verdana" w:eastAsia="Verdana" w:hAnsi="Verdana" w:cs="Verdana"/>
          <w:lang w:eastAsia="es-CO"/>
        </w:rPr>
      </w:pPr>
    </w:p>
    <w:sectPr w:rsidR="00127233" w:rsidRPr="0015699B" w:rsidSect="007C0C0F">
      <w:headerReference w:type="default" r:id="rId23"/>
      <w:footerReference w:type="default" r:id="rId24"/>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B3B62" w14:textId="77777777" w:rsidR="004340C4" w:rsidRDefault="004340C4" w:rsidP="004A1847">
      <w:pPr>
        <w:spacing w:after="0" w:line="240" w:lineRule="auto"/>
      </w:pPr>
      <w:r>
        <w:separator/>
      </w:r>
    </w:p>
  </w:endnote>
  <w:endnote w:type="continuationSeparator" w:id="0">
    <w:p w14:paraId="0414501F" w14:textId="77777777" w:rsidR="004340C4" w:rsidRDefault="004340C4"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E0374" w14:textId="77777777" w:rsidR="004340C4" w:rsidRDefault="004340C4" w:rsidP="004A1847">
      <w:pPr>
        <w:spacing w:after="0" w:line="240" w:lineRule="auto"/>
      </w:pPr>
      <w:r>
        <w:separator/>
      </w:r>
    </w:p>
  </w:footnote>
  <w:footnote w:type="continuationSeparator" w:id="0">
    <w:p w14:paraId="0AAF879A" w14:textId="77777777" w:rsidR="004340C4" w:rsidRDefault="004340C4" w:rsidP="004A1847">
      <w:pPr>
        <w:spacing w:after="0" w:line="240" w:lineRule="auto"/>
      </w:pPr>
      <w:r>
        <w:continuationSeparator/>
      </w:r>
    </w:p>
  </w:footnote>
  <w:footnote w:id="1">
    <w:p w14:paraId="7D362FE9" w14:textId="77777777" w:rsidR="002F2C6F" w:rsidRPr="000F233E" w:rsidRDefault="002F2C6F" w:rsidP="002F2C6F">
      <w:pPr>
        <w:pStyle w:val="Textonotapie"/>
        <w:ind w:firstLine="708"/>
        <w:jc w:val="both"/>
        <w:rPr>
          <w:rFonts w:ascii="Verdana" w:hAnsi="Verdana" w:cs="Arial"/>
          <w:sz w:val="16"/>
          <w:szCs w:val="16"/>
        </w:rPr>
      </w:pPr>
      <w:r w:rsidRPr="000F233E">
        <w:rPr>
          <w:rStyle w:val="Refdenotaalpie"/>
          <w:rFonts w:ascii="Verdana" w:hAnsi="Verdana" w:cs="Arial"/>
          <w:sz w:val="16"/>
          <w:szCs w:val="16"/>
        </w:rPr>
        <w:footnoteRef/>
      </w:r>
      <w:r w:rsidRPr="000F233E">
        <w:rPr>
          <w:rFonts w:ascii="Verdana" w:hAnsi="Verdana" w:cs="Arial"/>
          <w:sz w:val="16"/>
          <w:szCs w:val="16"/>
        </w:rPr>
        <w:t xml:space="preserve"> EXPÓSITO VÉLEZ, Juan Carlos. Forma y contenido del contrato estatal, Bogotá: Universidad Externado de Colombia, 2013, p. 190. </w:t>
      </w:r>
    </w:p>
    <w:p w14:paraId="22D8F070" w14:textId="77777777" w:rsidR="002F2C6F" w:rsidRPr="000F233E" w:rsidRDefault="002F2C6F" w:rsidP="002F2C6F">
      <w:pPr>
        <w:pStyle w:val="Textonotapie"/>
        <w:ind w:firstLine="708"/>
        <w:jc w:val="both"/>
        <w:rPr>
          <w:rFonts w:ascii="Verdana" w:hAnsi="Verdana" w:cs="Arial"/>
          <w:sz w:val="16"/>
          <w:szCs w:val="16"/>
        </w:rPr>
      </w:pPr>
    </w:p>
  </w:footnote>
  <w:footnote w:id="2">
    <w:p w14:paraId="778CB6A6" w14:textId="77777777" w:rsidR="002F2C6F" w:rsidRPr="000F233E" w:rsidRDefault="002F2C6F" w:rsidP="002F2C6F">
      <w:pPr>
        <w:spacing w:after="0"/>
        <w:ind w:firstLine="708"/>
        <w:jc w:val="both"/>
        <w:rPr>
          <w:rFonts w:ascii="Verdana" w:hAnsi="Verdana" w:cs="Arial"/>
          <w:color w:val="000000" w:themeColor="text1"/>
          <w:sz w:val="16"/>
          <w:szCs w:val="16"/>
        </w:rPr>
      </w:pPr>
      <w:r w:rsidRPr="000F233E">
        <w:rPr>
          <w:rStyle w:val="Refdenotaalpie"/>
          <w:rFonts w:ascii="Verdana" w:hAnsi="Verdana" w:cs="Arial"/>
          <w:color w:val="000000" w:themeColor="text1"/>
          <w:sz w:val="16"/>
          <w:szCs w:val="16"/>
        </w:rPr>
        <w:footnoteRef/>
      </w:r>
      <w:r w:rsidRPr="000F233E">
        <w:rPr>
          <w:rFonts w:ascii="Verdana" w:hAnsi="Verdana" w:cs="Arial"/>
          <w:color w:val="000000" w:themeColor="text1"/>
          <w:sz w:val="16"/>
          <w:szCs w:val="16"/>
        </w:rPr>
        <w:t xml:space="preserve"> Diario Oficial No. 41.094 de 28 de octubre de 1993</w:t>
      </w:r>
      <w:r>
        <w:rPr>
          <w:rFonts w:ascii="Verdana" w:hAnsi="Verdana" w:cs="Arial"/>
          <w:color w:val="000000" w:themeColor="text1"/>
          <w:sz w:val="16"/>
          <w:szCs w:val="16"/>
        </w:rPr>
        <w:t>.</w:t>
      </w:r>
    </w:p>
  </w:footnote>
  <w:footnote w:id="3">
    <w:p w14:paraId="6C4806D2" w14:textId="77777777" w:rsidR="002F2C6F" w:rsidRDefault="002F2C6F" w:rsidP="002F2C6F">
      <w:pPr>
        <w:pStyle w:val="Textonotapie"/>
        <w:ind w:firstLine="708"/>
        <w:jc w:val="both"/>
        <w:rPr>
          <w:rFonts w:ascii="Verdana" w:hAnsi="Verdana" w:cs="Arial"/>
          <w:sz w:val="16"/>
          <w:szCs w:val="16"/>
        </w:rPr>
      </w:pPr>
      <w:r w:rsidRPr="000F233E">
        <w:rPr>
          <w:rStyle w:val="Refdenotaalpie"/>
          <w:rFonts w:ascii="Verdana" w:hAnsi="Verdana" w:cs="Arial"/>
          <w:sz w:val="16"/>
          <w:szCs w:val="16"/>
        </w:rPr>
        <w:footnoteRef/>
      </w:r>
      <w:r w:rsidRPr="000F233E">
        <w:rPr>
          <w:rFonts w:ascii="Verdana" w:hAnsi="Verdana" w:cs="Arial"/>
          <w:sz w:val="16"/>
          <w:szCs w:val="16"/>
        </w:rPr>
        <w:t xml:space="preserve"> EXPÓSITO VÉLEZ, Juan Carlos. Forma y contenido del contrato estatal, Bogotá: Universidad Externado de Colombia, 2013, p. 202 y 203. </w:t>
      </w:r>
    </w:p>
    <w:p w14:paraId="223AA4B2" w14:textId="77777777" w:rsidR="002F2C6F" w:rsidRPr="000F233E" w:rsidRDefault="002F2C6F" w:rsidP="002F2C6F">
      <w:pPr>
        <w:pStyle w:val="Textonotapie"/>
        <w:ind w:firstLine="708"/>
        <w:jc w:val="both"/>
        <w:rPr>
          <w:rFonts w:ascii="Verdana" w:hAnsi="Verdana" w:cs="Arial"/>
          <w:sz w:val="16"/>
          <w:szCs w:val="16"/>
        </w:rPr>
      </w:pPr>
    </w:p>
  </w:footnote>
  <w:footnote w:id="4">
    <w:p w14:paraId="3ECD04A0" w14:textId="77777777" w:rsidR="002F2C6F" w:rsidRPr="000F233E" w:rsidRDefault="002F2C6F" w:rsidP="002F2C6F">
      <w:pPr>
        <w:pStyle w:val="Textonotapie"/>
        <w:ind w:firstLine="708"/>
        <w:jc w:val="both"/>
        <w:rPr>
          <w:rFonts w:ascii="Verdana" w:hAnsi="Verdana" w:cs="Arial"/>
          <w:sz w:val="16"/>
          <w:szCs w:val="16"/>
          <w:lang w:val="es-ES"/>
        </w:rPr>
      </w:pPr>
      <w:r w:rsidRPr="000F233E">
        <w:rPr>
          <w:rStyle w:val="Refdenotaalpie"/>
          <w:rFonts w:ascii="Verdana" w:hAnsi="Verdana" w:cs="Arial"/>
          <w:sz w:val="16"/>
          <w:szCs w:val="16"/>
        </w:rPr>
        <w:footnoteRef/>
      </w:r>
      <w:r w:rsidRPr="000F233E">
        <w:rPr>
          <w:rFonts w:ascii="Verdana" w:hAnsi="Verdana" w:cs="Arial"/>
          <w:sz w:val="16"/>
          <w:szCs w:val="16"/>
        </w:rPr>
        <w:t xml:space="preserve"> </w:t>
      </w:r>
      <w:r w:rsidRPr="000F233E">
        <w:rPr>
          <w:rFonts w:ascii="Verdana" w:hAnsi="Verdana" w:cs="Arial"/>
          <w:sz w:val="16"/>
          <w:szCs w:val="16"/>
          <w:lang w:val="es-ES"/>
        </w:rPr>
        <w:t>C</w:t>
      </w:r>
      <w:r>
        <w:rPr>
          <w:rFonts w:ascii="Verdana" w:hAnsi="Verdana" w:cs="Arial"/>
          <w:sz w:val="16"/>
          <w:szCs w:val="16"/>
          <w:lang w:val="es-ES"/>
        </w:rPr>
        <w:t xml:space="preserve">onsejo de Estado. Sala de lo Contencioso Administrativo. </w:t>
      </w:r>
      <w:r w:rsidRPr="000F233E">
        <w:rPr>
          <w:rFonts w:ascii="Verdana" w:hAnsi="Verdana" w:cs="Arial"/>
          <w:sz w:val="16"/>
          <w:szCs w:val="16"/>
          <w:lang w:val="es-ES"/>
        </w:rPr>
        <w:t xml:space="preserve">Sección Tercera. Subsección A. Sentencia de 9 de mayo de 2012. </w:t>
      </w:r>
      <w:proofErr w:type="spellStart"/>
      <w:r w:rsidRPr="000F233E">
        <w:rPr>
          <w:rFonts w:ascii="Verdana" w:hAnsi="Verdana" w:cs="Arial"/>
          <w:sz w:val="16"/>
          <w:szCs w:val="16"/>
          <w:lang w:val="es-ES"/>
        </w:rPr>
        <w:t>Exp</w:t>
      </w:r>
      <w:proofErr w:type="spellEnd"/>
      <w:r w:rsidRPr="000F233E">
        <w:rPr>
          <w:rFonts w:ascii="Verdana" w:hAnsi="Verdana" w:cs="Arial"/>
          <w:sz w:val="16"/>
          <w:szCs w:val="16"/>
          <w:lang w:val="es-ES"/>
        </w:rPr>
        <w:t>. 20.968. C.P. Mauricio Fajardo Gómez.</w:t>
      </w:r>
    </w:p>
  </w:footnote>
  <w:footnote w:id="5">
    <w:p w14:paraId="5A373E4C" w14:textId="77777777" w:rsidR="002F2C6F" w:rsidRDefault="002F2C6F" w:rsidP="002F2C6F">
      <w:pPr>
        <w:pStyle w:val="Textonotapie"/>
        <w:ind w:firstLine="709"/>
        <w:jc w:val="both"/>
        <w:rPr>
          <w:rFonts w:ascii="Verdana" w:hAnsi="Verdana"/>
          <w:sz w:val="16"/>
          <w:szCs w:val="16"/>
          <w:lang w:val="es-ES"/>
        </w:rPr>
      </w:pPr>
      <w:r w:rsidRPr="0042030D">
        <w:rPr>
          <w:rStyle w:val="Refdenotaalpie"/>
          <w:rFonts w:ascii="Verdana" w:hAnsi="Verdana"/>
          <w:sz w:val="16"/>
          <w:szCs w:val="16"/>
        </w:rPr>
        <w:footnoteRef/>
      </w:r>
      <w:r w:rsidRPr="0042030D">
        <w:rPr>
          <w:rFonts w:ascii="Verdana" w:hAnsi="Verdana"/>
          <w:sz w:val="16"/>
          <w:szCs w:val="16"/>
        </w:rPr>
        <w:t xml:space="preserve"> </w:t>
      </w:r>
      <w:r w:rsidRPr="0042030D">
        <w:rPr>
          <w:rFonts w:ascii="Verdana" w:hAnsi="Verdana"/>
          <w:sz w:val="16"/>
          <w:szCs w:val="16"/>
          <w:lang w:val="es-ES"/>
        </w:rPr>
        <w:t xml:space="preserve">Consejo de Estado. Sala de lo Contencioso Administrativo. Sección Tercera. Subsección A. 10 de noviembre de 2017. Radicado: 68001-23-31-000-2003-01342-01(39536). C.P: Carlos Alberto Zambrano Barrera.  </w:t>
      </w:r>
    </w:p>
    <w:p w14:paraId="145DD117" w14:textId="77777777" w:rsidR="002F2C6F" w:rsidRPr="0042030D" w:rsidRDefault="002F2C6F" w:rsidP="002F2C6F">
      <w:pPr>
        <w:pStyle w:val="Textonotapie"/>
        <w:ind w:firstLine="709"/>
        <w:jc w:val="both"/>
        <w:rPr>
          <w:rFonts w:ascii="Verdana" w:hAnsi="Verdana"/>
          <w:sz w:val="16"/>
          <w:szCs w:val="16"/>
          <w:lang w:val="es-ES"/>
        </w:rPr>
      </w:pPr>
    </w:p>
  </w:footnote>
  <w:footnote w:id="6">
    <w:p w14:paraId="6E2B0CE9" w14:textId="77777777" w:rsidR="002F2C6F" w:rsidRPr="00E86571" w:rsidRDefault="002F2C6F" w:rsidP="002F2C6F">
      <w:pPr>
        <w:pStyle w:val="Textonotapie"/>
        <w:ind w:firstLine="709"/>
        <w:jc w:val="both"/>
        <w:rPr>
          <w:rFonts w:ascii="Verdana" w:hAnsi="Verdana" w:cs="Arial"/>
          <w:sz w:val="16"/>
          <w:szCs w:val="16"/>
          <w:lang w:val="es-ES"/>
        </w:rPr>
      </w:pPr>
      <w:r w:rsidRPr="00E86571">
        <w:rPr>
          <w:rStyle w:val="Refdenotaalpie"/>
          <w:rFonts w:ascii="Verdana" w:hAnsi="Verdana" w:cs="Arial"/>
          <w:sz w:val="16"/>
          <w:szCs w:val="16"/>
        </w:rPr>
        <w:footnoteRef/>
      </w:r>
      <w:r w:rsidRPr="007E1970">
        <w:rPr>
          <w:rFonts w:ascii="Verdana" w:hAnsi="Verdana" w:cs="Arial"/>
          <w:sz w:val="16"/>
          <w:szCs w:val="16"/>
          <w:lang w:val="es-CO"/>
        </w:rPr>
        <w:t xml:space="preserve"> BOBBIO, Norberto. </w:t>
      </w:r>
      <w:r w:rsidRPr="00E86571">
        <w:rPr>
          <w:rFonts w:ascii="Verdana" w:hAnsi="Verdana" w:cs="Arial"/>
          <w:sz w:val="16"/>
          <w:szCs w:val="16"/>
          <w:lang w:val="es-ES"/>
        </w:rPr>
        <w:t>Democracia y secreto. México: Fondo de Cultura Económica, 2013. p. 27.</w:t>
      </w:r>
    </w:p>
  </w:footnote>
  <w:footnote w:id="7">
    <w:p w14:paraId="049B3145" w14:textId="77777777" w:rsidR="002F2C6F" w:rsidRPr="00E86571" w:rsidRDefault="002F2C6F" w:rsidP="002F2C6F">
      <w:pPr>
        <w:pStyle w:val="Textonotapie"/>
        <w:ind w:firstLine="709"/>
        <w:jc w:val="both"/>
        <w:rPr>
          <w:rFonts w:ascii="Verdana" w:hAnsi="Verdana" w:cs="Arial"/>
          <w:color w:val="000000" w:themeColor="text1"/>
          <w:sz w:val="16"/>
          <w:szCs w:val="16"/>
        </w:rPr>
      </w:pPr>
      <w:r w:rsidRPr="00E86571">
        <w:rPr>
          <w:rStyle w:val="Refdenotaalpie"/>
          <w:rFonts w:ascii="Verdana" w:hAnsi="Verdana" w:cs="Arial"/>
          <w:color w:val="000000" w:themeColor="text1"/>
          <w:sz w:val="16"/>
          <w:szCs w:val="16"/>
        </w:rPr>
        <w:footnoteRef/>
      </w:r>
      <w:r w:rsidRPr="00E86571">
        <w:rPr>
          <w:rFonts w:ascii="Verdana" w:hAnsi="Verdana" w:cs="Arial"/>
          <w:color w:val="000000" w:themeColor="text1"/>
          <w:sz w:val="16"/>
          <w:szCs w:val="16"/>
        </w:rPr>
        <w:t xml:space="preserve"> Ley 1712 de 2014: «Artículo 2. Toda información en posesión, bajo control o custodia de un sujeto obligado es pública y no podrá ser reservada o limitada sino por disposición constitucional o legal, de conformidad con la presente ley».</w:t>
      </w:r>
    </w:p>
    <w:p w14:paraId="50BDE9D3" w14:textId="77777777" w:rsidR="002F2C6F" w:rsidRPr="00E86571" w:rsidRDefault="002F2C6F" w:rsidP="002F2C6F">
      <w:pPr>
        <w:pStyle w:val="Textonotapie"/>
        <w:ind w:firstLine="709"/>
        <w:jc w:val="both"/>
        <w:rPr>
          <w:rFonts w:ascii="Verdana" w:hAnsi="Verdana" w:cs="Arial"/>
          <w:color w:val="000000" w:themeColor="text1"/>
          <w:sz w:val="16"/>
          <w:szCs w:val="16"/>
          <w:lang w:val="es-CO"/>
        </w:rPr>
      </w:pPr>
    </w:p>
  </w:footnote>
  <w:footnote w:id="8">
    <w:p w14:paraId="20C0219D" w14:textId="77777777" w:rsidR="002F2C6F" w:rsidRPr="00E86571" w:rsidRDefault="002F2C6F" w:rsidP="002F2C6F">
      <w:pPr>
        <w:pStyle w:val="Textonotapie"/>
        <w:ind w:firstLine="709"/>
        <w:jc w:val="both"/>
        <w:rPr>
          <w:rFonts w:ascii="Verdana" w:hAnsi="Verdana" w:cs="Arial"/>
          <w:color w:val="000000"/>
          <w:sz w:val="16"/>
          <w:szCs w:val="16"/>
        </w:rPr>
      </w:pPr>
      <w:r w:rsidRPr="00E86571">
        <w:rPr>
          <w:rStyle w:val="Refdenotaalpie"/>
          <w:rFonts w:ascii="Verdana" w:hAnsi="Verdana" w:cs="Arial"/>
          <w:color w:val="000000"/>
          <w:sz w:val="16"/>
          <w:szCs w:val="16"/>
        </w:rPr>
        <w:footnoteRef/>
      </w:r>
      <w:r w:rsidRPr="00E86571">
        <w:rPr>
          <w:rFonts w:ascii="Verdana" w:hAnsi="Verdana" w:cs="Arial"/>
          <w:color w:val="000000"/>
          <w:sz w:val="16"/>
          <w:szCs w:val="16"/>
        </w:rPr>
        <w:t xml:space="preserve"> C</w:t>
      </w:r>
      <w:proofErr w:type="spellStart"/>
      <w:r w:rsidRPr="00E86571">
        <w:rPr>
          <w:rFonts w:ascii="Verdana" w:eastAsia="Times New Roman" w:hAnsi="Verdana" w:cs="Arial"/>
          <w:color w:val="000000"/>
          <w:sz w:val="16"/>
          <w:szCs w:val="16"/>
          <w:lang w:val="es-ES" w:eastAsia="es-ES"/>
        </w:rPr>
        <w:t>orte</w:t>
      </w:r>
      <w:proofErr w:type="spellEnd"/>
      <w:r w:rsidRPr="00E86571">
        <w:rPr>
          <w:rFonts w:ascii="Verdana" w:eastAsia="Times New Roman" w:hAnsi="Verdana" w:cs="Arial"/>
          <w:color w:val="000000"/>
          <w:sz w:val="16"/>
          <w:szCs w:val="16"/>
          <w:lang w:val="es-ES" w:eastAsia="es-ES"/>
        </w:rPr>
        <w:t xml:space="preserve"> Constitucional. Sentencia C‒274 de 9 de mayo de 2013. M.P. Mar</w:t>
      </w:r>
      <w:r w:rsidRPr="00E86571">
        <w:rPr>
          <w:rFonts w:ascii="Verdana" w:eastAsia="Times New Roman" w:hAnsi="Verdana" w:cs="Century Gothic"/>
          <w:color w:val="000000"/>
          <w:sz w:val="16"/>
          <w:szCs w:val="16"/>
          <w:lang w:val="es-ES" w:eastAsia="es-ES"/>
        </w:rPr>
        <w:t>í</w:t>
      </w:r>
      <w:r w:rsidRPr="00E86571">
        <w:rPr>
          <w:rFonts w:ascii="Verdana" w:eastAsia="Times New Roman" w:hAnsi="Verdana" w:cs="Arial"/>
          <w:color w:val="000000"/>
          <w:sz w:val="16"/>
          <w:szCs w:val="16"/>
          <w:lang w:val="es-ES" w:eastAsia="es-ES"/>
        </w:rPr>
        <w:t xml:space="preserve">a Victoria Calle Correa. </w:t>
      </w:r>
    </w:p>
    <w:p w14:paraId="05D65556" w14:textId="77777777" w:rsidR="002F2C6F" w:rsidRPr="00E86571" w:rsidRDefault="002F2C6F" w:rsidP="002F2C6F">
      <w:pPr>
        <w:pStyle w:val="Textonotapie"/>
        <w:ind w:firstLine="709"/>
        <w:jc w:val="both"/>
        <w:rPr>
          <w:rFonts w:ascii="Verdana" w:hAnsi="Verdana" w:cs="Arial"/>
          <w:color w:val="000000"/>
          <w:sz w:val="16"/>
          <w:szCs w:val="16"/>
          <w:lang w:val="es-CO"/>
        </w:rPr>
      </w:pPr>
    </w:p>
  </w:footnote>
  <w:footnote w:id="9">
    <w:p w14:paraId="0A947ACB" w14:textId="77777777" w:rsidR="002F2C6F" w:rsidRPr="00E86571" w:rsidRDefault="002F2C6F" w:rsidP="002F2C6F">
      <w:pPr>
        <w:pStyle w:val="Textonotapie"/>
        <w:ind w:firstLine="708"/>
        <w:jc w:val="both"/>
        <w:rPr>
          <w:rFonts w:ascii="Verdana" w:hAnsi="Verdana" w:cs="Arial"/>
          <w:color w:val="000000"/>
          <w:sz w:val="16"/>
          <w:szCs w:val="16"/>
        </w:rPr>
      </w:pPr>
      <w:r w:rsidRPr="00E86571">
        <w:rPr>
          <w:rStyle w:val="Refdenotaalpie"/>
          <w:rFonts w:ascii="Verdana" w:hAnsi="Verdana" w:cs="Arial"/>
          <w:color w:val="000000"/>
          <w:sz w:val="16"/>
          <w:szCs w:val="16"/>
        </w:rPr>
        <w:footnoteRef/>
      </w:r>
      <w:r w:rsidRPr="00E86571">
        <w:rPr>
          <w:rFonts w:ascii="Verdana" w:hAnsi="Verdana" w:cs="Arial"/>
          <w:color w:val="000000"/>
          <w:sz w:val="16"/>
          <w:szCs w:val="16"/>
        </w:rPr>
        <w:t xml:space="preserve"> Decreto 4170 de 2011: “Artículo 3. Funciones: La Agencia Nacional de Contratación Pública –Colombia Compra Eficiente– ejercerá las siguientes funciones: [...]</w:t>
      </w:r>
    </w:p>
    <w:p w14:paraId="7D377A36" w14:textId="77777777" w:rsidR="002F2C6F" w:rsidRPr="00E86571" w:rsidRDefault="002F2C6F" w:rsidP="002F2C6F">
      <w:pPr>
        <w:pStyle w:val="Textonotapie"/>
        <w:ind w:firstLine="708"/>
        <w:jc w:val="both"/>
        <w:rPr>
          <w:rFonts w:ascii="Verdana" w:hAnsi="Verdana" w:cs="Arial"/>
          <w:color w:val="000000"/>
          <w:sz w:val="16"/>
          <w:szCs w:val="16"/>
        </w:rPr>
      </w:pPr>
      <w:r w:rsidRPr="00E86571">
        <w:rPr>
          <w:rFonts w:ascii="Verdana" w:hAnsi="Verdana" w:cs="Arial"/>
          <w:color w:val="000000"/>
          <w:sz w:val="16"/>
          <w:szCs w:val="16"/>
        </w:rPr>
        <w:t>8. Desarrollar y administrar el Sistema Electrónico para la Contratación Pública (SECOP) o el que haga sus veces, y gestionar nuevos desarrollos tecnológicos en los asuntos de su competencia, teniendo en cuenta los parámetros fijados por el Consejo Directivo [...]”.</w:t>
      </w:r>
    </w:p>
  </w:footnote>
  <w:footnote w:id="10">
    <w:p w14:paraId="545859DC" w14:textId="77777777" w:rsidR="002F2C6F" w:rsidRPr="00C76BD7" w:rsidRDefault="002F2C6F" w:rsidP="002F2C6F">
      <w:pPr>
        <w:pStyle w:val="Textonotapie"/>
        <w:ind w:firstLine="709"/>
        <w:jc w:val="both"/>
        <w:rPr>
          <w:rFonts w:ascii="Verdana" w:hAnsi="Verdana"/>
          <w:sz w:val="16"/>
          <w:szCs w:val="16"/>
          <w:lang w:val="es-ES"/>
        </w:rPr>
      </w:pPr>
      <w:r w:rsidRPr="00C76BD7">
        <w:rPr>
          <w:rStyle w:val="Refdenotaalpie"/>
          <w:rFonts w:ascii="Verdana" w:hAnsi="Verdana"/>
          <w:sz w:val="16"/>
          <w:szCs w:val="16"/>
        </w:rPr>
        <w:footnoteRef/>
      </w:r>
      <w:r w:rsidRPr="00C76BD7">
        <w:rPr>
          <w:rFonts w:ascii="Verdana" w:hAnsi="Verdana"/>
          <w:sz w:val="16"/>
          <w:szCs w:val="16"/>
        </w:rPr>
        <w:t xml:space="preserve"> </w:t>
      </w:r>
      <w:r w:rsidRPr="00C76BD7">
        <w:rPr>
          <w:rFonts w:ascii="Verdana" w:eastAsia="Calibri" w:hAnsi="Verdana" w:cs="Arial"/>
          <w:sz w:val="16"/>
          <w:szCs w:val="16"/>
        </w:rPr>
        <w:t xml:space="preserve">Circular Externa 002 de 2026 disponible en </w:t>
      </w:r>
      <w:hyperlink r:id="rId1" w:history="1">
        <w:r w:rsidRPr="00C76BD7">
          <w:rPr>
            <w:rStyle w:val="Hipervnculo"/>
            <w:rFonts w:ascii="Verdana" w:hAnsi="Verdana"/>
            <w:sz w:val="16"/>
            <w:szCs w:val="16"/>
            <w:lang w:val="es-CO"/>
          </w:rPr>
          <w:t>Microsoft Word - CIRCULAR EXTERNA 002 DE 2026</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bullet="t">
        <v:imagedata r:id="rId1" o:title="mso1B13"/>
      </v:shape>
    </w:pict>
  </w:numPicBullet>
  <w:abstractNum w:abstractNumId="0" w15:restartNumberingAfterBreak="0">
    <w:nsid w:val="01C06310"/>
    <w:multiLevelType w:val="multilevel"/>
    <w:tmpl w:val="92EC0BC6"/>
    <w:lvl w:ilvl="0">
      <w:start w:val="1"/>
      <w:numFmt w:val="decimal"/>
      <w:lvlText w:val="%1."/>
      <w:lvlJc w:val="left"/>
      <w:pPr>
        <w:ind w:left="6601" w:hanging="360"/>
      </w:pPr>
      <w:rPr>
        <w:b/>
        <w:color w:val="000000" w:themeColor="text1"/>
        <w:lang w:val="es-CO"/>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0" w15:restartNumberingAfterBreak="0">
    <w:nsid w:val="67642455"/>
    <w:multiLevelType w:val="hybridMultilevel"/>
    <w:tmpl w:val="F9CA707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3"/>
  </w:num>
  <w:num w:numId="7" w16cid:durableId="1946422806">
    <w:abstractNumId w:val="5"/>
  </w:num>
  <w:num w:numId="8" w16cid:durableId="152644682">
    <w:abstractNumId w:val="12"/>
  </w:num>
  <w:num w:numId="9" w16cid:durableId="1317221377">
    <w:abstractNumId w:val="7"/>
  </w:num>
  <w:num w:numId="10" w16cid:durableId="1471245386">
    <w:abstractNumId w:val="11"/>
  </w:num>
  <w:num w:numId="11" w16cid:durableId="289172385">
    <w:abstractNumId w:val="8"/>
  </w:num>
  <w:num w:numId="12" w16cid:durableId="1470781324">
    <w:abstractNumId w:val="1"/>
  </w:num>
  <w:num w:numId="13" w16cid:durableId="1512908409">
    <w:abstractNumId w:val="3"/>
  </w:num>
  <w:num w:numId="14" w16cid:durableId="895897244">
    <w:abstractNumId w:val="14"/>
  </w:num>
  <w:num w:numId="15" w16cid:durableId="390349800">
    <w:abstractNumId w:val="9"/>
  </w:num>
  <w:num w:numId="16" w16cid:durableId="341274352">
    <w:abstractNumId w:val="0"/>
  </w:num>
  <w:num w:numId="17" w16cid:durableId="10335050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82362"/>
    <w:rsid w:val="000A683E"/>
    <w:rsid w:val="000B19B9"/>
    <w:rsid w:val="000D0334"/>
    <w:rsid w:val="000D5DA7"/>
    <w:rsid w:val="000E0D20"/>
    <w:rsid w:val="000F6486"/>
    <w:rsid w:val="00116940"/>
    <w:rsid w:val="00125105"/>
    <w:rsid w:val="00127233"/>
    <w:rsid w:val="0015699B"/>
    <w:rsid w:val="001A33BF"/>
    <w:rsid w:val="001E4177"/>
    <w:rsid w:val="001F0B24"/>
    <w:rsid w:val="001F7DC6"/>
    <w:rsid w:val="0020438B"/>
    <w:rsid w:val="0022400B"/>
    <w:rsid w:val="002421BB"/>
    <w:rsid w:val="00254813"/>
    <w:rsid w:val="0025796E"/>
    <w:rsid w:val="002707A2"/>
    <w:rsid w:val="002951A0"/>
    <w:rsid w:val="002962BC"/>
    <w:rsid w:val="002A093D"/>
    <w:rsid w:val="002A0DD0"/>
    <w:rsid w:val="002A49AC"/>
    <w:rsid w:val="002A64FD"/>
    <w:rsid w:val="002C7A84"/>
    <w:rsid w:val="002D3E59"/>
    <w:rsid w:val="002E2BF8"/>
    <w:rsid w:val="002E4FD9"/>
    <w:rsid w:val="002F2C6F"/>
    <w:rsid w:val="0030657A"/>
    <w:rsid w:val="00307A0C"/>
    <w:rsid w:val="00322A85"/>
    <w:rsid w:val="00324168"/>
    <w:rsid w:val="00330834"/>
    <w:rsid w:val="003448F4"/>
    <w:rsid w:val="00347903"/>
    <w:rsid w:val="00374F5E"/>
    <w:rsid w:val="00377E3E"/>
    <w:rsid w:val="003A779E"/>
    <w:rsid w:val="003D0F4D"/>
    <w:rsid w:val="003D5B0D"/>
    <w:rsid w:val="003E0499"/>
    <w:rsid w:val="003E4F80"/>
    <w:rsid w:val="003E6439"/>
    <w:rsid w:val="003F0007"/>
    <w:rsid w:val="003F3941"/>
    <w:rsid w:val="00406575"/>
    <w:rsid w:val="00414C74"/>
    <w:rsid w:val="0042722E"/>
    <w:rsid w:val="004340C4"/>
    <w:rsid w:val="0044528D"/>
    <w:rsid w:val="00466E39"/>
    <w:rsid w:val="004A1847"/>
    <w:rsid w:val="004A305D"/>
    <w:rsid w:val="004B04FE"/>
    <w:rsid w:val="004F21C4"/>
    <w:rsid w:val="004F685F"/>
    <w:rsid w:val="005566E8"/>
    <w:rsid w:val="00574867"/>
    <w:rsid w:val="00591460"/>
    <w:rsid w:val="00593408"/>
    <w:rsid w:val="005A65E0"/>
    <w:rsid w:val="005C3777"/>
    <w:rsid w:val="005C5CDC"/>
    <w:rsid w:val="005D476C"/>
    <w:rsid w:val="006200BF"/>
    <w:rsid w:val="006219F8"/>
    <w:rsid w:val="006302F7"/>
    <w:rsid w:val="00646B9F"/>
    <w:rsid w:val="00665D70"/>
    <w:rsid w:val="006900D9"/>
    <w:rsid w:val="00692819"/>
    <w:rsid w:val="00706C16"/>
    <w:rsid w:val="007340C3"/>
    <w:rsid w:val="0075235A"/>
    <w:rsid w:val="00756841"/>
    <w:rsid w:val="007649AB"/>
    <w:rsid w:val="00771D0C"/>
    <w:rsid w:val="007833AC"/>
    <w:rsid w:val="007B268C"/>
    <w:rsid w:val="007B7171"/>
    <w:rsid w:val="007C0C0F"/>
    <w:rsid w:val="007C3DC2"/>
    <w:rsid w:val="007E5497"/>
    <w:rsid w:val="00806F5F"/>
    <w:rsid w:val="00820278"/>
    <w:rsid w:val="008258C9"/>
    <w:rsid w:val="00844AE9"/>
    <w:rsid w:val="008571A1"/>
    <w:rsid w:val="00867F95"/>
    <w:rsid w:val="008843B6"/>
    <w:rsid w:val="00891928"/>
    <w:rsid w:val="008A446D"/>
    <w:rsid w:val="008B25F1"/>
    <w:rsid w:val="008D180B"/>
    <w:rsid w:val="008F0EA7"/>
    <w:rsid w:val="00915161"/>
    <w:rsid w:val="00923EEF"/>
    <w:rsid w:val="009419F9"/>
    <w:rsid w:val="0095685E"/>
    <w:rsid w:val="00961B09"/>
    <w:rsid w:val="00965334"/>
    <w:rsid w:val="0097093E"/>
    <w:rsid w:val="0099354A"/>
    <w:rsid w:val="009A0DFA"/>
    <w:rsid w:val="009A1C6F"/>
    <w:rsid w:val="009B2D26"/>
    <w:rsid w:val="009B45C3"/>
    <w:rsid w:val="009C71FA"/>
    <w:rsid w:val="009C72E7"/>
    <w:rsid w:val="009C7F7E"/>
    <w:rsid w:val="009D3058"/>
    <w:rsid w:val="009F3A13"/>
    <w:rsid w:val="00A122D3"/>
    <w:rsid w:val="00A14468"/>
    <w:rsid w:val="00A17F13"/>
    <w:rsid w:val="00A20739"/>
    <w:rsid w:val="00A23AF9"/>
    <w:rsid w:val="00A33C78"/>
    <w:rsid w:val="00AB0ADB"/>
    <w:rsid w:val="00B00C0E"/>
    <w:rsid w:val="00B01B1A"/>
    <w:rsid w:val="00B0381D"/>
    <w:rsid w:val="00B44A47"/>
    <w:rsid w:val="00B72CD3"/>
    <w:rsid w:val="00B72FFF"/>
    <w:rsid w:val="00B840D7"/>
    <w:rsid w:val="00BC3D36"/>
    <w:rsid w:val="00BD54A6"/>
    <w:rsid w:val="00BD7F72"/>
    <w:rsid w:val="00BF7425"/>
    <w:rsid w:val="00C04FB3"/>
    <w:rsid w:val="00C11D8B"/>
    <w:rsid w:val="00C13A5F"/>
    <w:rsid w:val="00C15139"/>
    <w:rsid w:val="00C330EB"/>
    <w:rsid w:val="00C50D69"/>
    <w:rsid w:val="00C5365C"/>
    <w:rsid w:val="00C754BE"/>
    <w:rsid w:val="00C76B1C"/>
    <w:rsid w:val="00C8336E"/>
    <w:rsid w:val="00C925AC"/>
    <w:rsid w:val="00C95D39"/>
    <w:rsid w:val="00CB6357"/>
    <w:rsid w:val="00CC1B26"/>
    <w:rsid w:val="00D361FD"/>
    <w:rsid w:val="00D423A2"/>
    <w:rsid w:val="00D44E26"/>
    <w:rsid w:val="00D520D8"/>
    <w:rsid w:val="00D63AC2"/>
    <w:rsid w:val="00D7383B"/>
    <w:rsid w:val="00D7788A"/>
    <w:rsid w:val="00DA2305"/>
    <w:rsid w:val="00DA231B"/>
    <w:rsid w:val="00DB39B9"/>
    <w:rsid w:val="00DC39FC"/>
    <w:rsid w:val="00DF5254"/>
    <w:rsid w:val="00E02524"/>
    <w:rsid w:val="00E16408"/>
    <w:rsid w:val="00E20894"/>
    <w:rsid w:val="00E245AB"/>
    <w:rsid w:val="00E2764C"/>
    <w:rsid w:val="00E27F2E"/>
    <w:rsid w:val="00E50AFE"/>
    <w:rsid w:val="00E75C92"/>
    <w:rsid w:val="00E771DC"/>
    <w:rsid w:val="00E8098F"/>
    <w:rsid w:val="00E8772A"/>
    <w:rsid w:val="00E90F6B"/>
    <w:rsid w:val="00E92C27"/>
    <w:rsid w:val="00EA0E3D"/>
    <w:rsid w:val="00EC38A7"/>
    <w:rsid w:val="00EE1AA8"/>
    <w:rsid w:val="00F07CCC"/>
    <w:rsid w:val="00F23FEA"/>
    <w:rsid w:val="00F31EDC"/>
    <w:rsid w:val="00F462B3"/>
    <w:rsid w:val="00F5664F"/>
    <w:rsid w:val="00F666C4"/>
    <w:rsid w:val="00F76AFC"/>
    <w:rsid w:val="00FA47C0"/>
    <w:rsid w:val="00FB5DD1"/>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5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List Paragraph"/>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2F2C6F"/>
    <w:rPr>
      <w:rFonts w:ascii="Geomanist Light" w:hAnsi="Geomanist Light"/>
      <w:lang w:val="es-ES"/>
    </w:rPr>
  </w:style>
  <w:style w:type="paragraph" w:customStyle="1" w:styleId="Appelnotedebasde">
    <w:name w:val="Appel note de bas de..."/>
    <w:basedOn w:val="Normal"/>
    <w:link w:val="Refdenotaalpie"/>
    <w:uiPriority w:val="99"/>
    <w:rsid w:val="002F2C6F"/>
    <w:pPr>
      <w:spacing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olombiacompra.gov.co/wp-content/uploads/2026/05/CIRCULAR-EXTERNA-002-DE-2026.pdf" TargetMode="External"/><Relationship Id="rId18" Type="http://schemas.openxmlformats.org/officeDocument/2006/relationships/hyperlink" Target="https://nam02.safelinks.protection.outlook.com/?url=https%3A%2F%2Fwww.colombiacompra.gov.co%2Farchivos%2Fboletin%2Fboletin-edicion-n-3-de-2026-radar-de-la-compra-publica&amp;data=05%7C02%7Cesperanza.contreras%40colombiacompra.gov.co%7C7128555136e04fa6887d08dee99e1b50%7C7b09041e245149d08cb179d5e3d8c1be%7C0%7C0%7C639205062485178807%7CUnknown%7CTWFpbGZsb3d8eyJFbXB0eU1hcGkiOnRydWUsIlYiOiIwLjAuMDAwMCIsIlAiOiJXaW4zMiIsIkFOIjoiTWFpbCIsIldUIjoyfQ%3D%3D%7C0%7C%7C%7C&amp;sdata=KExWmxKYC15dvy2jid%2B7icvX72jaaIwv%2FUvWJBWDhBM%3D&amp;reserved=0"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forms.office.com/r/pPHyWVs2SZ" TargetMode="External"/><Relationship Id="rId7" Type="http://schemas.openxmlformats.org/officeDocument/2006/relationships/webSettings" Target="webSettings.xml"/><Relationship Id="rId12" Type="http://schemas.openxmlformats.org/officeDocument/2006/relationships/hyperlink" Target="http://www.secretariasenado.gov.co/senado/basedoc/decreto_1494_2015.html" TargetMode="External"/><Relationship Id="rId17" Type="http://schemas.openxmlformats.org/officeDocument/2006/relationships/hyperlink" Target="https://nam02.safelinks.protection.outlook.com/?url=https%3A%2F%2Fwww.colombiacompra.gov.co%2Farchivos%2Fcircular%2Fcircular-externa-002-de-2026&amp;data=05%7C02%7Cesperanza.contreras%40colombiacompra.gov.co%7C7128555136e04fa6887d08dee99e1b50%7C7b09041e245149d08cb179d5e3d8c1be%7C0%7C0%7C639205062485163401%7CUnknown%7CTWFpbGZsb3d8eyJFbXB0eU1hcGkiOnRydWUsIlYiOiIwLjAuMDAwMCIsIlAiOiJXaW4zMiIsIkFOIjoiTWFpbCIsIldUIjoyfQ%3D%3D%7C0%7C%7C%7C&amp;sdata=dPUVvFXdjvXbzKwhb4CxB8iVxGYr%2BrUIGKHRaYfEtmY%3D&amp;reserved=0"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circular%2Fcircular-externa-003-de-2026&amp;data=05%7C02%7Cesperanza.contreras%40colombiacompra.gov.co%7C7128555136e04fa6887d08dee99e1b50%7C7b09041e245149d08cb179d5e3d8c1be%7C0%7C0%7C639205062485135726%7CUnknown%7CTWFpbGZsb3d8eyJFbXB0eU1hcGkiOnRydWUsIlYiOiIwLjAuMDAwMCIsIlAiOiJXaW4zMiIsIkFOIjoiTWFpbCIsIldUIjoyfQ%3D%3D%7C0%7C%7C%7C&amp;sdata=4Es%2BEbneNUJS7UkXWiNoLQ4L8kTy804yLg5KKyYtV%2Fs%3D&amp;reserved=0" TargetMode="External"/><Relationship Id="rId20" Type="http://schemas.openxmlformats.org/officeDocument/2006/relationships/hyperlink" Target="https://www.colombiacompra.gov.co/pqrsd/informacion-importante-antes-de-formular-una-pqrsd"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estiondocumental@personeriabello.gov.co" TargetMode="External"/><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manual%2Fguia-de-garantias-en-procesos-de-contratacion&amp;data=05%7C02%7Cesperanza.contreras%40colombiacompra.gov.co%7C7128555136e04fa6887d08dee99e1b50%7C7b09041e245149d08cb179d5e3d8c1be%7C0%7C0%7C639205062485036641%7CUnknown%7CTWFpbGZsb3d8eyJFbXB0eU1hcGkiOnRydWUsIlYiOiIwLjAuMDAwMCIsIlAiOiJXaW4zMiIsIkFOIjoiTWFpbCIsIldUIjoyfQ%3D%3D%7C0%7C%7C%7C&amp;sdata=AnypC5I3TGh%2BWml%2BUt7T2E%2FXP7eZzrcFMomcr6q4cfE%3D&amp;reserved=0" TargetMode="External"/><Relationship Id="rId23"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yperlink" Target="mailto:ventanilladeradicacion@colombiacompra.gov.co"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relatoria.colombiacompra.gov.co/busqueda/conceptos" TargetMode="External"/><Relationship Id="rId22"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colombiacompra.gov.co/wp-content/uploads/2026/05/CIRCULAR-EXTERNA-002-DE-2026.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C760DD1-106D-4F38-BDB2-7CDC903A9744}"/>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53</TotalTime>
  <Pages>24</Pages>
  <Words>8818</Words>
  <Characters>48504</Characters>
  <Application>Microsoft Office Word</Application>
  <DocSecurity>0</DocSecurity>
  <Lines>404</Lines>
  <Paragraphs>114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Esperanza Contreras Pedreros</cp:lastModifiedBy>
  <cp:revision>3</cp:revision>
  <cp:lastPrinted>2023-01-10T21:18:00Z</cp:lastPrinted>
  <dcterms:created xsi:type="dcterms:W3CDTF">2026-08-13T10:42:00Z</dcterms:created>
  <dcterms:modified xsi:type="dcterms:W3CDTF">2026-08-14T02:02:00Z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