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CBDB8" w14:textId="2249E307" w:rsidR="00B83FB0" w:rsidRPr="00B83FB0" w:rsidRDefault="00B83FB0" w:rsidP="00B83FB0">
      <w:pPr>
        <w:spacing w:after="0" w:line="240" w:lineRule="auto"/>
        <w:jc w:val="both"/>
        <w:rPr>
          <w:rFonts w:ascii="Verdana" w:eastAsia="Century Gothic" w:hAnsi="Verdana" w:cs="Century Gothic"/>
          <w:b/>
          <w:bCs/>
          <w:lang w:val="es-ES" w:eastAsia="es-ES_tradnl"/>
        </w:rPr>
      </w:pPr>
      <w:bookmarkStart w:id="0" w:name="_Hlk143780582"/>
      <w:r w:rsidRPr="00B83FB0">
        <w:rPr>
          <w:rFonts w:ascii="Verdana" w:eastAsia="Century Gothic" w:hAnsi="Verdana" w:cs="Century Gothic"/>
          <w:b/>
          <w:bCs/>
          <w:lang w:val="es-ES" w:eastAsia="es-ES"/>
        </w:rPr>
        <w:t xml:space="preserve">PLAN ANUAL DE ADQUISICIONES – Noción – Carácter estimativo </w:t>
      </w:r>
    </w:p>
    <w:p w14:paraId="3216F085"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p>
    <w:p w14:paraId="3515FAC4"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r w:rsidRPr="00B83FB0">
        <w:rPr>
          <w:rFonts w:ascii="Verdana" w:eastAsia="Century Gothic" w:hAnsi="Verdana" w:cs="Century Gothic"/>
          <w:sz w:val="20"/>
          <w:szCs w:val="20"/>
          <w:lang w:val="es-ES" w:eastAsia="es-ES_tradnl"/>
        </w:rPr>
        <w:t xml:space="preserve">El Plan Anual de Adquisiciones, es un instrumento de planificación y orientación de la contratación de las Entidades Estatales, establecido para identificar las necesidades de contratación, en el que se incluyen, de manera estimativa, los bienes, obras y servicios que la Administración está interesada en adquirir, pero que de ninguna manera restringe las decisiones en la contratación que habrán de adoptarse dentro de la anualidad respectiva. De este modo, el Plan Anual de Adquisiciones, se considera un documento de carácter estimativo que tiene entre otras finalidades, la de “servir como referente inicial para evaluar la ejecución de presupuesto y pronosticar la demanda de bienes y servicios de la entidad durante el año referido del plan”. </w:t>
      </w:r>
    </w:p>
    <w:p w14:paraId="274210B3"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p>
    <w:p w14:paraId="2C877CE8" w14:textId="77777777" w:rsidR="00B83FB0" w:rsidRPr="00B83FB0" w:rsidRDefault="00B83FB0" w:rsidP="00B83FB0">
      <w:pPr>
        <w:spacing w:after="0" w:line="240" w:lineRule="auto"/>
        <w:jc w:val="both"/>
        <w:rPr>
          <w:rFonts w:ascii="Verdana" w:eastAsia="Century Gothic" w:hAnsi="Verdana" w:cs="Century Gothic"/>
          <w:b/>
          <w:bCs/>
          <w:lang w:val="es-ES" w:eastAsia="es-ES_tradnl"/>
        </w:rPr>
      </w:pPr>
      <w:r w:rsidRPr="00B83FB0">
        <w:rPr>
          <w:rFonts w:ascii="Verdana" w:eastAsia="Century Gothic" w:hAnsi="Verdana" w:cs="Century Gothic"/>
          <w:b/>
          <w:bCs/>
          <w:lang w:val="es-ES" w:eastAsia="es-ES"/>
        </w:rPr>
        <w:t>PLAN ANUAL DE ADQUISICIONES – Obligatoriedad de elaboración – Sujetos obligados</w:t>
      </w:r>
    </w:p>
    <w:p w14:paraId="64CF9241"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p>
    <w:p w14:paraId="0A2AB221"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r w:rsidRPr="00B83FB0">
        <w:rPr>
          <w:rFonts w:ascii="Verdana" w:eastAsia="Century Gothic" w:hAnsi="Verdana" w:cs="Century Gothic"/>
          <w:sz w:val="20"/>
          <w:szCs w:val="20"/>
          <w:lang w:val="es-ES" w:eastAsia="es-ES_tradnl"/>
        </w:rPr>
        <w:t>De acuerdo con el artículo 2.2.1.1.1.3.1 del Decreto 1082 de 2015, el Plan Anual de Adquisiciones es el plan general de compras al que se refiere el artículo 74 de la Ley 1474 de 2011 y el plan de compras al que se refiere la Ley Anual de Presupuesto. Asimismo, el artículo 2.1.1.1.3.1 del Decreto 1082 de 2015 lo define como un instrumento de planeación contractual que las Entidades Estatales debe diligenciar, publicar y actualizar.</w:t>
      </w:r>
    </w:p>
    <w:p w14:paraId="23004401"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p>
    <w:p w14:paraId="5C3D8DB0" w14:textId="77777777" w:rsidR="00B83FB0" w:rsidRPr="00B83FB0" w:rsidRDefault="00B83FB0" w:rsidP="00B83FB0">
      <w:pPr>
        <w:spacing w:after="0" w:line="240" w:lineRule="auto"/>
        <w:jc w:val="both"/>
        <w:rPr>
          <w:rFonts w:ascii="Verdana" w:eastAsia="Century Gothic" w:hAnsi="Verdana" w:cs="Century Gothic"/>
          <w:sz w:val="20"/>
          <w:szCs w:val="20"/>
          <w:lang w:val="es-ES" w:eastAsia="es-ES_tradnl"/>
        </w:rPr>
      </w:pPr>
      <w:r w:rsidRPr="00B83FB0">
        <w:rPr>
          <w:rFonts w:ascii="Verdana" w:eastAsia="Century Gothic" w:hAnsi="Verdana" w:cs="Century Gothic"/>
          <w:sz w:val="20"/>
          <w:szCs w:val="20"/>
          <w:lang w:val="es-ES" w:eastAsia="es-ES_tradnl"/>
        </w:rPr>
        <w:t xml:space="preserve">[…] el artículo 74 de la Ley 1474 de 2011 dispone que “todas las entidades del Estado” deben publicar, a más tardar el 31 de enero de cada año, en su respectiva página web, el plan de acción, en el cual se incluye el plan general de compras. Como ya se indicó, el plan general de compras para el ordenamiento vigente corresponde con el concepto de Plan Anual de Adquisiciones como lo establece el artículo 2.2.1.1.1.3.1. del Decreto 1082 de 2015.  </w:t>
      </w:r>
    </w:p>
    <w:p w14:paraId="40718309" w14:textId="77777777" w:rsidR="00B83FB0" w:rsidRPr="00B83FB0" w:rsidRDefault="00B83FB0" w:rsidP="00B83FB0">
      <w:pPr>
        <w:spacing w:after="0"/>
        <w:contextualSpacing/>
        <w:jc w:val="both"/>
        <w:rPr>
          <w:rFonts w:ascii="Verdana" w:eastAsia="Calibri" w:hAnsi="Verdana" w:cs="Arial"/>
          <w:lang w:eastAsia="es-ES_tradnl"/>
        </w:rPr>
      </w:pPr>
    </w:p>
    <w:p w14:paraId="5DBCD1E6" w14:textId="77777777" w:rsidR="00B83FB0" w:rsidRPr="00B83FB0" w:rsidRDefault="00B83FB0" w:rsidP="00B83FB0">
      <w:pPr>
        <w:contextualSpacing/>
        <w:jc w:val="both"/>
        <w:rPr>
          <w:rFonts w:ascii="Verdana" w:eastAsia="Calibri" w:hAnsi="Verdana" w:cs="Arial"/>
          <w:sz w:val="20"/>
          <w:szCs w:val="20"/>
          <w:lang w:eastAsia="es-ES_tradnl"/>
        </w:rPr>
      </w:pPr>
      <w:r w:rsidRPr="00B83FB0">
        <w:rPr>
          <w:rFonts w:ascii="Verdana" w:eastAsia="Calibri" w:hAnsi="Verdana" w:cs="Arial"/>
          <w:sz w:val="20"/>
          <w:szCs w:val="20"/>
          <w:lang w:eastAsia="es-ES_tradnl"/>
        </w:rPr>
        <w:t>[…]el artículo 2.2.1.1.1.4.3 ibidem, el Plan Anual de Adquisiciones también debe publicarse en el SECOP. Se trata de una obligación que involucra a todas las Entidades del Estado sin importar la rama a la cual pertenecen, o si se trata de entidades descentralizadas territorialmente o por servicios; las empresas del Estado y las sociedades en las que el Estado tenga participación, sin que importe su monto.</w:t>
      </w:r>
    </w:p>
    <w:p w14:paraId="2FCD5865" w14:textId="77777777" w:rsidR="00B83FB0" w:rsidRPr="00B83FB0" w:rsidRDefault="00B83FB0" w:rsidP="00B83FB0">
      <w:pPr>
        <w:contextualSpacing/>
        <w:jc w:val="both"/>
        <w:rPr>
          <w:rFonts w:ascii="Verdana" w:eastAsia="Calibri" w:hAnsi="Verdana" w:cs="Arial"/>
          <w:lang w:eastAsia="es-ES_tradnl"/>
        </w:rPr>
      </w:pPr>
    </w:p>
    <w:p w14:paraId="73C4ED7C" w14:textId="77777777" w:rsidR="00B83FB0" w:rsidRPr="00B83FB0" w:rsidRDefault="00B83FB0" w:rsidP="00B83FB0">
      <w:pPr>
        <w:spacing w:after="0" w:line="276" w:lineRule="auto"/>
        <w:jc w:val="both"/>
        <w:rPr>
          <w:rFonts w:ascii="Verdana" w:eastAsia="Century Gothic" w:hAnsi="Verdana" w:cs="Century Gothic"/>
          <w:b/>
          <w:bCs/>
        </w:rPr>
      </w:pPr>
      <w:r w:rsidRPr="00B83FB0">
        <w:rPr>
          <w:rFonts w:ascii="Verdana" w:eastAsia="Century Gothic" w:hAnsi="Verdana" w:cs="Century Gothic"/>
          <w:b/>
          <w:bCs/>
        </w:rPr>
        <w:t xml:space="preserve">PLAN ANUAL DE ADQUISICIONES – Contenido </w:t>
      </w:r>
    </w:p>
    <w:p w14:paraId="64D7A33C" w14:textId="77777777" w:rsidR="00B83FB0" w:rsidRPr="00B83FB0" w:rsidRDefault="00B83FB0" w:rsidP="00B83FB0">
      <w:pPr>
        <w:spacing w:after="0" w:line="276" w:lineRule="auto"/>
        <w:jc w:val="both"/>
        <w:rPr>
          <w:rFonts w:ascii="Verdana" w:eastAsia="Century Gothic" w:hAnsi="Verdana" w:cs="Century Gothic"/>
          <w:b/>
          <w:bCs/>
        </w:rPr>
      </w:pPr>
    </w:p>
    <w:p w14:paraId="3F9E11EF" w14:textId="77777777" w:rsidR="00B83FB0" w:rsidRPr="00B83FB0" w:rsidRDefault="00B83FB0" w:rsidP="00B83FB0">
      <w:pPr>
        <w:spacing w:after="0"/>
        <w:jc w:val="both"/>
        <w:rPr>
          <w:rFonts w:ascii="Verdana" w:eastAsia="Century Gothic" w:hAnsi="Verdana" w:cs="Century Gothic"/>
          <w:sz w:val="20"/>
          <w:szCs w:val="20"/>
          <w:lang w:val="es-ES"/>
        </w:rPr>
      </w:pPr>
      <w:r w:rsidRPr="00B83FB0">
        <w:rPr>
          <w:rFonts w:ascii="Verdana" w:eastAsia="Century Gothic" w:hAnsi="Verdana" w:cs="Century Gothic"/>
          <w:sz w:val="20"/>
          <w:szCs w:val="20"/>
          <w:lang w:val="es-ES"/>
        </w:rPr>
        <w:t xml:space="preserve">El artículo 2.2.1.1.1.4.1. del Decreto 1082 de 2015 establece el deber de elaborar el plan anual de adquisiciones, que debe contener un listado de lo que la entidad adquirirá durante el año, para satisfacer sus necesidades de bienes, obras o servicios, y debe tener la información desagregada, principalmente en los siguientes aspectos: i) identificación con el clasificador de bienes y servicios, </w:t>
      </w:r>
      <w:proofErr w:type="spellStart"/>
      <w:r w:rsidRPr="00B83FB0">
        <w:rPr>
          <w:rFonts w:ascii="Verdana" w:eastAsia="Century Gothic" w:hAnsi="Verdana" w:cs="Century Gothic"/>
          <w:sz w:val="20"/>
          <w:szCs w:val="20"/>
          <w:lang w:val="es-ES"/>
        </w:rPr>
        <w:t>ii</w:t>
      </w:r>
      <w:proofErr w:type="spellEnd"/>
      <w:r w:rsidRPr="00B83FB0">
        <w:rPr>
          <w:rFonts w:ascii="Verdana" w:eastAsia="Century Gothic" w:hAnsi="Verdana" w:cs="Century Gothic"/>
          <w:sz w:val="20"/>
          <w:szCs w:val="20"/>
          <w:lang w:val="es-ES"/>
        </w:rPr>
        <w:t xml:space="preserve">) valor estimado del contrato, </w:t>
      </w:r>
      <w:proofErr w:type="spellStart"/>
      <w:r w:rsidRPr="00B83FB0">
        <w:rPr>
          <w:rFonts w:ascii="Verdana" w:eastAsia="Century Gothic" w:hAnsi="Verdana" w:cs="Century Gothic"/>
          <w:sz w:val="20"/>
          <w:szCs w:val="20"/>
          <w:lang w:val="es-ES"/>
        </w:rPr>
        <w:t>iii</w:t>
      </w:r>
      <w:proofErr w:type="spellEnd"/>
      <w:r w:rsidRPr="00B83FB0">
        <w:rPr>
          <w:rFonts w:ascii="Verdana" w:eastAsia="Century Gothic" w:hAnsi="Verdana" w:cs="Century Gothic"/>
          <w:sz w:val="20"/>
          <w:szCs w:val="20"/>
          <w:lang w:val="es-ES"/>
        </w:rPr>
        <w:t xml:space="preserve">) tipo de recursos, </w:t>
      </w:r>
      <w:proofErr w:type="spellStart"/>
      <w:r w:rsidRPr="00B83FB0">
        <w:rPr>
          <w:rFonts w:ascii="Verdana" w:eastAsia="Century Gothic" w:hAnsi="Verdana" w:cs="Century Gothic"/>
          <w:sz w:val="20"/>
          <w:szCs w:val="20"/>
          <w:lang w:val="es-ES"/>
        </w:rPr>
        <w:t>iv</w:t>
      </w:r>
      <w:proofErr w:type="spellEnd"/>
      <w:r w:rsidRPr="00B83FB0">
        <w:rPr>
          <w:rFonts w:ascii="Verdana" w:eastAsia="Century Gothic" w:hAnsi="Verdana" w:cs="Century Gothic"/>
          <w:sz w:val="20"/>
          <w:szCs w:val="20"/>
          <w:lang w:val="es-ES"/>
        </w:rPr>
        <w:t xml:space="preserve">) modalidad de selección y v) fecha de inicio del proceso contractual . Con relación a la configuración de dicho listado, en primer lugar, es necesario resaltar </w:t>
      </w:r>
      <w:r w:rsidRPr="00B83FB0">
        <w:rPr>
          <w:rFonts w:ascii="Verdana" w:eastAsia="Century Gothic" w:hAnsi="Verdana" w:cs="Century Gothic"/>
          <w:sz w:val="20"/>
          <w:szCs w:val="20"/>
          <w:lang w:val="es-ES"/>
        </w:rPr>
        <w:lastRenderedPageBreak/>
        <w:t>que el objetivo del Plan Anual de Adquisiciones es indicar los bienes, obras y servicios que la entidad pretende adquirir, sin consideración a la forma en que estos se obtendrán,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w:t>
      </w:r>
    </w:p>
    <w:p w14:paraId="2E22CF33" w14:textId="77777777" w:rsidR="00B83FB0" w:rsidRPr="00B83FB0" w:rsidRDefault="00B83FB0" w:rsidP="00B83FB0">
      <w:pPr>
        <w:spacing w:after="0" w:line="240" w:lineRule="auto"/>
        <w:rPr>
          <w:rFonts w:ascii="Verdana" w:eastAsia="Geomanist Light" w:hAnsi="Verdana" w:cs="Arial"/>
          <w:sz w:val="20"/>
          <w:szCs w:val="20"/>
          <w:lang w:val="es-MX"/>
        </w:rPr>
      </w:pPr>
    </w:p>
    <w:p w14:paraId="0873950C" w14:textId="77777777" w:rsidR="00B83FB0" w:rsidRPr="00B83FB0" w:rsidRDefault="00B83FB0" w:rsidP="00B83FB0">
      <w:pPr>
        <w:spacing w:after="0" w:line="240" w:lineRule="auto"/>
        <w:rPr>
          <w:rFonts w:ascii="Verdana" w:eastAsia="Geomanist Light" w:hAnsi="Verdana" w:cs="Arial"/>
          <w:sz w:val="20"/>
          <w:szCs w:val="20"/>
          <w:lang w:val="es-MX"/>
        </w:rPr>
      </w:pPr>
    </w:p>
    <w:p w14:paraId="5529A5B4" w14:textId="77777777" w:rsidR="00B83FB0" w:rsidRPr="00B83FB0" w:rsidRDefault="00B83FB0" w:rsidP="00B83FB0">
      <w:pPr>
        <w:spacing w:after="0" w:line="240" w:lineRule="auto"/>
        <w:rPr>
          <w:rFonts w:ascii="Verdana" w:eastAsia="Geomanist Light" w:hAnsi="Verdana" w:cs="Arial"/>
          <w:sz w:val="20"/>
          <w:szCs w:val="20"/>
          <w:lang w:val="es-MX"/>
        </w:rPr>
      </w:pPr>
    </w:p>
    <w:p w14:paraId="39C6DB02" w14:textId="77777777" w:rsidR="00B83FB0" w:rsidRPr="00B83FB0" w:rsidRDefault="00B83FB0" w:rsidP="00B83FB0">
      <w:pPr>
        <w:spacing w:after="0" w:line="240" w:lineRule="auto"/>
        <w:rPr>
          <w:rFonts w:ascii="Verdana" w:eastAsia="Geomanist Light" w:hAnsi="Verdana" w:cs="Arial"/>
          <w:sz w:val="20"/>
          <w:szCs w:val="20"/>
          <w:lang w:val="es-MX"/>
        </w:rPr>
      </w:pPr>
    </w:p>
    <w:p w14:paraId="1CCCB5CB" w14:textId="77777777" w:rsidR="00B83FB0" w:rsidRPr="00B83FB0" w:rsidRDefault="00B83FB0" w:rsidP="00B83FB0">
      <w:pPr>
        <w:spacing w:after="0" w:line="240" w:lineRule="auto"/>
        <w:rPr>
          <w:rFonts w:ascii="Verdana" w:eastAsia="Geomanist Light" w:hAnsi="Verdana" w:cs="Arial"/>
          <w:sz w:val="20"/>
          <w:szCs w:val="20"/>
          <w:lang w:val="es-MX"/>
        </w:rPr>
      </w:pPr>
    </w:p>
    <w:p w14:paraId="7466ECF5" w14:textId="77777777" w:rsidR="00B83FB0" w:rsidRPr="00B83FB0" w:rsidRDefault="00B83FB0" w:rsidP="00B83FB0">
      <w:pPr>
        <w:spacing w:after="0" w:line="240" w:lineRule="auto"/>
        <w:rPr>
          <w:rFonts w:ascii="Verdana" w:eastAsia="Geomanist Light" w:hAnsi="Verdana" w:cs="Arial"/>
          <w:sz w:val="20"/>
          <w:szCs w:val="20"/>
          <w:lang w:val="es-MX"/>
        </w:rPr>
      </w:pPr>
    </w:p>
    <w:p w14:paraId="2B9D6665" w14:textId="77777777" w:rsidR="00B83FB0" w:rsidRPr="00B83FB0" w:rsidRDefault="00B83FB0" w:rsidP="00B83FB0">
      <w:pPr>
        <w:spacing w:after="0" w:line="240" w:lineRule="auto"/>
        <w:rPr>
          <w:rFonts w:ascii="Verdana" w:eastAsia="Geomanist Light" w:hAnsi="Verdana" w:cs="Arial"/>
          <w:sz w:val="20"/>
          <w:szCs w:val="20"/>
          <w:lang w:val="es-MX"/>
        </w:rPr>
      </w:pPr>
    </w:p>
    <w:p w14:paraId="506E000A" w14:textId="77777777" w:rsidR="00B83FB0" w:rsidRPr="00B83FB0" w:rsidRDefault="00B83FB0" w:rsidP="00B83FB0">
      <w:pPr>
        <w:spacing w:after="0" w:line="240" w:lineRule="auto"/>
        <w:rPr>
          <w:rFonts w:ascii="Verdana" w:eastAsia="Geomanist Light" w:hAnsi="Verdana" w:cs="Arial"/>
          <w:sz w:val="20"/>
          <w:szCs w:val="20"/>
          <w:lang w:val="es-MX"/>
        </w:rPr>
      </w:pPr>
    </w:p>
    <w:p w14:paraId="27046730" w14:textId="77777777" w:rsidR="00B83FB0" w:rsidRPr="00B83FB0" w:rsidRDefault="00B83FB0" w:rsidP="00B83FB0">
      <w:pPr>
        <w:spacing w:after="0" w:line="240" w:lineRule="auto"/>
        <w:rPr>
          <w:rFonts w:ascii="Verdana" w:eastAsia="Geomanist Light" w:hAnsi="Verdana" w:cs="Arial"/>
          <w:sz w:val="20"/>
          <w:szCs w:val="20"/>
          <w:lang w:val="es-MX"/>
        </w:rPr>
      </w:pPr>
    </w:p>
    <w:p w14:paraId="6EF750F6" w14:textId="77777777" w:rsidR="00B83FB0" w:rsidRPr="00B83FB0" w:rsidRDefault="00B83FB0" w:rsidP="00B83FB0">
      <w:pPr>
        <w:spacing w:after="0" w:line="240" w:lineRule="auto"/>
        <w:rPr>
          <w:rFonts w:ascii="Verdana" w:eastAsia="Geomanist Light" w:hAnsi="Verdana" w:cs="Arial"/>
          <w:sz w:val="20"/>
          <w:szCs w:val="20"/>
          <w:lang w:val="es-MX"/>
        </w:rPr>
      </w:pPr>
    </w:p>
    <w:p w14:paraId="20E9D3DF" w14:textId="77777777" w:rsidR="00B83FB0" w:rsidRPr="00B83FB0" w:rsidRDefault="00B83FB0" w:rsidP="00B83FB0">
      <w:pPr>
        <w:spacing w:after="0" w:line="240" w:lineRule="auto"/>
        <w:rPr>
          <w:rFonts w:ascii="Verdana" w:eastAsia="Geomanist Light" w:hAnsi="Verdana" w:cs="Arial"/>
          <w:sz w:val="20"/>
          <w:szCs w:val="20"/>
          <w:lang w:val="es-MX"/>
        </w:rPr>
      </w:pPr>
    </w:p>
    <w:p w14:paraId="4571D812" w14:textId="77777777" w:rsidR="00B83FB0" w:rsidRPr="00B83FB0" w:rsidRDefault="00B83FB0" w:rsidP="00B83FB0">
      <w:pPr>
        <w:spacing w:after="0" w:line="240" w:lineRule="auto"/>
        <w:rPr>
          <w:rFonts w:ascii="Verdana" w:eastAsia="Geomanist Light" w:hAnsi="Verdana" w:cs="Arial"/>
          <w:sz w:val="20"/>
          <w:szCs w:val="20"/>
          <w:lang w:val="es-MX"/>
        </w:rPr>
      </w:pPr>
    </w:p>
    <w:p w14:paraId="3B7AFE03" w14:textId="77777777" w:rsidR="00B83FB0" w:rsidRPr="00B83FB0" w:rsidRDefault="00B83FB0" w:rsidP="00B83FB0">
      <w:pPr>
        <w:spacing w:after="0" w:line="240" w:lineRule="auto"/>
        <w:rPr>
          <w:rFonts w:ascii="Verdana" w:eastAsia="Geomanist Light" w:hAnsi="Verdana" w:cs="Arial"/>
          <w:sz w:val="20"/>
          <w:szCs w:val="20"/>
          <w:lang w:val="es-MX"/>
        </w:rPr>
      </w:pPr>
    </w:p>
    <w:p w14:paraId="786F79E6" w14:textId="77777777" w:rsidR="00B83FB0" w:rsidRPr="00B83FB0" w:rsidRDefault="00B83FB0" w:rsidP="00B83FB0">
      <w:pPr>
        <w:spacing w:after="0" w:line="240" w:lineRule="auto"/>
        <w:rPr>
          <w:rFonts w:ascii="Verdana" w:eastAsia="Geomanist Light" w:hAnsi="Verdana" w:cs="Arial"/>
          <w:sz w:val="20"/>
          <w:szCs w:val="20"/>
          <w:lang w:val="es-MX"/>
        </w:rPr>
      </w:pPr>
    </w:p>
    <w:p w14:paraId="67A47153" w14:textId="77777777" w:rsidR="00B83FB0" w:rsidRPr="00B83FB0" w:rsidRDefault="00B83FB0" w:rsidP="00B83FB0">
      <w:pPr>
        <w:spacing w:after="0" w:line="240" w:lineRule="auto"/>
        <w:rPr>
          <w:rFonts w:ascii="Verdana" w:eastAsia="Geomanist Light" w:hAnsi="Verdana" w:cs="Arial"/>
          <w:sz w:val="20"/>
          <w:szCs w:val="20"/>
          <w:lang w:val="es-MX"/>
        </w:rPr>
      </w:pPr>
    </w:p>
    <w:p w14:paraId="2A9C7843" w14:textId="77777777" w:rsidR="00B83FB0" w:rsidRPr="00B83FB0" w:rsidRDefault="00B83FB0" w:rsidP="00B83FB0">
      <w:pPr>
        <w:spacing w:after="0" w:line="240" w:lineRule="auto"/>
        <w:rPr>
          <w:rFonts w:ascii="Verdana" w:eastAsia="Geomanist Light" w:hAnsi="Verdana" w:cs="Arial"/>
          <w:sz w:val="20"/>
          <w:szCs w:val="20"/>
          <w:lang w:val="es-MX"/>
        </w:rPr>
      </w:pPr>
    </w:p>
    <w:p w14:paraId="4FBE6686" w14:textId="77777777" w:rsidR="00B83FB0" w:rsidRPr="00B83FB0" w:rsidRDefault="00B83FB0" w:rsidP="00B83FB0">
      <w:pPr>
        <w:spacing w:after="0" w:line="240" w:lineRule="auto"/>
        <w:rPr>
          <w:rFonts w:ascii="Verdana" w:eastAsia="Geomanist Light" w:hAnsi="Verdana" w:cs="Arial"/>
          <w:sz w:val="20"/>
          <w:szCs w:val="20"/>
          <w:lang w:val="es-MX"/>
        </w:rPr>
      </w:pPr>
    </w:p>
    <w:p w14:paraId="567007C2" w14:textId="77777777" w:rsidR="00B83FB0" w:rsidRPr="00B83FB0" w:rsidRDefault="00B83FB0" w:rsidP="00B83FB0">
      <w:pPr>
        <w:spacing w:after="0" w:line="240" w:lineRule="auto"/>
        <w:rPr>
          <w:rFonts w:ascii="Verdana" w:eastAsia="Geomanist Light" w:hAnsi="Verdana" w:cs="Arial"/>
          <w:sz w:val="20"/>
          <w:szCs w:val="20"/>
          <w:lang w:val="es-MX"/>
        </w:rPr>
      </w:pPr>
    </w:p>
    <w:p w14:paraId="22E67897" w14:textId="77777777" w:rsidR="00B83FB0" w:rsidRPr="00B83FB0" w:rsidRDefault="00B83FB0" w:rsidP="00B83FB0">
      <w:pPr>
        <w:spacing w:after="0" w:line="240" w:lineRule="auto"/>
        <w:rPr>
          <w:rFonts w:ascii="Verdana" w:eastAsia="Geomanist Light" w:hAnsi="Verdana" w:cs="Arial"/>
          <w:sz w:val="20"/>
          <w:szCs w:val="20"/>
          <w:lang w:val="es-MX"/>
        </w:rPr>
      </w:pPr>
    </w:p>
    <w:p w14:paraId="7EAD0DE5" w14:textId="77777777" w:rsidR="00B83FB0" w:rsidRPr="00B83FB0" w:rsidRDefault="00B83FB0" w:rsidP="00B83FB0">
      <w:pPr>
        <w:spacing w:after="0" w:line="240" w:lineRule="auto"/>
        <w:rPr>
          <w:rFonts w:ascii="Verdana" w:eastAsia="Geomanist Light" w:hAnsi="Verdana" w:cs="Arial"/>
          <w:sz w:val="20"/>
          <w:szCs w:val="20"/>
          <w:lang w:val="es-MX"/>
        </w:rPr>
      </w:pPr>
    </w:p>
    <w:p w14:paraId="4FFB109D" w14:textId="77777777" w:rsidR="00B83FB0" w:rsidRPr="00B83FB0" w:rsidRDefault="00B83FB0" w:rsidP="00B83FB0">
      <w:pPr>
        <w:spacing w:after="0" w:line="240" w:lineRule="auto"/>
        <w:rPr>
          <w:rFonts w:ascii="Verdana" w:eastAsia="Geomanist Light" w:hAnsi="Verdana" w:cs="Arial"/>
          <w:sz w:val="20"/>
          <w:szCs w:val="20"/>
          <w:lang w:val="es-MX"/>
        </w:rPr>
      </w:pPr>
    </w:p>
    <w:p w14:paraId="6DB92BC7" w14:textId="77777777" w:rsidR="00B83FB0" w:rsidRPr="00B83FB0" w:rsidRDefault="00B83FB0" w:rsidP="00B83FB0">
      <w:pPr>
        <w:spacing w:after="0" w:line="240" w:lineRule="auto"/>
        <w:rPr>
          <w:rFonts w:ascii="Verdana" w:eastAsia="Geomanist Light" w:hAnsi="Verdana" w:cs="Arial"/>
          <w:sz w:val="20"/>
          <w:szCs w:val="20"/>
          <w:lang w:val="es-MX"/>
        </w:rPr>
      </w:pPr>
    </w:p>
    <w:p w14:paraId="73D15BD7" w14:textId="77777777" w:rsidR="00B83FB0" w:rsidRPr="00B83FB0" w:rsidRDefault="00B83FB0" w:rsidP="00B83FB0">
      <w:pPr>
        <w:spacing w:after="0" w:line="240" w:lineRule="auto"/>
        <w:rPr>
          <w:rFonts w:ascii="Verdana" w:eastAsia="Geomanist Light" w:hAnsi="Verdana" w:cs="Arial"/>
          <w:sz w:val="20"/>
          <w:szCs w:val="20"/>
          <w:lang w:val="es-MX"/>
        </w:rPr>
      </w:pPr>
    </w:p>
    <w:p w14:paraId="41BD2C55" w14:textId="77777777" w:rsidR="00B83FB0" w:rsidRPr="00B83FB0" w:rsidRDefault="00B83FB0" w:rsidP="00B83FB0">
      <w:pPr>
        <w:spacing w:after="0" w:line="240" w:lineRule="auto"/>
        <w:rPr>
          <w:rFonts w:ascii="Verdana" w:eastAsia="Geomanist Light" w:hAnsi="Verdana" w:cs="Arial"/>
          <w:sz w:val="20"/>
          <w:szCs w:val="20"/>
          <w:lang w:val="es-MX"/>
        </w:rPr>
      </w:pPr>
    </w:p>
    <w:p w14:paraId="115AA202" w14:textId="77777777" w:rsidR="00B83FB0" w:rsidRPr="00B83FB0" w:rsidRDefault="00B83FB0" w:rsidP="00B83FB0">
      <w:pPr>
        <w:spacing w:after="0" w:line="240" w:lineRule="auto"/>
        <w:rPr>
          <w:rFonts w:ascii="Verdana" w:eastAsia="Geomanist Light" w:hAnsi="Verdana" w:cs="Arial"/>
          <w:sz w:val="20"/>
          <w:szCs w:val="20"/>
          <w:lang w:val="es-MX"/>
        </w:rPr>
      </w:pPr>
    </w:p>
    <w:p w14:paraId="5D05D422" w14:textId="77777777" w:rsidR="00B83FB0" w:rsidRPr="00B83FB0" w:rsidRDefault="00B83FB0" w:rsidP="00B83FB0">
      <w:pPr>
        <w:spacing w:after="0" w:line="240" w:lineRule="auto"/>
        <w:rPr>
          <w:rFonts w:ascii="Verdana" w:eastAsia="Geomanist Light" w:hAnsi="Verdana" w:cs="Arial"/>
          <w:sz w:val="20"/>
          <w:szCs w:val="20"/>
          <w:lang w:val="es-MX"/>
        </w:rPr>
      </w:pPr>
    </w:p>
    <w:p w14:paraId="43A7F90A" w14:textId="77777777" w:rsidR="00B83FB0" w:rsidRPr="00B83FB0" w:rsidRDefault="00B83FB0" w:rsidP="00B83FB0">
      <w:pPr>
        <w:spacing w:after="0" w:line="240" w:lineRule="auto"/>
        <w:rPr>
          <w:rFonts w:ascii="Verdana" w:eastAsia="Geomanist Light" w:hAnsi="Verdana" w:cs="Arial"/>
          <w:sz w:val="20"/>
          <w:szCs w:val="20"/>
          <w:lang w:val="es-MX"/>
        </w:rPr>
      </w:pPr>
    </w:p>
    <w:p w14:paraId="1E09C290" w14:textId="77777777" w:rsidR="00B83FB0" w:rsidRPr="00B83FB0" w:rsidRDefault="00B83FB0" w:rsidP="00B83FB0">
      <w:pPr>
        <w:spacing w:after="0" w:line="240" w:lineRule="auto"/>
        <w:rPr>
          <w:rFonts w:ascii="Verdana" w:eastAsia="Geomanist Light" w:hAnsi="Verdana" w:cs="Arial"/>
          <w:sz w:val="20"/>
          <w:szCs w:val="20"/>
          <w:lang w:val="es-MX"/>
        </w:rPr>
      </w:pPr>
    </w:p>
    <w:p w14:paraId="7779BE30" w14:textId="77777777" w:rsidR="00B83FB0" w:rsidRPr="00B83FB0" w:rsidRDefault="00B83FB0" w:rsidP="00B83FB0">
      <w:pPr>
        <w:spacing w:after="0" w:line="240" w:lineRule="auto"/>
        <w:rPr>
          <w:rFonts w:ascii="Verdana" w:eastAsia="Geomanist Light" w:hAnsi="Verdana" w:cs="Arial"/>
          <w:sz w:val="20"/>
          <w:szCs w:val="20"/>
          <w:lang w:val="es-MX"/>
        </w:rPr>
      </w:pPr>
    </w:p>
    <w:p w14:paraId="14823A44" w14:textId="77777777" w:rsidR="00B83FB0" w:rsidRPr="00B83FB0" w:rsidRDefault="00B83FB0" w:rsidP="00B83FB0">
      <w:pPr>
        <w:spacing w:after="0" w:line="240" w:lineRule="auto"/>
        <w:rPr>
          <w:rFonts w:ascii="Verdana" w:eastAsia="Geomanist Light" w:hAnsi="Verdana" w:cs="Arial"/>
          <w:sz w:val="20"/>
          <w:szCs w:val="20"/>
          <w:lang w:val="es-MX"/>
        </w:rPr>
      </w:pPr>
    </w:p>
    <w:p w14:paraId="6301FBDF" w14:textId="77777777" w:rsidR="00B83FB0" w:rsidRPr="00B83FB0" w:rsidRDefault="00B83FB0" w:rsidP="00B83FB0">
      <w:pPr>
        <w:spacing w:after="0" w:line="240" w:lineRule="auto"/>
        <w:rPr>
          <w:rFonts w:ascii="Verdana" w:eastAsia="Geomanist Light" w:hAnsi="Verdana" w:cs="Arial"/>
          <w:sz w:val="20"/>
          <w:szCs w:val="20"/>
          <w:lang w:val="es-MX"/>
        </w:rPr>
      </w:pPr>
    </w:p>
    <w:p w14:paraId="5E288A8D" w14:textId="77777777" w:rsidR="00B83FB0" w:rsidRPr="00B83FB0" w:rsidRDefault="00B83FB0" w:rsidP="00B83FB0">
      <w:pPr>
        <w:spacing w:after="0" w:line="240" w:lineRule="auto"/>
        <w:rPr>
          <w:rFonts w:ascii="Verdana" w:eastAsia="Geomanist Light" w:hAnsi="Verdana" w:cs="Arial"/>
          <w:sz w:val="20"/>
          <w:szCs w:val="20"/>
          <w:lang w:val="es-MX"/>
        </w:rPr>
      </w:pPr>
    </w:p>
    <w:p w14:paraId="54583CAE" w14:textId="77777777" w:rsidR="00B83FB0" w:rsidRPr="00B83FB0" w:rsidRDefault="00B83FB0" w:rsidP="00B83FB0">
      <w:pPr>
        <w:spacing w:after="0" w:line="240" w:lineRule="auto"/>
        <w:rPr>
          <w:rFonts w:ascii="Verdana" w:eastAsia="Geomanist Light" w:hAnsi="Verdana" w:cs="Arial"/>
          <w:sz w:val="20"/>
          <w:szCs w:val="20"/>
          <w:lang w:val="es-MX"/>
        </w:rPr>
      </w:pPr>
    </w:p>
    <w:p w14:paraId="581CC9E8" w14:textId="77777777" w:rsidR="00B83FB0" w:rsidRDefault="00B83FB0" w:rsidP="00B83FB0">
      <w:pPr>
        <w:spacing w:after="0" w:line="240" w:lineRule="auto"/>
        <w:rPr>
          <w:rFonts w:ascii="Verdana" w:eastAsia="Geomanist Light" w:hAnsi="Verdana" w:cs="Arial"/>
          <w:sz w:val="20"/>
          <w:szCs w:val="20"/>
          <w:lang w:val="es-MX"/>
        </w:rPr>
      </w:pPr>
    </w:p>
    <w:p w14:paraId="440A065A" w14:textId="77777777" w:rsidR="000F67AF" w:rsidRDefault="000F67AF" w:rsidP="00B83FB0">
      <w:pPr>
        <w:spacing w:after="0" w:line="240" w:lineRule="auto"/>
        <w:rPr>
          <w:rFonts w:ascii="Verdana" w:eastAsia="Geomanist Light" w:hAnsi="Verdana" w:cs="Arial"/>
          <w:sz w:val="20"/>
          <w:szCs w:val="20"/>
          <w:lang w:val="es-MX"/>
        </w:rPr>
      </w:pPr>
    </w:p>
    <w:p w14:paraId="2B52AFF5" w14:textId="77777777" w:rsidR="000F67AF" w:rsidRDefault="000F67AF" w:rsidP="00B83FB0">
      <w:pPr>
        <w:spacing w:after="0" w:line="240" w:lineRule="auto"/>
        <w:rPr>
          <w:rFonts w:ascii="Verdana" w:eastAsia="Geomanist Light" w:hAnsi="Verdana" w:cs="Arial"/>
          <w:sz w:val="20"/>
          <w:szCs w:val="20"/>
          <w:lang w:val="es-MX"/>
        </w:rPr>
      </w:pPr>
    </w:p>
    <w:p w14:paraId="74C74881" w14:textId="77777777" w:rsidR="000F67AF" w:rsidRDefault="000F67AF" w:rsidP="00B83FB0">
      <w:pPr>
        <w:spacing w:after="0" w:line="240" w:lineRule="auto"/>
        <w:rPr>
          <w:rFonts w:ascii="Verdana" w:eastAsia="Geomanist Light" w:hAnsi="Verdana" w:cs="Arial"/>
          <w:sz w:val="20"/>
          <w:szCs w:val="20"/>
          <w:lang w:val="es-MX"/>
        </w:rPr>
      </w:pPr>
    </w:p>
    <w:p w14:paraId="4956DA94" w14:textId="77777777" w:rsidR="000F67AF" w:rsidRDefault="000F67AF" w:rsidP="00B83FB0">
      <w:pPr>
        <w:spacing w:after="0" w:line="240" w:lineRule="auto"/>
        <w:rPr>
          <w:rFonts w:ascii="Verdana" w:eastAsia="Geomanist Light" w:hAnsi="Verdana" w:cs="Arial"/>
          <w:sz w:val="20"/>
          <w:szCs w:val="20"/>
          <w:lang w:val="es-MX"/>
        </w:rPr>
      </w:pPr>
    </w:p>
    <w:p w14:paraId="681847DB" w14:textId="77777777" w:rsidR="00190D15" w:rsidRDefault="00190D15" w:rsidP="002205A5">
      <w:pPr>
        <w:spacing w:after="0" w:line="240" w:lineRule="auto"/>
        <w:rPr>
          <w:rFonts w:ascii="Verdana" w:eastAsia="Geomanist Light" w:hAnsi="Verdana" w:cs="Arial"/>
          <w:sz w:val="20"/>
          <w:szCs w:val="20"/>
          <w:lang w:val="es-MX"/>
        </w:rPr>
      </w:pPr>
    </w:p>
    <w:p w14:paraId="7696827A" w14:textId="373E3231" w:rsidR="00B83FB0" w:rsidRPr="00B83FB0" w:rsidRDefault="002205A5" w:rsidP="002205A5">
      <w:pPr>
        <w:spacing w:after="0" w:line="240" w:lineRule="auto"/>
        <w:rPr>
          <w:rFonts w:ascii="Verdana" w:eastAsia="Geomanist Light" w:hAnsi="Verdana" w:cs="Arial"/>
          <w:sz w:val="20"/>
          <w:szCs w:val="20"/>
          <w:lang w:val="es-MX"/>
        </w:rPr>
      </w:pPr>
      <w:r w:rsidRPr="002205A5">
        <w:rPr>
          <w:rFonts w:ascii="Verdana" w:eastAsia="Verdana" w:hAnsi="Verdana" w:cs="Verdana"/>
        </w:rPr>
        <w:lastRenderedPageBreak/>
        <w:t xml:space="preserve">Bogotá D.C., 05 </w:t>
      </w:r>
      <w:r w:rsidR="00190D15" w:rsidRPr="002205A5">
        <w:rPr>
          <w:rFonts w:ascii="Verdana" w:eastAsia="Verdana" w:hAnsi="Verdana" w:cs="Verdana"/>
        </w:rPr>
        <w:t>agosto</w:t>
      </w:r>
      <w:r w:rsidRPr="002205A5">
        <w:rPr>
          <w:rFonts w:ascii="Verdana" w:eastAsia="Verdana" w:hAnsi="Verdana" w:cs="Verdana"/>
        </w:rPr>
        <w:t xml:space="preserve"> 2026</w:t>
      </w:r>
    </w:p>
    <w:p w14:paraId="2F4AD27D" w14:textId="77777777" w:rsidR="00190D15" w:rsidRDefault="00190D15" w:rsidP="00B83FB0">
      <w:pPr>
        <w:spacing w:after="0" w:line="240" w:lineRule="auto"/>
        <w:jc w:val="both"/>
        <w:rPr>
          <w:rFonts w:ascii="Verdana" w:eastAsia="Calibri" w:hAnsi="Verdana" w:cs="Arial"/>
          <w:lang w:val="es-ES"/>
        </w:rPr>
      </w:pPr>
    </w:p>
    <w:p w14:paraId="383FF729" w14:textId="28B127A6" w:rsidR="00B83FB0" w:rsidRPr="00B83FB0" w:rsidRDefault="00190D15" w:rsidP="00B83FB0">
      <w:pPr>
        <w:spacing w:after="0" w:line="240" w:lineRule="auto"/>
        <w:jc w:val="both"/>
        <w:rPr>
          <w:rFonts w:ascii="Verdana" w:eastAsia="Calibri" w:hAnsi="Verdana" w:cs="Arial"/>
          <w:lang w:val="es-ES"/>
        </w:rPr>
      </w:pPr>
      <w:r w:rsidRPr="002205A5">
        <w:rPr>
          <w:rFonts w:ascii="Verdana" w:eastAsia="Geomanist Light" w:hAnsi="Verdana" w:cs="Arial"/>
          <w:noProof/>
          <w:sz w:val="20"/>
          <w:szCs w:val="20"/>
          <w:lang w:val="es-MX"/>
        </w:rPr>
        <w:drawing>
          <wp:anchor distT="0" distB="0" distL="114300" distR="114300" simplePos="0" relativeHeight="251660288" behindDoc="1" locked="0" layoutInCell="1" allowOverlap="1" wp14:anchorId="4A3A1FE3" wp14:editId="212005DF">
            <wp:simplePos x="0" y="0"/>
            <wp:positionH relativeFrom="column">
              <wp:posOffset>3456305</wp:posOffset>
            </wp:positionH>
            <wp:positionV relativeFrom="paragraph">
              <wp:posOffset>15240</wp:posOffset>
            </wp:positionV>
            <wp:extent cx="2379345" cy="711200"/>
            <wp:effectExtent l="0" t="0" r="1905" b="0"/>
            <wp:wrapTight wrapText="bothSides">
              <wp:wrapPolygon edited="0">
                <wp:start x="0" y="0"/>
                <wp:lineTo x="0" y="20829"/>
                <wp:lineTo x="21444" y="20829"/>
                <wp:lineTo x="21444" y="0"/>
                <wp:lineTo x="0" y="0"/>
              </wp:wrapPolygon>
            </wp:wrapTight>
            <wp:docPr id="9809072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9345" cy="71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5B6181" w14:textId="77777777" w:rsidR="00190D15" w:rsidRDefault="00190D15" w:rsidP="00B83FB0">
      <w:pPr>
        <w:spacing w:after="0" w:line="240" w:lineRule="auto"/>
        <w:jc w:val="both"/>
        <w:rPr>
          <w:rFonts w:ascii="Verdana" w:eastAsia="Calibri" w:hAnsi="Verdana" w:cs="Arial"/>
          <w:lang w:val="es-ES" w:eastAsia="es-ES"/>
        </w:rPr>
      </w:pPr>
    </w:p>
    <w:p w14:paraId="08F9AA60" w14:textId="06899665" w:rsidR="00B83FB0" w:rsidRPr="00B83FB0" w:rsidRDefault="00B83FB0" w:rsidP="00B83FB0">
      <w:pPr>
        <w:spacing w:after="0" w:line="240" w:lineRule="auto"/>
        <w:jc w:val="both"/>
        <w:rPr>
          <w:rFonts w:ascii="Verdana" w:eastAsia="Calibri" w:hAnsi="Verdana" w:cs="Arial"/>
          <w:lang w:val="es-ES" w:eastAsia="es-ES"/>
        </w:rPr>
      </w:pPr>
      <w:r w:rsidRPr="00B83FB0">
        <w:rPr>
          <w:rFonts w:ascii="Verdana" w:eastAsia="Calibri" w:hAnsi="Verdana" w:cs="Arial"/>
          <w:lang w:val="es-ES" w:eastAsia="es-ES"/>
        </w:rPr>
        <w:t>Señor</w:t>
      </w:r>
    </w:p>
    <w:p w14:paraId="6D09ED7A" w14:textId="77777777" w:rsidR="00B83FB0" w:rsidRPr="00B83FB0" w:rsidRDefault="00B83FB0" w:rsidP="00B83FB0">
      <w:pPr>
        <w:spacing w:after="0" w:line="240" w:lineRule="auto"/>
        <w:rPr>
          <w:rFonts w:ascii="Verdana" w:eastAsia="Calibri" w:hAnsi="Verdana" w:cs="Arial"/>
          <w:b/>
          <w:lang w:val="es-ES_tradnl" w:eastAsia="es-ES_tradnl"/>
        </w:rPr>
      </w:pPr>
      <w:r w:rsidRPr="00B83FB0">
        <w:rPr>
          <w:rFonts w:ascii="Verdana" w:eastAsia="Calibri" w:hAnsi="Verdana" w:cs="Arial"/>
          <w:b/>
          <w:lang w:val="es-ES_tradnl" w:eastAsia="es-ES_tradnl"/>
        </w:rPr>
        <w:t>Peticionario Anónimo</w:t>
      </w:r>
    </w:p>
    <w:p w14:paraId="30E861E6" w14:textId="77777777" w:rsidR="00B83FB0" w:rsidRPr="00B83FB0" w:rsidRDefault="00B83FB0" w:rsidP="00B83FB0">
      <w:pPr>
        <w:spacing w:after="0" w:line="240" w:lineRule="auto"/>
        <w:rPr>
          <w:rFonts w:ascii="Verdana" w:eastAsia="Times New Roman" w:hAnsi="Verdana" w:cs="Calibri"/>
          <w:lang w:eastAsia="es-CO"/>
        </w:rPr>
      </w:pPr>
      <w:r w:rsidRPr="00B83FB0">
        <w:rPr>
          <w:rFonts w:ascii="Verdana" w:eastAsia="Times New Roman" w:hAnsi="Verdana" w:cs="Calibri"/>
          <w:lang w:eastAsia="es-CO"/>
        </w:rPr>
        <w:t>abg.silviafernandaochoa@gmail.com</w:t>
      </w:r>
    </w:p>
    <w:p w14:paraId="5E0082B4" w14:textId="77777777" w:rsidR="00B83FB0" w:rsidRPr="00B83FB0" w:rsidRDefault="00B83FB0" w:rsidP="00B83FB0">
      <w:pPr>
        <w:spacing w:after="0" w:line="240" w:lineRule="auto"/>
        <w:rPr>
          <w:rFonts w:ascii="Verdana" w:eastAsia="Calibri" w:hAnsi="Verdana" w:cs="Arial"/>
          <w:lang w:val="es-ES" w:eastAsia="es-ES"/>
        </w:rPr>
      </w:pPr>
      <w:r w:rsidRPr="00B83FB0">
        <w:rPr>
          <w:rFonts w:ascii="Verdana" w:eastAsia="Calibri" w:hAnsi="Verdana" w:cs="Arial"/>
          <w:lang w:val="es-ES" w:eastAsia="es-ES"/>
        </w:rPr>
        <w:t>Ciudad</w:t>
      </w:r>
    </w:p>
    <w:p w14:paraId="54A31E8A" w14:textId="77777777" w:rsidR="00B83FB0" w:rsidRPr="00B83FB0" w:rsidRDefault="00B83FB0" w:rsidP="00B83FB0">
      <w:pPr>
        <w:spacing w:after="0" w:line="240" w:lineRule="auto"/>
        <w:rPr>
          <w:rFonts w:ascii="Verdana" w:eastAsia="Calibri" w:hAnsi="Verdana" w:cs="Arial"/>
          <w:b/>
          <w:bCs/>
          <w:lang w:val="es-ES" w:eastAsia="es-ES"/>
        </w:rPr>
      </w:pPr>
    </w:p>
    <w:p w14:paraId="10D7643C" w14:textId="77777777" w:rsidR="00B83FB0" w:rsidRPr="00B83FB0" w:rsidRDefault="00B83FB0" w:rsidP="00B83FB0">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83FB0" w:rsidRPr="00B83FB0" w14:paraId="1BC72F1B" w14:textId="77777777" w:rsidTr="00896B2F">
        <w:trPr>
          <w:trHeight w:val="884"/>
        </w:trPr>
        <w:tc>
          <w:tcPr>
            <w:tcW w:w="2689" w:type="dxa"/>
          </w:tcPr>
          <w:p w14:paraId="322D0BF1" w14:textId="77777777" w:rsidR="00B83FB0" w:rsidRPr="00B83FB0" w:rsidRDefault="00B83FB0" w:rsidP="00B83FB0">
            <w:pPr>
              <w:jc w:val="both"/>
              <w:rPr>
                <w:rFonts w:ascii="Verdana" w:eastAsia="Calibri" w:hAnsi="Verdana" w:cs="Arial"/>
                <w:b/>
                <w:bCs/>
                <w:lang w:val="es-ES_tradnl" w:eastAsia="es-ES_tradnl"/>
              </w:rPr>
            </w:pPr>
          </w:p>
        </w:tc>
        <w:tc>
          <w:tcPr>
            <w:tcW w:w="6100" w:type="dxa"/>
          </w:tcPr>
          <w:p w14:paraId="052FF498" w14:textId="77777777" w:rsidR="00B83FB0" w:rsidRPr="00B83FB0" w:rsidRDefault="00B83FB0" w:rsidP="00B83FB0">
            <w:pPr>
              <w:jc w:val="both"/>
              <w:rPr>
                <w:rFonts w:ascii="Verdana" w:eastAsia="Calibri" w:hAnsi="Verdana" w:cs="Arial"/>
                <w:b/>
                <w:bCs/>
                <w:lang w:val="es-ES" w:eastAsia="es-ES"/>
              </w:rPr>
            </w:pPr>
            <w:r w:rsidRPr="00B83FB0">
              <w:rPr>
                <w:rFonts w:ascii="Verdana" w:eastAsia="Calibri" w:hAnsi="Verdana" w:cs="Arial"/>
                <w:b/>
                <w:bCs/>
                <w:lang w:val="es-ES" w:eastAsia="es-ES"/>
              </w:rPr>
              <w:t>Concepto C-1064 de 2026</w:t>
            </w:r>
          </w:p>
        </w:tc>
      </w:tr>
      <w:tr w:rsidR="00B83FB0" w:rsidRPr="00B83FB0" w14:paraId="761639D3" w14:textId="77777777" w:rsidTr="00896B2F">
        <w:trPr>
          <w:trHeight w:val="884"/>
        </w:trPr>
        <w:tc>
          <w:tcPr>
            <w:tcW w:w="2689" w:type="dxa"/>
          </w:tcPr>
          <w:p w14:paraId="4366E803" w14:textId="77777777" w:rsidR="00B83FB0" w:rsidRPr="00B83FB0" w:rsidRDefault="00B83FB0" w:rsidP="00B83FB0">
            <w:pPr>
              <w:jc w:val="both"/>
              <w:rPr>
                <w:rFonts w:ascii="Verdana" w:eastAsia="Calibri" w:hAnsi="Verdana" w:cs="Arial"/>
                <w:lang w:val="es-ES_tradnl" w:eastAsia="es-ES_tradnl"/>
              </w:rPr>
            </w:pPr>
            <w:r w:rsidRPr="00B83FB0">
              <w:rPr>
                <w:rFonts w:ascii="Verdana" w:eastAsia="Calibri" w:hAnsi="Verdana" w:cs="Arial"/>
                <w:b/>
                <w:lang w:val="es-ES_tradnl" w:eastAsia="es-ES_tradnl"/>
              </w:rPr>
              <w:t>Temas:</w:t>
            </w:r>
            <w:r w:rsidRPr="00B83FB0">
              <w:rPr>
                <w:rFonts w:ascii="Verdana" w:eastAsia="Calibri" w:hAnsi="Verdana" w:cs="Arial"/>
                <w:lang w:val="es-ES_tradnl" w:eastAsia="es-ES_tradnl"/>
              </w:rPr>
              <w:t xml:space="preserve">                   </w:t>
            </w:r>
          </w:p>
        </w:tc>
        <w:tc>
          <w:tcPr>
            <w:tcW w:w="6100" w:type="dxa"/>
          </w:tcPr>
          <w:p w14:paraId="5DDFA6AF" w14:textId="77777777" w:rsidR="00B83FB0" w:rsidRPr="00B83FB0" w:rsidRDefault="00B83FB0" w:rsidP="00B83FB0">
            <w:pPr>
              <w:spacing w:line="276" w:lineRule="auto"/>
              <w:jc w:val="both"/>
              <w:rPr>
                <w:rFonts w:ascii="Verdana" w:eastAsia="Calibri" w:hAnsi="Verdana" w:cs="Arial"/>
                <w:lang w:val="es-ES" w:eastAsia="es-ES"/>
              </w:rPr>
            </w:pPr>
            <w:r w:rsidRPr="00B83FB0">
              <w:rPr>
                <w:rFonts w:ascii="Verdana" w:eastAsia="Calibri" w:hAnsi="Verdana" w:cs="Arial"/>
                <w:lang w:val="es-ES" w:eastAsia="es-ES"/>
              </w:rPr>
              <w:t>PLAN ANUAL DE ADQUISICIONES – Noción – Carácter estimativo / PLAN ANUAL DE ADQUISICIONES – Obligatoriedad de elaboración – Sujetos obligados / PLAN ANUAL DE ADQUISICIONES - Contenido</w:t>
            </w:r>
          </w:p>
          <w:p w14:paraId="680A817B" w14:textId="77777777" w:rsidR="00B83FB0" w:rsidRPr="00B83FB0" w:rsidRDefault="00B83FB0" w:rsidP="00B83FB0">
            <w:pPr>
              <w:spacing w:line="276" w:lineRule="auto"/>
              <w:jc w:val="both"/>
              <w:rPr>
                <w:rFonts w:ascii="Verdana" w:eastAsia="Calibri" w:hAnsi="Verdana" w:cs="Arial"/>
                <w:lang w:val="es-ES" w:eastAsia="es-ES"/>
              </w:rPr>
            </w:pPr>
          </w:p>
        </w:tc>
      </w:tr>
      <w:tr w:rsidR="00B83FB0" w:rsidRPr="00B83FB0" w14:paraId="252A6E0A" w14:textId="77777777" w:rsidTr="00896B2F">
        <w:tc>
          <w:tcPr>
            <w:tcW w:w="2689" w:type="dxa"/>
          </w:tcPr>
          <w:p w14:paraId="4DB5544E" w14:textId="77777777" w:rsidR="00B83FB0" w:rsidRPr="00B83FB0" w:rsidRDefault="00B83FB0" w:rsidP="00B83FB0">
            <w:pPr>
              <w:jc w:val="both"/>
              <w:rPr>
                <w:rFonts w:ascii="Verdana" w:eastAsia="Calibri" w:hAnsi="Verdana" w:cs="Arial"/>
                <w:b/>
                <w:lang w:val="es-ES_tradnl" w:eastAsia="es-ES_tradnl"/>
              </w:rPr>
            </w:pPr>
            <w:r w:rsidRPr="00B83FB0">
              <w:rPr>
                <w:rFonts w:ascii="Verdana" w:eastAsia="Calibri" w:hAnsi="Verdana" w:cs="Arial"/>
                <w:b/>
                <w:lang w:val="es-ES_tradnl" w:eastAsia="es-ES_tradnl"/>
              </w:rPr>
              <w:t>Radicación:</w:t>
            </w:r>
            <w:r w:rsidRPr="00B83FB0">
              <w:rPr>
                <w:rFonts w:ascii="Verdana" w:eastAsia="Calibri" w:hAnsi="Verdana" w:cs="Arial"/>
                <w:lang w:val="es-ES_tradnl" w:eastAsia="es-ES_tradnl"/>
              </w:rPr>
              <w:t xml:space="preserve">               </w:t>
            </w:r>
          </w:p>
        </w:tc>
        <w:tc>
          <w:tcPr>
            <w:tcW w:w="6100" w:type="dxa"/>
          </w:tcPr>
          <w:p w14:paraId="40700988" w14:textId="77777777" w:rsidR="00B83FB0" w:rsidRPr="00B83FB0" w:rsidRDefault="00B83FB0" w:rsidP="00B83FB0">
            <w:pPr>
              <w:jc w:val="both"/>
              <w:rPr>
                <w:rFonts w:ascii="Verdana" w:eastAsia="Calibri" w:hAnsi="Verdana" w:cs="Arial"/>
                <w:lang w:val="es-ES" w:eastAsia="es-ES"/>
              </w:rPr>
            </w:pPr>
            <w:r w:rsidRPr="00B83FB0">
              <w:rPr>
                <w:rFonts w:ascii="Verdana" w:eastAsia="Calibri" w:hAnsi="Verdana" w:cs="Arial"/>
                <w:lang w:val="es-ES" w:eastAsia="es-ES"/>
              </w:rPr>
              <w:t xml:space="preserve">Respuesta a la consulta con radicado No. </w:t>
            </w:r>
            <w:r w:rsidRPr="00B83FB0">
              <w:rPr>
                <w:rFonts w:ascii="Verdana" w:eastAsia="Aptos" w:hAnsi="Verdana" w:cs="Calibri"/>
                <w:color w:val="000000"/>
              </w:rPr>
              <w:t>1_2026_07_03_008884</w:t>
            </w:r>
            <w:r w:rsidRPr="00B83FB0">
              <w:rPr>
                <w:rFonts w:ascii="Verdana" w:eastAsia="Calibri" w:hAnsi="Verdana" w:cs="Arial"/>
                <w:lang w:val="es-ES" w:eastAsia="es-ES"/>
              </w:rPr>
              <w:t xml:space="preserve"> </w:t>
            </w:r>
            <w:r w:rsidRPr="00B83FB0">
              <w:rPr>
                <w:rFonts w:ascii="Aptos" w:eastAsia="Aptos" w:hAnsi="Aptos" w:cs="Arial"/>
              </w:rPr>
              <w:tab/>
            </w:r>
          </w:p>
        </w:tc>
      </w:tr>
    </w:tbl>
    <w:p w14:paraId="67CC41FC" w14:textId="77777777" w:rsidR="00B83FB0" w:rsidRPr="00B83FB0" w:rsidRDefault="00B83FB0" w:rsidP="00B83FB0">
      <w:pPr>
        <w:spacing w:after="0" w:line="240" w:lineRule="auto"/>
        <w:jc w:val="both"/>
        <w:rPr>
          <w:rFonts w:ascii="Verdana" w:eastAsia="Calibri" w:hAnsi="Verdana" w:cs="Arial"/>
          <w:lang w:val="es-ES_tradnl" w:eastAsia="es-ES_tradnl"/>
        </w:rPr>
      </w:pPr>
    </w:p>
    <w:p w14:paraId="220C3DE9" w14:textId="77777777" w:rsidR="00B83FB0" w:rsidRPr="00B83FB0" w:rsidRDefault="00B83FB0" w:rsidP="00B83FB0">
      <w:pPr>
        <w:spacing w:after="0" w:line="240" w:lineRule="auto"/>
        <w:jc w:val="both"/>
        <w:rPr>
          <w:rFonts w:ascii="Verdana" w:eastAsia="Calibri" w:hAnsi="Verdana" w:cs="Arial"/>
          <w:lang w:val="es-ES_tradnl" w:eastAsia="es-ES_tradnl"/>
        </w:rPr>
      </w:pPr>
    </w:p>
    <w:p w14:paraId="4AAFD38F" w14:textId="77777777" w:rsidR="00B83FB0" w:rsidRPr="00B83FB0" w:rsidRDefault="00B83FB0" w:rsidP="00B83FB0">
      <w:pPr>
        <w:spacing w:after="0" w:line="276" w:lineRule="auto"/>
        <w:jc w:val="both"/>
        <w:rPr>
          <w:rFonts w:ascii="Verdana" w:eastAsia="Calibri" w:hAnsi="Verdana" w:cs="Arial"/>
          <w:lang w:val="es-ES" w:eastAsia="es-ES"/>
        </w:rPr>
      </w:pPr>
      <w:r w:rsidRPr="00B83FB0">
        <w:rPr>
          <w:rFonts w:ascii="Verdana" w:eastAsia="Calibri" w:hAnsi="Verdana" w:cs="Arial"/>
          <w:lang w:val="es-ES" w:eastAsia="es-ES"/>
        </w:rPr>
        <w:t>Estimado Peticionario:</w:t>
      </w:r>
    </w:p>
    <w:p w14:paraId="5653EC77" w14:textId="77777777" w:rsidR="00B83FB0" w:rsidRPr="00B83FB0" w:rsidRDefault="00B83FB0" w:rsidP="00B83FB0">
      <w:pPr>
        <w:tabs>
          <w:tab w:val="left" w:pos="142"/>
          <w:tab w:val="left" w:pos="284"/>
        </w:tabs>
        <w:spacing w:line="276" w:lineRule="auto"/>
        <w:contextualSpacing/>
        <w:jc w:val="both"/>
        <w:rPr>
          <w:rFonts w:ascii="Verdana" w:eastAsia="Calibri" w:hAnsi="Verdana" w:cs="Arial"/>
          <w:sz w:val="20"/>
          <w:szCs w:val="20"/>
          <w:lang w:val="es-MX"/>
        </w:rPr>
      </w:pPr>
    </w:p>
    <w:p w14:paraId="6CA37110" w14:textId="77777777" w:rsidR="00B83FB0" w:rsidRPr="00B83FB0" w:rsidRDefault="00B83FB0" w:rsidP="00B83FB0">
      <w:pPr>
        <w:tabs>
          <w:tab w:val="left" w:pos="142"/>
          <w:tab w:val="left" w:pos="284"/>
        </w:tabs>
        <w:spacing w:line="276" w:lineRule="auto"/>
        <w:contextualSpacing/>
        <w:jc w:val="both"/>
        <w:rPr>
          <w:rFonts w:ascii="Verdana" w:eastAsia="Calibri" w:hAnsi="Verdana" w:cs="Arial"/>
          <w:sz w:val="20"/>
          <w:szCs w:val="20"/>
          <w:lang w:val="es-MX"/>
        </w:rPr>
      </w:pPr>
      <w:r w:rsidRPr="00B83FB0">
        <w:rPr>
          <w:rFonts w:ascii="Verdana" w:eastAsia="Aptos" w:hAnsi="Verdana" w:cs="Times New Roman"/>
        </w:rPr>
        <w:t xml:space="preserve">La Agencia Nacional de Contratación Pública – Colombia Compra Eficiente –, en ejercicio de las competencias otorgadas </w:t>
      </w:r>
      <w:r w:rsidRPr="00B83FB0">
        <w:rPr>
          <w:rFonts w:ascii="Verdana" w:eastAsia="Calibri" w:hAnsi="Verdana" w:cs="Arial"/>
          <w:lang w:eastAsia="es-ES"/>
        </w:rPr>
        <w:t>por los artículos 3, numeral 5º, y 11, numeral 8º, del Decreto Ley 4170 de 2011,</w:t>
      </w:r>
      <w:r w:rsidRPr="00B83FB0">
        <w:rPr>
          <w:rFonts w:ascii="Verdana" w:eastAsia="Aptos" w:hAnsi="Verdana" w:cs="Arial"/>
        </w:rPr>
        <w:t xml:space="preserve"> así como lo establecido en el artículo 4 de la Resolución 1707 de 2018 expedida por esta Entidad</w:t>
      </w:r>
      <w:r w:rsidRPr="00B83FB0">
        <w:rPr>
          <w:rFonts w:ascii="Verdana" w:eastAsia="Aptos" w:hAnsi="Verdana" w:cs="Times New Roman"/>
        </w:rPr>
        <w:t xml:space="preserve"> y, de conformidad con las modalidades del derecho de petición contempladas en la Ley 1755 de 2015 y en la resolución </w:t>
      </w:r>
      <w:proofErr w:type="spellStart"/>
      <w:r w:rsidRPr="00B83FB0">
        <w:rPr>
          <w:rFonts w:ascii="Verdana" w:eastAsia="Times New Roman" w:hAnsi="Verdana" w:cs="Segoe UI"/>
          <w:lang w:eastAsia="es-CO"/>
        </w:rPr>
        <w:t>N°</w:t>
      </w:r>
      <w:proofErr w:type="spellEnd"/>
      <w:r w:rsidRPr="00B83FB0">
        <w:rPr>
          <w:rFonts w:ascii="Verdana" w:eastAsia="Times New Roman" w:hAnsi="Verdana" w:cs="Segoe UI"/>
          <w:lang w:eastAsia="es-CO"/>
        </w:rPr>
        <w:t xml:space="preserve"> 469 del 2025 </w:t>
      </w:r>
      <w:r w:rsidRPr="00B83FB0">
        <w:rPr>
          <w:rFonts w:ascii="Verdana" w:eastAsia="Aptos" w:hAnsi="Verdana" w:cs="Times New Roman"/>
        </w:rPr>
        <w:t xml:space="preserve">expedida por esta Agencia, </w:t>
      </w:r>
      <w:r w:rsidRPr="00B83FB0">
        <w:rPr>
          <w:rFonts w:ascii="Verdana" w:eastAsia="Calibri" w:hAnsi="Verdana" w:cs="Arial"/>
          <w:lang w:eastAsia="es-ES"/>
        </w:rPr>
        <w:t>responde su solicitud de consulta de fecha 3 de julio  del  2026, en la cual manifiesta lo siguiente:</w:t>
      </w:r>
    </w:p>
    <w:p w14:paraId="553558DD" w14:textId="77777777" w:rsidR="00B83FB0" w:rsidRPr="00B83FB0" w:rsidRDefault="00B83FB0" w:rsidP="00B83FB0">
      <w:pPr>
        <w:spacing w:after="0" w:line="240" w:lineRule="auto"/>
        <w:ind w:left="737" w:right="737"/>
        <w:contextualSpacing/>
        <w:jc w:val="both"/>
        <w:rPr>
          <w:rFonts w:ascii="Verdana" w:eastAsia="Century Gothic" w:hAnsi="Verdana" w:cs="Century Gothic"/>
          <w:lang w:val="es-ES"/>
        </w:rPr>
      </w:pPr>
    </w:p>
    <w:p w14:paraId="7A9EFF68" w14:textId="77777777" w:rsidR="00B83FB0" w:rsidRPr="00B83FB0" w:rsidRDefault="00B83FB0" w:rsidP="00B83FB0">
      <w:pPr>
        <w:spacing w:after="0" w:line="240" w:lineRule="auto"/>
        <w:ind w:left="737" w:right="737"/>
        <w:contextualSpacing/>
        <w:jc w:val="both"/>
        <w:rPr>
          <w:rFonts w:ascii="Verdana" w:eastAsia="Century Gothic" w:hAnsi="Verdana" w:cs="Century Gothic"/>
          <w:i/>
          <w:iCs/>
          <w:lang w:val="es-ES"/>
        </w:rPr>
      </w:pPr>
      <w:r w:rsidRPr="00B83FB0">
        <w:rPr>
          <w:rFonts w:ascii="Verdana" w:eastAsia="Century Gothic" w:hAnsi="Verdana" w:cs="Century Gothic"/>
          <w:i/>
          <w:iCs/>
          <w:lang w:val="es-ES"/>
        </w:rPr>
        <w:t>“Cuando la entidad deba realizar un adicional o prorroga de un contrato se debe realizar la actualización del PAA del mismo”</w:t>
      </w:r>
    </w:p>
    <w:p w14:paraId="40B932EA" w14:textId="77777777" w:rsidR="00B83FB0" w:rsidRPr="00B83FB0" w:rsidRDefault="00B83FB0" w:rsidP="00B83FB0">
      <w:pPr>
        <w:tabs>
          <w:tab w:val="left" w:pos="142"/>
          <w:tab w:val="left" w:pos="284"/>
        </w:tabs>
        <w:spacing w:line="276" w:lineRule="auto"/>
        <w:ind w:leftChars="737" w:left="1621" w:rightChars="737" w:right="1621"/>
        <w:contextualSpacing/>
        <w:jc w:val="both"/>
        <w:rPr>
          <w:rFonts w:ascii="Verdana" w:eastAsia="Calibri" w:hAnsi="Verdana" w:cs="Arial"/>
          <w:i/>
          <w:iCs/>
          <w:lang w:val="es-MX"/>
        </w:rPr>
      </w:pPr>
    </w:p>
    <w:p w14:paraId="1BE317D9" w14:textId="77777777" w:rsidR="00B83FB0" w:rsidRPr="00B83FB0" w:rsidRDefault="00B83FB0" w:rsidP="00B83FB0">
      <w:pPr>
        <w:tabs>
          <w:tab w:val="left" w:pos="142"/>
          <w:tab w:val="left" w:pos="284"/>
        </w:tabs>
        <w:spacing w:line="276" w:lineRule="auto"/>
        <w:ind w:leftChars="737" w:left="1621" w:rightChars="737" w:right="1621"/>
        <w:contextualSpacing/>
        <w:jc w:val="both"/>
        <w:rPr>
          <w:rFonts w:ascii="Verdana" w:eastAsia="Calibri" w:hAnsi="Verdana" w:cs="Arial"/>
          <w:i/>
          <w:iCs/>
          <w:lang w:val="es-MX"/>
        </w:rPr>
      </w:pPr>
    </w:p>
    <w:p w14:paraId="72169554" w14:textId="77777777" w:rsidR="00B83FB0" w:rsidRPr="00B83FB0" w:rsidRDefault="00B83FB0" w:rsidP="00B83FB0">
      <w:pPr>
        <w:tabs>
          <w:tab w:val="left" w:pos="142"/>
          <w:tab w:val="left" w:pos="284"/>
        </w:tabs>
        <w:spacing w:line="276" w:lineRule="auto"/>
        <w:contextualSpacing/>
        <w:jc w:val="both"/>
        <w:rPr>
          <w:rFonts w:ascii="Verdana" w:eastAsia="Calibri" w:hAnsi="Verdana" w:cs="Arial"/>
          <w:sz w:val="20"/>
          <w:szCs w:val="20"/>
          <w:lang w:val="es-MX"/>
        </w:rPr>
      </w:pPr>
    </w:p>
    <w:p w14:paraId="676BABE1" w14:textId="77777777" w:rsidR="00B83FB0" w:rsidRPr="00B83FB0" w:rsidRDefault="00B83FB0" w:rsidP="00B83FB0">
      <w:pPr>
        <w:tabs>
          <w:tab w:val="left" w:pos="142"/>
          <w:tab w:val="left" w:pos="284"/>
        </w:tabs>
        <w:spacing w:line="276" w:lineRule="auto"/>
        <w:contextualSpacing/>
        <w:jc w:val="both"/>
        <w:rPr>
          <w:rFonts w:ascii="Verdana" w:eastAsia="Century Gothic" w:hAnsi="Verdana" w:cs="Century Gothic"/>
          <w:b/>
          <w:bCs/>
          <w:lang w:val="es-ES"/>
        </w:rPr>
      </w:pPr>
    </w:p>
    <w:p w14:paraId="28ADB407" w14:textId="77777777" w:rsidR="00B83FB0" w:rsidRPr="00B83FB0" w:rsidRDefault="00B83FB0" w:rsidP="00B83FB0">
      <w:pPr>
        <w:tabs>
          <w:tab w:val="left" w:pos="142"/>
          <w:tab w:val="left" w:pos="284"/>
        </w:tabs>
        <w:spacing w:line="276" w:lineRule="auto"/>
        <w:contextualSpacing/>
        <w:jc w:val="both"/>
        <w:rPr>
          <w:rFonts w:ascii="Verdana" w:eastAsia="Century Gothic" w:hAnsi="Verdana" w:cs="Century Gothic"/>
          <w:b/>
          <w:bCs/>
          <w:lang w:val="es-ES"/>
        </w:rPr>
      </w:pPr>
    </w:p>
    <w:p w14:paraId="2AE0297D" w14:textId="77777777" w:rsidR="00B83FB0" w:rsidRPr="00B83FB0" w:rsidRDefault="00B83FB0" w:rsidP="00B83FB0">
      <w:pPr>
        <w:spacing w:after="120" w:line="276" w:lineRule="auto"/>
        <w:ind w:firstLine="709"/>
        <w:jc w:val="both"/>
        <w:rPr>
          <w:rFonts w:ascii="Verdana" w:eastAsia="Calibri" w:hAnsi="Verdana" w:cs="Arial"/>
          <w:szCs w:val="24"/>
          <w:lang w:val="es-ES_tradnl" w:eastAsia="es-ES_tradnl"/>
        </w:rPr>
      </w:pPr>
      <w:r w:rsidRPr="00B83FB0">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y Contratación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83FB0">
        <w:rPr>
          <w:rFonts w:ascii="Verdana" w:eastAsia="Calibri" w:hAnsi="Verdana" w:cs="Arial"/>
          <w:szCs w:val="24"/>
          <w:lang w:val="es-ES_tradnl" w:eastAsia="es-ES_tradnl"/>
        </w:rPr>
        <w:tab/>
      </w:r>
    </w:p>
    <w:p w14:paraId="74A47C0B" w14:textId="77777777" w:rsidR="00B83FB0" w:rsidRPr="00B83FB0" w:rsidRDefault="00B83FB0" w:rsidP="00B83FB0">
      <w:pPr>
        <w:spacing w:after="0" w:line="276" w:lineRule="auto"/>
        <w:ind w:firstLine="709"/>
        <w:jc w:val="both"/>
        <w:rPr>
          <w:rFonts w:ascii="Verdana" w:eastAsia="Calibri" w:hAnsi="Verdana" w:cs="Arial"/>
          <w:lang w:val="es-ES" w:eastAsia="es-ES"/>
        </w:rPr>
      </w:pPr>
      <w:r w:rsidRPr="00B83FB0">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6537B7D1" w14:textId="77777777" w:rsidR="00B83FB0" w:rsidRPr="00B83FB0" w:rsidRDefault="00B83FB0" w:rsidP="00B83FB0">
      <w:pPr>
        <w:spacing w:after="0" w:line="276" w:lineRule="auto"/>
        <w:ind w:firstLine="709"/>
        <w:jc w:val="both"/>
        <w:rPr>
          <w:rFonts w:ascii="Verdana" w:eastAsia="Calibri" w:hAnsi="Verdana" w:cs="Arial"/>
          <w:lang w:val="es-ES" w:eastAsia="es-ES"/>
        </w:rPr>
      </w:pPr>
    </w:p>
    <w:p w14:paraId="2593B6A7" w14:textId="77777777" w:rsidR="00B83FB0" w:rsidRPr="00B83FB0" w:rsidRDefault="00B83FB0" w:rsidP="00B83FB0">
      <w:pPr>
        <w:widowControl w:val="0"/>
        <w:autoSpaceDE w:val="0"/>
        <w:autoSpaceDN w:val="0"/>
        <w:spacing w:before="1" w:after="0" w:line="240" w:lineRule="auto"/>
        <w:ind w:left="360" w:hanging="360"/>
        <w:jc w:val="both"/>
        <w:outlineLvl w:val="0"/>
        <w:rPr>
          <w:rFonts w:ascii="Verdana" w:eastAsia="Arial" w:hAnsi="Verdana" w:cs="Arial"/>
          <w:b/>
          <w:bCs/>
          <w:lang w:val="es-ES"/>
        </w:rPr>
      </w:pPr>
      <w:r w:rsidRPr="00B83FB0">
        <w:rPr>
          <w:rFonts w:ascii="Verdana" w:eastAsia="Arial" w:hAnsi="Verdana" w:cs="Arial"/>
          <w:b/>
          <w:bCs/>
          <w:lang w:val="es-ES"/>
        </w:rPr>
        <w:t>1. Problema planteado:</w:t>
      </w:r>
    </w:p>
    <w:p w14:paraId="2ED2E376" w14:textId="77777777" w:rsidR="00B83FB0" w:rsidRPr="00B83FB0" w:rsidRDefault="00B83FB0" w:rsidP="00B83FB0">
      <w:pPr>
        <w:tabs>
          <w:tab w:val="left" w:pos="426"/>
        </w:tabs>
        <w:spacing w:after="0" w:line="276" w:lineRule="auto"/>
        <w:jc w:val="both"/>
        <w:rPr>
          <w:rFonts w:ascii="Verdana" w:eastAsia="Century Gothic" w:hAnsi="Verdana" w:cs="Century Gothic"/>
          <w:lang w:val="es-ES"/>
        </w:rPr>
      </w:pPr>
    </w:p>
    <w:p w14:paraId="6B6CE195" w14:textId="77777777" w:rsidR="00B83FB0" w:rsidRPr="00B83FB0" w:rsidRDefault="00B83FB0" w:rsidP="00B83FB0">
      <w:pPr>
        <w:spacing w:after="0" w:line="276" w:lineRule="auto"/>
        <w:jc w:val="both"/>
        <w:rPr>
          <w:rFonts w:ascii="Verdana" w:eastAsia="Century Gothic" w:hAnsi="Verdana" w:cs="Century Gothic"/>
        </w:rPr>
      </w:pPr>
      <w:r w:rsidRPr="00B83FB0">
        <w:rPr>
          <w:rFonts w:ascii="Verdana" w:eastAsia="Century Gothic" w:hAnsi="Verdana" w:cs="Century Gothic"/>
        </w:rPr>
        <w:t>De acuerdo con el contenido de su solicitud, le informamos que la misma será atendida desde el siguiente interrogante: i) ¿La entidad debe actualizar el Plan Anual de Adquisiciones (PAA) cuando realiza una adición o una prórroga de un contrato?</w:t>
      </w:r>
    </w:p>
    <w:p w14:paraId="4B17086A" w14:textId="77777777" w:rsidR="00B83FB0" w:rsidRPr="00B83FB0" w:rsidRDefault="00B83FB0" w:rsidP="00B83FB0">
      <w:pPr>
        <w:spacing w:after="0" w:line="276" w:lineRule="auto"/>
        <w:jc w:val="both"/>
        <w:rPr>
          <w:rFonts w:ascii="Verdana" w:eastAsia="Calibri" w:hAnsi="Verdana" w:cs="Arial"/>
          <w:lang w:val="es-ES"/>
        </w:rPr>
      </w:pPr>
      <w:bookmarkStart w:id="1" w:name="_Hlk171070029"/>
    </w:p>
    <w:bookmarkEnd w:id="1"/>
    <w:p w14:paraId="4DAAAAF1" w14:textId="77777777" w:rsidR="00B83FB0" w:rsidRPr="00B83FB0" w:rsidRDefault="00B83FB0" w:rsidP="00B83FB0">
      <w:pPr>
        <w:widowControl w:val="0"/>
        <w:autoSpaceDE w:val="0"/>
        <w:autoSpaceDN w:val="0"/>
        <w:spacing w:before="1" w:after="0" w:line="240" w:lineRule="auto"/>
        <w:jc w:val="both"/>
        <w:outlineLvl w:val="0"/>
        <w:rPr>
          <w:rFonts w:ascii="Verdana" w:eastAsia="Arial" w:hAnsi="Verdana" w:cs="Arial"/>
          <w:b/>
          <w:bCs/>
          <w:lang w:val="es-ES"/>
        </w:rPr>
      </w:pPr>
      <w:r w:rsidRPr="00B83FB0">
        <w:rPr>
          <w:rFonts w:ascii="Verdana" w:eastAsia="Arial" w:hAnsi="Verdana" w:cs="Arial"/>
          <w:b/>
          <w:bCs/>
          <w:lang w:val="es-ES"/>
        </w:rPr>
        <w:t>2. Respuesta:</w:t>
      </w:r>
    </w:p>
    <w:p w14:paraId="276CB0A0" w14:textId="77777777" w:rsidR="00B83FB0" w:rsidRPr="00B83FB0" w:rsidRDefault="00B83FB0" w:rsidP="00B83FB0">
      <w:pPr>
        <w:spacing w:after="0"/>
        <w:rPr>
          <w:rFonts w:ascii="Verdana" w:eastAsia="Aptos" w:hAnsi="Verdana" w:cs="Arial"/>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83FB0" w:rsidRPr="00B83FB0" w14:paraId="0E3386D0" w14:textId="77777777" w:rsidTr="00896B2F">
        <w:tc>
          <w:tcPr>
            <w:tcW w:w="8828" w:type="dxa"/>
          </w:tcPr>
          <w:p w14:paraId="0FC0B222" w14:textId="77777777" w:rsidR="00B83FB0" w:rsidRPr="00B83FB0" w:rsidRDefault="00B83FB0" w:rsidP="00B83FB0">
            <w:pPr>
              <w:tabs>
                <w:tab w:val="left" w:pos="7237"/>
              </w:tabs>
              <w:snapToGrid w:val="0"/>
              <w:spacing w:before="120" w:line="276" w:lineRule="auto"/>
              <w:jc w:val="both"/>
              <w:rPr>
                <w:rFonts w:ascii="Verdana" w:eastAsia="Calibri" w:hAnsi="Verdana" w:cs="Arial"/>
              </w:rPr>
            </w:pPr>
            <w:bookmarkStart w:id="2" w:name="_Hlk171067516"/>
            <w:r w:rsidRPr="00B83FB0">
              <w:rPr>
                <w:rFonts w:ascii="Verdana" w:eastAsia="Calibri" w:hAnsi="Verdana" w:cs="Arial"/>
              </w:rPr>
              <w:t xml:space="preserve">i) Estudiado el marco jurídico aplicable al Plan Anual de Adquisiciones, se observa que este constituye a un instrumento de planificación y orientación de la contratación de las Entidades Estatales, establecido para identificar las necesidades de contratación, en el que se incluyen, de manera estimativa, los bienes, obras y servicios que la Administración está interesada en adquirir, pero que de ninguna manera restringe las decisiones en la contratación que habrán de adoptarse dentro de la anualidad respectiva. De este modo, el Plan </w:t>
            </w:r>
            <w:r w:rsidRPr="00B83FB0">
              <w:rPr>
                <w:rFonts w:ascii="Verdana" w:eastAsia="Calibri" w:hAnsi="Verdana" w:cs="Arial"/>
              </w:rPr>
              <w:lastRenderedPageBreak/>
              <w:t>Anual de Adquisiciones, se considera un documento de carácter estimativo que tiene entre otras finalidades, la de “servir como referente inicial para evaluar la ejecución de presupuesto y pronosticar la demanda de bienes y servicios de la entidad durante el año referido del plan”.</w:t>
            </w:r>
          </w:p>
          <w:p w14:paraId="6E7E8B2E" w14:textId="77777777" w:rsidR="00B83FB0" w:rsidRPr="00B83FB0" w:rsidRDefault="00B83FB0" w:rsidP="00B83FB0">
            <w:pPr>
              <w:tabs>
                <w:tab w:val="left" w:pos="7237"/>
              </w:tabs>
              <w:snapToGrid w:val="0"/>
              <w:spacing w:before="120" w:line="276" w:lineRule="auto"/>
              <w:jc w:val="both"/>
              <w:rPr>
                <w:rFonts w:ascii="Verdana" w:eastAsia="Calibri" w:hAnsi="Verdana" w:cs="Arial"/>
              </w:rPr>
            </w:pPr>
            <w:proofErr w:type="spellStart"/>
            <w:r w:rsidRPr="00B83FB0">
              <w:rPr>
                <w:rFonts w:ascii="Verdana" w:eastAsia="Calibri" w:hAnsi="Verdana" w:cs="Arial"/>
              </w:rPr>
              <w:t>ii</w:t>
            </w:r>
            <w:proofErr w:type="spellEnd"/>
            <w:r w:rsidRPr="00B83FB0">
              <w:rPr>
                <w:rFonts w:ascii="Verdana" w:eastAsia="Calibri" w:hAnsi="Verdana" w:cs="Arial"/>
              </w:rPr>
              <w:t xml:space="preserve">) A la luz de lo dispuesto en el artículo 2.2.1.1.1.4.1 del Decreto 1082 de 2015, el Plan Anual de Adquisiciones debe contener un listado de lo que la entidad adquirirá durante el año, para satisfacer su necesidad de bienes, obras o servicios, y que debe contener información desagregada, principalmente en los siguientes aspectos: : i) identificación con el clasificador de bienes y servicios, </w:t>
            </w:r>
            <w:proofErr w:type="spellStart"/>
            <w:r w:rsidRPr="00B83FB0">
              <w:rPr>
                <w:rFonts w:ascii="Verdana" w:eastAsia="Calibri" w:hAnsi="Verdana" w:cs="Arial"/>
              </w:rPr>
              <w:t>ii</w:t>
            </w:r>
            <w:proofErr w:type="spellEnd"/>
            <w:r w:rsidRPr="00B83FB0">
              <w:rPr>
                <w:rFonts w:ascii="Verdana" w:eastAsia="Calibri" w:hAnsi="Verdana" w:cs="Arial"/>
              </w:rPr>
              <w:t xml:space="preserve">) valor estimado del contrato, </w:t>
            </w:r>
            <w:proofErr w:type="spellStart"/>
            <w:r w:rsidRPr="00B83FB0">
              <w:rPr>
                <w:rFonts w:ascii="Verdana" w:eastAsia="Calibri" w:hAnsi="Verdana" w:cs="Arial"/>
              </w:rPr>
              <w:t>iii</w:t>
            </w:r>
            <w:proofErr w:type="spellEnd"/>
            <w:r w:rsidRPr="00B83FB0">
              <w:rPr>
                <w:rFonts w:ascii="Verdana" w:eastAsia="Calibri" w:hAnsi="Verdana" w:cs="Arial"/>
              </w:rPr>
              <w:t xml:space="preserve">) tipo de recursos, </w:t>
            </w:r>
            <w:proofErr w:type="spellStart"/>
            <w:r w:rsidRPr="00B83FB0">
              <w:rPr>
                <w:rFonts w:ascii="Verdana" w:eastAsia="Calibri" w:hAnsi="Verdana" w:cs="Arial"/>
              </w:rPr>
              <w:t>iv</w:t>
            </w:r>
            <w:proofErr w:type="spellEnd"/>
            <w:r w:rsidRPr="00B83FB0">
              <w:rPr>
                <w:rFonts w:ascii="Verdana" w:eastAsia="Calibri" w:hAnsi="Verdana" w:cs="Arial"/>
              </w:rPr>
              <w:t>) modalidad de selección y v) fecha de inicio del proceso contractual.</w:t>
            </w:r>
          </w:p>
          <w:p w14:paraId="07AE52D5" w14:textId="77777777" w:rsidR="00B83FB0" w:rsidRPr="00B83FB0" w:rsidRDefault="00B83FB0" w:rsidP="00B83FB0">
            <w:pPr>
              <w:snapToGrid w:val="0"/>
              <w:spacing w:before="120" w:line="276" w:lineRule="auto"/>
              <w:ind w:firstLine="709"/>
              <w:jc w:val="both"/>
              <w:rPr>
                <w:rFonts w:ascii="Verdana" w:eastAsia="Calibri" w:hAnsi="Verdana" w:cs="Arial"/>
              </w:rPr>
            </w:pPr>
            <w:r w:rsidRPr="00B83FB0">
              <w:rPr>
                <w:rFonts w:ascii="Verdana" w:eastAsia="Calibri" w:hAnsi="Verdana" w:cs="Arial"/>
              </w:rPr>
              <w:t xml:space="preserve">En ese sentido, la norma citada dispone que el Plan Anual de Adquisiciones tiene un contenido esencial –la lista de bienes, obras y servicios que la entidad pretenda adquirir– y otro que es obligatorio incluirlo pero que es complementario y descriptivo de lo esencial –valor del contrato, modalidad de selección, tipo de recursos, etc.–. A partir de esta clasificación se infiere su finalidad y el criterio rector para que, en cada caso, la entidad resuelva cómo se define si un bien, obra o servicio se incluye o no en el plan.  </w:t>
            </w:r>
          </w:p>
          <w:p w14:paraId="45AC773E" w14:textId="77777777" w:rsidR="00B83FB0" w:rsidRPr="00B83FB0" w:rsidRDefault="00B83FB0" w:rsidP="00B83FB0">
            <w:pPr>
              <w:snapToGrid w:val="0"/>
              <w:spacing w:before="120" w:line="276" w:lineRule="auto"/>
              <w:jc w:val="both"/>
              <w:rPr>
                <w:rFonts w:ascii="Verdana" w:eastAsia="Calibri" w:hAnsi="Verdana" w:cs="Arial"/>
              </w:rPr>
            </w:pPr>
            <w:proofErr w:type="spellStart"/>
            <w:r w:rsidRPr="00B83FB0">
              <w:rPr>
                <w:rFonts w:ascii="Verdana" w:eastAsia="Calibri" w:hAnsi="Verdana" w:cs="Arial"/>
              </w:rPr>
              <w:t>iii</w:t>
            </w:r>
            <w:proofErr w:type="spellEnd"/>
            <w:r w:rsidRPr="00B83FB0">
              <w:rPr>
                <w:rFonts w:ascii="Verdana" w:eastAsia="Calibri" w:hAnsi="Verdana" w:cs="Arial"/>
              </w:rPr>
              <w:t>) Sobre el particular se precisa, que de acuerdo con lo dispuesto en el artículo.2.1.1.1.4.4. del Decreto 1082 de 2015, las Entidades Estatales tienen el deber de actualizar el Plan Anual de Adquisiciones, una vez al año cuando menos, pues el contenido inicial de este no es rígido ni inmodificable y, en consecuencia, por la misma dinámica de la actividad contractual de la Administración, estos datos necesariamente tendrán que modificarse. Además, la norma no limita la actualización del plan a un tope máximo, pero estableció un número mínimo, pues indicó que debían actualizarlo por lo menos una vez durante su vigencia.</w:t>
            </w:r>
          </w:p>
          <w:p w14:paraId="1FA77D52" w14:textId="4708015D" w:rsidR="00C804A6" w:rsidRPr="00312012" w:rsidRDefault="00B83FB0" w:rsidP="00C804A6">
            <w:pPr>
              <w:spacing w:before="120" w:after="120" w:line="276" w:lineRule="auto"/>
              <w:ind w:firstLine="709"/>
              <w:jc w:val="both"/>
              <w:rPr>
                <w:rFonts w:ascii="Verdana" w:eastAsia="Calibri" w:hAnsi="Verdana" w:cs="Arial"/>
              </w:rPr>
            </w:pPr>
            <w:r w:rsidRPr="00B83FB0">
              <w:rPr>
                <w:rFonts w:ascii="Verdana" w:eastAsia="Calibri" w:hAnsi="Verdana" w:cs="Arial"/>
              </w:rPr>
              <w:t xml:space="preserve">En ese sentido, el inciso segundo (2) del artículo citado estableció cuatro (4) eventos en los que procede actualizar el Plan Anual de Adquisiciones: i) ajustes en los cronogramas de adquisición, valores, modalidad de selección y origen de los recursos; </w:t>
            </w:r>
            <w:proofErr w:type="spellStart"/>
            <w:r w:rsidRPr="00B83FB0">
              <w:rPr>
                <w:rFonts w:ascii="Verdana" w:eastAsia="Calibri" w:hAnsi="Verdana" w:cs="Arial"/>
              </w:rPr>
              <w:t>ii</w:t>
            </w:r>
            <w:proofErr w:type="spellEnd"/>
            <w:r w:rsidRPr="00B83FB0">
              <w:rPr>
                <w:rFonts w:ascii="Verdana" w:eastAsia="Calibri" w:hAnsi="Verdana" w:cs="Arial"/>
              </w:rPr>
              <w:t xml:space="preserve">) para incluir nuevas obras, bienes o servicios; </w:t>
            </w:r>
            <w:proofErr w:type="spellStart"/>
            <w:r w:rsidRPr="00B83FB0">
              <w:rPr>
                <w:rFonts w:ascii="Verdana" w:eastAsia="Calibri" w:hAnsi="Verdana" w:cs="Arial"/>
              </w:rPr>
              <w:t>iii</w:t>
            </w:r>
            <w:proofErr w:type="spellEnd"/>
            <w:r w:rsidRPr="00B83FB0">
              <w:rPr>
                <w:rFonts w:ascii="Verdana" w:eastAsia="Calibri" w:hAnsi="Verdana" w:cs="Arial"/>
              </w:rPr>
              <w:t xml:space="preserve">) excluir obras, bienes o servicios y </w:t>
            </w:r>
            <w:proofErr w:type="spellStart"/>
            <w:r w:rsidRPr="00B83FB0">
              <w:rPr>
                <w:rFonts w:ascii="Verdana" w:eastAsia="Calibri" w:hAnsi="Verdana" w:cs="Arial"/>
              </w:rPr>
              <w:t>iv</w:t>
            </w:r>
            <w:proofErr w:type="spellEnd"/>
            <w:r w:rsidRPr="00B83FB0">
              <w:rPr>
                <w:rFonts w:ascii="Verdana" w:eastAsia="Calibri" w:hAnsi="Verdana" w:cs="Arial"/>
              </w:rPr>
              <w:t xml:space="preserve">) modificar el presupuesto anual de adquisiciones. </w:t>
            </w:r>
            <w:r w:rsidR="00C804A6" w:rsidRPr="00312012">
              <w:rPr>
                <w:rFonts w:ascii="Verdana" w:eastAsia="Calibri" w:hAnsi="Verdana" w:cs="Arial"/>
              </w:rPr>
              <w:t xml:space="preserve">Así las cosas, el plan anual de adquisiciones es un instrumento de planificación y orientación de la contratación de las entidades públicas, establecido para identificar las necesidades de contratación, en el que se </w:t>
            </w:r>
            <w:r w:rsidR="00C804A6" w:rsidRPr="00312012">
              <w:rPr>
                <w:rFonts w:ascii="Verdana" w:eastAsia="Calibri" w:hAnsi="Verdana" w:cs="Arial"/>
              </w:rPr>
              <w:lastRenderedPageBreak/>
              <w:t xml:space="preserve">incluyen, de manera estimativa, los bienes, obras y servicios que la Administración está interesada en adquirir, pero que de ninguna manera restringe las decisiones en la contratación, que habrán de adoptarse dentro de la anualidad respectiva. </w:t>
            </w:r>
          </w:p>
          <w:p w14:paraId="04675267" w14:textId="37B87046" w:rsidR="00B83FB0" w:rsidRPr="00B83FB0" w:rsidRDefault="00C804A6" w:rsidP="00190D15">
            <w:pPr>
              <w:spacing w:before="120" w:after="120" w:line="276" w:lineRule="auto"/>
              <w:ind w:firstLine="709"/>
              <w:jc w:val="both"/>
              <w:rPr>
                <w:rFonts w:ascii="Verdana" w:eastAsia="Calibri" w:hAnsi="Verdana" w:cs="Arial"/>
              </w:rPr>
            </w:pPr>
            <w:r w:rsidRPr="00312012">
              <w:rPr>
                <w:rFonts w:ascii="Verdana" w:eastAsia="Calibri" w:hAnsi="Verdana" w:cs="Arial"/>
              </w:rPr>
              <w:t xml:space="preserve">Las normas citadas permiten concluir que el objetivo del plan anual de adquisiciones es indicar los bienes, obras y servicios que la entidad pretende adquirir, sin consideración a la forma en que estos deberán obtenerse,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 </w:t>
            </w:r>
          </w:p>
          <w:p w14:paraId="0AD0FAD5" w14:textId="48D37C47" w:rsidR="00B83FB0" w:rsidRPr="00B83FB0" w:rsidRDefault="003264D3" w:rsidP="00B83FB0">
            <w:pPr>
              <w:spacing w:before="120" w:after="120" w:line="276" w:lineRule="auto"/>
              <w:jc w:val="both"/>
              <w:rPr>
                <w:rFonts w:ascii="Verdana" w:eastAsia="Calibri" w:hAnsi="Verdana" w:cs="Arial"/>
              </w:rPr>
            </w:pPr>
            <w:r>
              <w:rPr>
                <w:rFonts w:ascii="Verdana" w:eastAsia="Calibri" w:hAnsi="Verdana" w:cs="Arial"/>
              </w:rPr>
              <w:t xml:space="preserve">Sin embargo, esta Agencia puso a disposición de los interesados del Sistema de Compra y Contratación Pública la “Guía para elaborar el Plan Anual de Adquisiciones”, donde establece una lista de verificación para elaborarlo o actualizarlo y el procedimiento para ayudar a la entidad a cumplir las etapas que se deben agotar para obtener este documento de planeación. Dicha guía, </w:t>
            </w:r>
            <w:proofErr w:type="gramStart"/>
            <w:r>
              <w:rPr>
                <w:rFonts w:ascii="Verdana" w:eastAsia="Calibri" w:hAnsi="Verdana" w:cs="Arial"/>
              </w:rPr>
              <w:t>constituye</w:t>
            </w:r>
            <w:proofErr w:type="gramEnd"/>
            <w:r>
              <w:rPr>
                <w:rFonts w:ascii="Verdana" w:eastAsia="Calibri" w:hAnsi="Verdana" w:cs="Arial"/>
              </w:rPr>
              <w:t xml:space="preserve"> además, una herramienta orientadora para las Entidades Estatales, en la que se desarrollan lineamientos que les servirán de apoyo para preparar y actualizar el PAA, documento este que, de acuerdo con lo establecido en el numeral 2, literal c) del artículo 2.2.1.2.5.2 del Decreto 1082 de 2015, deberá utilizarse por parte de las entidades, como un instrumento de buena práctica contractual.</w:t>
            </w:r>
          </w:p>
        </w:tc>
      </w:tr>
      <w:bookmarkEnd w:id="2"/>
    </w:tbl>
    <w:p w14:paraId="69C78D56" w14:textId="77777777" w:rsidR="00B83FB0" w:rsidRPr="00B83FB0" w:rsidRDefault="00B83FB0" w:rsidP="00B83FB0">
      <w:pPr>
        <w:tabs>
          <w:tab w:val="left" w:pos="142"/>
          <w:tab w:val="left" w:pos="967"/>
        </w:tabs>
        <w:spacing w:after="0" w:line="276" w:lineRule="auto"/>
        <w:jc w:val="both"/>
        <w:rPr>
          <w:rFonts w:ascii="Verdana" w:eastAsia="Century Gothic" w:hAnsi="Verdana" w:cs="Century Gothic"/>
          <w:b/>
          <w:bCs/>
          <w:lang w:val="es-ES"/>
        </w:rPr>
      </w:pPr>
    </w:p>
    <w:p w14:paraId="278609CA" w14:textId="77777777" w:rsidR="00B83FB0" w:rsidRPr="00B83FB0" w:rsidRDefault="00B83FB0" w:rsidP="00B83FB0">
      <w:pPr>
        <w:widowControl w:val="0"/>
        <w:autoSpaceDE w:val="0"/>
        <w:autoSpaceDN w:val="0"/>
        <w:spacing w:before="1" w:after="0" w:line="240" w:lineRule="auto"/>
        <w:ind w:left="360" w:hanging="360"/>
        <w:outlineLvl w:val="0"/>
        <w:rPr>
          <w:rFonts w:ascii="Verdana" w:eastAsia="Arial" w:hAnsi="Verdana" w:cs="Arial"/>
          <w:b/>
          <w:bCs/>
          <w:lang w:val="es-ES"/>
        </w:rPr>
      </w:pPr>
      <w:r w:rsidRPr="00B83FB0">
        <w:rPr>
          <w:rFonts w:ascii="Verdana" w:eastAsia="Arial" w:hAnsi="Verdana" w:cs="Arial"/>
          <w:b/>
          <w:bCs/>
          <w:lang w:val="es-ES"/>
        </w:rPr>
        <w:t>3. Razones de la respuesta</w:t>
      </w:r>
    </w:p>
    <w:p w14:paraId="5C325349" w14:textId="77777777" w:rsidR="00B83FB0" w:rsidRPr="00B83FB0" w:rsidRDefault="00B83FB0" w:rsidP="00B83FB0">
      <w:pPr>
        <w:spacing w:after="0" w:line="276" w:lineRule="auto"/>
        <w:jc w:val="both"/>
        <w:rPr>
          <w:rFonts w:ascii="Verdana" w:eastAsia="Calibri" w:hAnsi="Verdana" w:cs="Arial"/>
          <w:lang w:val="es-ES"/>
        </w:rPr>
      </w:pPr>
    </w:p>
    <w:p w14:paraId="11B20D9C" w14:textId="77777777" w:rsidR="00B83FB0" w:rsidRPr="00B83FB0" w:rsidRDefault="00B83FB0" w:rsidP="00B83FB0">
      <w:pPr>
        <w:spacing w:after="0" w:line="276" w:lineRule="auto"/>
        <w:jc w:val="both"/>
        <w:rPr>
          <w:rFonts w:ascii="Verdana" w:eastAsia="Calibri" w:hAnsi="Verdana" w:cs="Arial"/>
          <w:lang w:val="es-ES"/>
        </w:rPr>
      </w:pPr>
      <w:r w:rsidRPr="00B83FB0">
        <w:rPr>
          <w:rFonts w:ascii="Verdana" w:eastAsia="Calibri" w:hAnsi="Verdana" w:cs="Arial"/>
          <w:lang w:val="es-ES"/>
        </w:rPr>
        <w:t xml:space="preserve">La respuesta anterior se sustenta en las siguientes consideraciones: </w:t>
      </w:r>
    </w:p>
    <w:p w14:paraId="76C0D756" w14:textId="77777777" w:rsidR="00B83FB0" w:rsidRPr="00B83FB0" w:rsidRDefault="00B83FB0" w:rsidP="00B83FB0">
      <w:pPr>
        <w:spacing w:after="0" w:line="276" w:lineRule="auto"/>
        <w:jc w:val="both"/>
        <w:rPr>
          <w:rFonts w:ascii="Verdana" w:eastAsia="Calibri" w:hAnsi="Verdana" w:cs="Arial"/>
          <w:lang w:val="es-ES"/>
        </w:rPr>
      </w:pPr>
    </w:p>
    <w:p w14:paraId="5F11EAE3" w14:textId="77777777" w:rsidR="00B83FB0" w:rsidRPr="00B83FB0" w:rsidRDefault="00B83FB0" w:rsidP="00B83FB0">
      <w:pPr>
        <w:spacing w:after="0" w:line="276" w:lineRule="auto"/>
        <w:contextualSpacing/>
        <w:jc w:val="both"/>
        <w:rPr>
          <w:rFonts w:ascii="Verdana" w:eastAsia="Calibri" w:hAnsi="Verdana" w:cs="Arial"/>
        </w:rPr>
      </w:pPr>
      <w:r w:rsidRPr="00B83FB0">
        <w:rPr>
          <w:rFonts w:ascii="Verdana" w:eastAsia="Calibri" w:hAnsi="Verdana" w:cs="Arial"/>
        </w:rPr>
        <w:t>La Guía para elaborar el Plan Anual de Adquisiciones</w:t>
      </w:r>
      <w:r w:rsidRPr="00B83FB0">
        <w:rPr>
          <w:rFonts w:ascii="Verdana" w:eastAsia="Calibri" w:hAnsi="Verdana" w:cs="Arial"/>
          <w:vertAlign w:val="superscript"/>
        </w:rPr>
        <w:footnoteReference w:id="1"/>
      </w:r>
      <w:r w:rsidRPr="00B83FB0">
        <w:rPr>
          <w:rFonts w:ascii="Verdana" w:eastAsia="Calibri" w:hAnsi="Verdana" w:cs="Arial"/>
        </w:rPr>
        <w:t xml:space="preserve"> de esta Agencia, define al Plan Anual de Adquisiciones, en adelante PAA como “un instrumento de planificación y orientación de la contratación de las Entidades Estatales, diseñado para identificar las necesidades de contratación, en el que se incluyen, de manera estimativa, los bienes, obras y servicios que la Administración Pública </w:t>
      </w:r>
      <w:r w:rsidRPr="00B83FB0">
        <w:rPr>
          <w:rFonts w:ascii="Verdana" w:eastAsia="Calibri" w:hAnsi="Verdana" w:cs="Arial"/>
        </w:rPr>
        <w:lastRenderedPageBreak/>
        <w:t>está interesada en adquirir para determinada vigencia”. Sin perjuicio de lo anterior, el PAA no restringe las decisiones en la contratación que habrán de adoptarse dentro de la anualidad respectiva, por lo que se considera un documento de carácter estimativo que tiene entre otras finalidades, la de “servir como referente inicial para evaluar la ejecución de presupuesto y pronosticar la demanda de bienes y servicios de la entidad durante el año referido del plan”</w:t>
      </w:r>
      <w:r w:rsidRPr="00B83FB0">
        <w:rPr>
          <w:rFonts w:ascii="Verdana" w:eastAsia="Aptos" w:hAnsi="Verdana" w:cs="Times New Roman"/>
          <w:color w:val="000000"/>
          <w:vertAlign w:val="superscript"/>
        </w:rPr>
        <w:footnoteReference w:id="2"/>
      </w:r>
      <w:r w:rsidRPr="00B83FB0">
        <w:rPr>
          <w:rFonts w:ascii="Verdana" w:eastAsia="Calibri" w:hAnsi="Verdana" w:cs="Arial"/>
        </w:rPr>
        <w:t>.</w:t>
      </w:r>
    </w:p>
    <w:p w14:paraId="4D6CEEFD" w14:textId="77777777" w:rsidR="00B83FB0" w:rsidRPr="00B83FB0" w:rsidRDefault="00B83FB0" w:rsidP="00B83FB0">
      <w:pPr>
        <w:tabs>
          <w:tab w:val="left" w:pos="0"/>
        </w:tabs>
        <w:spacing w:before="120" w:after="120" w:line="276" w:lineRule="auto"/>
        <w:jc w:val="both"/>
        <w:rPr>
          <w:rFonts w:ascii="Verdana" w:eastAsia="Calibri" w:hAnsi="Verdana" w:cs="Arial"/>
          <w:lang w:val="es-ES"/>
        </w:rPr>
      </w:pPr>
      <w:r w:rsidRPr="00B83FB0">
        <w:rPr>
          <w:rFonts w:ascii="Verdana" w:eastAsia="Calibri" w:hAnsi="Verdana" w:cs="Arial"/>
          <w:lang w:val="es-ES"/>
        </w:rPr>
        <w:tab/>
        <w:t xml:space="preserve">De acuerdo con el artículo </w:t>
      </w:r>
      <w:r w:rsidRPr="00B83FB0">
        <w:rPr>
          <w:rFonts w:ascii="Verdana" w:eastAsia="Calibri" w:hAnsi="Verdana" w:cs="Arial"/>
          <w:kern w:val="2"/>
          <w14:ligatures w14:val="standardContextual"/>
        </w:rPr>
        <w:t>2.2.1.1.1.3.1 del Decreto 1082 de 2015, el PAA es el plan general de compras al que se refiere el artículo 74 de la Ley 1474 de 2011 y el plan de compras al que se refiere la Ley Anual de Presupuesto. Asimismo, el artículo 2.1.1.1.3.1 del Decreto 1082 de 2015 lo define como un instrumento de planeación contractual que las Entidades Estatales debe diligenciar, publicar y actualizar.</w:t>
      </w:r>
      <w:r w:rsidRPr="00B83FB0">
        <w:rPr>
          <w:rFonts w:ascii="Verdana" w:eastAsia="Calibri" w:hAnsi="Verdana" w:cs="Arial"/>
          <w:lang w:val="es-ES"/>
        </w:rPr>
        <w:t xml:space="preserve"> En particular, el artículo 74 de la Ley 1474 de 2011 dispone que “todas las entidades del Estado” deben publicar, a más tardar el 31</w:t>
      </w:r>
      <w:r w:rsidRPr="00B83FB0">
        <w:rPr>
          <w:rFonts w:ascii="Verdana" w:eastAsia="Calibri" w:hAnsi="Verdana" w:cs="Arial"/>
          <w:lang w:val="es-ES_tradnl"/>
        </w:rPr>
        <w:t xml:space="preserve"> de enero de cada año, en su respectiva página web, el plan de acción, en el cual se incluye el plan general de compras</w:t>
      </w:r>
      <w:r w:rsidRPr="00B83FB0">
        <w:rPr>
          <w:rFonts w:ascii="Verdana" w:eastAsia="Calibri" w:hAnsi="Verdana" w:cs="Arial"/>
          <w:vertAlign w:val="superscript"/>
          <w:lang w:val="es-ES_tradnl"/>
        </w:rPr>
        <w:footnoteReference w:id="3"/>
      </w:r>
      <w:r w:rsidRPr="00B83FB0">
        <w:rPr>
          <w:rFonts w:ascii="Verdana" w:eastAsia="Calibri" w:hAnsi="Verdana" w:cs="Arial"/>
          <w:lang w:val="es-ES_tradnl"/>
        </w:rPr>
        <w:t>. Como ya se indicó, el plan general de compras para el ordenamiento vigente corresponde con el concepto de Plan Anual de Adquisiciones como lo establece el artículo 2.2.1.1.1.3.1. del Decreto 1082 de 2015</w:t>
      </w:r>
      <w:r w:rsidRPr="00B83FB0">
        <w:rPr>
          <w:rFonts w:ascii="Verdana" w:eastAsia="Calibri" w:hAnsi="Verdana" w:cs="Arial"/>
          <w:vertAlign w:val="superscript"/>
          <w:lang w:val="es-ES_tradnl"/>
        </w:rPr>
        <w:footnoteReference w:id="4"/>
      </w:r>
      <w:r w:rsidRPr="00B83FB0">
        <w:rPr>
          <w:rFonts w:ascii="Verdana" w:eastAsia="Calibri" w:hAnsi="Verdana" w:cs="Arial"/>
          <w:lang w:val="es-ES_tradnl"/>
        </w:rPr>
        <w:t xml:space="preserve">.  </w:t>
      </w:r>
    </w:p>
    <w:p w14:paraId="671948A8" w14:textId="77777777" w:rsidR="00B83FB0" w:rsidRPr="00B83FB0" w:rsidRDefault="00B83FB0" w:rsidP="00B83FB0">
      <w:pPr>
        <w:tabs>
          <w:tab w:val="left" w:pos="0"/>
        </w:tabs>
        <w:spacing w:line="276" w:lineRule="auto"/>
        <w:jc w:val="both"/>
        <w:rPr>
          <w:rFonts w:ascii="Verdana" w:eastAsia="Calibri" w:hAnsi="Verdana" w:cs="Arial"/>
          <w:lang w:val="es-ES"/>
        </w:rPr>
      </w:pPr>
      <w:r w:rsidRPr="00B83FB0">
        <w:rPr>
          <w:rFonts w:ascii="Verdana" w:eastAsia="Calibri" w:hAnsi="Verdana" w:cs="Arial"/>
          <w:lang w:val="es-ES"/>
        </w:rPr>
        <w:lastRenderedPageBreak/>
        <w:tab/>
        <w:t xml:space="preserve">Además, de acuerdo con el artículo </w:t>
      </w:r>
      <w:r w:rsidRPr="00B83FB0">
        <w:rPr>
          <w:rFonts w:ascii="Verdana" w:eastAsia="Calibri" w:hAnsi="Verdana" w:cs="Arial"/>
          <w:lang w:val="es-ES_tradnl"/>
        </w:rPr>
        <w:t>2.2.1.1.1.4.3 ibidem</w:t>
      </w:r>
      <w:r w:rsidRPr="00B83FB0">
        <w:rPr>
          <w:rFonts w:ascii="Verdana" w:eastAsia="Calibri" w:hAnsi="Verdana" w:cs="Arial"/>
          <w:i/>
          <w:iCs/>
          <w:lang w:val="es-ES_tradnl"/>
        </w:rPr>
        <w:t xml:space="preserve">, </w:t>
      </w:r>
      <w:r w:rsidRPr="00B83FB0">
        <w:rPr>
          <w:rFonts w:ascii="Verdana" w:eastAsia="Calibri" w:hAnsi="Verdana" w:cs="Arial"/>
          <w:lang w:val="es-ES_tradnl"/>
        </w:rPr>
        <w:t>el PAA también debe publicarse en el SECOP</w:t>
      </w:r>
      <w:r w:rsidRPr="00B83FB0">
        <w:rPr>
          <w:rFonts w:ascii="Verdana" w:eastAsia="Calibri" w:hAnsi="Verdana" w:cs="Arial"/>
          <w:vertAlign w:val="superscript"/>
        </w:rPr>
        <w:footnoteReference w:id="5"/>
      </w:r>
      <w:r w:rsidRPr="00B83FB0">
        <w:rPr>
          <w:rFonts w:ascii="Verdana" w:eastAsia="Calibri" w:hAnsi="Verdana" w:cs="Arial"/>
          <w:lang w:val="es-ES"/>
        </w:rPr>
        <w:t>. Se trata de una obligación que involucra a todas las Entidades del Estado sin importar la rama a la cual pertenecen, o si se trata de entidades descentralizadas territorialmente o por servicios; las empresas del Estado y las sociedades en las que el Estado tenga participación, sin que importe su monto.</w:t>
      </w:r>
    </w:p>
    <w:p w14:paraId="500552AF" w14:textId="77777777" w:rsidR="00B83FB0" w:rsidRPr="00B83FB0" w:rsidRDefault="00B83FB0" w:rsidP="00B83FB0">
      <w:pPr>
        <w:tabs>
          <w:tab w:val="left" w:pos="0"/>
        </w:tabs>
        <w:spacing w:line="276" w:lineRule="auto"/>
        <w:jc w:val="both"/>
        <w:rPr>
          <w:rFonts w:ascii="Verdana" w:eastAsia="Aptos" w:hAnsi="Verdana" w:cs="Arial"/>
          <w:lang w:val="es-ES"/>
        </w:rPr>
      </w:pPr>
      <w:r w:rsidRPr="00B83FB0">
        <w:rPr>
          <w:rFonts w:ascii="Verdana" w:eastAsia="Calibri" w:hAnsi="Verdana" w:cs="Arial"/>
          <w:kern w:val="2"/>
          <w14:ligatures w14:val="standardContextual"/>
        </w:rPr>
        <w:tab/>
        <w:t xml:space="preserve">Ahora bien, teniendo en cuenta que </w:t>
      </w:r>
      <w:r w:rsidRPr="00B83FB0">
        <w:rPr>
          <w:rFonts w:ascii="Verdana" w:eastAsia="Aptos" w:hAnsi="Verdana" w:cs="Arial"/>
          <w:lang w:val="es-ES"/>
        </w:rPr>
        <w:t xml:space="preserve">el artículo 2.1.1.2.1.10 del Decreto 1082 de 2015 dispone que los sujetos obligados que contraten con cargo a recursos públicos tienen la obligación de publicar el PAA en el SECOP, se sugiere consultar los lineamientos dispuestos por esta Agencia en el documento denominado “Plan Anual de Adquisiciones en SECOP II – Creación y publicación del PAA” disponible </w:t>
      </w:r>
      <w:hyperlink r:id="rId11" w:history="1">
        <w:r w:rsidRPr="00B83FB0">
          <w:rPr>
            <w:rFonts w:ascii="Verdana" w:eastAsia="Aptos" w:hAnsi="Verdana" w:cs="Arial"/>
            <w:color w:val="0000FF"/>
            <w:u w:val="single"/>
            <w:lang w:val="es-ES"/>
          </w:rPr>
          <w:t>aquí</w:t>
        </w:r>
      </w:hyperlink>
    </w:p>
    <w:p w14:paraId="7741F4DD" w14:textId="77777777" w:rsidR="00B83FB0" w:rsidRPr="00B83FB0" w:rsidRDefault="00B83FB0" w:rsidP="00B83FB0">
      <w:pPr>
        <w:spacing w:before="120" w:after="0" w:line="276" w:lineRule="auto"/>
        <w:ind w:firstLine="708"/>
        <w:jc w:val="both"/>
        <w:rPr>
          <w:rFonts w:ascii="Verdana" w:eastAsia="Aptos" w:hAnsi="Verdana" w:cs="Arial"/>
          <w:lang w:val="es-ES"/>
        </w:rPr>
      </w:pPr>
      <w:r w:rsidRPr="00B83FB0">
        <w:rPr>
          <w:rFonts w:ascii="Verdana" w:eastAsia="Aptos" w:hAnsi="Verdana" w:cs="Arial"/>
          <w:lang w:val="es-ES"/>
        </w:rPr>
        <w:t>Adicionalmente se aclara, que los sujetos que no contratan con cargo a recursos públicos no están obligados a publicarlo, mientras que aquellos que contratan tanto con cargo a recursos públicos como con aquellos que no tienen esta naturaleza, solamente están obligados a publicar el PAA para los recursos de carácter público que se ejecutarán duranta la vigencia fiscal.</w:t>
      </w:r>
    </w:p>
    <w:p w14:paraId="385BB4B4" w14:textId="77777777" w:rsidR="00B83FB0" w:rsidRPr="00B83FB0" w:rsidRDefault="00B83FB0" w:rsidP="00B83FB0">
      <w:pPr>
        <w:spacing w:before="120" w:after="120" w:line="276" w:lineRule="auto"/>
        <w:jc w:val="both"/>
        <w:rPr>
          <w:rFonts w:ascii="Verdana" w:eastAsia="Calibri" w:hAnsi="Verdana" w:cs="Arial"/>
          <w:sz w:val="24"/>
          <w:szCs w:val="24"/>
          <w:lang w:val="es-ES" w:eastAsia="es-ES_tradnl"/>
        </w:rPr>
      </w:pPr>
      <w:r w:rsidRPr="00B83FB0">
        <w:rPr>
          <w:rFonts w:ascii="Verdana" w:eastAsia="Calibri" w:hAnsi="Verdana" w:cs="Arial"/>
          <w:lang w:val="es-ES"/>
        </w:rPr>
        <w:tab/>
      </w:r>
      <w:r w:rsidRPr="00B83FB0">
        <w:rPr>
          <w:rFonts w:ascii="Verdana" w:eastAsia="Aptos" w:hAnsi="Verdana" w:cs="Arial"/>
          <w:lang w:val="es-ES"/>
        </w:rPr>
        <w:t>Teniendo en claro lo anterior, el artículo 2.2.1.1.1.4.1 del Decreto 1082 de 2015 establece el deber de elaborar el PAA, que debe contener un listado de lo que la entidad adquirirá durante el año, para satisfacer su necesidad de bienes, obras o servicios, y que debe tener la información desagregada, principalmente en los siguientes aspectos</w:t>
      </w:r>
      <w:r w:rsidRPr="00B83FB0">
        <w:rPr>
          <w:rFonts w:ascii="Verdana" w:eastAsia="Calibri" w:hAnsi="Verdana" w:cs="Arial"/>
          <w:lang w:val="es-ES" w:eastAsia="es-ES_tradnl"/>
        </w:rPr>
        <w:t xml:space="preserve">: i) identificación con el clasificador de bienes y servicios, </w:t>
      </w:r>
      <w:proofErr w:type="spellStart"/>
      <w:r w:rsidRPr="00B83FB0">
        <w:rPr>
          <w:rFonts w:ascii="Verdana" w:eastAsia="Calibri" w:hAnsi="Verdana" w:cs="Arial"/>
          <w:lang w:val="es-ES" w:eastAsia="es-ES_tradnl"/>
        </w:rPr>
        <w:t>ii</w:t>
      </w:r>
      <w:proofErr w:type="spellEnd"/>
      <w:r w:rsidRPr="00B83FB0">
        <w:rPr>
          <w:rFonts w:ascii="Verdana" w:eastAsia="Calibri" w:hAnsi="Verdana" w:cs="Arial"/>
          <w:lang w:val="es-ES" w:eastAsia="es-ES_tradnl"/>
        </w:rPr>
        <w:t xml:space="preserve">) valor estimado del contrato, </w:t>
      </w:r>
      <w:proofErr w:type="spellStart"/>
      <w:r w:rsidRPr="00B83FB0">
        <w:rPr>
          <w:rFonts w:ascii="Verdana" w:eastAsia="Calibri" w:hAnsi="Verdana" w:cs="Arial"/>
          <w:lang w:val="es-ES" w:eastAsia="es-ES_tradnl"/>
        </w:rPr>
        <w:t>iii</w:t>
      </w:r>
      <w:proofErr w:type="spellEnd"/>
      <w:r w:rsidRPr="00B83FB0">
        <w:rPr>
          <w:rFonts w:ascii="Verdana" w:eastAsia="Calibri" w:hAnsi="Verdana" w:cs="Arial"/>
          <w:lang w:val="es-ES" w:eastAsia="es-ES_tradnl"/>
        </w:rPr>
        <w:t xml:space="preserve">) tipo de recursos, </w:t>
      </w:r>
      <w:proofErr w:type="spellStart"/>
      <w:r w:rsidRPr="00B83FB0">
        <w:rPr>
          <w:rFonts w:ascii="Verdana" w:eastAsia="Calibri" w:hAnsi="Verdana" w:cs="Arial"/>
          <w:lang w:val="es-ES" w:eastAsia="es-ES_tradnl"/>
        </w:rPr>
        <w:t>iv</w:t>
      </w:r>
      <w:proofErr w:type="spellEnd"/>
      <w:r w:rsidRPr="00B83FB0">
        <w:rPr>
          <w:rFonts w:ascii="Verdana" w:eastAsia="Calibri" w:hAnsi="Verdana" w:cs="Arial"/>
          <w:lang w:val="es-ES" w:eastAsia="es-ES_tradnl"/>
        </w:rPr>
        <w:t>) modalidad de selección y v) fecha de inicio del proceso contractual</w:t>
      </w:r>
      <w:r w:rsidRPr="00B83FB0">
        <w:rPr>
          <w:rFonts w:ascii="Verdana" w:eastAsia="Calibri" w:hAnsi="Verdana" w:cs="Arial"/>
          <w:vertAlign w:val="superscript"/>
          <w:lang w:eastAsia="es-ES_tradnl"/>
        </w:rPr>
        <w:footnoteReference w:id="6"/>
      </w:r>
      <w:r w:rsidRPr="00B83FB0">
        <w:rPr>
          <w:rFonts w:ascii="Verdana" w:eastAsia="Calibri" w:hAnsi="Verdana" w:cs="Arial"/>
          <w:lang w:val="es-ES" w:eastAsia="es-ES_tradnl"/>
        </w:rPr>
        <w:t>.</w:t>
      </w:r>
    </w:p>
    <w:p w14:paraId="31301EF4" w14:textId="77777777" w:rsidR="00B83FB0" w:rsidRPr="00B83FB0" w:rsidRDefault="00B83FB0" w:rsidP="00B83FB0">
      <w:pPr>
        <w:tabs>
          <w:tab w:val="left" w:pos="0"/>
        </w:tabs>
        <w:spacing w:line="276" w:lineRule="auto"/>
        <w:jc w:val="both"/>
        <w:rPr>
          <w:rFonts w:ascii="Verdana" w:eastAsia="Calibri" w:hAnsi="Verdana" w:cs="Arial"/>
          <w:lang w:val="es-ES"/>
        </w:rPr>
      </w:pPr>
      <w:r w:rsidRPr="00B83FB0">
        <w:rPr>
          <w:rFonts w:ascii="Verdana" w:eastAsia="Calibri" w:hAnsi="Verdana" w:cs="Arial"/>
          <w:lang w:val="es-ES"/>
        </w:rPr>
        <w:lastRenderedPageBreak/>
        <w:tab/>
        <w:t>Con relación a la configuración de dicho listado, en primer lugar, es necesario resaltar que el objetivo del PAA es indicar los bienes, obras y servicios que la entidad pretende adquirir, sin consideración a la forma en que estos se obtendrán, pues es el criterio de necesidad de aquellos el que fundamenta la inclusión o no en la lista del plan y no el carácter pecuniario de este ni su modalidad de contratación. Por tanto, bastará con que la entidad identifique la necesidad contractual para que deba incluirlo en el listado.</w:t>
      </w:r>
    </w:p>
    <w:p w14:paraId="1E204E02" w14:textId="77777777" w:rsidR="00B83FB0" w:rsidRPr="00B83FB0" w:rsidRDefault="00B83FB0" w:rsidP="00B83FB0">
      <w:pPr>
        <w:spacing w:after="120" w:line="276" w:lineRule="auto"/>
        <w:ind w:firstLine="703"/>
        <w:jc w:val="both"/>
        <w:textAlignment w:val="baseline"/>
        <w:rPr>
          <w:rFonts w:ascii="Verdana" w:eastAsia="Times New Roman" w:hAnsi="Verdana" w:cs="Segoe UI"/>
          <w:lang w:eastAsia="es-CO"/>
        </w:rPr>
      </w:pPr>
      <w:r w:rsidRPr="00B83FB0">
        <w:rPr>
          <w:rFonts w:ascii="Verdana" w:eastAsia="Times New Roman" w:hAnsi="Verdana" w:cs="Arial"/>
          <w:lang w:val="es-ES" w:eastAsia="es-CO"/>
        </w:rPr>
        <w:t>Un interrogante surge de lo anterior: ¿cómo puede la entidad definir si debe o no incluir un bien, obra o servicio en el plan? Basta consultar el artículo 2.2.1.1.1.4.1. del Decreto 1082 de 2015, donde señala que “[…] las entidades deben elaborar un plan anual de adquisiciones, el cual debe contener la lista de bienes, obras y servicios que pretenden adquirir durante el año”. Este aparte permite extraer el contenido esencialísimo del mismo, pues los enlista como requisitos mínimos del plan. Luego, la norma establece el deber de incluir otra información:  “[…] la Entidad Estatal debe señalar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 que no siendo menos importante es complementaria y descriptiva de la información esencialísima del plan, como se explicará a continuación. </w:t>
      </w:r>
      <w:r w:rsidRPr="00B83FB0">
        <w:rPr>
          <w:rFonts w:ascii="Verdana" w:eastAsia="Times New Roman" w:hAnsi="Verdana" w:cs="Arial"/>
          <w:lang w:eastAsia="es-CO"/>
        </w:rPr>
        <w:t> </w:t>
      </w:r>
    </w:p>
    <w:p w14:paraId="585D749F" w14:textId="77777777" w:rsidR="00B83FB0" w:rsidRPr="00B83FB0" w:rsidRDefault="00B83FB0" w:rsidP="00B83FB0">
      <w:pPr>
        <w:spacing w:after="120" w:line="276" w:lineRule="auto"/>
        <w:ind w:firstLine="703"/>
        <w:jc w:val="both"/>
        <w:textAlignment w:val="baseline"/>
        <w:rPr>
          <w:rFonts w:ascii="Verdana" w:eastAsia="Times New Roman" w:hAnsi="Verdana" w:cs="Segoe UI"/>
          <w:lang w:eastAsia="es-CO"/>
        </w:rPr>
      </w:pPr>
      <w:r w:rsidRPr="00B83FB0">
        <w:rPr>
          <w:rFonts w:ascii="Verdana" w:eastAsia="Times New Roman" w:hAnsi="Verdana" w:cs="Arial"/>
          <w:lang w:val="es-ES" w:eastAsia="es-CO"/>
        </w:rPr>
        <w:lastRenderedPageBreak/>
        <w:t>La norma citada en el párrafo precedente dispone que el PAA tiene un contenido esencial –la lista de bienes, obras y servicios que la entidad pretenda adquirir– y otro que es obligatorio incluirlo pero que es complementario y descriptivo de lo esencial –valor del contrato, modalidad de selección, tipo de recursos, etc.–. A partir de esta clasificación se infiere su finalidad y el criterio rector para que, en cada caso, la entidad resuelva cómo se define si un bien, obra o servicio se incluye o no en el plan. </w:t>
      </w:r>
      <w:r w:rsidRPr="00B83FB0">
        <w:rPr>
          <w:rFonts w:ascii="Verdana" w:eastAsia="Times New Roman" w:hAnsi="Verdana" w:cs="Arial"/>
          <w:lang w:eastAsia="es-CO"/>
        </w:rPr>
        <w:t> </w:t>
      </w:r>
    </w:p>
    <w:p w14:paraId="144FE60F" w14:textId="77777777" w:rsidR="00B83FB0" w:rsidRPr="00B83FB0" w:rsidRDefault="00B83FB0" w:rsidP="00B83FB0">
      <w:pPr>
        <w:spacing w:after="120" w:line="276" w:lineRule="auto"/>
        <w:ind w:firstLine="703"/>
        <w:jc w:val="both"/>
        <w:rPr>
          <w:rFonts w:ascii="Verdana" w:eastAsia="Times New Roman" w:hAnsi="Verdana" w:cs="Arial"/>
          <w:lang w:val="es-ES" w:eastAsia="es-CO"/>
        </w:rPr>
      </w:pPr>
      <w:r w:rsidRPr="00B83FB0">
        <w:rPr>
          <w:rFonts w:ascii="Verdana" w:eastAsia="Times New Roman" w:hAnsi="Verdana" w:cs="Arial"/>
          <w:lang w:val="es-ES" w:eastAsia="es-ES_tradnl"/>
        </w:rPr>
        <w:t xml:space="preserve">Del primer aparte de la norma, se observa que su finalidad es clara: todos los bienes, obras o servicios que la entidad tenga intención de adquirir deben incluirse en el plan. Es decir, la obligación de incluir un contenido específico en el </w:t>
      </w:r>
      <w:proofErr w:type="gramStart"/>
      <w:r w:rsidRPr="00B83FB0">
        <w:rPr>
          <w:rFonts w:ascii="Verdana" w:eastAsia="Times New Roman" w:hAnsi="Verdana" w:cs="Arial"/>
          <w:lang w:val="es-ES" w:eastAsia="es-ES_tradnl"/>
        </w:rPr>
        <w:t>plan,</w:t>
      </w:r>
      <w:proofErr w:type="gramEnd"/>
      <w:r w:rsidRPr="00B83FB0">
        <w:rPr>
          <w:rFonts w:ascii="Verdana" w:eastAsia="Times New Roman" w:hAnsi="Verdana" w:cs="Arial"/>
          <w:lang w:val="es-ES" w:eastAsia="es-ES_tradnl"/>
        </w:rPr>
        <w:t xml:space="preserve"> se fundamenta únicamente en que se trate de un bien, obra o servicio que la entidad pretenda adquirir</w:t>
      </w:r>
      <w:r w:rsidRPr="00B83FB0">
        <w:rPr>
          <w:rFonts w:ascii="Verdana" w:eastAsia="Times New Roman" w:hAnsi="Verdana" w:cs="Arial"/>
          <w:i/>
          <w:iCs/>
          <w:lang w:val="es-ES" w:eastAsia="es-ES_tradnl"/>
        </w:rPr>
        <w:t>.</w:t>
      </w:r>
      <w:r w:rsidRPr="00B83FB0">
        <w:rPr>
          <w:rFonts w:ascii="Verdana" w:eastAsia="Times New Roman" w:hAnsi="Verdana" w:cs="Arial"/>
          <w:lang w:val="es-ES" w:eastAsia="es-CO"/>
        </w:rPr>
        <w:t xml:space="preserve">  Adicionalmente, cuando el primer aparte señala que el plan “[…] deberá contener la lista de bienes, obras y servicios que pretenden adquirir durante un año”, es claro que adquirir es el elemento determinante para concluir que se debe enlistar un bien, obra o servicio en el plan. Esto, a pesar de que la misma disposición establezca otra información adicional que debe incluir este documento –modalidad, valor estimado–, pero que resulta ser complementaria o descriptiva a la señalada como información mínima o esencialísima del plan. </w:t>
      </w:r>
    </w:p>
    <w:p w14:paraId="58398F4F" w14:textId="77777777" w:rsidR="00B83FB0" w:rsidRPr="00B83FB0" w:rsidRDefault="00B83FB0" w:rsidP="00B83FB0">
      <w:pPr>
        <w:spacing w:before="120" w:after="0" w:line="276" w:lineRule="auto"/>
        <w:ind w:firstLine="709"/>
        <w:jc w:val="both"/>
        <w:rPr>
          <w:rFonts w:ascii="Verdana" w:eastAsia="Calibri" w:hAnsi="Verdana" w:cs="Arial"/>
          <w:lang w:val="es-ES"/>
        </w:rPr>
      </w:pPr>
      <w:r w:rsidRPr="00B83FB0">
        <w:rPr>
          <w:rFonts w:ascii="Verdana" w:eastAsia="Calibri" w:hAnsi="Verdana" w:cs="Arial"/>
          <w:lang w:val="es-ES"/>
        </w:rPr>
        <w:t xml:space="preserve">Esta Agencia, con el fin de orientar a las Entidades Estatales en la elaboración y actualización del PAA, incorporó en la guía sobre el tema, el “Anexo 2 – Adquisiciones Planeadas” en el que de manera ilustrativa se relaciona la información mínima y obligatoria que debe contener dicho plan. Parte de este anexo se inserta a continuación: </w:t>
      </w:r>
    </w:p>
    <w:p w14:paraId="333BBCF1" w14:textId="77777777" w:rsidR="00B83FB0" w:rsidRPr="00B83FB0" w:rsidRDefault="00B83FB0" w:rsidP="00B83FB0">
      <w:pPr>
        <w:spacing w:before="120" w:after="0" w:line="276" w:lineRule="auto"/>
        <w:ind w:firstLine="709"/>
        <w:jc w:val="both"/>
        <w:rPr>
          <w:rFonts w:ascii="Verdana" w:eastAsia="Calibri" w:hAnsi="Verdana" w:cs="Arial"/>
          <w:lang w:val="es-ES"/>
        </w:rPr>
      </w:pPr>
      <w:r w:rsidRPr="00B83FB0">
        <w:rPr>
          <w:rFonts w:ascii="Verdana" w:eastAsia="Calibri" w:hAnsi="Verdana" w:cs="Arial"/>
          <w:noProof/>
          <w:lang w:val="es-ES"/>
        </w:rPr>
        <w:drawing>
          <wp:inline distT="0" distB="0" distL="0" distR="0" wp14:anchorId="497E0123" wp14:editId="01FE855E">
            <wp:extent cx="4782633" cy="1623974"/>
            <wp:effectExtent l="0" t="0" r="0" b="0"/>
            <wp:docPr id="3386663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666340" name=""/>
                    <pic:cNvPicPr/>
                  </pic:nvPicPr>
                  <pic:blipFill>
                    <a:blip r:embed="rId12"/>
                    <a:stretch>
                      <a:fillRect/>
                    </a:stretch>
                  </pic:blipFill>
                  <pic:spPr>
                    <a:xfrm>
                      <a:off x="0" y="0"/>
                      <a:ext cx="4796023" cy="1628521"/>
                    </a:xfrm>
                    <a:prstGeom prst="rect">
                      <a:avLst/>
                    </a:prstGeom>
                  </pic:spPr>
                </pic:pic>
              </a:graphicData>
            </a:graphic>
          </wp:inline>
        </w:drawing>
      </w:r>
    </w:p>
    <w:p w14:paraId="15CC2AF7" w14:textId="77777777" w:rsidR="00B83FB0" w:rsidRPr="00B83FB0" w:rsidRDefault="00B83FB0" w:rsidP="00B83FB0">
      <w:pPr>
        <w:spacing w:after="0" w:line="276" w:lineRule="auto"/>
        <w:ind w:firstLine="703"/>
        <w:jc w:val="both"/>
        <w:rPr>
          <w:rFonts w:ascii="Verdana" w:eastAsia="Times New Roman" w:hAnsi="Verdana" w:cs="Segoe UI"/>
          <w:lang w:eastAsia="es-ES_tradnl"/>
        </w:rPr>
      </w:pPr>
    </w:p>
    <w:p w14:paraId="54990F29" w14:textId="77777777" w:rsidR="00B83FB0" w:rsidRPr="00B83FB0" w:rsidRDefault="00B83FB0" w:rsidP="00B83FB0">
      <w:pPr>
        <w:spacing w:after="0" w:line="276" w:lineRule="auto"/>
        <w:ind w:firstLine="703"/>
        <w:jc w:val="both"/>
        <w:rPr>
          <w:rFonts w:ascii="Verdana" w:eastAsia="Calibri" w:hAnsi="Verdana" w:cs="Arial"/>
          <w:lang w:val="es-ES" w:eastAsia="es-ES_tradnl"/>
        </w:rPr>
      </w:pPr>
      <w:r w:rsidRPr="00B83FB0">
        <w:rPr>
          <w:rFonts w:ascii="Verdana" w:eastAsia="Calibri" w:hAnsi="Verdana" w:cs="Arial"/>
          <w:lang w:eastAsia="es-ES_tradnl"/>
        </w:rPr>
        <w:t xml:space="preserve">Por otra parte, y al resultar relevante con el objeto de consulta, debe precisarse que el inciso primero (1) del artículo </w:t>
      </w:r>
      <w:r w:rsidRPr="00B83FB0">
        <w:rPr>
          <w:rFonts w:ascii="Verdana" w:eastAsia="Calibri" w:hAnsi="Verdana" w:cs="Arial"/>
          <w:lang w:val="es-ES" w:eastAsia="es-ES_tradnl"/>
        </w:rPr>
        <w:t xml:space="preserve">2.2.1.1.1.4.4 del Decreto 1082 </w:t>
      </w:r>
      <w:r w:rsidRPr="00B83FB0">
        <w:rPr>
          <w:rFonts w:ascii="Verdana" w:eastAsia="Calibri" w:hAnsi="Verdana" w:cs="Arial"/>
          <w:lang w:val="es-ES" w:eastAsia="es-ES_tradnl"/>
        </w:rPr>
        <w:lastRenderedPageBreak/>
        <w:t>de 2015</w:t>
      </w:r>
      <w:r w:rsidRPr="00B83FB0">
        <w:rPr>
          <w:rFonts w:ascii="Verdana" w:eastAsia="Calibri" w:hAnsi="Verdana" w:cs="Arial"/>
          <w:vertAlign w:val="superscript"/>
          <w:lang w:eastAsia="es-ES_tradnl"/>
        </w:rPr>
        <w:footnoteReference w:id="7"/>
      </w:r>
      <w:r w:rsidRPr="00B83FB0">
        <w:rPr>
          <w:rFonts w:ascii="Verdana" w:eastAsia="Calibri" w:hAnsi="Verdana" w:cs="Arial"/>
          <w:lang w:val="es-ES" w:eastAsia="es-ES_tradnl"/>
        </w:rPr>
        <w:t xml:space="preserve">, fijó el alcance de la facultad otorgada a las Entidades Estatales para actualizar el PAA. Por ello es pertinente consultar el significado natural del verbo rector de la disposición y luego establecer los límites establecidos en la norma. </w:t>
      </w:r>
    </w:p>
    <w:p w14:paraId="0EE77209" w14:textId="77777777" w:rsidR="00B83FB0" w:rsidRPr="00B83FB0" w:rsidRDefault="00B83FB0" w:rsidP="00B83FB0">
      <w:pPr>
        <w:spacing w:before="120" w:after="120" w:line="276" w:lineRule="auto"/>
        <w:ind w:firstLine="709"/>
        <w:jc w:val="both"/>
        <w:rPr>
          <w:rFonts w:ascii="Verdana" w:eastAsia="Calibri" w:hAnsi="Verdana" w:cs="Arial"/>
          <w:lang w:val="es-ES" w:eastAsia="es-ES_tradnl"/>
        </w:rPr>
      </w:pPr>
      <w:r w:rsidRPr="00B83FB0">
        <w:rPr>
          <w:rFonts w:ascii="Verdana" w:eastAsia="Calibri" w:hAnsi="Verdana" w:cs="Arial"/>
          <w:lang w:val="es-ES" w:eastAsia="es-ES_tradnl"/>
        </w:rPr>
        <w:t>En ese sentido, se tiene que el Diccionario de la Lengua Española define “actualizar” como “hacer actual algo, darle actualidad” o “poner al día datos, normas, precios rentas, salarios”. Es decir, “actualizar” se puede asociar con la acción de traer al presente un dato establecido en el pasado. Aplicada esta definición a la norma citada, se tendría que el reglamento facultó a las Entidades Estatales para poner al día la información contenida en el documento del PAA.</w:t>
      </w:r>
    </w:p>
    <w:p w14:paraId="600E8A73" w14:textId="77777777" w:rsidR="00B83FB0" w:rsidRPr="00B83FB0" w:rsidRDefault="00B83FB0" w:rsidP="00B83FB0">
      <w:pPr>
        <w:spacing w:after="120" w:line="276" w:lineRule="auto"/>
        <w:ind w:firstLine="709"/>
        <w:jc w:val="both"/>
        <w:rPr>
          <w:rFonts w:ascii="Verdana" w:eastAsia="Calibri" w:hAnsi="Verdana" w:cs="Arial"/>
          <w:lang w:val="es-ES" w:eastAsia="es-ES_tradnl"/>
        </w:rPr>
      </w:pPr>
      <w:r w:rsidRPr="00B83FB0">
        <w:rPr>
          <w:rFonts w:ascii="Verdana" w:eastAsia="Calibri" w:hAnsi="Verdana" w:cs="Arial"/>
          <w:lang w:val="es-ES" w:eastAsia="es-ES_tradnl"/>
        </w:rPr>
        <w:t xml:space="preserve">Así pues, y con el deber de actualizar el PAA, una vez al año cuando menos, implícitamente se señala que el contenido inicial no es rígido ni inmodificable y, en consecuencia, por la misma dinámica de la actividad contractual de la Administración, estos datos necesariamente tendrán que modificarse. Además, la norma no limita la actualización del plan a un tope máximo, pero estableció un número mínimo, pues indicó que debían actualizarlo por lo menos una vez durante su vigencia. </w:t>
      </w:r>
    </w:p>
    <w:p w14:paraId="28E24D0C" w14:textId="77777777" w:rsidR="00B83FB0" w:rsidRPr="00B83FB0" w:rsidRDefault="00B83FB0" w:rsidP="00B83FB0">
      <w:pPr>
        <w:spacing w:after="120" w:line="276" w:lineRule="auto"/>
        <w:ind w:firstLine="709"/>
        <w:jc w:val="both"/>
        <w:rPr>
          <w:rFonts w:ascii="Verdana" w:eastAsia="Calibri" w:hAnsi="Verdana" w:cs="Arial"/>
          <w:lang w:val="es-ES" w:eastAsia="es-ES_tradnl"/>
        </w:rPr>
      </w:pPr>
      <w:r w:rsidRPr="00B83FB0">
        <w:rPr>
          <w:rFonts w:ascii="Verdana" w:eastAsia="Calibri" w:hAnsi="Verdana" w:cs="Arial"/>
          <w:lang w:val="es-ES" w:eastAsia="es-ES_tradnl"/>
        </w:rPr>
        <w:t xml:space="preserve">El inciso 2 del artículo citado estableció cuatro (4) eventos en los que es factible actualizar el PAA, estos son: i) ajustes en los cronogramas de adquisición, valores, modalidad de selección y origen de los recursos; </w:t>
      </w:r>
      <w:proofErr w:type="spellStart"/>
      <w:r w:rsidRPr="00B83FB0">
        <w:rPr>
          <w:rFonts w:ascii="Verdana" w:eastAsia="Calibri" w:hAnsi="Verdana" w:cs="Arial"/>
          <w:lang w:val="es-ES" w:eastAsia="es-ES_tradnl"/>
        </w:rPr>
        <w:t>ii</w:t>
      </w:r>
      <w:proofErr w:type="spellEnd"/>
      <w:r w:rsidRPr="00B83FB0">
        <w:rPr>
          <w:rFonts w:ascii="Verdana" w:eastAsia="Calibri" w:hAnsi="Verdana" w:cs="Arial"/>
          <w:lang w:val="es-ES" w:eastAsia="es-ES_tradnl"/>
        </w:rPr>
        <w:t xml:space="preserve">) para incluir nuevas obras, bienes o servicios; </w:t>
      </w:r>
      <w:proofErr w:type="spellStart"/>
      <w:r w:rsidRPr="00B83FB0">
        <w:rPr>
          <w:rFonts w:ascii="Verdana" w:eastAsia="Calibri" w:hAnsi="Verdana" w:cs="Arial"/>
          <w:lang w:val="es-ES" w:eastAsia="es-ES_tradnl"/>
        </w:rPr>
        <w:t>iii</w:t>
      </w:r>
      <w:proofErr w:type="spellEnd"/>
      <w:r w:rsidRPr="00B83FB0">
        <w:rPr>
          <w:rFonts w:ascii="Verdana" w:eastAsia="Calibri" w:hAnsi="Verdana" w:cs="Arial"/>
          <w:lang w:val="es-ES" w:eastAsia="es-ES_tradnl"/>
        </w:rPr>
        <w:t xml:space="preserve">) excluir obras, bienes o servicios y </w:t>
      </w:r>
      <w:proofErr w:type="spellStart"/>
      <w:r w:rsidRPr="00B83FB0">
        <w:rPr>
          <w:rFonts w:ascii="Verdana" w:eastAsia="Calibri" w:hAnsi="Verdana" w:cs="Arial"/>
          <w:lang w:val="es-ES" w:eastAsia="es-ES_tradnl"/>
        </w:rPr>
        <w:t>iv</w:t>
      </w:r>
      <w:proofErr w:type="spellEnd"/>
      <w:r w:rsidRPr="00B83FB0">
        <w:rPr>
          <w:rFonts w:ascii="Verdana" w:eastAsia="Calibri" w:hAnsi="Verdana" w:cs="Arial"/>
          <w:lang w:val="es-ES" w:eastAsia="es-ES_tradnl"/>
        </w:rPr>
        <w:t xml:space="preserve">) modificar el presupuesto anual de adquisiciones. El inciso de la referencia solo estableció los eventos en los que tiene que actualizarse, sin limitar la modificación a ciertos topes, como, por ejemplo, aumentar o disminuir valores. La norma no enfatizó en este punto, por lo cual, en principio, podrá modificarse. </w:t>
      </w:r>
    </w:p>
    <w:p w14:paraId="0CB29516" w14:textId="77777777" w:rsidR="00B83FB0" w:rsidRPr="00B83FB0" w:rsidRDefault="00B83FB0" w:rsidP="00B83FB0">
      <w:pPr>
        <w:spacing w:before="120" w:after="120" w:line="276" w:lineRule="auto"/>
        <w:jc w:val="both"/>
        <w:rPr>
          <w:rFonts w:ascii="Verdana" w:eastAsia="Calibri" w:hAnsi="Verdana" w:cs="Arial"/>
        </w:rPr>
      </w:pPr>
      <w:r w:rsidRPr="00B83FB0">
        <w:rPr>
          <w:rFonts w:ascii="Verdana" w:eastAsia="Calibri" w:hAnsi="Verdana" w:cs="Arial"/>
        </w:rPr>
        <w:tab/>
        <w:t xml:space="preserve">En ese orden, se considera que el PAA es un instrumento de planificación y orientación de las Entidades Estatales, establecido para identificar las necesidades de contratación, en el que se incluyen, de manera estimativa, los </w:t>
      </w:r>
      <w:r w:rsidRPr="00B83FB0">
        <w:rPr>
          <w:rFonts w:ascii="Verdana" w:eastAsia="Calibri" w:hAnsi="Verdana" w:cs="Arial"/>
        </w:rPr>
        <w:lastRenderedPageBreak/>
        <w:t xml:space="preserve">bienes, obras y servicios que la Administración está interesada en adquirir, pero que de ninguna manera restringe las decisiones en la contratación, que habrán de adoptarse dentro de la anualidad respectiva. </w:t>
      </w:r>
    </w:p>
    <w:p w14:paraId="3A0E2AA9" w14:textId="77777777" w:rsidR="00B83FB0" w:rsidRPr="00B83FB0" w:rsidRDefault="00B83FB0" w:rsidP="00B83FB0">
      <w:pPr>
        <w:spacing w:before="120" w:after="120" w:line="276" w:lineRule="auto"/>
        <w:ind w:firstLine="708"/>
        <w:jc w:val="both"/>
        <w:rPr>
          <w:rFonts w:ascii="Verdana" w:eastAsia="Calibri" w:hAnsi="Verdana" w:cs="Arial"/>
        </w:rPr>
      </w:pPr>
      <w:r w:rsidRPr="00B83FB0">
        <w:rPr>
          <w:rFonts w:ascii="Verdana" w:eastAsia="Calibri" w:hAnsi="Verdana" w:cs="Arial"/>
        </w:rPr>
        <w:t>Lo anterior, explica por qué no tiene que existir necesariamente identidad entre el valor del contrato previsto en el plan y el de cada procedimiento de contratación, porque la norma señaló que el valor del contrato, señalado en el plan, es “estimado”. Al respecto, es preciso indicar que el Consejo de Estado, en el Concepto No. 1.920 del 2008, asimila el “valor inicial” del contrato, como aquel aproximado o estimado</w:t>
      </w:r>
      <w:r w:rsidRPr="00B83FB0">
        <w:rPr>
          <w:rFonts w:ascii="Verdana" w:eastAsia="Calibri" w:hAnsi="Verdana" w:cs="Arial"/>
          <w:i/>
          <w:iCs/>
        </w:rPr>
        <w:t xml:space="preserve"> </w:t>
      </w:r>
      <w:r w:rsidRPr="00B83FB0">
        <w:rPr>
          <w:rFonts w:ascii="Verdana" w:eastAsia="Calibri" w:hAnsi="Verdana" w:cs="Arial"/>
        </w:rPr>
        <w:t xml:space="preserve">por el que se firmó el contrato. Esto significa que el valor estimado debe entenderse como la estimación inicial de todos los compromisos económicos que puedan derivar del contrato, sin importar si es una entidad la que realiza el aporte o varias. En conclusión, el valor estimado del contrato que las entidades incluyen en el </w:t>
      </w:r>
      <w:proofErr w:type="gramStart"/>
      <w:r w:rsidRPr="00B83FB0">
        <w:rPr>
          <w:rFonts w:ascii="Verdana" w:eastAsia="Calibri" w:hAnsi="Verdana" w:cs="Arial"/>
        </w:rPr>
        <w:t>PAA,</w:t>
      </w:r>
      <w:proofErr w:type="gramEnd"/>
      <w:r w:rsidRPr="00B83FB0">
        <w:rPr>
          <w:rFonts w:ascii="Verdana" w:eastAsia="Calibri" w:hAnsi="Verdana" w:cs="Arial"/>
        </w:rPr>
        <w:t xml:space="preserve"> es el valor total del proceso contractual.</w:t>
      </w:r>
    </w:p>
    <w:p w14:paraId="4C875BAD" w14:textId="77777777" w:rsidR="00B83FB0" w:rsidRPr="00B83FB0" w:rsidRDefault="00B83FB0" w:rsidP="00B83FB0">
      <w:pPr>
        <w:spacing w:after="120" w:line="276" w:lineRule="auto"/>
        <w:ind w:firstLine="709"/>
        <w:jc w:val="both"/>
        <w:rPr>
          <w:rFonts w:ascii="Verdana" w:eastAsia="Calibri" w:hAnsi="Verdana" w:cs="Arial"/>
          <w:lang w:eastAsia="es-ES_tradnl"/>
        </w:rPr>
      </w:pPr>
      <w:r w:rsidRPr="00B83FB0">
        <w:rPr>
          <w:rFonts w:ascii="Verdana" w:eastAsia="Times New Roman" w:hAnsi="Verdana" w:cs="Arial"/>
          <w:lang w:eastAsia="es-ES_tradnl"/>
        </w:rPr>
        <w:t xml:space="preserve">Adicionalmente, vale la pena aclarar que pese a que </w:t>
      </w:r>
      <w:r w:rsidRPr="00B83FB0">
        <w:rPr>
          <w:rFonts w:ascii="Verdana" w:eastAsia="Calibri" w:hAnsi="Verdana" w:cs="Arial"/>
          <w:lang w:eastAsia="es-ES_tradnl"/>
        </w:rPr>
        <w:t xml:space="preserve">el PAA es un instrumento de planeación, no es el único documento a través del cual se materializa la planeación en un proceso de contratación, el cual también debe atender a los demás instrumentos generales de planeación que obligan a la entidad contratante –por ejemplo, planes de desarrollo nacionales, presupuestos plurianuales, planes territoriales, etc.–, además de requerir la expedición de los estudios técnicos, jurídicos y/o financieros necesarios, según el caso, para determinar la conveniencia y la legalidad de la contratación–art. 25 de la Ley 80 de 1993– , los estudios previos y el análisis del sector relativo a la contratación que se pretende adelantar –2.2.1.1.2.1.1 y 2.2.1.1.1.6.1 del Decreto 1082 de 2015–.  </w:t>
      </w:r>
    </w:p>
    <w:p w14:paraId="7FD4E438" w14:textId="77777777" w:rsidR="00B83FB0" w:rsidRPr="00B83FB0" w:rsidRDefault="00B83FB0" w:rsidP="00B83FB0">
      <w:pPr>
        <w:spacing w:after="120" w:line="276" w:lineRule="auto"/>
        <w:ind w:firstLine="708"/>
        <w:jc w:val="both"/>
        <w:rPr>
          <w:rFonts w:ascii="Verdana" w:eastAsia="Calibri" w:hAnsi="Verdana" w:cs="Arial"/>
        </w:rPr>
      </w:pPr>
      <w:r w:rsidRPr="00B83FB0">
        <w:rPr>
          <w:rFonts w:ascii="Verdana" w:eastAsia="Calibri" w:hAnsi="Verdana" w:cs="Arial"/>
        </w:rPr>
        <w:t xml:space="preserve">Finalmente, debe advertirse que el análisis requerido para resolver problemas específicos en torno a la elaboración del PAA,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25443986" w14:textId="77777777" w:rsidR="00B83FB0" w:rsidRPr="00B83FB0" w:rsidRDefault="00B83FB0" w:rsidP="00B83FB0">
      <w:pPr>
        <w:spacing w:after="120" w:line="276" w:lineRule="auto"/>
        <w:ind w:firstLine="708"/>
        <w:jc w:val="both"/>
        <w:rPr>
          <w:rFonts w:ascii="Verdana" w:eastAsia="Calibri" w:hAnsi="Verdana" w:cs="Arial"/>
        </w:rPr>
      </w:pPr>
      <w:r w:rsidRPr="00B83FB0">
        <w:rPr>
          <w:rFonts w:ascii="Verdana" w:eastAsia="Calibri" w:hAnsi="Verdana" w:cs="Arial"/>
        </w:rPr>
        <w:t xml:space="preserve">Dentro de este marco, la entidad contratante definirá en cada caso concreto lo relacionado con el tema objeto de consulta. Al tratarse de un análisis </w:t>
      </w:r>
      <w:r w:rsidRPr="00B83FB0">
        <w:rPr>
          <w:rFonts w:ascii="Verdana" w:eastAsia="Calibri" w:hAnsi="Verdana" w:cs="Arial"/>
        </w:rPr>
        <w:lastRenderedPageBreak/>
        <w:t xml:space="preserve">que debe realizarse a un asunto particular y concreto,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455F82DA" w14:textId="77777777" w:rsidR="00B83FB0" w:rsidRPr="00B83FB0" w:rsidRDefault="00B83FB0" w:rsidP="00B83FB0">
      <w:pPr>
        <w:widowControl w:val="0"/>
        <w:autoSpaceDE w:val="0"/>
        <w:autoSpaceDN w:val="0"/>
        <w:spacing w:after="0" w:line="276" w:lineRule="auto"/>
        <w:contextualSpacing/>
        <w:jc w:val="both"/>
        <w:rPr>
          <w:rFonts w:ascii="Verdana" w:eastAsia="Aptos" w:hAnsi="Verdana" w:cs="Arial"/>
        </w:rPr>
      </w:pPr>
    </w:p>
    <w:p w14:paraId="7C2BAF5F" w14:textId="77777777" w:rsidR="00B83FB0" w:rsidRPr="00B83FB0" w:rsidRDefault="00B83FB0" w:rsidP="00B83FB0">
      <w:pPr>
        <w:widowControl w:val="0"/>
        <w:autoSpaceDE w:val="0"/>
        <w:autoSpaceDN w:val="0"/>
        <w:spacing w:before="1" w:after="0" w:line="240" w:lineRule="auto"/>
        <w:outlineLvl w:val="0"/>
        <w:rPr>
          <w:rFonts w:ascii="Verdana" w:eastAsia="Arial" w:hAnsi="Verdana" w:cs="Arial"/>
          <w:b/>
          <w:bCs/>
          <w:lang w:val="es-ES"/>
        </w:rPr>
      </w:pPr>
      <w:r w:rsidRPr="00B83FB0">
        <w:rPr>
          <w:rFonts w:ascii="Verdana" w:eastAsia="Arial" w:hAnsi="Verdana" w:cs="Arial"/>
          <w:b/>
          <w:bCs/>
          <w:lang w:val="es-ES"/>
        </w:rPr>
        <w:t>4. Referencias normativas, jurisprudenciales y otras fuentes:</w:t>
      </w:r>
    </w:p>
    <w:p w14:paraId="32F3C8F9" w14:textId="77777777" w:rsidR="00B83FB0" w:rsidRPr="00B83FB0" w:rsidRDefault="00B83FB0" w:rsidP="00B83FB0">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B83FB0" w:rsidRPr="00B83FB0" w14:paraId="4DACF736" w14:textId="77777777" w:rsidTr="00896B2F">
        <w:trPr>
          <w:trHeight w:val="870"/>
        </w:trPr>
        <w:tc>
          <w:tcPr>
            <w:tcW w:w="8647" w:type="dxa"/>
          </w:tcPr>
          <w:p w14:paraId="4D71BCDE" w14:textId="77777777" w:rsidR="00B83FB0" w:rsidRPr="00B83FB0" w:rsidRDefault="00B83FB0" w:rsidP="00B83FB0">
            <w:pPr>
              <w:widowControl w:val="0"/>
              <w:numPr>
                <w:ilvl w:val="0"/>
                <w:numId w:val="16"/>
              </w:numPr>
              <w:autoSpaceDE w:val="0"/>
              <w:autoSpaceDN w:val="0"/>
              <w:spacing w:line="276" w:lineRule="auto"/>
              <w:contextualSpacing/>
              <w:jc w:val="both"/>
              <w:rPr>
                <w:rFonts w:ascii="Verdana" w:eastAsia="Aptos" w:hAnsi="Verdana" w:cs="Arial"/>
              </w:rPr>
            </w:pPr>
            <w:r w:rsidRPr="00B83FB0">
              <w:rPr>
                <w:rFonts w:ascii="Verdana" w:eastAsia="Calibri" w:hAnsi="Verdana" w:cs="Arial"/>
                <w:lang w:val="es-ES"/>
              </w:rPr>
              <w:t xml:space="preserve">Decreto 1082 de 2015. Artículo </w:t>
            </w:r>
            <w:r w:rsidRPr="00B83FB0">
              <w:rPr>
                <w:rFonts w:ascii="Verdana" w:eastAsia="Calibri" w:hAnsi="Verdana" w:cs="Arial"/>
                <w:kern w:val="2"/>
                <w14:ligatures w14:val="standardContextual"/>
              </w:rPr>
              <w:t xml:space="preserve">2.2.1.1.1.3.1, 2.2.1.1.1.4.1, </w:t>
            </w:r>
            <w:r w:rsidRPr="00B83FB0">
              <w:rPr>
                <w:rFonts w:ascii="Verdana" w:eastAsia="Calibri" w:hAnsi="Verdana" w:cs="Arial"/>
                <w:noProof/>
                <w:lang w:val="es-ES_tradnl"/>
              </w:rPr>
              <w:t>2.2.1.1.1.4.3 y 2.2.1.1.1.4.4</w:t>
            </w:r>
          </w:p>
          <w:p w14:paraId="1F676445" w14:textId="77777777" w:rsidR="00B83FB0" w:rsidRPr="00B83FB0" w:rsidRDefault="00B83FB0" w:rsidP="00B83FB0">
            <w:pPr>
              <w:widowControl w:val="0"/>
              <w:numPr>
                <w:ilvl w:val="0"/>
                <w:numId w:val="16"/>
              </w:numPr>
              <w:autoSpaceDE w:val="0"/>
              <w:autoSpaceDN w:val="0"/>
              <w:spacing w:line="276" w:lineRule="auto"/>
              <w:contextualSpacing/>
              <w:jc w:val="both"/>
              <w:rPr>
                <w:rFonts w:ascii="Verdana" w:eastAsia="Aptos" w:hAnsi="Verdana" w:cs="Arial"/>
              </w:rPr>
            </w:pPr>
            <w:r w:rsidRPr="00B83FB0">
              <w:rPr>
                <w:rFonts w:ascii="Verdana" w:eastAsia="Calibri" w:hAnsi="Verdana" w:cs="Arial"/>
                <w:kern w:val="2"/>
                <w14:ligatures w14:val="standardContextual"/>
              </w:rPr>
              <w:t>Ley 1474 de 2011. Artículo 74</w:t>
            </w:r>
          </w:p>
          <w:p w14:paraId="5C7E79D1" w14:textId="77777777" w:rsidR="00B83FB0" w:rsidRPr="00B83FB0" w:rsidRDefault="00B83FB0" w:rsidP="00B83FB0">
            <w:pPr>
              <w:widowControl w:val="0"/>
              <w:numPr>
                <w:ilvl w:val="0"/>
                <w:numId w:val="16"/>
              </w:numPr>
              <w:autoSpaceDE w:val="0"/>
              <w:autoSpaceDN w:val="0"/>
              <w:spacing w:line="276" w:lineRule="auto"/>
              <w:contextualSpacing/>
              <w:jc w:val="both"/>
              <w:rPr>
                <w:rFonts w:ascii="Verdana" w:eastAsia="Aptos" w:hAnsi="Verdana" w:cs="Arial"/>
              </w:rPr>
            </w:pPr>
            <w:r w:rsidRPr="00B83FB0">
              <w:rPr>
                <w:rFonts w:ascii="Verdana" w:eastAsia="Calibri" w:hAnsi="Verdana" w:cs="Arial"/>
                <w:kern w:val="2"/>
                <w14:ligatures w14:val="standardContextual"/>
              </w:rPr>
              <w:t>Decreto 1081 de 2015. Artículo 2.1.1.2.1.10</w:t>
            </w:r>
          </w:p>
          <w:p w14:paraId="7B141D17" w14:textId="77777777" w:rsidR="00B83FB0" w:rsidRPr="00B83FB0" w:rsidRDefault="00B83FB0" w:rsidP="00B83FB0">
            <w:pPr>
              <w:widowControl w:val="0"/>
              <w:numPr>
                <w:ilvl w:val="0"/>
                <w:numId w:val="16"/>
              </w:numPr>
              <w:autoSpaceDE w:val="0"/>
              <w:autoSpaceDN w:val="0"/>
              <w:spacing w:after="120" w:line="276" w:lineRule="auto"/>
              <w:contextualSpacing/>
              <w:jc w:val="both"/>
              <w:rPr>
                <w:rFonts w:ascii="Verdana" w:eastAsia="Aptos" w:hAnsi="Verdana" w:cs="Arial"/>
              </w:rPr>
            </w:pPr>
            <w:r w:rsidRPr="00B83FB0">
              <w:rPr>
                <w:rFonts w:ascii="Verdana" w:eastAsia="Calibri" w:hAnsi="Verdana" w:cs="Arial"/>
                <w:kern w:val="2"/>
                <w14:ligatures w14:val="standardContextual"/>
              </w:rPr>
              <w:t xml:space="preserve">Guía para Elaborar el Plan Anual de Adquisiciones. Disponible </w:t>
            </w:r>
            <w:hyperlink r:id="rId13" w:history="1">
              <w:r w:rsidRPr="00B83FB0">
                <w:rPr>
                  <w:rFonts w:ascii="Verdana" w:eastAsia="Calibri" w:hAnsi="Verdana" w:cs="Arial"/>
                  <w:color w:val="467886"/>
                  <w:kern w:val="2"/>
                  <w:u w:val="single"/>
                  <w14:ligatures w14:val="standardContextual"/>
                </w:rPr>
                <w:t>aquí</w:t>
              </w:r>
            </w:hyperlink>
          </w:p>
        </w:tc>
      </w:tr>
    </w:tbl>
    <w:p w14:paraId="7F94B631" w14:textId="77777777" w:rsidR="00B83FB0" w:rsidRPr="00B83FB0" w:rsidRDefault="00B83FB0" w:rsidP="00B83FB0">
      <w:pPr>
        <w:widowControl w:val="0"/>
        <w:autoSpaceDE w:val="0"/>
        <w:autoSpaceDN w:val="0"/>
        <w:spacing w:after="0" w:line="276" w:lineRule="auto"/>
        <w:jc w:val="both"/>
        <w:rPr>
          <w:rFonts w:ascii="Verdana" w:eastAsia="Aptos" w:hAnsi="Verdana" w:cs="Arial"/>
        </w:rPr>
      </w:pPr>
    </w:p>
    <w:p w14:paraId="071E855E" w14:textId="77777777" w:rsidR="00B83FB0" w:rsidRPr="00B83FB0" w:rsidRDefault="00B83FB0" w:rsidP="00B83FB0">
      <w:pPr>
        <w:widowControl w:val="0"/>
        <w:autoSpaceDE w:val="0"/>
        <w:autoSpaceDN w:val="0"/>
        <w:spacing w:before="1" w:after="0" w:line="240" w:lineRule="auto"/>
        <w:outlineLvl w:val="0"/>
        <w:rPr>
          <w:rFonts w:ascii="Verdana" w:eastAsia="Arial" w:hAnsi="Verdana" w:cs="Arial"/>
          <w:b/>
          <w:bCs/>
          <w:lang w:val="es-ES"/>
        </w:rPr>
      </w:pPr>
      <w:r w:rsidRPr="00B83FB0">
        <w:rPr>
          <w:rFonts w:ascii="Verdana" w:eastAsia="Arial" w:hAnsi="Verdana" w:cs="Arial"/>
          <w:b/>
          <w:bCs/>
          <w:lang w:val="es-ES"/>
        </w:rPr>
        <w:t>5. Doctrina de la Agencia Nacional de Contratación Pública:</w:t>
      </w:r>
    </w:p>
    <w:p w14:paraId="38EF1B86" w14:textId="77777777" w:rsidR="00B83FB0" w:rsidRPr="00B83FB0" w:rsidRDefault="00B83FB0" w:rsidP="00B83FB0">
      <w:pPr>
        <w:widowControl w:val="0"/>
        <w:autoSpaceDE w:val="0"/>
        <w:autoSpaceDN w:val="0"/>
        <w:spacing w:after="0" w:line="240" w:lineRule="auto"/>
        <w:jc w:val="both"/>
        <w:rPr>
          <w:rFonts w:ascii="Verdana" w:eastAsia="Aptos" w:hAnsi="Verdana" w:cs="Arial"/>
        </w:rPr>
      </w:pPr>
    </w:p>
    <w:p w14:paraId="47FFBC3F" w14:textId="77777777" w:rsidR="00B83FB0" w:rsidRPr="00B83FB0" w:rsidRDefault="00B83FB0" w:rsidP="00B83FB0">
      <w:pPr>
        <w:widowControl w:val="0"/>
        <w:autoSpaceDE w:val="0"/>
        <w:autoSpaceDN w:val="0"/>
        <w:spacing w:after="0" w:line="240" w:lineRule="auto"/>
        <w:jc w:val="both"/>
        <w:rPr>
          <w:rFonts w:ascii="Verdana" w:eastAsia="Aptos" w:hAnsi="Verdana" w:cs="Arial"/>
          <w:shd w:val="clear" w:color="auto" w:fill="FFFFFF"/>
          <w:lang w:val="es-ES"/>
        </w:rPr>
      </w:pPr>
      <w:r w:rsidRPr="00B83FB0">
        <w:rPr>
          <w:rFonts w:ascii="Verdana" w:eastAsia="Aptos" w:hAnsi="Verdana" w:cs="Arial"/>
          <w:shd w:val="clear" w:color="auto" w:fill="FFFFFF"/>
          <w:lang w:val="es-ES"/>
        </w:rPr>
        <w:t xml:space="preserve">Sobre el marco jurídico del PAA, esta Subdirección se ha referido en los Conceptos </w:t>
      </w:r>
      <w:r w:rsidRPr="00B83FB0">
        <w:rPr>
          <w:rFonts w:ascii="Verdana" w:eastAsia="Calibri" w:hAnsi="Verdana" w:cs="Arial"/>
          <w:lang w:val="es-ES_tradnl" w:eastAsia="es-MX"/>
        </w:rPr>
        <w:t>C-257 de 3 de junio de 2021, C-258 de 3 de junio de 2021, C-345 de 13 de julio de 2021, C-376 de 26 de julio de 2021, C-489 de 13 de septiembre de 2021, C-637 del 7 de diciembre de 2021, C-733 del 13 de enero de 2022,  C-026 del 18 de febrero de 2022, C-027 del 25 de febrero de 2022, C-047 del 2 de marzo de 2022, C-087 del 17 de marzo de 2022, C-408 del 23 de junio de 2022, C-622 de 28 de septiembre de 2022, C-754 de 9 de noviembre de 2022 , C-763 de 15 de noviembre de 2022, C-889 de 26 de diciembre de 2022, C-062 del 18 de abril de 2023, C-142 de 30 de mayo de 2023, C-196 de 15 de junio de 2023, C-122 de 21 de junio de 2023, C-364 de 6 de septiembre de 2023, C-438 del 24 de octubre 2023</w:t>
      </w:r>
      <w:r w:rsidRPr="00B83FB0">
        <w:rPr>
          <w:rFonts w:ascii="Verdana" w:eastAsia="Aptos" w:hAnsi="Verdana" w:cs="Arial"/>
          <w:shd w:val="clear" w:color="auto" w:fill="FFFFFF"/>
          <w:lang w:val="es-ES"/>
        </w:rPr>
        <w:t>, C-887 del 20 de diciembre de 2024, C-934 del 30 de diciembre de 2024, C-1015 del 30 de diciembre de 2024, C-023 del 29 de enero de 2025, entre otros. Es</w:t>
      </w:r>
      <w:r w:rsidRPr="00B83FB0">
        <w:rPr>
          <w:rFonts w:ascii="Verdana" w:eastAsia="Aptos" w:hAnsi="Verdana" w:cs="Arial"/>
        </w:rPr>
        <w:t>tos y otros conceptos se encuentran disponibles para consulta en el Sistema de relatoría de la Agencia, al cual se puede acceder a través del siguiente enlace:</w:t>
      </w:r>
      <w:r w:rsidRPr="00B83FB0">
        <w:rPr>
          <w:rFonts w:ascii="Verdana" w:eastAsia="Aptos" w:hAnsi="Verdana" w:cs="Arial"/>
          <w:shd w:val="clear" w:color="auto" w:fill="FFFFFF"/>
          <w:lang w:val="es-ES"/>
        </w:rPr>
        <w:t xml:space="preserve"> </w:t>
      </w:r>
      <w:hyperlink r:id="rId14" w:history="1">
        <w:r w:rsidRPr="00B83FB0">
          <w:rPr>
            <w:rFonts w:ascii="Verdana" w:eastAsia="Aptos" w:hAnsi="Verdana" w:cs="Arial"/>
            <w:color w:val="467886"/>
            <w:u w:val="single"/>
            <w:shd w:val="clear" w:color="auto" w:fill="FFFFFF"/>
            <w:lang w:val="es-ES"/>
          </w:rPr>
          <w:t>https://relatoria.colombiacompra.gov.co/busqueda/conceptos</w:t>
        </w:r>
      </w:hyperlink>
      <w:r w:rsidRPr="00B83FB0">
        <w:rPr>
          <w:rFonts w:ascii="Verdana" w:eastAsia="Aptos" w:hAnsi="Verdana" w:cs="Arial"/>
          <w:color w:val="FF0000"/>
          <w:shd w:val="clear" w:color="auto" w:fill="FFFFFF"/>
          <w:lang w:val="es-ES"/>
        </w:rPr>
        <w:t>.</w:t>
      </w:r>
    </w:p>
    <w:p w14:paraId="38E58B30" w14:textId="77777777" w:rsidR="00B83FB0" w:rsidRPr="00B83FB0" w:rsidRDefault="00B83FB0" w:rsidP="00B83FB0">
      <w:pPr>
        <w:spacing w:before="120" w:after="120" w:line="240" w:lineRule="auto"/>
        <w:ind w:firstLine="709"/>
        <w:jc w:val="both"/>
        <w:rPr>
          <w:rFonts w:ascii="Verdana" w:eastAsia="Aptos" w:hAnsi="Verdana" w:cs="Times New Roman"/>
        </w:rPr>
      </w:pPr>
      <w:r w:rsidRPr="00B83FB0">
        <w:rPr>
          <w:rFonts w:ascii="Verdana" w:eastAsia="Aptos" w:hAnsi="Verdana" w:cs="Times New Roman"/>
        </w:rPr>
        <w:t xml:space="preserve">La sostenibilidad no es una opción, es una obligación. Por ello, la Agencia Nacional de Contratación Pública –Colombia Compra Eficiente– te invita a realizar el </w:t>
      </w:r>
      <w:r w:rsidRPr="00B83FB0">
        <w:rPr>
          <w:rFonts w:ascii="Verdana" w:eastAsia="Aptos" w:hAnsi="Verdana" w:cs="Times New Roman"/>
          <w:b/>
          <w:bCs/>
        </w:rPr>
        <w:t>Curso de Contratación Pública Sostenible y Socialmente Responsable</w:t>
      </w:r>
      <w:r w:rsidRPr="00B83FB0">
        <w:rPr>
          <w:rFonts w:ascii="Verdana" w:eastAsia="Aptos" w:hAnsi="Verdana" w:cs="Times New Roman"/>
        </w:rPr>
        <w:t xml:space="preserve">, una herramienta clave para fortalecer las capacidades de todos </w:t>
      </w:r>
      <w:r w:rsidRPr="00B83FB0">
        <w:rPr>
          <w:rFonts w:ascii="Verdana" w:eastAsia="Aptos" w:hAnsi="Verdana" w:cs="Times New Roman"/>
        </w:rPr>
        <w:lastRenderedPageBreak/>
        <w:t>los compradores públicos, proveedores, servidores públicos v para generar mayor valor público. Accede al curso y aprende como implementar criterios sociales y ambientales en las diferentes etapas del proceso de contratación:</w:t>
      </w:r>
      <w:r w:rsidRPr="00B83FB0">
        <w:rPr>
          <w:rFonts w:ascii="Verdana" w:eastAsia="Aptos" w:hAnsi="Verdana" w:cs="Times New Roman"/>
        </w:rPr>
        <w:br/>
      </w:r>
      <w:hyperlink r:id="rId15" w:tgtFrame="_new" w:history="1">
        <w:r w:rsidRPr="00B83FB0">
          <w:rPr>
            <w:rFonts w:ascii="Verdana" w:eastAsia="Aptos" w:hAnsi="Verdana" w:cs="Times New Roman"/>
            <w:color w:val="0000FF"/>
            <w:u w:val="single"/>
          </w:rPr>
          <w:t>https://formacionvirtual.colombiacompra.gov.co/mod/page/view.php?id=3718</w:t>
        </w:r>
      </w:hyperlink>
    </w:p>
    <w:p w14:paraId="59198328" w14:textId="77777777" w:rsidR="00B83FB0" w:rsidRPr="00B83FB0" w:rsidRDefault="00B83FB0" w:rsidP="00B83FB0">
      <w:pPr>
        <w:spacing w:line="240" w:lineRule="auto"/>
        <w:ind w:firstLine="708"/>
        <w:jc w:val="both"/>
        <w:rPr>
          <w:rFonts w:ascii="Verdana" w:eastAsia="Aptos" w:hAnsi="Verdana" w:cs="Times New Roman"/>
        </w:rPr>
      </w:pPr>
      <w:r w:rsidRPr="00B83FB0">
        <w:rPr>
          <w:rFonts w:ascii="Verdana" w:eastAsia="Aptos" w:hAnsi="Verdana" w:cs="Times New Roman"/>
        </w:rPr>
        <w:t xml:space="preserve">De otro lado, te contamos que esta Agencia ha da un paso decisivo en la estandarización y modernización del </w:t>
      </w:r>
      <w:r w:rsidRPr="00B83FB0">
        <w:rPr>
          <w:rFonts w:ascii="Verdana" w:eastAsia="Aptos" w:hAnsi="Verdana" w:cs="Times New Roman"/>
          <w:b/>
          <w:bCs/>
        </w:rPr>
        <w:t>sector  social</w:t>
      </w:r>
      <w:r w:rsidRPr="00B83FB0">
        <w:rPr>
          <w:rFonts w:ascii="Verdana" w:eastAsia="Aptos" w:hAnsi="Verdana" w:cs="Times New Roman"/>
        </w:rPr>
        <w:t xml:space="preserve"> con la expedición de las </w:t>
      </w:r>
      <w:r w:rsidRPr="00B83FB0">
        <w:rPr>
          <w:rFonts w:ascii="Verdana" w:eastAsia="Aptos" w:hAnsi="Verdana" w:cs="Times New Roman"/>
          <w:b/>
          <w:bCs/>
        </w:rPr>
        <w:t>Resoluciones 539, 540, 541, 952 y 953 de 2025</w:t>
      </w:r>
      <w:r w:rsidRPr="00B83FB0">
        <w:rPr>
          <w:rFonts w:ascii="Verdana" w:eastAsia="Aptos" w:hAnsi="Verdana" w:cs="Times New Roman"/>
        </w:rPr>
        <w:t xml:space="preserve">, </w:t>
      </w:r>
      <w:r w:rsidRPr="00B83FB0">
        <w:rPr>
          <w:rFonts w:ascii="Verdana" w:eastAsia="Aptos" w:hAnsi="Verdana" w:cs="Times New Roman"/>
          <w:b/>
          <w:bCs/>
        </w:rPr>
        <w:t>mediante las cuales adoptó Documentos Tipo</w:t>
      </w:r>
      <w:r w:rsidRPr="00B83FB0">
        <w:rPr>
          <w:rFonts w:ascii="Verdana" w:eastAsia="Aptos" w:hAnsi="Verdana" w:cs="Times New Roman"/>
        </w:rPr>
        <w:t xml:space="preserve"> para las modalidades de selección de</w:t>
      </w:r>
      <w:r w:rsidRPr="00B83FB0">
        <w:rPr>
          <w:rFonts w:ascii="Verdana" w:eastAsia="Aptos" w:hAnsi="Verdana" w:cs="Times New Roman"/>
          <w:b/>
          <w:bCs/>
        </w:rPr>
        <w:t xml:space="preserve"> licitación pública (versión 2), selección abreviada de menor cuantía, mínima cuantía, consultoría e interventoría</w:t>
      </w:r>
      <w:r w:rsidRPr="00B83FB0">
        <w:rPr>
          <w:rFonts w:ascii="Verdana" w:eastAsia="Aptos" w:hAnsi="Verdana" w:cs="Times New Roman"/>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B83FB0">
          <w:rPr>
            <w:rFonts w:ascii="Verdana" w:eastAsia="Aptos" w:hAnsi="Verdana" w:cs="Times New Roman"/>
            <w:color w:val="0000FF"/>
            <w:u w:val="single"/>
          </w:rPr>
          <w:t>https://www.colombiacompra.gov.co/normativa-y-relatoria/documentos-tipo</w:t>
        </w:r>
      </w:hyperlink>
    </w:p>
    <w:p w14:paraId="42C983C0" w14:textId="77777777" w:rsidR="00B83FB0" w:rsidRPr="00B83FB0" w:rsidRDefault="00B83FB0" w:rsidP="00B83FB0">
      <w:pPr>
        <w:widowControl w:val="0"/>
        <w:autoSpaceDE w:val="0"/>
        <w:autoSpaceDN w:val="0"/>
        <w:spacing w:after="0" w:line="240" w:lineRule="auto"/>
        <w:ind w:firstLine="708"/>
        <w:jc w:val="both"/>
        <w:rPr>
          <w:rFonts w:ascii="Verdana" w:eastAsia="Aptos" w:hAnsi="Verdana" w:cs="Arial"/>
        </w:rPr>
      </w:pPr>
      <w:r w:rsidRPr="00B83FB0">
        <w:rPr>
          <w:rFonts w:ascii="Verdana" w:eastAsia="Aptos" w:hAnsi="Verdana" w:cs="Times New Roman"/>
        </w:rPr>
        <w:t xml:space="preserve">Si quieres conocer más sobre la aplicación de Documentos Tipo puedes consultar la última versión de la </w:t>
      </w:r>
      <w:r w:rsidRPr="00B83FB0">
        <w:rPr>
          <w:rFonts w:ascii="Verdana" w:eastAsia="Aptos" w:hAnsi="Verdana" w:cs="Times New Roman"/>
          <w:b/>
          <w:bCs/>
        </w:rPr>
        <w:t>Guía para la comprensión e implementación de los Documentos Tipo de obra pública de infraestructura de transporte</w:t>
      </w:r>
      <w:r w:rsidRPr="00B83FB0">
        <w:rPr>
          <w:rFonts w:ascii="Verdana" w:eastAsia="Aptos" w:hAnsi="Verdana" w:cs="Times New Roman"/>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B83FB0">
        <w:rPr>
          <w:rFonts w:ascii="Verdana" w:eastAsia="Aptos" w:hAnsi="Verdana" w:cs="Times New Roman"/>
        </w:rPr>
        <w:br/>
      </w:r>
      <w:hyperlink r:id="rId17" w:tgtFrame="_new" w:history="1">
        <w:r w:rsidRPr="00B83FB0">
          <w:rPr>
            <w:rFonts w:ascii="Verdana" w:eastAsia="Aptos" w:hAnsi="Verdana" w:cs="Times New Roman"/>
            <w:color w:val="0000FF"/>
            <w:u w:val="single"/>
          </w:rPr>
          <w:t>https://www.colombiacompra.gov.co/archivos/manual/guia-para-la-comprension-e-implementacion-de-los-documentos-tipo-de-obra-publica-de-infraestructura-de-transporte-bajo-las-diferentes-modalidades-de-contratacion-vigentes</w:t>
        </w:r>
      </w:hyperlink>
    </w:p>
    <w:p w14:paraId="47D03E02" w14:textId="77777777" w:rsidR="00B83FB0" w:rsidRPr="00B83FB0" w:rsidRDefault="00B83FB0" w:rsidP="00B83FB0">
      <w:pPr>
        <w:widowControl w:val="0"/>
        <w:autoSpaceDE w:val="0"/>
        <w:autoSpaceDN w:val="0"/>
        <w:spacing w:after="0" w:line="240" w:lineRule="auto"/>
        <w:jc w:val="both"/>
        <w:rPr>
          <w:rFonts w:ascii="Verdana" w:eastAsia="Aptos" w:hAnsi="Verdana" w:cs="Arial"/>
          <w:shd w:val="clear" w:color="auto" w:fill="FFFFFF"/>
          <w:lang w:val="es-ES"/>
        </w:rPr>
      </w:pPr>
    </w:p>
    <w:p w14:paraId="1AE7A3BA" w14:textId="77777777" w:rsidR="00B83FB0" w:rsidRPr="00B83FB0" w:rsidRDefault="00B83FB0" w:rsidP="00B83FB0">
      <w:pPr>
        <w:spacing w:after="0" w:line="240" w:lineRule="auto"/>
        <w:jc w:val="both"/>
        <w:rPr>
          <w:rFonts w:ascii="Verdana" w:eastAsia="Aptos" w:hAnsi="Verdana" w:cs="Arial"/>
        </w:rPr>
      </w:pPr>
      <w:r w:rsidRPr="00B83FB0">
        <w:rPr>
          <w:rFonts w:ascii="Verdana" w:eastAsia="Aptos" w:hAnsi="Verdana" w:cs="Arial"/>
        </w:rPr>
        <w:t xml:space="preserve">Por último, lo invitamos a seguirnos en las redes sociales en las cuales se difunde información institucional: </w:t>
      </w:r>
    </w:p>
    <w:p w14:paraId="4380D79C" w14:textId="77777777" w:rsidR="00B83FB0" w:rsidRPr="00B83FB0" w:rsidRDefault="00B83FB0" w:rsidP="00B83FB0">
      <w:pPr>
        <w:spacing w:after="0" w:line="240" w:lineRule="auto"/>
        <w:jc w:val="both"/>
        <w:rPr>
          <w:rFonts w:ascii="Verdana" w:eastAsia="Aptos" w:hAnsi="Verdana" w:cs="Arial"/>
        </w:rPr>
      </w:pPr>
    </w:p>
    <w:p w14:paraId="40DC48A0" w14:textId="77777777" w:rsidR="00B83FB0" w:rsidRPr="00B83FB0" w:rsidRDefault="00B83FB0" w:rsidP="00B83FB0">
      <w:pPr>
        <w:spacing w:after="0" w:line="240" w:lineRule="auto"/>
        <w:jc w:val="both"/>
        <w:rPr>
          <w:rFonts w:ascii="Verdana" w:eastAsia="Aptos" w:hAnsi="Verdana" w:cs="Arial"/>
        </w:rPr>
      </w:pPr>
      <w:r w:rsidRPr="00B83FB0">
        <w:rPr>
          <w:rFonts w:ascii="Verdana" w:eastAsia="Aptos" w:hAnsi="Verdana" w:cs="Arial"/>
        </w:rPr>
        <w:t xml:space="preserve">Twitter: </w:t>
      </w:r>
      <w:r w:rsidRPr="00B83FB0">
        <w:rPr>
          <w:rFonts w:ascii="Verdana" w:eastAsia="Aptos" w:hAnsi="Verdana" w:cs="Arial"/>
          <w:color w:val="156082"/>
          <w:u w:val="single"/>
        </w:rPr>
        <w:t>@colombiacompra</w:t>
      </w:r>
      <w:r w:rsidRPr="00B83FB0">
        <w:rPr>
          <w:rFonts w:ascii="Verdana" w:eastAsia="Aptos" w:hAnsi="Verdana" w:cs="Arial"/>
          <w:color w:val="156082"/>
        </w:rPr>
        <w:t xml:space="preserve"> </w:t>
      </w:r>
    </w:p>
    <w:p w14:paraId="5DDAEA81" w14:textId="77777777" w:rsidR="00B83FB0" w:rsidRPr="00B83FB0" w:rsidRDefault="00B83FB0" w:rsidP="00B83FB0">
      <w:pPr>
        <w:spacing w:after="0" w:line="240" w:lineRule="auto"/>
        <w:jc w:val="both"/>
        <w:rPr>
          <w:rFonts w:ascii="Verdana" w:eastAsia="Aptos" w:hAnsi="Verdana" w:cs="Arial"/>
        </w:rPr>
      </w:pPr>
      <w:r w:rsidRPr="00B83FB0">
        <w:rPr>
          <w:rFonts w:ascii="Verdana" w:eastAsia="Aptos" w:hAnsi="Verdana" w:cs="Arial"/>
        </w:rPr>
        <w:t xml:space="preserve">Facebook: </w:t>
      </w:r>
      <w:proofErr w:type="spellStart"/>
      <w:r w:rsidRPr="00B83FB0">
        <w:rPr>
          <w:rFonts w:ascii="Verdana" w:eastAsia="Aptos" w:hAnsi="Verdana" w:cs="Arial"/>
          <w:color w:val="156082"/>
          <w:u w:val="single"/>
        </w:rPr>
        <w:t>ColombiaCompraEficiente</w:t>
      </w:r>
      <w:proofErr w:type="spellEnd"/>
    </w:p>
    <w:p w14:paraId="32634289" w14:textId="77777777" w:rsidR="00B83FB0" w:rsidRPr="00B83FB0" w:rsidRDefault="00B83FB0" w:rsidP="00B83FB0">
      <w:pPr>
        <w:spacing w:after="0" w:line="240" w:lineRule="auto"/>
        <w:jc w:val="both"/>
        <w:rPr>
          <w:rFonts w:ascii="Verdana" w:eastAsia="Aptos" w:hAnsi="Verdana" w:cs="Arial"/>
        </w:rPr>
      </w:pPr>
      <w:r w:rsidRPr="00B83FB0">
        <w:rPr>
          <w:rFonts w:ascii="Verdana" w:eastAsia="Aptos" w:hAnsi="Verdana" w:cs="Arial"/>
        </w:rPr>
        <w:t xml:space="preserve">LinkedIn: </w:t>
      </w:r>
      <w:r w:rsidRPr="00B83FB0">
        <w:rPr>
          <w:rFonts w:ascii="Verdana" w:eastAsia="Aptos" w:hAnsi="Verdana" w:cs="Arial"/>
          <w:color w:val="156082"/>
          <w:u w:val="single"/>
        </w:rPr>
        <w:t>Agencia Nacional de Contratación Pública - Colombia Compra Eficiente</w:t>
      </w:r>
      <w:r w:rsidRPr="00B83FB0">
        <w:rPr>
          <w:rFonts w:ascii="Verdana" w:eastAsia="Aptos" w:hAnsi="Verdana" w:cs="Arial"/>
          <w:color w:val="156082"/>
        </w:rPr>
        <w:t xml:space="preserve"> </w:t>
      </w:r>
      <w:r w:rsidRPr="00B83FB0">
        <w:rPr>
          <w:rFonts w:ascii="Verdana" w:eastAsia="Aptos" w:hAnsi="Verdana" w:cs="Arial"/>
        </w:rPr>
        <w:t xml:space="preserve">Instagram: </w:t>
      </w:r>
      <w:r w:rsidRPr="00B83FB0">
        <w:rPr>
          <w:rFonts w:ascii="Verdana" w:eastAsia="Aptos" w:hAnsi="Verdana" w:cs="Arial"/>
          <w:color w:val="156082"/>
          <w:u w:val="single"/>
        </w:rPr>
        <w:t>@colombiacompraeficiente_cce</w:t>
      </w:r>
    </w:p>
    <w:p w14:paraId="24FC5C49" w14:textId="77777777" w:rsidR="00B83FB0" w:rsidRPr="00B83FB0" w:rsidRDefault="00B83FB0" w:rsidP="00B83FB0">
      <w:pPr>
        <w:widowControl w:val="0"/>
        <w:autoSpaceDE w:val="0"/>
        <w:autoSpaceDN w:val="0"/>
        <w:spacing w:after="0" w:line="240" w:lineRule="auto"/>
        <w:jc w:val="both"/>
        <w:rPr>
          <w:rFonts w:ascii="Verdana" w:eastAsia="Aptos" w:hAnsi="Verdana" w:cs="Arial"/>
        </w:rPr>
      </w:pPr>
    </w:p>
    <w:p w14:paraId="006D202F" w14:textId="77777777" w:rsidR="00B83FB0" w:rsidRPr="00B83FB0" w:rsidRDefault="00B83FB0" w:rsidP="00B83FB0">
      <w:pPr>
        <w:widowControl w:val="0"/>
        <w:autoSpaceDE w:val="0"/>
        <w:autoSpaceDN w:val="0"/>
        <w:spacing w:after="0" w:line="240" w:lineRule="auto"/>
        <w:jc w:val="both"/>
        <w:rPr>
          <w:rFonts w:ascii="Verdana" w:eastAsia="Aptos" w:hAnsi="Verdana" w:cs="Arial"/>
          <w:lang w:val="es-ES_tradnl"/>
        </w:rPr>
      </w:pPr>
      <w:r w:rsidRPr="00B83FB0">
        <w:rPr>
          <w:rFonts w:ascii="Verdana" w:eastAsia="Aptos" w:hAnsi="Verdana" w:cs="Arial"/>
        </w:rPr>
        <w:t xml:space="preserve">Este concepto tiene el alcance previsto en el artículo 28 del Código de Procedimiento Administrativo y de lo Contencioso Administrativo </w:t>
      </w:r>
      <w:r w:rsidRPr="00B83FB0">
        <w:rPr>
          <w:rFonts w:ascii="Verdana" w:eastAsia="Aptos" w:hAnsi="Verdana" w:cs="Arial"/>
          <w:lang w:val="es-ES_tradnl"/>
        </w:rPr>
        <w:t>y las expresiones aquí utilizadas con mayúscula inicial deben ser entendidas con el significado que les otorga el artículo 2.2.1.1.1.3.1. del Decreto 1082 de 2015.</w:t>
      </w:r>
    </w:p>
    <w:p w14:paraId="75785F5F" w14:textId="77777777" w:rsidR="00B83FB0" w:rsidRPr="00B83FB0" w:rsidRDefault="00B83FB0" w:rsidP="00B83FB0">
      <w:pPr>
        <w:widowControl w:val="0"/>
        <w:autoSpaceDE w:val="0"/>
        <w:autoSpaceDN w:val="0"/>
        <w:spacing w:after="0" w:line="276" w:lineRule="auto"/>
        <w:jc w:val="both"/>
        <w:rPr>
          <w:rFonts w:ascii="Verdana" w:eastAsia="Aptos" w:hAnsi="Verdana" w:cs="Arial"/>
        </w:rPr>
      </w:pPr>
    </w:p>
    <w:p w14:paraId="5BA13A8A" w14:textId="7C0A6E80" w:rsidR="00B83FB0" w:rsidRPr="00190D15" w:rsidRDefault="00B83FB0" w:rsidP="00190D15">
      <w:pPr>
        <w:spacing w:after="0" w:line="240" w:lineRule="auto"/>
        <w:rPr>
          <w:rFonts w:ascii="Verdana" w:eastAsia="Aptos" w:hAnsi="Verdana" w:cs="Arial"/>
          <w:lang w:eastAsia="es-CO"/>
        </w:rPr>
      </w:pPr>
      <w:r w:rsidRPr="00B83FB0">
        <w:rPr>
          <w:rFonts w:ascii="Verdana" w:eastAsia="Times New Roman" w:hAnsi="Verdana" w:cs="Arial"/>
          <w:lang w:eastAsia="es-CO"/>
        </w:rPr>
        <w:lastRenderedPageBreak/>
        <w:t>Atentamente,</w:t>
      </w:r>
      <w:r w:rsidRPr="00B83FB0">
        <w:rPr>
          <w:rFonts w:ascii="Verdana" w:eastAsia="Aptos" w:hAnsi="Verdana" w:cs="Arial"/>
          <w:lang w:eastAsia="es-CO"/>
        </w:rPr>
        <w:t xml:space="preserve"> </w:t>
      </w:r>
    </w:p>
    <w:p w14:paraId="2FB038AF" w14:textId="35C9067B" w:rsidR="00B83FB0" w:rsidRPr="00B83FB0" w:rsidRDefault="00190D15" w:rsidP="00190D15">
      <w:pPr>
        <w:spacing w:after="0" w:line="256" w:lineRule="auto"/>
        <w:jc w:val="center"/>
        <w:rPr>
          <w:rFonts w:ascii="Verdana" w:eastAsia="Calibri" w:hAnsi="Verdana" w:cs="Times New Roman"/>
          <w:noProof/>
          <w:sz w:val="28"/>
          <w:szCs w:val="28"/>
        </w:rPr>
      </w:pPr>
      <w:r w:rsidRPr="00A008FD">
        <w:rPr>
          <w:rFonts w:ascii="Verdana" w:eastAsia="Calibri" w:hAnsi="Verdana" w:cs="Arial"/>
          <w:noProof/>
          <w:color w:val="000000"/>
          <w:lang w:eastAsia="es-CO"/>
        </w:rPr>
        <w:drawing>
          <wp:inline distT="0" distB="0" distL="0" distR="0" wp14:anchorId="55052267" wp14:editId="3B9F890A">
            <wp:extent cx="3692769" cy="1373909"/>
            <wp:effectExtent l="0" t="0" r="3175" b="0"/>
            <wp:docPr id="19162840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95452" cy="1374907"/>
                    </a:xfrm>
                    <a:prstGeom prst="rect">
                      <a:avLst/>
                    </a:prstGeom>
                    <a:noFill/>
                    <a:ln>
                      <a:noFill/>
                    </a:ln>
                  </pic:spPr>
                </pic:pic>
              </a:graphicData>
            </a:graphic>
          </wp:inline>
        </w:drawing>
      </w:r>
    </w:p>
    <w:p w14:paraId="167B4FB1" w14:textId="77777777" w:rsidR="00B83FB0" w:rsidRPr="00B83FB0" w:rsidRDefault="00B83FB0" w:rsidP="00B83FB0">
      <w:pPr>
        <w:spacing w:after="0" w:line="256" w:lineRule="auto"/>
        <w:rPr>
          <w:rFonts w:ascii="Verdana" w:eastAsia="Calibri" w:hAnsi="Verdana" w:cs="Times New Roman"/>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83FB0" w:rsidRPr="00B83FB0" w14:paraId="21175FDC" w14:textId="77777777" w:rsidTr="00896B2F">
        <w:trPr>
          <w:trHeight w:val="315"/>
        </w:trPr>
        <w:tc>
          <w:tcPr>
            <w:tcW w:w="893" w:type="dxa"/>
            <w:vAlign w:val="center"/>
            <w:hideMark/>
          </w:tcPr>
          <w:p w14:paraId="13AD0309" w14:textId="77777777" w:rsidR="00B83FB0" w:rsidRPr="00B83FB0" w:rsidRDefault="00B83FB0" w:rsidP="00B83FB0">
            <w:pPr>
              <w:contextualSpacing/>
              <w:rPr>
                <w:rFonts w:ascii="Verdana" w:eastAsia="Calibri" w:hAnsi="Verdana" w:cs="Arial"/>
                <w:sz w:val="16"/>
                <w:szCs w:val="16"/>
                <w:lang w:val="es-ES" w:eastAsia="es-ES"/>
              </w:rPr>
            </w:pPr>
            <w:r w:rsidRPr="00B83FB0">
              <w:rPr>
                <w:rFonts w:ascii="Verdana" w:eastAsia="Calibri" w:hAnsi="Verdana" w:cs="Arial"/>
                <w:sz w:val="16"/>
                <w:szCs w:val="16"/>
                <w:lang w:val="es-ES" w:eastAsia="es-ES"/>
              </w:rPr>
              <w:t>Elaboró:</w:t>
            </w:r>
          </w:p>
        </w:tc>
        <w:tc>
          <w:tcPr>
            <w:tcW w:w="5628" w:type="dxa"/>
            <w:tcBorders>
              <w:top w:val="nil"/>
              <w:left w:val="nil"/>
              <w:bottom w:val="dotted" w:sz="4" w:space="0" w:color="7F7F7F"/>
              <w:right w:val="nil"/>
            </w:tcBorders>
            <w:vAlign w:val="center"/>
            <w:hideMark/>
          </w:tcPr>
          <w:p w14:paraId="6F5A198D" w14:textId="77777777" w:rsidR="00B83FB0" w:rsidRPr="00B83FB0" w:rsidRDefault="00B83FB0" w:rsidP="00B83FB0">
            <w:pPr>
              <w:rPr>
                <w:rFonts w:ascii="Verdana" w:eastAsia="Times New Roman" w:hAnsi="Verdana" w:cs="Arial"/>
                <w:sz w:val="16"/>
                <w:szCs w:val="16"/>
                <w:lang w:eastAsia="es-ES"/>
              </w:rPr>
            </w:pPr>
            <w:r w:rsidRPr="00B83FB0">
              <w:rPr>
                <w:rFonts w:ascii="Verdana" w:eastAsia="Times New Roman" w:hAnsi="Verdana" w:cs="Arial"/>
                <w:sz w:val="16"/>
                <w:szCs w:val="16"/>
                <w:lang w:eastAsia="es-ES"/>
              </w:rPr>
              <w:t>Oscar David Morelo Pedrozo</w:t>
            </w:r>
          </w:p>
          <w:p w14:paraId="6E9339A5" w14:textId="77777777" w:rsidR="00B83FB0" w:rsidRPr="00B83FB0" w:rsidRDefault="00B83FB0" w:rsidP="00B83FB0">
            <w:pPr>
              <w:rPr>
                <w:rFonts w:ascii="Verdana" w:eastAsia="Times New Roman" w:hAnsi="Verdana" w:cs="Arial"/>
                <w:sz w:val="16"/>
                <w:szCs w:val="16"/>
                <w:lang w:eastAsia="es-ES"/>
              </w:rPr>
            </w:pPr>
            <w:r w:rsidRPr="00B83FB0">
              <w:rPr>
                <w:rFonts w:ascii="Verdana" w:eastAsia="Times New Roman" w:hAnsi="Verdana" w:cs="Arial"/>
                <w:sz w:val="16"/>
                <w:szCs w:val="16"/>
                <w:lang w:eastAsia="es-ES"/>
              </w:rPr>
              <w:t>Analista T2 –02 de la Subdirección de Gestión Contractual</w:t>
            </w:r>
          </w:p>
        </w:tc>
      </w:tr>
      <w:tr w:rsidR="00B83FB0" w:rsidRPr="00B83FB0" w14:paraId="3C6E9FD5" w14:textId="77777777" w:rsidTr="00896B2F">
        <w:trPr>
          <w:trHeight w:val="330"/>
        </w:trPr>
        <w:tc>
          <w:tcPr>
            <w:tcW w:w="893" w:type="dxa"/>
            <w:vAlign w:val="center"/>
            <w:hideMark/>
          </w:tcPr>
          <w:p w14:paraId="18C54A93" w14:textId="77777777" w:rsidR="00B83FB0" w:rsidRPr="00B83FB0" w:rsidRDefault="00B83FB0" w:rsidP="00B83FB0">
            <w:pPr>
              <w:contextualSpacing/>
              <w:rPr>
                <w:rFonts w:ascii="Verdana" w:eastAsia="Calibri" w:hAnsi="Verdana" w:cs="Arial"/>
                <w:color w:val="000000"/>
                <w:sz w:val="16"/>
                <w:szCs w:val="16"/>
                <w:lang w:val="es-ES" w:eastAsia="es-ES"/>
              </w:rPr>
            </w:pPr>
            <w:r w:rsidRPr="00B83FB0">
              <w:rPr>
                <w:rFonts w:ascii="Verdana" w:eastAsia="Calibri" w:hAnsi="Verdana" w:cs="Arial"/>
                <w:color w:val="000000"/>
                <w:sz w:val="16"/>
                <w:szCs w:val="16"/>
                <w:lang w:val="es-ES" w:eastAsia="es-ES"/>
              </w:rPr>
              <w:t>Revisó:</w:t>
            </w:r>
          </w:p>
        </w:tc>
        <w:tc>
          <w:tcPr>
            <w:tcW w:w="5628" w:type="dxa"/>
            <w:tcBorders>
              <w:top w:val="dotted" w:sz="4" w:space="0" w:color="7F7F7F"/>
              <w:left w:val="nil"/>
              <w:bottom w:val="dotted" w:sz="4" w:space="0" w:color="7F7F7F"/>
              <w:right w:val="nil"/>
            </w:tcBorders>
            <w:vAlign w:val="center"/>
            <w:hideMark/>
          </w:tcPr>
          <w:p w14:paraId="63CAA019" w14:textId="77777777" w:rsidR="00B83FB0" w:rsidRPr="00B83FB0" w:rsidRDefault="00B83FB0" w:rsidP="00B83FB0">
            <w:pPr>
              <w:contextualSpacing/>
              <w:textAlignment w:val="baseline"/>
              <w:rPr>
                <w:rFonts w:ascii="Verdana" w:eastAsia="Times New Roman" w:hAnsi="Verdana" w:cs="Segoe UI"/>
                <w:color w:val="000000"/>
                <w:sz w:val="16"/>
                <w:szCs w:val="16"/>
                <w:lang w:eastAsia="es-CO"/>
              </w:rPr>
            </w:pPr>
            <w:r w:rsidRPr="00B83FB0">
              <w:rPr>
                <w:rFonts w:ascii="Verdana" w:eastAsia="Times New Roman" w:hAnsi="Verdana" w:cs="Segoe UI"/>
                <w:color w:val="000000"/>
                <w:sz w:val="16"/>
                <w:szCs w:val="16"/>
                <w:lang w:eastAsia="es-CO"/>
              </w:rPr>
              <w:t xml:space="preserve">Adriana </w:t>
            </w:r>
            <w:proofErr w:type="spellStart"/>
            <w:r w:rsidRPr="00B83FB0">
              <w:rPr>
                <w:rFonts w:ascii="Verdana" w:eastAsia="Times New Roman" w:hAnsi="Verdana" w:cs="Segoe UI"/>
                <w:color w:val="000000"/>
                <w:sz w:val="16"/>
                <w:szCs w:val="16"/>
                <w:lang w:eastAsia="es-CO"/>
              </w:rPr>
              <w:t>Katerine</w:t>
            </w:r>
            <w:proofErr w:type="spellEnd"/>
            <w:r w:rsidRPr="00B83FB0">
              <w:rPr>
                <w:rFonts w:ascii="Verdana" w:eastAsia="Times New Roman" w:hAnsi="Verdana" w:cs="Segoe UI"/>
                <w:color w:val="000000"/>
                <w:sz w:val="16"/>
                <w:szCs w:val="16"/>
                <w:lang w:eastAsia="es-CO"/>
              </w:rPr>
              <w:t xml:space="preserve"> López </w:t>
            </w:r>
            <w:proofErr w:type="spellStart"/>
            <w:r w:rsidRPr="00B83FB0">
              <w:rPr>
                <w:rFonts w:ascii="Verdana" w:eastAsia="Times New Roman" w:hAnsi="Verdana" w:cs="Segoe UI"/>
                <w:color w:val="000000"/>
                <w:sz w:val="16"/>
                <w:szCs w:val="16"/>
                <w:lang w:eastAsia="es-CO"/>
              </w:rPr>
              <w:t>Rodriguez</w:t>
            </w:r>
            <w:proofErr w:type="spellEnd"/>
          </w:p>
          <w:p w14:paraId="6F6CCFD9" w14:textId="77777777" w:rsidR="00B83FB0" w:rsidRPr="00B83FB0" w:rsidRDefault="00B83FB0" w:rsidP="00B83FB0">
            <w:pPr>
              <w:contextualSpacing/>
              <w:textAlignment w:val="baseline"/>
              <w:rPr>
                <w:rFonts w:ascii="Verdana" w:eastAsia="Times New Roman" w:hAnsi="Verdana" w:cs="Segoe UI"/>
                <w:color w:val="000000"/>
                <w:sz w:val="16"/>
                <w:szCs w:val="16"/>
                <w:lang w:val="es-ES" w:eastAsia="es-CO"/>
              </w:rPr>
            </w:pPr>
            <w:r w:rsidRPr="00B83FB0">
              <w:rPr>
                <w:rFonts w:ascii="Verdana" w:eastAsia="Times New Roman" w:hAnsi="Verdana" w:cs="Arial"/>
                <w:color w:val="000000"/>
                <w:sz w:val="16"/>
                <w:szCs w:val="16"/>
                <w:lang w:val="es-ES" w:eastAsia="es-CO"/>
              </w:rPr>
              <w:t>Contratista de la Subdirección de Gestión Contractual</w:t>
            </w:r>
            <w:r w:rsidRPr="00B83FB0">
              <w:rPr>
                <w:rFonts w:ascii="Verdana" w:eastAsia="Times New Roman" w:hAnsi="Verdana" w:cs="Arial"/>
                <w:color w:val="000000"/>
                <w:sz w:val="16"/>
                <w:szCs w:val="16"/>
                <w:lang w:eastAsia="es-CO"/>
              </w:rPr>
              <w:t> </w:t>
            </w:r>
          </w:p>
        </w:tc>
      </w:tr>
      <w:tr w:rsidR="00B83FB0" w:rsidRPr="00B83FB0" w14:paraId="037A309B" w14:textId="77777777" w:rsidTr="00896B2F">
        <w:trPr>
          <w:trHeight w:val="300"/>
        </w:trPr>
        <w:tc>
          <w:tcPr>
            <w:tcW w:w="893" w:type="dxa"/>
            <w:vAlign w:val="center"/>
          </w:tcPr>
          <w:p w14:paraId="7AF68CB6" w14:textId="77777777" w:rsidR="00B83FB0" w:rsidRPr="00B83FB0" w:rsidRDefault="00B83FB0" w:rsidP="00B83FB0">
            <w:pPr>
              <w:contextualSpacing/>
              <w:rPr>
                <w:rFonts w:ascii="Verdana" w:eastAsia="Calibri" w:hAnsi="Verdana" w:cs="Arial"/>
                <w:sz w:val="16"/>
                <w:szCs w:val="16"/>
                <w:lang w:val="es-ES" w:eastAsia="es-ES"/>
              </w:rPr>
            </w:pPr>
            <w:r w:rsidRPr="00B83FB0">
              <w:rPr>
                <w:rFonts w:ascii="Verdana" w:eastAsia="Calibri" w:hAnsi="Verdana" w:cs="Arial"/>
                <w:sz w:val="16"/>
                <w:szCs w:val="16"/>
                <w:lang w:val="es-ES" w:eastAsia="es-ES"/>
              </w:rPr>
              <w:t>Aprobó:</w:t>
            </w:r>
          </w:p>
        </w:tc>
        <w:tc>
          <w:tcPr>
            <w:tcW w:w="5628" w:type="dxa"/>
            <w:tcBorders>
              <w:top w:val="dotted" w:sz="4" w:space="0" w:color="7F7F7F"/>
              <w:left w:val="nil"/>
              <w:bottom w:val="dotted" w:sz="4" w:space="0" w:color="7F7F7F"/>
              <w:right w:val="nil"/>
            </w:tcBorders>
            <w:vAlign w:val="center"/>
          </w:tcPr>
          <w:p w14:paraId="5F811641" w14:textId="77777777" w:rsidR="00B83FB0" w:rsidRPr="00B83FB0" w:rsidRDefault="00B83FB0" w:rsidP="00B83FB0">
            <w:pPr>
              <w:contextualSpacing/>
              <w:rPr>
                <w:rFonts w:ascii="Verdana" w:eastAsia="Calibri" w:hAnsi="Verdana" w:cs="Arial"/>
                <w:sz w:val="16"/>
                <w:szCs w:val="16"/>
                <w:lang w:val="es-ES" w:eastAsia="es-ES"/>
              </w:rPr>
            </w:pPr>
            <w:r w:rsidRPr="00B83FB0">
              <w:rPr>
                <w:rFonts w:ascii="Verdana" w:eastAsia="Calibri" w:hAnsi="Verdana" w:cs="Arial"/>
                <w:sz w:val="16"/>
                <w:szCs w:val="16"/>
                <w:lang w:val="es-ES" w:eastAsia="es-ES"/>
              </w:rPr>
              <w:t>Carolina Quintero Gacharná</w:t>
            </w:r>
          </w:p>
          <w:p w14:paraId="763FAA6E" w14:textId="77777777" w:rsidR="00B83FB0" w:rsidRPr="00B83FB0" w:rsidRDefault="00B83FB0" w:rsidP="00B83FB0">
            <w:pPr>
              <w:contextualSpacing/>
              <w:rPr>
                <w:rFonts w:ascii="Verdana" w:eastAsia="Calibri" w:hAnsi="Verdana" w:cs="Arial"/>
                <w:sz w:val="16"/>
                <w:szCs w:val="16"/>
                <w:lang w:val="es-ES" w:eastAsia="es-ES"/>
              </w:rPr>
            </w:pPr>
            <w:r w:rsidRPr="00B83FB0">
              <w:rPr>
                <w:rFonts w:ascii="Verdana" w:eastAsia="Calibri" w:hAnsi="Verdana" w:cs="Arial"/>
                <w:sz w:val="16"/>
                <w:szCs w:val="16"/>
                <w:lang w:val="es-ES" w:eastAsia="es-ES"/>
              </w:rPr>
              <w:t>Subdirectora de Gestión Contractual ANCP – CCE</w:t>
            </w:r>
          </w:p>
        </w:tc>
      </w:tr>
    </w:tbl>
    <w:p w14:paraId="01A75A7E" w14:textId="77777777" w:rsidR="00B83FB0" w:rsidRPr="00B83FB0" w:rsidRDefault="00B83FB0" w:rsidP="00B83FB0">
      <w:pPr>
        <w:spacing w:after="0" w:line="256" w:lineRule="auto"/>
        <w:jc w:val="center"/>
        <w:rPr>
          <w:rFonts w:ascii="Verdana" w:eastAsia="Calibri" w:hAnsi="Verdana" w:cs="Times New Roman"/>
          <w:lang w:val="es-ES"/>
        </w:rPr>
      </w:pPr>
    </w:p>
    <w:p w14:paraId="0C473F63" w14:textId="648DF7CD" w:rsidR="00B83FB0" w:rsidRPr="00B83FB0" w:rsidRDefault="00B83FB0" w:rsidP="00B83FB0">
      <w:pPr>
        <w:spacing w:after="0"/>
        <w:rPr>
          <w:rFonts w:ascii="Verdana" w:eastAsia="Verdana" w:hAnsi="Verdana" w:cs="Verdana"/>
          <w:lang w:val="es-ES"/>
        </w:rPr>
      </w:pPr>
    </w:p>
    <w:p w14:paraId="24576181" w14:textId="77777777" w:rsidR="00B83FB0" w:rsidRPr="00B83FB0" w:rsidRDefault="00B83FB0" w:rsidP="00B83FB0">
      <w:pPr>
        <w:spacing w:after="0" w:line="240" w:lineRule="auto"/>
        <w:rPr>
          <w:rFonts w:ascii="Verdana" w:eastAsia="Aptos" w:hAnsi="Verdana" w:cs="Arial"/>
          <w:lang w:val="es-ES" w:eastAsia="es-CO"/>
        </w:rPr>
      </w:pPr>
    </w:p>
    <w:p w14:paraId="47445B1B" w14:textId="77777777" w:rsidR="00B83FB0" w:rsidRPr="00B83FB0" w:rsidRDefault="00B83FB0" w:rsidP="00B83FB0">
      <w:pPr>
        <w:spacing w:after="0" w:line="240" w:lineRule="auto"/>
        <w:rPr>
          <w:rFonts w:ascii="Verdana" w:eastAsia="Aptos" w:hAnsi="Verdana" w:cs="Arial"/>
          <w:lang w:eastAsia="es-CO"/>
        </w:rPr>
      </w:pPr>
    </w:p>
    <w:p w14:paraId="2467F6B6" w14:textId="77777777" w:rsidR="00B83FB0" w:rsidRPr="00B83FB0" w:rsidRDefault="00B83FB0" w:rsidP="00B83FB0">
      <w:pPr>
        <w:spacing w:after="0" w:line="240" w:lineRule="auto"/>
        <w:rPr>
          <w:rFonts w:ascii="Verdana" w:eastAsia="Aptos" w:hAnsi="Verdana" w:cs="Arial"/>
          <w:lang w:eastAsia="es-CO"/>
        </w:rPr>
      </w:pPr>
    </w:p>
    <w:bookmarkEnd w:id="0"/>
    <w:p w14:paraId="1468C46D" w14:textId="43706275" w:rsidR="00C15139" w:rsidRPr="0024624F" w:rsidRDefault="00C15139" w:rsidP="30821638">
      <w:pPr>
        <w:spacing w:after="0"/>
        <w:rPr>
          <w:rFonts w:ascii="Verdana" w:eastAsia="Verdana" w:hAnsi="Verdana" w:cs="Verdana"/>
        </w:rPr>
      </w:pPr>
    </w:p>
    <w:sectPr w:rsidR="00C15139" w:rsidRPr="0024624F"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0EB18" w14:textId="77777777" w:rsidR="00EA5FD3" w:rsidRDefault="00EA5FD3" w:rsidP="004A1847">
      <w:pPr>
        <w:spacing w:after="0" w:line="240" w:lineRule="auto"/>
      </w:pPr>
      <w:r>
        <w:separator/>
      </w:r>
    </w:p>
  </w:endnote>
  <w:endnote w:type="continuationSeparator" w:id="0">
    <w:p w14:paraId="7D35160B" w14:textId="77777777" w:rsidR="00EA5FD3" w:rsidRDefault="00EA5FD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260F3" w14:textId="77777777" w:rsidR="00EA5FD3" w:rsidRDefault="00EA5FD3" w:rsidP="004A1847">
      <w:pPr>
        <w:spacing w:after="0" w:line="240" w:lineRule="auto"/>
      </w:pPr>
      <w:r>
        <w:separator/>
      </w:r>
    </w:p>
  </w:footnote>
  <w:footnote w:type="continuationSeparator" w:id="0">
    <w:p w14:paraId="4EC70A81" w14:textId="77777777" w:rsidR="00EA5FD3" w:rsidRDefault="00EA5FD3" w:rsidP="004A1847">
      <w:pPr>
        <w:spacing w:after="0" w:line="240" w:lineRule="auto"/>
      </w:pPr>
      <w:r>
        <w:continuationSeparator/>
      </w:r>
    </w:p>
  </w:footnote>
  <w:footnote w:id="1">
    <w:p w14:paraId="7381333B" w14:textId="77777777" w:rsidR="00B83FB0" w:rsidRPr="00F50E68" w:rsidRDefault="00B83FB0" w:rsidP="00B83FB0">
      <w:pPr>
        <w:pStyle w:val="Textonotapie"/>
        <w:ind w:firstLine="708"/>
        <w:jc w:val="both"/>
        <w:rPr>
          <w:rFonts w:ascii="Verdana" w:hAnsi="Verdana"/>
          <w:sz w:val="18"/>
          <w:szCs w:val="18"/>
        </w:rPr>
      </w:pPr>
      <w:r w:rsidRPr="00F50E68">
        <w:rPr>
          <w:rStyle w:val="Refdenotaalpie"/>
          <w:rFonts w:ascii="Verdana" w:hAnsi="Verdana"/>
          <w:sz w:val="18"/>
          <w:szCs w:val="18"/>
        </w:rPr>
        <w:footnoteRef/>
      </w:r>
      <w:r w:rsidRPr="00F50E68">
        <w:rPr>
          <w:rFonts w:ascii="Verdana" w:hAnsi="Verdana"/>
          <w:sz w:val="18"/>
          <w:szCs w:val="18"/>
        </w:rPr>
        <w:t>Disponible en este enlace:</w:t>
      </w:r>
    </w:p>
    <w:p w14:paraId="3E9751D3" w14:textId="77777777" w:rsidR="00B83FB0" w:rsidRPr="00F50E68" w:rsidRDefault="00B83FB0" w:rsidP="00B83FB0">
      <w:pPr>
        <w:pStyle w:val="Textonotapie"/>
        <w:ind w:firstLine="708"/>
        <w:jc w:val="both"/>
        <w:rPr>
          <w:rFonts w:ascii="Verdana" w:hAnsi="Verdana"/>
          <w:sz w:val="18"/>
          <w:szCs w:val="18"/>
          <w:lang w:val="es-CO"/>
        </w:rPr>
      </w:pPr>
      <w:hyperlink r:id="rId1" w:history="1">
        <w:r w:rsidRPr="00F50E68">
          <w:rPr>
            <w:rStyle w:val="Hipervnculo"/>
            <w:rFonts w:ascii="Verdana" w:hAnsi="Verdana"/>
            <w:sz w:val="18"/>
            <w:szCs w:val="18"/>
          </w:rPr>
          <w:t>https://www.colombiacompra.gov.co/sites/cce_public/files/cce_documents/guia_para_elaborar_el_plan_anual_de_adquisiciones_0.pdf</w:t>
        </w:r>
      </w:hyperlink>
      <w:r w:rsidRPr="00F50E68">
        <w:rPr>
          <w:rFonts w:ascii="Verdana" w:hAnsi="Verdana"/>
          <w:sz w:val="18"/>
          <w:szCs w:val="18"/>
        </w:rPr>
        <w:t xml:space="preserve"> </w:t>
      </w:r>
    </w:p>
  </w:footnote>
  <w:footnote w:id="2">
    <w:p w14:paraId="4E2ADB00" w14:textId="77777777" w:rsidR="00B83FB0" w:rsidRPr="00F50E68" w:rsidRDefault="00B83FB0" w:rsidP="00B83FB0">
      <w:pPr>
        <w:pStyle w:val="Textonotapie"/>
        <w:ind w:firstLine="708"/>
        <w:jc w:val="both"/>
        <w:rPr>
          <w:rFonts w:ascii="Verdana" w:hAnsi="Verdana" w:cs="Arial"/>
          <w:sz w:val="18"/>
          <w:szCs w:val="18"/>
          <w:lang w:val="es-CO"/>
        </w:rPr>
      </w:pPr>
      <w:r w:rsidRPr="00F50E68">
        <w:rPr>
          <w:rStyle w:val="Refdenotaalpie"/>
          <w:rFonts w:ascii="Verdana" w:hAnsi="Verdana" w:cs="Arial"/>
          <w:sz w:val="18"/>
          <w:szCs w:val="18"/>
        </w:rPr>
        <w:footnoteRef/>
      </w:r>
      <w:r w:rsidRPr="00F50E68">
        <w:rPr>
          <w:rFonts w:ascii="Verdana" w:eastAsia="Calibri" w:hAnsi="Verdana" w:cs="Arial"/>
          <w:sz w:val="18"/>
          <w:szCs w:val="18"/>
        </w:rPr>
        <w:t xml:space="preserve"> Agencia Nacional de Contratación Pública </w:t>
      </w:r>
      <w:r w:rsidRPr="00F50E68">
        <w:rPr>
          <w:rFonts w:ascii="Verdana" w:eastAsia="Calibri" w:hAnsi="Verdana" w:cs="Arial"/>
          <w:bCs/>
          <w:sz w:val="18"/>
          <w:szCs w:val="18"/>
        </w:rPr>
        <w:t xml:space="preserve">– </w:t>
      </w:r>
      <w:r w:rsidRPr="00F50E68">
        <w:rPr>
          <w:rFonts w:ascii="Verdana" w:eastAsia="Calibri" w:hAnsi="Verdana" w:cs="Arial"/>
          <w:sz w:val="18"/>
          <w:szCs w:val="18"/>
        </w:rPr>
        <w:t>Colombia Compra Eficiente</w:t>
      </w:r>
      <w:r w:rsidRPr="00F50E68">
        <w:rPr>
          <w:rFonts w:ascii="Verdana" w:hAnsi="Verdana" w:cs="Arial"/>
          <w:sz w:val="18"/>
          <w:szCs w:val="18"/>
          <w:lang w:val="es-CO"/>
        </w:rPr>
        <w:t xml:space="preserve"> Guía para elaborar el Plan Anual de Adquisiciones. Página 4. </w:t>
      </w:r>
    </w:p>
  </w:footnote>
  <w:footnote w:id="3">
    <w:p w14:paraId="5D20768D" w14:textId="77777777" w:rsidR="00B83FB0" w:rsidRPr="00F50E68" w:rsidRDefault="00B83FB0" w:rsidP="00B83FB0">
      <w:pPr>
        <w:pStyle w:val="Textonotapie"/>
        <w:ind w:firstLine="708"/>
        <w:jc w:val="both"/>
        <w:rPr>
          <w:rFonts w:ascii="Verdana" w:hAnsi="Verdana" w:cs="Arial"/>
          <w:sz w:val="18"/>
          <w:szCs w:val="18"/>
        </w:rPr>
      </w:pPr>
    </w:p>
    <w:p w14:paraId="4170DA1C" w14:textId="77777777" w:rsidR="00B83FB0" w:rsidRPr="00F50E68" w:rsidRDefault="00B83FB0" w:rsidP="00B83FB0">
      <w:pPr>
        <w:pStyle w:val="Textonotapie"/>
        <w:ind w:firstLine="708"/>
        <w:jc w:val="both"/>
        <w:rPr>
          <w:rFonts w:ascii="Verdana" w:hAnsi="Verdana" w:cs="Arial"/>
          <w:sz w:val="18"/>
          <w:szCs w:val="18"/>
          <w:lang w:val="es-ES"/>
        </w:rPr>
      </w:pPr>
      <w:r w:rsidRPr="00F50E68">
        <w:rPr>
          <w:rStyle w:val="Refdenotaalpie"/>
          <w:rFonts w:ascii="Verdana" w:hAnsi="Verdana" w:cs="Arial"/>
          <w:sz w:val="18"/>
          <w:szCs w:val="18"/>
        </w:rPr>
        <w:footnoteRef/>
      </w:r>
      <w:r w:rsidRPr="00F50E68">
        <w:rPr>
          <w:rFonts w:ascii="Verdana" w:hAnsi="Verdana" w:cs="Arial"/>
          <w:sz w:val="18"/>
          <w:szCs w:val="18"/>
        </w:rPr>
        <w:t xml:space="preserve"> El artículo 74 de la Ley 1474 prescribe: “</w:t>
      </w:r>
      <w:r w:rsidRPr="00F50E68">
        <w:rPr>
          <w:rFonts w:ascii="Verdana" w:hAnsi="Verdana" w:cs="Arial"/>
          <w:sz w:val="18"/>
          <w:szCs w:val="18"/>
          <w:lang w:val="es-ES"/>
        </w:rPr>
        <w:t>A partir de la vigencia de la presente ley, todas las entidades del Estado a más tardar el 31 de enero de cada año deberán publicar en su respectiva página web el Plan de Acción para el año siguiente, en el cual se especificarán los objetivos, las estrategias, los proyectos, las metas, los responsables, los planes generales de compras y la distribución presupuestal de sus proyectos de inversión junto a los indicadores de gestión.</w:t>
      </w:r>
    </w:p>
    <w:p w14:paraId="216C4AAD" w14:textId="77777777" w:rsidR="00B83FB0" w:rsidRPr="00F50E68" w:rsidRDefault="00B83FB0" w:rsidP="00B83FB0">
      <w:pPr>
        <w:pStyle w:val="Textonotapie"/>
        <w:ind w:firstLine="708"/>
        <w:jc w:val="both"/>
        <w:rPr>
          <w:rFonts w:ascii="Verdana" w:hAnsi="Verdana" w:cs="Arial"/>
          <w:sz w:val="18"/>
          <w:szCs w:val="18"/>
          <w:lang w:val="es-ES"/>
        </w:rPr>
      </w:pPr>
      <w:r w:rsidRPr="00F50E68">
        <w:rPr>
          <w:rFonts w:ascii="Verdana" w:hAnsi="Verdana" w:cs="Arial"/>
          <w:sz w:val="18"/>
          <w:szCs w:val="18"/>
          <w:lang w:val="es-ES"/>
        </w:rPr>
        <w:t>A partir del año siguiente, el Plan de Acción deberá estar acompañado del informe de gestión del año inmediatamente anterior.</w:t>
      </w:r>
    </w:p>
    <w:p w14:paraId="527994E8" w14:textId="77777777" w:rsidR="00B83FB0" w:rsidRPr="00F50E68" w:rsidRDefault="00B83FB0" w:rsidP="00B83FB0">
      <w:pPr>
        <w:pStyle w:val="Textonotapie"/>
        <w:ind w:firstLine="708"/>
        <w:jc w:val="both"/>
        <w:rPr>
          <w:rFonts w:ascii="Verdana" w:hAnsi="Verdana" w:cs="Arial"/>
          <w:sz w:val="18"/>
          <w:szCs w:val="18"/>
          <w:lang w:val="es-ES"/>
        </w:rPr>
      </w:pPr>
      <w:r w:rsidRPr="00F50E68">
        <w:rPr>
          <w:rFonts w:ascii="Verdana" w:hAnsi="Verdana" w:cs="Arial"/>
          <w:sz w:val="18"/>
          <w:szCs w:val="18"/>
          <w:lang w:val="es-ES"/>
        </w:rPr>
        <w:t>Igualmente publicarán por dicho medio su presupuesto debidamente desagregado, así como las modificaciones a este o a su desagregación.</w:t>
      </w:r>
      <w:r w:rsidRPr="00F50E68">
        <w:rPr>
          <w:rFonts w:ascii="Verdana" w:hAnsi="Verdana" w:cs="Arial"/>
          <w:sz w:val="18"/>
          <w:szCs w:val="18"/>
          <w:lang w:val="es-ES"/>
        </w:rPr>
        <w:tab/>
      </w:r>
    </w:p>
    <w:p w14:paraId="1D525BC1" w14:textId="77777777" w:rsidR="00B83FB0" w:rsidRPr="00F50E68" w:rsidRDefault="00B83FB0" w:rsidP="00B83FB0">
      <w:pPr>
        <w:pStyle w:val="Textonotapie"/>
        <w:ind w:firstLine="708"/>
        <w:jc w:val="both"/>
        <w:rPr>
          <w:rFonts w:ascii="Verdana" w:hAnsi="Verdana" w:cs="Arial"/>
          <w:sz w:val="18"/>
          <w:szCs w:val="18"/>
          <w:lang w:val="es-ES"/>
        </w:rPr>
      </w:pPr>
      <w:r w:rsidRPr="00F50E68">
        <w:rPr>
          <w:rFonts w:ascii="Verdana" w:hAnsi="Verdana" w:cs="Arial"/>
          <w:sz w:val="18"/>
          <w:szCs w:val="18"/>
          <w:lang w:val="es-ES"/>
        </w:rPr>
        <w:t>Parágrafo. Las empresas industriales y comerciales del Estado y las Sociedades de Economía Mixta estarán exentas de publicar la información relacionada con sus proyectos de inversión”.</w:t>
      </w:r>
    </w:p>
    <w:p w14:paraId="7B96BBEC" w14:textId="77777777" w:rsidR="00B83FB0" w:rsidRPr="00F50E68" w:rsidRDefault="00B83FB0" w:rsidP="00B83FB0">
      <w:pPr>
        <w:pStyle w:val="Textonotapie"/>
        <w:ind w:firstLine="708"/>
        <w:jc w:val="both"/>
        <w:rPr>
          <w:rFonts w:ascii="Verdana" w:hAnsi="Verdana" w:cs="Arial"/>
          <w:sz w:val="18"/>
          <w:szCs w:val="18"/>
          <w:lang w:val="es-ES"/>
        </w:rPr>
      </w:pPr>
      <w:r w:rsidRPr="00F50E68">
        <w:rPr>
          <w:rFonts w:ascii="Verdana" w:hAnsi="Verdana" w:cs="Arial"/>
          <w:sz w:val="18"/>
          <w:szCs w:val="18"/>
          <w:lang w:val="es-ES"/>
        </w:rPr>
        <w:t xml:space="preserve"> </w:t>
      </w:r>
    </w:p>
  </w:footnote>
  <w:footnote w:id="4">
    <w:p w14:paraId="60B45181" w14:textId="77777777" w:rsidR="00B83FB0" w:rsidRPr="00F50E68" w:rsidRDefault="00B83FB0" w:rsidP="00B83FB0">
      <w:pPr>
        <w:pStyle w:val="Textonotapie"/>
        <w:ind w:firstLine="709"/>
        <w:jc w:val="both"/>
        <w:rPr>
          <w:rFonts w:ascii="Verdana" w:hAnsi="Verdana" w:cs="Arial"/>
          <w:color w:val="000000"/>
          <w:sz w:val="18"/>
          <w:szCs w:val="18"/>
          <w:shd w:val="clear" w:color="auto" w:fill="FFFFFF"/>
        </w:rPr>
      </w:pPr>
      <w:r w:rsidRPr="00F50E68">
        <w:rPr>
          <w:rStyle w:val="Refdenotaalpie"/>
          <w:rFonts w:ascii="Verdana" w:hAnsi="Verdana" w:cs="Arial"/>
          <w:color w:val="000000"/>
          <w:sz w:val="18"/>
          <w:szCs w:val="18"/>
        </w:rPr>
        <w:footnoteRef/>
      </w:r>
      <w:r w:rsidRPr="00F50E68">
        <w:rPr>
          <w:rFonts w:ascii="Verdana" w:hAnsi="Verdana" w:cs="Arial"/>
          <w:color w:val="000000"/>
          <w:sz w:val="18"/>
          <w:szCs w:val="18"/>
        </w:rPr>
        <w:t xml:space="preserve"> “</w:t>
      </w:r>
      <w:r w:rsidRPr="00F50E68">
        <w:rPr>
          <w:rStyle w:val="Fuerte"/>
          <w:rFonts w:ascii="Verdana" w:hAnsi="Verdana" w:cs="Arial"/>
          <w:color w:val="000000"/>
          <w:sz w:val="18"/>
          <w:szCs w:val="18"/>
          <w:shd w:val="clear" w:color="auto" w:fill="FFFFFF"/>
        </w:rPr>
        <w:t>Artículo 2.2.1.1.1.3.1. </w:t>
      </w:r>
      <w:r w:rsidRPr="00F50E68">
        <w:rPr>
          <w:rStyle w:val="nfasis"/>
          <w:rFonts w:ascii="Verdana" w:hAnsi="Verdana" w:cs="Arial"/>
          <w:color w:val="000000"/>
          <w:sz w:val="18"/>
          <w:szCs w:val="18"/>
          <w:shd w:val="clear" w:color="auto" w:fill="FFFFFF"/>
        </w:rPr>
        <w:t>Definiciones. </w:t>
      </w:r>
      <w:r w:rsidRPr="00F50E68">
        <w:rPr>
          <w:rFonts w:ascii="Verdana" w:hAnsi="Verdana" w:cs="Arial"/>
          <w:color w:val="000000"/>
          <w:sz w:val="18"/>
          <w:szCs w:val="18"/>
          <w:shd w:val="clear" w:color="auto" w:fill="FFFFFF"/>
        </w:rPr>
        <w:t>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w:t>
      </w:r>
    </w:p>
    <w:p w14:paraId="00A7BCFA" w14:textId="77777777" w:rsidR="00B83FB0" w:rsidRPr="00F50E68" w:rsidRDefault="00B83FB0" w:rsidP="00B83FB0">
      <w:pPr>
        <w:pStyle w:val="Textonotapie"/>
        <w:ind w:firstLine="709"/>
        <w:jc w:val="both"/>
        <w:rPr>
          <w:rFonts w:ascii="Verdana" w:hAnsi="Verdana" w:cs="Arial"/>
          <w:color w:val="000000"/>
          <w:sz w:val="18"/>
          <w:szCs w:val="18"/>
          <w:shd w:val="clear" w:color="auto" w:fill="FFFFFF"/>
        </w:rPr>
      </w:pPr>
      <w:r w:rsidRPr="00F50E68">
        <w:rPr>
          <w:rFonts w:ascii="Verdana" w:hAnsi="Verdana" w:cs="Arial"/>
          <w:color w:val="000000"/>
          <w:sz w:val="18"/>
          <w:szCs w:val="18"/>
          <w:shd w:val="clear" w:color="auto" w:fill="FFFFFF"/>
        </w:rPr>
        <w:t>[…]</w:t>
      </w:r>
    </w:p>
    <w:p w14:paraId="3E0960A4" w14:textId="77777777" w:rsidR="00B83FB0" w:rsidRPr="00F50E68" w:rsidRDefault="00B83FB0" w:rsidP="00B83FB0">
      <w:pPr>
        <w:pStyle w:val="Textonotapie"/>
        <w:ind w:firstLine="709"/>
        <w:jc w:val="both"/>
        <w:rPr>
          <w:rFonts w:ascii="Verdana" w:hAnsi="Verdana" w:cs="Arial"/>
          <w:color w:val="000000"/>
          <w:sz w:val="18"/>
          <w:szCs w:val="18"/>
        </w:rPr>
      </w:pPr>
      <w:r w:rsidRPr="00F50E68">
        <w:rPr>
          <w:rStyle w:val="nfasis"/>
          <w:rFonts w:ascii="Verdana" w:hAnsi="Verdana" w:cs="Arial"/>
          <w:color w:val="000000"/>
          <w:sz w:val="18"/>
          <w:szCs w:val="18"/>
        </w:rPr>
        <w:t>Plan Anual de Adquisiciones: </w:t>
      </w:r>
      <w:r w:rsidRPr="00F50E68">
        <w:rPr>
          <w:rFonts w:ascii="Verdana" w:hAnsi="Verdana" w:cs="Arial"/>
          <w:color w:val="000000"/>
          <w:sz w:val="18"/>
          <w:szCs w:val="18"/>
        </w:rPr>
        <w:t>Plan general de compras al que se refiere el </w:t>
      </w:r>
      <w:hyperlink r:id="rId2" w:history="1">
        <w:r w:rsidRPr="00F50E68">
          <w:rPr>
            <w:rStyle w:val="Hipervnculo1"/>
            <w:rFonts w:ascii="Verdana" w:hAnsi="Verdana" w:cs="Arial"/>
            <w:color w:val="000000"/>
            <w:sz w:val="18"/>
            <w:szCs w:val="18"/>
          </w:rPr>
          <w:t>artículo 74 de la Ley 1474 de 2011</w:t>
        </w:r>
      </w:hyperlink>
      <w:r w:rsidRPr="00F50E68">
        <w:rPr>
          <w:rFonts w:ascii="Verdana" w:hAnsi="Verdana" w:cs="Arial"/>
          <w:color w:val="000000"/>
          <w:sz w:val="18"/>
          <w:szCs w:val="18"/>
        </w:rPr>
        <w:t> y el plan de compras al que se refiere la Ley Anual de Presupuesto. Es un instrumento de planeación contractual que las Entidades Estatales deben diligenciar, publicar y actualizar en los términos del presente título”.</w:t>
      </w:r>
    </w:p>
  </w:footnote>
  <w:footnote w:id="5">
    <w:p w14:paraId="08CD58A9" w14:textId="77777777" w:rsidR="00B83FB0" w:rsidRPr="00F50E68" w:rsidRDefault="00B83FB0" w:rsidP="00B83FB0">
      <w:pPr>
        <w:pStyle w:val="Textonotapie"/>
        <w:ind w:firstLine="708"/>
        <w:jc w:val="both"/>
        <w:rPr>
          <w:rFonts w:ascii="Verdana" w:hAnsi="Verdana" w:cs="Arial"/>
          <w:sz w:val="18"/>
          <w:szCs w:val="18"/>
        </w:rPr>
      </w:pPr>
      <w:r w:rsidRPr="00F50E68">
        <w:rPr>
          <w:rStyle w:val="Refdenotaalpie"/>
          <w:rFonts w:ascii="Verdana" w:hAnsi="Verdana" w:cs="Arial"/>
          <w:sz w:val="18"/>
          <w:szCs w:val="18"/>
        </w:rPr>
        <w:footnoteRef/>
      </w:r>
      <w:r w:rsidRPr="00F50E68">
        <w:rPr>
          <w:rFonts w:ascii="Verdana" w:hAnsi="Verdana" w:cs="Arial"/>
          <w:sz w:val="18"/>
          <w:szCs w:val="18"/>
        </w:rPr>
        <w:t xml:space="preserve"> Decreto 1082 de 2015: “Artículo 2.2.1.1.1.4.3. Publicación del Plan Anual de Adquisiciones.</w:t>
      </w:r>
      <w:r w:rsidRPr="00F50E68">
        <w:rPr>
          <w:rFonts w:ascii="Verdana" w:hAnsi="Verdana" w:cs="Arial"/>
          <w:i/>
          <w:sz w:val="18"/>
          <w:szCs w:val="18"/>
        </w:rPr>
        <w:t> </w:t>
      </w:r>
      <w:r w:rsidRPr="00F50E68">
        <w:rPr>
          <w:rFonts w:ascii="Verdana" w:hAnsi="Verdana" w:cs="Arial"/>
          <w:sz w:val="18"/>
          <w:szCs w:val="18"/>
        </w:rPr>
        <w:t>La Entidad Estatal debe publicar su Plan Anual de Adquisiciones y las actualizaciones del mismo en su página web y en el SECOP, en la forma que para el efecto disponga Colombia Compra Eficiente”.</w:t>
      </w:r>
    </w:p>
    <w:p w14:paraId="48CF0B9C" w14:textId="77777777" w:rsidR="00B83FB0" w:rsidRPr="00F50E68" w:rsidRDefault="00B83FB0" w:rsidP="00B83FB0">
      <w:pPr>
        <w:pStyle w:val="Textonotapie"/>
        <w:ind w:firstLine="708"/>
        <w:jc w:val="both"/>
        <w:rPr>
          <w:rFonts w:ascii="Verdana" w:hAnsi="Verdana" w:cs="Arial"/>
          <w:sz w:val="18"/>
          <w:szCs w:val="18"/>
        </w:rPr>
      </w:pPr>
    </w:p>
  </w:footnote>
  <w:footnote w:id="6">
    <w:p w14:paraId="49FD2CB3" w14:textId="77777777" w:rsidR="00B83FB0" w:rsidRPr="00F50E68" w:rsidRDefault="00B83FB0" w:rsidP="00B83FB0">
      <w:pPr>
        <w:pStyle w:val="Textonotapie"/>
        <w:ind w:firstLine="708"/>
        <w:jc w:val="both"/>
        <w:rPr>
          <w:rFonts w:ascii="Verdana" w:hAnsi="Verdana" w:cs="Arial"/>
          <w:sz w:val="18"/>
          <w:szCs w:val="18"/>
        </w:rPr>
      </w:pPr>
      <w:r w:rsidRPr="00F50E68">
        <w:rPr>
          <w:rStyle w:val="Refdenotaalpie"/>
          <w:rFonts w:ascii="Verdana" w:hAnsi="Verdana" w:cs="Arial"/>
          <w:sz w:val="18"/>
          <w:szCs w:val="18"/>
        </w:rPr>
        <w:footnoteRef/>
      </w:r>
      <w:r w:rsidRPr="00F50E68">
        <w:rPr>
          <w:rFonts w:ascii="Verdana" w:hAnsi="Verdana" w:cs="Arial"/>
          <w:sz w:val="18"/>
          <w:szCs w:val="18"/>
        </w:rPr>
        <w:t xml:space="preserve"> Decreto 1082 de 2015, modificado por artículo 2 del Decreto 142 de 2023: “Artículo 2.2.1.1.1.4.1. Plan Anual de Adquisiciones. Las entidades estatales deben elaborar un Plan Anual de Adquisiciones, el cual debe contener la lista de bienes, obras y servicios que pretenden adquirir durante el año. En el Plan Anual de Adquisiciones, la Entidad Estatal debe señalar  como mínimo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w:t>
      </w:r>
    </w:p>
    <w:p w14:paraId="10A89E61" w14:textId="77777777" w:rsidR="00B83FB0" w:rsidRPr="00F50E68" w:rsidRDefault="00B83FB0" w:rsidP="00B83FB0">
      <w:pPr>
        <w:pStyle w:val="Textonotapie"/>
        <w:ind w:firstLine="708"/>
        <w:jc w:val="both"/>
        <w:rPr>
          <w:rFonts w:ascii="Verdana" w:hAnsi="Verdana" w:cs="Arial"/>
          <w:sz w:val="18"/>
          <w:szCs w:val="18"/>
        </w:rPr>
      </w:pPr>
      <w:r w:rsidRPr="00F50E68">
        <w:rPr>
          <w:rFonts w:ascii="Verdana" w:hAnsi="Verdana" w:cs="Arial"/>
          <w:sz w:val="18"/>
          <w:szCs w:val="18"/>
        </w:rPr>
        <w:t>Las entidades estatales deberán planear su contratación de manera que se promueva la división de Procesos de Contratación en lotes o segmentos en los que se facilite la participación de las Mipymes.</w:t>
      </w:r>
    </w:p>
    <w:p w14:paraId="2FD0B06D" w14:textId="77777777" w:rsidR="00B83FB0" w:rsidRPr="00F50E68" w:rsidRDefault="00B83FB0" w:rsidP="00B83FB0">
      <w:pPr>
        <w:pStyle w:val="Textonotapie"/>
        <w:ind w:firstLine="708"/>
        <w:jc w:val="both"/>
        <w:rPr>
          <w:rFonts w:ascii="Verdana" w:hAnsi="Verdana" w:cs="Arial"/>
          <w:sz w:val="18"/>
          <w:szCs w:val="18"/>
        </w:rPr>
      </w:pPr>
      <w:r w:rsidRPr="00F50E68">
        <w:rPr>
          <w:rFonts w:ascii="Verdana" w:hAnsi="Verdana" w:cs="Arial"/>
          <w:sz w:val="18"/>
          <w:szCs w:val="18"/>
        </w:rPr>
        <w:t xml:space="preserve">Dentro de estas Mipymes se encuentran entre otras, las cooperativas de acuerdo con los requisitos del artículo 23 de la Ley 2069 de 2020 o las que se constituyan como entidades de economía solidaria de acuerdo con los requisitos del artículo 6 de la Ley 454 de 1998 o la norma que las modifique o sustituya. </w:t>
      </w:r>
    </w:p>
    <w:p w14:paraId="740D207C" w14:textId="77777777" w:rsidR="00B83FB0" w:rsidRPr="00F50E68" w:rsidRDefault="00B83FB0" w:rsidP="00B83FB0">
      <w:pPr>
        <w:pStyle w:val="Textonotapie"/>
        <w:ind w:firstLine="708"/>
        <w:jc w:val="both"/>
        <w:rPr>
          <w:rFonts w:ascii="Verdana" w:hAnsi="Verdana" w:cs="Arial"/>
          <w:sz w:val="18"/>
          <w:szCs w:val="18"/>
        </w:rPr>
      </w:pPr>
      <w:r w:rsidRPr="00F50E68">
        <w:rPr>
          <w:rFonts w:ascii="Verdana" w:hAnsi="Verdana" w:cs="Arial"/>
          <w:sz w:val="18"/>
          <w:szCs w:val="18"/>
        </w:rPr>
        <w:t>Las asociaciones conformadas por sujetos de especial protección constitucional, asociaciones de pequeños productores locales y productores locales agropecuarios cuyos sistemas productivos pertenezcan a la Agricultura Campesina, Familiar y Comunitaria podrán ser clasificadas como Mipymes en los términos previstos en el artículo 23 de la Ley 2069 de 2020, el artículo 2 de la Ley 590 de 2000 y por el Decreto 957 de 2019 o las normas que los modifiquen”.</w:t>
      </w:r>
    </w:p>
  </w:footnote>
  <w:footnote w:id="7">
    <w:p w14:paraId="36A41B8D" w14:textId="77777777" w:rsidR="00B83FB0" w:rsidRPr="00B83FB0" w:rsidRDefault="00B83FB0" w:rsidP="00B83FB0">
      <w:pPr>
        <w:pStyle w:val="NormalWeb"/>
        <w:shd w:val="clear" w:color="auto" w:fill="FFFFFF"/>
        <w:spacing w:before="0" w:beforeAutospacing="0" w:after="0" w:afterAutospacing="0"/>
        <w:ind w:firstLine="708"/>
        <w:jc w:val="both"/>
        <w:rPr>
          <w:rFonts w:ascii="Verdana" w:eastAsia="Aptos" w:hAnsi="Verdana" w:cs="Arial"/>
          <w:sz w:val="18"/>
          <w:szCs w:val="18"/>
          <w:lang w:val="es-MX" w:eastAsia="en-US"/>
        </w:rPr>
      </w:pPr>
      <w:r w:rsidRPr="00B83FB0">
        <w:rPr>
          <w:rStyle w:val="Refdenotaalpie"/>
          <w:rFonts w:ascii="Verdana" w:hAnsi="Verdana" w:cs="Arial"/>
          <w:sz w:val="18"/>
          <w:szCs w:val="18"/>
        </w:rPr>
        <w:footnoteRef/>
      </w:r>
      <w:r w:rsidRPr="00F50E68">
        <w:rPr>
          <w:rFonts w:ascii="Verdana" w:hAnsi="Verdana" w:cs="Arial"/>
          <w:sz w:val="18"/>
          <w:szCs w:val="18"/>
        </w:rPr>
        <w:t xml:space="preserve"> Decreto 1082 de 2015:”</w:t>
      </w:r>
      <w:r w:rsidRPr="00B83FB0">
        <w:rPr>
          <w:rFonts w:ascii="Verdana" w:eastAsia="Aptos" w:hAnsi="Verdana" w:cs="Arial"/>
          <w:sz w:val="18"/>
          <w:szCs w:val="18"/>
          <w:lang w:val="es-MX" w:eastAsia="en-US"/>
        </w:rPr>
        <w:t xml:space="preserve"> Artículo 2.2.1.1.1.4.4. Actualización del Plan Anual de Adquisiciones. La Entidad Estatal debe actualizar el Plan Anual de Adquisiciones por lo menos una vez durante su vigencia, en la forma y la oportunidad que para el efecto disponga Colombia Compra Eficiente.</w:t>
      </w:r>
    </w:p>
    <w:p w14:paraId="50C1B648" w14:textId="77777777" w:rsidR="00B83FB0" w:rsidRPr="00B83FB0" w:rsidRDefault="00B83FB0" w:rsidP="00B83FB0">
      <w:pPr>
        <w:pStyle w:val="NormalWeb"/>
        <w:shd w:val="clear" w:color="auto" w:fill="FFFFFF"/>
        <w:spacing w:before="0" w:beforeAutospacing="0" w:after="0" w:afterAutospacing="0"/>
        <w:ind w:firstLine="708"/>
        <w:jc w:val="both"/>
        <w:rPr>
          <w:rFonts w:ascii="Verdana" w:eastAsia="Aptos" w:hAnsi="Verdana" w:cs="Arial"/>
          <w:sz w:val="18"/>
          <w:szCs w:val="18"/>
          <w:lang w:val="es-MX" w:eastAsia="en-US"/>
        </w:rPr>
      </w:pPr>
      <w:r w:rsidRPr="00B83FB0">
        <w:rPr>
          <w:rFonts w:ascii="Verdana" w:eastAsia="Aptos" w:hAnsi="Verdana" w:cs="Arial"/>
          <w:sz w:val="18"/>
          <w:szCs w:val="18"/>
          <w:lang w:val="es-MX" w:eastAsia="en-US"/>
        </w:rPr>
        <w:t>“La Entidad Estatal debe actualizar el Plan Anual de Adquisiciones cuando: (i) haya ajustes en los cronogramas de adquisición, valores, modalidad de selección, origen de los recursos; (ii) para incluir nuevas obras, bienes y/o servicios; (iii) excluir obras, bienes y/o servicios; o (iv) modificar el presupuesto anual de adquisiciones”.</w:t>
      </w:r>
    </w:p>
    <w:p w14:paraId="327ABBA1" w14:textId="77777777" w:rsidR="00B83FB0" w:rsidRPr="00B83FB0" w:rsidRDefault="00B83FB0" w:rsidP="00B83FB0">
      <w:pPr>
        <w:pStyle w:val="NormalWeb"/>
        <w:shd w:val="clear" w:color="auto" w:fill="FFFFFF"/>
        <w:spacing w:before="0" w:beforeAutospacing="0" w:after="0" w:afterAutospacing="0"/>
        <w:ind w:firstLine="708"/>
        <w:jc w:val="both"/>
        <w:rPr>
          <w:rFonts w:ascii="Verdana" w:eastAsia="Aptos" w:hAnsi="Verdana" w:cs="Arial"/>
          <w:sz w:val="18"/>
          <w:szCs w:val="18"/>
          <w:lang w:val="es-MX"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32582805" w14:textId="77777777" w:rsidR="00526A39" w:rsidRPr="00C925AC" w:rsidRDefault="00526A39" w:rsidP="000D5DA7">
    <w:pPr>
      <w:spacing w:after="0" w:line="480" w:lineRule="auto"/>
      <w:rPr>
        <w:rFonts w:ascii="Verdana" w:hAnsi="Verdana"/>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0"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4769271">
    <w:abstractNumId w:val="5"/>
  </w:num>
  <w:num w:numId="2" w16cid:durableId="1767115496">
    <w:abstractNumId w:val="1"/>
  </w:num>
  <w:num w:numId="3" w16cid:durableId="1562667878">
    <w:abstractNumId w:val="3"/>
  </w:num>
  <w:num w:numId="4" w16cid:durableId="192702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75963548">
    <w:abstractNumId w:val="1"/>
  </w:num>
  <w:num w:numId="6" w16cid:durableId="1639073559">
    <w:abstractNumId w:val="12"/>
  </w:num>
  <w:num w:numId="7" w16cid:durableId="128743237">
    <w:abstractNumId w:val="4"/>
  </w:num>
  <w:num w:numId="8" w16cid:durableId="1410466060">
    <w:abstractNumId w:val="11"/>
  </w:num>
  <w:num w:numId="9" w16cid:durableId="1725981802">
    <w:abstractNumId w:val="6"/>
  </w:num>
  <w:num w:numId="10" w16cid:durableId="1915553929">
    <w:abstractNumId w:val="10"/>
  </w:num>
  <w:num w:numId="11" w16cid:durableId="438723886">
    <w:abstractNumId w:val="7"/>
  </w:num>
  <w:num w:numId="12" w16cid:durableId="794100580">
    <w:abstractNumId w:val="0"/>
  </w:num>
  <w:num w:numId="13" w16cid:durableId="1059205308">
    <w:abstractNumId w:val="2"/>
  </w:num>
  <w:num w:numId="14" w16cid:durableId="87120908">
    <w:abstractNumId w:val="13"/>
  </w:num>
  <w:num w:numId="15" w16cid:durableId="772820238">
    <w:abstractNumId w:val="9"/>
  </w:num>
  <w:num w:numId="16" w16cid:durableId="840658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D5DA7"/>
    <w:rsid w:val="000F6486"/>
    <w:rsid w:val="000F67AF"/>
    <w:rsid w:val="00116940"/>
    <w:rsid w:val="00125105"/>
    <w:rsid w:val="00127233"/>
    <w:rsid w:val="0015699B"/>
    <w:rsid w:val="001801C5"/>
    <w:rsid w:val="00190D15"/>
    <w:rsid w:val="001A33BF"/>
    <w:rsid w:val="001E4177"/>
    <w:rsid w:val="001F0B24"/>
    <w:rsid w:val="001F7DC6"/>
    <w:rsid w:val="002205A5"/>
    <w:rsid w:val="0022400B"/>
    <w:rsid w:val="002421BB"/>
    <w:rsid w:val="0025796E"/>
    <w:rsid w:val="002707A2"/>
    <w:rsid w:val="002951A0"/>
    <w:rsid w:val="002962BC"/>
    <w:rsid w:val="002A093D"/>
    <w:rsid w:val="002A0DD0"/>
    <w:rsid w:val="002A49AC"/>
    <w:rsid w:val="002A64FD"/>
    <w:rsid w:val="002C7A84"/>
    <w:rsid w:val="002E2BF8"/>
    <w:rsid w:val="002E4FD9"/>
    <w:rsid w:val="0030657A"/>
    <w:rsid w:val="00312012"/>
    <w:rsid w:val="00322A85"/>
    <w:rsid w:val="00324168"/>
    <w:rsid w:val="003264D3"/>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72BC1"/>
    <w:rsid w:val="00490DA2"/>
    <w:rsid w:val="004A1847"/>
    <w:rsid w:val="004A305D"/>
    <w:rsid w:val="004B4ECE"/>
    <w:rsid w:val="004F21C4"/>
    <w:rsid w:val="004F2EB2"/>
    <w:rsid w:val="004F685F"/>
    <w:rsid w:val="00526A39"/>
    <w:rsid w:val="005566E8"/>
    <w:rsid w:val="00574867"/>
    <w:rsid w:val="00591460"/>
    <w:rsid w:val="005A65E0"/>
    <w:rsid w:val="005C3777"/>
    <w:rsid w:val="005C5CDC"/>
    <w:rsid w:val="005D476C"/>
    <w:rsid w:val="006200BF"/>
    <w:rsid w:val="006219F8"/>
    <w:rsid w:val="006302F7"/>
    <w:rsid w:val="00646B9F"/>
    <w:rsid w:val="00665D70"/>
    <w:rsid w:val="00671418"/>
    <w:rsid w:val="006900D9"/>
    <w:rsid w:val="006C7803"/>
    <w:rsid w:val="00706C16"/>
    <w:rsid w:val="00731391"/>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83FB0"/>
    <w:rsid w:val="00BC3D36"/>
    <w:rsid w:val="00BD54A6"/>
    <w:rsid w:val="00BD7F72"/>
    <w:rsid w:val="00BF7425"/>
    <w:rsid w:val="00C04FB3"/>
    <w:rsid w:val="00C11D8B"/>
    <w:rsid w:val="00C15139"/>
    <w:rsid w:val="00C330EB"/>
    <w:rsid w:val="00C50D69"/>
    <w:rsid w:val="00C5365C"/>
    <w:rsid w:val="00C754BE"/>
    <w:rsid w:val="00C76B1C"/>
    <w:rsid w:val="00C804A6"/>
    <w:rsid w:val="00C925AC"/>
    <w:rsid w:val="00CB6357"/>
    <w:rsid w:val="00CC1B26"/>
    <w:rsid w:val="00D361FD"/>
    <w:rsid w:val="00D423A2"/>
    <w:rsid w:val="00D44E26"/>
    <w:rsid w:val="00D520D8"/>
    <w:rsid w:val="00D63AC2"/>
    <w:rsid w:val="00D7383B"/>
    <w:rsid w:val="00D7788A"/>
    <w:rsid w:val="00DA231B"/>
    <w:rsid w:val="00DC39FC"/>
    <w:rsid w:val="00DE5026"/>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A5FD3"/>
    <w:rsid w:val="00EC38A7"/>
    <w:rsid w:val="00EE1AA8"/>
    <w:rsid w:val="00F23FEA"/>
    <w:rsid w:val="00F31EDC"/>
    <w:rsid w:val="00F462B3"/>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B83FB0"/>
    <w:pPr>
      <w:spacing w:line="240" w:lineRule="exact"/>
    </w:pPr>
    <w:rPr>
      <w:vertAlign w:val="superscript"/>
    </w:rPr>
  </w:style>
  <w:style w:type="character" w:styleId="Fuerte">
    <w:name w:val="Strong"/>
    <w:basedOn w:val="Fuentedeprrafopredeter"/>
    <w:uiPriority w:val="22"/>
    <w:qFormat/>
    <w:rsid w:val="00B83FB0"/>
    <w:rPr>
      <w:b/>
      <w:bCs/>
    </w:rPr>
  </w:style>
  <w:style w:type="character" w:styleId="nfasis">
    <w:name w:val="Emphasis"/>
    <w:basedOn w:val="Fuentedeprrafopredeter"/>
    <w:uiPriority w:val="20"/>
    <w:qFormat/>
    <w:rsid w:val="00B83FB0"/>
    <w:rPr>
      <w:i/>
      <w:iCs/>
    </w:rPr>
  </w:style>
  <w:style w:type="character" w:customStyle="1" w:styleId="Hipervnculo1">
    <w:name w:val="Hipervínculo1"/>
    <w:basedOn w:val="Fuentedeprrafopredeter"/>
    <w:uiPriority w:val="99"/>
    <w:unhideWhenUsed/>
    <w:rsid w:val="00B83FB0"/>
    <w:rPr>
      <w:color w:val="F2F2F2"/>
      <w:u w:val="single"/>
    </w:rPr>
  </w:style>
  <w:style w:type="character" w:customStyle="1" w:styleId="NormalWebCar">
    <w:name w:val="Normal (Web) Car"/>
    <w:link w:val="NormalWeb"/>
    <w:uiPriority w:val="99"/>
    <w:rsid w:val="00B83FB0"/>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964457522">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sites/cce_public/files/cce_documents/guia_para_elaborar_el_plan_anual_de_adquisiciones_0.pdf"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olombiacompra.gov.co/archivos/manual/plan-anual-de-adquisiciones-en-secop-ii-creacion-y-publicacion-del-paa" TargetMode="External"/><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10" Type="http://schemas.openxmlformats.org/officeDocument/2006/relationships/image" Target="media/image2.emf"/><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alcaldiabogota.gov.co/sisjur/normas/Norma1.jsp?i=43292" TargetMode="External"/><Relationship Id="rId1" Type="http://schemas.openxmlformats.org/officeDocument/2006/relationships/hyperlink" Target="https://www.colombiacompra.gov.co/sites/cce_public/files/cce_documents/guia_para_elaborar_el_plan_anual_de_adquisiciones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47F336-1034-4F9A-8DCC-FA6612AE33A0}"/>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11</TotalTime>
  <Pages>15</Pages>
  <Words>4363</Words>
  <Characters>23999</Characters>
  <Application>Microsoft Office Word</Application>
  <DocSecurity>0</DocSecurity>
  <Lines>199</Lines>
  <Paragraphs>56</Paragraphs>
  <ScaleCrop>false</ScaleCrop>
  <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4</cp:revision>
  <cp:lastPrinted>2023-01-10T21:18:00Z</cp:lastPrinted>
  <dcterms:created xsi:type="dcterms:W3CDTF">2026-08-04T16:47:00Z</dcterms:created>
  <dcterms:modified xsi:type="dcterms:W3CDTF">2026-08-13T13:53:00Z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