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0C80" w14:textId="77777777" w:rsidR="006D4B8B" w:rsidRPr="00234B4E" w:rsidRDefault="006D4B8B" w:rsidP="006D4B8B">
      <w:pPr>
        <w:spacing w:after="0" w:line="240" w:lineRule="auto"/>
        <w:jc w:val="both"/>
        <w:rPr>
          <w:rFonts w:ascii="Verdana" w:eastAsia="Aptos" w:hAnsi="Verdana" w:cs="Times New Roman"/>
          <w:b/>
          <w:bCs/>
        </w:rPr>
      </w:pPr>
      <w:bookmarkStart w:id="0" w:name="_Hlk143780582"/>
      <w:r w:rsidRPr="00234B4E">
        <w:rPr>
          <w:rFonts w:ascii="Verdana" w:eastAsia="Aptos" w:hAnsi="Verdana" w:cs="Times New Roman"/>
          <w:b/>
          <w:bCs/>
        </w:rPr>
        <w:t xml:space="preserve">RÉGIMEN DE INHABILIDADES E INCOMPATIBILIDADES – Noción – Finalidad </w:t>
      </w:r>
    </w:p>
    <w:p w14:paraId="45D07C8A" w14:textId="77777777" w:rsidR="006D4B8B" w:rsidRPr="00234B4E" w:rsidRDefault="006D4B8B" w:rsidP="006D4B8B">
      <w:pPr>
        <w:spacing w:after="0" w:line="240" w:lineRule="auto"/>
        <w:jc w:val="both"/>
        <w:rPr>
          <w:rFonts w:ascii="Verdana" w:eastAsia="Aptos" w:hAnsi="Verdana" w:cs="Times New Roman"/>
          <w:b/>
          <w:bCs/>
        </w:rPr>
      </w:pPr>
    </w:p>
    <w:p w14:paraId="6A46A5A7"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t xml:space="preserve">El régimen de inhabilidades e incompatibilidades en la contratación pública, responde a la tendencia de asegurar que la provisión de los bienes y servicios por parte de las Entidades Estatales se efectúe cumpliendo con los principios de la función administrativa y de la gestión fiscal, especialmente con probidad y transparencia. Las inhabilidades son prohibiciones para concurrir a los procedimientos de selección y para contratar con el Estado, que se derivan i) de la existencia de comportamientos reprochables o de sanciones anteriormente impuestas, </w:t>
      </w:r>
      <w:proofErr w:type="spellStart"/>
      <w:r w:rsidRPr="00234B4E">
        <w:rPr>
          <w:rFonts w:ascii="Verdana" w:eastAsia="Aptos" w:hAnsi="Verdana" w:cs="Times New Roman"/>
          <w:sz w:val="20"/>
          <w:szCs w:val="20"/>
        </w:rPr>
        <w:t>ii</w:t>
      </w:r>
      <w:proofErr w:type="spellEnd"/>
      <w:r w:rsidRPr="00234B4E">
        <w:rPr>
          <w:rFonts w:ascii="Verdana" w:eastAsia="Aptos" w:hAnsi="Verdana" w:cs="Times New Roman"/>
          <w:sz w:val="20"/>
          <w:szCs w:val="20"/>
        </w:rPr>
        <w:t xml:space="preserve">) de vínculos personales relaticos al parentesco o al estado civil o </w:t>
      </w:r>
      <w:proofErr w:type="spellStart"/>
      <w:r w:rsidRPr="00234B4E">
        <w:rPr>
          <w:rFonts w:ascii="Verdana" w:eastAsia="Aptos" w:hAnsi="Verdana" w:cs="Times New Roman"/>
          <w:sz w:val="20"/>
          <w:szCs w:val="20"/>
        </w:rPr>
        <w:t>iii</w:t>
      </w:r>
      <w:proofErr w:type="spellEnd"/>
      <w:r w:rsidRPr="00234B4E">
        <w:rPr>
          <w:rFonts w:ascii="Verdana" w:eastAsia="Aptos" w:hAnsi="Verdana" w:cs="Times New Roman"/>
          <w:sz w:val="20"/>
          <w:szCs w:val="20"/>
        </w:rPr>
        <w:t>) de una actividad u oficio que se desempeñó en el pasado.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w:t>
      </w:r>
    </w:p>
    <w:p w14:paraId="334DEA9C" w14:textId="77777777" w:rsidR="006D4B8B" w:rsidRPr="00234B4E" w:rsidRDefault="006D4B8B" w:rsidP="006D4B8B">
      <w:pPr>
        <w:spacing w:after="0" w:line="240" w:lineRule="auto"/>
        <w:jc w:val="both"/>
        <w:rPr>
          <w:rFonts w:ascii="Verdana" w:eastAsia="Aptos" w:hAnsi="Verdana" w:cs="Times New Roman"/>
          <w:b/>
          <w:bCs/>
        </w:rPr>
      </w:pPr>
    </w:p>
    <w:p w14:paraId="4F2E2E93" w14:textId="77777777" w:rsidR="006D4B8B" w:rsidRPr="00234B4E" w:rsidRDefault="006D4B8B" w:rsidP="006D4B8B">
      <w:pPr>
        <w:spacing w:after="0" w:line="240" w:lineRule="auto"/>
        <w:jc w:val="both"/>
        <w:rPr>
          <w:rFonts w:ascii="Verdana" w:eastAsia="Aptos" w:hAnsi="Verdana" w:cs="Times New Roman"/>
          <w:b/>
          <w:bCs/>
        </w:rPr>
      </w:pPr>
      <w:r w:rsidRPr="00234B4E">
        <w:rPr>
          <w:rFonts w:ascii="Verdana" w:eastAsia="Aptos" w:hAnsi="Verdana" w:cs="Times New Roman"/>
          <w:b/>
          <w:bCs/>
        </w:rPr>
        <w:t>RÉGIMEN DE INHABILIDADES E INCOMPATIBILIDADES – Carácter restrictivo – Interpretación restrictiva</w:t>
      </w:r>
    </w:p>
    <w:p w14:paraId="39BD9751" w14:textId="77777777" w:rsidR="006D4B8B" w:rsidRPr="00234B4E" w:rsidRDefault="006D4B8B" w:rsidP="006D4B8B">
      <w:pPr>
        <w:spacing w:after="0" w:line="240" w:lineRule="auto"/>
        <w:jc w:val="both"/>
        <w:rPr>
          <w:rFonts w:ascii="Verdana" w:eastAsia="Aptos" w:hAnsi="Verdana" w:cs="Times New Roman"/>
          <w:b/>
          <w:bCs/>
        </w:rPr>
      </w:pPr>
    </w:p>
    <w:p w14:paraId="3962D711"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t>[…] las inhabilidades e incompatibilidades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w:t>
      </w:r>
    </w:p>
    <w:p w14:paraId="1FE17C72" w14:textId="77777777" w:rsidR="006D4B8B" w:rsidRPr="00234B4E" w:rsidRDefault="006D4B8B" w:rsidP="006D4B8B">
      <w:pPr>
        <w:spacing w:after="0" w:line="240" w:lineRule="auto"/>
        <w:jc w:val="both"/>
        <w:rPr>
          <w:rFonts w:ascii="Verdana" w:eastAsia="Aptos" w:hAnsi="Verdana" w:cs="Times New Roman"/>
          <w:sz w:val="20"/>
          <w:szCs w:val="20"/>
        </w:rPr>
      </w:pPr>
    </w:p>
    <w:p w14:paraId="286FF004"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t>[…]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 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p>
    <w:p w14:paraId="695791AF" w14:textId="77777777" w:rsidR="006D4B8B" w:rsidRPr="00234B4E" w:rsidRDefault="006D4B8B" w:rsidP="006D4B8B">
      <w:pPr>
        <w:spacing w:after="0" w:line="240" w:lineRule="auto"/>
        <w:jc w:val="both"/>
        <w:rPr>
          <w:rFonts w:ascii="Verdana" w:eastAsia="Aptos" w:hAnsi="Verdana" w:cs="Times New Roman"/>
          <w:b/>
          <w:bCs/>
        </w:rPr>
      </w:pPr>
    </w:p>
    <w:p w14:paraId="5F7CC44F" w14:textId="77777777" w:rsidR="006D4B8B" w:rsidRPr="00234B4E" w:rsidRDefault="006D4B8B" w:rsidP="006D4B8B">
      <w:pPr>
        <w:spacing w:after="0" w:line="240" w:lineRule="auto"/>
        <w:jc w:val="both"/>
        <w:rPr>
          <w:rFonts w:ascii="Verdana" w:eastAsia="Aptos" w:hAnsi="Verdana" w:cs="Times New Roman"/>
          <w:b/>
          <w:bCs/>
        </w:rPr>
      </w:pPr>
      <w:r w:rsidRPr="00234B4E">
        <w:rPr>
          <w:rFonts w:ascii="Verdana" w:eastAsia="Aptos" w:hAnsi="Verdana" w:cs="Times New Roman"/>
          <w:b/>
          <w:bCs/>
        </w:rPr>
        <w:t>LIMITACIONES POR EL VÍNCULO SANGUÍNEO – Inhabilidad e incompatibilidad – relaciones naturales o jurídicas</w:t>
      </w:r>
    </w:p>
    <w:p w14:paraId="5083ED74" w14:textId="77777777" w:rsidR="006D4B8B" w:rsidRPr="00234B4E" w:rsidRDefault="006D4B8B" w:rsidP="006D4B8B">
      <w:pPr>
        <w:spacing w:after="0" w:line="240" w:lineRule="auto"/>
        <w:jc w:val="both"/>
        <w:rPr>
          <w:rFonts w:ascii="Verdana" w:eastAsia="Aptos" w:hAnsi="Verdana" w:cs="Times New Roman"/>
          <w:b/>
          <w:bCs/>
        </w:rPr>
      </w:pPr>
    </w:p>
    <w:p w14:paraId="7039646A"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t>[…] al estudiar el contenido del artículo 8 de la Ley 80 de 1993, se observa que este establece unas limitaciones a la capacidad para suscribir contratos estatales y presentar ofertas, respecto del vínculo sanguíneo de las personas naturales […].</w:t>
      </w:r>
    </w:p>
    <w:p w14:paraId="64CE1836"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lastRenderedPageBreak/>
        <w:t>[…]</w:t>
      </w:r>
    </w:p>
    <w:p w14:paraId="5183CA6D" w14:textId="77777777" w:rsidR="006D4B8B" w:rsidRPr="00234B4E" w:rsidRDefault="006D4B8B" w:rsidP="006D4B8B">
      <w:pPr>
        <w:spacing w:after="0" w:line="240" w:lineRule="auto"/>
        <w:jc w:val="both"/>
        <w:rPr>
          <w:rFonts w:ascii="Verdana" w:eastAsia="Aptos" w:hAnsi="Verdana" w:cs="Times New Roman"/>
          <w:sz w:val="20"/>
          <w:szCs w:val="20"/>
        </w:rPr>
      </w:pPr>
      <w:r w:rsidRPr="00234B4E">
        <w:rPr>
          <w:rFonts w:ascii="Verdana" w:eastAsia="Aptos" w:hAnsi="Verdana" w:cs="Times New Roman"/>
          <w:sz w:val="20"/>
          <w:szCs w:val="20"/>
        </w:rPr>
        <w:t>[…] dichas inhabilidades e incompatibilidades tienen fundamento en las relaciones familiares o de parentesco, tales como cónyuges o compañeros permanentes, padres, hijos y hermanos, así como aquellas personas respecto de las cuales se predican relaciones de consanguinidad o afinidad hasta el segundo grado. Esto implica que las referidas causales de inhabilidad e incompatibilidad se instituyen, única y exclusivamente, con el propósito de limitar la capacidad en la participación en Procesos de Contratación de las denominadas personas naturales, esto es, sujetos de derecho y obligaciones de la especie humana unidos entre sí, ya sea por vínculos sanguíneos o jurídicos.</w:t>
      </w:r>
    </w:p>
    <w:p w14:paraId="47F98646" w14:textId="77777777" w:rsidR="006D4B8B" w:rsidRPr="00234B4E" w:rsidRDefault="006D4B8B" w:rsidP="006D4B8B">
      <w:pPr>
        <w:spacing w:after="0" w:line="240" w:lineRule="auto"/>
        <w:rPr>
          <w:rFonts w:ascii="Verdana" w:eastAsia="Geomanist Light" w:hAnsi="Verdana" w:cs="Arial"/>
          <w:lang w:val="es-MX"/>
        </w:rPr>
      </w:pPr>
    </w:p>
    <w:p w14:paraId="4AA0FAA1" w14:textId="77777777" w:rsidR="006D4B8B" w:rsidRPr="00234B4E" w:rsidRDefault="006D4B8B" w:rsidP="006D4B8B">
      <w:pPr>
        <w:spacing w:after="0" w:line="240" w:lineRule="auto"/>
        <w:rPr>
          <w:rFonts w:ascii="Verdana" w:eastAsia="Geomanist Light" w:hAnsi="Verdana" w:cs="Arial"/>
          <w:lang w:val="es-MX"/>
        </w:rPr>
      </w:pPr>
    </w:p>
    <w:p w14:paraId="1CBBCC1B" w14:textId="77777777" w:rsidR="006D4B8B" w:rsidRPr="00234B4E" w:rsidRDefault="006D4B8B" w:rsidP="006D4B8B">
      <w:pPr>
        <w:spacing w:after="0" w:line="240" w:lineRule="auto"/>
        <w:rPr>
          <w:rFonts w:ascii="Verdana" w:eastAsia="Geomanist Light" w:hAnsi="Verdana" w:cs="Arial"/>
          <w:lang w:val="es-MX"/>
        </w:rPr>
      </w:pPr>
    </w:p>
    <w:p w14:paraId="6B91E493" w14:textId="77777777" w:rsidR="006D4B8B" w:rsidRPr="00234B4E" w:rsidRDefault="006D4B8B" w:rsidP="006D4B8B">
      <w:pPr>
        <w:spacing w:after="0" w:line="240" w:lineRule="auto"/>
        <w:rPr>
          <w:rFonts w:ascii="Verdana" w:eastAsia="Geomanist Light" w:hAnsi="Verdana" w:cs="Arial"/>
          <w:lang w:val="es-MX"/>
        </w:rPr>
      </w:pPr>
    </w:p>
    <w:p w14:paraId="56FAC127" w14:textId="77777777" w:rsidR="006D4B8B" w:rsidRPr="00234B4E" w:rsidRDefault="006D4B8B" w:rsidP="006D4B8B">
      <w:pPr>
        <w:spacing w:after="0" w:line="240" w:lineRule="auto"/>
        <w:rPr>
          <w:rFonts w:ascii="Verdana" w:eastAsia="Geomanist Light" w:hAnsi="Verdana" w:cs="Arial"/>
          <w:lang w:val="es-MX"/>
        </w:rPr>
      </w:pPr>
    </w:p>
    <w:p w14:paraId="6CD0E8C8" w14:textId="77777777" w:rsidR="006D4B8B" w:rsidRPr="00234B4E" w:rsidRDefault="006D4B8B" w:rsidP="006D4B8B">
      <w:pPr>
        <w:spacing w:after="0" w:line="240" w:lineRule="auto"/>
        <w:rPr>
          <w:rFonts w:ascii="Verdana" w:eastAsia="Geomanist Light" w:hAnsi="Verdana" w:cs="Arial"/>
          <w:lang w:val="es-MX"/>
        </w:rPr>
      </w:pPr>
    </w:p>
    <w:p w14:paraId="257F24EA" w14:textId="77777777" w:rsidR="006D4B8B" w:rsidRPr="00234B4E" w:rsidRDefault="006D4B8B" w:rsidP="006D4B8B">
      <w:pPr>
        <w:spacing w:after="0" w:line="240" w:lineRule="auto"/>
        <w:rPr>
          <w:rFonts w:ascii="Verdana" w:eastAsia="Geomanist Light" w:hAnsi="Verdana" w:cs="Arial"/>
          <w:lang w:val="es-MX"/>
        </w:rPr>
      </w:pPr>
    </w:p>
    <w:p w14:paraId="19B7D9FC" w14:textId="77777777" w:rsidR="006D4B8B" w:rsidRPr="00234B4E" w:rsidRDefault="006D4B8B" w:rsidP="006D4B8B">
      <w:pPr>
        <w:spacing w:after="0" w:line="240" w:lineRule="auto"/>
        <w:rPr>
          <w:rFonts w:ascii="Verdana" w:eastAsia="Geomanist Light" w:hAnsi="Verdana" w:cs="Arial"/>
          <w:lang w:val="es-MX"/>
        </w:rPr>
      </w:pPr>
    </w:p>
    <w:p w14:paraId="3D325C22" w14:textId="77777777" w:rsidR="006D4B8B" w:rsidRPr="00234B4E" w:rsidRDefault="006D4B8B" w:rsidP="006D4B8B">
      <w:pPr>
        <w:spacing w:after="0" w:line="240" w:lineRule="auto"/>
        <w:rPr>
          <w:rFonts w:ascii="Verdana" w:eastAsia="Geomanist Light" w:hAnsi="Verdana" w:cs="Arial"/>
          <w:lang w:val="es-MX"/>
        </w:rPr>
      </w:pPr>
    </w:p>
    <w:p w14:paraId="5005580C" w14:textId="77777777" w:rsidR="006D4B8B" w:rsidRPr="00234B4E" w:rsidRDefault="006D4B8B" w:rsidP="006D4B8B">
      <w:pPr>
        <w:spacing w:after="0" w:line="240" w:lineRule="auto"/>
        <w:rPr>
          <w:rFonts w:ascii="Verdana" w:eastAsia="Geomanist Light" w:hAnsi="Verdana" w:cs="Arial"/>
          <w:lang w:val="es-MX"/>
        </w:rPr>
      </w:pPr>
    </w:p>
    <w:p w14:paraId="780F9A13" w14:textId="77777777" w:rsidR="006D4B8B" w:rsidRPr="00234B4E" w:rsidRDefault="006D4B8B" w:rsidP="006D4B8B">
      <w:pPr>
        <w:spacing w:after="0" w:line="240" w:lineRule="auto"/>
        <w:rPr>
          <w:rFonts w:ascii="Verdana" w:eastAsia="Geomanist Light" w:hAnsi="Verdana" w:cs="Arial"/>
          <w:lang w:val="es-MX"/>
        </w:rPr>
      </w:pPr>
    </w:p>
    <w:p w14:paraId="0996C351" w14:textId="77777777" w:rsidR="006D4B8B" w:rsidRPr="00234B4E" w:rsidRDefault="006D4B8B" w:rsidP="006D4B8B">
      <w:pPr>
        <w:spacing w:after="0" w:line="240" w:lineRule="auto"/>
        <w:rPr>
          <w:rFonts w:ascii="Verdana" w:eastAsia="Geomanist Light" w:hAnsi="Verdana" w:cs="Arial"/>
          <w:lang w:val="es-MX"/>
        </w:rPr>
      </w:pPr>
    </w:p>
    <w:p w14:paraId="77CFAA01" w14:textId="77777777" w:rsidR="006D4B8B" w:rsidRPr="00234B4E" w:rsidRDefault="006D4B8B" w:rsidP="006D4B8B">
      <w:pPr>
        <w:spacing w:after="0" w:line="240" w:lineRule="auto"/>
        <w:rPr>
          <w:rFonts w:ascii="Verdana" w:eastAsia="Geomanist Light" w:hAnsi="Verdana" w:cs="Arial"/>
          <w:lang w:val="es-MX"/>
        </w:rPr>
      </w:pPr>
    </w:p>
    <w:p w14:paraId="74B9CF50" w14:textId="77777777" w:rsidR="006D4B8B" w:rsidRPr="00234B4E" w:rsidRDefault="006D4B8B" w:rsidP="006D4B8B">
      <w:pPr>
        <w:spacing w:after="0" w:line="240" w:lineRule="auto"/>
        <w:rPr>
          <w:rFonts w:ascii="Verdana" w:eastAsia="Geomanist Light" w:hAnsi="Verdana" w:cs="Arial"/>
          <w:lang w:val="es-MX"/>
        </w:rPr>
      </w:pPr>
    </w:p>
    <w:p w14:paraId="17532015" w14:textId="77777777" w:rsidR="006D4B8B" w:rsidRPr="00234B4E" w:rsidRDefault="006D4B8B" w:rsidP="006D4B8B">
      <w:pPr>
        <w:spacing w:after="0" w:line="240" w:lineRule="auto"/>
        <w:rPr>
          <w:rFonts w:ascii="Verdana" w:eastAsia="Geomanist Light" w:hAnsi="Verdana" w:cs="Arial"/>
          <w:lang w:val="es-MX"/>
        </w:rPr>
      </w:pPr>
    </w:p>
    <w:p w14:paraId="6B028E62" w14:textId="77777777" w:rsidR="006D4B8B" w:rsidRPr="00234B4E" w:rsidRDefault="006D4B8B" w:rsidP="006D4B8B">
      <w:pPr>
        <w:spacing w:after="0" w:line="240" w:lineRule="auto"/>
        <w:rPr>
          <w:rFonts w:ascii="Verdana" w:eastAsia="Geomanist Light" w:hAnsi="Verdana" w:cs="Arial"/>
          <w:lang w:val="es-MX"/>
        </w:rPr>
      </w:pPr>
    </w:p>
    <w:p w14:paraId="5C1D2DC0" w14:textId="77777777" w:rsidR="006D4B8B" w:rsidRPr="00234B4E" w:rsidRDefault="006D4B8B" w:rsidP="006D4B8B">
      <w:pPr>
        <w:spacing w:after="0" w:line="240" w:lineRule="auto"/>
        <w:rPr>
          <w:rFonts w:ascii="Verdana" w:eastAsia="Geomanist Light" w:hAnsi="Verdana" w:cs="Arial"/>
          <w:lang w:val="es-MX"/>
        </w:rPr>
      </w:pPr>
    </w:p>
    <w:p w14:paraId="66710B2B" w14:textId="77777777" w:rsidR="006D4B8B" w:rsidRPr="00234B4E" w:rsidRDefault="006D4B8B" w:rsidP="006D4B8B">
      <w:pPr>
        <w:spacing w:after="0" w:line="240" w:lineRule="auto"/>
        <w:rPr>
          <w:rFonts w:ascii="Verdana" w:eastAsia="Geomanist Light" w:hAnsi="Verdana" w:cs="Arial"/>
          <w:lang w:val="es-MX"/>
        </w:rPr>
      </w:pPr>
    </w:p>
    <w:p w14:paraId="19C66A75" w14:textId="77777777" w:rsidR="006D4B8B" w:rsidRPr="00234B4E" w:rsidRDefault="006D4B8B" w:rsidP="006D4B8B">
      <w:pPr>
        <w:spacing w:after="0" w:line="240" w:lineRule="auto"/>
        <w:rPr>
          <w:rFonts w:ascii="Verdana" w:eastAsia="Geomanist Light" w:hAnsi="Verdana" w:cs="Arial"/>
          <w:lang w:val="es-MX"/>
        </w:rPr>
      </w:pPr>
    </w:p>
    <w:p w14:paraId="6BEECB51" w14:textId="77777777" w:rsidR="006D4B8B" w:rsidRPr="00234B4E" w:rsidRDefault="006D4B8B" w:rsidP="006D4B8B">
      <w:pPr>
        <w:spacing w:after="0" w:line="240" w:lineRule="auto"/>
        <w:rPr>
          <w:rFonts w:ascii="Verdana" w:eastAsia="Geomanist Light" w:hAnsi="Verdana" w:cs="Arial"/>
          <w:lang w:val="es-MX"/>
        </w:rPr>
      </w:pPr>
    </w:p>
    <w:p w14:paraId="42FAC0D6" w14:textId="77777777" w:rsidR="006D4B8B" w:rsidRPr="00234B4E" w:rsidRDefault="006D4B8B" w:rsidP="006D4B8B">
      <w:pPr>
        <w:spacing w:after="0" w:line="240" w:lineRule="auto"/>
        <w:rPr>
          <w:rFonts w:ascii="Verdana" w:eastAsia="Geomanist Light" w:hAnsi="Verdana" w:cs="Arial"/>
          <w:lang w:val="es-MX"/>
        </w:rPr>
      </w:pPr>
    </w:p>
    <w:p w14:paraId="28C4A67D" w14:textId="77777777" w:rsidR="006D4B8B" w:rsidRPr="00234B4E" w:rsidRDefault="006D4B8B" w:rsidP="006D4B8B">
      <w:pPr>
        <w:spacing w:after="0" w:line="240" w:lineRule="auto"/>
        <w:rPr>
          <w:rFonts w:ascii="Verdana" w:eastAsia="Geomanist Light" w:hAnsi="Verdana" w:cs="Arial"/>
          <w:lang w:val="es-MX"/>
        </w:rPr>
      </w:pPr>
    </w:p>
    <w:p w14:paraId="1B33CD99" w14:textId="77777777" w:rsidR="006D4B8B" w:rsidRPr="00234B4E" w:rsidRDefault="006D4B8B" w:rsidP="006D4B8B">
      <w:pPr>
        <w:spacing w:after="0" w:line="240" w:lineRule="auto"/>
        <w:rPr>
          <w:rFonts w:ascii="Verdana" w:eastAsia="Geomanist Light" w:hAnsi="Verdana" w:cs="Arial"/>
          <w:lang w:val="es-MX"/>
        </w:rPr>
      </w:pPr>
    </w:p>
    <w:p w14:paraId="2D63254C" w14:textId="77777777" w:rsidR="006D4B8B" w:rsidRPr="00234B4E" w:rsidRDefault="006D4B8B" w:rsidP="006D4B8B">
      <w:pPr>
        <w:spacing w:after="0" w:line="240" w:lineRule="auto"/>
        <w:rPr>
          <w:rFonts w:ascii="Verdana" w:eastAsia="Geomanist Light" w:hAnsi="Verdana" w:cs="Arial"/>
          <w:lang w:val="es-MX"/>
        </w:rPr>
      </w:pPr>
    </w:p>
    <w:p w14:paraId="4F9AAFB9" w14:textId="77777777" w:rsidR="006D4B8B" w:rsidRPr="00234B4E" w:rsidRDefault="006D4B8B" w:rsidP="006D4B8B">
      <w:pPr>
        <w:spacing w:after="0" w:line="240" w:lineRule="auto"/>
        <w:rPr>
          <w:rFonts w:ascii="Verdana" w:eastAsia="Geomanist Light" w:hAnsi="Verdana" w:cs="Arial"/>
          <w:lang w:val="es-MX"/>
        </w:rPr>
      </w:pPr>
    </w:p>
    <w:p w14:paraId="7C54213F" w14:textId="77777777" w:rsidR="006D4B8B" w:rsidRPr="00234B4E" w:rsidRDefault="006D4B8B" w:rsidP="006D4B8B">
      <w:pPr>
        <w:spacing w:after="0" w:line="240" w:lineRule="auto"/>
        <w:rPr>
          <w:rFonts w:ascii="Verdana" w:eastAsia="Geomanist Light" w:hAnsi="Verdana" w:cs="Arial"/>
          <w:lang w:val="es-MX"/>
        </w:rPr>
      </w:pPr>
    </w:p>
    <w:p w14:paraId="428C744F" w14:textId="77777777" w:rsidR="006D4B8B" w:rsidRPr="00234B4E" w:rsidRDefault="006D4B8B" w:rsidP="006D4B8B">
      <w:pPr>
        <w:spacing w:after="0" w:line="240" w:lineRule="auto"/>
        <w:rPr>
          <w:rFonts w:ascii="Verdana" w:eastAsia="Geomanist Light" w:hAnsi="Verdana" w:cs="Arial"/>
          <w:lang w:val="es-MX"/>
        </w:rPr>
      </w:pPr>
    </w:p>
    <w:p w14:paraId="2156CF72" w14:textId="77777777" w:rsidR="006D4B8B" w:rsidRPr="00234B4E" w:rsidRDefault="006D4B8B" w:rsidP="006D4B8B">
      <w:pPr>
        <w:spacing w:after="0" w:line="240" w:lineRule="auto"/>
        <w:rPr>
          <w:rFonts w:ascii="Verdana" w:eastAsia="Geomanist Light" w:hAnsi="Verdana" w:cs="Arial"/>
          <w:lang w:val="es-MX"/>
        </w:rPr>
      </w:pPr>
    </w:p>
    <w:p w14:paraId="1A610C9A" w14:textId="77777777" w:rsidR="006D4B8B" w:rsidRPr="00234B4E" w:rsidRDefault="006D4B8B" w:rsidP="006D4B8B">
      <w:pPr>
        <w:spacing w:after="0" w:line="240" w:lineRule="auto"/>
        <w:rPr>
          <w:rFonts w:ascii="Verdana" w:eastAsia="Geomanist Light" w:hAnsi="Verdana" w:cs="Arial"/>
          <w:lang w:val="es-MX"/>
        </w:rPr>
      </w:pPr>
    </w:p>
    <w:p w14:paraId="182D2EAA" w14:textId="77777777" w:rsidR="006D4B8B" w:rsidRPr="00234B4E" w:rsidRDefault="006D4B8B" w:rsidP="006D4B8B">
      <w:pPr>
        <w:spacing w:after="0" w:line="240" w:lineRule="auto"/>
        <w:rPr>
          <w:rFonts w:ascii="Verdana" w:eastAsia="Geomanist Light" w:hAnsi="Verdana" w:cs="Arial"/>
          <w:lang w:val="es-MX"/>
        </w:rPr>
      </w:pPr>
    </w:p>
    <w:p w14:paraId="1863E483" w14:textId="77777777" w:rsidR="006D4B8B" w:rsidRPr="00234B4E" w:rsidRDefault="006D4B8B" w:rsidP="006D4B8B">
      <w:pPr>
        <w:spacing w:after="0" w:line="240" w:lineRule="auto"/>
        <w:rPr>
          <w:rFonts w:ascii="Verdana" w:eastAsia="Geomanist Light" w:hAnsi="Verdana" w:cs="Arial"/>
          <w:lang w:val="es-MX"/>
        </w:rPr>
      </w:pPr>
    </w:p>
    <w:p w14:paraId="4B422445" w14:textId="77777777" w:rsidR="006D4B8B" w:rsidRPr="00234B4E" w:rsidRDefault="006D4B8B" w:rsidP="006D4B8B">
      <w:pPr>
        <w:spacing w:after="0" w:line="240" w:lineRule="auto"/>
        <w:rPr>
          <w:rFonts w:ascii="Verdana" w:eastAsia="Geomanist Light" w:hAnsi="Verdana" w:cs="Arial"/>
          <w:lang w:val="es-MX"/>
        </w:rPr>
      </w:pPr>
    </w:p>
    <w:p w14:paraId="43764B20" w14:textId="77777777" w:rsidR="006D4B8B" w:rsidRPr="00234B4E" w:rsidRDefault="006D4B8B" w:rsidP="006D4B8B">
      <w:pPr>
        <w:spacing w:after="0" w:line="240" w:lineRule="auto"/>
        <w:rPr>
          <w:rFonts w:ascii="Verdana" w:eastAsia="Geomanist Light" w:hAnsi="Verdana" w:cs="Arial"/>
          <w:lang w:val="es-MX"/>
        </w:rPr>
      </w:pPr>
    </w:p>
    <w:p w14:paraId="2C2CDF38" w14:textId="58A411CD" w:rsidR="006D4B8B" w:rsidRPr="006263D8" w:rsidRDefault="006D4B8B" w:rsidP="006D4B8B">
      <w:pPr>
        <w:spacing w:after="0" w:line="240" w:lineRule="auto"/>
        <w:rPr>
          <w:rFonts w:ascii="Verdana" w:eastAsia="Geomanist Light" w:hAnsi="Verdana" w:cs="Arial"/>
          <w:lang w:val="es-MX"/>
        </w:rPr>
      </w:pPr>
      <w:r w:rsidRPr="006263D8">
        <w:rPr>
          <w:rFonts w:ascii="Verdana" w:eastAsia="Geomanist Light" w:hAnsi="Verdana" w:cs="Arial"/>
          <w:lang w:val="es-MX"/>
        </w:rPr>
        <w:lastRenderedPageBreak/>
        <w:t>Bogotá D.C., </w:t>
      </w:r>
      <w:r w:rsidR="004B5645">
        <w:rPr>
          <w:rFonts w:ascii="Verdana" w:eastAsia="Geomanist Light" w:hAnsi="Verdana" w:cs="Arial"/>
          <w:lang w:val="es-MX"/>
        </w:rPr>
        <w:t>14 de agosto de 2026</w:t>
      </w:r>
    </w:p>
    <w:p w14:paraId="507C43F4" w14:textId="77777777" w:rsidR="006D4B8B" w:rsidRPr="00234B4E" w:rsidRDefault="006D4B8B" w:rsidP="006D4B8B">
      <w:pPr>
        <w:spacing w:after="0" w:line="240" w:lineRule="auto"/>
        <w:jc w:val="both"/>
        <w:rPr>
          <w:rFonts w:ascii="Verdana" w:eastAsia="Calibri" w:hAnsi="Verdana" w:cs="Arial"/>
          <w:lang w:val="es-ES"/>
        </w:rPr>
      </w:pPr>
    </w:p>
    <w:p w14:paraId="4A47D4F6" w14:textId="468F853D" w:rsidR="006D4B8B" w:rsidRDefault="00811D10" w:rsidP="006D4B8B">
      <w:pPr>
        <w:spacing w:after="0" w:line="240" w:lineRule="auto"/>
        <w:jc w:val="right"/>
        <w:rPr>
          <w:rFonts w:ascii="Verdana" w:eastAsia="Calibri" w:hAnsi="Verdana" w:cs="Arial"/>
          <w:lang w:val="es-ES"/>
        </w:rPr>
      </w:pPr>
      <w:r w:rsidRPr="00811D10">
        <w:rPr>
          <w:rFonts w:ascii="Verdana" w:eastAsia="Calibri" w:hAnsi="Verdana" w:cs="Arial"/>
          <w:lang w:val="es-ES"/>
        </w:rPr>
        <w:drawing>
          <wp:inline distT="0" distB="0" distL="0" distR="0" wp14:anchorId="0AF75F7D" wp14:editId="4F16E838">
            <wp:extent cx="2210108" cy="638264"/>
            <wp:effectExtent l="0" t="0" r="0" b="9525"/>
            <wp:docPr id="1249905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05684" name=""/>
                    <pic:cNvPicPr/>
                  </pic:nvPicPr>
                  <pic:blipFill>
                    <a:blip r:embed="rId10"/>
                    <a:stretch>
                      <a:fillRect/>
                    </a:stretch>
                  </pic:blipFill>
                  <pic:spPr>
                    <a:xfrm>
                      <a:off x="0" y="0"/>
                      <a:ext cx="2210108" cy="638264"/>
                    </a:xfrm>
                    <a:prstGeom prst="rect">
                      <a:avLst/>
                    </a:prstGeom>
                  </pic:spPr>
                </pic:pic>
              </a:graphicData>
            </a:graphic>
          </wp:inline>
        </w:drawing>
      </w:r>
    </w:p>
    <w:p w14:paraId="40C1BBBB" w14:textId="77777777" w:rsidR="006D4B8B" w:rsidRPr="00234B4E" w:rsidRDefault="006D4B8B" w:rsidP="006D4B8B">
      <w:pPr>
        <w:spacing w:after="0" w:line="240" w:lineRule="auto"/>
        <w:jc w:val="both"/>
        <w:rPr>
          <w:rFonts w:ascii="Verdana" w:eastAsia="Calibri" w:hAnsi="Verdana" w:cs="Arial"/>
          <w:lang w:val="es-ES" w:eastAsia="es-ES"/>
        </w:rPr>
      </w:pPr>
      <w:r w:rsidRPr="00234B4E">
        <w:rPr>
          <w:rFonts w:ascii="Verdana" w:eastAsia="Calibri" w:hAnsi="Verdana" w:cs="Arial"/>
          <w:lang w:val="es-ES" w:eastAsia="es-ES"/>
        </w:rPr>
        <w:t>Señor</w:t>
      </w:r>
      <w:r>
        <w:rPr>
          <w:rFonts w:ascii="Verdana" w:eastAsia="Calibri" w:hAnsi="Verdana" w:cs="Arial"/>
          <w:lang w:val="es-ES" w:eastAsia="es-ES"/>
        </w:rPr>
        <w:t>a</w:t>
      </w:r>
    </w:p>
    <w:p w14:paraId="634BD105" w14:textId="77777777" w:rsidR="006D4B8B" w:rsidRPr="006210F4" w:rsidRDefault="006D4B8B" w:rsidP="006D4B8B">
      <w:pPr>
        <w:spacing w:after="0" w:line="240" w:lineRule="auto"/>
        <w:rPr>
          <w:rFonts w:ascii="Verdana" w:eastAsia="Calibri" w:hAnsi="Verdana" w:cs="Arial"/>
          <w:b/>
          <w:lang w:val="es-ES" w:eastAsia="es-ES"/>
        </w:rPr>
      </w:pPr>
      <w:r w:rsidRPr="006210F4">
        <w:rPr>
          <w:rFonts w:ascii="Verdana" w:eastAsia="Calibri" w:hAnsi="Verdana" w:cs="Arial"/>
          <w:b/>
          <w:lang w:val="es-ES" w:eastAsia="es-ES"/>
        </w:rPr>
        <w:t>Diana Marcela Gutiérrez Burgos</w:t>
      </w:r>
    </w:p>
    <w:p w14:paraId="6E9E8FB8" w14:textId="77777777" w:rsidR="006D4B8B" w:rsidRPr="006210F4" w:rsidRDefault="006D4B8B" w:rsidP="006D4B8B">
      <w:pPr>
        <w:spacing w:after="0" w:line="240" w:lineRule="auto"/>
        <w:rPr>
          <w:rFonts w:ascii="Verdana" w:hAnsi="Verdana"/>
        </w:rPr>
      </w:pPr>
      <w:hyperlink r:id="rId11" w:history="1">
        <w:r w:rsidRPr="00D15CBA">
          <w:rPr>
            <w:rStyle w:val="Hipervnculo"/>
            <w:rFonts w:ascii="Verdana" w:hAnsi="Verdana"/>
          </w:rPr>
          <w:t>personeria@personeriatulua.gov.co</w:t>
        </w:r>
      </w:hyperlink>
      <w:r w:rsidRPr="00D15CBA">
        <w:rPr>
          <w:rFonts w:ascii="Verdana" w:hAnsi="Verdana"/>
        </w:rPr>
        <w:t xml:space="preserve"> </w:t>
      </w:r>
    </w:p>
    <w:p w14:paraId="53FC7D0E" w14:textId="77777777" w:rsidR="006D4B8B" w:rsidRPr="00234B4E" w:rsidRDefault="006D4B8B" w:rsidP="006D4B8B">
      <w:pPr>
        <w:spacing w:after="0" w:line="240" w:lineRule="auto"/>
        <w:rPr>
          <w:rFonts w:ascii="Verdana" w:eastAsia="Calibri" w:hAnsi="Verdana" w:cs="Arial"/>
          <w:b/>
          <w:bCs/>
          <w:lang w:val="es-ES" w:eastAsia="es-ES"/>
        </w:rPr>
      </w:pPr>
      <w:r>
        <w:rPr>
          <w:rFonts w:ascii="Verdana" w:eastAsia="Calibri" w:hAnsi="Verdana" w:cs="Arial"/>
          <w:lang w:val="es-ES" w:eastAsia="es-ES"/>
        </w:rPr>
        <w:t>Tuluá, Valle del Cauca+</w:t>
      </w:r>
    </w:p>
    <w:p w14:paraId="18565BA1" w14:textId="77777777" w:rsidR="006D4B8B" w:rsidRPr="00234B4E" w:rsidRDefault="006D4B8B" w:rsidP="006D4B8B">
      <w:pPr>
        <w:spacing w:after="0" w:line="240" w:lineRule="auto"/>
        <w:rPr>
          <w:rFonts w:ascii="Verdana" w:eastAsia="Calibri" w:hAnsi="Verdana" w:cs="Arial"/>
          <w:b/>
          <w:bCs/>
          <w:lang w:val="es-ES_tradnl" w:eastAsia="es-ES_tradnl"/>
        </w:rPr>
      </w:pPr>
    </w:p>
    <w:p w14:paraId="4405E549" w14:textId="77777777" w:rsidR="006D4B8B" w:rsidRPr="00234B4E" w:rsidRDefault="006D4B8B" w:rsidP="006D4B8B">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6D4B8B" w:rsidRPr="00234B4E" w14:paraId="574E0FCA" w14:textId="77777777" w:rsidTr="00EC1F02">
        <w:trPr>
          <w:trHeight w:val="184"/>
        </w:trPr>
        <w:tc>
          <w:tcPr>
            <w:tcW w:w="2689" w:type="dxa"/>
          </w:tcPr>
          <w:p w14:paraId="313A0B65" w14:textId="77777777" w:rsidR="006D4B8B" w:rsidRPr="00234B4E" w:rsidRDefault="006D4B8B" w:rsidP="00EC1F02">
            <w:pPr>
              <w:jc w:val="both"/>
              <w:rPr>
                <w:rFonts w:ascii="Verdana" w:eastAsia="Calibri" w:hAnsi="Verdana" w:cs="Arial"/>
                <w:b/>
                <w:bCs/>
                <w:lang w:val="es-ES_tradnl" w:eastAsia="es-ES_tradnl"/>
              </w:rPr>
            </w:pPr>
          </w:p>
        </w:tc>
        <w:tc>
          <w:tcPr>
            <w:tcW w:w="6100" w:type="dxa"/>
          </w:tcPr>
          <w:p w14:paraId="1AD3EE6C" w14:textId="77777777" w:rsidR="006D4B8B" w:rsidRPr="00D15CBA" w:rsidRDefault="006D4B8B" w:rsidP="00EC1F02">
            <w:pPr>
              <w:jc w:val="both"/>
              <w:rPr>
                <w:rFonts w:ascii="Verdana" w:eastAsia="Calibri" w:hAnsi="Verdana" w:cs="Arial"/>
                <w:b/>
                <w:bCs/>
                <w:lang w:val="es-ES" w:eastAsia="es-ES"/>
              </w:rPr>
            </w:pPr>
            <w:r w:rsidRPr="00234B4E">
              <w:rPr>
                <w:rFonts w:ascii="Verdana" w:eastAsia="Calibri" w:hAnsi="Verdana" w:cs="Arial"/>
                <w:b/>
                <w:bCs/>
                <w:lang w:val="es-ES" w:eastAsia="es-ES"/>
              </w:rPr>
              <w:t>Concepto C-</w:t>
            </w:r>
            <w:r>
              <w:rPr>
                <w:rFonts w:ascii="Verdana" w:eastAsia="Calibri" w:hAnsi="Verdana" w:cs="Arial"/>
                <w:b/>
                <w:bCs/>
                <w:lang w:val="es-ES" w:eastAsia="es-ES"/>
              </w:rPr>
              <w:t>1067 de 2026</w:t>
            </w:r>
          </w:p>
          <w:p w14:paraId="4F6E58B6" w14:textId="77777777" w:rsidR="006D4B8B" w:rsidRPr="00234B4E" w:rsidRDefault="006D4B8B" w:rsidP="00EC1F02">
            <w:pPr>
              <w:jc w:val="both"/>
              <w:rPr>
                <w:rFonts w:ascii="Verdana" w:eastAsia="Calibri" w:hAnsi="Verdana" w:cs="Arial"/>
                <w:b/>
                <w:bCs/>
                <w:lang w:val="es-ES" w:eastAsia="es-ES"/>
              </w:rPr>
            </w:pPr>
          </w:p>
        </w:tc>
      </w:tr>
      <w:tr w:rsidR="006D4B8B" w:rsidRPr="00234B4E" w14:paraId="715DBD7E" w14:textId="77777777" w:rsidTr="00EC1F02">
        <w:trPr>
          <w:trHeight w:val="884"/>
        </w:trPr>
        <w:tc>
          <w:tcPr>
            <w:tcW w:w="2689" w:type="dxa"/>
          </w:tcPr>
          <w:p w14:paraId="68C091C5" w14:textId="77777777" w:rsidR="006D4B8B" w:rsidRPr="00234B4E" w:rsidRDefault="006D4B8B" w:rsidP="00EC1F02">
            <w:pPr>
              <w:jc w:val="both"/>
              <w:rPr>
                <w:rFonts w:ascii="Verdana" w:eastAsia="Calibri" w:hAnsi="Verdana" w:cs="Arial"/>
                <w:lang w:val="es-ES_tradnl" w:eastAsia="es-ES_tradnl"/>
              </w:rPr>
            </w:pPr>
            <w:r w:rsidRPr="00234B4E">
              <w:rPr>
                <w:rFonts w:ascii="Verdana" w:eastAsia="Calibri" w:hAnsi="Verdana" w:cs="Arial"/>
                <w:b/>
                <w:lang w:val="es-ES_tradnl" w:eastAsia="es-ES_tradnl"/>
              </w:rPr>
              <w:t>Temas:</w:t>
            </w:r>
            <w:r w:rsidRPr="00234B4E">
              <w:rPr>
                <w:rFonts w:ascii="Verdana" w:eastAsia="Calibri" w:hAnsi="Verdana" w:cs="Arial"/>
                <w:lang w:val="es-ES_tradnl" w:eastAsia="es-ES_tradnl"/>
              </w:rPr>
              <w:t xml:space="preserve">                   </w:t>
            </w:r>
          </w:p>
        </w:tc>
        <w:tc>
          <w:tcPr>
            <w:tcW w:w="6100" w:type="dxa"/>
          </w:tcPr>
          <w:p w14:paraId="3EA52728" w14:textId="77777777" w:rsidR="006D4B8B" w:rsidRPr="00234B4E" w:rsidRDefault="006D4B8B" w:rsidP="00EC1F02">
            <w:pPr>
              <w:jc w:val="both"/>
              <w:rPr>
                <w:rFonts w:ascii="Verdana" w:eastAsia="Calibri" w:hAnsi="Verdana" w:cs="Arial"/>
                <w:lang w:val="es-ES" w:eastAsia="es-ES"/>
              </w:rPr>
            </w:pPr>
            <w:r w:rsidRPr="00234B4E">
              <w:rPr>
                <w:rFonts w:ascii="Verdana" w:eastAsia="Calibri" w:hAnsi="Verdana" w:cs="Arial"/>
                <w:lang w:val="es-ES" w:eastAsia="es-ES"/>
              </w:rPr>
              <w:t xml:space="preserve">RÉGIMEN DE INHABILIDADES E INCOMPATIBILIDADES – Noción - Finalidad / RÉGIMEN DE INHABILIDADES E INCOMPATIBILIDADES – Carácter restrictiva – Interpretación restrictiva / LIMITACIONES POR EL VÍNCULO SANGUÍNEO – Inhabilidad e incompatibilidad – relaciones naturales o jurídicas </w:t>
            </w:r>
          </w:p>
          <w:p w14:paraId="60DBF548" w14:textId="77777777" w:rsidR="006D4B8B" w:rsidRPr="00234B4E" w:rsidRDefault="006D4B8B" w:rsidP="00EC1F02">
            <w:pPr>
              <w:jc w:val="both"/>
              <w:rPr>
                <w:rFonts w:ascii="Verdana" w:eastAsia="Calibri" w:hAnsi="Verdana" w:cs="Arial"/>
                <w:lang w:val="es-ES" w:eastAsia="es-ES"/>
              </w:rPr>
            </w:pPr>
          </w:p>
        </w:tc>
      </w:tr>
      <w:tr w:rsidR="006D4B8B" w:rsidRPr="00234B4E" w14:paraId="5E92FEC1" w14:textId="77777777" w:rsidTr="00EC1F02">
        <w:tc>
          <w:tcPr>
            <w:tcW w:w="2689" w:type="dxa"/>
          </w:tcPr>
          <w:p w14:paraId="343B9205" w14:textId="77777777" w:rsidR="006D4B8B" w:rsidRPr="00234B4E" w:rsidRDefault="006D4B8B" w:rsidP="00EC1F02">
            <w:pPr>
              <w:jc w:val="both"/>
              <w:rPr>
                <w:rFonts w:ascii="Verdana" w:eastAsia="Calibri" w:hAnsi="Verdana" w:cs="Arial"/>
                <w:b/>
                <w:lang w:val="es-ES_tradnl" w:eastAsia="es-ES_tradnl"/>
              </w:rPr>
            </w:pPr>
            <w:r w:rsidRPr="00234B4E">
              <w:rPr>
                <w:rFonts w:ascii="Verdana" w:eastAsia="Calibri" w:hAnsi="Verdana" w:cs="Arial"/>
                <w:b/>
                <w:lang w:val="es-ES_tradnl" w:eastAsia="es-ES_tradnl"/>
              </w:rPr>
              <w:t>Radicación:</w:t>
            </w:r>
            <w:r w:rsidRPr="00234B4E">
              <w:rPr>
                <w:rFonts w:ascii="Verdana" w:eastAsia="Calibri" w:hAnsi="Verdana" w:cs="Arial"/>
                <w:lang w:val="es-ES_tradnl" w:eastAsia="es-ES_tradnl"/>
              </w:rPr>
              <w:t xml:space="preserve">               </w:t>
            </w:r>
          </w:p>
        </w:tc>
        <w:tc>
          <w:tcPr>
            <w:tcW w:w="6100" w:type="dxa"/>
          </w:tcPr>
          <w:p w14:paraId="6C5D9E68" w14:textId="77777777" w:rsidR="006D4B8B" w:rsidRPr="00234B4E" w:rsidRDefault="006D4B8B" w:rsidP="00EC1F02">
            <w:pPr>
              <w:jc w:val="both"/>
              <w:rPr>
                <w:rFonts w:ascii="Verdana" w:eastAsia="Calibri" w:hAnsi="Verdana" w:cs="Arial"/>
                <w:lang w:val="es-ES" w:eastAsia="es-ES"/>
              </w:rPr>
            </w:pPr>
            <w:r w:rsidRPr="1D2F7898">
              <w:rPr>
                <w:rFonts w:ascii="Verdana" w:eastAsia="Calibri" w:hAnsi="Verdana" w:cs="Arial"/>
                <w:lang w:val="es-ES" w:eastAsia="es-ES"/>
              </w:rPr>
              <w:t>Respuesta a consulta con radicado No. </w:t>
            </w:r>
            <w:r w:rsidRPr="00BB0730">
              <w:rPr>
                <w:rFonts w:ascii="Verdana" w:eastAsia="Calibri" w:hAnsi="Verdana" w:cs="Arial"/>
                <w:lang w:val="es-ES" w:eastAsia="es-ES"/>
              </w:rPr>
              <w:t>1_2026_07_03_008896</w:t>
            </w:r>
          </w:p>
        </w:tc>
      </w:tr>
    </w:tbl>
    <w:p w14:paraId="48441F6F" w14:textId="77777777" w:rsidR="006D4B8B" w:rsidRPr="00234B4E" w:rsidRDefault="006D4B8B" w:rsidP="006D4B8B">
      <w:pPr>
        <w:spacing w:after="0" w:line="240" w:lineRule="auto"/>
        <w:jc w:val="both"/>
        <w:rPr>
          <w:rFonts w:ascii="Verdana" w:eastAsia="Calibri" w:hAnsi="Verdana" w:cs="Arial"/>
          <w:lang w:val="es-ES_tradnl" w:eastAsia="es-ES_tradnl"/>
        </w:rPr>
      </w:pPr>
    </w:p>
    <w:p w14:paraId="7876BFAF" w14:textId="77777777" w:rsidR="006D4B8B" w:rsidRPr="00234B4E" w:rsidRDefault="006D4B8B" w:rsidP="006D4B8B">
      <w:pPr>
        <w:spacing w:after="0" w:line="240" w:lineRule="auto"/>
        <w:jc w:val="both"/>
        <w:rPr>
          <w:rFonts w:ascii="Verdana" w:eastAsia="Calibri" w:hAnsi="Verdana" w:cs="Arial"/>
          <w:lang w:val="es-ES_tradnl" w:eastAsia="es-ES_tradnl"/>
        </w:rPr>
      </w:pPr>
    </w:p>
    <w:p w14:paraId="7EA49F05" w14:textId="77777777" w:rsidR="006D4B8B" w:rsidRPr="00234B4E" w:rsidRDefault="006D4B8B" w:rsidP="006D4B8B">
      <w:pPr>
        <w:spacing w:after="0" w:line="276" w:lineRule="auto"/>
        <w:jc w:val="both"/>
        <w:rPr>
          <w:rFonts w:ascii="Verdana" w:eastAsia="Calibri" w:hAnsi="Verdana" w:cs="Arial"/>
          <w:lang w:val="es-ES" w:eastAsia="es-ES"/>
        </w:rPr>
      </w:pPr>
      <w:r w:rsidRPr="00234B4E">
        <w:rPr>
          <w:rFonts w:ascii="Verdana" w:eastAsia="Calibri" w:hAnsi="Verdana" w:cs="Arial"/>
          <w:lang w:val="es-ES" w:eastAsia="es-ES"/>
        </w:rPr>
        <w:t>Estimad</w:t>
      </w:r>
      <w:r>
        <w:rPr>
          <w:rFonts w:ascii="Verdana" w:eastAsia="Calibri" w:hAnsi="Verdana" w:cs="Arial"/>
          <w:lang w:val="es-ES" w:eastAsia="es-ES"/>
        </w:rPr>
        <w:t>a</w:t>
      </w:r>
      <w:r w:rsidRPr="00234B4E">
        <w:rPr>
          <w:rFonts w:ascii="Verdana" w:eastAsia="Calibri" w:hAnsi="Verdana" w:cs="Arial"/>
          <w:lang w:val="es-ES" w:eastAsia="es-ES"/>
        </w:rPr>
        <w:t xml:space="preserve"> señor</w:t>
      </w:r>
      <w:r>
        <w:rPr>
          <w:rFonts w:ascii="Verdana" w:eastAsia="Calibri" w:hAnsi="Verdana" w:cs="Arial"/>
          <w:lang w:val="es-ES" w:eastAsia="es-ES"/>
        </w:rPr>
        <w:t>a</w:t>
      </w:r>
      <w:r w:rsidRPr="00234B4E">
        <w:rPr>
          <w:rFonts w:ascii="Verdana" w:eastAsia="Calibri" w:hAnsi="Verdana" w:cs="Arial"/>
          <w:lang w:val="es-ES" w:eastAsia="es-ES"/>
        </w:rPr>
        <w:t xml:space="preserve"> </w:t>
      </w:r>
      <w:r>
        <w:rPr>
          <w:rFonts w:ascii="Verdana" w:eastAsia="Calibri" w:hAnsi="Verdana" w:cs="Arial"/>
          <w:lang w:val="es-ES" w:eastAsia="es-ES"/>
        </w:rPr>
        <w:t>Gutiérrez</w:t>
      </w:r>
      <w:r w:rsidRPr="00234B4E">
        <w:rPr>
          <w:rFonts w:ascii="Verdana" w:eastAsia="Calibri" w:hAnsi="Verdana" w:cs="Arial"/>
          <w:lang w:val="es-ES" w:eastAsia="es-ES"/>
        </w:rPr>
        <w:t xml:space="preserve">: </w:t>
      </w:r>
    </w:p>
    <w:p w14:paraId="0C758C2A" w14:textId="77777777" w:rsidR="006D4B8B" w:rsidRPr="00234B4E" w:rsidRDefault="006D4B8B" w:rsidP="006D4B8B">
      <w:pPr>
        <w:tabs>
          <w:tab w:val="left" w:pos="3768"/>
        </w:tabs>
        <w:spacing w:after="0" w:line="276" w:lineRule="auto"/>
        <w:jc w:val="both"/>
        <w:rPr>
          <w:rFonts w:ascii="Verdana" w:eastAsia="Calibri" w:hAnsi="Verdana" w:cs="Arial"/>
          <w:lang w:val="es-ES" w:eastAsia="es-ES"/>
        </w:rPr>
      </w:pPr>
    </w:p>
    <w:p w14:paraId="148ED8CA" w14:textId="77777777" w:rsidR="006D4B8B" w:rsidRDefault="006D4B8B" w:rsidP="006D4B8B">
      <w:pPr>
        <w:spacing w:after="0" w:line="276" w:lineRule="auto"/>
        <w:jc w:val="both"/>
        <w:rPr>
          <w:rFonts w:ascii="Verdana" w:eastAsia="Calibri" w:hAnsi="Verdana" w:cs="Arial"/>
          <w:lang w:val="es-ES" w:eastAsia="es-ES"/>
        </w:rPr>
      </w:pPr>
      <w:r w:rsidRPr="00234B4E">
        <w:rPr>
          <w:rFonts w:ascii="Verdana" w:eastAsia="Calibri" w:hAnsi="Verdana" w:cs="Arial"/>
          <w:lang w:val="es-ES" w:eastAsia="es-ES"/>
        </w:rPr>
        <w:t>En ejercicio de la competencia otorgada por los artículos 3, numeral 5º, y 11, numeral 8º, del Decreto Ley 4170 de 2011,</w:t>
      </w:r>
      <w:r w:rsidRPr="00234B4E">
        <w:rPr>
          <w:rFonts w:ascii="Verdana" w:eastAsia="Arial MT" w:hAnsi="Verdana" w:cs="Arial MT"/>
          <w:lang w:val="es-ES" w:eastAsia="es-ES"/>
        </w:rPr>
        <w:t xml:space="preserve"> </w:t>
      </w:r>
      <w:r w:rsidRPr="00234B4E">
        <w:rPr>
          <w:rFonts w:ascii="Verdana" w:eastAsia="Aptos" w:hAnsi="Verdana" w:cs="Arial"/>
        </w:rPr>
        <w:t xml:space="preserve">así como lo establecido en el artículo 4 de la Resolución 1707 de 2018 expedida por esta Entidad, </w:t>
      </w:r>
      <w:r w:rsidRPr="00234B4E">
        <w:rPr>
          <w:rFonts w:ascii="Verdana" w:eastAsia="Calibri" w:hAnsi="Verdana" w:cs="Arial"/>
          <w:lang w:val="es-ES" w:eastAsia="es-ES"/>
        </w:rPr>
        <w:t xml:space="preserve">la Agencia Nacional de Contratación Pública – Colombia Compra Eficiente– responde su solicitud de petición de fecha del </w:t>
      </w:r>
      <w:r>
        <w:rPr>
          <w:rFonts w:ascii="Verdana" w:eastAsia="Calibri" w:hAnsi="Verdana" w:cs="Arial"/>
          <w:lang w:val="es-ES" w:eastAsia="es-ES"/>
        </w:rPr>
        <w:t>03 de julio de 2026</w:t>
      </w:r>
      <w:r w:rsidRPr="00234B4E">
        <w:rPr>
          <w:rFonts w:ascii="Verdana" w:eastAsia="Calibri" w:hAnsi="Verdana" w:cs="Arial"/>
          <w:lang w:val="es-ES" w:eastAsia="es-ES"/>
        </w:rPr>
        <w:t xml:space="preserve">, en la que realiza la siguiente consulta: </w:t>
      </w:r>
    </w:p>
    <w:p w14:paraId="471F7355" w14:textId="77777777" w:rsidR="006D4B8B" w:rsidRDefault="006D4B8B" w:rsidP="006D4B8B">
      <w:pPr>
        <w:spacing w:after="0" w:line="276" w:lineRule="auto"/>
        <w:jc w:val="both"/>
        <w:rPr>
          <w:rFonts w:ascii="Verdana" w:eastAsia="Calibri" w:hAnsi="Verdana" w:cs="Arial"/>
          <w:lang w:val="es-ES" w:eastAsia="es-ES"/>
        </w:rPr>
      </w:pPr>
    </w:p>
    <w:p w14:paraId="1C985554" w14:textId="77777777" w:rsidR="006D4B8B" w:rsidRPr="007B2B8A" w:rsidRDefault="006D4B8B" w:rsidP="006D4B8B">
      <w:pPr>
        <w:spacing w:after="0" w:line="240" w:lineRule="auto"/>
        <w:ind w:left="709" w:right="709"/>
        <w:jc w:val="both"/>
        <w:rPr>
          <w:rFonts w:ascii="Verdana" w:eastAsia="Calibri" w:hAnsi="Verdana" w:cs="Arial"/>
          <w:sz w:val="20"/>
          <w:szCs w:val="20"/>
          <w:lang w:val="es-ES" w:eastAsia="es-ES"/>
        </w:rPr>
      </w:pPr>
      <w:r w:rsidRPr="007B2B8A">
        <w:rPr>
          <w:rFonts w:ascii="Verdana" w:eastAsia="Calibri" w:hAnsi="Verdana" w:cs="Arial"/>
          <w:sz w:val="20"/>
          <w:szCs w:val="20"/>
          <w:lang w:val="es-ES" w:eastAsia="es-ES"/>
        </w:rPr>
        <w:t xml:space="preserve">“En una Personería Municipal existe una servidora pública que desempeña el cargo de </w:t>
      </w:r>
      <w:proofErr w:type="gramStart"/>
      <w:r w:rsidRPr="007B2B8A">
        <w:rPr>
          <w:rFonts w:ascii="Verdana" w:eastAsia="Calibri" w:hAnsi="Verdana" w:cs="Arial"/>
          <w:sz w:val="20"/>
          <w:szCs w:val="20"/>
          <w:lang w:val="es-ES" w:eastAsia="es-ES"/>
        </w:rPr>
        <w:t>Directora</w:t>
      </w:r>
      <w:proofErr w:type="gramEnd"/>
      <w:r w:rsidRPr="007B2B8A">
        <w:rPr>
          <w:rFonts w:ascii="Verdana" w:eastAsia="Calibri" w:hAnsi="Verdana" w:cs="Arial"/>
          <w:sz w:val="20"/>
          <w:szCs w:val="20"/>
          <w:lang w:val="es-ES" w:eastAsia="es-ES"/>
        </w:rPr>
        <w:t xml:space="preserve"> Administrativa y Financiera, perteneciente al nivel directivo de la entidad. La mencionada funcionaria no ejerce funciones de control interno, control disciplinario ni control fiscal. Se plantea la posibilidad de celebrar un contrato de prestación de servicios profesionales o de apoyo a la gestión con una prima de dicha servidora pública, parentesco que corresponde al cuarto grado de consanguinidad. Adicionalmente, la eventual contratista sería asignada funcionalmente a </w:t>
      </w:r>
      <w:r w:rsidRPr="007B2B8A">
        <w:rPr>
          <w:rFonts w:ascii="Verdana" w:eastAsia="Calibri" w:hAnsi="Verdana" w:cs="Arial"/>
          <w:sz w:val="20"/>
          <w:szCs w:val="20"/>
          <w:lang w:val="es-ES" w:eastAsia="es-ES"/>
        </w:rPr>
        <w:lastRenderedPageBreak/>
        <w:t xml:space="preserve">otra dependencia de la Personería Municipal, concretamente a una Personería </w:t>
      </w:r>
      <w:proofErr w:type="gramStart"/>
      <w:r w:rsidRPr="007B2B8A">
        <w:rPr>
          <w:rFonts w:ascii="Verdana" w:eastAsia="Calibri" w:hAnsi="Verdana" w:cs="Arial"/>
          <w:sz w:val="20"/>
          <w:szCs w:val="20"/>
          <w:lang w:val="es-ES" w:eastAsia="es-ES"/>
        </w:rPr>
        <w:t>Delegada</w:t>
      </w:r>
      <w:proofErr w:type="gramEnd"/>
      <w:r w:rsidRPr="007B2B8A">
        <w:rPr>
          <w:rFonts w:ascii="Verdana" w:eastAsia="Calibri" w:hAnsi="Verdana" w:cs="Arial"/>
          <w:sz w:val="20"/>
          <w:szCs w:val="20"/>
          <w:lang w:val="es-ES" w:eastAsia="es-ES"/>
        </w:rPr>
        <w:t xml:space="preserve"> distinta del área administrativa y financiera, sin dependencia funcional ni supervisión directa de la mencionada directiva.</w:t>
      </w:r>
    </w:p>
    <w:p w14:paraId="1B0E3C01" w14:textId="77777777" w:rsidR="006D4B8B" w:rsidRPr="007B2B8A" w:rsidRDefault="006D4B8B" w:rsidP="006D4B8B">
      <w:pPr>
        <w:spacing w:after="0" w:line="240" w:lineRule="auto"/>
        <w:ind w:left="709" w:right="709"/>
        <w:jc w:val="both"/>
        <w:rPr>
          <w:rFonts w:ascii="Verdana" w:eastAsia="Calibri" w:hAnsi="Verdana" w:cs="Arial"/>
          <w:sz w:val="20"/>
          <w:szCs w:val="20"/>
          <w:lang w:val="es-ES" w:eastAsia="es-ES"/>
        </w:rPr>
      </w:pPr>
      <w:r w:rsidRPr="007B2B8A">
        <w:rPr>
          <w:rFonts w:ascii="Verdana" w:eastAsia="Calibri" w:hAnsi="Verdana" w:cs="Arial"/>
          <w:sz w:val="20"/>
          <w:szCs w:val="20"/>
          <w:lang w:val="es-ES" w:eastAsia="es-ES"/>
        </w:rPr>
        <w:t>[…]</w:t>
      </w:r>
    </w:p>
    <w:p w14:paraId="0C20A697" w14:textId="77777777" w:rsidR="006D4B8B" w:rsidRPr="007B2B8A" w:rsidRDefault="006D4B8B" w:rsidP="006D4B8B">
      <w:pPr>
        <w:spacing w:after="0" w:line="240" w:lineRule="auto"/>
        <w:ind w:left="709" w:right="709"/>
        <w:jc w:val="both"/>
        <w:rPr>
          <w:rFonts w:ascii="Verdana" w:eastAsia="Calibri" w:hAnsi="Verdana" w:cs="Arial"/>
          <w:sz w:val="20"/>
          <w:szCs w:val="20"/>
          <w:lang w:val="es-ES" w:eastAsia="es-ES"/>
        </w:rPr>
      </w:pPr>
      <w:r w:rsidRPr="007B2B8A">
        <w:rPr>
          <w:rFonts w:ascii="Verdana" w:eastAsia="Calibri" w:hAnsi="Verdana" w:cs="Arial"/>
          <w:sz w:val="20"/>
          <w:szCs w:val="20"/>
          <w:lang w:val="es-ES" w:eastAsia="es-ES"/>
        </w:rPr>
        <w:t>Teniendo en cuenta lo anterior, y atendiendo se solicita concepto respecto a si en el caso descrito se configura alguna inhabilidad o incompatibilidad para contratar con la entidad, conforme a la Constitución Política, la Ley 80 de 1993 y demás normas aplicables en materia de contratación estatal”. [sic]</w:t>
      </w:r>
    </w:p>
    <w:p w14:paraId="5BA3B97C" w14:textId="77777777" w:rsidR="006D4B8B" w:rsidRDefault="006D4B8B" w:rsidP="006D4B8B">
      <w:pPr>
        <w:tabs>
          <w:tab w:val="left" w:pos="142"/>
          <w:tab w:val="left" w:pos="284"/>
        </w:tabs>
        <w:spacing w:after="0" w:line="240" w:lineRule="auto"/>
        <w:contextualSpacing/>
        <w:jc w:val="both"/>
        <w:rPr>
          <w:rFonts w:ascii="Verdana" w:eastAsia="Century Gothic" w:hAnsi="Verdana" w:cs="Century Gothic"/>
          <w:b/>
          <w:bCs/>
          <w:sz w:val="20"/>
          <w:szCs w:val="20"/>
          <w:lang w:val="es-ES"/>
        </w:rPr>
      </w:pPr>
    </w:p>
    <w:p w14:paraId="330FA097" w14:textId="77777777" w:rsidR="006D4B8B" w:rsidRPr="00234B4E" w:rsidRDefault="006D4B8B" w:rsidP="006D4B8B">
      <w:pPr>
        <w:spacing w:after="120" w:line="276" w:lineRule="auto"/>
        <w:ind w:firstLine="709"/>
        <w:jc w:val="both"/>
        <w:rPr>
          <w:rFonts w:ascii="Verdana" w:eastAsia="Calibri" w:hAnsi="Verdana" w:cs="Arial"/>
          <w:szCs w:val="24"/>
          <w:lang w:val="es-ES_tradnl" w:eastAsia="es-ES_tradnl"/>
        </w:rPr>
      </w:pPr>
      <w:r w:rsidRPr="00234B4E">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99092D3" w14:textId="77777777" w:rsidR="006D4B8B" w:rsidRPr="00234B4E" w:rsidRDefault="006D4B8B" w:rsidP="006D4B8B">
      <w:pPr>
        <w:spacing w:after="0" w:line="276" w:lineRule="auto"/>
        <w:ind w:firstLine="709"/>
        <w:jc w:val="both"/>
        <w:rPr>
          <w:rFonts w:ascii="Verdana" w:eastAsia="Calibri" w:hAnsi="Verdana" w:cs="Arial"/>
          <w:lang w:val="es-ES" w:eastAsia="es-ES"/>
        </w:rPr>
      </w:pPr>
      <w:r w:rsidRPr="00234B4E">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A5D9DEA" w14:textId="77777777" w:rsidR="006D4B8B" w:rsidRPr="00234B4E" w:rsidRDefault="006D4B8B" w:rsidP="006D4B8B">
      <w:pPr>
        <w:spacing w:after="0" w:line="276" w:lineRule="auto"/>
        <w:ind w:firstLine="709"/>
        <w:jc w:val="both"/>
        <w:rPr>
          <w:rFonts w:ascii="Verdana" w:eastAsia="Calibri" w:hAnsi="Verdana" w:cs="Arial"/>
          <w:lang w:val="es-ES" w:eastAsia="es-ES"/>
        </w:rPr>
      </w:pPr>
    </w:p>
    <w:p w14:paraId="347FFE30" w14:textId="77777777" w:rsidR="006D4B8B" w:rsidRPr="00234B4E" w:rsidRDefault="006D4B8B" w:rsidP="006D4B8B">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234B4E">
        <w:rPr>
          <w:rFonts w:ascii="Verdana" w:eastAsia="Arial" w:hAnsi="Verdana" w:cs="Arial"/>
          <w:b/>
          <w:bCs/>
          <w:lang w:val="es-ES"/>
        </w:rPr>
        <w:t>1. Problema planteado:</w:t>
      </w:r>
    </w:p>
    <w:p w14:paraId="2D474BA9" w14:textId="77777777" w:rsidR="006D4B8B" w:rsidRPr="00234B4E" w:rsidRDefault="006D4B8B" w:rsidP="006D4B8B">
      <w:pPr>
        <w:tabs>
          <w:tab w:val="left" w:pos="426"/>
        </w:tabs>
        <w:spacing w:after="0" w:line="276" w:lineRule="auto"/>
        <w:jc w:val="both"/>
        <w:rPr>
          <w:rFonts w:ascii="Verdana" w:eastAsia="Century Gothic" w:hAnsi="Verdana" w:cs="Century Gothic"/>
          <w:lang w:val="es-ES"/>
        </w:rPr>
      </w:pPr>
    </w:p>
    <w:p w14:paraId="232E4C2B" w14:textId="77777777" w:rsidR="006D4B8B" w:rsidRPr="00234B4E" w:rsidRDefault="006D4B8B" w:rsidP="006D4B8B">
      <w:pPr>
        <w:spacing w:after="0" w:line="276" w:lineRule="auto"/>
        <w:jc w:val="both"/>
        <w:rPr>
          <w:rFonts w:ascii="Verdana" w:eastAsia="Century Gothic" w:hAnsi="Verdana" w:cs="Century Gothic"/>
        </w:rPr>
      </w:pPr>
      <w:r w:rsidRPr="1D2F7898">
        <w:rPr>
          <w:rFonts w:ascii="Verdana" w:eastAsia="Century Gothic" w:hAnsi="Verdana" w:cs="Century Gothic"/>
        </w:rPr>
        <w:t xml:space="preserve">De acuerdo con el contenido de su solicitud, le informamos que la misma se resolverá desde el siguiente </w:t>
      </w:r>
      <w:bookmarkStart w:id="1" w:name="_Hlk171070029"/>
      <w:r w:rsidRPr="1D2F7898">
        <w:rPr>
          <w:rFonts w:ascii="Verdana" w:eastAsia="Century Gothic" w:hAnsi="Verdana" w:cs="Century Gothic"/>
        </w:rPr>
        <w:t>interrogante: ¿Qué limitaciones para contratar con el Estado ha establecido el régimen de inhabilidades e incompatibilidades respecto del vínculo de consanguinidad?</w:t>
      </w:r>
    </w:p>
    <w:p w14:paraId="422CC2D2" w14:textId="77777777" w:rsidR="006D4B8B" w:rsidRPr="00234B4E" w:rsidRDefault="006D4B8B" w:rsidP="006D4B8B">
      <w:pPr>
        <w:spacing w:after="0" w:line="276" w:lineRule="auto"/>
        <w:jc w:val="both"/>
        <w:rPr>
          <w:rFonts w:ascii="Verdana" w:eastAsia="Calibri" w:hAnsi="Verdana" w:cs="Arial"/>
          <w:lang w:val="es-ES"/>
        </w:rPr>
      </w:pPr>
    </w:p>
    <w:bookmarkEnd w:id="1"/>
    <w:p w14:paraId="4A3ACAC7" w14:textId="77777777" w:rsidR="006D4B8B" w:rsidRPr="00234B4E" w:rsidRDefault="006D4B8B" w:rsidP="006D4B8B">
      <w:pPr>
        <w:widowControl w:val="0"/>
        <w:autoSpaceDE w:val="0"/>
        <w:autoSpaceDN w:val="0"/>
        <w:spacing w:before="1" w:after="0" w:line="240" w:lineRule="auto"/>
        <w:jc w:val="both"/>
        <w:outlineLvl w:val="0"/>
        <w:rPr>
          <w:rFonts w:ascii="Verdana" w:eastAsia="Arial" w:hAnsi="Verdana" w:cs="Arial"/>
          <w:b/>
          <w:bCs/>
          <w:lang w:val="es-ES"/>
        </w:rPr>
      </w:pPr>
      <w:r w:rsidRPr="00234B4E">
        <w:rPr>
          <w:rFonts w:ascii="Verdana" w:eastAsia="Arial" w:hAnsi="Verdana" w:cs="Arial"/>
          <w:b/>
          <w:bCs/>
          <w:lang w:val="es-ES"/>
        </w:rPr>
        <w:t>2. Respuesta:</w:t>
      </w:r>
    </w:p>
    <w:p w14:paraId="4C8221FD" w14:textId="77777777" w:rsidR="006D4B8B" w:rsidRPr="00234B4E" w:rsidRDefault="006D4B8B" w:rsidP="006D4B8B">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D4B8B" w:rsidRPr="00234B4E" w14:paraId="27801543" w14:textId="77777777" w:rsidTr="00EC1F02">
        <w:tc>
          <w:tcPr>
            <w:tcW w:w="8828" w:type="dxa"/>
          </w:tcPr>
          <w:p w14:paraId="375EBDC1" w14:textId="77777777" w:rsidR="006D4B8B" w:rsidRPr="00234B4E" w:rsidRDefault="006D4B8B" w:rsidP="00EC1F02">
            <w:pPr>
              <w:spacing w:before="120" w:line="276" w:lineRule="auto"/>
              <w:contextualSpacing/>
              <w:jc w:val="both"/>
              <w:rPr>
                <w:rFonts w:ascii="Verdana" w:eastAsia="Calibri" w:hAnsi="Verdana" w:cs="Arial"/>
                <w:lang w:val="es-ES"/>
              </w:rPr>
            </w:pPr>
            <w:bookmarkStart w:id="2" w:name="_Hlk171067516"/>
            <w:r w:rsidRPr="00234B4E">
              <w:rPr>
                <w:rFonts w:ascii="Verdana" w:eastAsia="Calibri" w:hAnsi="Verdana" w:cs="Arial"/>
                <w:lang w:val="es-ES"/>
              </w:rPr>
              <w:lastRenderedPageBreak/>
              <w:t>Sobre el particular debe precisarse inicialmente, que al constituir el régimen de inhabilidades e incompatibilidades restricciones o límites especiales a la capacidad para presentar ofertas y celebrar contratos estatales, sólo pueden tipificarse en la ley o la Constitución –o sea, deben satisfacer el principio de legalidad– y su interpretación debe ser restrictiva. En ese sentido, se tiene que, al estudiar el contenido del artículo 8 de la Ley 80 de 1993, se observa que este establece unas limitaciones a la capacidad para suscribir contratos estatales y presentar ofertas, respecto del vínculo sanguíneo de las personas naturales, particularmente en los siguientes apartes:</w:t>
            </w:r>
          </w:p>
          <w:p w14:paraId="48A25C98" w14:textId="77777777" w:rsidR="006D4B8B" w:rsidRPr="00234B4E" w:rsidRDefault="006D4B8B" w:rsidP="00EC1F02">
            <w:pPr>
              <w:spacing w:before="120" w:line="276" w:lineRule="auto"/>
              <w:ind w:firstLine="708"/>
              <w:jc w:val="both"/>
              <w:rPr>
                <w:rFonts w:ascii="Verdana" w:eastAsia="Calibri" w:hAnsi="Verdana" w:cs="Arial"/>
                <w:lang w:val="es-ES"/>
              </w:rPr>
            </w:pPr>
            <w:r>
              <w:rPr>
                <w:rFonts w:ascii="Verdana" w:eastAsia="Calibri" w:hAnsi="Verdana" w:cs="Arial"/>
                <w:lang w:val="es-ES"/>
              </w:rPr>
              <w:t xml:space="preserve">i) </w:t>
            </w:r>
            <w:r w:rsidRPr="00234B4E">
              <w:rPr>
                <w:rFonts w:ascii="Verdana" w:eastAsia="Calibri" w:hAnsi="Verdana" w:cs="Arial"/>
                <w:lang w:val="es-ES"/>
              </w:rPr>
              <w:t>Numeral 1, literal g): determina que son inhábiles para participar de Procesos de Contratación o suscribir contratos con Entidades Estatales “[q]</w:t>
            </w:r>
            <w:proofErr w:type="spellStart"/>
            <w:r w:rsidRPr="00234B4E">
              <w:rPr>
                <w:rFonts w:ascii="Verdana" w:eastAsia="Calibri" w:hAnsi="Verdana" w:cs="Arial"/>
                <w:lang w:val="es-ES"/>
              </w:rPr>
              <w:t>uienes</w:t>
            </w:r>
            <w:proofErr w:type="spellEnd"/>
            <w:r w:rsidRPr="00234B4E">
              <w:rPr>
                <w:rFonts w:ascii="Verdana" w:eastAsia="Calibri" w:hAnsi="Verdana" w:cs="Arial"/>
                <w:lang w:val="es-ES"/>
              </w:rPr>
              <w:t xml:space="preserve"> sean cónyuges o compañeros permanentes y quienes se encuentren dentro del segundo grado de consanguinidad o segundo de afinidad con cualquier otra persona que formalmente haya presentado propuesta para una misma licitación”.</w:t>
            </w:r>
          </w:p>
          <w:p w14:paraId="17C71800" w14:textId="77777777" w:rsidR="006D4B8B" w:rsidRPr="00234B4E" w:rsidRDefault="006D4B8B" w:rsidP="00EC1F02">
            <w:pPr>
              <w:spacing w:before="120" w:line="276" w:lineRule="auto"/>
              <w:ind w:firstLine="708"/>
              <w:jc w:val="both"/>
              <w:rPr>
                <w:rFonts w:ascii="Verdana" w:eastAsia="Calibri" w:hAnsi="Verdana" w:cs="Arial"/>
                <w:lang w:val="es-ES"/>
              </w:rPr>
            </w:pPr>
            <w:proofErr w:type="spellStart"/>
            <w:r>
              <w:rPr>
                <w:rFonts w:ascii="Verdana" w:eastAsia="Calibri" w:hAnsi="Verdana" w:cs="Arial"/>
                <w:lang w:val="es-ES"/>
              </w:rPr>
              <w:t>ii</w:t>
            </w:r>
            <w:proofErr w:type="spellEnd"/>
            <w:r>
              <w:rPr>
                <w:rFonts w:ascii="Verdana" w:eastAsia="Calibri" w:hAnsi="Verdana" w:cs="Arial"/>
                <w:lang w:val="es-ES"/>
              </w:rPr>
              <w:t xml:space="preserve">) </w:t>
            </w:r>
            <w:r w:rsidRPr="00234B4E">
              <w:rPr>
                <w:rFonts w:ascii="Verdana" w:eastAsia="Calibri" w:hAnsi="Verdana" w:cs="Arial"/>
                <w:lang w:val="es-ES"/>
              </w:rPr>
              <w:t>Numeral 1, literal h): establece que son inhábiles para participar de Procesos de Contratación o suscribir contratos con Entidades Estatales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w:t>
            </w:r>
          </w:p>
          <w:p w14:paraId="4BF0773D" w14:textId="77777777" w:rsidR="006D4B8B" w:rsidRPr="00234B4E" w:rsidRDefault="006D4B8B" w:rsidP="00EC1F02">
            <w:pPr>
              <w:spacing w:before="120" w:line="276" w:lineRule="auto"/>
              <w:ind w:firstLine="708"/>
              <w:jc w:val="both"/>
              <w:rPr>
                <w:rFonts w:ascii="Verdana" w:eastAsia="Calibri" w:hAnsi="Verdana" w:cs="Arial"/>
                <w:lang w:val="es-ES"/>
              </w:rPr>
            </w:pPr>
            <w:proofErr w:type="spellStart"/>
            <w:r>
              <w:rPr>
                <w:rFonts w:ascii="Verdana" w:eastAsia="Calibri" w:hAnsi="Verdana" w:cs="Arial"/>
                <w:lang w:val="es-ES"/>
              </w:rPr>
              <w:t>iii</w:t>
            </w:r>
            <w:proofErr w:type="spellEnd"/>
            <w:r>
              <w:rPr>
                <w:rFonts w:ascii="Verdana" w:eastAsia="Calibri" w:hAnsi="Verdana" w:cs="Arial"/>
                <w:lang w:val="es-ES"/>
              </w:rPr>
              <w:t xml:space="preserve">) </w:t>
            </w:r>
            <w:r w:rsidRPr="00234B4E">
              <w:rPr>
                <w:rFonts w:ascii="Verdana" w:eastAsia="Calibri" w:hAnsi="Verdana" w:cs="Arial"/>
                <w:lang w:val="es-ES"/>
              </w:rPr>
              <w:t>Numeral 2, literal b): dispone que tampoco podrán participar en licitaciones ni celebrar contratos estatales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631B44B0" w14:textId="77777777" w:rsidR="006D4B8B" w:rsidRPr="00234B4E" w:rsidRDefault="006D4B8B" w:rsidP="00EC1F02">
            <w:pPr>
              <w:spacing w:before="120" w:line="276" w:lineRule="auto"/>
              <w:ind w:firstLine="708"/>
              <w:jc w:val="both"/>
              <w:rPr>
                <w:rFonts w:ascii="Verdana" w:eastAsia="Calibri" w:hAnsi="Verdana" w:cs="Arial"/>
                <w:lang w:val="es-ES"/>
              </w:rPr>
            </w:pPr>
            <w:proofErr w:type="spellStart"/>
            <w:r>
              <w:rPr>
                <w:rFonts w:ascii="Verdana" w:eastAsia="Calibri" w:hAnsi="Verdana" w:cs="Arial"/>
                <w:lang w:val="es-ES"/>
              </w:rPr>
              <w:t>iv</w:t>
            </w:r>
            <w:proofErr w:type="spellEnd"/>
            <w:r>
              <w:rPr>
                <w:rFonts w:ascii="Verdana" w:eastAsia="Calibri" w:hAnsi="Verdana" w:cs="Arial"/>
                <w:lang w:val="es-ES"/>
              </w:rPr>
              <w:t xml:space="preserve">) </w:t>
            </w:r>
            <w:r w:rsidRPr="00234B4E">
              <w:rPr>
                <w:rFonts w:ascii="Verdana" w:eastAsia="Calibri" w:hAnsi="Verdana" w:cs="Arial"/>
                <w:lang w:val="es-ES"/>
              </w:rPr>
              <w:t>Numeral 2, literal c): señala que no podrán participar en licitaciones ni celebrar contratos estatales “[e]l cónyuge, compañero o compañera permanente del servidor público en los niveles directivo, asesor, ejecutivo, o de un miembro de la junta o consejo directivo, o quien ejerza funciones de control interno o de control fiscal”.</w:t>
            </w:r>
          </w:p>
          <w:p w14:paraId="2826F280" w14:textId="77777777" w:rsidR="006D4B8B" w:rsidRPr="00234B4E" w:rsidRDefault="006D4B8B" w:rsidP="00EC1F02">
            <w:pPr>
              <w:spacing w:before="120" w:line="276" w:lineRule="auto"/>
              <w:ind w:firstLine="708"/>
              <w:jc w:val="both"/>
              <w:rPr>
                <w:rFonts w:ascii="Verdana" w:eastAsia="Calibri" w:hAnsi="Verdana" w:cs="Arial"/>
                <w:lang w:val="es-ES"/>
              </w:rPr>
            </w:pPr>
            <w:r>
              <w:rPr>
                <w:rFonts w:ascii="Verdana" w:eastAsia="Calibri" w:hAnsi="Verdana" w:cs="Arial"/>
                <w:lang w:val="es-ES"/>
              </w:rPr>
              <w:lastRenderedPageBreak/>
              <w:t xml:space="preserve">v) </w:t>
            </w:r>
            <w:r w:rsidRPr="00234B4E">
              <w:rPr>
                <w:rFonts w:ascii="Verdana" w:eastAsia="Calibri" w:hAnsi="Verdana" w:cs="Arial"/>
                <w:lang w:val="es-ES"/>
              </w:rPr>
              <w:t>Numeral 2, literal d): indica que tampoco podrán participar en licitaciones ni celebrar contratos estatales “[l]as corporaciones, asociaciones, fundaciones y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w:t>
            </w:r>
          </w:p>
          <w:p w14:paraId="7931D4D0" w14:textId="77777777" w:rsidR="006D4B8B" w:rsidRPr="00234B4E" w:rsidRDefault="006D4B8B" w:rsidP="00EC1F02">
            <w:pPr>
              <w:spacing w:before="120" w:line="276" w:lineRule="auto"/>
              <w:ind w:firstLine="709"/>
              <w:jc w:val="both"/>
              <w:rPr>
                <w:rFonts w:ascii="Verdana" w:eastAsia="Calibri" w:hAnsi="Verdana" w:cs="Arial"/>
                <w:lang w:val="es-ES"/>
              </w:rPr>
            </w:pPr>
            <w:r w:rsidRPr="1D2F7898">
              <w:rPr>
                <w:rFonts w:ascii="Verdana" w:eastAsia="Calibri" w:hAnsi="Verdana" w:cs="Arial"/>
                <w:lang w:val="es-ES"/>
              </w:rPr>
              <w:t xml:space="preserve">Como se observa, dichas inhabilidades e incompatibilidades tienen fundamento en las relaciones </w:t>
            </w:r>
            <w:r>
              <w:rPr>
                <w:rFonts w:ascii="Verdana" w:eastAsia="Calibri" w:hAnsi="Verdana" w:cs="Arial"/>
                <w:lang w:val="es-ES"/>
              </w:rPr>
              <w:t>consanguíneas</w:t>
            </w:r>
            <w:r w:rsidRPr="1D2F7898">
              <w:rPr>
                <w:rFonts w:ascii="Verdana" w:eastAsia="Calibri" w:hAnsi="Verdana" w:cs="Arial"/>
                <w:lang w:val="es-ES"/>
              </w:rPr>
              <w:t>, tales como padres, hijos y hermanos, así como aquellas personas respecto de las cuales se predican relaciones de consanguinidad o afinidad hasta el segundo grado. Esto implica que las referidas causales de inhabilidad e incompatibilidad se instituyen, única y exclusivamente, con el propósito de limitar la capacidad en la participación en Procesos de Contratación de las denominadas personas naturales, esto es, sujetos de derecho y obligaciones de la especie humana unidos entre sí, ya sea por vínculos sanguíneos o jurídicos.</w:t>
            </w:r>
          </w:p>
          <w:p w14:paraId="07BE383C" w14:textId="77777777" w:rsidR="006D4B8B" w:rsidRPr="00234B4E" w:rsidRDefault="006D4B8B" w:rsidP="00EC1F02">
            <w:pPr>
              <w:spacing w:before="120" w:line="276" w:lineRule="auto"/>
              <w:ind w:firstLine="709"/>
              <w:jc w:val="both"/>
              <w:rPr>
                <w:rFonts w:ascii="Verdana" w:eastAsia="Calibri" w:hAnsi="Verdana" w:cs="Arial"/>
                <w:lang w:val="es-ES"/>
              </w:rPr>
            </w:pPr>
            <w:r w:rsidRPr="00234B4E">
              <w:rPr>
                <w:rFonts w:ascii="Verdana" w:eastAsia="Calibri" w:hAnsi="Verdana" w:cs="Arial"/>
                <w:lang w:val="es-ES"/>
              </w:rPr>
              <w:t>Finalmente se precisa, que el análisis requerido para resolver problemas específicos en torno a la aplicabilidad del régimen de inhabilidades e incompatibilidades a un asunto particular y concreto, debe realizarse por quienes tengan interés en ello, de acuerdo con el marco jurídico aplicable previamente explicado. Por lo anterior, previo concepto de sus asesores, la solución de situaciones particulares, corresponderá a los interesados de adoptar la decisión correspondiente y, en caso de conflicto, a las autoridades judiciales, fiscales y disciplinarias. Así, cada entidad definirá la forma de adelantar su gestión contractual, sin que sea atribución de Colombia Compra Eficiente validar sus actuaciones.</w:t>
            </w:r>
            <w:r w:rsidRPr="00234B4E">
              <w:rPr>
                <w:rFonts w:ascii="Verdana" w:eastAsia="Calibri" w:hAnsi="Verdana" w:cs="Arial"/>
              </w:rPr>
              <w:t> </w:t>
            </w:r>
          </w:p>
        </w:tc>
      </w:tr>
      <w:bookmarkEnd w:id="2"/>
    </w:tbl>
    <w:p w14:paraId="77BC7F68" w14:textId="77777777" w:rsidR="006D4B8B" w:rsidRPr="00234B4E" w:rsidRDefault="006D4B8B" w:rsidP="006D4B8B">
      <w:pPr>
        <w:widowControl w:val="0"/>
        <w:autoSpaceDE w:val="0"/>
        <w:autoSpaceDN w:val="0"/>
        <w:spacing w:before="1" w:after="0" w:line="240" w:lineRule="auto"/>
        <w:ind w:left="360" w:hanging="360"/>
        <w:outlineLvl w:val="0"/>
        <w:rPr>
          <w:rFonts w:ascii="Verdana" w:eastAsia="Arial" w:hAnsi="Verdana" w:cs="Arial"/>
          <w:b/>
        </w:rPr>
      </w:pPr>
    </w:p>
    <w:p w14:paraId="1570B158" w14:textId="77777777" w:rsidR="006D4B8B" w:rsidRPr="00234B4E" w:rsidRDefault="006D4B8B" w:rsidP="006D4B8B">
      <w:pPr>
        <w:widowControl w:val="0"/>
        <w:autoSpaceDE w:val="0"/>
        <w:autoSpaceDN w:val="0"/>
        <w:spacing w:before="1" w:after="0" w:line="240" w:lineRule="auto"/>
        <w:ind w:left="360" w:hanging="360"/>
        <w:outlineLvl w:val="0"/>
        <w:rPr>
          <w:rFonts w:ascii="Verdana" w:eastAsia="Arial" w:hAnsi="Verdana" w:cs="Arial"/>
          <w:b/>
          <w:bCs/>
          <w:lang w:val="es-ES"/>
        </w:rPr>
      </w:pPr>
      <w:r w:rsidRPr="00234B4E">
        <w:rPr>
          <w:rFonts w:ascii="Verdana" w:eastAsia="Arial" w:hAnsi="Verdana" w:cs="Arial"/>
          <w:b/>
          <w:bCs/>
          <w:lang w:val="es-ES"/>
        </w:rPr>
        <w:t>3. Razones de la respuesta</w:t>
      </w:r>
    </w:p>
    <w:p w14:paraId="1F503A7D" w14:textId="77777777" w:rsidR="006D4B8B" w:rsidRPr="00234B4E" w:rsidRDefault="006D4B8B" w:rsidP="006D4B8B">
      <w:pPr>
        <w:spacing w:after="0" w:line="276" w:lineRule="auto"/>
        <w:jc w:val="both"/>
        <w:rPr>
          <w:rFonts w:ascii="Verdana" w:eastAsia="Calibri" w:hAnsi="Verdana" w:cs="Arial"/>
          <w:lang w:val="es-ES"/>
        </w:rPr>
      </w:pPr>
    </w:p>
    <w:p w14:paraId="63E085C1" w14:textId="77777777" w:rsidR="006D4B8B" w:rsidRPr="00234B4E" w:rsidRDefault="006D4B8B" w:rsidP="006D4B8B">
      <w:pPr>
        <w:spacing w:after="0" w:line="276" w:lineRule="auto"/>
        <w:jc w:val="both"/>
        <w:rPr>
          <w:rFonts w:ascii="Verdana" w:eastAsia="Calibri" w:hAnsi="Verdana" w:cs="Arial"/>
          <w:lang w:val="es-ES"/>
        </w:rPr>
      </w:pPr>
      <w:r w:rsidRPr="00234B4E">
        <w:rPr>
          <w:rFonts w:ascii="Verdana" w:eastAsia="Calibri" w:hAnsi="Verdana" w:cs="Arial"/>
          <w:lang w:val="es-ES"/>
        </w:rPr>
        <w:t xml:space="preserve">Las respuestas anteriores se sustentan en las siguientes consideraciones: </w:t>
      </w:r>
    </w:p>
    <w:p w14:paraId="37782DBB" w14:textId="77777777" w:rsidR="006D4B8B" w:rsidRPr="00234B4E" w:rsidRDefault="006D4B8B" w:rsidP="006D4B8B">
      <w:pPr>
        <w:spacing w:after="0" w:line="276" w:lineRule="auto"/>
        <w:jc w:val="both"/>
        <w:rPr>
          <w:rFonts w:ascii="Verdana" w:eastAsia="Calibri" w:hAnsi="Verdana" w:cs="Arial"/>
          <w:lang w:val="es-ES"/>
        </w:rPr>
      </w:pPr>
    </w:p>
    <w:p w14:paraId="187F3900" w14:textId="77777777" w:rsidR="006D4B8B" w:rsidRPr="004C721B" w:rsidRDefault="006D4B8B" w:rsidP="006D4B8B">
      <w:pPr>
        <w:spacing w:after="0" w:line="276" w:lineRule="auto"/>
        <w:jc w:val="both"/>
        <w:rPr>
          <w:rFonts w:ascii="Verdana" w:eastAsia="Calibri" w:hAnsi="Verdana" w:cs="Arial"/>
          <w:lang w:val="es-ES"/>
        </w:rPr>
      </w:pPr>
      <w:bookmarkStart w:id="3" w:name="_Hlk173311098"/>
      <w:r w:rsidRPr="00234B4E">
        <w:rPr>
          <w:rFonts w:ascii="Verdana" w:eastAsia="Calibri" w:hAnsi="Verdana" w:cs="Arial"/>
          <w:color w:val="000000"/>
          <w:lang w:val="es-ES_tradnl"/>
        </w:rPr>
        <w:t xml:space="preserve">El régimen de inhabilidades e incompatibilidades en la contratación pública, responde a la tendencia de asegurar que la provisión de los bienes y servicios por parte de las Entidades Estatales se efectúe cumpliendo con los principios de </w:t>
      </w:r>
      <w:r w:rsidRPr="00234B4E">
        <w:rPr>
          <w:rFonts w:ascii="Verdana" w:eastAsia="Calibri" w:hAnsi="Verdana" w:cs="Arial"/>
          <w:color w:val="000000"/>
          <w:lang w:val="es-ES_tradnl"/>
        </w:rPr>
        <w:lastRenderedPageBreak/>
        <w:t xml:space="preserve">la función administrativa y de la gestión fiscal, especialmente con probidad y transparencia. </w:t>
      </w:r>
      <w:r w:rsidRPr="00234B4E">
        <w:rPr>
          <w:rFonts w:ascii="Verdana" w:eastAsia="Calibri" w:hAnsi="Verdana" w:cs="Arial"/>
          <w:shd w:val="clear" w:color="auto" w:fill="FFFFFF"/>
        </w:rPr>
        <w:t xml:space="preserve">Las inhabilidades </w:t>
      </w:r>
      <w:r w:rsidRPr="00234B4E">
        <w:rPr>
          <w:rFonts w:ascii="Verdana" w:eastAsia="Calibri" w:hAnsi="Verdana" w:cs="Arial"/>
          <w:lang w:val="es-ES"/>
        </w:rPr>
        <w:t xml:space="preserve">son prohibiciones para concurrir a los procedimientos de selección y para contratar con el Estado, que se derivan </w:t>
      </w:r>
      <w:r w:rsidRPr="00234B4E">
        <w:rPr>
          <w:rFonts w:ascii="Verdana" w:eastAsia="Calibri" w:hAnsi="Verdana" w:cs="Arial"/>
          <w:i/>
          <w:iCs/>
          <w:lang w:val="es-ES"/>
        </w:rPr>
        <w:t>i)</w:t>
      </w:r>
      <w:r w:rsidRPr="00234B4E">
        <w:rPr>
          <w:rFonts w:ascii="Verdana" w:eastAsia="Calibri" w:hAnsi="Verdana" w:cs="Arial"/>
          <w:lang w:val="es-ES"/>
        </w:rPr>
        <w:t xml:space="preserve"> de la existencia de comportamientos reprochables o de sanciones anteriormente impuestas</w:t>
      </w:r>
      <w:r w:rsidRPr="00234B4E">
        <w:rPr>
          <w:rFonts w:ascii="Verdana" w:eastAsia="Calibri" w:hAnsi="Verdana" w:cs="Arial"/>
          <w:color w:val="000000"/>
          <w:vertAlign w:val="superscript"/>
          <w:lang w:val="es-ES_tradnl"/>
        </w:rPr>
        <w:footnoteReference w:id="1"/>
      </w:r>
      <w:r w:rsidRPr="00234B4E">
        <w:rPr>
          <w:rFonts w:ascii="Verdana" w:eastAsia="Arial" w:hAnsi="Verdana" w:cs="Arial"/>
          <w:color w:val="000000"/>
          <w:lang w:eastAsia="es-CO"/>
        </w:rPr>
        <w:t>,</w:t>
      </w:r>
      <w:r w:rsidRPr="00234B4E">
        <w:rPr>
          <w:rFonts w:ascii="Verdana" w:eastAsia="Calibri" w:hAnsi="Verdana" w:cs="Arial"/>
          <w:lang w:val="es-ES"/>
        </w:rPr>
        <w:t xml:space="preserve"> </w:t>
      </w:r>
      <w:proofErr w:type="spellStart"/>
      <w:r w:rsidRPr="00234B4E">
        <w:rPr>
          <w:rFonts w:ascii="Verdana" w:eastAsia="Calibri" w:hAnsi="Verdana" w:cs="Arial"/>
          <w:i/>
          <w:iCs/>
          <w:lang w:val="es-ES"/>
        </w:rPr>
        <w:t>ii</w:t>
      </w:r>
      <w:proofErr w:type="spellEnd"/>
      <w:r w:rsidRPr="00234B4E">
        <w:rPr>
          <w:rFonts w:ascii="Verdana" w:eastAsia="Calibri" w:hAnsi="Verdana" w:cs="Arial"/>
          <w:i/>
          <w:iCs/>
          <w:lang w:val="es-ES"/>
        </w:rPr>
        <w:t xml:space="preserve">) </w:t>
      </w:r>
      <w:r w:rsidRPr="00234B4E">
        <w:rPr>
          <w:rFonts w:ascii="Verdana" w:eastAsia="Calibri" w:hAnsi="Verdana" w:cs="Arial"/>
          <w:lang w:val="es-ES"/>
        </w:rPr>
        <w:t>de vínculos personales relaticos al parentesco o al estado civil</w:t>
      </w:r>
      <w:r w:rsidRPr="00234B4E">
        <w:rPr>
          <w:rFonts w:ascii="Verdana" w:eastAsia="Calibri" w:hAnsi="Verdana" w:cs="Arial"/>
          <w:color w:val="000000"/>
          <w:vertAlign w:val="superscript"/>
          <w:lang w:val="es-ES_tradnl"/>
        </w:rPr>
        <w:footnoteReference w:id="2"/>
      </w:r>
      <w:r w:rsidRPr="00234B4E">
        <w:rPr>
          <w:rFonts w:ascii="Arial" w:eastAsia="Arial" w:hAnsi="Arial" w:cs="Arial"/>
          <w:color w:val="000000"/>
          <w:lang w:eastAsia="es-CO"/>
        </w:rPr>
        <w:t xml:space="preserve"> </w:t>
      </w:r>
      <w:r w:rsidRPr="00234B4E">
        <w:rPr>
          <w:rFonts w:ascii="Verdana" w:eastAsia="Calibri" w:hAnsi="Verdana" w:cs="Arial"/>
          <w:lang w:val="es-ES"/>
        </w:rPr>
        <w:t xml:space="preserve">o </w:t>
      </w:r>
      <w:proofErr w:type="spellStart"/>
      <w:r w:rsidRPr="00234B4E">
        <w:rPr>
          <w:rFonts w:ascii="Verdana" w:eastAsia="Calibri" w:hAnsi="Verdana" w:cs="Arial"/>
          <w:i/>
          <w:iCs/>
          <w:lang w:val="es-ES"/>
        </w:rPr>
        <w:lastRenderedPageBreak/>
        <w:t>iii</w:t>
      </w:r>
      <w:proofErr w:type="spellEnd"/>
      <w:r w:rsidRPr="00234B4E">
        <w:rPr>
          <w:rFonts w:ascii="Verdana" w:eastAsia="Calibri" w:hAnsi="Verdana" w:cs="Arial"/>
          <w:i/>
          <w:iCs/>
          <w:lang w:val="es-ES"/>
        </w:rPr>
        <w:t xml:space="preserve">) </w:t>
      </w:r>
      <w:r w:rsidRPr="00234B4E">
        <w:rPr>
          <w:rFonts w:ascii="Verdana" w:eastAsia="Calibri" w:hAnsi="Verdana" w:cs="Arial"/>
          <w:lang w:val="es-ES"/>
        </w:rPr>
        <w:t>de una actividad u oficio que se desempeñó en el pasado</w:t>
      </w:r>
      <w:r w:rsidRPr="00234B4E">
        <w:rPr>
          <w:rFonts w:ascii="Verdana" w:eastAsia="Calibri" w:hAnsi="Verdana" w:cs="Arial"/>
          <w:color w:val="000000"/>
          <w:vertAlign w:val="superscript"/>
          <w:lang w:val="es-ES_tradnl"/>
        </w:rPr>
        <w:footnoteReference w:id="3"/>
      </w:r>
      <w:r w:rsidRPr="00234B4E">
        <w:rPr>
          <w:rFonts w:ascii="Verdana" w:eastAsia="Calibri" w:hAnsi="Verdana" w:cs="Arial"/>
          <w:color w:val="000000"/>
          <w:lang w:val="es-ES_tradnl"/>
        </w:rPr>
        <w:t xml:space="preserve">. </w:t>
      </w:r>
      <w:r w:rsidRPr="00234B4E">
        <w:rPr>
          <w:rFonts w:ascii="Verdana" w:eastAsia="Aptos" w:hAnsi="Verdana" w:cs="Arial"/>
          <w:lang w:val="es-ES_tradnl" w:eastAsia="es-MX"/>
        </w:rPr>
        <w:t xml:space="preserve">De otro lado, las incompatibilidades, según un sector de la doctrina, son prohibiciones para participar en los procedimientos de selección y para celebrar contratos estatales, fundadas en la presencia de una calidad que ostenta el sujeto interesado en realizar </w:t>
      </w:r>
      <w:r w:rsidRPr="004C721B">
        <w:rPr>
          <w:rFonts w:ascii="Verdana" w:eastAsia="Calibri" w:hAnsi="Verdana" w:cs="Arial"/>
          <w:lang w:val="es-ES"/>
        </w:rPr>
        <w:t>alguna de dichas actividades, que no puede coexistir con su calidad de proponente o contratista del Estado</w:t>
      </w:r>
      <w:r w:rsidRPr="00B27FEA">
        <w:rPr>
          <w:rFonts w:ascii="Verdana" w:eastAsia="Calibri" w:hAnsi="Verdana" w:cs="Arial"/>
          <w:vertAlign w:val="superscript"/>
          <w:lang w:val="es-ES"/>
        </w:rPr>
        <w:footnoteReference w:id="4"/>
      </w:r>
      <w:r w:rsidRPr="004C721B">
        <w:rPr>
          <w:rFonts w:ascii="Verdana" w:eastAsia="Calibri" w:hAnsi="Verdana" w:cs="Arial"/>
          <w:lang w:val="es-ES"/>
        </w:rPr>
        <w:t xml:space="preserve">. </w:t>
      </w:r>
    </w:p>
    <w:p w14:paraId="63BA7536" w14:textId="77777777" w:rsidR="006D4B8B" w:rsidRPr="00234B4E" w:rsidRDefault="006D4B8B" w:rsidP="006D4B8B">
      <w:pPr>
        <w:spacing w:before="120" w:after="0" w:line="276" w:lineRule="auto"/>
        <w:ind w:firstLine="708"/>
        <w:jc w:val="both"/>
        <w:rPr>
          <w:rFonts w:ascii="Verdana" w:eastAsia="Calibri" w:hAnsi="Verdana" w:cs="Arial"/>
          <w:lang w:val="es-ES"/>
        </w:rPr>
      </w:pPr>
      <w:r w:rsidRPr="00234B4E">
        <w:rPr>
          <w:rFonts w:ascii="Verdana" w:eastAsia="Calibri" w:hAnsi="Verdana" w:cs="Arial"/>
          <w:lang w:val="es-ES"/>
        </w:rPr>
        <w:lastRenderedPageBreak/>
        <w:t xml:space="preserve">En consecuencia, las inhabilidades e incompatibilidades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De esta forma, las inhabilidades para contratar con el Estado son un conjunto de restricciones establecidas por el constituyente o legislador, que afectan directamente la capacidad de las personas para establecer relaciones contractuales con el Estado, que pueden resultar de condenas, sanciones o situaciones previamente establecidas por el ordenamiento jurídico. </w:t>
      </w:r>
    </w:p>
    <w:p w14:paraId="032F8C03" w14:textId="77777777" w:rsidR="006D4B8B" w:rsidRPr="00427D69" w:rsidRDefault="006D4B8B" w:rsidP="006D4B8B">
      <w:pPr>
        <w:spacing w:before="120" w:after="0" w:line="276" w:lineRule="auto"/>
        <w:ind w:firstLine="708"/>
        <w:jc w:val="both"/>
        <w:rPr>
          <w:rFonts w:ascii="Verdana" w:eastAsia="Calibri" w:hAnsi="Verdana" w:cs="Arial"/>
          <w:lang w:val="es-ES"/>
        </w:rPr>
      </w:pPr>
      <w:r w:rsidRPr="00427D69">
        <w:rPr>
          <w:rFonts w:ascii="Verdana" w:eastAsia="Calibri" w:hAnsi="Verdana" w:cs="Arial"/>
          <w:lang w:val="es-ES"/>
        </w:rPr>
        <w:t>Sobre el particular,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B27FEA">
        <w:rPr>
          <w:rFonts w:ascii="Verdana" w:eastAsia="Calibri" w:hAnsi="Verdana" w:cs="Arial"/>
          <w:vertAlign w:val="superscript"/>
          <w:lang w:val="es-ES"/>
        </w:rPr>
        <w:footnoteReference w:id="5"/>
      </w:r>
      <w:r w:rsidRPr="00427D69">
        <w:rPr>
          <w:rFonts w:ascii="Verdana" w:eastAsia="Calibri" w:hAnsi="Verdana" w:cs="Arial"/>
          <w:lang w:val="es-ES"/>
        </w:rPr>
        <w:t>. 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B27FEA">
        <w:rPr>
          <w:rFonts w:ascii="Verdana" w:eastAsia="Calibri" w:hAnsi="Verdana" w:cs="Arial"/>
          <w:vertAlign w:val="superscript"/>
          <w:lang w:val="es-ES"/>
        </w:rPr>
        <w:footnoteReference w:id="6"/>
      </w:r>
      <w:r w:rsidRPr="00427D69">
        <w:rPr>
          <w:rFonts w:ascii="Verdana" w:eastAsia="Calibri" w:hAnsi="Verdana" w:cs="Arial"/>
          <w:lang w:val="es-ES"/>
        </w:rPr>
        <w:t>.</w:t>
      </w:r>
    </w:p>
    <w:p w14:paraId="521AF813" w14:textId="77777777" w:rsidR="006D4B8B" w:rsidRPr="00427D69" w:rsidRDefault="006D4B8B" w:rsidP="006D4B8B">
      <w:pPr>
        <w:spacing w:before="120" w:after="0" w:line="276" w:lineRule="auto"/>
        <w:ind w:firstLine="708"/>
        <w:jc w:val="both"/>
        <w:rPr>
          <w:rFonts w:ascii="Verdana" w:eastAsia="Calibri" w:hAnsi="Verdana" w:cs="Arial"/>
          <w:lang w:val="es-ES"/>
        </w:rPr>
      </w:pPr>
      <w:r w:rsidRPr="00427D69">
        <w:rPr>
          <w:rFonts w:ascii="Verdana" w:eastAsia="Calibri" w:hAnsi="Verdana" w:cs="Arial"/>
          <w:lang w:val="es-ES"/>
        </w:rPr>
        <w:t xml:space="preserve">En ese contexto, y atendiendo a que el peticionario pone de presente a esta Agencia el supuesto de hecho de si se encuentra inhabilitado para presentar propuestas en un proceso de mínima cuantía, el padre de un contratista del área de contratación estatal de un municipio, resulta a bien señalar que, al estudiar el contenido del artículo 8 de la Ley 80 de 1993, se observa que este establece unas limitaciones a la capacidad para suscribir contratos estatales y presentar </w:t>
      </w:r>
      <w:r w:rsidRPr="00427D69">
        <w:rPr>
          <w:rFonts w:ascii="Verdana" w:eastAsia="Calibri" w:hAnsi="Verdana" w:cs="Arial"/>
          <w:lang w:val="es-ES"/>
        </w:rPr>
        <w:lastRenderedPageBreak/>
        <w:t>ofertas, respecto del vínculo sanguíneo de las personas naturales, particularmente en los siguientes apartes:</w:t>
      </w:r>
    </w:p>
    <w:p w14:paraId="6FABD874" w14:textId="77777777" w:rsidR="006D4B8B" w:rsidRPr="00234B4E" w:rsidRDefault="006D4B8B" w:rsidP="006D4B8B">
      <w:pPr>
        <w:spacing w:before="120" w:after="0" w:line="276" w:lineRule="auto"/>
        <w:ind w:firstLine="708"/>
        <w:jc w:val="both"/>
        <w:rPr>
          <w:rFonts w:ascii="Verdana" w:eastAsia="Calibri" w:hAnsi="Verdana" w:cs="Arial"/>
          <w:lang w:val="es-ES"/>
        </w:rPr>
      </w:pPr>
      <w:r>
        <w:rPr>
          <w:rFonts w:ascii="Verdana" w:eastAsia="Calibri" w:hAnsi="Verdana" w:cs="Arial"/>
          <w:lang w:val="es-ES"/>
        </w:rPr>
        <w:t xml:space="preserve">i) </w:t>
      </w:r>
      <w:r w:rsidRPr="00234B4E">
        <w:rPr>
          <w:rFonts w:ascii="Verdana" w:eastAsia="Calibri" w:hAnsi="Verdana" w:cs="Arial"/>
          <w:lang w:val="es-ES"/>
        </w:rPr>
        <w:t>Numeral 1, literal g): determina que son inhábiles para participar de Procesos de Contratación o suscribir contratos con Entidades Estatales “[q]</w:t>
      </w:r>
      <w:proofErr w:type="spellStart"/>
      <w:r w:rsidRPr="00234B4E">
        <w:rPr>
          <w:rFonts w:ascii="Verdana" w:eastAsia="Calibri" w:hAnsi="Verdana" w:cs="Arial"/>
          <w:lang w:val="es-ES"/>
        </w:rPr>
        <w:t>uienes</w:t>
      </w:r>
      <w:proofErr w:type="spellEnd"/>
      <w:r w:rsidRPr="00234B4E">
        <w:rPr>
          <w:rFonts w:ascii="Verdana" w:eastAsia="Calibri" w:hAnsi="Verdana" w:cs="Arial"/>
          <w:lang w:val="es-ES"/>
        </w:rPr>
        <w:t xml:space="preserve"> sean cónyuges o compañeros permanentes y quienes se encuentren dentro del segundo grado de consanguinidad o segundo de afinidad con cualquier otra persona que formalmente haya presentado propuesta para una misma licitación”.</w:t>
      </w:r>
    </w:p>
    <w:p w14:paraId="2E9BCC08" w14:textId="77777777" w:rsidR="006D4B8B" w:rsidRPr="00234B4E" w:rsidRDefault="006D4B8B" w:rsidP="006D4B8B">
      <w:pPr>
        <w:spacing w:before="120" w:after="0" w:line="276" w:lineRule="auto"/>
        <w:ind w:firstLine="708"/>
        <w:jc w:val="both"/>
        <w:rPr>
          <w:rFonts w:ascii="Verdana" w:eastAsia="Calibri" w:hAnsi="Verdana" w:cs="Arial"/>
          <w:lang w:val="es-ES"/>
        </w:rPr>
      </w:pPr>
      <w:proofErr w:type="spellStart"/>
      <w:r>
        <w:rPr>
          <w:rFonts w:ascii="Verdana" w:eastAsia="Calibri" w:hAnsi="Verdana" w:cs="Arial"/>
          <w:lang w:val="es-ES"/>
        </w:rPr>
        <w:t>ii</w:t>
      </w:r>
      <w:proofErr w:type="spellEnd"/>
      <w:r>
        <w:rPr>
          <w:rFonts w:ascii="Verdana" w:eastAsia="Calibri" w:hAnsi="Verdana" w:cs="Arial"/>
          <w:lang w:val="es-ES"/>
        </w:rPr>
        <w:t xml:space="preserve">) </w:t>
      </w:r>
      <w:r w:rsidRPr="00234B4E">
        <w:rPr>
          <w:rFonts w:ascii="Verdana" w:eastAsia="Calibri" w:hAnsi="Verdana" w:cs="Arial"/>
          <w:lang w:val="es-ES"/>
        </w:rPr>
        <w:t>Numeral 1, literal h): establece que son inhábiles para participar de Procesos de Contratación o suscribir contratos con Entidades Estatales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w:t>
      </w:r>
    </w:p>
    <w:p w14:paraId="29EF2C58" w14:textId="77777777" w:rsidR="006D4B8B" w:rsidRPr="00234B4E" w:rsidRDefault="006D4B8B" w:rsidP="006D4B8B">
      <w:pPr>
        <w:spacing w:before="120" w:after="0" w:line="276" w:lineRule="auto"/>
        <w:ind w:firstLine="708"/>
        <w:jc w:val="both"/>
        <w:rPr>
          <w:rFonts w:ascii="Verdana" w:eastAsia="Calibri" w:hAnsi="Verdana" w:cs="Arial"/>
          <w:lang w:val="es-ES"/>
        </w:rPr>
      </w:pPr>
      <w:proofErr w:type="spellStart"/>
      <w:r>
        <w:rPr>
          <w:rFonts w:ascii="Verdana" w:eastAsia="Calibri" w:hAnsi="Verdana" w:cs="Arial"/>
          <w:lang w:val="es-ES"/>
        </w:rPr>
        <w:t>iii</w:t>
      </w:r>
      <w:proofErr w:type="spellEnd"/>
      <w:r>
        <w:rPr>
          <w:rFonts w:ascii="Verdana" w:eastAsia="Calibri" w:hAnsi="Verdana" w:cs="Arial"/>
          <w:lang w:val="es-ES"/>
        </w:rPr>
        <w:t xml:space="preserve">) </w:t>
      </w:r>
      <w:r w:rsidRPr="00234B4E">
        <w:rPr>
          <w:rFonts w:ascii="Verdana" w:eastAsia="Calibri" w:hAnsi="Verdana" w:cs="Arial"/>
          <w:lang w:val="es-ES"/>
        </w:rPr>
        <w:t>Numeral 2, literal b): dispone que tampoco podrán participar en licitaciones ni celebrar contratos estatales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5784F2DA" w14:textId="77777777" w:rsidR="006D4B8B" w:rsidRPr="00234B4E" w:rsidRDefault="006D4B8B" w:rsidP="006D4B8B">
      <w:pPr>
        <w:spacing w:before="120" w:after="0" w:line="276" w:lineRule="auto"/>
        <w:ind w:firstLine="708"/>
        <w:jc w:val="both"/>
        <w:rPr>
          <w:rFonts w:ascii="Verdana" w:eastAsia="Calibri" w:hAnsi="Verdana" w:cs="Arial"/>
          <w:lang w:val="es-ES"/>
        </w:rPr>
      </w:pPr>
      <w:proofErr w:type="spellStart"/>
      <w:r>
        <w:rPr>
          <w:rFonts w:ascii="Verdana" w:eastAsia="Calibri" w:hAnsi="Verdana" w:cs="Arial"/>
          <w:lang w:val="es-ES"/>
        </w:rPr>
        <w:t>iv</w:t>
      </w:r>
      <w:proofErr w:type="spellEnd"/>
      <w:r>
        <w:rPr>
          <w:rFonts w:ascii="Verdana" w:eastAsia="Calibri" w:hAnsi="Verdana" w:cs="Arial"/>
          <w:lang w:val="es-ES"/>
        </w:rPr>
        <w:t xml:space="preserve">) </w:t>
      </w:r>
      <w:r w:rsidRPr="00234B4E">
        <w:rPr>
          <w:rFonts w:ascii="Verdana" w:eastAsia="Calibri" w:hAnsi="Verdana" w:cs="Arial"/>
          <w:lang w:val="es-ES"/>
        </w:rPr>
        <w:t>Numeral 2, literal c): señala que no podrán participar en licitaciones ni celebrar contratos estatales “[e]l cónyuge, compañero o compañera permanente del servidor público en los niveles directivo, asesor, ejecutivo, o de un miembro de la junta o consejo directivo, o quien ejerza funciones de control interno o de control fiscal”.</w:t>
      </w:r>
    </w:p>
    <w:p w14:paraId="22656898" w14:textId="77777777" w:rsidR="006D4B8B" w:rsidRPr="00234B4E" w:rsidRDefault="006D4B8B" w:rsidP="006D4B8B">
      <w:pPr>
        <w:spacing w:before="120" w:after="0" w:line="276" w:lineRule="auto"/>
        <w:ind w:firstLine="708"/>
        <w:jc w:val="both"/>
        <w:rPr>
          <w:rFonts w:ascii="Verdana" w:eastAsia="Calibri" w:hAnsi="Verdana" w:cs="Arial"/>
          <w:lang w:val="es-ES"/>
        </w:rPr>
      </w:pPr>
      <w:r>
        <w:rPr>
          <w:rFonts w:ascii="Verdana" w:eastAsia="Calibri" w:hAnsi="Verdana" w:cs="Arial"/>
          <w:lang w:val="es-ES"/>
        </w:rPr>
        <w:t xml:space="preserve">v) </w:t>
      </w:r>
      <w:r w:rsidRPr="00234B4E">
        <w:rPr>
          <w:rFonts w:ascii="Verdana" w:eastAsia="Calibri" w:hAnsi="Verdana" w:cs="Arial"/>
          <w:lang w:val="es-ES"/>
        </w:rPr>
        <w:t>Numeral 2, literal d): indica que tampoco podrán participar en licitaciones ni celebrar contratos estatales “[l]as corporaciones, asociaciones, fundaciones y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w:t>
      </w:r>
    </w:p>
    <w:p w14:paraId="276A4911" w14:textId="77777777" w:rsidR="006D4B8B" w:rsidRPr="00427D69" w:rsidRDefault="006D4B8B" w:rsidP="006D4B8B">
      <w:pPr>
        <w:spacing w:before="120" w:after="0" w:line="276" w:lineRule="auto"/>
        <w:ind w:firstLine="708"/>
        <w:jc w:val="both"/>
        <w:rPr>
          <w:rFonts w:ascii="Verdana" w:eastAsia="Calibri" w:hAnsi="Verdana" w:cs="Arial"/>
          <w:lang w:val="es-ES"/>
        </w:rPr>
      </w:pPr>
      <w:r w:rsidRPr="00234B4E">
        <w:rPr>
          <w:rFonts w:ascii="Verdana" w:eastAsia="Calibri" w:hAnsi="Verdana" w:cs="Arial"/>
          <w:lang w:val="es-ES"/>
        </w:rPr>
        <w:lastRenderedPageBreak/>
        <w:t>Como se observa, dichas inhabilidades e incompatibilidades tienen fundamento en las relaciones familiares o de parentesco, tales como cónyuges o compañeros permanentes, padres, hijos y hermanos, así como aquellas personas respecto de las cuales se predican relaciones de consanguinidad o afinidad hasta el segundo grado. Esto implica que las referidas causales de inhabilidad e incompatibilidad se instituyen, única y exclusivamente, con el propósito de limitar la capacidad en la participación en Procesos de Contratación de las denominadas personas naturales</w:t>
      </w:r>
      <w:r w:rsidRPr="00B27FEA">
        <w:rPr>
          <w:rFonts w:ascii="Verdana" w:eastAsia="Calibri" w:hAnsi="Verdana" w:cs="Arial"/>
          <w:vertAlign w:val="superscript"/>
          <w:lang w:val="es-ES"/>
        </w:rPr>
        <w:footnoteReference w:id="7"/>
      </w:r>
      <w:r w:rsidRPr="00234B4E">
        <w:rPr>
          <w:rFonts w:ascii="Verdana" w:eastAsia="Calibri" w:hAnsi="Verdana" w:cs="Arial"/>
          <w:lang w:val="es-ES"/>
        </w:rPr>
        <w:t>, esto es, sujetos de derecho y obligaciones de la especie humana unidos entre sí, ya sea por vínculos sanguíneos o jurídicos</w:t>
      </w:r>
      <w:r w:rsidRPr="00B27FEA">
        <w:rPr>
          <w:rFonts w:ascii="Verdana" w:eastAsia="Calibri" w:hAnsi="Verdana" w:cs="Arial"/>
          <w:vertAlign w:val="superscript"/>
          <w:lang w:val="es-ES"/>
        </w:rPr>
        <w:footnoteReference w:id="8"/>
      </w:r>
      <w:r w:rsidRPr="00234B4E">
        <w:rPr>
          <w:rFonts w:ascii="Verdana" w:eastAsia="Calibri" w:hAnsi="Verdana" w:cs="Arial"/>
          <w:lang w:val="es-ES"/>
        </w:rPr>
        <w:t>.</w:t>
      </w:r>
    </w:p>
    <w:p w14:paraId="3381CD58" w14:textId="77777777" w:rsidR="006D4B8B" w:rsidRPr="00427D69" w:rsidRDefault="006D4B8B" w:rsidP="006D4B8B">
      <w:pPr>
        <w:spacing w:before="120" w:after="0" w:line="276" w:lineRule="auto"/>
        <w:ind w:firstLine="708"/>
        <w:jc w:val="both"/>
        <w:rPr>
          <w:rFonts w:ascii="Verdana" w:eastAsia="Calibri" w:hAnsi="Verdana" w:cs="Arial"/>
          <w:lang w:val="es-ES"/>
        </w:rPr>
      </w:pPr>
      <w:r w:rsidRPr="00427D69">
        <w:rPr>
          <w:rFonts w:ascii="Verdana" w:eastAsia="Calibri" w:hAnsi="Verdana" w:cs="Arial"/>
          <w:lang w:val="es-ES"/>
        </w:rPr>
        <w:t xml:space="preserve">Finalmente, debe advertirse que el análisis requerido para resolver problemas específicos en torno a </w:t>
      </w:r>
      <w:r w:rsidRPr="00234B4E">
        <w:rPr>
          <w:rFonts w:ascii="Verdana" w:eastAsia="Calibri" w:hAnsi="Verdana" w:cs="Arial"/>
          <w:lang w:val="es-ES"/>
        </w:rPr>
        <w:t>la aplicabilidad del régimen de inhabilidades e incompatibilidades a un asunto particular y concreto</w:t>
      </w:r>
      <w:r w:rsidRPr="00427D69">
        <w:rPr>
          <w:rFonts w:ascii="Verdana" w:eastAsia="Calibri" w:hAnsi="Verdana" w:cs="Arial"/>
          <w:lang w:val="es-ES"/>
        </w:rPr>
        <w:t xml:space="preserve">,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15AF7D57" w14:textId="77777777" w:rsidR="006D4B8B" w:rsidRPr="00234B4E" w:rsidRDefault="006D4B8B" w:rsidP="006D4B8B">
      <w:pPr>
        <w:spacing w:before="120" w:after="0" w:line="276" w:lineRule="auto"/>
        <w:ind w:firstLine="708"/>
        <w:jc w:val="both"/>
        <w:rPr>
          <w:rFonts w:ascii="Verdana" w:eastAsia="Times New Roman" w:hAnsi="Verdana" w:cs="Arial"/>
          <w:color w:val="000000"/>
          <w:lang w:val="es-ES" w:eastAsia="es-ES"/>
        </w:rPr>
      </w:pPr>
      <w:r w:rsidRPr="00427D69">
        <w:rPr>
          <w:rFonts w:ascii="Verdana" w:eastAsia="Calibri" w:hAnsi="Verdana" w:cs="Arial"/>
          <w:lang w:val="es-ES"/>
        </w:rPr>
        <w:t>Dentro de este marco, la entidad contratante definirá en cada caso concreto lo relacionado con el tema objeto de consulta. Al tratarse de un análisis que debe realizarse a un asunto particular y concreto, esta Agencia no puede definir un criterio universal</w:t>
      </w:r>
      <w:r w:rsidRPr="1D2F7898">
        <w:rPr>
          <w:rFonts w:ascii="Verdana" w:eastAsia="Times New Roman" w:hAnsi="Verdana" w:cs="Arial"/>
          <w:color w:val="000000" w:themeColor="text1"/>
          <w:lang w:val="es-ES" w:eastAsia="es-ES"/>
        </w:rPr>
        <w:t xml:space="preserve">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08683A51" w14:textId="77777777" w:rsidR="006D4B8B" w:rsidRPr="00234B4E" w:rsidRDefault="006D4B8B" w:rsidP="006D4B8B">
      <w:pPr>
        <w:spacing w:before="120" w:line="276" w:lineRule="auto"/>
        <w:ind w:left="720"/>
        <w:contextualSpacing/>
        <w:jc w:val="both"/>
        <w:rPr>
          <w:rFonts w:ascii="Verdana" w:eastAsia="Times New Roman" w:hAnsi="Verdana" w:cs="Arial"/>
          <w:color w:val="000000"/>
          <w:szCs w:val="24"/>
          <w:lang w:val="es-ES_tradnl" w:eastAsia="es-ES_tradnl"/>
        </w:rPr>
      </w:pPr>
    </w:p>
    <w:bookmarkEnd w:id="3"/>
    <w:p w14:paraId="2191E263" w14:textId="77777777" w:rsidR="006D4B8B" w:rsidRPr="00234B4E" w:rsidRDefault="006D4B8B" w:rsidP="006D4B8B">
      <w:pPr>
        <w:widowControl w:val="0"/>
        <w:autoSpaceDE w:val="0"/>
        <w:autoSpaceDN w:val="0"/>
        <w:spacing w:before="1" w:after="0" w:line="240" w:lineRule="auto"/>
        <w:outlineLvl w:val="0"/>
        <w:rPr>
          <w:rFonts w:ascii="Verdana" w:eastAsia="Arial" w:hAnsi="Verdana" w:cs="Arial"/>
          <w:b/>
          <w:bCs/>
          <w:lang w:val="es-ES"/>
        </w:rPr>
      </w:pPr>
      <w:r w:rsidRPr="00234B4E">
        <w:rPr>
          <w:rFonts w:ascii="Verdana" w:eastAsia="Arial" w:hAnsi="Verdana" w:cs="Arial"/>
          <w:b/>
          <w:bCs/>
          <w:lang w:val="es-ES"/>
        </w:rPr>
        <w:t>4.Referencias normativas, jurisprudenciales y otras fuentes:</w:t>
      </w:r>
    </w:p>
    <w:p w14:paraId="74A6A2D7" w14:textId="77777777" w:rsidR="006D4B8B" w:rsidRPr="00234B4E" w:rsidRDefault="006D4B8B" w:rsidP="006D4B8B">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D4B8B" w:rsidRPr="00234B4E" w14:paraId="46DCC9C6" w14:textId="77777777" w:rsidTr="00EC1F02">
        <w:trPr>
          <w:trHeight w:val="870"/>
        </w:trPr>
        <w:tc>
          <w:tcPr>
            <w:tcW w:w="8647" w:type="dxa"/>
          </w:tcPr>
          <w:p w14:paraId="37C1F8C2" w14:textId="77777777" w:rsidR="006D4B8B" w:rsidRPr="00234B4E" w:rsidRDefault="006D4B8B" w:rsidP="006D4B8B">
            <w:pPr>
              <w:widowControl w:val="0"/>
              <w:numPr>
                <w:ilvl w:val="0"/>
                <w:numId w:val="1"/>
              </w:numPr>
              <w:autoSpaceDE w:val="0"/>
              <w:autoSpaceDN w:val="0"/>
              <w:spacing w:after="120" w:line="276" w:lineRule="auto"/>
              <w:contextualSpacing/>
              <w:jc w:val="both"/>
              <w:rPr>
                <w:rFonts w:ascii="Verdana" w:eastAsia="Calibri" w:hAnsi="Verdana" w:cs="Arial"/>
                <w:lang w:val="es-ES"/>
              </w:rPr>
            </w:pPr>
            <w:r w:rsidRPr="00234B4E">
              <w:rPr>
                <w:rFonts w:ascii="Verdana" w:eastAsia="Calibri" w:hAnsi="Verdana" w:cs="Arial"/>
                <w:lang w:val="es-ES"/>
              </w:rPr>
              <w:t>Ley 80 de 1993. Artículo 8</w:t>
            </w:r>
            <w:r>
              <w:rPr>
                <w:rFonts w:ascii="Verdana" w:eastAsia="Calibri" w:hAnsi="Verdana" w:cs="Arial"/>
                <w:lang w:val="es-ES"/>
              </w:rPr>
              <w:t>; Numeral 1, literales g) y h); Numeral 2, literales b), c) y d).</w:t>
            </w:r>
          </w:p>
          <w:p w14:paraId="2770FE9F" w14:textId="77777777" w:rsidR="006D4B8B" w:rsidRPr="00234B4E" w:rsidRDefault="006D4B8B" w:rsidP="006D4B8B">
            <w:pPr>
              <w:widowControl w:val="0"/>
              <w:numPr>
                <w:ilvl w:val="0"/>
                <w:numId w:val="1"/>
              </w:numPr>
              <w:autoSpaceDE w:val="0"/>
              <w:autoSpaceDN w:val="0"/>
              <w:spacing w:after="120" w:line="276" w:lineRule="auto"/>
              <w:contextualSpacing/>
              <w:jc w:val="both"/>
              <w:rPr>
                <w:rFonts w:ascii="Verdana" w:eastAsia="Calibri" w:hAnsi="Verdana" w:cs="Arial"/>
                <w:lang w:val="es-ES"/>
              </w:rPr>
            </w:pPr>
            <w:r w:rsidRPr="00234B4E">
              <w:rPr>
                <w:rFonts w:ascii="Verdana" w:eastAsia="Calibri" w:hAnsi="Verdana" w:cs="Arial"/>
                <w:lang w:val="es-ES"/>
              </w:rPr>
              <w:t>Corte Constitucional. Sentencias: C-903 de 2008. M.P. Jaime Araujo Rentería y C-101 de 2018. M.P. Gloria Stella Ortiz Delgado</w:t>
            </w:r>
          </w:p>
          <w:p w14:paraId="34E4F2ED" w14:textId="77777777" w:rsidR="006D4B8B" w:rsidRPr="00234B4E" w:rsidRDefault="006D4B8B" w:rsidP="006D4B8B">
            <w:pPr>
              <w:widowControl w:val="0"/>
              <w:numPr>
                <w:ilvl w:val="0"/>
                <w:numId w:val="1"/>
              </w:numPr>
              <w:autoSpaceDE w:val="0"/>
              <w:autoSpaceDN w:val="0"/>
              <w:spacing w:line="276" w:lineRule="auto"/>
              <w:contextualSpacing/>
              <w:jc w:val="both"/>
              <w:rPr>
                <w:rFonts w:ascii="Verdana" w:eastAsia="Aptos" w:hAnsi="Verdana" w:cs="Arial"/>
              </w:rPr>
            </w:pPr>
            <w:r w:rsidRPr="00234B4E">
              <w:rPr>
                <w:rFonts w:ascii="Verdana" w:eastAsia="Calibri" w:hAnsi="Verdana" w:cs="Arial"/>
                <w:lang w:val="es-ES"/>
              </w:rPr>
              <w:t xml:space="preserve">CONSEJO DE ESTADO. Sala de Consulta y Servicio Civil. Concepto del 30 de abril de 2015. </w:t>
            </w:r>
            <w:proofErr w:type="spellStart"/>
            <w:r w:rsidRPr="00234B4E">
              <w:rPr>
                <w:rFonts w:ascii="Verdana" w:eastAsia="Calibri" w:hAnsi="Verdana" w:cs="Arial"/>
                <w:lang w:val="es-ES"/>
              </w:rPr>
              <w:t>Exp</w:t>
            </w:r>
            <w:proofErr w:type="spellEnd"/>
            <w:r w:rsidRPr="00234B4E">
              <w:rPr>
                <w:rFonts w:ascii="Verdana" w:eastAsia="Calibri" w:hAnsi="Verdana" w:cs="Arial"/>
                <w:lang w:val="es-ES"/>
              </w:rPr>
              <w:t>. 2251. C.P. Álvaro Namén Vargas</w:t>
            </w:r>
          </w:p>
          <w:p w14:paraId="4E484DC8" w14:textId="77777777" w:rsidR="006D4B8B" w:rsidRPr="00234B4E" w:rsidRDefault="006D4B8B" w:rsidP="006D4B8B">
            <w:pPr>
              <w:widowControl w:val="0"/>
              <w:numPr>
                <w:ilvl w:val="0"/>
                <w:numId w:val="1"/>
              </w:numPr>
              <w:autoSpaceDE w:val="0"/>
              <w:autoSpaceDN w:val="0"/>
              <w:spacing w:line="276" w:lineRule="auto"/>
              <w:contextualSpacing/>
              <w:jc w:val="both"/>
              <w:rPr>
                <w:rFonts w:ascii="Verdana" w:eastAsia="Aptos" w:hAnsi="Verdana" w:cs="Arial"/>
              </w:rPr>
            </w:pPr>
            <w:r w:rsidRPr="00234B4E">
              <w:rPr>
                <w:rFonts w:ascii="Verdana" w:eastAsia="Calibri" w:hAnsi="Verdana" w:cs="Arial"/>
                <w:lang w:val="es-ES"/>
              </w:rPr>
              <w:t>Código Civil. Artículo 33</w:t>
            </w:r>
          </w:p>
        </w:tc>
      </w:tr>
    </w:tbl>
    <w:p w14:paraId="1F357BC9" w14:textId="77777777" w:rsidR="006D4B8B" w:rsidRPr="00234B4E" w:rsidRDefault="006D4B8B" w:rsidP="006D4B8B">
      <w:pPr>
        <w:widowControl w:val="0"/>
        <w:autoSpaceDE w:val="0"/>
        <w:autoSpaceDN w:val="0"/>
        <w:spacing w:after="0" w:line="276" w:lineRule="auto"/>
        <w:jc w:val="both"/>
        <w:rPr>
          <w:rFonts w:ascii="Verdana" w:eastAsia="Aptos" w:hAnsi="Verdana" w:cs="Arial"/>
        </w:rPr>
      </w:pPr>
    </w:p>
    <w:p w14:paraId="61DA931A" w14:textId="77777777" w:rsidR="006D4B8B" w:rsidRPr="00234B4E" w:rsidRDefault="006D4B8B" w:rsidP="006D4B8B">
      <w:pPr>
        <w:widowControl w:val="0"/>
        <w:autoSpaceDE w:val="0"/>
        <w:autoSpaceDN w:val="0"/>
        <w:spacing w:before="1" w:after="0" w:line="276" w:lineRule="auto"/>
        <w:outlineLvl w:val="0"/>
        <w:rPr>
          <w:rFonts w:ascii="Verdana" w:eastAsia="Arial" w:hAnsi="Verdana" w:cs="Arial"/>
          <w:b/>
          <w:bCs/>
          <w:lang w:val="es-ES"/>
        </w:rPr>
      </w:pPr>
      <w:r w:rsidRPr="00234B4E">
        <w:rPr>
          <w:rFonts w:ascii="Verdana" w:eastAsia="Arial" w:hAnsi="Verdana" w:cs="Arial"/>
          <w:b/>
          <w:bCs/>
          <w:lang w:val="es-ES"/>
        </w:rPr>
        <w:t>5. Doctrina de la Agencia Nacional de Contratación Pública:</w:t>
      </w:r>
    </w:p>
    <w:p w14:paraId="194A386B" w14:textId="77777777" w:rsidR="006D4B8B" w:rsidRPr="00234B4E" w:rsidRDefault="006D4B8B" w:rsidP="006D4B8B">
      <w:pPr>
        <w:widowControl w:val="0"/>
        <w:autoSpaceDE w:val="0"/>
        <w:autoSpaceDN w:val="0"/>
        <w:spacing w:after="0" w:line="276" w:lineRule="auto"/>
        <w:jc w:val="both"/>
        <w:rPr>
          <w:rFonts w:ascii="Verdana" w:eastAsia="Aptos" w:hAnsi="Verdana" w:cs="Arial"/>
        </w:rPr>
      </w:pPr>
    </w:p>
    <w:p w14:paraId="4F6330E5" w14:textId="77777777" w:rsidR="006D4B8B" w:rsidRPr="00234B4E" w:rsidRDefault="006D4B8B" w:rsidP="006D4B8B">
      <w:pPr>
        <w:widowControl w:val="0"/>
        <w:autoSpaceDE w:val="0"/>
        <w:autoSpaceDN w:val="0"/>
        <w:spacing w:after="0" w:line="276" w:lineRule="auto"/>
        <w:jc w:val="both"/>
        <w:rPr>
          <w:rFonts w:ascii="Verdana" w:eastAsia="Aptos" w:hAnsi="Verdana" w:cs="Arial"/>
          <w:shd w:val="clear" w:color="auto" w:fill="FFFFFF"/>
          <w:lang w:val="es-ES"/>
        </w:rPr>
      </w:pPr>
      <w:r w:rsidRPr="00234B4E">
        <w:rPr>
          <w:rFonts w:ascii="Verdana" w:eastAsia="Aptos" w:hAnsi="Verdana" w:cs="Arial"/>
          <w:shd w:val="clear" w:color="auto" w:fill="FFFFFF"/>
          <w:lang w:val="es-ES"/>
        </w:rPr>
        <w:t xml:space="preserve">Sobre el régimen de inhabilidades e incompatibilidades en la contratación estatal, esta Subdirección se ha referido en los Conceptos C-035 del 24 de abril de 2024, C-067 del 16 de mayo de 2024, C-041 del 29 de mayo de 2024, C-078 del 04 de junio de 2024, C-193 del 19 de julio de 2024, C-271 del 25 de julio de 2024, C-108 de 06 de agosto de 2024, C-332 del 27 de agosto de 2024, C-151 del 18 de marzo de 2025, entre otros.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w:t>
      </w:r>
      <w:r w:rsidRPr="00964890">
        <w:rPr>
          <w:rFonts w:ascii="Verdana" w:eastAsia="Aptos" w:hAnsi="Verdana" w:cs="Arial"/>
          <w:shd w:val="clear" w:color="auto" w:fill="FFFFFF"/>
          <w:lang w:val="es-ES"/>
        </w:rPr>
        <w:t xml:space="preserve">Accede a través del siguiente enlace: </w:t>
      </w:r>
      <w:hyperlink r:id="rId12" w:history="1">
        <w:r w:rsidRPr="00964890">
          <w:rPr>
            <w:rFonts w:ascii="Verdana" w:eastAsia="Aptos" w:hAnsi="Verdana" w:cs="Arial"/>
            <w:color w:val="0000FF"/>
            <w:u w:val="single"/>
            <w:shd w:val="clear" w:color="auto" w:fill="FFFFFF"/>
            <w:lang w:val="es-ES"/>
          </w:rPr>
          <w:t>https://relatoria.colombiacompra.gov.co/</w:t>
        </w:r>
      </w:hyperlink>
      <w:r w:rsidRPr="00964890">
        <w:rPr>
          <w:rFonts w:ascii="Verdana" w:eastAsia="Aptos" w:hAnsi="Verdana" w:cs="Arial"/>
          <w:shd w:val="clear" w:color="auto" w:fill="FFFFFF"/>
          <w:lang w:val="es-ES"/>
        </w:rPr>
        <w:t xml:space="preserve">. </w:t>
      </w:r>
    </w:p>
    <w:p w14:paraId="2B579ABB" w14:textId="77777777" w:rsidR="006D4B8B" w:rsidRPr="006263D8" w:rsidRDefault="006D4B8B" w:rsidP="006D4B8B">
      <w:pPr>
        <w:spacing w:before="120" w:after="0" w:line="276"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w:t>
      </w:r>
      <w:r w:rsidRPr="00964890">
        <w:rPr>
          <w:rFonts w:ascii="Verdana" w:eastAsia="Times New Roman" w:hAnsi="Verdana" w:cs="Times New Roman"/>
          <w:color w:val="000000"/>
          <w:lang w:eastAsia="es-CO"/>
        </w:rPr>
        <w:t>Consúltala aquí: </w:t>
      </w:r>
      <w:hyperlink r:id="rId13" w:tgtFrame="_blank" w:tooltip="Dirección URL original: https://www.colombiacompra.gov.co/archivos/manual/guia-de-garantias-en-procesos-de-contratacion. Haga clic o pulse si confía en este vínculo." w:history="1">
        <w:r w:rsidRPr="00964890">
          <w:rPr>
            <w:rStyle w:val="Hipervnculo"/>
            <w:rFonts w:ascii="Verdana" w:eastAsia="Times New Roman" w:hAnsi="Verdana" w:cs="Times New Roman"/>
            <w:lang w:eastAsia="es-CO"/>
          </w:rPr>
          <w:t>https://www.colombiacompra.gov.co/archivos/manual/guia-de-garantias-en-procesos-de-contratacion</w:t>
        </w:r>
      </w:hyperlink>
    </w:p>
    <w:p w14:paraId="5AD7D418" w14:textId="77777777" w:rsidR="006D4B8B" w:rsidRPr="006263D8" w:rsidRDefault="006D4B8B" w:rsidP="006D4B8B">
      <w:pPr>
        <w:spacing w:before="120" w:after="0" w:line="276"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 xml:space="preserve">De otro lado, te contamos que el Decreto 287 del 19 de marzo de 2026 sustituyó los artículos 2.2.1.2.4.2.6., 2.2.1.2.4.2.7. y 2.2.1.2.4.2.8. del Decreto </w:t>
      </w:r>
      <w:r w:rsidRPr="006263D8">
        <w:rPr>
          <w:rFonts w:ascii="Verdana" w:eastAsia="Times New Roman" w:hAnsi="Verdana" w:cs="Times New Roman"/>
          <w:color w:val="000000"/>
          <w:lang w:eastAsia="es-CO"/>
        </w:rPr>
        <w:lastRenderedPageBreak/>
        <w:t>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 xml:space="preserve">en la que precisa quiénes son los beneficiarios, las cinco medidas que integran el sistema y su obligatoriedad según la modalidad de selección, y el régimen de transición aplicable a los procesos en curso. </w:t>
      </w:r>
      <w:r w:rsidRPr="00964890">
        <w:rPr>
          <w:rFonts w:ascii="Verdana" w:eastAsia="Times New Roman" w:hAnsi="Verdana" w:cs="Times New Roman"/>
          <w:color w:val="000000"/>
          <w:lang w:eastAsia="es-CO"/>
        </w:rPr>
        <w:t>Consúltala aquí: </w:t>
      </w:r>
      <w:hyperlink r:id="rId14" w:tgtFrame="_blank" w:tooltip="Dirección URL original: https://www.colombiacompra.gov.co/archivos/circular/circular-externa-003-de-2026. Haga clic o pulse si confía en este vínculo." w:history="1">
        <w:r w:rsidRPr="00964890">
          <w:rPr>
            <w:rStyle w:val="Hipervnculo"/>
            <w:rFonts w:ascii="Verdana" w:eastAsia="Times New Roman" w:hAnsi="Verdana" w:cs="Times New Roman"/>
            <w:lang w:eastAsia="es-CO"/>
          </w:rPr>
          <w:t>https://www.colombiacompra.gov.co/archivos/circular/circular-externa-003-de-2026</w:t>
        </w:r>
      </w:hyperlink>
    </w:p>
    <w:p w14:paraId="24F08698" w14:textId="77777777" w:rsidR="006D4B8B" w:rsidRPr="006263D8" w:rsidRDefault="006D4B8B" w:rsidP="006D4B8B">
      <w:pPr>
        <w:spacing w:before="120" w:after="0" w:line="276"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w:t>
      </w:r>
      <w:r w:rsidRPr="00964890">
        <w:rPr>
          <w:rFonts w:ascii="Verdana" w:eastAsia="Times New Roman" w:hAnsi="Verdana" w:cs="Times New Roman"/>
          <w:color w:val="000000"/>
          <w:lang w:eastAsia="es-CO"/>
        </w:rPr>
        <w:t>Consúltala aquí: </w:t>
      </w:r>
      <w:hyperlink r:id="rId15" w:tgtFrame="_blank" w:tooltip="Dirección URL original: https://www.colombiacompra.gov.co/archivos/circular/circular-externa-002-de-2026. Haga clic o pulse si confía en este vínculo." w:history="1">
        <w:r w:rsidRPr="00964890">
          <w:rPr>
            <w:rStyle w:val="Hipervnculo"/>
            <w:rFonts w:ascii="Verdana" w:eastAsia="Times New Roman" w:hAnsi="Verdana" w:cs="Times New Roman"/>
            <w:lang w:eastAsia="es-CO"/>
          </w:rPr>
          <w:t>https://www.colombiacompra.gov.co/archivos/circular/circular-externa-002-de-2026</w:t>
        </w:r>
      </w:hyperlink>
    </w:p>
    <w:p w14:paraId="3A6841F2" w14:textId="77777777" w:rsidR="006D4B8B" w:rsidRPr="006263D8" w:rsidRDefault="006D4B8B" w:rsidP="006D4B8B">
      <w:pPr>
        <w:spacing w:before="120" w:after="0" w:line="276"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w:t>
      </w:r>
      <w:r w:rsidRPr="00964890">
        <w:rPr>
          <w:rFonts w:ascii="Verdana" w:eastAsia="Times New Roman" w:hAnsi="Verdana" w:cs="Times New Roman"/>
          <w:color w:val="000000"/>
          <w:lang w:eastAsia="es-CO"/>
        </w:rPr>
        <w:t>Descárgalo aquí: </w:t>
      </w:r>
      <w:hyperlink r:id="rId16" w:history="1">
        <w:r w:rsidRPr="00964890">
          <w:rPr>
            <w:rStyle w:val="Hipervnculo"/>
            <w:rFonts w:ascii="Verdana" w:eastAsia="Times New Roman" w:hAnsi="Verdana" w:cs="Times New Roman"/>
            <w:lang w:eastAsia="es-CO"/>
          </w:rPr>
          <w:t>https://www.colombiacompra.gov.co/archivos/boletin/boletin-edicion-n-3-de-2026-radar-de-la-compra-publica</w:t>
        </w:r>
      </w:hyperlink>
      <w:r w:rsidRPr="00964890">
        <w:rPr>
          <w:rFonts w:ascii="Verdana" w:eastAsia="Times New Roman" w:hAnsi="Verdana" w:cs="Times New Roman"/>
          <w:color w:val="000000"/>
          <w:lang w:eastAsia="es-CO"/>
        </w:rPr>
        <w:t>"</w:t>
      </w:r>
    </w:p>
    <w:p w14:paraId="4CB6BAC1" w14:textId="77777777" w:rsidR="006D4B8B" w:rsidRPr="00234B4E" w:rsidRDefault="006D4B8B" w:rsidP="006D4B8B">
      <w:pPr>
        <w:spacing w:after="0" w:line="276" w:lineRule="auto"/>
        <w:jc w:val="both"/>
        <w:rPr>
          <w:rFonts w:ascii="Verdana" w:eastAsia="Times New Roman" w:hAnsi="Verdana" w:cs="Times New Roman"/>
          <w:color w:val="000000"/>
          <w:bdr w:val="none" w:sz="0" w:space="0" w:color="auto" w:frame="1"/>
          <w:lang w:eastAsia="es-CO"/>
        </w:rPr>
      </w:pPr>
    </w:p>
    <w:p w14:paraId="19274FCA" w14:textId="77777777" w:rsidR="006D4B8B" w:rsidRPr="00234B4E" w:rsidRDefault="006D4B8B" w:rsidP="006D4B8B">
      <w:pPr>
        <w:spacing w:after="0" w:line="276" w:lineRule="auto"/>
        <w:jc w:val="both"/>
        <w:rPr>
          <w:rFonts w:ascii="Verdana" w:eastAsia="Aptos" w:hAnsi="Verdana" w:cs="Times New Roman"/>
        </w:rPr>
      </w:pPr>
      <w:r w:rsidRPr="00234B4E">
        <w:rPr>
          <w:rFonts w:ascii="Verdana" w:eastAsia="Aptos" w:hAnsi="Verdana" w:cs="Times New Roman"/>
        </w:rPr>
        <w:t xml:space="preserve">Por último, lo invitamos a seguirnos en las redes sociales en las cuales se difunde información institucional: </w:t>
      </w:r>
    </w:p>
    <w:p w14:paraId="142CAB69" w14:textId="77777777" w:rsidR="006D4B8B" w:rsidRPr="00234B4E" w:rsidRDefault="006D4B8B" w:rsidP="006D4B8B">
      <w:pPr>
        <w:spacing w:after="0" w:line="276" w:lineRule="auto"/>
        <w:jc w:val="both"/>
        <w:rPr>
          <w:rFonts w:ascii="Verdana" w:eastAsia="Aptos" w:hAnsi="Verdana" w:cs="Times New Roman"/>
        </w:rPr>
      </w:pPr>
    </w:p>
    <w:p w14:paraId="10B8A95F" w14:textId="77777777" w:rsidR="006D4B8B" w:rsidRPr="00234B4E" w:rsidRDefault="006D4B8B" w:rsidP="006D4B8B">
      <w:pPr>
        <w:spacing w:after="0" w:line="276" w:lineRule="auto"/>
        <w:jc w:val="both"/>
        <w:rPr>
          <w:rFonts w:ascii="Verdana" w:eastAsia="Aptos" w:hAnsi="Verdana" w:cs="Times New Roman"/>
        </w:rPr>
      </w:pPr>
      <w:r w:rsidRPr="00234B4E">
        <w:rPr>
          <w:rFonts w:ascii="Verdana" w:eastAsia="Aptos" w:hAnsi="Verdana" w:cs="Times New Roman"/>
        </w:rPr>
        <w:t xml:space="preserve">Twitter: </w:t>
      </w:r>
      <w:r w:rsidRPr="00234B4E">
        <w:rPr>
          <w:rFonts w:ascii="Verdana" w:eastAsia="Aptos" w:hAnsi="Verdana" w:cs="Arial"/>
          <w:color w:val="0000FF"/>
          <w:u w:val="single"/>
          <w:shd w:val="clear" w:color="auto" w:fill="FFFFFF"/>
          <w:lang w:val="es-ES"/>
        </w:rPr>
        <w:t>@colombiacompra</w:t>
      </w:r>
      <w:r w:rsidRPr="00234B4E">
        <w:rPr>
          <w:rFonts w:ascii="Verdana" w:eastAsia="Aptos" w:hAnsi="Verdana" w:cs="Times New Roman"/>
          <w:color w:val="156082"/>
        </w:rPr>
        <w:t xml:space="preserve"> </w:t>
      </w:r>
    </w:p>
    <w:p w14:paraId="17466D44" w14:textId="77777777" w:rsidR="006D4B8B" w:rsidRPr="00234B4E" w:rsidRDefault="006D4B8B" w:rsidP="006D4B8B">
      <w:pPr>
        <w:spacing w:after="0" w:line="276" w:lineRule="auto"/>
        <w:jc w:val="both"/>
        <w:rPr>
          <w:rFonts w:ascii="Verdana" w:eastAsia="Aptos" w:hAnsi="Verdana" w:cs="Times New Roman"/>
        </w:rPr>
      </w:pPr>
      <w:r w:rsidRPr="00234B4E">
        <w:rPr>
          <w:rFonts w:ascii="Verdana" w:eastAsia="Aptos" w:hAnsi="Verdana" w:cs="Times New Roman"/>
        </w:rPr>
        <w:t xml:space="preserve">Facebook: </w:t>
      </w:r>
      <w:proofErr w:type="spellStart"/>
      <w:r w:rsidRPr="00234B4E">
        <w:rPr>
          <w:rFonts w:ascii="Verdana" w:eastAsia="Aptos" w:hAnsi="Verdana" w:cs="Arial"/>
          <w:color w:val="0000FF"/>
          <w:u w:val="single"/>
          <w:shd w:val="clear" w:color="auto" w:fill="FFFFFF"/>
          <w:lang w:val="es-ES"/>
        </w:rPr>
        <w:t>ColombiaCompraEficiente</w:t>
      </w:r>
      <w:proofErr w:type="spellEnd"/>
    </w:p>
    <w:p w14:paraId="03DA95AF" w14:textId="77777777" w:rsidR="006D4B8B" w:rsidRPr="00234B4E" w:rsidRDefault="006D4B8B" w:rsidP="006D4B8B">
      <w:pPr>
        <w:spacing w:after="0" w:line="276" w:lineRule="auto"/>
        <w:jc w:val="both"/>
        <w:rPr>
          <w:rFonts w:ascii="Verdana" w:eastAsia="Aptos" w:hAnsi="Verdana" w:cs="Times New Roman"/>
        </w:rPr>
      </w:pPr>
      <w:r w:rsidRPr="00234B4E">
        <w:rPr>
          <w:rFonts w:ascii="Verdana" w:eastAsia="Aptos" w:hAnsi="Verdana" w:cs="Times New Roman"/>
        </w:rPr>
        <w:t xml:space="preserve">LinkedIn: </w:t>
      </w:r>
      <w:r w:rsidRPr="00234B4E">
        <w:rPr>
          <w:rFonts w:ascii="Verdana" w:eastAsia="Aptos" w:hAnsi="Verdana" w:cs="Arial"/>
          <w:color w:val="0000FF"/>
          <w:u w:val="single"/>
          <w:shd w:val="clear" w:color="auto" w:fill="FFFFFF"/>
          <w:lang w:val="es-ES"/>
        </w:rPr>
        <w:t>Agencia Nacional de Contratación Pública - Colombia Compra Eficiente</w:t>
      </w:r>
      <w:r w:rsidRPr="00234B4E">
        <w:rPr>
          <w:rFonts w:ascii="Verdana" w:eastAsia="Aptos" w:hAnsi="Verdana" w:cs="Times New Roman"/>
          <w:color w:val="156082"/>
        </w:rPr>
        <w:t xml:space="preserve"> </w:t>
      </w:r>
      <w:r w:rsidRPr="00234B4E">
        <w:rPr>
          <w:rFonts w:ascii="Verdana" w:eastAsia="Aptos" w:hAnsi="Verdana" w:cs="Times New Roman"/>
        </w:rPr>
        <w:t xml:space="preserve">Instagram: </w:t>
      </w:r>
      <w:r w:rsidRPr="00234B4E">
        <w:rPr>
          <w:rFonts w:ascii="Verdana" w:eastAsia="Aptos" w:hAnsi="Verdana" w:cs="Arial"/>
          <w:color w:val="0000FF"/>
          <w:u w:val="single"/>
          <w:shd w:val="clear" w:color="auto" w:fill="FFFFFF"/>
          <w:lang w:val="es-ES"/>
        </w:rPr>
        <w:t>@colombiacompraeficiente_cce</w:t>
      </w:r>
    </w:p>
    <w:p w14:paraId="73AD1517" w14:textId="77777777" w:rsidR="006D4B8B" w:rsidRPr="00234B4E" w:rsidRDefault="006D4B8B" w:rsidP="006D4B8B">
      <w:pPr>
        <w:widowControl w:val="0"/>
        <w:autoSpaceDE w:val="0"/>
        <w:autoSpaceDN w:val="0"/>
        <w:spacing w:after="0" w:line="276" w:lineRule="auto"/>
        <w:jc w:val="both"/>
        <w:rPr>
          <w:rFonts w:ascii="Verdana" w:eastAsia="Aptos" w:hAnsi="Verdana" w:cs="Arial"/>
        </w:rPr>
      </w:pPr>
    </w:p>
    <w:p w14:paraId="520F0E3D" w14:textId="77777777" w:rsidR="006D4B8B" w:rsidRPr="00234B4E" w:rsidRDefault="006D4B8B" w:rsidP="006D4B8B">
      <w:pPr>
        <w:widowControl w:val="0"/>
        <w:autoSpaceDE w:val="0"/>
        <w:autoSpaceDN w:val="0"/>
        <w:spacing w:after="0" w:line="276" w:lineRule="auto"/>
        <w:jc w:val="both"/>
        <w:rPr>
          <w:rFonts w:ascii="Verdana" w:eastAsia="Aptos" w:hAnsi="Verdana" w:cs="Arial"/>
          <w:lang w:val="es-ES_tradnl"/>
        </w:rPr>
      </w:pPr>
      <w:r w:rsidRPr="00234B4E">
        <w:rPr>
          <w:rFonts w:ascii="Verdana" w:eastAsia="Aptos" w:hAnsi="Verdana" w:cs="Arial"/>
        </w:rPr>
        <w:t xml:space="preserve">Este concepto tiene el alcance previsto en el artículo 28 del Código de Procedimiento Administrativo y de lo Contencioso Administrativo </w:t>
      </w:r>
      <w:r w:rsidRPr="00234B4E">
        <w:rPr>
          <w:rFonts w:ascii="Verdana" w:eastAsia="Aptos" w:hAnsi="Verdana" w:cs="Arial"/>
          <w:lang w:val="es-ES_tradnl"/>
        </w:rPr>
        <w:t>y las expresiones aquí utilizadas con mayúscula inicial deben ser entendidas con el significado que les otorga el artículo 2.2.1.1.1.3.1. del Decreto 1082 de 2015.</w:t>
      </w:r>
    </w:p>
    <w:p w14:paraId="26A20FCE" w14:textId="77777777" w:rsidR="006D4B8B" w:rsidRPr="00234B4E" w:rsidRDefault="006D4B8B" w:rsidP="006D4B8B">
      <w:pPr>
        <w:widowControl w:val="0"/>
        <w:autoSpaceDE w:val="0"/>
        <w:autoSpaceDN w:val="0"/>
        <w:spacing w:after="0" w:line="276" w:lineRule="auto"/>
        <w:jc w:val="both"/>
        <w:rPr>
          <w:rFonts w:ascii="Verdana" w:eastAsia="Aptos" w:hAnsi="Verdana" w:cs="Arial"/>
        </w:rPr>
      </w:pPr>
    </w:p>
    <w:p w14:paraId="32451CEA" w14:textId="77777777" w:rsidR="006D4B8B" w:rsidRDefault="006D4B8B" w:rsidP="006D4B8B">
      <w:pPr>
        <w:spacing w:after="0" w:line="240" w:lineRule="auto"/>
        <w:rPr>
          <w:rFonts w:ascii="Verdana" w:eastAsia="Aptos" w:hAnsi="Verdana" w:cs="Arial"/>
          <w:lang w:eastAsia="es-CO"/>
        </w:rPr>
      </w:pPr>
      <w:r w:rsidRPr="00234B4E">
        <w:rPr>
          <w:rFonts w:ascii="Verdana" w:eastAsia="Times New Roman" w:hAnsi="Verdana" w:cs="Arial"/>
          <w:lang w:eastAsia="es-CO"/>
        </w:rPr>
        <w:t>Atentamente,</w:t>
      </w:r>
      <w:r w:rsidRPr="00234B4E">
        <w:rPr>
          <w:rFonts w:ascii="Verdana" w:eastAsia="Aptos" w:hAnsi="Verdana" w:cs="Arial"/>
          <w:lang w:eastAsia="es-CO"/>
        </w:rPr>
        <w:t xml:space="preserve"> </w:t>
      </w:r>
    </w:p>
    <w:p w14:paraId="737C39C6" w14:textId="77777777" w:rsidR="00733CF5" w:rsidRPr="00234B4E" w:rsidRDefault="00733CF5" w:rsidP="006D4B8B">
      <w:pPr>
        <w:spacing w:after="0" w:line="240" w:lineRule="auto"/>
        <w:rPr>
          <w:rFonts w:ascii="Verdana" w:eastAsia="Aptos" w:hAnsi="Verdana" w:cs="Arial"/>
          <w:lang w:eastAsia="es-CO"/>
        </w:rPr>
      </w:pPr>
    </w:p>
    <w:p w14:paraId="20731700" w14:textId="48C6F2F7" w:rsidR="006D4B8B" w:rsidRPr="00234B4E" w:rsidRDefault="00733CF5" w:rsidP="00733CF5">
      <w:pPr>
        <w:spacing w:line="276" w:lineRule="auto"/>
        <w:jc w:val="center"/>
        <w:rPr>
          <w:rFonts w:ascii="Verdana" w:eastAsia="Aptos" w:hAnsi="Verdana" w:cs="Arial"/>
          <w:lang w:val="es-ES_tradnl" w:eastAsia="es-CO"/>
        </w:rPr>
      </w:pPr>
      <w:r>
        <w:rPr>
          <w:noProof/>
        </w:rPr>
        <w:drawing>
          <wp:inline distT="0" distB="0" distL="0" distR="0" wp14:anchorId="6E2AC4A2" wp14:editId="0A3906CF">
            <wp:extent cx="3771900" cy="1409700"/>
            <wp:effectExtent l="0" t="0" r="0" b="0"/>
            <wp:docPr id="179399745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r w:rsidR="006D4B8B">
        <w:rPr>
          <w:rFonts w:ascii="Verdana" w:eastAsia="Aptos" w:hAnsi="Verdana" w:cs="Arial"/>
          <w:lang w:eastAsia="es-CO"/>
        </w:rPr>
        <w:br w:type="textWrapping" w:clear="all"/>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6D4B8B" w:rsidRPr="00234B4E" w14:paraId="195FD38B" w14:textId="77777777" w:rsidTr="00EC1F02">
        <w:trPr>
          <w:trHeight w:val="286"/>
        </w:trPr>
        <w:tc>
          <w:tcPr>
            <w:tcW w:w="901" w:type="dxa"/>
            <w:vAlign w:val="center"/>
            <w:hideMark/>
          </w:tcPr>
          <w:p w14:paraId="7A46143E"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6D838608"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Nasly Yeana Mosquera Rivas</w:t>
            </w:r>
          </w:p>
          <w:p w14:paraId="69B9D651"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Analista T2–06 de la Subdirección de Gestión Contractual</w:t>
            </w:r>
          </w:p>
        </w:tc>
      </w:tr>
      <w:tr w:rsidR="006D4B8B" w:rsidRPr="00234B4E" w14:paraId="29E520C5" w14:textId="77777777" w:rsidTr="00EC1F02">
        <w:trPr>
          <w:trHeight w:val="299"/>
        </w:trPr>
        <w:tc>
          <w:tcPr>
            <w:tcW w:w="901" w:type="dxa"/>
            <w:vAlign w:val="center"/>
          </w:tcPr>
          <w:p w14:paraId="0C43477A"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0C19CDD8" w14:textId="77777777" w:rsidR="006D4B8B" w:rsidRPr="00234B4E" w:rsidRDefault="006D4B8B" w:rsidP="00EC1F02">
            <w:pPr>
              <w:rPr>
                <w:rFonts w:ascii="Verdana" w:eastAsia="Aptos" w:hAnsi="Verdana" w:cs="Arial"/>
                <w:sz w:val="14"/>
                <w:szCs w:val="14"/>
                <w:lang w:eastAsia="es-ES"/>
              </w:rPr>
            </w:pPr>
            <w:r>
              <w:rPr>
                <w:rFonts w:ascii="Verdana" w:eastAsia="Aptos" w:hAnsi="Verdana" w:cs="Arial"/>
                <w:sz w:val="14"/>
                <w:szCs w:val="14"/>
                <w:lang w:eastAsia="es-ES"/>
              </w:rPr>
              <w:t>Diana Lucía Saavedra Castañeda</w:t>
            </w:r>
          </w:p>
          <w:p w14:paraId="54FA85A0"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Contratista de la Subdirección de Gestión Contractual</w:t>
            </w:r>
          </w:p>
        </w:tc>
      </w:tr>
      <w:tr w:rsidR="006D4B8B" w:rsidRPr="00234B4E" w14:paraId="5577C0AF" w14:textId="77777777" w:rsidTr="00EC1F02">
        <w:trPr>
          <w:trHeight w:val="272"/>
        </w:trPr>
        <w:tc>
          <w:tcPr>
            <w:tcW w:w="901" w:type="dxa"/>
            <w:vAlign w:val="center"/>
            <w:hideMark/>
          </w:tcPr>
          <w:p w14:paraId="5626F0A5"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2EEAC3EF"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Carolina Quintero Gacharná</w:t>
            </w:r>
          </w:p>
          <w:p w14:paraId="7F6B6111" w14:textId="77777777" w:rsidR="006D4B8B" w:rsidRPr="00234B4E" w:rsidRDefault="006D4B8B" w:rsidP="00EC1F02">
            <w:pPr>
              <w:rPr>
                <w:rFonts w:ascii="Verdana" w:eastAsia="Aptos" w:hAnsi="Verdana" w:cs="Arial"/>
                <w:sz w:val="14"/>
                <w:szCs w:val="14"/>
                <w:lang w:eastAsia="es-ES"/>
              </w:rPr>
            </w:pPr>
            <w:r w:rsidRPr="00234B4E">
              <w:rPr>
                <w:rFonts w:ascii="Verdana" w:eastAsia="Aptos" w:hAnsi="Verdana" w:cs="Arial"/>
                <w:sz w:val="14"/>
                <w:szCs w:val="14"/>
                <w:lang w:eastAsia="es-ES"/>
              </w:rPr>
              <w:t>Subdirectora de Gestión Contractual ANCP – CCE</w:t>
            </w:r>
          </w:p>
        </w:tc>
      </w:tr>
    </w:tbl>
    <w:p w14:paraId="6E27EEFC" w14:textId="77777777" w:rsidR="006D4B8B" w:rsidRPr="00234B4E" w:rsidRDefault="006D4B8B" w:rsidP="006D4B8B">
      <w:pPr>
        <w:spacing w:after="0" w:line="240" w:lineRule="auto"/>
        <w:rPr>
          <w:rFonts w:ascii="Verdana" w:eastAsia="Times New Roman" w:hAnsi="Verdana" w:cs="Arial"/>
          <w:sz w:val="24"/>
          <w:szCs w:val="24"/>
          <w:lang w:eastAsia="es-ES"/>
        </w:rPr>
      </w:pPr>
    </w:p>
    <w:p w14:paraId="0D082B97" w14:textId="77777777" w:rsidR="006D4B8B" w:rsidRPr="00234B4E" w:rsidRDefault="006D4B8B" w:rsidP="006D4B8B">
      <w:pPr>
        <w:rPr>
          <w:rFonts w:ascii="Verdana" w:eastAsia="Aptos" w:hAnsi="Verdana" w:cs="Times New Roman"/>
        </w:rPr>
      </w:pPr>
    </w:p>
    <w:bookmarkEnd w:id="0"/>
    <w:p w14:paraId="0D7D0505" w14:textId="77777777" w:rsidR="006D4B8B" w:rsidRPr="00234B4E" w:rsidRDefault="006D4B8B" w:rsidP="006D4B8B">
      <w:pPr>
        <w:rPr>
          <w:rFonts w:ascii="Verdana" w:eastAsia="Aptos" w:hAnsi="Verdana" w:cs="Times New Roman"/>
        </w:rPr>
      </w:pPr>
    </w:p>
    <w:sectPr w:rsidR="006D4B8B" w:rsidRPr="00234B4E" w:rsidSect="006D4B8B">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8BB5" w14:textId="77777777" w:rsidR="00331581" w:rsidRDefault="00331581" w:rsidP="006D4B8B">
      <w:pPr>
        <w:spacing w:after="0" w:line="240" w:lineRule="auto"/>
      </w:pPr>
      <w:r>
        <w:separator/>
      </w:r>
    </w:p>
  </w:endnote>
  <w:endnote w:type="continuationSeparator" w:id="0">
    <w:p w14:paraId="04A90A80" w14:textId="77777777" w:rsidR="00331581" w:rsidRDefault="00331581" w:rsidP="006D4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1EA2" w14:textId="77777777" w:rsidR="006D4B8B" w:rsidRDefault="006D4B8B">
    <w:pPr>
      <w:pStyle w:val="Piedepgina"/>
    </w:pPr>
  </w:p>
  <w:p w14:paraId="1C18FB01" w14:textId="77777777" w:rsidR="006D4B8B" w:rsidRPr="00174B77" w:rsidRDefault="006D4B8B"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5621A27" w14:textId="77777777" w:rsidR="006D4B8B" w:rsidRDefault="006D4B8B"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1F91F3E8" w14:textId="77777777" w:rsidR="006D4B8B" w:rsidRPr="00E41027" w:rsidRDefault="006D4B8B"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D46C56D" w14:textId="77777777" w:rsidR="006D4B8B" w:rsidRDefault="006D4B8B"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B9D3" w14:textId="77777777" w:rsidR="00331581" w:rsidRDefault="00331581" w:rsidP="006D4B8B">
      <w:pPr>
        <w:spacing w:after="0" w:line="240" w:lineRule="auto"/>
      </w:pPr>
      <w:r>
        <w:separator/>
      </w:r>
    </w:p>
  </w:footnote>
  <w:footnote w:type="continuationSeparator" w:id="0">
    <w:p w14:paraId="5E280BD0" w14:textId="77777777" w:rsidR="00331581" w:rsidRDefault="00331581" w:rsidP="006D4B8B">
      <w:pPr>
        <w:spacing w:after="0" w:line="240" w:lineRule="auto"/>
      </w:pPr>
      <w:r>
        <w:continuationSeparator/>
      </w:r>
    </w:p>
  </w:footnote>
  <w:footnote w:id="1">
    <w:p w14:paraId="21060000" w14:textId="77777777" w:rsidR="006D4B8B" w:rsidRPr="005F7771" w:rsidRDefault="006D4B8B" w:rsidP="006D4B8B">
      <w:pPr>
        <w:spacing w:after="0" w:line="240" w:lineRule="auto"/>
        <w:ind w:firstLine="709"/>
        <w:jc w:val="both"/>
        <w:rPr>
          <w:rFonts w:ascii="Verdana" w:hAnsi="Verdana" w:cs="Arial"/>
          <w:color w:val="000000"/>
          <w:sz w:val="18"/>
          <w:szCs w:val="18"/>
          <w:lang w:val="es-ES"/>
        </w:rPr>
      </w:pPr>
      <w:r w:rsidRPr="005F7771">
        <w:rPr>
          <w:rStyle w:val="Refdenotaalpie"/>
          <w:rFonts w:ascii="Verdana" w:hAnsi="Verdana" w:cs="Arial"/>
          <w:color w:val="000000"/>
          <w:sz w:val="18"/>
          <w:szCs w:val="18"/>
        </w:rPr>
        <w:footnoteRef/>
      </w:r>
      <w:r w:rsidRPr="005F7771">
        <w:rPr>
          <w:rFonts w:ascii="Verdana" w:hAnsi="Verdana" w:cs="Arial"/>
          <w:color w:val="000000"/>
          <w:sz w:val="18"/>
          <w:szCs w:val="18"/>
        </w:rPr>
        <w:t xml:space="preserve"> </w:t>
      </w:r>
      <w:r w:rsidRPr="005F7771">
        <w:rPr>
          <w:rFonts w:ascii="Verdana" w:hAnsi="Verdana" w:cs="Arial"/>
          <w:color w:val="000000"/>
          <w:sz w:val="18"/>
          <w:szCs w:val="18"/>
          <w:lang w:val="es-ES"/>
        </w:rPr>
        <w:t xml:space="preserve">Son inhabilidades que responden a esta circunstancia, entre otras, las siguientes: “Quienes participaron en las licitaciones o celebraron los contratos de que trata el literal anterior estando inhabilitados” (art. 8, </w:t>
      </w:r>
      <w:proofErr w:type="spellStart"/>
      <w:r w:rsidRPr="005F7771">
        <w:rPr>
          <w:rFonts w:ascii="Verdana" w:hAnsi="Verdana" w:cs="Arial"/>
          <w:color w:val="000000"/>
          <w:sz w:val="18"/>
          <w:szCs w:val="18"/>
          <w:lang w:val="es-ES"/>
        </w:rPr>
        <w:t>num</w:t>
      </w:r>
      <w:proofErr w:type="spellEnd"/>
      <w:r w:rsidRPr="005F7771">
        <w:rPr>
          <w:rFonts w:ascii="Verdana" w:hAnsi="Verdana" w:cs="Arial"/>
          <w:color w:val="000000"/>
          <w:sz w:val="18"/>
          <w:szCs w:val="18"/>
          <w:lang w:val="es-ES"/>
        </w:rPr>
        <w:t xml:space="preserve">. 1º, </w:t>
      </w:r>
      <w:proofErr w:type="spellStart"/>
      <w:r w:rsidRPr="005F7771">
        <w:rPr>
          <w:rFonts w:ascii="Verdana" w:hAnsi="Verdana" w:cs="Arial"/>
          <w:color w:val="000000"/>
          <w:sz w:val="18"/>
          <w:szCs w:val="18"/>
          <w:lang w:val="es-ES"/>
        </w:rPr>
        <w:t>lit.</w:t>
      </w:r>
      <w:proofErr w:type="spellEnd"/>
      <w:r w:rsidRPr="005F7771">
        <w:rPr>
          <w:rFonts w:ascii="Verdana" w:hAnsi="Verdana" w:cs="Arial"/>
          <w:color w:val="000000"/>
          <w:sz w:val="18"/>
          <w:szCs w:val="18"/>
          <w:lang w:val="es-ES"/>
        </w:rPr>
        <w:t xml:space="preserve"> b, Ley 80/93); “Quienes dieron lugar a la declaratoria de caducidad” (art. 8, num. 1º, lit. c), Ley 80/93); “Quienes en sentencia judicial hayan sido condenados a la pena accesoria de interdicción de derechos y funciones públicas y quienes hayan sido sancionados disciplinariamente con destitución” (art. 8, num. 1º, lit. d), Ley 80/93); “Quienes sin justa causa se abstengan de suscribir el contrato estatal adjudicado” (art. 8, num. 1º, lit. e), Ley 80/93); “i) Los socios de sociedades de personas a las cuales se haya declarado la caducidad, así como las sociedades de personas de las que aquellos formen parte con posterioridad a dicha declaratoria” (art. 8, num. 1º, lit.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num. 1º, lit.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num. 1º, lit.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lit. a), b) y c), Ley 1474/11, modificado por el art. 43, Ley 1955/19).</w:t>
      </w:r>
    </w:p>
    <w:p w14:paraId="7E3AC83A" w14:textId="77777777" w:rsidR="006D4B8B" w:rsidRPr="005F7771" w:rsidRDefault="006D4B8B" w:rsidP="006D4B8B">
      <w:pPr>
        <w:spacing w:after="0" w:line="240" w:lineRule="auto"/>
        <w:ind w:firstLine="709"/>
        <w:jc w:val="both"/>
        <w:rPr>
          <w:rFonts w:ascii="Verdana" w:hAnsi="Verdana" w:cs="Arial"/>
          <w:color w:val="000000"/>
          <w:sz w:val="18"/>
          <w:szCs w:val="18"/>
          <w:lang w:val="es-ES"/>
        </w:rPr>
      </w:pPr>
    </w:p>
  </w:footnote>
  <w:footnote w:id="2">
    <w:p w14:paraId="30205D2C" w14:textId="77777777" w:rsidR="006D4B8B" w:rsidRPr="005F7771" w:rsidRDefault="006D4B8B" w:rsidP="006D4B8B">
      <w:pPr>
        <w:pStyle w:val="Textonotapie"/>
        <w:ind w:firstLine="709"/>
        <w:jc w:val="both"/>
        <w:rPr>
          <w:rFonts w:ascii="Verdana" w:hAnsi="Verdana" w:cs="Arial"/>
          <w:color w:val="000000"/>
          <w:sz w:val="18"/>
          <w:szCs w:val="18"/>
        </w:rPr>
      </w:pPr>
      <w:r w:rsidRPr="005F7771">
        <w:rPr>
          <w:rStyle w:val="Refdenotaalpie"/>
          <w:rFonts w:ascii="Verdana" w:hAnsi="Verdana" w:cs="Arial"/>
          <w:color w:val="000000"/>
          <w:sz w:val="18"/>
          <w:szCs w:val="18"/>
        </w:rPr>
        <w:footnoteRef/>
      </w:r>
      <w:r w:rsidRPr="005F7771">
        <w:rPr>
          <w:rFonts w:ascii="Verdana" w:hAnsi="Verdana" w:cs="Arial"/>
          <w:color w:val="000000"/>
          <w:sz w:val="18"/>
          <w:szCs w:val="18"/>
        </w:rPr>
        <w:t xml:space="preserve"> 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num. 1º, lit.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num. 1º, lit.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num. 2º, lit. b), Ley 80/93); “El cónyuge, compañero o compañera permanente del servidor público en los niveles directivo, asesor, ejecutivo, o de un miembro de la junta o consejo directivo, o de quien ejerza funciones de control interno o de control fiscal” (art. 8, num. 2º, lit.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w:t>
      </w:r>
    </w:p>
    <w:p w14:paraId="64A31D73" w14:textId="77777777" w:rsidR="006D4B8B" w:rsidRPr="005F7771" w:rsidRDefault="006D4B8B" w:rsidP="006D4B8B">
      <w:pPr>
        <w:pStyle w:val="Textonotapie"/>
        <w:ind w:firstLine="709"/>
        <w:jc w:val="both"/>
        <w:rPr>
          <w:rFonts w:ascii="Verdana" w:hAnsi="Verdana" w:cs="Arial"/>
          <w:color w:val="000000"/>
          <w:sz w:val="18"/>
          <w:szCs w:val="18"/>
          <w:lang w:val="es-CO"/>
        </w:rPr>
      </w:pPr>
    </w:p>
  </w:footnote>
  <w:footnote w:id="3">
    <w:p w14:paraId="60ADB505" w14:textId="77777777" w:rsidR="006D4B8B" w:rsidRPr="005F7771" w:rsidRDefault="006D4B8B" w:rsidP="006D4B8B">
      <w:pPr>
        <w:pStyle w:val="Textonotapie"/>
        <w:ind w:firstLine="709"/>
        <w:jc w:val="both"/>
        <w:rPr>
          <w:rFonts w:ascii="Verdana" w:hAnsi="Verdana" w:cs="Arial"/>
          <w:color w:val="000000"/>
          <w:sz w:val="18"/>
          <w:szCs w:val="18"/>
        </w:rPr>
      </w:pPr>
      <w:r w:rsidRPr="005F7771">
        <w:rPr>
          <w:rStyle w:val="Refdenotaalpie"/>
          <w:rFonts w:ascii="Verdana" w:hAnsi="Verdana" w:cs="Arial"/>
          <w:color w:val="000000"/>
          <w:sz w:val="18"/>
          <w:szCs w:val="18"/>
        </w:rPr>
        <w:footnoteRef/>
      </w:r>
      <w:r w:rsidRPr="005F7771">
        <w:rPr>
          <w:rFonts w:ascii="Verdana" w:hAnsi="Verdana" w:cs="Arial"/>
          <w:color w:val="000000"/>
          <w:sz w:val="18"/>
          <w:szCs w:val="18"/>
        </w:rPr>
        <w:t xml:space="preserve"> Verbigracia, entre otras, las que se indican a continuación: “Las personas que hayan financiado campañas políticas a la Presidencia de la República, a las gobernaciones o a las alcaldías con aportes superiores al dos punto cinco por ciento (2.5%)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(art. 8, num. 1º, lit. k), Ley 80/93, modificado por el art. 33, Ley 1778/16); “Quienes fueron miembros de la junta o consejo directivo o servidores públicos de la entidad contratante” (art. 8, num. 2º, lit. a), Ley 80/93) [a pesar de que la norma la califica como una incompatibilidad, en realidad se trata de una inhabilidad, ya que en dicha causal no existe concurrencia de calidades en un sujeto];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num. 2º, lit. f), Ley 80/93, adicionado por el art. 4º, Ley 1474/2011) [a pesar de que la norma la califica como una incompatibilidad, en realidad se trata de una inhabilidad, ya que en dicha causal no existe concurrencia de calidades en un sujeto]. </w:t>
      </w:r>
    </w:p>
    <w:p w14:paraId="03065E68" w14:textId="77777777" w:rsidR="006D4B8B" w:rsidRPr="005F7771" w:rsidRDefault="006D4B8B" w:rsidP="006D4B8B">
      <w:pPr>
        <w:pStyle w:val="Textonotapie"/>
        <w:ind w:firstLine="709"/>
        <w:jc w:val="both"/>
        <w:rPr>
          <w:rFonts w:ascii="Verdana" w:hAnsi="Verdana" w:cs="Arial"/>
          <w:color w:val="000000"/>
          <w:sz w:val="18"/>
          <w:szCs w:val="18"/>
          <w:lang w:val="es-CO"/>
        </w:rPr>
      </w:pPr>
    </w:p>
  </w:footnote>
  <w:footnote w:id="4">
    <w:p w14:paraId="26606A3D" w14:textId="77777777" w:rsidR="006D4B8B" w:rsidRPr="005F7771" w:rsidRDefault="006D4B8B" w:rsidP="006D4B8B">
      <w:pPr>
        <w:spacing w:after="0" w:line="240" w:lineRule="auto"/>
        <w:ind w:firstLine="709"/>
        <w:jc w:val="both"/>
        <w:rPr>
          <w:rFonts w:ascii="Verdana" w:hAnsi="Verdana" w:cs="Arial"/>
          <w:sz w:val="18"/>
          <w:szCs w:val="18"/>
          <w:lang w:val="es-ES"/>
        </w:rPr>
      </w:pPr>
      <w:r w:rsidRPr="005F7771">
        <w:rPr>
          <w:rStyle w:val="Refdenotaalpie"/>
          <w:rFonts w:ascii="Verdana" w:hAnsi="Verdana" w:cs="Arial"/>
          <w:sz w:val="18"/>
          <w:szCs w:val="18"/>
        </w:rPr>
        <w:footnoteRef/>
      </w:r>
      <w:r w:rsidRPr="005F7771">
        <w:rPr>
          <w:rFonts w:ascii="Verdana" w:hAnsi="Verdana" w:cs="Arial"/>
          <w:sz w:val="18"/>
          <w:szCs w:val="18"/>
        </w:rPr>
        <w:t xml:space="preserve"> </w:t>
      </w:r>
      <w:r w:rsidRPr="005F7771">
        <w:rPr>
          <w:rFonts w:ascii="Verdana" w:hAnsi="Verdana" w:cs="Arial"/>
          <w:sz w:val="18"/>
          <w:szCs w:val="18"/>
          <w:lang w:val="es-ES"/>
        </w:rPr>
        <w:t xml:space="preserve">Como las señaladas a continuación: “Los servidores públicos” (art. 8, num. 1º, lit.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 “Los miembros de las juntas o consejos directivos. Esta incompatibilidad sólo se predica respecto de la entidad a la cual prestan sus servicios y de las del sector administrativo al que la misma esté adscrita o vinculada” (art. 8, num. 2º, lit. e), Ley 80/93); “Quien haya celebrado un contrato estatal de obra pública, de concesión, suministro de medicamentos y de alimentos o su cónyuge, compañero o compañera permanente, pariente hasta el segundo grado de consaguinidad,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 </w:t>
      </w:r>
    </w:p>
  </w:footnote>
  <w:footnote w:id="5">
    <w:p w14:paraId="5BD87150" w14:textId="77777777" w:rsidR="006D4B8B" w:rsidRPr="005F7771" w:rsidRDefault="006D4B8B" w:rsidP="006D4B8B">
      <w:pPr>
        <w:pStyle w:val="Textonotapie"/>
        <w:ind w:firstLine="709"/>
        <w:jc w:val="both"/>
        <w:rPr>
          <w:rFonts w:ascii="Verdana" w:hAnsi="Verdana" w:cs="Arial"/>
          <w:sz w:val="18"/>
          <w:szCs w:val="18"/>
          <w:lang w:val="es-ES"/>
        </w:rPr>
      </w:pPr>
      <w:r w:rsidRPr="005F7771">
        <w:rPr>
          <w:rStyle w:val="Refdenotaalpie"/>
          <w:rFonts w:ascii="Verdana" w:hAnsi="Verdana" w:cs="Arial"/>
          <w:sz w:val="18"/>
          <w:szCs w:val="18"/>
        </w:rPr>
        <w:footnoteRef/>
      </w:r>
      <w:r w:rsidRPr="005F7771">
        <w:rPr>
          <w:rFonts w:ascii="Verdana" w:hAnsi="Verdana" w:cs="Arial"/>
          <w:sz w:val="18"/>
          <w:szCs w:val="18"/>
        </w:rPr>
        <w:t xml:space="preserve"> </w:t>
      </w:r>
      <w:r w:rsidRPr="005F7771">
        <w:rPr>
          <w:rFonts w:ascii="Verdana" w:hAnsi="Verdana" w:cs="Arial"/>
          <w:sz w:val="18"/>
          <w:szCs w:val="18"/>
          <w:lang w:val="es-ES"/>
        </w:rPr>
        <w:t xml:space="preserve">CORTE CONSTITUCIONAL. Sentencia T-1039 de 2006. M.P. Humberto Sierra Porto. La Corte Constitucional ha mantenido este criterio en las sentencias: C-903 de 2008. M.P. Jaime Araujo Rentería; C-101 de 2018. M.P. Gloria Stella Ortiz Delgado; entre otras. </w:t>
      </w:r>
    </w:p>
    <w:p w14:paraId="19800206" w14:textId="77777777" w:rsidR="006D4B8B" w:rsidRPr="005F7771" w:rsidRDefault="006D4B8B" w:rsidP="006D4B8B">
      <w:pPr>
        <w:pStyle w:val="Textonotapie"/>
        <w:ind w:firstLine="709"/>
        <w:jc w:val="both"/>
        <w:rPr>
          <w:rFonts w:ascii="Verdana" w:hAnsi="Verdana" w:cs="Arial"/>
          <w:sz w:val="18"/>
          <w:szCs w:val="18"/>
          <w:lang w:val="es-ES"/>
        </w:rPr>
      </w:pPr>
    </w:p>
  </w:footnote>
  <w:footnote w:id="6">
    <w:p w14:paraId="5EDA7299" w14:textId="77777777" w:rsidR="006D4B8B" w:rsidRPr="005F7771" w:rsidRDefault="006D4B8B" w:rsidP="006D4B8B">
      <w:pPr>
        <w:pStyle w:val="Textonotapie"/>
        <w:ind w:firstLine="709"/>
        <w:jc w:val="both"/>
        <w:rPr>
          <w:rFonts w:ascii="Verdana" w:hAnsi="Verdana" w:cs="Arial"/>
          <w:sz w:val="18"/>
          <w:szCs w:val="18"/>
          <w:lang w:val="es-ES"/>
        </w:rPr>
      </w:pPr>
      <w:r w:rsidRPr="005F7771">
        <w:rPr>
          <w:rStyle w:val="Refdenotaalpie"/>
          <w:rFonts w:ascii="Verdana" w:hAnsi="Verdana" w:cs="Arial"/>
          <w:sz w:val="18"/>
          <w:szCs w:val="18"/>
        </w:rPr>
        <w:footnoteRef/>
      </w:r>
      <w:r w:rsidRPr="005F7771">
        <w:rPr>
          <w:rFonts w:ascii="Verdana" w:hAnsi="Verdana" w:cs="Arial"/>
          <w:sz w:val="18"/>
          <w:szCs w:val="18"/>
        </w:rPr>
        <w:t xml:space="preserve"> </w:t>
      </w:r>
      <w:r w:rsidRPr="005F7771">
        <w:rPr>
          <w:rFonts w:ascii="Verdana" w:hAnsi="Verdana" w:cs="Arial"/>
          <w:sz w:val="18"/>
          <w:szCs w:val="18"/>
          <w:lang w:val="es-ES"/>
        </w:rPr>
        <w:t>CONSEJO DE ESTADO. Sala de Consulta y Servicio Civil. Concepto del 30 de abril de 2015. Exp. 2251. C.P. Álvaro Namén Vargas.</w:t>
      </w:r>
    </w:p>
  </w:footnote>
  <w:footnote w:id="7">
    <w:p w14:paraId="7D6B504A" w14:textId="77777777" w:rsidR="006D4B8B" w:rsidRPr="005F7771" w:rsidRDefault="006D4B8B" w:rsidP="006D4B8B">
      <w:pPr>
        <w:pStyle w:val="Textonotapie"/>
        <w:ind w:firstLine="709"/>
        <w:jc w:val="both"/>
        <w:rPr>
          <w:rFonts w:ascii="Verdana" w:hAnsi="Verdana" w:cs="Arial"/>
          <w:sz w:val="18"/>
          <w:szCs w:val="18"/>
        </w:rPr>
      </w:pPr>
      <w:r w:rsidRPr="005F7771">
        <w:rPr>
          <w:rStyle w:val="Refdenotaalpie"/>
          <w:rFonts w:ascii="Verdana" w:hAnsi="Verdana" w:cs="Arial"/>
          <w:sz w:val="18"/>
          <w:szCs w:val="18"/>
        </w:rPr>
        <w:footnoteRef/>
      </w:r>
      <w:r w:rsidRPr="005F7771">
        <w:rPr>
          <w:rFonts w:ascii="Verdana" w:hAnsi="Verdana" w:cs="Arial"/>
          <w:sz w:val="18"/>
          <w:szCs w:val="18"/>
        </w:rPr>
        <w:t xml:space="preserve"> Código Civil: “Artículo 33. Palabras relacionadas con las personas. La palabra persona en su sentido general se aplica(rá) a la especie humana, sin distinción de sexo”.</w:t>
      </w:r>
    </w:p>
    <w:p w14:paraId="18F418A0" w14:textId="77777777" w:rsidR="006D4B8B" w:rsidRPr="005F7771" w:rsidRDefault="006D4B8B" w:rsidP="006D4B8B">
      <w:pPr>
        <w:pStyle w:val="Textonotapie"/>
        <w:ind w:firstLine="709"/>
        <w:jc w:val="both"/>
        <w:rPr>
          <w:rFonts w:ascii="Verdana" w:hAnsi="Verdana" w:cs="Arial"/>
          <w:sz w:val="18"/>
          <w:szCs w:val="18"/>
          <w:lang w:val="es-CO"/>
        </w:rPr>
      </w:pPr>
    </w:p>
  </w:footnote>
  <w:footnote w:id="8">
    <w:p w14:paraId="676181C6" w14:textId="77777777" w:rsidR="006D4B8B" w:rsidRPr="005F7771" w:rsidRDefault="006D4B8B" w:rsidP="006D4B8B">
      <w:pPr>
        <w:pStyle w:val="Textonotapie"/>
        <w:ind w:firstLine="709"/>
        <w:jc w:val="both"/>
        <w:rPr>
          <w:rFonts w:ascii="Verdana" w:hAnsi="Verdana" w:cs="Arial"/>
          <w:sz w:val="18"/>
          <w:szCs w:val="18"/>
        </w:rPr>
      </w:pPr>
      <w:r w:rsidRPr="005F7771">
        <w:rPr>
          <w:rStyle w:val="Refdenotaalpie"/>
          <w:rFonts w:ascii="Verdana" w:hAnsi="Verdana" w:cs="Arial"/>
          <w:sz w:val="18"/>
          <w:szCs w:val="18"/>
        </w:rPr>
        <w:footnoteRef/>
      </w:r>
      <w:r w:rsidRPr="005F7771">
        <w:rPr>
          <w:rFonts w:ascii="Verdana" w:hAnsi="Verdana" w:cs="Arial"/>
          <w:sz w:val="18"/>
          <w:szCs w:val="18"/>
        </w:rPr>
        <w:t>Constitución Política de Colombia: “Artículo 42. La familia es el núcleo fundamental de la sociedad. Se constituye por vínculos naturales o jurídicos, por la decisión libre de un hombre y una mujer de contraer matrimonio o por la voluntad responsable de conformarla”.</w:t>
      </w:r>
    </w:p>
    <w:p w14:paraId="22BC65FE" w14:textId="77777777" w:rsidR="006D4B8B" w:rsidRPr="005F7771" w:rsidRDefault="006D4B8B" w:rsidP="006D4B8B">
      <w:pPr>
        <w:pStyle w:val="Textonotapie"/>
        <w:ind w:firstLine="709"/>
        <w:jc w:val="both"/>
        <w:rPr>
          <w:rFonts w:ascii="Verdana" w:hAnsi="Verdana" w:cs="Arial"/>
          <w:sz w:val="18"/>
          <w:szCs w:val="18"/>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8BAE" w14:textId="77777777" w:rsidR="006D4B8B" w:rsidRDefault="006D4B8B"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9776" behindDoc="1" locked="0" layoutInCell="1" allowOverlap="1" wp14:anchorId="02F2B3A1" wp14:editId="33E1DF50">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8752" behindDoc="0" locked="0" layoutInCell="1" allowOverlap="1" wp14:anchorId="7B40BFE7" wp14:editId="7E0EE877">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407853D9" w14:textId="77777777" w:rsidR="006D4B8B" w:rsidRDefault="006D4B8B">
    <w:pPr>
      <w:pStyle w:val="Encabezado"/>
    </w:pPr>
  </w:p>
  <w:p w14:paraId="63358A2A" w14:textId="77777777" w:rsidR="006D4B8B" w:rsidRPr="004A305D" w:rsidRDefault="006D4B8B" w:rsidP="00B01B1A">
    <w:pPr>
      <w:spacing w:after="0" w:line="120" w:lineRule="auto"/>
      <w:rPr>
        <w:rFonts w:ascii="Century Gothic" w:eastAsia="Geo" w:hAnsi="Century Gothic" w:cs="Geo"/>
        <w:sz w:val="16"/>
        <w:szCs w:val="16"/>
        <w:lang w:eastAsia="es-CO"/>
      </w:rPr>
    </w:pPr>
  </w:p>
  <w:p w14:paraId="18026166" w14:textId="77777777" w:rsidR="006D4B8B" w:rsidRDefault="006D4B8B" w:rsidP="00844AE9">
    <w:pPr>
      <w:spacing w:after="0" w:line="240" w:lineRule="auto"/>
      <w:rPr>
        <w:rFonts w:ascii="Verdana" w:hAnsi="Verdana"/>
        <w:sz w:val="24"/>
        <w:szCs w:val="24"/>
      </w:rPr>
    </w:pPr>
  </w:p>
  <w:p w14:paraId="2E5F4E5D" w14:textId="77777777" w:rsidR="006D4B8B" w:rsidRPr="00C925AC" w:rsidRDefault="006D4B8B" w:rsidP="00844AE9">
    <w:pPr>
      <w:spacing w:after="0" w:line="240" w:lineRule="auto"/>
      <w:rPr>
        <w:rFonts w:ascii="Verdana" w:hAnsi="Verdana"/>
        <w:sz w:val="24"/>
        <w:szCs w:val="24"/>
      </w:rPr>
    </w:pPr>
  </w:p>
  <w:p w14:paraId="194E0421" w14:textId="77777777" w:rsidR="006D4B8B" w:rsidRPr="00C925AC" w:rsidRDefault="006D4B8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8B"/>
    <w:rsid w:val="00331581"/>
    <w:rsid w:val="004B5645"/>
    <w:rsid w:val="006D4B8B"/>
    <w:rsid w:val="00733CF5"/>
    <w:rsid w:val="00811D10"/>
    <w:rsid w:val="00A865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2FA4"/>
  <w15:chartTrackingRefBased/>
  <w15:docId w15:val="{BE294ADC-6DEE-4B2E-9C1F-C4B7FA31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B8B"/>
    <w:pPr>
      <w:spacing w:line="259" w:lineRule="auto"/>
    </w:pPr>
    <w:rPr>
      <w:kern w:val="0"/>
      <w:sz w:val="22"/>
      <w:szCs w:val="22"/>
      <w14:ligatures w14:val="none"/>
    </w:rPr>
  </w:style>
  <w:style w:type="paragraph" w:styleId="Ttulo1">
    <w:name w:val="heading 1"/>
    <w:basedOn w:val="Normal"/>
    <w:next w:val="Normal"/>
    <w:link w:val="Ttulo1Car"/>
    <w:uiPriority w:val="9"/>
    <w:qFormat/>
    <w:rsid w:val="006D4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4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4B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4B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4B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4B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4B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4B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4B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4B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4B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4B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4B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4B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4B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4B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4B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4B8B"/>
    <w:rPr>
      <w:rFonts w:eastAsiaTheme="majorEastAsia" w:cstheme="majorBidi"/>
      <w:color w:val="272727" w:themeColor="text1" w:themeTint="D8"/>
    </w:rPr>
  </w:style>
  <w:style w:type="paragraph" w:styleId="Ttulo">
    <w:name w:val="Title"/>
    <w:basedOn w:val="Normal"/>
    <w:next w:val="Normal"/>
    <w:link w:val="TtuloCar"/>
    <w:uiPriority w:val="10"/>
    <w:qFormat/>
    <w:rsid w:val="006D4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4B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4B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4B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4B8B"/>
    <w:pPr>
      <w:spacing w:before="160"/>
      <w:jc w:val="center"/>
    </w:pPr>
    <w:rPr>
      <w:i/>
      <w:iCs/>
      <w:color w:val="404040" w:themeColor="text1" w:themeTint="BF"/>
    </w:rPr>
  </w:style>
  <w:style w:type="character" w:customStyle="1" w:styleId="CitaCar">
    <w:name w:val="Cita Car"/>
    <w:basedOn w:val="Fuentedeprrafopredeter"/>
    <w:link w:val="Cita"/>
    <w:uiPriority w:val="29"/>
    <w:rsid w:val="006D4B8B"/>
    <w:rPr>
      <w:i/>
      <w:iCs/>
      <w:color w:val="404040" w:themeColor="text1" w:themeTint="BF"/>
    </w:rPr>
  </w:style>
  <w:style w:type="paragraph" w:styleId="Prrafodelista">
    <w:name w:val="List Paragraph"/>
    <w:basedOn w:val="Normal"/>
    <w:uiPriority w:val="34"/>
    <w:qFormat/>
    <w:rsid w:val="006D4B8B"/>
    <w:pPr>
      <w:ind w:left="720"/>
      <w:contextualSpacing/>
    </w:pPr>
  </w:style>
  <w:style w:type="character" w:styleId="nfasisintenso">
    <w:name w:val="Intense Emphasis"/>
    <w:basedOn w:val="Fuentedeprrafopredeter"/>
    <w:uiPriority w:val="21"/>
    <w:qFormat/>
    <w:rsid w:val="006D4B8B"/>
    <w:rPr>
      <w:i/>
      <w:iCs/>
      <w:color w:val="0F4761" w:themeColor="accent1" w:themeShade="BF"/>
    </w:rPr>
  </w:style>
  <w:style w:type="paragraph" w:styleId="Citadestacada">
    <w:name w:val="Intense Quote"/>
    <w:basedOn w:val="Normal"/>
    <w:next w:val="Normal"/>
    <w:link w:val="CitadestacadaCar"/>
    <w:uiPriority w:val="30"/>
    <w:qFormat/>
    <w:rsid w:val="006D4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4B8B"/>
    <w:rPr>
      <w:i/>
      <w:iCs/>
      <w:color w:val="0F4761" w:themeColor="accent1" w:themeShade="BF"/>
    </w:rPr>
  </w:style>
  <w:style w:type="character" w:styleId="Referenciaintensa">
    <w:name w:val="Intense Reference"/>
    <w:basedOn w:val="Fuentedeprrafopredeter"/>
    <w:uiPriority w:val="32"/>
    <w:qFormat/>
    <w:rsid w:val="006D4B8B"/>
    <w:rPr>
      <w:b/>
      <w:bCs/>
      <w:smallCaps/>
      <w:color w:val="0F4761" w:themeColor="accent1" w:themeShade="BF"/>
      <w:spacing w:val="5"/>
    </w:rPr>
  </w:style>
  <w:style w:type="paragraph" w:styleId="Encabezado">
    <w:name w:val="header"/>
    <w:basedOn w:val="Normal"/>
    <w:link w:val="EncabezadoCar"/>
    <w:uiPriority w:val="99"/>
    <w:unhideWhenUsed/>
    <w:rsid w:val="006D4B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4B8B"/>
    <w:rPr>
      <w:kern w:val="0"/>
      <w:sz w:val="22"/>
      <w:szCs w:val="22"/>
      <w14:ligatures w14:val="none"/>
    </w:rPr>
  </w:style>
  <w:style w:type="paragraph" w:styleId="Piedepgina">
    <w:name w:val="footer"/>
    <w:basedOn w:val="Normal"/>
    <w:link w:val="PiedepginaCar"/>
    <w:uiPriority w:val="99"/>
    <w:unhideWhenUsed/>
    <w:rsid w:val="006D4B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4B8B"/>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D4B8B"/>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D4B8B"/>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6D4B8B"/>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D4B8B"/>
    <w:rPr>
      <w:vertAlign w:val="superscript"/>
    </w:rPr>
  </w:style>
  <w:style w:type="table" w:styleId="Tablaconcuadrcula">
    <w:name w:val="Table Grid"/>
    <w:basedOn w:val="Tablanormal"/>
    <w:uiPriority w:val="39"/>
    <w:qFormat/>
    <w:rsid w:val="006D4B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4B8B"/>
    <w:rPr>
      <w:color w:val="0000FF"/>
      <w:u w:val="single"/>
    </w:rPr>
  </w:style>
  <w:style w:type="paragraph" w:customStyle="1" w:styleId="Appelnotedebasde">
    <w:name w:val="Appel note de bas de..."/>
    <w:basedOn w:val="Normal"/>
    <w:link w:val="Refdenotaalpie"/>
    <w:uiPriority w:val="99"/>
    <w:rsid w:val="006D4B8B"/>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6D4B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boletin/boletin-edicion-n-3-de-2026-radar-de-la-compra-publ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rsoneria@personeriatulua.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363288-8DA5-4F43-871E-71F7C1356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BEEEF-FFB7-4757-AF34-B85CFB42FCA2}">
  <ds:schemaRefs>
    <ds:schemaRef ds:uri="http://schemas.microsoft.com/sharepoint/v3/contenttype/forms"/>
  </ds:schemaRefs>
</ds:datastoreItem>
</file>

<file path=customXml/itemProps3.xml><?xml version="1.0" encoding="utf-8"?>
<ds:datastoreItem xmlns:ds="http://schemas.openxmlformats.org/officeDocument/2006/customXml" ds:itemID="{2D12D49E-D4FB-44B6-AEDA-ADEB491CF794}">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4107</Words>
  <Characters>22589</Characters>
  <Application>Microsoft Office Word</Application>
  <DocSecurity>0</DocSecurity>
  <Lines>188</Lines>
  <Paragraphs>53</Paragraphs>
  <ScaleCrop>false</ScaleCrop>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2026-08-14T19:38:00Z</dcterms:created>
  <dcterms:modified xsi:type="dcterms:W3CDTF">2026-08-14T19:38:00Z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