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3F35" w14:textId="4BC16097" w:rsidR="00D83D2F" w:rsidRDefault="002C19A5" w:rsidP="002C19A5">
      <w:pPr>
        <w:contextualSpacing/>
        <w:jc w:val="both"/>
        <w:rPr>
          <w:rFonts w:ascii="Verdana" w:eastAsia="Arial" w:hAnsi="Verdana"/>
          <w:b/>
          <w:bCs/>
          <w:lang w:val="es-ES" w:eastAsia="es-ES_tradnl"/>
        </w:rPr>
      </w:pPr>
      <w:bookmarkStart w:id="0" w:name="_Hlk143780582"/>
      <w:r w:rsidRPr="002C19A5">
        <w:rPr>
          <w:rFonts w:ascii="Verdana" w:eastAsia="Arial" w:hAnsi="Verdana"/>
          <w:b/>
          <w:bCs/>
          <w:lang w:val="es-ES" w:eastAsia="es-ES_tradnl"/>
        </w:rPr>
        <w:t>CONTRATO – Definición</w:t>
      </w:r>
    </w:p>
    <w:p w14:paraId="70C097B8" w14:textId="77777777" w:rsidR="00592381" w:rsidRDefault="00E45CEC" w:rsidP="00776D5C">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sidRPr="00592381">
        <w:rPr>
          <w:rFonts w:ascii="Verdana" w:eastAsia="Arial" w:hAnsi="Verdana" w:cs="Arial"/>
          <w:color w:val="000000" w:themeColor="text1"/>
          <w:sz w:val="20"/>
          <w:szCs w:val="20"/>
          <w:lang w:val="es-ES" w:eastAsia="es-ES"/>
        </w:rPr>
        <w:t>El contrato es un “acto jurídico voluntario, una declaración de voluntad, que tiene por objeto establecer una relación jurídica entre dos personas, obligando a la una para con otra a determinada prestación”. Se trata de un negocio jurídico en el sentido de que es el resultado de un acto dispositivo o de autorregulación de intereses de dos o más sujetos con efectos jurídicos para crear, modificar o extinguir relaciones jurídica</w:t>
      </w:r>
      <w:r w:rsidR="00A22FB7" w:rsidRPr="00592381">
        <w:rPr>
          <w:rFonts w:ascii="Verdana" w:eastAsia="Arial" w:hAnsi="Verdana" w:cs="Arial"/>
          <w:color w:val="000000" w:themeColor="text1"/>
          <w:sz w:val="20"/>
          <w:szCs w:val="20"/>
          <w:lang w:val="es-ES" w:eastAsia="es-ES"/>
        </w:rPr>
        <w:t>s.</w:t>
      </w:r>
    </w:p>
    <w:p w14:paraId="63B31164" w14:textId="3651874E" w:rsidR="00E45CEC" w:rsidRPr="00592381" w:rsidRDefault="00E45CEC" w:rsidP="00776D5C">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sidRPr="00592381">
        <w:rPr>
          <w:rFonts w:ascii="Verdana" w:eastAsia="Arial" w:hAnsi="Verdana" w:cs="Arial"/>
          <w:color w:val="000000" w:themeColor="text1"/>
          <w:sz w:val="20"/>
          <w:szCs w:val="20"/>
          <w:lang w:val="es-ES" w:eastAsia="es-ES"/>
        </w:rPr>
        <w:t>En efecto, el artículo 1495 del Código Civil establece que el “[c]</w:t>
      </w:r>
      <w:proofErr w:type="spellStart"/>
      <w:r w:rsidRPr="00592381">
        <w:rPr>
          <w:rFonts w:ascii="Verdana" w:eastAsia="Arial" w:hAnsi="Verdana" w:cs="Arial"/>
          <w:color w:val="000000" w:themeColor="text1"/>
          <w:sz w:val="20"/>
          <w:szCs w:val="20"/>
          <w:lang w:val="es-ES" w:eastAsia="es-ES"/>
        </w:rPr>
        <w:t>ontrato</w:t>
      </w:r>
      <w:proofErr w:type="spellEnd"/>
      <w:r w:rsidRPr="00592381">
        <w:rPr>
          <w:rFonts w:ascii="Verdana" w:eastAsia="Arial" w:hAnsi="Verdana" w:cs="Arial"/>
          <w:color w:val="000000" w:themeColor="text1"/>
          <w:sz w:val="20"/>
          <w:szCs w:val="20"/>
          <w:lang w:val="es-ES" w:eastAsia="es-ES"/>
        </w:rPr>
        <w:t xml:space="preserve">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relación jurídica patrimonial”.</w:t>
      </w:r>
    </w:p>
    <w:p w14:paraId="1475E826" w14:textId="67AF1872" w:rsidR="00E45CEC" w:rsidRPr="002B6577" w:rsidRDefault="00E45CEC" w:rsidP="00776D5C">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sidRPr="00592381">
        <w:rPr>
          <w:rFonts w:ascii="Verdana" w:eastAsia="Arial" w:hAnsi="Verdana" w:cs="Arial"/>
          <w:color w:val="000000" w:themeColor="text1"/>
          <w:sz w:val="20"/>
          <w:szCs w:val="20"/>
          <w:lang w:val="es-ES_tradnl" w:eastAsia="es-ES_tradnl"/>
        </w:rPr>
        <w:t xml:space="preserve">Por su parte, el artículo 1º de la Ley 80 de 1993 –Estatuto General de Contratación de la Administración Pública, en adelante EGCAP–, determina que su objetivo es disponer de reglas y principios que rigen los contratos de las Entidades Estatales y, en ese sentido, el artículo 32 </w:t>
      </w:r>
      <w:r w:rsidRPr="00592381">
        <w:rPr>
          <w:rFonts w:ascii="Verdana" w:eastAsia="Arial" w:hAnsi="Verdana" w:cs="Arial"/>
          <w:i/>
          <w:iCs/>
          <w:color w:val="000000" w:themeColor="text1"/>
          <w:sz w:val="20"/>
          <w:szCs w:val="20"/>
          <w:lang w:val="es-ES_tradnl" w:eastAsia="es-ES_tradnl"/>
        </w:rPr>
        <w:t>ibidem</w:t>
      </w:r>
      <w:r w:rsidRPr="00592381">
        <w:rPr>
          <w:rFonts w:ascii="Verdana" w:eastAsia="Arial" w:hAnsi="Verdana" w:cs="Arial"/>
          <w:color w:val="000000" w:themeColor="text1"/>
          <w:sz w:val="20"/>
          <w:szCs w:val="20"/>
          <w:lang w:val="es-ES_tradnl" w:eastAsia="es-ES_tradnl"/>
        </w:rPr>
        <w:t xml:space="preserve"> define los contratos estatales como “todos los actos jurídicos, generadores de obligaciones que celebren las entidades a que se refiere este estatuto [art. 2], previstos en el derecho privado o en disposiciones especiales, o derivados del </w:t>
      </w:r>
      <w:r w:rsidRPr="002B6577">
        <w:rPr>
          <w:rFonts w:ascii="Verdana" w:eastAsia="Arial" w:hAnsi="Verdana" w:cs="Arial"/>
          <w:color w:val="000000" w:themeColor="text1"/>
          <w:sz w:val="20"/>
          <w:szCs w:val="20"/>
          <w:lang w:val="es-ES" w:eastAsia="es-ES"/>
        </w:rPr>
        <w:t>ejercicio de la autonomía de la voluntad”.</w:t>
      </w:r>
    </w:p>
    <w:p w14:paraId="1F9009CE" w14:textId="215B0CD1" w:rsidR="00592381" w:rsidRPr="00776D5C" w:rsidRDefault="002C19A5" w:rsidP="00776D5C">
      <w:pPr>
        <w:widowControl w:val="0"/>
        <w:autoSpaceDE w:val="0"/>
        <w:autoSpaceDN w:val="0"/>
        <w:spacing w:after="120" w:line="240" w:lineRule="auto"/>
        <w:jc w:val="both"/>
        <w:rPr>
          <w:rFonts w:ascii="Verdana" w:hAnsi="Verdana"/>
          <w:sz w:val="20"/>
          <w:szCs w:val="20"/>
        </w:rPr>
      </w:pPr>
      <w:r w:rsidRPr="002B6577">
        <w:rPr>
          <w:rFonts w:ascii="Verdana" w:eastAsia="Arial" w:hAnsi="Verdana" w:cs="Arial"/>
          <w:b/>
          <w:bCs/>
          <w:color w:val="000000" w:themeColor="text1"/>
          <w:sz w:val="20"/>
          <w:szCs w:val="20"/>
          <w:lang w:val="es-ES" w:eastAsia="es-ES"/>
        </w:rPr>
        <w:t>CONTRATO ESTATAL – Definició</w:t>
      </w:r>
      <w:r w:rsidR="002B6577" w:rsidRPr="002B6577">
        <w:rPr>
          <w:rFonts w:ascii="Verdana" w:eastAsia="Arial" w:hAnsi="Verdana" w:cs="Arial"/>
          <w:b/>
          <w:bCs/>
          <w:color w:val="000000" w:themeColor="text1"/>
          <w:sz w:val="20"/>
          <w:szCs w:val="20"/>
          <w:lang w:val="es-ES" w:eastAsia="es-ES"/>
        </w:rPr>
        <w:t>n</w:t>
      </w:r>
    </w:p>
    <w:p w14:paraId="38FAACD7" w14:textId="77777777" w:rsidR="005B14B7" w:rsidRPr="00876E9D" w:rsidRDefault="00E45CEC" w:rsidP="00776D5C">
      <w:pPr>
        <w:widowControl w:val="0"/>
        <w:autoSpaceDE w:val="0"/>
        <w:autoSpaceDN w:val="0"/>
        <w:spacing w:line="240" w:lineRule="auto"/>
        <w:jc w:val="both"/>
        <w:rPr>
          <w:rFonts w:ascii="Verdana" w:hAnsi="Verdana"/>
          <w:sz w:val="20"/>
          <w:szCs w:val="20"/>
        </w:rPr>
      </w:pPr>
      <w:r w:rsidRPr="002B6577">
        <w:rPr>
          <w:rFonts w:ascii="Verdana" w:eastAsia="Arial" w:hAnsi="Verdana" w:cs="Arial"/>
          <w:color w:val="000000" w:themeColor="text1"/>
          <w:sz w:val="20"/>
          <w:szCs w:val="20"/>
          <w:lang w:val="es-ES" w:eastAsia="es-ES"/>
        </w:rPr>
        <w:t xml:space="preserve">[…] para la definición de contrato estatal basta con que una de las entidades que enumera el artículo 2º de la Ley 80 de 1993 sea una de las partes, sin importar el </w:t>
      </w:r>
      <w:r w:rsidRPr="005B14B7">
        <w:rPr>
          <w:rFonts w:ascii="Verdana" w:hAnsi="Verdana"/>
          <w:sz w:val="20"/>
          <w:szCs w:val="20"/>
        </w:rPr>
        <w:t>extremo de la relación jurídico negocial que asuma.</w:t>
      </w:r>
    </w:p>
    <w:p w14:paraId="03C5754C" w14:textId="77777777" w:rsidR="005B14B7" w:rsidRDefault="005B14B7" w:rsidP="00776D5C">
      <w:pPr>
        <w:widowControl w:val="0"/>
        <w:autoSpaceDE w:val="0"/>
        <w:autoSpaceDN w:val="0"/>
        <w:spacing w:after="120" w:line="240" w:lineRule="auto"/>
        <w:jc w:val="both"/>
        <w:rPr>
          <w:rFonts w:ascii="Verdana" w:hAnsi="Verdana"/>
          <w:sz w:val="20"/>
          <w:szCs w:val="20"/>
        </w:rPr>
      </w:pPr>
      <w:r w:rsidRPr="00876E9D">
        <w:rPr>
          <w:rFonts w:ascii="Verdana" w:hAnsi="Verdana"/>
          <w:sz w:val="20"/>
          <w:szCs w:val="20"/>
        </w:rPr>
        <w:t xml:space="preserve">[…] </w:t>
      </w:r>
    </w:p>
    <w:p w14:paraId="62B0FB1D" w14:textId="508E19D3" w:rsidR="00E45CEC" w:rsidRPr="002B6577" w:rsidRDefault="005B14B7" w:rsidP="002615D7">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Pr>
          <w:rFonts w:ascii="Verdana" w:hAnsi="Verdana"/>
          <w:sz w:val="20"/>
          <w:szCs w:val="20"/>
        </w:rPr>
        <w:t>A</w:t>
      </w:r>
      <w:r w:rsidR="00E45CEC" w:rsidRPr="005B14B7">
        <w:rPr>
          <w:rFonts w:ascii="Verdana" w:hAnsi="Verdana"/>
          <w:sz w:val="20"/>
          <w:szCs w:val="20"/>
        </w:rPr>
        <w:t>sí pues, el contrato estatal es el acto jurídico creador de obligaciones en cuya celebración concurre una de las Entidades Estatales, independientemente de que se trate de</w:t>
      </w:r>
      <w:r w:rsidR="00E45CEC" w:rsidRPr="002B6577">
        <w:rPr>
          <w:rFonts w:ascii="Verdana" w:eastAsia="Arial" w:hAnsi="Verdana" w:cs="Arial"/>
          <w:color w:val="000000" w:themeColor="text1"/>
          <w:sz w:val="20"/>
          <w:szCs w:val="20"/>
          <w:lang w:val="es-ES" w:eastAsia="es-ES"/>
        </w:rPr>
        <w:t xml:space="preserve"> contratos previstos o tipificados en el derecho privado, en disposiciones especiales o que sencillamente resulten del ejercicio de la autonomía de la voluntad, como sucede con los que se clasifican como atípicos e innominados –artículo 32 de la Ley 80–. Por lo tanto, 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 con independencia del régimen de derecho aplicable.</w:t>
      </w:r>
    </w:p>
    <w:p w14:paraId="1C06E8BF" w14:textId="76C29D44" w:rsidR="00E45CEC" w:rsidRPr="002B6577" w:rsidRDefault="00E45CEC" w:rsidP="00776D5C">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sidRPr="002B6577">
        <w:rPr>
          <w:rFonts w:ascii="Verdana" w:eastAsia="Arial" w:hAnsi="Verdana" w:cs="Arial"/>
          <w:color w:val="000000" w:themeColor="text1"/>
          <w:sz w:val="20"/>
          <w:szCs w:val="20"/>
          <w:lang w:val="es-ES" w:eastAsia="es-ES"/>
        </w:rPr>
        <w:t>Este entendimiento encuentra, además, recepción en los artículos 13 y 40 de la Ley 80 de 1993, los cuales integran al derecho contractual estatal “las disposiciones comerciales y civiles pertinentes”, cuando indican que estos se regirán de forma supletiva por ese régimen jurídico, salvo en las materias expresa y particularmente reguladas por el EGCAP, lo que permite concluir que “mediante la Ley 80, se pretendió que la actividad contractual del Estado quedará bajo la égida del contrato estatal, caracterizado por tener un régimen jurídico mixto, integrado por normas de derecho público y derecho privado”.</w:t>
      </w:r>
    </w:p>
    <w:p w14:paraId="09606856" w14:textId="77777777" w:rsidR="002C19A5" w:rsidRDefault="002C19A5" w:rsidP="002C19A5">
      <w:pPr>
        <w:contextualSpacing/>
        <w:jc w:val="both"/>
        <w:rPr>
          <w:rFonts w:ascii="Verdana" w:eastAsia="Arial" w:hAnsi="Verdana"/>
          <w:b/>
          <w:bCs/>
          <w:lang w:val="es-ES" w:eastAsia="es-ES_tradnl"/>
        </w:rPr>
      </w:pPr>
      <w:r w:rsidRPr="002C19A5">
        <w:rPr>
          <w:rFonts w:ascii="Verdana" w:eastAsia="Arial" w:hAnsi="Verdana"/>
          <w:b/>
          <w:bCs/>
          <w:lang w:val="es-ES" w:eastAsia="es-ES_tradnl"/>
        </w:rPr>
        <w:t>CONTRATOS ATIPICOS – Definición – Entidades sometidas – EGCAP</w:t>
      </w:r>
    </w:p>
    <w:p w14:paraId="3B6EA340" w14:textId="00C94DD8" w:rsidR="00592381" w:rsidRPr="002B6577" w:rsidRDefault="002B6577" w:rsidP="002849DF">
      <w:pPr>
        <w:tabs>
          <w:tab w:val="left" w:pos="142"/>
          <w:tab w:val="left" w:pos="426"/>
        </w:tabs>
        <w:spacing w:before="240" w:after="120" w:line="240" w:lineRule="auto"/>
        <w:jc w:val="both"/>
        <w:rPr>
          <w:rFonts w:ascii="Verdana" w:hAnsi="Verdana"/>
          <w:sz w:val="20"/>
          <w:szCs w:val="20"/>
        </w:rPr>
      </w:pPr>
      <w:r>
        <w:rPr>
          <w:rFonts w:ascii="Verdana" w:hAnsi="Verdana"/>
          <w:sz w:val="20"/>
          <w:szCs w:val="20"/>
        </w:rPr>
        <w:lastRenderedPageBreak/>
        <w:t xml:space="preserve">[…] </w:t>
      </w:r>
      <w:r w:rsidR="00592381" w:rsidRPr="002B6577">
        <w:rPr>
          <w:rFonts w:ascii="Verdana" w:hAnsi="Verdana"/>
          <w:sz w:val="20"/>
          <w:szCs w:val="20"/>
        </w:rPr>
        <w:t>Los contratos atípicos se caracterizan por ser contratos en los cuales su causa o función socioeconómica no corresponde a ninguna de los contratos tipificados por la le</w:t>
      </w:r>
      <w:r w:rsidR="00592381" w:rsidRPr="002B6577">
        <w:rPr>
          <w:rFonts w:ascii="Verdana" w:hAnsi="Verdana"/>
          <w:sz w:val="20"/>
          <w:szCs w:val="20"/>
        </w:rPr>
        <w:t>y.</w:t>
      </w:r>
    </w:p>
    <w:p w14:paraId="1E799C2E" w14:textId="23863F82" w:rsidR="00592381" w:rsidRPr="002B6577" w:rsidRDefault="00592381" w:rsidP="002849DF">
      <w:pPr>
        <w:tabs>
          <w:tab w:val="left" w:pos="142"/>
          <w:tab w:val="left" w:pos="426"/>
        </w:tabs>
        <w:spacing w:after="120" w:line="240" w:lineRule="auto"/>
        <w:jc w:val="both"/>
        <w:rPr>
          <w:rFonts w:ascii="Verdana" w:hAnsi="Verdana"/>
          <w:sz w:val="20"/>
          <w:szCs w:val="20"/>
        </w:rPr>
      </w:pPr>
      <w:r w:rsidRPr="002B6577">
        <w:rPr>
          <w:rFonts w:ascii="Verdana" w:hAnsi="Verdana"/>
          <w:sz w:val="20"/>
          <w:szCs w:val="20"/>
        </w:rPr>
        <w:t>Tanto la jurisprudencia como la doctrina de derecho administrativo aceptan la presencia de contratos administrativos atípicos. En efecto, el Consejo de Estado, ha señalado que: “Como tampoco corresponde el negocio jurídico celebrado por las partes a ninguno otro de los tipificados en el Decreto Ley 222 de 1983, no obstante, lo cual, subsiste su naturaleza vinculante como acuerdo de voluntades creador de obligaciones a cargo de los cocontratantes y regido por las cláusulas pactadas por éstos</w:t>
      </w:r>
      <w:r w:rsidRPr="002B6577">
        <w:rPr>
          <w:rFonts w:ascii="Verdana" w:hAnsi="Verdana"/>
          <w:sz w:val="20"/>
          <w:szCs w:val="20"/>
        </w:rPr>
        <w:t>”.</w:t>
      </w:r>
    </w:p>
    <w:p w14:paraId="3A694097" w14:textId="49F5E189" w:rsidR="00592381" w:rsidRPr="002B6577" w:rsidRDefault="00592381" w:rsidP="002849DF">
      <w:pPr>
        <w:tabs>
          <w:tab w:val="left" w:pos="142"/>
          <w:tab w:val="left" w:pos="426"/>
        </w:tabs>
        <w:spacing w:after="120" w:line="240" w:lineRule="auto"/>
        <w:jc w:val="both"/>
        <w:rPr>
          <w:rFonts w:ascii="Verdana" w:hAnsi="Verdana"/>
          <w:sz w:val="20"/>
          <w:szCs w:val="20"/>
        </w:rPr>
      </w:pPr>
      <w:r w:rsidRPr="002B6577">
        <w:rPr>
          <w:rFonts w:ascii="Verdana" w:hAnsi="Verdana"/>
          <w:sz w:val="20"/>
          <w:szCs w:val="20"/>
        </w:rPr>
        <w:t xml:space="preserve">Tratándose de contratos atípicos estatales y su contenido el mismo, estos son admisibles en nuestro ordenamiento jurídico, siempre y cuando esté dentro del orden público, que no tenga </w:t>
      </w:r>
      <w:proofErr w:type="gramStart"/>
      <w:r w:rsidRPr="002B6577">
        <w:rPr>
          <w:rFonts w:ascii="Verdana" w:hAnsi="Verdana"/>
          <w:sz w:val="20"/>
          <w:szCs w:val="20"/>
        </w:rPr>
        <w:t>objeto ilícito o causa ilícita</w:t>
      </w:r>
      <w:proofErr w:type="gramEnd"/>
      <w:r w:rsidRPr="002B6577">
        <w:rPr>
          <w:rFonts w:ascii="Verdana" w:hAnsi="Verdana"/>
          <w:sz w:val="20"/>
          <w:szCs w:val="20"/>
        </w:rPr>
        <w:t xml:space="preserve">, que no estén presentes vicios del consentimiento y que, en aquellos casos que se exigen formalidades, se cumplan para el nacimiento del contrato. Dado que se trata de contratos de la administración, además de cumplir con los anteriores requisitos el contrato debe constar por escrito. </w:t>
      </w:r>
    </w:p>
    <w:p w14:paraId="72DFBD50" w14:textId="7B78CF26" w:rsidR="00592381" w:rsidRPr="002849DF" w:rsidRDefault="00592381" w:rsidP="00776D5C">
      <w:pPr>
        <w:widowControl w:val="0"/>
        <w:autoSpaceDE w:val="0"/>
        <w:autoSpaceDN w:val="0"/>
        <w:spacing w:after="120" w:line="240" w:lineRule="auto"/>
        <w:jc w:val="both"/>
        <w:rPr>
          <w:rFonts w:ascii="Verdana" w:eastAsia="Arial" w:hAnsi="Verdana" w:cs="Arial"/>
          <w:color w:val="000000" w:themeColor="text1"/>
          <w:sz w:val="20"/>
          <w:szCs w:val="20"/>
          <w:lang w:val="es-ES" w:eastAsia="es-ES"/>
        </w:rPr>
      </w:pPr>
      <w:r w:rsidRPr="002B6577">
        <w:rPr>
          <w:rFonts w:ascii="Verdana" w:hAnsi="Verdana"/>
          <w:sz w:val="20"/>
          <w:szCs w:val="20"/>
        </w:rPr>
        <w:t xml:space="preserve">Conforme lo expuesto y respondiendo a sus consultas, esta Agencia considera que la Ley 80 de 1993 facultó a las Entidades Públicas para que estas, en aplicación del principio de autonomía explicado en el acápite anterior, sean quienes determinen el tipo de contrato que mejor se ajuste al interés general e incluyan en sus contratos las cláusulas </w:t>
      </w:r>
      <w:r w:rsidRPr="002849DF">
        <w:rPr>
          <w:rFonts w:ascii="Verdana" w:eastAsia="Arial" w:hAnsi="Verdana" w:cs="Arial"/>
          <w:color w:val="000000" w:themeColor="text1"/>
          <w:sz w:val="20"/>
          <w:szCs w:val="20"/>
          <w:lang w:val="es-ES" w:eastAsia="es-ES"/>
        </w:rPr>
        <w:t>necesarias para dicho fin.</w:t>
      </w:r>
    </w:p>
    <w:p w14:paraId="07D370C3" w14:textId="4E62EB8A" w:rsidR="002C19A5" w:rsidRPr="002849DF" w:rsidRDefault="002C19A5" w:rsidP="00776D5C">
      <w:pPr>
        <w:widowControl w:val="0"/>
        <w:autoSpaceDE w:val="0"/>
        <w:autoSpaceDN w:val="0"/>
        <w:spacing w:after="120" w:line="240" w:lineRule="auto"/>
        <w:jc w:val="both"/>
        <w:rPr>
          <w:rFonts w:ascii="Verdana" w:eastAsia="Arial" w:hAnsi="Verdana" w:cs="Arial"/>
          <w:b/>
          <w:bCs/>
          <w:color w:val="000000" w:themeColor="text1"/>
          <w:sz w:val="20"/>
          <w:szCs w:val="20"/>
          <w:lang w:val="es-ES" w:eastAsia="es-ES"/>
        </w:rPr>
      </w:pPr>
      <w:r w:rsidRPr="002849DF">
        <w:rPr>
          <w:rFonts w:ascii="Verdana" w:eastAsia="Arial" w:hAnsi="Verdana" w:cs="Arial"/>
          <w:b/>
          <w:bCs/>
          <w:color w:val="000000" w:themeColor="text1"/>
          <w:sz w:val="20"/>
          <w:szCs w:val="20"/>
          <w:lang w:val="es-ES" w:eastAsia="es-ES"/>
        </w:rPr>
        <w:t>CONTRATOS ATIPICOS – Elementos – Autonomía de la voluntad</w:t>
      </w:r>
    </w:p>
    <w:p w14:paraId="3D4F613C" w14:textId="094E67F8" w:rsidR="00876E9D" w:rsidRPr="00876E9D" w:rsidRDefault="002849DF" w:rsidP="00776D5C">
      <w:pPr>
        <w:widowControl w:val="0"/>
        <w:autoSpaceDE w:val="0"/>
        <w:autoSpaceDN w:val="0"/>
        <w:spacing w:after="120" w:line="240" w:lineRule="auto"/>
        <w:jc w:val="both"/>
        <w:rPr>
          <w:rFonts w:ascii="Verdana" w:hAnsi="Verdana"/>
          <w:sz w:val="20"/>
          <w:szCs w:val="20"/>
        </w:rPr>
      </w:pPr>
      <w:r w:rsidRPr="00876E9D">
        <w:rPr>
          <w:rFonts w:ascii="Verdana" w:hAnsi="Verdana"/>
          <w:sz w:val="20"/>
          <w:szCs w:val="20"/>
        </w:rPr>
        <w:t>Sobre</w:t>
      </w:r>
      <w:r w:rsidRPr="002B6577">
        <w:rPr>
          <w:rFonts w:ascii="Verdana" w:hAnsi="Verdana"/>
          <w:sz w:val="20"/>
          <w:szCs w:val="20"/>
        </w:rPr>
        <w:t xml:space="preserve"> los elementos que componen los contratos atípicos como el contrato de concesión de espacios, es imperioso decir que, las partes son las que dotan al contrato de aquellos elementos esenciales que confluyen bien sea de tomar elementos propios de otras figuras o de elementos originales para crear una relación jurídica propia que difiere de las demás.</w:t>
      </w:r>
    </w:p>
    <w:p w14:paraId="78CDA486" w14:textId="77777777" w:rsidR="00D32347" w:rsidRDefault="00876E9D" w:rsidP="00876E9D">
      <w:pPr>
        <w:tabs>
          <w:tab w:val="left" w:pos="142"/>
          <w:tab w:val="left" w:pos="426"/>
        </w:tabs>
        <w:spacing w:after="120" w:line="240" w:lineRule="auto"/>
        <w:jc w:val="both"/>
        <w:rPr>
          <w:rFonts w:ascii="Verdana" w:hAnsi="Verdana"/>
          <w:sz w:val="20"/>
          <w:szCs w:val="20"/>
        </w:rPr>
      </w:pPr>
      <w:r w:rsidRPr="00876E9D">
        <w:rPr>
          <w:rFonts w:ascii="Verdana" w:hAnsi="Verdana"/>
          <w:sz w:val="20"/>
          <w:szCs w:val="20"/>
        </w:rPr>
        <w:t xml:space="preserve">[…] </w:t>
      </w:r>
    </w:p>
    <w:p w14:paraId="0236D480" w14:textId="0F85DF0B" w:rsidR="00876E9D" w:rsidRPr="00876E9D" w:rsidRDefault="00D32347" w:rsidP="00876E9D">
      <w:pPr>
        <w:tabs>
          <w:tab w:val="left" w:pos="142"/>
          <w:tab w:val="left" w:pos="426"/>
        </w:tabs>
        <w:spacing w:after="120" w:line="240" w:lineRule="auto"/>
        <w:jc w:val="both"/>
        <w:rPr>
          <w:rFonts w:ascii="Verdana" w:eastAsia="Calibri" w:hAnsi="Verdana" w:cs="Arial"/>
          <w:b/>
          <w:sz w:val="20"/>
          <w:szCs w:val="20"/>
          <w:lang w:val="es-ES"/>
        </w:rPr>
      </w:pPr>
      <w:r>
        <w:rPr>
          <w:rFonts w:ascii="Verdana" w:hAnsi="Verdana"/>
          <w:sz w:val="20"/>
          <w:szCs w:val="20"/>
        </w:rPr>
        <w:t xml:space="preserve">[…] </w:t>
      </w:r>
      <w:r w:rsidR="00876E9D" w:rsidRPr="00876E9D">
        <w:rPr>
          <w:rFonts w:ascii="Verdana" w:hAnsi="Verdana"/>
          <w:sz w:val="20"/>
          <w:szCs w:val="20"/>
        </w:rPr>
        <w:t xml:space="preserve">si bien las partes pueden acordar aquellos elementos que integran el contrato atípico, de acuerdo con la autonomía de la voluntad reconocida en el ordenamiento jurídico, es importante tener en cuenta los siguientes aspectos:  i) La observancia de las normas imperativas contenidas en el EGCAP, como son las reglas de formación, celebración y contenido obligatorio de los contratos estatales; </w:t>
      </w:r>
      <w:proofErr w:type="spellStart"/>
      <w:r w:rsidR="00876E9D" w:rsidRPr="00876E9D">
        <w:rPr>
          <w:rFonts w:ascii="Verdana" w:hAnsi="Verdana"/>
          <w:sz w:val="20"/>
          <w:szCs w:val="20"/>
        </w:rPr>
        <w:t>ii</w:t>
      </w:r>
      <w:proofErr w:type="spellEnd"/>
      <w:r w:rsidR="00876E9D" w:rsidRPr="00876E9D">
        <w:rPr>
          <w:rFonts w:ascii="Verdana" w:hAnsi="Verdana"/>
          <w:sz w:val="20"/>
          <w:szCs w:val="20"/>
        </w:rPr>
        <w:t xml:space="preserve">) los límites impuestos por el orden público; </w:t>
      </w:r>
      <w:proofErr w:type="spellStart"/>
      <w:r w:rsidR="00876E9D" w:rsidRPr="00876E9D">
        <w:rPr>
          <w:rFonts w:ascii="Verdana" w:hAnsi="Verdana"/>
          <w:sz w:val="20"/>
          <w:szCs w:val="20"/>
        </w:rPr>
        <w:t>iii</w:t>
      </w:r>
      <w:proofErr w:type="spellEnd"/>
      <w:r w:rsidR="00876E9D" w:rsidRPr="00876E9D">
        <w:rPr>
          <w:rFonts w:ascii="Verdana" w:hAnsi="Verdana"/>
          <w:sz w:val="20"/>
          <w:szCs w:val="20"/>
        </w:rPr>
        <w:t xml:space="preserve">) en aquellos casos en los que se encuentren vacíos en el contrato o se requiera interpretar aspectos de aquel se deberá tener en cuenta que el EGCAP opera de forma supletiva frente al silencio de las partes; </w:t>
      </w:r>
      <w:proofErr w:type="spellStart"/>
      <w:r w:rsidR="00876E9D" w:rsidRPr="00876E9D">
        <w:rPr>
          <w:rFonts w:ascii="Verdana" w:hAnsi="Verdana"/>
          <w:sz w:val="20"/>
          <w:szCs w:val="20"/>
        </w:rPr>
        <w:t>iv</w:t>
      </w:r>
      <w:proofErr w:type="spellEnd"/>
      <w:r w:rsidR="00876E9D" w:rsidRPr="00876E9D">
        <w:rPr>
          <w:rFonts w:ascii="Verdana" w:hAnsi="Verdana"/>
          <w:sz w:val="20"/>
          <w:szCs w:val="20"/>
        </w:rPr>
        <w:t>) las normas generales sobre contratos contenidas en las normas de derecho privado de conformidad con el artículo 13 de la Ley 80 de 1993 y v) la aplicación de los principios generales de derecho y de la administración pública en especial.</w:t>
      </w:r>
    </w:p>
    <w:p w14:paraId="0C82EDD9" w14:textId="043F5D9F" w:rsidR="00876E9D" w:rsidRPr="00876E9D" w:rsidRDefault="00876E9D" w:rsidP="00876E9D">
      <w:pPr>
        <w:spacing w:after="120" w:line="240" w:lineRule="auto"/>
        <w:jc w:val="both"/>
        <w:rPr>
          <w:rFonts w:ascii="Verdana" w:eastAsia="Times New Roman" w:hAnsi="Verdana" w:cs="Times New Roman"/>
          <w:sz w:val="20"/>
          <w:szCs w:val="20"/>
          <w:lang w:eastAsia="es-ES_tradnl"/>
        </w:rPr>
      </w:pPr>
      <w:r w:rsidRPr="00876E9D">
        <w:rPr>
          <w:rFonts w:ascii="Verdana" w:eastAsia="Times New Roman" w:hAnsi="Verdana" w:cs="Arial"/>
          <w:sz w:val="20"/>
          <w:szCs w:val="20"/>
          <w:lang w:eastAsia="es-MX"/>
        </w:rPr>
        <w:t xml:space="preserve">En este mismo sentido, es importante mencionar que, de acuerdo con </w:t>
      </w:r>
      <w:r w:rsidRPr="00876E9D">
        <w:rPr>
          <w:rFonts w:ascii="Verdana" w:eastAsia="Times New Roman" w:hAnsi="Verdana" w:cs="Arial"/>
          <w:bCs/>
          <w:color w:val="000000" w:themeColor="text1"/>
          <w:sz w:val="20"/>
          <w:szCs w:val="20"/>
          <w:lang w:val="es-ES" w:eastAsia="es-ES_tradnl"/>
        </w:rPr>
        <w:t>la Sección Tercera del Consejo de Estado</w:t>
      </w:r>
      <w:r w:rsidRPr="00876E9D">
        <w:rPr>
          <w:rFonts w:ascii="Verdana" w:eastAsia="Times New Roman" w:hAnsi="Verdana" w:cs="Arial"/>
          <w:sz w:val="20"/>
          <w:szCs w:val="20"/>
          <w:lang w:eastAsia="es-MX"/>
        </w:rPr>
        <w:t xml:space="preserve"> </w:t>
      </w:r>
      <w:r w:rsidRPr="00876E9D">
        <w:rPr>
          <w:rFonts w:ascii="Verdana" w:eastAsia="Times New Roman" w:hAnsi="Verdana" w:cs="Arial"/>
          <w:bCs/>
          <w:color w:val="000000" w:themeColor="text1"/>
          <w:sz w:val="20"/>
          <w:szCs w:val="20"/>
          <w:lang w:val="es-ES" w:eastAsia="es-ES_tradnl"/>
        </w:rPr>
        <w:t>si el arrendamiento recae sobre bienes públicos los bienes que pueden ser susceptibles de arrendamiento son únicamente los bienes fiscales, no los bienes de uso públic</w:t>
      </w:r>
      <w:r w:rsidR="005B14B7">
        <w:rPr>
          <w:rFonts w:ascii="Verdana" w:eastAsia="Times New Roman" w:hAnsi="Verdana" w:cs="Arial"/>
          <w:bCs/>
          <w:color w:val="000000" w:themeColor="text1"/>
          <w:sz w:val="20"/>
          <w:szCs w:val="20"/>
          <w:lang w:val="es-ES" w:eastAsia="es-ES_tradnl"/>
        </w:rPr>
        <w:t>o.</w:t>
      </w:r>
      <w:r w:rsidRPr="00876E9D">
        <w:rPr>
          <w:rFonts w:ascii="Verdana" w:eastAsia="Times New Roman" w:hAnsi="Verdana" w:cs="Arial"/>
          <w:bCs/>
          <w:color w:val="000000" w:themeColor="text1"/>
          <w:sz w:val="20"/>
          <w:szCs w:val="20"/>
          <w:lang w:val="es-ES" w:eastAsia="es-ES_tradnl"/>
        </w:rPr>
        <w:t xml:space="preserve"> Por lo anterior, es necesario adentrarnos en el estudio de los contratos relativos al aprovechamiento económico del espacio público.</w:t>
      </w:r>
    </w:p>
    <w:p w14:paraId="4D0FD964" w14:textId="5F9C3CC0" w:rsidR="002C19A5" w:rsidRDefault="002C19A5" w:rsidP="002C19A5">
      <w:pPr>
        <w:contextualSpacing/>
        <w:jc w:val="both"/>
        <w:rPr>
          <w:rFonts w:ascii="Verdana" w:eastAsia="Arial" w:hAnsi="Verdana"/>
          <w:b/>
          <w:bCs/>
          <w:lang w:val="es-ES" w:eastAsia="es-ES_tradnl"/>
        </w:rPr>
      </w:pPr>
      <w:r w:rsidRPr="002C19A5">
        <w:rPr>
          <w:rFonts w:ascii="Verdana" w:eastAsia="Arial" w:hAnsi="Verdana"/>
          <w:b/>
          <w:bCs/>
          <w:lang w:val="es-ES" w:eastAsia="es-ES_tradnl"/>
        </w:rPr>
        <w:lastRenderedPageBreak/>
        <w:t>CONTRATO DE CONCESIÓN – Posibilidad – Elementos – Modalidad de selección</w:t>
      </w:r>
    </w:p>
    <w:p w14:paraId="3B90A47D" w14:textId="73206BA3" w:rsidR="005B14B7" w:rsidRPr="005B14B7" w:rsidRDefault="005B14B7" w:rsidP="005B14B7">
      <w:pPr>
        <w:spacing w:before="240" w:after="120" w:line="240" w:lineRule="auto"/>
        <w:jc w:val="both"/>
        <w:rPr>
          <w:rFonts w:ascii="Verdana" w:eastAsia="Century Gothic" w:hAnsi="Verdana" w:cs="Century Gothic"/>
          <w:b/>
          <w:bCs/>
          <w:sz w:val="20"/>
          <w:szCs w:val="20"/>
          <w:lang w:eastAsia="es-ES_tradnl"/>
        </w:rPr>
      </w:pPr>
      <w:r w:rsidRPr="005B14B7">
        <w:rPr>
          <w:rFonts w:ascii="Verdana" w:hAnsi="Verdana"/>
          <w:sz w:val="20"/>
          <w:szCs w:val="20"/>
        </w:rPr>
        <w:t xml:space="preserve">[…] </w:t>
      </w:r>
      <w:r w:rsidRPr="005B14B7">
        <w:rPr>
          <w:rFonts w:ascii="Verdana" w:hAnsi="Verdana"/>
          <w:sz w:val="20"/>
          <w:szCs w:val="20"/>
        </w:rPr>
        <w:t xml:space="preserve">la normativa del sistema de compra pública no define una tipología contractual referida al contrato de concesión de espacios públicos. No obstante, las Entidades Estatales, en virtud de la autonomía de la voluntad, pueden crear derechos y obligaciones contenidos en contratos atípicos los cuales no se encuentran prohibidos por el ordenamiento jurídico en la medida en que no contravengan el orden público y las buenas costumbres. </w:t>
      </w:r>
    </w:p>
    <w:p w14:paraId="3B7611AB" w14:textId="77777777" w:rsidR="005B14B7" w:rsidRPr="002C19A5" w:rsidRDefault="005B14B7" w:rsidP="002C19A5">
      <w:pPr>
        <w:contextualSpacing/>
        <w:jc w:val="both"/>
        <w:rPr>
          <w:rFonts w:ascii="Verdana" w:eastAsia="Calibri" w:hAnsi="Verdana"/>
          <w:b/>
          <w:bCs/>
          <w:lang w:val="es-ES_tradnl" w:eastAsia="es-ES_tradnl"/>
        </w:rPr>
      </w:pPr>
    </w:p>
    <w:p w14:paraId="0CD11B45" w14:textId="77777777" w:rsidR="002C19A5" w:rsidRDefault="002C19A5">
      <w:pPr>
        <w:rPr>
          <w:rFonts w:ascii="Verdana" w:eastAsia="Verdana" w:hAnsi="Verdana" w:cs="Verdana"/>
        </w:rPr>
      </w:pPr>
      <w:r>
        <w:rPr>
          <w:rFonts w:ascii="Verdana" w:eastAsia="Verdana" w:hAnsi="Verdana" w:cs="Verdana"/>
        </w:rPr>
        <w:br w:type="page"/>
      </w:r>
    </w:p>
    <w:p w14:paraId="69DDB976" w14:textId="57A26A33" w:rsidR="008D0A36" w:rsidRPr="0024624F" w:rsidRDefault="009262E2" w:rsidP="000E0778">
      <w:pPr>
        <w:spacing w:after="0" w:line="240" w:lineRule="auto"/>
        <w:rPr>
          <w:rFonts w:ascii="Verdana" w:eastAsia="Verdana" w:hAnsi="Verdana" w:cs="Verdana"/>
        </w:rPr>
      </w:pPr>
      <w:r w:rsidRPr="009262E2">
        <w:rPr>
          <w:noProof/>
        </w:rPr>
        <w:lastRenderedPageBreak/>
        <w:drawing>
          <wp:anchor distT="0" distB="0" distL="114300" distR="114300" simplePos="0" relativeHeight="251658240" behindDoc="1" locked="0" layoutInCell="1" allowOverlap="1" wp14:anchorId="2A9C3416" wp14:editId="5CE6D920">
            <wp:simplePos x="0" y="0"/>
            <wp:positionH relativeFrom="margin">
              <wp:posOffset>3127023</wp:posOffset>
            </wp:positionH>
            <wp:positionV relativeFrom="paragraph">
              <wp:posOffset>8854</wp:posOffset>
            </wp:positionV>
            <wp:extent cx="2488017" cy="672860"/>
            <wp:effectExtent l="0" t="0" r="7620" b="0"/>
            <wp:wrapNone/>
            <wp:docPr id="2086395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95029" name=""/>
                    <pic:cNvPicPr/>
                  </pic:nvPicPr>
                  <pic:blipFill>
                    <a:blip r:embed="rId11">
                      <a:extLst>
                        <a:ext uri="{28A0092B-C50C-407E-A947-70E740481C1C}">
                          <a14:useLocalDpi xmlns:a14="http://schemas.microsoft.com/office/drawing/2010/main" val="0"/>
                        </a:ext>
                      </a:extLst>
                    </a:blip>
                    <a:stretch>
                      <a:fillRect/>
                    </a:stretch>
                  </pic:blipFill>
                  <pic:spPr>
                    <a:xfrm>
                      <a:off x="0" y="0"/>
                      <a:ext cx="2500426" cy="676216"/>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sidR="002C4B13">
        <w:rPr>
          <w:rFonts w:ascii="Verdana" w:eastAsia="Verdana" w:hAnsi="Verdana" w:cs="Verdana"/>
        </w:rPr>
        <w:t>18 Agosto 2026</w:t>
      </w:r>
      <w:r w:rsidR="00C15139">
        <w:tab/>
      </w:r>
      <w:bookmarkEnd w:id="0"/>
      <w:r w:rsidR="008D0A36">
        <w:tab/>
      </w:r>
    </w:p>
    <w:p w14:paraId="7A20DCA6" w14:textId="77777777" w:rsidR="008D0A36" w:rsidRPr="00E02524" w:rsidRDefault="008D0A36" w:rsidP="008D0A36">
      <w:pPr>
        <w:spacing w:after="0" w:line="240" w:lineRule="auto"/>
        <w:jc w:val="both"/>
        <w:rPr>
          <w:rFonts w:ascii="Verdana" w:eastAsia="Verdana" w:hAnsi="Verdana" w:cs="Verdana"/>
          <w:b/>
          <w:bCs/>
          <w:lang w:val="es-MX"/>
        </w:rPr>
      </w:pPr>
    </w:p>
    <w:p w14:paraId="59BDC503" w14:textId="77777777" w:rsidR="008D0A36" w:rsidRPr="00D07146" w:rsidRDefault="008D0A36" w:rsidP="008D0A36">
      <w:pPr>
        <w:pStyle w:val="Sinespaciado"/>
        <w:jc w:val="both"/>
        <w:rPr>
          <w:rFonts w:ascii="Verdana" w:hAnsi="Verdana"/>
          <w:lang w:eastAsia="es-ES"/>
        </w:rPr>
      </w:pPr>
      <w:bookmarkStart w:id="1" w:name="_Hlk186494164"/>
      <w:r w:rsidRPr="00D07146">
        <w:rPr>
          <w:rFonts w:ascii="Verdana" w:hAnsi="Verdana"/>
          <w:lang w:eastAsia="es-ES"/>
        </w:rPr>
        <w:t>Señores</w:t>
      </w:r>
    </w:p>
    <w:p w14:paraId="603BF5E7" w14:textId="77777777" w:rsidR="008D0A36" w:rsidRPr="008E69AA" w:rsidRDefault="008D0A36" w:rsidP="008D0A36">
      <w:pPr>
        <w:pStyle w:val="Sinespaciado"/>
        <w:jc w:val="both"/>
        <w:rPr>
          <w:rFonts w:ascii="Verdana" w:hAnsi="Verdana" w:cs="Times New Roman"/>
          <w:b/>
          <w:bCs/>
        </w:rPr>
      </w:pPr>
      <w:r w:rsidRPr="008E69AA">
        <w:rPr>
          <w:rFonts w:ascii="Verdana" w:hAnsi="Verdana" w:cs="Times New Roman"/>
          <w:b/>
          <w:bCs/>
        </w:rPr>
        <w:t>Henry Moreno Osorio</w:t>
      </w:r>
    </w:p>
    <w:p w14:paraId="77559BBF" w14:textId="77777777" w:rsidR="008D0A36" w:rsidRPr="008E69AA" w:rsidRDefault="008D0A36" w:rsidP="008D0A36">
      <w:pPr>
        <w:pStyle w:val="Sinespaciado"/>
        <w:jc w:val="both"/>
        <w:rPr>
          <w:rFonts w:ascii="Verdana" w:hAnsi="Verdana"/>
        </w:rPr>
      </w:pPr>
      <w:hyperlink r:id="rId12" w:history="1">
        <w:r w:rsidRPr="008E69AA">
          <w:rPr>
            <w:rStyle w:val="Hipervnculo"/>
            <w:rFonts w:ascii="Verdana" w:hAnsi="Verdana"/>
          </w:rPr>
          <w:t>henrymoros07@gmail.com</w:t>
        </w:r>
      </w:hyperlink>
    </w:p>
    <w:p w14:paraId="2A44DFC1" w14:textId="77777777" w:rsidR="008D0A36" w:rsidRDefault="008D0A36" w:rsidP="008D0A36">
      <w:pPr>
        <w:pStyle w:val="Sinespaciado"/>
        <w:jc w:val="both"/>
        <w:rPr>
          <w:rFonts w:ascii="Verdana" w:hAnsi="Verdana" w:cs="Times New Roman"/>
          <w:b/>
          <w:bCs/>
        </w:rPr>
      </w:pPr>
      <w:r w:rsidRPr="00D07146">
        <w:rPr>
          <w:rFonts w:ascii="Verdana" w:hAnsi="Verdana" w:cs="Times New Roman"/>
        </w:rPr>
        <w:t>Ciudad</w:t>
      </w:r>
    </w:p>
    <w:p w14:paraId="2F48C236" w14:textId="77777777" w:rsidR="008D0A36" w:rsidRPr="00D07146" w:rsidRDefault="008D0A36" w:rsidP="008D0A36">
      <w:pPr>
        <w:pStyle w:val="Sinespaciado"/>
        <w:jc w:val="both"/>
        <w:rPr>
          <w:rFonts w:ascii="Verdana" w:hAnsi="Verdana" w:cs="Times New Roman"/>
        </w:rPr>
      </w:pPr>
    </w:p>
    <w:p w14:paraId="154F55F4" w14:textId="77777777" w:rsidR="008D0A36" w:rsidRPr="00D07146" w:rsidRDefault="008D0A36" w:rsidP="008D0A36">
      <w:pPr>
        <w:pStyle w:val="Sinespaciado"/>
        <w:jc w:val="both"/>
        <w:rPr>
          <w:rFonts w:ascii="Verdana" w:hAnsi="Verdana" w:cs="Times New Roman"/>
          <w:b/>
          <w:bCs/>
        </w:rPr>
      </w:pPr>
    </w:p>
    <w:p w14:paraId="1FA13E4B" w14:textId="77777777" w:rsidR="008D0A36" w:rsidRDefault="008D0A36" w:rsidP="008D0A36">
      <w:pPr>
        <w:spacing w:after="0" w:line="240" w:lineRule="auto"/>
        <w:jc w:val="both"/>
        <w:rPr>
          <w:rFonts w:ascii="Verdana" w:eastAsia="Calibri" w:hAnsi="Verdana" w:cs="Arial"/>
          <w:b/>
          <w:bCs/>
          <w:lang w:eastAsia="es-ES"/>
        </w:rPr>
      </w:pPr>
      <w:r w:rsidRPr="00D07146">
        <w:rPr>
          <w:rFonts w:ascii="Verdana" w:eastAsia="Calibri" w:hAnsi="Verdana" w:cs="Arial"/>
          <w:b/>
          <w:bCs/>
          <w:lang w:eastAsia="es-ES"/>
        </w:rPr>
        <w:t xml:space="preserve">                                    Concepto C</w:t>
      </w:r>
      <w:r>
        <w:rPr>
          <w:rFonts w:ascii="Verdana" w:eastAsia="Calibri" w:hAnsi="Verdana" w:cs="Arial"/>
          <w:b/>
          <w:bCs/>
          <w:lang w:eastAsia="es-ES"/>
        </w:rPr>
        <w:t xml:space="preserve">-1068 </w:t>
      </w:r>
      <w:r w:rsidRPr="00D07146">
        <w:rPr>
          <w:rFonts w:ascii="Verdana" w:eastAsia="Calibri" w:hAnsi="Verdana" w:cs="Arial"/>
          <w:b/>
          <w:bCs/>
          <w:lang w:eastAsia="es-ES"/>
        </w:rPr>
        <w:t>de 2026</w:t>
      </w:r>
    </w:p>
    <w:p w14:paraId="07DF961F" w14:textId="77777777" w:rsidR="008D0A36" w:rsidRPr="00D07146" w:rsidRDefault="008D0A36" w:rsidP="008D0A36">
      <w:pPr>
        <w:spacing w:after="0" w:line="240" w:lineRule="auto"/>
        <w:jc w:val="both"/>
        <w:rPr>
          <w:rFonts w:ascii="Verdana" w:eastAsia="Calibri" w:hAnsi="Verdana" w:cs="Arial"/>
          <w:b/>
          <w:bCs/>
          <w:lang w:eastAsia="es-ES"/>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D0A36" w:rsidRPr="00D07146" w14:paraId="5B692A57" w14:textId="77777777" w:rsidTr="00CD1FB2">
        <w:trPr>
          <w:trHeight w:val="884"/>
        </w:trPr>
        <w:tc>
          <w:tcPr>
            <w:tcW w:w="2689" w:type="dxa"/>
          </w:tcPr>
          <w:p w14:paraId="278ED2B1" w14:textId="77777777" w:rsidR="008D0A36" w:rsidRPr="00232E2D" w:rsidRDefault="008D0A36" w:rsidP="00CD1FB2">
            <w:pPr>
              <w:jc w:val="both"/>
              <w:rPr>
                <w:rFonts w:ascii="Verdana" w:eastAsia="Calibri" w:hAnsi="Verdana" w:cs="Arial"/>
                <w:color w:val="000000"/>
                <w:lang w:eastAsia="es-ES_tradnl"/>
              </w:rPr>
            </w:pPr>
            <w:r w:rsidRPr="006B5BC9">
              <w:rPr>
                <w:rFonts w:ascii="Verdana" w:eastAsia="Calibri" w:hAnsi="Verdana" w:cs="Arial"/>
                <w:b/>
                <w:color w:val="000000"/>
                <w:lang w:eastAsia="es-ES_tradnl"/>
              </w:rPr>
              <w:t>Temas:</w:t>
            </w:r>
            <w:r w:rsidRPr="00232E2D">
              <w:rPr>
                <w:rFonts w:ascii="Verdana" w:eastAsia="Calibri" w:hAnsi="Verdana" w:cs="Arial"/>
                <w:color w:val="000000"/>
                <w:lang w:eastAsia="es-ES_tradnl"/>
              </w:rPr>
              <w:t xml:space="preserve">                   </w:t>
            </w:r>
          </w:p>
        </w:tc>
        <w:tc>
          <w:tcPr>
            <w:tcW w:w="6100" w:type="dxa"/>
          </w:tcPr>
          <w:p w14:paraId="2D35A951" w14:textId="77777777" w:rsidR="008D0A36" w:rsidRPr="00A068FC" w:rsidRDefault="008D0A36" w:rsidP="00CD1FB2">
            <w:pPr>
              <w:contextualSpacing/>
              <w:jc w:val="both"/>
              <w:rPr>
                <w:rFonts w:ascii="Verdana" w:eastAsia="Calibri" w:hAnsi="Verdana"/>
                <w:lang w:val="es-ES_tradnl" w:eastAsia="es-ES_tradnl"/>
              </w:rPr>
            </w:pPr>
            <w:r w:rsidRPr="00A068FC">
              <w:rPr>
                <w:rFonts w:ascii="Verdana" w:eastAsia="Arial" w:hAnsi="Verdana"/>
                <w:lang w:val="es-ES" w:eastAsia="es-ES_tradnl"/>
              </w:rPr>
              <w:t xml:space="preserve">CONTRATO – Definición / CONTRATO ESTATAL – Definición / </w:t>
            </w:r>
            <w:r>
              <w:rPr>
                <w:rFonts w:ascii="Verdana" w:eastAsia="Arial" w:hAnsi="Verdana"/>
                <w:lang w:val="es-ES" w:eastAsia="es-ES_tradnl"/>
              </w:rPr>
              <w:t>CONTRATOS ATIPICOS – Definición – Entidades sometidas – EGCAP / CONTRATOS ATIPICOS – Elementos – Autonomía de la voluntad / CONTRATO DE CONCESIÓN – Posibilidad – Elementos – Modalidad de selección</w:t>
            </w:r>
          </w:p>
          <w:p w14:paraId="7EAD5A2B" w14:textId="77777777" w:rsidR="008D0A36" w:rsidRPr="00D07146" w:rsidRDefault="008D0A36" w:rsidP="00CD1FB2">
            <w:pPr>
              <w:jc w:val="both"/>
              <w:rPr>
                <w:rFonts w:ascii="Verdana" w:eastAsia="Calibri" w:hAnsi="Verdana" w:cs="Arial"/>
                <w:lang w:eastAsia="es-ES"/>
              </w:rPr>
            </w:pPr>
          </w:p>
        </w:tc>
      </w:tr>
      <w:tr w:rsidR="008D0A36" w:rsidRPr="00D07146" w14:paraId="299CDC4B" w14:textId="77777777" w:rsidTr="00CD1FB2">
        <w:tc>
          <w:tcPr>
            <w:tcW w:w="2689" w:type="dxa"/>
          </w:tcPr>
          <w:p w14:paraId="6C8A3C38" w14:textId="77777777" w:rsidR="008D0A36" w:rsidRPr="00D07146" w:rsidRDefault="008D0A36" w:rsidP="00CD1FB2">
            <w:pPr>
              <w:jc w:val="both"/>
              <w:rPr>
                <w:rFonts w:ascii="Verdana" w:eastAsia="Calibri" w:hAnsi="Verdana" w:cs="Arial"/>
                <w:b/>
                <w:lang w:eastAsia="es-ES_tradnl"/>
              </w:rPr>
            </w:pPr>
            <w:r w:rsidRPr="00D07146">
              <w:rPr>
                <w:rFonts w:ascii="Verdana" w:eastAsia="Calibri" w:hAnsi="Verdana" w:cs="Arial"/>
                <w:b/>
                <w:lang w:eastAsia="es-ES_tradnl"/>
              </w:rPr>
              <w:t>Radicación:</w:t>
            </w:r>
            <w:r w:rsidRPr="00D07146">
              <w:rPr>
                <w:rFonts w:ascii="Verdana" w:eastAsia="Calibri" w:hAnsi="Verdana" w:cs="Arial"/>
                <w:lang w:eastAsia="es-ES_tradnl"/>
              </w:rPr>
              <w:t xml:space="preserve">               </w:t>
            </w:r>
          </w:p>
        </w:tc>
        <w:tc>
          <w:tcPr>
            <w:tcW w:w="6100" w:type="dxa"/>
          </w:tcPr>
          <w:p w14:paraId="0E3530C6" w14:textId="77777777" w:rsidR="008D0A36" w:rsidRPr="00232E2D" w:rsidRDefault="008D0A36" w:rsidP="00CD1FB2">
            <w:pPr>
              <w:jc w:val="both"/>
              <w:rPr>
                <w:rFonts w:ascii="Verdana" w:eastAsia="Calibri" w:hAnsi="Verdana" w:cs="Arial"/>
                <w:lang w:eastAsia="es-ES_tradnl"/>
              </w:rPr>
            </w:pPr>
            <w:r w:rsidRPr="00D07146">
              <w:rPr>
                <w:rFonts w:ascii="Verdana" w:eastAsia="Calibri" w:hAnsi="Verdana" w:cs="Arial"/>
                <w:lang w:eastAsia="es-ES_tradnl"/>
              </w:rPr>
              <w:t xml:space="preserve">Respuesta a consultas con radicado No. </w:t>
            </w:r>
            <w:r w:rsidRPr="00DF2E35">
              <w:rPr>
                <w:rFonts w:ascii="Verdana" w:eastAsia="Calibri" w:hAnsi="Verdana" w:cs="Arial"/>
                <w:lang w:eastAsia="es-ES_tradnl"/>
              </w:rPr>
              <w:t>1_2026_07_03_008897</w:t>
            </w:r>
          </w:p>
        </w:tc>
      </w:tr>
    </w:tbl>
    <w:p w14:paraId="01BC0437" w14:textId="225355DA" w:rsidR="008D0A36" w:rsidRPr="00D07146" w:rsidRDefault="008D0A36" w:rsidP="00417747">
      <w:pPr>
        <w:spacing w:after="0" w:line="240" w:lineRule="auto"/>
        <w:jc w:val="both"/>
        <w:rPr>
          <w:rFonts w:ascii="Verdana" w:eastAsia="Calibri" w:hAnsi="Verdana" w:cs="Arial"/>
          <w:color w:val="000000"/>
          <w:lang w:eastAsia="es-ES_tradnl"/>
        </w:rPr>
      </w:pPr>
    </w:p>
    <w:p w14:paraId="72115CBE" w14:textId="77777777" w:rsidR="00417747" w:rsidRPr="00D07146" w:rsidRDefault="00417747" w:rsidP="000E0778">
      <w:pPr>
        <w:spacing w:after="0" w:line="240" w:lineRule="auto"/>
        <w:jc w:val="both"/>
        <w:rPr>
          <w:rFonts w:ascii="Verdana" w:eastAsia="Calibri" w:hAnsi="Verdana" w:cs="Arial"/>
          <w:color w:val="000000"/>
          <w:lang w:eastAsia="es-ES_tradnl"/>
        </w:rPr>
      </w:pPr>
    </w:p>
    <w:p w14:paraId="24FA52BA" w14:textId="50FF08DF" w:rsidR="008D0A36" w:rsidRPr="00A77871" w:rsidRDefault="008D0A36" w:rsidP="008D0A36">
      <w:pPr>
        <w:spacing w:after="0" w:line="276" w:lineRule="auto"/>
        <w:jc w:val="both"/>
        <w:rPr>
          <w:rFonts w:ascii="Verdana" w:eastAsia="Calibri" w:hAnsi="Verdana" w:cs="Arial"/>
          <w:color w:val="000000"/>
          <w:lang w:eastAsia="es-ES"/>
        </w:rPr>
      </w:pPr>
      <w:r w:rsidRPr="00A77871">
        <w:rPr>
          <w:rFonts w:ascii="Verdana" w:eastAsia="Calibri" w:hAnsi="Verdana" w:cs="Arial"/>
          <w:lang w:eastAsia="es-ES"/>
        </w:rPr>
        <w:t>Estimad</w:t>
      </w:r>
      <w:r w:rsidR="00417747">
        <w:rPr>
          <w:rFonts w:ascii="Verdana" w:eastAsia="Calibri" w:hAnsi="Verdana" w:cs="Arial"/>
          <w:lang w:eastAsia="es-ES"/>
        </w:rPr>
        <w:t>o</w:t>
      </w:r>
      <w:r w:rsidRPr="00A77871">
        <w:rPr>
          <w:rFonts w:ascii="Verdana" w:eastAsia="Calibri" w:hAnsi="Verdana" w:cs="Arial"/>
          <w:lang w:eastAsia="es-ES"/>
        </w:rPr>
        <w:t xml:space="preserve"> </w:t>
      </w:r>
      <w:r>
        <w:rPr>
          <w:rFonts w:ascii="Verdana" w:eastAsia="Calibri" w:hAnsi="Verdana" w:cs="Arial"/>
          <w:lang w:eastAsia="es-ES"/>
        </w:rPr>
        <w:t xml:space="preserve">señor </w:t>
      </w:r>
      <w:r w:rsidR="00417747">
        <w:rPr>
          <w:rFonts w:ascii="Verdana" w:eastAsia="Calibri" w:hAnsi="Verdana" w:cs="Arial"/>
          <w:lang w:eastAsia="es-ES"/>
        </w:rPr>
        <w:t>Moreno</w:t>
      </w:r>
      <w:r>
        <w:rPr>
          <w:rFonts w:ascii="Verdana" w:eastAsia="Calibri" w:hAnsi="Verdana" w:cs="Arial"/>
          <w:lang w:eastAsia="es-ES"/>
        </w:rPr>
        <w:t>,</w:t>
      </w:r>
      <w:r w:rsidRPr="00A77871">
        <w:rPr>
          <w:rFonts w:ascii="Verdana" w:eastAsia="Calibri" w:hAnsi="Verdana" w:cs="Arial"/>
          <w:lang w:eastAsia="es-ES"/>
        </w:rPr>
        <w:t xml:space="preserve"> cordial saludo</w:t>
      </w:r>
      <w:r>
        <w:rPr>
          <w:rFonts w:ascii="Verdana" w:eastAsia="Calibri" w:hAnsi="Verdana" w:cs="Arial"/>
          <w:lang w:eastAsia="es-ES"/>
        </w:rPr>
        <w:t>:</w:t>
      </w:r>
      <w:r w:rsidRPr="00A77871">
        <w:rPr>
          <w:rFonts w:ascii="Verdana" w:eastAsia="Calibri" w:hAnsi="Verdana" w:cs="Arial"/>
          <w:color w:val="000000"/>
          <w:lang w:eastAsia="es-ES"/>
        </w:rPr>
        <w:tab/>
      </w:r>
    </w:p>
    <w:p w14:paraId="41B1FFB2" w14:textId="77777777" w:rsidR="00417747" w:rsidRDefault="00417747" w:rsidP="008D0A36">
      <w:pPr>
        <w:spacing w:after="0" w:line="276" w:lineRule="auto"/>
        <w:jc w:val="both"/>
        <w:rPr>
          <w:rFonts w:ascii="Verdana" w:eastAsia="Calibri" w:hAnsi="Verdana" w:cs="Arial"/>
          <w:color w:val="000000"/>
          <w:lang w:eastAsia="es-ES"/>
        </w:rPr>
      </w:pPr>
    </w:p>
    <w:p w14:paraId="32446B83" w14:textId="10C71D0C" w:rsidR="008D0A36" w:rsidRDefault="008D0A36" w:rsidP="008D0A36">
      <w:pPr>
        <w:spacing w:after="0"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Pr>
          <w:rFonts w:ascii="Verdana" w:eastAsia="Calibri" w:hAnsi="Verdana" w:cs="Arial"/>
          <w:color w:val="000000"/>
          <w:lang w:eastAsia="es-ES"/>
        </w:rPr>
        <w:t>26</w:t>
      </w:r>
      <w:r w:rsidRPr="00A77871">
        <w:rPr>
          <w:rFonts w:ascii="Verdana" w:eastAsia="Calibri" w:hAnsi="Verdana" w:cs="Arial"/>
          <w:color w:val="000000"/>
          <w:lang w:eastAsia="es-ES"/>
        </w:rPr>
        <w:t xml:space="preserve"> de </w:t>
      </w:r>
      <w:r>
        <w:rPr>
          <w:rFonts w:ascii="Verdana" w:eastAsia="Calibri" w:hAnsi="Verdana" w:cs="Arial"/>
          <w:color w:val="000000"/>
          <w:lang w:eastAsia="es-ES"/>
        </w:rPr>
        <w:t>junio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p w14:paraId="05DD4514" w14:textId="77777777" w:rsidR="008D0A36" w:rsidRDefault="008D0A36" w:rsidP="008D0A36">
      <w:pPr>
        <w:spacing w:after="0" w:line="276" w:lineRule="auto"/>
        <w:jc w:val="both"/>
        <w:rPr>
          <w:rFonts w:ascii="Verdana" w:eastAsia="Calibri" w:hAnsi="Verdana" w:cs="Arial"/>
          <w:i/>
          <w:iCs/>
          <w:lang w:eastAsia="es-ES"/>
        </w:rPr>
      </w:pPr>
    </w:p>
    <w:p w14:paraId="14AFC47E" w14:textId="77777777" w:rsidR="008D0A36" w:rsidRDefault="008D0A36" w:rsidP="008D0A36">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bookmarkEnd w:id="2"/>
    </w:p>
    <w:p w14:paraId="3611E067" w14:textId="77777777" w:rsidR="008D0A36" w:rsidRDefault="008D0A36" w:rsidP="008D0A36">
      <w:pPr>
        <w:spacing w:after="0" w:line="240" w:lineRule="auto"/>
        <w:ind w:left="709" w:right="709"/>
        <w:jc w:val="both"/>
        <w:rPr>
          <w:rFonts w:ascii="Verdana" w:hAnsi="Verdana" w:cs="Arial"/>
          <w:i/>
          <w:iCs/>
          <w:sz w:val="20"/>
          <w:szCs w:val="20"/>
          <w:shd w:val="clear" w:color="auto" w:fill="FFFFFF"/>
          <w:lang w:val="es-ES"/>
        </w:rPr>
      </w:pPr>
    </w:p>
    <w:p w14:paraId="66DAA5F5" w14:textId="77777777" w:rsidR="008D0A36" w:rsidRDefault="008D0A36" w:rsidP="000E0778">
      <w:pPr>
        <w:pStyle w:val="Prrafodelista"/>
        <w:spacing w:after="0" w:line="240" w:lineRule="auto"/>
        <w:ind w:left="709" w:right="709"/>
        <w:jc w:val="both"/>
        <w:rPr>
          <w:rFonts w:ascii="Verdana" w:hAnsi="Verdana" w:cs="Arial"/>
          <w:i/>
          <w:iCs/>
          <w:sz w:val="20"/>
          <w:szCs w:val="20"/>
          <w:shd w:val="clear" w:color="auto" w:fill="FFFFFF"/>
        </w:rPr>
      </w:pPr>
      <w:r w:rsidRPr="002C2FBD">
        <w:rPr>
          <w:rFonts w:ascii="Verdana" w:hAnsi="Verdana" w:cs="Arial"/>
          <w:i/>
          <w:iCs/>
          <w:sz w:val="20"/>
          <w:szCs w:val="20"/>
          <w:shd w:val="clear" w:color="auto" w:fill="FFFFFF"/>
        </w:rPr>
        <w:t>Dentro de los avances de urbanismo, mejora de infraestructura, construcción de vías, parques, alamedas, plazas y entornos similares, la Nación, los</w:t>
      </w:r>
      <w:r>
        <w:rPr>
          <w:rFonts w:ascii="Verdana" w:hAnsi="Verdana" w:cs="Arial"/>
          <w:i/>
          <w:iCs/>
          <w:sz w:val="20"/>
          <w:szCs w:val="20"/>
          <w:shd w:val="clear" w:color="auto" w:fill="FFFFFF"/>
        </w:rPr>
        <w:t xml:space="preserve"> </w:t>
      </w:r>
      <w:r w:rsidRPr="002C2FBD">
        <w:rPr>
          <w:rFonts w:ascii="Verdana" w:hAnsi="Verdana" w:cs="Arial"/>
          <w:i/>
          <w:iCs/>
          <w:sz w:val="20"/>
          <w:szCs w:val="20"/>
          <w:shd w:val="clear" w:color="auto" w:fill="FFFFFF"/>
        </w:rPr>
        <w:t>Departamentos y Municipios construyen sendos equipamientos atinentes a casetas, locales o puntos de comercio, a los que se requiere darles el uso para el cual fueron construidos.</w:t>
      </w:r>
    </w:p>
    <w:p w14:paraId="6D1DA056" w14:textId="77777777" w:rsidR="008D0A36" w:rsidRPr="002C2FBD" w:rsidRDefault="008D0A36" w:rsidP="000E0778">
      <w:pPr>
        <w:pStyle w:val="Prrafodelista"/>
        <w:spacing w:after="0" w:line="240" w:lineRule="auto"/>
        <w:ind w:left="709" w:right="709"/>
        <w:jc w:val="both"/>
        <w:rPr>
          <w:rFonts w:ascii="Verdana" w:hAnsi="Verdana" w:cs="Arial"/>
          <w:i/>
          <w:iCs/>
          <w:sz w:val="20"/>
          <w:szCs w:val="20"/>
          <w:shd w:val="clear" w:color="auto" w:fill="FFFFFF"/>
        </w:rPr>
      </w:pPr>
    </w:p>
    <w:p w14:paraId="249CF882" w14:textId="77777777" w:rsidR="008D0A36" w:rsidRDefault="008D0A36" w:rsidP="000E0778">
      <w:pPr>
        <w:pStyle w:val="Prrafodelista"/>
        <w:spacing w:after="0" w:line="240" w:lineRule="auto"/>
        <w:ind w:left="709" w:right="709"/>
        <w:rPr>
          <w:rFonts w:ascii="Verdana" w:hAnsi="Verdana" w:cs="Arial"/>
          <w:i/>
          <w:iCs/>
          <w:sz w:val="20"/>
          <w:szCs w:val="20"/>
          <w:shd w:val="clear" w:color="auto" w:fill="FFFFFF"/>
        </w:rPr>
      </w:pPr>
      <w:r w:rsidRPr="002C2FBD">
        <w:rPr>
          <w:rFonts w:ascii="Verdana" w:hAnsi="Verdana" w:cs="Arial"/>
          <w:i/>
          <w:iCs/>
          <w:sz w:val="20"/>
          <w:szCs w:val="20"/>
          <w:shd w:val="clear" w:color="auto" w:fill="FFFFFF"/>
        </w:rPr>
        <w:t>Con base en lo comentado me permito preguntar:</w:t>
      </w:r>
    </w:p>
    <w:p w14:paraId="34F6510B" w14:textId="77777777" w:rsidR="008D0A36" w:rsidRPr="002C2FBD" w:rsidRDefault="008D0A36" w:rsidP="000E0778">
      <w:pPr>
        <w:pStyle w:val="Prrafodelista"/>
        <w:spacing w:after="0" w:line="240" w:lineRule="auto"/>
        <w:ind w:left="709" w:right="709"/>
        <w:rPr>
          <w:rFonts w:ascii="Verdana" w:hAnsi="Verdana" w:cs="Arial"/>
          <w:i/>
          <w:iCs/>
          <w:sz w:val="20"/>
          <w:szCs w:val="20"/>
          <w:shd w:val="clear" w:color="auto" w:fill="FFFFFF"/>
        </w:rPr>
      </w:pPr>
    </w:p>
    <w:p w14:paraId="688FE737" w14:textId="77777777" w:rsidR="008D0A36" w:rsidRPr="002C2FBD" w:rsidRDefault="008D0A36" w:rsidP="000E0778">
      <w:pPr>
        <w:pStyle w:val="Prrafodelista"/>
        <w:spacing w:after="0" w:line="240" w:lineRule="auto"/>
        <w:ind w:left="709" w:right="709"/>
        <w:jc w:val="both"/>
        <w:rPr>
          <w:rFonts w:ascii="Verdana" w:hAnsi="Verdana" w:cs="Arial"/>
          <w:i/>
          <w:iCs/>
          <w:sz w:val="20"/>
          <w:szCs w:val="20"/>
          <w:shd w:val="clear" w:color="auto" w:fill="FFFFFF"/>
        </w:rPr>
      </w:pPr>
      <w:r w:rsidRPr="002C2FBD">
        <w:rPr>
          <w:rFonts w:ascii="Verdana" w:hAnsi="Verdana" w:cs="Arial"/>
          <w:i/>
          <w:iCs/>
          <w:sz w:val="20"/>
          <w:szCs w:val="20"/>
          <w:shd w:val="clear" w:color="auto" w:fill="FFFFFF"/>
        </w:rPr>
        <w:t xml:space="preserve">Qué clase de procedimiento o modalidad del contratista se debe adelantar para poder entregar en arrendamiento, uso del espacio público u otra condición especial para que estas construcciones no queden en el </w:t>
      </w:r>
      <w:r w:rsidRPr="002C2FBD">
        <w:rPr>
          <w:rFonts w:ascii="Verdana" w:hAnsi="Verdana" w:cs="Arial"/>
          <w:i/>
          <w:iCs/>
          <w:sz w:val="20"/>
          <w:szCs w:val="20"/>
          <w:shd w:val="clear" w:color="auto" w:fill="FFFFFF"/>
        </w:rPr>
        <w:lastRenderedPageBreak/>
        <w:t>abandono y se pueda, en primer lugar, ser utilizadas y en segundo lugar que se mantenga la conservación necesaria.</w:t>
      </w:r>
    </w:p>
    <w:p w14:paraId="73A6091C" w14:textId="77777777" w:rsidR="008D0A36" w:rsidRPr="009C70C5" w:rsidRDefault="008D0A36" w:rsidP="000E0778">
      <w:pPr>
        <w:pStyle w:val="Prrafodelista"/>
        <w:spacing w:after="0" w:line="240" w:lineRule="auto"/>
        <w:ind w:left="709" w:right="709"/>
        <w:rPr>
          <w:rFonts w:ascii="Verdana" w:hAnsi="Verdana" w:cs="Arial"/>
          <w:i/>
          <w:iCs/>
          <w:sz w:val="20"/>
          <w:szCs w:val="20"/>
          <w:shd w:val="clear" w:color="auto" w:fill="FFFFFF"/>
        </w:rPr>
      </w:pPr>
    </w:p>
    <w:p w14:paraId="43B87919" w14:textId="77777777" w:rsidR="008D0A36" w:rsidRPr="009C70C5" w:rsidRDefault="008D0A36" w:rsidP="000E0778">
      <w:pPr>
        <w:pStyle w:val="Prrafodelista"/>
        <w:spacing w:after="0" w:line="240" w:lineRule="auto"/>
        <w:ind w:left="709" w:right="709"/>
        <w:jc w:val="both"/>
        <w:rPr>
          <w:rFonts w:ascii="Verdana" w:hAnsi="Verdana" w:cs="Arial"/>
          <w:i/>
          <w:iCs/>
          <w:sz w:val="20"/>
          <w:szCs w:val="20"/>
          <w:shd w:val="clear" w:color="auto" w:fill="FFFFFF"/>
        </w:rPr>
      </w:pPr>
      <w:r w:rsidRPr="009C70C5">
        <w:rPr>
          <w:rFonts w:ascii="Verdana" w:hAnsi="Verdana" w:cs="Arial"/>
          <w:i/>
          <w:iCs/>
          <w:sz w:val="20"/>
          <w:szCs w:val="20"/>
          <w:shd w:val="clear" w:color="auto" w:fill="FFFFFF"/>
        </w:rPr>
        <w:t>(…)”</w:t>
      </w:r>
    </w:p>
    <w:p w14:paraId="170A8CBA" w14:textId="77777777" w:rsidR="008D0A36" w:rsidRDefault="008D0A36" w:rsidP="008D0A36">
      <w:pPr>
        <w:spacing w:after="0" w:line="276" w:lineRule="auto"/>
        <w:jc w:val="both"/>
        <w:rPr>
          <w:rFonts w:ascii="Verdana" w:eastAsia="Calibri" w:hAnsi="Verdana" w:cs="Arial"/>
        </w:rPr>
      </w:pPr>
    </w:p>
    <w:p w14:paraId="0AC56A7B" w14:textId="77777777" w:rsidR="008D0A36" w:rsidRPr="00A77871" w:rsidRDefault="008D0A36" w:rsidP="008D0A36">
      <w:pPr>
        <w:spacing w:after="120" w:line="276" w:lineRule="auto"/>
        <w:jc w:val="both"/>
        <w:rPr>
          <w:rFonts w:ascii="Verdana" w:eastAsia="Calibri" w:hAnsi="Verdana" w:cs="Arial"/>
          <w:color w:val="000000"/>
          <w:lang w:eastAsia="es-ES"/>
        </w:rPr>
      </w:pPr>
      <w:r w:rsidRPr="005101AB">
        <w:rPr>
          <w:rFonts w:ascii="Verdana" w:eastAsia="Calibri" w:hAnsi="Verdana" w:cs="Arial"/>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529298EB" w14:textId="77777777" w:rsidR="008D0A36" w:rsidRDefault="008D0A36" w:rsidP="008D0A36">
      <w:pPr>
        <w:spacing w:after="0" w:line="276" w:lineRule="auto"/>
        <w:ind w:firstLine="708"/>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5D015DF7" w14:textId="77777777" w:rsidR="008D0A36" w:rsidRPr="00A77871" w:rsidRDefault="008D0A36" w:rsidP="008D0A36">
      <w:pPr>
        <w:spacing w:after="0" w:line="276" w:lineRule="auto"/>
        <w:ind w:firstLine="708"/>
        <w:jc w:val="both"/>
        <w:rPr>
          <w:rFonts w:ascii="Verdana" w:eastAsia="Calibri" w:hAnsi="Verdana" w:cs="Arial"/>
          <w:b/>
          <w:bCs/>
          <w:color w:val="000000"/>
          <w:lang w:eastAsia="es-ES"/>
        </w:rPr>
      </w:pPr>
    </w:p>
    <w:p w14:paraId="187EAA78" w14:textId="77777777" w:rsidR="008D0A36" w:rsidRPr="001B415F" w:rsidRDefault="008D0A36" w:rsidP="000E0778">
      <w:pPr>
        <w:numPr>
          <w:ilvl w:val="0"/>
          <w:numId w:val="16"/>
        </w:numPr>
        <w:tabs>
          <w:tab w:val="left" w:pos="142"/>
          <w:tab w:val="left" w:pos="284"/>
        </w:tabs>
        <w:spacing w:after="0" w:line="276" w:lineRule="auto"/>
        <w:ind w:left="0" w:firstLine="357"/>
        <w:jc w:val="both"/>
        <w:rPr>
          <w:rFonts w:ascii="Verdana" w:eastAsia="Century Gothic" w:hAnsi="Verdana" w:cs="Century Gothic"/>
        </w:rPr>
      </w:pPr>
      <w:r w:rsidRPr="001B415F">
        <w:rPr>
          <w:rFonts w:ascii="Verdana" w:eastAsia="Century Gothic" w:hAnsi="Verdana" w:cs="Century Gothic"/>
          <w:b/>
          <w:bCs/>
        </w:rPr>
        <w:t>Problema planteado:</w:t>
      </w:r>
    </w:p>
    <w:p w14:paraId="4E5E79FC" w14:textId="77777777" w:rsidR="008D0A36" w:rsidRDefault="008D0A36" w:rsidP="008D0A36">
      <w:pPr>
        <w:spacing w:after="0" w:line="276" w:lineRule="auto"/>
        <w:jc w:val="both"/>
        <w:rPr>
          <w:rFonts w:ascii="Verdana" w:eastAsia="Century Gothic" w:hAnsi="Verdana" w:cs="Century Gothic"/>
        </w:rPr>
      </w:pPr>
    </w:p>
    <w:p w14:paraId="197AA1D3" w14:textId="2FBCBB99" w:rsidR="008D0A36" w:rsidRDefault="008D0A36" w:rsidP="00417747">
      <w:pPr>
        <w:spacing w:after="0" w:line="276" w:lineRule="auto"/>
        <w:jc w:val="both"/>
        <w:rPr>
          <w:rFonts w:ascii="Verdana" w:eastAsia="Calibri" w:hAnsi="Verdana" w:cs="Times New Roman"/>
        </w:rPr>
      </w:pPr>
      <w:r w:rsidRPr="00A77871">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A77871">
        <w:rPr>
          <w:rFonts w:ascii="Verdana" w:eastAsia="Century Gothic" w:hAnsi="Verdana" w:cs="Century Gothic"/>
        </w:rPr>
        <w:t xml:space="preserve"> siguiente</w:t>
      </w:r>
      <w:r>
        <w:rPr>
          <w:rFonts w:ascii="Verdana" w:eastAsia="Century Gothic" w:hAnsi="Verdana" w:cs="Century Gothic"/>
        </w:rPr>
        <w:t>s</w:t>
      </w:r>
      <w:r w:rsidRPr="00A77871">
        <w:rPr>
          <w:rFonts w:ascii="Verdana" w:eastAsia="Century Gothic" w:hAnsi="Verdana" w:cs="Century Gothic"/>
        </w:rPr>
        <w:t xml:space="preserve"> problema</w:t>
      </w:r>
      <w:r>
        <w:rPr>
          <w:rFonts w:ascii="Verdana" w:eastAsia="Century Gothic" w:hAnsi="Verdana" w:cs="Century Gothic"/>
        </w:rPr>
        <w:t>s</w:t>
      </w:r>
      <w:r w:rsidRPr="00A77871">
        <w:rPr>
          <w:rFonts w:ascii="Verdana" w:eastAsia="Century Gothic" w:hAnsi="Verdana" w:cs="Century Gothic"/>
        </w:rPr>
        <w:t xml:space="preserve"> jurídico</w:t>
      </w:r>
      <w:r>
        <w:rPr>
          <w:rFonts w:ascii="Verdana" w:eastAsia="Century Gothic" w:hAnsi="Verdana" w:cs="Century Gothic"/>
        </w:rPr>
        <w:t>s</w:t>
      </w:r>
      <w:r w:rsidRPr="00C853DB">
        <w:rPr>
          <w:rFonts w:ascii="Verdana" w:eastAsia="Century Gothic" w:hAnsi="Verdana" w:cs="Century Gothic"/>
        </w:rPr>
        <w:t>:</w:t>
      </w:r>
      <w:r w:rsidRPr="00624164">
        <w:rPr>
          <w:rFonts w:ascii="Verdana" w:eastAsia="Calibri" w:hAnsi="Verdana" w:cs="Times New Roman"/>
          <w:iCs/>
        </w:rPr>
        <w:t xml:space="preserve"> ¿Cuál es </w:t>
      </w:r>
      <w:r w:rsidR="00417747">
        <w:rPr>
          <w:rFonts w:ascii="Verdana" w:eastAsia="Calibri" w:hAnsi="Verdana" w:cs="Times New Roman"/>
          <w:iCs/>
        </w:rPr>
        <w:t xml:space="preserve">el mecanismo jurídico y/o </w:t>
      </w:r>
      <w:r w:rsidRPr="00624164">
        <w:rPr>
          <w:rFonts w:ascii="Verdana" w:eastAsia="Calibri" w:hAnsi="Verdana" w:cs="Times New Roman"/>
          <w:iCs/>
        </w:rPr>
        <w:t xml:space="preserve">la modalidad de selección contractual aplicable </w:t>
      </w:r>
      <w:r w:rsidR="00417747">
        <w:rPr>
          <w:rFonts w:ascii="Verdana" w:eastAsia="Calibri" w:hAnsi="Verdana" w:cs="Times New Roman"/>
          <w:iCs/>
        </w:rPr>
        <w:t xml:space="preserve">para otorgar a particulares </w:t>
      </w:r>
      <w:r>
        <w:rPr>
          <w:rFonts w:ascii="Verdana" w:eastAsia="Calibri" w:hAnsi="Verdana" w:cs="Times New Roman"/>
          <w:iCs/>
        </w:rPr>
        <w:t>el uso</w:t>
      </w:r>
      <w:r w:rsidR="00417747">
        <w:rPr>
          <w:rFonts w:ascii="Verdana" w:eastAsia="Calibri" w:hAnsi="Verdana" w:cs="Times New Roman"/>
          <w:iCs/>
        </w:rPr>
        <w:t>, aprovechamiento económico</w:t>
      </w:r>
      <w:r>
        <w:rPr>
          <w:rFonts w:ascii="Verdana" w:eastAsia="Calibri" w:hAnsi="Verdana" w:cs="Times New Roman"/>
          <w:iCs/>
        </w:rPr>
        <w:t xml:space="preserve"> y </w:t>
      </w:r>
      <w:r w:rsidR="00417747">
        <w:rPr>
          <w:rFonts w:ascii="Verdana" w:eastAsia="Calibri" w:hAnsi="Verdana" w:cs="Times New Roman"/>
          <w:iCs/>
        </w:rPr>
        <w:t xml:space="preserve">explotación </w:t>
      </w:r>
      <w:r>
        <w:rPr>
          <w:rFonts w:ascii="Verdana" w:eastAsia="Calibri" w:hAnsi="Verdana" w:cs="Times New Roman"/>
          <w:iCs/>
        </w:rPr>
        <w:t>de bienes inmuebles pertenecientes al espacio público?</w:t>
      </w:r>
    </w:p>
    <w:p w14:paraId="74F13983" w14:textId="77777777" w:rsidR="00417747" w:rsidRPr="000565B4" w:rsidRDefault="00417747" w:rsidP="000E0778">
      <w:pPr>
        <w:spacing w:after="0" w:line="276" w:lineRule="auto"/>
        <w:jc w:val="both"/>
        <w:rPr>
          <w:rFonts w:ascii="Verdana" w:eastAsia="Verdana" w:hAnsi="Verdana" w:cs="Verdana"/>
        </w:rPr>
      </w:pPr>
    </w:p>
    <w:p w14:paraId="109ED700" w14:textId="77777777" w:rsidR="008D0A36" w:rsidRPr="00F946AF" w:rsidRDefault="008D0A36" w:rsidP="00417747">
      <w:pPr>
        <w:numPr>
          <w:ilvl w:val="0"/>
          <w:numId w:val="16"/>
        </w:numPr>
        <w:tabs>
          <w:tab w:val="left" w:pos="142"/>
          <w:tab w:val="left" w:pos="284"/>
        </w:tabs>
        <w:spacing w:after="0" w:line="276" w:lineRule="auto"/>
        <w:ind w:left="0" w:firstLine="357"/>
        <w:jc w:val="both"/>
        <w:rPr>
          <w:rFonts w:ascii="Verdana" w:eastAsia="Century Gothic" w:hAnsi="Verdana" w:cs="Century Gothic"/>
          <w:b/>
          <w:bCs/>
        </w:rPr>
      </w:pPr>
      <w:r w:rsidRPr="00F946AF">
        <w:rPr>
          <w:rFonts w:ascii="Verdana" w:eastAsia="Century Gothic" w:hAnsi="Verdana" w:cs="Century Gothic"/>
          <w:b/>
          <w:bCs/>
        </w:rPr>
        <w:t xml:space="preserve"> Respuesta:</w:t>
      </w:r>
      <w:r>
        <w:rPr>
          <w:rFonts w:ascii="Verdana" w:eastAsia="Century Gothic" w:hAnsi="Verdana" w:cs="Century Gothic"/>
          <w:b/>
          <w:bCs/>
        </w:rPr>
        <w:t xml:space="preserve"> </w:t>
      </w:r>
    </w:p>
    <w:p w14:paraId="38AAC915" w14:textId="77777777" w:rsidR="008D0A36" w:rsidRPr="001B63C6" w:rsidRDefault="008D0A36" w:rsidP="000E0778">
      <w:pPr>
        <w:tabs>
          <w:tab w:val="left" w:pos="142"/>
          <w:tab w:val="left" w:pos="284"/>
        </w:tabs>
        <w:spacing w:after="0" w:line="276" w:lineRule="auto"/>
        <w:ind w:left="357"/>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D0A36" w:rsidRPr="00A77871" w14:paraId="04AEC070" w14:textId="77777777" w:rsidTr="00CD1FB2">
        <w:trPr>
          <w:jc w:val="center"/>
        </w:trPr>
        <w:tc>
          <w:tcPr>
            <w:tcW w:w="8828" w:type="dxa"/>
          </w:tcPr>
          <w:p w14:paraId="0AF0F94F" w14:textId="77777777" w:rsidR="008D0A36" w:rsidRPr="002D3442" w:rsidRDefault="008D0A36" w:rsidP="00CD1FB2">
            <w:pPr>
              <w:spacing w:after="120" w:line="276" w:lineRule="auto"/>
              <w:jc w:val="both"/>
              <w:rPr>
                <w:rFonts w:ascii="Verdana" w:hAnsi="Verdana" w:cs="Arial"/>
              </w:rPr>
            </w:pPr>
            <w:bookmarkStart w:id="3" w:name="_Hlk171694685"/>
            <w:r>
              <w:rPr>
                <w:rFonts w:ascii="Verdana" w:hAnsi="Verdana" w:cs="Arial"/>
                <w:lang w:val="es-ES"/>
              </w:rPr>
              <w:t>Para dar respuesta al problema jurídico derivado de su consulta, es pertinente precisar que e</w:t>
            </w:r>
            <w:r w:rsidRPr="002D3442">
              <w:rPr>
                <w:rFonts w:ascii="Verdana" w:hAnsi="Verdana" w:cs="Arial"/>
              </w:rPr>
              <w:t xml:space="preserve">n relación con los </w:t>
            </w:r>
            <w:r w:rsidRPr="008835D0">
              <w:rPr>
                <w:rFonts w:ascii="Verdana" w:hAnsi="Verdana" w:cs="Arial"/>
              </w:rPr>
              <w:t>contratos estatales</w:t>
            </w:r>
            <w:r w:rsidRPr="002D3442">
              <w:rPr>
                <w:rFonts w:ascii="Verdana" w:hAnsi="Verdana" w:cs="Arial"/>
              </w:rPr>
              <w:t xml:space="preserve">, el artículo 32 de la Ley 80 de 1993 adopta un criterio orgánico o subjetivo para su definición, de manera </w:t>
            </w:r>
            <w:r w:rsidRPr="002D3442">
              <w:rPr>
                <w:rFonts w:ascii="Verdana" w:hAnsi="Verdana" w:cs="Arial"/>
              </w:rPr>
              <w:lastRenderedPageBreak/>
              <w:t xml:space="preserve">que tiene tal naturaleza todo acuerdo de voluntades generador de obligaciones en el que participe, al menos, una Entidad Estatal, independientemente de que el contrato se encuentre regulado por el derecho privado, por disposiciones especiales o sea producto de la autonomía de la voluntad. Por tanto, la naturaleza estatal del contrato no depende de su tipología, del régimen jurídico aplicable ni de que implique o no la erogación de recursos públicos. </w:t>
            </w:r>
          </w:p>
          <w:p w14:paraId="5998F489"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En este contexto, las Entidades Estatales cuentan con </w:t>
            </w:r>
            <w:r w:rsidRPr="008835D0">
              <w:rPr>
                <w:rFonts w:ascii="Verdana" w:hAnsi="Verdana" w:cs="Arial"/>
              </w:rPr>
              <w:t>autonomía de la voluntad para celebrar contratos típicos o atípicos que resulten necesarios para el cumplimiento de sus fines. Sin embargo</w:t>
            </w:r>
            <w:r w:rsidRPr="002D3442">
              <w:rPr>
                <w:rFonts w:ascii="Verdana" w:hAnsi="Verdana" w:cs="Arial"/>
              </w:rPr>
              <w:t xml:space="preserve">, dicha autonomía no es absoluta, pues debe ejercerse dentro de los límites establecidos por las normas imperativas del régimen de contratación estatal, el orden público, los principios de la función administrativa y las disposiciones de derecho privado que resulten aplicables de manera supletiva. </w:t>
            </w:r>
          </w:p>
          <w:p w14:paraId="5BEA0562"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Los </w:t>
            </w:r>
            <w:r w:rsidRPr="008835D0">
              <w:rPr>
                <w:rFonts w:ascii="Verdana" w:hAnsi="Verdana" w:cs="Arial"/>
              </w:rPr>
              <w:t>contratos atípicos son</w:t>
            </w:r>
            <w:r w:rsidRPr="002D3442">
              <w:rPr>
                <w:rFonts w:ascii="Verdana" w:hAnsi="Verdana" w:cs="Arial"/>
              </w:rPr>
              <w:t xml:space="preserve"> admisibles en la contratación estatal cuando su causa o función económica no corresponde a una figura contractual expresamente regulada por la ley, siempre que cumplan los requisitos de validez y no desconozcan el ordenamiento jurídico. En estos casos, las partes pueden determinar su contenido y estructurar las obligaciones que mejor respondan al interés general, sin perjuicio de la aplicación de las normas imperativas del Estatuto General de Contratación de la Administración Pública, las reglas de derecho privado y los principios generales del derecho y de la función administrativa. </w:t>
            </w:r>
          </w:p>
          <w:p w14:paraId="3BDD63BB"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Respecto del </w:t>
            </w:r>
            <w:r w:rsidRPr="008835D0">
              <w:rPr>
                <w:rFonts w:ascii="Verdana" w:hAnsi="Verdana" w:cs="Arial"/>
              </w:rPr>
              <w:t>aprovechamiento económico del espacio público</w:t>
            </w:r>
            <w:r w:rsidRPr="002D3442">
              <w:rPr>
                <w:rFonts w:ascii="Verdana" w:hAnsi="Verdana" w:cs="Arial"/>
              </w:rPr>
              <w:t xml:space="preserve">, debe tenerse en cuenta que los bienes de uso público no pueden ser objeto de arrendamiento, pues esta figura se encuentra reservada para los bienes fiscales. No obstante, las autoridades municipales y distritales pueden autorizar, mediante los instrumentos jurídicos correspondientes, el uso, administración, mantenimiento y aprovechamiento económico de determinados bienes de uso público, siempre que el uso sea compatible con su destinación, no se generen derechos reales y se garantice la prevalencia del interés general. </w:t>
            </w:r>
          </w:p>
          <w:p w14:paraId="3747E2B0"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En particular, los contratos de concesión o aprovechamiento de espacios públicos pueden estructurarse como </w:t>
            </w:r>
            <w:r w:rsidRPr="008835D0">
              <w:rPr>
                <w:rFonts w:ascii="Verdana" w:hAnsi="Verdana" w:cs="Arial"/>
              </w:rPr>
              <w:t>contratos atípicos</w:t>
            </w:r>
            <w:r w:rsidRPr="002D3442">
              <w:rPr>
                <w:rFonts w:ascii="Verdana" w:hAnsi="Verdana" w:cs="Arial"/>
              </w:rPr>
              <w:t xml:space="preserve">, siempre que respeten el régimen jurídico especial de los bienes de uso público. Entre sus elementos pueden encontrarse la ocupación privativa, complementaria o compatible con </w:t>
            </w:r>
            <w:r w:rsidRPr="002D3442">
              <w:rPr>
                <w:rFonts w:ascii="Verdana" w:hAnsi="Verdana" w:cs="Arial"/>
              </w:rPr>
              <w:lastRenderedPageBreak/>
              <w:t xml:space="preserve">el uso público; una remuneración a favor de la Administración asociada al beneficio económico derivado del aprovechamiento; cláusulas dirigidas a proteger la afectación del bien, así como las cláusulas excepcionales y de reversión cuando resulten procedentes; y, en todo caso, la imposibilidad de reconocer derechos reales sobre dichos bienes. </w:t>
            </w:r>
          </w:p>
          <w:p w14:paraId="5BD0470A"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En cuanto a la </w:t>
            </w:r>
            <w:r w:rsidRPr="008835D0">
              <w:rPr>
                <w:rFonts w:ascii="Verdana" w:hAnsi="Verdana" w:cs="Arial"/>
              </w:rPr>
              <w:t>modalidad de selección, el carácter</w:t>
            </w:r>
            <w:r w:rsidRPr="002D3442">
              <w:rPr>
                <w:rFonts w:ascii="Verdana" w:hAnsi="Verdana" w:cs="Arial"/>
              </w:rPr>
              <w:t xml:space="preserve"> atípico del contrato no determina, por sí mismo, una modalidad particular de selección. Para las entidades sometidas al EGCAP, la escogencia del contratista se rige por el artículo 2 de la Ley 1150 de 2007, conforme al cual la licitación pública constituye la regla general, mientras que las demás modalidades tienen carácter excepcional y proceden únicamente cuando se configuren los supuestos legalmente establecidos. Por tanto, corresponde a cada Entidad Estatal determinar la modalidad aplicable atendiendo al objeto, cuantía y demás circunstancias previstas en el ordenamiento jurídico. </w:t>
            </w:r>
          </w:p>
          <w:p w14:paraId="604220F3" w14:textId="77777777" w:rsidR="008D0A36" w:rsidRPr="002D3442" w:rsidRDefault="008D0A36" w:rsidP="000E0778">
            <w:pPr>
              <w:spacing w:after="120" w:line="276" w:lineRule="auto"/>
              <w:ind w:firstLine="709"/>
              <w:jc w:val="both"/>
              <w:rPr>
                <w:rFonts w:ascii="Verdana" w:hAnsi="Verdana" w:cs="Arial"/>
              </w:rPr>
            </w:pPr>
            <w:r w:rsidRPr="002D3442">
              <w:rPr>
                <w:rFonts w:ascii="Verdana" w:hAnsi="Verdana" w:cs="Arial"/>
              </w:rPr>
              <w:t xml:space="preserve">Finalmente, los </w:t>
            </w:r>
            <w:r w:rsidRPr="008835D0">
              <w:rPr>
                <w:rFonts w:ascii="Verdana" w:hAnsi="Verdana" w:cs="Arial"/>
              </w:rPr>
              <w:t>deberes derivados del principio de planeación</w:t>
            </w:r>
            <w:r w:rsidRPr="002D3442">
              <w:rPr>
                <w:rFonts w:ascii="Verdana" w:hAnsi="Verdana" w:cs="Arial"/>
              </w:rPr>
              <w:t xml:space="preserve"> resultan aplicables a los contratos atípicos, incluidos aquellos destinados al aprovechamiento económico del espacio público. En consecuencia, antes de adelantar el proceso de selección, o antes de la suscripción del contrato cuando se trate de contratación directa, la Entidad Estatal debe elaborar los estudios y documentos previos necesarios para determinar, entre otros aspectos, la necesidad que pretende satisfacer, el objeto y tipo contractual, la modalidad de selección, el valor estimado, las condiciones del mercado, los riesgos, las garantías y demás elementos necesarios para sustentar jurídica, técnica y económicamente la contratación. </w:t>
            </w:r>
          </w:p>
          <w:p w14:paraId="63F6EDB5" w14:textId="77777777" w:rsidR="008D0A36" w:rsidRDefault="008D0A36" w:rsidP="000E0778">
            <w:pPr>
              <w:spacing w:after="120" w:line="276" w:lineRule="auto"/>
              <w:ind w:firstLine="709"/>
              <w:jc w:val="both"/>
              <w:rPr>
                <w:rFonts w:ascii="Verdana" w:hAnsi="Verdana" w:cs="Arial"/>
              </w:rPr>
            </w:pPr>
            <w:r>
              <w:rPr>
                <w:rFonts w:ascii="Verdana" w:hAnsi="Verdana" w:cs="Arial"/>
              </w:rPr>
              <w:t>En suma</w:t>
            </w:r>
            <w:r w:rsidRPr="002D3442">
              <w:rPr>
                <w:rFonts w:ascii="Verdana" w:hAnsi="Verdana" w:cs="Arial"/>
              </w:rPr>
              <w:t>, las Entidades Estatales pueden celebrar contratos atípicos para regular el aprovechamiento económico de espacios públicos, en ejercicio de su autonomía de la voluntad, siempre que estos respeten la naturaleza y destinación de los bienes de uso público, las normas imperativas y los principios de la contratación estatal. La denominación que las partes otorguen al negocio jurídico no determina la modalidad de selección aplicable; esta deberá establecerse conforme a las reglas previstas en el artículo 2 de la Ley 1150 de 2007 y a las características concretas del negocio. Asimismo, la estructuración del contrato debe estar precedida de una adecuada planeación que permita justificar jurídica, técnica y económicamente la alternativa contractual adoptada</w:t>
            </w:r>
            <w:r>
              <w:rPr>
                <w:rFonts w:ascii="Verdana" w:hAnsi="Verdana" w:cs="Arial"/>
              </w:rPr>
              <w:t>.</w:t>
            </w:r>
          </w:p>
          <w:p w14:paraId="130A1405" w14:textId="77777777" w:rsidR="008D0A36" w:rsidRPr="00A54773" w:rsidRDefault="008D0A36" w:rsidP="000E0778">
            <w:pPr>
              <w:spacing w:after="120" w:line="276" w:lineRule="auto"/>
              <w:ind w:firstLine="709"/>
              <w:jc w:val="both"/>
              <w:rPr>
                <w:rFonts w:ascii="Verdana" w:hAnsi="Verdana" w:cs="Arial"/>
                <w:lang w:val="es-ES"/>
              </w:rPr>
            </w:pPr>
            <w:r w:rsidRPr="000565B4">
              <w:rPr>
                <w:rFonts w:ascii="Verdana" w:eastAsia="Verdana" w:hAnsi="Verdana" w:cs="Verdana"/>
              </w:rPr>
              <w:lastRenderedPageBreak/>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sobre las inhabilidades sobrevinientes, sino que brinda elementos de carácter general para que adopten la decisión que corresponda, lo cual es acorde con el principio de juridicidad. Así, cada entidad definirá la forma de adelantar su gestión contractual, sin que sea atribución de Colombia Compra Eficiente validarla.</w:t>
            </w:r>
          </w:p>
        </w:tc>
      </w:tr>
      <w:bookmarkEnd w:id="3"/>
    </w:tbl>
    <w:p w14:paraId="3F193A24" w14:textId="77777777" w:rsidR="008D0A36" w:rsidRDefault="008D0A36" w:rsidP="008D0A36">
      <w:pPr>
        <w:tabs>
          <w:tab w:val="left" w:pos="142"/>
          <w:tab w:val="left" w:pos="284"/>
        </w:tabs>
        <w:spacing w:after="0" w:line="276" w:lineRule="auto"/>
        <w:ind w:left="360"/>
        <w:jc w:val="both"/>
        <w:rPr>
          <w:rFonts w:ascii="Verdana" w:eastAsia="Century Gothic" w:hAnsi="Verdana" w:cs="Century Gothic"/>
          <w:b/>
          <w:bCs/>
        </w:rPr>
      </w:pPr>
    </w:p>
    <w:p w14:paraId="45D84C6C" w14:textId="77777777" w:rsidR="008D0A36" w:rsidRPr="00A77871" w:rsidRDefault="008D0A36" w:rsidP="008D0A36">
      <w:pPr>
        <w:numPr>
          <w:ilvl w:val="0"/>
          <w:numId w:val="16"/>
        </w:numPr>
        <w:tabs>
          <w:tab w:val="left" w:pos="142"/>
          <w:tab w:val="left" w:pos="284"/>
        </w:tabs>
        <w:spacing w:after="0" w:line="276" w:lineRule="auto"/>
        <w:jc w:val="both"/>
        <w:rPr>
          <w:rFonts w:ascii="Verdana" w:eastAsia="Century Gothic" w:hAnsi="Verdana" w:cs="Century Gothic"/>
          <w:b/>
          <w:bCs/>
        </w:rPr>
      </w:pPr>
      <w:r w:rsidRPr="00A77871">
        <w:rPr>
          <w:rFonts w:ascii="Verdana" w:eastAsia="Century Gothic" w:hAnsi="Verdana" w:cs="Century Gothic"/>
          <w:b/>
          <w:bCs/>
        </w:rPr>
        <w:t>Razones de la respuesta:</w:t>
      </w:r>
    </w:p>
    <w:p w14:paraId="15F8A0CE" w14:textId="77777777" w:rsidR="008D0A36" w:rsidRDefault="008D0A36" w:rsidP="008D0A36">
      <w:pPr>
        <w:spacing w:after="0" w:line="276" w:lineRule="auto"/>
        <w:jc w:val="both"/>
        <w:rPr>
          <w:rFonts w:ascii="Verdana" w:eastAsia="Calibri" w:hAnsi="Verdana" w:cs="Arial"/>
        </w:rPr>
      </w:pPr>
    </w:p>
    <w:p w14:paraId="7E3DC2F1" w14:textId="77777777" w:rsidR="008D0A36" w:rsidRPr="00C4354B" w:rsidRDefault="008D0A36" w:rsidP="008D0A36">
      <w:pPr>
        <w:spacing w:after="0" w:line="276" w:lineRule="auto"/>
        <w:jc w:val="both"/>
        <w:rPr>
          <w:rFonts w:ascii="Verdana" w:eastAsia="Calibri" w:hAnsi="Verdana" w:cs="Arial"/>
        </w:rPr>
      </w:pPr>
      <w:r w:rsidRPr="00454A35">
        <w:rPr>
          <w:rFonts w:ascii="Verdana" w:eastAsia="Calibri" w:hAnsi="Verdana" w:cs="Arial"/>
        </w:rPr>
        <w:t>Lo anterior se sustenta en las siguientes consideraciones:</w:t>
      </w:r>
      <w:r w:rsidRPr="00A068FC">
        <w:rPr>
          <w:rFonts w:ascii="Verdana" w:eastAsia="Century Gothic" w:hAnsi="Verdana" w:cs="Century Gothic"/>
          <w:lang w:val="es-ES" w:eastAsia="es-ES_tradnl"/>
        </w:rPr>
        <w:t xml:space="preserve"> </w:t>
      </w:r>
    </w:p>
    <w:p w14:paraId="226C9C07" w14:textId="77777777" w:rsidR="008D0A36" w:rsidRPr="008B23AD" w:rsidRDefault="008D0A36" w:rsidP="008D0A36">
      <w:pPr>
        <w:spacing w:after="0" w:line="276" w:lineRule="auto"/>
        <w:jc w:val="both"/>
        <w:rPr>
          <w:rFonts w:ascii="Verdana" w:eastAsia="Times New Roman" w:hAnsi="Verdana" w:cs="Arial"/>
          <w:b/>
          <w:bCs/>
          <w:color w:val="000000" w:themeColor="text1"/>
          <w:lang w:eastAsia="es-ES_tradnl"/>
        </w:rPr>
      </w:pPr>
    </w:p>
    <w:p w14:paraId="3BAA716A" w14:textId="77777777" w:rsidR="008D0A36" w:rsidRPr="00A068FC" w:rsidRDefault="008D0A36" w:rsidP="008D0A36">
      <w:pPr>
        <w:widowControl w:val="0"/>
        <w:autoSpaceDE w:val="0"/>
        <w:autoSpaceDN w:val="0"/>
        <w:spacing w:after="120" w:line="276" w:lineRule="auto"/>
        <w:jc w:val="both"/>
        <w:rPr>
          <w:rFonts w:ascii="Verdana" w:eastAsia="Arial" w:hAnsi="Verdana" w:cs="Arial"/>
          <w:color w:val="000000" w:themeColor="text1"/>
          <w:lang w:val="es-ES_tradnl" w:eastAsia="es-ES_tradnl"/>
        </w:rPr>
      </w:pPr>
      <w:r w:rsidRPr="00A068FC">
        <w:rPr>
          <w:rFonts w:ascii="Verdana" w:eastAsia="Arial" w:hAnsi="Verdana" w:cs="Arial"/>
          <w:color w:val="000000" w:themeColor="text1"/>
          <w:lang w:val="es-ES_tradnl" w:eastAsia="es-ES_tradnl"/>
        </w:rPr>
        <w:t>El contrato es un “acto jurídico voluntario, una declaración de voluntad, que tiene por objeto establecer una relación jurídica entre dos personas, obligando a la una para con otra a determinada prestación”</w:t>
      </w:r>
      <w:r w:rsidRPr="00A068FC">
        <w:rPr>
          <w:rFonts w:ascii="Verdana" w:eastAsia="Arial" w:hAnsi="Verdana" w:cs="Arial"/>
          <w:color w:val="000000" w:themeColor="text1"/>
          <w:vertAlign w:val="superscript"/>
          <w:lang w:val="es-ES_tradnl" w:eastAsia="es-ES_tradnl"/>
        </w:rPr>
        <w:footnoteReference w:id="1"/>
      </w:r>
      <w:r w:rsidRPr="00A068FC">
        <w:rPr>
          <w:rFonts w:ascii="Verdana" w:eastAsia="Arial" w:hAnsi="Verdana" w:cs="Arial"/>
          <w:color w:val="000000" w:themeColor="text1"/>
          <w:lang w:val="es-ES_tradnl" w:eastAsia="es-ES_tradnl"/>
        </w:rPr>
        <w:t>. Se trata de un negocio jurídico en el sentido de que es el resultado de un acto dispositivo o de autorregulación de intereses de dos o más sujetos con efectos jurídicos para crear, modificar o extinguir relaciones jurídicas</w:t>
      </w:r>
      <w:r w:rsidRPr="00A068FC">
        <w:rPr>
          <w:rFonts w:ascii="Verdana" w:eastAsia="Arial" w:hAnsi="Verdana" w:cs="Arial"/>
          <w:color w:val="000000" w:themeColor="text1"/>
          <w:vertAlign w:val="superscript"/>
          <w:lang w:val="es-ES_tradnl" w:eastAsia="es-ES_tradnl"/>
        </w:rPr>
        <w:footnoteReference w:id="2"/>
      </w:r>
      <w:r w:rsidRPr="00A068FC">
        <w:rPr>
          <w:rFonts w:ascii="Verdana" w:eastAsia="Arial" w:hAnsi="Verdana" w:cs="Arial"/>
          <w:color w:val="000000" w:themeColor="text1"/>
          <w:lang w:val="es-ES_tradnl" w:eastAsia="es-ES_tradnl"/>
        </w:rPr>
        <w:t xml:space="preserve">. </w:t>
      </w:r>
    </w:p>
    <w:p w14:paraId="14CDC42E" w14:textId="77777777" w:rsidR="008D0A36" w:rsidRPr="00A068FC" w:rsidRDefault="008D0A36" w:rsidP="008D0A36">
      <w:pPr>
        <w:widowControl w:val="0"/>
        <w:autoSpaceDE w:val="0"/>
        <w:autoSpaceDN w:val="0"/>
        <w:spacing w:after="120" w:line="276" w:lineRule="auto"/>
        <w:ind w:firstLine="708"/>
        <w:jc w:val="both"/>
        <w:rPr>
          <w:rFonts w:ascii="Verdana" w:eastAsia="Arial" w:hAnsi="Verdana" w:cs="Arial"/>
          <w:color w:val="000000" w:themeColor="text1"/>
          <w:lang w:val="es-ES" w:eastAsia="es-ES"/>
        </w:rPr>
      </w:pPr>
      <w:r w:rsidRPr="6DB59E88">
        <w:rPr>
          <w:rFonts w:ascii="Verdana" w:eastAsia="Arial" w:hAnsi="Verdana" w:cs="Arial"/>
          <w:color w:val="000000" w:themeColor="text1"/>
          <w:lang w:val="es-ES" w:eastAsia="es-ES"/>
        </w:rPr>
        <w:t>En efecto, el artículo 1495 del Código Civil establece que el “[c]</w:t>
      </w:r>
      <w:proofErr w:type="spellStart"/>
      <w:r w:rsidRPr="6DB59E88">
        <w:rPr>
          <w:rFonts w:ascii="Verdana" w:eastAsia="Arial" w:hAnsi="Verdana" w:cs="Arial"/>
          <w:color w:val="000000" w:themeColor="text1"/>
          <w:lang w:val="es-ES" w:eastAsia="es-ES"/>
        </w:rPr>
        <w:t>ontrato</w:t>
      </w:r>
      <w:proofErr w:type="spellEnd"/>
      <w:r w:rsidRPr="6DB59E88">
        <w:rPr>
          <w:rFonts w:ascii="Verdana" w:eastAsia="Arial" w:hAnsi="Verdana" w:cs="Arial"/>
          <w:color w:val="000000" w:themeColor="text1"/>
          <w:lang w:val="es-ES" w:eastAsia="es-ES"/>
        </w:rPr>
        <w:t xml:space="preserve">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relación jurídica patrimonial”.</w:t>
      </w:r>
    </w:p>
    <w:p w14:paraId="34EBD5EE" w14:textId="77777777" w:rsidR="008D0A36" w:rsidRPr="00A068FC" w:rsidRDefault="008D0A36" w:rsidP="008D0A36">
      <w:pPr>
        <w:widowControl w:val="0"/>
        <w:autoSpaceDE w:val="0"/>
        <w:autoSpaceDN w:val="0"/>
        <w:spacing w:after="120" w:line="276" w:lineRule="auto"/>
        <w:ind w:firstLine="708"/>
        <w:jc w:val="both"/>
        <w:rPr>
          <w:rFonts w:ascii="Verdana" w:eastAsia="Arial" w:hAnsi="Verdana" w:cs="Arial"/>
          <w:color w:val="000000" w:themeColor="text1"/>
          <w:lang w:val="es-ES_tradnl" w:eastAsia="es-ES_tradnl"/>
        </w:rPr>
      </w:pPr>
      <w:r w:rsidRPr="00A068FC">
        <w:rPr>
          <w:rFonts w:ascii="Verdana" w:eastAsia="Arial" w:hAnsi="Verdana" w:cs="Arial"/>
          <w:color w:val="000000" w:themeColor="text1"/>
          <w:lang w:val="es-ES_tradnl" w:eastAsia="es-ES_tradnl"/>
        </w:rPr>
        <w:t xml:space="preserve">Por su parte, el artículo 1º de la Ley 80 de 1993 –Estatuto General de Contratación de la Administración Pública, en adelante EGCAP–, determina que </w:t>
      </w:r>
      <w:r w:rsidRPr="00A068FC">
        <w:rPr>
          <w:rFonts w:ascii="Verdana" w:eastAsia="Arial" w:hAnsi="Verdana" w:cs="Arial"/>
          <w:color w:val="000000" w:themeColor="text1"/>
          <w:lang w:val="es-ES_tradnl" w:eastAsia="es-ES_tradnl"/>
        </w:rPr>
        <w:lastRenderedPageBreak/>
        <w:t xml:space="preserve">su objetivo es disponer de reglas y principios que rigen los contratos de las Entidades Estatales y, en ese sentido, el artículo 32 </w:t>
      </w:r>
      <w:r w:rsidRPr="00A068FC">
        <w:rPr>
          <w:rFonts w:ascii="Verdana" w:eastAsia="Arial" w:hAnsi="Verdana" w:cs="Arial"/>
          <w:i/>
          <w:iCs/>
          <w:color w:val="000000" w:themeColor="text1"/>
          <w:lang w:val="es-ES_tradnl" w:eastAsia="es-ES_tradnl"/>
        </w:rPr>
        <w:t>ibidem</w:t>
      </w:r>
      <w:r w:rsidRPr="00A068FC">
        <w:rPr>
          <w:rFonts w:ascii="Verdana" w:eastAsia="Arial" w:hAnsi="Verdana" w:cs="Arial"/>
          <w:color w:val="000000" w:themeColor="text1"/>
          <w:lang w:val="es-ES_tradnl" w:eastAsia="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 </w:t>
      </w:r>
    </w:p>
    <w:p w14:paraId="567ACE4C" w14:textId="77777777" w:rsidR="008D0A36" w:rsidRPr="00A068FC" w:rsidRDefault="008D0A36" w:rsidP="008D0A36">
      <w:pPr>
        <w:widowControl w:val="0"/>
        <w:autoSpaceDE w:val="0"/>
        <w:autoSpaceDN w:val="0"/>
        <w:spacing w:after="0" w:line="276" w:lineRule="auto"/>
        <w:ind w:firstLine="709"/>
        <w:jc w:val="both"/>
        <w:rPr>
          <w:rFonts w:ascii="Verdana" w:eastAsia="Arial" w:hAnsi="Verdana" w:cs="Arial"/>
          <w:color w:val="000000" w:themeColor="text1"/>
          <w:lang w:val="es-ES_tradnl" w:eastAsia="es-ES_tradnl"/>
        </w:rPr>
      </w:pPr>
      <w:r w:rsidRPr="00A068FC">
        <w:rPr>
          <w:rFonts w:ascii="Verdana" w:eastAsia="Arial" w:hAnsi="Verdana" w:cs="Arial"/>
          <w:color w:val="000000" w:themeColor="text1"/>
          <w:lang w:val="es-ES_tradnl" w:eastAsia="es-ES_tradnl"/>
        </w:rPr>
        <w:t xml:space="preserve">De acuerdo con lo anterior, </w:t>
      </w:r>
      <w:bookmarkStart w:id="4" w:name="_Hlk150759794"/>
      <w:r w:rsidRPr="00A068FC">
        <w:rPr>
          <w:rFonts w:ascii="Verdana" w:eastAsia="Arial" w:hAnsi="Verdana" w:cs="Arial"/>
          <w:color w:val="000000" w:themeColor="text1"/>
          <w:lang w:val="es-ES_tradnl" w:eastAsia="es-ES_tradnl"/>
        </w:rPr>
        <w:t>para la definición de contrato estatal basta con que una de las entidades que enumera el artículo 2º de la Ley 80 de 1993</w:t>
      </w:r>
      <w:r w:rsidRPr="00A068FC">
        <w:rPr>
          <w:rFonts w:ascii="Verdana" w:eastAsia="Arial" w:hAnsi="Verdana" w:cs="Arial"/>
          <w:color w:val="000000" w:themeColor="text1"/>
          <w:vertAlign w:val="superscript"/>
          <w:lang w:val="es-ES_tradnl" w:eastAsia="es-ES_tradnl"/>
        </w:rPr>
        <w:footnoteReference w:id="3"/>
      </w:r>
      <w:r w:rsidRPr="00A068FC">
        <w:rPr>
          <w:rFonts w:ascii="Verdana" w:eastAsia="Arial" w:hAnsi="Verdana" w:cs="Arial"/>
          <w:color w:val="000000" w:themeColor="text1"/>
          <w:lang w:val="es-ES_tradnl" w:eastAsia="es-ES_tradnl"/>
        </w:rPr>
        <w:t xml:space="preserve"> sea una de las partes, sin importar el extremo de la relación jurídico negocial que</w:t>
      </w:r>
      <w:r w:rsidRPr="00A068FC">
        <w:rPr>
          <w:rFonts w:ascii="Verdana" w:eastAsia="Arial" w:hAnsi="Verdana" w:cs="Arial"/>
          <w:color w:val="000000" w:themeColor="text1"/>
          <w:spacing w:val="-14"/>
          <w:lang w:val="es-ES_tradnl" w:eastAsia="es-ES_tradnl"/>
        </w:rPr>
        <w:t xml:space="preserve"> </w:t>
      </w:r>
      <w:r w:rsidRPr="00A068FC">
        <w:rPr>
          <w:rFonts w:ascii="Verdana" w:eastAsia="Arial" w:hAnsi="Verdana" w:cs="Arial"/>
          <w:color w:val="000000" w:themeColor="text1"/>
          <w:lang w:val="es-ES_tradnl" w:eastAsia="es-ES_tradnl"/>
        </w:rPr>
        <w:t>asuma. Al respecto, el Consejo de Estado ha sostenido que el criterio definitorio de un contrato estatal es que haya sido celebrado por una Entidad Estatal</w:t>
      </w:r>
      <w:bookmarkEnd w:id="4"/>
      <w:r w:rsidRPr="00A068FC">
        <w:rPr>
          <w:rFonts w:ascii="Verdana" w:eastAsia="Arial" w:hAnsi="Verdana" w:cs="Arial"/>
          <w:color w:val="000000" w:themeColor="text1"/>
          <w:lang w:val="es-ES_tradnl" w:eastAsia="es-ES_tradnl"/>
        </w:rPr>
        <w:t>:</w:t>
      </w:r>
    </w:p>
    <w:p w14:paraId="40491459" w14:textId="77777777" w:rsidR="008D0A36" w:rsidRPr="00A068FC" w:rsidRDefault="008D0A36" w:rsidP="008D0A36">
      <w:pPr>
        <w:widowControl w:val="0"/>
        <w:autoSpaceDE w:val="0"/>
        <w:autoSpaceDN w:val="0"/>
        <w:spacing w:after="0" w:line="276" w:lineRule="auto"/>
        <w:ind w:firstLine="261"/>
        <w:contextualSpacing/>
        <w:jc w:val="both"/>
        <w:rPr>
          <w:rFonts w:ascii="Verdana" w:eastAsia="Arial" w:hAnsi="Verdana" w:cs="Arial"/>
          <w:color w:val="000000" w:themeColor="text1"/>
          <w:lang w:val="es-ES_tradnl" w:eastAsia="es-ES_tradnl"/>
        </w:rPr>
      </w:pPr>
    </w:p>
    <w:p w14:paraId="4E9E72E6" w14:textId="77777777" w:rsidR="008D0A36" w:rsidRPr="008227F7" w:rsidRDefault="008D0A36" w:rsidP="008D0A36">
      <w:pPr>
        <w:widowControl w:val="0"/>
        <w:tabs>
          <w:tab w:val="left" w:pos="7797"/>
        </w:tabs>
        <w:autoSpaceDE w:val="0"/>
        <w:autoSpaceDN w:val="0"/>
        <w:spacing w:after="0" w:line="240" w:lineRule="auto"/>
        <w:ind w:left="709" w:right="709"/>
        <w:contextualSpacing/>
        <w:jc w:val="both"/>
        <w:rPr>
          <w:rFonts w:ascii="Verdana" w:eastAsia="Arial" w:hAnsi="Verdana" w:cs="Arial"/>
          <w:color w:val="000000" w:themeColor="text1"/>
          <w:sz w:val="20"/>
          <w:szCs w:val="20"/>
          <w:lang w:val="es-ES_tradnl" w:eastAsia="es-ES_tradnl"/>
        </w:rPr>
      </w:pPr>
      <w:r w:rsidRPr="008227F7">
        <w:rPr>
          <w:rFonts w:ascii="Verdana" w:eastAsia="Arial" w:hAnsi="Verdana" w:cs="Arial"/>
          <w:color w:val="000000" w:themeColor="text1"/>
          <w:sz w:val="20"/>
          <w:szCs w:val="20"/>
          <w:lang w:val="es-ES_tradnl" w:eastAsia="es-ES_tradnl"/>
        </w:rPr>
        <w:t>“Nótese cómo, elemento esencial para calificar de estatal un contrato, es que haya sido celebrado por una entidad estatal, es decir, una entidad pública con capacidad legal para celebrarlo. Dicho de otro modo, no existen contratos estatales celebrados entre particulares, ni siquiera cuando éstos han sido habilitados legalmente para el ejercicio de funciones</w:t>
      </w:r>
      <w:r w:rsidRPr="008227F7">
        <w:rPr>
          <w:rFonts w:ascii="Verdana" w:eastAsia="Arial" w:hAnsi="Verdana" w:cs="Arial"/>
          <w:color w:val="000000" w:themeColor="text1"/>
          <w:spacing w:val="-4"/>
          <w:sz w:val="20"/>
          <w:szCs w:val="20"/>
          <w:lang w:val="es-ES_tradnl" w:eastAsia="es-ES_tradnl"/>
        </w:rPr>
        <w:t xml:space="preserve"> </w:t>
      </w:r>
      <w:r w:rsidRPr="008227F7">
        <w:rPr>
          <w:rFonts w:ascii="Verdana" w:eastAsia="Arial" w:hAnsi="Verdana" w:cs="Arial"/>
          <w:color w:val="000000" w:themeColor="text1"/>
          <w:sz w:val="20"/>
          <w:szCs w:val="20"/>
          <w:lang w:val="es-ES_tradnl" w:eastAsia="es-ES_tradnl"/>
        </w:rPr>
        <w:t>públicas”</w:t>
      </w:r>
      <w:r w:rsidRPr="008227F7">
        <w:rPr>
          <w:rFonts w:ascii="Verdana" w:eastAsia="Arial" w:hAnsi="Verdana" w:cs="Arial"/>
          <w:color w:val="000000" w:themeColor="text1"/>
          <w:sz w:val="20"/>
          <w:szCs w:val="20"/>
          <w:vertAlign w:val="superscript"/>
          <w:lang w:val="es-ES_tradnl" w:eastAsia="es-ES_tradnl"/>
        </w:rPr>
        <w:footnoteReference w:id="4"/>
      </w:r>
      <w:r w:rsidRPr="008227F7">
        <w:rPr>
          <w:rFonts w:ascii="Verdana" w:eastAsia="Arial" w:hAnsi="Verdana" w:cs="Arial"/>
          <w:color w:val="000000" w:themeColor="text1"/>
          <w:sz w:val="20"/>
          <w:szCs w:val="20"/>
          <w:lang w:val="es-ES_tradnl" w:eastAsia="es-ES_tradnl"/>
        </w:rPr>
        <w:t>.</w:t>
      </w:r>
    </w:p>
    <w:p w14:paraId="2FAAAFDB" w14:textId="77777777" w:rsidR="008D0A36" w:rsidRPr="00A068FC" w:rsidRDefault="008D0A36" w:rsidP="008D0A36">
      <w:pPr>
        <w:widowControl w:val="0"/>
        <w:autoSpaceDE w:val="0"/>
        <w:autoSpaceDN w:val="0"/>
        <w:spacing w:after="0" w:line="276" w:lineRule="auto"/>
        <w:contextualSpacing/>
        <w:jc w:val="both"/>
        <w:rPr>
          <w:rFonts w:ascii="Verdana" w:eastAsia="Arial" w:hAnsi="Verdana" w:cs="Arial"/>
          <w:color w:val="000000" w:themeColor="text1"/>
          <w:lang w:val="es-ES_tradnl" w:eastAsia="es-ES_tradnl"/>
        </w:rPr>
      </w:pPr>
    </w:p>
    <w:p w14:paraId="42293748" w14:textId="77777777" w:rsidR="008D0A36" w:rsidRPr="00A068FC" w:rsidRDefault="008D0A36" w:rsidP="008D0A36">
      <w:pPr>
        <w:widowControl w:val="0"/>
        <w:autoSpaceDE w:val="0"/>
        <w:autoSpaceDN w:val="0"/>
        <w:spacing w:after="120" w:line="276" w:lineRule="auto"/>
        <w:ind w:firstLine="607"/>
        <w:jc w:val="both"/>
        <w:rPr>
          <w:rFonts w:ascii="Verdana" w:eastAsia="Arial" w:hAnsi="Verdana" w:cs="Arial"/>
          <w:color w:val="000000" w:themeColor="text1"/>
          <w:lang w:val="es-ES_tradnl" w:eastAsia="es-ES_tradnl"/>
        </w:rPr>
      </w:pPr>
      <w:r w:rsidRPr="00A068FC">
        <w:rPr>
          <w:rFonts w:ascii="Verdana" w:eastAsia="Arial" w:hAnsi="Verdana" w:cs="Arial"/>
          <w:color w:val="000000" w:themeColor="text1"/>
          <w:lang w:val="es-ES_tradnl" w:eastAsia="es-ES_tradnl"/>
        </w:rPr>
        <w:t xml:space="preserve">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Por lo tanto, </w:t>
      </w:r>
      <w:bookmarkStart w:id="5" w:name="_Hlk150759930"/>
      <w:r w:rsidRPr="00A068FC">
        <w:rPr>
          <w:rFonts w:ascii="Verdana" w:eastAsia="Arial" w:hAnsi="Verdana" w:cs="Arial"/>
          <w:color w:val="000000" w:themeColor="text1"/>
          <w:lang w:val="es-ES_tradnl" w:eastAsia="es-ES_tradnl"/>
        </w:rPr>
        <w:t xml:space="preserve">la Ley 80 de 1993 adoptó un criterio eminentemente subjetivo u orgánico, esto es, en atención a la </w:t>
      </w:r>
      <w:r w:rsidRPr="00A068FC">
        <w:rPr>
          <w:rFonts w:ascii="Verdana" w:eastAsia="Arial" w:hAnsi="Verdana" w:cs="Arial"/>
          <w:color w:val="000000" w:themeColor="text1"/>
          <w:lang w:val="es-ES_tradnl" w:eastAsia="es-ES_tradnl"/>
        </w:rPr>
        <w:lastRenderedPageBreak/>
        <w:t>naturaleza de los sujetos u órganos que intervienen en la formación del vínculo contractual, para efectos de determinar que los contratos podrán catalogarse como estatales únicamente en cuanto en uno de sus extremos, al menos, se encuentre una Entidad Estatal</w:t>
      </w:r>
      <w:r w:rsidRPr="00A068FC">
        <w:rPr>
          <w:rFonts w:ascii="Verdana" w:eastAsia="Arial" w:hAnsi="Verdana" w:cs="Arial"/>
          <w:color w:val="000000" w:themeColor="text1"/>
          <w:vertAlign w:val="superscript"/>
          <w:lang w:val="es-ES_tradnl" w:eastAsia="es-ES_tradnl"/>
        </w:rPr>
        <w:footnoteReference w:id="5"/>
      </w:r>
      <w:r w:rsidRPr="00A068FC">
        <w:rPr>
          <w:rFonts w:ascii="Verdana" w:eastAsia="Arial" w:hAnsi="Verdana" w:cs="Arial"/>
          <w:color w:val="000000" w:themeColor="text1"/>
          <w:lang w:val="es-ES_tradnl" w:eastAsia="es-ES_tradnl"/>
        </w:rPr>
        <w:t>, con independencia del régimen de derecho aplicable.</w:t>
      </w:r>
    </w:p>
    <w:bookmarkEnd w:id="5"/>
    <w:p w14:paraId="423A8D03" w14:textId="77777777" w:rsidR="008D0A36" w:rsidRPr="00A068FC" w:rsidRDefault="008D0A36" w:rsidP="008D0A36">
      <w:pPr>
        <w:widowControl w:val="0"/>
        <w:autoSpaceDE w:val="0"/>
        <w:autoSpaceDN w:val="0"/>
        <w:spacing w:after="0" w:line="276" w:lineRule="auto"/>
        <w:ind w:firstLine="607"/>
        <w:jc w:val="both"/>
        <w:rPr>
          <w:rFonts w:ascii="Verdana" w:eastAsia="Arial" w:hAnsi="Verdana" w:cs="Arial"/>
          <w:color w:val="000000" w:themeColor="text1"/>
          <w:lang w:eastAsia="es-ES_tradnl"/>
        </w:rPr>
      </w:pPr>
      <w:r w:rsidRPr="00A068FC">
        <w:rPr>
          <w:rFonts w:ascii="Verdana" w:eastAsia="Arial" w:hAnsi="Verdana" w:cs="Arial"/>
          <w:color w:val="000000" w:themeColor="text1"/>
          <w:lang w:eastAsia="es-ES_tradnl"/>
        </w:rPr>
        <w:t>Este entendimiento encuentra, además, recepción en los artículos 13 y 40 de la Ley 80 de 1993, los cuales integran al derecho contractual estatal “las disposiciones comerciales y civiles pertinentes”, cuando indican que estos se regirán de forma supletiva por ese régimen jurídico, salvo en las materias expresa y particularmente reguladas por el EGCAP, lo que permite concluir que “mediante la Ley 80, se pretendió que la actividad contractual del Estado quedará</w:t>
      </w:r>
      <w:r w:rsidRPr="00A068FC">
        <w:rPr>
          <w:rFonts w:ascii="Verdana" w:eastAsia="Arial" w:hAnsi="Verdana" w:cs="Arial"/>
          <w:lang w:eastAsia="es-ES_tradnl"/>
        </w:rPr>
        <w:t xml:space="preserve"> </w:t>
      </w:r>
      <w:r w:rsidRPr="00A068FC">
        <w:rPr>
          <w:rFonts w:ascii="Verdana" w:eastAsia="Arial" w:hAnsi="Verdana" w:cs="Arial"/>
          <w:color w:val="000000" w:themeColor="text1"/>
          <w:lang w:eastAsia="es-ES_tradnl"/>
        </w:rPr>
        <w:t>bajo la égida del contrato estatal, caracterizado por tener un régimen jurídico mixto, integrado por normas de derecho público y derecho privado”</w:t>
      </w:r>
      <w:r w:rsidRPr="00A068FC">
        <w:rPr>
          <w:rFonts w:ascii="Verdana" w:eastAsia="Arial" w:hAnsi="Verdana" w:cs="Arial"/>
          <w:color w:val="000000" w:themeColor="text1"/>
          <w:vertAlign w:val="superscript"/>
          <w:lang w:eastAsia="es-ES_tradnl"/>
        </w:rPr>
        <w:footnoteReference w:id="6"/>
      </w:r>
      <w:r w:rsidRPr="00A068FC">
        <w:rPr>
          <w:rFonts w:ascii="Verdana" w:eastAsia="Arial" w:hAnsi="Verdana" w:cs="Arial"/>
          <w:color w:val="000000" w:themeColor="text1"/>
          <w:lang w:eastAsia="es-ES_tradnl"/>
        </w:rPr>
        <w:t xml:space="preserve">. En armonía con lo anterior, la Sala de Consulta y Servicio Civil del Consejo de Estado, expresó que, </w:t>
      </w:r>
      <w:r w:rsidRPr="00A068FC">
        <w:rPr>
          <w:rFonts w:ascii="Verdana" w:eastAsia="Arial" w:hAnsi="Verdana" w:cs="Arial"/>
          <w:iCs/>
          <w:color w:val="000000" w:themeColor="text1"/>
          <w:lang w:eastAsia="es-ES_tradnl"/>
        </w:rPr>
        <w:t>en tal virtud, p</w:t>
      </w:r>
      <w:r w:rsidRPr="00A068FC">
        <w:rPr>
          <w:rFonts w:ascii="Verdana" w:eastAsia="Arial" w:hAnsi="Verdana" w:cs="Arial"/>
          <w:color w:val="000000" w:themeColor="text1"/>
          <w:lang w:eastAsia="es-ES_tradnl"/>
        </w:rPr>
        <w:t>or regla general:</w:t>
      </w:r>
    </w:p>
    <w:p w14:paraId="5B408D58" w14:textId="77777777" w:rsidR="008D0A36" w:rsidRPr="00A068FC" w:rsidRDefault="008D0A36" w:rsidP="008D0A36">
      <w:pPr>
        <w:widowControl w:val="0"/>
        <w:autoSpaceDE w:val="0"/>
        <w:autoSpaceDN w:val="0"/>
        <w:spacing w:after="0" w:line="276" w:lineRule="auto"/>
        <w:ind w:firstLine="607"/>
        <w:jc w:val="both"/>
        <w:rPr>
          <w:rFonts w:ascii="Verdana" w:eastAsia="Arial" w:hAnsi="Verdana" w:cs="Arial"/>
          <w:color w:val="000000" w:themeColor="text1"/>
          <w:lang w:eastAsia="es-ES_tradnl"/>
        </w:rPr>
      </w:pPr>
    </w:p>
    <w:p w14:paraId="567B6054" w14:textId="77777777" w:rsidR="008D0A36" w:rsidRDefault="008D0A36" w:rsidP="008D0A36">
      <w:pPr>
        <w:widowControl w:val="0"/>
        <w:autoSpaceDE w:val="0"/>
        <w:autoSpaceDN w:val="0"/>
        <w:spacing w:after="0" w:line="240" w:lineRule="auto"/>
        <w:ind w:left="709" w:right="709"/>
        <w:contextualSpacing/>
        <w:jc w:val="both"/>
        <w:rPr>
          <w:rFonts w:ascii="Verdana" w:eastAsia="Arial" w:hAnsi="Verdana" w:cs="Arial"/>
          <w:b/>
          <w:color w:val="000000" w:themeColor="text1"/>
          <w:sz w:val="20"/>
          <w:szCs w:val="20"/>
          <w:lang w:eastAsia="es-ES_tradnl"/>
        </w:rPr>
      </w:pPr>
      <w:r w:rsidRPr="003E6340">
        <w:rPr>
          <w:rFonts w:ascii="Verdana" w:eastAsia="Arial" w:hAnsi="Verdana" w:cs="Arial"/>
          <w:color w:val="000000" w:themeColor="text1"/>
          <w:sz w:val="20"/>
          <w:szCs w:val="20"/>
          <w:lang w:eastAsia="es-ES_tradnl"/>
        </w:rPr>
        <w:t>“[…] las entidades estatales dentro del ámbito de aplicación del Estatuto General de Contratación de la Administración Púbica, cuando celebren contratos deben cumplir las disposiciones del derecho privado (comerciales y civiles) que resulten aplicables, excepto en aquellas materias expresamente reguladas por el citado Estatuto y las normas que lo modifiquen o adicionen, verbigracia, los mecanismos de selección, los principios de transparencia, economía y responsabilidad, el deber de selección objetiva, las inhabilidades e incompatibilidades para contratar, los requisitos de perfeccionamiento y ejecución del contrato, el equilibrio económico y financiero del contrato, las cláusulas excepcionales (interpretación, modificación y terminación  unilaterales, caducidad, reversión y sometimiento de a las leyes nacionales), la imposición y efectividad de las multas y cláusula penal una vez pactadas, las garantías del contrato, las nulidades específicas del contrato estatal, el silencio administrativo positivo, la liquidación del contrato, entre otras”</w:t>
      </w:r>
      <w:r w:rsidRPr="003E6340">
        <w:rPr>
          <w:rFonts w:ascii="Verdana" w:eastAsia="Arial" w:hAnsi="Verdana" w:cs="Arial"/>
          <w:color w:val="000000" w:themeColor="text1"/>
          <w:sz w:val="20"/>
          <w:szCs w:val="20"/>
          <w:vertAlign w:val="superscript"/>
          <w:lang w:eastAsia="es-ES_tradnl"/>
        </w:rPr>
        <w:footnoteReference w:id="7"/>
      </w:r>
      <w:r w:rsidRPr="003E6340">
        <w:rPr>
          <w:rFonts w:ascii="Verdana" w:eastAsia="Arial" w:hAnsi="Verdana" w:cs="Arial"/>
          <w:color w:val="000000" w:themeColor="text1"/>
          <w:sz w:val="20"/>
          <w:szCs w:val="20"/>
          <w:lang w:eastAsia="es-ES_tradnl"/>
        </w:rPr>
        <w:t>.</w:t>
      </w:r>
      <w:r w:rsidRPr="003E6340">
        <w:rPr>
          <w:rFonts w:ascii="Verdana" w:eastAsia="Arial" w:hAnsi="Verdana" w:cs="Arial"/>
          <w:b/>
          <w:color w:val="000000" w:themeColor="text1"/>
          <w:sz w:val="20"/>
          <w:szCs w:val="20"/>
          <w:lang w:eastAsia="es-ES_tradnl"/>
        </w:rPr>
        <w:t xml:space="preserve"> </w:t>
      </w:r>
    </w:p>
    <w:p w14:paraId="562B5DEA" w14:textId="77777777" w:rsidR="008D0A36" w:rsidRPr="000E0778" w:rsidRDefault="008D0A36" w:rsidP="000E0778">
      <w:pPr>
        <w:widowControl w:val="0"/>
        <w:autoSpaceDE w:val="0"/>
        <w:autoSpaceDN w:val="0"/>
        <w:spacing w:after="0" w:line="276" w:lineRule="auto"/>
        <w:ind w:left="709" w:right="709"/>
        <w:contextualSpacing/>
        <w:jc w:val="both"/>
        <w:rPr>
          <w:rFonts w:ascii="Verdana" w:eastAsia="Arial" w:hAnsi="Verdana" w:cs="Arial"/>
          <w:b/>
          <w:color w:val="000000" w:themeColor="text1"/>
          <w:lang w:eastAsia="es-ES_tradnl"/>
        </w:rPr>
      </w:pPr>
    </w:p>
    <w:p w14:paraId="58BECD52" w14:textId="77777777" w:rsidR="008D0A36" w:rsidRPr="00A068FC" w:rsidRDefault="008D0A36" w:rsidP="008D0A36">
      <w:pPr>
        <w:widowControl w:val="0"/>
        <w:autoSpaceDE w:val="0"/>
        <w:autoSpaceDN w:val="0"/>
        <w:spacing w:after="120" w:line="276" w:lineRule="auto"/>
        <w:ind w:firstLine="607"/>
        <w:jc w:val="both"/>
        <w:rPr>
          <w:rFonts w:ascii="Verdana" w:eastAsia="Arial" w:hAnsi="Verdana" w:cs="Arial"/>
          <w:iCs/>
          <w:color w:val="000000" w:themeColor="text1"/>
          <w:lang w:eastAsia="es-ES_tradnl"/>
        </w:rPr>
      </w:pPr>
      <w:bookmarkStart w:id="6" w:name="_Hlk170973098"/>
      <w:r w:rsidRPr="00A068FC">
        <w:rPr>
          <w:rFonts w:ascii="Verdana" w:eastAsia="Arial" w:hAnsi="Verdana" w:cs="Arial"/>
          <w:iCs/>
          <w:color w:val="000000" w:themeColor="text1"/>
          <w:lang w:eastAsia="es-ES_tradnl"/>
        </w:rPr>
        <w:t xml:space="preserve">De otra parte, las Entidades Estatales, sujetas a la Ley 80 de 1993, para seleccionar a sus contratistas y la oferta más favorable para sus intereses no se encuentran en una posición de libertad absoluta, pues están sujetas a los </w:t>
      </w:r>
      <w:r w:rsidRPr="00A068FC">
        <w:rPr>
          <w:rFonts w:ascii="Verdana" w:eastAsia="Arial" w:hAnsi="Verdana" w:cs="Arial"/>
          <w:iCs/>
          <w:color w:val="000000" w:themeColor="text1"/>
          <w:lang w:eastAsia="es-ES_tradnl"/>
        </w:rPr>
        <w:lastRenderedPageBreak/>
        <w:t xml:space="preserve">procedimientos preestablecidos en las leyes y reglamentos. </w:t>
      </w:r>
      <w:bookmarkStart w:id="7" w:name="_Hlk170973355"/>
      <w:bookmarkEnd w:id="6"/>
      <w:r w:rsidRPr="00A068FC">
        <w:rPr>
          <w:rFonts w:ascii="Verdana" w:eastAsia="Arial" w:hAnsi="Verdana" w:cs="Arial"/>
          <w:iCs/>
          <w:color w:val="000000" w:themeColor="text1"/>
          <w:lang w:eastAsia="es-ES_tradnl"/>
        </w:rPr>
        <w:t xml:space="preserve">La preparación, adjudicación y perfeccionamiento de sus contratos es eminentemente reglado, fijado por el orden jurídico, bajo precisos principios que garantizan el derecho a la igualdad de los oferentes, la libertad de participación y el cumplimiento de los fines estatales perseguidos con esta actividad. Por eso, el ordenamiento establece mecanismos, modalidades o procesos de selección objetiva de la persona más idónea y la oferta más favorable o ventajosa para la celebración del contrato con la administración, que serán más o menos rigurosos en función a ciertos elementos, como la cuantía, el tipo o naturaleza del contrato o el objeto de los bienes y servicios requeridos </w:t>
      </w:r>
      <w:r>
        <w:rPr>
          <w:rFonts w:ascii="Verdana" w:eastAsia="Arial" w:hAnsi="Verdana" w:cs="Arial"/>
          <w:iCs/>
          <w:color w:val="000000" w:themeColor="text1"/>
          <w:lang w:eastAsia="es-ES_tradnl"/>
        </w:rPr>
        <w:t>-</w:t>
      </w:r>
      <w:r w:rsidRPr="00A068FC">
        <w:rPr>
          <w:rFonts w:ascii="Verdana" w:eastAsia="Arial" w:hAnsi="Verdana" w:cs="Arial"/>
          <w:iCs/>
          <w:color w:val="000000" w:themeColor="text1"/>
          <w:lang w:eastAsia="es-ES_tradnl"/>
        </w:rPr>
        <w:t>1. Licitación pública. 2. Selección abreviada. 3. Concurso de méritos, 4. Contratación directa y 5. Mínima cuantía, artículos 24 de la Ley 80 de 1993 y 2 de la Ley 1150 de 2007</w:t>
      </w:r>
      <w:r>
        <w:rPr>
          <w:rFonts w:ascii="Verdana" w:eastAsia="Arial" w:hAnsi="Verdana" w:cs="Arial"/>
          <w:iCs/>
          <w:color w:val="000000" w:themeColor="text1"/>
          <w:lang w:eastAsia="es-ES_tradnl"/>
        </w:rPr>
        <w:t>-</w:t>
      </w:r>
      <w:r w:rsidRPr="00A068FC">
        <w:rPr>
          <w:rFonts w:ascii="Verdana" w:eastAsia="Arial" w:hAnsi="Verdana" w:cs="Arial"/>
          <w:iCs/>
          <w:color w:val="000000" w:themeColor="text1"/>
          <w:lang w:eastAsia="es-ES_tradnl"/>
        </w:rPr>
        <w:t>. Las normas que consagran estos procedimientos de selección son de carácter imperativo y de orden público, no disponibles y, por tanto, de obligatorio cumplimiento, lo que implica que no pueden ser dispuestas por sus destinatarios de manera diferente y sus efectos no pueden evitarse o modificarse.</w:t>
      </w:r>
    </w:p>
    <w:bookmarkEnd w:id="7"/>
    <w:p w14:paraId="2AD7B189" w14:textId="1A20FEB9" w:rsidR="008D0A36" w:rsidRPr="00A068FC" w:rsidRDefault="001C5C4B" w:rsidP="008D0A36">
      <w:pPr>
        <w:widowControl w:val="0"/>
        <w:autoSpaceDE w:val="0"/>
        <w:autoSpaceDN w:val="0"/>
        <w:spacing w:after="0" w:line="276" w:lineRule="auto"/>
        <w:ind w:firstLine="607"/>
        <w:jc w:val="both"/>
        <w:rPr>
          <w:rFonts w:ascii="Verdana" w:eastAsia="Arial" w:hAnsi="Verdana" w:cs="Arial"/>
          <w:color w:val="000000" w:themeColor="text1"/>
          <w:lang w:val="es-ES" w:eastAsia="es-ES"/>
        </w:rPr>
      </w:pPr>
      <w:r>
        <w:rPr>
          <w:rFonts w:ascii="Verdana" w:eastAsia="Arial" w:hAnsi="Verdana" w:cs="Arial"/>
          <w:color w:val="000000" w:themeColor="text1"/>
          <w:lang w:val="es-ES" w:eastAsia="es-ES"/>
        </w:rPr>
        <w:t>C</w:t>
      </w:r>
      <w:r w:rsidR="008D0A36" w:rsidRPr="6DB59E88">
        <w:rPr>
          <w:rFonts w:ascii="Verdana" w:eastAsia="Arial" w:hAnsi="Verdana" w:cs="Arial"/>
          <w:color w:val="000000" w:themeColor="text1"/>
          <w:lang w:val="es-ES" w:eastAsia="es-ES"/>
        </w:rPr>
        <w:t xml:space="preserve">omo el contrato estatal corresponde al acuerdo de voluntades en que uno de los extremos es una entidad pública, no solo pertenecen a esta categoría los celebrados por las entidades a las que se refiere la Ley 80 de 1993, sino también aquellos en los que interviene como parte cualquier Entidad Pública, independiente del régimen jurídico aplicable. Este criterio es el que ha sido adoptado por el Consejo de Estado, para quien el carácter de contrato estatal se establece por la presencia de una Entidad Estatal como parte </w:t>
      </w:r>
      <w:proofErr w:type="gramStart"/>
      <w:r w:rsidR="008D0A36" w:rsidRPr="6DB59E88">
        <w:rPr>
          <w:rFonts w:ascii="Verdana" w:eastAsia="Arial" w:hAnsi="Verdana" w:cs="Arial"/>
          <w:color w:val="000000" w:themeColor="text1"/>
          <w:lang w:val="es-ES" w:eastAsia="es-ES"/>
        </w:rPr>
        <w:t>del mismo</w:t>
      </w:r>
      <w:proofErr w:type="gramEnd"/>
      <w:r w:rsidR="008D0A36" w:rsidRPr="6DB59E88">
        <w:rPr>
          <w:rFonts w:ascii="Verdana" w:eastAsia="Arial" w:hAnsi="Verdana" w:cs="Arial"/>
          <w:color w:val="000000" w:themeColor="text1"/>
          <w:lang w:val="es-ES" w:eastAsia="es-ES"/>
        </w:rPr>
        <w:t>:</w:t>
      </w:r>
    </w:p>
    <w:p w14:paraId="2FC29A14" w14:textId="77777777" w:rsidR="008D0A36" w:rsidRPr="00A068FC" w:rsidRDefault="008D0A36" w:rsidP="008D0A36">
      <w:pPr>
        <w:widowControl w:val="0"/>
        <w:autoSpaceDE w:val="0"/>
        <w:autoSpaceDN w:val="0"/>
        <w:spacing w:after="0" w:line="276" w:lineRule="auto"/>
        <w:ind w:firstLine="607"/>
        <w:jc w:val="both"/>
        <w:rPr>
          <w:rFonts w:ascii="Verdana" w:eastAsia="Arial" w:hAnsi="Verdana" w:cs="Arial"/>
          <w:color w:val="000000" w:themeColor="text1"/>
          <w:lang w:val="es-ES_tradnl" w:eastAsia="es-ES_tradnl"/>
        </w:rPr>
      </w:pPr>
    </w:p>
    <w:p w14:paraId="579DCBC7" w14:textId="77777777" w:rsidR="008D0A36" w:rsidRPr="00A068FC" w:rsidRDefault="008D0A36" w:rsidP="008D0A36">
      <w:pPr>
        <w:widowControl w:val="0"/>
        <w:autoSpaceDE w:val="0"/>
        <w:autoSpaceDN w:val="0"/>
        <w:spacing w:after="0" w:line="240" w:lineRule="auto"/>
        <w:ind w:left="709" w:right="709"/>
        <w:jc w:val="both"/>
        <w:rPr>
          <w:rFonts w:ascii="Verdana" w:eastAsia="Arial" w:hAnsi="Verdana" w:cs="Arial"/>
          <w:color w:val="000000" w:themeColor="text1"/>
          <w:sz w:val="20"/>
          <w:szCs w:val="20"/>
          <w:lang w:val="es-ES_tradnl" w:eastAsia="es-ES_tradnl"/>
        </w:rPr>
      </w:pPr>
      <w:r w:rsidRPr="00A068FC">
        <w:rPr>
          <w:rFonts w:ascii="Verdana" w:eastAsia="Arial" w:hAnsi="Verdana" w:cs="Arial"/>
          <w:color w:val="000000" w:themeColor="text1"/>
          <w:sz w:val="20"/>
          <w:szCs w:val="20"/>
          <w:lang w:val="es-ES_tradnl" w:eastAsia="es-ES_tradnl"/>
        </w:rPr>
        <w:t>“[L]a Jurisprudencia de esta Corporación ha señalado que la naturaleza del contrato no depende de su régimen jurídico, por tanto, al adoptar un criterio orgánico, se ha expuesto que serán considerados contratos estatales aquellos que celebren las entidades de igual naturaleza. En este sentido se ha pronunciado esta Sala: “De este modo, son contratos estatales ‘todos los contratos que celebren las entidades públicas del Estado, ya sea que se regulen por el Estatuto General de Contratación Administrativa o que estén sujetos a regímenes especiales’”.</w:t>
      </w:r>
      <w:r w:rsidRPr="00A068FC">
        <w:rPr>
          <w:rFonts w:ascii="Verdana" w:eastAsia="Arial" w:hAnsi="Verdana" w:cs="Arial"/>
          <w:color w:val="000000" w:themeColor="text1"/>
          <w:sz w:val="20"/>
          <w:szCs w:val="20"/>
          <w:vertAlign w:val="superscript"/>
          <w:lang w:val="es-ES_tradnl" w:eastAsia="es-ES_tradnl"/>
        </w:rPr>
        <w:footnoteReference w:id="8"/>
      </w:r>
    </w:p>
    <w:p w14:paraId="5B9F7B51" w14:textId="77777777" w:rsidR="008D0A36" w:rsidRPr="00A068FC" w:rsidRDefault="008D0A36" w:rsidP="008D0A36">
      <w:pPr>
        <w:widowControl w:val="0"/>
        <w:autoSpaceDE w:val="0"/>
        <w:autoSpaceDN w:val="0"/>
        <w:spacing w:after="0" w:line="276" w:lineRule="auto"/>
        <w:ind w:firstLine="608"/>
        <w:jc w:val="both"/>
        <w:rPr>
          <w:rFonts w:ascii="Verdana" w:eastAsia="Arial" w:hAnsi="Verdana" w:cs="Arial"/>
          <w:color w:val="000000" w:themeColor="text1"/>
          <w:lang w:val="es-ES_tradnl" w:eastAsia="es-ES_tradnl"/>
        </w:rPr>
      </w:pPr>
      <w:r w:rsidRPr="00A068FC">
        <w:rPr>
          <w:rFonts w:ascii="Verdana" w:eastAsia="Arial" w:hAnsi="Verdana" w:cs="Arial"/>
          <w:color w:val="000000" w:themeColor="text1"/>
          <w:lang w:val="es-ES_tradnl" w:eastAsia="es-ES_tradnl"/>
        </w:rPr>
        <w:lastRenderedPageBreak/>
        <w:t xml:space="preserve"> </w:t>
      </w:r>
    </w:p>
    <w:p w14:paraId="104AAD18" w14:textId="77777777" w:rsidR="008D0A36" w:rsidRPr="00A068FC" w:rsidRDefault="008D0A36" w:rsidP="008D0A36">
      <w:pPr>
        <w:spacing w:after="120" w:line="276" w:lineRule="auto"/>
        <w:ind w:firstLine="709"/>
        <w:jc w:val="both"/>
        <w:rPr>
          <w:rFonts w:ascii="Verdana" w:eastAsia="Calibri" w:hAnsi="Verdana" w:cs="Arial"/>
          <w:lang w:eastAsia="es-ES_tradnl"/>
        </w:rPr>
      </w:pPr>
      <w:bookmarkStart w:id="8" w:name="_Hlk121750642"/>
      <w:r w:rsidRPr="00A068FC">
        <w:rPr>
          <w:rFonts w:ascii="Verdana" w:eastAsia="Times New Roman" w:hAnsi="Verdana" w:cs="Arial"/>
          <w:color w:val="000000" w:themeColor="text1"/>
          <w:lang w:eastAsia="es-ES_tradnl"/>
        </w:rPr>
        <w:t xml:space="preserve">Ahora bien, teniendo en cuenta el objeto de su consulta, es preciso mencionar que las </w:t>
      </w:r>
      <w:r w:rsidRPr="00A068FC">
        <w:rPr>
          <w:rFonts w:ascii="Verdana" w:eastAsia="Calibri" w:hAnsi="Verdana" w:cs="Arial"/>
          <w:lang w:eastAsia="es-ES_tradnl"/>
        </w:rPr>
        <w:t xml:space="preserve">Entidades Estatales regidas por el EGCAP están habilitadas para celebrar los contratos que suelen celebrar los particulares entre sí – como el de concesión de espacios– en ejercicio de la autonomía de la voluntad privada. En ese sentido, puede ocurrir que dentro de la gestión ordinaria de sus competencias las entidades tengan necesidades que deban ser satisfechas a través de contratos como el arrendamiento, comodato o administración, en los que además de las disposiciones del EGCAP deberán aplicarse en su mayoría normas de derecho privado, lo que de ninguna manera desvirtúa la calidad de estatal de dichos contratos. </w:t>
      </w:r>
    </w:p>
    <w:bookmarkEnd w:id="8"/>
    <w:p w14:paraId="1BDF1CF4" w14:textId="77777777" w:rsidR="008D0A36" w:rsidRPr="00A068FC" w:rsidRDefault="008D0A36" w:rsidP="008D0A36">
      <w:pPr>
        <w:spacing w:after="120" w:line="276" w:lineRule="auto"/>
        <w:ind w:firstLine="709"/>
        <w:jc w:val="both"/>
        <w:rPr>
          <w:rFonts w:ascii="Verdana" w:eastAsia="Calibri" w:hAnsi="Verdana" w:cs="Arial"/>
          <w:lang w:eastAsia="es-ES_tradnl"/>
        </w:rPr>
      </w:pPr>
      <w:r w:rsidRPr="00A068FC">
        <w:rPr>
          <w:rFonts w:ascii="Verdana" w:eastAsia="Calibri" w:hAnsi="Verdana" w:cs="Arial"/>
          <w:lang w:eastAsia="es-ES_tradnl"/>
        </w:rPr>
        <w:t xml:space="preserve">Dicha calidad de contrato estatal tampoco depende de que la relación contractual implique o no la erogación de recursos públicos, ya que, se reitera, ello obedece a un criterio eminentemente orgánico. De acuerdo con esto, independientemente de que las Entidades Estatales realicen o no desembolsos de dinero a título de contraprestación, los contratos estatales, en tanto son celebrados para satisfacer necesidades de las Entidades Estatales, las cuales están asociadas al cumplimiento de sus funciones administrativas y cometidos misionales, involucran un interés público. </w:t>
      </w:r>
    </w:p>
    <w:p w14:paraId="59668F0F" w14:textId="77777777" w:rsidR="008D0A36" w:rsidRPr="00A068FC" w:rsidRDefault="008D0A36" w:rsidP="008D0A36">
      <w:pPr>
        <w:widowControl w:val="0"/>
        <w:autoSpaceDE w:val="0"/>
        <w:autoSpaceDN w:val="0"/>
        <w:spacing w:after="120" w:line="276" w:lineRule="auto"/>
        <w:ind w:firstLine="709"/>
        <w:jc w:val="both"/>
        <w:rPr>
          <w:rFonts w:ascii="Verdana" w:eastAsia="Arial" w:hAnsi="Verdana" w:cs="Arial"/>
          <w:color w:val="000000"/>
          <w:szCs w:val="24"/>
          <w:lang w:val="es-ES" w:eastAsia="es-ES_tradnl"/>
        </w:rPr>
      </w:pPr>
      <w:r w:rsidRPr="00A068FC">
        <w:rPr>
          <w:rFonts w:ascii="Verdana" w:eastAsia="Arial" w:hAnsi="Verdana" w:cs="Arial"/>
          <w:color w:val="000000"/>
          <w:szCs w:val="24"/>
          <w:lang w:val="es-ES" w:eastAsia="es-ES_tradnl"/>
        </w:rPr>
        <w:t>Finalmente, si bien la regla general en la contratación pública es que la entidad se presenta como el comprador de un bien o servicio, –lo que en el mercado usualmente representa la demanda–, ello no obsta para que algunas entidades asuman la posición del vendedor u oferente de bienes o el prestador de servicios. Lo importante es que ello esté relacionado con el objeto de sus funciones. En este caso también estaremos en presencia de un contrato estatal.</w:t>
      </w:r>
    </w:p>
    <w:p w14:paraId="4E8B2B28" w14:textId="733399EF" w:rsidR="008D0A36" w:rsidRDefault="00294FC7" w:rsidP="008D0A36">
      <w:pPr>
        <w:tabs>
          <w:tab w:val="left" w:pos="142"/>
          <w:tab w:val="left" w:pos="426"/>
        </w:tabs>
        <w:spacing w:after="120" w:line="276" w:lineRule="auto"/>
        <w:jc w:val="both"/>
        <w:rPr>
          <w:rFonts w:ascii="Verdana" w:hAnsi="Verdana"/>
        </w:rPr>
      </w:pPr>
      <w:r>
        <w:rPr>
          <w:rFonts w:ascii="Verdana" w:eastAsia="Arial" w:hAnsi="Verdana" w:cs="Arial"/>
          <w:color w:val="000000" w:themeColor="text1"/>
          <w:lang w:val="es-ES_tradnl" w:eastAsia="es-ES_tradnl"/>
        </w:rPr>
        <w:tab/>
      </w:r>
      <w:r>
        <w:rPr>
          <w:rFonts w:ascii="Verdana" w:eastAsia="Arial" w:hAnsi="Verdana" w:cs="Arial"/>
          <w:color w:val="000000" w:themeColor="text1"/>
          <w:lang w:val="es-ES_tradnl" w:eastAsia="es-ES_tradnl"/>
        </w:rPr>
        <w:tab/>
      </w:r>
      <w:r>
        <w:rPr>
          <w:rFonts w:ascii="Verdana" w:eastAsia="Arial" w:hAnsi="Verdana" w:cs="Arial"/>
          <w:color w:val="000000" w:themeColor="text1"/>
          <w:lang w:val="es-ES_tradnl" w:eastAsia="es-ES_tradnl"/>
        </w:rPr>
        <w:tab/>
      </w:r>
      <w:r w:rsidR="008D0A36" w:rsidRPr="00A068FC">
        <w:rPr>
          <w:rFonts w:ascii="Verdana" w:eastAsia="Arial" w:hAnsi="Verdana" w:cs="Arial"/>
          <w:color w:val="000000" w:themeColor="text1"/>
          <w:lang w:val="es-ES_tradnl" w:eastAsia="es-ES_tradnl"/>
        </w:rPr>
        <w:t>En atención a lo expuesto, se concluye que, el contrato estatal, sea sujeto al ámbito del EGCAP o por fuera de él, es un acuerdo de voluntades celebrado por una Entidad Estatal con un particular u otra entidad que genera, extingue o modifica obligaciones para quienes lo</w:t>
      </w:r>
      <w:r w:rsidR="008D0A36" w:rsidRPr="00A068FC">
        <w:rPr>
          <w:rFonts w:ascii="Verdana" w:eastAsia="Arial" w:hAnsi="Verdana" w:cs="Arial"/>
          <w:color w:val="000000" w:themeColor="text1"/>
          <w:spacing w:val="-5"/>
          <w:lang w:val="es-ES_tradnl" w:eastAsia="es-ES_tradnl"/>
        </w:rPr>
        <w:t xml:space="preserve"> </w:t>
      </w:r>
      <w:r w:rsidR="008D0A36" w:rsidRPr="00A068FC">
        <w:rPr>
          <w:rFonts w:ascii="Verdana" w:eastAsia="Arial" w:hAnsi="Verdana" w:cs="Arial"/>
          <w:color w:val="000000" w:themeColor="text1"/>
          <w:lang w:val="es-ES_tradnl" w:eastAsia="es-ES_tradnl"/>
        </w:rPr>
        <w:t xml:space="preserve">suscriben, regida por un derecho mixto, en los </w:t>
      </w:r>
      <w:r w:rsidR="008D0A36" w:rsidRPr="00FA1F58">
        <w:rPr>
          <w:rFonts w:ascii="Verdana" w:hAnsi="Verdana"/>
        </w:rPr>
        <w:t xml:space="preserve">términos explicados. </w:t>
      </w:r>
    </w:p>
    <w:p w14:paraId="4C038F46" w14:textId="7ED8C290" w:rsidR="008D0A36" w:rsidRDefault="008D0A36" w:rsidP="008D0A36">
      <w:pPr>
        <w:tabs>
          <w:tab w:val="left" w:pos="142"/>
          <w:tab w:val="left" w:pos="426"/>
        </w:tabs>
        <w:spacing w:after="120" w:line="276" w:lineRule="auto"/>
        <w:jc w:val="both"/>
        <w:rPr>
          <w:rFonts w:ascii="Verdana" w:hAnsi="Verdana"/>
        </w:rPr>
      </w:pPr>
      <w:r>
        <w:rPr>
          <w:rFonts w:ascii="Verdana" w:hAnsi="Verdana"/>
        </w:rPr>
        <w:tab/>
      </w:r>
      <w:r>
        <w:rPr>
          <w:rFonts w:ascii="Verdana" w:hAnsi="Verdana"/>
        </w:rPr>
        <w:tab/>
      </w:r>
      <w:r>
        <w:rPr>
          <w:rFonts w:ascii="Verdana" w:hAnsi="Verdana"/>
        </w:rPr>
        <w:tab/>
      </w:r>
      <w:r w:rsidR="00333786">
        <w:rPr>
          <w:rFonts w:ascii="Verdana" w:hAnsi="Verdana"/>
        </w:rPr>
        <w:t>En atención a</w:t>
      </w:r>
      <w:r>
        <w:rPr>
          <w:rFonts w:ascii="Verdana" w:hAnsi="Verdana"/>
        </w:rPr>
        <w:t>l contenido de su consulta</w:t>
      </w:r>
      <w:r w:rsidRPr="00A068FC">
        <w:rPr>
          <w:rFonts w:ascii="Verdana" w:hAnsi="Verdana"/>
        </w:rPr>
        <w:t xml:space="preserve">, resulta importante mencionar que los contratos estatales – al igual que los que se celebran en el derecho </w:t>
      </w:r>
      <w:r w:rsidRPr="00A068FC">
        <w:rPr>
          <w:rFonts w:ascii="Verdana" w:hAnsi="Verdana"/>
        </w:rPr>
        <w:lastRenderedPageBreak/>
        <w:t>privado – pueden clasificarse en contratos típicos y contratos atípicos. Los contratos atípicos se caracterizan por ser contratos en los cuales su causa o función socioeconómica no corresponde a ninguna de los contratos tipificados por la ley</w:t>
      </w:r>
      <w:r w:rsidRPr="00FA1F58">
        <w:rPr>
          <w:vertAlign w:val="superscript"/>
        </w:rPr>
        <w:footnoteReference w:id="9"/>
      </w:r>
      <w:r w:rsidRPr="00FA1F58">
        <w:rPr>
          <w:rFonts w:ascii="Verdana" w:hAnsi="Verdana"/>
          <w:vertAlign w:val="superscript"/>
        </w:rPr>
        <w:t>.</w:t>
      </w:r>
    </w:p>
    <w:p w14:paraId="3F9C3FEE" w14:textId="77777777" w:rsidR="008D0A36" w:rsidRPr="00A068FC" w:rsidRDefault="008D0A36" w:rsidP="008D0A36">
      <w:pPr>
        <w:tabs>
          <w:tab w:val="left" w:pos="142"/>
          <w:tab w:val="left" w:pos="426"/>
        </w:tabs>
        <w:spacing w:after="120" w:line="276" w:lineRule="auto"/>
        <w:jc w:val="both"/>
        <w:rPr>
          <w:rFonts w:ascii="Verdana" w:hAnsi="Verdana"/>
        </w:rPr>
      </w:pPr>
      <w:r>
        <w:rPr>
          <w:rFonts w:ascii="Verdana" w:hAnsi="Verdana"/>
        </w:rPr>
        <w:tab/>
      </w:r>
      <w:r>
        <w:rPr>
          <w:rFonts w:ascii="Verdana" w:hAnsi="Verdana"/>
        </w:rPr>
        <w:tab/>
      </w:r>
      <w:r>
        <w:rPr>
          <w:rFonts w:ascii="Verdana" w:hAnsi="Verdana"/>
        </w:rPr>
        <w:tab/>
      </w:r>
      <w:r w:rsidRPr="00A068FC">
        <w:rPr>
          <w:rFonts w:ascii="Verdana" w:hAnsi="Verdana"/>
        </w:rPr>
        <w:t>Tanto la jurisprudencia como la doctrina de derecho administrativo aceptan la presencia de contratos administrativos atípicos. En efecto, el Consejo de Estado, ha señalado que</w:t>
      </w:r>
      <w:r>
        <w:rPr>
          <w:rFonts w:ascii="Verdana" w:hAnsi="Verdana"/>
        </w:rPr>
        <w:t xml:space="preserve">: </w:t>
      </w:r>
      <w:r w:rsidRPr="00A068FC">
        <w:rPr>
          <w:rFonts w:ascii="Verdana" w:hAnsi="Verdana"/>
        </w:rPr>
        <w:t>“Como tampoco corresponde el negocio jurídico celebrado por las partes a ninguno otro de los tipificados en el Decreto Ley 222 de 1983, no obstante, lo cual, subsiste su naturaleza vinculante como acuerdo de voluntades creador de obligaciones a cargo de los cocontratantes y regido por las cláusulas pactadas por éstos”</w:t>
      </w:r>
      <w:r w:rsidRPr="00A068FC">
        <w:rPr>
          <w:rStyle w:val="Refdenotaalpie"/>
          <w:rFonts w:ascii="Verdana" w:hAnsi="Verdana"/>
        </w:rPr>
        <w:footnoteReference w:id="10"/>
      </w:r>
      <w:r w:rsidRPr="00A068FC">
        <w:rPr>
          <w:rFonts w:ascii="Verdana" w:hAnsi="Verdana"/>
        </w:rPr>
        <w:t>.</w:t>
      </w:r>
    </w:p>
    <w:p w14:paraId="684D5C95" w14:textId="77777777" w:rsidR="008D0A36" w:rsidRDefault="008D0A36" w:rsidP="008D0A36">
      <w:pPr>
        <w:tabs>
          <w:tab w:val="left" w:pos="142"/>
          <w:tab w:val="left" w:pos="426"/>
        </w:tabs>
        <w:spacing w:after="120" w:line="276" w:lineRule="auto"/>
        <w:jc w:val="both"/>
        <w:rPr>
          <w:rFonts w:ascii="Verdana" w:hAnsi="Verdana"/>
        </w:rPr>
      </w:pPr>
      <w:r w:rsidRPr="00A068FC">
        <w:rPr>
          <w:rFonts w:ascii="Verdana" w:hAnsi="Verdana"/>
        </w:rPr>
        <w:tab/>
      </w:r>
      <w:r w:rsidRPr="00A068FC">
        <w:rPr>
          <w:rFonts w:ascii="Verdana" w:hAnsi="Verdana"/>
        </w:rPr>
        <w:tab/>
      </w:r>
      <w:r w:rsidRPr="00A068FC">
        <w:rPr>
          <w:rFonts w:ascii="Verdana" w:hAnsi="Verdana"/>
        </w:rPr>
        <w:tab/>
        <w:t xml:space="preserve">Tratándose de contratos atípicos estatales y </w:t>
      </w:r>
      <w:r>
        <w:rPr>
          <w:rFonts w:ascii="Verdana" w:hAnsi="Verdana"/>
        </w:rPr>
        <w:t>su</w:t>
      </w:r>
      <w:r w:rsidRPr="00A068FC">
        <w:rPr>
          <w:rFonts w:ascii="Verdana" w:hAnsi="Verdana"/>
        </w:rPr>
        <w:t xml:space="preserve"> contenido el mismo, estos son admisibles en nuestro ordenamiento jurídico, siempre y cuando esté dentro del orden público, que no tenga </w:t>
      </w:r>
      <w:proofErr w:type="gramStart"/>
      <w:r w:rsidRPr="00A068FC">
        <w:rPr>
          <w:rFonts w:ascii="Verdana" w:hAnsi="Verdana"/>
        </w:rPr>
        <w:t>objeto ilícito o causa ilícita</w:t>
      </w:r>
      <w:proofErr w:type="gramEnd"/>
      <w:r w:rsidRPr="00A068FC">
        <w:rPr>
          <w:rFonts w:ascii="Verdana" w:hAnsi="Verdana"/>
        </w:rPr>
        <w:t>, que no estén presentes vicios del consentimiento y que</w:t>
      </w:r>
      <w:r>
        <w:rPr>
          <w:rFonts w:ascii="Verdana" w:hAnsi="Verdana"/>
        </w:rPr>
        <w:t>,</w:t>
      </w:r>
      <w:r w:rsidRPr="00A068FC">
        <w:rPr>
          <w:rFonts w:ascii="Verdana" w:hAnsi="Verdana"/>
        </w:rPr>
        <w:t xml:space="preserve"> en aquellos casos que se exigen formalidades</w:t>
      </w:r>
      <w:r>
        <w:rPr>
          <w:rFonts w:ascii="Verdana" w:hAnsi="Verdana"/>
        </w:rPr>
        <w:t>,</w:t>
      </w:r>
      <w:r w:rsidRPr="00A068FC">
        <w:rPr>
          <w:rFonts w:ascii="Verdana" w:hAnsi="Verdana"/>
        </w:rPr>
        <w:t xml:space="preserve"> se cumplan para el nacimiento del contrato. </w:t>
      </w:r>
      <w:r>
        <w:rPr>
          <w:rFonts w:ascii="Verdana" w:hAnsi="Verdana"/>
        </w:rPr>
        <w:t>Dado</w:t>
      </w:r>
      <w:r w:rsidRPr="00A068FC">
        <w:rPr>
          <w:rFonts w:ascii="Verdana" w:hAnsi="Verdana"/>
        </w:rPr>
        <w:t xml:space="preserve"> que se trata de contratos de la administración, además de cumplir con los anteriores requisitos el contrato debe constar por escrito. </w:t>
      </w:r>
    </w:p>
    <w:p w14:paraId="7AE5B923" w14:textId="77777777" w:rsidR="008D0A36" w:rsidRDefault="008D0A36" w:rsidP="008D0A36">
      <w:pPr>
        <w:tabs>
          <w:tab w:val="left" w:pos="142"/>
          <w:tab w:val="left" w:pos="426"/>
        </w:tabs>
        <w:spacing w:after="120" w:line="276" w:lineRule="auto"/>
        <w:jc w:val="both"/>
        <w:rPr>
          <w:rFonts w:ascii="Verdana" w:hAnsi="Verdana"/>
        </w:rPr>
      </w:pPr>
      <w:r>
        <w:rPr>
          <w:rFonts w:ascii="Verdana" w:hAnsi="Verdana"/>
        </w:rPr>
        <w:tab/>
      </w:r>
      <w:r>
        <w:rPr>
          <w:rFonts w:ascii="Verdana" w:hAnsi="Verdana"/>
        </w:rPr>
        <w:tab/>
      </w:r>
      <w:r>
        <w:rPr>
          <w:rFonts w:ascii="Verdana" w:hAnsi="Verdana"/>
        </w:rPr>
        <w:tab/>
        <w:t>Conforme lo expuesto y r</w:t>
      </w:r>
      <w:r w:rsidRPr="00A068FC">
        <w:rPr>
          <w:rFonts w:ascii="Verdana" w:hAnsi="Verdana"/>
        </w:rPr>
        <w:t>espondiendo a sus consultas,</w:t>
      </w:r>
      <w:r>
        <w:rPr>
          <w:rFonts w:ascii="Verdana" w:hAnsi="Verdana"/>
        </w:rPr>
        <w:t xml:space="preserve"> esta Agencia considera que</w:t>
      </w:r>
      <w:r w:rsidRPr="00A068FC">
        <w:rPr>
          <w:rFonts w:ascii="Verdana" w:hAnsi="Verdana"/>
        </w:rPr>
        <w:t xml:space="preserve"> la </w:t>
      </w:r>
      <w:r>
        <w:rPr>
          <w:rFonts w:ascii="Verdana" w:hAnsi="Verdana"/>
        </w:rPr>
        <w:t>L</w:t>
      </w:r>
      <w:r w:rsidRPr="00A068FC">
        <w:rPr>
          <w:rFonts w:ascii="Verdana" w:hAnsi="Verdana"/>
        </w:rPr>
        <w:t>ey 80 de 1993 facultó a las Entidades Públicas para que estas</w:t>
      </w:r>
      <w:r>
        <w:rPr>
          <w:rFonts w:ascii="Verdana" w:hAnsi="Verdana"/>
        </w:rPr>
        <w:t>,</w:t>
      </w:r>
      <w:r w:rsidRPr="00A068FC">
        <w:rPr>
          <w:rFonts w:ascii="Verdana" w:hAnsi="Verdana"/>
        </w:rPr>
        <w:t xml:space="preserve"> en aplicación de</w:t>
      </w:r>
      <w:r>
        <w:rPr>
          <w:rFonts w:ascii="Verdana" w:hAnsi="Verdana"/>
        </w:rPr>
        <w:t>l principio de autonomía explicado en el acápite anterior,</w:t>
      </w:r>
      <w:r w:rsidRPr="00A068FC">
        <w:rPr>
          <w:rFonts w:ascii="Verdana" w:hAnsi="Verdana"/>
        </w:rPr>
        <w:t xml:space="preserve"> sean quienes determinen el tipo de contrato que mejor se ajuste al interés general e incluyan en sus contratos las cláusulas necesarias para dicho fin.</w:t>
      </w:r>
    </w:p>
    <w:p w14:paraId="59FC5AF7" w14:textId="77C4BC3E" w:rsidR="008D0A36" w:rsidRPr="00A068FC" w:rsidRDefault="008D0A36" w:rsidP="008D0A36">
      <w:pPr>
        <w:tabs>
          <w:tab w:val="left" w:pos="142"/>
          <w:tab w:val="left" w:pos="426"/>
        </w:tabs>
        <w:spacing w:after="0" w:line="276" w:lineRule="auto"/>
        <w:contextualSpacing/>
        <w:jc w:val="both"/>
        <w:rPr>
          <w:rFonts w:ascii="Verdana" w:hAnsi="Verdana"/>
        </w:rPr>
      </w:pPr>
      <w:r w:rsidRPr="00A068FC">
        <w:rPr>
          <w:rFonts w:ascii="Verdana" w:hAnsi="Verdana"/>
        </w:rPr>
        <w:tab/>
      </w:r>
      <w:r w:rsidRPr="00A068FC">
        <w:rPr>
          <w:rFonts w:ascii="Verdana" w:hAnsi="Verdana"/>
        </w:rPr>
        <w:tab/>
      </w:r>
      <w:r w:rsidRPr="00A068FC">
        <w:rPr>
          <w:rFonts w:ascii="Verdana" w:hAnsi="Verdana"/>
        </w:rPr>
        <w:tab/>
      </w:r>
      <w:r w:rsidR="00E625D1">
        <w:rPr>
          <w:rFonts w:ascii="Verdana" w:hAnsi="Verdana"/>
        </w:rPr>
        <w:t>S</w:t>
      </w:r>
      <w:r>
        <w:rPr>
          <w:rFonts w:ascii="Verdana" w:hAnsi="Verdana"/>
        </w:rPr>
        <w:t xml:space="preserve">obre los elementos que componen los contratos atípicos como el contrato de concesión de espacios, es imperioso decir que, </w:t>
      </w:r>
      <w:r w:rsidRPr="00A068FC">
        <w:rPr>
          <w:rFonts w:ascii="Verdana" w:hAnsi="Verdana"/>
        </w:rPr>
        <w:t>las partes son las que dotan al contrato de aquellos elementos esenciales que confluyen bien sea de tomar elementos propios de otras figuras o de elementos originales para crear una relación jurídica propia que difiere de las demás. Al respecto, el Consejo de Estado ha manifestado:</w:t>
      </w:r>
    </w:p>
    <w:p w14:paraId="413A9B42" w14:textId="77777777" w:rsidR="008D0A36" w:rsidRPr="005F0A4B" w:rsidRDefault="008D0A36" w:rsidP="008D0A36">
      <w:pPr>
        <w:tabs>
          <w:tab w:val="left" w:pos="142"/>
          <w:tab w:val="left" w:pos="426"/>
        </w:tabs>
        <w:spacing w:after="0" w:line="276" w:lineRule="auto"/>
        <w:contextualSpacing/>
        <w:jc w:val="both"/>
        <w:rPr>
          <w:rFonts w:ascii="Verdana" w:hAnsi="Verdana"/>
        </w:rPr>
      </w:pPr>
    </w:p>
    <w:p w14:paraId="0063118A" w14:textId="77777777" w:rsidR="008D0A36" w:rsidRPr="005F0A4B" w:rsidRDefault="008D0A36" w:rsidP="008D0A36">
      <w:pPr>
        <w:tabs>
          <w:tab w:val="left" w:pos="142"/>
          <w:tab w:val="left" w:pos="426"/>
        </w:tabs>
        <w:spacing w:after="0" w:line="240" w:lineRule="auto"/>
        <w:ind w:left="709" w:right="709"/>
        <w:contextualSpacing/>
        <w:jc w:val="both"/>
        <w:rPr>
          <w:rFonts w:ascii="Verdana" w:eastAsia="Calibri" w:hAnsi="Verdana" w:cs="Arial"/>
          <w:b/>
          <w:sz w:val="20"/>
          <w:szCs w:val="20"/>
          <w:lang w:val="es-ES"/>
        </w:rPr>
      </w:pPr>
      <w:r w:rsidRPr="005F0A4B">
        <w:rPr>
          <w:rFonts w:ascii="Verdana" w:hAnsi="Verdana"/>
          <w:sz w:val="20"/>
          <w:szCs w:val="20"/>
        </w:rPr>
        <w:t xml:space="preserve">“Así las cosas, puede decirse que lo esencial en un acuerdo de voluntades, es aquello sin lo cual ese acuerdo deja de serlo para mutar en otro </w:t>
      </w:r>
      <w:r w:rsidRPr="005F0A4B">
        <w:rPr>
          <w:rFonts w:ascii="Verdana" w:hAnsi="Verdana"/>
          <w:sz w:val="20"/>
          <w:szCs w:val="20"/>
        </w:rPr>
        <w:lastRenderedPageBreak/>
        <w:t>diferente o simplemente para extinguirse. En otras palabras, si llegaren a desaparecer elementos esenciales durante la ejecución de un contrato, la consecuencia lógica sería su terminación, o la necesidad de suscribir otro que regule la nueva situación fáctica que se presenta, precisamente por el desaparecimiento del elemento esencial que determinaba la existencia del contrato anterior”.</w:t>
      </w:r>
      <w:r w:rsidRPr="005F0A4B">
        <w:rPr>
          <w:rStyle w:val="Refdenotaalpie"/>
          <w:rFonts w:ascii="Verdana" w:hAnsi="Verdana"/>
          <w:sz w:val="20"/>
          <w:szCs w:val="20"/>
        </w:rPr>
        <w:footnoteReference w:id="11"/>
      </w:r>
    </w:p>
    <w:p w14:paraId="73A49772" w14:textId="77777777" w:rsidR="008D0A36" w:rsidRPr="00A068FC" w:rsidRDefault="008D0A36" w:rsidP="008D0A36">
      <w:pPr>
        <w:tabs>
          <w:tab w:val="left" w:pos="142"/>
          <w:tab w:val="left" w:pos="426"/>
        </w:tabs>
        <w:spacing w:after="0" w:line="276" w:lineRule="auto"/>
        <w:jc w:val="both"/>
        <w:rPr>
          <w:rFonts w:ascii="Verdana" w:hAnsi="Verdana"/>
        </w:rPr>
      </w:pPr>
    </w:p>
    <w:p w14:paraId="0C52F917" w14:textId="77777777" w:rsidR="008D0A36" w:rsidRPr="004B7010" w:rsidRDefault="008D0A36" w:rsidP="000E0778">
      <w:pPr>
        <w:tabs>
          <w:tab w:val="left" w:pos="142"/>
          <w:tab w:val="left" w:pos="426"/>
        </w:tabs>
        <w:spacing w:after="120" w:line="276" w:lineRule="auto"/>
        <w:jc w:val="both"/>
        <w:rPr>
          <w:rFonts w:ascii="Verdana" w:eastAsia="Calibri" w:hAnsi="Verdana" w:cs="Arial"/>
          <w:b/>
          <w:lang w:val="es-ES"/>
        </w:rPr>
      </w:pPr>
      <w:r w:rsidRPr="004B7010">
        <w:rPr>
          <w:rFonts w:ascii="Verdana" w:hAnsi="Verdana"/>
        </w:rPr>
        <w:tab/>
      </w:r>
      <w:r w:rsidRPr="004B7010">
        <w:rPr>
          <w:rFonts w:ascii="Verdana" w:hAnsi="Verdana"/>
        </w:rPr>
        <w:tab/>
      </w:r>
      <w:r w:rsidRPr="004B7010">
        <w:rPr>
          <w:rFonts w:ascii="Verdana" w:hAnsi="Verdana"/>
        </w:rPr>
        <w:tab/>
        <w:t xml:space="preserve">Conforme lo expuesto, a juicio de la Agencia, si bien las partes pueden acordar aquellos elementos </w:t>
      </w:r>
      <w:r>
        <w:rPr>
          <w:rFonts w:ascii="Verdana" w:hAnsi="Verdana"/>
        </w:rPr>
        <w:t xml:space="preserve">que </w:t>
      </w:r>
      <w:r w:rsidRPr="004B7010">
        <w:rPr>
          <w:rFonts w:ascii="Verdana" w:hAnsi="Verdana"/>
        </w:rPr>
        <w:t xml:space="preserve">integran el contrato atípico, de acuerdo con la autonomía de la voluntad reconocida en el ordenamiento jurídico, es importante tener en cuenta los siguientes aspectos:  i) La observancia de las normas imperativas contenidas en el EGCAP, como son las reglas de formación, celebración y contenido obligatorio de los contratos estatales; </w:t>
      </w:r>
      <w:proofErr w:type="spellStart"/>
      <w:r w:rsidRPr="004B7010">
        <w:rPr>
          <w:rFonts w:ascii="Verdana" w:hAnsi="Verdana"/>
        </w:rPr>
        <w:t>ii</w:t>
      </w:r>
      <w:proofErr w:type="spellEnd"/>
      <w:r w:rsidRPr="004B7010">
        <w:rPr>
          <w:rFonts w:ascii="Verdana" w:hAnsi="Verdana"/>
        </w:rPr>
        <w:t xml:space="preserve">) los límites impuestos por el orden público; </w:t>
      </w:r>
      <w:proofErr w:type="spellStart"/>
      <w:r w:rsidRPr="004B7010">
        <w:rPr>
          <w:rFonts w:ascii="Verdana" w:hAnsi="Verdana"/>
        </w:rPr>
        <w:t>iii</w:t>
      </w:r>
      <w:proofErr w:type="spellEnd"/>
      <w:r w:rsidRPr="004B7010">
        <w:rPr>
          <w:rFonts w:ascii="Verdana" w:hAnsi="Verdana"/>
        </w:rPr>
        <w:t xml:space="preserve">) en aquellos casos en los que se encuentren vacíos en el contrato o se requiera interpretar aspectos de aquel se deberá tener en cuenta que el EGCAP opera de forma supletiva frente al silencio de las partes; </w:t>
      </w:r>
      <w:proofErr w:type="spellStart"/>
      <w:r w:rsidRPr="004B7010">
        <w:rPr>
          <w:rFonts w:ascii="Verdana" w:hAnsi="Verdana"/>
        </w:rPr>
        <w:t>iv</w:t>
      </w:r>
      <w:proofErr w:type="spellEnd"/>
      <w:r w:rsidRPr="004B7010">
        <w:rPr>
          <w:rFonts w:ascii="Verdana" w:hAnsi="Verdana"/>
        </w:rPr>
        <w:t>) las normas generales sobre contratos contenidas en las normas de derecho privado de conformidad con el artículo 13 de la Ley 80 de 1993 y v) la aplicación de los principios generales de derecho y de la administración pública en especial</w:t>
      </w:r>
      <w:r>
        <w:rPr>
          <w:rFonts w:ascii="Verdana" w:hAnsi="Verdana"/>
        </w:rPr>
        <w:t>.</w:t>
      </w:r>
    </w:p>
    <w:p w14:paraId="662A8ED7" w14:textId="77777777" w:rsidR="008D0A36" w:rsidRPr="000C2D90" w:rsidRDefault="008D0A36" w:rsidP="000E0778">
      <w:pPr>
        <w:spacing w:after="120" w:line="276" w:lineRule="auto"/>
        <w:ind w:firstLine="709"/>
        <w:jc w:val="both"/>
        <w:rPr>
          <w:rFonts w:ascii="Verdana" w:eastAsia="Times New Roman" w:hAnsi="Verdana" w:cs="Times New Roman"/>
          <w:lang w:eastAsia="es-ES_tradnl"/>
        </w:rPr>
      </w:pPr>
      <w:r>
        <w:rPr>
          <w:rFonts w:ascii="Verdana" w:eastAsia="Times New Roman" w:hAnsi="Verdana" w:cs="Arial"/>
          <w:lang w:eastAsia="es-MX"/>
        </w:rPr>
        <w:t xml:space="preserve">En este mismo sentido, </w:t>
      </w:r>
      <w:r w:rsidRPr="000C2D90">
        <w:rPr>
          <w:rFonts w:ascii="Verdana" w:eastAsia="Times New Roman" w:hAnsi="Verdana" w:cs="Arial"/>
          <w:lang w:eastAsia="es-MX"/>
        </w:rPr>
        <w:t xml:space="preserve">es importante mencionar que, de acuerdo con </w:t>
      </w:r>
      <w:r w:rsidRPr="000C2D90">
        <w:rPr>
          <w:rFonts w:ascii="Verdana" w:eastAsia="Times New Roman" w:hAnsi="Verdana" w:cs="Arial"/>
          <w:bCs/>
          <w:color w:val="000000" w:themeColor="text1"/>
          <w:lang w:val="es-ES" w:eastAsia="es-ES_tradnl"/>
        </w:rPr>
        <w:t>la Sección Tercera del Consejo de Estado</w:t>
      </w:r>
      <w:r w:rsidRPr="000C2D90">
        <w:rPr>
          <w:rFonts w:ascii="Verdana" w:eastAsia="Times New Roman" w:hAnsi="Verdana" w:cs="Arial"/>
          <w:lang w:eastAsia="es-MX"/>
        </w:rPr>
        <w:t xml:space="preserve"> </w:t>
      </w:r>
      <w:r w:rsidRPr="000C2D90">
        <w:rPr>
          <w:rFonts w:ascii="Verdana" w:eastAsia="Times New Roman" w:hAnsi="Verdana" w:cs="Arial"/>
          <w:bCs/>
          <w:color w:val="000000" w:themeColor="text1"/>
          <w:lang w:val="es-ES" w:eastAsia="es-ES_tradnl"/>
        </w:rPr>
        <w:t>si el arrendamiento recae sobre bienes públicos los bienes que pueden ser susceptibles de arrendamiento son únicamente los bienes fiscales, no los bienes de uso público</w:t>
      </w:r>
      <w:r w:rsidRPr="000C2D90">
        <w:rPr>
          <w:rFonts w:ascii="Verdana" w:eastAsia="Times New Roman" w:hAnsi="Verdana" w:cs="Arial"/>
          <w:vertAlign w:val="superscript"/>
          <w:lang w:eastAsia="es-ES_tradnl"/>
        </w:rPr>
        <w:footnoteReference w:id="12"/>
      </w:r>
      <w:r w:rsidRPr="000C2D90">
        <w:rPr>
          <w:rFonts w:ascii="Verdana" w:eastAsia="Times New Roman" w:hAnsi="Verdana" w:cs="Arial"/>
          <w:bCs/>
          <w:color w:val="000000" w:themeColor="text1"/>
          <w:lang w:val="es-ES" w:eastAsia="es-ES_tradnl"/>
        </w:rPr>
        <w:t>. Por lo anterior, es necesario adentrarnos en el estudio de los contratos relativos al aprovechamiento económico del espacio público.</w:t>
      </w:r>
    </w:p>
    <w:p w14:paraId="09B6C3BF" w14:textId="77777777" w:rsidR="008D0A36" w:rsidRPr="000C2D90" w:rsidRDefault="008D0A36" w:rsidP="008D0A36">
      <w:pPr>
        <w:tabs>
          <w:tab w:val="left" w:pos="142"/>
          <w:tab w:val="left" w:pos="426"/>
        </w:tabs>
        <w:spacing w:after="120" w:line="276" w:lineRule="auto"/>
        <w:jc w:val="both"/>
        <w:rPr>
          <w:rFonts w:ascii="Verdana" w:eastAsia="Times New Roman" w:hAnsi="Verdana" w:cs="Arial"/>
          <w:bCs/>
          <w:color w:val="000000" w:themeColor="text1"/>
          <w:lang w:val="es-ES" w:eastAsia="es-ES_tradnl"/>
        </w:rPr>
      </w:pPr>
      <w:r w:rsidRPr="000C2D90">
        <w:rPr>
          <w:rFonts w:ascii="Verdana" w:eastAsia="Times New Roman" w:hAnsi="Verdana" w:cs="Arial"/>
          <w:bCs/>
          <w:color w:val="000000" w:themeColor="text1"/>
          <w:lang w:val="es-ES" w:eastAsia="es-ES_tradnl"/>
        </w:rPr>
        <w:tab/>
      </w:r>
      <w:r w:rsidRPr="000C2D90">
        <w:rPr>
          <w:rFonts w:ascii="Verdana" w:eastAsia="Times New Roman" w:hAnsi="Verdana" w:cs="Arial"/>
          <w:bCs/>
          <w:color w:val="000000" w:themeColor="text1"/>
          <w:lang w:val="es-ES" w:eastAsia="es-ES_tradnl"/>
        </w:rPr>
        <w:tab/>
      </w:r>
      <w:r w:rsidRPr="000C2D90">
        <w:rPr>
          <w:rFonts w:ascii="Verdana" w:eastAsia="Times New Roman" w:hAnsi="Verdana" w:cs="Arial"/>
          <w:bCs/>
          <w:color w:val="000000" w:themeColor="text1"/>
          <w:lang w:val="es-ES" w:eastAsia="es-ES_tradnl"/>
        </w:rPr>
        <w:tab/>
      </w:r>
      <w:r w:rsidRPr="000C2D90">
        <w:rPr>
          <w:rFonts w:ascii="Verdana" w:eastAsia="Times New Roman" w:hAnsi="Verdana" w:cs="Times New Roman"/>
          <w:lang w:eastAsia="es-ES_tradnl"/>
        </w:rPr>
        <w:t>De acuerdo con el artículo 311 de la Constitución Política, les corresponde a los municipios “ordenar el desarrollo de su territorio” y “el mejoramiento social y cultural de sus habitantes”. En consonancia con lo anterior, el numeral 9 del artículo 313.</w:t>
      </w:r>
      <w:r w:rsidRPr="000C2D90">
        <w:rPr>
          <w:rFonts w:ascii="Verdana" w:eastAsia="Times New Roman" w:hAnsi="Verdana" w:cs="Times New Roman"/>
          <w:i/>
          <w:iCs/>
          <w:lang w:eastAsia="es-ES_tradnl"/>
        </w:rPr>
        <w:t>ibidem</w:t>
      </w:r>
      <w:r w:rsidRPr="000C2D90">
        <w:rPr>
          <w:rFonts w:ascii="Verdana" w:eastAsia="Times New Roman" w:hAnsi="Verdana" w:cs="Times New Roman"/>
          <w:lang w:eastAsia="es-ES_tradnl"/>
        </w:rPr>
        <w:t xml:space="preserve"> encomienda a los concejos municipales “[d]</w:t>
      </w:r>
      <w:proofErr w:type="spellStart"/>
      <w:r w:rsidRPr="000C2D90">
        <w:rPr>
          <w:rFonts w:ascii="Verdana" w:eastAsia="Times New Roman" w:hAnsi="Verdana" w:cs="Times New Roman"/>
          <w:lang w:eastAsia="es-ES_tradnl"/>
        </w:rPr>
        <w:t>ictar</w:t>
      </w:r>
      <w:proofErr w:type="spellEnd"/>
      <w:r w:rsidRPr="000C2D90">
        <w:rPr>
          <w:rFonts w:ascii="Verdana" w:eastAsia="Times New Roman" w:hAnsi="Verdana" w:cs="Times New Roman"/>
          <w:lang w:eastAsia="es-ES_tradnl"/>
        </w:rPr>
        <w:t xml:space="preserve"> las normas necesarias para el control, la preservación y defensa del patrimonio ecológico y cultural del municipio”.</w:t>
      </w:r>
    </w:p>
    <w:p w14:paraId="4380309B"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lastRenderedPageBreak/>
        <w:t>Teniendo en cuenta las facultades que le otorga la a los entes locales, los artículos 5 y 6 de la Ley 388 de 1997</w:t>
      </w:r>
      <w:r w:rsidRPr="000C2D90">
        <w:rPr>
          <w:rStyle w:val="Refdenotaalpie"/>
          <w:rFonts w:ascii="Verdana" w:eastAsia="Times New Roman" w:hAnsi="Verdana" w:cs="Times New Roman"/>
          <w:lang w:eastAsia="es-ES_tradnl"/>
        </w:rPr>
        <w:footnoteReference w:id="13"/>
      </w:r>
      <w:r w:rsidRPr="000C2D90">
        <w:rPr>
          <w:rFonts w:ascii="Verdana" w:eastAsia="Times New Roman" w:hAnsi="Verdana" w:cs="Times New Roman"/>
          <w:lang w:eastAsia="es-ES_tradnl"/>
        </w:rPr>
        <w:t xml:space="preserve"> habilitan a las autoridades municipales y distritales a regular la ocupación del espacio público cuando, por ejemplo, delimitan el ordenamiento territorial como una función pública concebida para “disponer de instrumentos eficientes para orientar el desarrollo del territorio bajo su jurisdicción y regular la utilización, transformación y ocupación del espacio…” y para la “…definición de las estrategias territoriales de uso, ocupación y manejo del suelo, en función de los objetivos económicos, sociales, urbanísticos y ambientales”. </w:t>
      </w:r>
    </w:p>
    <w:p w14:paraId="27D58952"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t xml:space="preserve">De lo expuesto se concluye que, el diseño del espacio público y la determinación de su uso corresponden a las autoridades municipales. No en vano el artículo 7º del Decreto 1504 de 1998 lo cataloga como “el elemento articulador y estructurante fundamental del espacio en la ciudad, así como el regulador de las condiciones ambientales de la misma, y por lo tanto se constituye en uno de los principales elementos estructurales de los Planes de Ordenamiento Territorial”. </w:t>
      </w:r>
    </w:p>
    <w:p w14:paraId="4601CE8E"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t xml:space="preserve">Es claro entonces que las principales determinaciones en relación con este bien colectivo incumben a los concejos municipales o distritales en ejercicio de su competencia relacionada con la ordenación del territorio local. </w:t>
      </w:r>
    </w:p>
    <w:p w14:paraId="4E5DE72A" w14:textId="77777777" w:rsidR="008D0A36" w:rsidRPr="000C2D90" w:rsidRDefault="008D0A36" w:rsidP="008D0A36">
      <w:pPr>
        <w:spacing w:after="0" w:line="276" w:lineRule="auto"/>
        <w:ind w:firstLine="709"/>
        <w:jc w:val="both"/>
        <w:rPr>
          <w:rFonts w:ascii="Verdana" w:eastAsia="Times New Roman" w:hAnsi="Verdana" w:cs="Times New Roman"/>
          <w:lang w:eastAsia="es-ES_tradnl"/>
        </w:rPr>
      </w:pPr>
      <w:r w:rsidRPr="000C2D90">
        <w:rPr>
          <w:rFonts w:ascii="Verdana" w:eastAsia="Times New Roman" w:hAnsi="Verdana" w:cs="Times New Roman"/>
          <w:lang w:eastAsia="es-ES_tradnl"/>
        </w:rPr>
        <w:t xml:space="preserve">Ahora bien, debe traerse a colación lo dispuesto en el Decreto 1504 de 1998 respecto a la posibilidad de entregar a particulares la gestión de este bien, pues allí se habilita a dichos entes territoriales para autorizar la administración, mantenimiento y el aprovechamiento económico del espacio público cuando así lo solicitan los particulares y las autoridades lo estimen oportuno, siempre que ello no incida sobre la destinación al uso común que es propia de esta clase de bienes, no se generen derechos reales y aseguren la prevalencia del interés general sobre el particular. Lo anterior se extrae del artículo </w:t>
      </w:r>
      <w:r w:rsidRPr="000C2D90">
        <w:rPr>
          <w:rFonts w:ascii="Verdana" w:eastAsia="Times New Roman" w:hAnsi="Verdana" w:cs="Times New Roman"/>
          <w:color w:val="505050"/>
          <w:lang w:eastAsia="es-ES_tradnl"/>
        </w:rPr>
        <w:t>19</w:t>
      </w:r>
      <w:r w:rsidRPr="000C2D90">
        <w:rPr>
          <w:rFonts w:ascii="Verdana" w:eastAsia="Times New Roman" w:hAnsi="Verdana" w:cs="Times New Roman"/>
          <w:lang w:eastAsia="es-ES_tradnl"/>
        </w:rPr>
        <w:t xml:space="preserve">, que a tenor literal dispone: </w:t>
      </w:r>
    </w:p>
    <w:p w14:paraId="037A1E56" w14:textId="77777777" w:rsidR="008D0A36" w:rsidRPr="000C2D90" w:rsidRDefault="008D0A36" w:rsidP="008D0A36">
      <w:pPr>
        <w:spacing w:after="0" w:line="276" w:lineRule="auto"/>
        <w:jc w:val="both"/>
        <w:rPr>
          <w:rFonts w:ascii="Verdana" w:eastAsia="Times New Roman" w:hAnsi="Verdana" w:cs="Times New Roman"/>
          <w:lang w:eastAsia="es-ES_tradnl"/>
        </w:rPr>
      </w:pPr>
    </w:p>
    <w:p w14:paraId="7EEA882E" w14:textId="77777777" w:rsidR="008D0A36" w:rsidRPr="00A068FC" w:rsidRDefault="008D0A36" w:rsidP="008D0A36">
      <w:pPr>
        <w:spacing w:after="0" w:line="240" w:lineRule="auto"/>
        <w:ind w:left="709" w:right="709"/>
        <w:jc w:val="both"/>
        <w:rPr>
          <w:rFonts w:ascii="Verdana" w:eastAsia="Times New Roman" w:hAnsi="Verdana" w:cs="Times New Roman"/>
          <w:sz w:val="20"/>
          <w:szCs w:val="20"/>
          <w:lang w:eastAsia="es-ES_tradnl"/>
        </w:rPr>
      </w:pPr>
      <w:r w:rsidRPr="00A068FC">
        <w:rPr>
          <w:rFonts w:ascii="Verdana" w:eastAsia="Times New Roman" w:hAnsi="Verdana" w:cs="Times New Roman"/>
          <w:sz w:val="20"/>
          <w:szCs w:val="20"/>
          <w:lang w:eastAsia="es-ES_tradnl"/>
        </w:rPr>
        <w:t xml:space="preserve">“Artículo 19. En el caso de áreas públicas de uso activo o pasivo, en especial parques, plazas y plazoletas, los municipios y distritos podrán autorizar su uso por parte de entidades privadas para usos compatibles con la condición del espacio mediante contratos. En ningún caso estos contratos generarán derechos reales para las entidades privadas y </w:t>
      </w:r>
      <w:r w:rsidRPr="00A068FC">
        <w:rPr>
          <w:rFonts w:ascii="Verdana" w:eastAsia="Times New Roman" w:hAnsi="Verdana" w:cs="Times New Roman"/>
          <w:sz w:val="20"/>
          <w:szCs w:val="20"/>
          <w:lang w:eastAsia="es-ES_tradnl"/>
        </w:rPr>
        <w:lastRenderedPageBreak/>
        <w:t xml:space="preserve">deberán dar estricto cumplimiento a la prevalencia del interés general sobre el particular.” </w:t>
      </w:r>
    </w:p>
    <w:p w14:paraId="06773CBC" w14:textId="77777777" w:rsidR="008D0A36" w:rsidRPr="00A068FC" w:rsidRDefault="008D0A36" w:rsidP="008D0A36">
      <w:pPr>
        <w:spacing w:after="0" w:line="276" w:lineRule="auto"/>
        <w:jc w:val="both"/>
        <w:rPr>
          <w:rFonts w:ascii="Verdana" w:eastAsia="Times New Roman" w:hAnsi="Verdana" w:cs="Times New Roman"/>
          <w:lang w:eastAsia="es-ES_tradnl"/>
        </w:rPr>
      </w:pPr>
    </w:p>
    <w:p w14:paraId="27619AB1"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t>De lo que se trata es de posibilitar una gestión eficiente de este recurso por parte de los entes municipales, sin perjuicio del imperativo constitucional y legal de asegurar tanto la afectación al fin público propio de esta clase de bienes, como su inalienabilidad, inembargabilidad e imprescriptibilidad, todo lo cual se debe traducir en un clausulado contractual que al tiempo que garantice y desarrolle la prevalencia del interés general, respete los límites que se derivan del régimen jurídico delineado para estos bienes por el artículo 63 de la Constitución</w:t>
      </w:r>
      <w:r>
        <w:rPr>
          <w:rFonts w:ascii="Verdana" w:eastAsia="Times New Roman" w:hAnsi="Verdana" w:cs="Times New Roman"/>
          <w:lang w:eastAsia="es-ES_tradnl"/>
        </w:rPr>
        <w:t xml:space="preserve"> Política</w:t>
      </w:r>
      <w:r w:rsidRPr="000C2D90">
        <w:rPr>
          <w:rFonts w:ascii="Verdana" w:eastAsia="Times New Roman" w:hAnsi="Verdana" w:cs="Times New Roman"/>
          <w:lang w:eastAsia="es-ES_tradnl"/>
        </w:rPr>
        <w:t xml:space="preserve">. </w:t>
      </w:r>
    </w:p>
    <w:p w14:paraId="66783A16"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Pr>
          <w:rFonts w:ascii="Verdana" w:eastAsia="Times New Roman" w:hAnsi="Verdana" w:cs="Times New Roman"/>
          <w:shd w:val="clear" w:color="auto" w:fill="FFFFFF"/>
          <w:lang w:eastAsia="es-ES_tradnl"/>
        </w:rPr>
        <w:t>Así las cosas</w:t>
      </w:r>
      <w:r w:rsidRPr="000C2D90">
        <w:rPr>
          <w:rFonts w:ascii="Verdana" w:eastAsia="Times New Roman" w:hAnsi="Verdana" w:cs="Times New Roman"/>
          <w:shd w:val="clear" w:color="auto" w:fill="FFFFFF"/>
          <w:lang w:eastAsia="es-ES_tradnl"/>
        </w:rPr>
        <w:t>, la gestión de los bienes de uso público mediante contratos plantea, entre otros, la dificultad de la elección del tipo contractual que se adapte mejor al cumplimiento de los fines buscados, la cual se ve ampliada por libertad contractual que la Ley 80 de 1993 les otorga a las Entidades Estatales. En ese sentido, pueden las Entidades Territoriales celebrar</w:t>
      </w:r>
      <w:r w:rsidRPr="000C2D90">
        <w:rPr>
          <w:rFonts w:ascii="Verdana" w:eastAsia="Times New Roman" w:hAnsi="Verdana" w:cs="Times New Roman"/>
          <w:lang w:eastAsia="es-ES_tradnl"/>
        </w:rPr>
        <w:t xml:space="preserve"> contratos de concesión de bienes públicos</w:t>
      </w:r>
      <w:r>
        <w:rPr>
          <w:rFonts w:ascii="Verdana" w:eastAsia="Times New Roman" w:hAnsi="Verdana" w:cs="Times New Roman"/>
          <w:lang w:eastAsia="es-ES_tradnl"/>
        </w:rPr>
        <w:t xml:space="preserve"> – como al que hace referencia en su consulta –</w:t>
      </w:r>
      <w:r w:rsidRPr="000C2D90">
        <w:rPr>
          <w:rFonts w:ascii="Verdana" w:eastAsia="Times New Roman" w:hAnsi="Verdana" w:cs="Times New Roman"/>
          <w:lang w:eastAsia="es-ES_tradnl"/>
        </w:rPr>
        <w:t xml:space="preserve"> o</w:t>
      </w:r>
      <w:r>
        <w:rPr>
          <w:rFonts w:ascii="Verdana" w:eastAsia="Times New Roman" w:hAnsi="Verdana" w:cs="Times New Roman"/>
          <w:lang w:eastAsia="es-ES_tradnl"/>
        </w:rPr>
        <w:t xml:space="preserve"> </w:t>
      </w:r>
      <w:r w:rsidRPr="000C2D90">
        <w:rPr>
          <w:rFonts w:ascii="Verdana" w:eastAsia="Times New Roman" w:hAnsi="Verdana" w:cs="Times New Roman"/>
          <w:lang w:eastAsia="es-ES_tradnl"/>
        </w:rPr>
        <w:t xml:space="preserve">contratos de aprovechamiento de espacio público. </w:t>
      </w:r>
    </w:p>
    <w:p w14:paraId="2D594A44"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t>Pese a que la legislación no regula este tipo de contratos como se ha venido mencionando, se pueden extraer los siguientes elementos: a) la ocupación privativa, complementaria o compatible con el uso público del bien,- b) una remuneración a favor de la Administración propietaria por el uso privativo directamente ligado al beneficio financiero extraído de esta ocupación; c) la inclusión de una cláusula de protección de la afectación del bien, cláusulas excepcionales y de reversión; y d) la imposibilidad de reconocer derechos reales en ese caso</w:t>
      </w:r>
      <w:r>
        <w:rPr>
          <w:rStyle w:val="Refdenotaalpie"/>
          <w:rFonts w:ascii="Verdana" w:eastAsia="Times New Roman" w:hAnsi="Verdana" w:cs="Times New Roman"/>
          <w:lang w:eastAsia="es-ES_tradnl"/>
        </w:rPr>
        <w:footnoteReference w:id="14"/>
      </w:r>
      <w:r w:rsidRPr="000C2D90">
        <w:rPr>
          <w:rFonts w:ascii="Verdana" w:eastAsia="Times New Roman" w:hAnsi="Verdana" w:cs="Times New Roman"/>
          <w:lang w:eastAsia="es-ES_tradnl"/>
        </w:rPr>
        <w:t xml:space="preserve">. </w:t>
      </w:r>
    </w:p>
    <w:p w14:paraId="5582D83C"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sidRPr="000C2D90">
        <w:rPr>
          <w:rFonts w:ascii="Verdana" w:eastAsia="Times New Roman" w:hAnsi="Verdana" w:cs="Times New Roman"/>
          <w:lang w:eastAsia="es-ES_tradnl"/>
        </w:rPr>
        <w:t>Por otra parte,</w:t>
      </w:r>
      <w:r>
        <w:rPr>
          <w:rFonts w:ascii="Verdana" w:eastAsia="Times New Roman" w:hAnsi="Verdana" w:cs="Times New Roman"/>
          <w:lang w:eastAsia="es-ES_tradnl"/>
        </w:rPr>
        <w:t xml:space="preserve"> pese a las características antes mencionadas, debe señalarse que </w:t>
      </w:r>
      <w:r w:rsidRPr="000C2D90">
        <w:rPr>
          <w:rFonts w:ascii="Verdana" w:eastAsia="Times New Roman" w:hAnsi="Verdana" w:cs="Times New Roman"/>
          <w:lang w:eastAsia="es-ES_tradnl"/>
        </w:rPr>
        <w:t>no existe claridad en cuanto a la naturaleza del acto</w:t>
      </w:r>
      <w:r w:rsidRPr="000C2D90">
        <w:rPr>
          <w:rFonts w:ascii="Verdana" w:eastAsia="Times New Roman" w:hAnsi="Verdana" w:cs="Times New Roman"/>
          <w:shd w:val="clear" w:color="auto" w:fill="FFFFFF"/>
          <w:lang w:eastAsia="es-ES_tradnl"/>
        </w:rPr>
        <w:t xml:space="preserve">, es decir si tiene carácter unilateral o contractual. Sobre ese punto, si bien existe alguna postura que afirma que dicha concesión solo puede ser unilateral, el consenso legal y doctrinal es que su naturaleza puede ser tanto bilateral -contrato-, como unilateral -permiso. Lo importante es que en ambos casos los títulos habilitantes desarrollan el interés patrimonial del Estado, sin dejar de lado preocupaciones </w:t>
      </w:r>
      <w:r w:rsidRPr="000C2D90">
        <w:rPr>
          <w:rFonts w:ascii="Verdana" w:eastAsia="Times New Roman" w:hAnsi="Verdana" w:cs="Times New Roman"/>
          <w:shd w:val="clear" w:color="auto" w:fill="FFFFFF"/>
          <w:lang w:eastAsia="es-ES_tradnl"/>
        </w:rPr>
        <w:lastRenderedPageBreak/>
        <w:t>ligadas al respeto de la afectación y la garantía del orden público. Al respecto, e</w:t>
      </w:r>
      <w:r w:rsidRPr="000C2D90">
        <w:rPr>
          <w:rFonts w:ascii="Verdana" w:eastAsia="Times New Roman" w:hAnsi="Verdana" w:cs="Times New Roman"/>
          <w:lang w:eastAsia="es-ES_tradnl"/>
        </w:rPr>
        <w:t xml:space="preserve">l Consejo de Estado ha señalado que: </w:t>
      </w:r>
    </w:p>
    <w:p w14:paraId="17AE6538" w14:textId="77777777" w:rsidR="008D0A36" w:rsidRPr="000C2D90" w:rsidRDefault="008D0A36" w:rsidP="008D0A36">
      <w:pPr>
        <w:spacing w:after="120" w:line="276" w:lineRule="auto"/>
        <w:ind w:firstLine="708"/>
        <w:jc w:val="both"/>
        <w:rPr>
          <w:rFonts w:ascii="Verdana" w:eastAsia="Times New Roman" w:hAnsi="Verdana" w:cs="Times New Roman"/>
          <w:lang w:eastAsia="es-ES_tradnl"/>
        </w:rPr>
      </w:pPr>
      <w:r>
        <w:rPr>
          <w:rFonts w:ascii="Verdana" w:eastAsia="Times New Roman" w:hAnsi="Verdana" w:cs="Times New Roman"/>
          <w:lang w:eastAsia="es-ES_tradnl"/>
        </w:rPr>
        <w:t>C</w:t>
      </w:r>
      <w:r w:rsidRPr="000C2D90">
        <w:rPr>
          <w:rFonts w:ascii="Verdana" w:eastAsia="Times New Roman" w:hAnsi="Verdana" w:cs="Times New Roman"/>
          <w:lang w:eastAsia="es-ES_tradnl"/>
        </w:rPr>
        <w:t xml:space="preserve">on independencia del instrumento jurídico que se utilice para la gestión del bien </w:t>
      </w:r>
      <w:r>
        <w:rPr>
          <w:rFonts w:ascii="Verdana" w:eastAsia="Times New Roman" w:hAnsi="Verdana" w:cs="Times New Roman"/>
          <w:lang w:eastAsia="es-ES_tradnl"/>
        </w:rPr>
        <w:t xml:space="preserve">– </w:t>
      </w:r>
      <w:r w:rsidRPr="000C2D90">
        <w:rPr>
          <w:rFonts w:ascii="Verdana" w:eastAsia="Times New Roman" w:hAnsi="Verdana" w:cs="Times New Roman"/>
          <w:lang w:eastAsia="es-ES_tradnl"/>
        </w:rPr>
        <w:t>acto</w:t>
      </w:r>
      <w:r>
        <w:rPr>
          <w:rFonts w:ascii="Verdana" w:eastAsia="Times New Roman" w:hAnsi="Verdana" w:cs="Times New Roman"/>
          <w:lang w:eastAsia="es-ES_tradnl"/>
        </w:rPr>
        <w:t xml:space="preserve"> </w:t>
      </w:r>
      <w:r w:rsidRPr="000C2D90">
        <w:rPr>
          <w:rFonts w:ascii="Verdana" w:eastAsia="Times New Roman" w:hAnsi="Verdana" w:cs="Times New Roman"/>
          <w:lang w:eastAsia="es-ES_tradnl"/>
        </w:rPr>
        <w:t>administrativo unilateral o contrato a excepción del contrato de arrendamiento</w:t>
      </w:r>
      <w:r>
        <w:rPr>
          <w:rFonts w:ascii="Verdana" w:eastAsia="Times New Roman" w:hAnsi="Verdana" w:cs="Times New Roman"/>
          <w:lang w:eastAsia="es-ES_tradnl"/>
        </w:rPr>
        <w:t xml:space="preserve"> -</w:t>
      </w:r>
      <w:r w:rsidRPr="000C2D90">
        <w:rPr>
          <w:rFonts w:ascii="Verdana" w:eastAsia="Times New Roman" w:hAnsi="Verdana" w:cs="Times New Roman"/>
          <w:lang w:eastAsia="es-ES_tradnl"/>
        </w:rPr>
        <w:t xml:space="preserve">, por expresa disposición constitucional, siempre que el objeto del negocio jurídico tenga la calidad de bien de uso público sus reglas de uso, disfrute y disposición deberán consultar forzosamente el régimen que se desprende del artículo 63 de la Carta y del principio de prevalencia del interés general. Por ende, deberá asumirse que además de bienes inalienables, inembargables e imprescriptibles, se trata de bienes afectados a una destinación de interés general, que constituye su finalidad esencial y que no es otra que servir para el uso y disfrute de la colectividad. </w:t>
      </w:r>
    </w:p>
    <w:p w14:paraId="186DCCA5" w14:textId="77777777" w:rsidR="008D0A36" w:rsidRPr="000C2D90" w:rsidRDefault="008D0A36" w:rsidP="008D0A36">
      <w:pPr>
        <w:spacing w:after="120" w:line="276" w:lineRule="auto"/>
        <w:ind w:firstLine="708"/>
        <w:jc w:val="both"/>
        <w:rPr>
          <w:rFonts w:ascii="Verdana" w:eastAsia="Century Gothic" w:hAnsi="Verdana" w:cs="Century Gothic"/>
          <w:b/>
          <w:bCs/>
          <w:lang w:eastAsia="es-ES_tradnl"/>
        </w:rPr>
      </w:pPr>
      <w:r>
        <w:rPr>
          <w:rFonts w:ascii="Verdana" w:hAnsi="Verdana"/>
        </w:rPr>
        <w:t>Se concluye entonces que, l</w:t>
      </w:r>
      <w:r w:rsidRPr="000C2D90">
        <w:rPr>
          <w:rFonts w:ascii="Verdana" w:hAnsi="Verdana"/>
        </w:rPr>
        <w:t xml:space="preserve">a normativa del sistema de compra pública no define una tipología contractual referida al contrato de </w:t>
      </w:r>
      <w:r>
        <w:rPr>
          <w:rFonts w:ascii="Verdana" w:hAnsi="Verdana"/>
        </w:rPr>
        <w:t>concesión de espacios públicos</w:t>
      </w:r>
      <w:r w:rsidRPr="000C2D90">
        <w:rPr>
          <w:rFonts w:ascii="Verdana" w:hAnsi="Verdana"/>
        </w:rPr>
        <w:t xml:space="preserve">. </w:t>
      </w:r>
      <w:r>
        <w:rPr>
          <w:rFonts w:ascii="Verdana" w:hAnsi="Verdana"/>
        </w:rPr>
        <w:t>No obstante, l</w:t>
      </w:r>
      <w:r w:rsidRPr="000C2D90">
        <w:rPr>
          <w:rFonts w:ascii="Verdana" w:hAnsi="Verdana"/>
        </w:rPr>
        <w:t>as Entidades Estatales</w:t>
      </w:r>
      <w:r>
        <w:rPr>
          <w:rFonts w:ascii="Verdana" w:hAnsi="Verdana"/>
        </w:rPr>
        <w:t>,</w:t>
      </w:r>
      <w:r w:rsidRPr="000C2D90">
        <w:rPr>
          <w:rFonts w:ascii="Verdana" w:hAnsi="Verdana"/>
        </w:rPr>
        <w:t xml:space="preserve"> en virtud de la autonomía de la voluntad, pueden crear derechos y obligaciones contenidos en contratos atípicos los cuales no se encuentran prohibidos por el ordenamiento jurídico en la medida en que no contravengan el orden público y las buenas costumbres. </w:t>
      </w:r>
    </w:p>
    <w:p w14:paraId="47508B5D" w14:textId="77777777" w:rsidR="008D0A36" w:rsidRDefault="008D0A36" w:rsidP="008D0A36">
      <w:pPr>
        <w:spacing w:after="120" w:line="276" w:lineRule="auto"/>
        <w:ind w:firstLine="708"/>
        <w:jc w:val="both"/>
        <w:rPr>
          <w:rFonts w:ascii="Verdana" w:eastAsia="Calibri" w:hAnsi="Verdana" w:cs="Arial"/>
          <w:lang w:val="es-ES_tradnl" w:eastAsia="es-ES_tradnl"/>
        </w:rPr>
      </w:pPr>
      <w:r>
        <w:rPr>
          <w:rFonts w:ascii="Verdana" w:eastAsia="Calibri" w:hAnsi="Verdana" w:cs="Arial"/>
          <w:lang w:val="es-ES_tradnl" w:eastAsia="es-ES_tradnl"/>
        </w:rPr>
        <w:t xml:space="preserve">Visto lo anterior, es necesario pasar al estudio de la modalidad de contratación aplicable al contrato objeto de consulta y la aplicación del principio de planeación. </w:t>
      </w:r>
    </w:p>
    <w:p w14:paraId="77FF5C2D" w14:textId="77777777" w:rsidR="008D0A36" w:rsidRPr="000C2D90" w:rsidRDefault="008D0A36" w:rsidP="008D0A36">
      <w:pPr>
        <w:spacing w:after="120" w:line="276" w:lineRule="auto"/>
        <w:ind w:firstLine="708"/>
        <w:jc w:val="both"/>
        <w:rPr>
          <w:rFonts w:ascii="Verdana" w:eastAsia="Calibri" w:hAnsi="Verdana" w:cs="Arial"/>
          <w:bCs/>
          <w:lang w:val="es-MX" w:eastAsia="es-ES_tradnl"/>
        </w:rPr>
      </w:pPr>
      <w:r>
        <w:rPr>
          <w:rFonts w:ascii="Verdana" w:eastAsia="Calibri" w:hAnsi="Verdana" w:cs="Arial"/>
          <w:lang w:val="es-ES_tradnl" w:eastAsia="es-ES_tradnl"/>
        </w:rPr>
        <w:t>Frente a la primera cuestión, p</w:t>
      </w:r>
      <w:r w:rsidRPr="000C2D90">
        <w:rPr>
          <w:rFonts w:ascii="Verdana" w:hAnsi="Verdana" w:cs="Arial"/>
          <w:lang w:val="es-ES"/>
        </w:rPr>
        <w:t xml:space="preserve">ara las entidades sometidas al </w:t>
      </w:r>
      <w:r>
        <w:rPr>
          <w:rFonts w:ascii="Verdana" w:hAnsi="Verdana" w:cs="Arial"/>
          <w:lang w:val="es-ES"/>
        </w:rPr>
        <w:t>EGCAP</w:t>
      </w:r>
      <w:r w:rsidRPr="000C2D90">
        <w:rPr>
          <w:rFonts w:ascii="Verdana" w:hAnsi="Verdana" w:cs="Arial"/>
          <w:lang w:val="es-ES"/>
        </w:rPr>
        <w:t xml:space="preserve">, los procesos de selección se rigen por </w:t>
      </w:r>
      <w:r w:rsidRPr="000C2D90">
        <w:rPr>
          <w:rFonts w:ascii="Verdana" w:hAnsi="Verdana" w:cs="Arial"/>
          <w:bCs/>
          <w:lang w:val="es-ES_tradnl"/>
        </w:rPr>
        <w:t>el artículo 2 de la Ley 1150 de 2007</w:t>
      </w:r>
      <w:r w:rsidRPr="000C2D90">
        <w:rPr>
          <w:rFonts w:ascii="Verdana" w:hAnsi="Verdana" w:cs="Arial"/>
          <w:lang w:val="es-ES"/>
        </w:rPr>
        <w:t xml:space="preserve">. El </w:t>
      </w:r>
      <w:r w:rsidRPr="000C2D90">
        <w:rPr>
          <w:rFonts w:ascii="Verdana" w:eastAsia="Calibri" w:hAnsi="Verdana" w:cs="Arial"/>
          <w:bCs/>
          <w:lang w:val="es-MX" w:eastAsia="es-ES_tradnl"/>
        </w:rPr>
        <w:t>numeral primero, inciso primero, de la norma citada</w:t>
      </w:r>
      <w:r w:rsidRPr="000C2D90">
        <w:rPr>
          <w:rFonts w:ascii="Verdana" w:hAnsi="Verdana" w:cs="Arial"/>
          <w:bCs/>
          <w:lang w:val="es-ES_tradnl"/>
        </w:rPr>
        <w:t xml:space="preserve"> </w:t>
      </w:r>
      <w:r w:rsidRPr="000C2D90">
        <w:rPr>
          <w:rFonts w:ascii="Verdana" w:eastAsia="Calibri" w:hAnsi="Verdana" w:cs="Arial"/>
          <w:bCs/>
          <w:lang w:val="es-MX" w:eastAsia="es-ES_tradnl"/>
        </w:rPr>
        <w:t xml:space="preserve">dispone que “La escogencia del contratista se efectuará por </w:t>
      </w:r>
      <w:r w:rsidRPr="000C2D90">
        <w:rPr>
          <w:rFonts w:ascii="Verdana" w:eastAsia="Calibri" w:hAnsi="Verdana" w:cs="Arial"/>
          <w:bCs/>
          <w:i/>
          <w:iCs/>
          <w:lang w:val="es-MX" w:eastAsia="es-ES_tradnl"/>
        </w:rPr>
        <w:t>regla general</w:t>
      </w:r>
      <w:r w:rsidRPr="000C2D90">
        <w:rPr>
          <w:rFonts w:ascii="Verdana" w:eastAsia="Calibri" w:hAnsi="Verdana" w:cs="Arial"/>
          <w:bCs/>
          <w:lang w:val="es-MX" w:eastAsia="es-ES_tradnl"/>
        </w:rPr>
        <w:t xml:space="preserve"> a través de licitación pública, con las </w:t>
      </w:r>
      <w:r w:rsidRPr="000C2D90">
        <w:rPr>
          <w:rFonts w:ascii="Verdana" w:eastAsia="Calibri" w:hAnsi="Verdana" w:cs="Arial"/>
          <w:bCs/>
          <w:i/>
          <w:iCs/>
          <w:lang w:val="es-MX" w:eastAsia="es-ES_tradnl"/>
        </w:rPr>
        <w:t>excepciones</w:t>
      </w:r>
      <w:r w:rsidRPr="000C2D90">
        <w:rPr>
          <w:rFonts w:ascii="Verdana" w:eastAsia="Calibri" w:hAnsi="Verdana" w:cs="Arial"/>
          <w:bCs/>
          <w:lang w:val="es-MX" w:eastAsia="es-ES_tradnl"/>
        </w:rPr>
        <w:t xml:space="preserve"> que se señalan en los numerales 2, 3 y 4 del presente artículo”, norma que sustituye el derogado numeral 1 del artículo 24 de la Ley 80 de 1993 sobre el principio de transparencia</w:t>
      </w:r>
      <w:r w:rsidRPr="000C2D90">
        <w:rPr>
          <w:rFonts w:ascii="Verdana" w:eastAsia="Calibri" w:hAnsi="Verdana" w:cs="Arial"/>
          <w:bCs/>
          <w:vertAlign w:val="superscript"/>
          <w:lang w:val="es-MX" w:eastAsia="es-ES_tradnl"/>
        </w:rPr>
        <w:footnoteReference w:id="15"/>
      </w:r>
      <w:r w:rsidRPr="000C2D90">
        <w:rPr>
          <w:rFonts w:ascii="Verdana" w:eastAsia="Calibri" w:hAnsi="Verdana" w:cs="Arial"/>
          <w:bCs/>
          <w:lang w:val="es-MX" w:eastAsia="es-ES_tradnl"/>
        </w:rPr>
        <w:t xml:space="preserve">. </w:t>
      </w:r>
    </w:p>
    <w:p w14:paraId="1A80320C" w14:textId="77777777" w:rsidR="008D0A36" w:rsidRPr="000C2D90" w:rsidRDefault="008D0A36" w:rsidP="008D0A36">
      <w:pPr>
        <w:spacing w:after="120" w:line="276" w:lineRule="auto"/>
        <w:ind w:firstLine="708"/>
        <w:jc w:val="both"/>
        <w:rPr>
          <w:rFonts w:ascii="Verdana" w:eastAsia="Calibri" w:hAnsi="Verdana" w:cs="Arial"/>
          <w:bCs/>
          <w:lang w:val="es-MX" w:eastAsia="es-ES_tradnl"/>
        </w:rPr>
      </w:pPr>
      <w:r w:rsidRPr="000C2D90">
        <w:rPr>
          <w:rFonts w:ascii="Verdana" w:eastAsia="Calibri" w:hAnsi="Verdana" w:cs="Arial"/>
          <w:bCs/>
          <w:lang w:val="es-MX" w:eastAsia="es-ES_tradnl"/>
        </w:rPr>
        <w:t xml:space="preserve">En este contexto, salvo norma especial que ordene la celebración del negocio jurídico por otra modalidad de selección, debe aplicarse la regla general </w:t>
      </w:r>
      <w:r w:rsidRPr="000C2D90">
        <w:rPr>
          <w:rFonts w:ascii="Verdana" w:eastAsia="Calibri" w:hAnsi="Verdana" w:cs="Arial"/>
          <w:bCs/>
          <w:lang w:val="es-MX" w:eastAsia="es-ES_tradnl"/>
        </w:rPr>
        <w:lastRenderedPageBreak/>
        <w:t>de licitación pública</w:t>
      </w:r>
      <w:r w:rsidRPr="000C2D90">
        <w:rPr>
          <w:rFonts w:ascii="Verdana" w:eastAsia="Calibri" w:hAnsi="Verdana" w:cs="Arial"/>
          <w:bCs/>
          <w:vertAlign w:val="superscript"/>
          <w:lang w:val="es-MX" w:eastAsia="es-ES_tradnl"/>
        </w:rPr>
        <w:footnoteReference w:id="16"/>
      </w:r>
      <w:r w:rsidRPr="000C2D90">
        <w:rPr>
          <w:rFonts w:ascii="Verdana" w:eastAsia="Calibri" w:hAnsi="Verdana" w:cs="Arial"/>
          <w:bCs/>
          <w:lang w:val="es-MX" w:eastAsia="es-ES_tradnl"/>
        </w:rPr>
        <w:t>. Por ello, dependiendo del objeto o el valor de presupuesto oficial, es posible la aplicación de otros procedimientos contractuales. Estos pueden ser con pluralidad de oferentes –v. gr. la selección abreviada de menor cuantía o la mínima cuantía– o sin concurrencia de proponentes –por ejemplo, la contratación directa–.</w:t>
      </w:r>
      <w:r>
        <w:rPr>
          <w:rFonts w:ascii="Verdana" w:eastAsia="Calibri" w:hAnsi="Verdana" w:cs="Arial"/>
          <w:bCs/>
          <w:lang w:val="es-MX" w:eastAsia="es-ES_tradnl"/>
        </w:rPr>
        <w:t xml:space="preserve"> Así las cosas, les corresponde a cada Entidad Estatal definir de acuerdo con el objeto del contrato y su cuantía la modalidad que proceda para la selección del contratista. </w:t>
      </w:r>
    </w:p>
    <w:p w14:paraId="430CA809" w14:textId="77777777" w:rsidR="008D0A36" w:rsidRPr="00A068FC" w:rsidRDefault="008D0A36" w:rsidP="008D0A36">
      <w:pPr>
        <w:spacing w:after="0" w:line="276" w:lineRule="auto"/>
        <w:contextualSpacing/>
        <w:jc w:val="both"/>
        <w:rPr>
          <w:rFonts w:ascii="Verdana" w:eastAsia="Times New Roman" w:hAnsi="Verdana" w:cs="Arial"/>
          <w:lang w:val="es-ES_tradnl" w:eastAsia="es-MX"/>
        </w:rPr>
      </w:pPr>
      <w:r>
        <w:rPr>
          <w:rFonts w:ascii="Verdana" w:eastAsia="Times New Roman" w:hAnsi="Verdana" w:cs="Arial"/>
          <w:lang w:eastAsia="es-ES_tradnl"/>
        </w:rPr>
        <w:tab/>
        <w:t xml:space="preserve">Frente a la segunda cuestión relativa a la </w:t>
      </w:r>
      <w:bookmarkStart w:id="9" w:name="_Hlk54011258"/>
      <w:r w:rsidRPr="00A068FC">
        <w:rPr>
          <w:rFonts w:ascii="Verdana" w:eastAsia="Calibri" w:hAnsi="Verdana" w:cs="Arial"/>
          <w:bCs/>
          <w:lang w:val="es-ES_tradnl" w:eastAsia="es-MX"/>
        </w:rPr>
        <w:t>planeación contractual</w:t>
      </w:r>
      <w:r>
        <w:rPr>
          <w:rFonts w:ascii="Verdana" w:eastAsia="Calibri" w:hAnsi="Verdana" w:cs="Arial"/>
          <w:bCs/>
          <w:lang w:val="es-ES_tradnl" w:eastAsia="es-MX"/>
        </w:rPr>
        <w:t xml:space="preserve"> debe señalarse que, esta es</w:t>
      </w:r>
      <w:r w:rsidRPr="00A068FC">
        <w:rPr>
          <w:rFonts w:ascii="Verdana" w:eastAsia="Calibri" w:hAnsi="Verdana" w:cs="Arial"/>
          <w:bCs/>
          <w:lang w:val="es-ES_tradnl" w:eastAsia="es-MX"/>
        </w:rPr>
        <w:t xml:space="preserve">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bookmarkEnd w:id="9"/>
      <w:r w:rsidRPr="00A068FC">
        <w:rPr>
          <w:rFonts w:ascii="Verdana" w:eastAsia="Calibri" w:hAnsi="Verdana" w:cs="Arial"/>
          <w:bCs/>
          <w:lang w:val="es-ES_tradnl" w:eastAsia="es-MX"/>
        </w:rPr>
        <w:t>.</w:t>
      </w:r>
    </w:p>
    <w:p w14:paraId="57974B84" w14:textId="77777777" w:rsidR="008D0A36" w:rsidRPr="00A068FC" w:rsidRDefault="008D0A36" w:rsidP="008D0A36">
      <w:pPr>
        <w:spacing w:before="120" w:after="0" w:line="276" w:lineRule="auto"/>
        <w:ind w:firstLine="709"/>
        <w:jc w:val="both"/>
        <w:rPr>
          <w:rFonts w:ascii="Verdana" w:eastAsia="Calibri" w:hAnsi="Verdana" w:cs="Arial"/>
          <w:bCs/>
          <w:lang w:val="es-ES" w:eastAsia="es-ES_tradnl"/>
        </w:rPr>
      </w:pPr>
      <w:r w:rsidRPr="00A068FC">
        <w:rPr>
          <w:rFonts w:ascii="Verdana" w:eastAsia="Calibri" w:hAnsi="Verdana" w:cs="Arial"/>
          <w:bCs/>
          <w:lang w:val="es-MX" w:eastAsia="es-ES_tradnl"/>
        </w:rPr>
        <w:t xml:space="preserve">El EGCAP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w:t>
      </w:r>
      <w:r>
        <w:rPr>
          <w:rFonts w:ascii="Verdana" w:eastAsia="Calibri" w:hAnsi="Verdana" w:cs="Arial"/>
          <w:bCs/>
          <w:lang w:val="es-MX" w:eastAsia="es-ES_tradnl"/>
        </w:rPr>
        <w:t>En ese sentido,</w:t>
      </w:r>
      <w:r w:rsidRPr="00A068FC">
        <w:rPr>
          <w:rFonts w:ascii="Verdana" w:eastAsia="Calibri" w:hAnsi="Verdana" w:cs="Arial"/>
          <w:bCs/>
          <w:lang w:val="es-MX" w:eastAsia="es-ES_tradnl"/>
        </w:rPr>
        <w:t xml:space="preserve"> el artículo 25 de la Ley 80 de 1993</w:t>
      </w:r>
      <w:r>
        <w:rPr>
          <w:rFonts w:ascii="Verdana" w:eastAsia="Calibri" w:hAnsi="Verdana" w:cs="Arial"/>
          <w:bCs/>
          <w:lang w:val="es-MX" w:eastAsia="es-ES_tradnl"/>
        </w:rPr>
        <w:t xml:space="preserve"> señala que</w:t>
      </w:r>
      <w:r w:rsidRPr="00A068FC">
        <w:rPr>
          <w:rFonts w:ascii="Verdana" w:eastAsia="Calibri" w:hAnsi="Verdana" w:cs="Arial"/>
          <w:bCs/>
          <w:lang w:val="es-MX" w:eastAsia="es-ES_tradnl"/>
        </w:rPr>
        <w:t xml:space="preserve">: </w:t>
      </w:r>
    </w:p>
    <w:p w14:paraId="6238F685" w14:textId="77777777" w:rsidR="008D0A36" w:rsidRPr="00A068FC" w:rsidRDefault="008D0A36" w:rsidP="008D0A36">
      <w:pPr>
        <w:spacing w:after="0" w:line="276" w:lineRule="auto"/>
        <w:ind w:firstLine="709"/>
        <w:jc w:val="both"/>
        <w:rPr>
          <w:rFonts w:ascii="Verdana" w:eastAsia="Calibri" w:hAnsi="Verdana" w:cs="Arial"/>
          <w:bCs/>
          <w:lang w:val="es-ES" w:eastAsia="es-ES_tradnl"/>
        </w:rPr>
      </w:pPr>
    </w:p>
    <w:p w14:paraId="3E5637EA" w14:textId="77777777" w:rsidR="008D0A36" w:rsidRPr="00883110" w:rsidRDefault="008D0A36" w:rsidP="008D0A36">
      <w:pPr>
        <w:spacing w:after="0" w:line="240" w:lineRule="auto"/>
        <w:ind w:left="709" w:right="709"/>
        <w:contextualSpacing/>
        <w:jc w:val="both"/>
        <w:rPr>
          <w:rFonts w:ascii="Verdana" w:eastAsia="Calibri" w:hAnsi="Verdana" w:cs="Arial"/>
          <w:sz w:val="20"/>
          <w:szCs w:val="20"/>
          <w:lang w:val="es-MX" w:eastAsia="es-ES_tradnl"/>
        </w:rPr>
      </w:pPr>
      <w:r w:rsidRPr="00883110">
        <w:rPr>
          <w:rFonts w:ascii="Verdana" w:eastAsia="Calibri" w:hAnsi="Verdana" w:cs="Arial"/>
          <w:sz w:val="20"/>
          <w:szCs w:val="20"/>
          <w:lang w:val="es-MX" w:eastAsia="es-ES_tradnl"/>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0CABDF8E" w14:textId="77777777" w:rsidR="008D0A36" w:rsidRPr="00883110" w:rsidRDefault="008D0A36" w:rsidP="008D0A36">
      <w:pPr>
        <w:spacing w:after="0" w:line="240" w:lineRule="auto"/>
        <w:ind w:left="709" w:right="709"/>
        <w:contextualSpacing/>
        <w:jc w:val="both"/>
        <w:rPr>
          <w:rFonts w:ascii="Verdana" w:eastAsia="Calibri" w:hAnsi="Verdana" w:cs="Arial"/>
          <w:sz w:val="20"/>
          <w:szCs w:val="20"/>
          <w:lang w:val="es-MX" w:eastAsia="es-ES_tradnl"/>
        </w:rPr>
      </w:pPr>
    </w:p>
    <w:p w14:paraId="38AC125E" w14:textId="77777777" w:rsidR="008D0A36" w:rsidRPr="00883110" w:rsidRDefault="008D0A36" w:rsidP="008D0A36">
      <w:pPr>
        <w:spacing w:after="0" w:line="240" w:lineRule="auto"/>
        <w:ind w:left="709" w:right="709"/>
        <w:contextualSpacing/>
        <w:jc w:val="both"/>
        <w:rPr>
          <w:rFonts w:ascii="Verdana" w:eastAsia="Calibri" w:hAnsi="Verdana" w:cs="Arial"/>
          <w:sz w:val="20"/>
          <w:szCs w:val="20"/>
          <w:lang w:val="es-MX" w:eastAsia="es-ES_tradnl"/>
        </w:rPr>
      </w:pPr>
      <w:r w:rsidRPr="00883110">
        <w:rPr>
          <w:rFonts w:ascii="Verdana" w:eastAsia="Calibri" w:hAnsi="Verdana" w:cs="Arial"/>
          <w:sz w:val="20"/>
          <w:szCs w:val="20"/>
          <w:lang w:val="es-MX" w:eastAsia="es-ES_tradnl"/>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3C497A70" w14:textId="77777777" w:rsidR="008D0A36" w:rsidRPr="00883110" w:rsidRDefault="008D0A36" w:rsidP="008D0A36">
      <w:pPr>
        <w:spacing w:after="0" w:line="240" w:lineRule="auto"/>
        <w:ind w:left="709" w:right="709"/>
        <w:contextualSpacing/>
        <w:jc w:val="both"/>
        <w:rPr>
          <w:rFonts w:ascii="Verdana" w:eastAsia="Calibri" w:hAnsi="Verdana" w:cs="Arial"/>
          <w:sz w:val="20"/>
          <w:szCs w:val="20"/>
          <w:lang w:val="es-MX" w:eastAsia="es-ES_tradnl"/>
        </w:rPr>
      </w:pPr>
    </w:p>
    <w:p w14:paraId="69EAEFCE" w14:textId="77777777" w:rsidR="008D0A36" w:rsidRPr="00883110"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883110">
        <w:rPr>
          <w:rFonts w:ascii="Verdana" w:eastAsia="Times New Roman" w:hAnsi="Verdana" w:cs="Arial"/>
          <w:sz w:val="20"/>
          <w:szCs w:val="20"/>
          <w:lang w:val="es-ES_tradnl" w:eastAsia="es-MX"/>
        </w:rPr>
        <w:t>[…]”.</w:t>
      </w:r>
    </w:p>
    <w:p w14:paraId="74FE98DC" w14:textId="77777777" w:rsidR="008D0A36" w:rsidRPr="00A068FC" w:rsidRDefault="008D0A36" w:rsidP="008D0A36">
      <w:pPr>
        <w:spacing w:after="0" w:line="276" w:lineRule="auto"/>
        <w:jc w:val="both"/>
        <w:rPr>
          <w:rFonts w:ascii="Verdana" w:eastAsia="Times New Roman" w:hAnsi="Verdana" w:cs="Arial"/>
          <w:lang w:val="es-ES_tradnl" w:eastAsia="es-MX"/>
        </w:rPr>
      </w:pPr>
    </w:p>
    <w:p w14:paraId="663B26C2" w14:textId="77777777" w:rsidR="008D0A36" w:rsidRPr="00A068FC" w:rsidRDefault="008D0A36" w:rsidP="008D0A36">
      <w:pPr>
        <w:spacing w:after="0" w:line="276" w:lineRule="auto"/>
        <w:ind w:firstLine="709"/>
        <w:jc w:val="both"/>
        <w:rPr>
          <w:rFonts w:ascii="Verdana" w:eastAsia="Times New Roman" w:hAnsi="Verdana" w:cs="Arial"/>
          <w:lang w:val="es-ES_tradnl" w:eastAsia="es-MX"/>
        </w:rPr>
      </w:pPr>
      <w:r w:rsidRPr="00A068FC">
        <w:rPr>
          <w:rFonts w:ascii="Verdana" w:eastAsia="Times New Roman" w:hAnsi="Verdana" w:cs="Arial"/>
          <w:lang w:val="es-ES_tradnl" w:eastAsia="es-MX"/>
        </w:rPr>
        <w:t>Lo anterior le permitirá a la Entidad Estatal identificar desde el punto de vista técnico y financiero el objeto del contrato, las particularidades de su ejecución, los potenciales proponentes, requisitos mínimos para evaluar la idoneidad del contratista, así como analizar todas las variables que puedan afectar el procedimiento de selección, celebración y ejecución del contrato. Tal es la importancia de los estudios y documentos previos que su deficiencia o ausencia,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Pr="00A068FC">
        <w:rPr>
          <w:rFonts w:ascii="Verdana" w:eastAsia="Times New Roman" w:hAnsi="Verdana" w:cs="Arial"/>
          <w:vertAlign w:val="superscript"/>
          <w:lang w:val="es-ES_tradnl" w:eastAsia="es-MX"/>
        </w:rPr>
        <w:footnoteReference w:id="17"/>
      </w:r>
      <w:r w:rsidRPr="00A068FC">
        <w:rPr>
          <w:rFonts w:ascii="Verdana" w:eastAsia="Times New Roman" w:hAnsi="Verdana" w:cs="Arial"/>
          <w:lang w:val="es-ES_tradnl" w:eastAsia="es-MX"/>
        </w:rPr>
        <w:t>. En congruencia con el artículo 25 de la Ley 80 de 1993, el Decreto Único Reglamentario del Sector Administrativo de Planeación Nacional –Decreto 1082 de 2015–, dispone en el artículo 2.2.1.1.2.1.1 el contenido mínimo de los estudios y documentos previos:</w:t>
      </w:r>
    </w:p>
    <w:p w14:paraId="064ABD9E" w14:textId="77777777" w:rsidR="008D0A36" w:rsidRPr="006E209D" w:rsidRDefault="008D0A36" w:rsidP="008D0A36">
      <w:pPr>
        <w:spacing w:after="0" w:line="276" w:lineRule="auto"/>
        <w:rPr>
          <w:rFonts w:ascii="Verdana" w:eastAsia="Times New Roman" w:hAnsi="Verdana" w:cs="Arial"/>
          <w:sz w:val="20"/>
          <w:szCs w:val="20"/>
          <w:lang w:val="es-ES_tradnl" w:eastAsia="es-CO"/>
        </w:rPr>
      </w:pPr>
    </w:p>
    <w:p w14:paraId="7C590167"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7D97D6A8"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4512F02E"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1. La descripción de la necesidad que la Entidad Estatal pretende satisfacer con el Proceso de Contratación. </w:t>
      </w:r>
      <w:r w:rsidRPr="006E209D">
        <w:rPr>
          <w:rFonts w:ascii="Arial" w:eastAsia="Times New Roman" w:hAnsi="Arial" w:cs="Arial"/>
          <w:sz w:val="20"/>
          <w:szCs w:val="20"/>
          <w:lang w:val="es-ES_tradnl" w:eastAsia="es-MX"/>
        </w:rPr>
        <w:t>​</w:t>
      </w:r>
    </w:p>
    <w:p w14:paraId="0294E603"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2548B7A4"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lastRenderedPageBreak/>
        <w:t xml:space="preserve">2. El objeto a contratar, con sus especificaciones, las autorizaciones, permisos y licencias requeridos para su ejecución, y cuando el contrato incluye diseño y construcción, los documentos técnicos para el desarrollo del proyecto. </w:t>
      </w:r>
    </w:p>
    <w:p w14:paraId="71B9CB0B"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7FAF6C3D"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3. La modalidad de selección del contratista y su justificación, incluyendo los fundamentos jurídicos. </w:t>
      </w:r>
    </w:p>
    <w:p w14:paraId="07D85B1F"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122C6A96"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 w:eastAsia="es-MX"/>
        </w:rPr>
      </w:pPr>
      <w:r w:rsidRPr="006E209D">
        <w:rPr>
          <w:rFonts w:ascii="Verdana" w:eastAsia="Times New Roman" w:hAnsi="Verdana" w:cs="Arial"/>
          <w:sz w:val="20"/>
          <w:szCs w:val="20"/>
          <w:lang w:val="es-ES" w:eastAsia="es-MX"/>
        </w:rPr>
        <w:t xml:space="preserve">4. El valor estimado del contrato y la justificación </w:t>
      </w:r>
      <w:proofErr w:type="gramStart"/>
      <w:r w:rsidRPr="006E209D">
        <w:rPr>
          <w:rFonts w:ascii="Verdana" w:eastAsia="Times New Roman" w:hAnsi="Verdana" w:cs="Arial"/>
          <w:sz w:val="20"/>
          <w:szCs w:val="20"/>
          <w:lang w:val="es-ES" w:eastAsia="es-MX"/>
        </w:rPr>
        <w:t>del mismo</w:t>
      </w:r>
      <w:proofErr w:type="gramEnd"/>
      <w:r w:rsidRPr="006E209D">
        <w:rPr>
          <w:rFonts w:ascii="Verdana" w:eastAsia="Times New Roman" w:hAnsi="Verdana" w:cs="Arial"/>
          <w:sz w:val="20"/>
          <w:szCs w:val="20"/>
          <w:lang w:val="es-ES" w:eastAsia="es-MX"/>
        </w:rPr>
        <w:t xml:space="preserve">.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4D01CA6B"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58BF411D"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5. Los criterios para seleccionar la oferta más favorable. </w:t>
      </w:r>
    </w:p>
    <w:p w14:paraId="3C31D1FF"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5E520305"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6. El análisis de Riesgo y la forma de mitigarlo. </w:t>
      </w:r>
    </w:p>
    <w:p w14:paraId="0B4AB96D"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4CB83F92"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7. Las garantías que la Entidad Estatal contempla exigir en el proceso de contratación. </w:t>
      </w:r>
    </w:p>
    <w:p w14:paraId="536BADFD"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64FE969A"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 xml:space="preserve">8. La indicación de si el proceso de contratación está cobijado por un acuerdo comercial. </w:t>
      </w:r>
    </w:p>
    <w:p w14:paraId="15E48E08"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p>
    <w:p w14:paraId="7C297496" w14:textId="77777777" w:rsidR="008D0A36" w:rsidRPr="006E209D" w:rsidRDefault="008D0A36" w:rsidP="008D0A36">
      <w:pPr>
        <w:spacing w:after="0" w:line="240" w:lineRule="auto"/>
        <w:ind w:left="709" w:right="709"/>
        <w:contextualSpacing/>
        <w:jc w:val="both"/>
        <w:rPr>
          <w:rFonts w:ascii="Verdana" w:eastAsia="Times New Roman" w:hAnsi="Verdana" w:cs="Arial"/>
          <w:sz w:val="20"/>
          <w:szCs w:val="20"/>
          <w:lang w:val="es-ES_tradnl" w:eastAsia="es-MX"/>
        </w:rPr>
      </w:pPr>
      <w:r w:rsidRPr="006E209D">
        <w:rPr>
          <w:rFonts w:ascii="Verdana" w:eastAsia="Times New Roman" w:hAnsi="Verdana" w:cs="Arial"/>
          <w:sz w:val="20"/>
          <w:szCs w:val="20"/>
          <w:lang w:val="es-ES_tradnl" w:eastAsia="es-MX"/>
        </w:rPr>
        <w:t>El presente artículo no es aplicable a la contratación por mínima cuantía”.</w:t>
      </w:r>
    </w:p>
    <w:p w14:paraId="5D6A9AB9" w14:textId="77777777" w:rsidR="008D0A36" w:rsidRPr="00A068FC" w:rsidRDefault="008D0A36" w:rsidP="008D0A36">
      <w:pPr>
        <w:widowControl w:val="0"/>
        <w:tabs>
          <w:tab w:val="left" w:pos="1305"/>
        </w:tabs>
        <w:autoSpaceDE w:val="0"/>
        <w:autoSpaceDN w:val="0"/>
        <w:spacing w:after="0" w:line="276" w:lineRule="auto"/>
        <w:ind w:left="828" w:right="822"/>
        <w:rPr>
          <w:rFonts w:ascii="Verdana" w:eastAsia="Calibri" w:hAnsi="Verdana" w:cs="Arial"/>
          <w:lang w:val="es-MX" w:eastAsia="es-ES_tradnl"/>
        </w:rPr>
      </w:pPr>
    </w:p>
    <w:p w14:paraId="5DBE8B57" w14:textId="77777777" w:rsidR="008D0A36" w:rsidRPr="00A068FC" w:rsidRDefault="008D0A36" w:rsidP="008D0A36">
      <w:pPr>
        <w:spacing w:after="120" w:line="276" w:lineRule="auto"/>
        <w:ind w:firstLine="709"/>
        <w:jc w:val="both"/>
        <w:rPr>
          <w:rFonts w:ascii="Verdana" w:eastAsia="Times New Roman" w:hAnsi="Verdana" w:cs="Arial"/>
          <w:lang w:val="es-ES" w:eastAsia="es-MX"/>
        </w:rPr>
      </w:pPr>
      <w:bookmarkStart w:id="10" w:name="_Hlk54011351"/>
      <w:r w:rsidRPr="6DB59E88">
        <w:rPr>
          <w:rFonts w:ascii="Verdana" w:eastAsia="Times New Roman" w:hAnsi="Verdana" w:cs="Arial"/>
          <w:lang w:val="es-ES" w:eastAsia="es-MX"/>
        </w:rPr>
        <w:t xml:space="preserve">De esta manera, antes de iniciar un procedimiento de selección, la Entidad Estatal podrá determinar con los estudios previos: i) la verdadera necesidad de la celebración del contrato; </w:t>
      </w:r>
      <w:proofErr w:type="spellStart"/>
      <w:r w:rsidRPr="6DB59E88">
        <w:rPr>
          <w:rFonts w:ascii="Verdana" w:eastAsia="Times New Roman" w:hAnsi="Verdana" w:cs="Arial"/>
          <w:lang w:val="es-ES" w:eastAsia="es-MX"/>
        </w:rPr>
        <w:t>ii</w:t>
      </w:r>
      <w:proofErr w:type="spellEnd"/>
      <w:r w:rsidRPr="6DB59E88">
        <w:rPr>
          <w:rFonts w:ascii="Verdana" w:eastAsia="Times New Roman" w:hAnsi="Verdana" w:cs="Arial"/>
          <w:lang w:val="es-ES" w:eastAsia="es-MX"/>
        </w:rPr>
        <w:t xml:space="preserve">) las modalidades existentes para satisfacer esa necesidad y las razones que justifiquen la modalidad o tipo contractual que se escoja; </w:t>
      </w:r>
      <w:proofErr w:type="spellStart"/>
      <w:r w:rsidRPr="6DB59E88">
        <w:rPr>
          <w:rFonts w:ascii="Verdana" w:eastAsia="Times New Roman" w:hAnsi="Verdana" w:cs="Arial"/>
          <w:lang w:val="es-ES" w:eastAsia="es-MX"/>
        </w:rPr>
        <w:t>iii</w:t>
      </w:r>
      <w:proofErr w:type="spellEnd"/>
      <w:r w:rsidRPr="6DB59E88">
        <w:rPr>
          <w:rFonts w:ascii="Verdana" w:eastAsia="Times New Roman" w:hAnsi="Verdana" w:cs="Arial"/>
          <w:lang w:val="es-ES" w:eastAsia="es-MX"/>
        </w:rPr>
        <w:t xml:space="preserve">) las calidades, especificaciones, cantidades y demás características que puedan o deban reunir los bienes, las obras o los servicios cuya contratación se haya determinado necesaria, </w:t>
      </w:r>
      <w:proofErr w:type="spellStart"/>
      <w:r w:rsidRPr="6DB59E88">
        <w:rPr>
          <w:rFonts w:ascii="Verdana" w:eastAsia="Times New Roman" w:hAnsi="Verdana" w:cs="Arial"/>
          <w:lang w:val="es-ES" w:eastAsia="es-MX"/>
        </w:rPr>
        <w:t>iv</w:t>
      </w:r>
      <w:proofErr w:type="spellEnd"/>
      <w:r w:rsidRPr="6DB59E88">
        <w:rPr>
          <w:rFonts w:ascii="Verdana" w:eastAsia="Times New Roman" w:hAnsi="Verdana" w:cs="Arial"/>
          <w:lang w:val="es-ES" w:eastAsia="es-MX"/>
        </w:rPr>
        <w:t xml:space="preserve">)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 y </w:t>
      </w:r>
      <w:proofErr w:type="spellStart"/>
      <w:r w:rsidRPr="6DB59E88">
        <w:rPr>
          <w:rFonts w:ascii="Verdana" w:eastAsia="Times New Roman" w:hAnsi="Verdana" w:cs="Arial"/>
          <w:lang w:val="es-ES" w:eastAsia="es-MX"/>
        </w:rPr>
        <w:t>vii</w:t>
      </w:r>
      <w:proofErr w:type="spellEnd"/>
      <w:r w:rsidRPr="6DB59E88">
        <w:rPr>
          <w:rFonts w:ascii="Verdana" w:eastAsia="Times New Roman" w:hAnsi="Verdana" w:cs="Arial"/>
          <w:lang w:val="es-ES" w:eastAsia="es-MX"/>
        </w:rPr>
        <w:t xml:space="preserve">) los procedimientos, trámites y requisitos que deban satisfacerse, reunirse u obtenerse para llevar a cabo la selección del respectivo contratista y la </w:t>
      </w:r>
      <w:r w:rsidRPr="6DB59E88">
        <w:rPr>
          <w:rFonts w:ascii="Verdana" w:eastAsia="Times New Roman" w:hAnsi="Verdana" w:cs="Arial"/>
          <w:lang w:val="es-ES" w:eastAsia="es-MX"/>
        </w:rPr>
        <w:lastRenderedPageBreak/>
        <w:t xml:space="preserve">celebración del contrato que se pretenda celebrar. La consideración de todos estos aspectos </w:t>
      </w:r>
      <w:bookmarkEnd w:id="10"/>
      <w:r w:rsidRPr="6DB59E88">
        <w:rPr>
          <w:rFonts w:ascii="Verdana" w:eastAsia="Calibri" w:hAnsi="Verdana" w:cs="Arial"/>
          <w:lang w:val="es-ES" w:eastAsia="es-MX"/>
        </w:rPr>
        <w:t xml:space="preserve">permite que los contratos resultantes de la planeación cuenten con el sustento técnico, económico y jurídico que incidirá </w:t>
      </w:r>
      <w:r w:rsidRPr="6DB59E88">
        <w:rPr>
          <w:rFonts w:ascii="Verdana" w:eastAsia="Times New Roman" w:hAnsi="Verdana" w:cs="Arial"/>
          <w:lang w:val="es-ES" w:eastAsia="es-MX"/>
        </w:rPr>
        <w:t>en una adecuada ejecución.</w:t>
      </w:r>
    </w:p>
    <w:p w14:paraId="71F4642A" w14:textId="77777777" w:rsidR="008D0A36" w:rsidRPr="00A068FC" w:rsidRDefault="008D0A36" w:rsidP="008D0A36">
      <w:pPr>
        <w:spacing w:after="120" w:line="276" w:lineRule="auto"/>
        <w:ind w:right="102" w:firstLine="709"/>
        <w:jc w:val="both"/>
        <w:rPr>
          <w:rFonts w:ascii="Verdana" w:eastAsia="Times New Roman" w:hAnsi="Verdana" w:cs="Arial"/>
          <w:lang w:val="es-ES_tradnl" w:eastAsia="es-MX"/>
        </w:rPr>
      </w:pPr>
      <w:r w:rsidRPr="00A068FC">
        <w:rPr>
          <w:rFonts w:ascii="Verdana" w:eastAsia="Times New Roman" w:hAnsi="Verdana" w:cs="Arial"/>
          <w:lang w:val="es-ES_tradnl" w:eastAsia="es-MX"/>
        </w:rPr>
        <w:t>Más allá del cumplimiento de la normativa, “los estudios y documentos previos son el soporte para elaborar el proyecto de pliegos, los pliegos de condiciones, y el contrato”</w:t>
      </w:r>
      <w:r w:rsidRPr="00A068FC">
        <w:rPr>
          <w:rFonts w:ascii="Verdana" w:eastAsia="Times New Roman" w:hAnsi="Verdana" w:cs="Arial"/>
          <w:vertAlign w:val="superscript"/>
          <w:lang w:val="es-ES_tradnl" w:eastAsia="es-MX"/>
        </w:rPr>
        <w:footnoteReference w:id="18"/>
      </w:r>
      <w:r w:rsidRPr="00A068FC">
        <w:rPr>
          <w:rFonts w:ascii="Verdana" w:eastAsia="Times New Roman" w:hAnsi="Verdana" w:cs="Arial"/>
          <w:lang w:val="es-ES_tradnl" w:eastAsia="es-MX"/>
        </w:rPr>
        <w:t xml:space="preserve">, por lo que deben publicarse en la etapa precontractual y sirven de motivación para los documentos expedidos unilateralmente por la Entidad Estatal tales como el acto administrativo de apertura, los pliegos de condiciones y el acto de adjudicación, entre otros. En ese sentido, </w:t>
      </w:r>
      <w:bookmarkStart w:id="12" w:name="_Hlk54011438"/>
      <w:r w:rsidRPr="00A068FC">
        <w:rPr>
          <w:rFonts w:ascii="Verdana" w:eastAsia="Times New Roman" w:hAnsi="Verdana" w:cs="Arial"/>
          <w:lang w:val="es-ES_tradnl" w:eastAsia="es-MX"/>
        </w:rPr>
        <w:t>los estudios y documentos previos son necesarios antes de la celebración del contrato, pues fundamentan las condiciones que la Entidad Estatal exige en su Proceso de Contratación. Sin embargo, luego de la suscripción del contrato la entidad no debe actuar unilateralmente, sino que debe respetar la buena fe contractual y proceder de acuerdo con lo pactado</w:t>
      </w:r>
      <w:bookmarkEnd w:id="12"/>
      <w:r w:rsidRPr="00A068FC">
        <w:rPr>
          <w:rFonts w:ascii="Verdana" w:eastAsia="Times New Roman" w:hAnsi="Verdana" w:cs="Arial"/>
          <w:vertAlign w:val="superscript"/>
          <w:lang w:val="es-ES_tradnl" w:eastAsia="es-MX"/>
        </w:rPr>
        <w:footnoteReference w:id="19"/>
      </w:r>
      <w:r w:rsidRPr="00A068FC">
        <w:rPr>
          <w:rFonts w:ascii="Verdana" w:eastAsia="Times New Roman" w:hAnsi="Verdana" w:cs="Arial"/>
          <w:lang w:val="es-ES_tradnl" w:eastAsia="es-MX"/>
        </w:rPr>
        <w:t>.</w:t>
      </w:r>
    </w:p>
    <w:p w14:paraId="47B39E1C" w14:textId="77777777" w:rsidR="008D0A36" w:rsidRDefault="008D0A36" w:rsidP="008D0A36">
      <w:pPr>
        <w:spacing w:after="120" w:line="276" w:lineRule="auto"/>
        <w:ind w:firstLine="709"/>
        <w:jc w:val="both"/>
        <w:rPr>
          <w:rFonts w:ascii="Verdana" w:eastAsia="Times New Roman" w:hAnsi="Verdana" w:cs="Arial"/>
          <w:szCs w:val="24"/>
          <w:lang w:eastAsia="es-ES_tradnl"/>
        </w:rPr>
      </w:pPr>
      <w:r w:rsidRPr="00A068FC">
        <w:rPr>
          <w:rFonts w:ascii="Verdana" w:eastAsia="Times New Roman" w:hAnsi="Verdana" w:cs="Arial"/>
          <w:szCs w:val="24"/>
          <w:lang w:eastAsia="es-ES_tradnl"/>
        </w:rPr>
        <w:t xml:space="preserve">Ahora bien, el numeral 12 del artículo 25 de la Ley 80 de 1993, antes citado, establece el deber de las entidades de realizar estudios previos en dos (2) momentos específicos: i) previo a la apertura de un proceso de selección y </w:t>
      </w:r>
      <w:proofErr w:type="spellStart"/>
      <w:r w:rsidRPr="00A068FC">
        <w:rPr>
          <w:rFonts w:ascii="Verdana" w:eastAsia="Times New Roman" w:hAnsi="Verdana" w:cs="Arial"/>
          <w:szCs w:val="24"/>
          <w:lang w:eastAsia="es-ES_tradnl"/>
        </w:rPr>
        <w:t>ii</w:t>
      </w:r>
      <w:proofErr w:type="spellEnd"/>
      <w:r w:rsidRPr="00A068FC">
        <w:rPr>
          <w:rFonts w:ascii="Verdana" w:eastAsia="Times New Roman" w:hAnsi="Verdana" w:cs="Arial"/>
          <w:szCs w:val="24"/>
          <w:lang w:eastAsia="es-ES_tradnl"/>
        </w:rPr>
        <w:t xml:space="preserve">) previo a la firma del contrato en el caso en que la modalidad de selección sea contratación directa. </w:t>
      </w:r>
    </w:p>
    <w:p w14:paraId="50C585F1" w14:textId="77777777" w:rsidR="008D0A36" w:rsidRPr="008227F7" w:rsidRDefault="008D0A36" w:rsidP="000E0778">
      <w:pPr>
        <w:spacing w:after="120" w:line="276" w:lineRule="auto"/>
        <w:ind w:firstLine="709"/>
        <w:jc w:val="both"/>
        <w:rPr>
          <w:rFonts w:ascii="Verdana" w:eastAsia="Times New Roman" w:hAnsi="Verdana" w:cs="Arial"/>
          <w:szCs w:val="24"/>
          <w:lang w:eastAsia="es-ES_tradnl"/>
        </w:rPr>
      </w:pPr>
      <w:r>
        <w:rPr>
          <w:rFonts w:ascii="Verdana" w:eastAsia="Times New Roman" w:hAnsi="Verdana" w:cs="Arial"/>
          <w:szCs w:val="24"/>
          <w:lang w:eastAsia="es-ES_tradnl"/>
        </w:rPr>
        <w:t xml:space="preserve">Tratándose de contratos de concesión de espacios y todos aquellos que puedan clasificarse como atípicos, de conformidad con </w:t>
      </w:r>
      <w:r w:rsidRPr="00A068FC">
        <w:rPr>
          <w:rFonts w:ascii="Verdana" w:eastAsia="Times New Roman" w:hAnsi="Verdana" w:cs="Arial"/>
          <w:szCs w:val="24"/>
          <w:lang w:eastAsia="es-ES_tradnl"/>
        </w:rPr>
        <w:t>el numeral 12 del artículo 25 de la Ley 80 de 1993</w:t>
      </w:r>
      <w:r>
        <w:rPr>
          <w:rFonts w:ascii="Verdana" w:eastAsia="Times New Roman" w:hAnsi="Verdana" w:cs="Arial"/>
          <w:szCs w:val="24"/>
          <w:lang w:eastAsia="es-ES_tradnl"/>
        </w:rPr>
        <w:t xml:space="preserve">, tanto previo a la apertura del proceso de selección deberá realizarse los respectivos estudios previos. Esta Agencia considera que todos los deberes derivados del principio de planeación son aplicables al contrato de concesión, en la medida los principios son transversales a todas las tipologías </w:t>
      </w:r>
      <w:r>
        <w:rPr>
          <w:rFonts w:ascii="Verdana" w:eastAsia="Times New Roman" w:hAnsi="Verdana" w:cs="Arial"/>
          <w:szCs w:val="24"/>
          <w:lang w:eastAsia="es-ES_tradnl"/>
        </w:rPr>
        <w:lastRenderedPageBreak/>
        <w:t xml:space="preserve">contractuales, independientemente de que estos se clasifiquen en típicos o atípicos. </w:t>
      </w:r>
    </w:p>
    <w:p w14:paraId="44B04C5C" w14:textId="77777777" w:rsidR="008D0A36" w:rsidRDefault="008D0A36" w:rsidP="000E0778">
      <w:pPr>
        <w:spacing w:after="120" w:line="276" w:lineRule="auto"/>
        <w:ind w:firstLine="709"/>
        <w:jc w:val="both"/>
        <w:rPr>
          <w:rFonts w:ascii="Verdana" w:hAnsi="Verdana"/>
        </w:rPr>
      </w:pPr>
      <w:r>
        <w:rPr>
          <w:rFonts w:ascii="Verdana" w:hAnsi="Verdana"/>
        </w:rPr>
        <w:t>Precisado lo anterior, es claro concluir que l</w:t>
      </w:r>
      <w:r w:rsidRPr="000C2D90">
        <w:rPr>
          <w:rFonts w:ascii="Verdana" w:hAnsi="Verdana"/>
        </w:rPr>
        <w:t xml:space="preserve">a normativa del sistema de compra pública no define una tipología contractual referida al contrato de </w:t>
      </w:r>
      <w:r>
        <w:rPr>
          <w:rFonts w:ascii="Verdana" w:hAnsi="Verdana"/>
        </w:rPr>
        <w:t>concesión de espacios públicos</w:t>
      </w:r>
      <w:r w:rsidRPr="000C2D90">
        <w:rPr>
          <w:rFonts w:ascii="Verdana" w:hAnsi="Verdana"/>
        </w:rPr>
        <w:t xml:space="preserve">. </w:t>
      </w:r>
      <w:r>
        <w:rPr>
          <w:rFonts w:ascii="Verdana" w:hAnsi="Verdana"/>
        </w:rPr>
        <w:t>No obstante, l</w:t>
      </w:r>
      <w:r w:rsidRPr="000C2D90">
        <w:rPr>
          <w:rFonts w:ascii="Verdana" w:hAnsi="Verdana"/>
        </w:rPr>
        <w:t>as Entidades Estatales</w:t>
      </w:r>
      <w:r>
        <w:rPr>
          <w:rFonts w:ascii="Verdana" w:hAnsi="Verdana"/>
        </w:rPr>
        <w:t>,</w:t>
      </w:r>
      <w:r w:rsidRPr="000C2D90">
        <w:rPr>
          <w:rFonts w:ascii="Verdana" w:hAnsi="Verdana"/>
        </w:rPr>
        <w:t xml:space="preserve"> en virtud de la autonomía de la voluntad, pueden crear derechos y obligaciones contenidos en contratos atípicos los cuales no se encuentran prohibidos por el ordenamiento jurídico en la medida en que no contravengan el orden público y las buenas costumbres. </w:t>
      </w:r>
    </w:p>
    <w:p w14:paraId="3A6E4F25" w14:textId="77777777" w:rsidR="008D0A36" w:rsidRPr="00C766D0" w:rsidRDefault="008D0A36" w:rsidP="008D0A36">
      <w:pPr>
        <w:spacing w:after="120" w:line="276" w:lineRule="auto"/>
        <w:ind w:firstLine="708"/>
        <w:jc w:val="both"/>
        <w:rPr>
          <w:rFonts w:ascii="Verdana" w:eastAsia="Century Gothic" w:hAnsi="Verdana" w:cs="Century Gothic"/>
          <w:b/>
          <w:bCs/>
          <w:lang w:eastAsia="es-ES_tradnl"/>
        </w:rPr>
      </w:pPr>
      <w:r>
        <w:rPr>
          <w:rFonts w:ascii="Verdana" w:hAnsi="Verdana"/>
        </w:rPr>
        <w:t>Se concluye entonces que, l</w:t>
      </w:r>
      <w:r w:rsidRPr="000C2D90">
        <w:rPr>
          <w:rFonts w:ascii="Verdana" w:hAnsi="Verdana"/>
        </w:rPr>
        <w:t xml:space="preserve">a normativa del sistema de compra pública no define una tipología contractual referida al contrato de </w:t>
      </w:r>
      <w:r>
        <w:rPr>
          <w:rFonts w:ascii="Verdana" w:hAnsi="Verdana"/>
        </w:rPr>
        <w:t>concesión de espacios públicos</w:t>
      </w:r>
      <w:r w:rsidRPr="000C2D90">
        <w:rPr>
          <w:rFonts w:ascii="Verdana" w:hAnsi="Verdana"/>
        </w:rPr>
        <w:t xml:space="preserve">. </w:t>
      </w:r>
      <w:r>
        <w:rPr>
          <w:rFonts w:ascii="Verdana" w:hAnsi="Verdana"/>
        </w:rPr>
        <w:t>No obstante, l</w:t>
      </w:r>
      <w:r w:rsidRPr="000C2D90">
        <w:rPr>
          <w:rFonts w:ascii="Verdana" w:hAnsi="Verdana"/>
        </w:rPr>
        <w:t>as Entidades Estatales</w:t>
      </w:r>
      <w:r>
        <w:rPr>
          <w:rFonts w:ascii="Verdana" w:hAnsi="Verdana"/>
        </w:rPr>
        <w:t>,</w:t>
      </w:r>
      <w:r w:rsidRPr="000C2D90">
        <w:rPr>
          <w:rFonts w:ascii="Verdana" w:hAnsi="Verdana"/>
        </w:rPr>
        <w:t xml:space="preserve"> en virtud de la autonomía de la voluntad, pueden crear derechos y obligaciones contenidos en contratos atípicos los cuales no se encuentran prohibidos por el ordenamiento jurídico en la medida en que no contravengan el orden público y las buenas costumbres. </w:t>
      </w:r>
    </w:p>
    <w:p w14:paraId="34DF2398" w14:textId="77777777" w:rsidR="008D0A36" w:rsidRPr="000C2D90" w:rsidRDefault="008D0A36" w:rsidP="008D0A36">
      <w:pPr>
        <w:spacing w:after="120" w:line="276" w:lineRule="auto"/>
        <w:ind w:firstLine="708"/>
        <w:jc w:val="both"/>
        <w:rPr>
          <w:rFonts w:ascii="Verdana" w:eastAsia="Calibri" w:hAnsi="Verdana" w:cs="Arial"/>
          <w:bCs/>
          <w:lang w:val="es-MX" w:eastAsia="es-ES_tradnl"/>
        </w:rPr>
      </w:pPr>
      <w:r>
        <w:rPr>
          <w:rFonts w:ascii="Verdana" w:eastAsia="Calibri" w:hAnsi="Verdana" w:cs="Arial"/>
          <w:lang w:val="es-ES_tradnl" w:eastAsia="es-ES_tradnl"/>
        </w:rPr>
        <w:t>P</w:t>
      </w:r>
      <w:r w:rsidRPr="000C2D90">
        <w:rPr>
          <w:rFonts w:ascii="Verdana" w:hAnsi="Verdana" w:cs="Arial"/>
          <w:lang w:val="es-ES"/>
        </w:rPr>
        <w:t xml:space="preserve">ara las entidades sometidas al </w:t>
      </w:r>
      <w:r>
        <w:rPr>
          <w:rFonts w:ascii="Verdana" w:hAnsi="Verdana" w:cs="Arial"/>
          <w:lang w:val="es-ES"/>
        </w:rPr>
        <w:t>EGCAP</w:t>
      </w:r>
      <w:r w:rsidRPr="000C2D90">
        <w:rPr>
          <w:rFonts w:ascii="Verdana" w:hAnsi="Verdana" w:cs="Arial"/>
          <w:lang w:val="es-ES"/>
        </w:rPr>
        <w:t xml:space="preserve">, los procesos de selección se rigen por </w:t>
      </w:r>
      <w:r w:rsidRPr="000C2D90">
        <w:rPr>
          <w:rFonts w:ascii="Verdana" w:hAnsi="Verdana" w:cs="Arial"/>
          <w:bCs/>
          <w:lang w:val="es-ES_tradnl"/>
        </w:rPr>
        <w:t>el artículo 2 de la Ley 1150 de 2007</w:t>
      </w:r>
      <w:r w:rsidRPr="000C2D90">
        <w:rPr>
          <w:rFonts w:ascii="Verdana" w:hAnsi="Verdana" w:cs="Arial"/>
          <w:lang w:val="es-ES"/>
        </w:rPr>
        <w:t xml:space="preserve">. El </w:t>
      </w:r>
      <w:r w:rsidRPr="000C2D90">
        <w:rPr>
          <w:rFonts w:ascii="Verdana" w:eastAsia="Calibri" w:hAnsi="Verdana" w:cs="Arial"/>
          <w:bCs/>
          <w:lang w:val="es-MX" w:eastAsia="es-ES_tradnl"/>
        </w:rPr>
        <w:t>numeral primero, inciso primero, de la norma citada</w:t>
      </w:r>
      <w:r w:rsidRPr="000C2D90">
        <w:rPr>
          <w:rFonts w:ascii="Verdana" w:hAnsi="Verdana" w:cs="Arial"/>
          <w:bCs/>
          <w:lang w:val="es-ES_tradnl"/>
        </w:rPr>
        <w:t xml:space="preserve"> </w:t>
      </w:r>
      <w:r w:rsidRPr="000C2D90">
        <w:rPr>
          <w:rFonts w:ascii="Verdana" w:eastAsia="Calibri" w:hAnsi="Verdana" w:cs="Arial"/>
          <w:bCs/>
          <w:lang w:val="es-MX" w:eastAsia="es-ES_tradnl"/>
        </w:rPr>
        <w:t xml:space="preserve">dispone que “La escogencia del contratista se efectuará por </w:t>
      </w:r>
      <w:r w:rsidRPr="000C2D90">
        <w:rPr>
          <w:rFonts w:ascii="Verdana" w:eastAsia="Calibri" w:hAnsi="Verdana" w:cs="Arial"/>
          <w:bCs/>
          <w:i/>
          <w:iCs/>
          <w:lang w:val="es-MX" w:eastAsia="es-ES_tradnl"/>
        </w:rPr>
        <w:t>regla general</w:t>
      </w:r>
      <w:r w:rsidRPr="000C2D90">
        <w:rPr>
          <w:rFonts w:ascii="Verdana" w:eastAsia="Calibri" w:hAnsi="Verdana" w:cs="Arial"/>
          <w:bCs/>
          <w:lang w:val="es-MX" w:eastAsia="es-ES_tradnl"/>
        </w:rPr>
        <w:t xml:space="preserve"> a través de licitación pública, con las </w:t>
      </w:r>
      <w:r w:rsidRPr="000C2D90">
        <w:rPr>
          <w:rFonts w:ascii="Verdana" w:eastAsia="Calibri" w:hAnsi="Verdana" w:cs="Arial"/>
          <w:bCs/>
          <w:i/>
          <w:iCs/>
          <w:lang w:val="es-MX" w:eastAsia="es-ES_tradnl"/>
        </w:rPr>
        <w:t>excepciones</w:t>
      </w:r>
      <w:r w:rsidRPr="000C2D90">
        <w:rPr>
          <w:rFonts w:ascii="Verdana" w:eastAsia="Calibri" w:hAnsi="Verdana" w:cs="Arial"/>
          <w:bCs/>
          <w:lang w:val="es-MX" w:eastAsia="es-ES_tradnl"/>
        </w:rPr>
        <w:t xml:space="preserve"> que se señalan en los numerales 2, 3 y 4 del presente artículo”, norma que sustituye el derogado numeral 1 del artículo 24 de la Ley 80 de 1993 sobre el principio de transparencia.</w:t>
      </w:r>
    </w:p>
    <w:p w14:paraId="6F65604C" w14:textId="0140A0FF" w:rsidR="008D0A36" w:rsidRDefault="008D0A36" w:rsidP="000E0778">
      <w:pPr>
        <w:tabs>
          <w:tab w:val="left" w:pos="142"/>
          <w:tab w:val="left" w:pos="426"/>
        </w:tabs>
        <w:spacing w:after="120" w:line="276" w:lineRule="auto"/>
        <w:ind w:firstLine="142"/>
        <w:jc w:val="both"/>
        <w:rPr>
          <w:rFonts w:ascii="Verdana" w:hAnsi="Verdana"/>
        </w:rPr>
      </w:pPr>
      <w:r>
        <w:rPr>
          <w:rFonts w:ascii="Verdana" w:eastAsia="Calibri" w:hAnsi="Verdana" w:cs="Arial"/>
          <w:bCs/>
          <w:lang w:val="es-MX" w:eastAsia="es-ES_tradnl"/>
        </w:rPr>
        <w:tab/>
      </w:r>
      <w:r>
        <w:rPr>
          <w:rFonts w:ascii="Verdana" w:eastAsia="Calibri" w:hAnsi="Verdana" w:cs="Arial"/>
          <w:bCs/>
          <w:lang w:val="es-MX" w:eastAsia="es-ES_tradnl"/>
        </w:rPr>
        <w:tab/>
      </w:r>
      <w:r w:rsidRPr="000C2D90">
        <w:rPr>
          <w:rFonts w:ascii="Verdana" w:eastAsia="Calibri" w:hAnsi="Verdana" w:cs="Arial"/>
          <w:bCs/>
          <w:lang w:val="es-MX" w:eastAsia="es-ES_tradnl"/>
        </w:rPr>
        <w:t>En este contexto, salvo norma especial que ordene la celebración del negocio jurídico por otra modalidad de selección, debe aplicarse la regla general de licitación pública. Por ello, dependiendo del objeto o el valor de presupuesto oficial, es posible la aplicación de otros procedimientos contractuales. Estos pueden ser con pluralidad de oferentes –v. gr. la selección abreviada de menor cuantía o la mínima cuantía– o sin concurrencia de proponentes –por ejemplo, la contratación directa–.</w:t>
      </w:r>
      <w:r>
        <w:rPr>
          <w:rFonts w:ascii="Verdana" w:eastAsia="Calibri" w:hAnsi="Verdana" w:cs="Arial"/>
          <w:bCs/>
          <w:lang w:val="es-MX" w:eastAsia="es-ES_tradnl"/>
        </w:rPr>
        <w:t xml:space="preserve"> Así las cosas, les corresponde a cada Entidad Estatal definir de acuerdo con el objeto del contrato y su cuantía la modalidad que proceda </w:t>
      </w:r>
      <w:r w:rsidRPr="00C23177">
        <w:rPr>
          <w:rFonts w:ascii="Verdana" w:hAnsi="Verdana"/>
        </w:rPr>
        <w:t xml:space="preserve">para la selección del contratista. </w:t>
      </w:r>
    </w:p>
    <w:p w14:paraId="1F2C3AE6" w14:textId="77777777" w:rsidR="008D0A36" w:rsidRPr="005F0A4B" w:rsidRDefault="008D0A36" w:rsidP="000E0778">
      <w:pPr>
        <w:tabs>
          <w:tab w:val="left" w:pos="142"/>
          <w:tab w:val="left" w:pos="426"/>
        </w:tabs>
        <w:spacing w:after="120" w:line="276" w:lineRule="auto"/>
        <w:jc w:val="both"/>
        <w:rPr>
          <w:rFonts w:ascii="Verdana" w:eastAsia="Calibri" w:hAnsi="Verdana" w:cs="Arial"/>
          <w:b/>
          <w:sz w:val="20"/>
          <w:szCs w:val="20"/>
          <w:lang w:val="es-ES"/>
        </w:rPr>
      </w:pPr>
      <w:r>
        <w:rPr>
          <w:rFonts w:ascii="Verdana" w:hAnsi="Verdana"/>
        </w:rPr>
        <w:tab/>
      </w:r>
      <w:r>
        <w:rPr>
          <w:rFonts w:ascii="Verdana" w:hAnsi="Verdana"/>
        </w:rPr>
        <w:tab/>
      </w:r>
      <w:r>
        <w:rPr>
          <w:rFonts w:ascii="Verdana" w:hAnsi="Verdana"/>
        </w:rPr>
        <w:tab/>
        <w:t xml:space="preserve">Ahora bien, frente a los elementos que componen los contratos atípicos como el contrato de concesión de espacios, es imperioso decir que, </w:t>
      </w:r>
      <w:r w:rsidRPr="00A068FC">
        <w:rPr>
          <w:rFonts w:ascii="Verdana" w:hAnsi="Verdana"/>
        </w:rPr>
        <w:t xml:space="preserve">las partes son las que dotan al contrato de aquellos elementos esenciales que confluyen </w:t>
      </w:r>
      <w:r w:rsidRPr="00A068FC">
        <w:rPr>
          <w:rFonts w:ascii="Verdana" w:hAnsi="Verdana"/>
        </w:rPr>
        <w:lastRenderedPageBreak/>
        <w:t xml:space="preserve">bien sea de tomar elementos propios de otras figuras o de elementos originales para crear una relación jurídica propia que difiere de las demás. </w:t>
      </w:r>
    </w:p>
    <w:p w14:paraId="7EDC439F" w14:textId="77777777" w:rsidR="008D0A36" w:rsidRPr="004B7010" w:rsidRDefault="008D0A36" w:rsidP="008D0A36">
      <w:pPr>
        <w:tabs>
          <w:tab w:val="left" w:pos="142"/>
          <w:tab w:val="left" w:pos="426"/>
        </w:tabs>
        <w:spacing w:after="120" w:line="276" w:lineRule="auto"/>
        <w:jc w:val="both"/>
        <w:rPr>
          <w:rFonts w:ascii="Verdana" w:eastAsia="Calibri" w:hAnsi="Verdana" w:cs="Arial"/>
          <w:b/>
          <w:lang w:val="es-ES"/>
        </w:rPr>
      </w:pPr>
      <w:r w:rsidRPr="004B7010">
        <w:rPr>
          <w:rFonts w:ascii="Verdana" w:hAnsi="Verdana"/>
        </w:rPr>
        <w:tab/>
      </w:r>
      <w:r w:rsidRPr="004B7010">
        <w:rPr>
          <w:rFonts w:ascii="Verdana" w:hAnsi="Verdana"/>
        </w:rPr>
        <w:tab/>
      </w:r>
      <w:r w:rsidRPr="004B7010">
        <w:rPr>
          <w:rFonts w:ascii="Verdana" w:hAnsi="Verdana"/>
        </w:rPr>
        <w:tab/>
        <w:t xml:space="preserve">Conforme lo expuesto, a juicio de la Agencia, si bien las partes pueden acordar aquellos elementos integran el contrato atípico, de acuerdo con la autonomía de la voluntad reconocida en el ordenamiento jurídico, es importante tener en cuenta los siguientes aspectos:  i) La observancia de las normas imperativas contenidas en el EGCAP, como son las reglas de formación, celebración y contenido obligatorio de los contratos estatales; </w:t>
      </w:r>
      <w:proofErr w:type="spellStart"/>
      <w:r w:rsidRPr="004B7010">
        <w:rPr>
          <w:rFonts w:ascii="Verdana" w:hAnsi="Verdana"/>
        </w:rPr>
        <w:t>ii</w:t>
      </w:r>
      <w:proofErr w:type="spellEnd"/>
      <w:r w:rsidRPr="004B7010">
        <w:rPr>
          <w:rFonts w:ascii="Verdana" w:hAnsi="Verdana"/>
        </w:rPr>
        <w:t xml:space="preserve">) los límites impuestos por el orden público; </w:t>
      </w:r>
      <w:proofErr w:type="spellStart"/>
      <w:r w:rsidRPr="004B7010">
        <w:rPr>
          <w:rFonts w:ascii="Verdana" w:hAnsi="Verdana"/>
        </w:rPr>
        <w:t>iii</w:t>
      </w:r>
      <w:proofErr w:type="spellEnd"/>
      <w:r w:rsidRPr="004B7010">
        <w:rPr>
          <w:rFonts w:ascii="Verdana" w:hAnsi="Verdana"/>
        </w:rPr>
        <w:t xml:space="preserve">) en aquellos casos en los que se encuentren vacíos en el contrato o se requiera interpretar aspectos de aquel se deberá tener en cuenta que el EGCAP opera de forma supletiva frente al silencio de las partes; </w:t>
      </w:r>
      <w:proofErr w:type="spellStart"/>
      <w:r w:rsidRPr="004B7010">
        <w:rPr>
          <w:rFonts w:ascii="Verdana" w:hAnsi="Verdana"/>
        </w:rPr>
        <w:t>iv</w:t>
      </w:r>
      <w:proofErr w:type="spellEnd"/>
      <w:r w:rsidRPr="004B7010">
        <w:rPr>
          <w:rFonts w:ascii="Verdana" w:hAnsi="Verdana"/>
        </w:rPr>
        <w:t>) las normas generales sobre contratos contenidas en las normas de derecho privado de conformidad con el artículo 13 de la Ley 80 de 1993 y v) la aplicación de los principios generales de derecho y de la administración pública en especial</w:t>
      </w:r>
      <w:r>
        <w:rPr>
          <w:rFonts w:ascii="Verdana" w:hAnsi="Verdana"/>
        </w:rPr>
        <w:t>.</w:t>
      </w:r>
    </w:p>
    <w:p w14:paraId="631B2232" w14:textId="77777777" w:rsidR="008D0A36" w:rsidRPr="00877734" w:rsidRDefault="008D0A36" w:rsidP="000E0778">
      <w:pPr>
        <w:tabs>
          <w:tab w:val="left" w:pos="142"/>
          <w:tab w:val="left" w:pos="426"/>
        </w:tabs>
        <w:spacing w:after="120" w:line="276" w:lineRule="auto"/>
        <w:ind w:firstLine="142"/>
        <w:jc w:val="both"/>
        <w:rPr>
          <w:rFonts w:ascii="Verdana" w:hAnsi="Verdana"/>
        </w:rPr>
      </w:pPr>
      <w:r>
        <w:rPr>
          <w:rFonts w:ascii="Verdana" w:eastAsia="Times New Roman" w:hAnsi="Verdana" w:cs="Times New Roman"/>
          <w:lang w:eastAsia="es-ES_tradnl"/>
        </w:rPr>
        <w:tab/>
      </w:r>
      <w:r>
        <w:rPr>
          <w:rFonts w:ascii="Verdana" w:eastAsia="Times New Roman" w:hAnsi="Verdana" w:cs="Times New Roman"/>
          <w:lang w:eastAsia="es-ES_tradnl"/>
        </w:rPr>
        <w:tab/>
        <w:t>En el caso particular de los contratos de concesión de espacios a los que se refiere su consulta</w:t>
      </w:r>
      <w:r w:rsidRPr="000C2D90">
        <w:rPr>
          <w:rFonts w:ascii="Verdana" w:eastAsia="Times New Roman" w:hAnsi="Verdana" w:cs="Times New Roman"/>
          <w:lang w:eastAsia="es-ES_tradnl"/>
        </w:rPr>
        <w:t xml:space="preserve">, se pueden extraer los siguientes elementos: a) la ocupación privativa, complementaria o compatible con el uso público del bien,- b) una remuneración a favor de la Administración propietaria por el uso privativo directamente ligado al beneficio financiero extraído de esta ocupación; c) la inclusión de una cláusula de protección de la afectación del bien, cláusulas </w:t>
      </w:r>
      <w:r w:rsidRPr="00877734">
        <w:rPr>
          <w:rFonts w:ascii="Verdana" w:hAnsi="Verdana"/>
        </w:rPr>
        <w:t>excepcionales y de reversión; y d) la imposibilidad de reconocer derechos reales en ese caso.</w:t>
      </w:r>
    </w:p>
    <w:p w14:paraId="22FBC6AF" w14:textId="10274EEB" w:rsidR="008D0A36" w:rsidRPr="00185EE9" w:rsidRDefault="008D0A36" w:rsidP="007B1EBA">
      <w:pPr>
        <w:tabs>
          <w:tab w:val="left" w:pos="142"/>
          <w:tab w:val="left" w:pos="426"/>
        </w:tabs>
        <w:spacing w:after="0" w:line="276" w:lineRule="auto"/>
        <w:ind w:firstLine="142"/>
        <w:jc w:val="both"/>
        <w:rPr>
          <w:rFonts w:ascii="Verdana" w:eastAsia="Calibri" w:hAnsi="Verdana" w:cs="Arial"/>
          <w:bCs/>
          <w:color w:val="000000" w:themeColor="text1"/>
        </w:rPr>
      </w:pPr>
      <w:r>
        <w:rPr>
          <w:rFonts w:ascii="Verdana" w:hAnsi="Verdana"/>
        </w:rPr>
        <w:tab/>
      </w:r>
      <w:r>
        <w:rPr>
          <w:rFonts w:ascii="Verdana" w:hAnsi="Verdana"/>
        </w:rPr>
        <w:tab/>
      </w:r>
      <w:r w:rsidRPr="00877734">
        <w:rPr>
          <w:rFonts w:ascii="Verdana" w:hAnsi="Verdana"/>
        </w:rPr>
        <w:t>Dentro de este marco, la entidad contratante definirá en cada caso concreto lo relacionado con el tema objeto de consulta. Al tratarse de un análisis que debe realizarse</w:t>
      </w:r>
      <w:r w:rsidRPr="00E853DE">
        <w:rPr>
          <w:rFonts w:ascii="Verdana" w:eastAsia="Calibri" w:hAnsi="Verdana" w:cs="Arial"/>
          <w:bCs/>
          <w:color w:val="000000" w:themeColor="text1"/>
        </w:rPr>
        <w:t xml:space="preserv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r>
        <w:rPr>
          <w:rStyle w:val="s15"/>
          <w:rFonts w:ascii="Verdana" w:hAnsi="Verdana"/>
          <w:color w:val="000000"/>
        </w:rPr>
        <w:t>Esto significa que</w:t>
      </w:r>
      <w:r w:rsidRPr="00925D18">
        <w:rPr>
          <w:rStyle w:val="s15"/>
          <w:rFonts w:ascii="Verdana" w:hAnsi="Verdana"/>
          <w:color w:val="000000"/>
        </w:rPr>
        <w:t>,</w:t>
      </w:r>
      <w:r>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Pr>
          <w:rStyle w:val="Refdenotaalpie"/>
          <w:rFonts w:ascii="Verdana" w:eastAsia="Calibri" w:hAnsi="Verdana" w:cs="Arial"/>
          <w:bCs/>
          <w:color w:val="000000" w:themeColor="text1"/>
        </w:rPr>
        <w:footnoteReference w:id="20"/>
      </w:r>
      <w:r>
        <w:rPr>
          <w:rFonts w:ascii="Verdana" w:eastAsia="Calibri" w:hAnsi="Verdana" w:cs="Arial"/>
          <w:bCs/>
          <w:color w:val="000000" w:themeColor="text1"/>
        </w:rPr>
        <w:t xml:space="preserve">. </w:t>
      </w:r>
    </w:p>
    <w:p w14:paraId="4F0B3B7D" w14:textId="77777777" w:rsidR="007B1EBA" w:rsidRPr="007B1EBA" w:rsidRDefault="007B1EBA" w:rsidP="000E0778">
      <w:pPr>
        <w:tabs>
          <w:tab w:val="left" w:pos="142"/>
          <w:tab w:val="left" w:pos="426"/>
        </w:tabs>
        <w:spacing w:after="0" w:line="276" w:lineRule="auto"/>
        <w:ind w:firstLine="142"/>
        <w:jc w:val="both"/>
        <w:rPr>
          <w:rFonts w:ascii="Verdana" w:eastAsia="Calibri" w:hAnsi="Verdana" w:cs="Arial"/>
          <w:bCs/>
          <w:color w:val="000000" w:themeColor="text1"/>
        </w:rPr>
      </w:pPr>
    </w:p>
    <w:p w14:paraId="3001FE58" w14:textId="77777777" w:rsidR="008D0A36" w:rsidRPr="00A77871" w:rsidRDefault="008D0A36" w:rsidP="000E0778">
      <w:pPr>
        <w:numPr>
          <w:ilvl w:val="0"/>
          <w:numId w:val="16"/>
        </w:numPr>
        <w:tabs>
          <w:tab w:val="left" w:pos="142"/>
          <w:tab w:val="left" w:pos="284"/>
        </w:tabs>
        <w:spacing w:after="0" w:line="276" w:lineRule="auto"/>
        <w:jc w:val="both"/>
        <w:rPr>
          <w:rFonts w:ascii="Verdana" w:eastAsia="Century Gothic" w:hAnsi="Verdana" w:cs="Century Gothic"/>
          <w:b/>
          <w:bCs/>
        </w:rPr>
      </w:pPr>
      <w:r w:rsidRPr="00A77871">
        <w:rPr>
          <w:rFonts w:ascii="Verdana" w:eastAsia="Century Gothic" w:hAnsi="Verdana" w:cs="Century Gothic"/>
          <w:b/>
          <w:bCs/>
        </w:rPr>
        <w:t>Referencias normativas y jurisprudenciales:</w:t>
      </w:r>
    </w:p>
    <w:p w14:paraId="5787367B" w14:textId="77777777" w:rsidR="008D0A36" w:rsidRPr="00A77871" w:rsidRDefault="008D0A36" w:rsidP="008D0A36">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D0A36" w:rsidRPr="00A77871" w14:paraId="574EF2FA" w14:textId="77777777" w:rsidTr="00CD1FB2">
        <w:trPr>
          <w:trHeight w:val="410"/>
          <w:jc w:val="center"/>
        </w:trPr>
        <w:tc>
          <w:tcPr>
            <w:tcW w:w="8647" w:type="dxa"/>
          </w:tcPr>
          <w:p w14:paraId="7941F594"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Pr>
                <w:rFonts w:ascii="Verdana" w:eastAsia="Calibri" w:hAnsi="Verdana"/>
              </w:rPr>
              <w:t>C</w:t>
            </w:r>
            <w:r w:rsidRPr="00232E1D">
              <w:rPr>
                <w:rFonts w:ascii="Verdana" w:eastAsia="Calibri" w:hAnsi="Verdana"/>
              </w:rPr>
              <w:t>ódigo Civil, art</w:t>
            </w:r>
            <w:r>
              <w:rPr>
                <w:rFonts w:ascii="Verdana" w:eastAsia="Calibri" w:hAnsi="Verdana"/>
              </w:rPr>
              <w:t>ículo</w:t>
            </w:r>
            <w:r w:rsidRPr="00232E1D">
              <w:rPr>
                <w:rFonts w:ascii="Verdana" w:eastAsia="Calibri" w:hAnsi="Verdana"/>
              </w:rPr>
              <w:t xml:space="preserve"> 1495.</w:t>
            </w:r>
          </w:p>
          <w:p w14:paraId="72773A5B"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Código de Comercio, art</w:t>
            </w:r>
            <w:r>
              <w:rPr>
                <w:rFonts w:ascii="Verdana" w:eastAsia="Calibri" w:hAnsi="Verdana"/>
              </w:rPr>
              <w:t>ículo</w:t>
            </w:r>
            <w:r w:rsidRPr="00232E1D">
              <w:rPr>
                <w:rFonts w:ascii="Verdana" w:eastAsia="Calibri" w:hAnsi="Verdana"/>
              </w:rPr>
              <w:t xml:space="preserve"> 864.</w:t>
            </w:r>
          </w:p>
          <w:p w14:paraId="63069E2E"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Ley 80 de 1993, art</w:t>
            </w:r>
            <w:r>
              <w:rPr>
                <w:rFonts w:ascii="Verdana" w:eastAsia="Calibri" w:hAnsi="Verdana"/>
              </w:rPr>
              <w:t>ículo</w:t>
            </w:r>
            <w:r w:rsidRPr="00232E1D">
              <w:rPr>
                <w:rFonts w:ascii="Verdana" w:eastAsia="Calibri" w:hAnsi="Verdana"/>
              </w:rPr>
              <w:t xml:space="preserve"> 32.</w:t>
            </w:r>
          </w:p>
          <w:p w14:paraId="0FEF44EC"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Sección Tercera, sentencia del 23 de septiembre de 1997, Rad. S-701.</w:t>
            </w:r>
          </w:p>
          <w:p w14:paraId="6933CF06"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 xml:space="preserve">Consejo de Estado, Sección Primera, sentencia del 11 de noviembre de 1999, </w:t>
            </w:r>
            <w:proofErr w:type="spellStart"/>
            <w:r w:rsidRPr="00232E1D">
              <w:rPr>
                <w:rFonts w:ascii="Verdana" w:eastAsia="Calibri" w:hAnsi="Verdana"/>
              </w:rPr>
              <w:t>Exp</w:t>
            </w:r>
            <w:proofErr w:type="spellEnd"/>
            <w:r w:rsidRPr="00232E1D">
              <w:rPr>
                <w:rFonts w:ascii="Verdana" w:eastAsia="Calibri" w:hAnsi="Verdana"/>
              </w:rPr>
              <w:t>. 5286.</w:t>
            </w:r>
          </w:p>
          <w:p w14:paraId="039A095A"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Sección Tercera, sentencia del 4 de abril de 2002, Rad. 17.244.</w:t>
            </w:r>
          </w:p>
          <w:p w14:paraId="476571F3"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Ley 1150 de 2007, art. 2.</w:t>
            </w:r>
          </w:p>
          <w:p w14:paraId="19D15038"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Sección Tercera, sentencia del 21 de abril de 2005, Rad. 14651.</w:t>
            </w:r>
          </w:p>
          <w:p w14:paraId="0DFF3F20"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Sección Tercera, auto del 30 de enero de 2008, Rad. 32.867.</w:t>
            </w:r>
          </w:p>
          <w:p w14:paraId="14256CBE" w14:textId="77777777" w:rsidR="008D0A36"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Sala de Consulta y Servicio Civil, sentencia del 12 de marzo de 2009, Rad. 1942.</w:t>
            </w:r>
          </w:p>
          <w:p w14:paraId="7AC97EC0" w14:textId="77777777" w:rsidR="008D0A36" w:rsidRPr="00232E1D"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232E1D">
              <w:rPr>
                <w:rFonts w:ascii="Verdana" w:eastAsia="Calibri" w:hAnsi="Verdana"/>
              </w:rPr>
              <w:t>Consejo de Estado, Sala Plena, sentencia del 14 de agosto de 2018, Rad. 05001-33-31-003-2009-00157-01(AP)SU.</w:t>
            </w:r>
          </w:p>
          <w:p w14:paraId="1F1081C4" w14:textId="77777777" w:rsidR="008D0A36" w:rsidRPr="003B67EE" w:rsidRDefault="008D0A36" w:rsidP="000E0778">
            <w:pPr>
              <w:pStyle w:val="Prrafodelista"/>
              <w:widowControl w:val="0"/>
              <w:numPr>
                <w:ilvl w:val="0"/>
                <w:numId w:val="17"/>
              </w:numPr>
              <w:autoSpaceDE w:val="0"/>
              <w:autoSpaceDN w:val="0"/>
              <w:spacing w:line="276" w:lineRule="auto"/>
              <w:jc w:val="both"/>
              <w:rPr>
                <w:rFonts w:ascii="Verdana" w:eastAsia="Calibri" w:hAnsi="Verdana"/>
              </w:rPr>
            </w:pPr>
            <w:r w:rsidRPr="003B67EE">
              <w:rPr>
                <w:rFonts w:ascii="Verdana" w:eastAsia="Calibri" w:hAnsi="Verdana"/>
                <w:lang w:val="es-CO"/>
              </w:rPr>
              <w:t xml:space="preserve">DEIK ACOSTAMADIEDO, Carolina, Guía de Contratación Estatal: Deber de planeación y modalidades de selección, Buenos Aires, 2015, p. 59. </w:t>
            </w:r>
            <w:r w:rsidRPr="00232E1D">
              <w:rPr>
                <w:rFonts w:ascii="Verdana" w:eastAsia="Calibri" w:hAnsi="Verdana"/>
              </w:rPr>
              <w:t>Consejo de Estado, Sala de Consulta y Servicio Civil, concepto del 15 de mayo de 2018, Rad. 2335.</w:t>
            </w:r>
          </w:p>
        </w:tc>
      </w:tr>
    </w:tbl>
    <w:p w14:paraId="63F1C622" w14:textId="77777777" w:rsidR="007B1EBA" w:rsidRPr="000E0778" w:rsidRDefault="007B1EBA" w:rsidP="000E0778">
      <w:pPr>
        <w:widowControl w:val="0"/>
        <w:tabs>
          <w:tab w:val="left" w:pos="142"/>
          <w:tab w:val="left" w:pos="284"/>
        </w:tabs>
        <w:autoSpaceDE w:val="0"/>
        <w:autoSpaceDN w:val="0"/>
        <w:spacing w:after="0" w:line="276" w:lineRule="auto"/>
        <w:ind w:left="360"/>
        <w:jc w:val="both"/>
        <w:rPr>
          <w:rFonts w:ascii="Verdana" w:eastAsia="Calibri" w:hAnsi="Verdana" w:cs="Arial"/>
          <w:color w:val="000000"/>
          <w:kern w:val="2"/>
          <w:shd w:val="clear" w:color="auto" w:fill="FFFFFF"/>
          <w14:ligatures w14:val="standardContextual"/>
        </w:rPr>
      </w:pPr>
    </w:p>
    <w:p w14:paraId="0ACC3232" w14:textId="76F65A43" w:rsidR="008D0A36" w:rsidRPr="00F15CD1" w:rsidRDefault="008D0A36" w:rsidP="000E0778">
      <w:pPr>
        <w:widowControl w:val="0"/>
        <w:numPr>
          <w:ilvl w:val="0"/>
          <w:numId w:val="16"/>
        </w:numPr>
        <w:tabs>
          <w:tab w:val="left" w:pos="142"/>
          <w:tab w:val="left" w:pos="284"/>
        </w:tabs>
        <w:autoSpaceDE w:val="0"/>
        <w:autoSpaceDN w:val="0"/>
        <w:spacing w:after="0" w:line="276" w:lineRule="auto"/>
        <w:jc w:val="both"/>
        <w:rPr>
          <w:rFonts w:ascii="Verdana" w:eastAsia="Calibri" w:hAnsi="Verdana" w:cs="Arial"/>
          <w:color w:val="000000"/>
          <w:kern w:val="2"/>
          <w:shd w:val="clear" w:color="auto" w:fill="FFFFFF"/>
          <w14:ligatures w14:val="standardContextual"/>
        </w:rPr>
      </w:pPr>
      <w:r w:rsidRPr="00F15CD1">
        <w:rPr>
          <w:rFonts w:ascii="Verdana" w:eastAsia="Century Gothic" w:hAnsi="Verdana" w:cs="Century Gothic"/>
          <w:b/>
          <w:bCs/>
        </w:rPr>
        <w:t>Doctrina de la Agencia Nacional de Contratación Pública:</w:t>
      </w:r>
    </w:p>
    <w:p w14:paraId="4CC106E3" w14:textId="77777777" w:rsidR="007B1EBA" w:rsidRDefault="007B1EBA" w:rsidP="007B1EBA">
      <w:pPr>
        <w:widowControl w:val="0"/>
        <w:autoSpaceDE w:val="0"/>
        <w:autoSpaceDN w:val="0"/>
        <w:spacing w:after="0" w:line="276" w:lineRule="auto"/>
        <w:jc w:val="both"/>
        <w:rPr>
          <w:rFonts w:ascii="Verdana" w:eastAsia="Calibri" w:hAnsi="Verdana" w:cs="Arial"/>
          <w:shd w:val="clear" w:color="auto" w:fill="FFFFFF"/>
        </w:rPr>
      </w:pPr>
    </w:p>
    <w:p w14:paraId="56AE65AE" w14:textId="4D4AE1B0" w:rsidR="008D0A36" w:rsidRPr="00CE564B" w:rsidRDefault="008D0A36" w:rsidP="008D0A36">
      <w:pPr>
        <w:widowControl w:val="0"/>
        <w:autoSpaceDE w:val="0"/>
        <w:autoSpaceDN w:val="0"/>
        <w:spacing w:after="0" w:line="276" w:lineRule="auto"/>
        <w:jc w:val="both"/>
        <w:rPr>
          <w:rFonts w:ascii="Verdana" w:eastAsia="Calibri" w:hAnsi="Verdana" w:cs="Times New Roman"/>
          <w:shd w:val="clear" w:color="auto" w:fill="FFFFFF"/>
        </w:rPr>
      </w:pPr>
      <w:r w:rsidRPr="00C22CFF">
        <w:rPr>
          <w:rFonts w:ascii="Verdana" w:eastAsia="Calibri" w:hAnsi="Verdana" w:cs="Arial"/>
          <w:shd w:val="clear" w:color="auto" w:fill="FFFFFF"/>
        </w:rPr>
        <w:t>La Agencia Nacional de Contratación Pública – Colombia Compra Eficiente</w:t>
      </w:r>
      <w:r w:rsidRPr="00C22CFF">
        <w:rPr>
          <w:rFonts w:ascii="Verdana" w:eastAsia="Calibri" w:hAnsi="Verdana" w:cs="Times New Roman"/>
          <w:shd w:val="clear" w:color="auto" w:fill="FFFFFF"/>
        </w:rPr>
        <w:t xml:space="preserve"> </w:t>
      </w:r>
      <w:r w:rsidRPr="00C22CFF">
        <w:rPr>
          <w:rFonts w:ascii="Verdana" w:eastAsia="Calibri" w:hAnsi="Verdana" w:cs="Times New Roman"/>
          <w:shd w:val="clear" w:color="auto" w:fill="FFFFFF"/>
          <w:lang w:val="es-ES_tradnl"/>
        </w:rPr>
        <w:t xml:space="preserve">se pronunció sobre </w:t>
      </w:r>
      <w:r>
        <w:rPr>
          <w:rFonts w:ascii="Verdana" w:eastAsia="Calibri" w:hAnsi="Verdana" w:cs="Times New Roman"/>
          <w:shd w:val="clear" w:color="auto" w:fill="FFFFFF"/>
          <w:lang w:val="es-ES_tradnl"/>
        </w:rPr>
        <w:t>asuntos de similar naturaleza en los</w:t>
      </w:r>
      <w:r w:rsidRPr="00C22CFF">
        <w:rPr>
          <w:rFonts w:ascii="Verdana" w:eastAsia="Calibri" w:hAnsi="Verdana" w:cs="Times New Roman"/>
          <w:shd w:val="clear" w:color="auto" w:fill="FFFFFF"/>
          <w:lang w:val="es-ES_tradnl"/>
        </w:rPr>
        <w:t xml:space="preserve"> conceptos No. </w:t>
      </w:r>
      <w:r w:rsidRPr="00C22CFF">
        <w:rPr>
          <w:rFonts w:ascii="Verdana" w:eastAsia="Calibri" w:hAnsi="Verdana" w:cs="Times New Roman"/>
          <w:shd w:val="clear" w:color="auto" w:fill="FFFFFF"/>
          <w:lang w:val="es-ES_tradnl"/>
        </w:rPr>
        <w:lastRenderedPageBreak/>
        <w:t>4201912000006310 del 9 de octubre de 2019, C-223 del 29 de abril de 2020, C-443 del 7 de julio de 2020 y, en particular, en los conceptos C-701 de 7 de diciembre de 2020, C-726 de 14 de diciembre de 2020</w:t>
      </w:r>
      <w:r w:rsidRPr="00C22CFF">
        <w:rPr>
          <w:rFonts w:ascii="Verdana" w:eastAsia="Calibri" w:hAnsi="Verdana" w:cs="Times New Roman"/>
          <w:shd w:val="clear" w:color="auto" w:fill="FFFFFF"/>
        </w:rPr>
        <w:t xml:space="preserve"> y C-150 del 9 de abril de 2021, C-418 del 18 de agosto de 2021, C-561 del 8 de octubre de 2021, C-564 del 30 de mayo de 2024, entre otros. En torno a los contratos de arrendamiento se han expedido los siguientes conceptos C-270 del 8 de abril de 2025, C-319 del 18 de febrero de 2025, C-826 del 25 de noviembre de 2025, C-723 del 19 de noviembre de 2024, C-293 del 20 de agosto de 2024, entre otros. </w:t>
      </w:r>
    </w:p>
    <w:p w14:paraId="629CB87F" w14:textId="77777777" w:rsidR="007B1EBA" w:rsidRDefault="007B1EBA" w:rsidP="007B1EBA">
      <w:pPr>
        <w:widowControl w:val="0"/>
        <w:spacing w:after="0" w:line="276" w:lineRule="auto"/>
        <w:jc w:val="both"/>
        <w:rPr>
          <w:rFonts w:ascii="Verdana" w:eastAsia="Verdana" w:hAnsi="Verdana" w:cs="Verdana"/>
        </w:rPr>
      </w:pPr>
    </w:p>
    <w:p w14:paraId="7B7FA2EB" w14:textId="15D9E116" w:rsidR="008D0A36" w:rsidRPr="00F15CD1" w:rsidRDefault="008D0A36" w:rsidP="008D0A36">
      <w:pPr>
        <w:widowControl w:val="0"/>
        <w:spacing w:after="0" w:line="276" w:lineRule="auto"/>
        <w:jc w:val="both"/>
        <w:rPr>
          <w:rFonts w:ascii="Verdana" w:eastAsia="Verdana" w:hAnsi="Verdana" w:cs="Verdana"/>
          <w:highlight w:val="white"/>
        </w:rPr>
      </w:pPr>
      <w:r>
        <w:rPr>
          <w:rFonts w:ascii="Verdana" w:eastAsia="Verdana" w:hAnsi="Verdana" w:cs="Verdana"/>
        </w:rPr>
        <w:t>E</w:t>
      </w:r>
      <w:r w:rsidRPr="00F15CD1">
        <w:rPr>
          <w:rFonts w:ascii="Verdana" w:eastAsia="Verdana" w:hAnsi="Verdana" w:cs="Verdana"/>
        </w:rPr>
        <w:t>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w:t>
      </w:r>
      <w:r w:rsidRPr="00F32815">
        <w:rPr>
          <w:rFonts w:ascii="Verdana" w:eastAsia="Verdana" w:hAnsi="Verdana" w:cs="Verdana"/>
        </w:rPr>
        <w:t xml:space="preserve">e Gestión Contractual, accede a través del siguiente enlace: </w:t>
      </w:r>
      <w:hyperlink r:id="rId13">
        <w:r w:rsidRPr="00F15CD1">
          <w:rPr>
            <w:rFonts w:ascii="Verdana" w:eastAsia="Verdana" w:hAnsi="Verdana" w:cs="Verdana"/>
            <w:color w:val="0000FF"/>
            <w:u w:val="single"/>
          </w:rPr>
          <w:t>https://relatoria.colombiacompra.gov.co/busqueda/conceptos</w:t>
        </w:r>
      </w:hyperlink>
      <w:r w:rsidRPr="00F15CD1">
        <w:rPr>
          <w:rFonts w:ascii="Verdana" w:eastAsia="Verdana" w:hAnsi="Verdana" w:cs="Verdana"/>
        </w:rPr>
        <w:t xml:space="preserve">. </w:t>
      </w:r>
    </w:p>
    <w:p w14:paraId="2E23289D" w14:textId="77777777" w:rsidR="007B1EBA" w:rsidRDefault="007B1EBA" w:rsidP="007B1EBA">
      <w:pPr>
        <w:spacing w:after="0" w:line="276" w:lineRule="auto"/>
        <w:jc w:val="both"/>
        <w:rPr>
          <w:rFonts w:ascii="Verdana" w:hAnsi="Verdana"/>
        </w:rPr>
      </w:pPr>
    </w:p>
    <w:p w14:paraId="6A9A01FC" w14:textId="315EC01F" w:rsidR="008D0A36" w:rsidRDefault="008D0A36" w:rsidP="007B1EBA">
      <w:pPr>
        <w:spacing w:after="0" w:line="276" w:lineRule="auto"/>
        <w:jc w:val="both"/>
        <w:rPr>
          <w:rStyle w:val="Hipervnculo"/>
          <w:rFonts w:ascii="Verdana" w:hAnsi="Verdana"/>
        </w:rPr>
      </w:pPr>
      <w:r w:rsidRPr="00F15CD1">
        <w:rPr>
          <w:rFonts w:ascii="Verdana" w:hAnsi="Verdana"/>
        </w:rPr>
        <w:t xml:space="preserve">Las garantías no son un requisito formal: son el </w:t>
      </w:r>
      <w:r w:rsidRPr="00F32815">
        <w:rPr>
          <w:rFonts w:ascii="Verdana" w:hAnsi="Verdana"/>
        </w:rPr>
        <w:t>instrumento con el que se protege el patrimonio público frente a los riesgos del contrato. Por ello, la Agencia Nacional de Contratación Pública –Colombia Compra Eficiente– te invita a consultar la nueva versión de la </w:t>
      </w:r>
      <w:r w:rsidRPr="00F15CD1">
        <w:rPr>
          <w:rFonts w:ascii="Verdana" w:hAnsi="Verdana"/>
          <w:b/>
          <w:bCs/>
        </w:rPr>
        <w:t>Guía para la Exigencia y Constitución de Garantías en los Procesos de Contratación</w:t>
      </w:r>
      <w:r w:rsidRPr="00F15CD1">
        <w:rPr>
          <w:rFonts w:ascii="Verdana" w:hAnsi="Verdana"/>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w:t>
      </w:r>
      <w:r w:rsidRPr="007B1EBA">
        <w:rPr>
          <w:rFonts w:ascii="Verdana" w:hAnsi="Verdana"/>
        </w:rPr>
        <w:t>Consúltala aquí: </w:t>
      </w:r>
      <w:hyperlink r:id="rId14" w:tooltip="Dirección URL original: https://www.colombiacompra.gov.co/archivos/manual/guia-de-garantias-en-procesos-de-contratacion. Haga clic o pulse si confía en este vínculo." w:history="1">
        <w:r w:rsidRPr="007B1EBA">
          <w:rPr>
            <w:rStyle w:val="Hipervnculo"/>
            <w:rFonts w:ascii="Verdana" w:hAnsi="Verdana"/>
          </w:rPr>
          <w:t>https://www.colombiacompra.gov.co/archivos/manual/guia-de-garantias-en-procesos-de-contratacion</w:t>
        </w:r>
      </w:hyperlink>
    </w:p>
    <w:p w14:paraId="1AFD32E4" w14:textId="77777777" w:rsidR="007B1EBA" w:rsidRPr="007B1EBA" w:rsidRDefault="007B1EBA" w:rsidP="000E0778">
      <w:pPr>
        <w:spacing w:after="0" w:line="276" w:lineRule="auto"/>
        <w:jc w:val="both"/>
        <w:rPr>
          <w:rFonts w:ascii="Verdana" w:hAnsi="Verdana"/>
        </w:rPr>
      </w:pPr>
    </w:p>
    <w:p w14:paraId="314B210D" w14:textId="7E960F32" w:rsidR="008D0A36" w:rsidRDefault="008D0A36" w:rsidP="007B1EBA">
      <w:pPr>
        <w:spacing w:after="0" w:line="276" w:lineRule="auto"/>
        <w:jc w:val="both"/>
        <w:rPr>
          <w:rStyle w:val="Hipervnculo"/>
          <w:rFonts w:ascii="Verdana" w:hAnsi="Verdana"/>
        </w:rPr>
      </w:pPr>
      <w:r w:rsidRPr="00F15CD1">
        <w:rPr>
          <w:rFonts w:ascii="Verdana" w:hAnsi="Verdana"/>
        </w:rPr>
        <w:t>De otro lado, te contamos que el Decreto 287 del 19 de marzo de 2026 sustituyó los artículos 2.2.1.2.4.2.6., 2.2.1.2.4.2.7. y 2.2.1.2.4.2.8. del Decreto 1082 de 2015 y estructuró el </w:t>
      </w:r>
      <w:r w:rsidRPr="00F15CD1">
        <w:rPr>
          <w:rFonts w:ascii="Verdana" w:hAnsi="Verdana"/>
          <w:b/>
          <w:bCs/>
        </w:rPr>
        <w:t>Sistema Integral de Preferencias en favor de las personas con discapacidad</w:t>
      </w:r>
      <w:r w:rsidRPr="00F15CD1">
        <w:rPr>
          <w:rFonts w:ascii="Verdana" w:hAnsi="Verdana"/>
        </w:rPr>
        <w:t>, en cumplimiento del artículo 13 de la Ley Estatutaria 1618 de 2013. Para orientar su aplicación, esta Agencia expidió la </w:t>
      </w:r>
      <w:r w:rsidRPr="00F15CD1">
        <w:rPr>
          <w:rFonts w:ascii="Verdana" w:hAnsi="Verdana"/>
          <w:b/>
          <w:bCs/>
        </w:rPr>
        <w:t>Circular Externa 003 del 12 de mayo de 2026, </w:t>
      </w:r>
      <w:r w:rsidRPr="00F15CD1">
        <w:rPr>
          <w:rFonts w:ascii="Verdana" w:hAnsi="Verdana"/>
        </w:rPr>
        <w:t xml:space="preserve">en la que precisa quiénes son los beneficiarios, las cinco medidas que integran el sistema y su obligatoriedad según la modalidad de selección, y el régimen de transición </w:t>
      </w:r>
      <w:r w:rsidRPr="00F15CD1">
        <w:rPr>
          <w:rFonts w:ascii="Verdana" w:hAnsi="Verdana"/>
        </w:rPr>
        <w:lastRenderedPageBreak/>
        <w:t xml:space="preserve">aplicable a los procesos en curso. </w:t>
      </w:r>
      <w:r w:rsidRPr="007B1EBA">
        <w:rPr>
          <w:rFonts w:ascii="Verdana" w:hAnsi="Verdana"/>
        </w:rPr>
        <w:t>Consúltala aquí: </w:t>
      </w:r>
      <w:hyperlink r:id="rId15" w:tooltip="Dirección URL original: https://www.colombiacompra.gov.co/archivos/circular/circular-externa-003-de-2026. Haga clic o pulse si confía en este vínculo." w:history="1">
        <w:r w:rsidRPr="007B1EBA">
          <w:rPr>
            <w:rStyle w:val="Hipervnculo"/>
            <w:rFonts w:ascii="Verdana" w:hAnsi="Verdana"/>
          </w:rPr>
          <w:t>https://www.colombiacompra.gov.co/archivos/circular/circular-externa-003-de-2026</w:t>
        </w:r>
      </w:hyperlink>
    </w:p>
    <w:p w14:paraId="5DD1DE1C" w14:textId="77777777" w:rsidR="007B1EBA" w:rsidRPr="007B1EBA" w:rsidRDefault="007B1EBA" w:rsidP="000E0778">
      <w:pPr>
        <w:spacing w:after="0" w:line="276" w:lineRule="auto"/>
        <w:jc w:val="both"/>
        <w:rPr>
          <w:rFonts w:ascii="Verdana" w:hAnsi="Verdana"/>
        </w:rPr>
      </w:pPr>
    </w:p>
    <w:p w14:paraId="2A3FB6E8" w14:textId="1542B21C" w:rsidR="008D0A36" w:rsidRDefault="008D0A36" w:rsidP="007B1EBA">
      <w:pPr>
        <w:spacing w:after="0" w:line="276" w:lineRule="auto"/>
        <w:jc w:val="both"/>
        <w:rPr>
          <w:rStyle w:val="Hipervnculo"/>
          <w:rFonts w:ascii="Verdana" w:hAnsi="Verdana"/>
        </w:rPr>
      </w:pPr>
      <w:r w:rsidRPr="00F15CD1">
        <w:rPr>
          <w:rFonts w:ascii="Verdana" w:hAnsi="Verdana"/>
        </w:rPr>
        <w:t>Recuerda también que la</w:t>
      </w:r>
      <w:r w:rsidRPr="00F15CD1">
        <w:rPr>
          <w:rFonts w:ascii="Verdana" w:hAnsi="Verdana"/>
          <w:b/>
          <w:bCs/>
        </w:rPr>
        <w:t> información sobre sanciones e inhabilidades </w:t>
      </w:r>
      <w:r w:rsidRPr="00F32815">
        <w:rPr>
          <w:rFonts w:ascii="Verdana" w:hAnsi="Verdana"/>
        </w:rPr>
        <w:t>solo cumple su función preventiva si llega oportunamente a los registros públicos. Sobre este deber, esta Agencia expidió la </w:t>
      </w:r>
      <w:r w:rsidRPr="00F15CD1">
        <w:rPr>
          <w:rFonts w:ascii="Verdana" w:hAnsi="Verdana"/>
          <w:b/>
          <w:bCs/>
        </w:rPr>
        <w:t>Circular Externa 002 del 5 de mayo de 2026,</w:t>
      </w:r>
      <w:r w:rsidRPr="00F15CD1">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w:t>
      </w:r>
      <w:r w:rsidRPr="007B1EBA">
        <w:rPr>
          <w:rFonts w:ascii="Verdana" w:hAnsi="Verdana"/>
        </w:rPr>
        <w:t>Consúltala aquí: </w:t>
      </w:r>
      <w:hyperlink r:id="rId16" w:tooltip="Dirección URL original: https://www.colombiacompra.gov.co/archivos/circular/circular-externa-002-de-2026. Haga clic o pulse si confía en este vínculo." w:history="1">
        <w:r w:rsidRPr="007B1EBA">
          <w:rPr>
            <w:rStyle w:val="Hipervnculo"/>
            <w:rFonts w:ascii="Verdana" w:hAnsi="Verdana"/>
          </w:rPr>
          <w:t>https://www.colombiacompra.gov.co/archivos/circular/circular-externa-002-de-2026</w:t>
        </w:r>
      </w:hyperlink>
    </w:p>
    <w:p w14:paraId="3AB79904" w14:textId="77777777" w:rsidR="007B1EBA" w:rsidRPr="007B1EBA" w:rsidRDefault="007B1EBA" w:rsidP="000E0778">
      <w:pPr>
        <w:spacing w:after="0" w:line="276" w:lineRule="auto"/>
        <w:jc w:val="both"/>
        <w:rPr>
          <w:rFonts w:ascii="Verdana" w:hAnsi="Verdana"/>
        </w:rPr>
      </w:pPr>
    </w:p>
    <w:p w14:paraId="6958AB2F" w14:textId="5742B635" w:rsidR="008D0A36" w:rsidRDefault="008D0A36" w:rsidP="007B1EBA">
      <w:pPr>
        <w:spacing w:after="0" w:line="276" w:lineRule="auto"/>
        <w:jc w:val="both"/>
        <w:rPr>
          <w:rStyle w:val="Hipervnculo"/>
          <w:rFonts w:ascii="Verdana" w:hAnsi="Verdana"/>
        </w:rPr>
      </w:pPr>
      <w:r w:rsidRPr="00F15CD1">
        <w:rPr>
          <w:rFonts w:ascii="Verdana" w:hAnsi="Verdana"/>
        </w:rPr>
        <w:t>Finalmente, si quieres seguir de cerca la actividad de la Agencia, la tercera edición de 2026 del</w:t>
      </w:r>
      <w:r w:rsidRPr="00F15CD1">
        <w:rPr>
          <w:rFonts w:ascii="Verdana" w:hAnsi="Verdana"/>
          <w:b/>
          <w:bCs/>
        </w:rPr>
        <w:t> Radar de la Compra Pública</w:t>
      </w:r>
      <w:r w:rsidRPr="00F15CD1">
        <w:rPr>
          <w:rFonts w:ascii="Verdana" w:hAnsi="Verdana"/>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w:t>
      </w:r>
      <w:r w:rsidRPr="007B1EBA">
        <w:rPr>
          <w:rFonts w:ascii="Verdana" w:hAnsi="Verdana"/>
        </w:rPr>
        <w:t>Descárgalo aquí: </w:t>
      </w:r>
      <w:hyperlink r:id="rId17" w:tooltip="Dirección URL original: https://www.colombiacompra.gov.co/archivos/boletin/boletin-edicion-n-3-de-2026-radar-de-la-compra-publica. Haga clic o pulse si confía en este vínculo." w:history="1">
        <w:r w:rsidRPr="007B1EBA">
          <w:rPr>
            <w:rStyle w:val="Hipervnculo"/>
            <w:rFonts w:ascii="Verdana" w:hAnsi="Verdana"/>
          </w:rPr>
          <w:t>https://www.colombiacompra.gov.co/archivos/boletin/boletin-edicion-n-3-de-2026-radar-de-la-compra-publica</w:t>
        </w:r>
      </w:hyperlink>
    </w:p>
    <w:p w14:paraId="3554E785" w14:textId="77777777" w:rsidR="007B1EBA" w:rsidRPr="007B1EBA" w:rsidRDefault="007B1EBA" w:rsidP="000E0778">
      <w:pPr>
        <w:spacing w:after="0" w:line="276" w:lineRule="auto"/>
        <w:jc w:val="both"/>
        <w:rPr>
          <w:rFonts w:ascii="Verdana" w:hAnsi="Verdana"/>
          <w:color w:val="0000FF"/>
          <w:u w:val="single"/>
        </w:rPr>
      </w:pPr>
    </w:p>
    <w:p w14:paraId="09AC202A" w14:textId="3075F4D0" w:rsidR="008D0A36" w:rsidRPr="00B66CE2" w:rsidRDefault="008D0A36" w:rsidP="007B1EBA">
      <w:pPr>
        <w:spacing w:after="0" w:line="276" w:lineRule="auto"/>
        <w:jc w:val="both"/>
        <w:rPr>
          <w:rFonts w:ascii="Verdana" w:eastAsia="Verdana" w:hAnsi="Verdana" w:cs="Verdana"/>
        </w:rPr>
      </w:pPr>
      <w:r w:rsidRPr="00F15CD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B66CE2">
        <w:rPr>
          <w:rFonts w:ascii="Verdana" w:eastAsia="Verdana" w:hAnsi="Verdana" w:cs="Verdana"/>
        </w:rPr>
        <w:t xml:space="preserve">atención: </w:t>
      </w:r>
    </w:p>
    <w:p w14:paraId="383D988B" w14:textId="77777777" w:rsidR="007B1EBA" w:rsidRPr="007B1EBA" w:rsidRDefault="007B1EBA" w:rsidP="000E0778">
      <w:pPr>
        <w:spacing w:after="0" w:line="276" w:lineRule="auto"/>
        <w:jc w:val="both"/>
        <w:rPr>
          <w:rFonts w:ascii="Verdana" w:eastAsia="Verdana" w:hAnsi="Verdana" w:cs="Verdana"/>
        </w:rPr>
      </w:pPr>
    </w:p>
    <w:p w14:paraId="2B5AA8ED" w14:textId="77777777" w:rsidR="008D0A36" w:rsidRPr="00F15CD1" w:rsidRDefault="008D0A36" w:rsidP="008D0A36">
      <w:pPr>
        <w:pStyle w:val="Prrafodelista"/>
        <w:numPr>
          <w:ilvl w:val="0"/>
          <w:numId w:val="18"/>
        </w:numPr>
        <w:spacing w:after="0" w:line="276" w:lineRule="auto"/>
        <w:contextualSpacing w:val="0"/>
        <w:jc w:val="both"/>
        <w:rPr>
          <w:rFonts w:ascii="Verdana" w:eastAsia="Verdana" w:hAnsi="Verdana" w:cs="Verdana"/>
          <w:color w:val="4472C4" w:themeColor="accent1"/>
          <w:u w:val="single"/>
        </w:rPr>
      </w:pPr>
      <w:r w:rsidRPr="00F15CD1">
        <w:rPr>
          <w:rFonts w:ascii="Verdana" w:eastAsia="Verdana" w:hAnsi="Verdana" w:cs="Verdana"/>
        </w:rPr>
        <w:t xml:space="preserve">Línea nacional gratuita o servicio a la ciudadanía (Mesa de servicio): </w:t>
      </w:r>
      <w:r w:rsidRPr="00F15CD1">
        <w:rPr>
          <w:rStyle w:val="Hipervnculo"/>
          <w:rFonts w:ascii="Verdana" w:hAnsi="Verdana"/>
          <w:lang w:val="es-CO"/>
        </w:rPr>
        <w:t>01800 0520808</w:t>
      </w:r>
    </w:p>
    <w:p w14:paraId="500F5261" w14:textId="77777777" w:rsidR="008D0A36" w:rsidRPr="00F15CD1" w:rsidRDefault="008D0A36" w:rsidP="008D0A36">
      <w:pPr>
        <w:pStyle w:val="Prrafodelista"/>
        <w:numPr>
          <w:ilvl w:val="0"/>
          <w:numId w:val="18"/>
        </w:numPr>
        <w:spacing w:after="0" w:line="276" w:lineRule="auto"/>
        <w:contextualSpacing w:val="0"/>
        <w:jc w:val="both"/>
        <w:rPr>
          <w:rFonts w:ascii="Verdana" w:eastAsia="Verdana" w:hAnsi="Verdana" w:cs="Verdana"/>
          <w:color w:val="4472C4" w:themeColor="accent1"/>
          <w:u w:val="single"/>
          <w:lang w:val="es-CO"/>
        </w:rPr>
      </w:pPr>
      <w:r w:rsidRPr="00F15CD1">
        <w:rPr>
          <w:rFonts w:ascii="Verdana" w:eastAsia="Verdana" w:hAnsi="Verdana" w:cs="Verdana"/>
          <w:lang w:val="es-CO"/>
        </w:rPr>
        <w:t xml:space="preserve">Línea en Bogotá (Mesa de servicio): </w:t>
      </w:r>
      <w:r w:rsidRPr="00F15CD1">
        <w:rPr>
          <w:rStyle w:val="Hipervnculo"/>
          <w:rFonts w:ascii="Verdana" w:hAnsi="Verdana"/>
          <w:lang w:val="es-CO"/>
        </w:rPr>
        <w:t>+57 601 7456788</w:t>
      </w:r>
    </w:p>
    <w:p w14:paraId="76D83B9C" w14:textId="77777777" w:rsidR="008D0A36" w:rsidRPr="00F15CD1" w:rsidRDefault="008D0A36" w:rsidP="008D0A36">
      <w:pPr>
        <w:pStyle w:val="Prrafodelista"/>
        <w:numPr>
          <w:ilvl w:val="0"/>
          <w:numId w:val="18"/>
        </w:numPr>
        <w:spacing w:after="0" w:line="276" w:lineRule="auto"/>
        <w:contextualSpacing w:val="0"/>
        <w:jc w:val="both"/>
        <w:rPr>
          <w:rFonts w:ascii="Verdana" w:eastAsia="Verdana" w:hAnsi="Verdana" w:cs="Verdana"/>
          <w:color w:val="0000FF"/>
          <w:u w:val="single"/>
          <w:lang w:val="es-CO"/>
        </w:rPr>
      </w:pPr>
      <w:r w:rsidRPr="007B1EBA">
        <w:rPr>
          <w:rFonts w:ascii="Verdana" w:eastAsia="Verdana" w:hAnsi="Verdana" w:cs="Verdana"/>
          <w:lang w:val="es-CO"/>
        </w:rPr>
        <w:t xml:space="preserve">Correo de radicación de correspondencia: </w:t>
      </w:r>
      <w:hyperlink r:id="rId18" w:history="1">
        <w:r w:rsidRPr="007B1EBA">
          <w:rPr>
            <w:rStyle w:val="Hipervnculo"/>
            <w:rFonts w:ascii="Verdana" w:eastAsia="Verdana" w:hAnsi="Verdana" w:cs="Verdana"/>
            <w:lang w:val="es-CO"/>
          </w:rPr>
          <w:t>ventanilladeradicacion@colombiacompra.gov.co</w:t>
        </w:r>
      </w:hyperlink>
    </w:p>
    <w:p w14:paraId="6073D0D9" w14:textId="77777777" w:rsidR="008D0A36" w:rsidRPr="00681E14" w:rsidRDefault="008D0A36" w:rsidP="008D0A36">
      <w:pPr>
        <w:pStyle w:val="Prrafodelista"/>
        <w:numPr>
          <w:ilvl w:val="0"/>
          <w:numId w:val="18"/>
        </w:numPr>
        <w:spacing w:after="0" w:line="276" w:lineRule="auto"/>
        <w:contextualSpacing w:val="0"/>
        <w:jc w:val="both"/>
        <w:rPr>
          <w:rFonts w:ascii="Verdana" w:hAnsi="Verdana"/>
        </w:rPr>
      </w:pPr>
      <w:r w:rsidRPr="007B1EBA">
        <w:rPr>
          <w:rFonts w:ascii="Verdana" w:eastAsia="Verdana" w:hAnsi="Verdana" w:cs="Verdana"/>
          <w:lang w:val="es-CO"/>
        </w:rPr>
        <w:lastRenderedPageBreak/>
        <w:t xml:space="preserve">Formulario web para PQRSD: </w:t>
      </w:r>
      <w:hyperlink r:id="rId19" w:history="1">
        <w:r w:rsidRPr="007B1EBA">
          <w:rPr>
            <w:rStyle w:val="Hipervnculo"/>
            <w:rFonts w:ascii="Verdana" w:eastAsia="Verdana" w:hAnsi="Verdana" w:cs="Verdana"/>
            <w:lang w:val="es-CO"/>
          </w:rPr>
          <w:t>https://www.colombiacompra.gov.co/pqrsd/informacion-importante-antes-de-formular-una-pqrsd</w:t>
        </w:r>
      </w:hyperlink>
    </w:p>
    <w:p w14:paraId="6C785CA9" w14:textId="77777777" w:rsidR="007B1EBA" w:rsidRDefault="007B1EBA" w:rsidP="007B1EBA">
      <w:pPr>
        <w:spacing w:after="0" w:line="276" w:lineRule="auto"/>
        <w:jc w:val="both"/>
        <w:rPr>
          <w:rFonts w:ascii="Verdana" w:hAnsi="Verdana"/>
        </w:rPr>
      </w:pPr>
    </w:p>
    <w:p w14:paraId="561FF45D" w14:textId="1F1B116E" w:rsidR="008D0A36" w:rsidRPr="00F15CD1" w:rsidRDefault="008D0A36" w:rsidP="000E0778">
      <w:pPr>
        <w:spacing w:after="0" w:line="276" w:lineRule="auto"/>
        <w:jc w:val="both"/>
        <w:rPr>
          <w:rFonts w:ascii="Verdana" w:hAnsi="Verdana"/>
        </w:rPr>
      </w:pPr>
      <w:r w:rsidRPr="00F15CD1">
        <w:rPr>
          <w:rFonts w:ascii="Verdana" w:hAnsi="Verdana"/>
        </w:rPr>
        <w:t xml:space="preserve">Evalúa el servicio que ofrece la Agencia por el canal de atención de PQRSD en el siguiente enlace: </w:t>
      </w:r>
      <w:hyperlink r:id="rId20" w:history="1">
        <w:r w:rsidRPr="007B1EBA">
          <w:rPr>
            <w:rStyle w:val="Hipervnculo"/>
            <w:rFonts w:ascii="Verdana" w:hAnsi="Verdana"/>
          </w:rPr>
          <w:t>https://forms.office.com/r/pPHyWVs2SZ</w:t>
        </w:r>
      </w:hyperlink>
      <w:r w:rsidRPr="007B1EBA">
        <w:rPr>
          <w:rFonts w:ascii="Verdana" w:hAnsi="Verdana"/>
        </w:rPr>
        <w:t>.</w:t>
      </w:r>
      <w:r w:rsidRPr="00F15CD1">
        <w:rPr>
          <w:rFonts w:ascii="Verdana" w:hAnsi="Verdana"/>
        </w:rPr>
        <w:t xml:space="preserve"> ¡Ayúdanos a mejorar porque el compromiso es de todos!</w:t>
      </w:r>
    </w:p>
    <w:p w14:paraId="4EF70E8F" w14:textId="77777777" w:rsidR="007B1EBA" w:rsidRDefault="007B1EBA" w:rsidP="007B1EBA">
      <w:pPr>
        <w:spacing w:after="0" w:line="276" w:lineRule="auto"/>
        <w:jc w:val="both"/>
        <w:rPr>
          <w:rFonts w:ascii="Verdana" w:hAnsi="Verdana"/>
        </w:rPr>
      </w:pPr>
    </w:p>
    <w:p w14:paraId="22EE8454" w14:textId="6087A5F8" w:rsidR="008D0A36" w:rsidRPr="00F15CD1" w:rsidRDefault="008D0A36" w:rsidP="008D0A36">
      <w:pPr>
        <w:spacing w:after="0" w:line="276" w:lineRule="auto"/>
        <w:jc w:val="both"/>
        <w:rPr>
          <w:rFonts w:ascii="Verdana" w:hAnsi="Verdana"/>
        </w:rPr>
      </w:pPr>
      <w:r w:rsidRPr="00F15CD1">
        <w:rPr>
          <w:rFonts w:ascii="Verdana" w:hAnsi="Verdana"/>
        </w:rPr>
        <w:t xml:space="preserve">Por último, lo invitamos a seguirnos en las redes sociales en las cuales se difunde información institucional: </w:t>
      </w:r>
    </w:p>
    <w:p w14:paraId="33575D9D" w14:textId="77777777" w:rsidR="008D0A36" w:rsidRPr="00F15CD1" w:rsidRDefault="008D0A36" w:rsidP="000E0778">
      <w:pPr>
        <w:spacing w:after="0" w:line="276" w:lineRule="auto"/>
        <w:jc w:val="both"/>
        <w:rPr>
          <w:rFonts w:ascii="Verdana" w:hAnsi="Verdana"/>
        </w:rPr>
      </w:pPr>
      <w:r w:rsidRPr="00F15CD1">
        <w:rPr>
          <w:rFonts w:ascii="Verdana" w:hAnsi="Verdana"/>
        </w:rPr>
        <w:t xml:space="preserve">Twitter: </w:t>
      </w:r>
      <w:r w:rsidRPr="00F15CD1">
        <w:rPr>
          <w:rStyle w:val="Hipervnculo"/>
          <w:rFonts w:ascii="Verdana" w:hAnsi="Verdana"/>
        </w:rPr>
        <w:t>@colombiacompra</w:t>
      </w:r>
      <w:r w:rsidRPr="00F15CD1">
        <w:rPr>
          <w:rFonts w:ascii="Verdana" w:hAnsi="Verdana"/>
        </w:rPr>
        <w:t xml:space="preserve"> </w:t>
      </w:r>
    </w:p>
    <w:p w14:paraId="39AF145F" w14:textId="77777777" w:rsidR="008D0A36" w:rsidRPr="00F15CD1" w:rsidRDefault="008D0A36" w:rsidP="008D0A36">
      <w:pPr>
        <w:spacing w:after="0" w:line="276" w:lineRule="auto"/>
        <w:jc w:val="both"/>
        <w:rPr>
          <w:rFonts w:ascii="Verdana" w:hAnsi="Verdana"/>
        </w:rPr>
      </w:pPr>
      <w:r w:rsidRPr="00F15CD1">
        <w:rPr>
          <w:rFonts w:ascii="Verdana" w:hAnsi="Verdana"/>
        </w:rPr>
        <w:t xml:space="preserve">Facebook: </w:t>
      </w:r>
      <w:proofErr w:type="spellStart"/>
      <w:r w:rsidRPr="00F15CD1">
        <w:rPr>
          <w:rStyle w:val="Hipervnculo"/>
          <w:rFonts w:ascii="Verdana" w:hAnsi="Verdana"/>
        </w:rPr>
        <w:t>ColombiaCompraEficiente</w:t>
      </w:r>
      <w:proofErr w:type="spellEnd"/>
    </w:p>
    <w:p w14:paraId="0CAD4D2B" w14:textId="77777777" w:rsidR="008D0A36" w:rsidRPr="00F15CD1" w:rsidRDefault="008D0A36" w:rsidP="008D0A36">
      <w:pPr>
        <w:spacing w:after="0" w:line="276" w:lineRule="auto"/>
        <w:jc w:val="both"/>
        <w:rPr>
          <w:rFonts w:ascii="Verdana" w:hAnsi="Verdana"/>
        </w:rPr>
      </w:pPr>
      <w:r w:rsidRPr="00F15CD1">
        <w:rPr>
          <w:rFonts w:ascii="Verdana" w:hAnsi="Verdana"/>
        </w:rPr>
        <w:t xml:space="preserve">LinkedIn: </w:t>
      </w:r>
      <w:r w:rsidRPr="00F15CD1">
        <w:rPr>
          <w:rStyle w:val="Hipervnculo"/>
          <w:rFonts w:ascii="Verdana" w:hAnsi="Verdana"/>
        </w:rPr>
        <w:t>Agencia Nacional de Contratación Pública - Colombia Compra Eficiente</w:t>
      </w:r>
      <w:r w:rsidRPr="00F15CD1">
        <w:rPr>
          <w:rFonts w:ascii="Verdana" w:hAnsi="Verdana"/>
        </w:rPr>
        <w:t xml:space="preserve"> </w:t>
      </w:r>
    </w:p>
    <w:p w14:paraId="6F761720" w14:textId="77777777" w:rsidR="008D0A36" w:rsidRPr="00681E14" w:rsidRDefault="008D0A36" w:rsidP="008D0A36">
      <w:pPr>
        <w:spacing w:after="0" w:line="276" w:lineRule="auto"/>
        <w:jc w:val="both"/>
        <w:rPr>
          <w:rFonts w:ascii="Verdana" w:hAnsi="Verdana"/>
          <w:color w:val="0000FF"/>
          <w:u w:val="single"/>
        </w:rPr>
      </w:pPr>
      <w:r w:rsidRPr="00F15CD1">
        <w:rPr>
          <w:rFonts w:ascii="Verdana" w:hAnsi="Verdana"/>
        </w:rPr>
        <w:t xml:space="preserve">Instagram: </w:t>
      </w:r>
      <w:r w:rsidRPr="00F15CD1">
        <w:rPr>
          <w:rStyle w:val="Hipervnculo"/>
          <w:rFonts w:ascii="Verdana" w:hAnsi="Verdana"/>
        </w:rPr>
        <w:t>@colombiacompraeficiente_cce</w:t>
      </w:r>
    </w:p>
    <w:p w14:paraId="06C7191D" w14:textId="77777777" w:rsidR="007B1EBA" w:rsidRDefault="007B1EBA" w:rsidP="007B1EBA">
      <w:pPr>
        <w:spacing w:after="0" w:line="276" w:lineRule="auto"/>
        <w:jc w:val="both"/>
        <w:rPr>
          <w:rFonts w:ascii="Verdana" w:eastAsia="Calibri" w:hAnsi="Verdana" w:cs="Times New Roman"/>
        </w:rPr>
      </w:pPr>
    </w:p>
    <w:p w14:paraId="206222C9" w14:textId="7CF60FBF" w:rsidR="008D0A36" w:rsidRPr="00F15CD1" w:rsidRDefault="008D0A36" w:rsidP="000E0778">
      <w:pPr>
        <w:spacing w:after="0" w:line="276" w:lineRule="auto"/>
        <w:jc w:val="both"/>
        <w:rPr>
          <w:rFonts w:ascii="Verdana" w:eastAsia="Calibri" w:hAnsi="Verdana" w:cs="Times New Roman"/>
          <w:bCs/>
        </w:rPr>
      </w:pPr>
      <w:r w:rsidRPr="00F15CD1">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FDD2BBE" w14:textId="77777777" w:rsidR="008D0A36" w:rsidRPr="00F15CD1" w:rsidRDefault="008D0A36" w:rsidP="008D0A36">
      <w:pPr>
        <w:spacing w:after="0" w:line="276" w:lineRule="auto"/>
        <w:jc w:val="both"/>
        <w:rPr>
          <w:rFonts w:ascii="Verdana" w:eastAsia="Times New Roman" w:hAnsi="Verdana" w:cs="Arial"/>
          <w:lang w:eastAsia="es-CO"/>
        </w:rPr>
      </w:pPr>
      <w:bookmarkStart w:id="13" w:name="_Hlk117695077"/>
    </w:p>
    <w:p w14:paraId="12E4171B" w14:textId="77777777" w:rsidR="008D0A36" w:rsidRPr="00F15CD1" w:rsidRDefault="008D0A36" w:rsidP="008D0A36">
      <w:pPr>
        <w:spacing w:after="0" w:line="276" w:lineRule="auto"/>
        <w:jc w:val="both"/>
        <w:rPr>
          <w:rFonts w:ascii="Verdana" w:eastAsia="Times New Roman" w:hAnsi="Verdana" w:cs="Arial"/>
          <w:lang w:eastAsia="es-CO"/>
        </w:rPr>
      </w:pPr>
      <w:r w:rsidRPr="00F15CD1">
        <w:rPr>
          <w:rFonts w:ascii="Verdana" w:eastAsia="Times New Roman" w:hAnsi="Verdana" w:cs="Arial"/>
          <w:lang w:eastAsia="es-CO"/>
        </w:rPr>
        <w:t xml:space="preserve">Atentamente, </w:t>
      </w:r>
    </w:p>
    <w:p w14:paraId="337CC8C6" w14:textId="2208339F" w:rsidR="00717F79" w:rsidRPr="00717F79" w:rsidRDefault="00717F79" w:rsidP="00717F79">
      <w:pPr>
        <w:spacing w:line="276" w:lineRule="auto"/>
        <w:jc w:val="center"/>
        <w:rPr>
          <w:rFonts w:ascii="Verdana" w:eastAsia="Times New Roman" w:hAnsi="Verdana" w:cs="Arial"/>
          <w:lang w:eastAsia="es-CO"/>
        </w:rPr>
      </w:pPr>
      <w:r w:rsidRPr="00717F79">
        <w:rPr>
          <w:rFonts w:ascii="Verdana" w:eastAsia="Times New Roman" w:hAnsi="Verdana" w:cs="Arial"/>
          <w:noProof/>
          <w:lang w:eastAsia="es-CO"/>
        </w:rPr>
        <w:drawing>
          <wp:inline distT="0" distB="0" distL="0" distR="0" wp14:anchorId="7E8E4868" wp14:editId="2171B3B7">
            <wp:extent cx="3771900" cy="1400175"/>
            <wp:effectExtent l="0" t="0" r="0" b="9525"/>
            <wp:docPr id="1440871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D0A36" w:rsidRPr="0029279E" w14:paraId="4FBF0F1A" w14:textId="77777777" w:rsidTr="00CD1FB2">
        <w:trPr>
          <w:trHeight w:val="315"/>
        </w:trPr>
        <w:tc>
          <w:tcPr>
            <w:tcW w:w="893" w:type="dxa"/>
            <w:vAlign w:val="center"/>
            <w:hideMark/>
          </w:tcPr>
          <w:bookmarkEnd w:id="13"/>
          <w:p w14:paraId="4FF4300D" w14:textId="77777777" w:rsidR="008D0A36" w:rsidRPr="0029279E" w:rsidRDefault="008D0A36" w:rsidP="00CD1FB2">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65E451B1" w14:textId="77777777" w:rsidR="008D0A36" w:rsidRPr="0029279E" w:rsidRDefault="008D0A36" w:rsidP="00CD1FB2">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031ECD85" w14:textId="77777777" w:rsidR="008D0A36" w:rsidRPr="0029279E" w:rsidRDefault="008D0A36" w:rsidP="00CD1FB2">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8D0A36" w:rsidRPr="0029279E" w14:paraId="1A6E9A4D" w14:textId="77777777" w:rsidTr="00CD1FB2">
        <w:trPr>
          <w:trHeight w:val="330"/>
        </w:trPr>
        <w:tc>
          <w:tcPr>
            <w:tcW w:w="893" w:type="dxa"/>
            <w:vAlign w:val="center"/>
            <w:hideMark/>
          </w:tcPr>
          <w:p w14:paraId="6FB34398" w14:textId="77777777" w:rsidR="008D0A36" w:rsidRPr="0029279E" w:rsidRDefault="008D0A36" w:rsidP="00CD1FB2">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4B350552" w14:textId="77777777" w:rsidR="008D0A36" w:rsidRPr="0029279E" w:rsidRDefault="008D0A36" w:rsidP="00CD1FB2">
            <w:pPr>
              <w:spacing w:line="276" w:lineRule="auto"/>
              <w:jc w:val="both"/>
              <w:rPr>
                <w:rFonts w:ascii="Verdana" w:eastAsia="Times New Roman" w:hAnsi="Verdana" w:cs="Arial"/>
                <w:color w:val="000000"/>
                <w:sz w:val="16"/>
                <w:szCs w:val="16"/>
              </w:rPr>
            </w:pPr>
            <w:r>
              <w:rPr>
                <w:rFonts w:ascii="Verdana" w:eastAsia="Times New Roman" w:hAnsi="Verdana" w:cs="Arial"/>
                <w:color w:val="000000"/>
                <w:sz w:val="16"/>
                <w:szCs w:val="16"/>
              </w:rPr>
              <w:t>Diana Lucia Saavedra</w:t>
            </w:r>
          </w:p>
          <w:p w14:paraId="4C19F23B" w14:textId="77777777" w:rsidR="008D0A36" w:rsidRPr="0029279E" w:rsidRDefault="008D0A36" w:rsidP="00CD1FB2">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8D0A36" w:rsidRPr="0029279E" w14:paraId="7AAF4D0C" w14:textId="77777777" w:rsidTr="00CD1FB2">
        <w:trPr>
          <w:trHeight w:val="300"/>
        </w:trPr>
        <w:tc>
          <w:tcPr>
            <w:tcW w:w="893" w:type="dxa"/>
            <w:vAlign w:val="center"/>
            <w:hideMark/>
          </w:tcPr>
          <w:p w14:paraId="20223FC9" w14:textId="77777777" w:rsidR="008D0A36" w:rsidRPr="0029279E" w:rsidRDefault="008D0A36" w:rsidP="00CD1FB2">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5CF5C441" w14:textId="77777777" w:rsidR="008D0A36" w:rsidRPr="0029279E" w:rsidRDefault="008D0A36" w:rsidP="00CD1FB2">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5B76E154" w14:textId="77777777" w:rsidR="008D0A36" w:rsidRPr="0029279E" w:rsidRDefault="008D0A36" w:rsidP="00CD1FB2">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bookmarkEnd w:id="1"/>
    </w:tbl>
    <w:p w14:paraId="52195026" w14:textId="77777777" w:rsidR="008D0A36" w:rsidRPr="000E2B93" w:rsidRDefault="008D0A36" w:rsidP="008D0A36">
      <w:pPr>
        <w:spacing w:after="0" w:line="240" w:lineRule="auto"/>
        <w:jc w:val="both"/>
        <w:textAlignment w:val="baseline"/>
        <w:rPr>
          <w:rFonts w:ascii="Verdana" w:eastAsia="Verdana" w:hAnsi="Verdana" w:cs="Verdana"/>
          <w:lang w:eastAsia="es-CO"/>
        </w:rPr>
      </w:pPr>
    </w:p>
    <w:p w14:paraId="30249C05" w14:textId="28BEDA10" w:rsidR="008D0A36" w:rsidRPr="000E2B93" w:rsidRDefault="008D0A36" w:rsidP="008D0A36">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sectPr w:rsidR="008D0A36" w:rsidRPr="000E2B93"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69C5" w14:textId="77777777" w:rsidR="008E24BF" w:rsidRDefault="008E24BF" w:rsidP="004A1847">
      <w:pPr>
        <w:spacing w:after="0" w:line="240" w:lineRule="auto"/>
      </w:pPr>
      <w:r>
        <w:separator/>
      </w:r>
    </w:p>
  </w:endnote>
  <w:endnote w:type="continuationSeparator" w:id="0">
    <w:p w14:paraId="36B5A1EC" w14:textId="77777777" w:rsidR="008E24BF" w:rsidRDefault="008E24B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405A" w14:textId="77777777" w:rsidR="008E24BF" w:rsidRDefault="008E24BF" w:rsidP="004A1847">
      <w:pPr>
        <w:spacing w:after="0" w:line="240" w:lineRule="auto"/>
      </w:pPr>
      <w:r>
        <w:separator/>
      </w:r>
    </w:p>
  </w:footnote>
  <w:footnote w:type="continuationSeparator" w:id="0">
    <w:p w14:paraId="2AD889BC" w14:textId="77777777" w:rsidR="008E24BF" w:rsidRDefault="008E24BF" w:rsidP="004A1847">
      <w:pPr>
        <w:spacing w:after="0" w:line="240" w:lineRule="auto"/>
      </w:pPr>
      <w:r>
        <w:continuationSeparator/>
      </w:r>
    </w:p>
  </w:footnote>
  <w:footnote w:id="1">
    <w:p w14:paraId="5DFD0C21" w14:textId="77777777" w:rsidR="008D0A36" w:rsidRPr="008227F7" w:rsidRDefault="008D0A36" w:rsidP="008D0A36">
      <w:pPr>
        <w:pStyle w:val="Textonotapie"/>
        <w:ind w:firstLine="708"/>
        <w:contextualSpacing/>
        <w:jc w:val="both"/>
        <w:rPr>
          <w:rFonts w:ascii="Verdana" w:hAnsi="Verdana" w:cs="Arial"/>
          <w:sz w:val="16"/>
          <w:szCs w:val="16"/>
          <w:lang w:val="es-CO"/>
        </w:rPr>
      </w:pPr>
      <w:r w:rsidRPr="008227F7">
        <w:rPr>
          <w:rStyle w:val="Refdenotaalpie"/>
          <w:rFonts w:ascii="Verdana" w:hAnsi="Verdana" w:cs="Arial"/>
          <w:sz w:val="16"/>
          <w:szCs w:val="16"/>
        </w:rPr>
        <w:footnoteRef/>
      </w:r>
      <w:r w:rsidRPr="008227F7">
        <w:rPr>
          <w:rFonts w:ascii="Verdana" w:hAnsi="Verdana" w:cs="Arial"/>
          <w:sz w:val="16"/>
          <w:szCs w:val="16"/>
        </w:rPr>
        <w:t xml:space="preserve"> </w:t>
      </w:r>
      <w:r w:rsidRPr="008227F7">
        <w:rPr>
          <w:rFonts w:ascii="Verdana" w:hAnsi="Verdana" w:cs="Arial"/>
          <w:sz w:val="16"/>
          <w:szCs w:val="16"/>
          <w:lang w:val="es-CO"/>
        </w:rPr>
        <w:t xml:space="preserve">CLARO SOLAR, Luis. Explicaciones de derecho civil chileno y comparado. Tomo Décimo – Obligaciones y contratos 1. Santiago de Chile, Nascimiento, 1936. </w:t>
      </w:r>
    </w:p>
  </w:footnote>
  <w:footnote w:id="2">
    <w:p w14:paraId="4FC73D8E" w14:textId="77777777" w:rsidR="008D0A36" w:rsidRPr="008227F7" w:rsidRDefault="008D0A36" w:rsidP="008D0A36">
      <w:pPr>
        <w:pStyle w:val="Textoindependiente"/>
        <w:spacing w:after="0" w:line="240" w:lineRule="auto"/>
        <w:ind w:firstLine="708"/>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“[...]el negocio jurídico es un acto de autonomía privada jurídicamente relevante; acto de autorregulación de los propios intereses: la ley no delimita totalmente su contenido, señala orientaciones y límites a la actividad dispositiva, indaga sobre su observancia y, no hallando reparo que formular, interpreta el comportamiento, lo ubica dentro del marco de circunstancias en que se realizó y, una vez encasillado dentro de uno de los tipos socialmente reconocidos, le asigna los efectos que mejor correspondan a la determinación particular así alindada y calificada”. (HINESTROSA, Fernando, Tratado de las Obligaciones II De las fuentes de las obligaciones: </w:t>
      </w:r>
      <w:r w:rsidRPr="008227F7">
        <w:rPr>
          <w:rFonts w:ascii="Verdana" w:hAnsi="Verdana" w:cs="Arial"/>
          <w:i/>
          <w:sz w:val="16"/>
          <w:szCs w:val="16"/>
        </w:rPr>
        <w:t>El Negocio Jurídico</w:t>
      </w:r>
      <w:r w:rsidRPr="008227F7">
        <w:rPr>
          <w:rFonts w:ascii="Verdana" w:hAnsi="Verdana" w:cs="Arial"/>
          <w:sz w:val="16"/>
          <w:szCs w:val="16"/>
        </w:rPr>
        <w:t>, Volumen I, Universidad Externado de Colombia, Bogotá, 2015, pág. 107).</w:t>
      </w:r>
    </w:p>
  </w:footnote>
  <w:footnote w:id="3">
    <w:p w14:paraId="29915C2F" w14:textId="77777777" w:rsidR="008D0A36" w:rsidRPr="008227F7" w:rsidRDefault="008D0A36" w:rsidP="008D0A36">
      <w:pPr>
        <w:pStyle w:val="Textoindependiente"/>
        <w:spacing w:after="0" w:line="240" w:lineRule="auto"/>
        <w:ind w:firstLine="708"/>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w:t>
      </w:r>
      <w:r w:rsidRPr="008227F7">
        <w:rPr>
          <w:rFonts w:ascii="Verdana" w:hAnsi="Verdana" w:cs="Arial"/>
          <w:sz w:val="16"/>
          <w:szCs w:val="16"/>
          <w:lang w:val="es-ES_tradnl"/>
        </w:rPr>
        <w:t xml:space="preserve">El artículo 2º define, para los efectos del ámbito de sujeción del estatuto, que se denominan entidades estatales: a) </w:t>
      </w:r>
      <w:r w:rsidRPr="008227F7">
        <w:rPr>
          <w:rFonts w:ascii="Verdana" w:hAnsi="Verdana" w:cs="Arial"/>
          <w:sz w:val="16"/>
          <w:szCs w:val="16"/>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footnote>
  <w:footnote w:id="4">
    <w:p w14:paraId="488A4A9E" w14:textId="77777777" w:rsidR="008D0A36" w:rsidRPr="00F52C9F" w:rsidRDefault="008D0A36" w:rsidP="008D0A36">
      <w:pPr>
        <w:pStyle w:val="Textonotapie"/>
        <w:ind w:firstLine="720"/>
        <w:contextualSpacing/>
        <w:jc w:val="both"/>
        <w:rPr>
          <w:rFonts w:ascii="Verdana" w:hAnsi="Verdana" w:cs="Arial"/>
          <w:sz w:val="18"/>
          <w:szCs w:val="18"/>
        </w:rPr>
      </w:pPr>
      <w:r w:rsidRPr="008227F7">
        <w:rPr>
          <w:rStyle w:val="Refdenotaalpie"/>
          <w:rFonts w:ascii="Verdana" w:hAnsi="Verdana" w:cs="Arial"/>
          <w:sz w:val="16"/>
          <w:szCs w:val="16"/>
        </w:rPr>
        <w:footnoteRef/>
      </w:r>
      <w:r w:rsidRPr="008227F7">
        <w:rPr>
          <w:rFonts w:ascii="Verdana" w:hAnsi="Verdana" w:cs="Arial"/>
          <w:sz w:val="16"/>
          <w:szCs w:val="16"/>
        </w:rPr>
        <w:t xml:space="preserve"> Consejo de Estado. Sección Tercera. Sentencia del 4 de abril de 2002, M.P. Alier E. Hernández Enríquez. Rad. 1999-0290-01 (17.244).</w:t>
      </w:r>
    </w:p>
  </w:footnote>
  <w:footnote w:id="5">
    <w:p w14:paraId="7C5D7D8A" w14:textId="77777777" w:rsidR="008D0A36" w:rsidRPr="008227F7" w:rsidRDefault="008D0A36" w:rsidP="008D0A36">
      <w:pPr>
        <w:spacing w:after="0" w:line="240" w:lineRule="auto"/>
        <w:ind w:firstLine="707"/>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CONSEJO DE ESTADO. Sección Tercera, Auto del 30 de enero de 2008. Rad. 32.867, M.P. Mauricio Fajardo Gómez.</w:t>
      </w:r>
    </w:p>
  </w:footnote>
  <w:footnote w:id="6">
    <w:p w14:paraId="29A617C9" w14:textId="77777777" w:rsidR="008D0A36" w:rsidRPr="008227F7" w:rsidRDefault="008D0A36" w:rsidP="008D0A36">
      <w:pPr>
        <w:spacing w:after="0" w:line="240" w:lineRule="auto"/>
        <w:ind w:firstLine="707"/>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CONSEJO DE ESTADO, Sección Tercera. Sentencia de 23 de septiembre de 1997, Rad. S-701.</w:t>
      </w:r>
    </w:p>
  </w:footnote>
  <w:footnote w:id="7">
    <w:p w14:paraId="63EB4F36" w14:textId="77777777" w:rsidR="008D0A36" w:rsidRPr="00F52C9F" w:rsidRDefault="008D0A36" w:rsidP="008D0A36">
      <w:pPr>
        <w:spacing w:after="0" w:line="240" w:lineRule="auto"/>
        <w:ind w:firstLine="707"/>
        <w:contextualSpacing/>
        <w:jc w:val="both"/>
        <w:rPr>
          <w:rFonts w:ascii="Verdana" w:hAnsi="Verdana" w:cs="Arial"/>
          <w:sz w:val="18"/>
          <w:szCs w:val="18"/>
        </w:rPr>
      </w:pPr>
      <w:r w:rsidRPr="008227F7">
        <w:rPr>
          <w:rStyle w:val="Refdenotaalpie"/>
          <w:rFonts w:ascii="Verdana" w:hAnsi="Verdana" w:cs="Arial"/>
          <w:sz w:val="16"/>
          <w:szCs w:val="16"/>
        </w:rPr>
        <w:footnoteRef/>
      </w:r>
      <w:r w:rsidRPr="008227F7">
        <w:rPr>
          <w:rFonts w:ascii="Verdana" w:hAnsi="Verdana" w:cs="Arial"/>
          <w:sz w:val="16"/>
          <w:szCs w:val="16"/>
        </w:rPr>
        <w:t xml:space="preserve"> CONSEJO DE ESTADO, Sala de Consulta y Servicio Civil. Concepto de 15 de mayo de 2018, Rad. 2335.</w:t>
      </w:r>
    </w:p>
  </w:footnote>
  <w:footnote w:id="8">
    <w:p w14:paraId="554AB89C" w14:textId="77777777" w:rsidR="008D0A36" w:rsidRPr="008227F7" w:rsidRDefault="008D0A36" w:rsidP="008D0A36">
      <w:pPr>
        <w:spacing w:after="0" w:line="240" w:lineRule="auto"/>
        <w:ind w:firstLine="707"/>
        <w:contextualSpacing/>
        <w:jc w:val="both"/>
        <w:rPr>
          <w:rFonts w:ascii="Verdana" w:hAnsi="Verdana" w:cs="Arial"/>
          <w:sz w:val="16"/>
          <w:szCs w:val="16"/>
        </w:rPr>
      </w:pPr>
      <w:r w:rsidRPr="00F52C9F">
        <w:rPr>
          <w:rStyle w:val="Refdenotaalpie"/>
          <w:rFonts w:ascii="Verdana" w:hAnsi="Verdana" w:cs="Arial"/>
          <w:sz w:val="18"/>
          <w:szCs w:val="18"/>
        </w:rPr>
        <w:footnoteRef/>
      </w:r>
      <w:r w:rsidRPr="00F52C9F">
        <w:rPr>
          <w:rFonts w:ascii="Verdana" w:hAnsi="Verdana" w:cs="Arial"/>
          <w:sz w:val="18"/>
          <w:szCs w:val="18"/>
        </w:rPr>
        <w:t xml:space="preserve"> </w:t>
      </w:r>
      <w:r w:rsidRPr="008227F7">
        <w:rPr>
          <w:rFonts w:ascii="Verdana" w:hAnsi="Verdana" w:cs="Arial"/>
          <w:sz w:val="16"/>
          <w:szCs w:val="16"/>
        </w:rPr>
        <w:t>CONSEJO DE ESTADO, Sección Tercera, Subsección A, Sentencia de 31 de marzo de 2011, Rad. 16246, M.P.</w:t>
      </w:r>
      <w:r w:rsidRPr="008227F7">
        <w:rPr>
          <w:rFonts w:ascii="Verdana" w:eastAsiaTheme="majorEastAsia" w:hAnsi="Verdana" w:cs="Arial"/>
          <w:sz w:val="16"/>
          <w:szCs w:val="16"/>
        </w:rPr>
        <w:t xml:space="preserve"> </w:t>
      </w:r>
      <w:r w:rsidRPr="008227F7">
        <w:rPr>
          <w:rFonts w:ascii="Verdana" w:hAnsi="Verdana" w:cs="Arial"/>
          <w:sz w:val="16"/>
          <w:szCs w:val="16"/>
        </w:rPr>
        <w:t xml:space="preserve">Hernán Andrade Rincón. Al adoptar un criterio orgánico o subjetivo, en el que la sola presencia de una entidad estatal como parte </w:t>
      </w:r>
      <w:proofErr w:type="gramStart"/>
      <w:r w:rsidRPr="008227F7">
        <w:rPr>
          <w:rFonts w:ascii="Verdana" w:hAnsi="Verdana" w:cs="Arial"/>
          <w:sz w:val="16"/>
          <w:szCs w:val="16"/>
        </w:rPr>
        <w:t>del mismo</w:t>
      </w:r>
      <w:proofErr w:type="gramEnd"/>
      <w:r w:rsidRPr="008227F7">
        <w:rPr>
          <w:rFonts w:ascii="Verdana" w:hAnsi="Verdana" w:cs="Arial"/>
          <w:sz w:val="16"/>
          <w:szCs w:val="16"/>
        </w:rPr>
        <w:t xml:space="preserve"> le imprime al negocio jurídico la naturaleza o categoría jurídica de contrato estatal, “tiene la virtud de englobar todos los contratos que celebren las entidades públicas del Estado, ya sea que se regulen por el estatuto general de contratación administrativa o que estén sujetos a regímenes especiales. De tal manera es dable hablar genéricamente de dos tipos de contratos: 1. Contratos estatales regidos por la Ley 80 de 1993. 2. Contratos estatales especiales...”. (Consejo de Estado, Sala de lo Contencioso Administrativo, Sección Tercera, Auto del 8 de febrero de 2001, Rad. No. 16661) En igual sentido, auto de 20 de agosto de 1998, Rad. 14.202; auto de 7 de octubre de 2004, Rad.2675 y sentencia de 20 de abril de 2005, Rad. 14519, entre otras providencias.</w:t>
      </w:r>
    </w:p>
  </w:footnote>
  <w:footnote w:id="9">
    <w:p w14:paraId="2E992B63" w14:textId="77777777" w:rsidR="008D0A36" w:rsidRPr="008227F7" w:rsidRDefault="008D0A36" w:rsidP="008D0A36">
      <w:pPr>
        <w:pStyle w:val="Textonotapie"/>
        <w:ind w:firstLine="707"/>
        <w:contextualSpacing/>
        <w:jc w:val="both"/>
        <w:rPr>
          <w:rFonts w:ascii="Verdana" w:hAnsi="Verdana"/>
          <w:sz w:val="16"/>
          <w:szCs w:val="16"/>
        </w:rPr>
      </w:pPr>
      <w:r w:rsidRPr="008227F7">
        <w:rPr>
          <w:rStyle w:val="Refdenotaalpie"/>
          <w:rFonts w:ascii="Verdana" w:hAnsi="Verdana"/>
          <w:sz w:val="16"/>
          <w:szCs w:val="16"/>
        </w:rPr>
        <w:footnoteRef/>
      </w:r>
      <w:r w:rsidRPr="008227F7">
        <w:rPr>
          <w:rFonts w:ascii="Verdana" w:hAnsi="Verdana"/>
          <w:sz w:val="16"/>
          <w:szCs w:val="16"/>
        </w:rPr>
        <w:t xml:space="preserve"> Messineo Ob. Cit. Pág. 394</w:t>
      </w:r>
    </w:p>
  </w:footnote>
  <w:footnote w:id="10">
    <w:p w14:paraId="45225253" w14:textId="77777777" w:rsidR="008D0A36" w:rsidRPr="00F52C9F" w:rsidRDefault="008D0A36" w:rsidP="008D0A36">
      <w:pPr>
        <w:pStyle w:val="Textonotapie"/>
        <w:ind w:firstLine="707"/>
        <w:contextualSpacing/>
        <w:jc w:val="both"/>
        <w:rPr>
          <w:rFonts w:ascii="Verdana" w:hAnsi="Verdana"/>
          <w:sz w:val="18"/>
          <w:szCs w:val="18"/>
        </w:rPr>
      </w:pPr>
      <w:r w:rsidRPr="008227F7">
        <w:rPr>
          <w:rStyle w:val="Refdenotaalpie"/>
          <w:rFonts w:ascii="Verdana" w:hAnsi="Verdana"/>
          <w:sz w:val="16"/>
          <w:szCs w:val="16"/>
        </w:rPr>
        <w:footnoteRef/>
      </w:r>
      <w:r w:rsidRPr="008227F7">
        <w:rPr>
          <w:rFonts w:ascii="Verdana" w:hAnsi="Verdana"/>
          <w:sz w:val="16"/>
          <w:szCs w:val="16"/>
        </w:rPr>
        <w:t xml:space="preserve"> Consejo de Estado, Sección Tercera en Sentencia del 21 de abril de 2005 radicado No 14651 C.P. Ramiro Saavedra Becerra</w:t>
      </w:r>
    </w:p>
  </w:footnote>
  <w:footnote w:id="11">
    <w:p w14:paraId="50BD206E" w14:textId="77777777" w:rsidR="008D0A36" w:rsidRPr="008227F7" w:rsidRDefault="008D0A36" w:rsidP="008D0A36">
      <w:pPr>
        <w:pStyle w:val="Textonotapie"/>
        <w:ind w:firstLine="707"/>
        <w:contextualSpacing/>
        <w:jc w:val="both"/>
        <w:rPr>
          <w:rFonts w:ascii="Verdana" w:hAnsi="Verdana"/>
          <w:sz w:val="16"/>
          <w:szCs w:val="16"/>
        </w:rPr>
      </w:pPr>
      <w:r w:rsidRPr="008227F7">
        <w:rPr>
          <w:rStyle w:val="Refdenotaalpie"/>
          <w:rFonts w:ascii="Verdana" w:hAnsi="Verdana"/>
          <w:sz w:val="16"/>
          <w:szCs w:val="16"/>
        </w:rPr>
        <w:footnoteRef/>
      </w:r>
      <w:r w:rsidRPr="008227F7">
        <w:rPr>
          <w:rFonts w:ascii="Verdana" w:hAnsi="Verdana"/>
          <w:sz w:val="16"/>
          <w:szCs w:val="16"/>
        </w:rPr>
        <w:t xml:space="preserve"> Consejo de Estado, Sala de Consulta y Servicio Civil, sentencia de 12 de marzo de 2009, C.P. Gustavo Aponte Santos, radicado No 1942</w:t>
      </w:r>
    </w:p>
  </w:footnote>
  <w:footnote w:id="12">
    <w:p w14:paraId="0291F37B" w14:textId="77777777" w:rsidR="008D0A36" w:rsidRPr="008227F7" w:rsidRDefault="008D0A36" w:rsidP="008D0A36">
      <w:pPr>
        <w:pStyle w:val="Textonotapie"/>
        <w:ind w:firstLine="708"/>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w:t>
      </w:r>
      <w:r w:rsidRPr="008227F7">
        <w:rPr>
          <w:rFonts w:ascii="Verdana" w:hAnsi="Verdana" w:cs="Arial"/>
          <w:sz w:val="16"/>
          <w:szCs w:val="16"/>
          <w:lang w:val="es-ES"/>
        </w:rPr>
        <w:t>Consejo de Estado. Sala de lo Contencioso Administrativo. Sección Primer</w:t>
      </w:r>
      <w:r w:rsidRPr="008227F7">
        <w:rPr>
          <w:rFonts w:ascii="Verdana" w:hAnsi="Verdana" w:cs="Arial"/>
          <w:sz w:val="16"/>
          <w:szCs w:val="16"/>
        </w:rPr>
        <w:t>. Sentencia de 11 de noviembre de 1999. Expediente 5286. C.P. Olga Inés Navarrete Barrero. Esta postura fue unificada en el Sentencia de la Sala Plena del 14 de agosto de 2018, radicado 05001-33-31-003-2009-00157-01(AP)SU, con ponencia del Magistrado Oswaldo Giraldo López.</w:t>
      </w:r>
    </w:p>
  </w:footnote>
  <w:footnote w:id="13">
    <w:p w14:paraId="34366F28" w14:textId="77777777" w:rsidR="008D0A36" w:rsidRPr="008227F7" w:rsidRDefault="008D0A36" w:rsidP="008D0A36">
      <w:pPr>
        <w:spacing w:after="0" w:line="240" w:lineRule="auto"/>
        <w:ind w:firstLine="708"/>
        <w:contextualSpacing/>
        <w:jc w:val="both"/>
        <w:rPr>
          <w:rFonts w:ascii="Verdana" w:eastAsia="Times New Roman" w:hAnsi="Verdana" w:cs="Times New Roman"/>
          <w:sz w:val="16"/>
          <w:szCs w:val="16"/>
          <w:lang w:eastAsia="es-ES_tradnl"/>
        </w:rPr>
      </w:pPr>
      <w:r w:rsidRPr="008227F7">
        <w:rPr>
          <w:rStyle w:val="Refdenotaalpie"/>
          <w:rFonts w:ascii="Verdana" w:hAnsi="Verdana"/>
          <w:sz w:val="16"/>
          <w:szCs w:val="16"/>
        </w:rPr>
        <w:footnoteRef/>
      </w:r>
      <w:r w:rsidRPr="008227F7">
        <w:rPr>
          <w:rFonts w:ascii="Verdana" w:hAnsi="Verdana"/>
          <w:sz w:val="16"/>
          <w:szCs w:val="16"/>
        </w:rPr>
        <w:t xml:space="preserve"> </w:t>
      </w:r>
      <w:r w:rsidRPr="008227F7">
        <w:rPr>
          <w:rFonts w:ascii="Verdana" w:eastAsia="Times New Roman" w:hAnsi="Verdana" w:cs="Times New Roman"/>
          <w:sz w:val="16"/>
          <w:szCs w:val="16"/>
          <w:lang w:eastAsia="es-ES_tradnl"/>
        </w:rPr>
        <w:t>Por la cual se modifica la Ley 9ª de 1989, y la Ley 3ª de 1991 y se dictan otras disposiciones.</w:t>
      </w:r>
    </w:p>
  </w:footnote>
  <w:footnote w:id="14">
    <w:p w14:paraId="27531139" w14:textId="77777777" w:rsidR="008D0A36" w:rsidRPr="008227F7" w:rsidRDefault="008D0A36" w:rsidP="008D0A36">
      <w:pPr>
        <w:shd w:val="clear" w:color="auto" w:fill="FFFFFF"/>
        <w:spacing w:after="0" w:line="240" w:lineRule="auto"/>
        <w:ind w:firstLine="708"/>
        <w:contextualSpacing/>
        <w:jc w:val="both"/>
        <w:rPr>
          <w:rFonts w:ascii="Verdana" w:hAnsi="Verdana"/>
          <w:b/>
          <w:bCs/>
          <w:sz w:val="16"/>
          <w:szCs w:val="16"/>
        </w:rPr>
      </w:pPr>
      <w:r w:rsidRPr="008227F7">
        <w:rPr>
          <w:rStyle w:val="Refdenotaalpie"/>
          <w:rFonts w:ascii="Verdana" w:hAnsi="Verdana"/>
          <w:sz w:val="16"/>
          <w:szCs w:val="16"/>
        </w:rPr>
        <w:footnoteRef/>
      </w:r>
      <w:r w:rsidRPr="008227F7">
        <w:rPr>
          <w:rFonts w:ascii="Verdana" w:hAnsi="Verdana"/>
          <w:sz w:val="16"/>
          <w:szCs w:val="16"/>
        </w:rPr>
        <w:t xml:space="preserve"> PIMIENTO Echeverri, Julián. El aprovechamiento económico de los bienes de uso público. Reflexiones con ocasión del reciente fallo de unificación sobre la improcedencia del contrato de arrendamiento. En:</w:t>
      </w:r>
      <w:r w:rsidRPr="008227F7">
        <w:rPr>
          <w:rFonts w:ascii="Verdana" w:hAnsi="Verdana"/>
          <w:b/>
          <w:bCs/>
          <w:sz w:val="16"/>
          <w:szCs w:val="16"/>
        </w:rPr>
        <w:t xml:space="preserve"> </w:t>
      </w:r>
      <w:r w:rsidRPr="008227F7">
        <w:rPr>
          <w:rFonts w:ascii="Verdana" w:hAnsi="Verdana"/>
          <w:i/>
          <w:iCs/>
          <w:sz w:val="16"/>
          <w:szCs w:val="16"/>
        </w:rPr>
        <w:t>Revista Digital de Derecho Administrativo. Universidad Externado de Colombia. Diciembre. 2019.</w:t>
      </w:r>
    </w:p>
  </w:footnote>
  <w:footnote w:id="15">
    <w:p w14:paraId="38C89152" w14:textId="77777777" w:rsidR="008D0A36" w:rsidRPr="008227F7" w:rsidRDefault="008D0A36" w:rsidP="008D0A36">
      <w:pPr>
        <w:pStyle w:val="Textonotapie"/>
        <w:ind w:firstLine="709"/>
        <w:contextualSpacing/>
        <w:jc w:val="both"/>
        <w:rPr>
          <w:rFonts w:ascii="Verdana" w:hAnsi="Verdana" w:cs="Arial"/>
          <w:sz w:val="16"/>
          <w:szCs w:val="16"/>
        </w:rPr>
      </w:pPr>
      <w:r w:rsidRPr="008227F7">
        <w:rPr>
          <w:rStyle w:val="Refdenotaalpie"/>
          <w:rFonts w:ascii="Verdana" w:hAnsi="Verdana" w:cs="Arial"/>
          <w:sz w:val="16"/>
          <w:szCs w:val="16"/>
        </w:rPr>
        <w:footnoteRef/>
      </w:r>
      <w:r w:rsidRPr="008227F7">
        <w:rPr>
          <w:rFonts w:ascii="Verdana" w:hAnsi="Verdana" w:cs="Arial"/>
          <w:sz w:val="16"/>
          <w:szCs w:val="16"/>
        </w:rPr>
        <w:t xml:space="preserve"> El inciso primero de norma disponía que, conforme al principio de transparencia, “</w:t>
      </w:r>
      <w:r w:rsidRPr="008227F7">
        <w:rPr>
          <w:rFonts w:ascii="Verdana" w:hAnsi="Verdana" w:cs="Arial"/>
          <w:i/>
          <w:iCs/>
          <w:sz w:val="16"/>
          <w:szCs w:val="16"/>
        </w:rPr>
        <w:t>La escogencia del contratista se efectuará siempre a través de licitación o concurso públicos</w:t>
      </w:r>
      <w:r w:rsidRPr="008227F7">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p w14:paraId="017BD9EC" w14:textId="77777777" w:rsidR="008D0A36" w:rsidRPr="006E209D" w:rsidRDefault="008D0A36" w:rsidP="008D0A36">
      <w:pPr>
        <w:pStyle w:val="Textonotapie"/>
        <w:ind w:firstLine="709"/>
        <w:contextualSpacing/>
        <w:jc w:val="both"/>
        <w:rPr>
          <w:rFonts w:ascii="Verdana" w:hAnsi="Verdana" w:cs="Arial"/>
          <w:sz w:val="16"/>
          <w:szCs w:val="16"/>
        </w:rPr>
      </w:pPr>
    </w:p>
  </w:footnote>
  <w:footnote w:id="16">
    <w:p w14:paraId="0763F221" w14:textId="77777777" w:rsidR="008D0A36" w:rsidRPr="006E209D" w:rsidRDefault="008D0A36" w:rsidP="008D0A36">
      <w:pPr>
        <w:pStyle w:val="Textonotapie"/>
        <w:ind w:firstLine="709"/>
        <w:contextualSpacing/>
        <w:jc w:val="both"/>
        <w:rPr>
          <w:rFonts w:ascii="Verdana" w:hAnsi="Verdana" w:cs="Arial"/>
          <w:sz w:val="16"/>
          <w:szCs w:val="16"/>
        </w:rPr>
      </w:pPr>
      <w:r w:rsidRPr="006E209D">
        <w:rPr>
          <w:rStyle w:val="Refdenotaalpie"/>
          <w:rFonts w:ascii="Verdana" w:hAnsi="Verdana" w:cs="Arial"/>
          <w:sz w:val="16"/>
          <w:szCs w:val="16"/>
        </w:rPr>
        <w:footnoteRef/>
      </w:r>
      <w:r w:rsidRPr="006E209D">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w:t>
      </w:r>
      <w:proofErr w:type="gramStart"/>
      <w:r w:rsidRPr="006E209D">
        <w:rPr>
          <w:rFonts w:ascii="Verdana" w:hAnsi="Verdana" w:cs="Arial"/>
          <w:sz w:val="16"/>
          <w:szCs w:val="16"/>
        </w:rPr>
        <w:t>pública,</w:t>
      </w:r>
      <w:proofErr w:type="gramEnd"/>
      <w:r w:rsidRPr="006E209D">
        <w:rPr>
          <w:rFonts w:ascii="Verdana" w:hAnsi="Verdana" w:cs="Arial"/>
          <w:sz w:val="16"/>
          <w:szCs w:val="16"/>
        </w:rPr>
        <w:t xml:space="preserve">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6E209D">
        <w:rPr>
          <w:rFonts w:ascii="Verdana" w:hAnsi="Verdana" w:cs="Arial"/>
          <w:i/>
          <w:iCs/>
          <w:sz w:val="16"/>
          <w:szCs w:val="16"/>
        </w:rPr>
        <w:t>Presentación de la oferta de manera dinámica</w:t>
      </w:r>
      <w:r w:rsidRPr="006E209D">
        <w:rPr>
          <w:rFonts w:ascii="Verdana" w:hAnsi="Verdana" w:cs="Arial"/>
          <w:sz w:val="16"/>
          <w:szCs w:val="16"/>
        </w:rPr>
        <w:t xml:space="preserve">). Es decir, </w:t>
      </w:r>
      <w:proofErr w:type="gramStart"/>
      <w:r w:rsidRPr="006E209D">
        <w:rPr>
          <w:rFonts w:ascii="Verdana" w:hAnsi="Verdana" w:cs="Arial"/>
          <w:sz w:val="16"/>
          <w:szCs w:val="16"/>
        </w:rPr>
        <w:t>que</w:t>
      </w:r>
      <w:proofErr w:type="gramEnd"/>
      <w:r w:rsidRPr="006E209D">
        <w:rPr>
          <w:rFonts w:ascii="Verdana" w:hAnsi="Verdana" w:cs="Arial"/>
          <w:sz w:val="16"/>
          <w:szCs w:val="16"/>
        </w:rPr>
        <w:t xml:space="preserve"> ante la ausencia de una causal concreta para un determinado evento específico, la selección debe asumir la que el ordenamiento jurídico regula como licitación pública. Por eso es </w:t>
      </w:r>
      <w:proofErr w:type="gramStart"/>
      <w:r w:rsidRPr="006E209D">
        <w:rPr>
          <w:rFonts w:ascii="Verdana" w:hAnsi="Verdana" w:cs="Arial"/>
          <w:sz w:val="16"/>
          <w:szCs w:val="16"/>
        </w:rPr>
        <w:t>que</w:t>
      </w:r>
      <w:proofErr w:type="gramEnd"/>
      <w:r w:rsidRPr="006E209D">
        <w:rPr>
          <w:rFonts w:ascii="Verdana" w:hAnsi="Verdana" w:cs="Arial"/>
          <w:sz w:val="16"/>
          <w:szCs w:val="16"/>
        </w:rPr>
        <w:t xml:space="preserv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17">
    <w:p w14:paraId="204C82BB" w14:textId="77777777" w:rsidR="008D0A36" w:rsidRPr="006E209D" w:rsidRDefault="008D0A36" w:rsidP="008D0A36">
      <w:pPr>
        <w:spacing w:after="0" w:line="240" w:lineRule="auto"/>
        <w:ind w:firstLine="707"/>
        <w:contextualSpacing/>
        <w:jc w:val="both"/>
        <w:rPr>
          <w:rFonts w:ascii="Verdana" w:hAnsi="Verdana" w:cs="Arial"/>
          <w:sz w:val="16"/>
          <w:szCs w:val="16"/>
        </w:rPr>
      </w:pPr>
      <w:r w:rsidRPr="006E209D">
        <w:rPr>
          <w:rStyle w:val="Refdenotaalpie"/>
          <w:rFonts w:ascii="Verdana" w:hAnsi="Verdana" w:cs="Arial"/>
          <w:sz w:val="16"/>
          <w:szCs w:val="16"/>
        </w:rPr>
        <w:footnoteRef/>
      </w:r>
      <w:r w:rsidRPr="006E209D">
        <w:rPr>
          <w:rFonts w:ascii="Verdana" w:hAnsi="Verdana" w:cs="Arial"/>
          <w:position w:val="6"/>
          <w:sz w:val="16"/>
          <w:szCs w:val="16"/>
        </w:rPr>
        <w:t xml:space="preserve"> </w:t>
      </w:r>
      <w:r w:rsidRPr="006E209D">
        <w:rPr>
          <w:rFonts w:ascii="Verdana" w:hAnsi="Verdana" w:cs="Arial"/>
          <w:sz w:val="16"/>
          <w:szCs w:val="16"/>
        </w:rPr>
        <w:t>DEIK ACOSTAMADIEDO, Carolina, Guía de Contratación Estatal: Deber de planeación y modalidades de selección, Buenos Aires, 2015, p. 59.</w:t>
      </w:r>
    </w:p>
    <w:p w14:paraId="323FFB64" w14:textId="77777777" w:rsidR="008D0A36" w:rsidRPr="00F52C9F" w:rsidRDefault="008D0A36" w:rsidP="008D0A36">
      <w:pPr>
        <w:pStyle w:val="Textonotapie"/>
        <w:contextualSpacing/>
        <w:jc w:val="both"/>
        <w:rPr>
          <w:rFonts w:ascii="Verdana" w:hAnsi="Verdana" w:cs="Arial"/>
          <w:sz w:val="18"/>
          <w:szCs w:val="18"/>
        </w:rPr>
      </w:pPr>
    </w:p>
  </w:footnote>
  <w:footnote w:id="18">
    <w:p w14:paraId="5B9BF70B" w14:textId="77777777" w:rsidR="008D0A36" w:rsidRPr="006E209D" w:rsidRDefault="008D0A36" w:rsidP="008D0A36">
      <w:pPr>
        <w:pStyle w:val="Textoindependiente"/>
        <w:spacing w:after="0" w:line="240" w:lineRule="auto"/>
        <w:ind w:firstLine="709"/>
        <w:contextualSpacing/>
        <w:jc w:val="both"/>
        <w:rPr>
          <w:rFonts w:ascii="Verdana" w:hAnsi="Verdana" w:cs="Arial"/>
          <w:sz w:val="16"/>
          <w:szCs w:val="16"/>
        </w:rPr>
      </w:pPr>
      <w:r w:rsidRPr="006E209D">
        <w:rPr>
          <w:rStyle w:val="Refdenotaalpie"/>
          <w:rFonts w:ascii="Verdana" w:hAnsi="Verdana" w:cs="Arial"/>
          <w:sz w:val="16"/>
          <w:szCs w:val="16"/>
        </w:rPr>
        <w:footnoteRef/>
      </w:r>
      <w:r w:rsidRPr="006E209D">
        <w:rPr>
          <w:rFonts w:ascii="Verdana" w:hAnsi="Verdana" w:cs="Arial"/>
          <w:sz w:val="16"/>
          <w:szCs w:val="16"/>
        </w:rPr>
        <w:t xml:space="preserve"> “Artículo </w:t>
      </w:r>
      <w:bookmarkStart w:id="11" w:name="_Hlk54173885"/>
      <w:r w:rsidRPr="006E209D">
        <w:rPr>
          <w:rFonts w:ascii="Verdana" w:hAnsi="Verdana" w:cs="Arial"/>
          <w:sz w:val="16"/>
          <w:szCs w:val="16"/>
        </w:rPr>
        <w:t>2.2.1.1.2.1.1</w:t>
      </w:r>
      <w:bookmarkEnd w:id="11"/>
      <w:r w:rsidRPr="006E209D">
        <w:rPr>
          <w:rFonts w:ascii="Verdana" w:hAnsi="Verdana" w:cs="Arial"/>
          <w:sz w:val="16"/>
          <w:szCs w:val="16"/>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p w14:paraId="09613CAD" w14:textId="77777777" w:rsidR="008D0A36" w:rsidRPr="00F52C9F" w:rsidRDefault="008D0A36" w:rsidP="008D0A36">
      <w:pPr>
        <w:pStyle w:val="Textonotapie"/>
        <w:contextualSpacing/>
        <w:jc w:val="both"/>
        <w:rPr>
          <w:rFonts w:ascii="Verdana" w:hAnsi="Verdana" w:cs="Arial"/>
          <w:sz w:val="18"/>
          <w:szCs w:val="18"/>
        </w:rPr>
      </w:pPr>
    </w:p>
  </w:footnote>
  <w:footnote w:id="19">
    <w:p w14:paraId="72616235" w14:textId="77777777" w:rsidR="008D0A36" w:rsidRPr="006E209D" w:rsidRDefault="008D0A36" w:rsidP="008D0A36">
      <w:pPr>
        <w:pStyle w:val="Textoindependiente"/>
        <w:spacing w:after="0" w:line="240" w:lineRule="auto"/>
        <w:ind w:firstLine="709"/>
        <w:contextualSpacing/>
        <w:jc w:val="both"/>
        <w:rPr>
          <w:rFonts w:ascii="Verdana" w:hAnsi="Verdana" w:cs="Arial"/>
          <w:sz w:val="16"/>
          <w:szCs w:val="16"/>
        </w:rPr>
      </w:pPr>
      <w:r w:rsidRPr="006E209D">
        <w:rPr>
          <w:rStyle w:val="Refdenotaalpie"/>
          <w:rFonts w:ascii="Verdana" w:hAnsi="Verdana" w:cs="Arial"/>
          <w:sz w:val="16"/>
          <w:szCs w:val="16"/>
        </w:rPr>
        <w:footnoteRef/>
      </w:r>
      <w:r w:rsidRPr="006E209D">
        <w:rPr>
          <w:rFonts w:ascii="Verdana" w:hAnsi="Verdana" w:cs="Arial"/>
          <w:sz w:val="16"/>
          <w:szCs w:val="16"/>
        </w:rPr>
        <w:t xml:space="preserve"> Consejo de Estado. Sección Tercera. Subsección B. Sentencia del 31 de agosto de 2011. </w:t>
      </w:r>
      <w:proofErr w:type="spellStart"/>
      <w:r w:rsidRPr="006E209D">
        <w:rPr>
          <w:rFonts w:ascii="Verdana" w:hAnsi="Verdana" w:cs="Arial"/>
          <w:sz w:val="16"/>
          <w:szCs w:val="16"/>
        </w:rPr>
        <w:t>Exp</w:t>
      </w:r>
      <w:proofErr w:type="spellEnd"/>
      <w:r w:rsidRPr="006E209D">
        <w:rPr>
          <w:rFonts w:ascii="Verdana" w:hAnsi="Verdana" w:cs="Arial"/>
          <w:sz w:val="16"/>
          <w:szCs w:val="16"/>
        </w:rPr>
        <w:t xml:space="preserve">. 18.080. C.P. Ruth Stella Correa Palacio: “(…) recuérdese que la aplicación de la buena fe en materia negocial </w:t>
      </w:r>
      <w:r w:rsidRPr="00C766D0">
        <w:rPr>
          <w:rFonts w:ascii="Verdana" w:hAnsi="Verdana" w:cs="Arial"/>
          <w:sz w:val="16"/>
          <w:szCs w:val="16"/>
        </w:rPr>
        <w:t>implica para las partes la observancia la observancia de una conducta enmarcada dentro del contexto de los deberes de corrección, claridad y recíproca lealtad que se deben los contratantes, para remitir la realización de los efectos finales buscados en el contrato”.</w:t>
      </w:r>
    </w:p>
    <w:p w14:paraId="1D016F49" w14:textId="77777777" w:rsidR="008D0A36" w:rsidRPr="006E209D" w:rsidRDefault="008D0A36" w:rsidP="008D0A36">
      <w:pPr>
        <w:pStyle w:val="Textonotapie"/>
        <w:contextualSpacing/>
        <w:jc w:val="both"/>
        <w:rPr>
          <w:rFonts w:ascii="Verdana" w:hAnsi="Verdana" w:cs="Arial"/>
          <w:sz w:val="16"/>
          <w:szCs w:val="16"/>
        </w:rPr>
      </w:pPr>
    </w:p>
  </w:footnote>
  <w:footnote w:id="20">
    <w:p w14:paraId="5B1709E0" w14:textId="77777777" w:rsidR="008D0A36" w:rsidRPr="00F26E5F" w:rsidRDefault="008D0A36" w:rsidP="008D0A36">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w:t>
      </w:r>
      <w:proofErr w:type="spellStart"/>
      <w:proofErr w:type="gramStart"/>
      <w:r w:rsidRPr="00F26E5F">
        <w:rPr>
          <w:rFonts w:ascii="Verdana" w:hAnsi="Verdana"/>
          <w:sz w:val="16"/>
          <w:szCs w:val="16"/>
        </w:rPr>
        <w:t>Dcto</w:t>
      </w:r>
      <w:proofErr w:type="spellEnd"/>
      <w:r w:rsidRPr="00F26E5F">
        <w:rPr>
          <w:rFonts w:ascii="Verdana" w:hAnsi="Verdana"/>
          <w:sz w:val="16"/>
          <w:szCs w:val="16"/>
        </w:rPr>
        <w:t>.-</w:t>
      </w:r>
      <w:proofErr w:type="gramEnd"/>
      <w:r w:rsidRPr="00F26E5F">
        <w:rPr>
          <w:rFonts w:ascii="Verdana" w:hAnsi="Verdana"/>
          <w:sz w:val="16"/>
          <w:szCs w:val="16"/>
        </w:rPr>
        <w:t>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w:t>
      </w:r>
      <w:proofErr w:type="spellStart"/>
      <w:r w:rsidRPr="00F26E5F">
        <w:rPr>
          <w:rFonts w:ascii="Verdana" w:hAnsi="Verdana"/>
          <w:sz w:val="16"/>
          <w:szCs w:val="16"/>
        </w:rPr>
        <w:t>num</w:t>
      </w:r>
      <w:proofErr w:type="spellEnd"/>
      <w:r w:rsidRPr="00F26E5F">
        <w:rPr>
          <w:rFonts w:ascii="Verdana" w:hAnsi="Verdana"/>
          <w:sz w:val="16"/>
          <w:szCs w:val="16"/>
        </w:rPr>
        <w:t>. 4.º), la difusión de normas, reglas y</w:t>
      </w:r>
      <w:r>
        <w:rPr>
          <w:rFonts w:ascii="Verdana" w:hAnsi="Verdana"/>
          <w:sz w:val="16"/>
          <w:szCs w:val="16"/>
        </w:rPr>
        <w:t xml:space="preserve"> </w:t>
      </w:r>
      <w:r w:rsidRPr="00F26E5F">
        <w:rPr>
          <w:rFonts w:ascii="Verdana" w:hAnsi="Verdana"/>
          <w:sz w:val="16"/>
          <w:szCs w:val="16"/>
        </w:rPr>
        <w:t>procedimientos (</w:t>
      </w:r>
      <w:proofErr w:type="spellStart"/>
      <w:r w:rsidRPr="00F26E5F">
        <w:rPr>
          <w:rFonts w:ascii="Verdana" w:hAnsi="Verdana"/>
          <w:sz w:val="16"/>
          <w:szCs w:val="16"/>
        </w:rPr>
        <w:t>num</w:t>
      </w:r>
      <w:proofErr w:type="spellEnd"/>
      <w:r w:rsidRPr="00F26E5F">
        <w:rPr>
          <w:rFonts w:ascii="Verdana" w:hAnsi="Verdana"/>
          <w:sz w:val="16"/>
          <w:szCs w:val="16"/>
        </w:rPr>
        <w:t>. 10), el brindar apoyo a entidades</w:t>
      </w:r>
      <w:r>
        <w:rPr>
          <w:rFonts w:ascii="Verdana" w:hAnsi="Verdana"/>
          <w:sz w:val="16"/>
          <w:szCs w:val="16"/>
        </w:rPr>
        <w:t xml:space="preserve"> </w:t>
      </w:r>
      <w:r w:rsidRPr="00F26E5F">
        <w:rPr>
          <w:rFonts w:ascii="Verdana" w:hAnsi="Verdana"/>
          <w:sz w:val="16"/>
          <w:szCs w:val="16"/>
        </w:rPr>
        <w:t>territoriales (</w:t>
      </w:r>
      <w:proofErr w:type="spellStart"/>
      <w:r w:rsidRPr="00F26E5F">
        <w:rPr>
          <w:rFonts w:ascii="Verdana" w:hAnsi="Verdana"/>
          <w:sz w:val="16"/>
          <w:szCs w:val="16"/>
        </w:rPr>
        <w:t>num</w:t>
      </w:r>
      <w:proofErr w:type="spellEnd"/>
      <w:r w:rsidRPr="00F26E5F">
        <w:rPr>
          <w:rFonts w:ascii="Verdana" w:hAnsi="Verdana"/>
          <w:sz w:val="16"/>
          <w:szCs w:val="16"/>
        </w:rPr>
        <w:t>. 11) y la promoción de políticas y normas ante el Gobierno Nacional (</w:t>
      </w:r>
      <w:proofErr w:type="spellStart"/>
      <w:r w:rsidRPr="00F26E5F">
        <w:rPr>
          <w:rFonts w:ascii="Verdana" w:hAnsi="Verdana"/>
          <w:sz w:val="16"/>
          <w:szCs w:val="16"/>
        </w:rPr>
        <w:t>num</w:t>
      </w:r>
      <w:proofErr w:type="spellEnd"/>
      <w:r w:rsidRPr="00F26E5F">
        <w:rPr>
          <w:rFonts w:ascii="Verdana" w:hAnsi="Verdana"/>
          <w:sz w:val="16"/>
          <w:szCs w:val="16"/>
        </w:rPr>
        <w:t>.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32286"/>
    <w:multiLevelType w:val="hybridMultilevel"/>
    <w:tmpl w:val="401AA0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0"/>
  </w:num>
  <w:num w:numId="13" w16cid:durableId="1512908409">
    <w:abstractNumId w:val="2"/>
  </w:num>
  <w:num w:numId="14" w16cid:durableId="895897244">
    <w:abstractNumId w:val="16"/>
  </w:num>
  <w:num w:numId="15" w16cid:durableId="390349800">
    <w:abstractNumId w:val="12"/>
  </w:num>
  <w:num w:numId="16" w16cid:durableId="2024895314">
    <w:abstractNumId w:val="11"/>
  </w:num>
  <w:num w:numId="17" w16cid:durableId="2018145751">
    <w:abstractNumId w:val="10"/>
  </w:num>
  <w:num w:numId="18" w16cid:durableId="2037461892">
    <w:abstractNumId w:val="9"/>
  </w:num>
  <w:num w:numId="19" w16cid:durableId="2026907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304A"/>
    <w:rsid w:val="0003744D"/>
    <w:rsid w:val="000407F5"/>
    <w:rsid w:val="00046945"/>
    <w:rsid w:val="00061B2A"/>
    <w:rsid w:val="00082362"/>
    <w:rsid w:val="0009102C"/>
    <w:rsid w:val="000A683E"/>
    <w:rsid w:val="000B19B9"/>
    <w:rsid w:val="000C4C50"/>
    <w:rsid w:val="000D0334"/>
    <w:rsid w:val="000D5DA7"/>
    <w:rsid w:val="000D74DC"/>
    <w:rsid w:val="000E0778"/>
    <w:rsid w:val="000E2A37"/>
    <w:rsid w:val="000F6486"/>
    <w:rsid w:val="001004D1"/>
    <w:rsid w:val="00102CAF"/>
    <w:rsid w:val="00116940"/>
    <w:rsid w:val="00125105"/>
    <w:rsid w:val="00127233"/>
    <w:rsid w:val="0015699B"/>
    <w:rsid w:val="0016021B"/>
    <w:rsid w:val="001A33BF"/>
    <w:rsid w:val="001A4076"/>
    <w:rsid w:val="001C5C4B"/>
    <w:rsid w:val="001E4177"/>
    <w:rsid w:val="001F0B24"/>
    <w:rsid w:val="001F7DC6"/>
    <w:rsid w:val="0022400B"/>
    <w:rsid w:val="002421BB"/>
    <w:rsid w:val="0024699C"/>
    <w:rsid w:val="0025796E"/>
    <w:rsid w:val="002615D7"/>
    <w:rsid w:val="002707A2"/>
    <w:rsid w:val="00275EDF"/>
    <w:rsid w:val="002849DF"/>
    <w:rsid w:val="00294224"/>
    <w:rsid w:val="00294FC7"/>
    <w:rsid w:val="002951A0"/>
    <w:rsid w:val="002962BC"/>
    <w:rsid w:val="002A093D"/>
    <w:rsid w:val="002A0DD0"/>
    <w:rsid w:val="002A49AC"/>
    <w:rsid w:val="002A64FD"/>
    <w:rsid w:val="002B6577"/>
    <w:rsid w:val="002C19A5"/>
    <w:rsid w:val="002C2FBD"/>
    <w:rsid w:val="002C4B13"/>
    <w:rsid w:val="002C7A84"/>
    <w:rsid w:val="002D3442"/>
    <w:rsid w:val="002D7DF2"/>
    <w:rsid w:val="002E2BF8"/>
    <w:rsid w:val="002E4FD9"/>
    <w:rsid w:val="0030657A"/>
    <w:rsid w:val="00312132"/>
    <w:rsid w:val="00322A85"/>
    <w:rsid w:val="00324168"/>
    <w:rsid w:val="00330834"/>
    <w:rsid w:val="00333786"/>
    <w:rsid w:val="003448F4"/>
    <w:rsid w:val="00374F5E"/>
    <w:rsid w:val="00377E3E"/>
    <w:rsid w:val="003A779E"/>
    <w:rsid w:val="003D0F4D"/>
    <w:rsid w:val="003D5B0D"/>
    <w:rsid w:val="003E0499"/>
    <w:rsid w:val="003E4F80"/>
    <w:rsid w:val="003E6439"/>
    <w:rsid w:val="003F3941"/>
    <w:rsid w:val="00406575"/>
    <w:rsid w:val="00407F60"/>
    <w:rsid w:val="00410222"/>
    <w:rsid w:val="00414C74"/>
    <w:rsid w:val="00417747"/>
    <w:rsid w:val="0042722E"/>
    <w:rsid w:val="0044528D"/>
    <w:rsid w:val="00466E39"/>
    <w:rsid w:val="004A1847"/>
    <w:rsid w:val="004A305D"/>
    <w:rsid w:val="004C5CE5"/>
    <w:rsid w:val="004F21C4"/>
    <w:rsid w:val="004F685F"/>
    <w:rsid w:val="005450D1"/>
    <w:rsid w:val="005566E8"/>
    <w:rsid w:val="00574867"/>
    <w:rsid w:val="00591460"/>
    <w:rsid w:val="00592381"/>
    <w:rsid w:val="005A5C7C"/>
    <w:rsid w:val="005A65E0"/>
    <w:rsid w:val="005B14B7"/>
    <w:rsid w:val="005C3777"/>
    <w:rsid w:val="005C5CDC"/>
    <w:rsid w:val="005D476C"/>
    <w:rsid w:val="005E0FBD"/>
    <w:rsid w:val="006200BF"/>
    <w:rsid w:val="006219F8"/>
    <w:rsid w:val="006302F7"/>
    <w:rsid w:val="00646B9F"/>
    <w:rsid w:val="00660ABC"/>
    <w:rsid w:val="00665D70"/>
    <w:rsid w:val="006867FF"/>
    <w:rsid w:val="006900D9"/>
    <w:rsid w:val="006B586B"/>
    <w:rsid w:val="006E209D"/>
    <w:rsid w:val="00706C16"/>
    <w:rsid w:val="00717F79"/>
    <w:rsid w:val="007340C3"/>
    <w:rsid w:val="007429EE"/>
    <w:rsid w:val="0075235A"/>
    <w:rsid w:val="00756841"/>
    <w:rsid w:val="007649AB"/>
    <w:rsid w:val="00771D0C"/>
    <w:rsid w:val="00776D5C"/>
    <w:rsid w:val="007833AC"/>
    <w:rsid w:val="007A2AC9"/>
    <w:rsid w:val="007B1EBA"/>
    <w:rsid w:val="007B268C"/>
    <w:rsid w:val="007B7171"/>
    <w:rsid w:val="007C0C0F"/>
    <w:rsid w:val="007C3DC2"/>
    <w:rsid w:val="007E5497"/>
    <w:rsid w:val="00806F5F"/>
    <w:rsid w:val="00820278"/>
    <w:rsid w:val="008258C9"/>
    <w:rsid w:val="00833F4B"/>
    <w:rsid w:val="00844AE9"/>
    <w:rsid w:val="008531AE"/>
    <w:rsid w:val="00867F95"/>
    <w:rsid w:val="00876E9D"/>
    <w:rsid w:val="00877734"/>
    <w:rsid w:val="008835D0"/>
    <w:rsid w:val="008843B6"/>
    <w:rsid w:val="00891928"/>
    <w:rsid w:val="008A446D"/>
    <w:rsid w:val="008B25F1"/>
    <w:rsid w:val="008D0A36"/>
    <w:rsid w:val="008D180B"/>
    <w:rsid w:val="008E24BF"/>
    <w:rsid w:val="008E69AA"/>
    <w:rsid w:val="008F0EA7"/>
    <w:rsid w:val="00923EEF"/>
    <w:rsid w:val="009262E2"/>
    <w:rsid w:val="009419F9"/>
    <w:rsid w:val="0095685E"/>
    <w:rsid w:val="00961B09"/>
    <w:rsid w:val="00965334"/>
    <w:rsid w:val="0097093E"/>
    <w:rsid w:val="009966DA"/>
    <w:rsid w:val="009A0DFA"/>
    <w:rsid w:val="009A1C6F"/>
    <w:rsid w:val="009B2D26"/>
    <w:rsid w:val="009B4EE7"/>
    <w:rsid w:val="009C6C85"/>
    <w:rsid w:val="009C71FA"/>
    <w:rsid w:val="009C72E7"/>
    <w:rsid w:val="009C7F7E"/>
    <w:rsid w:val="009D3058"/>
    <w:rsid w:val="009E15D9"/>
    <w:rsid w:val="009F3A13"/>
    <w:rsid w:val="00A07A98"/>
    <w:rsid w:val="00A122D3"/>
    <w:rsid w:val="00A14468"/>
    <w:rsid w:val="00A17F13"/>
    <w:rsid w:val="00A20739"/>
    <w:rsid w:val="00A22FB7"/>
    <w:rsid w:val="00A23AF9"/>
    <w:rsid w:val="00A33C78"/>
    <w:rsid w:val="00A94A28"/>
    <w:rsid w:val="00AB0ADB"/>
    <w:rsid w:val="00AB5187"/>
    <w:rsid w:val="00AC0AC6"/>
    <w:rsid w:val="00AD4E8F"/>
    <w:rsid w:val="00B00C0E"/>
    <w:rsid w:val="00B01B1A"/>
    <w:rsid w:val="00B0381D"/>
    <w:rsid w:val="00B44A47"/>
    <w:rsid w:val="00B52F61"/>
    <w:rsid w:val="00B67E47"/>
    <w:rsid w:val="00B72CD3"/>
    <w:rsid w:val="00B72FFF"/>
    <w:rsid w:val="00B80890"/>
    <w:rsid w:val="00BC3D36"/>
    <w:rsid w:val="00BD54A6"/>
    <w:rsid w:val="00BD7F72"/>
    <w:rsid w:val="00BF7425"/>
    <w:rsid w:val="00C04FB3"/>
    <w:rsid w:val="00C11D8B"/>
    <w:rsid w:val="00C15139"/>
    <w:rsid w:val="00C22CFF"/>
    <w:rsid w:val="00C23177"/>
    <w:rsid w:val="00C24E10"/>
    <w:rsid w:val="00C330EB"/>
    <w:rsid w:val="00C4354B"/>
    <w:rsid w:val="00C44ECC"/>
    <w:rsid w:val="00C50D69"/>
    <w:rsid w:val="00C5365C"/>
    <w:rsid w:val="00C754BE"/>
    <w:rsid w:val="00C766D0"/>
    <w:rsid w:val="00C76B1C"/>
    <w:rsid w:val="00C925AC"/>
    <w:rsid w:val="00CA4163"/>
    <w:rsid w:val="00CB6357"/>
    <w:rsid w:val="00CC1B26"/>
    <w:rsid w:val="00CD4574"/>
    <w:rsid w:val="00CE564B"/>
    <w:rsid w:val="00D32347"/>
    <w:rsid w:val="00D361FD"/>
    <w:rsid w:val="00D423A2"/>
    <w:rsid w:val="00D44E26"/>
    <w:rsid w:val="00D46790"/>
    <w:rsid w:val="00D520D8"/>
    <w:rsid w:val="00D63AC2"/>
    <w:rsid w:val="00D7383B"/>
    <w:rsid w:val="00D7788A"/>
    <w:rsid w:val="00D83D2F"/>
    <w:rsid w:val="00DA231B"/>
    <w:rsid w:val="00DC39FC"/>
    <w:rsid w:val="00DD4F5D"/>
    <w:rsid w:val="00DF2E35"/>
    <w:rsid w:val="00DF5254"/>
    <w:rsid w:val="00E02524"/>
    <w:rsid w:val="00E16408"/>
    <w:rsid w:val="00E20894"/>
    <w:rsid w:val="00E245AB"/>
    <w:rsid w:val="00E2764C"/>
    <w:rsid w:val="00E27F2E"/>
    <w:rsid w:val="00E45CEC"/>
    <w:rsid w:val="00E50AFE"/>
    <w:rsid w:val="00E5539B"/>
    <w:rsid w:val="00E625D1"/>
    <w:rsid w:val="00E75C92"/>
    <w:rsid w:val="00E771DC"/>
    <w:rsid w:val="00E8350E"/>
    <w:rsid w:val="00E8772A"/>
    <w:rsid w:val="00E90F6B"/>
    <w:rsid w:val="00E92C27"/>
    <w:rsid w:val="00E97AC5"/>
    <w:rsid w:val="00EA0E3D"/>
    <w:rsid w:val="00EC38A7"/>
    <w:rsid w:val="00EE1AA8"/>
    <w:rsid w:val="00F23FEA"/>
    <w:rsid w:val="00F26CCB"/>
    <w:rsid w:val="00F31EDC"/>
    <w:rsid w:val="00F462B3"/>
    <w:rsid w:val="00F5664F"/>
    <w:rsid w:val="00F666C4"/>
    <w:rsid w:val="00F76AFC"/>
    <w:rsid w:val="00FA1F58"/>
    <w:rsid w:val="00FA47C0"/>
    <w:rsid w:val="00FB5DD1"/>
    <w:rsid w:val="00FC2B5D"/>
    <w:rsid w:val="00FF1449"/>
    <w:rsid w:val="00FF2CCA"/>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004D1"/>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004D1"/>
    <w:rPr>
      <w:rFonts w:ascii="Geomanist Light" w:hAnsi="Geomanist Light"/>
      <w:lang w:val="es-ES"/>
    </w:rPr>
  </w:style>
  <w:style w:type="paragraph" w:styleId="Sinespaciado">
    <w:name w:val="No Spacing"/>
    <w:uiPriority w:val="1"/>
    <w:qFormat/>
    <w:rsid w:val="001004D1"/>
    <w:pPr>
      <w:spacing w:after="0" w:line="240" w:lineRule="auto"/>
    </w:pPr>
  </w:style>
  <w:style w:type="character" w:customStyle="1" w:styleId="s15">
    <w:name w:val="s15"/>
    <w:basedOn w:val="Fuentedeprrafopredeter"/>
    <w:rsid w:val="001004D1"/>
  </w:style>
  <w:style w:type="paragraph" w:styleId="Textoindependiente">
    <w:name w:val="Body Text"/>
    <w:basedOn w:val="Normal"/>
    <w:link w:val="TextoindependienteCar"/>
    <w:uiPriority w:val="99"/>
    <w:semiHidden/>
    <w:unhideWhenUsed/>
    <w:rsid w:val="00B52F61"/>
    <w:pPr>
      <w:spacing w:after="120"/>
    </w:pPr>
  </w:style>
  <w:style w:type="character" w:customStyle="1" w:styleId="TextoindependienteCar">
    <w:name w:val="Texto independiente Car"/>
    <w:basedOn w:val="Fuentedeprrafopredeter"/>
    <w:link w:val="Textoindependiente"/>
    <w:uiPriority w:val="99"/>
    <w:semiHidden/>
    <w:rsid w:val="00B52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henrymoros07@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2824C-3752-4096-A7F6-40002F1091A4}">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D49FD2-0C30-4B46-9C03-F1350FDBC01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53</TotalTime>
  <Pages>27</Pages>
  <Words>9185</Words>
  <Characters>50520</Characters>
  <Application>Microsoft Office Word</Application>
  <DocSecurity>0</DocSecurity>
  <Lines>421</Lines>
  <Paragraphs>119</Paragraphs>
  <ScaleCrop>false</ScaleCrop>
  <Company/>
  <LinksUpToDate>false</LinksUpToDate>
  <CharactersWithSpaces>59586</CharactersWithSpaces>
  <SharedDoc>false</SharedDoc>
  <HLinks>
    <vt:vector size="54"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2752636</vt:i4>
      </vt:variant>
      <vt:variant>
        <vt:i4>15</vt:i4>
      </vt:variant>
      <vt:variant>
        <vt:i4>0</vt:i4>
      </vt:variant>
      <vt:variant>
        <vt:i4>5</vt:i4>
      </vt:variant>
      <vt:variant>
        <vt:lpwstr>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vt:lpwstr>
      </vt:variant>
      <vt:variant>
        <vt:lpwstr/>
      </vt:variant>
      <vt:variant>
        <vt:i4>7340154</vt:i4>
      </vt:variant>
      <vt:variant>
        <vt:i4>12</vt:i4>
      </vt:variant>
      <vt:variant>
        <vt:i4>0</vt:i4>
      </vt:variant>
      <vt:variant>
        <vt:i4>5</vt:i4>
      </vt:variant>
      <vt:variant>
        <vt:lpwstr>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vt:lpwstr>
      </vt:variant>
      <vt:variant>
        <vt:lpwstr/>
      </vt:variant>
      <vt:variant>
        <vt:i4>7405690</vt:i4>
      </vt:variant>
      <vt:variant>
        <vt:i4>9</vt:i4>
      </vt:variant>
      <vt:variant>
        <vt:i4>0</vt:i4>
      </vt:variant>
      <vt:variant>
        <vt:i4>5</vt:i4>
      </vt:variant>
      <vt:variant>
        <vt:lpwstr>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vt:lpwstr>
      </vt:variant>
      <vt:variant>
        <vt:lpwstr/>
      </vt:variant>
      <vt:variant>
        <vt:i4>2490427</vt:i4>
      </vt:variant>
      <vt:variant>
        <vt:i4>6</vt:i4>
      </vt:variant>
      <vt:variant>
        <vt:i4>0</vt:i4>
      </vt:variant>
      <vt:variant>
        <vt:i4>5</vt:i4>
      </vt:variant>
      <vt:variant>
        <vt:lpwstr>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2621455</vt:i4>
      </vt:variant>
      <vt:variant>
        <vt:i4>0</vt:i4>
      </vt:variant>
      <vt:variant>
        <vt:i4>0</vt:i4>
      </vt:variant>
      <vt:variant>
        <vt:i4>5</vt:i4>
      </vt:variant>
      <vt:variant>
        <vt:lpwstr>mailto:henrymoros07@gmail.com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19</cp:revision>
  <cp:lastPrinted>2023-01-10T21:18:00Z</cp:lastPrinted>
  <dcterms:created xsi:type="dcterms:W3CDTF">2026-08-18T16:15:00Z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