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1A1F3" w14:textId="218C43E8" w:rsidR="00450275" w:rsidRPr="00450275" w:rsidRDefault="00450275" w:rsidP="00450275">
      <w:pPr>
        <w:jc w:val="both"/>
        <w:rPr>
          <w:rFonts w:ascii="Verdana" w:eastAsia="Calibri" w:hAnsi="Verdana" w:cs="Arial"/>
          <w:b/>
          <w:lang w:val="es-ES_tradnl"/>
        </w:rPr>
      </w:pPr>
      <w:r w:rsidRPr="00507D00">
        <w:rPr>
          <w:rFonts w:ascii="Verdana" w:eastAsia="Calibri" w:hAnsi="Verdana" w:cs="Arial"/>
          <w:b/>
          <w:lang w:val="es-ES_tradnl"/>
        </w:rPr>
        <w:t>LIQUIDACIÓN DEL CONTRATO – Definición – Objetivo</w:t>
      </w:r>
    </w:p>
    <w:p w14:paraId="126ECBF3" w14:textId="2289F517" w:rsidR="00450275" w:rsidRPr="00450275" w:rsidRDefault="00450275" w:rsidP="00450275">
      <w:pPr>
        <w:jc w:val="both"/>
        <w:rPr>
          <w:rFonts w:ascii="Verdana" w:eastAsia="Calibri" w:hAnsi="Verdana" w:cs="Arial"/>
          <w:sz w:val="20"/>
          <w:szCs w:val="20"/>
          <w:lang w:val="es-ES_tradnl"/>
        </w:rPr>
      </w:pPr>
      <w:r w:rsidRPr="00450275">
        <w:rPr>
          <w:rFonts w:ascii="Verdana" w:eastAsia="Calibri" w:hAnsi="Verdana" w:cs="Arial"/>
          <w:sz w:val="20"/>
          <w:szCs w:val="20"/>
          <w:lang w:val="es-ES_tradnl"/>
        </w:rPr>
        <w:t xml:space="preserve">[…] la liquidación es el momento en el cual, una vez concluido el contrato estatal, las partes cruzan cuentas respecto de sus obligaciones. Por tanto, su objetivo es determinar si pueden declararse a paz y salvo mutuo o si, por el contrario, existen aún obligaciones por cumplir, para acordar la forma en que deben ser cumplidas. </w:t>
      </w:r>
    </w:p>
    <w:p w14:paraId="0087A5A7" w14:textId="4F0C363F" w:rsidR="00450275" w:rsidRPr="00450275" w:rsidRDefault="00450275" w:rsidP="00450275">
      <w:pPr>
        <w:jc w:val="both"/>
        <w:rPr>
          <w:rFonts w:ascii="Verdana" w:eastAsia="Calibri" w:hAnsi="Verdana" w:cs="Arial"/>
          <w:bCs/>
          <w:sz w:val="20"/>
          <w:szCs w:val="20"/>
          <w:lang w:val="es-ES_tradnl"/>
        </w:rPr>
      </w:pPr>
      <w:r w:rsidRPr="00450275">
        <w:rPr>
          <w:rFonts w:ascii="Verdana" w:hAnsi="Verdana" w:cs="Arial"/>
          <w:sz w:val="20"/>
          <w:szCs w:val="20"/>
          <w:lang w:val="es-ES_tradnl"/>
        </w:rPr>
        <w:t xml:space="preserve">En este sentido, la liquidación es el ajuste de cuentas donde las partes hacen un balance económico, técnico y jurídico del cumplimiento de las obligaciones que tienen a su cargo. Así lo manifestó el Consejo de Estado, en la sentencia del 20 de octubre de 2014, en la que consideró, por un lado, que </w:t>
      </w:r>
      <w:r w:rsidRPr="00450275">
        <w:rPr>
          <w:rFonts w:ascii="Verdana" w:hAnsi="Verdana" w:cs="Arial"/>
          <w:i/>
          <w:iCs/>
          <w:sz w:val="20"/>
          <w:szCs w:val="20"/>
          <w:lang w:val="es-ES_tradnl"/>
        </w:rPr>
        <w:t>liquidar</w:t>
      </w:r>
      <w:r w:rsidRPr="00450275">
        <w:rPr>
          <w:rFonts w:ascii="Verdana" w:hAnsi="Verdana" w:cs="Arial"/>
          <w:sz w:val="20"/>
          <w:szCs w:val="20"/>
          <w:lang w:val="es-ES_tradnl"/>
        </w:rPr>
        <w:t xml:space="preserve"> supone un ajuste en relación con las cuentas y el estado de cumplimiento del contrato estatal y, por el otro, que la </w:t>
      </w:r>
      <w:r w:rsidRPr="00450275">
        <w:rPr>
          <w:rFonts w:ascii="Verdana" w:hAnsi="Verdana" w:cs="Arial"/>
          <w:i/>
          <w:iCs/>
          <w:sz w:val="20"/>
          <w:szCs w:val="20"/>
          <w:lang w:val="es-ES_tradnl"/>
        </w:rPr>
        <w:t>liquidación</w:t>
      </w:r>
      <w:r w:rsidRPr="00450275">
        <w:rPr>
          <w:rFonts w:ascii="Verdana" w:hAnsi="Verdana" w:cs="Arial"/>
          <w:sz w:val="20"/>
          <w:szCs w:val="20"/>
          <w:lang w:val="es-ES_tradnl"/>
        </w:rPr>
        <w:t xml:space="preserve"> debe incluir el análisis de las condiciones de calidad y oportunidad en la entrega de los bienes, obras o servicios, así como el balance económico y el comportamiento financiero del negocio.</w:t>
      </w:r>
    </w:p>
    <w:p w14:paraId="391F59DC" w14:textId="48751750" w:rsidR="00450275" w:rsidRPr="00450275" w:rsidRDefault="00450275" w:rsidP="00450275">
      <w:pPr>
        <w:jc w:val="both"/>
        <w:rPr>
          <w:rFonts w:ascii="Verdana" w:eastAsia="Calibri" w:hAnsi="Verdana" w:cs="Arial"/>
          <w:b/>
          <w:lang w:val="es-ES_tradnl"/>
        </w:rPr>
      </w:pPr>
      <w:r w:rsidRPr="00507D00">
        <w:rPr>
          <w:rFonts w:ascii="Verdana" w:eastAsia="Calibri" w:hAnsi="Verdana" w:cs="Arial"/>
          <w:b/>
          <w:lang w:val="es-ES_tradnl"/>
        </w:rPr>
        <w:t>LIQUIDACIÓN DEL CONTRATO – Normativa</w:t>
      </w:r>
    </w:p>
    <w:p w14:paraId="2D2118C6" w14:textId="248975B3" w:rsidR="00450275" w:rsidRPr="00450275" w:rsidRDefault="00450275" w:rsidP="00450275">
      <w:pPr>
        <w:jc w:val="both"/>
        <w:rPr>
          <w:rFonts w:ascii="Verdana" w:hAnsi="Verdana" w:cs="Arial"/>
          <w:sz w:val="20"/>
          <w:szCs w:val="20"/>
          <w:lang w:val="es-ES_tradnl"/>
        </w:rPr>
      </w:pPr>
      <w:r w:rsidRPr="00450275">
        <w:rPr>
          <w:rFonts w:ascii="Verdana" w:eastAsia="Calibri" w:hAnsi="Verdana" w:cs="Arial"/>
          <w:sz w:val="20"/>
          <w:szCs w:val="20"/>
          <w:lang w:val="es-ES_tradnl"/>
        </w:rPr>
        <w:t xml:space="preserve">Las disposiciones legales que regulan la etapa de liquidación de los contratos estatales son el artículo 60 de la Ley 80 de 1993, modificado por el artículo 217 del Decreto 019 de 2012, y el artículo 11 de la Ley 1150 de 2007. El primero de estos artículos se refiere al alcance sustantivo de la liquidación y los contratos en que procede, mientras que el segundo contiene reglas procedimentales para su realización. </w:t>
      </w:r>
    </w:p>
    <w:p w14:paraId="0A79CC03" w14:textId="17B56251" w:rsidR="00450275" w:rsidRPr="00450275" w:rsidRDefault="00450275" w:rsidP="00450275">
      <w:pPr>
        <w:jc w:val="both"/>
        <w:rPr>
          <w:rFonts w:ascii="Verdana" w:eastAsia="Aptos" w:hAnsi="Verdana" w:cs="Arial"/>
          <w:b/>
          <w:lang w:val="es-ES_tradnl" w:eastAsia="es-ES"/>
        </w:rPr>
      </w:pPr>
      <w:r w:rsidRPr="00507D00">
        <w:rPr>
          <w:rFonts w:ascii="Verdana" w:eastAsia="Calibri" w:hAnsi="Verdana" w:cs="Arial"/>
          <w:b/>
          <w:lang w:val="es-ES_tradnl"/>
        </w:rPr>
        <w:t>LIQUIDACIÓN DEL CONTRATO</w:t>
      </w:r>
      <w:r w:rsidRPr="00507D00">
        <w:rPr>
          <w:rFonts w:ascii="Verdana" w:eastAsia="Aptos" w:hAnsi="Verdana" w:cs="Arial"/>
          <w:b/>
          <w:lang w:val="es-ES_tradnl" w:eastAsia="es-ES"/>
        </w:rPr>
        <w:t xml:space="preserve"> – Acta – Contenido</w:t>
      </w:r>
    </w:p>
    <w:p w14:paraId="39608227" w14:textId="0B1C25BA" w:rsidR="00450275" w:rsidRPr="00450275" w:rsidRDefault="00450275" w:rsidP="00450275">
      <w:pPr>
        <w:jc w:val="both"/>
        <w:rPr>
          <w:rFonts w:ascii="Verdana" w:eastAsia="Aptos" w:hAnsi="Verdana"/>
          <w:sz w:val="20"/>
          <w:szCs w:val="20"/>
        </w:rPr>
      </w:pPr>
      <w:r w:rsidRPr="00450275">
        <w:rPr>
          <w:rFonts w:ascii="Verdana" w:eastAsia="Aptos" w:hAnsi="Verdana"/>
          <w:sz w:val="20"/>
          <w:szCs w:val="20"/>
        </w:rPr>
        <w:t>La normativa del sistema de compra pública regula el contenido del acta de liquidación que realizan las partes de forma bilateral, en principio, en una norma actualmente derogada, esto es, el Decreto 222 de 1983 que disponía en su artículo 289 el contenido de la liquidación, sin que se mencionara el tema de la fecha del documento. Y la norma actual que es la Ley 80 de 1993, en su artículo 60, también trata del contenido de la liquidación sin que tampoco se mencione la fecha del acta de liquidación.</w:t>
      </w:r>
    </w:p>
    <w:p w14:paraId="028254B6" w14:textId="1061984B" w:rsidR="00450275" w:rsidRPr="00450275" w:rsidRDefault="00450275" w:rsidP="00450275">
      <w:pPr>
        <w:jc w:val="both"/>
        <w:rPr>
          <w:rFonts w:ascii="Verdana" w:eastAsia="Aptos" w:hAnsi="Verdana"/>
          <w:sz w:val="20"/>
          <w:szCs w:val="20"/>
        </w:rPr>
      </w:pPr>
      <w:r w:rsidRPr="00450275">
        <w:rPr>
          <w:rFonts w:ascii="Verdana" w:eastAsia="Aptos" w:hAnsi="Verdana"/>
          <w:sz w:val="20"/>
          <w:szCs w:val="20"/>
        </w:rPr>
        <w:t>(…)</w:t>
      </w:r>
    </w:p>
    <w:p w14:paraId="5CF887A2" w14:textId="77777777" w:rsidR="00450275" w:rsidRPr="00450275" w:rsidRDefault="00450275" w:rsidP="00450275">
      <w:pPr>
        <w:jc w:val="both"/>
        <w:rPr>
          <w:rFonts w:ascii="Verdana" w:eastAsia="Aptos" w:hAnsi="Verdana"/>
          <w:sz w:val="20"/>
          <w:szCs w:val="20"/>
        </w:rPr>
      </w:pPr>
      <w:r w:rsidRPr="00450275">
        <w:rPr>
          <w:rFonts w:ascii="Verdana" w:eastAsia="Aptos" w:hAnsi="Verdana"/>
          <w:sz w:val="20"/>
          <w:szCs w:val="20"/>
        </w:rPr>
        <w:t>Por tanto, se identifica la necesidad de la fecha del acta de liquidación y su publicación para que se pueda determinar si se cumplieron los plazos de la liquidación bilateral, o si esta no existió, proceder a la liquidación unilateral o judicial en los plazos señalados por la norma, que en caso de que las partes no pacten en el contrato el plazo de la liquidación bilateral, la ley trae un término supletivo. Así se observa que la existencia o no de liquidación bilateral, influye en los plazos que la norma dispone para la liquidación unilateral y judicial, además de que la jurisprudencia ha señalado la importancia de conocer la fecha de suscripción de la liquidación para diferentes efectos, entre otros, para hacer reclamaciones mediante acciones judiciales (…).</w:t>
      </w:r>
    </w:p>
    <w:p w14:paraId="1D078F81" w14:textId="77777777" w:rsidR="00450275" w:rsidRDefault="00450275" w:rsidP="00162775">
      <w:pPr>
        <w:spacing w:after="0" w:line="240" w:lineRule="auto"/>
        <w:rPr>
          <w:rFonts w:ascii="Verdana" w:eastAsia="Aptos" w:hAnsi="Verdana"/>
        </w:rPr>
      </w:pPr>
    </w:p>
    <w:p w14:paraId="1C99726F" w14:textId="21014478" w:rsidR="00450275" w:rsidRPr="00450275" w:rsidRDefault="00450275" w:rsidP="00162775">
      <w:pPr>
        <w:spacing w:after="0" w:line="240" w:lineRule="auto"/>
        <w:rPr>
          <w:rFonts w:ascii="Verdana" w:hAnsi="Verdana" w:cs="Arial"/>
          <w:b/>
          <w:bCs/>
          <w:color w:val="000000" w:themeColor="text1"/>
          <w:lang w:val="es-ES"/>
        </w:rPr>
      </w:pPr>
      <w:r w:rsidRPr="00450275">
        <w:rPr>
          <w:rFonts w:ascii="Verdana" w:hAnsi="Verdana" w:cs="Arial"/>
          <w:b/>
          <w:bCs/>
          <w:color w:val="000000" w:themeColor="text1"/>
          <w:lang w:val="es-ES"/>
        </w:rPr>
        <w:lastRenderedPageBreak/>
        <w:t>DEFECTOS O IRREGULARIDADES EN PROCEDIMIENTO - Artículo 49 Ley 80 de 1993- Requisitos</w:t>
      </w:r>
    </w:p>
    <w:p w14:paraId="7492EB7E" w14:textId="77777777" w:rsidR="00450275" w:rsidRDefault="00450275" w:rsidP="00162775">
      <w:pPr>
        <w:spacing w:after="0" w:line="240" w:lineRule="auto"/>
        <w:rPr>
          <w:rFonts w:ascii="Verdana" w:eastAsia="Calibri" w:hAnsi="Verdana" w:cs="Arial"/>
          <w:color w:val="000000" w:themeColor="text1"/>
        </w:rPr>
      </w:pPr>
    </w:p>
    <w:p w14:paraId="6AE85D67" w14:textId="77777777" w:rsidR="00450275" w:rsidRDefault="00450275" w:rsidP="00450275">
      <w:pPr>
        <w:spacing w:after="0" w:line="240" w:lineRule="auto"/>
        <w:jc w:val="both"/>
        <w:rPr>
          <w:rFonts w:ascii="Verdana" w:eastAsia="Calibri" w:hAnsi="Verdana" w:cs="Arial"/>
          <w:color w:val="000000" w:themeColor="text1"/>
          <w:sz w:val="20"/>
          <w:szCs w:val="20"/>
        </w:rPr>
      </w:pPr>
      <w:r w:rsidRPr="00450275">
        <w:rPr>
          <w:rFonts w:ascii="Verdana" w:eastAsia="Calibri" w:hAnsi="Verdana" w:cs="Arial"/>
          <w:color w:val="000000" w:themeColor="text1"/>
          <w:sz w:val="20"/>
          <w:szCs w:val="20"/>
        </w:rPr>
        <w:t>La Ley 80 de 1993 otorga una autorización a las entidades estatales para que remedien o corrijan aquellos defectos o irregularidades de procedimiento o de forma que no constituyen causales de nulidad del contrato. Para estos efectos el artículo 49 del EGCAP dispone que “Ante la ocurrencia de vicios que no constituyan causales de nulidad y cuando las necesidades del servicio lo exijan o las reglas de la buena administración lo aconsejen, el jefe o representante legal de la entidad, en acto motivado, podrá sanear el correspondiente vicio”.</w:t>
      </w:r>
    </w:p>
    <w:p w14:paraId="4B3C8871" w14:textId="77777777" w:rsidR="00450275" w:rsidRPr="00450275" w:rsidRDefault="00450275" w:rsidP="00450275">
      <w:pPr>
        <w:spacing w:after="0" w:line="240" w:lineRule="auto"/>
        <w:jc w:val="both"/>
        <w:rPr>
          <w:rFonts w:ascii="Verdana" w:eastAsia="Calibri" w:hAnsi="Verdana" w:cs="Arial"/>
          <w:color w:val="000000" w:themeColor="text1"/>
          <w:sz w:val="20"/>
          <w:szCs w:val="20"/>
        </w:rPr>
      </w:pPr>
    </w:p>
    <w:p w14:paraId="6F543253" w14:textId="77777777" w:rsidR="00450275" w:rsidRPr="00450275" w:rsidRDefault="00450275" w:rsidP="00450275">
      <w:pPr>
        <w:spacing w:after="0" w:line="240" w:lineRule="auto"/>
        <w:jc w:val="both"/>
        <w:rPr>
          <w:rFonts w:ascii="Verdana" w:eastAsia="Calibri" w:hAnsi="Verdana" w:cs="Arial"/>
          <w:color w:val="000000" w:themeColor="text1"/>
          <w:sz w:val="20"/>
          <w:szCs w:val="20"/>
        </w:rPr>
      </w:pPr>
      <w:r w:rsidRPr="00450275">
        <w:rPr>
          <w:rFonts w:ascii="Verdana" w:eastAsia="Calibri" w:hAnsi="Verdana" w:cs="Arial"/>
          <w:color w:val="000000" w:themeColor="text1"/>
          <w:sz w:val="20"/>
          <w:szCs w:val="20"/>
        </w:rPr>
        <w:t>De la lectura de esta norma se puede apreciar que para su aplicación se requiere el cumplimiento de los siguientes requisitos: i) el vicio a sanear tiene de que ser de procedimiento o de forma, lo que significa que no es posible sanear a través de esta figura los vicios de fondo o sustanciales del acto o contrato, lo que lleva a que,  ii) el vicio a sanear no puede corresponder a  ninguna de las causales de nulidad absoluta o relativa de los contratos estatales, iii) debe hacerse mediante acto administrativo motivado, iv) el funcionario competente es el jefe o representante legal de la entidad y v) el saneamiento debe ocurrir cuando las necesidades del servicio lo exijan o a las reglas de la buena administración lo aconsejen.</w:t>
      </w:r>
    </w:p>
    <w:p w14:paraId="6E679CB4" w14:textId="77777777" w:rsidR="00450275" w:rsidRDefault="00450275" w:rsidP="00162775">
      <w:pPr>
        <w:spacing w:after="0" w:line="240" w:lineRule="auto"/>
        <w:rPr>
          <w:rFonts w:ascii="Verdana" w:eastAsia="Calibri" w:hAnsi="Verdana" w:cs="Arial"/>
          <w:color w:val="000000" w:themeColor="text1"/>
        </w:rPr>
      </w:pPr>
    </w:p>
    <w:p w14:paraId="7881EC72" w14:textId="77777777" w:rsidR="00450275" w:rsidRDefault="00450275" w:rsidP="00162775">
      <w:pPr>
        <w:spacing w:after="0" w:line="240" w:lineRule="auto"/>
        <w:rPr>
          <w:rFonts w:ascii="Verdana" w:eastAsia="Calibri" w:hAnsi="Verdana" w:cs="Arial"/>
          <w:color w:val="000000" w:themeColor="text1"/>
        </w:rPr>
      </w:pPr>
    </w:p>
    <w:p w14:paraId="07EA5D88" w14:textId="77777777" w:rsidR="00450275" w:rsidRDefault="00450275" w:rsidP="00162775">
      <w:pPr>
        <w:spacing w:after="0" w:line="240" w:lineRule="auto"/>
        <w:rPr>
          <w:rFonts w:ascii="Verdana" w:eastAsia="Calibri" w:hAnsi="Verdana" w:cs="Arial"/>
          <w:color w:val="000000" w:themeColor="text1"/>
        </w:rPr>
      </w:pPr>
    </w:p>
    <w:p w14:paraId="02A87851" w14:textId="77777777" w:rsidR="00450275" w:rsidRDefault="00450275" w:rsidP="00162775">
      <w:pPr>
        <w:spacing w:after="0" w:line="240" w:lineRule="auto"/>
        <w:rPr>
          <w:rFonts w:ascii="Verdana" w:eastAsia="Calibri" w:hAnsi="Verdana" w:cs="Arial"/>
          <w:color w:val="000000" w:themeColor="text1"/>
        </w:rPr>
      </w:pPr>
    </w:p>
    <w:p w14:paraId="21FCC3EA" w14:textId="77777777" w:rsidR="00450275" w:rsidRDefault="00450275" w:rsidP="00162775">
      <w:pPr>
        <w:spacing w:after="0" w:line="240" w:lineRule="auto"/>
        <w:rPr>
          <w:rFonts w:ascii="Verdana" w:eastAsia="Calibri" w:hAnsi="Verdana" w:cs="Arial"/>
          <w:color w:val="000000" w:themeColor="text1"/>
        </w:rPr>
      </w:pPr>
    </w:p>
    <w:p w14:paraId="5C17690B" w14:textId="77777777" w:rsidR="00450275" w:rsidRDefault="00450275" w:rsidP="00162775">
      <w:pPr>
        <w:spacing w:after="0" w:line="240" w:lineRule="auto"/>
        <w:rPr>
          <w:rFonts w:ascii="Verdana" w:eastAsia="Calibri" w:hAnsi="Verdana" w:cs="Arial"/>
          <w:color w:val="000000" w:themeColor="text1"/>
        </w:rPr>
      </w:pPr>
    </w:p>
    <w:p w14:paraId="06D7D8E6" w14:textId="77777777" w:rsidR="00450275" w:rsidRDefault="00450275" w:rsidP="00162775">
      <w:pPr>
        <w:spacing w:after="0" w:line="240" w:lineRule="auto"/>
        <w:rPr>
          <w:rFonts w:ascii="Verdana" w:eastAsia="Calibri" w:hAnsi="Verdana" w:cs="Arial"/>
          <w:color w:val="000000" w:themeColor="text1"/>
        </w:rPr>
      </w:pPr>
    </w:p>
    <w:p w14:paraId="5B6C93A2" w14:textId="77777777" w:rsidR="00450275" w:rsidRDefault="00450275" w:rsidP="00162775">
      <w:pPr>
        <w:spacing w:after="0" w:line="240" w:lineRule="auto"/>
        <w:rPr>
          <w:rFonts w:ascii="Verdana" w:eastAsia="Calibri" w:hAnsi="Verdana" w:cs="Arial"/>
          <w:color w:val="000000" w:themeColor="text1"/>
        </w:rPr>
      </w:pPr>
    </w:p>
    <w:p w14:paraId="17FC650B" w14:textId="77777777" w:rsidR="00450275" w:rsidRDefault="00450275" w:rsidP="00162775">
      <w:pPr>
        <w:spacing w:after="0" w:line="240" w:lineRule="auto"/>
        <w:rPr>
          <w:rFonts w:ascii="Verdana" w:eastAsia="Calibri" w:hAnsi="Verdana" w:cs="Arial"/>
          <w:color w:val="000000" w:themeColor="text1"/>
        </w:rPr>
      </w:pPr>
    </w:p>
    <w:p w14:paraId="1B5DE68F" w14:textId="77777777" w:rsidR="00450275" w:rsidRDefault="00450275" w:rsidP="00162775">
      <w:pPr>
        <w:spacing w:after="0" w:line="240" w:lineRule="auto"/>
        <w:rPr>
          <w:rFonts w:ascii="Verdana" w:eastAsia="Calibri" w:hAnsi="Verdana" w:cs="Arial"/>
          <w:color w:val="000000" w:themeColor="text1"/>
        </w:rPr>
      </w:pPr>
    </w:p>
    <w:p w14:paraId="704A01C5" w14:textId="77777777" w:rsidR="00450275" w:rsidRDefault="00450275" w:rsidP="00162775">
      <w:pPr>
        <w:spacing w:after="0" w:line="240" w:lineRule="auto"/>
        <w:rPr>
          <w:rFonts w:ascii="Verdana" w:eastAsia="Calibri" w:hAnsi="Verdana" w:cs="Arial"/>
          <w:color w:val="000000" w:themeColor="text1"/>
        </w:rPr>
      </w:pPr>
    </w:p>
    <w:p w14:paraId="50B4A50B" w14:textId="77777777" w:rsidR="00450275" w:rsidRDefault="00450275" w:rsidP="00162775">
      <w:pPr>
        <w:spacing w:after="0" w:line="240" w:lineRule="auto"/>
        <w:rPr>
          <w:rFonts w:ascii="Verdana" w:eastAsia="Calibri" w:hAnsi="Verdana" w:cs="Arial"/>
          <w:color w:val="000000" w:themeColor="text1"/>
        </w:rPr>
      </w:pPr>
    </w:p>
    <w:p w14:paraId="6DBDAA3B" w14:textId="77777777" w:rsidR="00450275" w:rsidRDefault="00450275" w:rsidP="00162775">
      <w:pPr>
        <w:spacing w:after="0" w:line="240" w:lineRule="auto"/>
        <w:rPr>
          <w:rFonts w:ascii="Verdana" w:eastAsia="Calibri" w:hAnsi="Verdana" w:cs="Arial"/>
          <w:color w:val="000000" w:themeColor="text1"/>
        </w:rPr>
      </w:pPr>
    </w:p>
    <w:p w14:paraId="32BEDE2D" w14:textId="77777777" w:rsidR="00450275" w:rsidRDefault="00450275" w:rsidP="00162775">
      <w:pPr>
        <w:spacing w:after="0" w:line="240" w:lineRule="auto"/>
        <w:rPr>
          <w:rFonts w:ascii="Verdana" w:eastAsia="Calibri" w:hAnsi="Verdana" w:cs="Arial"/>
          <w:color w:val="000000" w:themeColor="text1"/>
        </w:rPr>
      </w:pPr>
    </w:p>
    <w:p w14:paraId="3E2E217B" w14:textId="77777777" w:rsidR="00450275" w:rsidRDefault="00450275" w:rsidP="00162775">
      <w:pPr>
        <w:spacing w:after="0" w:line="240" w:lineRule="auto"/>
        <w:rPr>
          <w:rFonts w:ascii="Verdana" w:eastAsia="Calibri" w:hAnsi="Verdana" w:cs="Arial"/>
          <w:color w:val="000000" w:themeColor="text1"/>
        </w:rPr>
      </w:pPr>
    </w:p>
    <w:p w14:paraId="17C06E81" w14:textId="77777777" w:rsidR="00450275" w:rsidRDefault="00450275" w:rsidP="00162775">
      <w:pPr>
        <w:spacing w:after="0" w:line="240" w:lineRule="auto"/>
        <w:rPr>
          <w:rFonts w:ascii="Verdana" w:eastAsia="Calibri" w:hAnsi="Verdana" w:cs="Arial"/>
          <w:color w:val="000000" w:themeColor="text1"/>
        </w:rPr>
      </w:pPr>
    </w:p>
    <w:p w14:paraId="017832ED" w14:textId="77777777" w:rsidR="00450275" w:rsidRDefault="00450275" w:rsidP="00162775">
      <w:pPr>
        <w:spacing w:after="0" w:line="240" w:lineRule="auto"/>
        <w:rPr>
          <w:rFonts w:ascii="Verdana" w:eastAsia="Calibri" w:hAnsi="Verdana" w:cs="Arial"/>
          <w:color w:val="000000" w:themeColor="text1"/>
        </w:rPr>
      </w:pPr>
    </w:p>
    <w:p w14:paraId="5678F1CE" w14:textId="77777777" w:rsidR="00450275" w:rsidRDefault="00450275" w:rsidP="00162775">
      <w:pPr>
        <w:spacing w:after="0" w:line="240" w:lineRule="auto"/>
        <w:rPr>
          <w:rFonts w:ascii="Verdana" w:eastAsia="Calibri" w:hAnsi="Verdana" w:cs="Arial"/>
          <w:color w:val="000000" w:themeColor="text1"/>
        </w:rPr>
      </w:pPr>
    </w:p>
    <w:p w14:paraId="7984DE1D" w14:textId="77777777" w:rsidR="00450275" w:rsidRDefault="00450275" w:rsidP="00162775">
      <w:pPr>
        <w:spacing w:after="0" w:line="240" w:lineRule="auto"/>
        <w:rPr>
          <w:rFonts w:ascii="Verdana" w:eastAsia="Calibri" w:hAnsi="Verdana" w:cs="Arial"/>
          <w:color w:val="000000" w:themeColor="text1"/>
        </w:rPr>
      </w:pPr>
    </w:p>
    <w:p w14:paraId="26796D83" w14:textId="77777777" w:rsidR="00450275" w:rsidRDefault="00450275" w:rsidP="00162775">
      <w:pPr>
        <w:spacing w:after="0" w:line="240" w:lineRule="auto"/>
        <w:rPr>
          <w:rFonts w:ascii="Verdana" w:eastAsia="Calibri" w:hAnsi="Verdana" w:cs="Arial"/>
          <w:color w:val="000000" w:themeColor="text1"/>
        </w:rPr>
      </w:pPr>
    </w:p>
    <w:p w14:paraId="748BA22F" w14:textId="77777777" w:rsidR="00450275" w:rsidRDefault="00450275" w:rsidP="00162775">
      <w:pPr>
        <w:spacing w:after="0" w:line="240" w:lineRule="auto"/>
        <w:rPr>
          <w:rFonts w:ascii="Verdana" w:eastAsia="Calibri" w:hAnsi="Verdana" w:cs="Arial"/>
          <w:color w:val="000000" w:themeColor="text1"/>
        </w:rPr>
      </w:pPr>
    </w:p>
    <w:p w14:paraId="5FBC77DE" w14:textId="77777777" w:rsidR="00450275" w:rsidRDefault="00450275" w:rsidP="00162775">
      <w:pPr>
        <w:spacing w:after="0" w:line="240" w:lineRule="auto"/>
        <w:rPr>
          <w:rFonts w:ascii="Verdana" w:eastAsia="Calibri" w:hAnsi="Verdana" w:cs="Arial"/>
          <w:color w:val="000000" w:themeColor="text1"/>
        </w:rPr>
      </w:pPr>
    </w:p>
    <w:p w14:paraId="04E40A1F" w14:textId="77777777" w:rsidR="00450275" w:rsidRDefault="00450275" w:rsidP="00162775">
      <w:pPr>
        <w:spacing w:after="0" w:line="240" w:lineRule="auto"/>
        <w:rPr>
          <w:rFonts w:ascii="Verdana" w:eastAsia="Calibri" w:hAnsi="Verdana" w:cs="Arial"/>
          <w:color w:val="000000" w:themeColor="text1"/>
        </w:rPr>
      </w:pPr>
    </w:p>
    <w:p w14:paraId="71828F89" w14:textId="43614014" w:rsidR="00162775" w:rsidRPr="00B76301" w:rsidRDefault="00162775" w:rsidP="00162775">
      <w:pPr>
        <w:spacing w:after="0" w:line="240" w:lineRule="auto"/>
        <w:rPr>
          <w:rFonts w:ascii="Verdana" w:hAnsi="Verdana"/>
        </w:rPr>
      </w:pPr>
      <w:r w:rsidRPr="00B76301">
        <w:rPr>
          <w:rFonts w:ascii="Verdana" w:eastAsia="Calibri" w:hAnsi="Verdana" w:cs="Arial"/>
          <w:color w:val="000000" w:themeColor="text1"/>
        </w:rPr>
        <w:lastRenderedPageBreak/>
        <w:t xml:space="preserve">Bogotá D.C., 18 de </w:t>
      </w:r>
      <w:r w:rsidR="00450275" w:rsidRPr="00B76301">
        <w:rPr>
          <w:rFonts w:ascii="Verdana" w:eastAsia="Calibri" w:hAnsi="Verdana" w:cs="Arial"/>
          <w:color w:val="000000" w:themeColor="text1"/>
        </w:rPr>
        <w:t>agosto</w:t>
      </w:r>
      <w:r w:rsidRPr="00B76301">
        <w:rPr>
          <w:rFonts w:ascii="Verdana" w:eastAsia="Calibri" w:hAnsi="Verdana" w:cs="Arial"/>
          <w:color w:val="000000" w:themeColor="text1"/>
        </w:rPr>
        <w:t xml:space="preserve"> de 2026</w:t>
      </w:r>
    </w:p>
    <w:p w14:paraId="38C97CEC" w14:textId="7835D6D0" w:rsidR="00162775" w:rsidRDefault="00450275" w:rsidP="00162775">
      <w:pPr>
        <w:spacing w:after="0" w:line="240" w:lineRule="auto"/>
        <w:jc w:val="both"/>
        <w:rPr>
          <w:rFonts w:ascii="Verdana" w:eastAsia="Calibri" w:hAnsi="Verdana" w:cs="Arial"/>
          <w:color w:val="000000" w:themeColor="text1"/>
          <w:lang w:val="es-ES"/>
        </w:rPr>
      </w:pPr>
      <w:r w:rsidRPr="00450275">
        <w:rPr>
          <w:rFonts w:ascii="Verdana" w:eastAsia="Calibri" w:hAnsi="Verdana" w:cs="Arial"/>
          <w:color w:val="000000" w:themeColor="text1"/>
          <w:lang w:val="es-ES"/>
        </w:rPr>
        <w:drawing>
          <wp:anchor distT="0" distB="0" distL="114300" distR="114300" simplePos="0" relativeHeight="251660288" behindDoc="1" locked="0" layoutInCell="1" allowOverlap="1" wp14:anchorId="2E46D11C" wp14:editId="7DFACE21">
            <wp:simplePos x="0" y="0"/>
            <wp:positionH relativeFrom="column">
              <wp:posOffset>3474231</wp:posOffset>
            </wp:positionH>
            <wp:positionV relativeFrom="paragraph">
              <wp:posOffset>106094</wp:posOffset>
            </wp:positionV>
            <wp:extent cx="2495550" cy="781050"/>
            <wp:effectExtent l="0" t="0" r="0" b="0"/>
            <wp:wrapTight wrapText="bothSides">
              <wp:wrapPolygon edited="0">
                <wp:start x="0" y="0"/>
                <wp:lineTo x="0" y="21073"/>
                <wp:lineTo x="21435" y="21073"/>
                <wp:lineTo x="21435" y="0"/>
                <wp:lineTo x="0" y="0"/>
              </wp:wrapPolygon>
            </wp:wrapTight>
            <wp:docPr id="10702508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250837" name=""/>
                    <pic:cNvPicPr/>
                  </pic:nvPicPr>
                  <pic:blipFill>
                    <a:blip r:embed="rId11">
                      <a:extLst>
                        <a:ext uri="{28A0092B-C50C-407E-A947-70E740481C1C}">
                          <a14:useLocalDpi xmlns:a14="http://schemas.microsoft.com/office/drawing/2010/main" val="0"/>
                        </a:ext>
                      </a:extLst>
                    </a:blip>
                    <a:stretch>
                      <a:fillRect/>
                    </a:stretch>
                  </pic:blipFill>
                  <pic:spPr>
                    <a:xfrm>
                      <a:off x="0" y="0"/>
                      <a:ext cx="2495550" cy="781050"/>
                    </a:xfrm>
                    <a:prstGeom prst="rect">
                      <a:avLst/>
                    </a:prstGeom>
                  </pic:spPr>
                </pic:pic>
              </a:graphicData>
            </a:graphic>
          </wp:anchor>
        </w:drawing>
      </w:r>
    </w:p>
    <w:p w14:paraId="7CD039E7" w14:textId="125594B0" w:rsidR="00D90D1A" w:rsidRPr="00B76301" w:rsidRDefault="00D90D1A" w:rsidP="00162775">
      <w:pPr>
        <w:spacing w:after="0" w:line="240" w:lineRule="auto"/>
        <w:jc w:val="both"/>
        <w:rPr>
          <w:rFonts w:ascii="Verdana" w:eastAsia="Calibri" w:hAnsi="Verdana" w:cs="Arial"/>
          <w:color w:val="000000" w:themeColor="text1"/>
          <w:lang w:val="es-ES"/>
        </w:rPr>
      </w:pPr>
    </w:p>
    <w:p w14:paraId="24CA30D8" w14:textId="40B0F461" w:rsidR="00162775" w:rsidRPr="00B76301" w:rsidRDefault="00162775" w:rsidP="00162775">
      <w:pPr>
        <w:spacing w:after="0" w:line="240" w:lineRule="auto"/>
        <w:rPr>
          <w:rFonts w:ascii="Verdana" w:eastAsia="Calibri" w:hAnsi="Verdana" w:cs="Arial"/>
          <w:color w:val="000000" w:themeColor="text1"/>
          <w:lang w:val="es-ES" w:eastAsia="es-ES"/>
        </w:rPr>
      </w:pPr>
      <w:r w:rsidRPr="00B76301">
        <w:rPr>
          <w:rFonts w:ascii="Verdana" w:eastAsia="Calibri" w:hAnsi="Verdana" w:cs="Arial"/>
          <w:color w:val="000000" w:themeColor="text1"/>
          <w:lang w:val="es-ES" w:eastAsia="es-ES"/>
        </w:rPr>
        <w:t>Señora</w:t>
      </w:r>
    </w:p>
    <w:p w14:paraId="7BC09067" w14:textId="77777777" w:rsidR="00162775" w:rsidRPr="00B76301" w:rsidRDefault="00162775" w:rsidP="00162775">
      <w:pPr>
        <w:spacing w:after="0" w:line="240" w:lineRule="auto"/>
        <w:rPr>
          <w:rFonts w:ascii="Verdana" w:eastAsia="Calibri" w:hAnsi="Verdana" w:cs="Arial"/>
          <w:b/>
          <w:bCs/>
          <w:color w:val="000000" w:themeColor="text1"/>
          <w:lang w:val="es-ES" w:eastAsia="es-ES"/>
        </w:rPr>
      </w:pPr>
      <w:r w:rsidRPr="00B76301">
        <w:rPr>
          <w:rFonts w:ascii="Verdana" w:eastAsia="Calibri" w:hAnsi="Verdana" w:cs="Arial"/>
          <w:b/>
          <w:bCs/>
          <w:color w:val="000000" w:themeColor="text1"/>
          <w:lang w:val="es-ES" w:eastAsia="es-ES"/>
        </w:rPr>
        <w:t>Yenni Muñoz Hijo</w:t>
      </w:r>
    </w:p>
    <w:p w14:paraId="2570B9A1" w14:textId="77777777" w:rsidR="00162775" w:rsidRPr="00B76301" w:rsidRDefault="00162775" w:rsidP="00162775">
      <w:pPr>
        <w:spacing w:after="0" w:line="240" w:lineRule="auto"/>
        <w:rPr>
          <w:rFonts w:ascii="Verdana" w:eastAsia="Calibri" w:hAnsi="Verdana" w:cs="Arial"/>
          <w:lang w:val="es-ES" w:eastAsia="es-ES"/>
        </w:rPr>
      </w:pPr>
      <w:hyperlink r:id="rId12" w:history="1">
        <w:r w:rsidRPr="00B76301">
          <w:rPr>
            <w:rStyle w:val="Hipervnculo"/>
            <w:rFonts w:ascii="Verdana" w:eastAsia="Calibri" w:hAnsi="Verdana" w:cs="Arial"/>
            <w:color w:val="auto"/>
            <w:u w:val="none"/>
            <w:lang w:val="es-ES" w:eastAsia="es-ES"/>
          </w:rPr>
          <w:t>yenni.munozh@gmail.com</w:t>
        </w:r>
      </w:hyperlink>
    </w:p>
    <w:p w14:paraId="708E12DA" w14:textId="77777777" w:rsidR="00162775" w:rsidRPr="00B76301" w:rsidRDefault="00162775" w:rsidP="00162775">
      <w:pPr>
        <w:spacing w:after="0" w:line="240" w:lineRule="auto"/>
        <w:rPr>
          <w:rFonts w:ascii="Verdana" w:eastAsia="Calibri" w:hAnsi="Verdana" w:cs="Arial"/>
          <w:color w:val="000000" w:themeColor="text1"/>
          <w:lang w:val="es-ES" w:eastAsia="es-ES"/>
        </w:rPr>
      </w:pPr>
      <w:r w:rsidRPr="00B76301">
        <w:rPr>
          <w:rFonts w:ascii="Verdana" w:eastAsia="Calibri" w:hAnsi="Verdana" w:cs="Arial"/>
          <w:color w:val="000000" w:themeColor="text1"/>
          <w:lang w:val="es-ES" w:eastAsia="es-ES"/>
        </w:rPr>
        <w:t>Ciudad</w:t>
      </w:r>
    </w:p>
    <w:p w14:paraId="15762C56" w14:textId="77777777" w:rsidR="00162775" w:rsidRPr="00B76301" w:rsidRDefault="00162775" w:rsidP="00162775">
      <w:pPr>
        <w:tabs>
          <w:tab w:val="left" w:pos="2940"/>
        </w:tabs>
        <w:spacing w:after="0" w:line="240" w:lineRule="auto"/>
        <w:rPr>
          <w:rFonts w:ascii="Verdana" w:eastAsia="Calibri" w:hAnsi="Verdana" w:cs="Arial"/>
          <w:b/>
          <w:bCs/>
          <w:color w:val="000000" w:themeColor="text1"/>
          <w:lang w:eastAsia="es-ES_tradnl"/>
        </w:rPr>
      </w:pPr>
    </w:p>
    <w:tbl>
      <w:tblPr>
        <w:tblStyle w:val="Tablaconcuadrcula"/>
        <w:tblW w:w="8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91"/>
        <w:gridCol w:w="6547"/>
      </w:tblGrid>
      <w:tr w:rsidR="00162775" w:rsidRPr="00B76301" w14:paraId="33C0E1FD" w14:textId="77777777" w:rsidTr="00B76301">
        <w:trPr>
          <w:trHeight w:val="615"/>
        </w:trPr>
        <w:tc>
          <w:tcPr>
            <w:tcW w:w="2291" w:type="dxa"/>
          </w:tcPr>
          <w:p w14:paraId="718F8B86" w14:textId="77777777" w:rsidR="00162775" w:rsidRPr="00B76301" w:rsidRDefault="00162775" w:rsidP="00B76301">
            <w:pPr>
              <w:jc w:val="both"/>
              <w:rPr>
                <w:rFonts w:ascii="Verdana" w:eastAsia="Calibri" w:hAnsi="Verdana" w:cs="Arial"/>
                <w:b/>
                <w:bCs/>
                <w:color w:val="000000" w:themeColor="text1"/>
                <w:lang w:eastAsia="es-ES_tradnl"/>
              </w:rPr>
            </w:pPr>
          </w:p>
        </w:tc>
        <w:tc>
          <w:tcPr>
            <w:tcW w:w="6547" w:type="dxa"/>
          </w:tcPr>
          <w:p w14:paraId="2AE87AEF" w14:textId="77777777" w:rsidR="00162775" w:rsidRPr="00B76301" w:rsidRDefault="00162775" w:rsidP="00B76301">
            <w:pPr>
              <w:jc w:val="both"/>
              <w:rPr>
                <w:rFonts w:ascii="Verdana" w:eastAsia="Calibri" w:hAnsi="Verdana" w:cs="Arial"/>
                <w:b/>
                <w:bCs/>
                <w:color w:val="000000" w:themeColor="text1"/>
                <w:lang w:val="es-ES" w:eastAsia="es-ES"/>
              </w:rPr>
            </w:pPr>
            <w:r w:rsidRPr="00B76301">
              <w:rPr>
                <w:rFonts w:ascii="Verdana" w:eastAsia="Calibri" w:hAnsi="Verdana" w:cs="Arial"/>
                <w:b/>
                <w:bCs/>
                <w:color w:val="000000" w:themeColor="text1"/>
                <w:lang w:val="es-ES" w:eastAsia="es-ES"/>
              </w:rPr>
              <w:t>Concepto C- 1070 de 2026</w:t>
            </w:r>
          </w:p>
        </w:tc>
      </w:tr>
      <w:tr w:rsidR="00162775" w:rsidRPr="00B76301" w14:paraId="291F7C20" w14:textId="77777777" w:rsidTr="00B76301">
        <w:trPr>
          <w:trHeight w:val="1071"/>
        </w:trPr>
        <w:tc>
          <w:tcPr>
            <w:tcW w:w="2291" w:type="dxa"/>
          </w:tcPr>
          <w:p w14:paraId="09AA8579" w14:textId="77777777" w:rsidR="00162775" w:rsidRPr="00B76301" w:rsidRDefault="00162775" w:rsidP="00B76301">
            <w:pPr>
              <w:jc w:val="both"/>
              <w:rPr>
                <w:rFonts w:ascii="Verdana" w:eastAsia="Calibri" w:hAnsi="Verdana" w:cs="Arial"/>
                <w:color w:val="000000" w:themeColor="text1"/>
                <w:lang w:val="es-ES_tradnl" w:eastAsia="es-ES_tradnl"/>
              </w:rPr>
            </w:pPr>
            <w:r w:rsidRPr="00B76301">
              <w:rPr>
                <w:rFonts w:ascii="Verdana" w:eastAsia="Calibri" w:hAnsi="Verdana" w:cs="Arial"/>
                <w:b/>
                <w:color w:val="000000" w:themeColor="text1"/>
                <w:lang w:val="es-ES_tradnl" w:eastAsia="es-ES_tradnl"/>
              </w:rPr>
              <w:t>Temas:</w:t>
            </w:r>
            <w:r w:rsidRPr="00B76301">
              <w:rPr>
                <w:rFonts w:ascii="Verdana" w:eastAsia="Calibri" w:hAnsi="Verdana" w:cs="Arial"/>
                <w:color w:val="000000" w:themeColor="text1"/>
                <w:lang w:val="es-ES_tradnl" w:eastAsia="es-ES_tradnl"/>
              </w:rPr>
              <w:t xml:space="preserve">                   </w:t>
            </w:r>
          </w:p>
        </w:tc>
        <w:tc>
          <w:tcPr>
            <w:tcW w:w="6547" w:type="dxa"/>
          </w:tcPr>
          <w:p w14:paraId="6DCF2F46" w14:textId="77777777" w:rsidR="00162775" w:rsidRPr="00B76301" w:rsidRDefault="00162775" w:rsidP="00B76301">
            <w:pPr>
              <w:jc w:val="both"/>
              <w:rPr>
                <w:rFonts w:ascii="Verdana" w:eastAsia="Calibri" w:hAnsi="Verdana" w:cs="Arial"/>
                <w:color w:val="000000" w:themeColor="text1"/>
                <w:lang w:val="es-ES" w:eastAsia="es-ES"/>
              </w:rPr>
            </w:pPr>
            <w:r w:rsidRPr="00B76301">
              <w:rPr>
                <w:rFonts w:ascii="Verdana" w:eastAsia="Calibri" w:hAnsi="Verdana" w:cs="Arial"/>
                <w:bCs/>
                <w:lang w:val="es-ES_tradnl"/>
              </w:rPr>
              <w:t xml:space="preserve">LIQUIDACIÓN DEL CONTRATO – Definición – Objetivo / LIQUIDACIÓN DEL CONTRATO – Normativa /   LIQUIDACIÓN DEL CONTRATO – Normativa – Plazos / LIQUIDACIÓN DEL CONTRATO – Acta </w:t>
            </w:r>
            <w:r>
              <w:rPr>
                <w:rFonts w:ascii="Verdana" w:eastAsia="Calibri" w:hAnsi="Verdana" w:cs="Arial"/>
                <w:bCs/>
                <w:lang w:val="es-ES_tradnl"/>
              </w:rPr>
              <w:t xml:space="preserve">de liquidación bilateral – Efectos – </w:t>
            </w:r>
            <w:r w:rsidRPr="00B76301">
              <w:rPr>
                <w:rFonts w:ascii="Verdana" w:eastAsia="Calibri" w:hAnsi="Verdana" w:cs="Arial"/>
                <w:bCs/>
                <w:lang w:val="es-ES_tradnl"/>
              </w:rPr>
              <w:t xml:space="preserve">/ LIQUIDACIÓN DEL CONTRATO – Acta </w:t>
            </w:r>
            <w:r>
              <w:rPr>
                <w:rFonts w:ascii="Verdana" w:eastAsia="Calibri" w:hAnsi="Verdana" w:cs="Arial"/>
                <w:bCs/>
                <w:lang w:val="es-ES_tradnl"/>
              </w:rPr>
              <w:t xml:space="preserve">de liquidación bilateral – Efectos – Imposibilidad de modificación / </w:t>
            </w:r>
            <w:r w:rsidRPr="00B76301">
              <w:rPr>
                <w:rFonts w:ascii="Verdana" w:eastAsia="Calibri" w:hAnsi="Verdana" w:cs="Arial"/>
                <w:bCs/>
                <w:lang w:val="es-ES_tradnl"/>
              </w:rPr>
              <w:t xml:space="preserve">LIQUIDACIÓN DEL CONTRATO – Acta </w:t>
            </w:r>
            <w:r>
              <w:rPr>
                <w:rFonts w:ascii="Verdana" w:eastAsia="Calibri" w:hAnsi="Verdana" w:cs="Arial"/>
                <w:bCs/>
                <w:lang w:val="es-ES_tradnl"/>
              </w:rPr>
              <w:t xml:space="preserve">de liquidación bilateral – Efectos – Saldos por pagar / </w:t>
            </w:r>
            <w:r>
              <w:rPr>
                <w:rFonts w:ascii="Verdana" w:hAnsi="Verdana" w:cs="Arial"/>
                <w:color w:val="000000" w:themeColor="text1"/>
                <w:lang w:val="es-ES"/>
              </w:rPr>
              <w:t xml:space="preserve">DEFECTOS O IRREGULARIDADES EN PROCEDIMIENTO - Artículo 49 Ley 80 de 1993- Requisitos </w:t>
            </w:r>
          </w:p>
          <w:p w14:paraId="405572BC" w14:textId="77777777" w:rsidR="00162775" w:rsidRPr="00B76301" w:rsidRDefault="00162775" w:rsidP="00B76301">
            <w:pPr>
              <w:jc w:val="both"/>
              <w:rPr>
                <w:rFonts w:ascii="Verdana" w:eastAsia="Calibri" w:hAnsi="Verdana" w:cs="Arial"/>
                <w:color w:val="000000" w:themeColor="text1"/>
                <w:lang w:val="es-ES" w:eastAsia="es-ES"/>
              </w:rPr>
            </w:pPr>
          </w:p>
        </w:tc>
      </w:tr>
      <w:tr w:rsidR="00162775" w:rsidRPr="00B76301" w14:paraId="60844A70" w14:textId="77777777" w:rsidTr="00B76301">
        <w:trPr>
          <w:trHeight w:val="653"/>
        </w:trPr>
        <w:tc>
          <w:tcPr>
            <w:tcW w:w="2291" w:type="dxa"/>
          </w:tcPr>
          <w:p w14:paraId="37E9ABB2" w14:textId="77777777" w:rsidR="00162775" w:rsidRPr="00B76301" w:rsidRDefault="00162775" w:rsidP="00B76301">
            <w:pPr>
              <w:jc w:val="both"/>
              <w:rPr>
                <w:rFonts w:ascii="Verdana" w:eastAsia="Calibri" w:hAnsi="Verdana" w:cs="Arial"/>
                <w:b/>
                <w:color w:val="000000" w:themeColor="text1"/>
                <w:lang w:val="es-ES_tradnl" w:eastAsia="es-ES_tradnl"/>
              </w:rPr>
            </w:pPr>
            <w:r w:rsidRPr="00B76301">
              <w:rPr>
                <w:rFonts w:ascii="Verdana" w:eastAsia="Calibri" w:hAnsi="Verdana" w:cs="Arial"/>
                <w:b/>
                <w:color w:val="000000" w:themeColor="text1"/>
                <w:lang w:val="es-ES_tradnl" w:eastAsia="es-ES_tradnl"/>
              </w:rPr>
              <w:t>Radicación:</w:t>
            </w:r>
            <w:r w:rsidRPr="00B76301">
              <w:rPr>
                <w:rFonts w:ascii="Verdana" w:eastAsia="Calibri" w:hAnsi="Verdana" w:cs="Arial"/>
                <w:color w:val="000000" w:themeColor="text1"/>
                <w:lang w:val="es-ES_tradnl" w:eastAsia="es-ES_tradnl"/>
              </w:rPr>
              <w:t xml:space="preserve">           </w:t>
            </w:r>
          </w:p>
        </w:tc>
        <w:tc>
          <w:tcPr>
            <w:tcW w:w="6547" w:type="dxa"/>
          </w:tcPr>
          <w:p w14:paraId="1A6C9DDD" w14:textId="77777777" w:rsidR="00162775" w:rsidRPr="00B76301" w:rsidRDefault="00162775" w:rsidP="00B76301">
            <w:pPr>
              <w:ind w:right="1"/>
              <w:jc w:val="both"/>
              <w:rPr>
                <w:rFonts w:ascii="Verdana" w:eastAsia="Calibri" w:hAnsi="Verdana" w:cs="Arial"/>
                <w:color w:val="000000" w:themeColor="text1"/>
                <w:lang w:val="es-ES_tradnl" w:eastAsia="es-ES_tradnl"/>
              </w:rPr>
            </w:pPr>
            <w:r w:rsidRPr="00B76301">
              <w:rPr>
                <w:rFonts w:ascii="Verdana" w:eastAsia="Calibri" w:hAnsi="Verdana" w:cs="Arial"/>
                <w:color w:val="000000" w:themeColor="text1"/>
                <w:lang w:val="es-ES_tradnl" w:eastAsia="es-ES_tradnl"/>
              </w:rPr>
              <w:t xml:space="preserve">Respuesta a las consultas Acumuladas con radicados N.º </w:t>
            </w:r>
            <w:r w:rsidRPr="00B76301">
              <w:rPr>
                <w:rFonts w:ascii="Verdana" w:eastAsia="Calibri" w:hAnsi="Verdana" w:cs="Arial"/>
                <w:color w:val="000000" w:themeColor="text1"/>
                <w:lang w:eastAsia="es-ES_tradnl"/>
              </w:rPr>
              <w:t xml:space="preserve">1_2026_07_03_008909- </w:t>
            </w:r>
            <w:r w:rsidRPr="00B76301">
              <w:rPr>
                <w:rFonts w:ascii="Verdana" w:hAnsi="Verdana" w:cs="Calibri"/>
                <w:color w:val="000000"/>
              </w:rPr>
              <w:t>1_2026_07_06_008952</w:t>
            </w:r>
          </w:p>
          <w:p w14:paraId="53F0E4BA" w14:textId="77777777" w:rsidR="00162775" w:rsidRPr="00B76301" w:rsidRDefault="00162775" w:rsidP="00B76301">
            <w:pPr>
              <w:ind w:right="1"/>
              <w:jc w:val="both"/>
              <w:rPr>
                <w:rFonts w:ascii="Verdana" w:eastAsia="Calibri" w:hAnsi="Verdana" w:cs="Arial"/>
                <w:color w:val="000000" w:themeColor="text1"/>
                <w:lang w:val="es-ES_tradnl" w:eastAsia="es-ES_tradnl"/>
              </w:rPr>
            </w:pPr>
          </w:p>
          <w:p w14:paraId="5B838B4F" w14:textId="77777777" w:rsidR="00162775" w:rsidRPr="00B76301" w:rsidRDefault="00162775" w:rsidP="00B76301">
            <w:pPr>
              <w:ind w:right="1"/>
              <w:jc w:val="both"/>
              <w:rPr>
                <w:rFonts w:ascii="Verdana" w:hAnsi="Verdana"/>
                <w:color w:val="000000"/>
              </w:rPr>
            </w:pPr>
          </w:p>
        </w:tc>
      </w:tr>
    </w:tbl>
    <w:p w14:paraId="4E288460" w14:textId="77777777" w:rsidR="00162775" w:rsidRPr="00B76301" w:rsidRDefault="00162775" w:rsidP="00162775">
      <w:pPr>
        <w:spacing w:after="0" w:line="276" w:lineRule="auto"/>
        <w:jc w:val="both"/>
        <w:rPr>
          <w:rFonts w:ascii="Verdana" w:eastAsia="Calibri" w:hAnsi="Verdana" w:cs="Arial"/>
          <w:color w:val="000000" w:themeColor="text1"/>
          <w:lang w:val="es-ES" w:eastAsia="es-ES"/>
        </w:rPr>
      </w:pPr>
      <w:r w:rsidRPr="00B76301">
        <w:rPr>
          <w:rFonts w:ascii="Verdana" w:eastAsia="Calibri" w:hAnsi="Verdana" w:cs="Arial"/>
          <w:color w:val="000000" w:themeColor="text1"/>
          <w:lang w:val="es-ES" w:eastAsia="es-ES"/>
        </w:rPr>
        <w:t>Estimada señora Muñoz;</w:t>
      </w:r>
    </w:p>
    <w:p w14:paraId="036B40FA" w14:textId="77777777" w:rsidR="00162775" w:rsidRPr="00B76301" w:rsidRDefault="00162775" w:rsidP="00162775">
      <w:pPr>
        <w:tabs>
          <w:tab w:val="left" w:pos="3768"/>
        </w:tabs>
        <w:spacing w:after="0" w:line="276" w:lineRule="auto"/>
        <w:jc w:val="both"/>
        <w:rPr>
          <w:rFonts w:ascii="Verdana" w:eastAsia="Calibri" w:hAnsi="Verdana" w:cs="Arial"/>
          <w:color w:val="000000" w:themeColor="text1"/>
          <w:lang w:val="es-ES" w:eastAsia="es-ES"/>
        </w:rPr>
      </w:pPr>
    </w:p>
    <w:p w14:paraId="44A87217" w14:textId="77777777" w:rsidR="00162775" w:rsidRPr="00B76301" w:rsidRDefault="00162775" w:rsidP="00162775">
      <w:pPr>
        <w:tabs>
          <w:tab w:val="left" w:pos="3768"/>
        </w:tabs>
        <w:spacing w:after="0" w:line="276" w:lineRule="auto"/>
        <w:jc w:val="both"/>
        <w:rPr>
          <w:rFonts w:ascii="Verdana" w:eastAsia="Calibri" w:hAnsi="Verdana" w:cs="Arial"/>
          <w:color w:val="000000" w:themeColor="text1"/>
          <w:lang w:val="es-ES" w:eastAsia="es-ES"/>
        </w:rPr>
      </w:pPr>
      <w:r w:rsidRPr="00B76301">
        <w:rPr>
          <w:rFonts w:ascii="Verdana" w:eastAsia="Calibri" w:hAnsi="Verdana" w:cs="Arial"/>
          <w:color w:val="000000" w:themeColor="text1"/>
          <w:lang w:val="es-ES" w:eastAsia="es-ES"/>
        </w:rPr>
        <w:t>En ejercicio de la competencia otorgada por los artículos 3, numeral 5º, y 11, numeral 8º, del Decreto Ley 4170 de 2011,</w:t>
      </w:r>
      <w:r w:rsidRPr="00B76301">
        <w:rPr>
          <w:rFonts w:ascii="Verdana" w:eastAsia="Arial MT" w:hAnsi="Verdana" w:cs="Arial MT"/>
          <w:color w:val="000000" w:themeColor="text1"/>
          <w:lang w:val="es-ES" w:eastAsia="es-ES"/>
        </w:rPr>
        <w:t xml:space="preserve"> </w:t>
      </w:r>
      <w:r w:rsidRPr="00B76301">
        <w:rPr>
          <w:rFonts w:ascii="Verdana" w:hAnsi="Verdana" w:cs="Arial"/>
          <w:color w:val="000000" w:themeColor="text1"/>
        </w:rPr>
        <w:t xml:space="preserve">así como lo establecido en el artículo 4 de la Resolución 1707 de 2018 expedida por esta Entidad, </w:t>
      </w:r>
      <w:r w:rsidRPr="00B76301">
        <w:rPr>
          <w:rFonts w:ascii="Verdana" w:eastAsia="Calibri" w:hAnsi="Verdana" w:cs="Arial"/>
          <w:color w:val="000000" w:themeColor="text1"/>
          <w:lang w:val="es-ES" w:eastAsia="es-ES"/>
        </w:rPr>
        <w:t xml:space="preserve">la Agencia Nacional de Contratación Pública – Colombia Compra Eficiente– responde su solicitud radicada en esta entidad el 02 de julio de 2026, en la cual manifiesta lo siguiente: </w:t>
      </w:r>
    </w:p>
    <w:p w14:paraId="0D2DA9D6"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rPr>
      </w:pPr>
    </w:p>
    <w:p w14:paraId="2BD9232D" w14:textId="77777777" w:rsidR="00162775" w:rsidRPr="00EA1913"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r w:rsidRPr="00F41464">
        <w:rPr>
          <w:rFonts w:ascii="Verdana" w:eastAsia="Century Gothic" w:hAnsi="Verdana" w:cs="Century Gothic"/>
          <w:i/>
          <w:iCs/>
          <w:color w:val="000000" w:themeColor="text1"/>
          <w:sz w:val="20"/>
          <w:szCs w:val="20"/>
        </w:rPr>
        <w:t>“Cordial saludo,</w:t>
      </w:r>
    </w:p>
    <w:p w14:paraId="4427442C" w14:textId="77777777" w:rsidR="00162775" w:rsidRPr="00F41464" w:rsidRDefault="00162775" w:rsidP="00162775">
      <w:pPr>
        <w:spacing w:after="0" w:line="240" w:lineRule="auto"/>
        <w:ind w:left="709" w:right="709"/>
        <w:jc w:val="both"/>
        <w:rPr>
          <w:rFonts w:ascii="Verdana" w:eastAsia="Times New Roman" w:hAnsi="Verdana" w:cs="Arial"/>
          <w:color w:val="000000"/>
          <w:sz w:val="20"/>
          <w:szCs w:val="20"/>
          <w:lang w:eastAsia="es-CO"/>
        </w:rPr>
      </w:pPr>
      <w:r w:rsidRPr="00E223A1">
        <w:rPr>
          <w:rFonts w:ascii="Verdana" w:eastAsia="Century Gothic" w:hAnsi="Verdana" w:cs="Century Gothic"/>
          <w:i/>
          <w:iCs/>
          <w:color w:val="000000" w:themeColor="text1"/>
          <w:sz w:val="20"/>
          <w:szCs w:val="20"/>
        </w:rPr>
        <w:t>De manera muy atenta me permito solicitar su valiosa orientación sobre la aplicación de las normas y criterios que rigen la contratación estatal, particularmente en materia de actas de liquidación bil</w:t>
      </w:r>
      <w:r w:rsidRPr="00B348B4">
        <w:rPr>
          <w:rFonts w:ascii="Verdana" w:eastAsia="Century Gothic" w:hAnsi="Verdana" w:cs="Century Gothic"/>
          <w:i/>
          <w:iCs/>
          <w:color w:val="000000" w:themeColor="text1"/>
          <w:sz w:val="20"/>
          <w:szCs w:val="20"/>
        </w:rPr>
        <w:t>ateral frente a errores operativos de digitación y corrección de fechas, a partir de los siguientes casos</w:t>
      </w:r>
      <w:r w:rsidRPr="00B76301">
        <w:rPr>
          <w:rFonts w:ascii="Verdana" w:eastAsia="Times New Roman" w:hAnsi="Verdana" w:cs="Arial"/>
          <w:color w:val="000000"/>
          <w:sz w:val="20"/>
          <w:szCs w:val="20"/>
          <w:lang w:eastAsia="es-CO"/>
        </w:rPr>
        <w:t>:</w:t>
      </w:r>
    </w:p>
    <w:p w14:paraId="316F291F" w14:textId="77777777" w:rsidR="00162775" w:rsidRPr="00B76301" w:rsidRDefault="00162775" w:rsidP="00162775">
      <w:pPr>
        <w:spacing w:after="0" w:line="240" w:lineRule="auto"/>
        <w:ind w:left="709" w:right="709"/>
        <w:jc w:val="both"/>
        <w:rPr>
          <w:rFonts w:ascii="Verdana" w:eastAsia="Times New Roman" w:hAnsi="Verdana" w:cs="Times New Roman"/>
          <w:color w:val="000000"/>
          <w:sz w:val="20"/>
          <w:szCs w:val="20"/>
          <w:lang w:eastAsia="es-CO"/>
        </w:rPr>
      </w:pPr>
    </w:p>
    <w:p w14:paraId="10895BA3" w14:textId="77777777" w:rsidR="00162775" w:rsidRPr="00F41464"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r w:rsidRPr="00F41464">
        <w:rPr>
          <w:rFonts w:ascii="Verdana" w:eastAsia="Century Gothic" w:hAnsi="Verdana" w:cs="Century Gothic"/>
          <w:i/>
          <w:iCs/>
          <w:color w:val="000000" w:themeColor="text1"/>
          <w:sz w:val="20"/>
          <w:szCs w:val="20"/>
        </w:rPr>
        <w:t>Caso 1: Error de digitación en pagos y saldos presupuestales.</w:t>
      </w:r>
    </w:p>
    <w:p w14:paraId="008D39BC" w14:textId="77777777" w:rsidR="00162775" w:rsidRPr="00EA1913"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p>
    <w:p w14:paraId="44EC99A5" w14:textId="77777777" w:rsidR="00162775" w:rsidRPr="004B0546"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r w:rsidRPr="00E223A1">
        <w:rPr>
          <w:rFonts w:ascii="Verdana" w:eastAsia="Century Gothic" w:hAnsi="Verdana" w:cs="Century Gothic"/>
          <w:i/>
          <w:iCs/>
          <w:color w:val="000000" w:themeColor="text1"/>
          <w:sz w:val="20"/>
          <w:szCs w:val="20"/>
        </w:rPr>
        <w:t>En una entidad pública se suscribió y ejecutó un contrato de prestación de servicios. A</w:t>
      </w:r>
      <w:r w:rsidRPr="00B348B4">
        <w:rPr>
          <w:rFonts w:ascii="Verdana" w:eastAsia="Century Gothic" w:hAnsi="Verdana" w:cs="Century Gothic"/>
          <w:i/>
          <w:iCs/>
          <w:color w:val="000000" w:themeColor="text1"/>
          <w:sz w:val="20"/>
          <w:szCs w:val="20"/>
        </w:rPr>
        <w:t>l finalizar, las partes firmaron de mutuo acuerdo un Acta de Liquidación Bilateral, donde dejaron constancia de que el contrato se ejecutó por el 100% de su valor y se declararon a paz y salvo.</w:t>
      </w:r>
    </w:p>
    <w:p w14:paraId="43CF1932"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p>
    <w:p w14:paraId="7B0678B0"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r w:rsidRPr="00B76301">
        <w:rPr>
          <w:rFonts w:ascii="Verdana" w:eastAsia="Century Gothic" w:hAnsi="Verdana" w:cs="Century Gothic"/>
          <w:i/>
          <w:iCs/>
          <w:color w:val="000000" w:themeColor="text1"/>
          <w:sz w:val="20"/>
          <w:szCs w:val="20"/>
        </w:rPr>
        <w:t>Sin embargo, en una revisión posterior, se detecta que en el formato de autorización del último pago se cometió un error de digitación y se anotó un valor menor al real ($10.000 menos). Por este motivo, el Área de Financiera transfirió menos dinero al contratista. Esa diferencia quedó registrada y activa en el sistema de presupuesto de la entidad.</w:t>
      </w:r>
    </w:p>
    <w:p w14:paraId="4250FCDC"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p>
    <w:p w14:paraId="380166C1"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r w:rsidRPr="00B76301">
        <w:rPr>
          <w:rFonts w:ascii="Verdana" w:eastAsia="Century Gothic" w:hAnsi="Verdana" w:cs="Century Gothic"/>
          <w:i/>
          <w:iCs/>
          <w:color w:val="000000" w:themeColor="text1"/>
          <w:sz w:val="20"/>
          <w:szCs w:val="20"/>
        </w:rPr>
        <w:t>Por su parte, la contratista nunca presentó ninguna queja ni reclamación, ni al firmar la liquidación ni después de ella. A la fecha ya pasaron más de dos (2) años desde la firma del acta, por lo que el plazo de caducidad para demandar el contrato (artículo 164 del CPACA) ya venció.</w:t>
      </w:r>
    </w:p>
    <w:p w14:paraId="28CFC3FF"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p>
    <w:p w14:paraId="459EC4DC"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r w:rsidRPr="00B76301">
        <w:rPr>
          <w:rFonts w:ascii="Verdana" w:eastAsia="Century Gothic" w:hAnsi="Verdana" w:cs="Century Gothic"/>
          <w:i/>
          <w:iCs/>
          <w:color w:val="000000" w:themeColor="text1"/>
          <w:sz w:val="20"/>
          <w:szCs w:val="20"/>
        </w:rPr>
        <w:t>Actualmente, la entidad necesita cerrar el proyecto en sus plataformas de seguimiento, pero encuentra que el valor del acta de liquidación no coincide con el dinero que efectivamente se transfirió por el error de digitación.</w:t>
      </w:r>
    </w:p>
    <w:p w14:paraId="76F300BD"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r w:rsidRPr="00B76301">
        <w:rPr>
          <w:rFonts w:ascii="Verdana" w:eastAsia="Century Gothic" w:hAnsi="Verdana" w:cs="Century Gothic"/>
          <w:i/>
          <w:iCs/>
          <w:color w:val="000000" w:themeColor="text1"/>
          <w:sz w:val="20"/>
          <w:szCs w:val="20"/>
        </w:rPr>
        <w:t> </w:t>
      </w:r>
    </w:p>
    <w:p w14:paraId="6370442D"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r w:rsidRPr="00B76301">
        <w:rPr>
          <w:rFonts w:ascii="Verdana" w:eastAsia="Century Gothic" w:hAnsi="Verdana" w:cs="Century Gothic"/>
          <w:i/>
          <w:iCs/>
          <w:color w:val="000000" w:themeColor="text1"/>
          <w:sz w:val="20"/>
          <w:szCs w:val="20"/>
        </w:rPr>
        <w:t>Caso 2: Error material de digitación en la fecha del acta de liquidación.</w:t>
      </w:r>
    </w:p>
    <w:p w14:paraId="64F45361"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r w:rsidRPr="00B76301">
        <w:rPr>
          <w:rFonts w:ascii="Verdana" w:eastAsia="Century Gothic" w:hAnsi="Verdana" w:cs="Century Gothic"/>
          <w:i/>
          <w:iCs/>
          <w:color w:val="000000" w:themeColor="text1"/>
          <w:sz w:val="20"/>
          <w:szCs w:val="20"/>
        </w:rPr>
        <w:t>Un contrato de prestación de servicios plenamente ejecutado y terminado se detectó que, al momento de imprimir y firmar el Acta de Liquidación Bilateral, se cometió un error tipográfico en el texto del documento. Específicamente, se digitó un mes anterior a la fecha real en la que efectivamente se terminaron las actividades y se firmó el acta.</w:t>
      </w:r>
    </w:p>
    <w:p w14:paraId="0C2F92B3"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r w:rsidRPr="00B76301">
        <w:rPr>
          <w:rFonts w:ascii="Verdana" w:eastAsia="Century Gothic" w:hAnsi="Verdana" w:cs="Century Gothic"/>
          <w:i/>
          <w:iCs/>
          <w:color w:val="000000" w:themeColor="text1"/>
          <w:sz w:val="20"/>
          <w:szCs w:val="20"/>
        </w:rPr>
        <w:t> </w:t>
      </w:r>
    </w:p>
    <w:p w14:paraId="181B8411"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r w:rsidRPr="00B76301">
        <w:rPr>
          <w:rFonts w:ascii="Verdana" w:eastAsia="Century Gothic" w:hAnsi="Verdana" w:cs="Century Gothic"/>
          <w:i/>
          <w:iCs/>
          <w:color w:val="000000" w:themeColor="text1"/>
          <w:sz w:val="20"/>
          <w:szCs w:val="20"/>
        </w:rPr>
        <w:t>Con base en los casos descritos, solicito su orientación sobre los siguientes puntos:</w:t>
      </w:r>
    </w:p>
    <w:p w14:paraId="72A64C00"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p>
    <w:p w14:paraId="70BE954E"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r w:rsidRPr="00B76301">
        <w:rPr>
          <w:rFonts w:ascii="Verdana" w:eastAsia="Century Gothic" w:hAnsi="Verdana" w:cs="Century Gothic"/>
          <w:i/>
          <w:iCs/>
          <w:color w:val="000000" w:themeColor="text1"/>
          <w:sz w:val="20"/>
          <w:szCs w:val="20"/>
        </w:rPr>
        <w:t>Caso 1:</w:t>
      </w:r>
    </w:p>
    <w:p w14:paraId="5A72D489"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p>
    <w:p w14:paraId="025067B6"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r w:rsidRPr="00B76301">
        <w:rPr>
          <w:rFonts w:ascii="Verdana" w:eastAsia="Century Gothic" w:hAnsi="Verdana" w:cs="Century Gothic"/>
          <w:i/>
          <w:iCs/>
          <w:color w:val="000000" w:themeColor="text1"/>
          <w:sz w:val="20"/>
          <w:szCs w:val="20"/>
        </w:rPr>
        <w:t>¿Es válido que la entidad modifique el acta de liquidación para bajarle el valor y hacerla coincidir con el error de digitación que se cometió en el pago?</w:t>
      </w:r>
    </w:p>
    <w:p w14:paraId="61A75FB9"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p>
    <w:p w14:paraId="6D10154C"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r w:rsidRPr="00B76301">
        <w:rPr>
          <w:rFonts w:ascii="Verdana" w:eastAsia="Century Gothic" w:hAnsi="Verdana" w:cs="Century Gothic"/>
          <w:i/>
          <w:iCs/>
          <w:color w:val="000000" w:themeColor="text1"/>
          <w:sz w:val="20"/>
          <w:szCs w:val="20"/>
        </w:rPr>
        <w:t>¿Puede la entidad realizar el pago de esa diferencia utilizando como soporte el acta de liquidación, a pesar de que ya pasaron más de dos años desde su firma sin que la contratista haya reclamado?</w:t>
      </w:r>
    </w:p>
    <w:p w14:paraId="1D0DF454"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p>
    <w:p w14:paraId="3B630DC3"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r w:rsidRPr="00B76301">
        <w:rPr>
          <w:rFonts w:ascii="Verdana" w:eastAsia="Century Gothic" w:hAnsi="Verdana" w:cs="Century Gothic"/>
          <w:i/>
          <w:iCs/>
          <w:color w:val="000000" w:themeColor="text1"/>
          <w:sz w:val="20"/>
          <w:szCs w:val="20"/>
        </w:rPr>
        <w:t>El vencimiento del plazo de dos años para demandar el acta de liquidación (caducidad), ¿impide que la entidad pague voluntariamente los saldos que ella misma reconoció que debía en esa acta?</w:t>
      </w:r>
    </w:p>
    <w:p w14:paraId="6213C41C"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p>
    <w:p w14:paraId="2B5750F2"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r w:rsidRPr="00B76301">
        <w:rPr>
          <w:rFonts w:ascii="Verdana" w:eastAsia="Century Gothic" w:hAnsi="Verdana" w:cs="Century Gothic"/>
          <w:i/>
          <w:iCs/>
          <w:color w:val="000000" w:themeColor="text1"/>
          <w:sz w:val="20"/>
          <w:szCs w:val="20"/>
        </w:rPr>
        <w:lastRenderedPageBreak/>
        <w:t>Si el área de control previo determina que el pago ya no es viable por el tiempo transcurrido, ¿cuál es el mecanismo correcto para liberar esos recursos en el sistema presupuestal sin tener que alterar el acta de liquidación original?</w:t>
      </w:r>
    </w:p>
    <w:p w14:paraId="4FC92789"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p>
    <w:p w14:paraId="72FE8184"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r w:rsidRPr="00B76301">
        <w:rPr>
          <w:rFonts w:ascii="Verdana" w:eastAsia="Century Gothic" w:hAnsi="Verdana" w:cs="Century Gothic"/>
          <w:i/>
          <w:iCs/>
          <w:color w:val="000000" w:themeColor="text1"/>
          <w:sz w:val="20"/>
          <w:szCs w:val="20"/>
        </w:rPr>
        <w:t>Un error matemático en un formato de pago intermedio, ¿puede considerarse como un "vicio del consentimiento" (error) que afecte la validez del acta de liquidación que las partes firmaron voluntariamente?</w:t>
      </w:r>
    </w:p>
    <w:p w14:paraId="28BBA17C"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r w:rsidRPr="00B76301">
        <w:rPr>
          <w:rFonts w:ascii="Verdana" w:eastAsia="Century Gothic" w:hAnsi="Verdana" w:cs="Century Gothic"/>
          <w:i/>
          <w:iCs/>
          <w:color w:val="000000" w:themeColor="text1"/>
          <w:sz w:val="20"/>
          <w:szCs w:val="20"/>
        </w:rPr>
        <w:t> </w:t>
      </w:r>
    </w:p>
    <w:p w14:paraId="412EE7B1"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r w:rsidRPr="00B76301">
        <w:rPr>
          <w:rFonts w:ascii="Verdana" w:eastAsia="Century Gothic" w:hAnsi="Verdana" w:cs="Century Gothic"/>
          <w:i/>
          <w:iCs/>
          <w:color w:val="000000" w:themeColor="text1"/>
          <w:sz w:val="20"/>
          <w:szCs w:val="20"/>
        </w:rPr>
        <w:t>Caso 1:</w:t>
      </w:r>
    </w:p>
    <w:p w14:paraId="3F7B3C61"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r w:rsidRPr="00B76301">
        <w:rPr>
          <w:rFonts w:ascii="Verdana" w:eastAsia="Century Gothic" w:hAnsi="Verdana" w:cs="Century Gothic"/>
          <w:i/>
          <w:iCs/>
          <w:color w:val="000000" w:themeColor="text1"/>
          <w:sz w:val="20"/>
          <w:szCs w:val="20"/>
        </w:rPr>
        <w:t>1.     ¿Cuál es el mecanismo jurídico idóneo para corregir un error puramente material o tipográfico en la fecha de un acta de liquidación bilateral cuando el contrato ya está terminado? ¿Es procedente suscribir un otrosí, un acta aclaratoria, o basta con una nota administrativa en el expediente?</w:t>
      </w:r>
    </w:p>
    <w:p w14:paraId="75C82F39"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p>
    <w:p w14:paraId="1BC8A3AE"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r w:rsidRPr="00B76301">
        <w:rPr>
          <w:rFonts w:ascii="Verdana" w:eastAsia="Century Gothic" w:hAnsi="Verdana" w:cs="Century Gothic"/>
          <w:i/>
          <w:iCs/>
          <w:color w:val="000000" w:themeColor="text1"/>
          <w:sz w:val="20"/>
          <w:szCs w:val="20"/>
        </w:rPr>
        <w:t>Agradezco de antemano la atención y la orientación que puedan brindar sobre este asunto.</w:t>
      </w:r>
    </w:p>
    <w:p w14:paraId="7B3C1B5B"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p>
    <w:p w14:paraId="4BF26765"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r w:rsidRPr="00B76301">
        <w:rPr>
          <w:rFonts w:ascii="Verdana" w:eastAsia="Century Gothic" w:hAnsi="Verdana" w:cs="Century Gothic"/>
          <w:i/>
          <w:iCs/>
          <w:color w:val="000000" w:themeColor="text1"/>
          <w:sz w:val="20"/>
          <w:szCs w:val="20"/>
        </w:rPr>
        <w:t>Atentamente,</w:t>
      </w:r>
    </w:p>
    <w:p w14:paraId="2D7578EA"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p>
    <w:p w14:paraId="0EAC8014" w14:textId="77777777" w:rsidR="00162775" w:rsidRPr="00B76301" w:rsidRDefault="00162775" w:rsidP="00162775">
      <w:pPr>
        <w:spacing w:after="0" w:line="240" w:lineRule="auto"/>
        <w:ind w:left="709" w:right="709"/>
        <w:jc w:val="both"/>
        <w:rPr>
          <w:rFonts w:ascii="Verdana" w:eastAsia="Century Gothic" w:hAnsi="Verdana" w:cs="Century Gothic"/>
          <w:i/>
          <w:iCs/>
          <w:color w:val="000000" w:themeColor="text1"/>
          <w:sz w:val="20"/>
          <w:szCs w:val="20"/>
        </w:rPr>
      </w:pPr>
      <w:r w:rsidRPr="00B76301">
        <w:rPr>
          <w:rFonts w:ascii="Verdana" w:eastAsia="Century Gothic" w:hAnsi="Verdana" w:cs="Century Gothic"/>
          <w:i/>
          <w:iCs/>
          <w:color w:val="000000" w:themeColor="text1"/>
          <w:sz w:val="20"/>
          <w:szCs w:val="20"/>
        </w:rPr>
        <w:t>De acuerdo con lo anteriormente expuesto, respetuosamente solicitamos se sirvan brindar la correspondiente orientación jurídica, a efectos de determinar el procedimiento que debe seguir la entidad frente a la liquidación de los contratos en mención, considerando la existencia de hallazgos fiscales y procesos de responsabilidad fiscal en curso”.</w:t>
      </w:r>
    </w:p>
    <w:p w14:paraId="0ABA354B" w14:textId="77777777" w:rsidR="00162775" w:rsidRPr="00B76301" w:rsidRDefault="00162775" w:rsidP="00162775">
      <w:pPr>
        <w:spacing w:after="0" w:line="276" w:lineRule="auto"/>
        <w:ind w:left="709" w:right="709"/>
        <w:jc w:val="both"/>
        <w:rPr>
          <w:rFonts w:ascii="Verdana" w:eastAsia="Century Gothic" w:hAnsi="Verdana" w:cs="Century Gothic"/>
          <w:i/>
          <w:iCs/>
          <w:color w:val="000000" w:themeColor="text1"/>
        </w:rPr>
      </w:pPr>
    </w:p>
    <w:p w14:paraId="249B304D" w14:textId="77777777" w:rsidR="00162775" w:rsidRPr="00B76301" w:rsidRDefault="00162775" w:rsidP="00162775">
      <w:pPr>
        <w:spacing w:after="120" w:line="276" w:lineRule="auto"/>
        <w:ind w:right="51" w:firstLine="709"/>
        <w:jc w:val="both"/>
        <w:rPr>
          <w:rFonts w:ascii="Verdana" w:eastAsia="Calibri" w:hAnsi="Verdana" w:cs="Arial"/>
          <w:color w:val="000000" w:themeColor="text1"/>
          <w:lang w:val="es-ES_tradnl" w:eastAsia="es-ES_tradnl"/>
        </w:rPr>
      </w:pPr>
      <w:r w:rsidRPr="00B76301">
        <w:rPr>
          <w:rFonts w:ascii="Verdana" w:eastAsia="Calibri" w:hAnsi="Verdana" w:cs="Arial"/>
          <w:color w:val="000000" w:themeColor="text1"/>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B76301">
        <w:rPr>
          <w:rFonts w:ascii="Verdana" w:eastAsia="Calibri" w:hAnsi="Verdana" w:cs="Arial"/>
          <w:color w:val="000000" w:themeColor="text1"/>
          <w:lang w:val="es-ES_tradnl" w:eastAsia="es-ES_tradnl"/>
        </w:rPr>
        <w:tab/>
      </w:r>
    </w:p>
    <w:p w14:paraId="7098BA55" w14:textId="77777777" w:rsidR="00162775" w:rsidRPr="00B76301" w:rsidRDefault="00162775" w:rsidP="00162775">
      <w:pPr>
        <w:spacing w:after="0" w:line="276" w:lineRule="auto"/>
        <w:ind w:firstLine="709"/>
        <w:jc w:val="both"/>
        <w:rPr>
          <w:rFonts w:ascii="Verdana" w:eastAsia="Calibri" w:hAnsi="Verdana" w:cs="Arial"/>
          <w:color w:val="000000" w:themeColor="text1"/>
          <w:lang w:val="es-ES" w:eastAsia="es-ES"/>
        </w:rPr>
      </w:pPr>
      <w:r w:rsidRPr="00B76301">
        <w:rPr>
          <w:rFonts w:ascii="Verdana" w:eastAsia="Calibri" w:hAnsi="Verdana" w:cs="Arial"/>
          <w:color w:val="000000" w:themeColor="text1"/>
          <w:lang w:val="es-ES" w:eastAsia="es-ES"/>
        </w:rPr>
        <w:lastRenderedPageBreak/>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algunas consideraciones sobre las normas generales relacionadas con el problema jurídico de su consulta. </w:t>
      </w:r>
    </w:p>
    <w:p w14:paraId="2E315035" w14:textId="77777777" w:rsidR="00162775" w:rsidRPr="00B76301" w:rsidRDefault="00162775" w:rsidP="00162775">
      <w:pPr>
        <w:spacing w:after="0" w:line="276" w:lineRule="auto"/>
        <w:ind w:firstLine="709"/>
        <w:jc w:val="both"/>
        <w:rPr>
          <w:rFonts w:ascii="Verdana" w:eastAsia="Calibri" w:hAnsi="Verdana" w:cs="Arial"/>
          <w:color w:val="000000" w:themeColor="text1"/>
          <w:lang w:val="es-ES" w:eastAsia="es-ES"/>
        </w:rPr>
      </w:pPr>
    </w:p>
    <w:p w14:paraId="34DEC883" w14:textId="77777777" w:rsidR="00162775" w:rsidRPr="0019230A" w:rsidRDefault="00162775" w:rsidP="00162775">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19230A">
        <w:rPr>
          <w:rFonts w:ascii="Verdana" w:eastAsia="Century Gothic" w:hAnsi="Verdana" w:cs="Century Gothic"/>
          <w:b/>
          <w:bCs/>
          <w:color w:val="000000" w:themeColor="text1"/>
        </w:rPr>
        <w:t>Problema planteado:</w:t>
      </w:r>
    </w:p>
    <w:p w14:paraId="61BF1976" w14:textId="77777777" w:rsidR="00162775" w:rsidRPr="00B76301" w:rsidRDefault="00162775" w:rsidP="00162775">
      <w:pPr>
        <w:tabs>
          <w:tab w:val="left" w:pos="426"/>
        </w:tabs>
        <w:spacing w:after="0" w:line="276" w:lineRule="auto"/>
        <w:jc w:val="both"/>
        <w:rPr>
          <w:rFonts w:ascii="Verdana" w:eastAsia="Century Gothic" w:hAnsi="Verdana" w:cs="Century Gothic"/>
          <w:color w:val="000000" w:themeColor="text1"/>
          <w:lang w:val="es-ES"/>
        </w:rPr>
      </w:pPr>
    </w:p>
    <w:p w14:paraId="7B40B5D4" w14:textId="77777777" w:rsidR="00162775" w:rsidRPr="00B76301" w:rsidRDefault="00162775" w:rsidP="00162775">
      <w:pPr>
        <w:spacing w:after="0" w:line="276" w:lineRule="auto"/>
        <w:jc w:val="both"/>
        <w:rPr>
          <w:rFonts w:ascii="Verdana" w:hAnsi="Verdana" w:cs="Segoe UI"/>
        </w:rPr>
      </w:pPr>
      <w:r w:rsidRPr="00B76301">
        <w:rPr>
          <w:rFonts w:ascii="Verdana" w:eastAsia="Century Gothic" w:hAnsi="Verdana" w:cs="Century Gothic"/>
          <w:color w:val="000000" w:themeColor="text1"/>
        </w:rPr>
        <w:t>De acuerdo con el contenido de su solicitud, esta Agencia resolverá el siguiente problema jurídico:</w:t>
      </w:r>
      <w:r w:rsidRPr="00B76301">
        <w:rPr>
          <w:rFonts w:ascii="Verdana" w:hAnsi="Verdana"/>
        </w:rPr>
        <w:t xml:space="preserve"> i) </w:t>
      </w:r>
      <w:r w:rsidRPr="00B76301">
        <w:rPr>
          <w:rFonts w:ascii="Verdana" w:eastAsia="Century Gothic" w:hAnsi="Verdana" w:cs="Century Gothic"/>
        </w:rPr>
        <w:t>¿</w:t>
      </w:r>
      <w:r w:rsidRPr="00B76301">
        <w:rPr>
          <w:rFonts w:ascii="Verdana" w:hAnsi="Verdana"/>
        </w:rPr>
        <w:t>Es</w:t>
      </w:r>
      <w:r w:rsidRPr="00B76301">
        <w:rPr>
          <w:rFonts w:ascii="Verdana" w:eastAsia="Century Gothic" w:hAnsi="Verdana" w:cs="Century Gothic"/>
        </w:rPr>
        <w:t xml:space="preserve"> jurídicamente procedente modificar un acta de liquidación bilateral para ajustar su contenido </w:t>
      </w:r>
      <w:r w:rsidRPr="0019230A">
        <w:rPr>
          <w:rFonts w:ascii="Verdana" w:eastAsia="Century Gothic" w:hAnsi="Verdana" w:cs="Century Gothic"/>
        </w:rPr>
        <w:t>en vitud</w:t>
      </w:r>
      <w:r w:rsidRPr="00B76301">
        <w:rPr>
          <w:rFonts w:ascii="Verdana" w:eastAsia="Century Gothic" w:hAnsi="Verdana" w:cs="Century Gothic"/>
        </w:rPr>
        <w:t xml:space="preserve"> </w:t>
      </w:r>
      <w:r w:rsidRPr="0019230A">
        <w:rPr>
          <w:rFonts w:ascii="Verdana" w:eastAsia="Century Gothic" w:hAnsi="Verdana" w:cs="Century Gothic"/>
        </w:rPr>
        <w:t>de</w:t>
      </w:r>
      <w:r w:rsidRPr="00B76301">
        <w:rPr>
          <w:rFonts w:ascii="Verdana" w:eastAsia="Century Gothic" w:hAnsi="Verdana" w:cs="Century Gothic"/>
        </w:rPr>
        <w:t xml:space="preserve"> un error cometido en </w:t>
      </w:r>
      <w:r w:rsidRPr="0019230A">
        <w:rPr>
          <w:rFonts w:ascii="Verdana" w:eastAsia="Century Gothic" w:hAnsi="Verdana" w:cs="Century Gothic"/>
        </w:rPr>
        <w:t>un</w:t>
      </w:r>
      <w:r w:rsidRPr="00B76301">
        <w:rPr>
          <w:rFonts w:ascii="Verdana" w:eastAsia="Century Gothic" w:hAnsi="Verdana" w:cs="Century Gothic"/>
        </w:rPr>
        <w:t xml:space="preserve"> pago </w:t>
      </w:r>
      <w:r w:rsidRPr="0019230A">
        <w:rPr>
          <w:rFonts w:ascii="Verdana" w:eastAsia="Century Gothic" w:hAnsi="Verdana" w:cs="Century Gothic"/>
        </w:rPr>
        <w:t>realizado con</w:t>
      </w:r>
      <w:r w:rsidRPr="00B76301">
        <w:rPr>
          <w:rFonts w:ascii="Verdana" w:eastAsia="Century Gothic" w:hAnsi="Verdana" w:cs="Century Gothic"/>
        </w:rPr>
        <w:t xml:space="preserve"> posterior</w:t>
      </w:r>
      <w:r w:rsidRPr="0019230A">
        <w:rPr>
          <w:rFonts w:ascii="Verdana" w:eastAsia="Century Gothic" w:hAnsi="Verdana" w:cs="Century Gothic"/>
        </w:rPr>
        <w:t>idad</w:t>
      </w:r>
      <w:r w:rsidRPr="00B76301">
        <w:rPr>
          <w:rFonts w:ascii="Verdana" w:eastAsia="Century Gothic" w:hAnsi="Verdana" w:cs="Century Gothic"/>
        </w:rPr>
        <w:t xml:space="preserve"> a su </w:t>
      </w:r>
      <w:r w:rsidRPr="0019230A">
        <w:rPr>
          <w:rFonts w:ascii="Verdana" w:eastAsia="Century Gothic" w:hAnsi="Verdana" w:cs="Century Gothic"/>
        </w:rPr>
        <w:t>suscripción,</w:t>
      </w:r>
      <w:r w:rsidRPr="00B76301">
        <w:rPr>
          <w:rFonts w:ascii="Verdana" w:eastAsia="Century Gothic" w:hAnsi="Verdana" w:cs="Century Gothic"/>
        </w:rPr>
        <w:t xml:space="preserve"> sin afectar sus efectos jurídicos</w:t>
      </w:r>
      <w:r w:rsidRPr="0019230A">
        <w:rPr>
          <w:rFonts w:ascii="Verdana" w:eastAsia="Century Gothic" w:hAnsi="Verdana" w:cs="Century Gothic"/>
        </w:rPr>
        <w:t>?</w:t>
      </w:r>
      <w:r w:rsidRPr="00B76301">
        <w:rPr>
          <w:rFonts w:ascii="Verdana" w:hAnsi="Verdana" w:cs="Segoe UI"/>
        </w:rPr>
        <w:t xml:space="preserve"> En caso de que tal modificación no resulte procedente, ¿el transcurso de más de dos años desde la firma del acta y la caducidad del medio de control contractual impiden el pago voluntario de los saldos allí reconocidos? Asimismo, ¿cuál es el mecanismo jurídico, presupuestal y contable aplicable para la gestión de los recursos asociados a tales saldos sin alterar el contenido del acta de liquidación?; </w:t>
      </w:r>
      <w:r w:rsidRPr="00B76301">
        <w:rPr>
          <w:rFonts w:ascii="Verdana" w:eastAsia="Century Gothic" w:hAnsi="Verdana" w:cs="Century Gothic"/>
        </w:rPr>
        <w:t xml:space="preserve">ii) </w:t>
      </w:r>
      <w:r w:rsidRPr="00B76301">
        <w:rPr>
          <w:rFonts w:ascii="Verdana" w:eastAsia="Century Gothic" w:hAnsi="Verdana" w:cs="Century Gothic"/>
          <w:color w:val="000000" w:themeColor="text1"/>
        </w:rPr>
        <w:t xml:space="preserve"> ¿Cuál es el mecanismo jurídico idóneo para corregir un error puramente material o tipográfico en la fecha de un acta de liquidación bilateral cuando el contrato ya está terminado? </w:t>
      </w:r>
    </w:p>
    <w:p w14:paraId="7C8C90C8" w14:textId="77777777" w:rsidR="00162775" w:rsidRPr="00B76301" w:rsidRDefault="00162775" w:rsidP="00162775">
      <w:pPr>
        <w:spacing w:after="0" w:line="276" w:lineRule="auto"/>
        <w:jc w:val="both"/>
        <w:rPr>
          <w:rFonts w:ascii="Verdana" w:hAnsi="Verdana"/>
        </w:rPr>
      </w:pPr>
    </w:p>
    <w:p w14:paraId="379B31C8" w14:textId="77777777" w:rsidR="00162775" w:rsidRPr="0019230A" w:rsidRDefault="00162775" w:rsidP="00162775">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19230A">
        <w:rPr>
          <w:rFonts w:ascii="Verdana" w:eastAsia="Century Gothic" w:hAnsi="Verdana" w:cs="Century Gothic"/>
          <w:b/>
          <w:bCs/>
          <w:color w:val="000000" w:themeColor="text1"/>
        </w:rPr>
        <w:t>Respuesta:</w:t>
      </w:r>
    </w:p>
    <w:p w14:paraId="57D19980" w14:textId="77777777" w:rsidR="00162775" w:rsidRPr="00B76301" w:rsidRDefault="00162775" w:rsidP="00162775">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162775" w:rsidRPr="00B76301" w14:paraId="74561D7E" w14:textId="77777777" w:rsidTr="00B76301">
        <w:trPr>
          <w:trHeight w:val="774"/>
        </w:trPr>
        <w:tc>
          <w:tcPr>
            <w:tcW w:w="8828" w:type="dxa"/>
          </w:tcPr>
          <w:p w14:paraId="1EFAA728" w14:textId="77777777" w:rsidR="00162775" w:rsidRPr="00B76301" w:rsidRDefault="00162775" w:rsidP="00B76301">
            <w:pPr>
              <w:pStyle w:val="NormalWeb"/>
              <w:spacing w:before="0" w:beforeAutospacing="0" w:after="120" w:afterAutospacing="0" w:line="276" w:lineRule="auto"/>
              <w:jc w:val="both"/>
              <w:rPr>
                <w:rFonts w:ascii="Verdana" w:hAnsi="Verdana" w:cs="Segoe UI"/>
                <w:sz w:val="22"/>
                <w:szCs w:val="22"/>
              </w:rPr>
            </w:pPr>
            <w:r w:rsidRPr="00FB1BF4">
              <w:rPr>
                <w:rFonts w:ascii="Verdana" w:eastAsia="Calibri" w:hAnsi="Verdana" w:cs="Arial"/>
                <w:sz w:val="22"/>
                <w:szCs w:val="22"/>
              </w:rPr>
              <w:t xml:space="preserve">i) </w:t>
            </w:r>
            <w:r w:rsidRPr="00B76301">
              <w:rPr>
                <w:rFonts w:ascii="Verdana" w:eastAsia="Calibri" w:hAnsi="Verdana" w:cs="Arial"/>
                <w:sz w:val="22"/>
                <w:szCs w:val="22"/>
              </w:rPr>
              <w:t>Frente al</w:t>
            </w:r>
            <w:r w:rsidRPr="00FB1BF4">
              <w:rPr>
                <w:rFonts w:ascii="Verdana" w:eastAsia="Calibri" w:hAnsi="Verdana" w:cs="Arial"/>
                <w:sz w:val="22"/>
                <w:szCs w:val="22"/>
              </w:rPr>
              <w:t xml:space="preserve"> primer</w:t>
            </w:r>
            <w:r w:rsidRPr="00B76301">
              <w:rPr>
                <w:rFonts w:ascii="Verdana" w:eastAsia="Calibri" w:hAnsi="Verdana" w:cs="Arial"/>
                <w:sz w:val="22"/>
                <w:szCs w:val="22"/>
              </w:rPr>
              <w:t xml:space="preserve"> problema jurídico planteado es preciso señalar que, </w:t>
            </w:r>
            <w:r w:rsidRPr="00B76301">
              <w:rPr>
                <w:rStyle w:val="Fuerte"/>
                <w:rFonts w:ascii="Verdana" w:hAnsi="Verdana" w:cs="Segoe UI"/>
                <w:b w:val="0"/>
                <w:bCs w:val="0"/>
                <w:sz w:val="22"/>
                <w:szCs w:val="22"/>
              </w:rPr>
              <w:t>no resulta jurídicamente procedente modificar el acta de liquidación para reducir el saldo reconocido al contratista</w:t>
            </w:r>
            <w:r w:rsidRPr="00FB1BF4">
              <w:rPr>
                <w:rStyle w:val="Fuerte"/>
                <w:rFonts w:ascii="Verdana" w:hAnsi="Verdana" w:cs="Segoe UI"/>
                <w:b w:val="0"/>
                <w:bCs w:val="0"/>
                <w:sz w:val="22"/>
                <w:szCs w:val="22"/>
              </w:rPr>
              <w:t>,</w:t>
            </w:r>
            <w:r w:rsidRPr="00B76301">
              <w:rPr>
                <w:rStyle w:val="Fuerte"/>
                <w:rFonts w:ascii="Verdana" w:hAnsi="Verdana" w:cs="Segoe UI"/>
                <w:b w:val="0"/>
                <w:bCs w:val="0"/>
                <w:sz w:val="22"/>
                <w:szCs w:val="22"/>
              </w:rPr>
              <w:t xml:space="preserve"> con el fin de hacerla coincidir con un error de digitación o cálculo ocurrido en un trámite de pago </w:t>
            </w:r>
            <w:r w:rsidRPr="00FB1BF4">
              <w:rPr>
                <w:rStyle w:val="Fuerte"/>
                <w:rFonts w:ascii="Verdana" w:hAnsi="Verdana" w:cs="Segoe UI"/>
                <w:b w:val="0"/>
                <w:bCs w:val="0"/>
                <w:sz w:val="22"/>
                <w:szCs w:val="22"/>
              </w:rPr>
              <w:t>posterior</w:t>
            </w:r>
            <w:r w:rsidRPr="00E223A1">
              <w:rPr>
                <w:rStyle w:val="Fuerte"/>
                <w:rFonts w:ascii="Verdana" w:hAnsi="Verdana"/>
                <w:sz w:val="22"/>
                <w:szCs w:val="22"/>
              </w:rPr>
              <w:t xml:space="preserve"> </w:t>
            </w:r>
            <w:r w:rsidRPr="00B76301">
              <w:rPr>
                <w:rStyle w:val="Fuerte"/>
                <w:rFonts w:ascii="Verdana" w:hAnsi="Verdana"/>
                <w:b w:val="0"/>
                <w:bCs w:val="0"/>
                <w:sz w:val="22"/>
                <w:szCs w:val="22"/>
              </w:rPr>
              <w:t xml:space="preserve">a su </w:t>
            </w:r>
            <w:r w:rsidRPr="00FB1BF4">
              <w:rPr>
                <w:rStyle w:val="Fuerte"/>
                <w:rFonts w:ascii="Verdana" w:hAnsi="Verdana"/>
                <w:b w:val="0"/>
                <w:bCs w:val="0"/>
                <w:sz w:val="22"/>
                <w:szCs w:val="22"/>
              </w:rPr>
              <w:t>suscripción</w:t>
            </w:r>
            <w:r w:rsidRPr="00B76301">
              <w:rPr>
                <w:rFonts w:ascii="Verdana" w:hAnsi="Verdana" w:cs="Segoe UI"/>
                <w:sz w:val="22"/>
                <w:szCs w:val="22"/>
              </w:rPr>
              <w:t>.</w:t>
            </w:r>
          </w:p>
          <w:p w14:paraId="10EB7357" w14:textId="77777777" w:rsidR="00162775" w:rsidRPr="00B76301" w:rsidRDefault="00162775" w:rsidP="00B76301">
            <w:pPr>
              <w:pStyle w:val="NormalWeb"/>
              <w:spacing w:before="0" w:beforeAutospacing="0" w:after="120" w:afterAutospacing="0" w:line="276" w:lineRule="auto"/>
              <w:ind w:firstLine="709"/>
              <w:jc w:val="both"/>
              <w:rPr>
                <w:rFonts w:ascii="Verdana" w:hAnsi="Verdana" w:cs="Segoe UI"/>
                <w:sz w:val="22"/>
                <w:szCs w:val="22"/>
              </w:rPr>
            </w:pPr>
            <w:r w:rsidRPr="00B76301">
              <w:rPr>
                <w:rFonts w:ascii="Verdana" w:hAnsi="Verdana" w:cs="Segoe UI"/>
                <w:sz w:val="22"/>
                <w:szCs w:val="22"/>
              </w:rPr>
              <w:t>L</w:t>
            </w:r>
            <w:r w:rsidRPr="00FB1BF4">
              <w:rPr>
                <w:rFonts w:ascii="Verdana" w:hAnsi="Verdana" w:cs="Segoe UI"/>
                <w:sz w:val="22"/>
                <w:szCs w:val="22"/>
              </w:rPr>
              <w:t>o</w:t>
            </w:r>
            <w:r w:rsidRPr="00B76301">
              <w:rPr>
                <w:rFonts w:ascii="Verdana" w:hAnsi="Verdana" w:cs="Segoe UI"/>
                <w:sz w:val="22"/>
                <w:szCs w:val="22"/>
              </w:rPr>
              <w:t xml:space="preserve"> anterior, teniendo en cuenta que, la liquidación bilateral constituye un </w:t>
            </w:r>
            <w:r w:rsidRPr="00B76301">
              <w:rPr>
                <w:rStyle w:val="Fuerte"/>
                <w:rFonts w:ascii="Verdana" w:hAnsi="Verdana" w:cs="Segoe UI"/>
                <w:b w:val="0"/>
                <w:bCs w:val="0"/>
                <w:sz w:val="22"/>
                <w:szCs w:val="22"/>
              </w:rPr>
              <w:t>negocio jurídico</w:t>
            </w:r>
            <w:r w:rsidRPr="00B76301">
              <w:rPr>
                <w:rFonts w:ascii="Verdana" w:hAnsi="Verdana" w:cs="Segoe UI"/>
                <w:sz w:val="22"/>
                <w:szCs w:val="22"/>
              </w:rPr>
              <w:t xml:space="preserve"> celebrado entre la entidad y el contratista, mediante el cual ambas partes, en ejercicio de la autonomía de la voluntad, realizan el balance final técnico, jurídico y económico del contrato, determinan los saldos a favor o en contra y acuerdan la forma definitiva en que concluye la relación contractual. En ese sentido, el contenido del acta representa la voluntad </w:t>
            </w:r>
            <w:r w:rsidRPr="00B76301">
              <w:rPr>
                <w:rFonts w:ascii="Verdana" w:hAnsi="Verdana" w:cs="Segoe UI"/>
                <w:sz w:val="22"/>
                <w:szCs w:val="22"/>
              </w:rPr>
              <w:lastRenderedPageBreak/>
              <w:t>conjunta de las partes respecto de las obligaciones derivadas de la ejecución contractual y produce efectos jurídicos obligatorios y vinculantes.</w:t>
            </w:r>
          </w:p>
          <w:p w14:paraId="33B480DC" w14:textId="77777777" w:rsidR="00162775" w:rsidRPr="00B76301" w:rsidRDefault="00162775" w:rsidP="00B76301">
            <w:pPr>
              <w:pStyle w:val="NormalWeb"/>
              <w:spacing w:before="0" w:beforeAutospacing="0" w:after="120" w:afterAutospacing="0" w:line="276" w:lineRule="auto"/>
              <w:ind w:firstLine="709"/>
              <w:jc w:val="both"/>
              <w:rPr>
                <w:rFonts w:ascii="Verdana" w:hAnsi="Verdana" w:cs="Segoe UI"/>
                <w:sz w:val="22"/>
                <w:szCs w:val="22"/>
              </w:rPr>
            </w:pPr>
            <w:r w:rsidRPr="00B76301">
              <w:rPr>
                <w:rFonts w:ascii="Verdana" w:hAnsi="Verdana" w:cs="Segoe UI"/>
                <w:sz w:val="22"/>
                <w:szCs w:val="22"/>
              </w:rPr>
              <w:t>De acuerdo con la jurisprudencia del Consejo de Estado, la suscripción del acta de liquidación bilateral supone que las partes consienten que el corte de cuentas allí consignado corresponde a la realidad de la ejecución del contrato y, por consiguiente, una vez satisfechas las obligaciones que de ella se derivan, pueden declararse a paz y salvo. Asimismo, se ha reconocido que dicho instrumento tiene efectos transaccionales y constituye una forma de solución de controversias encaminada a evitar futuros litigios sobre asuntos ya definidos por las partes.</w:t>
            </w:r>
          </w:p>
          <w:p w14:paraId="2EC050DD" w14:textId="77777777" w:rsidR="00162775" w:rsidRPr="00B76301" w:rsidRDefault="00162775" w:rsidP="00B76301">
            <w:pPr>
              <w:pStyle w:val="NormalWeb"/>
              <w:spacing w:before="0" w:beforeAutospacing="0" w:after="120" w:afterAutospacing="0" w:line="276" w:lineRule="auto"/>
              <w:ind w:firstLine="709"/>
              <w:jc w:val="both"/>
              <w:rPr>
                <w:rFonts w:ascii="Verdana" w:hAnsi="Verdana" w:cs="Segoe UI"/>
                <w:sz w:val="22"/>
                <w:szCs w:val="22"/>
              </w:rPr>
            </w:pPr>
            <w:r w:rsidRPr="00B76301">
              <w:rPr>
                <w:rFonts w:ascii="Verdana" w:hAnsi="Verdana" w:cs="Segoe UI"/>
                <w:sz w:val="22"/>
                <w:szCs w:val="22"/>
              </w:rPr>
              <w:t>En consecuencia, la fuerza obligatoria del acta impide que cualquiera de las partes desconozca unilateralmente su contenido o modifique posteriormente los acuerdos alcanzados, pues ello implicaría desconocer una manifestación válida de voluntad plasmada en un negocio jurídico perfeccionado. Precisamente por esa naturaleza vinculante, el Consejo de Estado ha sostenido que las controversias relacionadas con aspectos definidos en la liquidación bilateral únicamente pueden ser debatidas cuando: i) se hayan dejado salvedades expresas sobre los puntos objeto de desacuerdo o ii) se demuestre la existencia de un vicio del consentimiento, esto es, error, fuerza o dolo.</w:t>
            </w:r>
          </w:p>
          <w:p w14:paraId="22EAF911" w14:textId="77777777" w:rsidR="00162775" w:rsidRPr="00B76301" w:rsidRDefault="00162775" w:rsidP="00B76301">
            <w:pPr>
              <w:pStyle w:val="NormalWeb"/>
              <w:spacing w:before="0" w:beforeAutospacing="0" w:after="120" w:afterAutospacing="0" w:line="276" w:lineRule="auto"/>
              <w:ind w:firstLine="709"/>
              <w:jc w:val="both"/>
              <w:rPr>
                <w:rFonts w:ascii="Verdana" w:hAnsi="Verdana" w:cs="Segoe UI"/>
                <w:sz w:val="22"/>
                <w:szCs w:val="22"/>
              </w:rPr>
            </w:pPr>
            <w:r w:rsidRPr="00B76301">
              <w:rPr>
                <w:rFonts w:ascii="Verdana" w:hAnsi="Verdana" w:cs="Segoe UI"/>
                <w:sz w:val="22"/>
                <w:szCs w:val="22"/>
              </w:rPr>
              <w:t>Bajo estas consideraciones, un error de digitación o matemático contenido en un formato de pago no tiene, por sí mismo, la entidad suficiente para desvirtuar el contenido del acta de liquidación bilateral. Para que pudiera predicarse la existencia de un vicio del consentimiento sería necesario demostrar que dicho error afectó de manera sustancial la formación de la voluntad de las partes al momento de suscribir la liquidación, circunstancia que no se configura automáticamente por la existencia de una inconsistencia administrativa o contable previa. Por el contrario, si las partes revisaron y firmaron el acta sin formular observaciones o salvedades respecto del saldo allí reconocido, debe entenderse que aceptaron ese balance final como expresión definitiva de sus derechos y obligaciones.</w:t>
            </w:r>
          </w:p>
          <w:p w14:paraId="2B61BF4B" w14:textId="77777777" w:rsidR="00162775" w:rsidRPr="00B76301" w:rsidRDefault="00162775" w:rsidP="00B76301">
            <w:pPr>
              <w:pStyle w:val="NormalWeb"/>
              <w:spacing w:before="0" w:beforeAutospacing="0" w:after="120" w:afterAutospacing="0" w:line="276" w:lineRule="auto"/>
              <w:ind w:firstLine="709"/>
              <w:jc w:val="both"/>
              <w:rPr>
                <w:rFonts w:ascii="Verdana" w:hAnsi="Verdana" w:cs="Segoe UI"/>
                <w:sz w:val="22"/>
                <w:szCs w:val="22"/>
              </w:rPr>
            </w:pPr>
            <w:r w:rsidRPr="00B76301">
              <w:rPr>
                <w:rFonts w:ascii="Verdana" w:hAnsi="Verdana" w:cs="Segoe UI"/>
                <w:sz w:val="22"/>
                <w:szCs w:val="22"/>
              </w:rPr>
              <w:t xml:space="preserve">En ese orden de ideas, si el acta de liquidación reconoció un saldo a favor del contratista y fue suscrita sin reservas ni cuestionamientos, dicho reconocimiento conserva plena validez jurídica y no puede ser alterado posteriormente mediante una modificación destinada a adecuar el contenido </w:t>
            </w:r>
            <w:r w:rsidRPr="00B76301">
              <w:rPr>
                <w:rFonts w:ascii="Verdana" w:hAnsi="Verdana" w:cs="Segoe UI"/>
                <w:sz w:val="22"/>
                <w:szCs w:val="22"/>
              </w:rPr>
              <w:lastRenderedPageBreak/>
              <w:t xml:space="preserve">del acta a un error ocurrido en una actuación administrativa </w:t>
            </w:r>
            <w:r w:rsidRPr="00FB1BF4">
              <w:rPr>
                <w:rFonts w:ascii="Verdana" w:hAnsi="Verdana" w:cs="Segoe UI"/>
                <w:sz w:val="22"/>
                <w:szCs w:val="22"/>
              </w:rPr>
              <w:t>posterio</w:t>
            </w:r>
            <w:r w:rsidRPr="00B76301">
              <w:rPr>
                <w:rFonts w:ascii="Verdana" w:hAnsi="Verdana" w:cs="Segoe UI"/>
                <w:sz w:val="22"/>
                <w:szCs w:val="22"/>
              </w:rPr>
              <w:t xml:space="preserve">r. Cualquier actuación posterior </w:t>
            </w:r>
            <w:r w:rsidRPr="00FB1BF4">
              <w:rPr>
                <w:rFonts w:ascii="Verdana" w:hAnsi="Verdana" w:cs="Segoe UI"/>
                <w:sz w:val="22"/>
                <w:szCs w:val="22"/>
              </w:rPr>
              <w:t xml:space="preserve">a la firma del acta de inicio </w:t>
            </w:r>
            <w:r w:rsidRPr="00B76301">
              <w:rPr>
                <w:rFonts w:ascii="Verdana" w:hAnsi="Verdana" w:cs="Segoe UI"/>
                <w:sz w:val="22"/>
                <w:szCs w:val="22"/>
              </w:rPr>
              <w:t>debe respetar la integridad del negocio jurídico de liquidación y limitarse, en caso de ser necesario, a efectuar aclaraciones que precisen el alcance de lo acordado, sin modificar sustancialmente los derechos y obligaciones definidos por las partes.</w:t>
            </w:r>
          </w:p>
          <w:p w14:paraId="5FF469F9" w14:textId="77777777" w:rsidR="00162775" w:rsidRPr="00B76301" w:rsidRDefault="00162775" w:rsidP="00B76301">
            <w:pPr>
              <w:pStyle w:val="NormalWeb"/>
              <w:spacing w:before="0" w:beforeAutospacing="0" w:after="120" w:afterAutospacing="0" w:line="276" w:lineRule="auto"/>
              <w:ind w:firstLine="709"/>
              <w:jc w:val="both"/>
              <w:rPr>
                <w:rFonts w:ascii="Verdana" w:hAnsi="Verdana" w:cs="Segoe UI"/>
                <w:sz w:val="22"/>
                <w:szCs w:val="22"/>
              </w:rPr>
            </w:pPr>
            <w:r w:rsidRPr="00B76301">
              <w:rPr>
                <w:rFonts w:ascii="Verdana" w:hAnsi="Verdana" w:cs="Segoe UI"/>
                <w:sz w:val="22"/>
                <w:szCs w:val="22"/>
              </w:rPr>
              <w:t>Por tanto, atendiendo a la naturaleza negocial, vinculante y definitiva de la liquidación bilateral, la entidad no se encuentra facultada para modificar el acta con el propósito de disminuir el valor del saldo reconocido y ajustarlo a un error de digitación ocurrido en el trámite de pago, salvo que exista acuerdo de ambas partes dentro de los límites legales o una decisión judicial que afecte la validez del negocio jurídico contenido en el acta de liquidación.</w:t>
            </w:r>
          </w:p>
          <w:p w14:paraId="3E926B78" w14:textId="77777777" w:rsidR="00162775" w:rsidRPr="00B76301" w:rsidRDefault="00162775" w:rsidP="00B76301">
            <w:pPr>
              <w:pStyle w:val="NormalWeb"/>
              <w:spacing w:before="0" w:beforeAutospacing="0" w:after="120" w:afterAutospacing="0" w:line="276" w:lineRule="auto"/>
              <w:ind w:firstLine="709"/>
              <w:jc w:val="both"/>
              <w:rPr>
                <w:rFonts w:ascii="Verdana" w:hAnsi="Verdana" w:cs="Segoe UI"/>
                <w:sz w:val="22"/>
                <w:szCs w:val="22"/>
              </w:rPr>
            </w:pPr>
            <w:r w:rsidRPr="00B76301">
              <w:rPr>
                <w:rFonts w:ascii="Verdana" w:hAnsi="Verdana" w:cs="Segoe UI"/>
                <w:sz w:val="22"/>
                <w:szCs w:val="22"/>
              </w:rPr>
              <w:t xml:space="preserve">Adicionalmente, </w:t>
            </w:r>
            <w:r w:rsidRPr="00FB1BF4">
              <w:rPr>
                <w:rFonts w:ascii="Verdana" w:hAnsi="Verdana" w:cs="Segoe UI"/>
                <w:sz w:val="22"/>
                <w:szCs w:val="22"/>
              </w:rPr>
              <w:t>para dar respuesta al primer problema jurídico,</w:t>
            </w:r>
            <w:r w:rsidRPr="00E223A1">
              <w:rPr>
                <w:rFonts w:ascii="Verdana" w:hAnsi="Verdana" w:cs="Segoe UI"/>
                <w:sz w:val="22"/>
                <w:szCs w:val="22"/>
              </w:rPr>
              <w:t xml:space="preserve"> </w:t>
            </w:r>
            <w:r w:rsidRPr="00B76301">
              <w:rPr>
                <w:rFonts w:ascii="Verdana" w:hAnsi="Verdana" w:cs="Segoe UI"/>
                <w:sz w:val="22"/>
                <w:szCs w:val="22"/>
              </w:rPr>
              <w:t>es importante diferenciar entre el término previsto por el ordenamiento jurídico para llevar a cabo la liquidación del contrato y el término aplicable para reclamar judicialmente los saldos reconocidos en el acta de liquidación bilateral</w:t>
            </w:r>
            <w:r w:rsidRPr="00FB1BF4">
              <w:rPr>
                <w:rFonts w:ascii="Verdana" w:hAnsi="Verdana" w:cs="Segoe UI"/>
                <w:sz w:val="22"/>
                <w:szCs w:val="22"/>
              </w:rPr>
              <w:t>, la cual presta m</w:t>
            </w:r>
            <w:r w:rsidRPr="00E223A1">
              <w:rPr>
                <w:rFonts w:ascii="Verdana" w:hAnsi="Verdana" w:cs="Segoe UI"/>
                <w:sz w:val="22"/>
                <w:szCs w:val="22"/>
              </w:rPr>
              <w:t>érito ejecutivo</w:t>
            </w:r>
            <w:r w:rsidRPr="00B76301">
              <w:rPr>
                <w:rFonts w:ascii="Verdana" w:hAnsi="Verdana" w:cs="Segoe UI"/>
                <w:sz w:val="22"/>
                <w:szCs w:val="22"/>
              </w:rPr>
              <w:t>. Se trata de figuras jurídicas distintas que producen efectos diferentes.</w:t>
            </w:r>
          </w:p>
          <w:p w14:paraId="1231B7A8" w14:textId="77777777" w:rsidR="00162775" w:rsidRPr="00B76301" w:rsidRDefault="00162775" w:rsidP="00B76301">
            <w:pPr>
              <w:pStyle w:val="NormalWeb"/>
              <w:spacing w:before="0" w:beforeAutospacing="0" w:after="120" w:afterAutospacing="0" w:line="276" w:lineRule="auto"/>
              <w:ind w:firstLine="709"/>
              <w:jc w:val="both"/>
              <w:rPr>
                <w:rFonts w:ascii="Verdana" w:hAnsi="Verdana" w:cs="Segoe UI"/>
                <w:sz w:val="22"/>
                <w:szCs w:val="22"/>
              </w:rPr>
            </w:pPr>
            <w:r w:rsidRPr="00B76301">
              <w:rPr>
                <w:rFonts w:ascii="Verdana" w:hAnsi="Verdana" w:cs="Segoe UI"/>
                <w:sz w:val="22"/>
                <w:szCs w:val="22"/>
              </w:rPr>
              <w:t xml:space="preserve">En efecto, una vez terminado el contrato, la liquidación debe adelantarse dentro de los plazos </w:t>
            </w:r>
            <w:r>
              <w:rPr>
                <w:rFonts w:ascii="Verdana" w:hAnsi="Verdana" w:cs="Segoe UI"/>
                <w:sz w:val="22"/>
                <w:szCs w:val="22"/>
              </w:rPr>
              <w:t xml:space="preserve">consensual o </w:t>
            </w:r>
            <w:r w:rsidRPr="00B76301">
              <w:rPr>
                <w:rFonts w:ascii="Verdana" w:hAnsi="Verdana" w:cs="Segoe UI"/>
                <w:sz w:val="22"/>
                <w:szCs w:val="22"/>
              </w:rPr>
              <w:t>legalmente establecidos, dependiendo de si esta se realiza de mutuo acuerdo, unilateralmente por la entidad o mediante decisión judicial. Sin embargo, agotada y suscrita la liquidación bilateral, la discusión ya no se centra en el término para liquidar el contrato, sino en la exigibilidad de las obligaciones que fueron reconocidas en esa acta.</w:t>
            </w:r>
          </w:p>
          <w:p w14:paraId="185F7270" w14:textId="77777777" w:rsidR="00162775" w:rsidRPr="00B76301" w:rsidRDefault="00162775" w:rsidP="00B76301">
            <w:pPr>
              <w:pStyle w:val="NormalWeb"/>
              <w:spacing w:before="0" w:beforeAutospacing="0" w:after="120" w:afterAutospacing="0" w:line="276" w:lineRule="auto"/>
              <w:ind w:firstLine="709"/>
              <w:jc w:val="both"/>
              <w:rPr>
                <w:rFonts w:ascii="Verdana" w:hAnsi="Verdana" w:cs="Segoe UI"/>
                <w:sz w:val="22"/>
                <w:szCs w:val="22"/>
              </w:rPr>
            </w:pPr>
            <w:r w:rsidRPr="00B76301">
              <w:rPr>
                <w:rFonts w:ascii="Verdana" w:hAnsi="Verdana" w:cs="Segoe UI"/>
                <w:sz w:val="22"/>
                <w:szCs w:val="22"/>
              </w:rPr>
              <w:t>Lo anterior obedece a que la liquidación bilateral constituye un negocio jurídico con fuerza vinculante y, además, puede prestar mérito ejecutivo respecto de las obligaciones claras, expresas y exigibles allí contenidas. Por ello, cuando en el acta se reconoce un saldo a favor de alguna de las partes, la reclamación de dicho crédito no se tramita a través de una controversia orientada a obtener una nueva liquidación del contrato, sino mediante las acciones judiciales correspondientes para exigir el cumplimiento de la obligación reconocida.</w:t>
            </w:r>
          </w:p>
          <w:p w14:paraId="20B5F454" w14:textId="77777777" w:rsidR="00162775" w:rsidRPr="00B76301" w:rsidRDefault="00162775" w:rsidP="00B76301">
            <w:pPr>
              <w:pStyle w:val="NormalWeb"/>
              <w:spacing w:before="0" w:beforeAutospacing="0" w:after="120" w:afterAutospacing="0" w:line="276" w:lineRule="auto"/>
              <w:ind w:firstLine="709"/>
              <w:jc w:val="both"/>
              <w:rPr>
                <w:rFonts w:ascii="Verdana" w:hAnsi="Verdana" w:cs="Segoe UI"/>
                <w:sz w:val="22"/>
                <w:szCs w:val="22"/>
              </w:rPr>
            </w:pPr>
            <w:r w:rsidRPr="00B76301">
              <w:rPr>
                <w:rFonts w:ascii="Verdana" w:hAnsi="Verdana" w:cs="Segoe UI"/>
                <w:sz w:val="22"/>
                <w:szCs w:val="22"/>
              </w:rPr>
              <w:t xml:space="preserve">En consecuencia, el vencimiento del término previsto para controvertir judicialmente la liquidación contractual no implica, por sí solo, la desaparición </w:t>
            </w:r>
            <w:r w:rsidRPr="00B76301">
              <w:rPr>
                <w:rFonts w:ascii="Verdana" w:hAnsi="Verdana" w:cs="Segoe UI"/>
                <w:sz w:val="22"/>
                <w:szCs w:val="22"/>
              </w:rPr>
              <w:lastRenderedPageBreak/>
              <w:t>de las obligaciones expresamente consignadas en el acta de liquidación bilateral. Una cosa es la posibilidad de discutir o cuestionar judicialmente la validez o el contenido de la liquidación, y otra distinta es la exigibilidad de las obligaciones que quedaron reconocidas en ella. Precisamente por su condición de título ejecutivo, los saldos claros, expresos y exigibles incorporados en el acta pueden dar lugar al ejercicio de la acción ejecutiva correspondiente, dentro de los términos de prescripción aplicables a dicha acción.</w:t>
            </w:r>
          </w:p>
          <w:p w14:paraId="7F6AF27C" w14:textId="77777777" w:rsidR="00162775" w:rsidRPr="00FB1BF4" w:rsidRDefault="00162775" w:rsidP="00B76301">
            <w:pPr>
              <w:pStyle w:val="NormalWeb"/>
              <w:spacing w:before="0" w:beforeAutospacing="0" w:after="0" w:afterAutospacing="0" w:line="276" w:lineRule="auto"/>
              <w:ind w:firstLine="709"/>
              <w:jc w:val="both"/>
              <w:rPr>
                <w:rFonts w:ascii="Verdana" w:hAnsi="Verdana" w:cs="Segoe UI"/>
                <w:sz w:val="22"/>
                <w:szCs w:val="22"/>
              </w:rPr>
            </w:pPr>
            <w:r w:rsidRPr="00B76301">
              <w:rPr>
                <w:rFonts w:ascii="Verdana" w:hAnsi="Verdana" w:cs="Segoe UI"/>
                <w:sz w:val="22"/>
                <w:szCs w:val="22"/>
              </w:rPr>
              <w:t>Por lo tanto, para determinar si un saldo reconocido en el acta puede o no ser pagado con posterioridad a su suscripción, no resulta suficiente analizar las reglas relativas a la oportunidad para liquidar el contrato o a la caducidad del medio de control contractual, sino que es necesario examinar el régimen jurídico aplicable a la exigibilidad y eventual prescripción de la obligación incorporada en el acta de liquidación bilateral, documento que conserva su fuerza vinculante mientras no haya sido anulado, modificado válidamente o declarada la extinción de las obligaciones en él contenidas. En tal sentido, el simple transcurso de más de dos</w:t>
            </w:r>
            <w:r w:rsidRPr="00FB1BF4">
              <w:rPr>
                <w:rFonts w:ascii="Verdana" w:hAnsi="Verdana" w:cs="Segoe UI"/>
                <w:sz w:val="22"/>
                <w:szCs w:val="22"/>
              </w:rPr>
              <w:t xml:space="preserve"> (</w:t>
            </w:r>
            <w:r w:rsidRPr="00E223A1">
              <w:rPr>
                <w:rFonts w:ascii="Verdana" w:hAnsi="Verdana" w:cs="Segoe UI"/>
                <w:sz w:val="22"/>
                <w:szCs w:val="22"/>
              </w:rPr>
              <w:t>2</w:t>
            </w:r>
            <w:r w:rsidRPr="00690ECF">
              <w:rPr>
                <w:rFonts w:ascii="Verdana" w:hAnsi="Verdana" w:cs="Segoe UI"/>
                <w:sz w:val="22"/>
                <w:szCs w:val="22"/>
              </w:rPr>
              <w:t>)</w:t>
            </w:r>
            <w:r w:rsidRPr="00B76301">
              <w:rPr>
                <w:rFonts w:ascii="Verdana" w:hAnsi="Verdana" w:cs="Segoe UI"/>
                <w:sz w:val="22"/>
                <w:szCs w:val="22"/>
              </w:rPr>
              <w:t xml:space="preserve"> años desde la firma del acta no constituye, por sí mismo, una razón que habilite a la entidad para desconocer o modificar unilateralmente el saldo reconocido en ese negocio jurídico.</w:t>
            </w:r>
          </w:p>
          <w:p w14:paraId="44E57330" w14:textId="77777777" w:rsidR="00162775" w:rsidRPr="00B76301" w:rsidRDefault="00162775" w:rsidP="00B76301">
            <w:pPr>
              <w:pStyle w:val="NormalWeb"/>
              <w:spacing w:before="0" w:beforeAutospacing="0" w:after="0" w:afterAutospacing="0" w:line="276" w:lineRule="auto"/>
              <w:ind w:firstLine="709"/>
              <w:jc w:val="both"/>
              <w:rPr>
                <w:rFonts w:ascii="Verdana" w:hAnsi="Verdana" w:cs="Segoe UI"/>
                <w:sz w:val="22"/>
                <w:szCs w:val="22"/>
              </w:rPr>
            </w:pPr>
          </w:p>
          <w:p w14:paraId="3180C0E5" w14:textId="77777777" w:rsidR="00162775" w:rsidRPr="00B76301" w:rsidRDefault="00162775" w:rsidP="00B76301">
            <w:pPr>
              <w:tabs>
                <w:tab w:val="left" w:pos="426"/>
              </w:tabs>
              <w:spacing w:after="120" w:line="276" w:lineRule="auto"/>
              <w:jc w:val="both"/>
              <w:rPr>
                <w:rFonts w:ascii="Verdana" w:hAnsi="Verdana" w:cs="Arial"/>
                <w:bCs/>
              </w:rPr>
            </w:pPr>
            <w:r w:rsidRPr="00FB1BF4">
              <w:rPr>
                <w:rFonts w:ascii="Verdana" w:hAnsi="Verdana" w:cs="Segoe UI"/>
              </w:rPr>
              <w:t>ii) Frente al segundo problema jurídico</w:t>
            </w:r>
            <w:r w:rsidRPr="00E223A1">
              <w:rPr>
                <w:rFonts w:ascii="Verdana" w:hAnsi="Verdana" w:cs="Segoe UI"/>
              </w:rPr>
              <w:t>,</w:t>
            </w:r>
            <w:r w:rsidRPr="00690ECF">
              <w:rPr>
                <w:rFonts w:ascii="Verdana" w:hAnsi="Verdana" w:cs="Segoe UI"/>
              </w:rPr>
              <w:t xml:space="preserve"> debe señalarse que, la </w:t>
            </w:r>
            <w:r w:rsidRPr="00B76301">
              <w:rPr>
                <w:rFonts w:ascii="Verdana" w:hAnsi="Verdana" w:cs="Arial"/>
                <w:bCs/>
              </w:rPr>
              <w:t>Ley 80 de 1993 otorga una autorización a las entidades estatales para que remedien o corrijan aquellos defectos o irregularidades de procedimiento o de forma que no constituyen causales de nulidad del contrato. Para estos efectos el artículo 49 del E</w:t>
            </w:r>
            <w:r w:rsidRPr="00FB1BF4">
              <w:rPr>
                <w:rFonts w:ascii="Verdana" w:hAnsi="Verdana" w:cs="Arial"/>
                <w:bCs/>
              </w:rPr>
              <w:t xml:space="preserve">statuto </w:t>
            </w:r>
            <w:r w:rsidRPr="00B76301">
              <w:rPr>
                <w:rFonts w:ascii="Verdana" w:hAnsi="Verdana" w:cs="Arial"/>
                <w:bCs/>
              </w:rPr>
              <w:t>G</w:t>
            </w:r>
            <w:r w:rsidRPr="00FB1BF4">
              <w:rPr>
                <w:rFonts w:ascii="Verdana" w:hAnsi="Verdana" w:cs="Arial"/>
                <w:bCs/>
              </w:rPr>
              <w:t xml:space="preserve">eneral de </w:t>
            </w:r>
            <w:r w:rsidRPr="00B76301">
              <w:rPr>
                <w:rFonts w:ascii="Verdana" w:hAnsi="Verdana" w:cs="Arial"/>
                <w:bCs/>
              </w:rPr>
              <w:t>C</w:t>
            </w:r>
            <w:r w:rsidRPr="00FB1BF4">
              <w:rPr>
                <w:rFonts w:ascii="Verdana" w:hAnsi="Verdana" w:cs="Arial"/>
                <w:bCs/>
              </w:rPr>
              <w:t>ontrataci</w:t>
            </w:r>
            <w:r w:rsidRPr="00E223A1">
              <w:rPr>
                <w:rFonts w:ascii="Verdana" w:hAnsi="Verdana" w:cs="Arial"/>
                <w:bCs/>
              </w:rPr>
              <w:t xml:space="preserve">ón de la </w:t>
            </w:r>
            <w:r w:rsidRPr="00B76301">
              <w:rPr>
                <w:rFonts w:ascii="Verdana" w:hAnsi="Verdana" w:cs="Arial"/>
                <w:bCs/>
              </w:rPr>
              <w:t>A</w:t>
            </w:r>
            <w:r w:rsidRPr="00FB1BF4">
              <w:rPr>
                <w:rFonts w:ascii="Verdana" w:hAnsi="Verdana" w:cs="Arial"/>
                <w:bCs/>
              </w:rPr>
              <w:t>administraci</w:t>
            </w:r>
            <w:r w:rsidRPr="00E223A1">
              <w:rPr>
                <w:rFonts w:ascii="Verdana" w:hAnsi="Verdana" w:cs="Arial"/>
                <w:bCs/>
              </w:rPr>
              <w:t xml:space="preserve">ón </w:t>
            </w:r>
            <w:r w:rsidRPr="00B76301">
              <w:rPr>
                <w:rFonts w:ascii="Verdana" w:hAnsi="Verdana" w:cs="Arial"/>
                <w:bCs/>
              </w:rPr>
              <w:t>P</w:t>
            </w:r>
            <w:r w:rsidRPr="00FB1BF4">
              <w:rPr>
                <w:rFonts w:ascii="Verdana" w:hAnsi="Verdana" w:cs="Arial"/>
                <w:bCs/>
              </w:rPr>
              <w:t xml:space="preserve">ública </w:t>
            </w:r>
            <w:r w:rsidRPr="00E223A1">
              <w:rPr>
                <w:rFonts w:ascii="Verdana" w:hAnsi="Verdana" w:cs="Arial"/>
                <w:bCs/>
              </w:rPr>
              <w:t>–</w:t>
            </w:r>
            <w:r w:rsidRPr="00690ECF">
              <w:rPr>
                <w:rFonts w:ascii="Verdana" w:hAnsi="Verdana" w:cs="Arial"/>
                <w:bCs/>
              </w:rPr>
              <w:t xml:space="preserve"> en a</w:t>
            </w:r>
            <w:r w:rsidRPr="00540236">
              <w:rPr>
                <w:rFonts w:ascii="Verdana" w:hAnsi="Verdana" w:cs="Arial"/>
                <w:bCs/>
              </w:rPr>
              <w:t xml:space="preserve">delante EGCAP </w:t>
            </w:r>
            <w:r w:rsidRPr="00B348B4">
              <w:rPr>
                <w:rFonts w:ascii="Verdana" w:hAnsi="Verdana" w:cs="Arial"/>
                <w:bCs/>
              </w:rPr>
              <w:t>–</w:t>
            </w:r>
            <w:r w:rsidRPr="00B76301">
              <w:rPr>
                <w:rFonts w:ascii="Verdana" w:hAnsi="Verdana" w:cs="Arial"/>
                <w:bCs/>
              </w:rPr>
              <w:t xml:space="preserve"> dispone que “</w:t>
            </w:r>
            <w:r w:rsidRPr="00B76301">
              <w:rPr>
                <w:rFonts w:ascii="Verdana" w:hAnsi="Verdana" w:cs="Arial"/>
                <w:lang w:val="es-ES" w:eastAsia="es-CO"/>
              </w:rPr>
              <w:t>Ante la ocurrencia de vicios que no constituyan causales de nulidad y cuando las necesidades del servicio lo exijan o las reglas de la buena administración lo aconsejen, el jefe o representante legal de la entidad, en acto motivado, podrá sanear el correspondiente vicio”.</w:t>
            </w:r>
          </w:p>
          <w:p w14:paraId="3374DD78" w14:textId="77777777" w:rsidR="00162775" w:rsidRPr="00B76301" w:rsidRDefault="00162775" w:rsidP="00B76301">
            <w:pPr>
              <w:spacing w:after="120" w:line="276" w:lineRule="auto"/>
              <w:ind w:firstLine="709"/>
              <w:jc w:val="both"/>
              <w:rPr>
                <w:rFonts w:ascii="Verdana" w:eastAsia="Aptos" w:hAnsi="Verdana" w:cs="Arial"/>
                <w:bCs/>
              </w:rPr>
            </w:pPr>
            <w:r w:rsidRPr="00B76301">
              <w:rPr>
                <w:rFonts w:ascii="Verdana" w:eastAsia="Aptos" w:hAnsi="Verdana" w:cs="Arial"/>
                <w:bCs/>
              </w:rPr>
              <w:t xml:space="preserve">De la lectura de esta norma se puede apreciar que para su aplicación se requiere el cumplimiento de los siguientes requisitos: i) el vicio a sanear tiene de que ser de procedimiento o de forma, lo que significa que no es posible sanear a través de esta figura los vicios de fondo o sustanciales del acto o contrato, lo que lleva a que,  ii) el vicio a sanear no puede corresponder a  ninguna de las causales de nulidad absoluta o relativa de los contratos estatales, iii) debe hacerse mediante acto administrativo motivado, iv) el </w:t>
            </w:r>
            <w:r w:rsidRPr="00B76301">
              <w:rPr>
                <w:rFonts w:ascii="Verdana" w:eastAsia="Aptos" w:hAnsi="Verdana" w:cs="Arial"/>
                <w:bCs/>
              </w:rPr>
              <w:lastRenderedPageBreak/>
              <w:t>funcionario competente es el jefe o representante legal de la entidad y v) el saneamiento debe ocurrir cuando las necesidades del servicio lo exijan o a las reglas de la buena administración lo aconsejen.</w:t>
            </w:r>
          </w:p>
          <w:p w14:paraId="25611AFD" w14:textId="77777777" w:rsidR="00162775" w:rsidRPr="00B76301" w:rsidRDefault="00162775" w:rsidP="00B76301">
            <w:pPr>
              <w:spacing w:line="276" w:lineRule="auto"/>
              <w:ind w:firstLine="709"/>
              <w:jc w:val="both"/>
              <w:rPr>
                <w:rFonts w:ascii="Verdana" w:eastAsia="Aptos" w:hAnsi="Verdana" w:cs="Arial"/>
                <w:bCs/>
              </w:rPr>
            </w:pPr>
            <w:r w:rsidRPr="00B76301">
              <w:rPr>
                <w:rFonts w:ascii="Verdana" w:eastAsia="Aptos" w:hAnsi="Verdana" w:cs="Arial"/>
                <w:bCs/>
              </w:rPr>
              <w:t xml:space="preserve">De esta manera, resulta necesario que las entidades estatales, dentro de su autonomía administrativa, analicen si determinada situación se trata de un vicio de procedimiento o de forma y que no constituya causal de nulidad, pues de lo contrario no resultaría aplicable el saneamiento del proceso con base en el artículo 49 de la Ley 80 de 1993. Teniendo en cuenta que son múltiples las situaciones que se pueden generar alrededor del caso expuesto en la consulta, esta Agencia no puede, </w:t>
            </w:r>
            <w:r w:rsidRPr="00B76301">
              <w:rPr>
                <w:rFonts w:ascii="Verdana" w:eastAsia="Aptos" w:hAnsi="Verdana" w:cs="Arial"/>
              </w:rPr>
              <w:t xml:space="preserve">vía concepto, establecer criterios vinculantes sobre la aplicación de esta figura u otros procedimientos. </w:t>
            </w:r>
          </w:p>
          <w:p w14:paraId="19551FF3" w14:textId="77777777" w:rsidR="00162775" w:rsidRPr="00B76301" w:rsidRDefault="00162775" w:rsidP="00B76301">
            <w:pPr>
              <w:spacing w:line="276" w:lineRule="auto"/>
              <w:jc w:val="both"/>
              <w:rPr>
                <w:rFonts w:ascii="Verdana" w:hAnsi="Verdana"/>
                <w:lang w:val="es-ES"/>
              </w:rPr>
            </w:pPr>
          </w:p>
          <w:p w14:paraId="71B75E0E" w14:textId="77777777" w:rsidR="00162775" w:rsidRPr="00B76301" w:rsidRDefault="00162775" w:rsidP="00B76301">
            <w:pPr>
              <w:spacing w:after="120" w:line="276" w:lineRule="auto"/>
              <w:jc w:val="both"/>
              <w:rPr>
                <w:rFonts w:ascii="Verdana" w:eastAsia="Aptos" w:hAnsi="Verdana" w:cs="Arial"/>
                <w:shd w:val="clear" w:color="auto" w:fill="FFFFFF"/>
              </w:rPr>
            </w:pPr>
            <w:r w:rsidRPr="00B76301">
              <w:rPr>
                <w:rFonts w:ascii="Verdana" w:hAnsi="Verdana"/>
                <w:lang w:val="es-ES"/>
              </w:rPr>
              <w:t>iii</w:t>
            </w:r>
            <w:r w:rsidRPr="00B76301">
              <w:rPr>
                <w:rFonts w:ascii="Verdana" w:hAnsi="Verdana" w:cs="Arial"/>
                <w:lang w:val="es-ES" w:eastAsia="es-ES"/>
              </w:rPr>
              <w:t xml:space="preserve">) </w:t>
            </w:r>
            <w:r w:rsidRPr="00B76301">
              <w:rPr>
                <w:rFonts w:ascii="Verdana" w:hAnsi="Verdana" w:cs="Arial"/>
                <w:lang w:eastAsia="es-ES"/>
              </w:rPr>
              <w:t>Finalmente</w:t>
            </w:r>
            <w:r w:rsidRPr="00B76301">
              <w:rPr>
                <w:rFonts w:ascii="Verdana" w:hAnsi="Verdana"/>
              </w:rPr>
              <w:t xml:space="preserve">, debe advertirse que el análisis en torno a un proceso de contratación especifico debe ser realizado por quienes tengan interés en ello.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de adoptar la decisión y, en caso de conflicto, a las autoridades judiciales, fiscales y disciplinarias. </w:t>
            </w:r>
          </w:p>
          <w:p w14:paraId="22A02271" w14:textId="77777777" w:rsidR="00162775" w:rsidRPr="00B76301" w:rsidRDefault="00162775" w:rsidP="00B76301">
            <w:pPr>
              <w:spacing w:line="276" w:lineRule="auto"/>
              <w:ind w:firstLine="709"/>
              <w:jc w:val="both"/>
              <w:rPr>
                <w:rFonts w:ascii="Verdana" w:eastAsia="Calibri" w:hAnsi="Verdana" w:cs="Times New Roman"/>
                <w:lang w:val="es-ES"/>
              </w:rPr>
            </w:pPr>
            <w:r w:rsidRPr="00B76301">
              <w:rPr>
                <w:rFonts w:ascii="Verdana" w:eastAsia="Calibri" w:hAnsi="Verdana" w:cs="Times New Roman"/>
                <w:lang w:val="es-ES"/>
              </w:rPr>
              <w:t>En ese sentido,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tc>
      </w:tr>
    </w:tbl>
    <w:p w14:paraId="26B65FD0" w14:textId="77777777" w:rsidR="00162775" w:rsidRPr="00B76301" w:rsidRDefault="00162775" w:rsidP="00162775">
      <w:pPr>
        <w:tabs>
          <w:tab w:val="left" w:pos="142"/>
          <w:tab w:val="left" w:pos="284"/>
        </w:tabs>
        <w:spacing w:after="0" w:line="276" w:lineRule="auto"/>
        <w:ind w:firstLine="709"/>
        <w:jc w:val="both"/>
        <w:rPr>
          <w:rFonts w:ascii="Verdana" w:eastAsia="Century Gothic" w:hAnsi="Verdana" w:cs="Century Gothic"/>
          <w:b/>
          <w:bCs/>
          <w:color w:val="000000" w:themeColor="text1"/>
          <w:lang w:val="es-ES"/>
        </w:rPr>
      </w:pPr>
    </w:p>
    <w:p w14:paraId="3D867DE9" w14:textId="77777777" w:rsidR="00162775" w:rsidRPr="00AB7A25" w:rsidRDefault="00162775" w:rsidP="00162775">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AB7A25">
        <w:rPr>
          <w:rFonts w:ascii="Verdana" w:eastAsia="Century Gothic" w:hAnsi="Verdana" w:cs="Century Gothic"/>
          <w:b/>
          <w:bCs/>
          <w:color w:val="000000" w:themeColor="text1"/>
        </w:rPr>
        <w:t>Razones de la respuesta:</w:t>
      </w:r>
    </w:p>
    <w:p w14:paraId="6B993B31" w14:textId="77777777" w:rsidR="00162775" w:rsidRPr="00EA1913" w:rsidRDefault="00162775" w:rsidP="00162775">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rPr>
      </w:pPr>
    </w:p>
    <w:p w14:paraId="7080C80D" w14:textId="77777777" w:rsidR="00162775" w:rsidRPr="00B76301" w:rsidRDefault="00162775" w:rsidP="00162775">
      <w:pPr>
        <w:spacing w:after="0" w:line="276" w:lineRule="auto"/>
        <w:jc w:val="both"/>
        <w:rPr>
          <w:rFonts w:ascii="Verdana" w:eastAsia="Calibri" w:hAnsi="Verdana" w:cs="Arial"/>
          <w:lang w:val="es-ES" w:eastAsia="es-ES"/>
        </w:rPr>
      </w:pPr>
      <w:r>
        <w:rPr>
          <w:rFonts w:ascii="Verdana" w:eastAsia="Calibri" w:hAnsi="Verdana" w:cs="Arial"/>
          <w:lang w:val="es-ES"/>
        </w:rPr>
        <w:t>i</w:t>
      </w:r>
      <w:r>
        <w:rPr>
          <w:rFonts w:ascii="Verdana" w:eastAsia="Calibri" w:hAnsi="Verdana" w:cs="Arial"/>
        </w:rPr>
        <w:t xml:space="preserve">) </w:t>
      </w:r>
      <w:r w:rsidRPr="00B76301">
        <w:rPr>
          <w:rFonts w:ascii="Verdana" w:eastAsia="Calibri" w:hAnsi="Verdana" w:cs="Arial"/>
        </w:rPr>
        <w:t>En primer lugar, debe advertirse que,</w:t>
      </w:r>
      <w:r w:rsidRPr="00B76301">
        <w:rPr>
          <w:rFonts w:ascii="Verdana" w:eastAsia="Calibri" w:hAnsi="Verdana" w:cs="Arial"/>
          <w:lang w:val="es-ES_tradnl" w:eastAsia="es-ES_tradnl"/>
        </w:rPr>
        <w:t xml:space="preserve"> l</w:t>
      </w:r>
      <w:r w:rsidRPr="00B76301">
        <w:rPr>
          <w:rFonts w:ascii="Verdana" w:eastAsia="Calibri" w:hAnsi="Verdana" w:cs="Arial"/>
          <w:lang w:val="es-ES_tradnl"/>
        </w:rPr>
        <w:t xml:space="preserve">a liquidación es el momento en el cual, una vez concluido el contrato estatal, las partes cruzan cuentas respecto de sus obligaciones. Por tanto, su objetivo es determinar si pueden declararse a paz y salvo mutuo o si, por el contrario, existen aún obligaciones por cumplir, para </w:t>
      </w:r>
      <w:r w:rsidRPr="00B76301">
        <w:rPr>
          <w:rFonts w:ascii="Verdana" w:eastAsia="Calibri" w:hAnsi="Verdana" w:cs="Arial"/>
          <w:lang w:val="es-ES_tradnl"/>
        </w:rPr>
        <w:lastRenderedPageBreak/>
        <w:t>acordar la forma en que deben ser cumplidas</w:t>
      </w:r>
      <w:r w:rsidRPr="00B76301">
        <w:rPr>
          <w:rFonts w:ascii="Verdana" w:eastAsia="Calibri" w:hAnsi="Verdana" w:cs="Arial"/>
          <w:vertAlign w:val="superscript"/>
          <w:lang w:val="es-ES_tradnl"/>
        </w:rPr>
        <w:footnoteReference w:id="1"/>
      </w:r>
      <w:r w:rsidRPr="00B76301">
        <w:rPr>
          <w:rFonts w:ascii="Verdana" w:eastAsia="Calibri" w:hAnsi="Verdana" w:cs="Arial"/>
          <w:lang w:val="es-ES_tradnl"/>
        </w:rPr>
        <w:t xml:space="preserve">. </w:t>
      </w:r>
      <w:r w:rsidRPr="00B76301">
        <w:rPr>
          <w:rFonts w:ascii="Verdana" w:eastAsia="Aptos" w:hAnsi="Verdana" w:cs="Arial"/>
          <w:lang w:val="es-ES_tradnl"/>
        </w:rPr>
        <w:t>En armonía con lo esto, la doctrina ha definido la liquidación de la siguiente manera:</w:t>
      </w:r>
    </w:p>
    <w:p w14:paraId="1787814D" w14:textId="77777777" w:rsidR="00162775" w:rsidRPr="00B76301" w:rsidRDefault="00162775" w:rsidP="00162775">
      <w:pPr>
        <w:spacing w:after="0" w:line="276" w:lineRule="auto"/>
        <w:jc w:val="both"/>
        <w:rPr>
          <w:rFonts w:ascii="Verdana" w:eastAsia="Aptos" w:hAnsi="Verdana" w:cs="Arial"/>
          <w:lang w:val="es-ES_tradnl"/>
        </w:rPr>
      </w:pPr>
    </w:p>
    <w:p w14:paraId="44783413" w14:textId="77777777" w:rsidR="00162775" w:rsidRPr="00E223A1" w:rsidRDefault="00162775" w:rsidP="00162775">
      <w:pPr>
        <w:spacing w:after="0" w:line="240" w:lineRule="auto"/>
        <w:ind w:left="709" w:right="709"/>
        <w:jc w:val="both"/>
        <w:rPr>
          <w:rFonts w:ascii="Verdana" w:eastAsia="Aptos" w:hAnsi="Verdana" w:cs="Arial"/>
          <w:sz w:val="20"/>
          <w:szCs w:val="20"/>
          <w:lang w:val="es-MX"/>
        </w:rPr>
      </w:pPr>
      <w:r w:rsidRPr="00E223A1">
        <w:rPr>
          <w:rFonts w:ascii="Verdana" w:eastAsia="Aptos" w:hAnsi="Verdana" w:cs="Arial"/>
          <w:sz w:val="20"/>
          <w:szCs w:val="20"/>
          <w:lang w:val="es-ES_tradnl"/>
        </w:rPr>
        <w:t>“</w:t>
      </w:r>
      <w:r w:rsidRPr="00E223A1">
        <w:rPr>
          <w:rFonts w:ascii="Verdana" w:eastAsia="Aptos" w:hAnsi="Verdana" w:cs="Arial"/>
          <w:sz w:val="20"/>
          <w:szCs w:val="20"/>
          <w:lang w:val="es-MX"/>
        </w:rPr>
        <w:t>[…] la liquidación del contrato estatal corresponde al arreglo o ajuste económico, técnico y jurídico al que se llega de forma bilateral (por las partes del negocio), unilateralmente (por la administración), por el juez o por el árbitro, según el caso, para determinar el estado</w:t>
      </w:r>
      <w:r w:rsidRPr="00B348B4">
        <w:rPr>
          <w:rFonts w:ascii="Verdana" w:eastAsia="Aptos" w:hAnsi="Verdana" w:cs="Arial"/>
          <w:sz w:val="20"/>
          <w:szCs w:val="20"/>
          <w:lang w:val="es-MX"/>
        </w:rPr>
        <w:t xml:space="preserve"> final de la relación contractual, no solo en cuanto al cumplimiento del objeto acordado y al recibo a satisfacción de los productos contratados (bienes y servicios), sino, además, para definir la situación en la que quedan los contratantes, luego de la ej</w:t>
      </w:r>
      <w:r w:rsidRPr="004B0546">
        <w:rPr>
          <w:rFonts w:ascii="Verdana" w:eastAsia="Aptos" w:hAnsi="Verdana" w:cs="Arial"/>
          <w:sz w:val="20"/>
          <w:szCs w:val="20"/>
          <w:lang w:val="es-MX"/>
        </w:rPr>
        <w:t>ecución del contrato, en el sentido de disponer cuánto se adeudan, de qué manera y en qué plazos se han de efectuar los pagos pendientes y las condiciones para el establecimiento del respectivo paz y salvo. En otras palabras, la liquidación es el acto jurí</w:t>
      </w:r>
      <w:r w:rsidRPr="00B76301">
        <w:rPr>
          <w:rFonts w:ascii="Verdana" w:eastAsia="Aptos" w:hAnsi="Verdana" w:cs="Arial"/>
          <w:sz w:val="20"/>
          <w:szCs w:val="20"/>
          <w:lang w:val="es-MX"/>
        </w:rPr>
        <w:t>dico bilateral, administrativo o judicial, en el que se plasma y formaliza la situación financiera y jurídica de las partes, al término de la relación contractual (aspecto subjetivo) y el grado de cumplimiento del objeto contratado (aspecto objetivo); de ahí que pueda hablarse, en términos amplios, de un doble contenido, que debe estar presente en toda liquidación. En efecto, el corte de cuentas realizado en ella tiene un doble alcance: (i) hacer un balance definitivo del negocio, en sus aspectos técnicos, financieros y jurídicos (aspecto objetivo o material) y ii) definir la situación jurídica de las partes, estableciendo si pueden constituirse o no a paz y salvo; lo que exige, en la práctica, que los negociantes dialoguen e intenten ponerse de acuerdo (aspecto subjetivo”)</w:t>
      </w:r>
      <w:r w:rsidRPr="00E223A1">
        <w:rPr>
          <w:rFonts w:ascii="Verdana" w:eastAsia="Aptos" w:hAnsi="Verdana" w:cs="Arial"/>
          <w:sz w:val="20"/>
          <w:szCs w:val="20"/>
          <w:vertAlign w:val="superscript"/>
          <w:lang w:val="es-MX"/>
        </w:rPr>
        <w:footnoteReference w:id="2"/>
      </w:r>
      <w:r w:rsidRPr="00E223A1">
        <w:rPr>
          <w:rFonts w:ascii="Verdana" w:eastAsia="Aptos" w:hAnsi="Verdana" w:cs="Arial"/>
          <w:sz w:val="20"/>
          <w:szCs w:val="20"/>
          <w:lang w:val="es-MX"/>
        </w:rPr>
        <w:t xml:space="preserve"> </w:t>
      </w:r>
    </w:p>
    <w:p w14:paraId="52729338" w14:textId="77777777" w:rsidR="00162775" w:rsidRPr="00B76301" w:rsidRDefault="00162775" w:rsidP="00162775">
      <w:pPr>
        <w:spacing w:after="0" w:line="276" w:lineRule="auto"/>
        <w:jc w:val="both"/>
        <w:rPr>
          <w:rFonts w:ascii="Verdana" w:eastAsia="Aptos" w:hAnsi="Verdana" w:cs="Arial"/>
          <w:lang w:val="es-MX"/>
        </w:rPr>
      </w:pPr>
    </w:p>
    <w:p w14:paraId="1086AEC7" w14:textId="77777777" w:rsidR="00162775" w:rsidRPr="00B76301" w:rsidRDefault="00162775" w:rsidP="00162775">
      <w:pPr>
        <w:spacing w:after="120" w:line="276" w:lineRule="auto"/>
        <w:ind w:firstLine="708"/>
        <w:jc w:val="both"/>
        <w:rPr>
          <w:rFonts w:ascii="Verdana" w:eastAsia="Times New Roman" w:hAnsi="Verdana" w:cs="Arial"/>
          <w:lang w:val="es-ES_tradnl" w:eastAsia="es-ES_tradnl"/>
        </w:rPr>
      </w:pPr>
      <w:r w:rsidRPr="00B76301">
        <w:rPr>
          <w:rFonts w:ascii="Verdana" w:eastAsia="Times New Roman" w:hAnsi="Verdana" w:cs="Arial"/>
          <w:lang w:val="es-ES_tradnl" w:eastAsia="es-ES_tradnl"/>
        </w:rPr>
        <w:t xml:space="preserve">En este sentido, la liquidación es el ajuste de cuentas donde las partes hacen un balance económico, técnico y jurídico del cumplimiento de las obligaciones que tienen a su cargo. Así lo manifestó el Consejo de Estado, en la sentencia del 20 de octubre de 2014, en la que consideró, por un lado, que </w:t>
      </w:r>
      <w:r w:rsidRPr="00B76301">
        <w:rPr>
          <w:rFonts w:ascii="Verdana" w:eastAsia="Times New Roman" w:hAnsi="Verdana" w:cs="Arial"/>
          <w:i/>
          <w:iCs/>
          <w:lang w:val="es-ES_tradnl" w:eastAsia="es-ES_tradnl"/>
        </w:rPr>
        <w:t>liquidar</w:t>
      </w:r>
      <w:r w:rsidRPr="00B76301">
        <w:rPr>
          <w:rFonts w:ascii="Verdana" w:eastAsia="Times New Roman" w:hAnsi="Verdana" w:cs="Arial"/>
          <w:lang w:val="es-ES_tradnl" w:eastAsia="es-ES_tradnl"/>
        </w:rPr>
        <w:t xml:space="preserve"> supone un ajuste en relación con las cuentas y el estado de cumplimiento del contrato estatal y, por el otro, que la </w:t>
      </w:r>
      <w:r w:rsidRPr="00B76301">
        <w:rPr>
          <w:rFonts w:ascii="Verdana" w:eastAsia="Times New Roman" w:hAnsi="Verdana" w:cs="Arial"/>
          <w:i/>
          <w:iCs/>
          <w:lang w:val="es-ES_tradnl" w:eastAsia="es-ES_tradnl"/>
        </w:rPr>
        <w:t>liquidación</w:t>
      </w:r>
      <w:r w:rsidRPr="00B76301">
        <w:rPr>
          <w:rFonts w:ascii="Verdana" w:eastAsia="Times New Roman" w:hAnsi="Verdana" w:cs="Arial"/>
          <w:lang w:val="es-ES_tradnl" w:eastAsia="es-ES_tradnl"/>
        </w:rPr>
        <w:t xml:space="preserve"> debe incluir el análisis de las condiciones de calidad y oportunidad en la entrega de los bienes, obras o </w:t>
      </w:r>
      <w:r w:rsidRPr="00B76301">
        <w:rPr>
          <w:rFonts w:ascii="Verdana" w:eastAsia="Times New Roman" w:hAnsi="Verdana" w:cs="Arial"/>
          <w:lang w:val="es-ES_tradnl" w:eastAsia="es-ES_tradnl"/>
        </w:rPr>
        <w:lastRenderedPageBreak/>
        <w:t>servicios, así como el balance económico y el comportamiento financiero del negocio</w:t>
      </w:r>
      <w:r w:rsidRPr="00B76301">
        <w:rPr>
          <w:rFonts w:ascii="Verdana" w:eastAsia="Times New Roman" w:hAnsi="Verdana" w:cs="Arial"/>
          <w:vertAlign w:val="superscript"/>
          <w:lang w:val="es-ES_tradnl" w:eastAsia="es-ES_tradnl"/>
        </w:rPr>
        <w:footnoteReference w:id="3"/>
      </w:r>
      <w:r w:rsidRPr="00B76301">
        <w:rPr>
          <w:rFonts w:ascii="Verdana" w:eastAsia="Times New Roman" w:hAnsi="Verdana" w:cs="Arial"/>
          <w:lang w:val="es-ES_tradnl" w:eastAsia="es-ES_tradnl"/>
        </w:rPr>
        <w:t xml:space="preserve">. </w:t>
      </w:r>
    </w:p>
    <w:p w14:paraId="19EBBD32" w14:textId="77777777" w:rsidR="00162775" w:rsidRPr="00B76301" w:rsidRDefault="00162775" w:rsidP="00162775">
      <w:pPr>
        <w:spacing w:after="120" w:line="276" w:lineRule="auto"/>
        <w:ind w:firstLine="708"/>
        <w:jc w:val="both"/>
        <w:rPr>
          <w:rFonts w:ascii="Verdana" w:eastAsia="Times New Roman" w:hAnsi="Verdana" w:cs="Arial"/>
          <w:lang w:val="es-ES_tradnl" w:eastAsia="es-ES_tradnl"/>
        </w:rPr>
      </w:pPr>
      <w:r w:rsidRPr="00B76301">
        <w:rPr>
          <w:rFonts w:ascii="Verdana" w:eastAsia="Calibri" w:hAnsi="Verdana" w:cs="Arial"/>
          <w:lang w:val="es-ES_tradnl"/>
        </w:rPr>
        <w:t xml:space="preserve">Las disposiciones legales que regulan la etapa de liquidación de los contratos estatales son el artículo 60 de la Ley 80 de 1993, modificado por el artículo 217 del Decreto 019 de 2012, y el artículo 11 de la Ley 1150 de 2007. El primero de estos artículos se refiere al alcance sustantivo de la liquidación y los contratos en que procede, mientras que el segundo contiene reglas procedimentales para su realización. </w:t>
      </w:r>
    </w:p>
    <w:p w14:paraId="03C5E3C9" w14:textId="77777777" w:rsidR="00162775" w:rsidRPr="00B76301" w:rsidRDefault="00162775" w:rsidP="00162775">
      <w:pPr>
        <w:spacing w:after="120" w:line="276" w:lineRule="auto"/>
        <w:ind w:firstLine="708"/>
        <w:jc w:val="both"/>
        <w:rPr>
          <w:rFonts w:ascii="Verdana" w:eastAsia="Calibri" w:hAnsi="Verdana" w:cs="Arial"/>
          <w:lang w:val="es-ES"/>
        </w:rPr>
      </w:pPr>
      <w:r w:rsidRPr="00B76301">
        <w:rPr>
          <w:rFonts w:ascii="Verdana" w:eastAsia="Calibri" w:hAnsi="Verdana" w:cs="Arial"/>
          <w:lang w:val="es-ES"/>
        </w:rPr>
        <w:t>De acuerdo con el artículo 60 de la Ley 80 de 1993, los contratos de tracto sucesivo, aquellos cuyo cumplimiento o ejecución se prolongue en el tiempo y los demás que lo requieran “</w:t>
      </w:r>
      <w:r w:rsidRPr="00B76301">
        <w:rPr>
          <w:rFonts w:ascii="Verdana" w:eastAsia="Calibri" w:hAnsi="Verdana" w:cs="Arial"/>
          <w:i/>
          <w:iCs/>
          <w:lang w:val="es-ES"/>
        </w:rPr>
        <w:t>serán objeto de liquidación</w:t>
      </w:r>
      <w:r w:rsidRPr="00B76301">
        <w:rPr>
          <w:rFonts w:ascii="Verdana" w:eastAsia="Calibri" w:hAnsi="Verdana" w:cs="Arial"/>
          <w:lang w:val="es-ES"/>
        </w:rPr>
        <w:t>”. El mismo artículo prescribe que no será obligatoria la liquidación en los contratos de prestación de servicios profesionales y de apoyo a la gestión. Adicionalmente, en los contratos las Entidades Estatales deben definir la oportunidad y forma de recibir el objeto contratado y, en cada caso, si un contrato requiere o no de liquidación, con arreglo a criterios tales como la naturaleza, objeto y plazo del contrato</w:t>
      </w:r>
      <w:r w:rsidRPr="00B76301">
        <w:rPr>
          <w:rFonts w:ascii="Verdana" w:eastAsia="Calibri" w:hAnsi="Verdana" w:cs="Arial"/>
          <w:vertAlign w:val="superscript"/>
          <w:lang w:val="es-ES"/>
        </w:rPr>
        <w:footnoteReference w:id="4"/>
      </w:r>
      <w:r w:rsidRPr="00B76301">
        <w:rPr>
          <w:rFonts w:ascii="Verdana" w:eastAsia="Calibri" w:hAnsi="Verdana" w:cs="Arial"/>
          <w:lang w:val="es-ES"/>
        </w:rPr>
        <w:t xml:space="preserve">, así como la probabilidad de que puedan surgir diferencias durante la ejecución del contrato; sin perjuicio de que, como se indicó, todos los contratos estatales de </w:t>
      </w:r>
      <w:r w:rsidRPr="00B76301">
        <w:rPr>
          <w:rFonts w:ascii="Verdana" w:eastAsia="Calibri" w:hAnsi="Verdana" w:cs="Arial"/>
          <w:i/>
          <w:iCs/>
          <w:lang w:val="es-ES"/>
        </w:rPr>
        <w:t>tracto sucesivo</w:t>
      </w:r>
      <w:r w:rsidRPr="00B76301">
        <w:rPr>
          <w:rFonts w:ascii="Verdana" w:eastAsia="Calibri" w:hAnsi="Verdana" w:cs="Arial"/>
          <w:lang w:val="es-ES"/>
        </w:rPr>
        <w:t xml:space="preserve"> o aquellos cuya ejecución se prolongue en el tiempo siempre deban liquidarse. </w:t>
      </w:r>
    </w:p>
    <w:p w14:paraId="59C04779" w14:textId="77777777" w:rsidR="00162775" w:rsidRPr="00B76301" w:rsidRDefault="00162775" w:rsidP="00162775">
      <w:pPr>
        <w:spacing w:after="120" w:line="276" w:lineRule="auto"/>
        <w:ind w:firstLine="708"/>
        <w:jc w:val="both"/>
        <w:rPr>
          <w:rFonts w:ascii="Verdana" w:eastAsia="Times New Roman" w:hAnsi="Verdana" w:cs="Arial"/>
          <w:lang w:val="es-ES" w:eastAsia="es-ES"/>
        </w:rPr>
      </w:pPr>
      <w:r w:rsidRPr="00B76301">
        <w:rPr>
          <w:rFonts w:ascii="Verdana" w:eastAsia="Calibri" w:hAnsi="Verdana" w:cs="Arial"/>
          <w:lang w:val="es-ES"/>
        </w:rPr>
        <w:t>Por su parte, el artículo 11 de la Ley 1150 de 2007</w:t>
      </w:r>
      <w:r w:rsidRPr="00B76301">
        <w:rPr>
          <w:rFonts w:ascii="Verdana" w:eastAsia="Calibri" w:hAnsi="Verdana" w:cs="Arial"/>
          <w:vertAlign w:val="superscript"/>
          <w:lang w:val="es-ES"/>
        </w:rPr>
        <w:footnoteReference w:id="5"/>
      </w:r>
      <w:r w:rsidRPr="00B76301">
        <w:rPr>
          <w:rFonts w:ascii="Verdana" w:eastAsia="Calibri" w:hAnsi="Verdana" w:cs="Arial"/>
          <w:lang w:val="es-ES"/>
        </w:rPr>
        <w:t xml:space="preserve"> contiene las reglas de tipo procedimental para liquidar los contratos estatales. D</w:t>
      </w:r>
      <w:r w:rsidRPr="00B76301">
        <w:rPr>
          <w:rFonts w:ascii="Verdana" w:eastAsia="Times New Roman" w:hAnsi="Verdana" w:cs="Arial"/>
          <w:lang w:val="es-ES" w:eastAsia="es-ES"/>
        </w:rPr>
        <w:t xml:space="preserve">e acuerdo con dicha </w:t>
      </w:r>
      <w:r w:rsidRPr="00B76301">
        <w:rPr>
          <w:rFonts w:ascii="Verdana" w:eastAsia="Times New Roman" w:hAnsi="Verdana" w:cs="Arial"/>
          <w:lang w:val="es-ES" w:eastAsia="es-ES"/>
        </w:rPr>
        <w:lastRenderedPageBreak/>
        <w:t>disposición, existen tres tipos de liquidación: i) bilateral, ii) unilateral y iii) judicial. En términos generales, la primera, que puede ser total o parcial, debe hacerse en el término que estipulen las partes o, en su defecto, dentro del término supletivo de cuatro (4) meses. La segunda se debe practicar dentro de los dos (2) meses siguientes al vencimiento del término que acuerden las partes, o ante el silencio de estas, luego de los cuatro (4) meses para realizar la liquidación bilateral, sin que esta se efectúe. Finalmente, la tercera la realiza el juez contencioso administrativo o un tribunal arbitral dentro de un proceso judicial de controversias contractuales y puede darse con ocasión de una demanda del interesado solicitando dicha liquidación y para ello existe un plazo máximo de dos (2) años contados a partir de los dos (2) meses establecidos en la Ley para realizar la liquidación unilateral, de conformidad con la citada sentencia de unificación del Consejo de Estado.</w:t>
      </w:r>
    </w:p>
    <w:p w14:paraId="4082C24D" w14:textId="77777777" w:rsidR="00162775" w:rsidRPr="00B76301" w:rsidRDefault="00162775" w:rsidP="00162775">
      <w:pPr>
        <w:spacing w:after="120" w:line="276" w:lineRule="auto"/>
        <w:ind w:firstLine="705"/>
        <w:jc w:val="both"/>
        <w:rPr>
          <w:rFonts w:ascii="Verdana" w:eastAsia="Times New Roman" w:hAnsi="Verdana" w:cs="Arial"/>
          <w:bCs/>
          <w:lang w:eastAsia="es-ES_tradnl"/>
        </w:rPr>
      </w:pPr>
      <w:r w:rsidRPr="00B76301">
        <w:rPr>
          <w:rFonts w:ascii="Verdana" w:eastAsia="Times New Roman" w:hAnsi="Verdana" w:cs="Arial"/>
          <w:bdr w:val="none" w:sz="0" w:space="0" w:color="auto" w:frame="1"/>
          <w:shd w:val="clear" w:color="auto" w:fill="FFFFFF"/>
          <w:lang w:eastAsia="es-ES"/>
        </w:rPr>
        <w:t>Igualmente</w:t>
      </w:r>
      <w:r w:rsidRPr="00B76301">
        <w:rPr>
          <w:rFonts w:ascii="Verdana" w:eastAsia="Times New Roman" w:hAnsi="Verdana" w:cs="Arial"/>
          <w:bCs/>
          <w:lang w:eastAsia="es-ES_tradnl"/>
        </w:rPr>
        <w:t xml:space="preserve">, el artículo 11 de la Ley 1150 de 2007 determinó que dichos plazos inician a contarse desde la terminación de la ejecución del contrato, ya sea por vencimiento de plazo, o por expedición de acto administrativo de ordenó su terminación o la fecha de acuerdo entre las partes para ello. </w:t>
      </w:r>
    </w:p>
    <w:p w14:paraId="7364D98A" w14:textId="77777777" w:rsidR="00162775" w:rsidRPr="00B76301" w:rsidRDefault="00162775" w:rsidP="00162775">
      <w:pPr>
        <w:spacing w:after="0" w:line="276" w:lineRule="auto"/>
        <w:ind w:firstLine="708"/>
        <w:jc w:val="both"/>
        <w:rPr>
          <w:rFonts w:ascii="Verdana" w:eastAsia="Times New Roman" w:hAnsi="Verdana" w:cs="Arial"/>
          <w:color w:val="000000"/>
          <w:lang w:eastAsia="es-CO"/>
        </w:rPr>
      </w:pPr>
      <w:r w:rsidRPr="00B76301">
        <w:rPr>
          <w:rFonts w:ascii="Verdana" w:eastAsia="Times New Roman" w:hAnsi="Verdana" w:cs="Arial"/>
          <w:color w:val="000000"/>
          <w:lang w:eastAsia="es-CO"/>
        </w:rPr>
        <w:t>Así las cosas, posterior a los términos referenciados en el párrafo precedente sin que se hubiese liquidado el contrato, ésta no podrá adelantarse dado que los plazos referidos son perentorios. Esto significa que con su vencimiento fenece la oportunidad de efectuarla ante la pérdida de competencia de la entidad para realizar el balance final del acuerdo de voluntades pactado. Esta Subdirección, en el Concepto 4201913000006142 de 7 de octubre de 2019, señaló que con la caducidad del medio de control de controversias contractuales las entidades pierden la competencia para liquidar el contrato, ya que el fenómeno procesal constituía la preclusión de la oportunidad para reclamar las sumas de dinero adeudadas por las partes. Asimismo, la doctrina señala que:</w:t>
      </w:r>
    </w:p>
    <w:p w14:paraId="7EFA6D9A" w14:textId="77777777" w:rsidR="00162775" w:rsidRPr="00B76301" w:rsidRDefault="00162775" w:rsidP="00162775">
      <w:pPr>
        <w:spacing w:after="0" w:line="276" w:lineRule="auto"/>
        <w:jc w:val="both"/>
        <w:rPr>
          <w:rFonts w:ascii="Verdana" w:eastAsia="Times New Roman" w:hAnsi="Verdana" w:cs="Arial"/>
          <w:color w:val="000000"/>
          <w:lang w:eastAsia="es-CO"/>
        </w:rPr>
      </w:pPr>
    </w:p>
    <w:p w14:paraId="684BB17E" w14:textId="77777777" w:rsidR="00162775" w:rsidRPr="005D5C11" w:rsidRDefault="00162775" w:rsidP="00162775">
      <w:pPr>
        <w:spacing w:after="0" w:line="240" w:lineRule="auto"/>
        <w:ind w:left="709" w:right="709"/>
        <w:jc w:val="both"/>
        <w:rPr>
          <w:rFonts w:ascii="Verdana" w:eastAsia="Times New Roman" w:hAnsi="Verdana" w:cs="Arial"/>
          <w:color w:val="000000"/>
          <w:sz w:val="20"/>
          <w:szCs w:val="20"/>
          <w:lang w:eastAsia="es-CO"/>
        </w:rPr>
      </w:pPr>
      <w:r w:rsidRPr="005D5C11">
        <w:rPr>
          <w:rFonts w:ascii="Verdana" w:eastAsia="Times New Roman" w:hAnsi="Verdana" w:cs="Arial"/>
          <w:color w:val="000000"/>
          <w:sz w:val="20"/>
          <w:szCs w:val="20"/>
          <w:lang w:eastAsia="es-CO"/>
        </w:rPr>
        <w:t xml:space="preserve">“Suele argüirse, en la práctica, que es factible efectuar la liquidación del contrato, así haya operado la caducidad de la acción, con base en </w:t>
      </w:r>
      <w:r w:rsidRPr="00B348B4">
        <w:rPr>
          <w:rFonts w:ascii="Verdana" w:eastAsia="Times New Roman" w:hAnsi="Verdana" w:cs="Arial"/>
          <w:color w:val="000000"/>
          <w:sz w:val="20"/>
          <w:szCs w:val="20"/>
          <w:lang w:eastAsia="es-CO"/>
        </w:rPr>
        <w:t>la existencia de una obligación natural, que fundamentaría pagarle al contratista lo que se le debe. Sin embargo, se trata de una posición equivocada, pues si bien el artículo 1527 del Código Civil establece que las obligaciones naturales son ‘las que no c</w:t>
      </w:r>
      <w:r w:rsidRPr="004B0546">
        <w:rPr>
          <w:rFonts w:ascii="Verdana" w:eastAsia="Times New Roman" w:hAnsi="Verdana" w:cs="Arial"/>
          <w:color w:val="000000"/>
          <w:sz w:val="20"/>
          <w:szCs w:val="20"/>
          <w:lang w:eastAsia="es-CO"/>
        </w:rPr>
        <w:t>onfieren derecho para exigir su cumplimiento, pero que cumplidas autorizan para retener lo que se ha dado o pagado, en razón de ellas’, los servidores públicos no puede reconocer acreencias inexigibles, sino cuentan con la competencia expresa para hacerlo,</w:t>
      </w:r>
      <w:r w:rsidRPr="00B76301">
        <w:rPr>
          <w:rFonts w:ascii="Verdana" w:eastAsia="Times New Roman" w:hAnsi="Verdana" w:cs="Arial"/>
          <w:color w:val="000000"/>
          <w:sz w:val="20"/>
          <w:szCs w:val="20"/>
          <w:lang w:eastAsia="es-CO"/>
        </w:rPr>
        <w:t xml:space="preserve"> pues estaría desbordando el marco de sus atribuciones constitucionales, legales y reglamentarias. Además, del concepto mismo de obligación natural no se deduce la consagración de la competencia para liquidar el contrato estatal, luego de expirado el término de caducidad del medio de control de controversias contractuales”</w:t>
      </w:r>
      <w:r w:rsidRPr="005D5C11">
        <w:rPr>
          <w:rFonts w:ascii="Verdana" w:eastAsia="Times New Roman" w:hAnsi="Verdana" w:cs="Arial"/>
          <w:color w:val="000000"/>
          <w:sz w:val="20"/>
          <w:szCs w:val="20"/>
          <w:vertAlign w:val="superscript"/>
          <w:lang w:eastAsia="es-CO"/>
        </w:rPr>
        <w:footnoteReference w:id="6"/>
      </w:r>
      <w:r w:rsidRPr="005D5C11">
        <w:rPr>
          <w:rFonts w:ascii="Verdana" w:eastAsia="Times New Roman" w:hAnsi="Verdana" w:cs="Arial"/>
          <w:color w:val="000000"/>
          <w:sz w:val="20"/>
          <w:szCs w:val="20"/>
          <w:lang w:eastAsia="es-CO"/>
        </w:rPr>
        <w:t xml:space="preserve">.   </w:t>
      </w:r>
    </w:p>
    <w:p w14:paraId="3AE5150D" w14:textId="77777777" w:rsidR="00162775" w:rsidRPr="00B76301" w:rsidRDefault="00162775" w:rsidP="00162775">
      <w:pPr>
        <w:tabs>
          <w:tab w:val="left" w:pos="709"/>
        </w:tabs>
        <w:spacing w:after="0" w:line="276" w:lineRule="auto"/>
        <w:jc w:val="both"/>
        <w:rPr>
          <w:rFonts w:ascii="Verdana" w:eastAsia="Times New Roman" w:hAnsi="Verdana" w:cs="Arial"/>
          <w:color w:val="000000"/>
          <w:bdr w:val="none" w:sz="0" w:space="0" w:color="auto" w:frame="1"/>
          <w:shd w:val="clear" w:color="auto" w:fill="FFFFFF"/>
          <w:lang w:eastAsia="es-ES_tradnl"/>
        </w:rPr>
      </w:pPr>
    </w:p>
    <w:p w14:paraId="01656B3E" w14:textId="77777777" w:rsidR="00162775" w:rsidRPr="00AB7A25" w:rsidRDefault="00162775" w:rsidP="00162775">
      <w:pPr>
        <w:tabs>
          <w:tab w:val="left" w:pos="709"/>
        </w:tabs>
        <w:spacing w:after="120" w:line="276" w:lineRule="auto"/>
        <w:jc w:val="both"/>
        <w:rPr>
          <w:rFonts w:ascii="Verdana" w:eastAsia="Calibri" w:hAnsi="Verdana" w:cs="Arial"/>
          <w:color w:val="000000"/>
          <w:lang w:val="es-ES" w:eastAsia="es-ES"/>
        </w:rPr>
      </w:pPr>
      <w:r w:rsidRPr="00B76301">
        <w:rPr>
          <w:rFonts w:ascii="Verdana" w:eastAsia="Calibri" w:hAnsi="Verdana" w:cs="Arial"/>
          <w:color w:val="000000"/>
          <w:lang w:val="es-ES" w:eastAsia="es-ES"/>
        </w:rPr>
        <w:tab/>
        <w:t xml:space="preserve">En consecuencia, dentro de los límites previstos en el literal j) del artículo 164.2 de la Ley 1437 de 2011, es posible liquidar bilateral o unilateralmente siempre que no haya caducado medio de control de controversias contractuales. Lo anterior, aunque haya pasado el término previsto en los documentos del proceso o el supletivo de cuatro (4) meses –tratándose de la liquidación bilateral–, así como el plazo de dos (2) meses –tratándose de la liquidación unilateral–. Cualquier liquidación efectuada después de la caducidad del medio de control implica la pérdida de competencia temporal, por lo que está viciada de nulidad. </w:t>
      </w:r>
    </w:p>
    <w:p w14:paraId="2ACFE2FF" w14:textId="310FAF70" w:rsidR="00162775" w:rsidRPr="00B76301" w:rsidRDefault="00162775" w:rsidP="00162775">
      <w:pPr>
        <w:widowControl w:val="0"/>
        <w:autoSpaceDE w:val="0"/>
        <w:autoSpaceDN w:val="0"/>
        <w:spacing w:after="120" w:line="276" w:lineRule="auto"/>
        <w:ind w:right="108" w:firstLine="709"/>
        <w:jc w:val="both"/>
        <w:rPr>
          <w:rFonts w:ascii="Verdana" w:hAnsi="Verdana"/>
        </w:rPr>
      </w:pPr>
      <w:r w:rsidRPr="00B76301">
        <w:rPr>
          <w:rFonts w:ascii="Verdana" w:eastAsia="Times New Roman" w:hAnsi="Verdana" w:cs="Arial"/>
          <w:color w:val="000000"/>
          <w:bdr w:val="none" w:sz="0" w:space="0" w:color="auto" w:frame="1"/>
          <w:shd w:val="clear" w:color="auto" w:fill="FFFFFF"/>
          <w:lang w:val="es-ES" w:eastAsia="es-ES_tradnl"/>
        </w:rPr>
        <w:t xml:space="preserve">Ahora bien, respecto de la naturaleza jurídica de la liquidación bilateral, </w:t>
      </w:r>
      <w:r w:rsidRPr="00B76301">
        <w:rPr>
          <w:rFonts w:ascii="Verdana" w:eastAsia="Arial" w:hAnsi="Verdana" w:cs="Arial"/>
          <w:lang w:val="es-MX" w:eastAsia="es-ES" w:bidi="es-ES"/>
        </w:rPr>
        <w:t>esta Agencia ha señalado que</w:t>
      </w:r>
      <w:r w:rsidRPr="00B76301">
        <w:rPr>
          <w:rFonts w:ascii="Verdana" w:eastAsia="Arial" w:hAnsi="Verdana" w:cs="Arial"/>
          <w:lang w:val="es-ES" w:eastAsia="es-ES" w:bidi="es-ES"/>
        </w:rPr>
        <w:t xml:space="preserve"> se trata de un negocio jurídico, en el que las partes del contrato estatal, en ejercicio de la autonomía de la voluntad, regulan la finalización de su relación y disponen de los intereses que emanan de ella</w:t>
      </w:r>
      <w:r w:rsidRPr="00B76301">
        <w:rPr>
          <w:rFonts w:ascii="Verdana" w:eastAsia="Arial" w:hAnsi="Verdana" w:cs="Arial"/>
          <w:vertAlign w:val="superscript"/>
          <w:lang w:val="es-ES" w:eastAsia="es-ES" w:bidi="es-ES"/>
        </w:rPr>
        <w:footnoteReference w:id="7"/>
      </w:r>
      <w:r w:rsidRPr="00B76301">
        <w:rPr>
          <w:rFonts w:ascii="Verdana" w:eastAsia="Arial" w:hAnsi="Verdana" w:cs="Arial"/>
          <w:lang w:val="es-ES" w:eastAsia="es-ES" w:bidi="es-ES"/>
        </w:rPr>
        <w:t>.</w:t>
      </w:r>
      <w:r w:rsidRPr="00B76301">
        <w:rPr>
          <w:rFonts w:ascii="Verdana" w:hAnsi="Verdana"/>
        </w:rPr>
        <w:t xml:space="preserve"> </w:t>
      </w:r>
      <w:r w:rsidRPr="00B76301">
        <w:rPr>
          <w:rFonts w:ascii="Verdana" w:eastAsia="Arial" w:hAnsi="Verdana" w:cs="Arial"/>
          <w:lang w:eastAsia="es-ES" w:bidi="es-ES"/>
        </w:rPr>
        <w:t xml:space="preserve">Dicho acuerdo reviste un carácter negocial, en la medida en que implica manifestaciones recíprocas dirigidas a producir efectos jurídicos concretos frente a las prestaciones mutuas de la relación contractual. </w:t>
      </w:r>
    </w:p>
    <w:p w14:paraId="04441055" w14:textId="77777777" w:rsidR="00162775" w:rsidRPr="00B76301" w:rsidRDefault="00162775" w:rsidP="00162775">
      <w:pPr>
        <w:widowControl w:val="0"/>
        <w:autoSpaceDE w:val="0"/>
        <w:autoSpaceDN w:val="0"/>
        <w:spacing w:after="120" w:line="276" w:lineRule="auto"/>
        <w:ind w:right="108" w:firstLine="709"/>
        <w:jc w:val="both"/>
        <w:rPr>
          <w:rFonts w:ascii="Verdana" w:hAnsi="Verdana"/>
        </w:rPr>
      </w:pPr>
      <w:r w:rsidRPr="00B76301">
        <w:rPr>
          <w:rFonts w:ascii="Verdana" w:eastAsia="Arial" w:hAnsi="Verdana" w:cs="Arial"/>
          <w:lang w:eastAsia="es-ES" w:bidi="es-ES"/>
        </w:rPr>
        <w:t xml:space="preserve">Sobre el particular el Consejo de Estado ha manifestado de manera reiterada que “Cuando dicha liquidación se lleva a cabo de manera bilateral, configura </w:t>
      </w:r>
      <w:r w:rsidRPr="00B76301">
        <w:rPr>
          <w:rFonts w:ascii="Verdana" w:eastAsia="Arial" w:hAnsi="Verdana" w:cs="Arial"/>
          <w:i/>
          <w:iCs/>
          <w:lang w:eastAsia="es-ES" w:bidi="es-ES"/>
        </w:rPr>
        <w:t>un negocio jurídico</w:t>
      </w:r>
      <w:r w:rsidRPr="00B76301">
        <w:rPr>
          <w:rFonts w:ascii="Verdana" w:eastAsia="Arial" w:hAnsi="Verdana" w:cs="Arial"/>
          <w:lang w:eastAsia="es-ES" w:bidi="es-ES"/>
        </w:rPr>
        <w:t xml:space="preserve"> que surge de la manifestación de voluntad de las </w:t>
      </w:r>
      <w:r w:rsidRPr="00B76301">
        <w:rPr>
          <w:rFonts w:ascii="Verdana" w:eastAsia="Arial" w:hAnsi="Verdana" w:cs="Arial"/>
          <w:lang w:eastAsia="es-ES" w:bidi="es-ES"/>
        </w:rPr>
        <w:lastRenderedPageBreak/>
        <w:t>partes, quienes al suscribir la respectiva acta consienten en que ese corte de cuentas corresponde a la realidad de la ejecución contractual y, por ello, se pueden declarar a paz y salvo una vez satisfechas las obligaciones que se deriven directamente de ese trabajo conjunto de liquidación</w:t>
      </w:r>
      <w:r w:rsidRPr="0084648A">
        <w:rPr>
          <w:rFonts w:ascii="Verdana" w:eastAsia="Arial" w:hAnsi="Verdana" w:cs="Arial"/>
          <w:lang w:eastAsia="es-ES" w:bidi="es-ES"/>
        </w:rPr>
        <w:t>”</w:t>
      </w:r>
      <w:r w:rsidRPr="00B76301">
        <w:rPr>
          <w:rFonts w:ascii="Verdana" w:eastAsia="Arial" w:hAnsi="Verdana" w:cs="Arial"/>
          <w:vertAlign w:val="superscript"/>
          <w:lang w:eastAsia="es-ES" w:bidi="es-ES"/>
        </w:rPr>
        <w:footnoteReference w:id="8"/>
      </w:r>
      <w:r w:rsidRPr="00B76301">
        <w:rPr>
          <w:rFonts w:ascii="Verdana" w:eastAsia="Arial" w:hAnsi="Verdana" w:cs="Arial"/>
          <w:lang w:eastAsia="es-ES" w:bidi="es-ES"/>
        </w:rPr>
        <w:t xml:space="preserve">. </w:t>
      </w:r>
      <w:r w:rsidRPr="00B76301">
        <w:rPr>
          <w:rFonts w:ascii="Verdana" w:eastAsia="Arial" w:hAnsi="Verdana" w:cs="Arial"/>
          <w:lang w:val="es-ES" w:eastAsia="es-ES" w:bidi="es-ES"/>
        </w:rPr>
        <w:t xml:space="preserve"> </w:t>
      </w:r>
    </w:p>
    <w:p w14:paraId="423334A1" w14:textId="77777777" w:rsidR="00162775" w:rsidRPr="00B76301" w:rsidRDefault="00162775" w:rsidP="00162775">
      <w:pPr>
        <w:widowControl w:val="0"/>
        <w:autoSpaceDE w:val="0"/>
        <w:autoSpaceDN w:val="0"/>
        <w:spacing w:after="120" w:line="276" w:lineRule="auto"/>
        <w:ind w:right="105" w:firstLine="709"/>
        <w:jc w:val="both"/>
        <w:rPr>
          <w:rFonts w:ascii="Verdana" w:eastAsia="Times New Roman" w:hAnsi="Verdana" w:cs="Arial"/>
          <w:color w:val="000000"/>
          <w:bdr w:val="none" w:sz="0" w:space="0" w:color="auto" w:frame="1"/>
          <w:shd w:val="clear" w:color="auto" w:fill="FFFFFF"/>
          <w:lang w:val="es-ES" w:eastAsia="es-ES_tradnl"/>
        </w:rPr>
      </w:pPr>
      <w:r w:rsidRPr="00B76301">
        <w:rPr>
          <w:rFonts w:ascii="Verdana" w:eastAsia="Arial" w:hAnsi="Verdana" w:cs="Arial"/>
          <w:lang w:val="es-ES" w:eastAsia="es-ES" w:bidi="es-ES"/>
        </w:rPr>
        <w:t xml:space="preserve">Aunado a lo anterior, la liquidación bilateral tiene efectos de título ejecutivo, transaccionales, puesto que las declaraciones y expresiones incorporadas en la correspondiente acta son reconocidas y protegidas por el ordenamiento jurídico, siempre y cuando no sean contrarias a la Constitución Política, la ley, el orden público, la moral y las buenas costumbres, y los principios y finalidades del </w:t>
      </w:r>
      <w:r w:rsidRPr="0084648A">
        <w:rPr>
          <w:rFonts w:ascii="Verdana" w:eastAsia="Arial" w:hAnsi="Verdana" w:cs="Arial"/>
          <w:lang w:val="es-ES" w:eastAsia="es-ES" w:bidi="es-ES"/>
        </w:rPr>
        <w:t>EGCAP</w:t>
      </w:r>
      <w:r w:rsidRPr="00B76301">
        <w:rPr>
          <w:rFonts w:ascii="Verdana" w:eastAsia="Arial" w:hAnsi="Verdana" w:cs="Arial"/>
          <w:lang w:val="es-ES" w:eastAsia="es-ES" w:bidi="es-ES"/>
        </w:rPr>
        <w:t xml:space="preserve"> y de la buena administración.</w:t>
      </w:r>
      <w:r w:rsidRPr="00B76301">
        <w:rPr>
          <w:rFonts w:ascii="Verdana" w:eastAsia="Times New Roman" w:hAnsi="Verdana" w:cs="Arial"/>
          <w:color w:val="000000"/>
          <w:bdr w:val="none" w:sz="0" w:space="0" w:color="auto" w:frame="1"/>
          <w:shd w:val="clear" w:color="auto" w:fill="FFFFFF"/>
          <w:lang w:val="es-ES" w:eastAsia="es-ES_tradnl"/>
        </w:rPr>
        <w:t xml:space="preserve"> </w:t>
      </w:r>
      <w:r w:rsidRPr="00B76301">
        <w:rPr>
          <w:rFonts w:ascii="Verdana" w:eastAsia="Arial" w:hAnsi="Verdana" w:cs="Arial"/>
          <w:lang w:val="es-ES" w:eastAsia="es-ES" w:bidi="es-ES"/>
        </w:rPr>
        <w:t xml:space="preserve">En ese sentido, </w:t>
      </w:r>
      <w:bookmarkStart w:id="1" w:name="_Hlk82568853"/>
      <w:r w:rsidRPr="00B76301">
        <w:rPr>
          <w:rFonts w:ascii="Verdana" w:eastAsia="Arial" w:hAnsi="Verdana" w:cs="Arial"/>
          <w:lang w:val="es-ES" w:eastAsia="es-ES" w:bidi="es-ES"/>
        </w:rPr>
        <w:t>la liquidación bilateral puede considerarse como una forma alternativa de resolver los conflictos o controversias que surjan a partir de la determinación de las prestaciones comunes a que las partes contractuales puedan o no tener derecho luego de haberse ejecutado el contrato, esto es, como una manera de evitar futuros litigios frente a los mismos asuntos</w:t>
      </w:r>
      <w:bookmarkEnd w:id="1"/>
      <w:r w:rsidRPr="00B76301">
        <w:rPr>
          <w:rFonts w:ascii="Verdana" w:hAnsi="Verdana" w:cs="Arial"/>
          <w:color w:val="201F1E"/>
          <w:bdr w:val="none" w:sz="0" w:space="0" w:color="auto" w:frame="1"/>
          <w:vertAlign w:val="superscript"/>
          <w:lang w:val="es-ES" w:eastAsia="es-CO" w:bidi="es-ES"/>
        </w:rPr>
        <w:footnoteReference w:id="9"/>
      </w:r>
      <w:r w:rsidRPr="00B76301">
        <w:rPr>
          <w:rFonts w:ascii="Verdana" w:eastAsia="Arial" w:hAnsi="Verdana" w:cs="Arial"/>
          <w:lang w:val="es-ES" w:eastAsia="es-ES" w:bidi="es-ES"/>
        </w:rPr>
        <w:t>.</w:t>
      </w:r>
    </w:p>
    <w:p w14:paraId="4176D8F8" w14:textId="77777777" w:rsidR="00162775" w:rsidRPr="00B76301" w:rsidRDefault="00162775" w:rsidP="00162775">
      <w:pPr>
        <w:widowControl w:val="0"/>
        <w:autoSpaceDE w:val="0"/>
        <w:autoSpaceDN w:val="0"/>
        <w:spacing w:after="120" w:line="276" w:lineRule="auto"/>
        <w:ind w:right="105" w:firstLine="709"/>
        <w:jc w:val="both"/>
        <w:rPr>
          <w:rFonts w:ascii="Verdana" w:eastAsia="Arial" w:hAnsi="Verdana" w:cs="Arial"/>
          <w:lang w:eastAsia="es-ES" w:bidi="es-ES"/>
        </w:rPr>
      </w:pPr>
      <w:r w:rsidRPr="00B76301">
        <w:rPr>
          <w:rFonts w:ascii="Verdana" w:eastAsia="Arial" w:hAnsi="Verdana" w:cs="Arial"/>
          <w:lang w:eastAsia="es-ES" w:bidi="es-ES"/>
        </w:rPr>
        <w:t>En este contexto, dada la naturaleza de la liquidación bilateral, esta reviste carácter obligatorio y tiene efectos vinculantes para las partes contratantes, en tanto constituye una manifestación de la autonomía de la voluntad que determina la extinción de las obligaciones derivadas del vínculo contractual o el reconocimiento de derechos en favor de las partes. Esta obligatoriedad impide a las partes desconocer lo acordado y constituye a la liquidación bilateral en un mecanismo eficaz para prevenir o resolver controversias derivadas del vínculo contractual.</w:t>
      </w:r>
    </w:p>
    <w:p w14:paraId="076E8767" w14:textId="77777777" w:rsidR="00162775" w:rsidRPr="00B76301" w:rsidRDefault="00162775" w:rsidP="00162775">
      <w:pPr>
        <w:widowControl w:val="0"/>
        <w:autoSpaceDE w:val="0"/>
        <w:autoSpaceDN w:val="0"/>
        <w:spacing w:after="120" w:line="276" w:lineRule="auto"/>
        <w:ind w:right="108" w:firstLine="709"/>
        <w:jc w:val="both"/>
        <w:rPr>
          <w:rFonts w:ascii="Verdana" w:eastAsia="Arial" w:hAnsi="Verdana" w:cs="Arial"/>
          <w:lang w:eastAsia="es-ES" w:bidi="es-ES"/>
        </w:rPr>
      </w:pPr>
      <w:r w:rsidRPr="00B76301">
        <w:rPr>
          <w:rFonts w:ascii="Verdana" w:eastAsia="Arial" w:hAnsi="Verdana" w:cs="Arial"/>
          <w:lang w:eastAsia="es-ES" w:bidi="es-ES"/>
        </w:rPr>
        <w:t xml:space="preserve">Sobre su carácter vinculante y obligatorio el Consejo de Estado ha </w:t>
      </w:r>
      <w:r w:rsidRPr="00B76301">
        <w:rPr>
          <w:rFonts w:ascii="Verdana" w:eastAsia="Arial" w:hAnsi="Verdana" w:cs="Arial"/>
          <w:lang w:eastAsia="es-ES" w:bidi="es-ES"/>
        </w:rPr>
        <w:lastRenderedPageBreak/>
        <w:t>manifestado que “la fuerza jurídica vinculante del acta de liquidación bilateral proviene de la naturaleza transaccional del acuerdo de voluntades que contiene, por esa precisa razón no es posible desatender el contenido obligacional incorporado, pues su finalidad según el artículo 60 de la Ley 80 de 1993 está encaminada a que las partes puedan “declararse a paz y salvo</w:t>
      </w:r>
      <w:r w:rsidRPr="00B76301">
        <w:rPr>
          <w:rFonts w:ascii="Verdana" w:eastAsia="Arial" w:hAnsi="Verdana" w:cs="Arial"/>
          <w:vertAlign w:val="superscript"/>
          <w:lang w:eastAsia="es-ES" w:bidi="es-ES"/>
        </w:rPr>
        <w:footnoteReference w:id="10"/>
      </w:r>
      <w:r w:rsidRPr="00B76301">
        <w:rPr>
          <w:rFonts w:ascii="Verdana" w:eastAsia="Arial" w:hAnsi="Verdana" w:cs="Arial"/>
          <w:lang w:eastAsia="es-ES" w:bidi="es-ES"/>
        </w:rPr>
        <w:t>”.  Por ello, ha mantenido la postura según la cual, por regla general, resulta improcedente elevar pretensiones originadas en el contrato que fue debidamente liquidado en forma bilateral por las partes, puesto que ello implicaría ir en contra de los propios actos y de una previa manifestación de voluntad efectuada por personas capaces de disponer de sus derechos, que quedó plasmada en el acta de liquidación cuando fue suscrita por la entidad contratante y el contratista</w:t>
      </w:r>
      <w:r w:rsidRPr="00B76301">
        <w:rPr>
          <w:rFonts w:ascii="Verdana" w:eastAsia="Arial" w:hAnsi="Verdana" w:cs="Arial"/>
          <w:vertAlign w:val="superscript"/>
          <w:lang w:eastAsia="es-ES" w:bidi="es-ES"/>
        </w:rPr>
        <w:footnoteReference w:id="11"/>
      </w:r>
      <w:r w:rsidRPr="00B76301">
        <w:rPr>
          <w:rFonts w:ascii="Verdana" w:eastAsia="Arial" w:hAnsi="Verdana" w:cs="Arial"/>
          <w:lang w:eastAsia="es-ES" w:bidi="es-ES"/>
        </w:rPr>
        <w:t>.</w:t>
      </w:r>
    </w:p>
    <w:p w14:paraId="364D1DB6" w14:textId="77777777" w:rsidR="00162775" w:rsidRPr="00B76301" w:rsidRDefault="00162775" w:rsidP="00162775">
      <w:pPr>
        <w:widowControl w:val="0"/>
        <w:autoSpaceDE w:val="0"/>
        <w:autoSpaceDN w:val="0"/>
        <w:spacing w:after="120" w:line="276" w:lineRule="auto"/>
        <w:ind w:right="108" w:firstLine="709"/>
        <w:jc w:val="both"/>
        <w:rPr>
          <w:rFonts w:ascii="Verdana" w:eastAsia="Arial" w:hAnsi="Verdana" w:cs="Arial"/>
          <w:lang w:val="es-ES" w:eastAsia="es-ES" w:bidi="es-ES"/>
        </w:rPr>
      </w:pPr>
      <w:r w:rsidRPr="00B76301">
        <w:rPr>
          <w:rFonts w:ascii="Verdana" w:eastAsia="Arial" w:hAnsi="Verdana" w:cs="Arial"/>
          <w:lang w:eastAsia="es-ES" w:bidi="es-ES"/>
        </w:rPr>
        <w:t xml:space="preserve">En este </w:t>
      </w:r>
      <w:r w:rsidRPr="0084648A">
        <w:rPr>
          <w:rFonts w:ascii="Verdana" w:eastAsia="Arial" w:hAnsi="Verdana" w:cs="Arial"/>
          <w:lang w:eastAsia="es-ES" w:bidi="es-ES"/>
        </w:rPr>
        <w:t xml:space="preserve">mismo </w:t>
      </w:r>
      <w:r w:rsidRPr="00B76301">
        <w:rPr>
          <w:rFonts w:ascii="Verdana" w:eastAsia="Arial" w:hAnsi="Verdana" w:cs="Arial"/>
          <w:lang w:eastAsia="es-ES" w:bidi="es-ES"/>
        </w:rPr>
        <w:t xml:space="preserve">sentido, ateniendo al carácter vinculante y obligatorio del acta de liquidación, no es procedente desconocer posteriormente su contenido y acudir a las autoridades judiciales para dirimir puntos que no fueron objeto de salvedades o hayan sido expresamente consignadas en el acta. En efecto, </w:t>
      </w:r>
      <w:r w:rsidRPr="00B76301">
        <w:rPr>
          <w:rFonts w:ascii="Verdana" w:eastAsia="Arial" w:hAnsi="Verdana" w:cs="Arial"/>
          <w:lang w:val="es-ES" w:eastAsia="es-ES" w:bidi="es-ES"/>
        </w:rPr>
        <w:t>es derecho del contratista realizar las salvedades u objeciones que considere, sin afectar los acuerdos logrados en otros aspectos. Estos acuerdos deben quedar consignados en el acta bilateral, documento que sirve de base para evaluar el estado final del contrato, y de ser necesario reclamar por obligaciones pendientes y en consecuencia de ello, las entidades deben estipular en ellas las reclamaciones o salvedades de orden económico y técnico que el contratista formulen frente al balance técnico, jurídico y económico del contrato.</w:t>
      </w:r>
    </w:p>
    <w:p w14:paraId="477997CC" w14:textId="77777777" w:rsidR="00162775" w:rsidRPr="00B76301" w:rsidRDefault="00162775" w:rsidP="00162775">
      <w:pPr>
        <w:widowControl w:val="0"/>
        <w:autoSpaceDE w:val="0"/>
        <w:autoSpaceDN w:val="0"/>
        <w:spacing w:after="120" w:line="276" w:lineRule="auto"/>
        <w:ind w:right="108" w:firstLine="709"/>
        <w:jc w:val="both"/>
        <w:rPr>
          <w:rFonts w:ascii="Verdana" w:eastAsia="Arial" w:hAnsi="Verdana" w:cs="Arial"/>
          <w:lang w:eastAsia="es-ES" w:bidi="es-ES"/>
        </w:rPr>
      </w:pPr>
      <w:r w:rsidRPr="00B76301">
        <w:rPr>
          <w:rFonts w:ascii="Verdana" w:eastAsia="Arial" w:hAnsi="Verdana" w:cs="Arial"/>
          <w:lang w:eastAsia="es-ES" w:bidi="es-ES"/>
        </w:rPr>
        <w:t>Al respecto, la jurisprudencia del Consejo de Estado ha sido enfática al señalar que “</w:t>
      </w:r>
      <w:r w:rsidRPr="00B76301">
        <w:rPr>
          <w:rFonts w:ascii="Verdana" w:eastAsia="Arial" w:hAnsi="Verdana" w:cs="Arial"/>
          <w:i/>
          <w:lang w:eastAsia="es-ES" w:bidi="es-ES"/>
        </w:rPr>
        <w:t>una vez suscrita la liquidación bilateral del contrato solo se podrían interponer las acciones judiciales correspondientes para obtener el reconocimiento o pago de obligaciones pendientes en relación con las cuales se hubieren dejado salvedades o constancias en el acta, en el sentido de que las partes no lograron un acuerdo, exigencia que rige tanto para el Estado como para el contratista</w:t>
      </w:r>
      <w:r w:rsidRPr="00B76301">
        <w:rPr>
          <w:rFonts w:ascii="Verdana" w:eastAsia="Arial" w:hAnsi="Verdana" w:cs="Arial"/>
          <w:i/>
          <w:iCs/>
          <w:lang w:eastAsia="es-ES" w:bidi="es-ES"/>
        </w:rPr>
        <w:t>”</w:t>
      </w:r>
      <w:r w:rsidRPr="00B76301">
        <w:rPr>
          <w:rFonts w:ascii="Verdana" w:eastAsia="Arial" w:hAnsi="Verdana" w:cs="Arial"/>
          <w:vertAlign w:val="superscript"/>
          <w:lang w:eastAsia="es-ES" w:bidi="es-ES"/>
        </w:rPr>
        <w:footnoteReference w:id="12"/>
      </w:r>
      <w:r w:rsidRPr="00B76301">
        <w:rPr>
          <w:rFonts w:ascii="Verdana" w:eastAsia="Arial" w:hAnsi="Verdana" w:cs="Arial"/>
          <w:lang w:eastAsia="es-ES" w:bidi="es-ES"/>
        </w:rPr>
        <w:t xml:space="preserve">. Además, también se podría acudir a la jurisdicción cuando </w:t>
      </w:r>
      <w:r w:rsidRPr="00B76301">
        <w:rPr>
          <w:rFonts w:ascii="Verdana" w:eastAsia="Arial" w:hAnsi="Verdana" w:cs="Arial"/>
          <w:lang w:eastAsia="es-ES" w:bidi="es-ES"/>
        </w:rPr>
        <w:lastRenderedPageBreak/>
        <w:t>se ataca la validez misma del negocio jurídico contenido en el acta de liquidación bilateral, alegando la existencia de un vicio del consentimiento -error, fuerza o dolo-</w:t>
      </w:r>
      <w:r w:rsidRPr="00B76301">
        <w:rPr>
          <w:rFonts w:ascii="Verdana" w:eastAsia="Arial" w:hAnsi="Verdana" w:cs="Arial"/>
          <w:vertAlign w:val="superscript"/>
          <w:lang w:eastAsia="es-ES" w:bidi="es-ES"/>
        </w:rPr>
        <w:footnoteReference w:id="13"/>
      </w:r>
    </w:p>
    <w:p w14:paraId="1EC14E4B" w14:textId="77777777" w:rsidR="00162775" w:rsidRPr="00B76301" w:rsidRDefault="00162775" w:rsidP="00162775">
      <w:pPr>
        <w:widowControl w:val="0"/>
        <w:autoSpaceDE w:val="0"/>
        <w:autoSpaceDN w:val="0"/>
        <w:spacing w:after="120" w:line="276" w:lineRule="auto"/>
        <w:ind w:right="108" w:firstLine="709"/>
        <w:jc w:val="both"/>
        <w:rPr>
          <w:rFonts w:ascii="Verdana" w:eastAsia="Arial" w:hAnsi="Verdana" w:cs="Arial"/>
          <w:lang w:eastAsia="es-ES" w:bidi="es-ES"/>
        </w:rPr>
      </w:pPr>
      <w:r w:rsidRPr="00B76301">
        <w:rPr>
          <w:rFonts w:ascii="Verdana" w:eastAsia="Arial" w:hAnsi="Verdana" w:cs="Arial"/>
          <w:lang w:val="es-ES" w:eastAsia="es-ES" w:bidi="es-ES"/>
        </w:rPr>
        <w:t xml:space="preserve">De esta forma, solo hay dos situaciones en las cuales resulta viable acudir a las autoridades judiciales para debatir el contenido del acta de liquidación bilateral: i) cuando se invoque la existencia de algún vicio del consentimiento – error, fuerza o dolo, y ii) cuando se hayan dejado salvedades en el acta de liquidación, y </w:t>
      </w:r>
      <w:r w:rsidRPr="00B76301">
        <w:rPr>
          <w:rFonts w:ascii="Verdana" w:eastAsia="Arial" w:hAnsi="Verdana" w:cs="Arial"/>
          <w:lang w:val="es-ES_tradnl" w:eastAsia="es-ES" w:bidi="es-ES"/>
        </w:rPr>
        <w:t xml:space="preserve">se reserva el derecho de acudir ante el juez para reclamar sobre aquello que precisamente sea motivo de inconformidad. </w:t>
      </w:r>
    </w:p>
    <w:p w14:paraId="78E55D46" w14:textId="77777777" w:rsidR="00162775" w:rsidRPr="00B76301" w:rsidRDefault="00162775" w:rsidP="00162775">
      <w:pPr>
        <w:widowControl w:val="0"/>
        <w:autoSpaceDE w:val="0"/>
        <w:autoSpaceDN w:val="0"/>
        <w:spacing w:after="120" w:line="276" w:lineRule="auto"/>
        <w:ind w:right="105" w:firstLine="709"/>
        <w:jc w:val="both"/>
        <w:rPr>
          <w:rFonts w:ascii="Verdana" w:eastAsia="Arial" w:hAnsi="Verdana" w:cs="Arial"/>
          <w:lang w:eastAsia="es-ES" w:bidi="es-ES"/>
        </w:rPr>
      </w:pPr>
      <w:r w:rsidRPr="00B76301">
        <w:rPr>
          <w:rFonts w:ascii="Verdana" w:eastAsia="Arial" w:hAnsi="Verdana" w:cs="Arial"/>
          <w:lang w:val="es-ES" w:eastAsia="es-ES" w:bidi="es-ES"/>
        </w:rPr>
        <w:t xml:space="preserve">Bajo estas consideraciones, se tiene que </w:t>
      </w:r>
      <w:r w:rsidRPr="00B76301">
        <w:rPr>
          <w:rFonts w:ascii="Verdana" w:eastAsia="Arial" w:hAnsi="Verdana" w:cs="Arial"/>
          <w:lang w:eastAsia="es-ES" w:bidi="es-ES"/>
        </w:rPr>
        <w:t xml:space="preserve">la liquidación bilateral debe agotarse dentro del marco temporal previsto para ello, conforme se explicó en la parte inicial del presente concepto. En esta etapa, y en ejercicio pleno de la autonomía de la voluntad, las partes deben incorporar todos los acuerdos, salvedades, conciliaciones o transacciones a los que hubieren llegado, con el fin de resolver cualquier diferencia surgida durante la ejecución del contrato y declarar formalmente su finiquito. En consecuencia, en la liquidación bilateral las partes deberían expresar cualquier inconformidad relacionada con las prestaciones contractuales, y todo lo dispuesto en ella surtirá plenos efectos jurídicos y obligará a ambas partes. </w:t>
      </w:r>
    </w:p>
    <w:p w14:paraId="123831F4" w14:textId="77777777" w:rsidR="00162775" w:rsidRPr="00B76301" w:rsidRDefault="00162775" w:rsidP="00162775">
      <w:pPr>
        <w:widowControl w:val="0"/>
        <w:autoSpaceDE w:val="0"/>
        <w:autoSpaceDN w:val="0"/>
        <w:spacing w:after="120" w:line="276" w:lineRule="auto"/>
        <w:ind w:right="105" w:firstLine="709"/>
        <w:jc w:val="both"/>
        <w:rPr>
          <w:rFonts w:ascii="Verdana" w:eastAsia="Arial" w:hAnsi="Verdana" w:cs="Arial"/>
          <w:lang w:eastAsia="es-ES" w:bidi="es-ES"/>
        </w:rPr>
      </w:pPr>
      <w:r w:rsidRPr="00B76301">
        <w:rPr>
          <w:rFonts w:ascii="Verdana" w:eastAsia="Arial" w:hAnsi="Verdana" w:cs="Arial"/>
          <w:lang w:eastAsia="es-ES" w:bidi="es-ES"/>
        </w:rPr>
        <w:t>Así las cosas, si al momento de suscribir la liquidación no se dejan consignadas salvedades expresas, se entenderá que las partes han llegado a un acuerdo integral sobre la finalización del contrato y sus efectos, quedando imposibilitadas para reclamar posteriormente por vía jurisdiccional sobre aspectos que fueron objeto de dicho acuerdo o que no fueron oportunamente controvertidos. Esta interpretación, como se indicó, ha sido reiterada por la jurisprudencia del Consejo de Estado, la cual ha sostenido que la ausencia de manifestaciones de inconformidad en el acta de liquidación impide a las partes, por regla general, acudir posteriormente a la jurisdicción para reclamar derechos u obligaciones que no quedaron consignados en el acta.</w:t>
      </w:r>
    </w:p>
    <w:p w14:paraId="10E12A4C" w14:textId="77777777" w:rsidR="00162775" w:rsidRPr="00B76301" w:rsidRDefault="00162775" w:rsidP="00162775">
      <w:pPr>
        <w:widowControl w:val="0"/>
        <w:autoSpaceDE w:val="0"/>
        <w:autoSpaceDN w:val="0"/>
        <w:spacing w:after="120" w:line="276" w:lineRule="auto"/>
        <w:ind w:right="105" w:firstLine="709"/>
        <w:jc w:val="both"/>
        <w:rPr>
          <w:rFonts w:ascii="Verdana" w:eastAsia="Arial" w:hAnsi="Verdana" w:cs="Arial"/>
          <w:lang w:eastAsia="es-ES" w:bidi="es-ES"/>
        </w:rPr>
      </w:pPr>
      <w:r w:rsidRPr="00B76301">
        <w:rPr>
          <w:rFonts w:ascii="Verdana" w:eastAsia="Arial" w:hAnsi="Verdana" w:cs="Arial"/>
          <w:lang w:eastAsia="es-ES" w:bidi="es-ES"/>
        </w:rPr>
        <w:t xml:space="preserve">Por consiguiente, debido a la naturaleza y al carácter vinculante del acta liquidación bilateral, no se considera procedente realizar modificaciones posteriores que alteren los acuerdos inicialmente suscritos por las partes. </w:t>
      </w:r>
      <w:r w:rsidRPr="00B76301">
        <w:rPr>
          <w:rFonts w:ascii="Verdana" w:eastAsia="Arial" w:hAnsi="Verdana" w:cs="Arial"/>
          <w:lang w:eastAsia="es-ES" w:bidi="es-ES"/>
        </w:rPr>
        <w:lastRenderedPageBreak/>
        <w:t xml:space="preserve">Precisamente, la fuerza obligatoria de este instrumento radica en que representa una manifestación libre y consciente de la voluntad de las partes, dirigida a dar por terminado el contrato y a resolver las diferencias surgidas durante su ejecución. En ese sentido, se entiende definitiva y solo admite impugnación en los casos señalados, como la existencia de vicios del consentimiento o cuando se hayan dejado salvedades expresas en el mismo documento. </w:t>
      </w:r>
    </w:p>
    <w:p w14:paraId="2920521E" w14:textId="77777777" w:rsidR="00162775" w:rsidRPr="00B76301" w:rsidRDefault="00162775" w:rsidP="00162775">
      <w:pPr>
        <w:widowControl w:val="0"/>
        <w:autoSpaceDE w:val="0"/>
        <w:autoSpaceDN w:val="0"/>
        <w:spacing w:after="120" w:line="276" w:lineRule="auto"/>
        <w:ind w:right="105" w:firstLine="709"/>
        <w:jc w:val="both"/>
        <w:rPr>
          <w:rFonts w:ascii="Verdana" w:eastAsia="Arial" w:hAnsi="Verdana" w:cs="Arial"/>
          <w:lang w:eastAsia="es-ES" w:bidi="es-ES"/>
        </w:rPr>
      </w:pPr>
      <w:r w:rsidRPr="00B76301">
        <w:rPr>
          <w:rFonts w:ascii="Verdana" w:eastAsia="Arial" w:hAnsi="Verdana" w:cs="Arial"/>
          <w:lang w:eastAsia="es-ES" w:bidi="es-ES"/>
        </w:rPr>
        <w:t xml:space="preserve">Sin perjuicio de lo anterior, pueden presentarse situaciones en las que las partes consideren necesario aclarar ciertos aspectos del contenido del acta. Sin embargo, tales aclaraciones deben limitarse estrictamente a precisar el alcance de lo ya acordado y en ningún caso pueden implicar una modificación sustancial de la liquidación, ni revivir la etapa ya cerrada. De esta forma, cualquier aclaración debe realizarse de mutuo acuerdo, respetando los límites de su contenido.  </w:t>
      </w:r>
    </w:p>
    <w:p w14:paraId="57FB1EB1" w14:textId="77777777" w:rsidR="00162775" w:rsidRPr="00B76301" w:rsidRDefault="00162775" w:rsidP="00162775">
      <w:pPr>
        <w:spacing w:after="120" w:line="276" w:lineRule="auto"/>
        <w:ind w:firstLine="709"/>
        <w:jc w:val="both"/>
        <w:rPr>
          <w:rFonts w:ascii="Verdana" w:hAnsi="Verdana" w:cs="Segoe UI"/>
        </w:rPr>
      </w:pPr>
      <w:r w:rsidRPr="0084648A">
        <w:rPr>
          <w:rFonts w:ascii="Verdana" w:eastAsia="Calibri" w:hAnsi="Verdana" w:cs="Arial"/>
          <w:color w:val="000000"/>
          <w:lang w:eastAsia="es-ES"/>
        </w:rPr>
        <w:t>Conforme a lo expuesto</w:t>
      </w:r>
      <w:r w:rsidRPr="00FE4C03">
        <w:rPr>
          <w:rFonts w:ascii="Verdana" w:eastAsia="Calibri" w:hAnsi="Verdana" w:cs="Arial"/>
          <w:color w:val="000000"/>
          <w:lang w:eastAsia="es-ES"/>
        </w:rPr>
        <w:t xml:space="preserve"> </w:t>
      </w:r>
      <w:r w:rsidRPr="00B76301">
        <w:rPr>
          <w:rFonts w:ascii="Verdana" w:hAnsi="Verdana" w:cs="Segoe UI"/>
        </w:rPr>
        <w:t xml:space="preserve">sobre la naturaleza y efectos de la liquidación bilateral, </w:t>
      </w:r>
      <w:r w:rsidRPr="0084648A">
        <w:rPr>
          <w:rFonts w:ascii="Verdana" w:hAnsi="Verdana" w:cs="Segoe UI"/>
        </w:rPr>
        <w:t>frente a</w:t>
      </w:r>
      <w:r w:rsidRPr="00FE4C03">
        <w:rPr>
          <w:rFonts w:ascii="Verdana" w:hAnsi="Verdana" w:cs="Segoe UI"/>
        </w:rPr>
        <w:t>l prim</w:t>
      </w:r>
      <w:r w:rsidRPr="004E2F47">
        <w:rPr>
          <w:rFonts w:ascii="Verdana" w:hAnsi="Verdana" w:cs="Segoe UI"/>
        </w:rPr>
        <w:t xml:space="preserve">er problema </w:t>
      </w:r>
      <w:r w:rsidRPr="00B348B4">
        <w:rPr>
          <w:rFonts w:ascii="Verdana" w:hAnsi="Verdana" w:cs="Segoe UI"/>
        </w:rPr>
        <w:t xml:space="preserve">jurídico </w:t>
      </w:r>
      <w:r w:rsidRPr="00B76301">
        <w:rPr>
          <w:rFonts w:ascii="Verdana" w:hAnsi="Verdana" w:cs="Segoe UI"/>
        </w:rPr>
        <w:t xml:space="preserve">es posible concluir que </w:t>
      </w:r>
      <w:r w:rsidRPr="00B76301">
        <w:rPr>
          <w:rStyle w:val="Fuerte"/>
          <w:rFonts w:ascii="Verdana" w:hAnsi="Verdana" w:cs="Segoe UI"/>
          <w:b w:val="0"/>
          <w:bCs w:val="0"/>
        </w:rPr>
        <w:t xml:space="preserve">no resulta jurídicamente procedente modificar el acta de liquidación para reducir el saldo reconocido al contratista con el fin de hacerla coincidir con un error de digitación ocurrido en un trámite de pago </w:t>
      </w:r>
      <w:r>
        <w:rPr>
          <w:rStyle w:val="Fuerte"/>
          <w:rFonts w:ascii="Verdana" w:hAnsi="Verdana" w:cs="Segoe UI"/>
          <w:b w:val="0"/>
          <w:bCs w:val="0"/>
        </w:rPr>
        <w:t>pos</w:t>
      </w:r>
      <w:r w:rsidRPr="00B76301">
        <w:rPr>
          <w:rStyle w:val="Fuerte"/>
          <w:rFonts w:ascii="Verdana" w:hAnsi="Verdana" w:cs="Segoe UI"/>
          <w:b w:val="0"/>
          <w:bCs w:val="0"/>
        </w:rPr>
        <w:t>terior</w:t>
      </w:r>
      <w:r w:rsidRPr="00B76301">
        <w:rPr>
          <w:rFonts w:ascii="Verdana" w:hAnsi="Verdana" w:cs="Segoe UI"/>
        </w:rPr>
        <w:t>.</w:t>
      </w:r>
      <w:r>
        <w:rPr>
          <w:rFonts w:ascii="Verdana" w:hAnsi="Verdana" w:cs="Segoe UI"/>
        </w:rPr>
        <w:t xml:space="preserve"> Lo anterior, teniendo en cuenta que </w:t>
      </w:r>
      <w:r w:rsidRPr="00B76301">
        <w:rPr>
          <w:rFonts w:ascii="Verdana" w:hAnsi="Verdana" w:cs="Segoe UI"/>
        </w:rPr>
        <w:t xml:space="preserve">la fuerza obligatoria del acta impide que cualquiera de las partes desconozca unilateralmente su contenido o modifique posteriormente los acuerdos alcanzados, pues ello implicaría desconocer una manifestación válida de voluntad plasmada en un negocio jurídico perfeccionado. </w:t>
      </w:r>
    </w:p>
    <w:p w14:paraId="57D54551" w14:textId="77777777" w:rsidR="00162775" w:rsidRPr="00B76301" w:rsidRDefault="00162775" w:rsidP="00162775">
      <w:pPr>
        <w:pStyle w:val="NormalWeb"/>
        <w:spacing w:before="0" w:beforeAutospacing="0" w:after="120" w:afterAutospacing="0" w:line="276" w:lineRule="auto"/>
        <w:ind w:firstLine="709"/>
        <w:jc w:val="both"/>
        <w:rPr>
          <w:rFonts w:ascii="Verdana" w:hAnsi="Verdana" w:cs="Segoe UI"/>
          <w:sz w:val="22"/>
          <w:szCs w:val="22"/>
        </w:rPr>
      </w:pPr>
      <w:r w:rsidRPr="00B76301">
        <w:rPr>
          <w:rFonts w:ascii="Verdana" w:hAnsi="Verdana" w:cs="Segoe UI"/>
          <w:sz w:val="22"/>
          <w:szCs w:val="22"/>
        </w:rPr>
        <w:t xml:space="preserve">Bajo estas consideraciones, un error de digitación o matemático contenido en un formato </w:t>
      </w:r>
      <w:r>
        <w:rPr>
          <w:rFonts w:ascii="Verdana" w:hAnsi="Verdana" w:cs="Segoe UI"/>
          <w:sz w:val="22"/>
          <w:szCs w:val="22"/>
        </w:rPr>
        <w:t>para</w:t>
      </w:r>
      <w:r w:rsidRPr="00B76301">
        <w:rPr>
          <w:rFonts w:ascii="Verdana" w:hAnsi="Verdana" w:cs="Segoe UI"/>
          <w:sz w:val="22"/>
          <w:szCs w:val="22"/>
        </w:rPr>
        <w:t xml:space="preserve"> </w:t>
      </w:r>
      <w:r>
        <w:rPr>
          <w:rFonts w:ascii="Verdana" w:hAnsi="Verdana" w:cs="Segoe UI"/>
          <w:sz w:val="22"/>
          <w:szCs w:val="22"/>
        </w:rPr>
        <w:t xml:space="preserve">el </w:t>
      </w:r>
      <w:r w:rsidRPr="00B76301">
        <w:rPr>
          <w:rFonts w:ascii="Verdana" w:hAnsi="Verdana" w:cs="Segoe UI"/>
          <w:sz w:val="22"/>
          <w:szCs w:val="22"/>
        </w:rPr>
        <w:t xml:space="preserve">pago </w:t>
      </w:r>
      <w:r>
        <w:rPr>
          <w:rFonts w:ascii="Verdana" w:hAnsi="Verdana" w:cs="Segoe UI"/>
          <w:sz w:val="22"/>
          <w:szCs w:val="22"/>
        </w:rPr>
        <w:t>acordado en el acta de liquidación bilateral</w:t>
      </w:r>
      <w:r w:rsidRPr="00B76301">
        <w:rPr>
          <w:rFonts w:ascii="Verdana" w:hAnsi="Verdana" w:cs="Segoe UI"/>
          <w:sz w:val="22"/>
          <w:szCs w:val="22"/>
        </w:rPr>
        <w:t xml:space="preserve"> no tiene, por sí mismo, la entidad suficiente para desvirtuar el contenido del </w:t>
      </w:r>
      <w:r>
        <w:rPr>
          <w:rFonts w:ascii="Verdana" w:hAnsi="Verdana" w:cs="Segoe UI"/>
          <w:sz w:val="22"/>
          <w:szCs w:val="22"/>
        </w:rPr>
        <w:t>misma</w:t>
      </w:r>
      <w:r w:rsidRPr="00B76301">
        <w:rPr>
          <w:rFonts w:ascii="Verdana" w:hAnsi="Verdana" w:cs="Segoe UI"/>
          <w:sz w:val="22"/>
          <w:szCs w:val="22"/>
        </w:rPr>
        <w:t>. Para que pudiera predicarse la existencia de un vicio del consentimiento sería necesario demostrar que dicho error afectó de manera sustancial la formación de la voluntad de las partes al momento de suscribir la liquidación, circunstancia que no se configura automáticamente por la existencia de una inconsistencia administrativa o contable previa. Por el contrario, si las partes revisaron y firmaron el acta sin formular observaciones o salvedades respecto del saldo allí reconocido, debe entenderse que aceptaron ese balance final como expresión definitiva de sus derechos y obligaciones.</w:t>
      </w:r>
    </w:p>
    <w:p w14:paraId="2BD1062D" w14:textId="77777777" w:rsidR="00162775" w:rsidRPr="00B76301" w:rsidRDefault="00162775" w:rsidP="00162775">
      <w:pPr>
        <w:pStyle w:val="NormalWeb"/>
        <w:spacing w:before="0" w:beforeAutospacing="0" w:after="120" w:afterAutospacing="0" w:line="276" w:lineRule="auto"/>
        <w:ind w:firstLine="709"/>
        <w:jc w:val="both"/>
        <w:rPr>
          <w:rFonts w:ascii="Verdana" w:hAnsi="Verdana" w:cs="Segoe UI"/>
          <w:sz w:val="22"/>
          <w:szCs w:val="22"/>
        </w:rPr>
      </w:pPr>
      <w:r w:rsidRPr="00B76301">
        <w:rPr>
          <w:rFonts w:ascii="Verdana" w:hAnsi="Verdana" w:cs="Segoe UI"/>
          <w:sz w:val="22"/>
          <w:szCs w:val="22"/>
        </w:rPr>
        <w:lastRenderedPageBreak/>
        <w:t>En ese orden de ideas, si el acta de liquidación reconoció un saldo a favor del contratista y fue suscrita sin reservas ni cuestionamientos, dicho reconocimiento conserva plena validez jurídica y no puede ser alterado posteriormente mediante una modificación destinada a adecuar el contenido del acta a un error ocurrido en una actuación administrativa anterior. Cualquier actuación posterior debe respetar la integridad del negocio jurídico de liquidación y limitarse, en caso de ser necesario, a efectuar aclaraciones que precisen el alcance de lo acordado, sin modificar sustancialmente los derechos y obligaciones definidos por las partes.</w:t>
      </w:r>
    </w:p>
    <w:p w14:paraId="0CE6A658" w14:textId="77777777" w:rsidR="00162775" w:rsidRPr="00B76301" w:rsidRDefault="00162775" w:rsidP="00162775">
      <w:pPr>
        <w:pStyle w:val="NormalWeb"/>
        <w:spacing w:before="0" w:beforeAutospacing="0" w:after="120" w:afterAutospacing="0" w:line="276" w:lineRule="auto"/>
        <w:ind w:firstLine="709"/>
        <w:jc w:val="both"/>
        <w:rPr>
          <w:rFonts w:ascii="Verdana" w:hAnsi="Verdana" w:cs="Segoe UI"/>
          <w:sz w:val="22"/>
          <w:szCs w:val="22"/>
        </w:rPr>
      </w:pPr>
      <w:r w:rsidRPr="00B76301">
        <w:rPr>
          <w:rFonts w:ascii="Verdana" w:hAnsi="Verdana" w:cs="Segoe UI"/>
          <w:sz w:val="22"/>
          <w:szCs w:val="22"/>
        </w:rPr>
        <w:t xml:space="preserve">Por tanto, atendiendo a la naturaleza negocial, vinculante y definitiva de la liquidación bilateral, la entidad no se encuentra facultada para modificar el acta con el propósito de disminuir el valor del saldo reconocido y ajustarlo a un error de digitación ocurrido en el trámite de pago, salvo que exista acuerdo de ambas partes dentro de los límites legales o una decisión judicial que afecte la validez del negocio jurídico contenido en el acta de liquidación. </w:t>
      </w:r>
    </w:p>
    <w:p w14:paraId="07884814" w14:textId="77777777" w:rsidR="00162775" w:rsidRPr="00B76301" w:rsidRDefault="00162775" w:rsidP="00162775">
      <w:pPr>
        <w:pStyle w:val="NormalWeb"/>
        <w:spacing w:before="0" w:beforeAutospacing="0" w:after="120" w:afterAutospacing="0" w:line="276" w:lineRule="auto"/>
        <w:ind w:firstLine="709"/>
        <w:jc w:val="both"/>
        <w:rPr>
          <w:rFonts w:ascii="Verdana" w:hAnsi="Verdana" w:cs="Segoe UI"/>
          <w:sz w:val="22"/>
          <w:szCs w:val="22"/>
        </w:rPr>
      </w:pPr>
      <w:r w:rsidRPr="00B76301">
        <w:rPr>
          <w:rFonts w:ascii="Verdana" w:hAnsi="Verdana" w:cs="Segoe UI"/>
          <w:sz w:val="22"/>
          <w:szCs w:val="22"/>
        </w:rPr>
        <w:t>Adicionalmente, es importante diferenciar entre el término previsto por el ordenamiento jurídico para llevar a cabo la liquidación del contrato y el término aplicable para reclamar judicialmente los saldos reconocidos en el acta de liquidación bilateral. Se trata de figuras jurídicas distintas que producen efectos diferentes.</w:t>
      </w:r>
      <w:r>
        <w:rPr>
          <w:rFonts w:ascii="Verdana" w:hAnsi="Verdana" w:cs="Segoe UI"/>
          <w:sz w:val="22"/>
          <w:szCs w:val="22"/>
        </w:rPr>
        <w:t xml:space="preserve"> </w:t>
      </w:r>
      <w:r w:rsidRPr="00B76301">
        <w:rPr>
          <w:rFonts w:ascii="Verdana" w:hAnsi="Verdana" w:cs="Segoe UI"/>
          <w:sz w:val="22"/>
          <w:szCs w:val="22"/>
        </w:rPr>
        <w:t>En efecto, una vez terminado el contrato, la liquidación debe adelantarse dentro de los plazos</w:t>
      </w:r>
      <w:r>
        <w:rPr>
          <w:rFonts w:ascii="Verdana" w:hAnsi="Verdana" w:cs="Segoe UI"/>
          <w:sz w:val="22"/>
          <w:szCs w:val="22"/>
        </w:rPr>
        <w:t xml:space="preserve"> consensualmente o</w:t>
      </w:r>
      <w:r w:rsidRPr="00B76301">
        <w:rPr>
          <w:rFonts w:ascii="Verdana" w:hAnsi="Verdana" w:cs="Segoe UI"/>
          <w:sz w:val="22"/>
          <w:szCs w:val="22"/>
        </w:rPr>
        <w:t xml:space="preserve"> legalmente establecidos, dependiendo de si esta se realiza de mutuo acuerdo, unilateralmente por la entidad o mediante decisión judicial</w:t>
      </w:r>
      <w:r>
        <w:rPr>
          <w:rFonts w:ascii="Verdana" w:hAnsi="Verdana" w:cs="Segoe UI"/>
          <w:sz w:val="22"/>
          <w:szCs w:val="22"/>
        </w:rPr>
        <w:t>, tal y como se explicó en el presente concepto</w:t>
      </w:r>
      <w:r w:rsidRPr="00B76301">
        <w:rPr>
          <w:rFonts w:ascii="Verdana" w:hAnsi="Verdana" w:cs="Segoe UI"/>
          <w:sz w:val="22"/>
          <w:szCs w:val="22"/>
        </w:rPr>
        <w:t>. Sin embargo, agotada y suscrita la liquidación bilateral, la discusión ya no se centra en el término para liquidar el contrato, sino en la exigibilidad de las obligaciones que fueron reconocidas en esa acta.</w:t>
      </w:r>
    </w:p>
    <w:p w14:paraId="1241CD08" w14:textId="77777777" w:rsidR="00162775" w:rsidRPr="00B76301" w:rsidRDefault="00162775" w:rsidP="00162775">
      <w:pPr>
        <w:pStyle w:val="NormalWeb"/>
        <w:spacing w:before="0" w:beforeAutospacing="0" w:after="120" w:afterAutospacing="0" w:line="276" w:lineRule="auto"/>
        <w:ind w:firstLine="709"/>
        <w:jc w:val="both"/>
        <w:rPr>
          <w:rFonts w:ascii="Verdana" w:hAnsi="Verdana" w:cs="Segoe UI"/>
          <w:sz w:val="22"/>
          <w:szCs w:val="22"/>
        </w:rPr>
      </w:pPr>
      <w:r w:rsidRPr="00B76301">
        <w:rPr>
          <w:rFonts w:ascii="Verdana" w:hAnsi="Verdana" w:cs="Segoe UI"/>
          <w:sz w:val="22"/>
          <w:szCs w:val="22"/>
        </w:rPr>
        <w:t>Lo anterior obedece a que la liquidación bilateral constituye un negocio jurídico con fuerza vinculante y, además, puede prestar mérito ejecutivo respecto de las obligaciones claras, expresas y exigibles allí contenidas. Por ello, cuando en el acta se reconoce un saldo a favor de alguna de las partes, la reclamación de dicho crédito no se tramita a través de una controversia orientada a obtener una nueva liquidación del contrato, sino mediante las acciones judiciales correspondientes para exigir el cumplimiento de la obligación reconocida.</w:t>
      </w:r>
    </w:p>
    <w:p w14:paraId="0163745E" w14:textId="77777777" w:rsidR="00162775" w:rsidRPr="00B76301" w:rsidRDefault="00162775" w:rsidP="00162775">
      <w:pPr>
        <w:pStyle w:val="NormalWeb"/>
        <w:spacing w:before="0" w:beforeAutospacing="0" w:after="120" w:afterAutospacing="0" w:line="276" w:lineRule="auto"/>
        <w:ind w:firstLine="709"/>
        <w:jc w:val="both"/>
        <w:rPr>
          <w:rFonts w:ascii="Verdana" w:hAnsi="Verdana" w:cs="Segoe UI"/>
          <w:sz w:val="22"/>
          <w:szCs w:val="22"/>
        </w:rPr>
      </w:pPr>
      <w:r w:rsidRPr="00B76301">
        <w:rPr>
          <w:rFonts w:ascii="Verdana" w:hAnsi="Verdana" w:cs="Segoe UI"/>
          <w:sz w:val="22"/>
          <w:szCs w:val="22"/>
        </w:rPr>
        <w:lastRenderedPageBreak/>
        <w:t>En consecuencia, el vencimiento del término previsto para controvertir judicialmente la liquidación contractual no implica, por sí solo, la desaparición de las obligaciones expresamente consignadas en el acta de liquidación bilateral. Una cosa es la posibilidad de discutir o cuestionar judicialmente la validez o el contenido de la liquidación, y otra distinta es la exigibilidad de las obligaciones que quedaron reconocidas en ella. Precisamente por su condición de título ejecutivo, los saldos claros, expresos y exigibles incorporados en el acta pueden dar lugar al ejercicio de la acción ejecutiva correspondiente, dentro de los términos de prescripción aplicables a dicha acción.</w:t>
      </w:r>
    </w:p>
    <w:p w14:paraId="5F73E010" w14:textId="77777777" w:rsidR="00162775" w:rsidRPr="00B76301" w:rsidRDefault="00162775" w:rsidP="00162775">
      <w:pPr>
        <w:pStyle w:val="NormalWeb"/>
        <w:spacing w:before="0" w:beforeAutospacing="0" w:after="120" w:afterAutospacing="0" w:line="276" w:lineRule="auto"/>
        <w:ind w:firstLine="709"/>
        <w:jc w:val="both"/>
        <w:rPr>
          <w:rFonts w:ascii="Verdana" w:hAnsi="Verdana" w:cs="Segoe UI"/>
          <w:sz w:val="22"/>
          <w:szCs w:val="22"/>
        </w:rPr>
      </w:pPr>
      <w:r w:rsidRPr="00B76301">
        <w:rPr>
          <w:rFonts w:ascii="Verdana" w:hAnsi="Verdana" w:cs="Segoe UI"/>
          <w:sz w:val="22"/>
          <w:szCs w:val="22"/>
        </w:rPr>
        <w:t xml:space="preserve">Por lo tanto, para determinar si un saldo reconocido en el acta puede o no ser pagado con posterioridad a su suscripción, no resulta suficiente analizar las reglas relativas a la oportunidad para liquidar el contrato o a la caducidad del medio de control contractual, sino que es necesario examinar el régimen jurídico aplicable a la exigibilidad y eventual prescripción de la obligación incorporada en el acta de liquidación bilateral, documento que conserva su fuerza vinculante mientras no haya sido anulado, modificado válidamente o declarada la extinción de las obligaciones en él contenidas. En tal sentido, el simple transcurso de más de dos </w:t>
      </w:r>
      <w:r>
        <w:rPr>
          <w:rFonts w:ascii="Verdana" w:hAnsi="Verdana" w:cs="Segoe UI"/>
          <w:sz w:val="22"/>
          <w:szCs w:val="22"/>
        </w:rPr>
        <w:t xml:space="preserve">(2) </w:t>
      </w:r>
      <w:r w:rsidRPr="00B76301">
        <w:rPr>
          <w:rFonts w:ascii="Verdana" w:hAnsi="Verdana" w:cs="Segoe UI"/>
          <w:sz w:val="22"/>
          <w:szCs w:val="22"/>
        </w:rPr>
        <w:t>años desde la firma del acta no constituye, por sí mismo, una razón que habilite a la entidad para desconocer o modificar unilateralmente el saldo reconocido en ese negocio jurídico.</w:t>
      </w:r>
    </w:p>
    <w:p w14:paraId="7B679C34" w14:textId="77777777" w:rsidR="00162775" w:rsidRPr="00B76301" w:rsidRDefault="00162775" w:rsidP="00162775">
      <w:pPr>
        <w:spacing w:after="120" w:line="276" w:lineRule="auto"/>
        <w:ind w:firstLine="709"/>
        <w:jc w:val="both"/>
        <w:rPr>
          <w:rFonts w:ascii="Verdana" w:eastAsia="Times New Roman" w:hAnsi="Verdana" w:cs="Segoe UI"/>
          <w:lang w:eastAsia="es-ES_tradnl"/>
        </w:rPr>
      </w:pPr>
      <w:r w:rsidRPr="00B76301">
        <w:rPr>
          <w:rFonts w:ascii="Verdana" w:hAnsi="Verdana" w:cs="Segoe UI"/>
        </w:rPr>
        <w:t xml:space="preserve">Respecto de los saldos que eventualmente permanezcan pendientes de pago pese a haber sido reconocidos en el acta de liquidación bilateral, es importante precisar que su tratamiento no corresponde al ámbito de la liquidación contractual propiamente dicha, pues esta etapa ya se encuentra agotada con la suscripción del acta. En consecuencia, la gestión de tales saldos deberá sujetarse a los procedimientos financieros, presupuestales y contables adoptados por la entidad, así como a las normas que regulan la administración y depuración de obligaciones y pasivos a su cargo. En ese sentido, corresponderá a las dependencias competentes determinar, conforme a la normativa aplicable y a los procedimientos internos de la entidad, el tratamiento que debe darse a los recursos asociados a obligaciones reconocidas en el acta de liquidación y que no hayan sido efectivamente pagadas, garantizando en todo caso el respeto por la fuerza vinculante del negocio jurídico de liquidación y evitando adoptar medidas que impliquen modificar o desconocer unilateralmente los derechos y obligaciones allí definidos. De esta manera, cualquier decisión relacionada con dichos saldos deberá encontrar fundamento en los procedimientos financieros y </w:t>
      </w:r>
      <w:r w:rsidRPr="00B76301">
        <w:rPr>
          <w:rFonts w:ascii="Verdana" w:hAnsi="Verdana" w:cs="Segoe UI"/>
        </w:rPr>
        <w:lastRenderedPageBreak/>
        <w:t>contables correspondientes, y no en una alteración posterior del contenido del acta de liquidación bilateral.</w:t>
      </w:r>
    </w:p>
    <w:p w14:paraId="50E06CC1" w14:textId="77777777" w:rsidR="00162775" w:rsidRDefault="00162775" w:rsidP="00162775">
      <w:pPr>
        <w:spacing w:after="0" w:line="276" w:lineRule="auto"/>
        <w:ind w:firstLine="709"/>
        <w:jc w:val="both"/>
        <w:rPr>
          <w:rFonts w:ascii="Verdana" w:eastAsia="Calibri" w:hAnsi="Verdana" w:cs="Arial"/>
          <w:bCs/>
        </w:rPr>
      </w:pPr>
      <w:r w:rsidRPr="00AB7A25">
        <w:rPr>
          <w:rFonts w:ascii="Verdana" w:eastAsia="Calibri" w:hAnsi="Verdana" w:cs="Arial"/>
        </w:rPr>
        <w:t>Final</w:t>
      </w:r>
      <w:r w:rsidRPr="00F41464">
        <w:rPr>
          <w:rFonts w:ascii="Verdana" w:eastAsia="Calibri" w:hAnsi="Verdana" w:cs="Arial"/>
        </w:rPr>
        <w:t>mente</w:t>
      </w:r>
      <w:r w:rsidRPr="00B76301">
        <w:rPr>
          <w:rFonts w:ascii="Verdana" w:eastAsia="Calibri" w:hAnsi="Verdana" w:cs="Arial"/>
          <w:bCs/>
          <w:lang w:eastAsia="es-ES_tradnl"/>
        </w:rPr>
        <w:t xml:space="preserve">, se recomienda consultar la </w:t>
      </w:r>
      <w:r w:rsidRPr="00B76301">
        <w:rPr>
          <w:rFonts w:ascii="Verdana" w:eastAsia="Calibri" w:hAnsi="Verdana" w:cs="Arial"/>
          <w:lang w:eastAsia="es-ES_tradnl"/>
        </w:rPr>
        <w:t xml:space="preserve">Guía para la liquidación de los procesos de contratación de </w:t>
      </w:r>
      <w:r>
        <w:rPr>
          <w:rFonts w:ascii="Verdana" w:eastAsia="Calibri" w:hAnsi="Verdana" w:cs="Arial"/>
        </w:rPr>
        <w:t xml:space="preserve">la Agencia Nacional de Contratación Pública - </w:t>
      </w:r>
      <w:r w:rsidRPr="00B76301">
        <w:rPr>
          <w:rFonts w:ascii="Verdana" w:eastAsia="Calibri" w:hAnsi="Verdana" w:cs="Arial"/>
          <w:lang w:eastAsia="es-ES_tradnl"/>
        </w:rPr>
        <w:t>Colombia Compra Eficiente</w:t>
      </w:r>
      <w:r w:rsidRPr="00B76301">
        <w:rPr>
          <w:rStyle w:val="Refdenotaalpie"/>
          <w:rFonts w:ascii="Verdana" w:eastAsia="Calibri" w:hAnsi="Verdana" w:cs="Arial"/>
          <w:lang w:eastAsia="es-ES_tradnl"/>
        </w:rPr>
        <w:footnoteReference w:id="14"/>
      </w:r>
      <w:r w:rsidRPr="00B76301">
        <w:rPr>
          <w:rFonts w:ascii="Verdana" w:eastAsia="Calibri" w:hAnsi="Verdana" w:cs="Arial"/>
          <w:bCs/>
          <w:lang w:eastAsia="es-ES_tradnl"/>
        </w:rPr>
        <w:t>, documento que proporciona lineamientos técnicos y jurídicos sobre el procedimiento, los tipos de liquidación y las obligaciones de las partes. Esta herramienta práctica resulta de gran utilidad para orientar a las entidades estatales en la toma de decisiones, garantizando el cumplimiento de la normativa vigente y la adecuada protección de los recursos públicos.</w:t>
      </w:r>
    </w:p>
    <w:p w14:paraId="4CB8F750" w14:textId="77777777" w:rsidR="00162775" w:rsidRDefault="00162775" w:rsidP="00162775">
      <w:pPr>
        <w:spacing w:after="0" w:line="276" w:lineRule="auto"/>
        <w:jc w:val="both"/>
        <w:rPr>
          <w:rFonts w:ascii="Verdana" w:eastAsia="Calibri" w:hAnsi="Verdana" w:cs="Arial"/>
          <w:bCs/>
        </w:rPr>
      </w:pPr>
    </w:p>
    <w:p w14:paraId="6EF491AD" w14:textId="77777777" w:rsidR="00162775" w:rsidRPr="00B76301" w:rsidRDefault="00162775" w:rsidP="00162775">
      <w:pPr>
        <w:tabs>
          <w:tab w:val="left" w:pos="426"/>
        </w:tabs>
        <w:spacing w:after="120" w:line="276" w:lineRule="auto"/>
        <w:jc w:val="both"/>
        <w:rPr>
          <w:rFonts w:ascii="Verdana" w:hAnsi="Verdana" w:cs="Arial"/>
          <w:bCs/>
        </w:rPr>
      </w:pPr>
      <w:r w:rsidRPr="00B348B4">
        <w:rPr>
          <w:rFonts w:ascii="Verdana" w:eastAsia="Calibri" w:hAnsi="Verdana" w:cs="Arial"/>
          <w:bCs/>
        </w:rPr>
        <w:t xml:space="preserve">ii) </w:t>
      </w:r>
      <w:r w:rsidRPr="00B76301">
        <w:rPr>
          <w:rFonts w:ascii="Verdana" w:hAnsi="Verdana" w:cs="Arial"/>
          <w:bCs/>
        </w:rPr>
        <w:t>La Ley 80 de 1993 otorga una autorización a las entidades estatales para que remedien o corrijan aquellos defectos o irregularidades de procedimiento o de forma que no constituyen causales de nulidad del contrato. Para estos efectos el artículo 49 del EGCAP dispone que “</w:t>
      </w:r>
      <w:r w:rsidRPr="00B76301">
        <w:rPr>
          <w:rFonts w:ascii="Verdana" w:hAnsi="Verdana" w:cs="Arial"/>
          <w:lang w:val="es-ES" w:eastAsia="es-CO"/>
        </w:rPr>
        <w:t>Ante la ocurrencia de vicios que no constituyan causales de nulidad y cuando las necesidades del servicio lo exijan o las reglas de la buena administración lo aconsejen, el jefe o representante legal de la entidad, en acto motivado, podrá sanear el correspondiente vicio”.</w:t>
      </w:r>
    </w:p>
    <w:p w14:paraId="37857CFB" w14:textId="77777777" w:rsidR="00162775" w:rsidRPr="00B76301" w:rsidRDefault="00162775" w:rsidP="00162775">
      <w:pPr>
        <w:pStyle w:val="Textoindependiente"/>
        <w:spacing w:after="120" w:line="276" w:lineRule="auto"/>
        <w:ind w:right="108" w:firstLine="709"/>
        <w:jc w:val="both"/>
        <w:rPr>
          <w:rFonts w:ascii="Verdana" w:eastAsia="Times New Roman" w:hAnsi="Verdana"/>
          <w:bCs/>
          <w:color w:val="000000" w:themeColor="text1"/>
          <w:lang w:eastAsia="es-ES_tradnl"/>
        </w:rPr>
      </w:pPr>
      <w:r w:rsidRPr="00B348B4">
        <w:rPr>
          <w:rFonts w:ascii="Verdana" w:hAnsi="Verdana"/>
          <w:color w:val="000000" w:themeColor="text1"/>
          <w:lang w:val="es-MX"/>
        </w:rPr>
        <w:t xml:space="preserve">De la lectura de </w:t>
      </w:r>
      <w:r w:rsidRPr="00B348B4">
        <w:rPr>
          <w:rFonts w:ascii="Verdana" w:hAnsi="Verdana"/>
          <w:color w:val="000000" w:themeColor="text1"/>
        </w:rPr>
        <w:t xml:space="preserve">esta norma se puede apreciar que para su aplicación se requiere el cumplimiento de los siguientes requisitos: </w:t>
      </w:r>
      <w:r w:rsidRPr="00B76301">
        <w:rPr>
          <w:rFonts w:ascii="Verdana" w:eastAsia="Times New Roman" w:hAnsi="Verdana"/>
          <w:bCs/>
          <w:color w:val="000000" w:themeColor="text1"/>
          <w:lang w:eastAsia="es-ES_tradnl"/>
        </w:rPr>
        <w:t xml:space="preserve">i) el vicio a sanear tiene de que ser de procedimiento o de forma, lo que significa que no es posible sanear a través de esta figura los vicios de fondo o sustanciales del acto o contrato, lo que lleva a que,  ii) el vicio a sanear no puede corresponder a  ninguna de las causales de nulidad absoluta o relativa de los contratos estatales, iii) debe hacerse mediante acto administrativo motivado, iv) el funcionario competente es el jefe o representante legal de la entidad y v) el saneamiento debe ocurrir cuando las necesidades del servicio lo exijan o a las reglas de la buena administración lo aconsejen. </w:t>
      </w:r>
    </w:p>
    <w:p w14:paraId="171868A7" w14:textId="77777777" w:rsidR="00162775" w:rsidRPr="00B76301" w:rsidRDefault="00162775" w:rsidP="00162775">
      <w:pPr>
        <w:tabs>
          <w:tab w:val="left" w:pos="426"/>
        </w:tabs>
        <w:spacing w:after="0" w:line="276" w:lineRule="auto"/>
        <w:ind w:firstLine="709"/>
        <w:jc w:val="both"/>
        <w:rPr>
          <w:rFonts w:ascii="Verdana" w:eastAsia="Calibri" w:hAnsi="Verdana" w:cs="Arial"/>
          <w:color w:val="000000" w:themeColor="text1"/>
          <w:lang w:val="es-ES_tradnl"/>
        </w:rPr>
      </w:pPr>
      <w:r w:rsidRPr="00B76301">
        <w:rPr>
          <w:rFonts w:ascii="Verdana" w:hAnsi="Verdana" w:cs="Arial"/>
          <w:color w:val="000000" w:themeColor="text1"/>
        </w:rPr>
        <w:t xml:space="preserve">De lo anterior, resulta relevante precisar, en primer lugar, que </w:t>
      </w:r>
      <w:r w:rsidRPr="00B76301">
        <w:rPr>
          <w:rFonts w:ascii="Verdana" w:eastAsia="Calibri" w:hAnsi="Verdana" w:cs="Arial"/>
          <w:color w:val="000000" w:themeColor="text1"/>
          <w:lang w:val="es-ES_tradnl"/>
        </w:rPr>
        <w:t xml:space="preserve">los vicios de procedimiento o de forma son aquellos que se presentan cuando la Administración no observa los requisitos previos y concomitantes a la expedición del acto administrativo, como la omisión de las etapas del proceso de selección o el desconocimiento del carácter preclusivo y perentorio de las mismas, lo que </w:t>
      </w:r>
      <w:r w:rsidRPr="00B76301">
        <w:rPr>
          <w:rFonts w:ascii="Verdana" w:eastAsia="Calibri" w:hAnsi="Verdana" w:cs="Arial"/>
          <w:color w:val="000000" w:themeColor="text1"/>
          <w:lang w:val="es-ES_tradnl"/>
        </w:rPr>
        <w:lastRenderedPageBreak/>
        <w:t>puede originar un vicio de nulidad de la adjudicación, pues las etapas previas a la expedición del acto administrativo constituyen formalidades que deben cumplirse, como elemento de validez de este. Como ha dicho la doctrina, “(…) la inobservancia de las “formas” y requisitos del procedimiento administrativo se traduce en un defecto de preparación de la voluntad administrativa (así la defensa en juicio en el procedimiento administrativo; la licitación pública para las contrataciones; el concurso para la provisión de cargos) (…)”</w:t>
      </w:r>
      <w:r w:rsidRPr="00B76301">
        <w:rPr>
          <w:rStyle w:val="Refdenotaalpie"/>
          <w:rFonts w:ascii="Verdana" w:eastAsia="Calibri" w:hAnsi="Verdana" w:cs="Arial"/>
          <w:color w:val="000000" w:themeColor="text1"/>
          <w:lang w:val="es-ES_tradnl"/>
        </w:rPr>
        <w:footnoteReference w:id="15"/>
      </w:r>
      <w:r w:rsidRPr="00B76301">
        <w:rPr>
          <w:rFonts w:ascii="Verdana" w:eastAsia="Calibri" w:hAnsi="Verdana" w:cs="Arial"/>
          <w:color w:val="000000" w:themeColor="text1"/>
          <w:lang w:val="es-ES_tradnl"/>
        </w:rPr>
        <w:t xml:space="preserve">. </w:t>
      </w:r>
      <w:r w:rsidRPr="00B76301">
        <w:rPr>
          <w:rFonts w:ascii="Verdana" w:hAnsi="Verdana"/>
          <w:bCs/>
          <w:color w:val="000000" w:themeColor="text1"/>
          <w:lang w:eastAsia="es-ES_tradnl"/>
        </w:rPr>
        <w:t xml:space="preserve">El saneamiento de vicios, por su parte, ha sido definido </w:t>
      </w:r>
      <w:r w:rsidRPr="00B76301">
        <w:rPr>
          <w:rFonts w:ascii="Verdana" w:hAnsi="Verdana"/>
        </w:rPr>
        <w:t xml:space="preserve">por parte de la Sección Tercera del Consejo de Estado </w:t>
      </w:r>
      <w:r w:rsidRPr="00B76301">
        <w:rPr>
          <w:rFonts w:ascii="Verdana" w:hAnsi="Verdana"/>
          <w:bCs/>
          <w:color w:val="000000" w:themeColor="text1"/>
          <w:lang w:eastAsia="es-ES_tradnl"/>
        </w:rPr>
        <w:t xml:space="preserve">como </w:t>
      </w:r>
      <w:r w:rsidRPr="00B76301">
        <w:rPr>
          <w:rFonts w:ascii="Verdana" w:hAnsi="Verdana"/>
        </w:rPr>
        <w:t>la convalidación de los negocios que nacieron con un vicio de formación, de la siguiente manera:</w:t>
      </w:r>
    </w:p>
    <w:p w14:paraId="1E737C60" w14:textId="77777777" w:rsidR="00162775" w:rsidRPr="00B348B4" w:rsidRDefault="00162775" w:rsidP="00162775">
      <w:pPr>
        <w:pStyle w:val="Textoindependiente"/>
        <w:spacing w:line="276" w:lineRule="auto"/>
        <w:ind w:right="108" w:firstLine="709"/>
        <w:jc w:val="both"/>
        <w:rPr>
          <w:rFonts w:ascii="Verdana" w:hAnsi="Verdana"/>
        </w:rPr>
      </w:pPr>
    </w:p>
    <w:p w14:paraId="4F774112" w14:textId="77777777" w:rsidR="00162775" w:rsidRPr="00F3724C" w:rsidRDefault="00162775" w:rsidP="00162775">
      <w:pPr>
        <w:spacing w:after="0" w:line="240" w:lineRule="auto"/>
        <w:ind w:left="709" w:right="616"/>
        <w:jc w:val="both"/>
        <w:rPr>
          <w:rFonts w:ascii="Verdana" w:hAnsi="Verdana" w:cs="Arial"/>
          <w:sz w:val="20"/>
          <w:szCs w:val="20"/>
          <w:lang w:val="es-ES" w:eastAsia="es-CO"/>
        </w:rPr>
      </w:pPr>
      <w:r w:rsidRPr="00F3724C">
        <w:rPr>
          <w:rFonts w:ascii="Verdana" w:hAnsi="Verdana" w:cs="Arial"/>
          <w:sz w:val="20"/>
          <w:szCs w:val="20"/>
          <w:lang w:val="es-ES" w:eastAsia="es-CO"/>
        </w:rPr>
        <w:t>“La doctrina define el saneamiento del contrato como ‘la remoción legal o voluntaria de la invalidez del acto’, que en caso de ser voluntaria se produce a través de la convalidación. […] Como se ha considerado por la Sección Tercera el saneamiento convalida los negocios que nacieron con un vicio en su formación, bien sea porque las partes satisfacen con posterioridad la deficiencia de la que adolecía el negocio o por el transcurso del tiempo necesario para que opere la prescripción extraordinaria (20 o 10 años según el caso). […] No obstante, el saneamiento por ratificación opera exclusivamente cuando sobre el contrato recae un vicio que lo afecta de nulidad relativa. Cuando la nulidad se genera por la existencia de objeto o causa ilícitos no es posible sanear tal vicio por convalidación de las partes, en virtud del mandato legal contenido en el artículo 1742 del Código Civil”</w:t>
      </w:r>
      <w:r w:rsidRPr="00F3724C">
        <w:rPr>
          <w:rStyle w:val="Refdenotaalpie"/>
          <w:rFonts w:ascii="Verdana" w:hAnsi="Verdana"/>
          <w:sz w:val="20"/>
          <w:szCs w:val="20"/>
        </w:rPr>
        <w:footnoteReference w:id="16"/>
      </w:r>
      <w:r w:rsidRPr="00F3724C">
        <w:rPr>
          <w:rFonts w:ascii="Verdana" w:hAnsi="Verdana" w:cs="Arial"/>
          <w:sz w:val="20"/>
          <w:szCs w:val="20"/>
          <w:lang w:val="es-ES" w:eastAsia="es-CO"/>
        </w:rPr>
        <w:t>.</w:t>
      </w:r>
    </w:p>
    <w:p w14:paraId="2D083358" w14:textId="77777777" w:rsidR="00162775" w:rsidRPr="00B76301" w:rsidRDefault="00162775" w:rsidP="00162775">
      <w:pPr>
        <w:spacing w:after="0" w:line="276" w:lineRule="auto"/>
        <w:ind w:left="709" w:right="709"/>
        <w:jc w:val="both"/>
        <w:rPr>
          <w:rFonts w:ascii="Verdana" w:hAnsi="Verdana" w:cs="Arial"/>
          <w:lang w:val="es-ES" w:eastAsia="es-CO"/>
        </w:rPr>
      </w:pPr>
    </w:p>
    <w:p w14:paraId="2EA68EB6" w14:textId="77777777" w:rsidR="00162775" w:rsidRPr="00B76301" w:rsidRDefault="00162775" w:rsidP="00162775">
      <w:pPr>
        <w:tabs>
          <w:tab w:val="left" w:pos="426"/>
        </w:tabs>
        <w:spacing w:after="120" w:line="276" w:lineRule="auto"/>
        <w:ind w:firstLine="709"/>
        <w:jc w:val="both"/>
        <w:rPr>
          <w:rFonts w:ascii="Verdana" w:hAnsi="Verdana" w:cs="Arial"/>
        </w:rPr>
      </w:pPr>
      <w:r w:rsidRPr="00B76301">
        <w:rPr>
          <w:rFonts w:ascii="Verdana" w:eastAsia="Calibri" w:hAnsi="Verdana" w:cs="Arial"/>
          <w:color w:val="000000" w:themeColor="text1"/>
          <w:lang w:val="es-ES"/>
        </w:rPr>
        <w:t>E</w:t>
      </w:r>
      <w:r w:rsidRPr="00B76301">
        <w:rPr>
          <w:rFonts w:ascii="Verdana" w:eastAsia="Calibri" w:hAnsi="Verdana" w:cs="Arial"/>
          <w:color w:val="000000" w:themeColor="text1"/>
          <w:lang w:val="es-ES_tradnl"/>
        </w:rPr>
        <w:t xml:space="preserve">l artículo 49 de la Ley 80 de 1993 condiciona dicha facultad de saneamiento de los defectos formales a que los vicios que “no constituyan causales de nulidad”. </w:t>
      </w:r>
      <w:r w:rsidRPr="00B76301">
        <w:rPr>
          <w:rFonts w:ascii="Verdana" w:hAnsi="Verdana" w:cs="Arial"/>
          <w:color w:val="000000" w:themeColor="text1"/>
          <w:lang w:val="es-ES"/>
        </w:rPr>
        <w:t xml:space="preserve">En ese orden de ideas, conviene precisar que </w:t>
      </w:r>
      <w:bookmarkStart w:id="2" w:name="_Hlk36091744"/>
      <w:r w:rsidRPr="00B76301">
        <w:rPr>
          <w:rFonts w:ascii="Verdana" w:hAnsi="Verdana" w:cs="Arial"/>
          <w:color w:val="000000" w:themeColor="text1"/>
          <w:lang w:val="es-ES"/>
        </w:rPr>
        <w:t>e</w:t>
      </w:r>
      <w:r w:rsidRPr="00B76301">
        <w:rPr>
          <w:rFonts w:ascii="Verdana" w:hAnsi="Verdana" w:cs="Arial"/>
        </w:rPr>
        <w:t>l régimen de las nulidades de los contratos estatales está regulado en el EGCAP, donde se establecen sus causales. Sin embargo, éste integra, por remisión, las causales de nulidad del derecho civil y comercial</w:t>
      </w:r>
      <w:bookmarkEnd w:id="2"/>
      <w:r w:rsidRPr="00B76301">
        <w:rPr>
          <w:rFonts w:ascii="Verdana" w:hAnsi="Verdana" w:cs="Arial"/>
        </w:rPr>
        <w:t xml:space="preserve"> conforme al artículo 44 </w:t>
      </w:r>
      <w:r w:rsidRPr="00B76301">
        <w:rPr>
          <w:rFonts w:ascii="Verdana" w:hAnsi="Verdana" w:cs="Arial"/>
          <w:i/>
          <w:iCs/>
        </w:rPr>
        <w:t>ibidem</w:t>
      </w:r>
      <w:r w:rsidRPr="00B76301">
        <w:rPr>
          <w:rFonts w:ascii="Verdana" w:hAnsi="Verdana" w:cs="Arial"/>
        </w:rPr>
        <w:t xml:space="preserve">. </w:t>
      </w:r>
    </w:p>
    <w:p w14:paraId="46BDAA7E" w14:textId="77777777" w:rsidR="00162775" w:rsidRPr="00B76301" w:rsidRDefault="00162775" w:rsidP="00162775">
      <w:pPr>
        <w:tabs>
          <w:tab w:val="left" w:pos="426"/>
        </w:tabs>
        <w:spacing w:after="0" w:line="276" w:lineRule="auto"/>
        <w:ind w:firstLine="709"/>
        <w:jc w:val="both"/>
        <w:rPr>
          <w:rFonts w:ascii="Verdana" w:eastAsia="Calibri" w:hAnsi="Verdana" w:cs="Arial"/>
          <w:color w:val="000000" w:themeColor="text1"/>
          <w:lang w:val="es-ES_tradnl"/>
        </w:rPr>
      </w:pPr>
      <w:r w:rsidRPr="00B76301">
        <w:rPr>
          <w:rFonts w:ascii="Verdana" w:hAnsi="Verdana" w:cs="Arial"/>
        </w:rPr>
        <w:t>Las nulidades son</w:t>
      </w:r>
      <w:r w:rsidRPr="00B76301">
        <w:rPr>
          <w:rFonts w:ascii="Verdana" w:hAnsi="Verdana" w:cs="Arial"/>
          <w:color w:val="000000" w:themeColor="text1"/>
        </w:rPr>
        <w:t xml:space="preserve"> una sanción legal que afecta la validez de los contratos cuando han quebrantado determinadas normas del ordenamiento. Si bien la </w:t>
      </w:r>
      <w:r w:rsidRPr="00B76301">
        <w:rPr>
          <w:rFonts w:ascii="Verdana" w:hAnsi="Verdana" w:cs="Arial"/>
          <w:color w:val="000000" w:themeColor="text1"/>
        </w:rPr>
        <w:lastRenderedPageBreak/>
        <w:t>teoría general del negocio jurídico se estructura a partir de la autonomía de la voluntad, las partes no gozan de una libertad absoluta para regular sus intereses patrimoniales, puesto que –al no ser una facultad originaria– está circunscrita por criterios de orden su superior</w:t>
      </w:r>
      <w:r w:rsidRPr="00B76301">
        <w:rPr>
          <w:rStyle w:val="Refdenotaalpie"/>
          <w:rFonts w:ascii="Verdana" w:hAnsi="Verdana" w:cs="Arial"/>
          <w:color w:val="000000" w:themeColor="text1"/>
        </w:rPr>
        <w:footnoteReference w:id="17"/>
      </w:r>
      <w:r w:rsidRPr="00B76301">
        <w:rPr>
          <w:rFonts w:ascii="Verdana" w:hAnsi="Verdana" w:cs="Arial"/>
          <w:color w:val="000000" w:themeColor="text1"/>
        </w:rPr>
        <w:t xml:space="preserve">. Por ello, aunque el contrato sea ley obligatoria para los contratantes –art. 1602 del Código Civil–, no podrán derogarse por convenios particulares las leyes en cuya observancia están interesados el orden público y las buenas costumbres –art. 16 </w:t>
      </w:r>
      <w:r w:rsidRPr="00B76301">
        <w:rPr>
          <w:rFonts w:ascii="Verdana" w:hAnsi="Verdana" w:cs="Arial"/>
          <w:i/>
          <w:iCs/>
          <w:color w:val="000000" w:themeColor="text1"/>
        </w:rPr>
        <w:t>ibidem</w:t>
      </w:r>
      <w:r w:rsidRPr="00B76301">
        <w:rPr>
          <w:rFonts w:ascii="Verdana" w:hAnsi="Verdana" w:cs="Arial"/>
          <w:color w:val="000000" w:themeColor="text1"/>
        </w:rPr>
        <w:t>–. En este contexto:</w:t>
      </w:r>
    </w:p>
    <w:p w14:paraId="75427D76" w14:textId="77777777" w:rsidR="00162775" w:rsidRPr="00B76301" w:rsidRDefault="00162775" w:rsidP="00162775">
      <w:pPr>
        <w:spacing w:after="0" w:line="276" w:lineRule="auto"/>
        <w:ind w:firstLine="708"/>
        <w:jc w:val="both"/>
        <w:rPr>
          <w:rFonts w:ascii="Verdana" w:hAnsi="Verdana" w:cs="Arial"/>
          <w:color w:val="000000" w:themeColor="text1"/>
        </w:rPr>
      </w:pPr>
    </w:p>
    <w:p w14:paraId="12D401F8" w14:textId="77777777" w:rsidR="00162775" w:rsidRPr="00B76301" w:rsidRDefault="00162775" w:rsidP="00162775">
      <w:pPr>
        <w:spacing w:after="0" w:line="240" w:lineRule="auto"/>
        <w:ind w:left="709" w:right="709"/>
        <w:jc w:val="both"/>
        <w:rPr>
          <w:rFonts w:ascii="Verdana" w:eastAsia="Calibri" w:hAnsi="Verdana" w:cs="Arial"/>
          <w:sz w:val="20"/>
          <w:szCs w:val="20"/>
          <w:lang w:val="es-ES"/>
        </w:rPr>
      </w:pPr>
      <w:r w:rsidRPr="00B76301">
        <w:rPr>
          <w:rFonts w:ascii="Verdana" w:eastAsia="Calibri" w:hAnsi="Verdana" w:cs="Arial"/>
          <w:sz w:val="20"/>
          <w:szCs w:val="20"/>
          <w:lang w:val="es-ES"/>
        </w:rPr>
        <w:t xml:space="preserve">“[…] La nulidad es una sanción que consiste en la privación al negocio de todos los efectos que está llamado a producir, mirando tanto al futuro como al pasado, en razón de que la disposición no reúne los requisitos considerados esenciales en general y específicamente para la figura correspondiente. El criterio político del ordenamiento, que ante todo refleja una experiencia antiquísima, en su ánimo de asegurar un nivel mínimo de legalidad y de moralidad del ejercicio de la autonomía privada, determina la privación de efectos de los negocios jurídicos desprovistos de los </w:t>
      </w:r>
      <w:r w:rsidRPr="00B76301">
        <w:rPr>
          <w:rFonts w:ascii="Verdana" w:eastAsia="Calibri" w:hAnsi="Verdana" w:cs="Arial"/>
          <w:i/>
          <w:iCs/>
          <w:sz w:val="20"/>
          <w:szCs w:val="20"/>
          <w:lang w:val="es-ES"/>
        </w:rPr>
        <w:t>essentialia negotii</w:t>
      </w:r>
      <w:r w:rsidRPr="00B76301">
        <w:rPr>
          <w:rFonts w:ascii="Verdana" w:eastAsia="Calibri" w:hAnsi="Verdana" w:cs="Arial"/>
          <w:sz w:val="20"/>
          <w:szCs w:val="20"/>
          <w:lang w:val="es-ES"/>
        </w:rPr>
        <w:t xml:space="preserve"> correspondientes, como también de aquellos que quebrantan los principios básicos de la sociedad en su momento, y adicionalmente los fallos a requisito de orden tutelar establecido en interés particular o contrarios a normas dictadas en esa misma dirección […]”</w:t>
      </w:r>
      <w:r w:rsidRPr="00B76301">
        <w:rPr>
          <w:rStyle w:val="Refdenotaalpie"/>
          <w:rFonts w:ascii="Verdana" w:eastAsia="Calibri" w:hAnsi="Verdana" w:cs="Arial"/>
          <w:sz w:val="20"/>
          <w:szCs w:val="20"/>
          <w:lang w:val="es-ES"/>
        </w:rPr>
        <w:footnoteReference w:id="18"/>
      </w:r>
      <w:r w:rsidRPr="00B76301">
        <w:rPr>
          <w:rFonts w:ascii="Verdana" w:eastAsia="Calibri" w:hAnsi="Verdana" w:cs="Arial"/>
          <w:sz w:val="20"/>
          <w:szCs w:val="20"/>
          <w:lang w:val="es-ES"/>
        </w:rPr>
        <w:t>.</w:t>
      </w:r>
    </w:p>
    <w:p w14:paraId="6A5C425C" w14:textId="77777777" w:rsidR="00162775" w:rsidRPr="00B76301" w:rsidRDefault="00162775" w:rsidP="00162775">
      <w:pPr>
        <w:spacing w:after="0" w:line="240" w:lineRule="auto"/>
        <w:ind w:firstLine="709"/>
        <w:jc w:val="both"/>
        <w:rPr>
          <w:rFonts w:ascii="Verdana" w:eastAsia="Calibri" w:hAnsi="Verdana" w:cs="Arial"/>
          <w:lang w:val="es-ES"/>
        </w:rPr>
      </w:pPr>
    </w:p>
    <w:p w14:paraId="706AB742" w14:textId="77777777" w:rsidR="00162775" w:rsidRPr="00B76301" w:rsidRDefault="00162775" w:rsidP="00162775">
      <w:pPr>
        <w:spacing w:after="120" w:line="276" w:lineRule="auto"/>
        <w:ind w:firstLine="708"/>
        <w:jc w:val="both"/>
        <w:rPr>
          <w:rFonts w:ascii="Verdana" w:eastAsia="Calibri" w:hAnsi="Verdana" w:cs="Arial"/>
          <w:lang w:val="es-ES"/>
        </w:rPr>
      </w:pPr>
      <w:r w:rsidRPr="00B76301">
        <w:rPr>
          <w:rFonts w:ascii="Verdana" w:eastAsia="Calibri" w:hAnsi="Verdana" w:cs="Arial"/>
          <w:lang w:val="es-ES"/>
        </w:rPr>
        <w:t xml:space="preserve">La naturaleza jurídica de la nulidad se fundamenta en el inciso primero del artículo 6 del Código Civil, el cual define la </w:t>
      </w:r>
      <w:r w:rsidRPr="00B76301">
        <w:rPr>
          <w:rFonts w:ascii="Verdana" w:eastAsia="Calibri" w:hAnsi="Verdana" w:cs="Arial"/>
          <w:i/>
          <w:iCs/>
          <w:lang w:val="es-ES"/>
        </w:rPr>
        <w:t>sanción legal</w:t>
      </w:r>
      <w:r w:rsidRPr="00B76301">
        <w:rPr>
          <w:rFonts w:ascii="Verdana" w:eastAsia="Calibri" w:hAnsi="Verdana" w:cs="Arial"/>
          <w:lang w:val="es-ES"/>
        </w:rPr>
        <w:t xml:space="preserve"> como una pena, esto es, como el mal que deriva de la transgresión de las prohibiciones contenidas en la ley. Dado que tienen carácter sancionatorio, las nulidades se </w:t>
      </w:r>
      <w:r w:rsidRPr="00B76301">
        <w:rPr>
          <w:rFonts w:ascii="Verdana" w:eastAsia="Calibri" w:hAnsi="Verdana" w:cs="Arial"/>
          <w:lang w:val="es-ES"/>
        </w:rPr>
        <w:lastRenderedPageBreak/>
        <w:t xml:space="preserve">restringen a aquellas circunstancias previstas por el legislador, pues no son aplicables por interpretación extensiva ni por analogía. A esto se refiere el inciso segundo de la norma precitada cuando dispone que “En materia civil son nulos los actos ejecutados contra expresa prohibición de la ley, si en ella misma no se dispone otra cosa […]”. La declaratoria de nulidad es una forma de extinción de las obligaciones en los términos del artículo 1625.8 </w:t>
      </w:r>
      <w:r w:rsidRPr="00B76301">
        <w:rPr>
          <w:rFonts w:ascii="Verdana" w:eastAsia="Calibri" w:hAnsi="Verdana" w:cs="Arial"/>
          <w:i/>
          <w:iCs/>
          <w:lang w:val="es-ES"/>
        </w:rPr>
        <w:t>ibidem</w:t>
      </w:r>
      <w:r w:rsidRPr="00B76301">
        <w:rPr>
          <w:rFonts w:ascii="Verdana" w:eastAsia="Calibri" w:hAnsi="Verdana" w:cs="Arial"/>
          <w:lang w:val="es-ES"/>
        </w:rPr>
        <w:t xml:space="preserve">, por lo que con ella cesa la existencia del contrato.   </w:t>
      </w:r>
    </w:p>
    <w:p w14:paraId="49055823" w14:textId="77777777" w:rsidR="00162775" w:rsidRPr="00B76301" w:rsidRDefault="00162775" w:rsidP="00162775">
      <w:pPr>
        <w:spacing w:after="120" w:line="276" w:lineRule="auto"/>
        <w:ind w:firstLine="708"/>
        <w:jc w:val="both"/>
        <w:rPr>
          <w:rFonts w:ascii="Verdana" w:eastAsia="Calibri" w:hAnsi="Verdana" w:cs="Arial"/>
          <w:lang w:val="es-ES"/>
        </w:rPr>
      </w:pPr>
      <w:r w:rsidRPr="00B76301">
        <w:rPr>
          <w:rFonts w:ascii="Verdana" w:eastAsia="Calibri" w:hAnsi="Verdana" w:cs="Arial"/>
          <w:lang w:val="es-ES"/>
        </w:rPr>
        <w:t>De acuerdo con el artículo 1741 del Código Civil, “La nulidad producida por un objeto o causa ilícita, y la nulidad producida por la omisión de algún requisito o formalidad que las leyes prescriben para el valor de ciertos actos o contratos en consideración a la naturaleza de ellos, y no a la calidad o estado de las personas que los ejecutan o acuerdan, son nulidades absolutas. Hay así mismo nulidad absoluta en los actos y contratos de personas absolutamente incapaces. Cualquiera otra especie de vicio produce nulidad relativa, y da derecho a la rescisión del acto o contrato”. Para la doctrina, las circunstancias que producen nulidad relativa son los vicios del consentimiento –error, fuerza y dolo–, la lesión enorme, los actos de los relativamente incapaces, así como la omisión de formalidades habilitantes distintas a las que se enuncian en la norma precitada</w:t>
      </w:r>
      <w:r w:rsidRPr="00B76301">
        <w:rPr>
          <w:rStyle w:val="Refdenotaalpie"/>
          <w:rFonts w:ascii="Verdana" w:eastAsia="Calibri" w:hAnsi="Verdana" w:cs="Arial"/>
          <w:lang w:val="es-ES"/>
        </w:rPr>
        <w:footnoteReference w:id="19"/>
      </w:r>
      <w:r w:rsidRPr="00B76301">
        <w:rPr>
          <w:rFonts w:ascii="Verdana" w:eastAsia="Calibri" w:hAnsi="Verdana" w:cs="Arial"/>
          <w:lang w:val="es-ES"/>
        </w:rPr>
        <w:t xml:space="preserve">. </w:t>
      </w:r>
    </w:p>
    <w:p w14:paraId="6D13059D" w14:textId="77777777" w:rsidR="00162775" w:rsidRPr="00B76301" w:rsidRDefault="00162775" w:rsidP="00162775">
      <w:pPr>
        <w:spacing w:after="120" w:line="276" w:lineRule="auto"/>
        <w:ind w:firstLine="708"/>
        <w:jc w:val="both"/>
        <w:rPr>
          <w:rFonts w:ascii="Verdana" w:eastAsia="Calibri" w:hAnsi="Verdana" w:cs="Arial"/>
          <w:lang w:val="es-ES"/>
        </w:rPr>
      </w:pPr>
      <w:r w:rsidRPr="00B76301">
        <w:rPr>
          <w:rFonts w:ascii="Verdana" w:eastAsia="Calibri" w:hAnsi="Verdana" w:cs="Arial"/>
          <w:lang w:val="es-ES"/>
        </w:rPr>
        <w:t xml:space="preserve">Asimismo, el artículo 900 del Código de Comercio dispone la </w:t>
      </w:r>
      <w:r w:rsidRPr="00B76301">
        <w:rPr>
          <w:rFonts w:ascii="Verdana" w:eastAsia="Calibri" w:hAnsi="Verdana" w:cs="Arial"/>
          <w:i/>
          <w:iCs/>
          <w:lang w:val="es-ES"/>
        </w:rPr>
        <w:t>nulidad absoluta</w:t>
      </w:r>
      <w:r w:rsidRPr="00B76301">
        <w:rPr>
          <w:rFonts w:ascii="Verdana" w:eastAsia="Calibri" w:hAnsi="Verdana" w:cs="Arial"/>
          <w:lang w:val="es-ES"/>
        </w:rPr>
        <w:t xml:space="preserve"> de los negocios jurídicos cuando contrarían una norma imperativa, salvo que la ley disponga otra cosa; tengan objeto y causa ilícita, o se hayan celebrado por persona absolutamente incapaz</w:t>
      </w:r>
      <w:r w:rsidRPr="00B76301">
        <w:rPr>
          <w:rStyle w:val="Refdenotaalpie"/>
          <w:rFonts w:ascii="Verdana" w:eastAsia="Calibri" w:hAnsi="Verdana" w:cs="Arial"/>
          <w:lang w:val="es-ES"/>
        </w:rPr>
        <w:footnoteReference w:id="20"/>
      </w:r>
      <w:r w:rsidRPr="00B76301">
        <w:rPr>
          <w:rFonts w:ascii="Verdana" w:eastAsia="Calibri" w:hAnsi="Verdana" w:cs="Arial"/>
          <w:lang w:val="es-ES"/>
        </w:rPr>
        <w:t xml:space="preserve">. Por su parte, el artículo 901 </w:t>
      </w:r>
      <w:r w:rsidRPr="00B76301">
        <w:rPr>
          <w:rFonts w:ascii="Verdana" w:eastAsia="Calibri" w:hAnsi="Verdana" w:cs="Arial"/>
          <w:i/>
          <w:iCs/>
          <w:lang w:val="es-ES"/>
        </w:rPr>
        <w:t>ibidem</w:t>
      </w:r>
      <w:r w:rsidRPr="00B76301">
        <w:rPr>
          <w:rFonts w:ascii="Verdana" w:eastAsia="Calibri" w:hAnsi="Verdana" w:cs="Arial"/>
          <w:lang w:val="es-ES"/>
        </w:rPr>
        <w:t xml:space="preserve"> precisa que la </w:t>
      </w:r>
      <w:r w:rsidRPr="00B76301">
        <w:rPr>
          <w:rFonts w:ascii="Verdana" w:eastAsia="Calibri" w:hAnsi="Verdana" w:cs="Arial"/>
          <w:i/>
          <w:iCs/>
          <w:lang w:val="es-ES"/>
        </w:rPr>
        <w:t>anulabilidad</w:t>
      </w:r>
      <w:r w:rsidRPr="00B76301">
        <w:rPr>
          <w:rFonts w:ascii="Verdana" w:eastAsia="Calibri" w:hAnsi="Verdana" w:cs="Arial"/>
          <w:lang w:val="es-ES"/>
        </w:rPr>
        <w:t xml:space="preserve"> aplica cuando los contratos hayan sido celebrados por persona relativamente incapaz o hayan sido consentidos por </w:t>
      </w:r>
      <w:r w:rsidRPr="00B76301">
        <w:rPr>
          <w:rFonts w:ascii="Verdana" w:eastAsia="Calibri" w:hAnsi="Verdana" w:cs="Arial"/>
          <w:lang w:val="es-ES"/>
        </w:rPr>
        <w:lastRenderedPageBreak/>
        <w:t xml:space="preserve">error, fuerza o dolo, conforme al Código Civil. Para la interpretación del régimen de nulidades en los asuntos mercantiles, es necesario tener en cuenta que el artículo 822 del Código de Comercio dispone que “Los principios que gobiernan la formación de los actos y contratos y las obligaciones de derecho civil, sus efectos, interpretación, modo de extinguirse, anularse o rescindirse, serán aplicables a las obligaciones y negocios jurídicos mercantiles, a menos que la ley establezca otra cosa”. </w:t>
      </w:r>
    </w:p>
    <w:p w14:paraId="0DCB3C25" w14:textId="77777777" w:rsidR="00162775" w:rsidRPr="00B348B4" w:rsidRDefault="00162775" w:rsidP="00162775">
      <w:pPr>
        <w:pStyle w:val="Textoindependiente"/>
        <w:spacing w:after="120" w:line="259" w:lineRule="auto"/>
        <w:ind w:right="107" w:firstLine="709"/>
        <w:jc w:val="both"/>
        <w:rPr>
          <w:rFonts w:ascii="Verdana" w:hAnsi="Verdana"/>
        </w:rPr>
      </w:pPr>
      <w:r w:rsidRPr="00B348B4">
        <w:rPr>
          <w:rFonts w:ascii="Verdana" w:hAnsi="Verdana"/>
        </w:rPr>
        <w:t>Por su parte, el artículo 44 de la Ley 80 de 1993 consagra como causales de nulidad absoluta del contrato estatal, además de las antes mencionadas en el derecho común, las siguientes: i) que el contrato se celebre con personas incursas en causales de inhabilidad o incompatibilidad previstas en la Constituci</w:t>
      </w:r>
      <w:r w:rsidRPr="00B76301">
        <w:rPr>
          <w:rFonts w:ascii="Verdana" w:hAnsi="Verdana"/>
        </w:rPr>
        <w:t>ón y la ley, ii) se celebre contra expresa prohibición constitucional o legal, iii) se celebre con abuso o desviación de poder, iv) se declaren nulos los actos administrativos en que se fundamenten, v) se hubieren celebrado con desconocimiento de los criterios previstos para el tratamiento de ofertas nacionales y extranjeras o con violación de la reciprocidad</w:t>
      </w:r>
      <w:r w:rsidRPr="00B348B4">
        <w:rPr>
          <w:rStyle w:val="Refdenotaalpie"/>
          <w:rFonts w:ascii="Verdana" w:hAnsi="Verdana"/>
        </w:rPr>
        <w:footnoteReference w:id="21"/>
      </w:r>
      <w:r w:rsidRPr="00B348B4">
        <w:rPr>
          <w:rFonts w:ascii="Verdana" w:hAnsi="Verdana"/>
        </w:rPr>
        <w:t>.</w:t>
      </w:r>
    </w:p>
    <w:p w14:paraId="48CEFE54" w14:textId="77777777" w:rsidR="00162775" w:rsidRPr="00B348B4" w:rsidRDefault="00162775" w:rsidP="00162775">
      <w:pPr>
        <w:pStyle w:val="Textoindependiente"/>
        <w:spacing w:after="120" w:line="259" w:lineRule="auto"/>
        <w:ind w:right="105" w:firstLine="709"/>
        <w:jc w:val="both"/>
        <w:rPr>
          <w:rFonts w:ascii="Verdana" w:hAnsi="Verdana"/>
        </w:rPr>
      </w:pPr>
      <w:r w:rsidRPr="00B348B4">
        <w:rPr>
          <w:rFonts w:ascii="Verdana" w:hAnsi="Verdana"/>
        </w:rPr>
        <w:t>En lo referente a la nulidad relativa, el artículo 46 de</w:t>
      </w:r>
      <w:r w:rsidRPr="00B76301">
        <w:rPr>
          <w:rFonts w:ascii="Verdana" w:hAnsi="Verdana"/>
        </w:rPr>
        <w:t xml:space="preserve"> la Ley 80 de 1993 le atribuye carácter residual, pues una vez establecido el listado de causales de nulidad absoluta, señala que la nulidad relativa corresponde a los demás vicios que se presenten en los contratos. De igual manera, señala que estos vicios podrán sanearse por ratificación expresa de los interesados o por el transcurso de dos años, contados a partir de la ocurrencia del hecho que genera el</w:t>
      </w:r>
      <w:r w:rsidRPr="00B76301">
        <w:rPr>
          <w:rFonts w:ascii="Verdana" w:hAnsi="Verdana"/>
          <w:spacing w:val="-8"/>
        </w:rPr>
        <w:t xml:space="preserve"> </w:t>
      </w:r>
      <w:r w:rsidRPr="00B76301">
        <w:rPr>
          <w:rFonts w:ascii="Verdana" w:hAnsi="Verdana"/>
        </w:rPr>
        <w:t>vicio</w:t>
      </w:r>
      <w:r w:rsidRPr="00B348B4">
        <w:rPr>
          <w:rStyle w:val="Refdenotaalpie"/>
          <w:rFonts w:ascii="Verdana" w:hAnsi="Verdana"/>
        </w:rPr>
        <w:footnoteReference w:id="22"/>
      </w:r>
      <w:r w:rsidRPr="00B348B4">
        <w:rPr>
          <w:rFonts w:ascii="Verdana" w:hAnsi="Verdana"/>
        </w:rPr>
        <w:t>.</w:t>
      </w:r>
    </w:p>
    <w:p w14:paraId="47FFC0C5" w14:textId="77777777" w:rsidR="00162775" w:rsidRPr="00B76301" w:rsidRDefault="00162775" w:rsidP="00162775">
      <w:pPr>
        <w:spacing w:after="0" w:line="276" w:lineRule="auto"/>
        <w:ind w:firstLine="708"/>
        <w:jc w:val="both"/>
        <w:rPr>
          <w:rFonts w:ascii="Verdana" w:hAnsi="Verdana" w:cs="Arial"/>
          <w:color w:val="000000" w:themeColor="text1"/>
        </w:rPr>
      </w:pPr>
      <w:r w:rsidRPr="00B76301">
        <w:rPr>
          <w:rFonts w:ascii="Verdana" w:hAnsi="Verdana" w:cs="Arial"/>
          <w:color w:val="000000" w:themeColor="text1"/>
        </w:rPr>
        <w:t xml:space="preserve">Entonces, para determinar cuáles son aquellos vicios que no producen la nulidad del contrato y que pueden ser objeto de saneamiento en virtud del artículo 49 de la Ley 80 de 1993, merece especial atención la sentencia del 12 </w:t>
      </w:r>
      <w:r w:rsidRPr="00B76301">
        <w:rPr>
          <w:rFonts w:ascii="Verdana" w:hAnsi="Verdana" w:cs="Arial"/>
          <w:color w:val="000000" w:themeColor="text1"/>
        </w:rPr>
        <w:lastRenderedPageBreak/>
        <w:t xml:space="preserve">de agosto de 2014 del Consejo de Estado, que por su relevancia se cita </w:t>
      </w:r>
      <w:r w:rsidRPr="00B76301">
        <w:rPr>
          <w:rFonts w:ascii="Verdana" w:hAnsi="Verdana" w:cs="Arial"/>
          <w:i/>
          <w:iCs/>
          <w:color w:val="000000" w:themeColor="text1"/>
        </w:rPr>
        <w:t>in extenso</w:t>
      </w:r>
      <w:r w:rsidRPr="00B76301">
        <w:rPr>
          <w:rFonts w:ascii="Verdana" w:hAnsi="Verdana" w:cs="Arial"/>
          <w:color w:val="000000" w:themeColor="text1"/>
        </w:rPr>
        <w:t>:</w:t>
      </w:r>
    </w:p>
    <w:p w14:paraId="399320C1" w14:textId="77777777" w:rsidR="00162775" w:rsidRPr="00B76301" w:rsidRDefault="00162775" w:rsidP="00162775">
      <w:pPr>
        <w:spacing w:after="0" w:line="276" w:lineRule="auto"/>
        <w:ind w:firstLine="708"/>
        <w:jc w:val="both"/>
        <w:rPr>
          <w:rFonts w:ascii="Verdana" w:hAnsi="Verdana" w:cs="Arial"/>
          <w:color w:val="000000" w:themeColor="text1"/>
        </w:rPr>
      </w:pPr>
    </w:p>
    <w:p w14:paraId="5C5C6820" w14:textId="77777777" w:rsidR="00162775" w:rsidRPr="00B76301" w:rsidRDefault="00162775" w:rsidP="00162775">
      <w:pPr>
        <w:spacing w:after="120" w:line="240" w:lineRule="auto"/>
        <w:ind w:left="709" w:right="709"/>
        <w:jc w:val="both"/>
        <w:rPr>
          <w:rFonts w:ascii="Verdana" w:hAnsi="Verdana" w:cs="Arial"/>
          <w:sz w:val="20"/>
          <w:szCs w:val="20"/>
          <w:lang w:val="es-ES_tradnl"/>
        </w:rPr>
      </w:pPr>
      <w:r w:rsidRPr="00B76301">
        <w:rPr>
          <w:rFonts w:ascii="Verdana" w:hAnsi="Verdana" w:cs="Arial"/>
          <w:sz w:val="20"/>
          <w:szCs w:val="20"/>
          <w:lang w:val="es-ES" w:eastAsia="es-CO"/>
        </w:rPr>
        <w:t xml:space="preserve">“[…] </w:t>
      </w:r>
      <w:r w:rsidRPr="00B76301">
        <w:rPr>
          <w:rFonts w:ascii="Verdana" w:hAnsi="Verdana" w:cs="Arial"/>
          <w:sz w:val="20"/>
          <w:szCs w:val="20"/>
          <w:lang w:val="es-ES_tradnl"/>
        </w:rPr>
        <w:t>Lo expresado hasta ahora significa que no cualquier defecto o irregularidad en la contratación estatal produce la nulidad el contrato, ni siquiera la relativa. De hecho, hay que distinguir los defectos que se presentan en las distintas etapas: proceso de selección, perfeccionamiento del contrato, ejecución y liquidación. Esta distinción facilita entender que las causales de nulidad del contrato –absoluta o relativa- se configuran en las etapas de selección del contratista o en la de perfeccionamiento del contrato; pero no en las etapas de ejecución o liquidación. Basta observar las causales legales que las constituyen para admitir esta conclusión. Esta razón, adicional a las expresadas, refuerza que los defectos en que incurra la administración y/o el contratista para ejecutar un contrato o para liquidarlo, no inciden en la validez del negocio.</w:t>
      </w:r>
    </w:p>
    <w:p w14:paraId="60136F8F" w14:textId="77777777" w:rsidR="00162775" w:rsidRPr="00B76301" w:rsidRDefault="00162775" w:rsidP="00162775">
      <w:pPr>
        <w:spacing w:after="120" w:line="240" w:lineRule="auto"/>
        <w:ind w:left="709" w:right="709"/>
        <w:jc w:val="both"/>
        <w:rPr>
          <w:rFonts w:ascii="Verdana" w:hAnsi="Verdana" w:cs="Arial"/>
          <w:sz w:val="20"/>
          <w:szCs w:val="20"/>
          <w:lang w:val="es-ES_tradnl"/>
        </w:rPr>
      </w:pPr>
      <w:r w:rsidRPr="00B76301">
        <w:rPr>
          <w:rFonts w:ascii="Verdana" w:hAnsi="Verdana" w:cs="Arial"/>
          <w:sz w:val="20"/>
          <w:szCs w:val="20"/>
          <w:lang w:val="es-ES_tradnl"/>
        </w:rPr>
        <w:t xml:space="preserve">Para mayor precisión, ni siquiera toda irregularidad que ocurra en las etapas de </w:t>
      </w:r>
      <w:r w:rsidRPr="00B76301">
        <w:rPr>
          <w:rFonts w:ascii="Verdana" w:hAnsi="Verdana" w:cs="Arial"/>
          <w:i/>
          <w:sz w:val="20"/>
          <w:szCs w:val="20"/>
          <w:lang w:val="es-ES_tradnl"/>
        </w:rPr>
        <w:t>selección</w:t>
      </w:r>
      <w:r w:rsidRPr="00B76301">
        <w:rPr>
          <w:rFonts w:ascii="Verdana" w:hAnsi="Verdana" w:cs="Arial"/>
          <w:sz w:val="20"/>
          <w:szCs w:val="20"/>
          <w:lang w:val="es-ES_tradnl"/>
        </w:rPr>
        <w:t xml:space="preserve"> y </w:t>
      </w:r>
      <w:r w:rsidRPr="00B76301">
        <w:rPr>
          <w:rFonts w:ascii="Verdana" w:hAnsi="Verdana" w:cs="Arial"/>
          <w:i/>
          <w:sz w:val="20"/>
          <w:szCs w:val="20"/>
          <w:lang w:val="es-ES_tradnl"/>
        </w:rPr>
        <w:t>perfeccionamiento</w:t>
      </w:r>
      <w:r w:rsidRPr="00B76301">
        <w:rPr>
          <w:rFonts w:ascii="Verdana" w:hAnsi="Verdana" w:cs="Arial"/>
          <w:sz w:val="20"/>
          <w:szCs w:val="20"/>
          <w:lang w:val="es-ES_tradnl"/>
        </w:rPr>
        <w:t xml:space="preserve"> del contrato producen, irremediablemente, su nulidad. Sólo producen esa consecuencia los defectos que se enmarquen, con precisión, en las causales legales o constitucionales. De hecho, el art. 49 de la Ley 80 de 1993 consagra la regla inversa:</w:t>
      </w:r>
    </w:p>
    <w:p w14:paraId="64ABBC47" w14:textId="77777777" w:rsidR="00162775" w:rsidRPr="00B76301" w:rsidRDefault="00162775" w:rsidP="00162775">
      <w:pPr>
        <w:tabs>
          <w:tab w:val="left" w:pos="142"/>
        </w:tabs>
        <w:autoSpaceDE w:val="0"/>
        <w:autoSpaceDN w:val="0"/>
        <w:adjustRightInd w:val="0"/>
        <w:spacing w:after="120" w:line="240" w:lineRule="auto"/>
        <w:ind w:left="709" w:right="709"/>
        <w:jc w:val="both"/>
        <w:rPr>
          <w:rFonts w:ascii="Verdana" w:hAnsi="Verdana" w:cs="Arial"/>
          <w:sz w:val="20"/>
          <w:szCs w:val="20"/>
        </w:rPr>
      </w:pPr>
      <w:r w:rsidRPr="00B76301">
        <w:rPr>
          <w:rFonts w:ascii="Verdana" w:hAnsi="Verdana" w:cs="Arial"/>
          <w:sz w:val="20"/>
          <w:szCs w:val="20"/>
        </w:rPr>
        <w:t>‘</w:t>
      </w:r>
      <w:r w:rsidRPr="00B76301">
        <w:rPr>
          <w:rFonts w:ascii="Verdana" w:hAnsi="Verdana" w:cs="Arial"/>
          <w:vanish/>
          <w:sz w:val="20"/>
          <w:szCs w:val="20"/>
        </w:rPr>
        <w:t>&amp;$</w:t>
      </w:r>
      <w:r w:rsidRPr="00B76301">
        <w:rPr>
          <w:rFonts w:ascii="Verdana" w:hAnsi="Verdana" w:cs="Arial"/>
          <w:sz w:val="20"/>
          <w:szCs w:val="20"/>
        </w:rPr>
        <w:t xml:space="preserve">Art. 49. </w:t>
      </w:r>
      <w:r w:rsidRPr="00B76301">
        <w:rPr>
          <w:rFonts w:ascii="Verdana" w:hAnsi="Verdana" w:cs="Arial"/>
          <w:i/>
          <w:sz w:val="20"/>
          <w:szCs w:val="20"/>
        </w:rPr>
        <w:t>Del saneamiento de los vicios de procedimiento o de forma</w:t>
      </w:r>
      <w:r w:rsidRPr="00B76301">
        <w:rPr>
          <w:rFonts w:ascii="Verdana" w:hAnsi="Verdana" w:cs="Arial"/>
          <w:sz w:val="20"/>
          <w:szCs w:val="20"/>
        </w:rPr>
        <w:t>. Ante la ocurrencia de vicios que no constituyan causales de nulidad y cuando las necesidades del servicio lo exijan o las reglas de la buena administración lo aconsejen, el jefe o representante legal de la entidad, en acto motivado, podrá sanear el correspondiente vicio.’</w:t>
      </w:r>
    </w:p>
    <w:p w14:paraId="2B62EF3F" w14:textId="77777777" w:rsidR="00162775" w:rsidRPr="00B76301" w:rsidRDefault="00162775" w:rsidP="00162775">
      <w:pPr>
        <w:spacing w:after="120" w:line="240" w:lineRule="auto"/>
        <w:ind w:left="709" w:right="709"/>
        <w:jc w:val="both"/>
        <w:rPr>
          <w:rFonts w:ascii="Verdana" w:hAnsi="Verdana" w:cs="Arial"/>
          <w:sz w:val="20"/>
          <w:szCs w:val="20"/>
          <w:lang w:val="es-ES"/>
        </w:rPr>
      </w:pPr>
      <w:bookmarkStart w:id="3" w:name="_Hlk84939568"/>
      <w:r w:rsidRPr="00B76301">
        <w:rPr>
          <w:rFonts w:ascii="Verdana" w:hAnsi="Verdana" w:cs="Arial"/>
          <w:sz w:val="20"/>
          <w:szCs w:val="20"/>
          <w:lang w:val="es-ES"/>
        </w:rPr>
        <w:t>Esta norma, armonizada con las que describen las causales de nulidad, reclama un listado de defectos o irregularidades que producen la nulidad absoluta o relativa, y otro listado de las que no tienen esa consecuencia -pese a existir un defecto -. Esta providencia no asumirá esa tarea, enorme y casuística, pese a que bastaría ordenar las sentencias para concretar muchas respuestas. No obstante, a la jurisprudencia le falta analizar cuándo la omisión de ciertos requisitos produce la nulidad del contrato. Por ejemplo: i) falta de estudios de oportunidad y conveniencia, ii) falta de convocatoria pública, iii) falta de estudios y documentos previos de la contratación, iv) falta de licencia ambiental –cuando se requiere-, v) falta de prepliego, vi) falta de avisos en la página web, vii) ausencia de acto de apertura, viii) falta de pliego definitivo, ix) falta de evaluación de ofertas, x) no poner el informe de evaluación de ofertas a disposición de los oferentes, xi) no celebrar audiencia de adjudicación, entre otros.</w:t>
      </w:r>
    </w:p>
    <w:p w14:paraId="0D811C9B" w14:textId="77777777" w:rsidR="00162775" w:rsidRPr="00B76301" w:rsidRDefault="00162775" w:rsidP="00162775">
      <w:pPr>
        <w:spacing w:after="0" w:line="240" w:lineRule="auto"/>
        <w:ind w:left="709" w:right="709"/>
        <w:jc w:val="both"/>
        <w:rPr>
          <w:rFonts w:ascii="Verdana" w:hAnsi="Verdana" w:cs="Arial"/>
          <w:sz w:val="20"/>
          <w:szCs w:val="20"/>
          <w:lang w:val="es-ES_tradnl"/>
        </w:rPr>
      </w:pPr>
      <w:r w:rsidRPr="00B76301">
        <w:rPr>
          <w:rFonts w:ascii="Verdana" w:hAnsi="Verdana" w:cs="Arial"/>
          <w:sz w:val="20"/>
          <w:szCs w:val="20"/>
          <w:lang w:val="es-ES_tradnl"/>
        </w:rPr>
        <w:lastRenderedPageBreak/>
        <w:t xml:space="preserve">No obstante, la regla que introduce el art. 49 es el </w:t>
      </w:r>
      <w:r w:rsidRPr="00B76301">
        <w:rPr>
          <w:rFonts w:ascii="Verdana" w:hAnsi="Verdana" w:cs="Arial"/>
          <w:i/>
          <w:sz w:val="20"/>
          <w:szCs w:val="20"/>
          <w:lang w:val="es-ES_tradnl"/>
        </w:rPr>
        <w:t>saneamiento general</w:t>
      </w:r>
      <w:r w:rsidRPr="00B76301">
        <w:rPr>
          <w:rFonts w:ascii="Verdana" w:hAnsi="Verdana" w:cs="Arial"/>
          <w:sz w:val="20"/>
          <w:szCs w:val="20"/>
          <w:lang w:val="es-ES_tradnl"/>
        </w:rPr>
        <w:t>, así que la norma autoriza regularizar buena parte de los defectos cometidos con ocasión de los procesos de contratación”</w:t>
      </w:r>
      <w:r w:rsidRPr="00B76301">
        <w:rPr>
          <w:rStyle w:val="Refdenotaalpie"/>
          <w:rFonts w:ascii="Verdana" w:hAnsi="Verdana" w:cs="Arial"/>
          <w:color w:val="000000" w:themeColor="text1"/>
          <w:sz w:val="20"/>
          <w:szCs w:val="20"/>
        </w:rPr>
        <w:t xml:space="preserve"> </w:t>
      </w:r>
      <w:r w:rsidRPr="00B76301">
        <w:rPr>
          <w:rStyle w:val="Refdenotaalpie"/>
          <w:rFonts w:ascii="Verdana" w:hAnsi="Verdana" w:cs="Arial"/>
          <w:color w:val="000000" w:themeColor="text1"/>
          <w:sz w:val="20"/>
          <w:szCs w:val="20"/>
        </w:rPr>
        <w:footnoteReference w:id="23"/>
      </w:r>
      <w:r w:rsidRPr="00B76301">
        <w:rPr>
          <w:rFonts w:ascii="Verdana" w:hAnsi="Verdana" w:cs="Arial"/>
          <w:sz w:val="20"/>
          <w:szCs w:val="20"/>
          <w:lang w:val="es-ES_tradnl"/>
        </w:rPr>
        <w:t>.</w:t>
      </w:r>
      <w:bookmarkEnd w:id="3"/>
    </w:p>
    <w:p w14:paraId="2D331C2F" w14:textId="77777777" w:rsidR="00162775" w:rsidRPr="009E312D" w:rsidRDefault="00162775" w:rsidP="00162775">
      <w:pPr>
        <w:spacing w:after="0" w:line="276" w:lineRule="auto"/>
        <w:ind w:left="709" w:right="709"/>
        <w:jc w:val="both"/>
        <w:rPr>
          <w:rFonts w:ascii="Verdana" w:hAnsi="Verdana" w:cs="Arial"/>
          <w:lang w:val="es-ES" w:eastAsia="es-CO"/>
        </w:rPr>
      </w:pPr>
    </w:p>
    <w:p w14:paraId="1CCD018E" w14:textId="77777777" w:rsidR="00162775" w:rsidRPr="00B348B4" w:rsidRDefault="00162775" w:rsidP="00162775">
      <w:pPr>
        <w:pStyle w:val="Textoindependiente"/>
        <w:spacing w:after="120" w:line="259" w:lineRule="auto"/>
        <w:ind w:right="108" w:firstLine="709"/>
        <w:jc w:val="both"/>
        <w:rPr>
          <w:rFonts w:ascii="Verdana" w:eastAsia="Times New Roman" w:hAnsi="Verdana"/>
          <w:bCs/>
          <w:color w:val="000000" w:themeColor="text1"/>
          <w:lang w:eastAsia="es-ES_tradnl"/>
        </w:rPr>
      </w:pPr>
      <w:r w:rsidRPr="00B348B4">
        <w:rPr>
          <w:rFonts w:ascii="Verdana" w:hAnsi="Verdana"/>
          <w:color w:val="000000" w:themeColor="text1"/>
        </w:rPr>
        <w:t xml:space="preserve">En conclusión, solamente aquellos vicios que no se encuentren tipificados en la Ley 80 de 1993 ni en el Código Civil y el Código de Comercio como causales de nulidad, podrán ser saneados directamente por las entidades estatales. </w:t>
      </w:r>
    </w:p>
    <w:p w14:paraId="7FC16D30" w14:textId="77777777" w:rsidR="00162775" w:rsidRPr="00B76301" w:rsidRDefault="00162775" w:rsidP="00162775">
      <w:pPr>
        <w:tabs>
          <w:tab w:val="left" w:pos="426"/>
        </w:tabs>
        <w:spacing w:after="0" w:line="276" w:lineRule="auto"/>
        <w:ind w:firstLine="743"/>
        <w:jc w:val="both"/>
        <w:rPr>
          <w:rFonts w:ascii="Verdana" w:eastAsia="Arial MT" w:hAnsi="Verdana" w:cs="Arial"/>
          <w:lang w:eastAsia="es-ES" w:bidi="es-ES"/>
        </w:rPr>
      </w:pPr>
      <w:r w:rsidRPr="00B76301">
        <w:rPr>
          <w:rFonts w:ascii="Verdana" w:hAnsi="Verdana"/>
          <w:bCs/>
          <w:color w:val="000000" w:themeColor="text1"/>
          <w:lang w:eastAsia="es-ES_tradnl"/>
        </w:rPr>
        <w:t xml:space="preserve">De esta manera, resulta necesario que las entidades estatales, dentro de su autonomía administrativa, analicen si determinada situación se trata de un vicio de procedimiento o de forma y que no constituya causal de nulidad, pues de lo contrario no resultaría aplicable el saneamiento del proceso con base en el artículo 49 de la Ley 80 de 1993. Teniendo en cuenta que son múltiples las situaciones que se pueden generar alrededor del caso expuesto en la consulta, esta Agencia no puede, </w:t>
      </w:r>
      <w:r w:rsidRPr="00B76301">
        <w:rPr>
          <w:rFonts w:ascii="Verdana" w:eastAsia="Arial MT" w:hAnsi="Verdana" w:cs="Arial"/>
          <w:lang w:eastAsia="es-ES" w:bidi="es-ES"/>
        </w:rPr>
        <w:t>vía concepto, establecer criterios vinculantes sobre la aplicación de esta figura u otros procedimientos. Su función consultiva se limita a brindar orientaciones generales, de conformidad con el principio de juridicidad, para que las entidades del Sistema de Compras y Contratación Pública adopten las decisiones correspondientes en el marco de su gestión contractual.</w:t>
      </w:r>
    </w:p>
    <w:p w14:paraId="3A86CB04" w14:textId="77777777" w:rsidR="00162775" w:rsidRPr="00B76301" w:rsidRDefault="00162775" w:rsidP="00162775">
      <w:pPr>
        <w:spacing w:after="0" w:line="276" w:lineRule="auto"/>
        <w:jc w:val="both"/>
        <w:rPr>
          <w:rFonts w:ascii="Verdana" w:eastAsia="Calibri" w:hAnsi="Verdana" w:cs="Arial"/>
          <w:bCs/>
          <w:lang w:eastAsia="es-ES_tradnl"/>
        </w:rPr>
      </w:pPr>
    </w:p>
    <w:p w14:paraId="6027269A" w14:textId="77777777" w:rsidR="00162775" w:rsidRPr="00AB7A25" w:rsidRDefault="00162775" w:rsidP="00162775">
      <w:pPr>
        <w:pStyle w:val="Prrafodelista"/>
        <w:spacing w:after="120" w:line="276" w:lineRule="auto"/>
        <w:ind w:left="0"/>
        <w:jc w:val="both"/>
        <w:rPr>
          <w:rFonts w:ascii="Verdana" w:eastAsia="Aptos" w:hAnsi="Verdana" w:cs="Arial"/>
          <w:shd w:val="clear" w:color="auto" w:fill="FFFFFF"/>
        </w:rPr>
      </w:pPr>
      <w:r>
        <w:rPr>
          <w:rFonts w:ascii="Verdana" w:eastAsia="Calibri" w:hAnsi="Verdana" w:cs="Arial"/>
          <w:lang w:eastAsia="es-ES"/>
        </w:rPr>
        <w:t xml:space="preserve">iii) </w:t>
      </w:r>
      <w:r w:rsidRPr="00AB7A25">
        <w:rPr>
          <w:rFonts w:ascii="Verdana" w:eastAsia="Calibri" w:hAnsi="Verdana" w:cs="Arial"/>
          <w:lang w:eastAsia="es-ES"/>
        </w:rPr>
        <w:t>Finalmente</w:t>
      </w:r>
      <w:r w:rsidRPr="00F41464">
        <w:rPr>
          <w:rFonts w:ascii="Verdana" w:eastAsia="Calibri" w:hAnsi="Verdana" w:cs="Times New Roman"/>
        </w:rPr>
        <w:t xml:space="preserve">, debe advertirse que el análisis en torno </w:t>
      </w:r>
      <w:r w:rsidRPr="00893D92">
        <w:rPr>
          <w:rFonts w:ascii="Verdana" w:eastAsia="Calibri" w:hAnsi="Verdana" w:cs="Times New Roman"/>
        </w:rPr>
        <w:t>a un proceso de contrata</w:t>
      </w:r>
      <w:r w:rsidRPr="00EA1913">
        <w:rPr>
          <w:rFonts w:ascii="Verdana" w:eastAsia="Calibri" w:hAnsi="Verdana" w:cs="Times New Roman"/>
        </w:rPr>
        <w:t>ción especifico debe ser realizado por quienes tengan interés en ello.</w:t>
      </w:r>
      <w:r w:rsidRPr="000D4934">
        <w:rPr>
          <w:rFonts w:ascii="Verdana" w:eastAsia="Calibri" w:hAnsi="Verdana" w:cs="Times New Roman"/>
        </w:rPr>
        <w:t xml:space="preserve"> De esta forma, las afirmaciones aquí realizadas no pueden ser interpretadas como juicios de valor sobre circunstancias concretas relacionadas con los hechos que motivan la consulta. Por</w:t>
      </w:r>
      <w:r w:rsidRPr="00E223A1">
        <w:rPr>
          <w:rFonts w:ascii="Verdana" w:eastAsia="Calibri" w:hAnsi="Verdana" w:cs="Times New Roman"/>
        </w:rPr>
        <w:t xml:space="preserve"> lo anterior, previo concepto de sus asesores, la solución de situaciones particulares corresponderá a los interesados de adoptar la decisión y, en caso de conflicto, a las autoridades judiciales, fiscales y disciplinarias.</w:t>
      </w:r>
      <w:r w:rsidRPr="00B76301">
        <w:rPr>
          <w:rFonts w:ascii="Verdana" w:hAnsi="Verdana"/>
        </w:rPr>
        <w:t xml:space="preserve"> </w:t>
      </w:r>
    </w:p>
    <w:p w14:paraId="5900CD17" w14:textId="77777777" w:rsidR="00162775" w:rsidRPr="00B76301" w:rsidRDefault="00162775" w:rsidP="00162775">
      <w:pPr>
        <w:widowControl w:val="0"/>
        <w:autoSpaceDE w:val="0"/>
        <w:autoSpaceDN w:val="0"/>
        <w:spacing w:after="0" w:line="276" w:lineRule="auto"/>
        <w:jc w:val="both"/>
        <w:rPr>
          <w:rFonts w:ascii="Verdana" w:eastAsia="Calibri" w:hAnsi="Verdana" w:cs="Times New Roman"/>
          <w:lang w:val="es-ES"/>
        </w:rPr>
      </w:pPr>
      <w:r w:rsidRPr="00B76301">
        <w:rPr>
          <w:rFonts w:ascii="Verdana" w:eastAsia="Calibri" w:hAnsi="Verdana" w:cs="Times New Roman"/>
          <w:lang w:val="es-ES"/>
        </w:rPr>
        <w:t xml:space="preserve">        En ese sentido,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w:t>
      </w:r>
      <w:r w:rsidRPr="00B76301">
        <w:rPr>
          <w:rFonts w:ascii="Verdana" w:eastAsia="Calibri" w:hAnsi="Verdana" w:cs="Times New Roman"/>
          <w:lang w:val="es-ES"/>
        </w:rPr>
        <w:lastRenderedPageBreak/>
        <w:t>juridicidad. Así cada entidad definirá la forma de adelantar su gestión contractual, sin que sea atribución de la Agencia Nacional de Contratación Pública – Colombia Compra Eficiente, validar sus actuaciones.</w:t>
      </w:r>
    </w:p>
    <w:p w14:paraId="0EC8E1D2" w14:textId="77777777" w:rsidR="00162775" w:rsidRPr="00B76301" w:rsidRDefault="00162775" w:rsidP="00162775">
      <w:pPr>
        <w:widowControl w:val="0"/>
        <w:autoSpaceDE w:val="0"/>
        <w:autoSpaceDN w:val="0"/>
        <w:spacing w:after="0" w:line="276" w:lineRule="auto"/>
        <w:jc w:val="both"/>
        <w:rPr>
          <w:rFonts w:ascii="Verdana" w:eastAsia="Calibri" w:hAnsi="Verdana" w:cs="Arial"/>
          <w:lang w:val="es-ES"/>
        </w:rPr>
      </w:pPr>
    </w:p>
    <w:p w14:paraId="4B8BEF6F" w14:textId="77777777" w:rsidR="00162775" w:rsidRPr="00F41464" w:rsidRDefault="00162775" w:rsidP="00162775">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AB7A25">
        <w:rPr>
          <w:rFonts w:ascii="Verdana" w:eastAsia="Century Gothic" w:hAnsi="Verdana" w:cs="Century Gothic"/>
          <w:b/>
          <w:bCs/>
          <w:color w:val="000000" w:themeColor="text1"/>
        </w:rPr>
        <w:t>Referencias normativas, jurisprudenciales y otras fuentes:</w:t>
      </w:r>
    </w:p>
    <w:p w14:paraId="526D4D5D" w14:textId="77777777" w:rsidR="00162775" w:rsidRPr="00B76301" w:rsidRDefault="00162775" w:rsidP="00162775">
      <w:pPr>
        <w:widowControl w:val="0"/>
        <w:autoSpaceDE w:val="0"/>
        <w:autoSpaceDN w:val="0"/>
        <w:spacing w:after="0" w:line="276" w:lineRule="auto"/>
        <w:jc w:val="both"/>
        <w:rPr>
          <w:rFonts w:ascii="Verdana" w:hAnsi="Verdana" w:cs="Arial"/>
          <w:color w:val="000000" w:themeColor="text1"/>
        </w:rPr>
      </w:pPr>
    </w:p>
    <w:tbl>
      <w:tblPr>
        <w:tblStyle w:val="Tablaconcuadrcula"/>
        <w:tblW w:w="86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162775" w:rsidRPr="00B76301" w14:paraId="527972B1" w14:textId="77777777" w:rsidTr="00B76301">
        <w:trPr>
          <w:trHeight w:val="335"/>
        </w:trPr>
        <w:tc>
          <w:tcPr>
            <w:tcW w:w="8647" w:type="dxa"/>
          </w:tcPr>
          <w:p w14:paraId="463DD309" w14:textId="77777777" w:rsidR="00162775" w:rsidRPr="00B76301" w:rsidRDefault="00162775" w:rsidP="00B76301">
            <w:pPr>
              <w:numPr>
                <w:ilvl w:val="0"/>
                <w:numId w:val="17"/>
              </w:numPr>
              <w:spacing w:line="276" w:lineRule="auto"/>
              <w:ind w:left="612" w:hanging="357"/>
              <w:jc w:val="both"/>
              <w:rPr>
                <w:rFonts w:ascii="Verdana" w:eastAsia="Calibri" w:hAnsi="Verdana" w:cs="Arial"/>
                <w:lang w:val="es-ES_tradnl"/>
              </w:rPr>
            </w:pPr>
            <w:r w:rsidRPr="00B76301">
              <w:rPr>
                <w:rFonts w:ascii="Verdana" w:eastAsia="Calibri" w:hAnsi="Verdana" w:cs="Arial"/>
                <w:lang w:val="es-ES_tradnl"/>
              </w:rPr>
              <w:t xml:space="preserve">Constitución Política de Colombia: Artículos 6 y 121. </w:t>
            </w:r>
          </w:p>
          <w:p w14:paraId="4CD5C979" w14:textId="77777777" w:rsidR="00162775" w:rsidRPr="00B76301" w:rsidRDefault="00162775" w:rsidP="00B76301">
            <w:pPr>
              <w:numPr>
                <w:ilvl w:val="0"/>
                <w:numId w:val="17"/>
              </w:numPr>
              <w:spacing w:line="276" w:lineRule="auto"/>
              <w:ind w:left="612" w:hanging="357"/>
              <w:jc w:val="both"/>
              <w:rPr>
                <w:rFonts w:ascii="Verdana" w:eastAsia="Calibri" w:hAnsi="Verdana" w:cs="Arial"/>
                <w:lang w:val="es-ES_tradnl"/>
              </w:rPr>
            </w:pPr>
            <w:r w:rsidRPr="00B76301">
              <w:rPr>
                <w:rFonts w:ascii="Verdana" w:eastAsia="Calibri" w:hAnsi="Verdana" w:cs="Arial"/>
                <w:lang w:val="es-ES_tradnl"/>
              </w:rPr>
              <w:t>Ley 80 de 1993: Artículos 3</w:t>
            </w:r>
            <w:r w:rsidRPr="004B0546">
              <w:rPr>
                <w:rFonts w:ascii="Verdana" w:eastAsia="Calibri" w:hAnsi="Verdana" w:cs="Arial"/>
                <w:lang w:val="es-ES_tradnl"/>
              </w:rPr>
              <w:t xml:space="preserve">, </w:t>
            </w:r>
            <w:r w:rsidRPr="00B76301">
              <w:rPr>
                <w:rFonts w:ascii="Verdana" w:hAnsi="Verdana" w:cs="Arial"/>
                <w:lang w:val="es-ES"/>
              </w:rPr>
              <w:t>25, 44, 46, 49,</w:t>
            </w:r>
            <w:r w:rsidRPr="00B76301">
              <w:rPr>
                <w:rFonts w:ascii="Verdana" w:eastAsia="Calibri" w:hAnsi="Verdana" w:cs="Arial"/>
                <w:lang w:val="es-ES_tradnl"/>
              </w:rPr>
              <w:t xml:space="preserve"> 60</w:t>
            </w:r>
            <w:r w:rsidRPr="004B0546">
              <w:rPr>
                <w:rFonts w:ascii="Verdana" w:eastAsia="Calibri" w:hAnsi="Verdana" w:cs="Arial"/>
                <w:lang w:val="es-ES_tradnl"/>
              </w:rPr>
              <w:t xml:space="preserve"> y 77</w:t>
            </w:r>
            <w:r w:rsidRPr="00B76301">
              <w:rPr>
                <w:rFonts w:ascii="Verdana" w:eastAsia="Calibri" w:hAnsi="Verdana" w:cs="Arial"/>
                <w:lang w:val="es-ES_tradnl"/>
              </w:rPr>
              <w:t>.</w:t>
            </w:r>
          </w:p>
          <w:p w14:paraId="409F128E" w14:textId="77777777" w:rsidR="00162775" w:rsidRPr="00B76301" w:rsidRDefault="00162775" w:rsidP="00B76301">
            <w:pPr>
              <w:numPr>
                <w:ilvl w:val="0"/>
                <w:numId w:val="17"/>
              </w:numPr>
              <w:spacing w:line="276" w:lineRule="auto"/>
              <w:ind w:left="612" w:hanging="357"/>
              <w:jc w:val="both"/>
              <w:rPr>
                <w:rFonts w:ascii="Verdana" w:eastAsia="Calibri" w:hAnsi="Verdana" w:cs="Arial"/>
                <w:lang w:val="es-ES_tradnl"/>
              </w:rPr>
            </w:pPr>
            <w:r w:rsidRPr="00B76301">
              <w:rPr>
                <w:rFonts w:ascii="Verdana" w:eastAsia="Calibri" w:hAnsi="Verdana" w:cs="Arial"/>
                <w:lang w:val="es-ES_tradnl"/>
              </w:rPr>
              <w:t xml:space="preserve">Ley 1150 de 2007: Artículo 11. </w:t>
            </w:r>
          </w:p>
          <w:p w14:paraId="3197A522" w14:textId="77777777" w:rsidR="00162775" w:rsidRPr="00B76301" w:rsidRDefault="00162775" w:rsidP="00B76301">
            <w:pPr>
              <w:pStyle w:val="Prrafodelista"/>
              <w:numPr>
                <w:ilvl w:val="0"/>
                <w:numId w:val="17"/>
              </w:numPr>
              <w:spacing w:line="276" w:lineRule="auto"/>
              <w:ind w:left="612" w:hanging="357"/>
              <w:contextualSpacing w:val="0"/>
              <w:jc w:val="both"/>
              <w:rPr>
                <w:rFonts w:ascii="Verdana" w:eastAsia="Calibri" w:hAnsi="Verdana" w:cs="Arial"/>
              </w:rPr>
            </w:pPr>
            <w:r w:rsidRPr="00B76301">
              <w:rPr>
                <w:rFonts w:ascii="Verdana" w:eastAsia="Calibri" w:hAnsi="Verdana" w:cs="Arial"/>
              </w:rPr>
              <w:t>Consejo de Estado. Sección Tercera. Subsección C. 20 de octubre de 2014, M.P: Enrique Gil Botero. Exp. 27.777.</w:t>
            </w:r>
          </w:p>
          <w:p w14:paraId="21A6D123" w14:textId="77777777" w:rsidR="00162775" w:rsidRPr="00B76301" w:rsidRDefault="00162775" w:rsidP="00B76301">
            <w:pPr>
              <w:pStyle w:val="Prrafodelista"/>
              <w:numPr>
                <w:ilvl w:val="0"/>
                <w:numId w:val="17"/>
              </w:numPr>
              <w:spacing w:line="276" w:lineRule="auto"/>
              <w:ind w:left="612" w:hanging="357"/>
              <w:contextualSpacing w:val="0"/>
              <w:jc w:val="both"/>
              <w:rPr>
                <w:rFonts w:ascii="Verdana" w:eastAsia="Calibri" w:hAnsi="Verdana" w:cs="Arial"/>
                <w:lang w:val="es-ES_tradnl"/>
              </w:rPr>
            </w:pPr>
            <w:r w:rsidRPr="00B76301">
              <w:rPr>
                <w:rFonts w:ascii="Verdana" w:eastAsia="Calibri" w:hAnsi="Verdana" w:cs="Arial"/>
                <w:lang w:val="es-ES_tradnl"/>
              </w:rPr>
              <w:t>Consejo De Estado, Sala de Consulta y Servicio Civil. Radicado No. 1453. Concepto de 6 de agosto de 2003. MP. Augusto Trejos.</w:t>
            </w:r>
          </w:p>
          <w:p w14:paraId="17B1DFA5" w14:textId="77777777" w:rsidR="00162775" w:rsidRPr="00B76301" w:rsidRDefault="00162775" w:rsidP="00B76301">
            <w:pPr>
              <w:numPr>
                <w:ilvl w:val="0"/>
                <w:numId w:val="17"/>
              </w:numPr>
              <w:spacing w:line="276" w:lineRule="auto"/>
              <w:ind w:left="612" w:hanging="357"/>
              <w:jc w:val="both"/>
              <w:rPr>
                <w:rFonts w:ascii="Verdana" w:eastAsia="Times New Roman" w:hAnsi="Verdana" w:cs="Arial"/>
              </w:rPr>
            </w:pPr>
            <w:r w:rsidRPr="00B76301">
              <w:rPr>
                <w:rFonts w:ascii="Verdana" w:eastAsia="Calibri" w:hAnsi="Verdana" w:cs="Arial"/>
                <w:lang w:val="es-ES_tradnl"/>
              </w:rPr>
              <w:t>Consejo de Estado, Sección Tercera, Subsección A, Sentencia del 20 de mayo de 2024, radicado No. 58.879, Consejera Ponente: María Adriana Marín.</w:t>
            </w:r>
          </w:p>
          <w:p w14:paraId="1DDD6BB3" w14:textId="77777777" w:rsidR="00162775" w:rsidRPr="00B76301" w:rsidRDefault="00162775" w:rsidP="00B76301">
            <w:pPr>
              <w:numPr>
                <w:ilvl w:val="0"/>
                <w:numId w:val="17"/>
              </w:numPr>
              <w:spacing w:line="276" w:lineRule="auto"/>
              <w:ind w:left="612" w:hanging="357"/>
              <w:jc w:val="both"/>
              <w:rPr>
                <w:rFonts w:ascii="Verdana" w:hAnsi="Verdana" w:cs="Arial"/>
              </w:rPr>
            </w:pPr>
            <w:r w:rsidRPr="00B76301">
              <w:rPr>
                <w:rFonts w:ascii="Verdana" w:hAnsi="Verdana"/>
              </w:rPr>
              <w:t xml:space="preserve">Agencia Nacional de Contratación Pública – Colombia Compra Eficiente. </w:t>
            </w:r>
            <w:r w:rsidRPr="00B76301">
              <w:rPr>
                <w:rFonts w:ascii="Verdana" w:eastAsia="Calibri" w:hAnsi="Verdana" w:cs="Arial"/>
                <w:lang w:eastAsia="es-ES_tradnl"/>
              </w:rPr>
              <w:t>Guía para la liquidación de los procesos de contratación</w:t>
            </w:r>
            <w:r w:rsidRPr="00B76301">
              <w:rPr>
                <w:rFonts w:ascii="Verdana" w:hAnsi="Verdana"/>
              </w:rPr>
              <w:t xml:space="preserve">. Disponible en: </w:t>
            </w:r>
            <w:hyperlink r:id="rId13" w:history="1">
              <w:r w:rsidRPr="00B76301">
                <w:rPr>
                  <w:rStyle w:val="Hipervnculo"/>
                  <w:rFonts w:ascii="Verdana" w:hAnsi="Verdana"/>
                </w:rPr>
                <w:t>https://www.colombiacompra.gov.co/wp-content/uploads/2024/08/2016-Guia-para-la-liquidacion-contratos-estatales-G-LPC-01.pdf</w:t>
              </w:r>
            </w:hyperlink>
          </w:p>
        </w:tc>
      </w:tr>
    </w:tbl>
    <w:p w14:paraId="1831C0C7" w14:textId="77777777" w:rsidR="00162775" w:rsidRPr="00B76301" w:rsidRDefault="00162775" w:rsidP="00425C69">
      <w:pPr>
        <w:widowControl w:val="0"/>
        <w:autoSpaceDE w:val="0"/>
        <w:autoSpaceDN w:val="0"/>
        <w:spacing w:after="0" w:line="276" w:lineRule="auto"/>
        <w:jc w:val="both"/>
        <w:rPr>
          <w:rFonts w:ascii="Verdana" w:hAnsi="Verdana" w:cs="Arial"/>
          <w:color w:val="000000" w:themeColor="text1"/>
        </w:rPr>
      </w:pPr>
    </w:p>
    <w:p w14:paraId="47BD48EA" w14:textId="77777777" w:rsidR="00162775" w:rsidRPr="00F41464" w:rsidRDefault="00162775" w:rsidP="00425C69">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AB7A25">
        <w:rPr>
          <w:rFonts w:ascii="Verdana" w:eastAsia="Century Gothic" w:hAnsi="Verdana" w:cs="Century Gothic"/>
          <w:b/>
          <w:bCs/>
          <w:color w:val="000000" w:themeColor="text1"/>
        </w:rPr>
        <w:t>Doctrina de la Agencia Nacional de Contratación Pública:</w:t>
      </w:r>
    </w:p>
    <w:p w14:paraId="43A322CF" w14:textId="77777777" w:rsidR="00162775" w:rsidRPr="00B76301" w:rsidRDefault="00162775" w:rsidP="00425C69">
      <w:pPr>
        <w:widowControl w:val="0"/>
        <w:autoSpaceDE w:val="0"/>
        <w:autoSpaceDN w:val="0"/>
        <w:spacing w:after="0" w:line="276" w:lineRule="auto"/>
        <w:jc w:val="both"/>
        <w:rPr>
          <w:rFonts w:ascii="Verdana" w:hAnsi="Verdana" w:cs="Arial"/>
          <w:color w:val="000000" w:themeColor="text1"/>
        </w:rPr>
      </w:pPr>
    </w:p>
    <w:p w14:paraId="647B24F5" w14:textId="77777777" w:rsidR="00162775" w:rsidRPr="00B76301" w:rsidRDefault="00162775" w:rsidP="00425C69">
      <w:pPr>
        <w:widowControl w:val="0"/>
        <w:autoSpaceDE w:val="0"/>
        <w:autoSpaceDN w:val="0"/>
        <w:spacing w:after="0" w:line="276" w:lineRule="auto"/>
        <w:jc w:val="both"/>
        <w:rPr>
          <w:rStyle w:val="normaltextrun"/>
          <w:rFonts w:ascii="Verdana" w:hAnsi="Verdana" w:cs="Arial"/>
          <w:shd w:val="clear" w:color="auto" w:fill="FFFFFF"/>
          <w:lang w:val="es-ES"/>
        </w:rPr>
      </w:pPr>
      <w:r w:rsidRPr="00B76301">
        <w:rPr>
          <w:rFonts w:ascii="Verdana" w:eastAsia="Aptos" w:hAnsi="Verdana" w:cs="Arial"/>
        </w:rPr>
        <w:t xml:space="preserve">La </w:t>
      </w:r>
      <w:r w:rsidRPr="00B76301">
        <w:rPr>
          <w:rFonts w:ascii="Verdana" w:eastAsia="Calibri" w:hAnsi="Verdana" w:cs="Arial"/>
        </w:rPr>
        <w:t xml:space="preserve">Agencia Nacional de Contratación Pública ― Colombia Compra Eficiente </w:t>
      </w:r>
      <w:r w:rsidRPr="00B76301">
        <w:rPr>
          <w:rFonts w:ascii="Verdana" w:eastAsia="Aptos" w:hAnsi="Verdana" w:cs="Arial"/>
          <w:shd w:val="clear" w:color="auto" w:fill="FFFFFF"/>
          <w:lang w:val="es-ES"/>
        </w:rPr>
        <w:t xml:space="preserve">se ha pronunciado </w:t>
      </w:r>
      <w:r w:rsidRPr="00B76301">
        <w:rPr>
          <w:rFonts w:ascii="Verdana" w:eastAsia="Calibri" w:hAnsi="Verdana" w:cs="Arial"/>
          <w:lang w:val="es-ES_tradnl" w:eastAsia="es-ES_tradnl"/>
        </w:rPr>
        <w:t>sobre la liquidación de los contratos en los conceptos C-479 del 27 de julio de 2020, C-625 del 28 de septiembre del 2020, C-078 del 17 de marzo de 2021, C-769 del 16 de noviembre de 2022, C-015 del 24 de febrero del 2023, C-019 del 19 de abril del 2023, C-176 del 03 de mayo del 2023, C-158 del 06 de junio del 2023, C-307 del 25 de julio del 2023, C-048 del 26 de febrero de 2025</w:t>
      </w:r>
      <w:r w:rsidRPr="00B76301">
        <w:rPr>
          <w:rFonts w:ascii="Verdana" w:hAnsi="Verdana" w:cs="Arial"/>
          <w:color w:val="000000" w:themeColor="text1"/>
          <w:shd w:val="clear" w:color="auto" w:fill="FFFFFF"/>
          <w:lang w:val="es-ES"/>
        </w:rPr>
        <w:t>, C-975 del 19 de agosto de 2025, entre otros</w:t>
      </w:r>
      <w:r w:rsidRPr="00B76301">
        <w:rPr>
          <w:rFonts w:ascii="Verdana" w:eastAsia="Calibri" w:hAnsi="Verdana" w:cs="Arial"/>
          <w:color w:val="000000" w:themeColor="text1"/>
          <w:lang w:val="es-ES"/>
        </w:rPr>
        <w:t xml:space="preserve">. </w:t>
      </w:r>
      <w:r w:rsidRPr="00B76301">
        <w:rPr>
          <w:rStyle w:val="normaltextrun"/>
          <w:rFonts w:ascii="Verdana" w:hAnsi="Verdana" w:cs="Arial"/>
          <w:shd w:val="clear" w:color="auto" w:fill="FFFFFF"/>
          <w:lang w:val="es-ES"/>
        </w:rPr>
        <w:t>Es</w:t>
      </w:r>
      <w:r w:rsidRPr="00B76301">
        <w:rPr>
          <w:rFonts w:ascii="Verdana" w:hAnsi="Verdana"/>
        </w:rPr>
        <w:t>tos y otros conceptos se encuentran disponibles para consulta en el Sistema de relatoría de la Agencia, al cual se puede acceder a través del siguiente enlace:</w:t>
      </w:r>
      <w:r w:rsidRPr="00B76301">
        <w:rPr>
          <w:rStyle w:val="normaltextrun"/>
          <w:rFonts w:ascii="Verdana" w:hAnsi="Verdana" w:cs="Arial"/>
          <w:shd w:val="clear" w:color="auto" w:fill="FFFFFF"/>
          <w:lang w:val="es-ES"/>
        </w:rPr>
        <w:t xml:space="preserve"> </w:t>
      </w:r>
      <w:hyperlink r:id="rId14" w:history="1">
        <w:r w:rsidRPr="00B76301">
          <w:rPr>
            <w:rStyle w:val="Hipervnculo"/>
            <w:rFonts w:ascii="Verdana" w:hAnsi="Verdana" w:cs="Arial"/>
            <w:shd w:val="clear" w:color="auto" w:fill="FFFFFF"/>
            <w:lang w:val="es-ES"/>
          </w:rPr>
          <w:t>https://relatoria.colombiacompra.gov.co/busqueda/conceptos</w:t>
        </w:r>
      </w:hyperlink>
      <w:r w:rsidRPr="00B76301">
        <w:rPr>
          <w:rStyle w:val="normaltextrun"/>
          <w:rFonts w:ascii="Verdana" w:hAnsi="Verdana" w:cs="Arial"/>
          <w:shd w:val="clear" w:color="auto" w:fill="FFFFFF"/>
          <w:lang w:val="es-ES"/>
        </w:rPr>
        <w:t xml:space="preserve">. </w:t>
      </w:r>
    </w:p>
    <w:p w14:paraId="6345A8F6" w14:textId="77777777" w:rsidR="00162775" w:rsidRPr="00B76301" w:rsidRDefault="00162775" w:rsidP="00425C69">
      <w:pPr>
        <w:widowControl w:val="0"/>
        <w:autoSpaceDE w:val="0"/>
        <w:autoSpaceDN w:val="0"/>
        <w:spacing w:after="0" w:line="276" w:lineRule="auto"/>
        <w:jc w:val="both"/>
        <w:rPr>
          <w:rStyle w:val="normaltextrun"/>
          <w:rFonts w:ascii="Verdana" w:hAnsi="Verdana" w:cs="Arial"/>
          <w:color w:val="000000" w:themeColor="text1"/>
          <w:shd w:val="clear" w:color="auto" w:fill="FFFFFF"/>
          <w:lang w:val="es-ES"/>
        </w:rPr>
      </w:pPr>
      <w:r w:rsidRPr="00B76301">
        <w:rPr>
          <w:rStyle w:val="normaltextrun"/>
          <w:rFonts w:ascii="Verdana" w:hAnsi="Verdana" w:cs="Arial"/>
          <w:color w:val="000000" w:themeColor="text1"/>
          <w:shd w:val="clear" w:color="auto" w:fill="FFFFFF"/>
          <w:lang w:val="es-ES"/>
        </w:rPr>
        <w:t xml:space="preserve">  </w:t>
      </w:r>
    </w:p>
    <w:p w14:paraId="026FDD08" w14:textId="583C401D" w:rsidR="00162775" w:rsidRPr="00B76301" w:rsidRDefault="00162775" w:rsidP="00425C69">
      <w:pPr>
        <w:spacing w:after="0" w:line="276" w:lineRule="auto"/>
        <w:jc w:val="both"/>
        <w:rPr>
          <w:rFonts w:ascii="Verdana" w:hAnsi="Verdana"/>
          <w:color w:val="000000" w:themeColor="text1"/>
        </w:rPr>
      </w:pPr>
      <w:r w:rsidRPr="00B76301">
        <w:rPr>
          <w:rFonts w:ascii="Verdana" w:hAnsi="Verdana"/>
          <w:color w:val="000000" w:themeColor="text1"/>
        </w:rPr>
        <w:lastRenderedPageBreak/>
        <w:t xml:space="preserve">Lo invitamos a seguirnos en las redes sociales en las cuales se difunde información institucional: </w:t>
      </w:r>
    </w:p>
    <w:p w14:paraId="187F3275" w14:textId="77777777" w:rsidR="00162775" w:rsidRPr="00B76301" w:rsidRDefault="00162775" w:rsidP="00425C69">
      <w:pPr>
        <w:spacing w:after="0" w:line="276" w:lineRule="auto"/>
        <w:jc w:val="both"/>
        <w:rPr>
          <w:rFonts w:ascii="Verdana" w:hAnsi="Verdana"/>
          <w:color w:val="000000" w:themeColor="text1"/>
        </w:rPr>
      </w:pPr>
    </w:p>
    <w:p w14:paraId="62BF6EF9" w14:textId="77777777" w:rsidR="00162775" w:rsidRPr="00B76301" w:rsidRDefault="00162775" w:rsidP="00425C69">
      <w:pPr>
        <w:spacing w:after="0" w:line="276" w:lineRule="auto"/>
        <w:jc w:val="both"/>
        <w:rPr>
          <w:rFonts w:ascii="Verdana" w:hAnsi="Verdana"/>
          <w:color w:val="000000" w:themeColor="text1"/>
        </w:rPr>
      </w:pPr>
      <w:r w:rsidRPr="00B76301">
        <w:rPr>
          <w:rFonts w:ascii="Verdana" w:hAnsi="Verdana"/>
          <w:color w:val="000000" w:themeColor="text1"/>
        </w:rPr>
        <w:t xml:space="preserve">Twitter: </w:t>
      </w:r>
      <w:r w:rsidRPr="00B76301">
        <w:rPr>
          <w:rStyle w:val="Hipervnculo"/>
          <w:rFonts w:ascii="Verdana" w:hAnsi="Verdana"/>
          <w:color w:val="000000" w:themeColor="text1"/>
        </w:rPr>
        <w:t>@colombiacompra</w:t>
      </w:r>
      <w:r w:rsidRPr="00B76301">
        <w:rPr>
          <w:rFonts w:ascii="Verdana" w:hAnsi="Verdana"/>
          <w:color w:val="000000" w:themeColor="text1"/>
        </w:rPr>
        <w:t xml:space="preserve"> </w:t>
      </w:r>
    </w:p>
    <w:p w14:paraId="65112756" w14:textId="79BE63FE" w:rsidR="00162775" w:rsidRPr="00B76301" w:rsidRDefault="00162775" w:rsidP="00425C69">
      <w:pPr>
        <w:spacing w:after="0" w:line="276" w:lineRule="auto"/>
        <w:jc w:val="both"/>
        <w:rPr>
          <w:rFonts w:ascii="Verdana" w:hAnsi="Verdana"/>
          <w:color w:val="000000" w:themeColor="text1"/>
        </w:rPr>
      </w:pPr>
      <w:r w:rsidRPr="00B76301">
        <w:rPr>
          <w:rFonts w:ascii="Verdana" w:hAnsi="Verdana"/>
          <w:color w:val="000000" w:themeColor="text1"/>
        </w:rPr>
        <w:t xml:space="preserve">Facebook: </w:t>
      </w:r>
      <w:r w:rsidRPr="00B76301">
        <w:rPr>
          <w:rStyle w:val="Hipervnculo"/>
          <w:rFonts w:ascii="Verdana" w:hAnsi="Verdana"/>
          <w:color w:val="000000" w:themeColor="text1"/>
        </w:rPr>
        <w:t>ColombiaCompraEficiente</w:t>
      </w:r>
    </w:p>
    <w:p w14:paraId="5E1F0920" w14:textId="77777777" w:rsidR="00162775" w:rsidRPr="00B76301" w:rsidRDefault="00162775" w:rsidP="00425C69">
      <w:pPr>
        <w:spacing w:after="0" w:line="276" w:lineRule="auto"/>
        <w:jc w:val="both"/>
        <w:rPr>
          <w:rStyle w:val="Hipervnculo"/>
          <w:rFonts w:ascii="Verdana" w:hAnsi="Verdana"/>
          <w:color w:val="000000" w:themeColor="text1"/>
        </w:rPr>
      </w:pPr>
      <w:r w:rsidRPr="00B76301">
        <w:rPr>
          <w:rFonts w:ascii="Verdana" w:hAnsi="Verdana"/>
          <w:color w:val="000000" w:themeColor="text1"/>
        </w:rPr>
        <w:t xml:space="preserve">LinkedIn: </w:t>
      </w:r>
      <w:r w:rsidRPr="00B76301">
        <w:rPr>
          <w:rStyle w:val="Hipervnculo"/>
          <w:rFonts w:ascii="Verdana" w:hAnsi="Verdana"/>
          <w:color w:val="000000" w:themeColor="text1"/>
        </w:rPr>
        <w:t>Agencia Nacional de Contratación Pública - Colombia Compra Eficiente</w:t>
      </w:r>
      <w:r w:rsidRPr="00B76301">
        <w:rPr>
          <w:rFonts w:ascii="Verdana" w:hAnsi="Verdana"/>
          <w:color w:val="000000" w:themeColor="text1"/>
        </w:rPr>
        <w:t xml:space="preserve"> Instagram: </w:t>
      </w:r>
      <w:r w:rsidRPr="00B76301">
        <w:rPr>
          <w:rStyle w:val="Hipervnculo"/>
          <w:rFonts w:ascii="Verdana" w:hAnsi="Verdana"/>
          <w:color w:val="000000" w:themeColor="text1"/>
        </w:rPr>
        <w:t>@colombiacompraeficiente_cce</w:t>
      </w:r>
    </w:p>
    <w:p w14:paraId="67ADE644" w14:textId="77777777" w:rsidR="00162775" w:rsidRDefault="00162775" w:rsidP="00425C69">
      <w:pPr>
        <w:spacing w:after="0" w:line="276" w:lineRule="auto"/>
        <w:jc w:val="both"/>
        <w:rPr>
          <w:rFonts w:ascii="Verdana" w:hAnsi="Verdana"/>
        </w:rPr>
      </w:pPr>
    </w:p>
    <w:p w14:paraId="1567B026" w14:textId="68E31C3C" w:rsidR="00162775" w:rsidRPr="00B76301" w:rsidRDefault="00162775" w:rsidP="00425C69">
      <w:pPr>
        <w:spacing w:after="0" w:line="276" w:lineRule="auto"/>
        <w:jc w:val="both"/>
        <w:rPr>
          <w:rFonts w:ascii="Verdana" w:hAnsi="Verdana"/>
        </w:rPr>
      </w:pPr>
      <w:r w:rsidRPr="00B76301">
        <w:rPr>
          <w:rFonts w:ascii="Verdana" w:hAnsi="Verdana" w:cs="Arial"/>
          <w:color w:val="000000" w:themeColor="text1"/>
        </w:rPr>
        <w:t xml:space="preserve">Este concepto tiene el alcance previsto en el artículo 28 del Código de Procedimiento Administrativo y de lo Contencioso Administrativo </w:t>
      </w:r>
      <w:r w:rsidRPr="00B76301">
        <w:rPr>
          <w:rFonts w:ascii="Verdana" w:hAnsi="Verdana" w:cs="Arial"/>
          <w:color w:val="000000" w:themeColor="text1"/>
          <w:lang w:val="es-ES_tradnl"/>
        </w:rPr>
        <w:t>y las expresiones aquí utilizadas con mayúscula inicial deben ser entendidas con el significado que les otorga el artículo 2.2.1.1.1.3.1. del Decreto 1082 de 2015.</w:t>
      </w:r>
    </w:p>
    <w:p w14:paraId="45DD556E" w14:textId="77777777" w:rsidR="00162775" w:rsidRPr="00B76301" w:rsidRDefault="00162775" w:rsidP="00425C69">
      <w:pPr>
        <w:spacing w:after="0" w:line="276" w:lineRule="auto"/>
        <w:jc w:val="both"/>
        <w:rPr>
          <w:rFonts w:ascii="Verdana" w:eastAsia="Verdana" w:hAnsi="Verdana" w:cs="Verdana"/>
          <w:lang w:val="es-MX"/>
        </w:rPr>
      </w:pPr>
    </w:p>
    <w:p w14:paraId="57233C91" w14:textId="1BE6DF70" w:rsidR="00162775" w:rsidRPr="00B76301" w:rsidRDefault="00162775" w:rsidP="00425C69">
      <w:pPr>
        <w:spacing w:after="0" w:line="276" w:lineRule="auto"/>
        <w:jc w:val="both"/>
        <w:rPr>
          <w:rFonts w:ascii="Verdana" w:eastAsia="Verdana" w:hAnsi="Verdana" w:cs="Verdana"/>
          <w:lang w:val="es-MX"/>
        </w:rPr>
      </w:pPr>
      <w:r w:rsidRPr="00B76301">
        <w:rPr>
          <w:rFonts w:ascii="Verdana" w:eastAsia="Verdana" w:hAnsi="Verdana" w:cs="Verdana"/>
          <w:lang w:val="es-MX"/>
        </w:rPr>
        <w:t>Cordialmente,</w:t>
      </w:r>
    </w:p>
    <w:p w14:paraId="3266E386" w14:textId="781B5282" w:rsidR="00D90D1A" w:rsidRPr="00450275" w:rsidRDefault="00450275" w:rsidP="00450275">
      <w:pPr>
        <w:spacing w:after="0" w:line="276" w:lineRule="auto"/>
        <w:jc w:val="center"/>
        <w:rPr>
          <w:rFonts w:ascii="Verdana" w:eastAsia="Aptos" w:hAnsi="Verdana" w:cs="Arial"/>
          <w:shd w:val="clear" w:color="auto" w:fill="FFFFFF"/>
          <w:lang w:val="es-ES"/>
        </w:rPr>
      </w:pPr>
      <w:r>
        <w:rPr>
          <w:noProof/>
        </w:rPr>
        <w:drawing>
          <wp:inline distT="0" distB="0" distL="0" distR="0" wp14:anchorId="03CC1122" wp14:editId="46B9FF92">
            <wp:extent cx="3771900" cy="1400175"/>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5"/>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162775" w:rsidRPr="00B76301" w14:paraId="366FD799" w14:textId="77777777" w:rsidTr="00B76301">
        <w:trPr>
          <w:trHeight w:val="315"/>
        </w:trPr>
        <w:tc>
          <w:tcPr>
            <w:tcW w:w="893" w:type="dxa"/>
            <w:vAlign w:val="center"/>
            <w:hideMark/>
          </w:tcPr>
          <w:p w14:paraId="54D9305E" w14:textId="77777777" w:rsidR="00162775" w:rsidRPr="004B0546" w:rsidRDefault="00162775" w:rsidP="00B76301">
            <w:pPr>
              <w:contextualSpacing/>
              <w:rPr>
                <w:rFonts w:ascii="Verdana" w:hAnsi="Verdana" w:cs="Arial"/>
                <w:sz w:val="16"/>
                <w:szCs w:val="16"/>
                <w:lang w:val="es-ES" w:eastAsia="es-ES"/>
              </w:rPr>
            </w:pPr>
            <w:r w:rsidRPr="004B0546">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2B215E91" w14:textId="77777777" w:rsidR="00162775" w:rsidRPr="00B76301" w:rsidRDefault="00162775" w:rsidP="00B76301">
            <w:pPr>
              <w:rPr>
                <w:rFonts w:ascii="Verdana" w:eastAsia="Times New Roman" w:hAnsi="Verdana" w:cs="Arial"/>
                <w:sz w:val="16"/>
                <w:szCs w:val="16"/>
                <w:lang w:eastAsia="es-ES"/>
              </w:rPr>
            </w:pPr>
            <w:r w:rsidRPr="00B76301">
              <w:rPr>
                <w:rFonts w:ascii="Verdana" w:eastAsia="Times New Roman" w:hAnsi="Verdana" w:cs="Arial"/>
                <w:sz w:val="16"/>
                <w:szCs w:val="16"/>
                <w:lang w:eastAsia="es-ES"/>
              </w:rPr>
              <w:t>Oscar David Morelo Pedrozo</w:t>
            </w:r>
          </w:p>
          <w:p w14:paraId="3A35A10A" w14:textId="77777777" w:rsidR="00162775" w:rsidRPr="00B76301" w:rsidRDefault="00162775" w:rsidP="00B76301">
            <w:pPr>
              <w:rPr>
                <w:rFonts w:ascii="Verdana" w:eastAsia="Times New Roman" w:hAnsi="Verdana" w:cs="Arial"/>
                <w:sz w:val="16"/>
                <w:szCs w:val="16"/>
                <w:lang w:eastAsia="es-ES"/>
              </w:rPr>
            </w:pPr>
            <w:r w:rsidRPr="00B76301">
              <w:rPr>
                <w:rFonts w:ascii="Verdana" w:eastAsia="Times New Roman" w:hAnsi="Verdana" w:cs="Arial"/>
                <w:sz w:val="16"/>
                <w:szCs w:val="16"/>
                <w:lang w:eastAsia="es-ES"/>
              </w:rPr>
              <w:t>Analista T2 –02 de la Subdirección de Gestión Contractual</w:t>
            </w:r>
          </w:p>
        </w:tc>
      </w:tr>
      <w:tr w:rsidR="00162775" w:rsidRPr="00B76301" w14:paraId="57F9B517" w14:textId="77777777" w:rsidTr="00B76301">
        <w:trPr>
          <w:trHeight w:val="330"/>
        </w:trPr>
        <w:tc>
          <w:tcPr>
            <w:tcW w:w="893" w:type="dxa"/>
            <w:vAlign w:val="center"/>
            <w:hideMark/>
          </w:tcPr>
          <w:p w14:paraId="7BAECFB0" w14:textId="77777777" w:rsidR="00162775" w:rsidRPr="004B0546" w:rsidRDefault="00162775" w:rsidP="00B76301">
            <w:pPr>
              <w:contextualSpacing/>
              <w:rPr>
                <w:rFonts w:ascii="Verdana" w:hAnsi="Verdana" w:cs="Arial"/>
                <w:color w:val="000000" w:themeColor="text1"/>
                <w:sz w:val="16"/>
                <w:szCs w:val="16"/>
                <w:lang w:val="es-ES" w:eastAsia="es-ES"/>
              </w:rPr>
            </w:pPr>
            <w:r w:rsidRPr="004B0546">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7C627B3C" w14:textId="77777777" w:rsidR="00162775" w:rsidRPr="00B76301" w:rsidRDefault="00162775" w:rsidP="00B76301">
            <w:pPr>
              <w:rPr>
                <w:rFonts w:ascii="Verdana" w:eastAsia="Times New Roman" w:hAnsi="Verdana" w:cs="Arial"/>
                <w:color w:val="000000" w:themeColor="text1"/>
                <w:sz w:val="16"/>
                <w:szCs w:val="16"/>
                <w:lang w:eastAsia="es-ES"/>
              </w:rPr>
            </w:pPr>
            <w:r w:rsidRPr="00B76301">
              <w:rPr>
                <w:rFonts w:ascii="Verdana" w:eastAsia="Times New Roman" w:hAnsi="Verdana" w:cs="Arial"/>
                <w:color w:val="000000" w:themeColor="text1"/>
                <w:sz w:val="16"/>
                <w:szCs w:val="16"/>
                <w:lang w:eastAsia="es-ES"/>
              </w:rPr>
              <w:t>Diana Lucia Saavedra Castañeda</w:t>
            </w:r>
          </w:p>
          <w:p w14:paraId="691EA701" w14:textId="77777777" w:rsidR="00162775" w:rsidRPr="00B76301" w:rsidRDefault="00162775" w:rsidP="00B76301">
            <w:pPr>
              <w:pStyle w:val="paragraph"/>
              <w:spacing w:before="0" w:beforeAutospacing="0" w:after="0" w:afterAutospacing="0"/>
              <w:contextualSpacing/>
              <w:textAlignment w:val="baseline"/>
              <w:rPr>
                <w:rFonts w:ascii="Verdana" w:hAnsi="Verdana" w:cs="Segoe UI"/>
                <w:color w:val="000000" w:themeColor="text1"/>
                <w:sz w:val="16"/>
                <w:szCs w:val="16"/>
                <w:lang w:val="es-ES"/>
              </w:rPr>
            </w:pPr>
            <w:r w:rsidRPr="00B76301">
              <w:rPr>
                <w:rFonts w:ascii="Verdana" w:hAnsi="Verdana" w:cs="Arial"/>
                <w:color w:val="000000" w:themeColor="text1"/>
                <w:sz w:val="16"/>
                <w:szCs w:val="16"/>
                <w:lang w:eastAsia="es-ES"/>
              </w:rPr>
              <w:t>Contratista de la Subdirección de Gestión Contractual</w:t>
            </w:r>
          </w:p>
        </w:tc>
      </w:tr>
      <w:tr w:rsidR="00162775" w:rsidRPr="00B76301" w14:paraId="327A0CDC" w14:textId="77777777" w:rsidTr="00B76301">
        <w:trPr>
          <w:trHeight w:val="300"/>
        </w:trPr>
        <w:tc>
          <w:tcPr>
            <w:tcW w:w="893" w:type="dxa"/>
            <w:vAlign w:val="center"/>
          </w:tcPr>
          <w:p w14:paraId="21A52A7E" w14:textId="77777777" w:rsidR="00162775" w:rsidRPr="004B0546" w:rsidRDefault="00162775" w:rsidP="00B76301">
            <w:pPr>
              <w:contextualSpacing/>
              <w:rPr>
                <w:rFonts w:ascii="Verdana" w:hAnsi="Verdana" w:cs="Arial"/>
                <w:sz w:val="16"/>
                <w:szCs w:val="16"/>
                <w:lang w:val="es-ES" w:eastAsia="es-ES"/>
              </w:rPr>
            </w:pPr>
            <w:r w:rsidRPr="004B0546">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585BF645" w14:textId="77777777" w:rsidR="00162775" w:rsidRPr="00B76301" w:rsidRDefault="00162775" w:rsidP="00B76301">
            <w:pPr>
              <w:contextualSpacing/>
              <w:rPr>
                <w:rFonts w:ascii="Verdana" w:eastAsia="Calibri" w:hAnsi="Verdana" w:cs="Arial"/>
                <w:sz w:val="16"/>
                <w:szCs w:val="16"/>
                <w:lang w:val="es-ES" w:eastAsia="es-ES"/>
              </w:rPr>
            </w:pPr>
            <w:r w:rsidRPr="00B76301">
              <w:rPr>
                <w:rFonts w:ascii="Verdana" w:eastAsia="Calibri" w:hAnsi="Verdana" w:cs="Arial"/>
                <w:sz w:val="16"/>
                <w:szCs w:val="16"/>
                <w:lang w:val="es-ES" w:eastAsia="es-ES"/>
              </w:rPr>
              <w:t>Carolina Quintero Gacharná</w:t>
            </w:r>
          </w:p>
          <w:p w14:paraId="5B038E61" w14:textId="77777777" w:rsidR="00162775" w:rsidRPr="00B76301" w:rsidRDefault="00162775" w:rsidP="00B76301">
            <w:pPr>
              <w:contextualSpacing/>
              <w:rPr>
                <w:rFonts w:ascii="Verdana" w:eastAsia="Calibri" w:hAnsi="Verdana" w:cs="Arial"/>
                <w:sz w:val="16"/>
                <w:szCs w:val="16"/>
                <w:lang w:val="es-ES" w:eastAsia="es-ES"/>
              </w:rPr>
            </w:pPr>
            <w:r w:rsidRPr="00B76301">
              <w:rPr>
                <w:rFonts w:ascii="Verdana" w:eastAsia="Calibri" w:hAnsi="Verdana" w:cs="Arial"/>
                <w:sz w:val="16"/>
                <w:szCs w:val="16"/>
                <w:lang w:val="es-ES" w:eastAsia="es-ES"/>
              </w:rPr>
              <w:t>Subdirectora de Gestión Contractual ANCP – CCE</w:t>
            </w:r>
          </w:p>
        </w:tc>
      </w:tr>
    </w:tbl>
    <w:p w14:paraId="0F4C23CC" w14:textId="13891972" w:rsidR="00162775" w:rsidRPr="00B76301" w:rsidRDefault="00162775" w:rsidP="00162775">
      <w:pPr>
        <w:spacing w:after="0"/>
        <w:rPr>
          <w:rFonts w:ascii="Verdana" w:eastAsia="Verdana" w:hAnsi="Verdana" w:cs="Verdana"/>
          <w:lang w:val="es-ES"/>
        </w:rPr>
      </w:pPr>
    </w:p>
    <w:p w14:paraId="770614B6" w14:textId="77777777" w:rsidR="00162775" w:rsidRPr="00B76301" w:rsidRDefault="00162775" w:rsidP="00162775">
      <w:pPr>
        <w:spacing w:after="0" w:line="276" w:lineRule="auto"/>
        <w:textAlignment w:val="baseline"/>
        <w:rPr>
          <w:rFonts w:ascii="Verdana" w:eastAsia="Verdana" w:hAnsi="Verdana" w:cs="Verdana"/>
          <w:lang w:eastAsia="es-CO"/>
        </w:rPr>
      </w:pPr>
    </w:p>
    <w:p w14:paraId="3F556E85" w14:textId="77777777" w:rsidR="00162775" w:rsidRPr="00B76301" w:rsidRDefault="00162775" w:rsidP="00162775">
      <w:pPr>
        <w:spacing w:after="0"/>
        <w:jc w:val="both"/>
        <w:rPr>
          <w:rFonts w:ascii="Verdana" w:eastAsia="Verdana" w:hAnsi="Verdana" w:cs="Verdana"/>
          <w:lang w:val="es-ES"/>
        </w:rPr>
      </w:pPr>
    </w:p>
    <w:p w14:paraId="0F293BF4" w14:textId="32E5CF52" w:rsidR="00127233" w:rsidRPr="00162775" w:rsidRDefault="00127233" w:rsidP="00162775"/>
    <w:sectPr w:rsidR="00127233" w:rsidRPr="00162775" w:rsidSect="007C0C0F">
      <w:headerReference w:type="default" r:id="rId16"/>
      <w:footerReference w:type="default" r:id="rId17"/>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D61F2" w14:textId="77777777" w:rsidR="009809D2" w:rsidRDefault="009809D2" w:rsidP="004A1847">
      <w:pPr>
        <w:spacing w:after="0" w:line="240" w:lineRule="auto"/>
      </w:pPr>
      <w:r>
        <w:separator/>
      </w:r>
    </w:p>
  </w:endnote>
  <w:endnote w:type="continuationSeparator" w:id="0">
    <w:p w14:paraId="6392D441" w14:textId="77777777" w:rsidR="009809D2" w:rsidRDefault="009809D2"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0DAA2" w14:textId="77777777" w:rsidR="009809D2" w:rsidRDefault="009809D2" w:rsidP="004A1847">
      <w:pPr>
        <w:spacing w:after="0" w:line="240" w:lineRule="auto"/>
      </w:pPr>
      <w:r>
        <w:separator/>
      </w:r>
    </w:p>
  </w:footnote>
  <w:footnote w:type="continuationSeparator" w:id="0">
    <w:p w14:paraId="7B7CA174" w14:textId="77777777" w:rsidR="009809D2" w:rsidRDefault="009809D2" w:rsidP="004A1847">
      <w:pPr>
        <w:spacing w:after="0" w:line="240" w:lineRule="auto"/>
      </w:pPr>
      <w:r>
        <w:continuationSeparator/>
      </w:r>
    </w:p>
  </w:footnote>
  <w:footnote w:id="1">
    <w:p w14:paraId="3AAA44A1" w14:textId="77777777" w:rsidR="00162775" w:rsidRPr="00162775" w:rsidRDefault="00162775" w:rsidP="00D90D1A">
      <w:pPr>
        <w:pStyle w:val="Textonotapie"/>
        <w:ind w:firstLine="709"/>
        <w:jc w:val="both"/>
        <w:rPr>
          <w:rFonts w:ascii="Verdana" w:hAnsi="Verdana" w:cs="Arial"/>
          <w:sz w:val="16"/>
          <w:szCs w:val="16"/>
        </w:rPr>
      </w:pPr>
      <w:r w:rsidRPr="00162775">
        <w:rPr>
          <w:rStyle w:val="Refdenotaalpie"/>
          <w:rFonts w:ascii="Verdana" w:hAnsi="Verdana" w:cs="Arial"/>
          <w:sz w:val="16"/>
          <w:szCs w:val="16"/>
        </w:rPr>
        <w:footnoteRef/>
      </w:r>
      <w:r w:rsidRPr="00162775">
        <w:rPr>
          <w:rFonts w:ascii="Verdana" w:hAnsi="Verdana" w:cs="Arial"/>
          <w:sz w:val="16"/>
          <w:szCs w:val="16"/>
        </w:rPr>
        <w:t xml:space="preserve"> “La última formalidad que deben cumplir los contratos de la Administración dentro del marco jurídico de la contratación estatal se refiere a la liquidación, definida, en principio, como un negocio jurídico bilateral cuyo objeto es la realización del corte de cuentas entre las partes contratantes, en el cual queda establecida la relación directa entre las prestaciones ejecutaras, el valor cobrado por las mismas y su cancelación por parte del deudor de estas, sin perjuicio de los descuentos económicos a que haya lugar con motivo de la aplicación de estipulaciones contractuales específicas”. EXPOSITO, Juan Carlos. Forma y contenido del contrato estatal. Bogotá: Universidad Externado de Colombia, p. 89 y 90.</w:t>
      </w:r>
    </w:p>
    <w:p w14:paraId="3117B0F3" w14:textId="77777777" w:rsidR="00162775" w:rsidRPr="00162775" w:rsidRDefault="00162775" w:rsidP="00D90D1A">
      <w:pPr>
        <w:pStyle w:val="Textonotapie"/>
        <w:ind w:firstLine="709"/>
        <w:jc w:val="both"/>
        <w:rPr>
          <w:rFonts w:ascii="Verdana" w:hAnsi="Verdana" w:cs="Arial"/>
          <w:sz w:val="16"/>
          <w:szCs w:val="16"/>
        </w:rPr>
      </w:pPr>
    </w:p>
  </w:footnote>
  <w:footnote w:id="2">
    <w:p w14:paraId="74EC39A8" w14:textId="77777777" w:rsidR="00162775" w:rsidRPr="00162775" w:rsidRDefault="00162775" w:rsidP="00D90D1A">
      <w:pPr>
        <w:pStyle w:val="Textonotapie"/>
        <w:ind w:firstLine="709"/>
        <w:jc w:val="both"/>
        <w:rPr>
          <w:rFonts w:ascii="Verdana" w:hAnsi="Verdana" w:cs="Arial"/>
          <w:color w:val="000000"/>
          <w:sz w:val="16"/>
          <w:szCs w:val="16"/>
        </w:rPr>
      </w:pPr>
      <w:r w:rsidRPr="00162775">
        <w:rPr>
          <w:rStyle w:val="Refdenotaalpie"/>
          <w:rFonts w:ascii="Verdana" w:hAnsi="Verdana" w:cs="Arial"/>
          <w:color w:val="000000"/>
          <w:sz w:val="16"/>
          <w:szCs w:val="16"/>
        </w:rPr>
        <w:footnoteRef/>
      </w:r>
      <w:r w:rsidRPr="00162775">
        <w:rPr>
          <w:rFonts w:ascii="Verdana" w:hAnsi="Verdana" w:cs="Arial"/>
          <w:color w:val="000000"/>
          <w:sz w:val="16"/>
          <w:szCs w:val="16"/>
        </w:rPr>
        <w:t xml:space="preserve"> DÍAZ DÍEZ, Cristian Andrés. La liquidación. Serie: Las Cláusulas del Contrato Estatal. Medellín: Librería Jurídica Sánchez y Centro de Estudios de Derecho Administrativo –CEDA–, 2013, pp. 53-54.</w:t>
      </w:r>
    </w:p>
    <w:p w14:paraId="256CEB01" w14:textId="77777777" w:rsidR="00162775" w:rsidRPr="00162775" w:rsidRDefault="00162775" w:rsidP="00D90D1A">
      <w:pPr>
        <w:pStyle w:val="Textonotapie"/>
        <w:ind w:firstLine="709"/>
        <w:jc w:val="both"/>
        <w:rPr>
          <w:rFonts w:ascii="Verdana" w:hAnsi="Verdana" w:cs="Arial"/>
          <w:color w:val="000000"/>
          <w:sz w:val="16"/>
          <w:szCs w:val="16"/>
        </w:rPr>
      </w:pPr>
    </w:p>
  </w:footnote>
  <w:footnote w:id="3">
    <w:p w14:paraId="5E803A56" w14:textId="77777777" w:rsidR="00162775" w:rsidRPr="00162775" w:rsidRDefault="00162775" w:rsidP="00D90D1A">
      <w:pPr>
        <w:spacing w:after="0" w:line="240" w:lineRule="auto"/>
        <w:ind w:firstLine="709"/>
        <w:jc w:val="both"/>
        <w:rPr>
          <w:rFonts w:ascii="Verdana" w:hAnsi="Verdana" w:cs="Arial"/>
          <w:sz w:val="16"/>
          <w:szCs w:val="16"/>
        </w:rPr>
      </w:pPr>
      <w:r w:rsidRPr="00162775">
        <w:rPr>
          <w:rStyle w:val="Refdenotaalpie"/>
          <w:rFonts w:ascii="Verdana" w:hAnsi="Verdana" w:cs="Arial"/>
          <w:sz w:val="16"/>
          <w:szCs w:val="16"/>
        </w:rPr>
        <w:footnoteRef/>
      </w:r>
      <w:r w:rsidRPr="00162775">
        <w:rPr>
          <w:rFonts w:ascii="Verdana" w:hAnsi="Verdana" w:cs="Arial"/>
          <w:sz w:val="16"/>
          <w:szCs w:val="16"/>
        </w:rPr>
        <w:t xml:space="preserve"> Consejo de Estado. Sección Tercera. Subsección C. 20 de octubre de 2014, M.P: Enrique Gil Botero. Exp. 27.777. Allí se dijo: “[…] liquidar supone un ajuste expreso y claro sobre las cuentas y el estado de cumplimiento de un contrato, de tal manera que conste el balance tanto técnico como económico de las obligaciones que estuvieron a cargo de las partes. En cuanto a lo primero, la liquidación debe incluir un análisis detallado de las condiciones de calidad y oportunidad en la entrega de los bienes, obras o servicios, y el balance económico dará cuenta del comportamiento financiero del negocio: recursos recibidos, pagos efectuados, estado del crédito o de la deuda de cada parte, entre otros detalles mínimos y necesarios para finiquitar una relación jurídica contractual”.</w:t>
      </w:r>
    </w:p>
    <w:p w14:paraId="784ADF30" w14:textId="77777777" w:rsidR="00162775" w:rsidRPr="00162775" w:rsidRDefault="00162775" w:rsidP="00D90D1A">
      <w:pPr>
        <w:spacing w:after="0" w:line="240" w:lineRule="auto"/>
        <w:ind w:firstLine="709"/>
        <w:jc w:val="both"/>
        <w:rPr>
          <w:rFonts w:ascii="Verdana" w:hAnsi="Verdana" w:cs="Arial"/>
          <w:sz w:val="16"/>
          <w:szCs w:val="16"/>
        </w:rPr>
      </w:pPr>
    </w:p>
  </w:footnote>
  <w:footnote w:id="4">
    <w:p w14:paraId="6B612E7E" w14:textId="77777777" w:rsidR="00162775" w:rsidRPr="00162775" w:rsidRDefault="00162775" w:rsidP="00D90D1A">
      <w:pPr>
        <w:pStyle w:val="Textonotapie"/>
        <w:ind w:firstLine="709"/>
        <w:jc w:val="both"/>
        <w:rPr>
          <w:rFonts w:ascii="Verdana" w:hAnsi="Verdana" w:cs="Arial"/>
          <w:sz w:val="16"/>
          <w:szCs w:val="16"/>
        </w:rPr>
      </w:pPr>
      <w:r w:rsidRPr="00162775">
        <w:rPr>
          <w:rStyle w:val="Refdenotaalpie"/>
          <w:rFonts w:ascii="Verdana" w:hAnsi="Verdana" w:cs="Arial"/>
          <w:sz w:val="16"/>
          <w:szCs w:val="16"/>
        </w:rPr>
        <w:footnoteRef/>
      </w:r>
      <w:r w:rsidRPr="00162775">
        <w:rPr>
          <w:rFonts w:ascii="Verdana" w:hAnsi="Verdana" w:cs="Arial"/>
          <w:sz w:val="16"/>
          <w:szCs w:val="16"/>
        </w:rPr>
        <w:t xml:space="preserve"> </w:t>
      </w:r>
      <w:bookmarkStart w:id="0" w:name="_Hlk208849314"/>
      <w:r w:rsidRPr="00162775">
        <w:rPr>
          <w:rFonts w:ascii="Verdana" w:hAnsi="Verdana" w:cs="Arial"/>
          <w:sz w:val="16"/>
          <w:szCs w:val="16"/>
        </w:rPr>
        <w:t>Consejo De Estado, Sala de Consulta y Servicio Civil. Radicado No. 1453. Concepto de 6 de agosto de 2003. MP. Augusto Trejos.</w:t>
      </w:r>
    </w:p>
    <w:p w14:paraId="0A4193EF" w14:textId="77777777" w:rsidR="00162775" w:rsidRPr="00162775" w:rsidRDefault="00162775" w:rsidP="00D90D1A">
      <w:pPr>
        <w:pStyle w:val="Textonotapie"/>
        <w:ind w:firstLine="709"/>
        <w:jc w:val="both"/>
        <w:rPr>
          <w:rFonts w:ascii="Verdana" w:hAnsi="Verdana" w:cs="Arial"/>
          <w:sz w:val="16"/>
          <w:szCs w:val="16"/>
        </w:rPr>
      </w:pPr>
    </w:p>
    <w:bookmarkEnd w:id="0"/>
  </w:footnote>
  <w:footnote w:id="5">
    <w:p w14:paraId="10D4EA8E" w14:textId="77777777" w:rsidR="00162775" w:rsidRPr="00162775" w:rsidRDefault="00162775" w:rsidP="00D90D1A">
      <w:pPr>
        <w:pStyle w:val="Textonotapie"/>
        <w:ind w:firstLine="709"/>
        <w:jc w:val="both"/>
        <w:rPr>
          <w:rFonts w:ascii="Verdana" w:hAnsi="Verdana" w:cs="Arial"/>
          <w:sz w:val="16"/>
          <w:szCs w:val="16"/>
          <w:lang w:val="es-ES"/>
        </w:rPr>
      </w:pPr>
      <w:r w:rsidRPr="00162775">
        <w:rPr>
          <w:rStyle w:val="Refdenotaalpie"/>
          <w:rFonts w:ascii="Verdana" w:hAnsi="Verdana" w:cs="Arial"/>
          <w:sz w:val="16"/>
          <w:szCs w:val="16"/>
        </w:rPr>
        <w:footnoteRef/>
      </w:r>
      <w:r w:rsidRPr="00162775">
        <w:rPr>
          <w:rFonts w:ascii="Verdana" w:hAnsi="Verdana" w:cs="Arial"/>
          <w:sz w:val="16"/>
          <w:szCs w:val="16"/>
        </w:rPr>
        <w:t xml:space="preserve"> </w:t>
      </w:r>
      <w:r w:rsidRPr="00162775">
        <w:rPr>
          <w:rFonts w:ascii="Verdana" w:hAnsi="Verdana" w:cs="Arial"/>
          <w:sz w:val="16"/>
          <w:szCs w:val="16"/>
          <w:lang w:val="es-ES"/>
        </w:rPr>
        <w:t>El artículo 11 de la Ley 1150 de 2007 prescribe: “Artículo 11. Del plazo para la liquidación de los contratos. La liquidación de los contratos se hará de mutuo acuerdo dentro del término fijado en los pliegos de condiciones o sus equivalentes, o dentro del que acuerden las partes para el efecto. De no existir tal término, la liquidación se realizará dentro de los cuatro (4) meses siguientes a la expiración del término previsto para la ejecución del contrato o a la expedición del acto administrativo que ordene la terminación, o a la fecha del acuerdo que la disponga.</w:t>
      </w:r>
    </w:p>
    <w:p w14:paraId="5336FBF0" w14:textId="77777777" w:rsidR="00162775" w:rsidRPr="00162775" w:rsidRDefault="00162775" w:rsidP="00D90D1A">
      <w:pPr>
        <w:pStyle w:val="Textonotapie"/>
        <w:ind w:firstLine="709"/>
        <w:jc w:val="both"/>
        <w:rPr>
          <w:rFonts w:ascii="Verdana" w:hAnsi="Verdana" w:cs="Arial"/>
          <w:sz w:val="16"/>
          <w:szCs w:val="16"/>
          <w:lang w:val="es-ES"/>
        </w:rPr>
      </w:pPr>
      <w:r w:rsidRPr="00162775">
        <w:rPr>
          <w:rFonts w:ascii="Verdana" w:hAnsi="Verdana" w:cs="Arial"/>
          <w:sz w:val="16"/>
          <w:szCs w:val="16"/>
          <w:lang w:val="es-ES"/>
        </w:rPr>
        <w:t>En aquellos casos en que el contratista no se presente a la liquidación previa notificación o convocatoria que le haga la entidad, o las partes no lleguen a un acuerdo sobre su contenido, la entidad tendrá la facultad de liquidar en forma unilateral dentro de los dos (2) meses siguientes, de conformidad con lo dispuesto en el artículo 136 del C. C. A.</w:t>
      </w:r>
    </w:p>
    <w:p w14:paraId="7F6C026C" w14:textId="77777777" w:rsidR="00162775" w:rsidRPr="00162775" w:rsidRDefault="00162775" w:rsidP="00D90D1A">
      <w:pPr>
        <w:pStyle w:val="Textonotapie"/>
        <w:ind w:firstLine="709"/>
        <w:jc w:val="both"/>
        <w:rPr>
          <w:rFonts w:ascii="Verdana" w:hAnsi="Verdana" w:cs="Arial"/>
          <w:sz w:val="16"/>
          <w:szCs w:val="16"/>
          <w:lang w:val="es-ES"/>
        </w:rPr>
      </w:pPr>
      <w:r w:rsidRPr="00162775">
        <w:rPr>
          <w:rFonts w:ascii="Verdana" w:hAnsi="Verdana" w:cs="Arial"/>
          <w:sz w:val="16"/>
          <w:szCs w:val="16"/>
          <w:lang w:val="es-ES"/>
        </w:rPr>
        <w:t>Si vencido el plazo anteriormente establecido no se ha realizado la liquidación, la misma podrá ser realizada en cualquier tiempo dentro de los dos años siguientes al vencimiento del término a que se refieren los incisos anteriores, de mutuo acuerdo o unilateralmente, sin perjuicio de lo previsto en el artículo 136 del C. C. A.</w:t>
      </w:r>
    </w:p>
    <w:p w14:paraId="6DA5DA13" w14:textId="77777777" w:rsidR="00162775" w:rsidRPr="00162775" w:rsidRDefault="00162775" w:rsidP="00D90D1A">
      <w:pPr>
        <w:pStyle w:val="Textonotapie"/>
        <w:ind w:firstLine="709"/>
        <w:jc w:val="both"/>
        <w:rPr>
          <w:rFonts w:ascii="Verdana" w:hAnsi="Verdana" w:cs="Arial"/>
          <w:sz w:val="16"/>
          <w:szCs w:val="16"/>
          <w:lang w:val="es-ES"/>
        </w:rPr>
      </w:pPr>
      <w:r w:rsidRPr="00162775">
        <w:rPr>
          <w:rFonts w:ascii="Verdana" w:hAnsi="Verdana" w:cs="Arial"/>
          <w:sz w:val="16"/>
          <w:szCs w:val="16"/>
          <w:lang w:val="es-ES"/>
        </w:rPr>
        <w:t>Los contratistas tendrán derecho a efectuar salvedades a la liquidación por mutuo acuerdo, y en este evento la liquidación unilateral solo procederá en relación con los aspectos que no hayan sido objeto de acuerdo”.</w:t>
      </w:r>
    </w:p>
    <w:p w14:paraId="0EABFA06" w14:textId="77777777" w:rsidR="00162775" w:rsidRPr="00162775" w:rsidRDefault="00162775" w:rsidP="00D90D1A">
      <w:pPr>
        <w:pStyle w:val="Textonotapie"/>
        <w:ind w:firstLine="709"/>
        <w:jc w:val="both"/>
        <w:rPr>
          <w:rFonts w:ascii="Verdana" w:hAnsi="Verdana" w:cs="Arial"/>
          <w:sz w:val="16"/>
          <w:szCs w:val="16"/>
          <w:lang w:val="es-ES"/>
        </w:rPr>
      </w:pPr>
    </w:p>
  </w:footnote>
  <w:footnote w:id="6">
    <w:p w14:paraId="76A37A0A" w14:textId="77777777" w:rsidR="00162775" w:rsidRPr="00162775" w:rsidRDefault="00162775" w:rsidP="00D90D1A">
      <w:pPr>
        <w:pStyle w:val="Textonotapie"/>
        <w:ind w:firstLine="709"/>
        <w:jc w:val="both"/>
        <w:rPr>
          <w:rFonts w:ascii="Verdana" w:hAnsi="Verdana" w:cs="Arial"/>
          <w:sz w:val="16"/>
          <w:szCs w:val="16"/>
        </w:rPr>
      </w:pPr>
      <w:r w:rsidRPr="00162775">
        <w:rPr>
          <w:rStyle w:val="Refdenotaalpie"/>
          <w:rFonts w:ascii="Verdana" w:hAnsi="Verdana" w:cs="Arial"/>
          <w:sz w:val="16"/>
          <w:szCs w:val="16"/>
        </w:rPr>
        <w:footnoteRef/>
      </w:r>
      <w:r w:rsidRPr="00162775">
        <w:rPr>
          <w:rFonts w:ascii="Verdana" w:hAnsi="Verdana" w:cs="Arial"/>
          <w:sz w:val="16"/>
          <w:szCs w:val="16"/>
        </w:rPr>
        <w:t xml:space="preserve"> DÍAZ DÍEZ, La liquidación… Op. cit., pp. 255-256.</w:t>
      </w:r>
    </w:p>
    <w:p w14:paraId="788DC4DF" w14:textId="77777777" w:rsidR="00162775" w:rsidRPr="00162775" w:rsidRDefault="00162775" w:rsidP="00D90D1A">
      <w:pPr>
        <w:pStyle w:val="Textonotapie"/>
        <w:ind w:firstLine="709"/>
        <w:jc w:val="both"/>
        <w:rPr>
          <w:rFonts w:ascii="Verdana" w:hAnsi="Verdana" w:cs="Arial"/>
          <w:sz w:val="16"/>
          <w:szCs w:val="16"/>
        </w:rPr>
      </w:pPr>
    </w:p>
  </w:footnote>
  <w:footnote w:id="7">
    <w:p w14:paraId="71C686EF" w14:textId="77777777" w:rsidR="00162775" w:rsidRPr="00162775" w:rsidRDefault="00162775" w:rsidP="00D90D1A">
      <w:pPr>
        <w:pStyle w:val="Textonotapie"/>
        <w:ind w:firstLine="709"/>
        <w:jc w:val="both"/>
        <w:rPr>
          <w:rFonts w:ascii="Verdana" w:hAnsi="Verdana"/>
          <w:sz w:val="16"/>
          <w:szCs w:val="16"/>
        </w:rPr>
      </w:pPr>
      <w:r w:rsidRPr="00162775">
        <w:rPr>
          <w:rStyle w:val="Refdenotaalpie"/>
          <w:rFonts w:ascii="Verdana" w:hAnsi="Verdana"/>
          <w:sz w:val="16"/>
          <w:szCs w:val="16"/>
        </w:rPr>
        <w:footnoteRef/>
      </w:r>
      <w:r w:rsidRPr="00162775">
        <w:rPr>
          <w:rFonts w:ascii="Verdana" w:hAnsi="Verdana"/>
          <w:sz w:val="16"/>
          <w:szCs w:val="16"/>
        </w:rPr>
        <w:t xml:space="preserve"> Conceptos C-494 del 17 de septiembre de 2021, C-759 del 11 de noviembre de 2022.</w:t>
      </w:r>
    </w:p>
    <w:p w14:paraId="68337CA0" w14:textId="77777777" w:rsidR="00162775" w:rsidRPr="00162775" w:rsidRDefault="00162775" w:rsidP="00D90D1A">
      <w:pPr>
        <w:pStyle w:val="Textonotapie"/>
        <w:ind w:firstLine="709"/>
        <w:jc w:val="both"/>
        <w:rPr>
          <w:rFonts w:ascii="Verdana" w:hAnsi="Verdana"/>
          <w:sz w:val="16"/>
          <w:szCs w:val="16"/>
          <w:lang w:val="es-CO"/>
        </w:rPr>
      </w:pPr>
    </w:p>
  </w:footnote>
  <w:footnote w:id="8">
    <w:p w14:paraId="1A41056E" w14:textId="77777777" w:rsidR="00162775" w:rsidRPr="00162775" w:rsidRDefault="00162775" w:rsidP="00D90D1A">
      <w:pPr>
        <w:pStyle w:val="Textonotapie"/>
        <w:ind w:firstLine="709"/>
        <w:jc w:val="both"/>
        <w:rPr>
          <w:rFonts w:ascii="Verdana" w:hAnsi="Verdana"/>
          <w:sz w:val="16"/>
          <w:szCs w:val="16"/>
          <w:lang w:val="es-CO"/>
        </w:rPr>
      </w:pPr>
      <w:r w:rsidRPr="00162775">
        <w:rPr>
          <w:rStyle w:val="Refdenotaalpie"/>
          <w:rFonts w:ascii="Verdana" w:hAnsi="Verdana"/>
          <w:sz w:val="16"/>
          <w:szCs w:val="16"/>
        </w:rPr>
        <w:footnoteRef/>
      </w:r>
      <w:r w:rsidRPr="00162775">
        <w:rPr>
          <w:rFonts w:ascii="Verdana" w:hAnsi="Verdana"/>
          <w:sz w:val="16"/>
          <w:szCs w:val="16"/>
        </w:rPr>
        <w:t xml:space="preserve"> </w:t>
      </w:r>
      <w:r w:rsidRPr="00162775">
        <w:rPr>
          <w:rFonts w:ascii="Verdana" w:hAnsi="Verdana" w:cs="Arial"/>
          <w:color w:val="000000"/>
          <w:sz w:val="16"/>
          <w:szCs w:val="16"/>
        </w:rPr>
        <w:t>Sección Tercera, Subsección A, Sentencia del 20 de mayo de 2024, radicado No. 58.879, Consejera Ponente: María Adriana Marín.</w:t>
      </w:r>
    </w:p>
  </w:footnote>
  <w:footnote w:id="9">
    <w:p w14:paraId="4B7A17BD" w14:textId="77777777" w:rsidR="00162775" w:rsidRPr="00162775" w:rsidRDefault="00162775" w:rsidP="00D90D1A">
      <w:pPr>
        <w:spacing w:line="240" w:lineRule="auto"/>
        <w:ind w:firstLine="709"/>
        <w:jc w:val="both"/>
        <w:rPr>
          <w:rFonts w:ascii="Verdana" w:hAnsi="Verdana" w:cs="Arial"/>
          <w:sz w:val="16"/>
          <w:szCs w:val="16"/>
        </w:rPr>
      </w:pPr>
    </w:p>
    <w:p w14:paraId="25ED9224" w14:textId="77777777" w:rsidR="00162775" w:rsidRPr="00162775" w:rsidRDefault="00162775" w:rsidP="00D90D1A">
      <w:pPr>
        <w:spacing w:line="240" w:lineRule="auto"/>
        <w:ind w:firstLine="709"/>
        <w:jc w:val="both"/>
        <w:rPr>
          <w:rFonts w:ascii="Verdana" w:hAnsi="Verdana" w:cs="Arial"/>
          <w:sz w:val="16"/>
          <w:szCs w:val="16"/>
          <w:lang w:val="es-ES_tradnl"/>
        </w:rPr>
      </w:pPr>
      <w:r w:rsidRPr="00162775">
        <w:rPr>
          <w:rStyle w:val="Refdenotaalpie"/>
          <w:rFonts w:ascii="Verdana" w:hAnsi="Verdana" w:cs="Arial"/>
          <w:sz w:val="16"/>
          <w:szCs w:val="16"/>
        </w:rPr>
        <w:footnoteRef/>
      </w:r>
      <w:r w:rsidRPr="00162775">
        <w:rPr>
          <w:rFonts w:ascii="Verdana" w:hAnsi="Verdana" w:cs="Arial"/>
          <w:sz w:val="16"/>
          <w:szCs w:val="16"/>
        </w:rPr>
        <w:t xml:space="preserve"> L</w:t>
      </w:r>
      <w:r w:rsidRPr="00162775">
        <w:rPr>
          <w:rFonts w:ascii="Verdana" w:hAnsi="Verdana" w:cs="Arial"/>
          <w:sz w:val="16"/>
          <w:szCs w:val="16"/>
          <w:lang w:val="es-ES"/>
        </w:rPr>
        <w:t xml:space="preserve">a liquidación del contrato también ha sido considerada por la doctrina como un procedimiento y un mecanismo de solución de controversias. En este sentido, véase: Samuel Yong Serrano, El contrato estatal en el contexto de la nueva legislación, 4ª ed., Grupo editorial Ibáñez, Bogotá, 2015, p. 298; </w:t>
      </w:r>
      <w:r w:rsidRPr="00162775">
        <w:rPr>
          <w:rFonts w:ascii="Verdana" w:hAnsi="Verdana" w:cs="Arial"/>
          <w:sz w:val="16"/>
          <w:szCs w:val="16"/>
          <w:lang w:val="es-ES_tradnl"/>
        </w:rPr>
        <w:t>Francisco Cuello Duarte, Contratos de la administración Pública, Tercera edición. Ecoe Ediciones, Bogotá, 2009, p. 270; Aída Patricia Hernández Silva, “La liquidación del contrato estatal”, en Revista digital de Derecho administrativo, Universidad Externado, número 1. 2009, p. 1; Juan Ángel Palacio Hincapié, La contratación de las entidades estatales, 5ª ed., Medellín, Librería Jurídica Sánchez, 2005, pp. 335, 338 y 339, y Juan Carlos Expósito Vélez, “La liquidación bilateral de los contratos estatales: un mecanismo alternativo de solución de conflictos”, en Revista digital de Derecho administrativo, Universidad Externado, número 1. 2009.</w:t>
      </w:r>
    </w:p>
    <w:p w14:paraId="260C38CF" w14:textId="77777777" w:rsidR="00162775" w:rsidRPr="00162775" w:rsidRDefault="00162775" w:rsidP="00D90D1A">
      <w:pPr>
        <w:spacing w:line="240" w:lineRule="auto"/>
        <w:ind w:firstLine="709"/>
        <w:jc w:val="both"/>
        <w:rPr>
          <w:rFonts w:ascii="Verdana" w:hAnsi="Verdana" w:cs="Arial"/>
          <w:color w:val="201F1E"/>
          <w:sz w:val="16"/>
          <w:szCs w:val="16"/>
          <w:bdr w:val="none" w:sz="0" w:space="0" w:color="auto" w:frame="1"/>
          <w:lang w:val="es-ES" w:eastAsia="es-CO"/>
        </w:rPr>
      </w:pPr>
    </w:p>
  </w:footnote>
  <w:footnote w:id="10">
    <w:p w14:paraId="3DEC2CD9" w14:textId="77777777" w:rsidR="00162775" w:rsidRPr="00162775" w:rsidRDefault="00162775" w:rsidP="00D90D1A">
      <w:pPr>
        <w:pStyle w:val="Textonotapie"/>
        <w:ind w:firstLine="709"/>
        <w:rPr>
          <w:rFonts w:ascii="Verdana" w:hAnsi="Verdana" w:cs="Arial"/>
          <w:color w:val="000000"/>
          <w:sz w:val="16"/>
          <w:szCs w:val="16"/>
        </w:rPr>
      </w:pPr>
      <w:r w:rsidRPr="00162775">
        <w:rPr>
          <w:rStyle w:val="Refdenotaalpie"/>
          <w:rFonts w:ascii="Verdana" w:hAnsi="Verdana"/>
          <w:sz w:val="16"/>
          <w:szCs w:val="16"/>
        </w:rPr>
        <w:footnoteRef/>
      </w:r>
      <w:r w:rsidRPr="00162775">
        <w:rPr>
          <w:rFonts w:ascii="Verdana" w:hAnsi="Verdana"/>
          <w:sz w:val="16"/>
          <w:szCs w:val="16"/>
        </w:rPr>
        <w:t xml:space="preserve"> Consejo de Estado, </w:t>
      </w:r>
      <w:r w:rsidRPr="00162775">
        <w:rPr>
          <w:rFonts w:ascii="Verdana" w:hAnsi="Verdana" w:cs="Arial"/>
          <w:color w:val="000000"/>
          <w:sz w:val="16"/>
          <w:szCs w:val="16"/>
        </w:rPr>
        <w:t>Sección Tercera, Subsección B, Sentencia del 7 de febrero de 2025, radicado No. 71.036 Consejera Ponente: Fredy Ibarra Martínez.</w:t>
      </w:r>
    </w:p>
    <w:p w14:paraId="28815DE5" w14:textId="77777777" w:rsidR="00162775" w:rsidRPr="00162775" w:rsidRDefault="00162775" w:rsidP="00D90D1A">
      <w:pPr>
        <w:pStyle w:val="Textonotapie"/>
        <w:ind w:firstLine="709"/>
        <w:rPr>
          <w:rFonts w:ascii="Verdana" w:hAnsi="Verdana"/>
          <w:sz w:val="16"/>
          <w:szCs w:val="16"/>
          <w:lang w:val="es-CO"/>
        </w:rPr>
      </w:pPr>
    </w:p>
  </w:footnote>
  <w:footnote w:id="11">
    <w:p w14:paraId="05FBE499" w14:textId="77777777" w:rsidR="00162775" w:rsidRPr="00162775" w:rsidRDefault="00162775" w:rsidP="00D90D1A">
      <w:pPr>
        <w:pStyle w:val="Textonotapie"/>
        <w:ind w:firstLine="709"/>
        <w:rPr>
          <w:rFonts w:ascii="Verdana" w:hAnsi="Verdana" w:cs="Arial"/>
          <w:color w:val="000000"/>
          <w:sz w:val="16"/>
          <w:szCs w:val="16"/>
        </w:rPr>
      </w:pPr>
      <w:r w:rsidRPr="00162775">
        <w:rPr>
          <w:rStyle w:val="Refdenotaalpie"/>
          <w:rFonts w:ascii="Verdana" w:hAnsi="Verdana"/>
          <w:sz w:val="16"/>
          <w:szCs w:val="16"/>
        </w:rPr>
        <w:footnoteRef/>
      </w:r>
      <w:r w:rsidRPr="00162775">
        <w:rPr>
          <w:rFonts w:ascii="Verdana" w:hAnsi="Verdana"/>
          <w:sz w:val="16"/>
          <w:szCs w:val="16"/>
        </w:rPr>
        <w:t xml:space="preserve"> Consejo de Estado, </w:t>
      </w:r>
      <w:r w:rsidRPr="00162775">
        <w:rPr>
          <w:rFonts w:ascii="Verdana" w:hAnsi="Verdana" w:cs="Arial"/>
          <w:color w:val="000000"/>
          <w:sz w:val="16"/>
          <w:szCs w:val="16"/>
        </w:rPr>
        <w:t>Sección Tercera, Subsección A, Sentencia del 20 de mayo de 2024, radicado No. 58.879, Consejera Ponente: María Adriana Marín.</w:t>
      </w:r>
    </w:p>
    <w:p w14:paraId="2B7D8339" w14:textId="77777777" w:rsidR="00162775" w:rsidRPr="00162775" w:rsidRDefault="00162775" w:rsidP="00D90D1A">
      <w:pPr>
        <w:pStyle w:val="Textonotapie"/>
        <w:ind w:firstLine="709"/>
        <w:rPr>
          <w:rFonts w:ascii="Verdana" w:hAnsi="Verdana"/>
          <w:sz w:val="16"/>
          <w:szCs w:val="16"/>
          <w:lang w:val="es-CO"/>
        </w:rPr>
      </w:pPr>
    </w:p>
  </w:footnote>
  <w:footnote w:id="12">
    <w:p w14:paraId="091FD9AF" w14:textId="77777777" w:rsidR="00162775" w:rsidRPr="00162775" w:rsidRDefault="00162775" w:rsidP="00D90D1A">
      <w:pPr>
        <w:pStyle w:val="Textonotapie"/>
        <w:ind w:firstLine="709"/>
        <w:rPr>
          <w:rFonts w:ascii="Verdana" w:hAnsi="Verdana" w:cs="Arial"/>
          <w:color w:val="000000"/>
          <w:sz w:val="16"/>
          <w:szCs w:val="16"/>
        </w:rPr>
      </w:pPr>
      <w:r w:rsidRPr="00162775">
        <w:rPr>
          <w:rStyle w:val="Refdenotaalpie"/>
          <w:rFonts w:ascii="Verdana" w:hAnsi="Verdana"/>
          <w:sz w:val="16"/>
          <w:szCs w:val="16"/>
        </w:rPr>
        <w:footnoteRef/>
      </w:r>
      <w:r w:rsidRPr="00162775">
        <w:rPr>
          <w:rFonts w:ascii="Verdana" w:hAnsi="Verdana"/>
          <w:sz w:val="16"/>
          <w:szCs w:val="16"/>
        </w:rPr>
        <w:t xml:space="preserve"> Consejo de Estado, Sala de Consulta Y servicio Civil, </w:t>
      </w:r>
      <w:r w:rsidRPr="00162775">
        <w:rPr>
          <w:rFonts w:ascii="Verdana" w:hAnsi="Verdana" w:cs="Arial"/>
          <w:color w:val="000000"/>
          <w:sz w:val="16"/>
          <w:szCs w:val="16"/>
        </w:rPr>
        <w:t>Concepto del 18 de junio de 2016, radicado No. 2253, Consejero Ponente: Álvaro Namén Vargas</w:t>
      </w:r>
    </w:p>
    <w:p w14:paraId="25EEB5FD" w14:textId="77777777" w:rsidR="00162775" w:rsidRPr="00162775" w:rsidRDefault="00162775" w:rsidP="00D90D1A">
      <w:pPr>
        <w:pStyle w:val="Textonotapie"/>
        <w:ind w:firstLine="709"/>
        <w:rPr>
          <w:rFonts w:ascii="Verdana" w:hAnsi="Verdana"/>
          <w:sz w:val="16"/>
          <w:szCs w:val="16"/>
          <w:lang w:val="es-CO"/>
        </w:rPr>
      </w:pPr>
    </w:p>
  </w:footnote>
  <w:footnote w:id="13">
    <w:p w14:paraId="51C87337" w14:textId="77777777" w:rsidR="00162775" w:rsidRPr="00162775" w:rsidRDefault="00162775" w:rsidP="00D90D1A">
      <w:pPr>
        <w:pStyle w:val="Textonotapie"/>
        <w:ind w:firstLine="709"/>
        <w:rPr>
          <w:rFonts w:ascii="Verdana" w:hAnsi="Verdana" w:cs="Arial"/>
          <w:color w:val="000000"/>
          <w:sz w:val="16"/>
          <w:szCs w:val="16"/>
        </w:rPr>
      </w:pPr>
      <w:r w:rsidRPr="00162775">
        <w:rPr>
          <w:rStyle w:val="Refdenotaalpie"/>
          <w:rFonts w:ascii="Verdana" w:hAnsi="Verdana"/>
          <w:sz w:val="16"/>
          <w:szCs w:val="16"/>
        </w:rPr>
        <w:footnoteRef/>
      </w:r>
      <w:r w:rsidRPr="00162775">
        <w:rPr>
          <w:rFonts w:ascii="Verdana" w:hAnsi="Verdana"/>
          <w:sz w:val="16"/>
          <w:szCs w:val="16"/>
        </w:rPr>
        <w:t xml:space="preserve"> Consejo de Estado, </w:t>
      </w:r>
      <w:r w:rsidRPr="00162775">
        <w:rPr>
          <w:rFonts w:ascii="Verdana" w:hAnsi="Verdana" w:cs="Arial"/>
          <w:color w:val="000000"/>
          <w:sz w:val="16"/>
          <w:szCs w:val="16"/>
        </w:rPr>
        <w:t>Sección Tercera, Subsección A, Sentencia del 20 de mayo de 2024, radicado No. 58.879, Consejera Ponente: María Adriana Marín</w:t>
      </w:r>
    </w:p>
    <w:p w14:paraId="11F8E9B0" w14:textId="77777777" w:rsidR="00162775" w:rsidRPr="00162775" w:rsidRDefault="00162775" w:rsidP="00D90D1A">
      <w:pPr>
        <w:pStyle w:val="Textonotapie"/>
        <w:ind w:firstLine="709"/>
        <w:rPr>
          <w:rFonts w:ascii="Verdana" w:hAnsi="Verdana"/>
          <w:sz w:val="16"/>
          <w:szCs w:val="16"/>
          <w:lang w:val="es-CO"/>
        </w:rPr>
      </w:pPr>
    </w:p>
  </w:footnote>
  <w:footnote w:id="14">
    <w:p w14:paraId="1529BD36" w14:textId="77777777" w:rsidR="00162775" w:rsidRPr="00162775" w:rsidRDefault="00162775" w:rsidP="00D90D1A">
      <w:pPr>
        <w:pStyle w:val="Textonotapie"/>
        <w:ind w:firstLine="709"/>
        <w:jc w:val="both"/>
        <w:rPr>
          <w:rFonts w:ascii="Verdana" w:hAnsi="Verdana"/>
          <w:sz w:val="16"/>
          <w:szCs w:val="16"/>
        </w:rPr>
      </w:pPr>
      <w:r w:rsidRPr="00162775">
        <w:rPr>
          <w:rStyle w:val="Refdenotaalpie"/>
          <w:rFonts w:ascii="Verdana" w:hAnsi="Verdana"/>
          <w:sz w:val="16"/>
          <w:szCs w:val="16"/>
        </w:rPr>
        <w:footnoteRef/>
      </w:r>
      <w:r w:rsidRPr="00162775">
        <w:rPr>
          <w:rFonts w:ascii="Verdana" w:hAnsi="Verdana"/>
          <w:sz w:val="16"/>
          <w:szCs w:val="16"/>
        </w:rPr>
        <w:t xml:space="preserve"> Agencia Nacional de Contratación Pública – Colombia Compra Eficiente. </w:t>
      </w:r>
      <w:r w:rsidRPr="00162775">
        <w:rPr>
          <w:rFonts w:ascii="Verdana" w:eastAsia="Calibri" w:hAnsi="Verdana" w:cs="Arial"/>
          <w:sz w:val="16"/>
          <w:szCs w:val="16"/>
          <w:lang w:eastAsia="es-ES_tradnl"/>
        </w:rPr>
        <w:t>Guía para la liquidación de los procesos de contratación</w:t>
      </w:r>
      <w:r w:rsidRPr="00162775">
        <w:rPr>
          <w:rFonts w:ascii="Verdana" w:hAnsi="Verdana"/>
          <w:sz w:val="16"/>
          <w:szCs w:val="16"/>
        </w:rPr>
        <w:t xml:space="preserve">. Disponible en: </w:t>
      </w:r>
      <w:hyperlink r:id="rId1" w:history="1">
        <w:r w:rsidRPr="00162775">
          <w:rPr>
            <w:rStyle w:val="Hipervnculo"/>
            <w:rFonts w:ascii="Verdana" w:hAnsi="Verdana"/>
            <w:sz w:val="16"/>
            <w:szCs w:val="16"/>
          </w:rPr>
          <w:t>https://www.colombiacompra.gov.co/wp-content/uploads/2024/08/2016-Guia-para-la-liquidacion-contratos-estatales-G-LPC-01.pdf</w:t>
        </w:r>
      </w:hyperlink>
      <w:r w:rsidRPr="00162775">
        <w:rPr>
          <w:rFonts w:ascii="Verdana" w:hAnsi="Verdana"/>
          <w:sz w:val="16"/>
          <w:szCs w:val="16"/>
        </w:rPr>
        <w:t xml:space="preserve"> </w:t>
      </w:r>
    </w:p>
    <w:p w14:paraId="7D4C83E6" w14:textId="77777777" w:rsidR="00162775" w:rsidRPr="00162775" w:rsidRDefault="00162775" w:rsidP="00D90D1A">
      <w:pPr>
        <w:pStyle w:val="Textonotapie"/>
        <w:ind w:firstLine="709"/>
        <w:jc w:val="both"/>
        <w:rPr>
          <w:rFonts w:ascii="Verdana" w:hAnsi="Verdana"/>
          <w:sz w:val="16"/>
          <w:szCs w:val="16"/>
          <w:lang w:val="es-ES"/>
        </w:rPr>
      </w:pPr>
    </w:p>
  </w:footnote>
  <w:footnote w:id="15">
    <w:p w14:paraId="7B6D1319" w14:textId="77777777" w:rsidR="00162775" w:rsidRPr="00162775" w:rsidRDefault="00162775" w:rsidP="00D90D1A">
      <w:pPr>
        <w:pStyle w:val="Textonotapie"/>
        <w:ind w:firstLine="709"/>
        <w:jc w:val="both"/>
        <w:rPr>
          <w:rFonts w:ascii="Verdana" w:hAnsi="Verdana" w:cs="Arial"/>
          <w:sz w:val="16"/>
          <w:szCs w:val="16"/>
          <w:lang w:val="es-ES"/>
        </w:rPr>
      </w:pPr>
      <w:r w:rsidRPr="00162775">
        <w:rPr>
          <w:rStyle w:val="Refdenotaalpie"/>
          <w:rFonts w:ascii="Verdana" w:hAnsi="Verdana" w:cs="Arial"/>
          <w:sz w:val="16"/>
          <w:szCs w:val="16"/>
        </w:rPr>
        <w:footnoteRef/>
      </w:r>
      <w:r w:rsidRPr="00162775">
        <w:rPr>
          <w:rFonts w:ascii="Verdana" w:hAnsi="Verdana" w:cs="Arial"/>
          <w:sz w:val="16"/>
          <w:szCs w:val="16"/>
        </w:rPr>
        <w:t xml:space="preserve"> </w:t>
      </w:r>
      <w:r w:rsidRPr="00162775">
        <w:rPr>
          <w:rFonts w:ascii="Verdana" w:hAnsi="Verdana" w:cs="Arial"/>
          <w:sz w:val="16"/>
          <w:szCs w:val="16"/>
          <w:lang w:val="es-ES"/>
        </w:rPr>
        <w:t xml:space="preserve">GORDILLO, Agustín. Tratado de derecho administrativo y obras selectas. Tomo 5. Primeras obras. Libro II. El acto administrativo. Buenos Aires: Fundación de Derecho Administrativo, 2012. p. EAA-IV-29. </w:t>
      </w:r>
    </w:p>
    <w:p w14:paraId="2282B2B9" w14:textId="77777777" w:rsidR="00162775" w:rsidRPr="00162775" w:rsidRDefault="00162775" w:rsidP="00D90D1A">
      <w:pPr>
        <w:pStyle w:val="Textonotapie"/>
        <w:ind w:firstLine="709"/>
        <w:jc w:val="both"/>
        <w:rPr>
          <w:rFonts w:ascii="Verdana" w:hAnsi="Verdana" w:cs="Arial"/>
          <w:sz w:val="16"/>
          <w:szCs w:val="16"/>
          <w:lang w:val="es-ES"/>
        </w:rPr>
      </w:pPr>
    </w:p>
  </w:footnote>
  <w:footnote w:id="16">
    <w:p w14:paraId="0B0F3ACD" w14:textId="77777777" w:rsidR="00162775" w:rsidRPr="00162775" w:rsidRDefault="00162775" w:rsidP="00D90D1A">
      <w:pPr>
        <w:pStyle w:val="Textonotapie"/>
        <w:ind w:firstLine="707"/>
        <w:jc w:val="both"/>
        <w:rPr>
          <w:rStyle w:val="nfasis"/>
          <w:rFonts w:ascii="Verdana" w:hAnsi="Verdana"/>
          <w:i w:val="0"/>
          <w:iCs w:val="0"/>
          <w:color w:val="000000"/>
          <w:sz w:val="16"/>
          <w:szCs w:val="16"/>
          <w:shd w:val="clear" w:color="auto" w:fill="FFFFFF"/>
        </w:rPr>
      </w:pPr>
      <w:r w:rsidRPr="00162775">
        <w:rPr>
          <w:rStyle w:val="Refdenotaalpie"/>
          <w:rFonts w:ascii="Verdana" w:hAnsi="Verdana" w:cs="Arial"/>
          <w:sz w:val="16"/>
          <w:szCs w:val="16"/>
        </w:rPr>
        <w:footnoteRef/>
      </w:r>
      <w:r w:rsidRPr="00162775">
        <w:rPr>
          <w:rFonts w:ascii="Verdana" w:hAnsi="Verdana" w:cs="Arial"/>
          <w:sz w:val="16"/>
          <w:szCs w:val="16"/>
        </w:rPr>
        <w:t xml:space="preserve"> </w:t>
      </w:r>
      <w:r w:rsidRPr="00162775">
        <w:rPr>
          <w:rStyle w:val="nfasis"/>
          <w:rFonts w:ascii="Verdana" w:hAnsi="Verdana"/>
          <w:i w:val="0"/>
          <w:iCs w:val="0"/>
          <w:color w:val="000000"/>
          <w:sz w:val="16"/>
          <w:szCs w:val="16"/>
          <w:shd w:val="clear" w:color="auto" w:fill="FFFFFF"/>
        </w:rPr>
        <w:t>Consejo de Estado. Sala de lo Contencioso Administrativo, Sección Tercera. Subsección B.  Sentencia del 14 de junio de 2018.  Radicación: 08001-23-31-000-2003-01953-02 (37389). C.P: Ramiro Pazos Guerrero.</w:t>
      </w:r>
    </w:p>
    <w:p w14:paraId="624F8AE9" w14:textId="77777777" w:rsidR="00162775" w:rsidRPr="00162775" w:rsidRDefault="00162775" w:rsidP="00D90D1A">
      <w:pPr>
        <w:pStyle w:val="Textonotapie"/>
        <w:ind w:firstLine="707"/>
        <w:jc w:val="both"/>
        <w:rPr>
          <w:rFonts w:ascii="Verdana" w:hAnsi="Verdana" w:cs="Arial"/>
          <w:sz w:val="16"/>
          <w:szCs w:val="16"/>
        </w:rPr>
      </w:pPr>
    </w:p>
  </w:footnote>
  <w:footnote w:id="17">
    <w:p w14:paraId="2090EE94" w14:textId="77777777" w:rsidR="00162775" w:rsidRPr="00162775" w:rsidRDefault="00162775" w:rsidP="00D90D1A">
      <w:pPr>
        <w:pStyle w:val="Textonotapie"/>
        <w:ind w:firstLine="708"/>
        <w:jc w:val="both"/>
        <w:rPr>
          <w:rFonts w:ascii="Verdana" w:hAnsi="Verdana"/>
          <w:sz w:val="16"/>
          <w:szCs w:val="16"/>
        </w:rPr>
      </w:pPr>
      <w:r w:rsidRPr="00162775">
        <w:rPr>
          <w:rStyle w:val="Refdenotaalpie"/>
          <w:rFonts w:ascii="Verdana" w:hAnsi="Verdana"/>
          <w:sz w:val="16"/>
          <w:szCs w:val="16"/>
        </w:rPr>
        <w:footnoteRef/>
      </w:r>
      <w:r w:rsidRPr="00162775">
        <w:rPr>
          <w:rFonts w:ascii="Verdana" w:hAnsi="Verdana"/>
          <w:sz w:val="16"/>
          <w:szCs w:val="16"/>
        </w:rPr>
        <w:t xml:space="preserve"> Para la doctrina, “La autonomía privada no es un poder originario o soberano. Es un poder conferido a los individuos por una norma superior, la cual regula su actuación, estableciendo cargas y limitaciones. En la ley vemos la fuente de validez de la norma negocial. La ley, lo mismo que puede ampliar el campo en el que actúa la autonomía privada, puede también restringirlo. La ley puede incluso, interviniendo posteriormente, modificar el contenido de una norma negocial ya establecida. Aunque sean excepcionales, estas intervenciones de la ley tienen su justificación formal en la superioridad de la fuente legislativa sobre la negocial.</w:t>
      </w:r>
    </w:p>
    <w:p w14:paraId="731D66C0" w14:textId="77777777" w:rsidR="00162775" w:rsidRPr="00162775" w:rsidRDefault="00162775" w:rsidP="00D90D1A">
      <w:pPr>
        <w:pStyle w:val="Textonotapie"/>
        <w:ind w:firstLine="708"/>
        <w:jc w:val="both"/>
        <w:rPr>
          <w:rFonts w:ascii="Verdana" w:hAnsi="Verdana"/>
          <w:sz w:val="16"/>
          <w:szCs w:val="16"/>
        </w:rPr>
      </w:pPr>
      <w:r w:rsidRPr="00162775">
        <w:rPr>
          <w:rFonts w:ascii="Verdana" w:hAnsi="Verdana"/>
          <w:sz w:val="16"/>
          <w:szCs w:val="16"/>
        </w:rPr>
        <w:t>[…]</w:t>
      </w:r>
    </w:p>
    <w:p w14:paraId="49FBBC6D" w14:textId="77777777" w:rsidR="00162775" w:rsidRPr="00162775" w:rsidRDefault="00162775" w:rsidP="00D90D1A">
      <w:pPr>
        <w:pStyle w:val="Textonotapie"/>
        <w:ind w:firstLine="708"/>
        <w:jc w:val="both"/>
        <w:rPr>
          <w:rFonts w:ascii="Verdana" w:hAnsi="Verdana"/>
          <w:sz w:val="16"/>
          <w:szCs w:val="16"/>
        </w:rPr>
      </w:pPr>
      <w:r w:rsidRPr="00162775">
        <w:rPr>
          <w:rFonts w:ascii="Verdana" w:hAnsi="Verdana"/>
          <w:sz w:val="16"/>
          <w:szCs w:val="16"/>
        </w:rPr>
        <w:t>La autonomía privada no significa, pues, poder originario independiente o selbstherrlich, que no recibe de fuera la razón de su validez. El carácter no originario del poder en que se concreta la autonomía privada implica que no puede considerarse originaria o soberana tampoco la voluntad de los sujetos que establecen las normas negociales. No es que la voluntad privada cree derecho por sí o por fuerza propia.</w:t>
      </w:r>
    </w:p>
    <w:p w14:paraId="597871FF" w14:textId="77777777" w:rsidR="00162775" w:rsidRPr="00162775" w:rsidRDefault="00162775" w:rsidP="00D90D1A">
      <w:pPr>
        <w:pStyle w:val="Textonotapie"/>
        <w:ind w:firstLine="708"/>
        <w:jc w:val="both"/>
        <w:rPr>
          <w:rFonts w:ascii="Verdana" w:hAnsi="Verdana"/>
          <w:sz w:val="16"/>
          <w:szCs w:val="16"/>
        </w:rPr>
      </w:pPr>
      <w:r w:rsidRPr="00162775">
        <w:rPr>
          <w:rFonts w:ascii="Verdana" w:hAnsi="Verdana"/>
          <w:sz w:val="16"/>
          <w:szCs w:val="16"/>
        </w:rPr>
        <w:t>Admitir una atribución de poder por parte de una norma superior basta para excluir el carácter originario o soberanía de la voluntad privada y del poder atribuido a ella” (FERRI, Luigui. La autonomía privada. Santiago de Chile: Ediciones Olejnik, 2018. pp. 44-45).</w:t>
      </w:r>
    </w:p>
    <w:p w14:paraId="7CBA19A7" w14:textId="77777777" w:rsidR="00162775" w:rsidRPr="00162775" w:rsidRDefault="00162775" w:rsidP="00D90D1A">
      <w:pPr>
        <w:pStyle w:val="Textonotapie"/>
        <w:ind w:firstLine="708"/>
        <w:jc w:val="both"/>
        <w:rPr>
          <w:rFonts w:ascii="Verdana" w:hAnsi="Verdana"/>
          <w:sz w:val="16"/>
          <w:szCs w:val="16"/>
        </w:rPr>
      </w:pPr>
    </w:p>
  </w:footnote>
  <w:footnote w:id="18">
    <w:p w14:paraId="0A770997" w14:textId="77777777" w:rsidR="00162775" w:rsidRPr="00162775" w:rsidRDefault="00162775" w:rsidP="00D90D1A">
      <w:pPr>
        <w:pStyle w:val="Textonotapie"/>
        <w:ind w:firstLine="708"/>
        <w:jc w:val="both"/>
        <w:rPr>
          <w:rFonts w:ascii="Verdana" w:hAnsi="Verdana"/>
          <w:sz w:val="16"/>
          <w:szCs w:val="16"/>
        </w:rPr>
      </w:pPr>
      <w:r w:rsidRPr="00162775">
        <w:rPr>
          <w:rStyle w:val="Refdenotaalpie"/>
          <w:rFonts w:ascii="Verdana" w:hAnsi="Verdana"/>
          <w:sz w:val="16"/>
          <w:szCs w:val="16"/>
        </w:rPr>
        <w:footnoteRef/>
      </w:r>
      <w:r w:rsidRPr="00162775">
        <w:rPr>
          <w:rFonts w:ascii="Verdana" w:hAnsi="Verdana"/>
          <w:sz w:val="16"/>
          <w:szCs w:val="16"/>
        </w:rPr>
        <w:t xml:space="preserve"> HINESTROSA, Fernando. Tratado de las obligaciones II. De las fuentes de las obligaciones: el negocio jurídico. Volumen II. Bogotá: Universidad externando de Colombia, 2015. Libro en formato EPUB. </w:t>
      </w:r>
    </w:p>
    <w:p w14:paraId="13B7AB51" w14:textId="77777777" w:rsidR="00162775" w:rsidRPr="00162775" w:rsidRDefault="00162775" w:rsidP="00D90D1A">
      <w:pPr>
        <w:pStyle w:val="Textonotapie"/>
        <w:ind w:firstLine="708"/>
        <w:jc w:val="both"/>
        <w:rPr>
          <w:rFonts w:ascii="Verdana" w:hAnsi="Verdana"/>
          <w:sz w:val="16"/>
          <w:szCs w:val="16"/>
        </w:rPr>
      </w:pPr>
    </w:p>
  </w:footnote>
  <w:footnote w:id="19">
    <w:p w14:paraId="08340484" w14:textId="77777777" w:rsidR="00162775" w:rsidRPr="00162775" w:rsidRDefault="00162775" w:rsidP="00D90D1A">
      <w:pPr>
        <w:pStyle w:val="Textonotapie"/>
        <w:ind w:firstLine="708"/>
        <w:jc w:val="both"/>
        <w:rPr>
          <w:rFonts w:ascii="Verdana" w:hAnsi="Verdana"/>
          <w:sz w:val="16"/>
          <w:szCs w:val="16"/>
        </w:rPr>
      </w:pPr>
      <w:r w:rsidRPr="00162775">
        <w:rPr>
          <w:rStyle w:val="Refdenotaalpie"/>
          <w:rFonts w:ascii="Verdana" w:hAnsi="Verdana"/>
          <w:sz w:val="16"/>
          <w:szCs w:val="16"/>
        </w:rPr>
        <w:footnoteRef/>
      </w:r>
      <w:r w:rsidRPr="00162775">
        <w:rPr>
          <w:rFonts w:ascii="Verdana" w:hAnsi="Verdana"/>
          <w:sz w:val="16"/>
          <w:szCs w:val="16"/>
        </w:rPr>
        <w:t xml:space="preserve"> ALESSANDRI BESA, Arturo. La nulidad y la recisión en el derecho civil chileno. Santiago de Chile: Ediar Editores LTDA, s/a. p. 689. Para el autor, “Aun cuando la nulidad relativa sea la regla general en materia de nulidades, esto no significa, que la nulidad en sí misma, por ser una sanción, no constituya una excepción […]” (Ibidem. p. 685). Por ello, a pesar de la formulación general del último aparte del artículo 1741 del Código Civil, la nulidad relativa se reduce a circunstancias específicas.   </w:t>
      </w:r>
    </w:p>
    <w:p w14:paraId="4E9DF75F" w14:textId="77777777" w:rsidR="00162775" w:rsidRPr="00162775" w:rsidRDefault="00162775" w:rsidP="00D90D1A">
      <w:pPr>
        <w:pStyle w:val="Textonotapie"/>
        <w:ind w:firstLine="708"/>
        <w:jc w:val="both"/>
        <w:rPr>
          <w:rFonts w:ascii="Verdana" w:hAnsi="Verdana"/>
          <w:sz w:val="16"/>
          <w:szCs w:val="16"/>
        </w:rPr>
      </w:pPr>
    </w:p>
  </w:footnote>
  <w:footnote w:id="20">
    <w:p w14:paraId="1D27D2ED" w14:textId="77777777" w:rsidR="00162775" w:rsidRPr="00162775" w:rsidRDefault="00162775" w:rsidP="00D90D1A">
      <w:pPr>
        <w:pStyle w:val="Textonotapie"/>
        <w:ind w:firstLine="708"/>
        <w:jc w:val="both"/>
        <w:rPr>
          <w:rFonts w:ascii="Verdana" w:hAnsi="Verdana"/>
          <w:sz w:val="16"/>
          <w:szCs w:val="16"/>
        </w:rPr>
      </w:pPr>
      <w:r w:rsidRPr="00162775">
        <w:rPr>
          <w:rStyle w:val="Refdenotaalpie"/>
          <w:rFonts w:ascii="Verdana" w:hAnsi="Verdana"/>
          <w:sz w:val="16"/>
          <w:szCs w:val="16"/>
        </w:rPr>
        <w:footnoteRef/>
      </w:r>
      <w:r w:rsidRPr="00162775">
        <w:rPr>
          <w:rFonts w:ascii="Verdana" w:hAnsi="Verdana"/>
          <w:sz w:val="16"/>
          <w:szCs w:val="16"/>
        </w:rPr>
        <w:t xml:space="preserve"> De acuerdo con la doctrina, “El legislador mercantil introduce una importante variación al establecer la nulidad absoluta corno la regla general en las sanciones. Cuando se contraria una norma imperativa en el ejercicio de la autonomía de la voluntad, si no hay una sanción específica, tendremos como resultado que habrá nulidad absoluta. En el campo civil, la sanción general no es la nulidad absoluta sino la nulidad relativa, pues el articulo 1741 luego de señalar las causales de nulidad absoluta, concluye: Cualquier otra especie de vicio produce nulidad relativa. Es una marcada diferencia en el tratamiento de las nulidades de las dos codificaciones” (ARRUBLA PAUCAR, Jaime Alberto. Contratos mercantiles: teoría general del negocio mercantil. Decimocuarta edición. Bogotá: Legis, 2021. p. 282. Énfasis dentro del texto).</w:t>
      </w:r>
    </w:p>
    <w:p w14:paraId="1BD398A7" w14:textId="77777777" w:rsidR="00162775" w:rsidRPr="00162775" w:rsidRDefault="00162775" w:rsidP="00D90D1A">
      <w:pPr>
        <w:pStyle w:val="Textonotapie"/>
        <w:ind w:firstLine="708"/>
        <w:jc w:val="both"/>
        <w:rPr>
          <w:rFonts w:ascii="Verdana" w:hAnsi="Verdana"/>
          <w:sz w:val="16"/>
          <w:szCs w:val="16"/>
        </w:rPr>
      </w:pPr>
    </w:p>
  </w:footnote>
  <w:footnote w:id="21">
    <w:p w14:paraId="1F940E3E" w14:textId="77777777" w:rsidR="00162775" w:rsidRPr="00162775" w:rsidRDefault="00162775" w:rsidP="00D90D1A">
      <w:pPr>
        <w:spacing w:after="0" w:line="240" w:lineRule="auto"/>
        <w:ind w:firstLine="707"/>
        <w:jc w:val="both"/>
        <w:rPr>
          <w:rFonts w:ascii="Verdana" w:hAnsi="Verdana" w:cs="Arial"/>
          <w:sz w:val="16"/>
          <w:szCs w:val="16"/>
        </w:rPr>
      </w:pPr>
      <w:r w:rsidRPr="00162775">
        <w:rPr>
          <w:rStyle w:val="Refdenotaalpie"/>
          <w:rFonts w:ascii="Verdana" w:hAnsi="Verdana" w:cs="Arial"/>
          <w:sz w:val="16"/>
          <w:szCs w:val="16"/>
        </w:rPr>
        <w:footnoteRef/>
      </w:r>
      <w:r w:rsidRPr="00162775">
        <w:rPr>
          <w:rFonts w:ascii="Verdana" w:hAnsi="Verdana" w:cs="Arial"/>
          <w:sz w:val="16"/>
          <w:szCs w:val="16"/>
        </w:rPr>
        <w:t xml:space="preserve"> “Artículo 44. Los contratos del Estado son absolutamente nulos en los casos previstos en el derecho común y además cuando:</w:t>
      </w:r>
    </w:p>
    <w:p w14:paraId="0DF3369F" w14:textId="77777777" w:rsidR="00162775" w:rsidRPr="00162775" w:rsidRDefault="00162775" w:rsidP="00D90D1A">
      <w:pPr>
        <w:spacing w:after="0" w:line="240" w:lineRule="auto"/>
        <w:ind w:firstLine="708"/>
        <w:jc w:val="both"/>
        <w:rPr>
          <w:rFonts w:ascii="Verdana" w:hAnsi="Verdana" w:cs="Arial"/>
          <w:sz w:val="16"/>
          <w:szCs w:val="16"/>
        </w:rPr>
      </w:pPr>
      <w:r w:rsidRPr="00162775">
        <w:rPr>
          <w:rFonts w:ascii="Verdana" w:hAnsi="Verdana" w:cs="Arial"/>
          <w:sz w:val="16"/>
          <w:szCs w:val="16"/>
        </w:rPr>
        <w:t>1o. Se celebren con personas incursas en causales de inhabilidad o incompatibilidad previstas en la Constitución y la ley;</w:t>
      </w:r>
    </w:p>
    <w:p w14:paraId="468319EC" w14:textId="77777777" w:rsidR="00162775" w:rsidRPr="00162775" w:rsidRDefault="00162775" w:rsidP="00D90D1A">
      <w:pPr>
        <w:spacing w:after="0" w:line="240" w:lineRule="auto"/>
        <w:ind w:firstLine="708"/>
        <w:jc w:val="both"/>
        <w:rPr>
          <w:rFonts w:ascii="Verdana" w:hAnsi="Verdana" w:cs="Arial"/>
          <w:sz w:val="16"/>
          <w:szCs w:val="16"/>
        </w:rPr>
      </w:pPr>
      <w:r w:rsidRPr="00162775">
        <w:rPr>
          <w:rFonts w:ascii="Verdana" w:hAnsi="Verdana" w:cs="Arial"/>
          <w:sz w:val="16"/>
          <w:szCs w:val="16"/>
        </w:rPr>
        <w:t xml:space="preserve">2o. Se celebren contra expresa prohibición constitucional o legal; </w:t>
      </w:r>
    </w:p>
    <w:p w14:paraId="2E865A5D" w14:textId="77777777" w:rsidR="00162775" w:rsidRPr="00162775" w:rsidRDefault="00162775" w:rsidP="00D90D1A">
      <w:pPr>
        <w:spacing w:after="0" w:line="240" w:lineRule="auto"/>
        <w:ind w:firstLine="708"/>
        <w:jc w:val="both"/>
        <w:rPr>
          <w:rFonts w:ascii="Verdana" w:hAnsi="Verdana" w:cs="Arial"/>
          <w:sz w:val="16"/>
          <w:szCs w:val="16"/>
        </w:rPr>
      </w:pPr>
      <w:r w:rsidRPr="00162775">
        <w:rPr>
          <w:rFonts w:ascii="Verdana" w:hAnsi="Verdana" w:cs="Arial"/>
          <w:sz w:val="16"/>
          <w:szCs w:val="16"/>
        </w:rPr>
        <w:t>3o. Se celebren con abuso o desviación de poder;</w:t>
      </w:r>
    </w:p>
    <w:p w14:paraId="73455D47" w14:textId="77777777" w:rsidR="00162775" w:rsidRPr="00162775" w:rsidRDefault="00162775" w:rsidP="00D90D1A">
      <w:pPr>
        <w:spacing w:after="0" w:line="240" w:lineRule="auto"/>
        <w:ind w:firstLine="708"/>
        <w:jc w:val="both"/>
        <w:rPr>
          <w:rFonts w:ascii="Verdana" w:hAnsi="Verdana" w:cs="Arial"/>
          <w:sz w:val="16"/>
          <w:szCs w:val="16"/>
        </w:rPr>
      </w:pPr>
      <w:r w:rsidRPr="00162775">
        <w:rPr>
          <w:rFonts w:ascii="Verdana" w:hAnsi="Verdana" w:cs="Arial"/>
          <w:sz w:val="16"/>
          <w:szCs w:val="16"/>
        </w:rPr>
        <w:t>4o. Se declaren nulos los actos administrativos en que se fundamenten; y</w:t>
      </w:r>
    </w:p>
    <w:p w14:paraId="47184F2C" w14:textId="77777777" w:rsidR="00162775" w:rsidRPr="00162775" w:rsidRDefault="00162775" w:rsidP="00D90D1A">
      <w:pPr>
        <w:spacing w:after="0" w:line="240" w:lineRule="auto"/>
        <w:ind w:firstLine="708"/>
        <w:jc w:val="both"/>
        <w:rPr>
          <w:rFonts w:ascii="Verdana" w:hAnsi="Verdana" w:cs="Arial"/>
          <w:sz w:val="16"/>
          <w:szCs w:val="16"/>
        </w:rPr>
      </w:pPr>
      <w:r w:rsidRPr="00162775">
        <w:rPr>
          <w:rFonts w:ascii="Verdana" w:hAnsi="Verdana" w:cs="Arial"/>
          <w:sz w:val="16"/>
          <w:szCs w:val="16"/>
        </w:rPr>
        <w:t>5o. Se hubieren celebrado con desconocimiento de los criterios previstos en el artículo 21 sobre tratamiento de ofertas nacionales y extranjeras o con violación de la reciprocidad de que trata esta ley”.</w:t>
      </w:r>
    </w:p>
    <w:p w14:paraId="0AA237DC" w14:textId="77777777" w:rsidR="00162775" w:rsidRPr="00162775" w:rsidRDefault="00162775" w:rsidP="00D90D1A">
      <w:pPr>
        <w:spacing w:after="0" w:line="240" w:lineRule="auto"/>
        <w:ind w:firstLine="708"/>
        <w:jc w:val="both"/>
        <w:rPr>
          <w:rFonts w:ascii="Verdana" w:hAnsi="Verdana" w:cs="Arial"/>
          <w:sz w:val="16"/>
          <w:szCs w:val="16"/>
        </w:rPr>
      </w:pPr>
    </w:p>
  </w:footnote>
  <w:footnote w:id="22">
    <w:p w14:paraId="0C45A37B" w14:textId="77777777" w:rsidR="00162775" w:rsidRPr="00162775" w:rsidRDefault="00162775" w:rsidP="00D90D1A">
      <w:pPr>
        <w:spacing w:line="240" w:lineRule="auto"/>
        <w:ind w:firstLine="708"/>
        <w:jc w:val="both"/>
        <w:rPr>
          <w:rFonts w:ascii="Verdana" w:hAnsi="Verdana" w:cs="Arial"/>
          <w:sz w:val="16"/>
          <w:szCs w:val="16"/>
        </w:rPr>
      </w:pPr>
      <w:r w:rsidRPr="00162775">
        <w:rPr>
          <w:rStyle w:val="Refdenotaalpie"/>
          <w:rFonts w:ascii="Verdana" w:hAnsi="Verdana" w:cs="Arial"/>
          <w:sz w:val="16"/>
          <w:szCs w:val="16"/>
        </w:rPr>
        <w:footnoteRef/>
      </w:r>
      <w:r w:rsidRPr="00162775">
        <w:rPr>
          <w:rFonts w:ascii="Verdana" w:hAnsi="Verdana" w:cs="Arial"/>
          <w:sz w:val="16"/>
          <w:szCs w:val="16"/>
        </w:rPr>
        <w:t xml:space="preserve"> “Artículo 46. de la nulidad relativa. Los demás vicios que se presenten en los contratos y que conforme al derecho común constituyen causales de nulidad relativa, pueden sanearse por ratificación expresa de los interesados o por el transcurso de dos (2) años contados a partir de la ocurrencia del hecho generador del vicio”.</w:t>
      </w:r>
    </w:p>
    <w:p w14:paraId="669D4DC5" w14:textId="77777777" w:rsidR="00162775" w:rsidRPr="00162775" w:rsidRDefault="00162775" w:rsidP="00D90D1A">
      <w:pPr>
        <w:spacing w:after="0" w:line="240" w:lineRule="auto"/>
        <w:ind w:firstLine="708"/>
        <w:jc w:val="both"/>
        <w:rPr>
          <w:rFonts w:ascii="Verdana" w:hAnsi="Verdana" w:cs="Arial"/>
          <w:sz w:val="16"/>
          <w:szCs w:val="16"/>
        </w:rPr>
      </w:pPr>
    </w:p>
  </w:footnote>
  <w:footnote w:id="23">
    <w:p w14:paraId="3BBD5F39" w14:textId="77777777" w:rsidR="00162775" w:rsidRPr="00162775" w:rsidRDefault="00162775" w:rsidP="00D90D1A">
      <w:pPr>
        <w:pStyle w:val="Textonotapie"/>
        <w:ind w:firstLine="708"/>
        <w:jc w:val="both"/>
        <w:rPr>
          <w:rStyle w:val="nfasis"/>
          <w:rFonts w:ascii="Verdana" w:hAnsi="Verdana"/>
          <w:i w:val="0"/>
          <w:iCs w:val="0"/>
          <w:color w:val="000000"/>
          <w:sz w:val="16"/>
          <w:szCs w:val="16"/>
          <w:shd w:val="clear" w:color="auto" w:fill="FFFFFF"/>
        </w:rPr>
      </w:pPr>
      <w:r w:rsidRPr="00162775">
        <w:rPr>
          <w:rStyle w:val="Refdenotaalpie"/>
          <w:rFonts w:ascii="Verdana" w:hAnsi="Verdana" w:cs="Arial"/>
          <w:sz w:val="16"/>
          <w:szCs w:val="16"/>
        </w:rPr>
        <w:footnoteRef/>
      </w:r>
      <w:r w:rsidRPr="00162775">
        <w:rPr>
          <w:rFonts w:ascii="Verdana" w:hAnsi="Verdana" w:cs="Arial"/>
          <w:sz w:val="16"/>
          <w:szCs w:val="16"/>
        </w:rPr>
        <w:t xml:space="preserve"> </w:t>
      </w:r>
      <w:r w:rsidRPr="00162775">
        <w:rPr>
          <w:rStyle w:val="nfasis"/>
          <w:rFonts w:ascii="Verdana" w:hAnsi="Verdana"/>
          <w:i w:val="0"/>
          <w:iCs w:val="0"/>
          <w:color w:val="000000"/>
          <w:sz w:val="16"/>
          <w:szCs w:val="16"/>
          <w:shd w:val="clear" w:color="auto" w:fill="FFFFFF"/>
        </w:rPr>
        <w:t>Consejo de Estado. Sala de lo Contencioso Administrativo. Sección Tercera. Subsección C. Sentencia del 12 de agosto de 2014. Radicación: 05001-23-31-000-1998-01350-01 (28565). C.P: Enrique Gil Botero.</w:t>
      </w:r>
    </w:p>
    <w:p w14:paraId="6AFAF3AF" w14:textId="77777777" w:rsidR="00162775" w:rsidRPr="00162775" w:rsidRDefault="00162775" w:rsidP="00D90D1A">
      <w:pPr>
        <w:pStyle w:val="Textonotapie"/>
        <w:ind w:firstLine="708"/>
        <w:jc w:val="both"/>
        <w:rPr>
          <w:rFonts w:ascii="Verdana" w:hAnsi="Verdana" w:cs="Arial"/>
          <w:sz w:val="16"/>
          <w:szCs w:val="16"/>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5pt;height:11.7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3D6124"/>
    <w:multiLevelType w:val="hybridMultilevel"/>
    <w:tmpl w:val="E7AC739E"/>
    <w:lvl w:ilvl="0" w:tplc="04090001">
      <w:start w:val="1"/>
      <w:numFmt w:val="bullet"/>
      <w:lvlText w:val=""/>
      <w:lvlJc w:val="left"/>
      <w:pPr>
        <w:ind w:left="615" w:hanging="360"/>
      </w:pPr>
      <w:rPr>
        <w:rFonts w:ascii="Symbol" w:hAnsi="Symbol"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8434282">
    <w:abstractNumId w:val="6"/>
  </w:num>
  <w:num w:numId="2" w16cid:durableId="1809932785">
    <w:abstractNumId w:val="2"/>
  </w:num>
  <w:num w:numId="3" w16cid:durableId="2143228178">
    <w:abstractNumId w:val="4"/>
  </w:num>
  <w:num w:numId="4" w16cid:durableId="18753390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6790163">
    <w:abstractNumId w:val="2"/>
  </w:num>
  <w:num w:numId="6" w16cid:durableId="1137533914">
    <w:abstractNumId w:val="13"/>
  </w:num>
  <w:num w:numId="7" w16cid:durableId="1342052960">
    <w:abstractNumId w:val="5"/>
  </w:num>
  <w:num w:numId="8" w16cid:durableId="441730909">
    <w:abstractNumId w:val="12"/>
  </w:num>
  <w:num w:numId="9" w16cid:durableId="259484058">
    <w:abstractNumId w:val="7"/>
  </w:num>
  <w:num w:numId="10" w16cid:durableId="155876070">
    <w:abstractNumId w:val="11"/>
  </w:num>
  <w:num w:numId="11" w16cid:durableId="426311719">
    <w:abstractNumId w:val="8"/>
  </w:num>
  <w:num w:numId="12" w16cid:durableId="1352682669">
    <w:abstractNumId w:val="1"/>
  </w:num>
  <w:num w:numId="13" w16cid:durableId="1731999085">
    <w:abstractNumId w:val="3"/>
  </w:num>
  <w:num w:numId="14" w16cid:durableId="97869707">
    <w:abstractNumId w:val="14"/>
  </w:num>
  <w:num w:numId="15" w16cid:durableId="357706952">
    <w:abstractNumId w:val="10"/>
  </w:num>
  <w:num w:numId="16" w16cid:durableId="1655260161">
    <w:abstractNumId w:val="0"/>
  </w:num>
  <w:num w:numId="17" w16cid:durableId="9678524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699B"/>
    <w:rsid w:val="00162775"/>
    <w:rsid w:val="00190AC1"/>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5C69"/>
    <w:rsid w:val="0042722E"/>
    <w:rsid w:val="0044528D"/>
    <w:rsid w:val="00450275"/>
    <w:rsid w:val="00466E39"/>
    <w:rsid w:val="004A1847"/>
    <w:rsid w:val="004A305D"/>
    <w:rsid w:val="004F21C4"/>
    <w:rsid w:val="004F685F"/>
    <w:rsid w:val="005566E8"/>
    <w:rsid w:val="00574867"/>
    <w:rsid w:val="00591460"/>
    <w:rsid w:val="005A65E0"/>
    <w:rsid w:val="005C3777"/>
    <w:rsid w:val="005C5CDC"/>
    <w:rsid w:val="005D476C"/>
    <w:rsid w:val="006200BF"/>
    <w:rsid w:val="006219F8"/>
    <w:rsid w:val="006302F7"/>
    <w:rsid w:val="00646B9F"/>
    <w:rsid w:val="00665D70"/>
    <w:rsid w:val="006900D9"/>
    <w:rsid w:val="00706C16"/>
    <w:rsid w:val="007340C3"/>
    <w:rsid w:val="0074412C"/>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923EEF"/>
    <w:rsid w:val="009419F9"/>
    <w:rsid w:val="00956636"/>
    <w:rsid w:val="0095685E"/>
    <w:rsid w:val="00961B09"/>
    <w:rsid w:val="00965334"/>
    <w:rsid w:val="0097093E"/>
    <w:rsid w:val="009809D2"/>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405F5"/>
    <w:rsid w:val="00AB0ADB"/>
    <w:rsid w:val="00B00C0E"/>
    <w:rsid w:val="00B01B1A"/>
    <w:rsid w:val="00B0381D"/>
    <w:rsid w:val="00B44A47"/>
    <w:rsid w:val="00B72CD3"/>
    <w:rsid w:val="00B72FFF"/>
    <w:rsid w:val="00BC3D36"/>
    <w:rsid w:val="00BD54A6"/>
    <w:rsid w:val="00BD7F72"/>
    <w:rsid w:val="00BE3C88"/>
    <w:rsid w:val="00BF7425"/>
    <w:rsid w:val="00C04FB3"/>
    <w:rsid w:val="00C11D8B"/>
    <w:rsid w:val="00C15139"/>
    <w:rsid w:val="00C330EB"/>
    <w:rsid w:val="00C50D69"/>
    <w:rsid w:val="00C5365C"/>
    <w:rsid w:val="00C754BE"/>
    <w:rsid w:val="00C76B1C"/>
    <w:rsid w:val="00C925AC"/>
    <w:rsid w:val="00CB6357"/>
    <w:rsid w:val="00CC1B26"/>
    <w:rsid w:val="00CD0F49"/>
    <w:rsid w:val="00D361FD"/>
    <w:rsid w:val="00D423A2"/>
    <w:rsid w:val="00D44E26"/>
    <w:rsid w:val="00D520D8"/>
    <w:rsid w:val="00D63AC2"/>
    <w:rsid w:val="00D7383B"/>
    <w:rsid w:val="00D7788A"/>
    <w:rsid w:val="00D90D1A"/>
    <w:rsid w:val="00DA231B"/>
    <w:rsid w:val="00DC39FC"/>
    <w:rsid w:val="00DF5254"/>
    <w:rsid w:val="00E02524"/>
    <w:rsid w:val="00E16408"/>
    <w:rsid w:val="00E17C6E"/>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74412C"/>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74412C"/>
    <w:rPr>
      <w:rFonts w:ascii="Geomanist Light" w:hAnsi="Geomanist Light"/>
      <w:lang w:val="es-ES"/>
    </w:rPr>
  </w:style>
  <w:style w:type="character" w:styleId="Fuerte">
    <w:name w:val="Strong"/>
    <w:basedOn w:val="Fuentedeprrafopredeter"/>
    <w:uiPriority w:val="22"/>
    <w:qFormat/>
    <w:rsid w:val="0074412C"/>
    <w:rPr>
      <w:b/>
      <w:bCs/>
    </w:rPr>
  </w:style>
  <w:style w:type="paragraph" w:styleId="Textoindependiente">
    <w:name w:val="Body Text"/>
    <w:basedOn w:val="Normal"/>
    <w:link w:val="TextoindependienteCar"/>
    <w:uiPriority w:val="1"/>
    <w:qFormat/>
    <w:rsid w:val="00162775"/>
    <w:pPr>
      <w:widowControl w:val="0"/>
      <w:autoSpaceDE w:val="0"/>
      <w:autoSpaceDN w:val="0"/>
      <w:spacing w:after="0" w:line="240" w:lineRule="auto"/>
    </w:pPr>
    <w:rPr>
      <w:rFonts w:ascii="Arial" w:eastAsia="Arial" w:hAnsi="Arial" w:cs="Arial"/>
      <w:lang w:val="es-ES"/>
    </w:rPr>
  </w:style>
  <w:style w:type="character" w:customStyle="1" w:styleId="TextoindependienteCar">
    <w:name w:val="Texto independiente Car"/>
    <w:basedOn w:val="Fuentedeprrafopredeter"/>
    <w:link w:val="Textoindependiente"/>
    <w:uiPriority w:val="1"/>
    <w:rsid w:val="00162775"/>
    <w:rPr>
      <w:rFonts w:ascii="Arial" w:eastAsia="Arial" w:hAnsi="Arial" w:cs="Arial"/>
      <w:lang w:val="es-ES"/>
    </w:rPr>
  </w:style>
  <w:style w:type="character" w:styleId="nfasis">
    <w:name w:val="Emphasis"/>
    <w:basedOn w:val="Fuentedeprrafopredeter"/>
    <w:uiPriority w:val="20"/>
    <w:qFormat/>
    <w:rsid w:val="001627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lombiacompra.gov.co/wp-content/uploads/2024/08/2016-Guia-para-la-liquidacion-contratos-estatales-G-LPC-01.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yenni.munozh@gmail.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latoria.colombiacompra.gov.co/busqueda/concepto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wp-content/uploads/2024/08/2016-Guia-para-la-liquidacion-contratos-estatales-G-LPC-0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053285-972C-CD40-8694-562C4E813553}">
  <ds:schemaRefs>
    <ds:schemaRef ds:uri="http://schemas.openxmlformats.org/officeDocument/2006/bibliography"/>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653D06-C8B5-49D2-9925-A2A0A7BD0B5C}"/>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7</TotalTime>
  <Pages>29</Pages>
  <Words>9551</Words>
  <Characters>52535</Characters>
  <Application>Microsoft Office Word</Application>
  <DocSecurity>0</DocSecurity>
  <Lines>437</Lines>
  <Paragraphs>123</Paragraphs>
  <ScaleCrop>false</ScaleCrop>
  <Company/>
  <LinksUpToDate>false</LinksUpToDate>
  <CharactersWithSpaces>61963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Andreina Cerpa Muñoz</cp:lastModifiedBy>
  <cp:revision>3</cp:revision>
  <cp:lastPrinted>2023-01-10T21:18:00Z</cp:lastPrinted>
  <dcterms:created xsi:type="dcterms:W3CDTF">2026-08-18T23:32:00Z</dcterms:created>
  <dcterms:modified xsi:type="dcterms:W3CDTF">2026-08-19T14:56:00Z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