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62087" w14:textId="77777777" w:rsidR="001C3C9B" w:rsidRPr="00B774CC" w:rsidRDefault="001C3C9B" w:rsidP="001C3C9B">
      <w:pPr>
        <w:spacing w:after="0" w:line="276" w:lineRule="auto"/>
        <w:jc w:val="both"/>
        <w:rPr>
          <w:rFonts w:ascii="Verdana" w:eastAsia="Calibri" w:hAnsi="Verdana" w:cs="Arial"/>
          <w:b/>
          <w:bCs/>
          <w:lang w:val="es-ES_tradnl" w:eastAsia="es-MX"/>
        </w:rPr>
      </w:pPr>
      <w:bookmarkStart w:id="0" w:name="_Hlk143780582"/>
      <w:bookmarkEnd w:id="0"/>
      <w:r w:rsidRPr="00B774CC">
        <w:rPr>
          <w:rFonts w:ascii="Verdana" w:eastAsia="Calibri" w:hAnsi="Verdana" w:cs="Arial"/>
          <w:b/>
          <w:bCs/>
          <w:lang w:val="es-ES_tradnl" w:eastAsia="es-MX"/>
        </w:rPr>
        <w:t xml:space="preserve">DOCUMENTOS TIPO – Fundamento normativo – Obligatoriedad </w:t>
      </w:r>
    </w:p>
    <w:p w14:paraId="42AAA419" w14:textId="77777777" w:rsidR="001C3C9B" w:rsidRPr="00B774CC" w:rsidRDefault="001C3C9B" w:rsidP="001C3C9B">
      <w:pPr>
        <w:spacing w:after="0" w:line="276" w:lineRule="auto"/>
        <w:jc w:val="both"/>
        <w:rPr>
          <w:rFonts w:ascii="Verdana" w:eastAsia="Calibri" w:hAnsi="Verdana" w:cs="Arial"/>
          <w:b/>
          <w:bCs/>
          <w:sz w:val="20"/>
          <w:szCs w:val="20"/>
          <w:lang w:val="es-ES_tradnl" w:eastAsia="es-MX"/>
        </w:rPr>
      </w:pPr>
    </w:p>
    <w:p w14:paraId="276630BF" w14:textId="77777777" w:rsidR="001C3C9B" w:rsidRPr="00B774CC" w:rsidRDefault="001C3C9B" w:rsidP="001C3C9B">
      <w:pPr>
        <w:tabs>
          <w:tab w:val="left" w:pos="709"/>
        </w:tabs>
        <w:spacing w:after="0" w:line="240" w:lineRule="auto"/>
        <w:jc w:val="both"/>
        <w:rPr>
          <w:rFonts w:ascii="Verdana" w:eastAsia="Calibri" w:hAnsi="Verdana" w:cs="Arial"/>
          <w:sz w:val="20"/>
          <w:szCs w:val="20"/>
          <w:lang w:val="es-ES" w:eastAsia="es-MX"/>
        </w:rPr>
      </w:pPr>
      <w:r w:rsidRPr="00B774CC">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1668C4D0" w14:textId="77777777" w:rsidR="001C3C9B" w:rsidRPr="00B774CC" w:rsidRDefault="001C3C9B" w:rsidP="001C3C9B">
      <w:pPr>
        <w:spacing w:after="0" w:line="276" w:lineRule="auto"/>
        <w:jc w:val="both"/>
        <w:rPr>
          <w:rFonts w:ascii="Verdana" w:eastAsia="Calibri" w:hAnsi="Verdana" w:cs="Arial"/>
          <w:b/>
          <w:bCs/>
          <w:lang w:val="es-ES_tradnl" w:eastAsia="es-MX"/>
        </w:rPr>
      </w:pPr>
    </w:p>
    <w:p w14:paraId="4C532698" w14:textId="77777777" w:rsidR="001C3C9B" w:rsidRPr="00B774CC" w:rsidRDefault="001C3C9B" w:rsidP="001C3C9B">
      <w:pPr>
        <w:widowControl w:val="0"/>
        <w:autoSpaceDE w:val="0"/>
        <w:autoSpaceDN w:val="0"/>
        <w:spacing w:after="0" w:line="276" w:lineRule="auto"/>
        <w:jc w:val="both"/>
        <w:rPr>
          <w:rFonts w:ascii="Verdana" w:eastAsia="Calibri" w:hAnsi="Verdana" w:cs="Times New Roman"/>
          <w:b/>
          <w:bCs/>
          <w:lang w:val="es-ES" w:eastAsia="es-MX"/>
        </w:rPr>
      </w:pPr>
      <w:r w:rsidRPr="00B774CC">
        <w:rPr>
          <w:rFonts w:ascii="Verdana" w:eastAsia="Calibri" w:hAnsi="Verdana" w:cs="Arial"/>
          <w:b/>
          <w:bCs/>
          <w:lang w:val="es-ES_tradnl" w:eastAsia="es-MX"/>
        </w:rPr>
        <w:t>SECTOR SOCIAL</w:t>
      </w:r>
      <w:r w:rsidRPr="00B774CC">
        <w:rPr>
          <w:rFonts w:ascii="Verdana" w:eastAsia="Calibri" w:hAnsi="Verdana" w:cs="Times New Roman"/>
          <w:lang w:val="es-ES" w:eastAsia="es-MX"/>
        </w:rPr>
        <w:t xml:space="preserve"> </w:t>
      </w:r>
      <w:r w:rsidRPr="00B774CC">
        <w:rPr>
          <w:rFonts w:ascii="Verdana" w:eastAsia="Calibri" w:hAnsi="Verdana" w:cs="Times New Roman"/>
          <w:b/>
          <w:bCs/>
          <w:lang w:val="es-ES" w:eastAsia="es-MX"/>
        </w:rPr>
        <w:t>– Documentos tipo – Vigentes</w:t>
      </w:r>
    </w:p>
    <w:p w14:paraId="2CFC768D" w14:textId="77777777" w:rsidR="001C3C9B" w:rsidRPr="00B774CC" w:rsidRDefault="001C3C9B" w:rsidP="001C3C9B">
      <w:pPr>
        <w:widowControl w:val="0"/>
        <w:autoSpaceDE w:val="0"/>
        <w:autoSpaceDN w:val="0"/>
        <w:spacing w:after="0" w:line="276" w:lineRule="auto"/>
        <w:jc w:val="both"/>
        <w:rPr>
          <w:rFonts w:ascii="Verdana" w:eastAsia="Calibri" w:hAnsi="Verdana" w:cs="Times New Roman"/>
          <w:b/>
          <w:bCs/>
          <w:lang w:val="es-ES" w:eastAsia="es-MX"/>
        </w:rPr>
      </w:pPr>
    </w:p>
    <w:p w14:paraId="6C5CD730" w14:textId="77777777" w:rsidR="001C3C9B" w:rsidRPr="00B774CC" w:rsidRDefault="001C3C9B" w:rsidP="001C3C9B">
      <w:pPr>
        <w:widowControl w:val="0"/>
        <w:autoSpaceDE w:val="0"/>
        <w:autoSpaceDN w:val="0"/>
        <w:spacing w:after="0" w:line="240" w:lineRule="auto"/>
        <w:jc w:val="both"/>
        <w:rPr>
          <w:rFonts w:ascii="Verdana" w:eastAsia="Calibri" w:hAnsi="Verdana" w:cs="Times New Roman"/>
          <w:b/>
          <w:bCs/>
          <w:sz w:val="20"/>
          <w:szCs w:val="20"/>
          <w:lang w:val="es-ES" w:eastAsia="es-MX"/>
        </w:rPr>
      </w:pPr>
      <w:r w:rsidRPr="00B774CC">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40B82FB8" w14:textId="77777777" w:rsidR="001C3C9B" w:rsidRPr="00B774CC" w:rsidRDefault="001C3C9B" w:rsidP="001C3C9B">
      <w:pPr>
        <w:spacing w:after="0"/>
        <w:rPr>
          <w:rFonts w:ascii="Verdana" w:hAnsi="Verdana"/>
          <w:lang w:val="es-ES"/>
        </w:rPr>
      </w:pPr>
    </w:p>
    <w:p w14:paraId="750B733E" w14:textId="77777777" w:rsidR="001C3C9B" w:rsidRPr="00B774CC" w:rsidRDefault="001C3C9B" w:rsidP="001C3C9B">
      <w:pPr>
        <w:spacing w:after="0" w:line="276" w:lineRule="auto"/>
        <w:jc w:val="both"/>
        <w:rPr>
          <w:rFonts w:ascii="Verdana" w:eastAsia="Calibri" w:hAnsi="Verdana" w:cs="Times New Roman"/>
          <w:sz w:val="20"/>
          <w:szCs w:val="20"/>
          <w:lang w:val="es-ES" w:eastAsia="es-MX"/>
        </w:rPr>
      </w:pPr>
      <w:r w:rsidRPr="00B774CC">
        <w:rPr>
          <w:rFonts w:ascii="Verdana" w:eastAsia="Calibri" w:hAnsi="Verdana" w:cs="Times New Roman"/>
          <w:b/>
          <w:bCs/>
          <w:lang w:val="es-ES" w:eastAsia="es-MX"/>
        </w:rPr>
        <w:t xml:space="preserve">DOCUMENTOS TIPO – Aplicación – Matriz de Experiencia </w:t>
      </w:r>
    </w:p>
    <w:p w14:paraId="535103B7" w14:textId="77777777" w:rsidR="001C3C9B" w:rsidRPr="00B774CC" w:rsidRDefault="001C3C9B" w:rsidP="001C3C9B">
      <w:pPr>
        <w:spacing w:after="0" w:line="240" w:lineRule="auto"/>
        <w:rPr>
          <w:rFonts w:ascii="Verdana" w:eastAsia="Geomanist Light" w:hAnsi="Verdana" w:cs="Arial"/>
          <w:lang w:val="es-MX" w:eastAsia="es-MX"/>
        </w:rPr>
      </w:pPr>
    </w:p>
    <w:p w14:paraId="6608566D" w14:textId="77777777" w:rsidR="001C3C9B" w:rsidRPr="00B774CC" w:rsidRDefault="001C3C9B" w:rsidP="001C3C9B">
      <w:pPr>
        <w:widowControl w:val="0"/>
        <w:autoSpaceDE w:val="0"/>
        <w:autoSpaceDN w:val="0"/>
        <w:spacing w:after="0" w:line="240" w:lineRule="auto"/>
        <w:jc w:val="both"/>
        <w:rPr>
          <w:rFonts w:ascii="Verdana" w:eastAsia="Calibri" w:hAnsi="Verdana" w:cs="Times New Roman"/>
          <w:sz w:val="20"/>
          <w:szCs w:val="20"/>
          <w:lang w:val="es-ES" w:eastAsia="es-MX"/>
        </w:rPr>
      </w:pPr>
      <w:r w:rsidRPr="00B774CC">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68E8705B" w14:textId="77777777" w:rsidR="001C3C9B" w:rsidRPr="00B774CC" w:rsidRDefault="001C3C9B" w:rsidP="001C3C9B">
      <w:pPr>
        <w:widowControl w:val="0"/>
        <w:autoSpaceDE w:val="0"/>
        <w:autoSpaceDN w:val="0"/>
        <w:spacing w:after="0" w:line="240" w:lineRule="auto"/>
        <w:jc w:val="both"/>
        <w:rPr>
          <w:rFonts w:ascii="Verdana" w:eastAsia="Calibri" w:hAnsi="Verdana" w:cs="Times New Roman"/>
          <w:sz w:val="20"/>
          <w:szCs w:val="20"/>
          <w:lang w:val="es-ES" w:eastAsia="es-MX"/>
        </w:rPr>
      </w:pPr>
    </w:p>
    <w:p w14:paraId="382B4E51" w14:textId="77777777" w:rsidR="001C3C9B" w:rsidRPr="00B774CC" w:rsidRDefault="001C3C9B" w:rsidP="001C3C9B">
      <w:pPr>
        <w:widowControl w:val="0"/>
        <w:autoSpaceDE w:val="0"/>
        <w:autoSpaceDN w:val="0"/>
        <w:spacing w:after="0" w:line="240" w:lineRule="auto"/>
        <w:jc w:val="both"/>
        <w:rPr>
          <w:rFonts w:ascii="Verdana" w:eastAsia="Calibri" w:hAnsi="Verdana" w:cs="Times New Roman"/>
          <w:sz w:val="20"/>
          <w:szCs w:val="20"/>
          <w:lang w:val="es-ES" w:eastAsia="es-MX"/>
        </w:rPr>
      </w:pPr>
      <w:r w:rsidRPr="00B774CC">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70684B8B" w14:textId="77777777" w:rsidR="001C3C9B" w:rsidRPr="00B774CC" w:rsidRDefault="001C3C9B" w:rsidP="001C3C9B">
      <w:pPr>
        <w:widowControl w:val="0"/>
        <w:autoSpaceDE w:val="0"/>
        <w:autoSpaceDN w:val="0"/>
        <w:spacing w:after="0" w:line="240" w:lineRule="auto"/>
        <w:jc w:val="both"/>
        <w:rPr>
          <w:rFonts w:ascii="Verdana" w:eastAsia="Calibri" w:hAnsi="Verdana" w:cs="Times New Roman"/>
          <w:sz w:val="20"/>
          <w:szCs w:val="20"/>
          <w:lang w:val="es-ES" w:eastAsia="es-MX"/>
        </w:rPr>
      </w:pPr>
    </w:p>
    <w:p w14:paraId="6C2716B1" w14:textId="77777777" w:rsidR="001C3C9B" w:rsidRPr="00B774CC" w:rsidRDefault="001C3C9B" w:rsidP="001C3C9B">
      <w:pPr>
        <w:widowControl w:val="0"/>
        <w:autoSpaceDE w:val="0"/>
        <w:autoSpaceDN w:val="0"/>
        <w:spacing w:after="0" w:line="240" w:lineRule="auto"/>
        <w:jc w:val="both"/>
        <w:rPr>
          <w:rFonts w:ascii="Verdana" w:eastAsia="Calibri" w:hAnsi="Verdana" w:cs="Times New Roman"/>
          <w:b/>
          <w:bCs/>
          <w:lang w:val="es-ES" w:eastAsia="es-MX"/>
        </w:rPr>
      </w:pPr>
      <w:r w:rsidRPr="00B774CC">
        <w:rPr>
          <w:rFonts w:ascii="Verdana" w:eastAsia="Calibri" w:hAnsi="Verdana" w:cs="Times New Roman"/>
          <w:b/>
          <w:bCs/>
          <w:lang w:val="es-ES" w:eastAsia="es-MX"/>
        </w:rPr>
        <w:t>NSR10 – Subgrupo de ocupación institucional – Documentos tipo – Sector social – Aplicación</w:t>
      </w:r>
    </w:p>
    <w:p w14:paraId="329E869A" w14:textId="77777777" w:rsidR="001C3C9B" w:rsidRDefault="001C3C9B" w:rsidP="001C3C9B">
      <w:pPr>
        <w:spacing w:after="0" w:line="276" w:lineRule="auto"/>
        <w:jc w:val="both"/>
        <w:rPr>
          <w:rFonts w:ascii="Verdana" w:eastAsia="Aptos" w:hAnsi="Verdana" w:cs="Times New Roman"/>
          <w:color w:val="6699FF"/>
          <w:kern w:val="2"/>
          <w:sz w:val="20"/>
          <w:szCs w:val="20"/>
          <w:lang w:eastAsia="es-CO"/>
          <w14:ligatures w14:val="standardContextual"/>
        </w:rPr>
      </w:pPr>
    </w:p>
    <w:p w14:paraId="069E96FE" w14:textId="77777777" w:rsidR="001C3C9B" w:rsidRPr="00B774CC" w:rsidRDefault="001C3C9B" w:rsidP="001C3C9B">
      <w:pPr>
        <w:spacing w:after="0" w:line="276" w:lineRule="auto"/>
        <w:jc w:val="both"/>
        <w:rPr>
          <w:rFonts w:ascii="Verdana" w:eastAsia="Calibri" w:hAnsi="Verdana" w:cs="Arial"/>
          <w:sz w:val="20"/>
          <w:szCs w:val="20"/>
          <w:lang w:val="es-ES_tradnl" w:eastAsia="es-MX"/>
        </w:rPr>
      </w:pPr>
      <w:r w:rsidRPr="00B774CC">
        <w:rPr>
          <w:rFonts w:ascii="Verdana" w:eastAsia="Calibri" w:hAnsi="Verdana" w:cs="Arial"/>
          <w:sz w:val="20"/>
          <w:szCs w:val="20"/>
          <w:lang w:eastAsia="es-MX"/>
        </w:rPr>
        <w:t xml:space="preserve">La nota general 1 contenida en la Matriz 1 – Experiencia de los Documentos Tipo indicados, es congruente con </w:t>
      </w:r>
      <w:r w:rsidRPr="00B774CC">
        <w:rPr>
          <w:rFonts w:ascii="Verdana" w:eastAsia="Calibri" w:hAnsi="Verdana" w:cs="Arial"/>
          <w:sz w:val="20"/>
          <w:szCs w:val="20"/>
          <w:lang w:val="es-ES_tradnl" w:eastAsia="es-MX"/>
        </w:rPr>
        <w:t xml:space="preserve">el numeral 1.10 del documento base que dispone que </w:t>
      </w:r>
      <w:r w:rsidRPr="00B774CC">
        <w:rPr>
          <w:rFonts w:ascii="Verdana" w:eastAsia="Calibri" w:hAnsi="Verdana" w:cs="Arial"/>
          <w:sz w:val="20"/>
          <w:szCs w:val="20"/>
          <w:lang w:val="es-ES_tradnl" w:eastAsia="es-MX"/>
        </w:rPr>
        <w:lastRenderedPageBreak/>
        <w:t>“</w:t>
      </w:r>
      <w:r w:rsidRPr="00B774CC">
        <w:rPr>
          <w:rFonts w:ascii="Verdana" w:eastAsia="Calibri" w:hAnsi="Verdana" w:cs="Arial"/>
          <w:sz w:val="20"/>
          <w:szCs w:val="20"/>
          <w:lang w:val="es-MX" w:eastAsia="es-MX"/>
        </w:rPr>
        <w:t>[p]ara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r w:rsidRPr="00B774CC">
        <w:rPr>
          <w:rFonts w:ascii="Verdana" w:eastAsia="Calibri" w:hAnsi="Verdana" w:cs="Arial"/>
          <w:sz w:val="20"/>
          <w:szCs w:val="20"/>
          <w:lang w:val="es-ES_tradnl" w:eastAsia="es-MX"/>
        </w:rPr>
        <w:t>”.</w:t>
      </w:r>
    </w:p>
    <w:p w14:paraId="0D1347F9" w14:textId="77777777" w:rsidR="001C3C9B" w:rsidRPr="00B774CC" w:rsidRDefault="001C3C9B" w:rsidP="001C3C9B">
      <w:pPr>
        <w:spacing w:after="0" w:line="276" w:lineRule="auto"/>
        <w:jc w:val="both"/>
        <w:rPr>
          <w:rFonts w:ascii="Verdana" w:eastAsia="Calibri" w:hAnsi="Verdana" w:cs="Arial"/>
          <w:sz w:val="20"/>
          <w:szCs w:val="20"/>
          <w:lang w:val="es-ES_tradnl" w:eastAsia="es-MX"/>
        </w:rPr>
      </w:pPr>
    </w:p>
    <w:p w14:paraId="37BCC9B0" w14:textId="77777777" w:rsidR="001C3C9B" w:rsidRDefault="001C3C9B" w:rsidP="001C3C9B">
      <w:pPr>
        <w:spacing w:after="0" w:line="276" w:lineRule="auto"/>
        <w:jc w:val="both"/>
        <w:rPr>
          <w:rFonts w:ascii="Verdana" w:eastAsia="Calibri" w:hAnsi="Verdana" w:cs="Arial"/>
          <w:sz w:val="20"/>
          <w:szCs w:val="20"/>
          <w:lang w:eastAsia="es-MX"/>
        </w:rPr>
      </w:pPr>
      <w:r w:rsidRPr="00B774CC">
        <w:rPr>
          <w:rFonts w:ascii="Verdana" w:eastAsia="Calibri" w:hAnsi="Verdana" w:cs="Arial"/>
          <w:sz w:val="20"/>
          <w:szCs w:val="20"/>
          <w:lang w:val="es-ES_tradnl" w:eastAsia="es-MX"/>
        </w:rPr>
        <w:t xml:space="preserve">De esta forma, considerando que las actividades señaladas recaen sobre </w:t>
      </w:r>
      <w:r w:rsidRPr="00B774CC">
        <w:rPr>
          <w:rFonts w:ascii="Verdana" w:eastAsia="Calibri" w:hAnsi="Verdana" w:cs="Arial"/>
          <w:sz w:val="20"/>
          <w:szCs w:val="20"/>
          <w:lang w:eastAsia="es-MX"/>
        </w:rPr>
        <w:t>obras en proyectos de infraestructura de salud, para determinar qué abarca este tipo de infraestructura, debe indicarse que de conformidad con la norma NSR-10 en el Subgrupo de Ocupación Institucional (I) “se clasifican las edificaciones o espacios utilizados para la reclusión de personas que adolecen de limitaciones mentales o están sujetas a castigos penales o correccionales; en el tratamiento o cuidado de personas o en su reunión con propósitos educativos o de instrucción”.</w:t>
      </w:r>
    </w:p>
    <w:p w14:paraId="6092418C" w14:textId="77777777" w:rsidR="001C3C9B" w:rsidRPr="00B774CC" w:rsidRDefault="001C3C9B" w:rsidP="001C3C9B">
      <w:pPr>
        <w:spacing w:after="0" w:line="276" w:lineRule="auto"/>
        <w:jc w:val="both"/>
        <w:rPr>
          <w:rFonts w:ascii="Verdana" w:eastAsia="Calibri" w:hAnsi="Verdana" w:cs="Arial"/>
          <w:sz w:val="20"/>
          <w:szCs w:val="20"/>
          <w:lang w:eastAsia="es-MX"/>
        </w:rPr>
      </w:pPr>
    </w:p>
    <w:p w14:paraId="65E9852E" w14:textId="77777777" w:rsidR="001C3C9B" w:rsidRPr="00B774CC" w:rsidRDefault="001C3C9B" w:rsidP="001C3C9B">
      <w:pPr>
        <w:spacing w:after="0" w:line="276" w:lineRule="auto"/>
        <w:jc w:val="both"/>
        <w:rPr>
          <w:rFonts w:ascii="Verdana" w:eastAsia="Calibri" w:hAnsi="Verdana" w:cs="Arial"/>
          <w:sz w:val="20"/>
          <w:szCs w:val="20"/>
          <w:lang w:eastAsia="es-MX"/>
        </w:rPr>
      </w:pPr>
      <w:r w:rsidRPr="00B774CC">
        <w:rPr>
          <w:rFonts w:ascii="Verdana" w:eastAsia="Calibri" w:hAnsi="Verdana" w:cs="Arial"/>
          <w:sz w:val="20"/>
          <w:szCs w:val="20"/>
          <w:lang w:eastAsia="es-MX"/>
        </w:rPr>
        <w:t>En consideración con lo anterior, a efectos de precisar el alcance de las actividades relacionadas con infraestructura institucional, resulta pertinente acudir a lo dispuesto en la NSR-10, la cual establece la clasificación de las edificaciones dentro del Grupo de Ocupación Institucional (I), integrado por los Subgrupos de Ocupación Institucional de Reclusión (I-1), de Salud o Incapacidad (I-2), de Educación (I-3), de Seguridad Pública (I-4) y de Servicio Público (I-5).</w:t>
      </w:r>
    </w:p>
    <w:p w14:paraId="4AA71013" w14:textId="77777777" w:rsidR="001C3C9B" w:rsidRPr="00003B7F" w:rsidRDefault="001C3C9B" w:rsidP="001C3C9B">
      <w:pPr>
        <w:spacing w:after="0" w:line="276" w:lineRule="auto"/>
        <w:jc w:val="both"/>
        <w:rPr>
          <w:rFonts w:ascii="Verdana" w:eastAsia="Calibri" w:hAnsi="Verdana" w:cs="Arial"/>
          <w:b/>
          <w:bCs/>
          <w:color w:val="6699FF"/>
          <w:sz w:val="20"/>
          <w:szCs w:val="20"/>
          <w:lang w:eastAsia="es-MX"/>
        </w:rPr>
      </w:pPr>
    </w:p>
    <w:p w14:paraId="062084FE" w14:textId="77777777" w:rsidR="001C3C9B" w:rsidRPr="00003B7F" w:rsidRDefault="001C3C9B" w:rsidP="001C3C9B">
      <w:pPr>
        <w:spacing w:after="0" w:line="240" w:lineRule="auto"/>
        <w:jc w:val="both"/>
        <w:rPr>
          <w:rFonts w:ascii="Verdana" w:eastAsia="Calibri" w:hAnsi="Verdana" w:cs="Times New Roman"/>
          <w:b/>
          <w:bCs/>
          <w:lang w:val="es-ES" w:eastAsia="es-MX"/>
        </w:rPr>
      </w:pPr>
      <w:r w:rsidRPr="00003B7F">
        <w:rPr>
          <w:rFonts w:ascii="Verdana" w:eastAsia="Calibri" w:hAnsi="Verdana" w:cs="Times New Roman"/>
          <w:b/>
          <w:bCs/>
          <w:lang w:eastAsia="es-MX"/>
        </w:rPr>
        <w:t>INFRAESTRUCTURA INSTITUCIONAL</w:t>
      </w:r>
      <w:r w:rsidRPr="00003B7F">
        <w:rPr>
          <w:rFonts w:ascii="Verdana" w:eastAsia="Calibri" w:hAnsi="Verdana" w:cs="Times New Roman"/>
          <w:b/>
          <w:bCs/>
          <w:lang w:val="es-ES" w:eastAsia="es-MX"/>
        </w:rPr>
        <w:t xml:space="preserve"> – Documentos tipo – Complementarios – Sector Institucional – </w:t>
      </w:r>
      <w:r w:rsidRPr="00003B7F">
        <w:rPr>
          <w:rFonts w:ascii="Verdana" w:eastAsia="Aptos" w:hAnsi="Verdana" w:cs="Aptos"/>
          <w:b/>
          <w:bCs/>
          <w:kern w:val="2"/>
          <w:sz w:val="20"/>
          <w:szCs w:val="20"/>
          <w14:ligatures w14:val="standardContextual"/>
        </w:rPr>
        <w:t>Instituto Nacional de Medicina Legal y Ciencias Forenses</w:t>
      </w:r>
    </w:p>
    <w:p w14:paraId="289AC0D1" w14:textId="77777777" w:rsidR="001C3C9B" w:rsidRPr="00E17A6F" w:rsidRDefault="001C3C9B" w:rsidP="001C3C9B">
      <w:pPr>
        <w:spacing w:after="0"/>
        <w:jc w:val="both"/>
        <w:rPr>
          <w:rFonts w:ascii="Verdana" w:eastAsia="Calibri" w:hAnsi="Verdana" w:cs="Times New Roman"/>
          <w:kern w:val="2"/>
          <w:sz w:val="20"/>
          <w:szCs w:val="20"/>
          <w14:ligatures w14:val="standardContextual"/>
        </w:rPr>
      </w:pPr>
    </w:p>
    <w:p w14:paraId="53E3E2C6" w14:textId="77777777" w:rsidR="001C3C9B" w:rsidRPr="00B14235" w:rsidRDefault="001C3C9B" w:rsidP="001C3C9B">
      <w:pPr>
        <w:spacing w:after="120" w:line="276" w:lineRule="auto"/>
        <w:jc w:val="both"/>
        <w:rPr>
          <w:rFonts w:ascii="Verdana" w:eastAsia="Aptos" w:hAnsi="Verdana" w:cs="Aptos"/>
          <w:kern w:val="2"/>
          <w:sz w:val="20"/>
          <w:szCs w:val="20"/>
          <w14:ligatures w14:val="standardContextual"/>
        </w:rPr>
      </w:pPr>
      <w:r w:rsidRPr="00B14235">
        <w:rPr>
          <w:rFonts w:ascii="Verdana" w:eastAsia="Aptos" w:hAnsi="Verdana" w:cs="Aptos"/>
          <w:kern w:val="2"/>
          <w:sz w:val="20"/>
          <w:szCs w:val="20"/>
          <w14:ligatures w14:val="standardContextual"/>
        </w:rPr>
        <w:t xml:space="preserve">En ese sentido, la construcción de infraestructura de servicio público que, para este caso, comprende las sedes del Instituto Nacional de Medicina Legal y Ciencias Forenses, deberá adelantarse bajo la actividad anteriormente señalada. En consecuencia, todos los espacios que integren la edificación, tales como áreas administrativas, salas de atención, laboratorios forenses, morgues y demás dependencias requeridas para el cumplimiento de sus funciones institucionales, deberán contratarse bajo la referida actividad. Esto, en consideración a que la incorporación de componentes técnicos o especializados dentro de la infraestructura no modifica la naturaleza principal del proyecto ni desvirtúa su clasificación como infraestructura institucional de servicio público. Por el contrario, dichos espacios constituyen áreas funcionales necesarias para el desarrollo de las funciones misionales del Instituto, relacionadas con el apoyo técnico-científico a la administración de justicia, razón por la cual hacen parte integral de una edificación institucional de carácter judicial y no de otro tipo de infraestructura. </w:t>
      </w:r>
    </w:p>
    <w:p w14:paraId="687F9F64" w14:textId="77777777" w:rsidR="001C3C9B" w:rsidRPr="00E17A6F" w:rsidRDefault="001C3C9B" w:rsidP="001C3C9B">
      <w:pPr>
        <w:spacing w:after="0"/>
        <w:jc w:val="both"/>
        <w:rPr>
          <w:rFonts w:ascii="Verdana" w:eastAsia="Calibri" w:hAnsi="Verdana" w:cs="Times New Roman"/>
          <w:kern w:val="2"/>
          <w:sz w:val="20"/>
          <w:szCs w:val="20"/>
          <w14:ligatures w14:val="standardContextual"/>
        </w:rPr>
      </w:pPr>
    </w:p>
    <w:p w14:paraId="0312BAE4" w14:textId="77777777" w:rsidR="001C3C9B" w:rsidRPr="00AD224F" w:rsidRDefault="001C3C9B" w:rsidP="001C3C9B">
      <w:pPr>
        <w:spacing w:after="0"/>
        <w:rPr>
          <w:rFonts w:ascii="Verdana" w:eastAsia="Calibri" w:hAnsi="Verdana" w:cs="Times New Roman"/>
          <w:color w:val="00B0F0"/>
          <w:kern w:val="2"/>
          <w:sz w:val="20"/>
          <w:szCs w:val="20"/>
          <w14:ligatures w14:val="standardContextual"/>
        </w:rPr>
      </w:pPr>
    </w:p>
    <w:p w14:paraId="45F88BE2" w14:textId="77777777" w:rsidR="00C54B94" w:rsidRDefault="00C54B94" w:rsidP="001C3C9B">
      <w:pPr>
        <w:spacing w:after="0" w:line="276" w:lineRule="auto"/>
        <w:rPr>
          <w:rFonts w:ascii="Verdana" w:hAnsi="Verdana"/>
        </w:rPr>
      </w:pPr>
      <w:r w:rsidRPr="00C54B94">
        <w:rPr>
          <w:rFonts w:ascii="Verdana" w:hAnsi="Verdana"/>
        </w:rPr>
        <w:lastRenderedPageBreak/>
        <w:t xml:space="preserve">Bogotá D.C, 18 </w:t>
      </w:r>
      <w:proofErr w:type="gramStart"/>
      <w:r w:rsidRPr="00C54B94">
        <w:rPr>
          <w:rFonts w:ascii="Verdana" w:hAnsi="Verdana"/>
        </w:rPr>
        <w:t>Agosto</w:t>
      </w:r>
      <w:proofErr w:type="gramEnd"/>
      <w:r w:rsidRPr="00C54B94">
        <w:rPr>
          <w:rFonts w:ascii="Verdana" w:hAnsi="Verdana"/>
        </w:rPr>
        <w:t xml:space="preserve"> 2026</w:t>
      </w:r>
    </w:p>
    <w:p w14:paraId="0C6E205E" w14:textId="76F0D363" w:rsidR="00C54B94" w:rsidRDefault="00C54B94" w:rsidP="001C3C9B">
      <w:pPr>
        <w:spacing w:after="0" w:line="276" w:lineRule="auto"/>
        <w:rPr>
          <w:rFonts w:ascii="Verdana" w:hAnsi="Verdana"/>
        </w:rPr>
      </w:pPr>
    </w:p>
    <w:p w14:paraId="6DA0E4BA" w14:textId="0FEA7B72" w:rsidR="00A13AA8" w:rsidRPr="00A422A1" w:rsidRDefault="00C54B94" w:rsidP="001C3C9B">
      <w:pPr>
        <w:spacing w:after="0" w:line="276" w:lineRule="auto"/>
        <w:rPr>
          <w:rFonts w:ascii="Verdana" w:eastAsia="Calibri" w:hAnsi="Verdana" w:cs="Arial"/>
          <w:lang w:val="es-ES" w:eastAsia="es-ES"/>
        </w:rPr>
      </w:pPr>
      <w:r w:rsidRPr="00D3358E">
        <w:rPr>
          <w:rFonts w:ascii="Verdana" w:hAnsi="Verdana"/>
        </w:rPr>
        <w:drawing>
          <wp:anchor distT="0" distB="0" distL="114300" distR="114300" simplePos="0" relativeHeight="251658240" behindDoc="0" locked="0" layoutInCell="1" allowOverlap="1" wp14:anchorId="1D6DFF36" wp14:editId="083FBFDD">
            <wp:simplePos x="0" y="0"/>
            <wp:positionH relativeFrom="margin">
              <wp:posOffset>3412141</wp:posOffset>
            </wp:positionH>
            <wp:positionV relativeFrom="margin">
              <wp:posOffset>446221</wp:posOffset>
            </wp:positionV>
            <wp:extent cx="2332990" cy="687070"/>
            <wp:effectExtent l="0" t="0" r="0" b="0"/>
            <wp:wrapSquare wrapText="bothSides"/>
            <wp:docPr id="302120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2070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2990" cy="687070"/>
                    </a:xfrm>
                    <a:prstGeom prst="rect">
                      <a:avLst/>
                    </a:prstGeom>
                  </pic:spPr>
                </pic:pic>
              </a:graphicData>
            </a:graphic>
            <wp14:sizeRelH relativeFrom="margin">
              <wp14:pctWidth>0</wp14:pctWidth>
            </wp14:sizeRelH>
            <wp14:sizeRelV relativeFrom="margin">
              <wp14:pctHeight>0</wp14:pctHeight>
            </wp14:sizeRelV>
          </wp:anchor>
        </w:drawing>
      </w:r>
      <w:r w:rsidR="001C3C9B" w:rsidRPr="00A422A1">
        <w:rPr>
          <w:rFonts w:ascii="Verdana" w:eastAsia="Calibri" w:hAnsi="Verdana" w:cs="Arial"/>
          <w:lang w:val="es-ES" w:eastAsia="es-ES"/>
        </w:rPr>
        <w:t>Señor</w:t>
      </w:r>
      <w:r w:rsidR="00A422A1" w:rsidRPr="00A422A1">
        <w:rPr>
          <w:rFonts w:ascii="Verdana" w:eastAsia="Calibri" w:hAnsi="Verdana" w:cs="Arial"/>
          <w:lang w:val="es-ES" w:eastAsia="es-ES"/>
        </w:rPr>
        <w:t xml:space="preserve"> (a)</w:t>
      </w:r>
      <w:r w:rsidR="00A928A3" w:rsidRPr="00A928A3">
        <w:rPr>
          <w:rFonts w:ascii="Verdana" w:hAnsi="Verdana"/>
        </w:rPr>
        <w:t xml:space="preserve"> </w:t>
      </w:r>
    </w:p>
    <w:p w14:paraId="0B307AAF" w14:textId="6D3C0B36" w:rsidR="001C3C9B" w:rsidRPr="00A422A1" w:rsidRDefault="00A422A1" w:rsidP="001C3C9B">
      <w:pPr>
        <w:spacing w:after="0" w:line="276" w:lineRule="auto"/>
        <w:rPr>
          <w:rFonts w:ascii="Verdana" w:eastAsia="Calibri" w:hAnsi="Verdana" w:cs="Arial"/>
          <w:b/>
          <w:bCs/>
          <w:lang w:eastAsia="es-ES"/>
        </w:rPr>
      </w:pPr>
      <w:proofErr w:type="spellStart"/>
      <w:r w:rsidRPr="00A422A1">
        <w:rPr>
          <w:rFonts w:ascii="Verdana" w:eastAsia="Calibri" w:hAnsi="Verdana" w:cs="Arial"/>
          <w:b/>
          <w:bCs/>
          <w:lang w:eastAsia="es-ES"/>
        </w:rPr>
        <w:t>Anonimo</w:t>
      </w:r>
      <w:proofErr w:type="spellEnd"/>
    </w:p>
    <w:p w14:paraId="5DDF3169" w14:textId="551F5985" w:rsidR="001C3C9B" w:rsidRPr="00A422A1" w:rsidRDefault="00A422A1" w:rsidP="001C3C9B">
      <w:pPr>
        <w:spacing w:after="0" w:line="276" w:lineRule="auto"/>
        <w:rPr>
          <w:rFonts w:ascii="Verdana" w:hAnsi="Verdana"/>
        </w:rPr>
      </w:pPr>
      <w:hyperlink r:id="rId12" w:history="1">
        <w:r w:rsidRPr="00A422A1">
          <w:rPr>
            <w:rStyle w:val="Hipervnculo"/>
            <w:rFonts w:ascii="Verdana" w:hAnsi="Verdana"/>
          </w:rPr>
          <w:t>leydij.sanchez@medicinalegal.gov.co</w:t>
        </w:r>
      </w:hyperlink>
    </w:p>
    <w:p w14:paraId="56777EEE" w14:textId="77777777" w:rsidR="001C3C9B" w:rsidRPr="00A422A1" w:rsidRDefault="001C3C9B" w:rsidP="001C3C9B">
      <w:pPr>
        <w:spacing w:after="0" w:line="276" w:lineRule="auto"/>
        <w:rPr>
          <w:rFonts w:ascii="Verdana" w:hAnsi="Verdana"/>
        </w:rPr>
      </w:pPr>
      <w:r w:rsidRPr="00A422A1">
        <w:rPr>
          <w:rFonts w:ascii="Verdana" w:hAnsi="Verdana"/>
        </w:rPr>
        <w:t>Bogotá D.C.</w:t>
      </w:r>
    </w:p>
    <w:p w14:paraId="414D5EFB" w14:textId="77777777" w:rsidR="001C3C9B" w:rsidRPr="007E53B7" w:rsidRDefault="001C3C9B" w:rsidP="001C3C9B">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5972"/>
      </w:tblGrid>
      <w:tr w:rsidR="001C3C9B" w:rsidRPr="007E53B7" w14:paraId="66794F11" w14:textId="77777777" w:rsidTr="00E03CAE">
        <w:trPr>
          <w:trHeight w:val="463"/>
        </w:trPr>
        <w:tc>
          <w:tcPr>
            <w:tcW w:w="3261" w:type="dxa"/>
          </w:tcPr>
          <w:p w14:paraId="504199F3" w14:textId="77777777" w:rsidR="001C3C9B" w:rsidRPr="007E53B7" w:rsidRDefault="001C3C9B" w:rsidP="00E03CAE">
            <w:pPr>
              <w:spacing w:line="276" w:lineRule="auto"/>
              <w:jc w:val="both"/>
              <w:rPr>
                <w:rFonts w:ascii="Verdana" w:eastAsia="Calibri" w:hAnsi="Verdana" w:cs="Arial"/>
                <w:b/>
                <w:bCs/>
                <w:color w:val="66CCFF"/>
                <w:lang w:val="es-ES_tradnl" w:eastAsia="es-ES_tradnl"/>
              </w:rPr>
            </w:pPr>
          </w:p>
        </w:tc>
        <w:tc>
          <w:tcPr>
            <w:tcW w:w="5972" w:type="dxa"/>
            <w:hideMark/>
          </w:tcPr>
          <w:p w14:paraId="7FBBE626" w14:textId="2E55A2DB" w:rsidR="001C3C9B" w:rsidRPr="00DF2EA7" w:rsidRDefault="001C3C9B" w:rsidP="00E03CAE">
            <w:pPr>
              <w:spacing w:line="276" w:lineRule="auto"/>
              <w:jc w:val="both"/>
              <w:rPr>
                <w:rFonts w:ascii="Verdana" w:eastAsia="Calibri" w:hAnsi="Verdana" w:cs="Arial"/>
                <w:b/>
                <w:bCs/>
                <w:lang w:val="es-ES" w:eastAsia="es-ES"/>
              </w:rPr>
            </w:pPr>
            <w:r>
              <w:rPr>
                <w:rFonts w:ascii="Verdana" w:eastAsia="Calibri" w:hAnsi="Verdana" w:cs="Arial"/>
                <w:b/>
                <w:bCs/>
                <w:lang w:val="es-ES" w:eastAsia="es-ES"/>
              </w:rPr>
              <w:t>C</w:t>
            </w:r>
            <w:r w:rsidRPr="00DF2EA7">
              <w:rPr>
                <w:rFonts w:ascii="Verdana" w:eastAsia="Calibri" w:hAnsi="Verdana" w:cs="Arial"/>
                <w:b/>
                <w:bCs/>
                <w:lang w:val="es-ES" w:eastAsia="es-ES"/>
              </w:rPr>
              <w:t xml:space="preserve">oncepto C – </w:t>
            </w:r>
            <w:r w:rsidR="001C5FDC">
              <w:rPr>
                <w:rFonts w:ascii="Verdana" w:eastAsia="Calibri" w:hAnsi="Verdana" w:cs="Arial"/>
                <w:b/>
                <w:bCs/>
                <w:lang w:val="es-ES" w:eastAsia="es-ES"/>
              </w:rPr>
              <w:t>1072</w:t>
            </w:r>
            <w:r>
              <w:rPr>
                <w:rFonts w:ascii="Verdana" w:eastAsia="Calibri" w:hAnsi="Verdana" w:cs="Arial"/>
                <w:b/>
                <w:bCs/>
                <w:lang w:val="es-ES" w:eastAsia="es-ES"/>
              </w:rPr>
              <w:t xml:space="preserve"> </w:t>
            </w:r>
            <w:r w:rsidRPr="00DF2EA7">
              <w:rPr>
                <w:rFonts w:ascii="Verdana" w:eastAsia="Calibri" w:hAnsi="Verdana" w:cs="Arial"/>
                <w:b/>
                <w:bCs/>
                <w:lang w:val="es-ES" w:eastAsia="es-ES"/>
              </w:rPr>
              <w:t>de 2026</w:t>
            </w:r>
          </w:p>
        </w:tc>
      </w:tr>
      <w:tr w:rsidR="001C3C9B" w:rsidRPr="003C33C1" w14:paraId="2244370E" w14:textId="77777777" w:rsidTr="00E03CAE">
        <w:trPr>
          <w:trHeight w:val="2385"/>
        </w:trPr>
        <w:tc>
          <w:tcPr>
            <w:tcW w:w="3261" w:type="dxa"/>
            <w:hideMark/>
          </w:tcPr>
          <w:p w14:paraId="56DB2467" w14:textId="77777777" w:rsidR="001C3C9B" w:rsidRPr="00A54465" w:rsidRDefault="001C3C9B" w:rsidP="00E03CAE">
            <w:pPr>
              <w:spacing w:line="276" w:lineRule="auto"/>
              <w:jc w:val="both"/>
              <w:rPr>
                <w:rFonts w:ascii="Verdana" w:eastAsia="Calibri" w:hAnsi="Verdana" w:cs="Arial"/>
                <w:lang w:val="es-ES_tradnl" w:eastAsia="es-ES_tradnl"/>
              </w:rPr>
            </w:pPr>
            <w:r w:rsidRPr="00A54465">
              <w:rPr>
                <w:rFonts w:ascii="Verdana" w:eastAsia="Calibri" w:hAnsi="Verdana" w:cs="Arial"/>
                <w:b/>
                <w:lang w:val="es-ES_tradnl" w:eastAsia="es-ES_tradnl"/>
              </w:rPr>
              <w:t>Temas:</w:t>
            </w:r>
            <w:r w:rsidRPr="00A54465">
              <w:rPr>
                <w:rFonts w:ascii="Verdana" w:eastAsia="Calibri" w:hAnsi="Verdana" w:cs="Arial"/>
                <w:lang w:val="es-ES_tradnl" w:eastAsia="es-ES_tradnl"/>
              </w:rPr>
              <w:t xml:space="preserve">                  </w:t>
            </w:r>
          </w:p>
        </w:tc>
        <w:tc>
          <w:tcPr>
            <w:tcW w:w="5972" w:type="dxa"/>
          </w:tcPr>
          <w:p w14:paraId="011E0466" w14:textId="57A60F40" w:rsidR="001C3C9B" w:rsidRPr="00A54465" w:rsidRDefault="001C3C9B" w:rsidP="00E03CAE">
            <w:pPr>
              <w:widowControl w:val="0"/>
              <w:autoSpaceDE w:val="0"/>
              <w:autoSpaceDN w:val="0"/>
              <w:jc w:val="both"/>
              <w:rPr>
                <w:rFonts w:ascii="Verdana" w:eastAsia="Calibri" w:hAnsi="Verdana" w:cs="Times New Roman"/>
                <w:lang w:val="es-ES" w:eastAsia="es-MX"/>
              </w:rPr>
            </w:pPr>
            <w:r w:rsidRPr="00A54465">
              <w:rPr>
                <w:rFonts w:ascii="Verdana" w:eastAsia="Calibri" w:hAnsi="Verdana" w:cs="Arial"/>
                <w:lang w:val="es-ES_tradnl" w:eastAsia="es-MX"/>
              </w:rPr>
              <w:t>DOCUMENTOS TIPO – Fundamento normativo – Obligatoriedad / SECTOR SOCIAL</w:t>
            </w:r>
            <w:r w:rsidRPr="00A54465">
              <w:rPr>
                <w:rFonts w:ascii="Verdana" w:eastAsia="Calibri" w:hAnsi="Verdana" w:cs="Times New Roman"/>
                <w:lang w:val="es-ES" w:eastAsia="es-MX"/>
              </w:rPr>
              <w:t xml:space="preserve"> – Documentos tipo – Vigentes / DOCUMENTOS TIPO – Aplicación – Matriz de Experiencia / NSR10 – Subgrupo de ocupación institucional – Documentos tipo – Sector social – Aplicación / INFRAESTRUCTURA INSTITUCIONAL – Documentos tipo – Complementarios – Sector Institucional – Instituto Nacional de Medicina Legal y Ciencias Forenses</w:t>
            </w:r>
          </w:p>
          <w:p w14:paraId="779B777F" w14:textId="77777777" w:rsidR="001C3C9B" w:rsidRPr="00A54465" w:rsidRDefault="001C3C9B" w:rsidP="00E03CAE">
            <w:pPr>
              <w:widowControl w:val="0"/>
              <w:autoSpaceDE w:val="0"/>
              <w:autoSpaceDN w:val="0"/>
              <w:jc w:val="both"/>
              <w:rPr>
                <w:rFonts w:ascii="Verdana" w:eastAsia="Calibri" w:hAnsi="Verdana" w:cs="Times New Roman"/>
                <w:lang w:val="es-ES" w:eastAsia="es-MX"/>
              </w:rPr>
            </w:pPr>
          </w:p>
        </w:tc>
      </w:tr>
      <w:tr w:rsidR="001C3C9B" w:rsidRPr="00724695" w14:paraId="0FB1E0B8" w14:textId="77777777" w:rsidTr="00E03CAE">
        <w:trPr>
          <w:trHeight w:val="597"/>
        </w:trPr>
        <w:tc>
          <w:tcPr>
            <w:tcW w:w="3261" w:type="dxa"/>
            <w:hideMark/>
          </w:tcPr>
          <w:p w14:paraId="2E00D31A" w14:textId="77777777" w:rsidR="001C3C9B" w:rsidRPr="008C5E3B" w:rsidRDefault="001C3C9B" w:rsidP="00E03CAE">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5972" w:type="dxa"/>
          </w:tcPr>
          <w:p w14:paraId="70AF5D11" w14:textId="62D84B2F" w:rsidR="001C3C9B" w:rsidRPr="003C33C1" w:rsidRDefault="001C3C9B" w:rsidP="00E03CAE">
            <w:pPr>
              <w:spacing w:line="276" w:lineRule="auto"/>
              <w:jc w:val="both"/>
              <w:rPr>
                <w:rFonts w:ascii="Verdana" w:eastAsia="Calibri" w:hAnsi="Verdana" w:cs="Arial"/>
                <w:bCs/>
                <w:lang w:eastAsia="es-ES_tradnl"/>
              </w:rPr>
            </w:pPr>
            <w:r w:rsidRPr="00724695">
              <w:rPr>
                <w:rFonts w:ascii="Verdana" w:eastAsia="Calibri" w:hAnsi="Verdana" w:cs="Arial"/>
                <w:bCs/>
                <w:lang w:val="es-ES_tradnl" w:eastAsia="es-ES_tradnl"/>
              </w:rPr>
              <w:t>Respuesta a</w:t>
            </w:r>
            <w:r w:rsidR="00A07EA1">
              <w:rPr>
                <w:rFonts w:ascii="Verdana" w:eastAsia="Calibri" w:hAnsi="Verdana" w:cs="Arial"/>
                <w:bCs/>
                <w:lang w:val="es-ES_tradnl" w:eastAsia="es-ES_tradnl"/>
              </w:rPr>
              <w:t xml:space="preserve"> las</w:t>
            </w:r>
            <w:r w:rsidR="00A07EA1" w:rsidRPr="00724695">
              <w:rPr>
                <w:rFonts w:ascii="Verdana" w:eastAsia="Calibri" w:hAnsi="Verdana" w:cs="Arial"/>
                <w:bCs/>
                <w:lang w:val="es-ES_tradnl" w:eastAsia="es-ES_tradnl"/>
              </w:rPr>
              <w:t xml:space="preserve"> consultas</w:t>
            </w:r>
            <w:r w:rsidRPr="00724695">
              <w:rPr>
                <w:rFonts w:ascii="Verdana" w:eastAsia="Calibri" w:hAnsi="Verdana" w:cs="Arial"/>
                <w:bCs/>
                <w:lang w:val="es-ES_tradnl" w:eastAsia="es-ES_tradnl"/>
              </w:rPr>
              <w:t xml:space="preserve"> con radicado </w:t>
            </w:r>
            <w:r w:rsidRPr="00724695">
              <w:rPr>
                <w:rFonts w:ascii="Verdana" w:eastAsia="Calibri" w:hAnsi="Verdana" w:cs="Arial"/>
                <w:bCs/>
                <w:lang w:eastAsia="es-ES_tradnl"/>
              </w:rPr>
              <w:t xml:space="preserve">No. </w:t>
            </w:r>
            <w:r w:rsidR="00F07FC4" w:rsidRPr="00F07FC4">
              <w:rPr>
                <w:rFonts w:ascii="Verdana" w:eastAsia="Calibri" w:hAnsi="Verdana" w:cs="Arial"/>
                <w:bCs/>
                <w:lang w:eastAsia="es-ES_tradnl"/>
              </w:rPr>
              <w:t>1_2026_07_03_008913</w:t>
            </w:r>
          </w:p>
          <w:p w14:paraId="1292401A" w14:textId="77777777" w:rsidR="001C3C9B" w:rsidRPr="003C33C1" w:rsidRDefault="001C3C9B" w:rsidP="00E03CAE">
            <w:pPr>
              <w:spacing w:line="276" w:lineRule="auto"/>
              <w:jc w:val="both"/>
              <w:rPr>
                <w:rFonts w:ascii="Verdana" w:eastAsia="Calibri" w:hAnsi="Verdana" w:cs="Arial"/>
                <w:bCs/>
                <w:lang w:eastAsia="es-ES_tradnl"/>
              </w:rPr>
            </w:pPr>
          </w:p>
        </w:tc>
      </w:tr>
    </w:tbl>
    <w:p w14:paraId="360699F5" w14:textId="77777777" w:rsidR="001C3C9B" w:rsidRPr="00AB5C52" w:rsidRDefault="001C3C9B" w:rsidP="001C3C9B">
      <w:pPr>
        <w:spacing w:after="0" w:line="276" w:lineRule="auto"/>
        <w:jc w:val="both"/>
        <w:rPr>
          <w:rFonts w:ascii="Verdana" w:eastAsia="Calibri" w:hAnsi="Verdana" w:cs="Arial"/>
          <w:bCs/>
          <w:lang w:val="es-ES_tradnl" w:eastAsia="es-ES_tradnl"/>
        </w:rPr>
      </w:pPr>
    </w:p>
    <w:p w14:paraId="364D1ECD" w14:textId="77777777" w:rsidR="001C3C9B" w:rsidRPr="00AB5C52" w:rsidRDefault="001C3C9B" w:rsidP="001C3C9B">
      <w:pPr>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 xml:space="preserve">Estimada señora </w:t>
      </w:r>
      <w:r w:rsidRPr="003C33C1">
        <w:rPr>
          <w:rFonts w:ascii="Verdana" w:eastAsia="Calibri" w:hAnsi="Verdana" w:cs="Arial"/>
          <w:bCs/>
          <w:lang w:eastAsia="es-ES"/>
        </w:rPr>
        <w:t>Jakelin</w:t>
      </w:r>
      <w:r w:rsidRPr="00AB5C52">
        <w:rPr>
          <w:rFonts w:ascii="Verdana" w:eastAsia="Calibri" w:hAnsi="Verdana" w:cs="Arial"/>
          <w:bCs/>
          <w:lang w:val="es-ES" w:eastAsia="es-ES"/>
        </w:rPr>
        <w:t xml:space="preserve">:  </w:t>
      </w:r>
    </w:p>
    <w:p w14:paraId="47A36D4C" w14:textId="77777777" w:rsidR="001C3C9B" w:rsidRPr="00AB5C52" w:rsidRDefault="001C3C9B" w:rsidP="001C3C9B">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63A4D9BE" w14:textId="78532F8E" w:rsidR="001C3C9B" w:rsidRPr="003125D1" w:rsidRDefault="001C3C9B" w:rsidP="001C3C9B">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sidR="00E4588F">
        <w:rPr>
          <w:rFonts w:ascii="Verdana" w:eastAsia="Calibri" w:hAnsi="Verdana" w:cs="Arial"/>
          <w:lang w:val="es-ES" w:eastAsia="es-ES"/>
        </w:rPr>
        <w:t>03 de julio</w:t>
      </w:r>
      <w:r w:rsidRPr="003125D1">
        <w:rPr>
          <w:rFonts w:ascii="Verdana" w:eastAsia="Calibri" w:hAnsi="Verdana" w:cs="Arial"/>
          <w:lang w:val="es-ES" w:eastAsia="es-ES"/>
        </w:rPr>
        <w:t xml:space="preserve"> de 2026, en la cual manifiesta lo siguiente: </w:t>
      </w:r>
      <w:bookmarkStart w:id="1" w:name="_Hlk95313578"/>
    </w:p>
    <w:p w14:paraId="464245C2" w14:textId="77777777" w:rsidR="001C3C9B" w:rsidRPr="003125D1" w:rsidRDefault="001C3C9B" w:rsidP="001C3C9B">
      <w:pPr>
        <w:spacing w:after="0" w:line="276" w:lineRule="auto"/>
        <w:jc w:val="both"/>
        <w:rPr>
          <w:rFonts w:ascii="Verdana" w:eastAsia="Calibri" w:hAnsi="Verdana" w:cs="Arial"/>
          <w:bCs/>
          <w:lang w:val="es-ES" w:eastAsia="es-ES"/>
        </w:rPr>
      </w:pPr>
    </w:p>
    <w:bookmarkEnd w:id="1"/>
    <w:p w14:paraId="777B075A" w14:textId="77777777" w:rsidR="001C3C9B" w:rsidRPr="008F18F2" w:rsidRDefault="001C3C9B" w:rsidP="001C3C9B">
      <w:pPr>
        <w:spacing w:after="0" w:line="240" w:lineRule="auto"/>
        <w:ind w:left="709" w:right="709"/>
        <w:jc w:val="both"/>
        <w:rPr>
          <w:rFonts w:ascii="Verdana" w:eastAsia="Calibri" w:hAnsi="Verdana" w:cs="Arial"/>
          <w:i/>
          <w:iCs/>
          <w:sz w:val="20"/>
          <w:szCs w:val="20"/>
          <w:lang w:val="es-ES" w:eastAsia="es-ES"/>
        </w:rPr>
      </w:pPr>
      <w:r w:rsidRPr="008F18F2">
        <w:rPr>
          <w:rFonts w:ascii="Verdana" w:eastAsia="Calibri" w:hAnsi="Verdana" w:cs="Arial"/>
          <w:i/>
          <w:iCs/>
          <w:sz w:val="20"/>
          <w:szCs w:val="20"/>
          <w:lang w:val="es-ES" w:eastAsia="es-ES"/>
        </w:rPr>
        <w:t>“(…)</w:t>
      </w:r>
    </w:p>
    <w:p w14:paraId="45D60CC5" w14:textId="77777777" w:rsidR="001C3C9B" w:rsidRDefault="001C3C9B" w:rsidP="00E4588F">
      <w:pPr>
        <w:spacing w:after="0" w:line="240" w:lineRule="auto"/>
        <w:ind w:left="709" w:right="709"/>
        <w:jc w:val="both"/>
        <w:rPr>
          <w:rFonts w:ascii="Verdana" w:eastAsia="Calibri" w:hAnsi="Verdana" w:cs="Arial"/>
          <w:i/>
          <w:iCs/>
          <w:sz w:val="20"/>
          <w:szCs w:val="20"/>
          <w:lang w:val="es-ES" w:eastAsia="es-ES"/>
        </w:rPr>
      </w:pPr>
    </w:p>
    <w:p w14:paraId="78E15FD8" w14:textId="7D486F72" w:rsidR="00E4588F" w:rsidRPr="00E4588F" w:rsidRDefault="00E4588F" w:rsidP="00E4588F">
      <w:pPr>
        <w:spacing w:after="0" w:line="240" w:lineRule="auto"/>
        <w:ind w:left="709" w:right="709"/>
        <w:jc w:val="both"/>
        <w:rPr>
          <w:rFonts w:ascii="Verdana" w:eastAsia="Calibri" w:hAnsi="Verdana" w:cs="Arial"/>
          <w:i/>
          <w:iCs/>
          <w:sz w:val="20"/>
          <w:szCs w:val="20"/>
          <w:lang w:val="es-ES" w:eastAsia="es-ES"/>
        </w:rPr>
      </w:pPr>
      <w:r w:rsidRPr="00E4588F">
        <w:rPr>
          <w:rFonts w:ascii="Verdana" w:eastAsia="Calibri" w:hAnsi="Verdana" w:cs="Arial"/>
          <w:i/>
          <w:iCs/>
          <w:sz w:val="20"/>
          <w:szCs w:val="20"/>
          <w:lang w:val="es-ES" w:eastAsia="es-ES"/>
        </w:rPr>
        <w:t>¿Los procesos cuyo objeto corresponde al mantenimiento preventivo,</w:t>
      </w:r>
      <w:r>
        <w:rPr>
          <w:rFonts w:ascii="Verdana" w:eastAsia="Calibri" w:hAnsi="Verdana" w:cs="Arial"/>
          <w:i/>
          <w:iCs/>
          <w:sz w:val="20"/>
          <w:szCs w:val="20"/>
          <w:lang w:val="es-ES" w:eastAsia="es-ES"/>
        </w:rPr>
        <w:t xml:space="preserve"> </w:t>
      </w:r>
      <w:r w:rsidRPr="00E4588F">
        <w:rPr>
          <w:rFonts w:ascii="Verdana" w:eastAsia="Calibri" w:hAnsi="Verdana" w:cs="Arial"/>
          <w:i/>
          <w:iCs/>
          <w:sz w:val="20"/>
          <w:szCs w:val="20"/>
          <w:lang w:val="es-ES" w:eastAsia="es-ES"/>
        </w:rPr>
        <w:t>correctivo y verificación de centrales de gases y redes de distribución para</w:t>
      </w:r>
    </w:p>
    <w:p w14:paraId="79FD7BE6" w14:textId="26029D24" w:rsidR="001C3C9B" w:rsidRPr="00E4588F" w:rsidRDefault="00E4588F" w:rsidP="00E4588F">
      <w:pPr>
        <w:spacing w:after="0" w:line="240" w:lineRule="auto"/>
        <w:ind w:left="709" w:right="709"/>
        <w:jc w:val="both"/>
        <w:rPr>
          <w:rFonts w:ascii="Verdana" w:eastAsia="Calibri" w:hAnsi="Verdana" w:cs="Arial"/>
          <w:i/>
          <w:iCs/>
          <w:sz w:val="20"/>
          <w:szCs w:val="20"/>
          <w:lang w:eastAsia="es-ES"/>
        </w:rPr>
      </w:pPr>
      <w:proofErr w:type="gramStart"/>
      <w:r w:rsidRPr="00E4588F">
        <w:rPr>
          <w:rFonts w:ascii="Verdana" w:eastAsia="Calibri" w:hAnsi="Verdana" w:cs="Arial"/>
          <w:i/>
          <w:iCs/>
          <w:sz w:val="20"/>
          <w:szCs w:val="20"/>
          <w:lang w:val="es-ES" w:eastAsia="es-ES"/>
        </w:rPr>
        <w:t>el funcionamiento de equipos cromatográficos de laboratorio forenses</w:t>
      </w:r>
      <w:r>
        <w:rPr>
          <w:rFonts w:ascii="Verdana" w:eastAsia="Calibri" w:hAnsi="Verdana" w:cs="Arial"/>
          <w:i/>
          <w:iCs/>
          <w:sz w:val="20"/>
          <w:szCs w:val="20"/>
          <w:lang w:val="es-ES" w:eastAsia="es-ES"/>
        </w:rPr>
        <w:t xml:space="preserve"> </w:t>
      </w:r>
      <w:r w:rsidRPr="00E4588F">
        <w:rPr>
          <w:rFonts w:ascii="Verdana" w:eastAsia="Calibri" w:hAnsi="Verdana" w:cs="Arial"/>
          <w:i/>
          <w:iCs/>
          <w:sz w:val="20"/>
          <w:szCs w:val="20"/>
          <w:lang w:val="es-ES" w:eastAsia="es-ES"/>
        </w:rPr>
        <w:t>deben</w:t>
      </w:r>
      <w:proofErr w:type="gramEnd"/>
      <w:r w:rsidRPr="00E4588F">
        <w:rPr>
          <w:rFonts w:ascii="Verdana" w:eastAsia="Calibri" w:hAnsi="Verdana" w:cs="Arial"/>
          <w:i/>
          <w:iCs/>
          <w:sz w:val="20"/>
          <w:szCs w:val="20"/>
          <w:lang w:val="es-ES" w:eastAsia="es-ES"/>
        </w:rPr>
        <w:t xml:space="preserve"> estructurarse utilizando alguno de los Documentos Tipo vigentes</w:t>
      </w:r>
      <w:r>
        <w:rPr>
          <w:rFonts w:ascii="Verdana" w:eastAsia="Calibri" w:hAnsi="Verdana" w:cs="Arial"/>
          <w:i/>
          <w:iCs/>
          <w:sz w:val="20"/>
          <w:szCs w:val="20"/>
          <w:lang w:val="es-ES" w:eastAsia="es-ES"/>
        </w:rPr>
        <w:t xml:space="preserve"> </w:t>
      </w:r>
      <w:r w:rsidRPr="00E4588F">
        <w:rPr>
          <w:rFonts w:ascii="Verdana" w:eastAsia="Calibri" w:hAnsi="Verdana" w:cs="Arial"/>
          <w:i/>
          <w:iCs/>
          <w:sz w:val="20"/>
          <w:szCs w:val="20"/>
          <w:lang w:val="es-ES" w:eastAsia="es-ES"/>
        </w:rPr>
        <w:t>expedidos por la Agencia Nacional de Contratación Pública, cuando dentro</w:t>
      </w:r>
      <w:r>
        <w:rPr>
          <w:rFonts w:ascii="Verdana" w:eastAsia="Calibri" w:hAnsi="Verdana" w:cs="Arial"/>
          <w:i/>
          <w:iCs/>
          <w:sz w:val="20"/>
          <w:szCs w:val="20"/>
          <w:lang w:val="es-ES" w:eastAsia="es-ES"/>
        </w:rPr>
        <w:t xml:space="preserve"> </w:t>
      </w:r>
      <w:r w:rsidRPr="00E4588F">
        <w:rPr>
          <w:rFonts w:ascii="Verdana" w:eastAsia="Calibri" w:hAnsi="Verdana" w:cs="Arial"/>
          <w:i/>
          <w:iCs/>
          <w:sz w:val="20"/>
          <w:szCs w:val="20"/>
          <w:lang w:val="es-ES" w:eastAsia="es-ES"/>
        </w:rPr>
        <w:t>de las actividades desarrolladas para tal fin no hay ningún tipo de</w:t>
      </w:r>
      <w:r>
        <w:rPr>
          <w:rFonts w:ascii="Verdana" w:eastAsia="Calibri" w:hAnsi="Verdana" w:cs="Arial"/>
          <w:i/>
          <w:iCs/>
          <w:sz w:val="20"/>
          <w:szCs w:val="20"/>
          <w:lang w:val="es-ES" w:eastAsia="es-ES"/>
        </w:rPr>
        <w:t xml:space="preserve"> </w:t>
      </w:r>
      <w:r w:rsidRPr="00E4588F">
        <w:rPr>
          <w:rFonts w:ascii="Verdana" w:eastAsia="Calibri" w:hAnsi="Verdana" w:cs="Arial"/>
          <w:i/>
          <w:iCs/>
          <w:sz w:val="20"/>
          <w:szCs w:val="20"/>
          <w:lang w:val="es-ES" w:eastAsia="es-ES"/>
        </w:rPr>
        <w:t>modificación estructural a la red existente?</w:t>
      </w:r>
      <w:r>
        <w:rPr>
          <w:rFonts w:ascii="Verdana" w:eastAsia="Calibri" w:hAnsi="Verdana" w:cs="Arial"/>
          <w:i/>
          <w:iCs/>
          <w:sz w:val="20"/>
          <w:szCs w:val="20"/>
          <w:lang w:eastAsia="es-ES"/>
        </w:rPr>
        <w:t xml:space="preserve"> </w:t>
      </w:r>
      <w:r w:rsidR="001C3C9B" w:rsidRPr="005277C6">
        <w:rPr>
          <w:rFonts w:ascii="Verdana" w:eastAsia="Calibri" w:hAnsi="Verdana" w:cs="Arial"/>
          <w:i/>
          <w:iCs/>
          <w:sz w:val="20"/>
          <w:szCs w:val="20"/>
          <w:lang w:val="es-ES" w:eastAsia="es-ES"/>
        </w:rPr>
        <w:t>(…)</w:t>
      </w:r>
      <w:r w:rsidR="001C3C9B" w:rsidRPr="005277C6">
        <w:rPr>
          <w:rFonts w:ascii="Verdana" w:eastAsia="Calibri" w:hAnsi="Verdana" w:cs="Arial"/>
          <w:i/>
          <w:iCs/>
          <w:sz w:val="20"/>
          <w:szCs w:val="20"/>
          <w:lang w:eastAsia="es-ES"/>
        </w:rPr>
        <w:t>”</w:t>
      </w:r>
    </w:p>
    <w:p w14:paraId="0C872FD4" w14:textId="77777777" w:rsidR="001C3C9B" w:rsidRPr="00FC181B" w:rsidRDefault="001C3C9B" w:rsidP="001C3C9B">
      <w:pPr>
        <w:spacing w:after="0" w:line="276" w:lineRule="auto"/>
        <w:ind w:left="709" w:right="709"/>
        <w:jc w:val="both"/>
        <w:rPr>
          <w:rFonts w:ascii="Verdana" w:eastAsia="Times New Roman" w:hAnsi="Verdana" w:cs="Times New Roman"/>
          <w:sz w:val="20"/>
          <w:szCs w:val="20"/>
          <w:lang w:eastAsia="es-CO"/>
        </w:rPr>
      </w:pPr>
    </w:p>
    <w:p w14:paraId="39428280" w14:textId="77777777" w:rsidR="001C3C9B" w:rsidRPr="003125D1" w:rsidRDefault="001C3C9B" w:rsidP="001C3C9B">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479541F7" w14:textId="77777777" w:rsidR="001C3C9B" w:rsidRPr="003125D1" w:rsidRDefault="001C3C9B" w:rsidP="001C3C9B">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441075ED" w14:textId="77777777" w:rsidR="001C3C9B" w:rsidRPr="003125D1" w:rsidRDefault="001C3C9B" w:rsidP="001C3C9B">
      <w:pPr>
        <w:spacing w:after="0" w:line="276" w:lineRule="auto"/>
        <w:ind w:firstLine="709"/>
        <w:jc w:val="both"/>
        <w:rPr>
          <w:rFonts w:ascii="Verdana" w:eastAsia="Calibri" w:hAnsi="Verdana" w:cs="Arial"/>
          <w:lang w:val="es-ES" w:eastAsia="es-ES"/>
        </w:rPr>
      </w:pPr>
    </w:p>
    <w:p w14:paraId="4688CCBB" w14:textId="77777777" w:rsidR="001C3C9B" w:rsidRPr="003125D1" w:rsidRDefault="001C3C9B" w:rsidP="001C3C9B">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Problema planteado:</w:t>
      </w:r>
    </w:p>
    <w:p w14:paraId="0922EE4A" w14:textId="77777777" w:rsidR="001C3C9B" w:rsidRPr="003125D1" w:rsidRDefault="001C3C9B" w:rsidP="001C3C9B">
      <w:pPr>
        <w:tabs>
          <w:tab w:val="left" w:pos="426"/>
        </w:tabs>
        <w:spacing w:after="0" w:line="276" w:lineRule="auto"/>
        <w:jc w:val="both"/>
        <w:rPr>
          <w:rFonts w:ascii="Verdana" w:eastAsia="Century Gothic" w:hAnsi="Verdana" w:cs="Century Gothic"/>
          <w:lang w:val="es-ES"/>
        </w:rPr>
      </w:pPr>
    </w:p>
    <w:p w14:paraId="1C1C43E2" w14:textId="54B9871E" w:rsidR="001C3C9B" w:rsidRPr="003125D1" w:rsidRDefault="001C3C9B" w:rsidP="008D3A4C">
      <w:pPr>
        <w:spacing w:line="276" w:lineRule="auto"/>
        <w:jc w:val="both"/>
        <w:rPr>
          <w:rFonts w:ascii="Verdana" w:eastAsia="Century Gothic" w:hAnsi="Verdana" w:cs="Century Gothic"/>
        </w:rPr>
      </w:pPr>
      <w:r w:rsidRPr="003125D1">
        <w:rPr>
          <w:rFonts w:ascii="Verdana" w:eastAsia="Century Gothic" w:hAnsi="Verdana" w:cs="Century Gothic"/>
        </w:rPr>
        <w:t>De acuerdo con el contenido de su solicitud, esta Agencia resolverá el siguiente problema jurídico:</w:t>
      </w:r>
      <w:r>
        <w:rPr>
          <w:rFonts w:ascii="Verdana" w:eastAsia="Century Gothic" w:hAnsi="Verdana" w:cs="Century Gothic"/>
        </w:rPr>
        <w:t xml:space="preserve"> I). </w:t>
      </w:r>
      <w:r w:rsidRPr="00490758">
        <w:rPr>
          <w:rFonts w:ascii="Verdana" w:eastAsia="Century Gothic" w:hAnsi="Verdana" w:cs="Century Gothic"/>
        </w:rPr>
        <w:t>¿</w:t>
      </w:r>
      <w:r w:rsidR="008D3A4C">
        <w:rPr>
          <w:rFonts w:ascii="Verdana" w:eastAsia="Century Gothic" w:hAnsi="Verdana" w:cs="Century Gothic"/>
        </w:rPr>
        <w:t xml:space="preserve">El </w:t>
      </w:r>
      <w:r w:rsidR="008D3A4C" w:rsidRPr="008D3A4C">
        <w:rPr>
          <w:rFonts w:ascii="Verdana" w:eastAsia="Century Gothic" w:hAnsi="Verdana" w:cs="Century Gothic"/>
        </w:rPr>
        <w:t>mantenimiento preventivo, correctivo y verificación de centrales de gases y redes de distribución para</w:t>
      </w:r>
      <w:r w:rsidR="00AC1AEF">
        <w:rPr>
          <w:rFonts w:ascii="Verdana" w:eastAsia="Century Gothic" w:hAnsi="Verdana" w:cs="Century Gothic"/>
        </w:rPr>
        <w:t xml:space="preserve"> </w:t>
      </w:r>
      <w:r w:rsidR="008D3A4C" w:rsidRPr="008D3A4C">
        <w:rPr>
          <w:rFonts w:ascii="Verdana" w:eastAsia="Century Gothic" w:hAnsi="Verdana" w:cs="Century Gothic"/>
        </w:rPr>
        <w:t>el funcionamiento de equipos cromatográficos de laboratorio forenses</w:t>
      </w:r>
      <w:r w:rsidR="00AD3354">
        <w:rPr>
          <w:rFonts w:ascii="Verdana" w:eastAsia="Century Gothic" w:hAnsi="Verdana" w:cs="Century Gothic"/>
        </w:rPr>
        <w:t xml:space="preserve"> de medicina legal</w:t>
      </w:r>
      <w:r w:rsidRPr="00490758">
        <w:rPr>
          <w:rFonts w:ascii="Verdana" w:eastAsia="Century Gothic" w:hAnsi="Verdana" w:cs="Century Gothic"/>
        </w:rPr>
        <w:t xml:space="preserve"> puede considerarse una obra de infraestructura social y, en consecuencia, estar sujeta a la aplicación obligatoria de los Documentos Tipo previstos para este tipo de proyectos?</w:t>
      </w:r>
    </w:p>
    <w:p w14:paraId="0364F505" w14:textId="77777777" w:rsidR="001C3C9B" w:rsidRPr="003125D1" w:rsidRDefault="001C3C9B" w:rsidP="001C3C9B">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3125D1">
        <w:rPr>
          <w:rFonts w:ascii="Verdana" w:eastAsia="Century Gothic" w:hAnsi="Verdana" w:cs="Century Gothic"/>
          <w:b/>
          <w:bCs/>
          <w:lang w:val="es-ES"/>
        </w:rPr>
        <w:t>Respuesta:</w:t>
      </w:r>
    </w:p>
    <w:p w14:paraId="531871F8" w14:textId="77777777" w:rsidR="001C3C9B" w:rsidRPr="00AB496C" w:rsidRDefault="001C3C9B" w:rsidP="001C3C9B">
      <w:pPr>
        <w:tabs>
          <w:tab w:val="left" w:pos="142"/>
          <w:tab w:val="left" w:pos="284"/>
        </w:tabs>
        <w:spacing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C3C9B" w:rsidRPr="00AB496C" w14:paraId="5A621E65" w14:textId="77777777" w:rsidTr="00E03CAE">
        <w:trPr>
          <w:trHeight w:val="5698"/>
        </w:trPr>
        <w:tc>
          <w:tcPr>
            <w:tcW w:w="8828" w:type="dxa"/>
            <w:tcBorders>
              <w:top w:val="dotted" w:sz="4" w:space="0" w:color="auto"/>
              <w:left w:val="dotted" w:sz="4" w:space="0" w:color="auto"/>
              <w:bottom w:val="dotted" w:sz="4" w:space="0" w:color="auto"/>
              <w:right w:val="dotted" w:sz="4" w:space="0" w:color="auto"/>
            </w:tcBorders>
          </w:tcPr>
          <w:p w14:paraId="6BD916ED" w14:textId="6A75D696" w:rsidR="001C3C9B" w:rsidRPr="006D2FE6" w:rsidRDefault="00D94926" w:rsidP="00E03CAE">
            <w:pPr>
              <w:tabs>
                <w:tab w:val="left" w:pos="2657"/>
              </w:tabs>
              <w:spacing w:after="120" w:line="276" w:lineRule="auto"/>
              <w:jc w:val="both"/>
              <w:rPr>
                <w:rFonts w:ascii="Verdana" w:eastAsia="Calibri" w:hAnsi="Verdana" w:cs="Arial"/>
                <w:shd w:val="clear" w:color="auto" w:fill="FFFFFF"/>
              </w:rPr>
            </w:pPr>
            <w:r>
              <w:rPr>
                <w:rFonts w:ascii="Verdana" w:eastAsia="Century Gothic" w:hAnsi="Verdana" w:cs="Century Gothic"/>
              </w:rPr>
              <w:lastRenderedPageBreak/>
              <w:t xml:space="preserve">El </w:t>
            </w:r>
            <w:r w:rsidRPr="008D3A4C">
              <w:rPr>
                <w:rFonts w:ascii="Verdana" w:eastAsia="Century Gothic" w:hAnsi="Verdana" w:cs="Century Gothic"/>
              </w:rPr>
              <w:t>mantenimiento preventivo, correctivo y verificación de centrales de gases y redes de distribución para</w:t>
            </w:r>
            <w:r>
              <w:rPr>
                <w:rFonts w:ascii="Verdana" w:eastAsia="Century Gothic" w:hAnsi="Verdana" w:cs="Century Gothic"/>
              </w:rPr>
              <w:t xml:space="preserve"> </w:t>
            </w:r>
            <w:r w:rsidRPr="008D3A4C">
              <w:rPr>
                <w:rFonts w:ascii="Verdana" w:eastAsia="Century Gothic" w:hAnsi="Verdana" w:cs="Century Gothic"/>
              </w:rPr>
              <w:t xml:space="preserve">el funcionamiento de </w:t>
            </w:r>
            <w:r w:rsidR="001C3C9B" w:rsidRPr="006D2FE6">
              <w:rPr>
                <w:rFonts w:ascii="Verdana" w:eastAsia="Calibri" w:hAnsi="Verdana" w:cs="Arial"/>
                <w:shd w:val="clear" w:color="auto" w:fill="FFFFFF"/>
              </w:rPr>
              <w:t xml:space="preserve">una sede del Instituto Nacional de Medicina Legal y Ciencias Forenses puede considerarse una obra de infraestructura social, específicamente </w:t>
            </w:r>
            <w:r w:rsidR="001C3C9B">
              <w:rPr>
                <w:rFonts w:ascii="Verdana" w:eastAsia="Calibri" w:hAnsi="Verdana" w:cs="Arial"/>
                <w:shd w:val="clear" w:color="auto" w:fill="FFFFFF"/>
              </w:rPr>
              <w:t>del sector infraestructura</w:t>
            </w:r>
            <w:r w:rsidR="001C3C9B" w:rsidRPr="006D2FE6">
              <w:rPr>
                <w:rFonts w:ascii="Verdana" w:eastAsia="Calibri" w:hAnsi="Verdana" w:cs="Arial"/>
                <w:shd w:val="clear" w:color="auto" w:fill="FFFFFF"/>
              </w:rPr>
              <w:t xml:space="preserve"> institucional de servicio público, razón por la cual se encuentra sujeta a la aplicación obligatoria de los Documentos Tipo correspondientes.</w:t>
            </w:r>
          </w:p>
          <w:p w14:paraId="02516827" w14:textId="77777777" w:rsidR="001C3C9B" w:rsidRDefault="001C3C9B" w:rsidP="00E03CAE">
            <w:pPr>
              <w:tabs>
                <w:tab w:val="left" w:pos="2657"/>
              </w:tabs>
              <w:spacing w:after="120" w:line="276" w:lineRule="auto"/>
              <w:ind w:firstLine="709"/>
              <w:jc w:val="both"/>
              <w:rPr>
                <w:rFonts w:ascii="Verdana" w:eastAsia="Calibri" w:hAnsi="Verdana" w:cs="Arial"/>
                <w:shd w:val="clear" w:color="auto" w:fill="FFFFFF"/>
              </w:rPr>
            </w:pPr>
            <w:r w:rsidRPr="006D2FE6">
              <w:rPr>
                <w:rFonts w:ascii="Verdana" w:eastAsia="Calibri" w:hAnsi="Verdana" w:cs="Arial"/>
                <w:shd w:val="clear" w:color="auto" w:fill="FFFFFF"/>
              </w:rPr>
              <w:t>Lo anterior, por cuanto los Documentos Tipo complementarios del sector institucional contemplan dentro de la Matriz 1, capítulo 2, las obras relacionadas con proyectos de infraestructura institucional de servicio público, incluyendo actividades de construcción, ampliación, reconstrucción, adecuación y demás intervenciones sobre este tipo de edificaciones</w:t>
            </w:r>
            <w:r>
              <w:rPr>
                <w:rFonts w:ascii="Verdana" w:eastAsia="Calibri" w:hAnsi="Verdana" w:cs="Arial"/>
                <w:shd w:val="clear" w:color="auto" w:fill="FFFFFF"/>
              </w:rPr>
              <w:t>, entre ellas se pueden destacar las siguientes:</w:t>
            </w:r>
          </w:p>
          <w:p w14:paraId="081562EF" w14:textId="77777777" w:rsidR="001C3C9B" w:rsidRPr="00FE66BB" w:rsidRDefault="001C3C9B" w:rsidP="00E03CAE">
            <w:pPr>
              <w:snapToGrid w:val="0"/>
              <w:spacing w:after="120"/>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2.10. PROYECTOS DE CONSTRUCCIÓN Y/O HABILITACIÓN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ZONAS VERDES, Y/O ACTIVIDADES DE URBANISMO Y/O DE PAISAJISMO ASOCIADA A INFRAESTRUCTURA DE SERVICIO PUBLICO</w:t>
            </w:r>
          </w:p>
          <w:p w14:paraId="3781183C" w14:textId="77777777" w:rsidR="001C3C9B" w:rsidRPr="00FE66BB" w:rsidRDefault="001C3C9B" w:rsidP="00E03CAE">
            <w:pPr>
              <w:snapToGrid w:val="0"/>
              <w:spacing w:after="120"/>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2.11. PROYECTOS DE SUMINISTRO Y/O INSTALACIÓN DE DOTACIÓN Y/O DE MOBILIARIO INTERNO O EXTERNO PARA INFRAESTRUCTURA DE SERVICIO PUBLICO</w:t>
            </w:r>
          </w:p>
          <w:p w14:paraId="6E8B831C" w14:textId="77777777" w:rsidR="001C3C9B" w:rsidRPr="00FE66BB" w:rsidRDefault="001C3C9B" w:rsidP="00E03CAE">
            <w:pPr>
              <w:snapToGrid w:val="0"/>
              <w:spacing w:after="120"/>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2.12. PROYECTOS DE SUMINISTRO Y/O INSTALACION DE EQUIPOS ESPECIALES Y/O ELECTROMECÁNICOS Y/O ELECTRÓNICOS Y/O MAQUINARIA U OTROS TIPOS DE EQUIPOS PARA INFRAESTRUCTURA DE SERVICIO PUBLICO</w:t>
            </w:r>
          </w:p>
          <w:p w14:paraId="7931CB78" w14:textId="77777777" w:rsidR="001C3C9B" w:rsidRPr="00FE66BB" w:rsidRDefault="001C3C9B" w:rsidP="00E03CAE">
            <w:pPr>
              <w:snapToGrid w:val="0"/>
              <w:spacing w:after="120"/>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2.13.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VAPOR Y/O REDES DE GASES Y/O REDES DE GAS NATURAL Y/O SISTEMAS DE COCCIÓN DE INFRAESTRUCTURA INSTITUCIONAL - SERVICIO PÚBLICO</w:t>
            </w:r>
          </w:p>
          <w:p w14:paraId="0657B601" w14:textId="77777777" w:rsidR="001C3C9B" w:rsidRPr="00FB4C55" w:rsidRDefault="001C3C9B" w:rsidP="00E03CAE">
            <w:pPr>
              <w:snapToGrid w:val="0"/>
              <w:spacing w:after="120"/>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lastRenderedPageBreak/>
              <w:t>2.14. PROYECTOS DE SUMINISTRO Y/O INSTALACIÓN DE SISTEMAS DE AIRES ACONDICIONADOS O SISTEMAS DE VENTILACIÓN O SIMILARES PARA INFRAESTRUCTURA DE SERVICIO PUBLICO”</w:t>
            </w:r>
            <w:r>
              <w:rPr>
                <w:rFonts w:ascii="Verdana" w:eastAsia="Arial" w:hAnsi="Verdana" w:cs="Aptos"/>
                <w:kern w:val="2"/>
                <w:sz w:val="21"/>
                <w:szCs w:val="21"/>
                <w:lang w:eastAsia="es-ES"/>
                <w14:ligatures w14:val="standardContextual"/>
              </w:rPr>
              <w:t>.</w:t>
            </w:r>
          </w:p>
          <w:p w14:paraId="6DEDFE21" w14:textId="77777777" w:rsidR="001C3C9B" w:rsidRPr="00EA4F3C" w:rsidRDefault="001C3C9B" w:rsidP="00E03CAE">
            <w:pPr>
              <w:tabs>
                <w:tab w:val="left" w:pos="2657"/>
              </w:tabs>
              <w:spacing w:after="120" w:line="276" w:lineRule="auto"/>
              <w:ind w:firstLine="709"/>
              <w:jc w:val="both"/>
              <w:rPr>
                <w:rFonts w:ascii="Verdana" w:eastAsia="Calibri" w:hAnsi="Verdana" w:cs="Arial"/>
                <w:shd w:val="clear" w:color="auto" w:fill="FFFFFF"/>
              </w:rPr>
            </w:pPr>
            <w:r w:rsidRPr="00EA4F3C">
              <w:rPr>
                <w:rFonts w:ascii="Verdana" w:eastAsia="Calibri" w:hAnsi="Verdana" w:cs="Arial"/>
                <w:shd w:val="clear" w:color="auto" w:fill="FFFFFF"/>
              </w:rPr>
              <w:t>Asimismo, de conformidad con el Reglamento Colombiano de Construcción Sismo Resistente NSR-10, las edificaciones destinadas al desarrollo de funciones administrativas y a la prestación de servicios públicos necesarios para el adecuado funcionamiento de las ciudades se clasifican dentro del Subgrupo de Ocupación Institucional de Servicio Público (I-5). Esta categoría comprende, entre otras, edificaciones como centros de comunicación, centros administrativos municipales, distritales y gubernamentales, centros de servicios públicos, juzgados y demás instalaciones de naturaleza similar.</w:t>
            </w:r>
          </w:p>
          <w:p w14:paraId="5E3B39EA" w14:textId="77777777" w:rsidR="001C3C9B" w:rsidRDefault="001C3C9B" w:rsidP="00E03CAE">
            <w:pPr>
              <w:tabs>
                <w:tab w:val="left" w:pos="2657"/>
              </w:tabs>
              <w:spacing w:after="120" w:line="276" w:lineRule="auto"/>
              <w:ind w:firstLine="709"/>
              <w:jc w:val="both"/>
              <w:rPr>
                <w:rFonts w:ascii="Verdana" w:eastAsia="Calibri" w:hAnsi="Verdana" w:cs="Arial"/>
                <w:shd w:val="clear" w:color="auto" w:fill="FFFFFF"/>
              </w:rPr>
            </w:pPr>
            <w:r w:rsidRPr="00EA4F3C">
              <w:rPr>
                <w:rFonts w:ascii="Verdana" w:eastAsia="Calibri" w:hAnsi="Verdana" w:cs="Arial"/>
                <w:shd w:val="clear" w:color="auto" w:fill="FFFFFF"/>
              </w:rPr>
              <w:t>Dicha clasificación agrupa inmuebles destinados al ejercicio de funciones institucionales del Estado y a la prestación de servicios públicos esenciales. Adicionalmente, la inclusión de la expresión “otros similares” evidencia que la relación de edificaciones prevista en la norma tiene carácter enunciativo y no taxativo, permitiendo incorporar aquellas construcciones que, atendiendo a su naturaleza, finalidad y función, se encuentren orientadas al cumplimiento de actividades institucionales o a la prestación de servicios públicos equivalentes.</w:t>
            </w:r>
          </w:p>
          <w:p w14:paraId="21299EA6" w14:textId="77777777" w:rsidR="001C3C9B" w:rsidRPr="00121669" w:rsidRDefault="001C3C9B" w:rsidP="00E03CAE">
            <w:pPr>
              <w:tabs>
                <w:tab w:val="left" w:pos="2657"/>
              </w:tabs>
              <w:spacing w:after="120" w:line="276" w:lineRule="auto"/>
              <w:ind w:firstLine="709"/>
              <w:jc w:val="both"/>
              <w:rPr>
                <w:rFonts w:ascii="Verdana" w:eastAsia="Calibri" w:hAnsi="Verdana" w:cs="Arial"/>
                <w:shd w:val="clear" w:color="auto" w:fill="FFFFFF"/>
              </w:rPr>
            </w:pPr>
            <w:r w:rsidRPr="00177BDB">
              <w:rPr>
                <w:rFonts w:ascii="Verdana" w:hAnsi="Verdana" w:cs="Calibri"/>
              </w:rPr>
              <w:t>Por su parte, el artículo 4 del Decreto 2762 de 2001, relativo a la prestación de este servicio público, dispone que dicho servicio será prestado por personas jurídicas que cumplan los requisitos establecidos en esa norma y en las disposiciones que la complementen o adicionen. Bajo ese marco, y frente a la inquietud sobre si una morgue o una sede de medicina legal —</w:t>
            </w:r>
            <w:r w:rsidRPr="00121669">
              <w:rPr>
                <w:rFonts w:ascii="Verdana" w:hAnsi="Verdana" w:cs="Calibri"/>
                <w:i/>
                <w:iCs/>
              </w:rPr>
              <w:t>como instalación técnico-científica especializada—</w:t>
            </w:r>
            <w:r w:rsidRPr="00177BDB">
              <w:rPr>
                <w:rFonts w:ascii="Verdana" w:hAnsi="Verdana" w:cs="Calibri"/>
              </w:rPr>
              <w:t xml:space="preserve"> puede considerarse como una infraestructura social, debe concluirse que a la entidad sí le corresponde adoptar los documentos tipo del sector institucional.</w:t>
            </w:r>
          </w:p>
          <w:p w14:paraId="54B81B92" w14:textId="77777777" w:rsidR="001C3C9B" w:rsidRDefault="001C3C9B" w:rsidP="00E03CAE">
            <w:pPr>
              <w:tabs>
                <w:tab w:val="left" w:pos="2657"/>
              </w:tabs>
              <w:spacing w:after="120" w:line="276" w:lineRule="auto"/>
              <w:ind w:firstLine="709"/>
              <w:jc w:val="both"/>
              <w:rPr>
                <w:rFonts w:ascii="Verdana" w:hAnsi="Verdana" w:cs="Calibri"/>
              </w:rPr>
            </w:pPr>
            <w:r w:rsidRPr="00177BDB">
              <w:rPr>
                <w:rFonts w:ascii="Verdana" w:hAnsi="Verdana" w:cs="Calibri"/>
              </w:rPr>
              <w:t>En efecto, dentro del Subgrupo de Ocupación Institucional de Servicio Público se encuentran las edificaciones institucionales judiciales, entendidas como los edificios, sedes u oficinas destinados al funcionamiento de los órganos que integran la administración de justicia, tales como tribunales, juzgados, fiscalías y demás entidades</w:t>
            </w:r>
          </w:p>
          <w:p w14:paraId="3606A501" w14:textId="77777777" w:rsidR="001C3C9B" w:rsidRPr="006D2FE6" w:rsidRDefault="001C3C9B" w:rsidP="00E03CAE">
            <w:pPr>
              <w:tabs>
                <w:tab w:val="left" w:pos="2657"/>
              </w:tabs>
              <w:spacing w:after="120" w:line="276" w:lineRule="auto"/>
              <w:ind w:firstLine="709"/>
              <w:jc w:val="both"/>
              <w:rPr>
                <w:rFonts w:ascii="Verdana" w:eastAsia="Calibri" w:hAnsi="Verdana" w:cs="Arial"/>
                <w:shd w:val="clear" w:color="auto" w:fill="FFFFFF"/>
              </w:rPr>
            </w:pPr>
            <w:r w:rsidRPr="006D2FE6">
              <w:rPr>
                <w:rFonts w:ascii="Verdana" w:eastAsia="Calibri" w:hAnsi="Verdana" w:cs="Arial"/>
                <w:shd w:val="clear" w:color="auto" w:fill="FFFFFF"/>
              </w:rPr>
              <w:t xml:space="preserve">En el caso del Instituto Nacional de Medicina Legal y Ciencias Forenses, su naturaleza jurídica, su adscripción a la </w:t>
            </w:r>
            <w:proofErr w:type="gramStart"/>
            <w:r w:rsidRPr="006D2FE6">
              <w:rPr>
                <w:rFonts w:ascii="Verdana" w:eastAsia="Calibri" w:hAnsi="Verdana" w:cs="Arial"/>
                <w:shd w:val="clear" w:color="auto" w:fill="FFFFFF"/>
              </w:rPr>
              <w:t>Fiscalía General</w:t>
            </w:r>
            <w:proofErr w:type="gramEnd"/>
            <w:r w:rsidRPr="006D2FE6">
              <w:rPr>
                <w:rFonts w:ascii="Verdana" w:eastAsia="Calibri" w:hAnsi="Verdana" w:cs="Arial"/>
                <w:shd w:val="clear" w:color="auto" w:fill="FFFFFF"/>
              </w:rPr>
              <w:t xml:space="preserve"> de la Nación y su </w:t>
            </w:r>
            <w:r w:rsidRPr="006D2FE6">
              <w:rPr>
                <w:rFonts w:ascii="Verdana" w:eastAsia="Calibri" w:hAnsi="Verdana" w:cs="Arial"/>
                <w:shd w:val="clear" w:color="auto" w:fill="FFFFFF"/>
              </w:rPr>
              <w:lastRenderedPageBreak/>
              <w:t>función de apoyo científico y técnico a la administración de justicia permiten concluir que sus sedes constituyen infraestructura institucional de servicio público. En consecuencia, las edificaciones destinadas al funcionamiento de dicha entidad —incluyendo oficinas, laboratorios forenses, morgues, áreas de atención al público y demás espacios requeridos para el desarrollo de su misión institucional— forman parte de una infraestructura pública de carácter institucional.</w:t>
            </w:r>
          </w:p>
          <w:p w14:paraId="4832A7F4" w14:textId="0EC5F8A0" w:rsidR="001C3C9B" w:rsidRPr="00BB7386" w:rsidRDefault="001C3C9B" w:rsidP="001452AF">
            <w:pPr>
              <w:tabs>
                <w:tab w:val="left" w:pos="2657"/>
              </w:tabs>
              <w:spacing w:after="120" w:line="276" w:lineRule="auto"/>
              <w:ind w:firstLine="709"/>
              <w:jc w:val="both"/>
              <w:rPr>
                <w:rFonts w:ascii="Verdana" w:eastAsia="Calibri" w:hAnsi="Verdana" w:cs="Arial"/>
                <w:shd w:val="clear" w:color="auto" w:fill="FFFFFF"/>
              </w:rPr>
            </w:pPr>
            <w:r w:rsidRPr="006D2FE6">
              <w:rPr>
                <w:rFonts w:ascii="Verdana" w:eastAsia="Calibri" w:hAnsi="Verdana" w:cs="Arial"/>
                <w:shd w:val="clear" w:color="auto" w:fill="FFFFFF"/>
              </w:rPr>
              <w:t xml:space="preserve">Por tanto, </w:t>
            </w:r>
            <w:r w:rsidR="00A0009E">
              <w:rPr>
                <w:rFonts w:ascii="Verdana" w:eastAsia="Calibri" w:hAnsi="Verdana" w:cs="Arial"/>
                <w:shd w:val="clear" w:color="auto" w:fill="FFFFFF"/>
              </w:rPr>
              <w:t xml:space="preserve">el </w:t>
            </w:r>
            <w:r w:rsidR="00A0009E" w:rsidRPr="008D3A4C">
              <w:rPr>
                <w:rFonts w:ascii="Verdana" w:eastAsia="Century Gothic" w:hAnsi="Verdana" w:cs="Century Gothic"/>
              </w:rPr>
              <w:t>mantenimiento preventivo, correctivo y verificación de centrales de gases y redes de distribución</w:t>
            </w:r>
            <w:r w:rsidR="00A0009E">
              <w:rPr>
                <w:rFonts w:ascii="Verdana" w:eastAsia="Century Gothic" w:hAnsi="Verdana" w:cs="Century Gothic"/>
              </w:rPr>
              <w:t xml:space="preserve"> debe</w:t>
            </w:r>
            <w:r w:rsidR="00A0009E" w:rsidRPr="006D2FE6">
              <w:rPr>
                <w:rFonts w:ascii="Verdana" w:eastAsia="Calibri" w:hAnsi="Verdana" w:cs="Arial"/>
                <w:shd w:val="clear" w:color="auto" w:fill="FFFFFF"/>
              </w:rPr>
              <w:t xml:space="preserve"> </w:t>
            </w:r>
            <w:r w:rsidRPr="006D2FE6">
              <w:rPr>
                <w:rFonts w:ascii="Verdana" w:eastAsia="Calibri" w:hAnsi="Verdana" w:cs="Arial"/>
                <w:shd w:val="clear" w:color="auto" w:fill="FFFFFF"/>
              </w:rPr>
              <w:t>clasificarse dentro de la actividad correspondiente a proyectos de construcción de infraestructura de servicio público y, en consecuencia, la entidad deberá aplicar los Documentos Tipo del sector institucional que resulten procedentes para el proceso de contratación. La existencia de áreas técnicas o especializadas, como laboratorios o morgues, no altera la naturaleza principal del proyecto ni excluye la aplicación de dichos documentos, en la medida en que tales espacios constituyen componentes funcionales de una misma infraestructura institucional destinada a la prestación de un servicio público asociado a la administración de justicia.</w:t>
            </w:r>
          </w:p>
        </w:tc>
      </w:tr>
    </w:tbl>
    <w:p w14:paraId="0134F1F8" w14:textId="77777777" w:rsidR="001C3C9B" w:rsidRPr="0010023F" w:rsidRDefault="001C3C9B" w:rsidP="001C3C9B">
      <w:pPr>
        <w:tabs>
          <w:tab w:val="left" w:pos="142"/>
          <w:tab w:val="left" w:pos="284"/>
        </w:tabs>
        <w:spacing w:after="0" w:line="276" w:lineRule="auto"/>
        <w:ind w:left="142" w:hanging="142"/>
        <w:jc w:val="both"/>
        <w:rPr>
          <w:rFonts w:ascii="Verdana" w:eastAsia="Century Gothic" w:hAnsi="Verdana" w:cs="Century Gothic"/>
          <w:b/>
          <w:bCs/>
          <w:lang w:val="es-ES"/>
        </w:rPr>
      </w:pPr>
    </w:p>
    <w:p w14:paraId="6733726F" w14:textId="77777777" w:rsidR="001C3C9B" w:rsidRPr="0010023F" w:rsidRDefault="001C3C9B" w:rsidP="001C3C9B">
      <w:pPr>
        <w:numPr>
          <w:ilvl w:val="0"/>
          <w:numId w:val="16"/>
        </w:num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entury Gothic" w:hAnsi="Verdana" w:cs="Century Gothic"/>
          <w:b/>
          <w:bCs/>
          <w:lang w:val="es-ES"/>
        </w:rPr>
        <w:t>Razones de la respuesta:</w:t>
      </w:r>
    </w:p>
    <w:p w14:paraId="3BBA0722" w14:textId="77777777" w:rsidR="001C3C9B" w:rsidRPr="0010023F" w:rsidRDefault="001C3C9B" w:rsidP="001C3C9B">
      <w:pPr>
        <w:tabs>
          <w:tab w:val="left" w:pos="142"/>
          <w:tab w:val="left" w:pos="284"/>
        </w:tabs>
        <w:spacing w:after="0" w:line="276" w:lineRule="auto"/>
        <w:contextualSpacing/>
        <w:jc w:val="both"/>
        <w:rPr>
          <w:rFonts w:ascii="Verdana" w:eastAsia="Century Gothic" w:hAnsi="Verdana" w:cs="Century Gothic"/>
          <w:b/>
          <w:bCs/>
          <w:lang w:val="es-ES"/>
        </w:rPr>
      </w:pPr>
    </w:p>
    <w:p w14:paraId="6AB07D7D" w14:textId="77777777" w:rsidR="001C3C9B" w:rsidRDefault="001C3C9B" w:rsidP="001C3C9B">
      <w:pPr>
        <w:tabs>
          <w:tab w:val="left" w:pos="142"/>
          <w:tab w:val="left" w:pos="284"/>
        </w:tabs>
        <w:spacing w:after="0" w:line="276" w:lineRule="auto"/>
        <w:contextualSpacing/>
        <w:jc w:val="both"/>
        <w:rPr>
          <w:rFonts w:ascii="Verdana" w:eastAsia="Calibri" w:hAnsi="Verdana" w:cs="Arial"/>
          <w:lang w:val="es-ES" w:eastAsia="es-MX"/>
        </w:rPr>
      </w:pPr>
      <w:r w:rsidRPr="0010023F">
        <w:rPr>
          <w:rFonts w:ascii="Verdana" w:eastAsia="Calibri" w:hAnsi="Verdana" w:cs="Arial"/>
          <w:lang w:val="es-ES" w:eastAsia="es-MX"/>
        </w:rPr>
        <w:t xml:space="preserve">Lo anterior se sustenta en las siguientes consideraciones: </w:t>
      </w:r>
    </w:p>
    <w:p w14:paraId="0FCB11F5" w14:textId="77777777" w:rsidR="001C3C9B" w:rsidRPr="00647825" w:rsidRDefault="001C3C9B" w:rsidP="001C3C9B">
      <w:pPr>
        <w:tabs>
          <w:tab w:val="left" w:pos="142"/>
          <w:tab w:val="left" w:pos="284"/>
        </w:tabs>
        <w:spacing w:after="0" w:line="276" w:lineRule="auto"/>
        <w:contextualSpacing/>
        <w:jc w:val="both"/>
        <w:rPr>
          <w:rFonts w:ascii="Verdana" w:eastAsia="Calibri" w:hAnsi="Verdana" w:cs="Arial"/>
          <w:lang w:val="es-ES" w:eastAsia="es-MX"/>
        </w:rPr>
      </w:pPr>
    </w:p>
    <w:p w14:paraId="7C7CACE8" w14:textId="77777777" w:rsidR="001C3C9B" w:rsidRPr="00FE66BB" w:rsidRDefault="001C3C9B" w:rsidP="001C3C9B">
      <w:pPr>
        <w:spacing w:after="120" w:line="276" w:lineRule="auto"/>
        <w:jc w:val="both"/>
        <w:rPr>
          <w:rFonts w:ascii="Verdana" w:eastAsia="Aptos" w:hAnsi="Verdana" w:cs="Arial"/>
          <w:lang w:eastAsia="es-MX"/>
        </w:rPr>
      </w:pPr>
      <w:r>
        <w:rPr>
          <w:rFonts w:ascii="Verdana" w:eastAsia="Aptos" w:hAnsi="Verdana" w:cs="Arial"/>
          <w:lang w:eastAsia="es-MX"/>
        </w:rPr>
        <w:t>I)</w:t>
      </w:r>
      <w:r w:rsidRPr="00FE66BB">
        <w:rPr>
          <w:rFonts w:ascii="Verdana" w:eastAsia="Aptos" w:hAnsi="Verdana" w:cs="Arial"/>
          <w:lang w:eastAsia="es-MX"/>
        </w:rPr>
        <w:t>.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5602365E" w14:textId="77777777" w:rsidR="001C3C9B" w:rsidRPr="00FE66BB" w:rsidRDefault="001C3C9B" w:rsidP="001C3C9B">
      <w:pPr>
        <w:spacing w:after="120" w:line="276" w:lineRule="auto"/>
        <w:ind w:firstLine="708"/>
        <w:jc w:val="both"/>
        <w:rPr>
          <w:rFonts w:ascii="Verdana" w:eastAsia="Aptos" w:hAnsi="Verdana" w:cs="Arial"/>
          <w:lang w:eastAsia="es-MX"/>
        </w:rPr>
      </w:pPr>
      <w:r w:rsidRPr="00FE66BB">
        <w:rPr>
          <w:rFonts w:ascii="Verdana" w:eastAsia="Aptos" w:hAnsi="Verdana" w:cs="Arial"/>
          <w:lang w:val="es-ES" w:eastAsia="es-MX"/>
        </w:rPr>
        <w:t xml:space="preserve">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w:t>
      </w:r>
      <w:r w:rsidRPr="00FE66BB">
        <w:rPr>
          <w:rFonts w:ascii="Verdana" w:eastAsia="Aptos" w:hAnsi="Verdana" w:cs="Arial"/>
          <w:lang w:val="es-ES" w:eastAsia="es-MX"/>
        </w:rPr>
        <w:lastRenderedPageBreak/>
        <w:t>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2DEC982E" w14:textId="77777777" w:rsidR="001C3C9B" w:rsidRPr="00FE66BB" w:rsidRDefault="001C3C9B" w:rsidP="001C3C9B">
      <w:pPr>
        <w:spacing w:after="120" w:line="276" w:lineRule="auto"/>
        <w:ind w:firstLine="708"/>
        <w:jc w:val="both"/>
        <w:rPr>
          <w:rFonts w:ascii="Verdana" w:eastAsia="Times New Roman" w:hAnsi="Verdana" w:cs="Times New Roman"/>
          <w:color w:val="000000"/>
          <w:lang w:eastAsia="es-CO"/>
        </w:rPr>
      </w:pPr>
      <w:r w:rsidRPr="00FE66BB">
        <w:rPr>
          <w:rFonts w:ascii="Verdana" w:eastAsia="Aptos" w:hAnsi="Verdana" w:cs="Arial"/>
          <w:lang w:eastAsia="es-MX"/>
        </w:rPr>
        <w:t xml:space="preserve">En el sector social, </w:t>
      </w:r>
      <w:r w:rsidRPr="00FE66BB">
        <w:rPr>
          <w:rFonts w:ascii="Verdana" w:eastAsia="Calibri" w:hAnsi="Verdana" w:cs="Arial"/>
          <w:lang w:val="es-MX" w:eastAsia="es-MX"/>
        </w:rPr>
        <w:t xml:space="preserve">la Agencia Nacional de Contratación Pública – Colombia Compra </w:t>
      </w:r>
      <w:r w:rsidRPr="00FE66BB">
        <w:rPr>
          <w:rFonts w:ascii="Verdana" w:eastAsia="Calibri" w:hAnsi="Verdana" w:cs="Arial"/>
          <w:lang w:eastAsia="es-MX"/>
        </w:rPr>
        <w:t xml:space="preserve">Eficiente </w:t>
      </w:r>
      <w:r w:rsidRPr="00FE66BB">
        <w:rPr>
          <w:rFonts w:ascii="Verdana" w:eastAsia="Times New Roman" w:hAnsi="Verdana" w:cs="Times New Roman"/>
          <w:color w:val="000000"/>
          <w:lang w:eastAsia="es-CO"/>
        </w:rPr>
        <w:t>en el segundo semestre del año 2025 adoptó las siguientes Resoluciones para contratar obra pública y concurso de méritos:</w:t>
      </w:r>
    </w:p>
    <w:p w14:paraId="6896E2FE" w14:textId="77777777" w:rsidR="001C3C9B" w:rsidRPr="00FE66BB" w:rsidRDefault="001C3C9B" w:rsidP="001C3C9B">
      <w:pPr>
        <w:spacing w:after="120" w:line="276" w:lineRule="auto"/>
        <w:ind w:firstLine="708"/>
        <w:jc w:val="both"/>
        <w:rPr>
          <w:rFonts w:ascii="Verdana" w:eastAsia="Times New Roman" w:hAnsi="Verdana" w:cs="Times New Roman"/>
          <w:color w:val="000000"/>
          <w:lang w:eastAsia="es-CO"/>
        </w:rPr>
      </w:pPr>
      <w:r w:rsidRPr="00FE66BB">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7F8F12A5" w14:textId="77777777" w:rsidR="001C3C9B" w:rsidRPr="00FE66BB" w:rsidRDefault="001C3C9B" w:rsidP="001C3C9B">
      <w:pPr>
        <w:spacing w:after="120" w:line="276" w:lineRule="auto"/>
        <w:ind w:firstLine="708"/>
        <w:jc w:val="both"/>
        <w:rPr>
          <w:rFonts w:ascii="Verdana" w:eastAsia="Times New Roman" w:hAnsi="Verdana" w:cs="Times New Roman"/>
          <w:color w:val="000000"/>
          <w:lang w:eastAsia="es-CO"/>
        </w:rPr>
      </w:pPr>
      <w:r w:rsidRPr="00FE66BB">
        <w:rPr>
          <w:rFonts w:ascii="Verdana" w:eastAsia="Times New Roman" w:hAnsi="Verdana" w:cs="Times New Roman"/>
          <w:color w:val="000000"/>
          <w:lang w:eastAsia="es-CO"/>
        </w:rPr>
        <w:t xml:space="preserve"> </w:t>
      </w:r>
      <w:proofErr w:type="spellStart"/>
      <w:r w:rsidRPr="00FE66BB">
        <w:rPr>
          <w:rFonts w:ascii="Verdana" w:eastAsia="Times New Roman" w:hAnsi="Verdana" w:cs="Times New Roman"/>
          <w:color w:val="000000"/>
          <w:lang w:eastAsia="es-CO"/>
        </w:rPr>
        <w:t>ii</w:t>
      </w:r>
      <w:proofErr w:type="spellEnd"/>
      <w:r w:rsidRPr="00FE66BB">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2ECB451F" w14:textId="77777777" w:rsidR="001C3C9B" w:rsidRPr="00FE66BB" w:rsidRDefault="001C3C9B" w:rsidP="001C3C9B">
      <w:pPr>
        <w:spacing w:after="120" w:line="276" w:lineRule="auto"/>
        <w:ind w:firstLine="708"/>
        <w:jc w:val="both"/>
        <w:rPr>
          <w:rFonts w:ascii="Verdana" w:eastAsia="Times New Roman" w:hAnsi="Verdana" w:cs="Times New Roman"/>
          <w:color w:val="000000"/>
          <w:lang w:eastAsia="es-CO"/>
        </w:rPr>
      </w:pPr>
      <w:proofErr w:type="spellStart"/>
      <w:r w:rsidRPr="00FE66BB">
        <w:rPr>
          <w:rFonts w:ascii="Verdana" w:eastAsia="Times New Roman" w:hAnsi="Verdana" w:cs="Times New Roman"/>
          <w:color w:val="000000"/>
          <w:lang w:eastAsia="es-CO"/>
        </w:rPr>
        <w:t>iii</w:t>
      </w:r>
      <w:proofErr w:type="spellEnd"/>
      <w:r w:rsidRPr="00FE66BB">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47276F6F" w14:textId="77777777" w:rsidR="001C3C9B" w:rsidRPr="00FE66BB" w:rsidRDefault="001C3C9B" w:rsidP="001C3C9B">
      <w:pPr>
        <w:spacing w:after="120" w:line="276" w:lineRule="auto"/>
        <w:ind w:firstLine="708"/>
        <w:jc w:val="both"/>
        <w:rPr>
          <w:rFonts w:ascii="Verdana" w:eastAsia="Times New Roman" w:hAnsi="Verdana" w:cs="Times New Roman"/>
          <w:color w:val="000000"/>
          <w:lang w:eastAsia="es-CO"/>
        </w:rPr>
      </w:pPr>
      <w:proofErr w:type="spellStart"/>
      <w:r w:rsidRPr="00FE66BB">
        <w:rPr>
          <w:rFonts w:ascii="Verdana" w:eastAsia="Times New Roman" w:hAnsi="Verdana" w:cs="Times New Roman"/>
          <w:color w:val="000000"/>
          <w:lang w:eastAsia="es-CO"/>
        </w:rPr>
        <w:t>iv</w:t>
      </w:r>
      <w:proofErr w:type="spellEnd"/>
      <w:r w:rsidRPr="00FE66BB">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4EEABF81" w14:textId="77777777" w:rsidR="001C3C9B" w:rsidRPr="00FE66BB" w:rsidRDefault="001C3C9B" w:rsidP="001C3C9B">
      <w:pPr>
        <w:spacing w:after="120" w:line="276" w:lineRule="auto"/>
        <w:ind w:firstLine="708"/>
        <w:jc w:val="both"/>
        <w:rPr>
          <w:rFonts w:ascii="Verdana" w:eastAsia="Times New Roman" w:hAnsi="Verdana" w:cs="Times New Roman"/>
          <w:color w:val="000000"/>
          <w:lang w:eastAsia="es-CO"/>
        </w:rPr>
      </w:pPr>
      <w:r w:rsidRPr="00FE66BB">
        <w:rPr>
          <w:rFonts w:ascii="Verdana" w:eastAsia="Times New Roman" w:hAnsi="Verdana" w:cs="Times New Roman"/>
          <w:color w:val="000000"/>
          <w:lang w:eastAsia="es-CO"/>
        </w:rPr>
        <w:lastRenderedPageBreak/>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FE66BB">
        <w:rPr>
          <w:rFonts w:ascii="Verdana" w:eastAsia="Aptos" w:hAnsi="Verdana" w:cs="Times New Roman"/>
          <w:lang w:eastAsia="es-MX"/>
        </w:rPr>
        <w:t xml:space="preserve"> </w:t>
      </w:r>
    </w:p>
    <w:p w14:paraId="1EC18AF6" w14:textId="77777777" w:rsidR="001C3C9B" w:rsidRPr="00FE66BB" w:rsidRDefault="001C3C9B" w:rsidP="001C3C9B">
      <w:pPr>
        <w:spacing w:after="120" w:line="276" w:lineRule="auto"/>
        <w:ind w:firstLine="708"/>
        <w:jc w:val="both"/>
        <w:textAlignment w:val="baseline"/>
        <w:rPr>
          <w:rFonts w:ascii="Verdana" w:eastAsia="Calibri" w:hAnsi="Verdana" w:cs="Arial"/>
          <w:lang w:eastAsia="es-MX"/>
        </w:rPr>
      </w:pPr>
      <w:r w:rsidRPr="00FE66BB">
        <w:rPr>
          <w:rFonts w:ascii="Verdana" w:eastAsia="Aptos" w:hAnsi="Verdana" w:cs="Times New Roman"/>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FE66BB">
        <w:rPr>
          <w:rFonts w:ascii="Verdana" w:eastAsia="Calibri" w:hAnsi="Verdana" w:cs="Arial"/>
          <w:vertAlign w:val="superscript"/>
          <w:lang w:eastAsia="es-MX"/>
        </w:rPr>
        <w:footnoteReference w:id="1"/>
      </w:r>
      <w:r w:rsidRPr="00FE66BB">
        <w:rPr>
          <w:rFonts w:ascii="Verdana" w:eastAsia="Calibri" w:hAnsi="Verdana" w:cs="Arial"/>
          <w:lang w:eastAsia="es-MX"/>
        </w:rPr>
        <w:t>.</w:t>
      </w:r>
    </w:p>
    <w:p w14:paraId="01FCC3B5" w14:textId="77777777" w:rsidR="001C3C9B" w:rsidRPr="00FE66BB" w:rsidRDefault="001C3C9B" w:rsidP="001C3C9B">
      <w:pPr>
        <w:widowControl w:val="0"/>
        <w:autoSpaceDE w:val="0"/>
        <w:autoSpaceDN w:val="0"/>
        <w:spacing w:after="120" w:line="276" w:lineRule="auto"/>
        <w:ind w:firstLine="708"/>
        <w:jc w:val="both"/>
        <w:rPr>
          <w:rFonts w:ascii="Verdana" w:eastAsia="Calibri" w:hAnsi="Verdana" w:cs="Times New Roman"/>
          <w:lang w:val="es-ES" w:eastAsia="es-MX"/>
        </w:rPr>
      </w:pPr>
      <w:r w:rsidRPr="00FE66BB">
        <w:rPr>
          <w:rFonts w:ascii="Verdana" w:eastAsia="Calibri" w:hAnsi="Verdana" w:cs="Times New Roman"/>
          <w:lang w:val="es-ES" w:eastAsia="es-MX"/>
        </w:rPr>
        <w:lastRenderedPageBreak/>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FE66BB">
        <w:rPr>
          <w:rFonts w:ascii="Verdana" w:eastAsia="Calibri" w:hAnsi="Verdana" w:cs="Times New Roman"/>
          <w:shd w:val="clear" w:color="auto" w:fill="E8E8E8"/>
          <w:lang w:val="es-ES" w:eastAsia="es-MX"/>
        </w:rPr>
        <w:t>–[texto]–,</w:t>
      </w:r>
      <w:r w:rsidRPr="00FE66BB">
        <w:rPr>
          <w:rFonts w:ascii="Verdana" w:eastAsia="Calibri" w:hAnsi="Verdana" w:cs="Times New Roman"/>
          <w:lang w:val="es-ES" w:eastAsia="es-MX"/>
        </w:rPr>
        <w:t xml:space="preserve"> para lo cual deberán observarse las instrucciones contenidas en los mismos para su diligenciamiento.</w:t>
      </w:r>
    </w:p>
    <w:p w14:paraId="58EC9D0B" w14:textId="77777777" w:rsidR="001C3C9B" w:rsidRPr="00FE66BB" w:rsidRDefault="001C3C9B" w:rsidP="001C3C9B">
      <w:pPr>
        <w:widowControl w:val="0"/>
        <w:autoSpaceDE w:val="0"/>
        <w:autoSpaceDN w:val="0"/>
        <w:spacing w:after="120" w:line="276" w:lineRule="auto"/>
        <w:ind w:firstLine="708"/>
        <w:jc w:val="both"/>
        <w:rPr>
          <w:rFonts w:ascii="Verdana" w:eastAsia="Calibri" w:hAnsi="Verdana" w:cs="Times New Roman"/>
          <w:lang w:val="es-ES" w:eastAsia="es-MX"/>
        </w:rPr>
      </w:pPr>
      <w:r w:rsidRPr="00FE66BB">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085181DF" w14:textId="77777777" w:rsidR="001C3C9B" w:rsidRPr="00FE66BB" w:rsidRDefault="001C3C9B" w:rsidP="001C3C9B">
      <w:pPr>
        <w:widowControl w:val="0"/>
        <w:autoSpaceDE w:val="0"/>
        <w:autoSpaceDN w:val="0"/>
        <w:spacing w:after="120" w:line="276" w:lineRule="auto"/>
        <w:ind w:firstLine="708"/>
        <w:jc w:val="both"/>
        <w:rPr>
          <w:rFonts w:ascii="Verdana" w:eastAsia="Calibri" w:hAnsi="Verdana" w:cs="Times New Roman"/>
          <w:lang w:val="es-ES" w:eastAsia="es-MX"/>
        </w:rPr>
      </w:pPr>
      <w:r w:rsidRPr="00FE66BB">
        <w:rPr>
          <w:rFonts w:ascii="Verdana" w:eastAsia="Calibri" w:hAnsi="Verdana" w:cs="Times New Roman"/>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39F00E72" w14:textId="77777777" w:rsidR="001C3C9B" w:rsidRPr="00FE66BB" w:rsidRDefault="001C3C9B" w:rsidP="001C3C9B">
      <w:pPr>
        <w:widowControl w:val="0"/>
        <w:autoSpaceDE w:val="0"/>
        <w:autoSpaceDN w:val="0"/>
        <w:spacing w:after="120" w:line="276" w:lineRule="auto"/>
        <w:ind w:firstLine="708"/>
        <w:jc w:val="both"/>
        <w:rPr>
          <w:rFonts w:ascii="Verdana" w:eastAsia="Calibri" w:hAnsi="Verdana" w:cs="Times New Roman"/>
          <w:lang w:val="es-ES" w:eastAsia="es-MX"/>
        </w:rPr>
      </w:pPr>
      <w:r w:rsidRPr="00FE66BB">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4966FB5D" w14:textId="77777777" w:rsidR="001C3C9B" w:rsidRPr="00FE66BB" w:rsidRDefault="001C3C9B" w:rsidP="001C3C9B">
      <w:pPr>
        <w:widowControl w:val="0"/>
        <w:autoSpaceDE w:val="0"/>
        <w:autoSpaceDN w:val="0"/>
        <w:spacing w:after="120" w:line="276" w:lineRule="auto"/>
        <w:ind w:firstLine="708"/>
        <w:jc w:val="both"/>
        <w:rPr>
          <w:rFonts w:ascii="Verdana" w:eastAsia="Calibri" w:hAnsi="Verdana" w:cs="Times New Roman"/>
          <w:lang w:val="es-ES" w:eastAsia="es-MX"/>
        </w:rPr>
      </w:pPr>
      <w:r w:rsidRPr="00FE66BB">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0EC5F15C" w14:textId="77777777" w:rsidR="001C3C9B" w:rsidRPr="00FE66BB" w:rsidRDefault="001C3C9B" w:rsidP="001C3C9B">
      <w:pPr>
        <w:widowControl w:val="0"/>
        <w:autoSpaceDE w:val="0"/>
        <w:autoSpaceDN w:val="0"/>
        <w:spacing w:after="0" w:line="276" w:lineRule="auto"/>
        <w:ind w:firstLine="708"/>
        <w:jc w:val="both"/>
        <w:rPr>
          <w:rFonts w:ascii="Verdana" w:eastAsia="Calibri" w:hAnsi="Verdana" w:cs="Times New Roman"/>
          <w:lang w:val="es-ES" w:eastAsia="es-MX"/>
        </w:rPr>
      </w:pPr>
      <w:r w:rsidRPr="00FE66BB">
        <w:rPr>
          <w:rFonts w:ascii="Verdana" w:eastAsia="Calibri" w:hAnsi="Verdana" w:cs="Times New Roman"/>
          <w:lang w:val="es-ES" w:eastAsia="es-MX"/>
        </w:rPr>
        <w:lastRenderedPageBreak/>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5AC91057" w14:textId="77777777" w:rsidR="001C3C9B" w:rsidRDefault="001C3C9B" w:rsidP="001C3C9B">
      <w:pPr>
        <w:widowControl w:val="0"/>
        <w:autoSpaceDE w:val="0"/>
        <w:autoSpaceDN w:val="0"/>
        <w:spacing w:after="0" w:line="276" w:lineRule="auto"/>
        <w:jc w:val="both"/>
        <w:rPr>
          <w:rFonts w:ascii="Verdana" w:eastAsia="Calibri" w:hAnsi="Verdana" w:cs="Times New Roman"/>
          <w:lang w:val="es-ES" w:eastAsia="es-MX"/>
        </w:rPr>
      </w:pPr>
    </w:p>
    <w:p w14:paraId="6E84C31A" w14:textId="507DD02B" w:rsidR="001C3C9B" w:rsidRPr="00FE66BB" w:rsidRDefault="001C3C9B" w:rsidP="001C3C9B">
      <w:pPr>
        <w:spacing w:after="0" w:line="276" w:lineRule="auto"/>
        <w:jc w:val="both"/>
        <w:rPr>
          <w:rFonts w:ascii="Verdana" w:eastAsia="Calibri" w:hAnsi="Verdana" w:cs="Times New Roman"/>
          <w:lang w:eastAsia="es-MX"/>
        </w:rPr>
      </w:pPr>
      <w:r>
        <w:rPr>
          <w:rFonts w:ascii="Verdana" w:eastAsia="Calibri" w:hAnsi="Verdana" w:cs="Times New Roman"/>
          <w:lang w:val="es-ES" w:eastAsia="es-MX"/>
        </w:rPr>
        <w:t xml:space="preserve">II). </w:t>
      </w:r>
      <w:r w:rsidRPr="00FE66BB">
        <w:rPr>
          <w:rFonts w:ascii="Verdana" w:eastAsia="Times New Roman" w:hAnsi="Verdana" w:cs="Times New Roman"/>
          <w:color w:val="000000"/>
          <w:lang w:eastAsia="es-CO"/>
        </w:rPr>
        <w:t>En los documentos tipo complementarios del sector Institucional, en la modalidad de licitación pública, selección abreviada de menor cuantía y mínima cuantía, en la Matriz 1 se encuentran los siguientes tipos de infraestructura:</w:t>
      </w:r>
      <w:r w:rsidRPr="00FE66BB">
        <w:rPr>
          <w:rFonts w:ascii="Verdana" w:eastAsia="Arial" w:hAnsi="Verdana" w:cs="Aptos"/>
          <w:lang w:eastAsia="es-ES"/>
        </w:rPr>
        <w:t xml:space="preserve"> “1)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FE66BB">
        <w:rPr>
          <w:rFonts w:ascii="Verdana" w:eastAsia="Times New Roman" w:hAnsi="Verdana" w:cs="Arial"/>
          <w:lang w:eastAsia="es-MX"/>
        </w:rPr>
        <w:t>.</w:t>
      </w:r>
      <w:r w:rsidRPr="00FE66BB">
        <w:rPr>
          <w:rFonts w:ascii="Verdana" w:eastAsia="Calibri" w:hAnsi="Verdana" w:cs="Times New Roman"/>
          <w:lang w:eastAsia="es-MX"/>
        </w:rPr>
        <w:t xml:space="preserve"> Particularmente, en relación con el </w:t>
      </w:r>
      <w:r w:rsidR="0074561E">
        <w:rPr>
          <w:rFonts w:ascii="Verdana" w:eastAsia="Calibri" w:hAnsi="Verdana" w:cs="Times New Roman"/>
          <w:lang w:eastAsia="es-MX"/>
        </w:rPr>
        <w:t>p</w:t>
      </w:r>
      <w:r w:rsidRPr="00FE66BB">
        <w:rPr>
          <w:rFonts w:ascii="Verdana" w:eastAsia="Calibri" w:hAnsi="Verdana" w:cs="Times New Roman"/>
          <w:lang w:eastAsia="es-MX"/>
        </w:rPr>
        <w:t>roblema jurídico planteado en este concepto, en el Capítulo dos (2) “</w:t>
      </w:r>
      <w:r w:rsidRPr="00FE66BB">
        <w:rPr>
          <w:rFonts w:ascii="Verdana" w:eastAsia="Arial" w:hAnsi="Verdana" w:cs="Aptos"/>
          <w:lang w:eastAsia="es-ES"/>
        </w:rPr>
        <w:t>Obras en proyectos de infraestructura institucional de servicio público”,</w:t>
      </w:r>
      <w:r w:rsidRPr="00FE66BB">
        <w:rPr>
          <w:rFonts w:ascii="Verdana" w:eastAsia="Calibri" w:hAnsi="Verdana" w:cs="Times New Roman"/>
          <w:lang w:eastAsia="es-MX"/>
        </w:rPr>
        <w:t xml:space="preserve"> se incluyen las siguientes actividades:  </w:t>
      </w:r>
    </w:p>
    <w:p w14:paraId="763DB30E" w14:textId="77777777" w:rsidR="001C3C9B" w:rsidRPr="00FE66BB" w:rsidRDefault="001C3C9B" w:rsidP="001C3C9B">
      <w:pPr>
        <w:spacing w:after="0" w:line="276" w:lineRule="auto"/>
        <w:ind w:firstLine="708"/>
        <w:jc w:val="both"/>
        <w:rPr>
          <w:rFonts w:ascii="Verdana" w:eastAsia="Calibri" w:hAnsi="Verdana" w:cs="Times New Roman"/>
          <w:lang w:eastAsia="es-MX"/>
        </w:rPr>
      </w:pPr>
    </w:p>
    <w:p w14:paraId="380B0E9B" w14:textId="77777777" w:rsidR="001C3C9B" w:rsidRPr="00FE66BB" w:rsidRDefault="001C3C9B" w:rsidP="001C3C9B">
      <w:pPr>
        <w:snapToGrid w:val="0"/>
        <w:spacing w:after="120" w:line="240" w:lineRule="auto"/>
        <w:ind w:left="709" w:right="709"/>
        <w:jc w:val="both"/>
        <w:rPr>
          <w:rFonts w:ascii="Verdana" w:eastAsia="Arial" w:hAnsi="Verdana" w:cs="Aptos"/>
          <w:i/>
          <w:iCs/>
          <w:sz w:val="21"/>
          <w:szCs w:val="21"/>
          <w:lang w:eastAsia="es-ES"/>
        </w:rPr>
      </w:pPr>
      <w:r w:rsidRPr="00FE66BB">
        <w:rPr>
          <w:rFonts w:ascii="Verdana" w:eastAsia="Calibri" w:hAnsi="Verdana" w:cs="Times New Roman"/>
          <w:sz w:val="21"/>
          <w:szCs w:val="21"/>
          <w:lang w:eastAsia="es-MX"/>
        </w:rPr>
        <w:t>“</w:t>
      </w:r>
      <w:r w:rsidRPr="00FE66BB">
        <w:rPr>
          <w:rFonts w:ascii="Verdana" w:eastAsia="Arial" w:hAnsi="Verdana" w:cs="Aptos"/>
          <w:i/>
          <w:iCs/>
          <w:sz w:val="21"/>
          <w:szCs w:val="21"/>
          <w:lang w:eastAsia="es-ES"/>
        </w:rPr>
        <w:t>2.2.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SERVICIO PÚBLICO.</w:t>
      </w:r>
    </w:p>
    <w:p w14:paraId="1B3C2727" w14:textId="77777777" w:rsidR="001C3C9B" w:rsidRPr="00FE66BB" w:rsidRDefault="001C3C9B" w:rsidP="001C3C9B">
      <w:pPr>
        <w:snapToGrid w:val="0"/>
        <w:spacing w:after="120" w:line="240" w:lineRule="auto"/>
        <w:ind w:left="709" w:right="709"/>
        <w:jc w:val="both"/>
        <w:rPr>
          <w:rFonts w:ascii="Verdana" w:eastAsia="Arial" w:hAnsi="Verdana" w:cs="Aptos"/>
          <w:i/>
          <w:iCs/>
          <w:sz w:val="21"/>
          <w:szCs w:val="21"/>
          <w:lang w:eastAsia="es-ES"/>
        </w:rPr>
      </w:pPr>
      <w:r w:rsidRPr="00FE66BB">
        <w:rPr>
          <w:rFonts w:ascii="Verdana" w:eastAsia="Arial" w:hAnsi="Verdana" w:cs="Aptos"/>
          <w:i/>
          <w:iCs/>
          <w:sz w:val="21"/>
          <w:szCs w:val="21"/>
          <w:lang w:eastAsia="es-ES"/>
        </w:rPr>
        <w:t xml:space="preserve">2.6. PROYECTOS DE CONSTRUCCIÓN Y/O AMPLIACIÓN Y/O RECONSTRUCCIÓN ADECUACIÓN Y/O CONSERVACIÓN Y/O INTERVENCIÓN Y/O INSTALACIÓN Y/O MANTENIMIENTO Y/O MEJORAMIENTO Y/O MODIFICACIÓN U OPTIMIZACIÓN Y/O REHABILITACIÓN Y/O REMODELACIÓN Y/O REPOSICIÓN Y/O REPARACIÓN LOCATIVA Y/O RESTAURACIÓN Y/O RESTITUCIÓN Y/O </w:t>
      </w:r>
      <w:r w:rsidRPr="00FE66BB">
        <w:rPr>
          <w:rFonts w:ascii="Verdana" w:eastAsia="Arial" w:hAnsi="Verdana" w:cs="Aptos"/>
          <w:i/>
          <w:iCs/>
          <w:sz w:val="21"/>
          <w:szCs w:val="21"/>
          <w:lang w:eastAsia="es-ES"/>
        </w:rPr>
        <w:lastRenderedPageBreak/>
        <w:t>TERMINACIÓN DE BATERÍAS SANITARIAS Y/O REDES HIDROSANITARIAS Y/O TANQUES DE ALMACENAMIENTO Y/O SISTEMAS DE BOMBEO Y/O REDES CONTRA INCENDIOS DE INFRAESTRUCTURA DE SERVICIO PÚBLICO.</w:t>
      </w:r>
    </w:p>
    <w:p w14:paraId="6DB6CAA6" w14:textId="77777777" w:rsidR="001C3C9B" w:rsidRPr="00FE66BB" w:rsidRDefault="001C3C9B" w:rsidP="001C3C9B">
      <w:pPr>
        <w:snapToGrid w:val="0"/>
        <w:spacing w:after="120" w:line="240" w:lineRule="auto"/>
        <w:ind w:left="709" w:right="709"/>
        <w:jc w:val="both"/>
        <w:rPr>
          <w:rFonts w:ascii="Verdana" w:eastAsia="Calibri" w:hAnsi="Verdana" w:cs="Times New Roman"/>
          <w:sz w:val="21"/>
          <w:szCs w:val="21"/>
          <w:lang w:eastAsia="es-MX"/>
        </w:rPr>
      </w:pPr>
      <w:r w:rsidRPr="00FE66BB">
        <w:rPr>
          <w:rFonts w:ascii="Verdana" w:eastAsia="Arial" w:hAnsi="Verdana" w:cs="Aptos"/>
          <w:i/>
          <w:iCs/>
          <w:sz w:val="21"/>
          <w:szCs w:val="21"/>
          <w:lang w:eastAsia="es-ES"/>
        </w:rPr>
        <w:t>2.9.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DE INFRAESTRUCTURA DE SERVICIO PÚBLICO</w:t>
      </w:r>
      <w:r w:rsidRPr="00FE66BB">
        <w:rPr>
          <w:rFonts w:ascii="Verdana" w:eastAsia="Calibri" w:hAnsi="Verdana" w:cs="Times New Roman"/>
          <w:sz w:val="21"/>
          <w:szCs w:val="21"/>
          <w:lang w:eastAsia="es-MX"/>
        </w:rPr>
        <w:t>.</w:t>
      </w:r>
    </w:p>
    <w:p w14:paraId="18892716" w14:textId="77777777" w:rsidR="001C3C9B" w:rsidRPr="00FE66BB" w:rsidRDefault="001C3C9B" w:rsidP="001C3C9B">
      <w:pPr>
        <w:snapToGrid w:val="0"/>
        <w:spacing w:after="120" w:line="240" w:lineRule="auto"/>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2.10. PROYECTOS DE CONSTRUCCIÓN Y/O HABILITACIÓN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ZONAS VERDES, Y/O ACTIVIDADES DE URBANISMO Y/O DE PAISAJISMO ASOCIADA A INFRAESTRUCTURA DE SERVICIO PUBLICO</w:t>
      </w:r>
    </w:p>
    <w:p w14:paraId="60AD364E" w14:textId="77777777" w:rsidR="001C3C9B" w:rsidRPr="00FE66BB" w:rsidRDefault="001C3C9B" w:rsidP="001C3C9B">
      <w:pPr>
        <w:snapToGrid w:val="0"/>
        <w:spacing w:after="120" w:line="240" w:lineRule="auto"/>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2.11. PROYECTOS DE SUMINISTRO Y/O INSTALACIÓN DE DOTACIÓN Y/O DE MOBILIARIO INTERNO O EXTERNO PARA INFRAESTRUCTURA DE SERVICIO PUBLICO</w:t>
      </w:r>
    </w:p>
    <w:p w14:paraId="70093AD4" w14:textId="77777777" w:rsidR="001C3C9B" w:rsidRPr="00FE66BB" w:rsidRDefault="001C3C9B" w:rsidP="001C3C9B">
      <w:pPr>
        <w:snapToGrid w:val="0"/>
        <w:spacing w:after="120" w:line="240" w:lineRule="auto"/>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2.12. PROYECTOS DE SUMINISTRO Y/O INSTALACION DE EQUIPOS ESPECIALES Y/O ELECTROMECÁNICOS Y/O ELECTRÓNICOS Y/O MAQUINARIA U OTROS TIPOS DE EQUIPOS PARA INFRAESTRUCTURA DE SERVICIO PUBLICO</w:t>
      </w:r>
    </w:p>
    <w:p w14:paraId="2D22D7D2" w14:textId="77777777" w:rsidR="001C3C9B" w:rsidRPr="00FE66BB" w:rsidRDefault="001C3C9B" w:rsidP="001C3C9B">
      <w:pPr>
        <w:snapToGrid w:val="0"/>
        <w:spacing w:after="120" w:line="240" w:lineRule="auto"/>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t>2.13.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VAPOR Y/O REDES DE GASES Y/O REDES DE GAS NATURAL Y/O SISTEMAS DE COCCIÓN DE INFRAESTRUCTURA INSTITUCIONAL - SERVICIO PÚBLICO</w:t>
      </w:r>
    </w:p>
    <w:p w14:paraId="2CBE500F" w14:textId="77777777" w:rsidR="001C3C9B" w:rsidRPr="00FE66BB" w:rsidRDefault="001C3C9B" w:rsidP="001C3C9B">
      <w:pPr>
        <w:snapToGrid w:val="0"/>
        <w:spacing w:after="120" w:line="240" w:lineRule="auto"/>
        <w:ind w:left="709" w:right="709"/>
        <w:jc w:val="both"/>
        <w:rPr>
          <w:rFonts w:ascii="Verdana" w:eastAsia="Arial" w:hAnsi="Verdana" w:cs="Aptos"/>
          <w:kern w:val="2"/>
          <w:sz w:val="21"/>
          <w:szCs w:val="21"/>
          <w:lang w:eastAsia="es-ES"/>
          <w14:ligatures w14:val="standardContextual"/>
        </w:rPr>
      </w:pPr>
      <w:r w:rsidRPr="00FE66BB">
        <w:rPr>
          <w:rFonts w:ascii="Verdana" w:eastAsia="Arial" w:hAnsi="Verdana" w:cs="Aptos"/>
          <w:kern w:val="2"/>
          <w:sz w:val="21"/>
          <w:szCs w:val="21"/>
          <w:lang w:eastAsia="es-ES"/>
          <w14:ligatures w14:val="standardContextual"/>
        </w:rPr>
        <w:lastRenderedPageBreak/>
        <w:t>2.14. PROYECTOS DE SUMINISTRO Y/O INSTALACIÓN DE SISTEMAS DE AIRES ACONDICIONADOS O SISTEMAS DE VENTILACIÓN O SIMILARES PARA INFRAESTRUCTURA DE SERVICIO PUBLICO”.</w:t>
      </w:r>
    </w:p>
    <w:p w14:paraId="1C120ED7" w14:textId="77777777" w:rsidR="001C3C9B" w:rsidRPr="00FE66BB" w:rsidRDefault="001C3C9B" w:rsidP="001C3C9B">
      <w:pPr>
        <w:spacing w:after="0" w:line="276" w:lineRule="auto"/>
        <w:ind w:firstLine="708"/>
        <w:jc w:val="both"/>
        <w:rPr>
          <w:rFonts w:ascii="Verdana" w:eastAsia="Calibri" w:hAnsi="Verdana" w:cs="Times New Roman"/>
          <w:lang w:eastAsia="es-MX"/>
        </w:rPr>
      </w:pPr>
    </w:p>
    <w:p w14:paraId="7BD01B34" w14:textId="77777777" w:rsidR="001C3C9B" w:rsidRPr="00FE66BB" w:rsidRDefault="001C3C9B" w:rsidP="001C3C9B">
      <w:pPr>
        <w:spacing w:after="120" w:line="276" w:lineRule="auto"/>
        <w:ind w:firstLine="708"/>
        <w:jc w:val="both"/>
        <w:rPr>
          <w:rFonts w:ascii="Verdana" w:eastAsia="Times New Roman" w:hAnsi="Verdana" w:cs="Aptos"/>
          <w:kern w:val="2"/>
          <w:lang w:eastAsia="es-MX"/>
          <w14:ligatures w14:val="standardContextual"/>
        </w:rPr>
      </w:pPr>
      <w:r w:rsidRPr="00FE66BB">
        <w:rPr>
          <w:rFonts w:ascii="Verdana" w:eastAsia="Times New Roman" w:hAnsi="Verdana" w:cs="Aptos"/>
          <w:kern w:val="2"/>
          <w:lang w:eastAsia="es-MX"/>
          <w14:ligatures w14:val="standardContextual"/>
        </w:rPr>
        <w:t xml:space="preserve">Las actividades señaladas, contenidas el capítulo 2 “Obras en proyectos de infraestructura institucional de servicio público” de los documentos tipo del sector institucional, de manera general corresponden entre otras, a las siguientes: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y/o suministro y/o instalación y/o dotación de mobiliario interno y externo; y/o suministro y/o instalación de equipos especiales y/o electromecánicos y/o electrónicos y/o maquinaria; y/o suministro y/o instalación de sistemas de aires acondicionados o sistemas de ventilación o similares; todos estos proyectos sobre </w:t>
      </w:r>
      <w:r w:rsidRPr="00FE66BB">
        <w:rPr>
          <w:rFonts w:ascii="Verdana" w:eastAsia="Arial" w:hAnsi="Verdana" w:cs="Aptos"/>
          <w:i/>
          <w:iCs/>
          <w:kern w:val="2"/>
          <w:lang w:eastAsia="es-ES"/>
          <w14:ligatures w14:val="standardContextual"/>
        </w:rPr>
        <w:t>infraestructura de servicio público</w:t>
      </w:r>
      <w:r w:rsidRPr="00FE66BB">
        <w:rPr>
          <w:rFonts w:ascii="Verdana" w:eastAsia="Times New Roman" w:hAnsi="Verdana" w:cs="Aptos"/>
          <w:kern w:val="2"/>
          <w:lang w:eastAsia="es-MX"/>
          <w14:ligatures w14:val="standardContextual"/>
        </w:rPr>
        <w:t>.</w:t>
      </w:r>
    </w:p>
    <w:p w14:paraId="79B09691" w14:textId="77777777" w:rsidR="001C3C9B" w:rsidRPr="00FE66BB" w:rsidRDefault="001C3C9B" w:rsidP="001C3C9B">
      <w:pPr>
        <w:spacing w:after="120" w:line="276" w:lineRule="auto"/>
        <w:ind w:firstLine="708"/>
        <w:jc w:val="both"/>
        <w:rPr>
          <w:rFonts w:ascii="Verdana" w:eastAsia="Times New Roman" w:hAnsi="Verdana" w:cs="Aptos"/>
          <w:kern w:val="2"/>
          <w:lang w:eastAsia="es-MX"/>
          <w14:ligatures w14:val="standardContextual"/>
        </w:rPr>
      </w:pPr>
      <w:r w:rsidRPr="00FE66BB">
        <w:rPr>
          <w:rFonts w:ascii="Verdana" w:eastAsia="Times New Roman" w:hAnsi="Verdana" w:cs="Aptos"/>
          <w:kern w:val="2"/>
          <w:lang w:eastAsia="es-MX"/>
          <w14:ligatures w14:val="standardContextual"/>
        </w:rPr>
        <w:t>Para interpretar el alcance del tipo de infraestructura de servicio público, se debe tener en cuenta la nota general 1 de la Matriz 1– Experiencia del Sector Institucional, en las distintas modalidades de los documentos tipo adoptados por esta Agencia. En esta se indica que “(l)as definiciones contenidas en esta Matriz deben enmarcarse en la normativa vigente en la materia, así como en la NSR 10 o aquellas que los modifiquen, adicionen o sustituyan, así como a las definiciones contenidas en el "Anexo - Glosario del Sector Social””.</w:t>
      </w:r>
    </w:p>
    <w:p w14:paraId="068D4279" w14:textId="77777777" w:rsidR="001C3C9B" w:rsidRPr="00FE66BB" w:rsidRDefault="001C3C9B" w:rsidP="001C3C9B">
      <w:pPr>
        <w:spacing w:after="120" w:line="276" w:lineRule="auto"/>
        <w:ind w:firstLine="708"/>
        <w:jc w:val="both"/>
        <w:rPr>
          <w:rFonts w:ascii="Verdana" w:eastAsia="Times New Roman" w:hAnsi="Verdana" w:cs="Aptos"/>
          <w:kern w:val="2"/>
          <w:lang w:eastAsia="es-MX"/>
          <w14:ligatures w14:val="standardContextual"/>
        </w:rPr>
      </w:pPr>
      <w:r w:rsidRPr="00FE66BB">
        <w:rPr>
          <w:rFonts w:ascii="Verdana" w:eastAsia="Times New Roman" w:hAnsi="Verdana" w:cs="Aptos"/>
          <w:kern w:val="2"/>
          <w:lang w:eastAsia="es-MX"/>
          <w14:ligatures w14:val="standardContextual"/>
        </w:rPr>
        <w:t>La nota general 1 contenida en la Matriz 1 – Experiencia de los Documentos Tipo indicados, es congruente con el numeral 1.10 del documento base que dispone que “[p]ara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743BD0EE" w14:textId="77777777" w:rsidR="001C3C9B" w:rsidRPr="00FE66BB" w:rsidRDefault="001C3C9B" w:rsidP="001C3C9B">
      <w:pPr>
        <w:spacing w:after="120" w:line="276" w:lineRule="auto"/>
        <w:ind w:firstLine="708"/>
        <w:jc w:val="both"/>
        <w:rPr>
          <w:rFonts w:ascii="Verdana" w:eastAsia="Calibri" w:hAnsi="Verdana" w:cs="Arial"/>
          <w:color w:val="0D0D0D"/>
          <w:lang w:eastAsia="es-MX"/>
        </w:rPr>
      </w:pPr>
      <w:r w:rsidRPr="00FE66BB">
        <w:rPr>
          <w:rFonts w:ascii="Verdana" w:eastAsia="Calibri" w:hAnsi="Verdana" w:cs="Arial"/>
          <w:lang w:val="es-ES_tradnl" w:eastAsia="es-MX"/>
        </w:rPr>
        <w:t xml:space="preserve">Ahora bien, como se precisó las actividades señaladas recaen sobre </w:t>
      </w:r>
      <w:r w:rsidRPr="00FE66BB">
        <w:rPr>
          <w:rFonts w:ascii="Verdana" w:eastAsia="Times New Roman" w:hAnsi="Verdana" w:cs="Calibri"/>
          <w:lang w:eastAsia="es-MX"/>
        </w:rPr>
        <w:t xml:space="preserve">obras en proyectos de infraestructura institucional de servicio público. De esta forma, para determinar qué abarca este tipo de infraestructura, debe indicarse que, de </w:t>
      </w:r>
      <w:r w:rsidRPr="00FE66BB">
        <w:rPr>
          <w:rFonts w:ascii="Verdana" w:eastAsia="Times New Roman" w:hAnsi="Verdana" w:cs="Calibri"/>
          <w:lang w:eastAsia="es-MX"/>
        </w:rPr>
        <w:lastRenderedPageBreak/>
        <w:t xml:space="preserve">conformidad con la norma </w:t>
      </w:r>
      <w:r w:rsidRPr="00FE66BB">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w:t>
      </w:r>
      <w:r w:rsidRPr="00FE66BB">
        <w:rPr>
          <w:rFonts w:ascii="Verdana" w:eastAsia="Calibri" w:hAnsi="Verdana" w:cs="Arial"/>
          <w:color w:val="0D0D0D"/>
          <w:vertAlign w:val="superscript"/>
          <w:lang w:eastAsia="es-MX"/>
        </w:rPr>
        <w:footnoteReference w:id="2"/>
      </w:r>
      <w:r w:rsidRPr="00FE66BB">
        <w:rPr>
          <w:rFonts w:ascii="Verdana" w:eastAsia="Calibri" w:hAnsi="Verdana" w:cs="Arial"/>
          <w:color w:val="0D0D0D"/>
          <w:lang w:eastAsia="es-MX"/>
        </w:rPr>
        <w:t>. Entre las edificaciones o espacios que pertenecen a este Subgrupo se encuentran las siguientes: “Centros de comunicación o administrativos o administrativos de servicios municipales, distritales o gubernamentales, juzgados y otros similares”</w:t>
      </w:r>
      <w:r w:rsidRPr="00FE66BB">
        <w:rPr>
          <w:rFonts w:ascii="Verdana" w:eastAsia="Calibri" w:hAnsi="Verdana" w:cs="Arial"/>
          <w:color w:val="0D0D0D"/>
          <w:vertAlign w:val="superscript"/>
          <w:lang w:eastAsia="es-MX"/>
        </w:rPr>
        <w:footnoteReference w:id="3"/>
      </w:r>
      <w:r w:rsidRPr="00FE66BB">
        <w:rPr>
          <w:rFonts w:ascii="Verdana" w:eastAsia="Calibri" w:hAnsi="Verdana" w:cs="Arial"/>
          <w:color w:val="0D0D0D"/>
          <w:lang w:eastAsia="es-MX"/>
        </w:rPr>
        <w:t>.</w:t>
      </w:r>
    </w:p>
    <w:p w14:paraId="35CB2469" w14:textId="77777777" w:rsidR="001C3C9B" w:rsidRPr="00FE66BB" w:rsidRDefault="001C3C9B" w:rsidP="001C3C9B">
      <w:pPr>
        <w:spacing w:after="120" w:line="276" w:lineRule="auto"/>
        <w:ind w:firstLine="708"/>
        <w:jc w:val="both"/>
        <w:rPr>
          <w:rFonts w:ascii="Verdana" w:eastAsia="Calibri" w:hAnsi="Verdana" w:cs="Arial"/>
          <w:color w:val="0D0D0D"/>
          <w:lang w:eastAsia="es-MX"/>
        </w:rPr>
      </w:pPr>
      <w:r w:rsidRPr="00FE66BB">
        <w:rPr>
          <w:rFonts w:ascii="Verdana" w:eastAsia="Calibri" w:hAnsi="Verdana" w:cs="Arial"/>
          <w:color w:val="0D0D0D"/>
          <w:lang w:eastAsia="es-MX"/>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w:t>
      </w:r>
      <w:proofErr w:type="gramStart"/>
      <w:r w:rsidRPr="00FE66BB">
        <w:rPr>
          <w:rFonts w:ascii="Verdana" w:eastAsia="Calibri" w:hAnsi="Verdana" w:cs="Arial"/>
          <w:color w:val="0D0D0D"/>
          <w:lang w:eastAsia="es-MX"/>
        </w:rPr>
        <w:t>que</w:t>
      </w:r>
      <w:proofErr w:type="gramEnd"/>
      <w:r w:rsidRPr="00FE66BB">
        <w:rPr>
          <w:rFonts w:ascii="Verdana" w:eastAsia="Calibri" w:hAnsi="Verdana" w:cs="Arial"/>
          <w:color w:val="0D0D0D"/>
          <w:lang w:eastAsia="es-MX"/>
        </w:rPr>
        <w:t xml:space="preserve"> por su naturaleza y finalidad, están orientadas a la prestación de servicios públicos y al desarrollo de funciones institucionales del Estado.  </w:t>
      </w:r>
    </w:p>
    <w:p w14:paraId="4D40A3FD" w14:textId="77777777" w:rsidR="001C3C9B" w:rsidRPr="00FE66BB" w:rsidRDefault="001C3C9B" w:rsidP="001C3C9B">
      <w:pPr>
        <w:spacing w:after="120" w:line="276" w:lineRule="auto"/>
        <w:ind w:firstLine="708"/>
        <w:jc w:val="both"/>
        <w:rPr>
          <w:rFonts w:ascii="Verdana" w:eastAsia="Calibri" w:hAnsi="Verdana" w:cs="Arial"/>
          <w:color w:val="000000"/>
          <w:lang w:eastAsia="es-MX"/>
        </w:rPr>
      </w:pPr>
      <w:r w:rsidRPr="00FE66BB">
        <w:rPr>
          <w:rFonts w:ascii="Verdana" w:eastAsia="Calibri" w:hAnsi="Verdana" w:cs="Arial"/>
          <w:color w:val="000000"/>
          <w:lang w:eastAsia="es-MX"/>
        </w:rPr>
        <w:t>De acuerdo con la definición del Subgrupo de Ocupación Institucional y las edificaciones que este comprende, dentro de este se encuentran las edificaciones institucionales judiciales, entendidas estas como el lugar físico –edificio, sedes u oficinas– destinados al funcionamiento de los órganos que integran la administración de justicia, tales como tribunales, juzgados, fiscalías y demás entidades que cumplen funciones relacionadas con la actividad judicial y de apoyo a esta</w:t>
      </w:r>
      <w:r w:rsidRPr="00FE66BB">
        <w:rPr>
          <w:rFonts w:ascii="Verdana" w:eastAsia="Calibri" w:hAnsi="Verdana" w:cs="Arial"/>
          <w:color w:val="000000"/>
          <w:vertAlign w:val="superscript"/>
          <w:lang w:eastAsia="es-MX"/>
        </w:rPr>
        <w:footnoteReference w:id="4"/>
      </w:r>
      <w:r w:rsidRPr="00FE66BB">
        <w:rPr>
          <w:rFonts w:ascii="Verdana" w:eastAsia="Calibri" w:hAnsi="Verdana" w:cs="Arial"/>
          <w:color w:val="000000"/>
          <w:lang w:eastAsia="es-MX"/>
        </w:rPr>
        <w:t xml:space="preserve">. </w:t>
      </w:r>
    </w:p>
    <w:p w14:paraId="43E00491" w14:textId="77777777" w:rsidR="001C3C9B" w:rsidRPr="00FE66BB" w:rsidRDefault="001C3C9B" w:rsidP="001C3C9B">
      <w:pPr>
        <w:spacing w:after="120" w:line="278" w:lineRule="auto"/>
        <w:ind w:firstLine="708"/>
        <w:jc w:val="both"/>
        <w:rPr>
          <w:rFonts w:ascii="Verdana" w:eastAsia="Calibri" w:hAnsi="Verdana" w:cs="Arial"/>
          <w:color w:val="000000"/>
          <w:lang w:eastAsia="es-MX"/>
        </w:rPr>
      </w:pPr>
      <w:r w:rsidRPr="00FE66BB">
        <w:rPr>
          <w:rFonts w:ascii="Verdana" w:eastAsia="Calibri" w:hAnsi="Verdana" w:cs="Arial"/>
          <w:color w:val="000000"/>
          <w:lang w:eastAsia="es-MX"/>
        </w:rPr>
        <w:t>Considerando que el Instituto Nacional de Medicina Legal y Ciencias Forenses pertenece a la Rama Judicial y se encuentra adscrito a la Fiscalía General de la Nación</w:t>
      </w:r>
      <w:r w:rsidRPr="00FE66BB">
        <w:rPr>
          <w:rFonts w:ascii="Verdana" w:eastAsia="Calibri" w:hAnsi="Verdana" w:cs="Arial"/>
          <w:color w:val="000000"/>
          <w:vertAlign w:val="superscript"/>
          <w:lang w:eastAsia="es-MX"/>
        </w:rPr>
        <w:footnoteReference w:id="5"/>
      </w:r>
      <w:r w:rsidRPr="00FE66BB">
        <w:rPr>
          <w:rFonts w:ascii="Verdana" w:eastAsia="Calibri" w:hAnsi="Verdana" w:cs="Arial"/>
          <w:color w:val="000000"/>
          <w:lang w:eastAsia="es-MX"/>
        </w:rPr>
        <w:t xml:space="preserve">, y que su </w:t>
      </w:r>
      <w:r w:rsidRPr="00FE66BB">
        <w:rPr>
          <w:rFonts w:ascii="Verdana" w:eastAsia="Calibri" w:hAnsi="Verdana" w:cs="Arial"/>
          <w:i/>
          <w:iCs/>
          <w:color w:val="000000"/>
          <w:lang w:eastAsia="es-MX"/>
        </w:rPr>
        <w:t>“(…) misión</w:t>
      </w:r>
      <w:r w:rsidRPr="00FE66BB">
        <w:rPr>
          <w:rFonts w:ascii="Verdana" w:eastAsia="Aptos" w:hAnsi="Verdana" w:cs="Times New Roman"/>
          <w:i/>
          <w:iCs/>
          <w:color w:val="000000"/>
          <w:kern w:val="2"/>
          <w:shd w:val="clear" w:color="auto" w:fill="FFFFFF"/>
          <w14:ligatures w14:val="standardContextual"/>
        </w:rPr>
        <w:t xml:space="preserve"> fundamental (…) es prestar auxilio </w:t>
      </w:r>
      <w:r w:rsidRPr="00FE66BB">
        <w:rPr>
          <w:rFonts w:ascii="Verdana" w:eastAsia="Aptos" w:hAnsi="Verdana" w:cs="Times New Roman"/>
          <w:i/>
          <w:iCs/>
          <w:color w:val="000000"/>
          <w:kern w:val="2"/>
          <w:shd w:val="clear" w:color="auto" w:fill="FFFFFF"/>
          <w14:ligatures w14:val="standardContextual"/>
        </w:rPr>
        <w:lastRenderedPageBreak/>
        <w:t>y soporte científico y técnico a la administración de justicia en todo el territorio nacional, en lo concerniente a medicina legal y las ciencias forenses”</w:t>
      </w:r>
      <w:r w:rsidRPr="00FE66BB">
        <w:rPr>
          <w:rFonts w:ascii="Verdana" w:eastAsia="Calibri" w:hAnsi="Verdana" w:cs="Arial"/>
          <w:i/>
          <w:iCs/>
          <w:color w:val="000000"/>
          <w:vertAlign w:val="superscript"/>
          <w:lang w:eastAsia="es-MX"/>
        </w:rPr>
        <w:footnoteReference w:id="6"/>
      </w:r>
      <w:r w:rsidRPr="00FE66BB">
        <w:rPr>
          <w:rFonts w:ascii="Verdana" w:eastAsia="Calibri" w:hAnsi="Verdana" w:cs="Arial"/>
          <w:i/>
          <w:iCs/>
          <w:color w:val="000000"/>
          <w:lang w:eastAsia="es-MX"/>
        </w:rPr>
        <w:t>;</w:t>
      </w:r>
      <w:r w:rsidRPr="00FE66BB">
        <w:rPr>
          <w:rFonts w:ascii="Verdana" w:eastAsia="Calibri" w:hAnsi="Verdana" w:cs="Arial"/>
          <w:color w:val="000000"/>
          <w:lang w:eastAsia="es-MX"/>
        </w:rPr>
        <w:t xml:space="preserve"> bajo este contexto, las actividades desarrolladas por el Instituto revisten la naturaleza de un servicio asociado a la administración de justicia, en la medida en que realiza labores médico-legales, periciales, científicas, </w:t>
      </w:r>
      <w:proofErr w:type="spellStart"/>
      <w:r w:rsidRPr="00FE66BB">
        <w:rPr>
          <w:rFonts w:ascii="Verdana" w:eastAsia="Calibri" w:hAnsi="Verdana" w:cs="Arial"/>
          <w:color w:val="000000"/>
          <w:lang w:eastAsia="es-MX"/>
        </w:rPr>
        <w:t>extra-periciales</w:t>
      </w:r>
      <w:proofErr w:type="spellEnd"/>
      <w:r w:rsidRPr="00FE66BB">
        <w:rPr>
          <w:rFonts w:ascii="Verdana" w:eastAsia="Calibri" w:hAnsi="Verdana" w:cs="Arial"/>
          <w:color w:val="000000"/>
          <w:lang w:eastAsia="es-MX"/>
        </w:rPr>
        <w:t>, entre otras, requeridas por los jueces, fiscales, policía judicial, defensoría pública y demás autoridades competentes en todo el territorio nacional</w:t>
      </w:r>
      <w:r w:rsidRPr="00FE66BB">
        <w:rPr>
          <w:rFonts w:ascii="Verdana" w:eastAsia="Aptos" w:hAnsi="Verdana" w:cs="Times New Roman"/>
          <w:kern w:val="2"/>
          <w:sz w:val="24"/>
          <w:szCs w:val="24"/>
          <w:vertAlign w:val="superscript"/>
          <w14:ligatures w14:val="standardContextual"/>
        </w:rPr>
        <w:footnoteReference w:id="7"/>
      </w:r>
      <w:r w:rsidRPr="00FE66BB">
        <w:rPr>
          <w:rFonts w:ascii="Verdana" w:eastAsia="Calibri" w:hAnsi="Verdana" w:cs="Arial"/>
          <w:color w:val="000000"/>
          <w:lang w:eastAsia="es-MX"/>
        </w:rPr>
        <w:t xml:space="preserve">. </w:t>
      </w:r>
    </w:p>
    <w:p w14:paraId="041BF87C" w14:textId="77777777" w:rsidR="001C3C9B" w:rsidRPr="00FE66BB" w:rsidRDefault="001C3C9B" w:rsidP="001C3C9B">
      <w:pPr>
        <w:spacing w:after="120" w:line="276" w:lineRule="auto"/>
        <w:ind w:firstLine="708"/>
        <w:jc w:val="both"/>
        <w:rPr>
          <w:rFonts w:ascii="Verdana" w:eastAsia="Calibri" w:hAnsi="Verdana" w:cs="Arial"/>
          <w:color w:val="000000"/>
          <w:lang w:eastAsia="es-MX"/>
        </w:rPr>
      </w:pPr>
      <w:r w:rsidRPr="00FE66BB">
        <w:rPr>
          <w:rFonts w:ascii="Verdana" w:eastAsia="Calibri" w:hAnsi="Verdana" w:cs="Arial"/>
          <w:color w:val="000000"/>
          <w:lang w:eastAsia="es-MX"/>
        </w:rPr>
        <w:t>Considerando la naturaleza jurídica, funcional y misional del Instituto Nacional de Medicina Legal y Ciencias Forenses, así como el uso y la destinación de sus edificaciones, orientadas al ejercicio de funciones asociadas al auxilio y soporte científico y técnico a la administración de justicia, estas deben clasificarse dentro del Subgrupo de Ocupación Institucional de Servicio Público. En consecuencia, les resultan aplicables los documentos tipo del sector institucional, particularmente las actividades contenidas en el capítulo 2 “Obras en proyectos de infraestructura institucional de servicio público”.</w:t>
      </w:r>
    </w:p>
    <w:p w14:paraId="40185D4D" w14:textId="77777777" w:rsidR="001C3C9B" w:rsidRPr="00FE66BB" w:rsidRDefault="001C3C9B" w:rsidP="001C3C9B">
      <w:pPr>
        <w:spacing w:after="120" w:line="276" w:lineRule="auto"/>
        <w:ind w:firstLine="708"/>
        <w:jc w:val="both"/>
        <w:rPr>
          <w:rFonts w:ascii="Verdana" w:eastAsia="Aptos" w:hAnsi="Verdana" w:cs="Aptos"/>
          <w:kern w:val="2"/>
          <w14:ligatures w14:val="standardContextual"/>
        </w:rPr>
      </w:pPr>
      <w:r w:rsidRPr="00FE66BB">
        <w:rPr>
          <w:rFonts w:ascii="Verdana" w:eastAsia="Calibri" w:hAnsi="Verdana" w:cs="Arial"/>
          <w:color w:val="000000"/>
          <w:lang w:eastAsia="es-MX"/>
        </w:rPr>
        <w:t>Ahora bien, aclarado que los documentos tipo del sector institucional,</w:t>
      </w:r>
      <w:r w:rsidRPr="00FE66BB">
        <w:rPr>
          <w:rFonts w:ascii="Verdana" w:eastAsia="Aptos" w:hAnsi="Verdana" w:cs="Aptos"/>
          <w:kern w:val="2"/>
          <w14:ligatures w14:val="standardContextual"/>
        </w:rPr>
        <w:t xml:space="preserve"> específicamente los del capítulo 2 “Obras en proyectos de infraestructura institucional de servicio público”, resultan aplicables a las actividades que adelante el Instituto Nacional de Medicina Legal y Ciencias Forenses sobre sus sedes, conviene referirse puntualmente al segundo problema jurídico planteado en este concepto, en el cual se indaga si resulta obligatoria la aplicación de los pliegos tipo en procesos cuyo objeto corresponda a la construcción de sedes de dicha entidad que incluyan componentes especializados, tales como morgues, laboratorios forenses, salas de atención al público, áreas administrativas y zonas comunes.</w:t>
      </w:r>
    </w:p>
    <w:p w14:paraId="01C02BEB" w14:textId="77777777" w:rsidR="001C3C9B" w:rsidRPr="00FE66BB" w:rsidRDefault="001C3C9B" w:rsidP="001C3C9B">
      <w:pPr>
        <w:spacing w:after="120" w:line="278" w:lineRule="auto"/>
        <w:ind w:firstLine="708"/>
        <w:jc w:val="both"/>
        <w:rPr>
          <w:rFonts w:ascii="Verdana" w:eastAsia="Aptos" w:hAnsi="Verdana" w:cs="Aptos"/>
          <w:kern w:val="2"/>
          <w14:ligatures w14:val="standardContextual"/>
        </w:rPr>
      </w:pPr>
      <w:r w:rsidRPr="00FE66BB">
        <w:rPr>
          <w:rFonts w:ascii="Verdana" w:eastAsia="Aptos" w:hAnsi="Verdana" w:cs="Aptos"/>
          <w:kern w:val="2"/>
          <w14:ligatures w14:val="standardContextual"/>
        </w:rPr>
        <w:t xml:space="preserve">Sobre el particular, la </w:t>
      </w:r>
      <w:r w:rsidRPr="00356C7C">
        <w:rPr>
          <w:rFonts w:ascii="Verdana" w:eastAsia="Aptos" w:hAnsi="Verdana" w:cs="Aptos"/>
          <w:kern w:val="2"/>
          <w14:ligatures w14:val="standardContextual"/>
        </w:rPr>
        <w:t>Agencia Nacional de Contratación Pública – Colombia Compra Eficiente</w:t>
      </w:r>
      <w:r w:rsidRPr="00FE66BB">
        <w:rPr>
          <w:rFonts w:ascii="Verdana" w:eastAsia="Aptos" w:hAnsi="Verdana" w:cs="Aptos"/>
          <w:kern w:val="2"/>
          <w14:ligatures w14:val="standardContextual"/>
        </w:rPr>
        <w:t xml:space="preserve"> le informa que, para efectos de la construcción de las sedes del </w:t>
      </w:r>
      <w:r w:rsidRPr="00356C7C">
        <w:rPr>
          <w:rFonts w:ascii="Verdana" w:eastAsia="Aptos" w:hAnsi="Verdana" w:cs="Aptos"/>
          <w:kern w:val="2"/>
          <w14:ligatures w14:val="standardContextual"/>
        </w:rPr>
        <w:t>Instituto Nacional de Medicina Legal y Ciencias Forenses</w:t>
      </w:r>
      <w:r w:rsidRPr="00FE66BB">
        <w:rPr>
          <w:rFonts w:ascii="Verdana" w:eastAsia="Aptos" w:hAnsi="Verdana" w:cs="Aptos"/>
          <w:kern w:val="2"/>
          <w14:ligatures w14:val="standardContextual"/>
        </w:rPr>
        <w:t xml:space="preserve">, debe aplicarse la actividad 2.1 contenida en el capítulo 2 “Obras en proyectos de infraestructura institucional de servicio público” de la Matriz 1 – Experiencia del Sector </w:t>
      </w:r>
      <w:r w:rsidRPr="00FE66BB">
        <w:rPr>
          <w:rFonts w:ascii="Verdana" w:eastAsia="Aptos" w:hAnsi="Verdana" w:cs="Aptos"/>
          <w:kern w:val="2"/>
          <w14:ligatures w14:val="standardContextual"/>
        </w:rPr>
        <w:lastRenderedPageBreak/>
        <w:t xml:space="preserve">Institucional, considerando que esta corresponde a “PROYECTOS DE CONSTRUCCIÓN Y/O AMPLIACIÓN Y/O RECONSTRUCCIÓN DE INFRAESTRUCTURA DE SERVICIO PUBLICO”. </w:t>
      </w:r>
    </w:p>
    <w:p w14:paraId="44617AC9" w14:textId="77777777" w:rsidR="001C3C9B" w:rsidRPr="00FE66BB" w:rsidRDefault="001C3C9B" w:rsidP="001C3C9B">
      <w:pPr>
        <w:spacing w:after="120" w:line="276" w:lineRule="auto"/>
        <w:ind w:firstLine="708"/>
        <w:jc w:val="both"/>
        <w:rPr>
          <w:rFonts w:ascii="Verdana" w:eastAsia="Aptos" w:hAnsi="Verdana" w:cs="Aptos"/>
          <w:kern w:val="2"/>
          <w14:ligatures w14:val="standardContextual"/>
        </w:rPr>
      </w:pPr>
      <w:r w:rsidRPr="00FE66BB">
        <w:rPr>
          <w:rFonts w:ascii="Verdana" w:eastAsia="Aptos" w:hAnsi="Verdana" w:cs="Aptos"/>
          <w:kern w:val="2"/>
          <w14:ligatures w14:val="standardContextual"/>
        </w:rPr>
        <w:t xml:space="preserve">En ese sentido, la construcción de infraestructura de servicio público que, para este caso, comprende las sedes del Instituto Nacional de Medicina Legal y Ciencias Forenses, deberá adelantarse bajo la actividad anteriormente señalada. En consecuencia, todos los espacios que integren la edificación, tales como áreas administrativas, salas de atención, laboratorios forenses, morgues y demás dependencias requeridas para el cumplimiento de sus funciones institucionales, deberán contratarse bajo la referida actividad. Esto, en consideración a que la incorporación de componentes técnicos o especializados dentro de la infraestructura no modifica la naturaleza principal del proyecto ni desvirtúa su clasificación como infraestructura institucional de servicio público. Por el contrario, dichos espacios constituyen áreas funcionales necesarias para el desarrollo de las funciones misionales del Instituto, relacionadas con el apoyo técnico-científico a la administración de justicia, razón por la cual hacen parte integral de una edificación institucional de carácter judicial y no de otro tipo de infraestructura. </w:t>
      </w:r>
    </w:p>
    <w:p w14:paraId="6AB05580" w14:textId="77777777" w:rsidR="001C3C9B" w:rsidRPr="00FE66BB" w:rsidRDefault="001C3C9B" w:rsidP="001C3C9B">
      <w:pPr>
        <w:spacing w:after="0" w:line="278" w:lineRule="auto"/>
        <w:ind w:firstLine="708"/>
        <w:jc w:val="both"/>
        <w:rPr>
          <w:rFonts w:ascii="Verdana" w:eastAsia="Calibri" w:hAnsi="Verdana" w:cs="Arial"/>
          <w:bCs/>
          <w:color w:val="000000"/>
          <w:kern w:val="2"/>
          <w14:ligatures w14:val="standardContextual"/>
        </w:rPr>
      </w:pPr>
      <w:r w:rsidRPr="00FE66BB">
        <w:rPr>
          <w:rFonts w:ascii="Verdana" w:eastAsia="Aptos" w:hAnsi="Verdana" w:cs="Aptos"/>
          <w:kern w:val="2"/>
          <w14:ligatures w14:val="standardContextual"/>
        </w:rPr>
        <w:t>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w:t>
      </w:r>
      <w:r w:rsidRPr="00FE66BB">
        <w:rPr>
          <w:rFonts w:ascii="Verdana" w:eastAsia="Times New Roman" w:hAnsi="Verdana" w:cs="Arial"/>
          <w:kern w:val="2"/>
          <w:shd w:val="clear" w:color="auto" w:fill="FFFFFF"/>
          <w:lang w:val="es-ES_tradnl" w:eastAsia="es-ES_tradnl"/>
          <w14:ligatures w14:val="standardContextual"/>
        </w:rPr>
        <w:t xml:space="preserve"> </w:t>
      </w:r>
      <w:r w:rsidRPr="00FE66BB">
        <w:rPr>
          <w:rFonts w:ascii="Verdana" w:eastAsia="Calibri" w:hAnsi="Verdana" w:cs="Arial"/>
          <w:bCs/>
          <w:color w:val="000000"/>
          <w:kern w:val="2"/>
          <w14:ligatures w14:val="standardContextual"/>
        </w:rPr>
        <w:t xml:space="preserve"> </w:t>
      </w:r>
    </w:p>
    <w:p w14:paraId="09CCF03C" w14:textId="77777777" w:rsidR="001C3C9B" w:rsidRPr="00FE66BB" w:rsidRDefault="001C3C9B" w:rsidP="001C3C9B">
      <w:pPr>
        <w:spacing w:after="0" w:line="278" w:lineRule="auto"/>
        <w:ind w:firstLine="708"/>
        <w:jc w:val="both"/>
        <w:rPr>
          <w:rFonts w:ascii="Verdana" w:eastAsia="Calibri" w:hAnsi="Verdana" w:cs="Arial"/>
          <w:bCs/>
          <w:color w:val="000000"/>
          <w:kern w:val="2"/>
          <w14:ligatures w14:val="standardContextual"/>
        </w:rPr>
      </w:pPr>
    </w:p>
    <w:p w14:paraId="1628F462" w14:textId="77777777" w:rsidR="001C3C9B" w:rsidRPr="00FE66BB" w:rsidRDefault="001C3C9B" w:rsidP="001C3C9B">
      <w:pPr>
        <w:spacing w:after="120" w:line="276" w:lineRule="auto"/>
        <w:jc w:val="both"/>
        <w:rPr>
          <w:rFonts w:ascii="Verdana" w:eastAsia="Times New Roman" w:hAnsi="Verdana" w:cs="Times New Roman"/>
          <w:lang w:eastAsia="es-MX"/>
        </w:rPr>
      </w:pPr>
      <w:r>
        <w:rPr>
          <w:rFonts w:ascii="Verdana" w:eastAsia="Calibri" w:hAnsi="Verdana" w:cs="Times New Roman"/>
          <w:lang w:eastAsia="es-MX"/>
        </w:rPr>
        <w:t xml:space="preserve">III). </w:t>
      </w:r>
      <w:r w:rsidRPr="00FE66BB">
        <w:rPr>
          <w:rFonts w:ascii="Verdana" w:eastAsia="Calibri" w:hAnsi="Verdana" w:cs="Arial"/>
          <w:bCs/>
          <w:color w:val="000000"/>
          <w:lang w:eastAsia="es-MX"/>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w:t>
      </w:r>
      <w:r w:rsidRPr="00FE66BB">
        <w:rPr>
          <w:rFonts w:ascii="Verdana" w:eastAsia="Calibri" w:hAnsi="Verdana" w:cs="Arial"/>
          <w:bCs/>
          <w:color w:val="000000"/>
          <w:lang w:eastAsia="es-MX"/>
        </w:rPr>
        <w:lastRenderedPageBreak/>
        <w:t>de situaciones particulares corresponde a los interesados adoptar la decisión correspondiente y, en caso de conflicto, a las autoridades judiciales, fiscales y disciplinarias.</w:t>
      </w:r>
    </w:p>
    <w:p w14:paraId="3C340B20" w14:textId="77777777" w:rsidR="001C3C9B" w:rsidRPr="002C01B4" w:rsidRDefault="001C3C9B" w:rsidP="001C3C9B">
      <w:pPr>
        <w:spacing w:after="120" w:line="276" w:lineRule="auto"/>
        <w:ind w:firstLine="708"/>
        <w:jc w:val="both"/>
        <w:rPr>
          <w:rFonts w:ascii="Verdana" w:eastAsia="Calibri" w:hAnsi="Verdana" w:cs="Arial"/>
          <w:bCs/>
          <w:color w:val="000000"/>
          <w:lang w:eastAsia="es-MX"/>
        </w:rPr>
      </w:pPr>
      <w:r w:rsidRPr="00FE66BB">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39B94F4" w14:textId="77777777" w:rsidR="001C3C9B" w:rsidRDefault="001C3C9B" w:rsidP="001C3C9B">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653725D3" w14:textId="77777777" w:rsidR="0097083A" w:rsidRPr="004D7523" w:rsidRDefault="0097083A" w:rsidP="0097083A">
      <w:pPr>
        <w:tabs>
          <w:tab w:val="left" w:pos="142"/>
          <w:tab w:val="left" w:pos="284"/>
        </w:tabs>
        <w:snapToGrid w:val="0"/>
        <w:spacing w:after="0" w:line="276" w:lineRule="auto"/>
        <w:jc w:val="both"/>
        <w:rPr>
          <w:rFonts w:ascii="Verdana" w:eastAsia="Century Gothic" w:hAnsi="Verdana" w:cs="Century Gothic"/>
          <w:b/>
          <w:bCs/>
          <w:lang w:val="es-ES_tradnl"/>
        </w:rPr>
      </w:pPr>
    </w:p>
    <w:p w14:paraId="72AE35AC" w14:textId="77777777" w:rsidR="001C3C9B" w:rsidRPr="004D7523" w:rsidRDefault="001C3C9B" w:rsidP="001C3C9B">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1C3C9B" w:rsidRPr="00D56B2A" w14:paraId="6679ED96" w14:textId="77777777" w:rsidTr="00E03CAE">
        <w:trPr>
          <w:trHeight w:val="242"/>
        </w:trPr>
        <w:tc>
          <w:tcPr>
            <w:tcW w:w="8647" w:type="dxa"/>
            <w:tcBorders>
              <w:top w:val="dotted" w:sz="4" w:space="0" w:color="auto"/>
              <w:left w:val="dotted" w:sz="4" w:space="0" w:color="auto"/>
              <w:bottom w:val="dotted" w:sz="4" w:space="0" w:color="auto"/>
              <w:right w:val="dotted" w:sz="4" w:space="0" w:color="auto"/>
            </w:tcBorders>
          </w:tcPr>
          <w:p w14:paraId="204DE9F1" w14:textId="77777777" w:rsidR="001C3C9B" w:rsidRPr="00D56B2A" w:rsidRDefault="001C3C9B" w:rsidP="00E03CAE">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68149019" w14:textId="77777777" w:rsidR="001C3C9B" w:rsidRPr="00DA2A79" w:rsidRDefault="001C3C9B" w:rsidP="001C3C9B">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77E90F35" w14:textId="77777777" w:rsidR="001C3C9B" w:rsidRPr="00DA2A79" w:rsidRDefault="001C3C9B" w:rsidP="001C3C9B">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42F95552" w14:textId="77777777" w:rsidR="001C3C9B" w:rsidRPr="00C22730" w:rsidRDefault="001C3C9B" w:rsidP="001C3C9B">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3"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p w14:paraId="724B085F" w14:textId="77777777" w:rsidR="001C3C9B" w:rsidRPr="0034004A" w:rsidRDefault="001C3C9B" w:rsidP="001C3C9B">
            <w:pPr>
              <w:widowControl w:val="0"/>
              <w:numPr>
                <w:ilvl w:val="0"/>
                <w:numId w:val="17"/>
              </w:numPr>
              <w:autoSpaceDE w:val="0"/>
              <w:autoSpaceDN w:val="0"/>
              <w:spacing w:after="160" w:line="276" w:lineRule="auto"/>
              <w:contextualSpacing/>
              <w:jc w:val="both"/>
              <w:rPr>
                <w:rFonts w:ascii="Verdana" w:eastAsia="Calibri" w:hAnsi="Verdana" w:cs="Arial"/>
                <w:kern w:val="2"/>
                <w:lang w:eastAsia="es-MX"/>
                <w14:ligatures w14:val="standardContextual"/>
              </w:rPr>
            </w:pPr>
            <w:r w:rsidRPr="0034004A">
              <w:rPr>
                <w:rFonts w:ascii="Verdana" w:eastAsia="Calibri" w:hAnsi="Verdana" w:cs="Arial"/>
                <w:kern w:val="2"/>
                <w:lang w:val="es-ES_tradnl" w:eastAsia="es-MX"/>
                <w14:ligatures w14:val="standardContextual"/>
              </w:rPr>
              <w:t>Reglamento Colombiano de Construcción Sismo Resistente NSR-10</w:t>
            </w:r>
          </w:p>
          <w:p w14:paraId="438D1FB2" w14:textId="77777777" w:rsidR="001C3C9B" w:rsidRPr="0034004A" w:rsidRDefault="001C3C9B" w:rsidP="001C3C9B">
            <w:pPr>
              <w:widowControl w:val="0"/>
              <w:numPr>
                <w:ilvl w:val="0"/>
                <w:numId w:val="17"/>
              </w:numPr>
              <w:autoSpaceDE w:val="0"/>
              <w:autoSpaceDN w:val="0"/>
              <w:spacing w:after="160" w:line="276" w:lineRule="auto"/>
              <w:contextualSpacing/>
              <w:jc w:val="both"/>
              <w:rPr>
                <w:rFonts w:ascii="Verdana" w:eastAsia="Calibri" w:hAnsi="Verdana" w:cs="Arial"/>
                <w:kern w:val="2"/>
                <w:lang w:eastAsia="es-MX"/>
                <w14:ligatures w14:val="standardContextual"/>
              </w:rPr>
            </w:pPr>
            <w:r w:rsidRPr="0034004A">
              <w:rPr>
                <w:rFonts w:ascii="Verdana" w:eastAsia="Aptos" w:hAnsi="Verdana" w:cs="Arial"/>
                <w:kern w:val="2"/>
                <w14:ligatures w14:val="standardContextual"/>
              </w:rPr>
              <w:t>PODETTI, Humberto. El contrato de construcción. Buenos Aires: Astrea, 2004. Pp. 254-255.</w:t>
            </w:r>
          </w:p>
          <w:p w14:paraId="1805BAD2" w14:textId="77777777" w:rsidR="001C3C9B" w:rsidRPr="00D56B2A" w:rsidRDefault="001C3C9B" w:rsidP="001C3C9B">
            <w:pPr>
              <w:widowControl w:val="0"/>
              <w:numPr>
                <w:ilvl w:val="0"/>
                <w:numId w:val="17"/>
              </w:numPr>
              <w:autoSpaceDE w:val="0"/>
              <w:autoSpaceDN w:val="0"/>
              <w:spacing w:after="120" w:line="276" w:lineRule="auto"/>
              <w:jc w:val="both"/>
              <w:rPr>
                <w:rFonts w:ascii="Verdana" w:hAnsi="Verdana" w:cs="Arial"/>
                <w:color w:val="3399FF"/>
              </w:rPr>
            </w:pPr>
            <w:r w:rsidRPr="0034004A">
              <w:rPr>
                <w:rFonts w:ascii="Verdana" w:eastAsia="Aptos" w:hAnsi="Verdana" w:cs="Arial"/>
                <w:kern w:val="2"/>
                <w14:ligatures w14:val="standardContextual"/>
              </w:rPr>
              <w:t>PLANIOL, Marcel &amp; RIPERT, Jeorge. Tratado práctico de derecho civil francés. Tomo XI. La Habana: Cultural SA, 1940. p. 163.</w:t>
            </w:r>
          </w:p>
          <w:p w14:paraId="2EDCC4E2" w14:textId="77777777" w:rsidR="0097083A" w:rsidRPr="00D56B2A" w:rsidRDefault="0097083A" w:rsidP="0097083A">
            <w:pPr>
              <w:widowControl w:val="0"/>
              <w:autoSpaceDE w:val="0"/>
              <w:autoSpaceDN w:val="0"/>
              <w:spacing w:after="120" w:line="276" w:lineRule="auto"/>
              <w:jc w:val="both"/>
              <w:rPr>
                <w:rFonts w:ascii="Verdana" w:hAnsi="Verdana" w:cs="Arial"/>
                <w:color w:val="3399FF"/>
              </w:rPr>
            </w:pPr>
          </w:p>
        </w:tc>
      </w:tr>
    </w:tbl>
    <w:p w14:paraId="6E9C8B60" w14:textId="77777777" w:rsidR="001C3C9B" w:rsidRPr="00155CC1" w:rsidRDefault="001C3C9B" w:rsidP="001C3C9B">
      <w:pPr>
        <w:tabs>
          <w:tab w:val="left" w:pos="142"/>
          <w:tab w:val="left" w:pos="284"/>
        </w:tabs>
        <w:spacing w:after="0" w:line="276" w:lineRule="auto"/>
        <w:jc w:val="both"/>
        <w:rPr>
          <w:rFonts w:ascii="Verdana" w:eastAsia="Calibri" w:hAnsi="Verdana" w:cs="Arial"/>
          <w:color w:val="6699FF"/>
        </w:rPr>
      </w:pPr>
    </w:p>
    <w:p w14:paraId="069BD3B2" w14:textId="77777777" w:rsidR="001C3C9B" w:rsidRPr="0026211F" w:rsidRDefault="001C3C9B" w:rsidP="001C3C9B">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231503D8" w14:textId="77777777" w:rsidR="001C3C9B" w:rsidRPr="00DA2A79" w:rsidRDefault="001C3C9B" w:rsidP="001C3C9B">
      <w:pPr>
        <w:widowControl w:val="0"/>
        <w:autoSpaceDE w:val="0"/>
        <w:autoSpaceDN w:val="0"/>
        <w:spacing w:after="0" w:line="276" w:lineRule="auto"/>
        <w:jc w:val="both"/>
        <w:rPr>
          <w:rFonts w:ascii="Verdana" w:eastAsia="Calibri" w:hAnsi="Verdana" w:cs="Arial"/>
          <w:lang w:eastAsia="es-MX"/>
        </w:rPr>
      </w:pPr>
    </w:p>
    <w:p w14:paraId="78414770" w14:textId="4C1B629F" w:rsidR="001C3C9B" w:rsidRPr="00C15B51" w:rsidRDefault="001C3C9B" w:rsidP="001C3C9B">
      <w:pPr>
        <w:spacing w:after="0" w:line="276" w:lineRule="auto"/>
        <w:jc w:val="both"/>
        <w:rPr>
          <w:rFonts w:ascii="Verdana" w:eastAsia="Calibri" w:hAnsi="Verdana" w:cs="Arial"/>
          <w:shd w:val="clear" w:color="auto" w:fill="FFFFFF"/>
          <w:lang w:val="es-ES" w:eastAsia="es-MX"/>
        </w:rPr>
      </w:pPr>
      <w:r w:rsidRPr="00FE66BB">
        <w:rPr>
          <w:rFonts w:ascii="Verdana" w:eastAsia="Calibri" w:hAnsi="Verdana" w:cs="Arial"/>
          <w:shd w:val="clear" w:color="auto" w:fill="FFFFFF"/>
          <w:lang w:val="es-ES" w:eastAsia="es-MX"/>
        </w:rPr>
        <w:t>La Agencia Nacional de Contratación Pública – Colombia Compra Eficiente se pronunció</w:t>
      </w:r>
      <w:r w:rsidRPr="00FE66BB">
        <w:rPr>
          <w:rFonts w:ascii="Verdana" w:eastAsia="Calibri" w:hAnsi="Verdana" w:cs="Times New Roman"/>
          <w:lang w:eastAsia="es-MX"/>
        </w:rPr>
        <w:t xml:space="preserve"> </w:t>
      </w:r>
      <w:r w:rsidRPr="00FE66BB">
        <w:rPr>
          <w:rFonts w:ascii="Verdana" w:eastAsia="Calibri" w:hAnsi="Verdana" w:cs="Arial"/>
          <w:shd w:val="clear" w:color="auto" w:fill="FFFFFF"/>
          <w:lang w:val="es-ES" w:eastAsia="es-MX"/>
        </w:rPr>
        <w:t>sobre el ámbito de aplicación de los documentos tipo de infraestructura social, en los conceptos C-375 del 27 de septiembre de 2021, C-</w:t>
      </w:r>
      <w:r w:rsidRPr="00FE66BB">
        <w:rPr>
          <w:rFonts w:ascii="Verdana" w:eastAsia="Calibri" w:hAnsi="Verdana" w:cs="Arial"/>
          <w:shd w:val="clear" w:color="auto" w:fill="FFFFFF"/>
          <w:lang w:val="es-ES" w:eastAsia="es-MX"/>
        </w:rPr>
        <w:lastRenderedPageBreak/>
        <w:t>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FE66BB">
        <w:rPr>
          <w:rFonts w:ascii="Verdana" w:eastAsia="Calibri" w:hAnsi="Verdana" w:cs="Arial"/>
          <w:shd w:val="clear" w:color="auto" w:fill="FFFFFF"/>
          <w:lang w:val="es-ES" w:eastAsia="es-MX"/>
        </w:rPr>
        <w:tab/>
        <w:t>C-636 del 1 de noviembre de 2024, C-777 del 9 de diciembre de 2024, C-971 del 21 de enero de 2025 y C-1813 del 31 de diciembre de 2025, entre otros. Concretamente, sobre los documentos tipo del sector institucional, esta Agencia se pronunció en los conceptos C-258 del 19 de marzo de 2026, C-385 del 15 de abril, C-392 del 20 de abril de 2026, C-583 del 8 de mayo de 2026</w:t>
      </w:r>
      <w:r>
        <w:rPr>
          <w:rFonts w:ascii="Verdana" w:eastAsia="Calibri" w:hAnsi="Verdana" w:cs="Arial"/>
          <w:shd w:val="clear" w:color="auto" w:fill="FFFFFF"/>
          <w:lang w:val="es-ES" w:eastAsia="es-MX"/>
        </w:rPr>
        <w:t xml:space="preserve">, </w:t>
      </w:r>
      <w:r w:rsidRPr="00FE66BB">
        <w:rPr>
          <w:rFonts w:ascii="Verdana" w:eastAsia="Calibri" w:hAnsi="Verdana" w:cs="Arial"/>
          <w:shd w:val="clear" w:color="auto" w:fill="FFFFFF"/>
          <w:lang w:val="es-ES" w:eastAsia="es-MX"/>
        </w:rPr>
        <w:t>C-682 del 22 de mayo de 2026</w:t>
      </w:r>
      <w:r>
        <w:rPr>
          <w:rFonts w:ascii="Verdana" w:eastAsia="Calibri" w:hAnsi="Verdana" w:cs="Arial"/>
          <w:shd w:val="clear" w:color="auto" w:fill="FFFFFF"/>
          <w:lang w:val="es-ES" w:eastAsia="es-MX"/>
        </w:rPr>
        <w:t xml:space="preserve">, C-720 del 05 de junio de 2026, C-764 del </w:t>
      </w:r>
      <w:r w:rsidRPr="008E77F5">
        <w:rPr>
          <w:rFonts w:ascii="Verdana" w:eastAsia="Calibri" w:hAnsi="Verdana" w:cs="Arial"/>
          <w:shd w:val="clear" w:color="auto" w:fill="FFFFFF"/>
          <w:lang w:val="es-ES" w:eastAsia="es-MX"/>
        </w:rPr>
        <w:t>17 de junio de 2026</w:t>
      </w:r>
      <w:r w:rsidR="00FF7669">
        <w:rPr>
          <w:rFonts w:ascii="Verdana" w:eastAsia="Calibri" w:hAnsi="Verdana" w:cs="Arial"/>
          <w:shd w:val="clear" w:color="auto" w:fill="FFFFFF"/>
          <w:lang w:val="es-ES" w:eastAsia="es-MX"/>
        </w:rPr>
        <w:t>, C-810 del 24 de junio de 2026</w:t>
      </w:r>
      <w:r>
        <w:rPr>
          <w:rFonts w:ascii="Verdana" w:eastAsia="Calibri" w:hAnsi="Verdana" w:cs="Arial"/>
          <w:shd w:val="clear" w:color="auto" w:fill="FFFFFF"/>
          <w:lang w:val="es-ES" w:eastAsia="es-MX"/>
        </w:rPr>
        <w:t xml:space="preserve"> y entre otros.</w:t>
      </w:r>
      <w:r w:rsidRPr="00FE66BB">
        <w:rPr>
          <w:rFonts w:ascii="Verdana" w:eastAsia="Calibri" w:hAnsi="Verdana" w:cs="Arial"/>
          <w:shd w:val="clear" w:color="auto" w:fill="FFFFFF"/>
          <w:lang w:val="es-ES" w:eastAsia="es-MX"/>
        </w:rPr>
        <w:t xml:space="preserve"> </w:t>
      </w:r>
    </w:p>
    <w:p w14:paraId="7B5E88F2" w14:textId="77777777" w:rsidR="001C3C9B" w:rsidRDefault="001C3C9B" w:rsidP="001C3C9B">
      <w:pPr>
        <w:spacing w:after="0" w:line="276" w:lineRule="auto"/>
        <w:jc w:val="both"/>
        <w:rPr>
          <w:rFonts w:ascii="Verdana" w:eastAsia="Calibri" w:hAnsi="Verdana" w:cs="Arial"/>
          <w:lang w:val="es-ES"/>
        </w:rPr>
      </w:pPr>
    </w:p>
    <w:p w14:paraId="74B8B674" w14:textId="77777777" w:rsidR="001C3C9B" w:rsidRPr="003C2A6A" w:rsidRDefault="001C3C9B" w:rsidP="001C3C9B">
      <w:pPr>
        <w:spacing w:after="0" w:line="276" w:lineRule="auto"/>
        <w:jc w:val="both"/>
        <w:rPr>
          <w:rFonts w:ascii="Verdana" w:eastAsia="Calibri" w:hAnsi="Verdana" w:cs="Arial"/>
        </w:rPr>
      </w:pPr>
      <w:r w:rsidRPr="00240C45">
        <w:rPr>
          <w:rFonts w:ascii="Verdana" w:eastAsia="Calibri" w:hAnsi="Verdana" w:cs="Arial"/>
        </w:rPr>
        <w:t xml:space="preserve">Estos y otros conceptos se encuentran disponibles para consulta en el Sistema de relatoría de la Agencia, al cual se puede acceder a través del siguiente enlace: </w:t>
      </w:r>
      <w:hyperlink r:id="rId14" w:history="1">
        <w:r w:rsidRPr="00DE636B">
          <w:rPr>
            <w:rStyle w:val="Hipervnculo"/>
            <w:rFonts w:ascii="Verdana" w:eastAsia="Calibri" w:hAnsi="Verdana" w:cs="Arial"/>
          </w:rPr>
          <w:t>https://relatoria.colombiacompra.gov.co/busqueda/conceptos</w:t>
        </w:r>
      </w:hyperlink>
      <w:r w:rsidRPr="00240C45">
        <w:rPr>
          <w:rFonts w:ascii="Verdana" w:eastAsia="Calibri" w:hAnsi="Verdana" w:cs="Arial"/>
        </w:rPr>
        <w:t>.</w:t>
      </w:r>
    </w:p>
    <w:p w14:paraId="6D3C7ACC" w14:textId="77777777" w:rsidR="001C3C9B" w:rsidRPr="00EF54B1" w:rsidRDefault="001C3C9B" w:rsidP="001C3C9B">
      <w:pPr>
        <w:spacing w:after="0" w:line="240" w:lineRule="auto"/>
        <w:jc w:val="both"/>
        <w:rPr>
          <w:rFonts w:ascii="Verdana" w:eastAsia="Calibri" w:hAnsi="Verdana" w:cs="Arial"/>
          <w:color w:val="000000" w:themeColor="text1"/>
          <w:shd w:val="clear" w:color="auto" w:fill="FFFFFF"/>
        </w:rPr>
      </w:pPr>
    </w:p>
    <w:p w14:paraId="104A2794" w14:textId="77777777" w:rsidR="008D0C05" w:rsidRDefault="008D0C05" w:rsidP="008D0C05">
      <w:pPr>
        <w:spacing w:after="120" w:line="276" w:lineRule="auto"/>
        <w:jc w:val="both"/>
      </w:pPr>
      <w:r w:rsidRPr="00E15FD8">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E15FD8">
        <w:rPr>
          <w:rFonts w:ascii="Verdana" w:eastAsia="Aptos" w:hAnsi="Verdana" w:cs="Times New Roman"/>
          <w:b/>
          <w:bCs/>
          <w:color w:val="000000"/>
          <w:kern w:val="2"/>
          <w14:ligatures w14:val="standardContextual"/>
        </w:rPr>
        <w:t>Guía para la Exigencia y Constitución de Garantías en los Procesos de Contratación</w:t>
      </w:r>
      <w:r w:rsidRPr="00E15FD8">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ooltip="https://nam02.safelinks.protection.outlook.com/?url=https%3A%2F%2Fwww.colombiacompra.gov.co%2Farchivos%2Fmanual%2Fguia-de-garantias-en-procesos-de-contratacion&amp;data=05%7C02%7Ccarlos.castrillon%40colombiacompra.gov.co%7C7128555136e04fa6887d08dee99e1b50%7C7b0904" w:history="1">
        <w:r w:rsidRPr="00B91265">
          <w:rPr>
            <w:rFonts w:ascii="Verdana" w:eastAsia="Aptos" w:hAnsi="Verdana" w:cs="Times New Roman"/>
            <w:color w:val="0000FF"/>
            <w:kern w:val="2"/>
            <w:u w:val="single"/>
            <w14:ligatures w14:val="standardContextual"/>
          </w:rPr>
          <w:t>https://www.colombiacompra.gov.co/archivos/manual/guia-de-garantias-en-procesos-de-contratacion</w:t>
        </w:r>
      </w:hyperlink>
    </w:p>
    <w:p w14:paraId="5E247366" w14:textId="77777777" w:rsidR="0097083A" w:rsidRPr="00E15FD8" w:rsidRDefault="0097083A" w:rsidP="008D0C05">
      <w:pPr>
        <w:spacing w:after="120" w:line="276" w:lineRule="auto"/>
        <w:jc w:val="both"/>
        <w:rPr>
          <w:rFonts w:ascii="Aptos" w:eastAsia="Aptos" w:hAnsi="Aptos" w:cs="Times New Roman"/>
          <w:kern w:val="2"/>
          <w:sz w:val="24"/>
          <w:szCs w:val="24"/>
          <w14:ligatures w14:val="standardContextual"/>
        </w:rPr>
      </w:pPr>
    </w:p>
    <w:p w14:paraId="07DD0ABF" w14:textId="77777777" w:rsidR="008D0C05" w:rsidRDefault="008D0C05" w:rsidP="008D0C05">
      <w:pPr>
        <w:spacing w:after="120" w:line="276" w:lineRule="auto"/>
        <w:jc w:val="both"/>
      </w:pPr>
      <w:r w:rsidRPr="00E15FD8">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E15FD8">
        <w:rPr>
          <w:rFonts w:ascii="Verdana" w:eastAsia="Aptos" w:hAnsi="Verdana" w:cs="Times New Roman"/>
          <w:b/>
          <w:bCs/>
          <w:color w:val="000000"/>
          <w:kern w:val="2"/>
          <w14:ligatures w14:val="standardContextual"/>
        </w:rPr>
        <w:t>Sistema Integral de Preferencias en favor de las personas con discapacidad</w:t>
      </w:r>
      <w:r w:rsidRPr="00E15FD8">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E15FD8">
        <w:rPr>
          <w:rFonts w:ascii="Verdana" w:eastAsia="Aptos" w:hAnsi="Verdana" w:cs="Times New Roman"/>
          <w:b/>
          <w:bCs/>
          <w:color w:val="000000"/>
          <w:kern w:val="2"/>
          <w14:ligatures w14:val="standardContextual"/>
        </w:rPr>
        <w:t>Circular Externa 003 del 12 de mayo de 2026, </w:t>
      </w:r>
      <w:r w:rsidRPr="00E15FD8">
        <w:rPr>
          <w:rFonts w:ascii="Verdana" w:eastAsia="Aptos" w:hAnsi="Verdana" w:cs="Times New Roman"/>
          <w:color w:val="000000"/>
          <w:kern w:val="2"/>
          <w14:ligatures w14:val="standardContextual"/>
        </w:rPr>
        <w:t xml:space="preserve">en la que precisa quiénes son los beneficiarios, las cinco medidas que integran el sistema y su </w:t>
      </w:r>
      <w:r w:rsidRPr="00E15FD8">
        <w:rPr>
          <w:rFonts w:ascii="Verdana" w:eastAsia="Aptos" w:hAnsi="Verdana" w:cs="Times New Roman"/>
          <w:color w:val="000000"/>
          <w:kern w:val="2"/>
          <w14:ligatures w14:val="standardContextual"/>
        </w:rPr>
        <w:lastRenderedPageBreak/>
        <w:t>obligatoriedad según la modalidad de selección, y el régimen de transición aplicable a los procesos en curso. Consúltala aquí: </w:t>
      </w:r>
      <w:hyperlink r:id="rId16" w:tooltip="https://nam02.safelinks.protection.outlook.com/?url=https%3A%2F%2Fwww.colombiacompra.gov.co%2Farchivos%2Fcircular%2Fcircular-externa-003-de-2026&amp;data=05%7C02%7Ccarlos.castrillon%40colombiacompra.gov.co%7C7128555136e04fa6887d08dee99e1b50%7C7b09041e245149d08cb17" w:history="1">
        <w:r w:rsidRPr="00B91265">
          <w:rPr>
            <w:rFonts w:ascii="Verdana" w:eastAsia="Aptos" w:hAnsi="Verdana" w:cs="Times New Roman"/>
            <w:color w:val="0000FF"/>
            <w:kern w:val="2"/>
            <w:u w:val="single"/>
            <w14:ligatures w14:val="standardContextual"/>
          </w:rPr>
          <w:t>https://www.colombiacompra.gov.co/archivos/circular/circular-externa-003-de-2026</w:t>
        </w:r>
      </w:hyperlink>
    </w:p>
    <w:p w14:paraId="469072F8" w14:textId="77777777" w:rsidR="0097083A" w:rsidRPr="00E15FD8" w:rsidRDefault="0097083A" w:rsidP="008D0C05">
      <w:pPr>
        <w:spacing w:after="120" w:line="276" w:lineRule="auto"/>
        <w:jc w:val="both"/>
        <w:rPr>
          <w:rFonts w:ascii="Verdana" w:eastAsia="Aptos" w:hAnsi="Verdana" w:cs="Times New Roman"/>
          <w:color w:val="000000"/>
          <w:kern w:val="2"/>
          <w14:ligatures w14:val="standardContextual"/>
        </w:rPr>
      </w:pPr>
    </w:p>
    <w:p w14:paraId="45F1FAC8" w14:textId="77777777" w:rsidR="008D0C05" w:rsidRDefault="008D0C05" w:rsidP="008D0C05">
      <w:pPr>
        <w:spacing w:after="120" w:line="276" w:lineRule="auto"/>
        <w:jc w:val="both"/>
      </w:pPr>
      <w:r w:rsidRPr="00E15FD8">
        <w:rPr>
          <w:rFonts w:ascii="Verdana" w:eastAsia="Aptos" w:hAnsi="Verdana" w:cs="Times New Roman"/>
          <w:color w:val="000000"/>
          <w:kern w:val="2"/>
          <w14:ligatures w14:val="standardContextual"/>
        </w:rPr>
        <w:t>Recuerda también que la</w:t>
      </w:r>
      <w:r w:rsidRPr="00E15FD8">
        <w:rPr>
          <w:rFonts w:ascii="Verdana" w:eastAsia="Aptos" w:hAnsi="Verdana" w:cs="Times New Roman"/>
          <w:b/>
          <w:bCs/>
          <w:color w:val="000000"/>
          <w:kern w:val="2"/>
          <w14:ligatures w14:val="standardContextual"/>
        </w:rPr>
        <w:t> información sobre sanciones e inhabilidades </w:t>
      </w:r>
      <w:r w:rsidRPr="00E15FD8">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E15FD8">
        <w:rPr>
          <w:rFonts w:ascii="Verdana" w:eastAsia="Aptos" w:hAnsi="Verdana" w:cs="Times New Roman"/>
          <w:b/>
          <w:bCs/>
          <w:color w:val="000000"/>
          <w:kern w:val="2"/>
          <w14:ligatures w14:val="standardContextual"/>
        </w:rPr>
        <w:t>Circular Externa 002 del 5 de mayo de 2026,</w:t>
      </w:r>
      <w:r w:rsidRPr="00E15FD8">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ooltip="https://nam02.safelinks.protection.outlook.com/?url=https%3A%2F%2Fwww.colombiacompra.gov.co%2Farchivos%2Fcircular%2Fcircular-externa-002-de-2026&amp;data=05%7C02%7Ccarlos.castrillon%40colombiacompra.gov.co%7C7128555136e04fa6887d08dee99e1b50%7C7b09041e245149d08cb17" w:history="1">
        <w:r w:rsidRPr="00B91265">
          <w:rPr>
            <w:rFonts w:ascii="Verdana" w:eastAsia="Aptos" w:hAnsi="Verdana" w:cs="Times New Roman"/>
            <w:color w:val="0000FF"/>
            <w:kern w:val="2"/>
            <w:u w:val="single"/>
            <w14:ligatures w14:val="standardContextual"/>
          </w:rPr>
          <w:t>https://www.colombiacompra.gov.co/archivos/circular/circular-externa-002-de-2026</w:t>
        </w:r>
      </w:hyperlink>
    </w:p>
    <w:p w14:paraId="02AED802" w14:textId="77777777" w:rsidR="0097083A" w:rsidRPr="00E15FD8" w:rsidRDefault="0097083A" w:rsidP="008D0C05">
      <w:pPr>
        <w:spacing w:after="120" w:line="276" w:lineRule="auto"/>
        <w:jc w:val="both"/>
        <w:rPr>
          <w:rFonts w:ascii="Verdana" w:eastAsia="Aptos" w:hAnsi="Verdana" w:cs="Times New Roman"/>
          <w:color w:val="000000"/>
          <w:kern w:val="2"/>
          <w14:ligatures w14:val="standardContextual"/>
        </w:rPr>
      </w:pPr>
    </w:p>
    <w:p w14:paraId="6F2EA9BD" w14:textId="77777777" w:rsidR="008D0C05" w:rsidRDefault="008D0C05" w:rsidP="008D0C05">
      <w:pPr>
        <w:spacing w:after="120" w:line="276" w:lineRule="auto"/>
        <w:jc w:val="both"/>
      </w:pPr>
      <w:r w:rsidRPr="00E15FD8">
        <w:rPr>
          <w:rFonts w:ascii="Verdana" w:eastAsia="Aptos" w:hAnsi="Verdana" w:cs="Times New Roman"/>
          <w:color w:val="000000"/>
          <w:kern w:val="2"/>
          <w14:ligatures w14:val="standardContextual"/>
        </w:rPr>
        <w:t>Finalmente, si quieres seguir de cerca la actividad de la Agencia, la tercera edición de 2026 del</w:t>
      </w:r>
      <w:r w:rsidRPr="00E15FD8">
        <w:rPr>
          <w:rFonts w:ascii="Verdana" w:eastAsia="Aptos" w:hAnsi="Verdana" w:cs="Times New Roman"/>
          <w:b/>
          <w:bCs/>
          <w:color w:val="000000"/>
          <w:kern w:val="2"/>
          <w14:ligatures w14:val="standardContextual"/>
        </w:rPr>
        <w:t> Radar de la Compra Pública</w:t>
      </w:r>
      <w:r w:rsidRPr="00E15FD8">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ooltip="https://nam02.safelinks.protection.outlook.com/?url=https%3A%2F%2Fwww.colombiacompra.gov.co%2Farchivos%2Fboletin%2Fboletin-edicion-n-3-de-2026-radar-de-la-compra-publica&amp;data=05%7C02%7Ccarlos.castrillon%40colombiacompra.gov.co%7C7128555136e04fa6887d08dee99e1b5" w:history="1">
        <w:r w:rsidRPr="00B91265">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360E8EBF" w14:textId="77777777" w:rsidR="0097083A" w:rsidRPr="00B91265" w:rsidRDefault="0097083A" w:rsidP="008D0C05">
      <w:pPr>
        <w:spacing w:after="120" w:line="276" w:lineRule="auto"/>
        <w:jc w:val="both"/>
        <w:rPr>
          <w:rFonts w:ascii="Verdana" w:eastAsia="Aptos" w:hAnsi="Verdana" w:cs="Times New Roman"/>
          <w:color w:val="0000FF"/>
          <w:kern w:val="2"/>
          <w14:ligatures w14:val="standardContextual"/>
        </w:rPr>
      </w:pPr>
    </w:p>
    <w:p w14:paraId="5488B72F" w14:textId="77777777" w:rsidR="001C3C9B" w:rsidRPr="009552C8" w:rsidRDefault="001C3C9B" w:rsidP="001C3C9B">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1BE86EC0" w14:textId="77777777" w:rsidR="001C3C9B" w:rsidRPr="009552C8" w:rsidRDefault="001C3C9B" w:rsidP="001C3C9B">
      <w:pPr>
        <w:spacing w:after="0" w:line="240" w:lineRule="auto"/>
        <w:jc w:val="both"/>
        <w:rPr>
          <w:rFonts w:ascii="Verdana" w:eastAsia="Aptos" w:hAnsi="Verdana" w:cs="Times New Roman"/>
          <w:kern w:val="2"/>
          <w14:ligatures w14:val="standardContextual"/>
        </w:rPr>
      </w:pPr>
    </w:p>
    <w:p w14:paraId="3EED8C13" w14:textId="77777777" w:rsidR="001C3C9B" w:rsidRPr="009552C8" w:rsidRDefault="001C3C9B" w:rsidP="001C3C9B">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3A2383F4" w14:textId="77777777" w:rsidR="001C3C9B" w:rsidRPr="009552C8" w:rsidRDefault="001C3C9B" w:rsidP="001C3C9B">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proofErr w:type="spellStart"/>
      <w:r w:rsidRPr="007603CE">
        <w:rPr>
          <w:rFonts w:ascii="Verdana" w:eastAsia="Calibri" w:hAnsi="Verdana" w:cs="Times New Roman"/>
          <w:color w:val="0000FF"/>
          <w:kern w:val="2"/>
          <w:u w:val="single"/>
          <w14:ligatures w14:val="standardContextual"/>
        </w:rPr>
        <w:t>ColombiaCompraEficiente</w:t>
      </w:r>
      <w:proofErr w:type="spellEnd"/>
    </w:p>
    <w:p w14:paraId="7F89F351" w14:textId="77777777" w:rsidR="001C3C9B" w:rsidRPr="009552C8" w:rsidRDefault="001C3C9B" w:rsidP="001C3C9B">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6A4855CC" w14:textId="77777777" w:rsidR="001C3C9B" w:rsidRPr="005D21BF" w:rsidRDefault="001C3C9B" w:rsidP="001C3C9B">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7410582F" w14:textId="35D04368" w:rsidR="001C3C9B" w:rsidRDefault="001C3C9B" w:rsidP="001C3C9B">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 xml:space="preserve">Este concepto tiene el alcance previsto en el artículo 28 del Código de </w:t>
      </w:r>
      <w:r w:rsidRPr="00EF54B1">
        <w:rPr>
          <w:rFonts w:ascii="Verdana" w:eastAsia="Calibri" w:hAnsi="Verdana" w:cs="Arial"/>
          <w:color w:val="000000" w:themeColor="text1"/>
          <w:kern w:val="2"/>
          <w:lang w:val="es-ES_tradnl"/>
          <w14:ligatures w14:val="standardContextual"/>
        </w:rPr>
        <w:lastRenderedPageBreak/>
        <w:t>Procedimiento Administrativo y de lo Contencioso Administrativo y las expresiones aquí utilizadas con mayúscula inicial deben ser entendidas con el significado que les otorga el artículo 2.2.1.1.1.3.1. del Decreto 1082 de 2015.</w:t>
      </w:r>
    </w:p>
    <w:p w14:paraId="3214048D" w14:textId="77777777" w:rsidR="001C3C9B" w:rsidRPr="00EF54B1" w:rsidRDefault="001C3C9B" w:rsidP="001C3C9B">
      <w:pPr>
        <w:widowControl w:val="0"/>
        <w:autoSpaceDE w:val="0"/>
        <w:autoSpaceDN w:val="0"/>
        <w:spacing w:after="0" w:line="276" w:lineRule="auto"/>
        <w:jc w:val="both"/>
        <w:rPr>
          <w:rFonts w:ascii="Verdana" w:eastAsia="Calibri" w:hAnsi="Verdana" w:cs="Arial"/>
          <w:color w:val="000000" w:themeColor="text1"/>
        </w:rPr>
      </w:pPr>
    </w:p>
    <w:p w14:paraId="44FF6A44" w14:textId="77777777" w:rsidR="001C3C9B" w:rsidRPr="00EF54B1" w:rsidRDefault="001C3C9B" w:rsidP="001C3C9B">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159C92C4" w14:textId="03E9330B" w:rsidR="001C3C9B" w:rsidRDefault="0097083A" w:rsidP="001C3C9B">
      <w:pPr>
        <w:tabs>
          <w:tab w:val="left" w:pos="1320"/>
        </w:tabs>
        <w:rPr>
          <w:noProof/>
        </w:rPr>
      </w:pPr>
      <w:r>
        <w:rPr>
          <w:rFonts w:ascii="Verdana" w:eastAsia="Verdana" w:hAnsi="Verdana" w:cs="Verdana"/>
          <w:noProof/>
          <w:color w:val="000000" w:themeColor="text1"/>
        </w:rPr>
        <w:drawing>
          <wp:anchor distT="0" distB="0" distL="114300" distR="114300" simplePos="0" relativeHeight="251661312" behindDoc="0" locked="0" layoutInCell="1" allowOverlap="1" wp14:anchorId="4A6766F7" wp14:editId="5334696A">
            <wp:simplePos x="0" y="0"/>
            <wp:positionH relativeFrom="margin">
              <wp:posOffset>990097</wp:posOffset>
            </wp:positionH>
            <wp:positionV relativeFrom="margin">
              <wp:posOffset>993140</wp:posOffset>
            </wp:positionV>
            <wp:extent cx="3493311" cy="1298561"/>
            <wp:effectExtent l="0" t="0" r="0" b="0"/>
            <wp:wrapSquare wrapText="bothSides"/>
            <wp:docPr id="1030226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26312" name="Imagen 1030226312"/>
                    <pic:cNvPicPr/>
                  </pic:nvPicPr>
                  <pic:blipFill>
                    <a:blip r:embed="rId19">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anchor>
        </w:drawing>
      </w:r>
    </w:p>
    <w:p w14:paraId="32B7176F" w14:textId="7DD41E66" w:rsidR="001C3C9B" w:rsidRDefault="001C3C9B" w:rsidP="001C3C9B">
      <w:pPr>
        <w:tabs>
          <w:tab w:val="left" w:pos="1320"/>
        </w:tabs>
        <w:rPr>
          <w:noProof/>
        </w:rPr>
      </w:pPr>
    </w:p>
    <w:p w14:paraId="350AD9F0" w14:textId="6BED2674" w:rsidR="001C3C9B" w:rsidRDefault="001C3C9B" w:rsidP="001C3C9B">
      <w:pPr>
        <w:tabs>
          <w:tab w:val="left" w:pos="1320"/>
        </w:tabs>
        <w:rPr>
          <w:rFonts w:ascii="Verdana" w:eastAsia="Verdana" w:hAnsi="Verdana" w:cs="Verdana"/>
          <w:noProof/>
          <w:color w:val="000000" w:themeColor="text1"/>
        </w:rPr>
      </w:pPr>
    </w:p>
    <w:p w14:paraId="7C579324" w14:textId="77777777" w:rsidR="001C3C9B" w:rsidRDefault="001C3C9B" w:rsidP="001C3C9B">
      <w:pPr>
        <w:tabs>
          <w:tab w:val="left" w:pos="1320"/>
        </w:tabs>
        <w:rPr>
          <w:rFonts w:ascii="Verdana" w:eastAsia="Verdana" w:hAnsi="Verdana" w:cs="Verdana"/>
          <w:noProof/>
          <w:color w:val="000000" w:themeColor="text1"/>
        </w:rPr>
      </w:pPr>
    </w:p>
    <w:p w14:paraId="46B4CCCE" w14:textId="77777777" w:rsidR="001C3C9B" w:rsidRDefault="001C3C9B" w:rsidP="001C3C9B">
      <w:pPr>
        <w:tabs>
          <w:tab w:val="left" w:pos="1320"/>
        </w:tabs>
        <w:rPr>
          <w:rFonts w:ascii="Verdana" w:eastAsia="Verdana" w:hAnsi="Verdana" w:cs="Verdana"/>
          <w:noProof/>
          <w:color w:val="000000" w:themeColor="text1"/>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1C3C9B" w14:paraId="693B422B" w14:textId="77777777" w:rsidTr="00E03CAE">
        <w:trPr>
          <w:trHeight w:val="315"/>
        </w:trPr>
        <w:tc>
          <w:tcPr>
            <w:tcW w:w="1185" w:type="dxa"/>
            <w:tcBorders>
              <w:top w:val="nil"/>
              <w:left w:val="nil"/>
              <w:bottom w:val="nil"/>
              <w:right w:val="nil"/>
            </w:tcBorders>
            <w:tcMar>
              <w:left w:w="105" w:type="dxa"/>
              <w:right w:w="105" w:type="dxa"/>
            </w:tcMar>
            <w:vAlign w:val="center"/>
          </w:tcPr>
          <w:p w14:paraId="2121D713" w14:textId="77777777" w:rsidR="001C3C9B" w:rsidRDefault="001C3C9B" w:rsidP="00E03CAE">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o</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2A44BE62" w14:textId="77777777" w:rsidR="001C3C9B" w:rsidRDefault="001C3C9B" w:rsidP="00E03CAE">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41BF76BF" w14:textId="3EC2B229" w:rsidR="001C3C9B" w:rsidRPr="005F5CE0" w:rsidRDefault="001C3C9B" w:rsidP="00E03CAE">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1C3C9B" w14:paraId="17927470" w14:textId="77777777" w:rsidTr="00E03CAE">
        <w:trPr>
          <w:trHeight w:val="315"/>
        </w:trPr>
        <w:tc>
          <w:tcPr>
            <w:tcW w:w="1185" w:type="dxa"/>
            <w:tcBorders>
              <w:top w:val="nil"/>
              <w:left w:val="nil"/>
              <w:bottom w:val="nil"/>
              <w:right w:val="nil"/>
            </w:tcBorders>
            <w:tcMar>
              <w:left w:w="105" w:type="dxa"/>
              <w:right w:w="105" w:type="dxa"/>
            </w:tcMar>
            <w:vAlign w:val="center"/>
          </w:tcPr>
          <w:p w14:paraId="21666216" w14:textId="77777777" w:rsidR="001C3C9B" w:rsidRDefault="001C3C9B" w:rsidP="00E03CAE">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6FCDA022" w14:textId="17568EED" w:rsidR="001C3C9B" w:rsidRDefault="008D0C05" w:rsidP="00E03CAE">
            <w:pPr>
              <w:rPr>
                <w:rFonts w:ascii="Verdana" w:eastAsia="Verdana" w:hAnsi="Verdana" w:cs="Verdana"/>
                <w:sz w:val="16"/>
                <w:szCs w:val="16"/>
              </w:rPr>
            </w:pPr>
            <w:r>
              <w:rPr>
                <w:rFonts w:ascii="Verdana" w:eastAsia="Verdana" w:hAnsi="Verdana" w:cs="Verdana"/>
                <w:sz w:val="16"/>
                <w:szCs w:val="16"/>
              </w:rPr>
              <w:t>Juan David Cárdenas Cabezas</w:t>
            </w:r>
          </w:p>
          <w:p w14:paraId="3E8536C2" w14:textId="77777777" w:rsidR="001C3C9B" w:rsidRDefault="001C3C9B" w:rsidP="00E03CAE">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1C3C9B" w14:paraId="4FC82A14" w14:textId="77777777" w:rsidTr="00E03CAE">
        <w:trPr>
          <w:trHeight w:val="300"/>
        </w:trPr>
        <w:tc>
          <w:tcPr>
            <w:tcW w:w="1185" w:type="dxa"/>
            <w:tcBorders>
              <w:top w:val="nil"/>
              <w:left w:val="nil"/>
              <w:bottom w:val="nil"/>
              <w:right w:val="nil"/>
            </w:tcBorders>
            <w:tcMar>
              <w:left w:w="105" w:type="dxa"/>
              <w:right w:w="105" w:type="dxa"/>
            </w:tcMar>
            <w:vAlign w:val="center"/>
          </w:tcPr>
          <w:p w14:paraId="6889BCDC" w14:textId="77777777" w:rsidR="001C3C9B" w:rsidRDefault="001C3C9B" w:rsidP="00E03CAE">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071F2B67" w14:textId="77777777" w:rsidR="001C3C9B" w:rsidRDefault="001C3C9B" w:rsidP="00E03CAE">
            <w:pPr>
              <w:rPr>
                <w:rFonts w:ascii="Verdana" w:eastAsia="Verdana" w:hAnsi="Verdana" w:cs="Verdana"/>
                <w:sz w:val="16"/>
                <w:szCs w:val="16"/>
              </w:rPr>
            </w:pPr>
            <w:r w:rsidRPr="3F869DD7">
              <w:rPr>
                <w:rFonts w:ascii="Verdana" w:eastAsia="Verdana" w:hAnsi="Verdana" w:cs="Verdana"/>
                <w:sz w:val="16"/>
                <w:szCs w:val="16"/>
              </w:rPr>
              <w:t>Carolina Quintero Gacharná</w:t>
            </w:r>
          </w:p>
          <w:p w14:paraId="51D0BBF9" w14:textId="77777777" w:rsidR="001C3C9B" w:rsidRDefault="001C3C9B" w:rsidP="00E03CAE">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4D032D50" w14:textId="77777777" w:rsidR="001C3C9B" w:rsidRPr="000E2B93" w:rsidRDefault="001C3C9B" w:rsidP="001C3C9B">
      <w:pPr>
        <w:spacing w:after="0" w:line="240" w:lineRule="auto"/>
        <w:jc w:val="both"/>
        <w:textAlignment w:val="baseline"/>
        <w:rPr>
          <w:rFonts w:ascii="Verdana" w:eastAsia="Verdana" w:hAnsi="Verdana" w:cs="Verdana"/>
          <w:lang w:eastAsia="es-CO"/>
        </w:rPr>
      </w:pPr>
    </w:p>
    <w:p w14:paraId="0DEE2D0F" w14:textId="451B0F26" w:rsidR="001C3C9B" w:rsidRPr="000E2B93" w:rsidRDefault="001C3C9B" w:rsidP="001C3C9B">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05434782" w14:textId="77777777" w:rsidR="001C3C9B" w:rsidRDefault="001C3C9B" w:rsidP="001C3C9B"/>
    <w:p w14:paraId="0F293BF4" w14:textId="4495CBA8" w:rsidR="00127233" w:rsidRPr="0015699B" w:rsidRDefault="00127233" w:rsidP="180EA12C">
      <w:pPr>
        <w:spacing w:after="0" w:line="240" w:lineRule="auto"/>
        <w:jc w:val="both"/>
        <w:textAlignment w:val="baseline"/>
        <w:rPr>
          <w:rFonts w:ascii="Verdana" w:eastAsia="Verdana" w:hAnsi="Verdana" w:cs="Verdana"/>
          <w:color w:val="4E4D4D"/>
          <w:lang w:val="es-ES" w:eastAsia="es-CO"/>
        </w:rPr>
      </w:pPr>
    </w:p>
    <w:sectPr w:rsidR="00127233" w:rsidRPr="0015699B"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1F78F" w14:textId="77777777" w:rsidR="004B7902" w:rsidRDefault="004B7902" w:rsidP="004A1847">
      <w:pPr>
        <w:spacing w:after="0" w:line="240" w:lineRule="auto"/>
      </w:pPr>
      <w:r>
        <w:separator/>
      </w:r>
    </w:p>
  </w:endnote>
  <w:endnote w:type="continuationSeparator" w:id="0">
    <w:p w14:paraId="4FEB59D9" w14:textId="77777777" w:rsidR="004B7902" w:rsidRDefault="004B790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sig w:usb0="00000001"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302A" w14:textId="77777777" w:rsidR="004B7902" w:rsidRDefault="004B7902" w:rsidP="004A1847">
      <w:pPr>
        <w:spacing w:after="0" w:line="240" w:lineRule="auto"/>
      </w:pPr>
      <w:r>
        <w:separator/>
      </w:r>
    </w:p>
  </w:footnote>
  <w:footnote w:type="continuationSeparator" w:id="0">
    <w:p w14:paraId="2A0BD3E6" w14:textId="77777777" w:rsidR="004B7902" w:rsidRDefault="004B7902" w:rsidP="004A1847">
      <w:pPr>
        <w:spacing w:after="0" w:line="240" w:lineRule="auto"/>
      </w:pPr>
      <w:r>
        <w:continuationSeparator/>
      </w:r>
    </w:p>
  </w:footnote>
  <w:footnote w:id="1">
    <w:p w14:paraId="42A90531" w14:textId="77777777" w:rsidR="001C3C9B" w:rsidRPr="00332C8A" w:rsidRDefault="001C3C9B" w:rsidP="001C3C9B">
      <w:pPr>
        <w:pStyle w:val="Textonotapie"/>
        <w:ind w:firstLine="708"/>
        <w:jc w:val="both"/>
        <w:rPr>
          <w:rFonts w:ascii="Verdana" w:hAnsi="Verdana"/>
          <w:sz w:val="18"/>
          <w:szCs w:val="18"/>
        </w:rPr>
      </w:pPr>
      <w:r w:rsidRPr="00332C8A">
        <w:rPr>
          <w:rStyle w:val="Refdenotaalpie"/>
          <w:rFonts w:ascii="Verdana" w:hAnsi="Verdana"/>
          <w:sz w:val="18"/>
          <w:szCs w:val="18"/>
        </w:rPr>
        <w:footnoteRef/>
      </w:r>
      <w:r w:rsidRPr="00332C8A">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69390F00" w14:textId="77777777" w:rsidR="001C3C9B" w:rsidRPr="00332C8A" w:rsidRDefault="001C3C9B" w:rsidP="001C3C9B">
      <w:pPr>
        <w:pStyle w:val="Textonotapie"/>
        <w:ind w:firstLine="708"/>
        <w:jc w:val="both"/>
        <w:rPr>
          <w:rFonts w:ascii="Verdana" w:hAnsi="Verdana"/>
          <w:sz w:val="18"/>
          <w:szCs w:val="18"/>
        </w:rPr>
      </w:pPr>
    </w:p>
    <w:p w14:paraId="4D0169E9" w14:textId="77777777" w:rsidR="001C3C9B" w:rsidRPr="00332C8A" w:rsidRDefault="001C3C9B" w:rsidP="001C3C9B">
      <w:pPr>
        <w:pStyle w:val="Textonotapie"/>
        <w:ind w:firstLine="708"/>
        <w:jc w:val="both"/>
        <w:rPr>
          <w:rFonts w:ascii="Verdana" w:hAnsi="Verdana"/>
          <w:sz w:val="18"/>
          <w:szCs w:val="18"/>
        </w:rPr>
      </w:pPr>
      <w:r w:rsidRPr="00332C8A">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4A48F399" w14:textId="77777777" w:rsidR="001C3C9B" w:rsidRPr="00332C8A" w:rsidRDefault="001C3C9B" w:rsidP="001C3C9B">
      <w:pPr>
        <w:pStyle w:val="Textonotapie"/>
        <w:ind w:firstLine="708"/>
        <w:jc w:val="both"/>
        <w:rPr>
          <w:rFonts w:ascii="Verdana" w:hAnsi="Verdana"/>
          <w:sz w:val="18"/>
          <w:szCs w:val="18"/>
        </w:rPr>
      </w:pPr>
    </w:p>
    <w:p w14:paraId="6BB61A42" w14:textId="77777777" w:rsidR="001C3C9B" w:rsidRPr="00332C8A" w:rsidRDefault="001C3C9B" w:rsidP="001C3C9B">
      <w:pPr>
        <w:pStyle w:val="Textonotapie"/>
        <w:ind w:firstLine="708"/>
        <w:jc w:val="both"/>
        <w:rPr>
          <w:rFonts w:ascii="Verdana" w:hAnsi="Verdana"/>
          <w:sz w:val="18"/>
          <w:szCs w:val="18"/>
        </w:rPr>
      </w:pPr>
      <w:r w:rsidRPr="00332C8A">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441A4279" w14:textId="77777777" w:rsidR="001C3C9B" w:rsidRPr="00332C8A" w:rsidRDefault="001C3C9B" w:rsidP="001C3C9B">
      <w:pPr>
        <w:pStyle w:val="Textonotapie"/>
        <w:ind w:firstLine="708"/>
        <w:jc w:val="both"/>
        <w:rPr>
          <w:rFonts w:ascii="Verdana" w:hAnsi="Verdana"/>
          <w:sz w:val="18"/>
          <w:szCs w:val="18"/>
        </w:rPr>
      </w:pPr>
    </w:p>
    <w:p w14:paraId="3E74F665" w14:textId="77777777" w:rsidR="001C3C9B" w:rsidRPr="00332C8A" w:rsidRDefault="001C3C9B" w:rsidP="001C3C9B">
      <w:pPr>
        <w:pStyle w:val="Textonotapie"/>
        <w:ind w:firstLine="708"/>
        <w:jc w:val="both"/>
        <w:rPr>
          <w:rFonts w:ascii="Verdana" w:hAnsi="Verdana"/>
          <w:sz w:val="18"/>
          <w:szCs w:val="18"/>
        </w:rPr>
      </w:pPr>
      <w:r w:rsidRPr="00332C8A">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281D63C0" w14:textId="77777777" w:rsidR="001C3C9B" w:rsidRPr="00332C8A" w:rsidRDefault="001C3C9B" w:rsidP="001C3C9B">
      <w:pPr>
        <w:pStyle w:val="Textonotapie"/>
        <w:ind w:firstLine="708"/>
        <w:jc w:val="both"/>
        <w:rPr>
          <w:rFonts w:ascii="Verdana" w:hAnsi="Verdana"/>
          <w:sz w:val="18"/>
          <w:szCs w:val="18"/>
        </w:rPr>
      </w:pPr>
    </w:p>
    <w:p w14:paraId="0A88752D" w14:textId="77777777" w:rsidR="001C3C9B" w:rsidRPr="00332C8A" w:rsidRDefault="001C3C9B" w:rsidP="001C3C9B">
      <w:pPr>
        <w:pStyle w:val="Textonotapie"/>
        <w:ind w:firstLine="708"/>
        <w:jc w:val="both"/>
        <w:rPr>
          <w:rFonts w:ascii="Verdana" w:hAnsi="Verdana"/>
          <w:sz w:val="18"/>
          <w:szCs w:val="18"/>
        </w:rPr>
      </w:pPr>
      <w:r w:rsidRPr="00332C8A">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2">
    <w:p w14:paraId="3003EA35" w14:textId="77777777" w:rsidR="001C3C9B" w:rsidRPr="00332C8A" w:rsidRDefault="001C3C9B" w:rsidP="001C3C9B">
      <w:pPr>
        <w:pStyle w:val="Textonotapie"/>
        <w:ind w:firstLine="708"/>
        <w:jc w:val="both"/>
        <w:rPr>
          <w:rFonts w:ascii="Verdana" w:hAnsi="Verdana"/>
          <w:sz w:val="18"/>
          <w:szCs w:val="18"/>
        </w:rPr>
      </w:pPr>
      <w:r w:rsidRPr="00332C8A">
        <w:rPr>
          <w:rStyle w:val="Refdenotaalpie"/>
          <w:rFonts w:ascii="Verdana" w:hAnsi="Verdana"/>
          <w:sz w:val="18"/>
          <w:szCs w:val="18"/>
        </w:rPr>
        <w:footnoteRef/>
      </w:r>
      <w:r w:rsidRPr="00332C8A">
        <w:rPr>
          <w:rFonts w:ascii="Verdana" w:hAnsi="Verdana"/>
          <w:sz w:val="18"/>
          <w:szCs w:val="18"/>
        </w:rPr>
        <w:t xml:space="preserve"> Reglamento Colombiano de Construcción Sismo Resistente NSR-10</w:t>
      </w:r>
    </w:p>
    <w:p w14:paraId="213CC933" w14:textId="77777777" w:rsidR="001C3C9B" w:rsidRPr="00332C8A" w:rsidRDefault="001C3C9B" w:rsidP="001C3C9B">
      <w:pPr>
        <w:pStyle w:val="Textonotapie"/>
        <w:ind w:firstLine="708"/>
        <w:jc w:val="both"/>
        <w:rPr>
          <w:rFonts w:ascii="Verdana" w:hAnsi="Verdana"/>
          <w:sz w:val="18"/>
          <w:szCs w:val="18"/>
          <w:lang w:val="es-ES_tradnl"/>
        </w:rPr>
      </w:pPr>
    </w:p>
  </w:footnote>
  <w:footnote w:id="3">
    <w:p w14:paraId="33FF6A1E" w14:textId="77777777" w:rsidR="001C3C9B" w:rsidRPr="00332C8A" w:rsidRDefault="001C3C9B" w:rsidP="001C3C9B">
      <w:pPr>
        <w:pStyle w:val="Textonotapie"/>
        <w:ind w:firstLine="708"/>
        <w:jc w:val="both"/>
        <w:rPr>
          <w:rFonts w:ascii="Verdana" w:hAnsi="Verdana"/>
          <w:sz w:val="18"/>
          <w:szCs w:val="18"/>
          <w:lang w:val="es-ES_tradnl"/>
        </w:rPr>
      </w:pPr>
      <w:r w:rsidRPr="00332C8A">
        <w:rPr>
          <w:rStyle w:val="Refdenotaalpie"/>
          <w:rFonts w:ascii="Verdana" w:hAnsi="Verdana"/>
          <w:sz w:val="18"/>
          <w:szCs w:val="18"/>
        </w:rPr>
        <w:footnoteRef/>
      </w:r>
      <w:r w:rsidRPr="00332C8A">
        <w:rPr>
          <w:rFonts w:ascii="Verdana" w:hAnsi="Verdana"/>
          <w:sz w:val="18"/>
          <w:szCs w:val="18"/>
        </w:rPr>
        <w:t xml:space="preserve"> </w:t>
      </w:r>
      <w:r w:rsidRPr="00332C8A">
        <w:rPr>
          <w:rFonts w:ascii="Verdana" w:hAnsi="Verdana"/>
          <w:sz w:val="18"/>
          <w:szCs w:val="18"/>
          <w:lang w:val="es-ES_tradnl"/>
        </w:rPr>
        <w:t xml:space="preserve">Ibidem </w:t>
      </w:r>
    </w:p>
    <w:p w14:paraId="6896CA67" w14:textId="77777777" w:rsidR="001C3C9B" w:rsidRPr="00332C8A" w:rsidRDefault="001C3C9B" w:rsidP="001C3C9B">
      <w:pPr>
        <w:pStyle w:val="Textonotapie"/>
        <w:ind w:firstLine="708"/>
        <w:jc w:val="both"/>
        <w:rPr>
          <w:rFonts w:ascii="Verdana" w:hAnsi="Verdana"/>
          <w:sz w:val="18"/>
          <w:szCs w:val="18"/>
          <w:lang w:val="es-ES_tradnl"/>
        </w:rPr>
      </w:pPr>
    </w:p>
  </w:footnote>
  <w:footnote w:id="4">
    <w:p w14:paraId="7BDFB286" w14:textId="77777777" w:rsidR="001C3C9B" w:rsidRPr="00332C8A" w:rsidRDefault="001C3C9B" w:rsidP="001C3C9B">
      <w:pPr>
        <w:pStyle w:val="Textonotapie"/>
        <w:ind w:firstLine="708"/>
        <w:jc w:val="both"/>
        <w:rPr>
          <w:rFonts w:ascii="Verdana" w:hAnsi="Verdana"/>
          <w:sz w:val="18"/>
          <w:szCs w:val="18"/>
        </w:rPr>
      </w:pPr>
      <w:r w:rsidRPr="00332C8A">
        <w:rPr>
          <w:rStyle w:val="Refdenotaalpie"/>
          <w:rFonts w:ascii="Verdana" w:hAnsi="Verdana"/>
          <w:sz w:val="18"/>
          <w:szCs w:val="18"/>
        </w:rPr>
        <w:footnoteRef/>
      </w:r>
      <w:r w:rsidRPr="00332C8A">
        <w:rPr>
          <w:rFonts w:ascii="Verdana" w:hAnsi="Verdana"/>
          <w:sz w:val="18"/>
          <w:szCs w:val="18"/>
        </w:rPr>
        <w:t xml:space="preserve"> Definición construida con base, entre otros de los diccionarios: Lexvademecum y Poder Judicial de la República de Costa Rica. </w:t>
      </w:r>
    </w:p>
    <w:p w14:paraId="4FD0A81A" w14:textId="77777777" w:rsidR="001C3C9B" w:rsidRPr="00332C8A" w:rsidRDefault="001C3C9B" w:rsidP="001C3C9B">
      <w:pPr>
        <w:pStyle w:val="Textonotapie"/>
        <w:ind w:firstLine="708"/>
        <w:jc w:val="both"/>
        <w:rPr>
          <w:rFonts w:ascii="Verdana" w:hAnsi="Verdana"/>
          <w:sz w:val="18"/>
          <w:szCs w:val="18"/>
          <w:lang w:val="es-ES_tradnl"/>
        </w:rPr>
      </w:pPr>
    </w:p>
  </w:footnote>
  <w:footnote w:id="5">
    <w:p w14:paraId="12CDDD2B" w14:textId="77777777" w:rsidR="001C3C9B" w:rsidRPr="00332C8A" w:rsidRDefault="001C3C9B" w:rsidP="001C3C9B">
      <w:pPr>
        <w:pStyle w:val="Textonotapie"/>
        <w:ind w:firstLine="708"/>
        <w:jc w:val="both"/>
        <w:rPr>
          <w:rFonts w:ascii="Verdana" w:hAnsi="Verdana"/>
          <w:sz w:val="18"/>
          <w:szCs w:val="18"/>
        </w:rPr>
      </w:pPr>
      <w:r w:rsidRPr="00332C8A">
        <w:rPr>
          <w:rStyle w:val="Refdenotaalpie"/>
          <w:rFonts w:ascii="Verdana" w:hAnsi="Verdana"/>
          <w:sz w:val="18"/>
          <w:szCs w:val="18"/>
        </w:rPr>
        <w:footnoteRef/>
      </w:r>
      <w:r w:rsidRPr="00332C8A">
        <w:rPr>
          <w:rFonts w:ascii="Verdana" w:hAnsi="Verdana"/>
          <w:sz w:val="18"/>
          <w:szCs w:val="18"/>
        </w:rPr>
        <w:t xml:space="preserve"> Ley 938 de 2004 “Por la cual se expide el Estatuto Orgánico de la Fiscalía General de la Nación, </w:t>
      </w:r>
      <w:r>
        <w:rPr>
          <w:rFonts w:ascii="Verdana" w:hAnsi="Verdana"/>
          <w:sz w:val="18"/>
          <w:szCs w:val="18"/>
        </w:rPr>
        <w:t>A</w:t>
      </w:r>
      <w:r w:rsidRPr="00332C8A">
        <w:rPr>
          <w:rFonts w:ascii="Verdana" w:hAnsi="Verdana"/>
          <w:sz w:val="18"/>
          <w:szCs w:val="18"/>
        </w:rPr>
        <w:t>rtículo 33</w:t>
      </w:r>
      <w:r>
        <w:rPr>
          <w:rFonts w:ascii="Verdana" w:hAnsi="Verdana"/>
          <w:sz w:val="18"/>
          <w:szCs w:val="18"/>
        </w:rPr>
        <w:t>.</w:t>
      </w:r>
    </w:p>
    <w:p w14:paraId="7EAA676D" w14:textId="77777777" w:rsidR="001C3C9B" w:rsidRPr="00332C8A" w:rsidRDefault="001C3C9B" w:rsidP="001C3C9B">
      <w:pPr>
        <w:pStyle w:val="Textonotapie"/>
        <w:ind w:firstLine="708"/>
        <w:jc w:val="both"/>
        <w:rPr>
          <w:rFonts w:ascii="Verdana" w:hAnsi="Verdana"/>
          <w:sz w:val="18"/>
          <w:szCs w:val="18"/>
          <w:lang w:val="es-ES_tradnl"/>
        </w:rPr>
      </w:pPr>
    </w:p>
  </w:footnote>
  <w:footnote w:id="6">
    <w:p w14:paraId="6A4EB243" w14:textId="77777777" w:rsidR="001C3C9B" w:rsidRDefault="001C3C9B" w:rsidP="001C3C9B">
      <w:pPr>
        <w:pStyle w:val="Textonotapie"/>
        <w:ind w:firstLine="708"/>
        <w:jc w:val="both"/>
        <w:rPr>
          <w:rFonts w:ascii="Verdana" w:hAnsi="Verdana"/>
          <w:sz w:val="18"/>
          <w:szCs w:val="18"/>
        </w:rPr>
      </w:pPr>
      <w:r w:rsidRPr="00332C8A">
        <w:rPr>
          <w:rStyle w:val="Refdenotaalpie"/>
          <w:rFonts w:ascii="Verdana" w:hAnsi="Verdana"/>
          <w:sz w:val="18"/>
          <w:szCs w:val="18"/>
        </w:rPr>
        <w:footnoteRef/>
      </w:r>
      <w:r w:rsidRPr="00332C8A">
        <w:rPr>
          <w:rFonts w:ascii="Verdana" w:hAnsi="Verdana"/>
          <w:sz w:val="18"/>
          <w:szCs w:val="18"/>
        </w:rPr>
        <w:t xml:space="preserve"> Información tomada de la página web del Instituto Nacional de Medicina Legal y Ciencias Forenses disponible en el siguiente enlace: </w:t>
      </w:r>
      <w:hyperlink r:id="rId1" w:history="1">
        <w:r w:rsidRPr="00332C8A">
          <w:rPr>
            <w:rStyle w:val="Hipervnculo"/>
            <w:rFonts w:ascii="Verdana" w:hAnsi="Verdana"/>
            <w:sz w:val="18"/>
            <w:szCs w:val="18"/>
          </w:rPr>
          <w:t>https://www.medicinalegal.gov.co/objetivos-y-funciones</w:t>
        </w:r>
      </w:hyperlink>
      <w:r w:rsidRPr="00332C8A">
        <w:rPr>
          <w:rFonts w:ascii="Verdana" w:hAnsi="Verdana"/>
          <w:sz w:val="18"/>
          <w:szCs w:val="18"/>
        </w:rPr>
        <w:t xml:space="preserve"> </w:t>
      </w:r>
    </w:p>
    <w:p w14:paraId="6819A34E" w14:textId="77777777" w:rsidR="001C3C9B" w:rsidRPr="00332C8A" w:rsidRDefault="001C3C9B" w:rsidP="001C3C9B">
      <w:pPr>
        <w:pStyle w:val="Textonotapie"/>
        <w:ind w:firstLine="708"/>
        <w:jc w:val="both"/>
        <w:rPr>
          <w:rFonts w:ascii="Verdana" w:hAnsi="Verdana"/>
          <w:sz w:val="18"/>
          <w:szCs w:val="18"/>
          <w:lang w:val="es-ES_tradnl"/>
        </w:rPr>
      </w:pPr>
    </w:p>
  </w:footnote>
  <w:footnote w:id="7">
    <w:p w14:paraId="3A9AE7EA" w14:textId="77777777" w:rsidR="001C3C9B" w:rsidRPr="00550E25" w:rsidRDefault="001C3C9B" w:rsidP="001C3C9B">
      <w:pPr>
        <w:pStyle w:val="Textonotapie"/>
        <w:ind w:firstLine="708"/>
        <w:rPr>
          <w:lang w:val="es-ES_tradnl"/>
        </w:rPr>
      </w:pPr>
      <w:r>
        <w:rPr>
          <w:rStyle w:val="Refdenotaalpie"/>
        </w:rPr>
        <w:footnoteRef/>
      </w:r>
      <w:r>
        <w:t xml:space="preserve"> Ibidem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574248D4"/>
    <w:multiLevelType w:val="hybridMultilevel"/>
    <w:tmpl w:val="7FD240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8B10986"/>
    <w:multiLevelType w:val="hybridMultilevel"/>
    <w:tmpl w:val="34B6ACBE"/>
    <w:lvl w:ilvl="0" w:tplc="240A0001">
      <w:start w:val="1"/>
      <w:numFmt w:val="bullet"/>
      <w:lvlText w:val=""/>
      <w:lvlJc w:val="left"/>
      <w:pPr>
        <w:ind w:left="1996" w:hanging="360"/>
      </w:pPr>
      <w:rPr>
        <w:rFonts w:ascii="Symbol" w:hAnsi="Symbol" w:hint="default"/>
      </w:rPr>
    </w:lvl>
    <w:lvl w:ilvl="1" w:tplc="240A0003" w:tentative="1">
      <w:start w:val="1"/>
      <w:numFmt w:val="bullet"/>
      <w:lvlText w:val="o"/>
      <w:lvlJc w:val="left"/>
      <w:pPr>
        <w:ind w:left="2716" w:hanging="360"/>
      </w:pPr>
      <w:rPr>
        <w:rFonts w:ascii="Courier New" w:hAnsi="Courier New" w:cs="Courier New" w:hint="default"/>
      </w:rPr>
    </w:lvl>
    <w:lvl w:ilvl="2" w:tplc="240A0005" w:tentative="1">
      <w:start w:val="1"/>
      <w:numFmt w:val="bullet"/>
      <w:lvlText w:val=""/>
      <w:lvlJc w:val="left"/>
      <w:pPr>
        <w:ind w:left="3436" w:hanging="360"/>
      </w:pPr>
      <w:rPr>
        <w:rFonts w:ascii="Wingdings" w:hAnsi="Wingdings" w:hint="default"/>
      </w:rPr>
    </w:lvl>
    <w:lvl w:ilvl="3" w:tplc="240A0001" w:tentative="1">
      <w:start w:val="1"/>
      <w:numFmt w:val="bullet"/>
      <w:lvlText w:val=""/>
      <w:lvlJc w:val="left"/>
      <w:pPr>
        <w:ind w:left="4156" w:hanging="360"/>
      </w:pPr>
      <w:rPr>
        <w:rFonts w:ascii="Symbol" w:hAnsi="Symbol" w:hint="default"/>
      </w:rPr>
    </w:lvl>
    <w:lvl w:ilvl="4" w:tplc="240A0003" w:tentative="1">
      <w:start w:val="1"/>
      <w:numFmt w:val="bullet"/>
      <w:lvlText w:val="o"/>
      <w:lvlJc w:val="left"/>
      <w:pPr>
        <w:ind w:left="4876" w:hanging="360"/>
      </w:pPr>
      <w:rPr>
        <w:rFonts w:ascii="Courier New" w:hAnsi="Courier New" w:cs="Courier New" w:hint="default"/>
      </w:rPr>
    </w:lvl>
    <w:lvl w:ilvl="5" w:tplc="240A0005" w:tentative="1">
      <w:start w:val="1"/>
      <w:numFmt w:val="bullet"/>
      <w:lvlText w:val=""/>
      <w:lvlJc w:val="left"/>
      <w:pPr>
        <w:ind w:left="5596" w:hanging="360"/>
      </w:pPr>
      <w:rPr>
        <w:rFonts w:ascii="Wingdings" w:hAnsi="Wingdings" w:hint="default"/>
      </w:rPr>
    </w:lvl>
    <w:lvl w:ilvl="6" w:tplc="240A0001" w:tentative="1">
      <w:start w:val="1"/>
      <w:numFmt w:val="bullet"/>
      <w:lvlText w:val=""/>
      <w:lvlJc w:val="left"/>
      <w:pPr>
        <w:ind w:left="6316" w:hanging="360"/>
      </w:pPr>
      <w:rPr>
        <w:rFonts w:ascii="Symbol" w:hAnsi="Symbol" w:hint="default"/>
      </w:rPr>
    </w:lvl>
    <w:lvl w:ilvl="7" w:tplc="240A0003" w:tentative="1">
      <w:start w:val="1"/>
      <w:numFmt w:val="bullet"/>
      <w:lvlText w:val="o"/>
      <w:lvlJc w:val="left"/>
      <w:pPr>
        <w:ind w:left="7036" w:hanging="360"/>
      </w:pPr>
      <w:rPr>
        <w:rFonts w:ascii="Courier New" w:hAnsi="Courier New" w:cs="Courier New" w:hint="default"/>
      </w:rPr>
    </w:lvl>
    <w:lvl w:ilvl="8" w:tplc="240A0005" w:tentative="1">
      <w:start w:val="1"/>
      <w:numFmt w:val="bullet"/>
      <w:lvlText w:val=""/>
      <w:lvlJc w:val="left"/>
      <w:pPr>
        <w:ind w:left="7756"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5"/>
  </w:num>
  <w:num w:numId="8" w16cid:durableId="152644682">
    <w:abstractNumId w:val="14"/>
  </w:num>
  <w:num w:numId="9" w16cid:durableId="1317221377">
    <w:abstractNumId w:val="7"/>
  </w:num>
  <w:num w:numId="10" w16cid:durableId="1471245386">
    <w:abstractNumId w:val="13"/>
  </w:num>
  <w:num w:numId="11" w16cid:durableId="289172385">
    <w:abstractNumId w:val="8"/>
  </w:num>
  <w:num w:numId="12" w16cid:durableId="1470781324">
    <w:abstractNumId w:val="1"/>
  </w:num>
  <w:num w:numId="13" w16cid:durableId="1512908409">
    <w:abstractNumId w:val="3"/>
  </w:num>
  <w:num w:numId="14" w16cid:durableId="895897244">
    <w:abstractNumId w:val="16"/>
  </w:num>
  <w:num w:numId="15" w16cid:durableId="390349800">
    <w:abstractNumId w:val="11"/>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9"/>
  </w:num>
  <w:num w:numId="18" w16cid:durableId="341274352">
    <w:abstractNumId w:val="0"/>
  </w:num>
  <w:num w:numId="19" w16cid:durableId="1959145927">
    <w:abstractNumId w:val="12"/>
  </w:num>
  <w:num w:numId="20" w16cid:durableId="7355126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4091E"/>
    <w:rsid w:val="001452AF"/>
    <w:rsid w:val="0015699B"/>
    <w:rsid w:val="001640A5"/>
    <w:rsid w:val="00191AE6"/>
    <w:rsid w:val="001A33BF"/>
    <w:rsid w:val="001C3C9B"/>
    <w:rsid w:val="001C5FDC"/>
    <w:rsid w:val="001E4177"/>
    <w:rsid w:val="001F0B24"/>
    <w:rsid w:val="001F7DC6"/>
    <w:rsid w:val="0022400B"/>
    <w:rsid w:val="002421BB"/>
    <w:rsid w:val="0025796E"/>
    <w:rsid w:val="002707A2"/>
    <w:rsid w:val="002738F0"/>
    <w:rsid w:val="002951A0"/>
    <w:rsid w:val="002962BC"/>
    <w:rsid w:val="002A093D"/>
    <w:rsid w:val="002A0DD0"/>
    <w:rsid w:val="002A49AC"/>
    <w:rsid w:val="002A64FD"/>
    <w:rsid w:val="002B1743"/>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B7902"/>
    <w:rsid w:val="004F21C4"/>
    <w:rsid w:val="004F685F"/>
    <w:rsid w:val="005566E8"/>
    <w:rsid w:val="00574867"/>
    <w:rsid w:val="00591460"/>
    <w:rsid w:val="005A2BD5"/>
    <w:rsid w:val="005A65E0"/>
    <w:rsid w:val="005C3777"/>
    <w:rsid w:val="005C5CDC"/>
    <w:rsid w:val="005D476C"/>
    <w:rsid w:val="005F5CE0"/>
    <w:rsid w:val="006200BF"/>
    <w:rsid w:val="006219F8"/>
    <w:rsid w:val="006302F7"/>
    <w:rsid w:val="006320E2"/>
    <w:rsid w:val="00646B9F"/>
    <w:rsid w:val="00665D70"/>
    <w:rsid w:val="006900D9"/>
    <w:rsid w:val="00706C16"/>
    <w:rsid w:val="00711878"/>
    <w:rsid w:val="007340C3"/>
    <w:rsid w:val="00737654"/>
    <w:rsid w:val="0074561E"/>
    <w:rsid w:val="0075235A"/>
    <w:rsid w:val="00756841"/>
    <w:rsid w:val="00761DEA"/>
    <w:rsid w:val="007649AB"/>
    <w:rsid w:val="00771D0C"/>
    <w:rsid w:val="007833AC"/>
    <w:rsid w:val="007B268C"/>
    <w:rsid w:val="007B7171"/>
    <w:rsid w:val="007C0C0F"/>
    <w:rsid w:val="007C3DC2"/>
    <w:rsid w:val="007E5497"/>
    <w:rsid w:val="007E75E4"/>
    <w:rsid w:val="007F7B46"/>
    <w:rsid w:val="00806F5F"/>
    <w:rsid w:val="00820278"/>
    <w:rsid w:val="008258C9"/>
    <w:rsid w:val="00844AE9"/>
    <w:rsid w:val="00867F95"/>
    <w:rsid w:val="008843B6"/>
    <w:rsid w:val="00891928"/>
    <w:rsid w:val="008A446D"/>
    <w:rsid w:val="008B25F1"/>
    <w:rsid w:val="008D0C05"/>
    <w:rsid w:val="008D180B"/>
    <w:rsid w:val="008D3A4C"/>
    <w:rsid w:val="008F0EA7"/>
    <w:rsid w:val="00923EEF"/>
    <w:rsid w:val="009419F9"/>
    <w:rsid w:val="0095685E"/>
    <w:rsid w:val="00961B09"/>
    <w:rsid w:val="00965334"/>
    <w:rsid w:val="0097083A"/>
    <w:rsid w:val="0097093E"/>
    <w:rsid w:val="009A0DFA"/>
    <w:rsid w:val="009A1C6F"/>
    <w:rsid w:val="009B2D26"/>
    <w:rsid w:val="009C71FA"/>
    <w:rsid w:val="009C72E7"/>
    <w:rsid w:val="009C7F7E"/>
    <w:rsid w:val="009D3058"/>
    <w:rsid w:val="009F3A13"/>
    <w:rsid w:val="00A0009E"/>
    <w:rsid w:val="00A07EA1"/>
    <w:rsid w:val="00A122D3"/>
    <w:rsid w:val="00A13AA8"/>
    <w:rsid w:val="00A14468"/>
    <w:rsid w:val="00A17F13"/>
    <w:rsid w:val="00A20739"/>
    <w:rsid w:val="00A23AF9"/>
    <w:rsid w:val="00A33C78"/>
    <w:rsid w:val="00A422A1"/>
    <w:rsid w:val="00A54465"/>
    <w:rsid w:val="00A928A3"/>
    <w:rsid w:val="00AB0ADB"/>
    <w:rsid w:val="00AC1AEF"/>
    <w:rsid w:val="00AD3354"/>
    <w:rsid w:val="00B00C0E"/>
    <w:rsid w:val="00B01B1A"/>
    <w:rsid w:val="00B0381D"/>
    <w:rsid w:val="00B44A47"/>
    <w:rsid w:val="00B72CD3"/>
    <w:rsid w:val="00B72FFF"/>
    <w:rsid w:val="00BC3D36"/>
    <w:rsid w:val="00BD54A6"/>
    <w:rsid w:val="00BD7F72"/>
    <w:rsid w:val="00BF7425"/>
    <w:rsid w:val="00C04FB3"/>
    <w:rsid w:val="00C11D8B"/>
    <w:rsid w:val="00C12435"/>
    <w:rsid w:val="00C15139"/>
    <w:rsid w:val="00C330EB"/>
    <w:rsid w:val="00C50D69"/>
    <w:rsid w:val="00C5365C"/>
    <w:rsid w:val="00C54B94"/>
    <w:rsid w:val="00C754BE"/>
    <w:rsid w:val="00C76B1C"/>
    <w:rsid w:val="00C925AC"/>
    <w:rsid w:val="00CA48BB"/>
    <w:rsid w:val="00CB6357"/>
    <w:rsid w:val="00CC1B26"/>
    <w:rsid w:val="00CF5DDE"/>
    <w:rsid w:val="00D3358E"/>
    <w:rsid w:val="00D361FD"/>
    <w:rsid w:val="00D423A2"/>
    <w:rsid w:val="00D44E26"/>
    <w:rsid w:val="00D520D8"/>
    <w:rsid w:val="00D63AC2"/>
    <w:rsid w:val="00D7383B"/>
    <w:rsid w:val="00D7788A"/>
    <w:rsid w:val="00D94926"/>
    <w:rsid w:val="00DA231B"/>
    <w:rsid w:val="00DC39FC"/>
    <w:rsid w:val="00DD5639"/>
    <w:rsid w:val="00DF5254"/>
    <w:rsid w:val="00E02524"/>
    <w:rsid w:val="00E16408"/>
    <w:rsid w:val="00E20894"/>
    <w:rsid w:val="00E245AB"/>
    <w:rsid w:val="00E2764C"/>
    <w:rsid w:val="00E27F2E"/>
    <w:rsid w:val="00E4588F"/>
    <w:rsid w:val="00E50AFE"/>
    <w:rsid w:val="00E75C92"/>
    <w:rsid w:val="00E771DC"/>
    <w:rsid w:val="00E821FA"/>
    <w:rsid w:val="00E8772A"/>
    <w:rsid w:val="00E90F6B"/>
    <w:rsid w:val="00E92C27"/>
    <w:rsid w:val="00EA0E3D"/>
    <w:rsid w:val="00EC38A7"/>
    <w:rsid w:val="00EE1AA8"/>
    <w:rsid w:val="00F07FC4"/>
    <w:rsid w:val="00F23FEA"/>
    <w:rsid w:val="00F31EDC"/>
    <w:rsid w:val="00F462B3"/>
    <w:rsid w:val="00F5664F"/>
    <w:rsid w:val="00F666C4"/>
    <w:rsid w:val="00F76AFC"/>
    <w:rsid w:val="00FA47C0"/>
    <w:rsid w:val="00FB5DD1"/>
    <w:rsid w:val="00FC2B5D"/>
    <w:rsid w:val="00FF1449"/>
    <w:rsid w:val="00FF7669"/>
    <w:rsid w:val="00FF7963"/>
    <w:rsid w:val="071B8F93"/>
    <w:rsid w:val="07C73DD1"/>
    <w:rsid w:val="09908A09"/>
    <w:rsid w:val="0E0AF0F4"/>
    <w:rsid w:val="0EFE6349"/>
    <w:rsid w:val="0FF4CCA8"/>
    <w:rsid w:val="13CFC91B"/>
    <w:rsid w:val="180EA12C"/>
    <w:rsid w:val="19A2EC2C"/>
    <w:rsid w:val="21779BE6"/>
    <w:rsid w:val="2859CA1B"/>
    <w:rsid w:val="2C4D2425"/>
    <w:rsid w:val="2EE1E026"/>
    <w:rsid w:val="2F44F38F"/>
    <w:rsid w:val="30821638"/>
    <w:rsid w:val="32A4F9CF"/>
    <w:rsid w:val="33A1FF93"/>
    <w:rsid w:val="356CEDFD"/>
    <w:rsid w:val="3C591AFD"/>
    <w:rsid w:val="42183F0A"/>
    <w:rsid w:val="545B112A"/>
    <w:rsid w:val="567B145F"/>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1C3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1C3C9B"/>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documentos-tipo/documentos-tipo" TargetMode="External"/><Relationship Id="rId18"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eydij.sanchez@medicinalegal.gov.co" TargetMode="External"/><Relationship Id="rId17"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inalegal.gov.co/objetivos-y-funcion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20EC89-2B1A-4A79-849B-BE79A65006CD}"/>
</file>

<file path=customXml/itemProps4.xml><?xml version="1.0" encoding="utf-8"?>
<ds:datastoreItem xmlns:ds="http://schemas.openxmlformats.org/officeDocument/2006/customXml" ds:itemID="{3607EB88-7E63-47C7-86C7-07501E7CE48E}">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6822</Words>
  <Characters>37527</Characters>
  <Application>Microsoft Office Word</Application>
  <DocSecurity>0</DocSecurity>
  <Lines>312</Lines>
  <Paragraphs>88</Paragraphs>
  <ScaleCrop>false</ScaleCrop>
  <Company/>
  <LinksUpToDate>false</LinksUpToDate>
  <CharactersWithSpaces>44261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2</cp:revision>
  <cp:lastPrinted>2023-01-10T21:18:00Z</cp:lastPrinted>
  <dcterms:created xsi:type="dcterms:W3CDTF">2026-08-21T17:20:00Z</dcterms:created>
  <dcterms:modified xsi:type="dcterms:W3CDTF">2026-08-21T17:20:00Z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