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C2EB0" w14:textId="5BC24F6F" w:rsidR="00712CDA" w:rsidRPr="00712CDA" w:rsidRDefault="00D02EE0" w:rsidP="00712CDA">
      <w:pPr>
        <w:spacing w:after="0"/>
        <w:jc w:val="both"/>
        <w:rPr>
          <w:rFonts w:ascii="Verdana" w:eastAsia="Verdana" w:hAnsi="Verdana" w:cs="Verdana"/>
          <w:b/>
          <w:bCs/>
        </w:rPr>
      </w:pPr>
      <w:bookmarkStart w:id="0" w:name="_Hlk143780582"/>
      <w:r>
        <w:rPr>
          <w:rFonts w:ascii="Verdana" w:eastAsia="Verdana" w:hAnsi="Verdana" w:cs="Verdana"/>
        </w:rPr>
        <w:t xml:space="preserve">                                                                                                                                         </w:t>
      </w:r>
      <w:r w:rsidR="00712CDA" w:rsidRPr="00712CDA">
        <w:rPr>
          <w:rFonts w:ascii="Verdana" w:eastAsia="Verdana" w:hAnsi="Verdana" w:cs="Verdana"/>
          <w:b/>
          <w:bCs/>
        </w:rPr>
        <w:t>EXPERIENCIA EN PROCESOS DE CONTRATACIÓN – Ley 1150 de 2007 – Acreditación RUP</w:t>
      </w:r>
    </w:p>
    <w:p w14:paraId="37D81265" w14:textId="77777777" w:rsidR="00712CDA" w:rsidRPr="00712CDA" w:rsidRDefault="00712CDA" w:rsidP="00712CDA">
      <w:pPr>
        <w:spacing w:after="0"/>
        <w:jc w:val="both"/>
        <w:rPr>
          <w:rFonts w:ascii="Verdana" w:eastAsia="Verdana" w:hAnsi="Verdana" w:cs="Verdana"/>
        </w:rPr>
      </w:pPr>
    </w:p>
    <w:p w14:paraId="77467B4A" w14:textId="77777777" w:rsidR="00712CDA" w:rsidRPr="00712CDA" w:rsidRDefault="00712CDA" w:rsidP="00712CDA">
      <w:pPr>
        <w:spacing w:after="0"/>
        <w:jc w:val="both"/>
        <w:rPr>
          <w:rFonts w:ascii="Verdana" w:eastAsia="Verdana" w:hAnsi="Verdana" w:cs="Verdana"/>
          <w:sz w:val="20"/>
          <w:szCs w:val="20"/>
        </w:rPr>
      </w:pPr>
      <w:r w:rsidRPr="00712CDA">
        <w:rPr>
          <w:rFonts w:ascii="Verdana" w:eastAsia="Verdana" w:hAnsi="Verdana" w:cs="Verdana"/>
          <w:sz w:val="20"/>
          <w:szCs w:val="20"/>
        </w:rPr>
        <w:t>[…] de conformidad con el artículo 5 de la Ley 1150 de 2007, la experiencia constituye un requisito habilitante para participar en los procesos de contratación estatal y, por regla general, no otorga puntaje, salvo en el concurso de méritos para la selección de consultores, en el cual puede ser objeto de evaluación.</w:t>
      </w:r>
    </w:p>
    <w:p w14:paraId="65F4B47A" w14:textId="77777777" w:rsidR="00712CDA" w:rsidRPr="00712CDA" w:rsidRDefault="00712CDA" w:rsidP="00712CDA">
      <w:pPr>
        <w:spacing w:after="0"/>
        <w:jc w:val="both"/>
        <w:rPr>
          <w:rFonts w:ascii="Verdana" w:eastAsia="Verdana" w:hAnsi="Verdana" w:cs="Verdana"/>
        </w:rPr>
      </w:pPr>
    </w:p>
    <w:p w14:paraId="77BC8A0D" w14:textId="77777777" w:rsidR="00712CDA" w:rsidRPr="00712CDA" w:rsidRDefault="00712CDA" w:rsidP="00712CDA">
      <w:pPr>
        <w:spacing w:after="0"/>
        <w:jc w:val="both"/>
        <w:rPr>
          <w:rFonts w:ascii="Verdana" w:eastAsia="Verdana" w:hAnsi="Verdana" w:cs="Verdana"/>
          <w:b/>
          <w:bCs/>
        </w:rPr>
      </w:pPr>
      <w:r w:rsidRPr="00712CDA">
        <w:rPr>
          <w:rFonts w:ascii="Verdana" w:eastAsia="Verdana" w:hAnsi="Verdana" w:cs="Verdana"/>
          <w:b/>
          <w:bCs/>
        </w:rPr>
        <w:t>EXPERIENCIA DE PERSONAS JURÍDICAS – Acreditación – Artículo 2.2.1.1.1.5.2 del Decreto 1082 de 2015– Procedencia – Término</w:t>
      </w:r>
    </w:p>
    <w:p w14:paraId="17091DD8" w14:textId="77777777" w:rsidR="00712CDA" w:rsidRPr="00712CDA" w:rsidRDefault="00712CDA" w:rsidP="00712CDA">
      <w:pPr>
        <w:spacing w:after="0"/>
        <w:jc w:val="both"/>
        <w:rPr>
          <w:rFonts w:ascii="Verdana" w:eastAsia="Verdana" w:hAnsi="Verdana" w:cs="Verdana"/>
        </w:rPr>
      </w:pPr>
    </w:p>
    <w:p w14:paraId="2C32CCEF" w14:textId="53CAAA87" w:rsidR="00712CDA" w:rsidRPr="00712CDA" w:rsidRDefault="00712CDA" w:rsidP="00712CDA">
      <w:pPr>
        <w:spacing w:after="0"/>
        <w:jc w:val="both"/>
        <w:rPr>
          <w:rFonts w:ascii="Verdana" w:eastAsia="Times New Roman" w:hAnsi="Verdana" w:cs="Times New Roman"/>
          <w:sz w:val="20"/>
          <w:szCs w:val="20"/>
          <w:lang w:eastAsia="es-CO"/>
        </w:rPr>
      </w:pPr>
      <w:r w:rsidRPr="00712CDA">
        <w:rPr>
          <w:rFonts w:ascii="Verdana" w:eastAsia="Verdana" w:hAnsi="Verdana" w:cs="Verdana"/>
          <w:sz w:val="20"/>
          <w:szCs w:val="20"/>
        </w:rPr>
        <w:t>[…] las personas jurídicas acreditan su experiencia mediante la información inscrita en el Registro Único de Proponentes (RUP), de conformidad con lo dispuesto en el artículo 6 de la Ley 1150 de 2007 y en el numeral 2.5 del artículo 2.2.1.1.1.5.2 del Decreto 1082 de 2015. No obstante, esta última disposición establece, de manera excepcional, que cuando la persona jurídica tenga menos de tres (3) años de constituida al momento de su inscripción o renovación en el RUP, podrá acreditar como propia la experiencia de sus accionistas, socios o constituyentes, en los términos allí previstos.</w:t>
      </w:r>
    </w:p>
    <w:p w14:paraId="1A0A81E9" w14:textId="77777777" w:rsidR="00712CDA" w:rsidRDefault="00712CDA" w:rsidP="005A7EB7">
      <w:pPr>
        <w:spacing w:after="0"/>
        <w:rPr>
          <w:rFonts w:ascii="Verdana" w:eastAsia="Times New Roman" w:hAnsi="Verdana" w:cs="Times New Roman"/>
          <w:lang w:eastAsia="es-CO"/>
        </w:rPr>
      </w:pPr>
    </w:p>
    <w:p w14:paraId="02D1DD75" w14:textId="77777777" w:rsidR="00712CDA" w:rsidRDefault="00712CDA" w:rsidP="005A7EB7">
      <w:pPr>
        <w:spacing w:after="0"/>
        <w:rPr>
          <w:rFonts w:ascii="Verdana" w:eastAsia="Times New Roman" w:hAnsi="Verdana" w:cs="Times New Roman"/>
          <w:lang w:eastAsia="es-CO"/>
        </w:rPr>
      </w:pPr>
    </w:p>
    <w:p w14:paraId="4803A63E" w14:textId="20269293" w:rsidR="0055428F" w:rsidRDefault="0055428F" w:rsidP="005A7EB7">
      <w:pPr>
        <w:spacing w:after="0"/>
        <w:rPr>
          <w:rFonts w:ascii="Verdana" w:eastAsia="Verdana" w:hAnsi="Verdana" w:cs="Verdana"/>
        </w:rPr>
      </w:pPr>
      <w:r>
        <w:rPr>
          <w:rFonts w:ascii="Verdana" w:eastAsia="Verdana" w:hAnsi="Verdana" w:cs="Verdana"/>
        </w:rPr>
        <w:br w:type="page"/>
      </w:r>
    </w:p>
    <w:p w14:paraId="7C9026E2" w14:textId="4F433000" w:rsidR="002A0DD0" w:rsidRDefault="00C15139" w:rsidP="002B7ECD">
      <w:pPr>
        <w:spacing w:after="0"/>
      </w:pPr>
      <w:r w:rsidRPr="30821638">
        <w:rPr>
          <w:rFonts w:ascii="Verdana" w:eastAsia="Verdana" w:hAnsi="Verdana" w:cs="Verdana"/>
        </w:rPr>
        <w:lastRenderedPageBreak/>
        <w:t>Bogotá D.C.,</w:t>
      </w:r>
      <w:r w:rsidR="00942F04">
        <w:rPr>
          <w:rFonts w:ascii="Verdana" w:eastAsia="Verdana" w:hAnsi="Verdana" w:cs="Verdana"/>
        </w:rPr>
        <w:t xml:space="preserve"> </w:t>
      </w:r>
      <w:r w:rsidR="0055428F">
        <w:rPr>
          <w:rFonts w:ascii="Verdana" w:eastAsia="Times New Roman" w:hAnsi="Verdana" w:cs="Arial"/>
          <w:lang w:val="es-ES" w:eastAsia="es-ES"/>
        </w:rPr>
        <w:t xml:space="preserve">18 </w:t>
      </w:r>
      <w:r w:rsidR="00F06B58">
        <w:rPr>
          <w:rFonts w:ascii="Verdana" w:eastAsia="Times New Roman" w:hAnsi="Verdana" w:cs="Arial"/>
          <w:lang w:val="es-ES" w:eastAsia="es-ES"/>
        </w:rPr>
        <w:t>de agosto</w:t>
      </w:r>
      <w:r w:rsidR="0055428F">
        <w:rPr>
          <w:rFonts w:ascii="Verdana" w:eastAsia="Times New Roman" w:hAnsi="Verdana" w:cs="Arial"/>
          <w:lang w:val="es-ES" w:eastAsia="es-ES"/>
        </w:rPr>
        <w:t xml:space="preserve"> </w:t>
      </w:r>
      <w:r w:rsidR="00F06B58">
        <w:rPr>
          <w:rFonts w:ascii="Verdana" w:eastAsia="Times New Roman" w:hAnsi="Verdana" w:cs="Arial"/>
          <w:lang w:val="es-ES" w:eastAsia="es-ES"/>
        </w:rPr>
        <w:t xml:space="preserve">de </w:t>
      </w:r>
      <w:r w:rsidR="0055428F">
        <w:rPr>
          <w:rFonts w:ascii="Verdana" w:eastAsia="Times New Roman" w:hAnsi="Verdana" w:cs="Arial"/>
          <w:lang w:val="es-ES" w:eastAsia="es-ES"/>
        </w:rPr>
        <w:t xml:space="preserve">2026 </w:t>
      </w:r>
      <w:r>
        <w:tab/>
      </w:r>
    </w:p>
    <w:p w14:paraId="0B0D5FBF" w14:textId="77777777" w:rsidR="00F06B58" w:rsidRDefault="00F06B58" w:rsidP="002B7ECD">
      <w:pPr>
        <w:spacing w:after="0"/>
      </w:pPr>
    </w:p>
    <w:p w14:paraId="21ADA84B" w14:textId="77777777" w:rsidR="00F06B58" w:rsidRDefault="00F06B58" w:rsidP="002B7ECD">
      <w:pPr>
        <w:spacing w:after="0"/>
        <w:rPr>
          <w:rFonts w:ascii="Verdana" w:eastAsia="Verdana" w:hAnsi="Verdana" w:cs="Verdana"/>
          <w:lang w:val="es-MX"/>
        </w:rPr>
      </w:pPr>
    </w:p>
    <w:p w14:paraId="7F1C988F" w14:textId="29D1E454" w:rsidR="00A575B5" w:rsidRDefault="00A575B5" w:rsidP="00A575B5">
      <w:pPr>
        <w:spacing w:after="0" w:line="240" w:lineRule="auto"/>
        <w:jc w:val="right"/>
        <w:rPr>
          <w:rFonts w:ascii="Verdana" w:eastAsia="Calibri" w:hAnsi="Verdana" w:cs="Arial"/>
          <w:b/>
          <w:bCs/>
          <w:lang w:val="es-ES" w:eastAsia="es-ES"/>
        </w:rPr>
      </w:pPr>
    </w:p>
    <w:p w14:paraId="73B6B85E" w14:textId="7F34FDB2" w:rsidR="00FC285E" w:rsidRPr="00F96570" w:rsidRDefault="00F06B58" w:rsidP="00331CC4">
      <w:pPr>
        <w:spacing w:after="0" w:line="240" w:lineRule="auto"/>
        <w:jc w:val="both"/>
        <w:rPr>
          <w:rFonts w:ascii="Verdana" w:eastAsia="Calibri" w:hAnsi="Verdana" w:cs="Arial"/>
          <w:b/>
          <w:bCs/>
          <w:lang w:val="es-ES" w:eastAsia="es-ES"/>
        </w:rPr>
      </w:pPr>
      <w:r w:rsidRPr="0055428F">
        <w:rPr>
          <w:rFonts w:ascii="Verdana" w:eastAsia="Calibri" w:hAnsi="Verdana" w:cs="Arial"/>
          <w:noProof/>
          <w:lang w:val="es-ES" w:eastAsia="es-ES"/>
        </w:rPr>
        <w:drawing>
          <wp:anchor distT="0" distB="0" distL="114300" distR="114300" simplePos="0" relativeHeight="251658240" behindDoc="0" locked="0" layoutInCell="1" allowOverlap="1" wp14:anchorId="2F25A257" wp14:editId="2EF5A527">
            <wp:simplePos x="0" y="0"/>
            <wp:positionH relativeFrom="margin">
              <wp:align>right</wp:align>
            </wp:positionH>
            <wp:positionV relativeFrom="paragraph">
              <wp:posOffset>5936</wp:posOffset>
            </wp:positionV>
            <wp:extent cx="2700655" cy="726440"/>
            <wp:effectExtent l="0" t="0" r="4445" b="0"/>
            <wp:wrapSquare wrapText="bothSides"/>
            <wp:docPr id="6646546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654639" name=""/>
                    <pic:cNvPicPr/>
                  </pic:nvPicPr>
                  <pic:blipFill>
                    <a:blip r:embed="rId11">
                      <a:extLst>
                        <a:ext uri="{28A0092B-C50C-407E-A947-70E740481C1C}">
                          <a14:useLocalDpi xmlns:a14="http://schemas.microsoft.com/office/drawing/2010/main" val="0"/>
                        </a:ext>
                      </a:extLst>
                    </a:blip>
                    <a:stretch>
                      <a:fillRect/>
                    </a:stretch>
                  </pic:blipFill>
                  <pic:spPr>
                    <a:xfrm>
                      <a:off x="0" y="0"/>
                      <a:ext cx="2700655" cy="726440"/>
                    </a:xfrm>
                    <a:prstGeom prst="rect">
                      <a:avLst/>
                    </a:prstGeom>
                  </pic:spPr>
                </pic:pic>
              </a:graphicData>
            </a:graphic>
            <wp14:sizeRelH relativeFrom="margin">
              <wp14:pctWidth>0</wp14:pctWidth>
            </wp14:sizeRelH>
            <wp14:sizeRelV relativeFrom="margin">
              <wp14:pctHeight>0</wp14:pctHeight>
            </wp14:sizeRelV>
          </wp:anchor>
        </w:drawing>
      </w:r>
      <w:r w:rsidR="00054748" w:rsidRPr="00F96570">
        <w:rPr>
          <w:rFonts w:ascii="Verdana" w:eastAsia="Calibri" w:hAnsi="Verdana" w:cs="Arial"/>
          <w:b/>
          <w:bCs/>
          <w:lang w:val="es-ES" w:eastAsia="es-ES"/>
        </w:rPr>
        <w:t>Seño</w:t>
      </w:r>
      <w:r w:rsidR="0039743D" w:rsidRPr="00F96570">
        <w:rPr>
          <w:rFonts w:ascii="Verdana" w:eastAsia="Calibri" w:hAnsi="Verdana" w:cs="Arial"/>
          <w:b/>
          <w:bCs/>
          <w:lang w:val="es-ES" w:eastAsia="es-ES"/>
        </w:rPr>
        <w:t>r</w:t>
      </w:r>
    </w:p>
    <w:p w14:paraId="0E342C85" w14:textId="75D61EB9" w:rsidR="00073537" w:rsidRDefault="00073537" w:rsidP="00331CC4">
      <w:pPr>
        <w:spacing w:after="0" w:line="240" w:lineRule="auto"/>
        <w:jc w:val="both"/>
        <w:rPr>
          <w:rFonts w:ascii="Verdana" w:eastAsia="Calibri" w:hAnsi="Verdana" w:cs="Arial"/>
          <w:b/>
          <w:bCs/>
          <w:lang w:val="es-ES" w:eastAsia="es-ES"/>
        </w:rPr>
      </w:pPr>
      <w:r>
        <w:rPr>
          <w:rFonts w:ascii="Verdana" w:eastAsia="Calibri" w:hAnsi="Verdana" w:cs="Arial"/>
          <w:b/>
          <w:bCs/>
          <w:lang w:val="es-ES" w:eastAsia="es-ES"/>
        </w:rPr>
        <w:t>Bertulio Cabrera Plazas</w:t>
      </w:r>
    </w:p>
    <w:p w14:paraId="3772813F" w14:textId="05F745AB" w:rsidR="00805E10" w:rsidRDefault="00805E10" w:rsidP="00331CC4">
      <w:pPr>
        <w:spacing w:after="0" w:line="240" w:lineRule="auto"/>
        <w:jc w:val="both"/>
        <w:rPr>
          <w:rFonts w:ascii="Verdana" w:eastAsia="Calibri" w:hAnsi="Verdana" w:cs="Arial"/>
          <w:b/>
          <w:bCs/>
          <w:lang w:val="es-ES" w:eastAsia="es-ES"/>
        </w:rPr>
      </w:pPr>
      <w:hyperlink r:id="rId12" w:history="1">
        <w:r w:rsidRPr="00D732CB">
          <w:rPr>
            <w:rStyle w:val="Hipervnculo"/>
            <w:rFonts w:ascii="Verdana" w:eastAsia="Calibri" w:hAnsi="Verdana" w:cs="Arial"/>
            <w:b/>
            <w:bCs/>
            <w:lang w:val="es-ES" w:eastAsia="es-ES"/>
          </w:rPr>
          <w:t>bertulio@yahoo.com</w:t>
        </w:r>
      </w:hyperlink>
    </w:p>
    <w:p w14:paraId="36AC4A35" w14:textId="3BE30992" w:rsidR="00962B17" w:rsidRDefault="00805E10" w:rsidP="00331CC4">
      <w:pPr>
        <w:spacing w:after="0" w:line="240" w:lineRule="auto"/>
        <w:jc w:val="both"/>
        <w:rPr>
          <w:rFonts w:ascii="Verdana" w:eastAsia="Calibri" w:hAnsi="Verdana" w:cs="Arial"/>
          <w:lang w:val="es-ES" w:eastAsia="es-ES"/>
        </w:rPr>
      </w:pPr>
      <w:r>
        <w:rPr>
          <w:rFonts w:ascii="Verdana" w:eastAsia="Calibri" w:hAnsi="Verdana" w:cs="Arial"/>
          <w:lang w:val="es-ES" w:eastAsia="es-ES"/>
        </w:rPr>
        <w:t>Florencia, Caquetá</w:t>
      </w:r>
    </w:p>
    <w:p w14:paraId="7C34703D" w14:textId="5802D1BC" w:rsidR="0055428F" w:rsidRPr="00962B17" w:rsidRDefault="0055428F" w:rsidP="0055428F">
      <w:pPr>
        <w:spacing w:after="0" w:line="240" w:lineRule="auto"/>
        <w:jc w:val="right"/>
        <w:rPr>
          <w:rFonts w:ascii="Verdana" w:eastAsia="Calibri" w:hAnsi="Verdana" w:cs="Arial"/>
          <w:lang w:val="es-ES" w:eastAsia="es-ES"/>
        </w:rPr>
      </w:pPr>
    </w:p>
    <w:p w14:paraId="22C420A6" w14:textId="77777777" w:rsidR="00054748" w:rsidRPr="005C170B" w:rsidRDefault="00054748" w:rsidP="00054748">
      <w:pPr>
        <w:spacing w:after="0" w:line="240" w:lineRule="auto"/>
        <w:rPr>
          <w:rFonts w:ascii="Verdana" w:eastAsia="Calibri" w:hAnsi="Verdana" w:cs="Arial"/>
          <w:b/>
          <w:bCs/>
          <w:color w:val="000000"/>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054748" w:rsidRPr="005C170B" w14:paraId="33933D6E" w14:textId="77777777" w:rsidTr="00263AC8">
        <w:trPr>
          <w:trHeight w:val="989"/>
        </w:trPr>
        <w:tc>
          <w:tcPr>
            <w:tcW w:w="2689" w:type="dxa"/>
          </w:tcPr>
          <w:p w14:paraId="5925453D" w14:textId="77777777" w:rsidR="00054748" w:rsidRPr="00CB4E73" w:rsidRDefault="00054748" w:rsidP="00CB1843">
            <w:pPr>
              <w:jc w:val="both"/>
              <w:rPr>
                <w:rFonts w:ascii="Verdana" w:eastAsia="Calibri" w:hAnsi="Verdana" w:cs="Arial"/>
                <w:b/>
                <w:bCs/>
                <w:color w:val="7030A0"/>
                <w:lang w:val="es-ES_tradnl" w:eastAsia="es-ES_tradnl"/>
              </w:rPr>
            </w:pPr>
          </w:p>
        </w:tc>
        <w:tc>
          <w:tcPr>
            <w:tcW w:w="6100" w:type="dxa"/>
          </w:tcPr>
          <w:p w14:paraId="05DE1333" w14:textId="1F02B716" w:rsidR="00054748" w:rsidRPr="00CB4E73" w:rsidRDefault="00054748" w:rsidP="00CB1843">
            <w:pPr>
              <w:jc w:val="both"/>
              <w:rPr>
                <w:rFonts w:ascii="Verdana" w:eastAsia="Calibri" w:hAnsi="Verdana" w:cs="Arial"/>
                <w:b/>
                <w:bCs/>
                <w:lang w:val="es-ES" w:eastAsia="es-ES"/>
              </w:rPr>
            </w:pPr>
            <w:r w:rsidRPr="00CB4E73">
              <w:rPr>
                <w:rFonts w:ascii="Verdana" w:eastAsia="Calibri" w:hAnsi="Verdana" w:cs="Arial"/>
                <w:b/>
                <w:bCs/>
                <w:lang w:val="es-ES" w:eastAsia="es-ES"/>
              </w:rPr>
              <w:t xml:space="preserve"> </w:t>
            </w:r>
            <w:r w:rsidR="004F518D" w:rsidRPr="001E5022">
              <w:rPr>
                <w:rFonts w:ascii="Verdana" w:eastAsia="Calibri" w:hAnsi="Verdana" w:cs="Arial"/>
                <w:b/>
                <w:bCs/>
                <w:lang w:val="es-ES" w:eastAsia="es-ES"/>
              </w:rPr>
              <w:t xml:space="preserve">Concepto </w:t>
            </w:r>
            <w:r w:rsidRPr="001E5022">
              <w:rPr>
                <w:rFonts w:ascii="Verdana" w:eastAsia="Calibri" w:hAnsi="Verdana" w:cs="Arial"/>
                <w:b/>
                <w:bCs/>
                <w:lang w:eastAsia="es-ES"/>
              </w:rPr>
              <w:t>C-</w:t>
            </w:r>
            <w:r w:rsidR="004B3B71">
              <w:rPr>
                <w:rFonts w:ascii="Verdana" w:eastAsia="Calibri" w:hAnsi="Verdana" w:cs="Arial"/>
                <w:b/>
                <w:bCs/>
                <w:lang w:eastAsia="es-ES"/>
              </w:rPr>
              <w:t>10</w:t>
            </w:r>
            <w:r w:rsidR="002516B1">
              <w:rPr>
                <w:rFonts w:ascii="Verdana" w:eastAsia="Calibri" w:hAnsi="Verdana" w:cs="Arial"/>
                <w:b/>
                <w:bCs/>
                <w:lang w:eastAsia="es-ES"/>
              </w:rPr>
              <w:t>74</w:t>
            </w:r>
            <w:r w:rsidR="00210F23" w:rsidRPr="001E5022">
              <w:rPr>
                <w:rFonts w:ascii="Verdana" w:eastAsia="Calibri" w:hAnsi="Verdana" w:cs="Arial"/>
                <w:b/>
                <w:bCs/>
                <w:lang w:eastAsia="es-ES"/>
              </w:rPr>
              <w:t xml:space="preserve"> </w:t>
            </w:r>
            <w:r w:rsidRPr="001E5022">
              <w:rPr>
                <w:rFonts w:ascii="Verdana" w:eastAsia="Calibri" w:hAnsi="Verdana" w:cs="Arial"/>
                <w:b/>
                <w:bCs/>
                <w:lang w:val="es-ES" w:eastAsia="es-ES"/>
              </w:rPr>
              <w:t>de 2026</w:t>
            </w:r>
            <w:r w:rsidR="00DA4941" w:rsidRPr="00CB4E73">
              <w:rPr>
                <w:rFonts w:ascii="Verdana" w:eastAsia="Calibri" w:hAnsi="Verdana" w:cs="Arial"/>
                <w:b/>
                <w:bCs/>
                <w:lang w:val="es-ES" w:eastAsia="es-ES"/>
              </w:rPr>
              <w:t xml:space="preserve"> </w:t>
            </w:r>
          </w:p>
        </w:tc>
      </w:tr>
      <w:tr w:rsidR="00054748" w:rsidRPr="00AD55D9" w14:paraId="67527AC3" w14:textId="77777777" w:rsidTr="00C31D52">
        <w:trPr>
          <w:trHeight w:val="1967"/>
        </w:trPr>
        <w:tc>
          <w:tcPr>
            <w:tcW w:w="2689" w:type="dxa"/>
          </w:tcPr>
          <w:p w14:paraId="32A87DC1" w14:textId="77777777" w:rsidR="00054748" w:rsidRPr="001160B5" w:rsidRDefault="00054748" w:rsidP="00CB1843">
            <w:pPr>
              <w:jc w:val="both"/>
              <w:rPr>
                <w:rFonts w:ascii="Verdana" w:eastAsia="Calibri" w:hAnsi="Verdana" w:cs="Arial"/>
                <w:color w:val="000000"/>
                <w:lang w:val="es-ES_tradnl" w:eastAsia="es-ES_tradnl"/>
              </w:rPr>
            </w:pPr>
            <w:r w:rsidRPr="001160B5">
              <w:rPr>
                <w:rFonts w:ascii="Verdana" w:eastAsia="Calibri" w:hAnsi="Verdana" w:cs="Arial"/>
                <w:b/>
                <w:color w:val="000000"/>
                <w:lang w:val="es-ES_tradnl" w:eastAsia="es-ES_tradnl"/>
              </w:rPr>
              <w:t>Temas:</w:t>
            </w:r>
            <w:r w:rsidRPr="001160B5">
              <w:rPr>
                <w:rFonts w:ascii="Verdana" w:eastAsia="Calibri" w:hAnsi="Verdana" w:cs="Arial"/>
                <w:color w:val="000000"/>
                <w:lang w:val="es-ES_tradnl" w:eastAsia="es-ES_tradnl"/>
              </w:rPr>
              <w:t xml:space="preserve">                   </w:t>
            </w:r>
          </w:p>
        </w:tc>
        <w:tc>
          <w:tcPr>
            <w:tcW w:w="6100" w:type="dxa"/>
          </w:tcPr>
          <w:p w14:paraId="334ECF64" w14:textId="64D384B9" w:rsidR="001C4E7B" w:rsidRPr="001160B5" w:rsidRDefault="00E43BBC" w:rsidP="001C4E7B">
            <w:pPr>
              <w:spacing w:line="276" w:lineRule="auto"/>
              <w:jc w:val="both"/>
              <w:rPr>
                <w:rFonts w:ascii="Verdana" w:eastAsia="Calibri" w:hAnsi="Verdana" w:cs="Arial"/>
                <w:lang w:eastAsia="es-ES"/>
              </w:rPr>
            </w:pPr>
            <w:r>
              <w:rPr>
                <w:rFonts w:ascii="Verdana" w:eastAsia="Calibri" w:hAnsi="Verdana" w:cs="Arial"/>
                <w:lang w:eastAsia="es-ES"/>
              </w:rPr>
              <w:t xml:space="preserve">EXPERIENCIA </w:t>
            </w:r>
            <w:r w:rsidR="00D90489">
              <w:rPr>
                <w:rFonts w:ascii="Verdana" w:eastAsia="Calibri" w:hAnsi="Verdana" w:cs="Arial"/>
                <w:lang w:eastAsia="es-ES"/>
              </w:rPr>
              <w:t>EN PROCESOS DE CONTRATACIÓN</w:t>
            </w:r>
            <w:r w:rsidR="0078640B">
              <w:rPr>
                <w:rFonts w:ascii="Verdana" w:eastAsia="Calibri" w:hAnsi="Verdana" w:cs="Arial"/>
                <w:lang w:eastAsia="es-ES"/>
              </w:rPr>
              <w:t xml:space="preserve"> – Ley 1150 de 2007 – Acreditación – RUP / EXPERIENCIA DE</w:t>
            </w:r>
            <w:r w:rsidR="007B787B">
              <w:rPr>
                <w:rFonts w:ascii="Verdana" w:eastAsia="Calibri" w:hAnsi="Verdana" w:cs="Arial"/>
                <w:lang w:eastAsia="es-ES"/>
              </w:rPr>
              <w:t xml:space="preserve"> PERSONAS JURÍDICAS – </w:t>
            </w:r>
            <w:r w:rsidR="00D90489">
              <w:rPr>
                <w:rFonts w:ascii="Verdana" w:eastAsia="Calibri" w:hAnsi="Verdana" w:cs="Arial"/>
                <w:lang w:eastAsia="es-ES"/>
              </w:rPr>
              <w:t xml:space="preserve">Acreditación – </w:t>
            </w:r>
            <w:r w:rsidR="00DC3678">
              <w:rPr>
                <w:rFonts w:ascii="Verdana" w:eastAsia="Calibri" w:hAnsi="Verdana" w:cs="Arial"/>
                <w:lang w:eastAsia="es-ES"/>
              </w:rPr>
              <w:t>Ar</w:t>
            </w:r>
            <w:r w:rsidR="00DC3678" w:rsidRPr="00535422">
              <w:rPr>
                <w:rFonts w:ascii="Verdana" w:eastAsia="Times New Roman" w:hAnsi="Verdana" w:cs="Times New Roman"/>
                <w:lang w:eastAsia="es-CO"/>
              </w:rPr>
              <w:t>tículo 2.2.1.1.1.5.2</w:t>
            </w:r>
            <w:r w:rsidR="00DC3678">
              <w:rPr>
                <w:rFonts w:ascii="Verdana" w:eastAsia="Times New Roman" w:hAnsi="Verdana" w:cs="Times New Roman"/>
                <w:lang w:eastAsia="es-CO"/>
              </w:rPr>
              <w:t xml:space="preserve"> del </w:t>
            </w:r>
            <w:r w:rsidR="00D90489">
              <w:rPr>
                <w:rFonts w:ascii="Verdana" w:eastAsia="Times New Roman" w:hAnsi="Verdana" w:cs="Times New Roman"/>
                <w:lang w:eastAsia="es-CO"/>
              </w:rPr>
              <w:t>Decreto 1082 de 2015</w:t>
            </w:r>
            <w:r w:rsidR="006E4BC3">
              <w:rPr>
                <w:rFonts w:ascii="Verdana" w:eastAsia="Times New Roman" w:hAnsi="Verdana" w:cs="Times New Roman"/>
                <w:lang w:eastAsia="es-CO"/>
              </w:rPr>
              <w:t xml:space="preserve">– Procedencia – Término </w:t>
            </w:r>
          </w:p>
          <w:p w14:paraId="15D6AA5D" w14:textId="5D3BD3E0" w:rsidR="007975D0" w:rsidRPr="001160B5" w:rsidRDefault="007975D0" w:rsidP="00263AC8">
            <w:pPr>
              <w:spacing w:line="276" w:lineRule="auto"/>
              <w:jc w:val="both"/>
              <w:rPr>
                <w:rFonts w:ascii="Verdana" w:eastAsia="Calibri" w:hAnsi="Verdana" w:cs="Arial"/>
                <w:lang w:val="es-ES" w:eastAsia="es-ES"/>
              </w:rPr>
            </w:pPr>
          </w:p>
        </w:tc>
      </w:tr>
      <w:tr w:rsidR="00054748" w:rsidRPr="00752103" w14:paraId="06AC781B" w14:textId="77777777" w:rsidTr="00114EDD">
        <w:trPr>
          <w:trHeight w:val="328"/>
        </w:trPr>
        <w:tc>
          <w:tcPr>
            <w:tcW w:w="2689" w:type="dxa"/>
          </w:tcPr>
          <w:p w14:paraId="623C87E5" w14:textId="77777777" w:rsidR="00054748" w:rsidRPr="00C31D52" w:rsidRDefault="00054748" w:rsidP="00CB1843">
            <w:pPr>
              <w:jc w:val="both"/>
              <w:rPr>
                <w:rFonts w:ascii="Verdana" w:eastAsia="Calibri" w:hAnsi="Verdana" w:cs="Arial"/>
                <w:b/>
                <w:lang w:val="es-ES_tradnl" w:eastAsia="es-ES_tradnl"/>
              </w:rPr>
            </w:pPr>
            <w:r w:rsidRPr="00C31D52">
              <w:rPr>
                <w:rFonts w:ascii="Verdana" w:eastAsia="Calibri" w:hAnsi="Verdana" w:cs="Arial"/>
                <w:b/>
                <w:lang w:val="es-ES_tradnl" w:eastAsia="es-ES_tradnl"/>
              </w:rPr>
              <w:t xml:space="preserve">Radicación:               </w:t>
            </w:r>
          </w:p>
        </w:tc>
        <w:tc>
          <w:tcPr>
            <w:tcW w:w="6100" w:type="dxa"/>
          </w:tcPr>
          <w:p w14:paraId="47363C19" w14:textId="1E1E1BDE" w:rsidR="00054748" w:rsidRPr="00C31D52" w:rsidRDefault="00054748" w:rsidP="00CB1843">
            <w:pPr>
              <w:jc w:val="both"/>
              <w:rPr>
                <w:rFonts w:ascii="Verdana" w:eastAsia="Calibri" w:hAnsi="Verdana" w:cs="Arial"/>
                <w:bCs/>
                <w:lang w:val="es-ES_tradnl" w:eastAsia="es-ES_tradnl"/>
              </w:rPr>
            </w:pPr>
            <w:r w:rsidRPr="00C31D52">
              <w:rPr>
                <w:rFonts w:ascii="Verdana" w:eastAsia="Calibri" w:hAnsi="Verdana" w:cs="Arial"/>
                <w:bCs/>
                <w:lang w:val="es-ES_tradnl" w:eastAsia="es-ES_tradnl"/>
              </w:rPr>
              <w:t>Respuesta a consulta con radicado</w:t>
            </w:r>
            <w:r w:rsidR="00192F16" w:rsidRPr="00C31D52">
              <w:rPr>
                <w:rFonts w:ascii="Verdana" w:hAnsi="Verdana"/>
                <w:bCs/>
              </w:rPr>
              <w:t xml:space="preserve"> </w:t>
            </w:r>
            <w:r w:rsidR="00316CC9" w:rsidRPr="00316CC9">
              <w:rPr>
                <w:rFonts w:ascii="Verdana" w:hAnsi="Verdana"/>
                <w:bCs/>
              </w:rPr>
              <w:t>1_2026_07_05_008929</w:t>
            </w:r>
            <w:r w:rsidR="00316CC9">
              <w:rPr>
                <w:rFonts w:ascii="Verdana" w:hAnsi="Verdana"/>
                <w:bCs/>
              </w:rPr>
              <w:t xml:space="preserve"> </w:t>
            </w:r>
          </w:p>
        </w:tc>
      </w:tr>
    </w:tbl>
    <w:p w14:paraId="2188624D" w14:textId="77777777" w:rsidR="00054748" w:rsidRPr="005C170B" w:rsidRDefault="00054748" w:rsidP="00054748">
      <w:pPr>
        <w:spacing w:after="0" w:line="240" w:lineRule="auto"/>
        <w:jc w:val="both"/>
        <w:rPr>
          <w:rFonts w:ascii="Verdana" w:eastAsia="Calibri" w:hAnsi="Verdana" w:cs="Arial"/>
          <w:lang w:val="es-ES_tradnl" w:eastAsia="es-ES_tradnl"/>
        </w:rPr>
      </w:pPr>
    </w:p>
    <w:p w14:paraId="082FEA2F" w14:textId="77777777" w:rsidR="00054748" w:rsidRPr="005C170B" w:rsidRDefault="00054748" w:rsidP="00054748">
      <w:pPr>
        <w:spacing w:after="0" w:line="240" w:lineRule="auto"/>
        <w:jc w:val="both"/>
        <w:rPr>
          <w:rFonts w:ascii="Verdana" w:eastAsia="Calibri" w:hAnsi="Verdana" w:cs="Arial"/>
          <w:color w:val="000000"/>
          <w:lang w:val="es-ES_tradnl" w:eastAsia="es-ES_tradnl"/>
        </w:rPr>
      </w:pPr>
    </w:p>
    <w:p w14:paraId="3137C81E" w14:textId="72713472" w:rsidR="00054748" w:rsidRPr="005C170B" w:rsidRDefault="005A7E77" w:rsidP="00054748">
      <w:pPr>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Estimado señor</w:t>
      </w:r>
      <w:r w:rsidR="00B75769">
        <w:rPr>
          <w:rFonts w:ascii="Verdana" w:eastAsia="Calibri" w:hAnsi="Verdana" w:cs="Arial"/>
          <w:color w:val="000000" w:themeColor="text1"/>
          <w:lang w:val="es-ES" w:eastAsia="es-ES"/>
        </w:rPr>
        <w:t xml:space="preserve"> </w:t>
      </w:r>
      <w:r w:rsidR="00316CC9">
        <w:rPr>
          <w:rFonts w:ascii="Verdana" w:eastAsia="Calibri" w:hAnsi="Verdana" w:cs="Arial"/>
          <w:color w:val="000000" w:themeColor="text1"/>
          <w:lang w:val="es-ES" w:eastAsia="es-ES"/>
        </w:rPr>
        <w:t>Cabrera Plazas</w:t>
      </w:r>
      <w:r w:rsidR="00B75769">
        <w:rPr>
          <w:rFonts w:ascii="Verdana" w:eastAsia="Calibri" w:hAnsi="Verdana" w:cs="Arial"/>
          <w:color w:val="000000" w:themeColor="text1"/>
          <w:lang w:val="es-ES" w:eastAsia="es-ES"/>
        </w:rPr>
        <w:t>,</w:t>
      </w:r>
      <w:r w:rsidR="0009582C" w:rsidRPr="00061F0A">
        <w:rPr>
          <w:rFonts w:ascii="Verdana" w:eastAsia="Calibri" w:hAnsi="Verdana" w:cs="Arial"/>
          <w:color w:val="000000" w:themeColor="text1"/>
          <w:lang w:val="es-ES" w:eastAsia="es-ES"/>
        </w:rPr>
        <w:t xml:space="preserve"> </w:t>
      </w:r>
      <w:r w:rsidR="00054748" w:rsidRPr="00061F0A">
        <w:rPr>
          <w:rFonts w:ascii="Verdana" w:eastAsia="Calibri" w:hAnsi="Verdana" w:cs="Arial"/>
          <w:color w:val="000000" w:themeColor="text1"/>
          <w:lang w:val="es-ES" w:eastAsia="es-ES"/>
        </w:rPr>
        <w:t>cordial saludo,</w:t>
      </w:r>
      <w:r w:rsidR="00054748" w:rsidRPr="005C170B">
        <w:rPr>
          <w:rFonts w:ascii="Verdana" w:eastAsia="Calibri" w:hAnsi="Verdana" w:cs="Arial"/>
          <w:color w:val="000000" w:themeColor="text1"/>
          <w:lang w:val="es-ES" w:eastAsia="es-ES"/>
        </w:rPr>
        <w:t xml:space="preserve"> </w:t>
      </w:r>
    </w:p>
    <w:p w14:paraId="440505D5" w14:textId="77777777" w:rsidR="00054748" w:rsidRPr="005C170B" w:rsidRDefault="00054748" w:rsidP="00054748">
      <w:pPr>
        <w:spacing w:after="0" w:line="276" w:lineRule="auto"/>
        <w:jc w:val="both"/>
        <w:rPr>
          <w:rFonts w:ascii="Verdana" w:eastAsia="Calibri" w:hAnsi="Verdana" w:cs="Arial"/>
          <w:color w:val="000000" w:themeColor="text1"/>
          <w:lang w:val="es-ES" w:eastAsia="es-ES"/>
        </w:rPr>
      </w:pPr>
    </w:p>
    <w:p w14:paraId="0FBD9B8B" w14:textId="6F2D9A02" w:rsidR="00054748" w:rsidRPr="00484987" w:rsidRDefault="00054748" w:rsidP="00054748">
      <w:pPr>
        <w:spacing w:after="0" w:line="276" w:lineRule="auto"/>
        <w:jc w:val="both"/>
        <w:rPr>
          <w:rFonts w:ascii="Verdana" w:eastAsia="Calibri" w:hAnsi="Verdana" w:cs="Arial"/>
          <w:lang w:val="es-ES" w:eastAsia="es-ES"/>
        </w:rPr>
      </w:pPr>
      <w:r w:rsidRPr="005C170B">
        <w:rPr>
          <w:rFonts w:ascii="Verdana" w:eastAsia="Calibri" w:hAnsi="Verdana" w:cs="Arial"/>
          <w:color w:val="000000" w:themeColor="text1"/>
          <w:lang w:val="es-ES" w:eastAsia="es-ES"/>
        </w:rPr>
        <w:t xml:space="preserve">En ejercicio de la competencia otorgada por los artículos 3, numeral 5º, y 11, </w:t>
      </w:r>
      <w:r w:rsidRPr="00484987">
        <w:rPr>
          <w:rFonts w:ascii="Verdana" w:eastAsia="Calibri" w:hAnsi="Verdana" w:cs="Arial"/>
          <w:color w:val="000000" w:themeColor="text1"/>
          <w:lang w:val="es-ES" w:eastAsia="es-ES"/>
        </w:rPr>
        <w:t>numeral 8º, del Decreto Ley 4170 de 2011,</w:t>
      </w:r>
      <w:r w:rsidRPr="00484987">
        <w:rPr>
          <w:rFonts w:ascii="Verdana" w:eastAsia="Arial MT" w:hAnsi="Verdana" w:cs="Arial MT"/>
          <w:lang w:val="es-ES" w:eastAsia="es-ES"/>
        </w:rPr>
        <w:t xml:space="preserve"> </w:t>
      </w:r>
      <w:r w:rsidRPr="00484987">
        <w:rPr>
          <w:rFonts w:ascii="Verdana" w:hAnsi="Verdana" w:cs="Arial"/>
        </w:rPr>
        <w:t xml:space="preserve">así como lo establecido la </w:t>
      </w:r>
      <w:r w:rsidRPr="00484987">
        <w:rPr>
          <w:rFonts w:ascii="Verdana" w:eastAsia="Verdana" w:hAnsi="Verdana" w:cs="Verdana"/>
          <w:color w:val="000000" w:themeColor="text1"/>
        </w:rPr>
        <w:t>Resolución 469 de 2025</w:t>
      </w:r>
      <w:r w:rsidRPr="00484987">
        <w:rPr>
          <w:rFonts w:ascii="Verdana" w:hAnsi="Verdana" w:cs="Arial"/>
        </w:rPr>
        <w:t xml:space="preserve"> expedida por esta Entidad, </w:t>
      </w:r>
      <w:r w:rsidRPr="00484987">
        <w:rPr>
          <w:rFonts w:ascii="Verdana" w:eastAsia="Calibri" w:hAnsi="Verdana" w:cs="Arial"/>
          <w:color w:val="000000" w:themeColor="text1"/>
          <w:lang w:val="es-ES" w:eastAsia="es-ES"/>
        </w:rPr>
        <w:t xml:space="preserve">la Agencia Nacional de Contratación Pública – Colombia Compra Eficiente– responde su solicitud de consulta de fecha </w:t>
      </w:r>
      <w:r w:rsidR="00316CC9">
        <w:rPr>
          <w:rFonts w:ascii="Verdana" w:eastAsia="Calibri" w:hAnsi="Verdana" w:cs="Arial"/>
          <w:lang w:val="es-ES" w:eastAsia="es-ES"/>
        </w:rPr>
        <w:t>05 de julio</w:t>
      </w:r>
      <w:r w:rsidRPr="00484987">
        <w:rPr>
          <w:rFonts w:ascii="Verdana" w:eastAsia="Calibri" w:hAnsi="Verdana" w:cs="Arial"/>
          <w:lang w:val="es-ES" w:eastAsia="es-ES"/>
        </w:rPr>
        <w:t xml:space="preserve"> de 2026, en la cual manifiesta lo siguiente: </w:t>
      </w:r>
    </w:p>
    <w:p w14:paraId="7804CAD5" w14:textId="77777777" w:rsidR="00054748" w:rsidRPr="00484987" w:rsidRDefault="00054748" w:rsidP="00054748">
      <w:pPr>
        <w:spacing w:after="0" w:line="276" w:lineRule="auto"/>
        <w:jc w:val="both"/>
        <w:rPr>
          <w:rFonts w:ascii="Verdana" w:eastAsia="Calibri" w:hAnsi="Verdana" w:cs="Arial"/>
          <w:color w:val="7030A0"/>
          <w:lang w:val="es-ES" w:eastAsia="es-ES"/>
        </w:rPr>
      </w:pPr>
    </w:p>
    <w:p w14:paraId="3ABD96EF" w14:textId="4E05F591" w:rsidR="00526B11" w:rsidRDefault="00061F0A" w:rsidP="00316CC9">
      <w:pPr>
        <w:pStyle w:val="Prrafodelista"/>
        <w:spacing w:after="0" w:line="240" w:lineRule="auto"/>
        <w:ind w:left="1069" w:right="709"/>
        <w:jc w:val="both"/>
        <w:rPr>
          <w:rFonts w:ascii="Verdana" w:eastAsia="Calibri" w:hAnsi="Verdana" w:cs="Arial"/>
          <w:i/>
          <w:color w:val="000000"/>
          <w:sz w:val="20"/>
          <w:szCs w:val="20"/>
          <w:lang w:eastAsia="es-ES"/>
        </w:rPr>
      </w:pPr>
      <w:r>
        <w:rPr>
          <w:rFonts w:ascii="Verdana" w:eastAsia="Calibri" w:hAnsi="Verdana" w:cs="Arial"/>
          <w:i/>
          <w:color w:val="000000"/>
          <w:sz w:val="20"/>
          <w:szCs w:val="20"/>
          <w:lang w:eastAsia="es-ES"/>
        </w:rPr>
        <w:t>“</w:t>
      </w:r>
      <w:r w:rsidR="003A1077">
        <w:rPr>
          <w:rFonts w:ascii="Verdana" w:eastAsia="Calibri" w:hAnsi="Verdana" w:cs="Arial"/>
          <w:i/>
          <w:color w:val="000000"/>
          <w:sz w:val="20"/>
          <w:szCs w:val="20"/>
          <w:lang w:eastAsia="es-ES"/>
        </w:rPr>
        <w:t>Cordial saludo,</w:t>
      </w:r>
    </w:p>
    <w:p w14:paraId="0D8CCB3D" w14:textId="48F86452" w:rsidR="003A1077" w:rsidRDefault="003A1077" w:rsidP="00316CC9">
      <w:pPr>
        <w:pStyle w:val="Prrafodelista"/>
        <w:spacing w:after="0" w:line="240" w:lineRule="auto"/>
        <w:ind w:left="1069" w:right="709"/>
        <w:jc w:val="both"/>
        <w:rPr>
          <w:rFonts w:ascii="Verdana" w:eastAsia="Calibri" w:hAnsi="Verdana" w:cs="Arial"/>
          <w:i/>
          <w:color w:val="000000"/>
          <w:sz w:val="20"/>
          <w:szCs w:val="20"/>
          <w:lang w:eastAsia="es-ES"/>
        </w:rPr>
      </w:pPr>
      <w:r>
        <w:rPr>
          <w:rFonts w:ascii="Verdana" w:eastAsia="Calibri" w:hAnsi="Verdana" w:cs="Arial"/>
          <w:i/>
          <w:color w:val="000000"/>
          <w:sz w:val="20"/>
          <w:szCs w:val="20"/>
          <w:lang w:eastAsia="es-ES"/>
        </w:rPr>
        <w:t xml:space="preserve">¿Al momento de crear una persona jurídica, la experiencia de sus socios, asociados, fundadores, accionistas, socios gestores o socios </w:t>
      </w:r>
      <w:r w:rsidR="008D2042">
        <w:rPr>
          <w:rFonts w:ascii="Verdana" w:eastAsia="Calibri" w:hAnsi="Verdana" w:cs="Arial"/>
          <w:i/>
          <w:color w:val="000000"/>
          <w:sz w:val="20"/>
          <w:szCs w:val="20"/>
          <w:lang w:eastAsia="es-ES"/>
        </w:rPr>
        <w:t xml:space="preserve">comanditarios, </w:t>
      </w:r>
      <w:r>
        <w:rPr>
          <w:rFonts w:ascii="Verdana" w:eastAsia="Calibri" w:hAnsi="Verdana" w:cs="Arial"/>
          <w:i/>
          <w:color w:val="000000"/>
          <w:sz w:val="20"/>
          <w:szCs w:val="20"/>
          <w:lang w:eastAsia="es-ES"/>
        </w:rPr>
        <w:t xml:space="preserve">se puede tener en cuenta </w:t>
      </w:r>
      <w:r w:rsidR="00DA2179">
        <w:rPr>
          <w:rFonts w:ascii="Verdana" w:eastAsia="Calibri" w:hAnsi="Verdana" w:cs="Arial"/>
          <w:i/>
          <w:color w:val="000000"/>
          <w:sz w:val="20"/>
          <w:szCs w:val="20"/>
          <w:lang w:eastAsia="es-ES"/>
        </w:rPr>
        <w:t xml:space="preserve">como experiencia de la nueva </w:t>
      </w:r>
      <w:r w:rsidR="008D2042">
        <w:rPr>
          <w:rFonts w:ascii="Verdana" w:eastAsia="Calibri" w:hAnsi="Verdana" w:cs="Arial"/>
          <w:i/>
          <w:color w:val="000000"/>
          <w:sz w:val="20"/>
          <w:szCs w:val="20"/>
          <w:lang w:eastAsia="es-ES"/>
        </w:rPr>
        <w:t xml:space="preserve">persona que se crea? Si la respuesta </w:t>
      </w:r>
      <w:r w:rsidR="00F17B5D">
        <w:rPr>
          <w:rFonts w:ascii="Verdana" w:eastAsia="Calibri" w:hAnsi="Verdana" w:cs="Arial"/>
          <w:i/>
          <w:color w:val="000000"/>
          <w:sz w:val="20"/>
          <w:szCs w:val="20"/>
          <w:lang w:eastAsia="es-ES"/>
        </w:rPr>
        <w:t xml:space="preserve">es positiva, ¿durante cuanto tiempo contado desde la fecha de creación de la nueva empresa se puede hacer uso de dicha experiencia a fin de cumplir con los requisitos habilitantes </w:t>
      </w:r>
      <w:r w:rsidR="001F02F6">
        <w:rPr>
          <w:rFonts w:ascii="Verdana" w:eastAsia="Calibri" w:hAnsi="Verdana" w:cs="Arial"/>
          <w:i/>
          <w:color w:val="000000"/>
          <w:sz w:val="20"/>
          <w:szCs w:val="20"/>
          <w:lang w:eastAsia="es-ES"/>
        </w:rPr>
        <w:t xml:space="preserve">y que sirva </w:t>
      </w:r>
      <w:r w:rsidR="00EF23C3">
        <w:rPr>
          <w:rFonts w:ascii="Verdana" w:eastAsia="Calibri" w:hAnsi="Verdana" w:cs="Arial"/>
          <w:i/>
          <w:color w:val="000000"/>
          <w:sz w:val="20"/>
          <w:szCs w:val="20"/>
          <w:lang w:eastAsia="es-ES"/>
        </w:rPr>
        <w:t xml:space="preserve">como factor de ponderación en los procesos </w:t>
      </w:r>
      <w:r w:rsidR="00EF23C3">
        <w:rPr>
          <w:rFonts w:ascii="Verdana" w:eastAsia="Calibri" w:hAnsi="Verdana" w:cs="Arial"/>
          <w:i/>
          <w:color w:val="000000"/>
          <w:sz w:val="20"/>
          <w:szCs w:val="20"/>
          <w:lang w:eastAsia="es-ES"/>
        </w:rPr>
        <w:lastRenderedPageBreak/>
        <w:t>licitatorios o concursos?, o si es atemporal ¿qué condiciones se deben cumplir para que se mantenga esa experiencia de manera indefinida en el tiempo? “</w:t>
      </w:r>
    </w:p>
    <w:p w14:paraId="5DEA4618" w14:textId="77777777" w:rsidR="00316CC9" w:rsidRDefault="00316CC9" w:rsidP="00316CC9">
      <w:pPr>
        <w:pStyle w:val="Prrafodelista"/>
        <w:spacing w:after="0" w:line="240" w:lineRule="auto"/>
        <w:ind w:left="1069" w:right="709"/>
        <w:jc w:val="both"/>
        <w:rPr>
          <w:rFonts w:ascii="Verdana" w:eastAsia="Calibri" w:hAnsi="Verdana" w:cs="Arial"/>
          <w:i/>
          <w:color w:val="000000"/>
          <w:sz w:val="20"/>
          <w:szCs w:val="20"/>
          <w:lang w:eastAsia="es-ES"/>
        </w:rPr>
      </w:pPr>
    </w:p>
    <w:p w14:paraId="1AFEB55D" w14:textId="77777777" w:rsidR="00752103" w:rsidRPr="00CF0A77" w:rsidRDefault="00752103" w:rsidP="00856E3E">
      <w:pPr>
        <w:spacing w:after="0" w:line="240" w:lineRule="auto"/>
        <w:ind w:right="709"/>
        <w:jc w:val="both"/>
        <w:rPr>
          <w:rFonts w:ascii="Verdana" w:eastAsia="Calibri" w:hAnsi="Verdana" w:cs="Arial"/>
          <w:i/>
          <w:color w:val="000000"/>
          <w:sz w:val="20"/>
          <w:szCs w:val="20"/>
          <w:lang w:val="es-ES" w:eastAsia="es-ES"/>
        </w:rPr>
      </w:pPr>
    </w:p>
    <w:p w14:paraId="6A8ACAB6" w14:textId="77777777" w:rsidR="00054748" w:rsidRPr="005C170B" w:rsidRDefault="00054748" w:rsidP="00054748">
      <w:pPr>
        <w:spacing w:after="120" w:line="276" w:lineRule="auto"/>
        <w:ind w:firstLine="709"/>
        <w:jc w:val="both"/>
        <w:rPr>
          <w:rFonts w:ascii="Verdana" w:eastAsia="Calibri" w:hAnsi="Verdana" w:cs="Arial"/>
          <w:color w:val="000000"/>
          <w:szCs w:val="24"/>
          <w:lang w:val="es-ES_tradnl" w:eastAsia="es-ES_tradnl"/>
        </w:rPr>
      </w:pPr>
      <w:r w:rsidRPr="005C170B">
        <w:rPr>
          <w:rFonts w:ascii="Verdana" w:eastAsia="Calibri" w:hAnsi="Verdana" w:cs="Arial"/>
          <w:color w:val="000000"/>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5C170B">
        <w:rPr>
          <w:rFonts w:ascii="Verdana" w:eastAsia="Calibri" w:hAnsi="Verdana" w:cs="Arial"/>
          <w:color w:val="000000"/>
          <w:szCs w:val="24"/>
          <w:lang w:val="es-ES_tradnl" w:eastAsia="es-ES_tradnl"/>
        </w:rPr>
        <w:tab/>
      </w:r>
    </w:p>
    <w:p w14:paraId="698F94B0" w14:textId="77777777" w:rsidR="00054748" w:rsidRDefault="00054748" w:rsidP="00054748">
      <w:pPr>
        <w:spacing w:after="0" w:line="276" w:lineRule="auto"/>
        <w:ind w:firstLine="709"/>
        <w:jc w:val="both"/>
        <w:rPr>
          <w:rFonts w:ascii="Verdana" w:eastAsia="Calibri" w:hAnsi="Verdana" w:cs="Arial"/>
          <w:color w:val="000000"/>
          <w:lang w:val="es-ES" w:eastAsia="es-ES"/>
        </w:rPr>
      </w:pPr>
      <w:r w:rsidRPr="005C170B">
        <w:rPr>
          <w:rFonts w:ascii="Verdana" w:eastAsia="Calibri" w:hAnsi="Verdana" w:cs="Arial"/>
          <w:color w:val="000000"/>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w:t>
      </w:r>
      <w:r w:rsidRPr="002C4290">
        <w:rPr>
          <w:rFonts w:ascii="Verdana" w:eastAsia="Calibri" w:hAnsi="Verdana" w:cs="Arial"/>
          <w:color w:val="000000"/>
          <w:lang w:val="es-ES" w:eastAsia="es-ES"/>
        </w:rPr>
        <w:t xml:space="preserve">concretas mencionadas en su petición, pero señalando unas consideraciones sobre las normas generales relacionadas con </w:t>
      </w:r>
      <w:r w:rsidRPr="002C4290">
        <w:rPr>
          <w:rFonts w:ascii="Verdana" w:eastAsia="Calibri" w:hAnsi="Verdana" w:cs="Arial"/>
          <w:lang w:val="es-ES" w:eastAsia="es-ES"/>
        </w:rPr>
        <w:t xml:space="preserve">el problema </w:t>
      </w:r>
      <w:r w:rsidRPr="002C4290">
        <w:rPr>
          <w:rFonts w:ascii="Verdana" w:eastAsia="Calibri" w:hAnsi="Verdana" w:cs="Arial"/>
          <w:color w:val="000000"/>
          <w:lang w:val="es-ES" w:eastAsia="es-ES"/>
        </w:rPr>
        <w:t xml:space="preserve">jurídico de su consulta. </w:t>
      </w:r>
    </w:p>
    <w:p w14:paraId="44480558" w14:textId="7862E046" w:rsidR="00054748" w:rsidRPr="002C4290" w:rsidRDefault="00054748" w:rsidP="00844464">
      <w:pPr>
        <w:spacing w:after="0" w:line="276" w:lineRule="auto"/>
        <w:jc w:val="both"/>
        <w:rPr>
          <w:rFonts w:ascii="Verdana" w:eastAsia="Calibri" w:hAnsi="Verdana" w:cs="Arial"/>
          <w:color w:val="000000"/>
          <w:lang w:val="es-ES" w:eastAsia="es-ES"/>
        </w:rPr>
      </w:pPr>
    </w:p>
    <w:p w14:paraId="1A01DFE8" w14:textId="77777777" w:rsidR="00054748" w:rsidRPr="002C4290" w:rsidRDefault="00054748" w:rsidP="00054748">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rPr>
      </w:pPr>
      <w:r w:rsidRPr="002C4290">
        <w:rPr>
          <w:rFonts w:ascii="Verdana" w:eastAsia="Century Gothic" w:hAnsi="Verdana" w:cs="Century Gothic"/>
          <w:b/>
          <w:bCs/>
        </w:rPr>
        <w:t>Problema planteado:</w:t>
      </w:r>
    </w:p>
    <w:p w14:paraId="54F78013" w14:textId="77777777" w:rsidR="00054748" w:rsidRPr="005C170B" w:rsidRDefault="00054748" w:rsidP="00054748">
      <w:pPr>
        <w:spacing w:after="0" w:line="276" w:lineRule="auto"/>
        <w:jc w:val="both"/>
        <w:rPr>
          <w:rFonts w:ascii="Verdana" w:eastAsia="Century Gothic" w:hAnsi="Verdana" w:cs="Century Gothic"/>
        </w:rPr>
      </w:pPr>
    </w:p>
    <w:p w14:paraId="329C80EC" w14:textId="2D9FED85" w:rsidR="00844464" w:rsidRPr="00624E3E" w:rsidRDefault="00054748" w:rsidP="00CF0A77">
      <w:pPr>
        <w:spacing w:after="0" w:line="276" w:lineRule="auto"/>
        <w:jc w:val="both"/>
        <w:rPr>
          <w:rFonts w:ascii="Verdana" w:eastAsia="Century Gothic" w:hAnsi="Verdana" w:cs="Century Gothic"/>
        </w:rPr>
      </w:pPr>
      <w:r w:rsidRPr="005C170B">
        <w:rPr>
          <w:rFonts w:ascii="Verdana" w:eastAsia="Century Gothic" w:hAnsi="Verdana" w:cs="Century Gothic"/>
        </w:rPr>
        <w:t xml:space="preserve">De acuerdo con </w:t>
      </w:r>
      <w:r w:rsidRPr="00624E3E">
        <w:rPr>
          <w:rFonts w:ascii="Verdana" w:eastAsia="Century Gothic" w:hAnsi="Verdana" w:cs="Century Gothic"/>
        </w:rPr>
        <w:t>el contenido de su solicitud, esta Agencia abord</w:t>
      </w:r>
      <w:r w:rsidR="00C30141">
        <w:rPr>
          <w:rFonts w:ascii="Verdana" w:eastAsia="Century Gothic" w:hAnsi="Verdana" w:cs="Century Gothic"/>
        </w:rPr>
        <w:t xml:space="preserve">ará el siguiente problema jurídico: </w:t>
      </w:r>
      <w:r w:rsidR="00923F89">
        <w:rPr>
          <w:rFonts w:ascii="Verdana" w:eastAsia="Century Gothic" w:hAnsi="Verdana" w:cs="Century Gothic"/>
        </w:rPr>
        <w:t>¿</w:t>
      </w:r>
      <w:r w:rsidR="00851635" w:rsidRPr="00851635">
        <w:rPr>
          <w:rFonts w:ascii="Verdana" w:eastAsia="Century Gothic" w:hAnsi="Verdana" w:cs="Century Gothic"/>
        </w:rPr>
        <w:t>Puede una persona jurídica de reciente creación acreditar</w:t>
      </w:r>
      <w:r w:rsidR="00197FB5" w:rsidRPr="00197FB5">
        <w:rPr>
          <w:rFonts w:ascii="Verdana" w:eastAsia="Century Gothic" w:hAnsi="Verdana" w:cs="Century Gothic"/>
        </w:rPr>
        <w:t xml:space="preserve"> como propia la experiencia de sus integrantes para efectos de participar en los procesos de contratación estatal</w:t>
      </w:r>
      <w:r w:rsidR="00197FB5">
        <w:rPr>
          <w:rFonts w:ascii="Verdana" w:eastAsia="Century Gothic" w:hAnsi="Verdana" w:cs="Century Gothic"/>
        </w:rPr>
        <w:t xml:space="preserve"> </w:t>
      </w:r>
      <w:r w:rsidR="00851635" w:rsidRPr="00851635">
        <w:rPr>
          <w:rFonts w:ascii="Verdana" w:eastAsia="Century Gothic" w:hAnsi="Verdana" w:cs="Century Gothic"/>
        </w:rPr>
        <w:t xml:space="preserve">y, de ser así, cuáles son las condiciones </w:t>
      </w:r>
      <w:r w:rsidR="00197FB5">
        <w:rPr>
          <w:rFonts w:ascii="Verdana" w:eastAsia="Century Gothic" w:hAnsi="Verdana" w:cs="Century Gothic"/>
        </w:rPr>
        <w:t xml:space="preserve">para su procedencia y el término durante el cual puede ser utilizada para acreditar requisitos habilitantes o factores de evaluación? </w:t>
      </w:r>
      <w:r w:rsidR="001B12AB">
        <w:rPr>
          <w:rFonts w:ascii="Verdana" w:eastAsia="Century Gothic" w:hAnsi="Verdana" w:cs="Century Gothic"/>
        </w:rPr>
        <w:t xml:space="preserve"> </w:t>
      </w:r>
    </w:p>
    <w:p w14:paraId="64382BDE" w14:textId="77777777" w:rsidR="00C138F9" w:rsidRPr="005C170B" w:rsidRDefault="00C138F9" w:rsidP="00CF0A77">
      <w:pPr>
        <w:spacing w:after="0" w:line="276" w:lineRule="auto"/>
        <w:jc w:val="both"/>
        <w:rPr>
          <w:rFonts w:ascii="Verdana" w:eastAsia="Century Gothic" w:hAnsi="Verdana" w:cs="Century Gothic"/>
        </w:rPr>
      </w:pPr>
    </w:p>
    <w:p w14:paraId="757812DB" w14:textId="77777777" w:rsidR="00054748" w:rsidRPr="002C4290" w:rsidRDefault="00054748" w:rsidP="00054748">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2C4290">
        <w:rPr>
          <w:rFonts w:ascii="Verdana" w:eastAsia="Century Gothic" w:hAnsi="Verdana" w:cs="Century Gothic"/>
          <w:b/>
          <w:bCs/>
        </w:rPr>
        <w:t>Respuesta:</w:t>
      </w:r>
    </w:p>
    <w:p w14:paraId="1A786415" w14:textId="77777777" w:rsidR="00054748" w:rsidRPr="005C170B" w:rsidRDefault="00054748" w:rsidP="00054748">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054748" w:rsidRPr="005C170B" w14:paraId="4B5AFF77" w14:textId="77777777" w:rsidTr="00CB1843">
        <w:tc>
          <w:tcPr>
            <w:tcW w:w="8828" w:type="dxa"/>
          </w:tcPr>
          <w:p w14:paraId="603BEC38" w14:textId="77777777" w:rsidR="000D7F7E" w:rsidRDefault="000D7F7E" w:rsidP="008B7B4B">
            <w:pPr>
              <w:spacing w:after="120" w:line="276" w:lineRule="auto"/>
              <w:jc w:val="both"/>
              <w:rPr>
                <w:rFonts w:ascii="Verdana" w:eastAsia="Calibri" w:hAnsi="Verdana" w:cs="Arial"/>
                <w:bCs/>
                <w:color w:val="000000" w:themeColor="text1"/>
              </w:rPr>
            </w:pPr>
            <w:r w:rsidRPr="000D7F7E">
              <w:rPr>
                <w:rFonts w:ascii="Verdana" w:eastAsia="Calibri" w:hAnsi="Verdana" w:cs="Arial"/>
                <w:bCs/>
                <w:color w:val="000000" w:themeColor="text1"/>
              </w:rPr>
              <w:t xml:space="preserve">Para responder el problema jurídico planteado, es necesario precisar que, de conformidad con el artículo 5 de la Ley 1150 de 2007, la experiencia constituye </w:t>
            </w:r>
            <w:r w:rsidRPr="000D7F7E">
              <w:rPr>
                <w:rFonts w:ascii="Verdana" w:eastAsia="Calibri" w:hAnsi="Verdana" w:cs="Arial"/>
                <w:bCs/>
                <w:color w:val="000000" w:themeColor="text1"/>
              </w:rPr>
              <w:lastRenderedPageBreak/>
              <w:t>un requisito habilitante para participar en los procesos de contratación estatal y, por regla general, no otorga puntaje, salvo en el concurso de méritos para la selección de consultores, en el cual puede ser objeto de evaluación.</w:t>
            </w:r>
          </w:p>
          <w:p w14:paraId="3FD6B219" w14:textId="77777777" w:rsidR="0083444C" w:rsidRDefault="0083444C" w:rsidP="00CB3BEE">
            <w:pPr>
              <w:spacing w:after="120" w:line="276" w:lineRule="auto"/>
              <w:ind w:firstLine="709"/>
              <w:jc w:val="both"/>
              <w:rPr>
                <w:rFonts w:ascii="Verdana" w:eastAsia="Calibri" w:hAnsi="Verdana" w:cs="Arial"/>
                <w:bCs/>
                <w:color w:val="000000" w:themeColor="text1"/>
              </w:rPr>
            </w:pPr>
            <w:r w:rsidRPr="0083444C">
              <w:rPr>
                <w:rFonts w:ascii="Verdana" w:eastAsia="Calibri" w:hAnsi="Verdana" w:cs="Arial"/>
                <w:bCs/>
                <w:color w:val="000000" w:themeColor="text1"/>
              </w:rPr>
              <w:t>En este contexto, las personas jurídicas acreditan su experiencia mediante la información inscrita en el Registro Único de Proponentes (RUP), de conformidad con lo dispuesto en el artículo 6 de la Ley 1150 de 2007 y en el numeral 2.5 del artículo 2.2.1.1.1.5.2 del Decreto 1082 de 2015. No obstante, esta última disposición establece, de manera excepcional, que cuando la persona jurídica tenga menos de tres (3) años de constituida al momento de su inscripción o renovación en el RUP, podrá acreditar como propia la experiencia de sus accionistas, socios o constituyentes, en los términos allí previstos.</w:t>
            </w:r>
          </w:p>
          <w:p w14:paraId="1617D81B" w14:textId="55D283FC" w:rsidR="0083444C" w:rsidRPr="006B667E" w:rsidRDefault="0083444C" w:rsidP="00CB3BEE">
            <w:pPr>
              <w:spacing w:after="120" w:line="276" w:lineRule="auto"/>
              <w:ind w:firstLine="709"/>
              <w:jc w:val="both"/>
              <w:rPr>
                <w:rFonts w:ascii="Verdana" w:eastAsia="Calibri" w:hAnsi="Verdana" w:cs="Arial"/>
                <w:bCs/>
                <w:color w:val="000000" w:themeColor="text1"/>
              </w:rPr>
            </w:pPr>
            <w:r w:rsidRPr="0083444C">
              <w:rPr>
                <w:rFonts w:ascii="Verdana" w:eastAsia="Calibri" w:hAnsi="Verdana" w:cs="Arial"/>
                <w:bCs/>
                <w:color w:val="000000" w:themeColor="text1"/>
              </w:rPr>
              <w:t xml:space="preserve">En consecuencia, </w:t>
            </w:r>
            <w:r w:rsidRPr="0083444C">
              <w:rPr>
                <w:rFonts w:ascii="Verdana" w:eastAsia="Calibri" w:hAnsi="Verdana" w:cs="Arial"/>
                <w:color w:val="000000" w:themeColor="text1"/>
              </w:rPr>
              <w:t xml:space="preserve">sí es posible que una persona jurídica de reciente creación acredite como propia la experiencia de sus accionistas, socios o constituyentes, siempre que se cumplan las condiciones previstas en la normativa vigente. Esta facultad solo puede ejercerse durante los tres (3) años siguientes a la constitución de la persona jurídica y tiene como finalidad promover la participación de empresas de reciente creación en los procesos de contratación estatal. En ese sentido, para conservar la experiencia acreditada al amparo de esta excepción, la persona jurídica deberá incorporarla al Registro Único de Proponentes dentro del término previsto en el numeral 2.5 del artículo 2.2.1.1.1.5.2 </w:t>
            </w:r>
            <w:r w:rsidR="00BF7B63">
              <w:rPr>
                <w:rFonts w:ascii="Verdana" w:eastAsia="Calibri" w:hAnsi="Verdana" w:cs="Arial"/>
                <w:color w:val="000000" w:themeColor="text1"/>
              </w:rPr>
              <w:t>ibidem</w:t>
            </w:r>
            <w:r w:rsidRPr="0083444C">
              <w:rPr>
                <w:rFonts w:ascii="Verdana" w:eastAsia="Calibri" w:hAnsi="Verdana" w:cs="Arial"/>
                <w:color w:val="000000" w:themeColor="text1"/>
              </w:rPr>
              <w:t xml:space="preserve"> y mantener vigente dicha información mediante la renovación anual del registro, así como realizar las actualizaciones a que haya lugar cuando se presenten modificaciones en la información inscrita. En consecuencia, si una vez transcurridos los tres (3) años desde su constitución la persona jurídica no incorporó esa experiencia en el RUP durante el período en que la norma lo autorizaba, no podrá acreditarla con posterioridad y deberá demostrar únicamente la experiencia adquirida </w:t>
            </w:r>
            <w:r w:rsidRPr="006B667E">
              <w:rPr>
                <w:rFonts w:ascii="Verdana" w:eastAsia="Calibri" w:hAnsi="Verdana" w:cs="Arial"/>
                <w:color w:val="000000" w:themeColor="text1"/>
              </w:rPr>
              <w:t>directamente por ella.</w:t>
            </w:r>
          </w:p>
          <w:p w14:paraId="48965C2D" w14:textId="0F74FCED" w:rsidR="00054748" w:rsidRPr="00EF3663" w:rsidRDefault="00E70407" w:rsidP="00CB3BEE">
            <w:pPr>
              <w:spacing w:after="120" w:line="276" w:lineRule="auto"/>
              <w:ind w:firstLine="709"/>
              <w:jc w:val="both"/>
              <w:rPr>
                <w:rFonts w:ascii="Verdana" w:eastAsia="Calibri" w:hAnsi="Verdana" w:cs="Arial"/>
                <w:bCs/>
                <w:color w:val="000000" w:themeColor="text1"/>
              </w:rPr>
            </w:pPr>
            <w:r w:rsidRPr="006B667E">
              <w:rPr>
                <w:rFonts w:ascii="Verdana" w:eastAsia="Calibri" w:hAnsi="Verdana" w:cs="Arial"/>
                <w:bCs/>
                <w:color w:val="000000" w:themeColor="text1"/>
              </w:rPr>
              <w:t xml:space="preserve">Finalmente, debe advertirse que el análisis y la solución de situaciones específicas relacionadas con la gestión contractual de las entidades estatales corresponde a los interesados, con el apoyo de sus asesores jurídicos, y, en caso de controversia, a las autoridades competentes en materia judicial, disciplinaria, fiscal o de control. En consecuencia, cada entidad definirá la forma de adelantar su gestión contractual dentro del marco de sus </w:t>
            </w:r>
            <w:r w:rsidRPr="006B667E">
              <w:rPr>
                <w:rFonts w:ascii="Verdana" w:eastAsia="Calibri" w:hAnsi="Verdana" w:cs="Arial"/>
                <w:bCs/>
                <w:color w:val="000000" w:themeColor="text1"/>
              </w:rPr>
              <w:lastRenderedPageBreak/>
              <w:t>competencias, sin que corresponda a Colombia Compra Eficiente validar o avalar sus actuaciones</w:t>
            </w:r>
            <w:r w:rsidR="001160B5" w:rsidRPr="006B667E">
              <w:rPr>
                <w:rFonts w:ascii="Verdana" w:eastAsia="Calibri" w:hAnsi="Verdana" w:cs="Arial"/>
                <w:bCs/>
                <w:color w:val="000000" w:themeColor="text1"/>
              </w:rPr>
              <w:t>.</w:t>
            </w:r>
          </w:p>
        </w:tc>
      </w:tr>
    </w:tbl>
    <w:p w14:paraId="358DD491" w14:textId="77777777" w:rsidR="000B4761" w:rsidRPr="005C170B" w:rsidRDefault="000B4761" w:rsidP="00054748">
      <w:pPr>
        <w:tabs>
          <w:tab w:val="left" w:pos="142"/>
          <w:tab w:val="left" w:pos="284"/>
        </w:tabs>
        <w:spacing w:after="0" w:line="276" w:lineRule="auto"/>
        <w:jc w:val="both"/>
        <w:rPr>
          <w:rFonts w:ascii="Verdana" w:eastAsia="Century Gothic" w:hAnsi="Verdana" w:cs="Century Gothic"/>
          <w:b/>
          <w:bCs/>
          <w:lang w:val="es-ES"/>
        </w:rPr>
      </w:pPr>
    </w:p>
    <w:p w14:paraId="7B1875EC" w14:textId="77777777" w:rsidR="00054748" w:rsidRPr="00BC3A61" w:rsidRDefault="00054748" w:rsidP="0010054E">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BC3A61">
        <w:rPr>
          <w:rFonts w:ascii="Verdana" w:eastAsia="Century Gothic" w:hAnsi="Verdana" w:cs="Century Gothic"/>
          <w:b/>
          <w:bCs/>
        </w:rPr>
        <w:t>Razones de la respuesta:</w:t>
      </w:r>
    </w:p>
    <w:p w14:paraId="7470DF29" w14:textId="77777777" w:rsidR="00054748" w:rsidRPr="005C170B" w:rsidRDefault="00054748" w:rsidP="00054748">
      <w:pPr>
        <w:spacing w:after="0" w:line="276" w:lineRule="auto"/>
        <w:jc w:val="both"/>
        <w:rPr>
          <w:rFonts w:ascii="Verdana" w:eastAsia="Calibri" w:hAnsi="Verdana" w:cs="Arial"/>
          <w:color w:val="7030A0"/>
          <w:lang w:val="es-ES"/>
        </w:rPr>
      </w:pPr>
    </w:p>
    <w:p w14:paraId="292E0E9F" w14:textId="77777777" w:rsidR="00054748" w:rsidRDefault="00054748" w:rsidP="00054748">
      <w:pPr>
        <w:spacing w:after="0" w:line="276" w:lineRule="auto"/>
        <w:jc w:val="both"/>
        <w:rPr>
          <w:rFonts w:ascii="Verdana" w:eastAsia="Calibri" w:hAnsi="Verdana" w:cs="Arial"/>
          <w:lang w:val="es-ES"/>
        </w:rPr>
      </w:pPr>
      <w:r w:rsidRPr="005C170B">
        <w:rPr>
          <w:rFonts w:ascii="Verdana" w:eastAsia="Calibri" w:hAnsi="Verdana" w:cs="Arial"/>
          <w:lang w:val="es-ES"/>
        </w:rPr>
        <w:t xml:space="preserve">Lo anterior se sustenta en las siguientes consideraciones: </w:t>
      </w:r>
    </w:p>
    <w:p w14:paraId="11113433" w14:textId="77777777" w:rsidR="003D3285" w:rsidRDefault="003D3285" w:rsidP="00054748">
      <w:pPr>
        <w:spacing w:after="0" w:line="276" w:lineRule="auto"/>
        <w:jc w:val="both"/>
        <w:rPr>
          <w:rFonts w:ascii="Verdana" w:eastAsia="Calibri" w:hAnsi="Verdana" w:cs="Arial"/>
          <w:lang w:val="es-ES"/>
        </w:rPr>
      </w:pPr>
    </w:p>
    <w:p w14:paraId="5AC8D6A8" w14:textId="0DD710D2" w:rsidR="003D3285" w:rsidRDefault="00CB3BEE" w:rsidP="00CB3BEE">
      <w:pPr>
        <w:spacing w:after="0" w:line="276" w:lineRule="auto"/>
        <w:ind w:firstLine="709"/>
        <w:jc w:val="both"/>
        <w:rPr>
          <w:rFonts w:ascii="Verdana" w:eastAsia="Calibri" w:hAnsi="Verdana" w:cs="Arial"/>
          <w:lang w:val="es-ES"/>
        </w:rPr>
      </w:pPr>
      <w:r w:rsidRPr="00870A1C">
        <w:rPr>
          <w:rFonts w:ascii="Verdana" w:eastAsia="Calibri" w:hAnsi="Verdana" w:cs="Arial"/>
          <w:b/>
          <w:bCs/>
          <w:lang w:val="es-ES"/>
        </w:rPr>
        <w:t>i.</w:t>
      </w:r>
      <w:r>
        <w:rPr>
          <w:rFonts w:ascii="Verdana" w:eastAsia="Calibri" w:hAnsi="Verdana" w:cs="Arial"/>
          <w:lang w:val="es-ES"/>
        </w:rPr>
        <w:t xml:space="preserve"> </w:t>
      </w:r>
      <w:r w:rsidR="004B30CA" w:rsidRPr="004B30CA">
        <w:rPr>
          <w:rFonts w:ascii="Verdana" w:eastAsia="Calibri" w:hAnsi="Verdana" w:cs="Arial"/>
          <w:lang w:val="es-ES"/>
        </w:rPr>
        <w:t>La Ley 1150 de 2007 en el artículo 5, establece los requisitos habilitantes para participar en un procedimiento contractual, dentro de los cuales se destaca la experiencia. El propósito es que las entidades fijen unos requisitos mínimos que debe tener y acreditar el proponente, para que la entidad verifique su aptitud para participar en el procedimiento de contratación y, si se le adjudica, ejecutar el contrato estatal. En ese sentido, la entidad, como responsable de la estructuración de su procedimiento de contratación, es autónoma para requerir la experiencia necesaria para el objeto de contrato, para lo cual, de acuerdo con el artículo 2.2.1.1.1.6.2. del Decreto 1082 de 2015, debe tener en cuenta el estudio del sector y sus componentes como la identificación de riesgos, el mercado y precio del bien, obra o servicio a contratar</w:t>
      </w:r>
      <w:r w:rsidR="004B30CA">
        <w:rPr>
          <w:rFonts w:ascii="Verdana" w:eastAsia="Calibri" w:hAnsi="Verdana" w:cs="Arial"/>
          <w:lang w:val="es-ES"/>
        </w:rPr>
        <w:t xml:space="preserve">. </w:t>
      </w:r>
    </w:p>
    <w:p w14:paraId="5F30D6F8" w14:textId="77777777" w:rsidR="000D2881" w:rsidRDefault="000D2881" w:rsidP="00CB3BEE">
      <w:pPr>
        <w:spacing w:after="0" w:line="276" w:lineRule="auto"/>
        <w:ind w:firstLine="709"/>
        <w:jc w:val="both"/>
        <w:rPr>
          <w:rFonts w:ascii="Verdana" w:eastAsia="Calibri" w:hAnsi="Verdana" w:cs="Arial"/>
          <w:lang w:val="es-ES"/>
        </w:rPr>
      </w:pPr>
    </w:p>
    <w:p w14:paraId="4C200929" w14:textId="77777777" w:rsidR="000D2881" w:rsidRDefault="000D2881" w:rsidP="000D2881">
      <w:pPr>
        <w:spacing w:line="276" w:lineRule="auto"/>
        <w:ind w:firstLine="708"/>
        <w:jc w:val="both"/>
        <w:rPr>
          <w:rFonts w:ascii="Verdana" w:eastAsia="Calibri" w:hAnsi="Verdana" w:cs="Arial"/>
          <w:color w:val="000000" w:themeColor="text1"/>
        </w:rPr>
      </w:pPr>
      <w:r w:rsidRPr="000D2881">
        <w:rPr>
          <w:rFonts w:ascii="Verdana" w:eastAsia="Calibri" w:hAnsi="Verdana" w:cs="Arial"/>
          <w:color w:val="000000" w:themeColor="text1"/>
        </w:rPr>
        <w:t>La experiencia que se deriva de los contratos que el proponente ha celebrado y ejecutado con diferentes contratantes, sin importar la naturaleza de estos, se verifica con el Registro Único de Proponentes – en adelante RUP -</w:t>
      </w:r>
      <w:r w:rsidRPr="000D2881">
        <w:rPr>
          <w:rStyle w:val="Refdenotaalpie"/>
          <w:rFonts w:ascii="Verdana" w:eastAsia="Calibri" w:hAnsi="Verdana" w:cs="Arial"/>
          <w:color w:val="000000" w:themeColor="text1"/>
        </w:rPr>
        <w:footnoteReference w:id="1"/>
      </w:r>
      <w:r w:rsidRPr="000D2881">
        <w:rPr>
          <w:rFonts w:ascii="Verdana" w:eastAsia="Calibri" w:hAnsi="Verdana" w:cs="Arial"/>
          <w:color w:val="000000" w:themeColor="text1"/>
        </w:rPr>
        <w:t>, cuando este certificado sea exigible de acuerdo con la ley. En este registro constan los requisitos habilitantes que se evalúan exclusivamente con este documento, que es plena prueba, sin que la entidad o el proponente puedan solicitar o aportar otra documentación</w:t>
      </w:r>
      <w:r w:rsidRPr="000D2881">
        <w:rPr>
          <w:rStyle w:val="Refdenotaalpie"/>
          <w:rFonts w:ascii="Verdana" w:eastAsia="Calibri" w:hAnsi="Verdana" w:cs="Arial"/>
          <w:color w:val="000000" w:themeColor="text1"/>
        </w:rPr>
        <w:footnoteReference w:id="2"/>
      </w:r>
      <w:r w:rsidRPr="000D2881">
        <w:rPr>
          <w:rFonts w:ascii="Verdana" w:eastAsia="Calibri" w:hAnsi="Verdana" w:cs="Arial"/>
          <w:color w:val="000000" w:themeColor="text1"/>
        </w:rPr>
        <w:t>.</w:t>
      </w:r>
    </w:p>
    <w:p w14:paraId="736063B2" w14:textId="37EC4580" w:rsidR="00AD4501" w:rsidRDefault="00266E15" w:rsidP="0030754F">
      <w:pPr>
        <w:spacing w:line="276" w:lineRule="auto"/>
        <w:ind w:firstLine="708"/>
        <w:jc w:val="both"/>
        <w:rPr>
          <w:rFonts w:ascii="Verdana" w:eastAsia="Calibri" w:hAnsi="Verdana" w:cs="Arial"/>
          <w:color w:val="000000" w:themeColor="text1"/>
        </w:rPr>
      </w:pPr>
      <w:r w:rsidRPr="00266E15">
        <w:rPr>
          <w:rFonts w:ascii="Verdana" w:eastAsia="Calibri" w:hAnsi="Verdana" w:cs="Arial"/>
          <w:color w:val="000000" w:themeColor="text1"/>
        </w:rPr>
        <w:lastRenderedPageBreak/>
        <w:t xml:space="preserve">Respecto de la experiencia, esta debe inscribirse, renovarse o actualizarse en el RUP con copia de los contratos o con certificados de los contratos celebrados por el proponente con diferentes contratantes, quienes son terceros que los expiden cuando el contrato fue ejecutado y recibieron los bienes, obras o servicios de parte del </w:t>
      </w:r>
      <w:r w:rsidR="004C0212" w:rsidRPr="00266E15">
        <w:rPr>
          <w:rFonts w:ascii="Verdana" w:eastAsia="Calibri" w:hAnsi="Verdana" w:cs="Arial"/>
          <w:color w:val="000000" w:themeColor="text1"/>
        </w:rPr>
        <w:t>proponente.</w:t>
      </w:r>
      <w:r w:rsidRPr="00266E15">
        <w:rPr>
          <w:rFonts w:ascii="Verdana" w:eastAsia="Calibri" w:hAnsi="Verdana" w:cs="Arial"/>
          <w:color w:val="000000" w:themeColor="text1"/>
        </w:rPr>
        <w:t xml:space="preserve"> De esta manera, con el RUP se</w:t>
      </w:r>
      <w:r w:rsidR="004C0212">
        <w:rPr>
          <w:rFonts w:ascii="Verdana" w:eastAsia="Calibri" w:hAnsi="Verdana" w:cs="Arial"/>
          <w:color w:val="000000" w:themeColor="text1"/>
        </w:rPr>
        <w:t xml:space="preserve"> </w:t>
      </w:r>
      <w:r w:rsidR="004C0212" w:rsidRPr="004C0212">
        <w:rPr>
          <w:rFonts w:ascii="Verdana" w:eastAsia="Calibri" w:hAnsi="Verdana" w:cs="Arial"/>
          <w:color w:val="000000" w:themeColor="text1"/>
        </w:rPr>
        <w:t>verifica que el proponente tenga experiencia en la ejecución del objeto que pretende contratar la entidad, esto es, que haya celebrado y ejecutado contratos que se asimilen a la necesidad que la entidad requiere satisfacer con el procedimiento contractual, sin que sea necesario que su objeto sea idéntico</w:t>
      </w:r>
      <w:r w:rsidR="004C0212">
        <w:rPr>
          <w:rFonts w:ascii="Verdana" w:eastAsia="Calibri" w:hAnsi="Verdana" w:cs="Arial"/>
          <w:color w:val="000000" w:themeColor="text1"/>
        </w:rPr>
        <w:t>.</w:t>
      </w:r>
    </w:p>
    <w:p w14:paraId="08958FCD" w14:textId="191CE144" w:rsidR="001C05C4" w:rsidRPr="001C05C4" w:rsidRDefault="00AD4501" w:rsidP="001C05C4">
      <w:pPr>
        <w:spacing w:line="276" w:lineRule="auto"/>
        <w:ind w:firstLine="708"/>
        <w:jc w:val="both"/>
        <w:rPr>
          <w:rFonts w:ascii="Verdana" w:eastAsia="Calibri" w:hAnsi="Verdana" w:cs="Arial"/>
          <w:color w:val="000000" w:themeColor="text1"/>
        </w:rPr>
      </w:pPr>
      <w:r w:rsidRPr="00EE6118">
        <w:rPr>
          <w:rFonts w:ascii="Verdana" w:eastAsia="Calibri" w:hAnsi="Verdana" w:cs="Arial"/>
          <w:b/>
          <w:bCs/>
          <w:color w:val="000000" w:themeColor="text1"/>
        </w:rPr>
        <w:t>ii.</w:t>
      </w:r>
      <w:r>
        <w:rPr>
          <w:rFonts w:ascii="Verdana" w:eastAsia="Calibri" w:hAnsi="Verdana" w:cs="Arial"/>
          <w:color w:val="000000" w:themeColor="text1"/>
        </w:rPr>
        <w:t xml:space="preserve"> Al respecto, esta Agencia </w:t>
      </w:r>
      <w:r w:rsidR="001C05C4" w:rsidRPr="001C05C4">
        <w:rPr>
          <w:rFonts w:ascii="Verdana" w:eastAsia="Calibri" w:hAnsi="Verdana" w:cs="Arial"/>
          <w:color w:val="000000" w:themeColor="text1"/>
        </w:rPr>
        <w:t>puso a disposición de los interesados del Sistema de Compra Pública el “Manual para determinar y verificar requisitos habilitantes en los procesos de contratación</w:t>
      </w:r>
      <w:r w:rsidR="00EE6118" w:rsidRPr="001C05C4">
        <w:rPr>
          <w:rFonts w:ascii="Verdana" w:eastAsia="Calibri" w:hAnsi="Verdana" w:cs="Arial"/>
          <w:color w:val="000000" w:themeColor="text1"/>
        </w:rPr>
        <w:t>”,</w:t>
      </w:r>
      <w:r w:rsidR="001C05C4" w:rsidRPr="001C05C4">
        <w:rPr>
          <w:rFonts w:ascii="Verdana" w:eastAsia="Calibri" w:hAnsi="Verdana" w:cs="Arial"/>
          <w:color w:val="000000" w:themeColor="text1"/>
        </w:rPr>
        <w:t xml:space="preserve"> donde se establecen las definiciones de cada requisito habilitante y se dan lineamientos sobre lo que las entidades pueden hacer para establecerlos. En relación con la experiencia, el Manual se centra en su carácter personal, lo cual significa que la experiencia se obtiene en razón a la participación del proponente, con anterioridad, en actividades que le permitieron conocer cómo ejecutar determinado objeto contractual, que la entidad ahora pretende </w:t>
      </w:r>
      <w:r w:rsidR="00EE6118" w:rsidRPr="001C05C4">
        <w:rPr>
          <w:rFonts w:ascii="Verdana" w:eastAsia="Calibri" w:hAnsi="Verdana" w:cs="Arial"/>
          <w:color w:val="000000" w:themeColor="text1"/>
        </w:rPr>
        <w:t>desarrollar.</w:t>
      </w:r>
    </w:p>
    <w:p w14:paraId="78ECED14" w14:textId="6CBA5A27" w:rsidR="00AD4501" w:rsidRDefault="001C05C4" w:rsidP="001C05C4">
      <w:pPr>
        <w:spacing w:line="276" w:lineRule="auto"/>
        <w:ind w:firstLine="708"/>
        <w:jc w:val="both"/>
        <w:rPr>
          <w:rFonts w:ascii="Verdana" w:eastAsia="Calibri" w:hAnsi="Verdana" w:cs="Arial"/>
          <w:color w:val="000000" w:themeColor="text1"/>
        </w:rPr>
      </w:pPr>
      <w:r w:rsidRPr="001C05C4">
        <w:rPr>
          <w:rFonts w:ascii="Verdana" w:eastAsia="Calibri" w:hAnsi="Verdana" w:cs="Arial"/>
          <w:color w:val="000000" w:themeColor="text1"/>
        </w:rPr>
        <w:t>Lo anterior es determinante, porque no es posible adquirir la experiencia si en la práctica no se han ejecutado actividades similares de forma previa. Precisamente, de la experiencia se deriva el conocimiento del proponente, y para la contratación pública este conocimiento es importante, pues ello garantiza que no habrá improvisación ni mayores costos por errores o dificultades originadas en realizar una actividad por primera vez.</w:t>
      </w:r>
    </w:p>
    <w:p w14:paraId="64F2A22F" w14:textId="22630B00" w:rsidR="00A43FE4" w:rsidRDefault="00A43FE4" w:rsidP="001C05C4">
      <w:pPr>
        <w:spacing w:line="276" w:lineRule="auto"/>
        <w:ind w:firstLine="708"/>
        <w:jc w:val="both"/>
        <w:rPr>
          <w:rFonts w:ascii="Verdana" w:eastAsia="Calibri" w:hAnsi="Verdana" w:cs="Arial"/>
          <w:color w:val="000000" w:themeColor="text1"/>
        </w:rPr>
      </w:pPr>
      <w:r w:rsidRPr="00A43FE4">
        <w:rPr>
          <w:rFonts w:ascii="Verdana" w:eastAsia="Calibri" w:hAnsi="Verdana" w:cs="Arial"/>
          <w:color w:val="000000" w:themeColor="text1"/>
        </w:rPr>
        <w:t>Adicionalmente, el Manual explica que la experiencia puede obtenerse directamente o por participar asociado con otra persona, como es el caso de los proponentes plurales, en cuyo evento la experiencia no deja de ser personal, sino que es proporcional a la participación como miembro de un consorcio o unión temporal, donde por tratarse de esquemas asociativos la experiencia es compartida.</w:t>
      </w:r>
    </w:p>
    <w:p w14:paraId="594C3259" w14:textId="44E33BFF" w:rsidR="008476E1" w:rsidRDefault="008476E1" w:rsidP="001C05C4">
      <w:pPr>
        <w:spacing w:line="276" w:lineRule="auto"/>
        <w:ind w:firstLine="708"/>
        <w:jc w:val="both"/>
        <w:rPr>
          <w:rFonts w:ascii="Verdana" w:eastAsia="Calibri" w:hAnsi="Verdana" w:cs="Arial"/>
          <w:color w:val="000000" w:themeColor="text1"/>
        </w:rPr>
      </w:pPr>
      <w:r w:rsidRPr="00AB1DF2">
        <w:rPr>
          <w:rFonts w:ascii="Verdana" w:eastAsia="Calibri" w:hAnsi="Verdana" w:cs="Arial"/>
          <w:b/>
          <w:bCs/>
          <w:color w:val="000000" w:themeColor="text1"/>
        </w:rPr>
        <w:lastRenderedPageBreak/>
        <w:t>iii.</w:t>
      </w:r>
      <w:r>
        <w:rPr>
          <w:rFonts w:ascii="Verdana" w:eastAsia="Calibri" w:hAnsi="Verdana" w:cs="Arial"/>
          <w:color w:val="000000" w:themeColor="text1"/>
        </w:rPr>
        <w:t xml:space="preserve"> </w:t>
      </w:r>
      <w:r w:rsidR="00AB1DF2" w:rsidRPr="00AB1DF2">
        <w:rPr>
          <w:rFonts w:ascii="Verdana" w:eastAsia="Calibri" w:hAnsi="Verdana" w:cs="Arial"/>
          <w:color w:val="000000" w:themeColor="text1"/>
        </w:rPr>
        <w:t xml:space="preserve">Ahora bien, respecto a la forma como se acredita la experiencia, debe destacarse que, el RUP fue creado por el artículo 6 de la Ley 1150 de </w:t>
      </w:r>
      <w:r w:rsidR="0030754F" w:rsidRPr="00AB1DF2">
        <w:rPr>
          <w:rFonts w:ascii="Verdana" w:eastAsia="Calibri" w:hAnsi="Verdana" w:cs="Arial"/>
          <w:color w:val="000000" w:themeColor="text1"/>
        </w:rPr>
        <w:t>2007 y</w:t>
      </w:r>
      <w:r w:rsidR="00AB1DF2" w:rsidRPr="00AB1DF2">
        <w:rPr>
          <w:rFonts w:ascii="Verdana" w:eastAsia="Calibri" w:hAnsi="Verdana" w:cs="Arial"/>
          <w:color w:val="000000" w:themeColor="text1"/>
        </w:rPr>
        <w:t xml:space="preserve"> constituye el medio idóneo para verificar las condiciones de los proponentes en procesos de contratación pública. Este registro, conforme a lo señalado por la Corte Constitucional, es administrado por las Cámaras de Comercio y la actividad relacionada en el mismo está “sometid</w:t>
      </w:r>
      <w:r w:rsidR="00AB1DF2">
        <w:rPr>
          <w:rFonts w:ascii="Verdana" w:eastAsia="Calibri" w:hAnsi="Verdana" w:cs="Arial"/>
          <w:color w:val="000000" w:themeColor="text1"/>
        </w:rPr>
        <w:t>a</w:t>
      </w:r>
      <w:r w:rsidR="00AB1DF2" w:rsidRPr="00AB1DF2">
        <w:rPr>
          <w:rFonts w:ascii="Verdana" w:eastAsia="Calibri" w:hAnsi="Verdana" w:cs="Arial"/>
          <w:color w:val="000000" w:themeColor="text1"/>
        </w:rPr>
        <w:t xml:space="preserve"> a los principios de la función administrativa y de contratación estatal</w:t>
      </w:r>
      <w:r w:rsidR="0030754F" w:rsidRPr="00AB1DF2">
        <w:rPr>
          <w:rFonts w:ascii="Verdana" w:eastAsia="Calibri" w:hAnsi="Verdana" w:cs="Arial"/>
          <w:color w:val="000000" w:themeColor="text1"/>
        </w:rPr>
        <w:t>”.</w:t>
      </w:r>
      <w:r w:rsidR="00AB1DF2">
        <w:rPr>
          <w:rFonts w:ascii="Verdana" w:eastAsia="Calibri" w:hAnsi="Verdana" w:cs="Arial"/>
          <w:color w:val="000000" w:themeColor="text1"/>
        </w:rPr>
        <w:t xml:space="preserve"> </w:t>
      </w:r>
    </w:p>
    <w:p w14:paraId="3C412C98" w14:textId="50E09416" w:rsidR="0079375D" w:rsidRPr="0079375D" w:rsidRDefault="0079375D" w:rsidP="0079375D">
      <w:pPr>
        <w:spacing w:line="276" w:lineRule="auto"/>
        <w:ind w:firstLine="708"/>
        <w:jc w:val="both"/>
        <w:rPr>
          <w:rFonts w:ascii="Verdana" w:eastAsia="Calibri" w:hAnsi="Verdana" w:cs="Arial"/>
          <w:color w:val="000000" w:themeColor="text1"/>
        </w:rPr>
      </w:pPr>
      <w:r w:rsidRPr="0079375D">
        <w:rPr>
          <w:rFonts w:ascii="Verdana" w:eastAsia="Calibri" w:hAnsi="Verdana" w:cs="Arial"/>
          <w:color w:val="000000" w:themeColor="text1"/>
        </w:rPr>
        <w:t xml:space="preserve">El artículo 6 de la Ley 1150 de 2007 señala que el RUP “es plena prueba de las circunstancias que en ella se hagan constar y que hayan sido verificadas por las Cámaras de Comercio”, es decir, estableció una regla probatoria en lo que se refiere a las condiciones de </w:t>
      </w:r>
      <w:r w:rsidR="00186325" w:rsidRPr="0079375D">
        <w:rPr>
          <w:rFonts w:ascii="Verdana" w:eastAsia="Calibri" w:hAnsi="Verdana" w:cs="Arial"/>
          <w:color w:val="000000" w:themeColor="text1"/>
        </w:rPr>
        <w:t>las proponentes contenidas</w:t>
      </w:r>
      <w:r w:rsidRPr="0079375D">
        <w:rPr>
          <w:rFonts w:ascii="Verdana" w:eastAsia="Calibri" w:hAnsi="Verdana" w:cs="Arial"/>
          <w:color w:val="000000" w:themeColor="text1"/>
        </w:rPr>
        <w:t xml:space="preserve"> en el registro y asignó la competencia a las cámaras para verificarlas. </w:t>
      </w:r>
    </w:p>
    <w:p w14:paraId="59133E79" w14:textId="2B58A97F" w:rsidR="0079375D" w:rsidRDefault="0079375D" w:rsidP="0079375D">
      <w:pPr>
        <w:spacing w:line="276" w:lineRule="auto"/>
        <w:ind w:firstLine="708"/>
        <w:jc w:val="both"/>
        <w:rPr>
          <w:rFonts w:ascii="Verdana" w:eastAsia="Calibri" w:hAnsi="Verdana" w:cs="Arial"/>
          <w:color w:val="000000" w:themeColor="text1"/>
        </w:rPr>
      </w:pPr>
      <w:r w:rsidRPr="0079375D">
        <w:rPr>
          <w:rFonts w:ascii="Verdana" w:eastAsia="Calibri" w:hAnsi="Verdana" w:cs="Arial"/>
          <w:color w:val="000000" w:themeColor="text1"/>
        </w:rPr>
        <w:t>La norma impuso la obligación a todos los proponentes de inscribirse en el RUP, salvo en los casos de contratación directa, contratos para la prestación de servicios de salud, contratos de mínima cuantía, enajenación de bienes del Estado y los contratos que tengan por objeto la adquisición de productos de origen o destinación agropecuaria que se ofrezcan en bolsas de productos legalmente constituidas. De igual forma, están exceptuados los actos y contratos que tengan por objeto directo las actividades comerciales e industriales propias de las empresas industriales y comerciales del Estado y las sociedades de economía mixta y los contratos de concesión de cualquier índole.</w:t>
      </w:r>
    </w:p>
    <w:p w14:paraId="14FC34EE" w14:textId="529DE410" w:rsidR="00DA1F5C" w:rsidRPr="00DA1F5C" w:rsidRDefault="00DA1F5C" w:rsidP="00DA1F5C">
      <w:pPr>
        <w:spacing w:line="276" w:lineRule="auto"/>
        <w:ind w:firstLine="708"/>
        <w:jc w:val="both"/>
        <w:rPr>
          <w:rFonts w:ascii="Verdana" w:eastAsia="Calibri" w:hAnsi="Verdana" w:cs="Arial"/>
          <w:color w:val="000000" w:themeColor="text1"/>
        </w:rPr>
      </w:pPr>
      <w:r w:rsidRPr="00DA1F5C">
        <w:rPr>
          <w:rFonts w:ascii="Verdana" w:eastAsia="Calibri" w:hAnsi="Verdana" w:cs="Arial"/>
          <w:color w:val="000000" w:themeColor="text1"/>
        </w:rPr>
        <w:t>En consecuencia, la norma dispone que a las entidades les está prohibido exigir otros documentos para efectuar la inscripción en el registro, salvo lo dispuesto en el inciso 3 del numeral 6.1.</w:t>
      </w:r>
      <w:r w:rsidR="00186325">
        <w:rPr>
          <w:rFonts w:ascii="Verdana" w:eastAsia="Calibri" w:hAnsi="Verdana" w:cs="Arial"/>
          <w:color w:val="000000" w:themeColor="text1"/>
        </w:rPr>
        <w:t xml:space="preserve"> </w:t>
      </w:r>
      <w:r w:rsidRPr="00DA1F5C">
        <w:rPr>
          <w:rFonts w:ascii="Verdana" w:eastAsia="Calibri" w:hAnsi="Verdana" w:cs="Arial"/>
          <w:color w:val="000000" w:themeColor="text1"/>
        </w:rPr>
        <w:t xml:space="preserve">del artículo 6 de la Ley 1150 de 2007, en el que se prevé que la entidad podrá verificar requisitos adicionales a los contenidos en el registro cuando se requiera en virtud de la naturaleza del objeto a contratar. La norma señala que solo en este último evento la entidad podrá hacer la verificación en forma directa, es decir, cuando por el objeto del contrato se requieran verificar requisitos adicionales a los contenidos en el registro. </w:t>
      </w:r>
    </w:p>
    <w:p w14:paraId="1964DE1D" w14:textId="2A875079" w:rsidR="00DA1F5C" w:rsidRDefault="00DA1F5C" w:rsidP="00DA1F5C">
      <w:pPr>
        <w:spacing w:line="276" w:lineRule="auto"/>
        <w:ind w:firstLine="708"/>
        <w:jc w:val="both"/>
        <w:rPr>
          <w:rFonts w:ascii="Verdana" w:eastAsia="Calibri" w:hAnsi="Verdana" w:cs="Arial"/>
          <w:color w:val="000000" w:themeColor="text1"/>
        </w:rPr>
      </w:pPr>
      <w:r w:rsidRPr="00DA1F5C">
        <w:rPr>
          <w:rFonts w:ascii="Verdana" w:eastAsia="Calibri" w:hAnsi="Verdana" w:cs="Arial"/>
          <w:color w:val="000000" w:themeColor="text1"/>
        </w:rPr>
        <w:t>De lo anterior se concluye que la regla general es que la experiencia se acredite a través del RUP y, en consecuencia, la evaluación de la experiencia, como requisito habilitante, no puede ser evaluada nuevamente por la entidad pública a partir de otros criterios distintos a los contenidos en el RUP.</w:t>
      </w:r>
    </w:p>
    <w:p w14:paraId="39754A41" w14:textId="5F562E7B" w:rsidR="000C4AB7" w:rsidRPr="000C4AB7" w:rsidRDefault="00DA1F5C" w:rsidP="000C4AB7">
      <w:pPr>
        <w:spacing w:line="276" w:lineRule="auto"/>
        <w:ind w:firstLine="708"/>
        <w:jc w:val="both"/>
        <w:rPr>
          <w:rFonts w:ascii="Verdana" w:eastAsia="Calibri" w:hAnsi="Verdana" w:cs="Arial"/>
          <w:color w:val="000000" w:themeColor="text1"/>
        </w:rPr>
      </w:pPr>
      <w:r w:rsidRPr="000C4AB7">
        <w:rPr>
          <w:rFonts w:ascii="Verdana" w:eastAsia="Calibri" w:hAnsi="Verdana" w:cs="Arial"/>
          <w:b/>
          <w:bCs/>
          <w:color w:val="000000" w:themeColor="text1"/>
        </w:rPr>
        <w:lastRenderedPageBreak/>
        <w:t>iv.</w:t>
      </w:r>
      <w:r>
        <w:rPr>
          <w:rFonts w:ascii="Verdana" w:eastAsia="Calibri" w:hAnsi="Verdana" w:cs="Arial"/>
          <w:color w:val="000000" w:themeColor="text1"/>
        </w:rPr>
        <w:t xml:space="preserve"> </w:t>
      </w:r>
      <w:r w:rsidR="00EF3E45">
        <w:rPr>
          <w:rFonts w:ascii="Verdana" w:eastAsia="Calibri" w:hAnsi="Verdana" w:cs="Arial"/>
          <w:color w:val="000000" w:themeColor="text1"/>
        </w:rPr>
        <w:t xml:space="preserve">Atendiendo </w:t>
      </w:r>
      <w:r w:rsidR="00BF62A1">
        <w:rPr>
          <w:rFonts w:ascii="Verdana" w:eastAsia="Calibri" w:hAnsi="Verdana" w:cs="Arial"/>
          <w:color w:val="000000" w:themeColor="text1"/>
        </w:rPr>
        <w:t xml:space="preserve">puntualmente </w:t>
      </w:r>
      <w:r w:rsidR="00EF3E45">
        <w:rPr>
          <w:rFonts w:ascii="Verdana" w:eastAsia="Calibri" w:hAnsi="Verdana" w:cs="Arial"/>
          <w:color w:val="000000" w:themeColor="text1"/>
        </w:rPr>
        <w:t xml:space="preserve">el problema jurídico planteado, el </w:t>
      </w:r>
      <w:r w:rsidR="000C4AB7" w:rsidRPr="000C4AB7">
        <w:rPr>
          <w:rFonts w:ascii="Verdana" w:eastAsia="Calibri" w:hAnsi="Verdana" w:cs="Arial"/>
          <w:color w:val="000000" w:themeColor="text1"/>
        </w:rPr>
        <w:t>artículo 5 de la Ley 1150 de 2007 dispone que la capacidad jurídica y las condiciones de experiencia, capacidad financiera y de organización de los proponentes serán objeto de verificación por parte de las entidades</w:t>
      </w:r>
      <w:r w:rsidR="008F7CAA">
        <w:rPr>
          <w:rFonts w:ascii="Verdana" w:eastAsia="Calibri" w:hAnsi="Verdana" w:cs="Arial"/>
          <w:color w:val="000000" w:themeColor="text1"/>
        </w:rPr>
        <w:t xml:space="preserve">, </w:t>
      </w:r>
      <w:r w:rsidR="000C4AB7" w:rsidRPr="000C4AB7">
        <w:rPr>
          <w:rFonts w:ascii="Verdana" w:eastAsia="Calibri" w:hAnsi="Verdana" w:cs="Arial"/>
          <w:color w:val="000000" w:themeColor="text1"/>
        </w:rPr>
        <w:t>como requisitos habilitantes para participar en los procesos de selección y no otorgarán puntaje. Lo anterior con excepción de la selección de consultores mediante un concurso de méritos, donde es posible otorgar puntaje al criterio de experiencia.</w:t>
      </w:r>
    </w:p>
    <w:p w14:paraId="24EA661B" w14:textId="12FA2785" w:rsidR="00DA1F5C" w:rsidRDefault="000C4AB7" w:rsidP="000C4AB7">
      <w:pPr>
        <w:spacing w:line="276" w:lineRule="auto"/>
        <w:ind w:firstLine="708"/>
        <w:jc w:val="both"/>
        <w:rPr>
          <w:rFonts w:ascii="Verdana" w:eastAsia="Calibri" w:hAnsi="Verdana" w:cs="Arial"/>
          <w:color w:val="000000" w:themeColor="text1"/>
        </w:rPr>
      </w:pPr>
      <w:r w:rsidRPr="000C4AB7">
        <w:rPr>
          <w:rFonts w:ascii="Verdana" w:eastAsia="Calibri" w:hAnsi="Verdana" w:cs="Arial"/>
          <w:color w:val="000000" w:themeColor="text1"/>
        </w:rPr>
        <w:t>Por su parte, el artículo 6 de la Ley 1150 de 2007 señala que todas las personas naturales o jurídicas, nacionales o extranjeras, domiciliadas o con sucursal en Colombia, que aspiren celebrar contratos con las entidades deberán estar inscritas en el RUP. En dicho registro constará la información relacionada con la experiencia, capacidad jurídica, financiera y de organización del proponente y su clasificación. Frente al requisito habilitante de experiencia, en el “Manual para determinar y verificar requisitos habilitantes en los procesos de contratación” se define la experiencia como “el conocimiento del proponente derivado de su participación previa en actividades iguales o similares a las previstas en el objeto del contrato”.</w:t>
      </w:r>
    </w:p>
    <w:p w14:paraId="02DC8088" w14:textId="6D0FB5F7" w:rsidR="009B370F" w:rsidRPr="009B370F" w:rsidRDefault="000E379A" w:rsidP="009B370F">
      <w:pPr>
        <w:spacing w:line="276" w:lineRule="auto"/>
        <w:ind w:firstLine="708"/>
        <w:jc w:val="both"/>
        <w:rPr>
          <w:rFonts w:ascii="Verdana" w:eastAsia="Calibri" w:hAnsi="Verdana" w:cs="Arial"/>
          <w:color w:val="000000" w:themeColor="text1"/>
        </w:rPr>
      </w:pPr>
      <w:r w:rsidRPr="000E379A">
        <w:rPr>
          <w:rFonts w:ascii="Verdana" w:eastAsia="Calibri" w:hAnsi="Verdana" w:cs="Arial"/>
          <w:color w:val="000000" w:themeColor="text1"/>
        </w:rPr>
        <w:t>El numeral 2.1 del artículo 2.2.1.1.1.5.2 del Decreto 1082 de 2015 establece que si una persona natural se inscribe en el RUP aportará los certificados de experiencia en provisión de</w:t>
      </w:r>
      <w:r w:rsidR="009B370F">
        <w:rPr>
          <w:rFonts w:ascii="Verdana" w:eastAsia="Calibri" w:hAnsi="Verdana" w:cs="Arial"/>
          <w:color w:val="000000" w:themeColor="text1"/>
        </w:rPr>
        <w:t xml:space="preserve"> </w:t>
      </w:r>
      <w:r w:rsidR="009B370F" w:rsidRPr="009B370F">
        <w:rPr>
          <w:rFonts w:ascii="Verdana" w:eastAsia="Calibri" w:hAnsi="Verdana" w:cs="Arial"/>
          <w:color w:val="000000" w:themeColor="text1"/>
        </w:rPr>
        <w:t>bienes, obras y servicios, los cuales deben ser expedidos por terceros que hayan recibido tales bienes, obras y servicios, y deben corresponder a contratos ejecutados o copias de los contratos cuando el interesado no puede obtener tal certificado.</w:t>
      </w:r>
    </w:p>
    <w:p w14:paraId="603B951B" w14:textId="6A2C858D" w:rsidR="009B370F" w:rsidRPr="009B370F" w:rsidRDefault="009B370F" w:rsidP="009B370F">
      <w:pPr>
        <w:spacing w:line="276" w:lineRule="auto"/>
        <w:ind w:firstLine="708"/>
        <w:jc w:val="both"/>
        <w:rPr>
          <w:rFonts w:ascii="Verdana" w:eastAsia="Calibri" w:hAnsi="Verdana" w:cs="Arial"/>
          <w:color w:val="000000" w:themeColor="text1"/>
        </w:rPr>
      </w:pPr>
      <w:r w:rsidRPr="009B370F">
        <w:rPr>
          <w:rFonts w:ascii="Verdana" w:eastAsia="Calibri" w:hAnsi="Verdana" w:cs="Arial"/>
          <w:color w:val="000000" w:themeColor="text1"/>
        </w:rPr>
        <w:t xml:space="preserve">De la misma forma, el numeral 2.5. ibidem señala que la persona jurídica se registrará aportando los certificados de la experiencia en la provisión de los bienes, obras y servicios que ofrecerá a las entidades estatales, los cuales deben ser expedidos por terceros que hayan recibido tales bienes, obras o servicios y deben corresponder a contratos ejecutados o copias de los contratos cuando el interesado no puede obtener tal </w:t>
      </w:r>
      <w:r w:rsidR="00BF62A1" w:rsidRPr="009B370F">
        <w:rPr>
          <w:rFonts w:ascii="Verdana" w:eastAsia="Calibri" w:hAnsi="Verdana" w:cs="Arial"/>
          <w:color w:val="000000" w:themeColor="text1"/>
        </w:rPr>
        <w:t>certificado.</w:t>
      </w:r>
    </w:p>
    <w:p w14:paraId="68D41363" w14:textId="028A7739" w:rsidR="009B370F" w:rsidRPr="009B370F" w:rsidRDefault="009B370F" w:rsidP="009B370F">
      <w:pPr>
        <w:spacing w:line="276" w:lineRule="auto"/>
        <w:ind w:firstLine="708"/>
        <w:jc w:val="both"/>
        <w:rPr>
          <w:rFonts w:ascii="Verdana" w:eastAsia="Calibri" w:hAnsi="Verdana" w:cs="Arial"/>
          <w:color w:val="000000" w:themeColor="text1"/>
        </w:rPr>
      </w:pPr>
      <w:r w:rsidRPr="009B370F">
        <w:rPr>
          <w:rFonts w:ascii="Verdana" w:eastAsia="Calibri" w:hAnsi="Verdana" w:cs="Arial"/>
          <w:color w:val="000000" w:themeColor="text1"/>
        </w:rPr>
        <w:t xml:space="preserve">El interesado debe indicar en cada certificado, o en cada copia de los contratos, los bienes, obras y servicios a los cuales corresponde la experiencia que pretende acreditar, identificándolos con el Clasificador de Bienes y Servicios, en el tercer nivel. La parte final de ese numeral 2.5. indica que </w:t>
      </w:r>
      <w:r w:rsidR="00BF62A1">
        <w:rPr>
          <w:rFonts w:ascii="Verdana" w:eastAsia="Calibri" w:hAnsi="Verdana" w:cs="Arial"/>
          <w:i/>
          <w:iCs/>
          <w:color w:val="000000" w:themeColor="text1"/>
        </w:rPr>
        <w:t>s</w:t>
      </w:r>
      <w:r w:rsidRPr="00BF62A1">
        <w:rPr>
          <w:rFonts w:ascii="Verdana" w:eastAsia="Calibri" w:hAnsi="Verdana" w:cs="Arial"/>
          <w:i/>
          <w:iCs/>
          <w:color w:val="000000" w:themeColor="text1"/>
        </w:rPr>
        <w:t xml:space="preserve">i la constitución </w:t>
      </w:r>
      <w:r w:rsidRPr="00BF62A1">
        <w:rPr>
          <w:rFonts w:ascii="Verdana" w:eastAsia="Calibri" w:hAnsi="Verdana" w:cs="Arial"/>
          <w:i/>
          <w:iCs/>
          <w:color w:val="000000" w:themeColor="text1"/>
        </w:rPr>
        <w:lastRenderedPageBreak/>
        <w:t>del interesado es menor a tres (3) años, puede acreditar la experiencia de sus accionistas, socios o constituyentes</w:t>
      </w:r>
      <w:r w:rsidR="00BF62A1">
        <w:rPr>
          <w:rFonts w:ascii="Verdana" w:eastAsia="Calibri" w:hAnsi="Verdana" w:cs="Arial"/>
          <w:i/>
          <w:iCs/>
          <w:color w:val="000000" w:themeColor="text1"/>
        </w:rPr>
        <w:t>.</w:t>
      </w:r>
    </w:p>
    <w:p w14:paraId="2AF8A0FF" w14:textId="342EFD2A" w:rsidR="009B370F" w:rsidRPr="009B370F" w:rsidRDefault="009B370F" w:rsidP="009B370F">
      <w:pPr>
        <w:spacing w:line="276" w:lineRule="auto"/>
        <w:ind w:firstLine="708"/>
        <w:jc w:val="both"/>
        <w:rPr>
          <w:rFonts w:ascii="Verdana" w:eastAsia="Calibri" w:hAnsi="Verdana" w:cs="Arial"/>
          <w:color w:val="000000" w:themeColor="text1"/>
        </w:rPr>
      </w:pPr>
      <w:r w:rsidRPr="009B370F">
        <w:rPr>
          <w:rFonts w:ascii="Verdana" w:eastAsia="Calibri" w:hAnsi="Verdana" w:cs="Arial"/>
          <w:color w:val="000000" w:themeColor="text1"/>
        </w:rPr>
        <w:t>De este modo, se evidencia que, la parte final del numeral 2.5 del artículo citado incluye una medida diferenciada para las personas jurídicas cuya constitución sea menor a tres (3) años al momento del registro.</w:t>
      </w:r>
      <w:r w:rsidR="005502B9">
        <w:rPr>
          <w:rFonts w:ascii="Verdana" w:eastAsia="Calibri" w:hAnsi="Verdana" w:cs="Arial"/>
          <w:color w:val="000000" w:themeColor="text1"/>
        </w:rPr>
        <w:t xml:space="preserve"> </w:t>
      </w:r>
      <w:r w:rsidRPr="009B370F">
        <w:rPr>
          <w:rFonts w:ascii="Verdana" w:eastAsia="Calibri" w:hAnsi="Verdana" w:cs="Arial"/>
          <w:color w:val="000000" w:themeColor="text1"/>
        </w:rPr>
        <w:t>Esta prerrogativa, que puede entenderse como una medida de fomento a la participación de pequeños oferentes en la contratación estatal, permite que las sociedades relativamente nuevas ─con menos de tres (3) años de constitución─ puedan acreditar como experiencia en el RUP la de sus accionistas, socios o constituyentes.</w:t>
      </w:r>
    </w:p>
    <w:p w14:paraId="1F451CEC" w14:textId="77777777" w:rsidR="009B370F" w:rsidRPr="009B370F" w:rsidRDefault="009B370F" w:rsidP="009B370F">
      <w:pPr>
        <w:spacing w:line="276" w:lineRule="auto"/>
        <w:ind w:firstLine="708"/>
        <w:jc w:val="both"/>
        <w:rPr>
          <w:rFonts w:ascii="Verdana" w:eastAsia="Calibri" w:hAnsi="Verdana" w:cs="Arial"/>
          <w:color w:val="000000" w:themeColor="text1"/>
        </w:rPr>
      </w:pPr>
      <w:r w:rsidRPr="009B370F">
        <w:rPr>
          <w:rFonts w:ascii="Verdana" w:eastAsia="Calibri" w:hAnsi="Verdana" w:cs="Arial"/>
          <w:color w:val="000000" w:themeColor="text1"/>
        </w:rPr>
        <w:t>A pesar de que la experiencia es inherente a la persona que la ha obtenido, razón por la cual es, en principio, intransferible en virtud de su carácter personalísimo, por disposición legal o reglamentaria, en casos excepcionales, como el descrito en el artículo mencionado, se aplica de otra manera.</w:t>
      </w:r>
    </w:p>
    <w:p w14:paraId="7C55C20F" w14:textId="5AD70522" w:rsidR="00963566" w:rsidRDefault="009B370F" w:rsidP="009B370F">
      <w:pPr>
        <w:spacing w:line="276" w:lineRule="auto"/>
        <w:ind w:firstLine="708"/>
        <w:jc w:val="both"/>
        <w:rPr>
          <w:rFonts w:ascii="Verdana" w:eastAsia="Calibri" w:hAnsi="Verdana" w:cs="Arial"/>
          <w:color w:val="000000" w:themeColor="text1"/>
        </w:rPr>
      </w:pPr>
      <w:r w:rsidRPr="009B370F">
        <w:rPr>
          <w:rFonts w:ascii="Verdana" w:eastAsia="Calibri" w:hAnsi="Verdana" w:cs="Arial"/>
          <w:color w:val="000000" w:themeColor="text1"/>
        </w:rPr>
        <w:t>La finalidad de esta norma es permitir que las sociedades que no cuentan con la experiencia suficiente para contratar con el Estado puedan apoyarse en la experiencia de sus accionistas, socios o constituyentes con el fin de incentivar la competencia en la contratación estatal. Así las cosas, el socio transfiere la experiencia adquirida directamente a la sociedad de la que es parte, para que esta, como persona jurídica independiente, pueda cumplir con los requisitos habilitantes o puntuables que establezcan las entidades estatales en sus procesos de</w:t>
      </w:r>
      <w:r w:rsidR="00C52344">
        <w:rPr>
          <w:rFonts w:ascii="Verdana" w:eastAsia="Calibri" w:hAnsi="Verdana" w:cs="Arial"/>
          <w:color w:val="000000" w:themeColor="text1"/>
        </w:rPr>
        <w:t xml:space="preserve"> </w:t>
      </w:r>
      <w:r w:rsidR="00C52344" w:rsidRPr="00C52344">
        <w:rPr>
          <w:rFonts w:ascii="Verdana" w:eastAsia="Calibri" w:hAnsi="Verdana" w:cs="Arial"/>
          <w:color w:val="000000" w:themeColor="text1"/>
        </w:rPr>
        <w:t>contratación, y de esta forma promover el desarrollo de la empresa y la pluralidad de oferentes en la contratación pública.</w:t>
      </w:r>
    </w:p>
    <w:p w14:paraId="53C0D7B2" w14:textId="2D1231C7" w:rsidR="00FD3837" w:rsidRPr="00FD3837" w:rsidRDefault="00787165" w:rsidP="00FD3837">
      <w:pPr>
        <w:spacing w:line="276" w:lineRule="auto"/>
        <w:ind w:firstLine="708"/>
        <w:jc w:val="both"/>
        <w:rPr>
          <w:rFonts w:ascii="Verdana" w:eastAsia="Century Gothic" w:hAnsi="Verdana" w:cs="Century Gothic"/>
        </w:rPr>
      </w:pPr>
      <w:r w:rsidRPr="009E3B65">
        <w:rPr>
          <w:rFonts w:ascii="Verdana" w:eastAsia="Calibri" w:hAnsi="Verdana" w:cs="Arial"/>
          <w:b/>
          <w:bCs/>
          <w:color w:val="000000" w:themeColor="text1"/>
        </w:rPr>
        <w:t>v.</w:t>
      </w:r>
      <w:r>
        <w:rPr>
          <w:rFonts w:ascii="Verdana" w:eastAsia="Calibri" w:hAnsi="Verdana" w:cs="Arial"/>
          <w:color w:val="000000" w:themeColor="text1"/>
        </w:rPr>
        <w:t xml:space="preserve"> La norma ofrece meridiana claridad en cuanto a su aplicación, por </w:t>
      </w:r>
      <w:r w:rsidR="00432FDB">
        <w:rPr>
          <w:rFonts w:ascii="Verdana" w:eastAsia="Calibri" w:hAnsi="Verdana" w:cs="Arial"/>
          <w:color w:val="000000" w:themeColor="text1"/>
        </w:rPr>
        <w:t xml:space="preserve">lo que se generan interrogantes </w:t>
      </w:r>
      <w:r w:rsidR="009E3B65">
        <w:rPr>
          <w:rFonts w:ascii="Verdana" w:eastAsia="Calibri" w:hAnsi="Verdana" w:cs="Arial"/>
          <w:color w:val="000000" w:themeColor="text1"/>
        </w:rPr>
        <w:t xml:space="preserve">sobre </w:t>
      </w:r>
      <w:r w:rsidR="009E3B65" w:rsidRPr="00851635">
        <w:rPr>
          <w:rFonts w:ascii="Verdana" w:eastAsia="Century Gothic" w:hAnsi="Verdana" w:cs="Century Gothic"/>
        </w:rPr>
        <w:t xml:space="preserve">las condiciones </w:t>
      </w:r>
      <w:r w:rsidR="009E3B65">
        <w:rPr>
          <w:rFonts w:ascii="Verdana" w:eastAsia="Century Gothic" w:hAnsi="Verdana" w:cs="Century Gothic"/>
        </w:rPr>
        <w:t xml:space="preserve">para su procedencia y el término durante el cual puede ser utilizada esta experiencia para acreditar requisitos habilitantes o factores de evaluación </w:t>
      </w:r>
      <w:r w:rsidR="00B76499">
        <w:rPr>
          <w:rFonts w:ascii="Verdana" w:eastAsia="Century Gothic" w:hAnsi="Verdana" w:cs="Century Gothic"/>
        </w:rPr>
        <w:t>en procesos de contratación</w:t>
      </w:r>
      <w:r w:rsidR="00510B77">
        <w:rPr>
          <w:rFonts w:ascii="Verdana" w:eastAsia="Century Gothic" w:hAnsi="Verdana" w:cs="Century Gothic"/>
        </w:rPr>
        <w:t xml:space="preserve">. Sobre esto, </w:t>
      </w:r>
      <w:r w:rsidR="005502B9">
        <w:rPr>
          <w:rFonts w:ascii="Verdana" w:eastAsia="Century Gothic" w:hAnsi="Verdana" w:cs="Century Gothic"/>
        </w:rPr>
        <w:t>s</w:t>
      </w:r>
      <w:r w:rsidR="00FD3837" w:rsidRPr="00FD3837">
        <w:rPr>
          <w:rFonts w:ascii="Verdana" w:eastAsia="Century Gothic" w:hAnsi="Verdana" w:cs="Century Gothic"/>
        </w:rPr>
        <w:t xml:space="preserve">e reitera que la finalidad del numeral 2.5 del artículo 2.2.1.1.1.5.2 del Decreto 1082 de 2015 es incentivar la libre competencia y la pluralidad de oferentes en la contratación estatal. Adicionalmente, el Decreto 1082 de 2015 establece que la persona inscrita en el RUP debe presentar la información para renovar su registro a más tardar el quinto día hábil del mes de abril de cada año, de lo contrario cesan sus </w:t>
      </w:r>
      <w:r w:rsidR="005502B9" w:rsidRPr="00FD3837">
        <w:rPr>
          <w:rFonts w:ascii="Verdana" w:eastAsia="Century Gothic" w:hAnsi="Verdana" w:cs="Century Gothic"/>
        </w:rPr>
        <w:t>efectos.</w:t>
      </w:r>
      <w:r w:rsidR="00FD3837" w:rsidRPr="00FD3837">
        <w:rPr>
          <w:rFonts w:ascii="Verdana" w:eastAsia="Century Gothic" w:hAnsi="Verdana" w:cs="Century Gothic"/>
        </w:rPr>
        <w:t xml:space="preserve"> En la actualidad, las cámaras de comercio solo pueden eliminar la experiencia registrada en el RUP a solicitud del proponente. </w:t>
      </w:r>
      <w:r w:rsidR="00FD3837" w:rsidRPr="00FD3837">
        <w:rPr>
          <w:rFonts w:ascii="Verdana" w:eastAsia="Century Gothic" w:hAnsi="Verdana" w:cs="Century Gothic"/>
        </w:rPr>
        <w:lastRenderedPageBreak/>
        <w:t>Por tanto, les corresponde a las personas jurídicas mantener su RUP actualizado y a las entidades estatales verificar este registro para efectos de verificar y evaluar la experiencia.</w:t>
      </w:r>
    </w:p>
    <w:p w14:paraId="7C59D968" w14:textId="77777777" w:rsidR="00D5371B" w:rsidRPr="00D5371B" w:rsidRDefault="00FD3837" w:rsidP="00D5371B">
      <w:pPr>
        <w:spacing w:line="276" w:lineRule="auto"/>
        <w:ind w:firstLine="708"/>
        <w:jc w:val="both"/>
        <w:rPr>
          <w:rFonts w:ascii="Verdana" w:eastAsia="Century Gothic" w:hAnsi="Verdana" w:cs="Century Gothic"/>
        </w:rPr>
      </w:pPr>
      <w:r w:rsidRPr="00FD3837">
        <w:rPr>
          <w:rFonts w:ascii="Verdana" w:eastAsia="Century Gothic" w:hAnsi="Verdana" w:cs="Century Gothic"/>
        </w:rPr>
        <w:t>En otras palabras, si la persona jurídica con menos de tres (3) años de constituida registra la experiencia de sus socios, accionistas o constituyentes en el RUP, y éste es renovado, puede continuar utilizando la experiencia inscrita mientras no cesen los efectos del RUP. Por el contrario, si no se renueva y la persona jurídica supera los tres (3) años de constituida, la experiencia que registró de sus socios, accionistas o constituyentes no puede ser inscrita nuevamente, puesto que el RUP ha cesado sus efectos y la cámara de comercio tiene que hacer nuevamente la verificación documental de la información presentada al momento de inscribirse en el registro</w:t>
      </w:r>
      <w:r w:rsidR="00D5371B">
        <w:rPr>
          <w:rFonts w:ascii="Verdana" w:eastAsia="Century Gothic" w:hAnsi="Verdana" w:cs="Century Gothic"/>
        </w:rPr>
        <w:t xml:space="preserve"> </w:t>
      </w:r>
      <w:r w:rsidR="00D5371B" w:rsidRPr="00D5371B">
        <w:rPr>
          <w:rFonts w:ascii="Verdana" w:eastAsia="Century Gothic" w:hAnsi="Verdana" w:cs="Century Gothic"/>
        </w:rPr>
        <w:t xml:space="preserve">Así las cosas, con el fin de incentivar la participación continúa y constante de los proponentes, las entidades estatales, en sus procesos de contratación, aceptarán como válida la experiencia de los socios, accionistas o constituyentes incluso después de cumplidos los tres (3) años de constitución de la sociedad, pues esta interpretación permite incentivar la creación de empresa y generar una mayor participación de las empresas recién constituidas. En este sentido, si bien la norma no dispone qué sucede con la experiencia aportada por los socios, accionistas o constituyentes, después de los tres (3) años de constituida la persona jurídica, para esta Subdirección sigue siendo válida, por lo que la entidad la debe tener en cuenta. De esta forma se garantiza la pluralidad de oferentes en los procesos de contratación. </w:t>
      </w:r>
    </w:p>
    <w:p w14:paraId="1DF65DB9" w14:textId="023BE70E" w:rsidR="00D5371B" w:rsidRPr="00D5371B" w:rsidRDefault="00D5371B" w:rsidP="00D5371B">
      <w:pPr>
        <w:spacing w:line="276" w:lineRule="auto"/>
        <w:ind w:firstLine="708"/>
        <w:jc w:val="both"/>
        <w:rPr>
          <w:rFonts w:ascii="Verdana" w:eastAsia="Century Gothic" w:hAnsi="Verdana" w:cs="Century Gothic"/>
        </w:rPr>
      </w:pPr>
      <w:r w:rsidRPr="00D5371B">
        <w:rPr>
          <w:rFonts w:ascii="Verdana" w:eastAsia="Century Gothic" w:hAnsi="Verdana" w:cs="Century Gothic"/>
        </w:rPr>
        <w:t>En línea con lo anterior, e</w:t>
      </w:r>
      <w:r w:rsidR="005502B9">
        <w:rPr>
          <w:rFonts w:ascii="Verdana" w:eastAsia="Century Gothic" w:hAnsi="Verdana" w:cs="Century Gothic"/>
        </w:rPr>
        <w:t>n el</w:t>
      </w:r>
      <w:r w:rsidRPr="00D5371B">
        <w:rPr>
          <w:rFonts w:ascii="Verdana" w:eastAsia="Century Gothic" w:hAnsi="Verdana" w:cs="Century Gothic"/>
        </w:rPr>
        <w:t xml:space="preserve"> numeral 2.5. del artículo 2.2.1.1.1.5.2 del Decreto 1082 de 2015 </w:t>
      </w:r>
      <w:r w:rsidR="0057556E">
        <w:rPr>
          <w:rFonts w:ascii="Verdana" w:eastAsia="Century Gothic" w:hAnsi="Verdana" w:cs="Century Gothic"/>
        </w:rPr>
        <w:t xml:space="preserve">el legislador </w:t>
      </w:r>
      <w:r w:rsidRPr="00D5371B">
        <w:rPr>
          <w:rFonts w:ascii="Verdana" w:eastAsia="Century Gothic" w:hAnsi="Verdana" w:cs="Century Gothic"/>
        </w:rPr>
        <w:t xml:space="preserve">consagra una prerrogativa para las sociedades nuevas, que busca fomentar su competencia en el campo de la contratación estatal, sin establecer limitantes en relación con las entidades o procesos de contratación en los que las personas jurídicas con menos de tres (3) años de constitución pueden acreditar la experiencia transferida por sus socios en virtud de la referida prerrogativa. </w:t>
      </w:r>
    </w:p>
    <w:p w14:paraId="5EA9E193" w14:textId="423315E8" w:rsidR="004B30CA" w:rsidRPr="00D5371B" w:rsidRDefault="00D5371B" w:rsidP="00D5371B">
      <w:pPr>
        <w:spacing w:line="276" w:lineRule="auto"/>
        <w:ind w:firstLine="708"/>
        <w:jc w:val="both"/>
        <w:rPr>
          <w:rFonts w:ascii="Verdana" w:eastAsia="Calibri" w:hAnsi="Verdana" w:cs="Arial"/>
          <w:color w:val="000000" w:themeColor="text1"/>
        </w:rPr>
      </w:pPr>
      <w:r w:rsidRPr="00D5371B">
        <w:rPr>
          <w:rFonts w:ascii="Verdana" w:eastAsia="Century Gothic" w:hAnsi="Verdana" w:cs="Century Gothic"/>
        </w:rPr>
        <w:t xml:space="preserve">Por tanto, en atención al principio general de interpretación según el cual  </w:t>
      </w:r>
      <w:r w:rsidR="00096A63">
        <w:rPr>
          <w:rFonts w:ascii="Verdana" w:eastAsia="Century Gothic" w:hAnsi="Verdana" w:cs="Century Gothic"/>
        </w:rPr>
        <w:t xml:space="preserve">cuando el </w:t>
      </w:r>
      <w:r w:rsidRPr="00D5371B">
        <w:rPr>
          <w:rFonts w:ascii="Verdana" w:eastAsia="Century Gothic" w:hAnsi="Verdana" w:cs="Century Gothic"/>
        </w:rPr>
        <w:t xml:space="preserve">legislador no distingue no le es dado hacerlo al interprete, el hecho de que una sociedad con menos de tres (3) años de constitución haya hecho uso de la referida prerrogativa en determinado proceso de contratación o entidad, no excluye la posibilidad de que dicha sociedad siga haciendo uso del beneficio </w:t>
      </w:r>
      <w:r w:rsidRPr="00D5371B">
        <w:rPr>
          <w:rFonts w:ascii="Verdana" w:eastAsia="Century Gothic" w:hAnsi="Verdana" w:cs="Century Gothic"/>
        </w:rPr>
        <w:lastRenderedPageBreak/>
        <w:t>en otros procesos de contratación adelantados por otras entidades, incluso una vez vencidos los tres (3) años de constitución, siempre que no hayan cesado los efectos del RUP por el incumplimiento del deber de renovación.</w:t>
      </w:r>
    </w:p>
    <w:p w14:paraId="7BA3EC3D" w14:textId="12C789B7" w:rsidR="00054748" w:rsidRDefault="001A4606" w:rsidP="003148E3">
      <w:pPr>
        <w:spacing w:after="0" w:line="276" w:lineRule="auto"/>
        <w:ind w:firstLine="709"/>
        <w:jc w:val="both"/>
        <w:rPr>
          <w:rFonts w:ascii="Verdana" w:eastAsia="Calibri" w:hAnsi="Verdana" w:cs="Arial"/>
          <w:bCs/>
          <w:color w:val="000000" w:themeColor="text1"/>
        </w:rPr>
      </w:pPr>
      <w:r>
        <w:rPr>
          <w:rFonts w:ascii="Verdana" w:eastAsia="Calibri" w:hAnsi="Verdana" w:cs="Arial"/>
          <w:b/>
          <w:color w:val="000000" w:themeColor="text1"/>
        </w:rPr>
        <w:t>v</w:t>
      </w:r>
      <w:r w:rsidR="00D5371B">
        <w:rPr>
          <w:rFonts w:ascii="Verdana" w:eastAsia="Calibri" w:hAnsi="Verdana" w:cs="Arial"/>
          <w:b/>
          <w:color w:val="000000" w:themeColor="text1"/>
        </w:rPr>
        <w:t>i</w:t>
      </w:r>
      <w:r w:rsidR="006B0734" w:rsidRPr="007937B7">
        <w:rPr>
          <w:rFonts w:ascii="Verdana" w:eastAsia="Calibri" w:hAnsi="Verdana" w:cs="Arial"/>
          <w:b/>
          <w:color w:val="000000" w:themeColor="text1"/>
        </w:rPr>
        <w:t>.</w:t>
      </w:r>
      <w:r w:rsidR="00301B67" w:rsidRPr="007937B7">
        <w:rPr>
          <w:rFonts w:ascii="Verdana" w:eastAsia="Calibri" w:hAnsi="Verdana" w:cs="Arial"/>
          <w:bCs/>
          <w:color w:val="000000" w:themeColor="text1"/>
        </w:rPr>
        <w:t xml:space="preserve"> </w:t>
      </w:r>
      <w:r w:rsidR="00054748" w:rsidRPr="007937B7">
        <w:rPr>
          <w:rFonts w:ascii="Verdana" w:eastAsia="Calibri" w:hAnsi="Verdana" w:cs="Arial"/>
          <w:bCs/>
          <w:color w:val="000000" w:themeColor="text1"/>
        </w:rPr>
        <w:t>Al margen de la explicación precedente, debe advertirse que el análisis requerido para resolver problemas específicos en torno a la gestión contractual de las entidades públicas debe ser realizado por quienes tengan interés en ello, de acuerdo con lo explicado en la aclaración preliminar del presente oficio. De esta manera, las afirmaciones aquí realizadas no pueden ser interpretadas como juicios de valor</w:t>
      </w:r>
      <w:r w:rsidR="00054748" w:rsidRPr="00CC6EA4">
        <w:rPr>
          <w:rFonts w:ascii="Verdana" w:eastAsia="Calibri" w:hAnsi="Verdana" w:cs="Arial"/>
          <w:bCs/>
          <w:color w:val="000000" w:themeColor="text1"/>
        </w:rPr>
        <w:t xml:space="preserve">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4DD8B0EF" w14:textId="77777777" w:rsidR="003148E3" w:rsidRPr="003148E3" w:rsidRDefault="003148E3" w:rsidP="003148E3">
      <w:pPr>
        <w:spacing w:after="0" w:line="276" w:lineRule="auto"/>
        <w:ind w:firstLine="709"/>
        <w:jc w:val="both"/>
        <w:rPr>
          <w:rFonts w:ascii="Verdana" w:hAnsi="Verdana" w:cs="Arial"/>
        </w:rPr>
      </w:pPr>
    </w:p>
    <w:p w14:paraId="5CFDBC84" w14:textId="1EA07F43" w:rsidR="00D91B3F" w:rsidRDefault="00054748" w:rsidP="007F0574">
      <w:pPr>
        <w:spacing w:after="0" w:line="276" w:lineRule="auto"/>
        <w:ind w:firstLine="708"/>
        <w:jc w:val="both"/>
        <w:rPr>
          <w:rFonts w:ascii="Verdana" w:eastAsia="Calibri" w:hAnsi="Verdana" w:cs="Arial"/>
          <w:bCs/>
          <w:color w:val="000000" w:themeColor="text1"/>
        </w:rPr>
      </w:pPr>
      <w:r w:rsidRPr="005C170B">
        <w:rPr>
          <w:rFonts w:ascii="Verdana" w:eastAsia="Calibri"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694E5771" w14:textId="77777777" w:rsidR="00054748" w:rsidRPr="005C170B" w:rsidRDefault="00054748" w:rsidP="00054748">
      <w:pPr>
        <w:widowControl w:val="0"/>
        <w:autoSpaceDE w:val="0"/>
        <w:autoSpaceDN w:val="0"/>
        <w:spacing w:after="0" w:line="276" w:lineRule="auto"/>
        <w:jc w:val="both"/>
        <w:rPr>
          <w:rFonts w:ascii="Verdana" w:hAnsi="Verdana" w:cs="Arial"/>
        </w:rPr>
      </w:pPr>
    </w:p>
    <w:p w14:paraId="52FA1F1F" w14:textId="39337FA1" w:rsidR="00054748" w:rsidRPr="00535422" w:rsidRDefault="00054748" w:rsidP="0010054E">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35422">
        <w:rPr>
          <w:rFonts w:ascii="Verdana" w:eastAsia="Century Gothic" w:hAnsi="Verdana" w:cs="Century Gothic"/>
          <w:b/>
          <w:bCs/>
        </w:rPr>
        <w:t>Referencias normativas, jurisprudenciales y otras fuentes:</w:t>
      </w:r>
    </w:p>
    <w:p w14:paraId="07B41696" w14:textId="77777777" w:rsidR="008A08C2" w:rsidRPr="00CA3EED" w:rsidRDefault="008A08C2" w:rsidP="00027F95">
      <w:pPr>
        <w:pStyle w:val="Prrafodelista"/>
        <w:tabs>
          <w:tab w:val="left" w:pos="142"/>
          <w:tab w:val="left" w:pos="284"/>
        </w:tabs>
        <w:spacing w:after="0" w:line="276" w:lineRule="auto"/>
        <w:ind w:left="0"/>
        <w:contextualSpacing w:val="0"/>
        <w:jc w:val="both"/>
        <w:rPr>
          <w:rFonts w:ascii="Verdana" w:eastAsia="Century Gothic" w:hAnsi="Verdana" w:cs="Century Gothic"/>
          <w:b/>
          <w:bCs/>
          <w:sz w:val="20"/>
          <w:szCs w:val="20"/>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054748" w:rsidRPr="00CA3EED" w14:paraId="05CB934C" w14:textId="77777777" w:rsidTr="001160B5">
        <w:trPr>
          <w:trHeight w:val="878"/>
        </w:trPr>
        <w:tc>
          <w:tcPr>
            <w:tcW w:w="8647" w:type="dxa"/>
          </w:tcPr>
          <w:p w14:paraId="1F8AC75F" w14:textId="77777777" w:rsidR="00535422" w:rsidRPr="00535422" w:rsidRDefault="00535422" w:rsidP="00535422">
            <w:pPr>
              <w:numPr>
                <w:ilvl w:val="0"/>
                <w:numId w:val="18"/>
              </w:numPr>
              <w:spacing w:before="100" w:beforeAutospacing="1" w:after="100" w:afterAutospacing="1" w:line="276" w:lineRule="auto"/>
              <w:jc w:val="both"/>
              <w:rPr>
                <w:rFonts w:ascii="Verdana" w:eastAsia="Times New Roman" w:hAnsi="Verdana" w:cs="Times New Roman"/>
                <w:lang w:eastAsia="es-CO"/>
              </w:rPr>
            </w:pPr>
            <w:r w:rsidRPr="00535422">
              <w:rPr>
                <w:rFonts w:ascii="Verdana" w:eastAsia="Times New Roman" w:hAnsi="Verdana" w:cs="Times New Roman"/>
                <w:lang w:eastAsia="es-CO"/>
              </w:rPr>
              <w:t>Ley 1150 de 2077, artículos 5 y 6.</w:t>
            </w:r>
          </w:p>
          <w:p w14:paraId="2A0F42A2" w14:textId="77777777" w:rsidR="00535422" w:rsidRPr="00535422" w:rsidRDefault="00535422" w:rsidP="00535422">
            <w:pPr>
              <w:numPr>
                <w:ilvl w:val="0"/>
                <w:numId w:val="18"/>
              </w:numPr>
              <w:spacing w:before="100" w:beforeAutospacing="1" w:after="100" w:afterAutospacing="1" w:line="276" w:lineRule="auto"/>
              <w:jc w:val="both"/>
              <w:rPr>
                <w:rFonts w:ascii="Verdana" w:eastAsia="Times New Roman" w:hAnsi="Verdana" w:cs="Times New Roman"/>
                <w:lang w:eastAsia="es-CO"/>
              </w:rPr>
            </w:pPr>
            <w:r w:rsidRPr="00535422">
              <w:rPr>
                <w:rFonts w:ascii="Verdana" w:eastAsia="Times New Roman" w:hAnsi="Verdana" w:cs="Times New Roman"/>
                <w:lang w:eastAsia="es-CO"/>
              </w:rPr>
              <w:t>Decreto 1082 de 2015, artículo 2.2.1.1.1.5.2, numeral 2.1 y 2.5.</w:t>
            </w:r>
          </w:p>
          <w:p w14:paraId="4385F9C3" w14:textId="66541B4C" w:rsidR="00054748" w:rsidRPr="00535422" w:rsidRDefault="00535422" w:rsidP="00535422">
            <w:pPr>
              <w:numPr>
                <w:ilvl w:val="0"/>
                <w:numId w:val="18"/>
              </w:numPr>
              <w:spacing w:before="100" w:beforeAutospacing="1" w:after="100" w:afterAutospacing="1" w:line="276" w:lineRule="auto"/>
              <w:jc w:val="both"/>
              <w:rPr>
                <w:rFonts w:ascii="Verdana" w:eastAsia="Times New Roman" w:hAnsi="Verdana" w:cs="Times New Roman"/>
                <w:lang w:eastAsia="es-CO"/>
              </w:rPr>
            </w:pPr>
            <w:r w:rsidRPr="00535422">
              <w:rPr>
                <w:rFonts w:ascii="Verdana" w:eastAsia="Times New Roman" w:hAnsi="Verdana" w:cs="Times New Roman"/>
                <w:lang w:eastAsia="es-CO"/>
              </w:rPr>
              <w:t>Colombia Compra Eficiente. Manual para determinar y verificar requisitos habilitantes en los procesos de contratación.</w:t>
            </w:r>
          </w:p>
        </w:tc>
      </w:tr>
    </w:tbl>
    <w:p w14:paraId="51C49C39" w14:textId="77777777" w:rsidR="007F0574" w:rsidRPr="005C170B" w:rsidRDefault="007F0574" w:rsidP="00054748">
      <w:pPr>
        <w:widowControl w:val="0"/>
        <w:autoSpaceDE w:val="0"/>
        <w:autoSpaceDN w:val="0"/>
        <w:spacing w:after="0" w:line="276" w:lineRule="auto"/>
        <w:jc w:val="both"/>
        <w:rPr>
          <w:rFonts w:ascii="Verdana" w:hAnsi="Verdana" w:cs="Arial"/>
        </w:rPr>
      </w:pPr>
    </w:p>
    <w:p w14:paraId="0B41A78C" w14:textId="77777777" w:rsidR="00054748" w:rsidRPr="00B55864" w:rsidRDefault="00054748" w:rsidP="0010054E">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B55864">
        <w:rPr>
          <w:rFonts w:ascii="Verdana" w:eastAsia="Century Gothic" w:hAnsi="Verdana" w:cs="Century Gothic"/>
          <w:b/>
          <w:bCs/>
        </w:rPr>
        <w:t>Doctrina de la Agencia Nacional de Contratación Pública:</w:t>
      </w:r>
    </w:p>
    <w:p w14:paraId="70C5616D" w14:textId="77777777" w:rsidR="00054748" w:rsidRPr="00E372B8" w:rsidRDefault="00054748" w:rsidP="00054748">
      <w:pPr>
        <w:widowControl w:val="0"/>
        <w:autoSpaceDE w:val="0"/>
        <w:autoSpaceDN w:val="0"/>
        <w:spacing w:after="0" w:line="276" w:lineRule="auto"/>
        <w:jc w:val="both"/>
        <w:rPr>
          <w:rFonts w:ascii="Verdana" w:hAnsi="Verdana" w:cs="Arial"/>
        </w:rPr>
      </w:pPr>
    </w:p>
    <w:p w14:paraId="268B87B1" w14:textId="485A1FF4" w:rsidR="00054748" w:rsidRPr="00AC5DA8" w:rsidRDefault="00B55864" w:rsidP="00AC5DA8">
      <w:pPr>
        <w:widowControl w:val="0"/>
        <w:autoSpaceDE w:val="0"/>
        <w:autoSpaceDN w:val="0"/>
        <w:spacing w:after="0" w:line="276" w:lineRule="auto"/>
        <w:jc w:val="both"/>
        <w:rPr>
          <w:rFonts w:ascii="Verdana" w:hAnsi="Verdana" w:cs="Arial"/>
          <w:color w:val="FF0000"/>
          <w:shd w:val="clear" w:color="auto" w:fill="FFFFFF"/>
          <w:lang w:val="es-ES"/>
        </w:rPr>
      </w:pPr>
      <w:r w:rsidRPr="00A16FEE">
        <w:rPr>
          <w:rStyle w:val="normaltextrun"/>
          <w:rFonts w:ascii="Verdana" w:hAnsi="Verdana" w:cs="Arial"/>
          <w:color w:val="000000" w:themeColor="text1"/>
          <w:shd w:val="clear" w:color="auto" w:fill="FFFFFF"/>
          <w:lang w:val="es-ES"/>
        </w:rPr>
        <w:t>La Agencia Nacional de Contratación Pública – Colombia Compra Eficiente se ha referido</w:t>
      </w:r>
      <w:r w:rsidRPr="00A16FEE">
        <w:rPr>
          <w:rFonts w:ascii="Verdana" w:hAnsi="Verdana" w:cs="Arial"/>
          <w:lang w:val="es-ES"/>
        </w:rPr>
        <w:t xml:space="preserve"> </w:t>
      </w:r>
      <w:r w:rsidR="00CF3E97" w:rsidRPr="007827FD">
        <w:rPr>
          <w:rFonts w:ascii="Verdana" w:eastAsia="Calibri" w:hAnsi="Verdana" w:cs="Arial"/>
          <w:color w:val="000000" w:themeColor="text1"/>
          <w:lang w:val="es-ES"/>
        </w:rPr>
        <w:t xml:space="preserve">la </w:t>
      </w:r>
      <w:r w:rsidR="00CF3E97" w:rsidRPr="007827FD">
        <w:rPr>
          <w:rFonts w:ascii="Verdana" w:hAnsi="Verdana" w:cs="Arial"/>
          <w:color w:val="000000" w:themeColor="text1"/>
          <w:lang w:val="es-ES_tradnl"/>
        </w:rPr>
        <w:t xml:space="preserve">acreditación de experiencia de socios por parte de sociedades con </w:t>
      </w:r>
      <w:r w:rsidR="00CF3E97" w:rsidRPr="007827FD">
        <w:rPr>
          <w:rFonts w:ascii="Verdana" w:hAnsi="Verdana" w:cs="Arial"/>
          <w:color w:val="000000" w:themeColor="text1"/>
          <w:lang w:val="es-ES_tradnl"/>
        </w:rPr>
        <w:lastRenderedPageBreak/>
        <w:t>menos de tres años de constitución</w:t>
      </w:r>
      <w:r w:rsidR="00CF3E97" w:rsidRPr="007827FD">
        <w:rPr>
          <w:rFonts w:ascii="Verdana" w:eastAsia="Calibri" w:hAnsi="Verdana" w:cs="Arial"/>
          <w:color w:val="000000"/>
          <w:lang w:val="es-ES_tradnl"/>
        </w:rPr>
        <w:t xml:space="preserve">, </w:t>
      </w:r>
      <w:r w:rsidR="00CF3E97" w:rsidRPr="007827FD">
        <w:rPr>
          <w:rStyle w:val="normaltextrun"/>
          <w:rFonts w:ascii="Verdana" w:hAnsi="Verdana" w:cs="Arial"/>
          <w:shd w:val="clear" w:color="auto" w:fill="FFFFFF"/>
          <w:lang w:val="es-ES"/>
        </w:rPr>
        <w:t xml:space="preserve">se pronunció esta Subdirección </w:t>
      </w:r>
      <w:r w:rsidR="00CF3E97" w:rsidRPr="007827FD">
        <w:rPr>
          <w:rFonts w:ascii="Verdana" w:eastAsia="Calibri" w:hAnsi="Verdana" w:cs="Arial"/>
          <w:lang w:val="es-ES"/>
        </w:rPr>
        <w:t xml:space="preserve">en los conceptos </w:t>
      </w:r>
      <w:r w:rsidR="00CF3E97" w:rsidRPr="007827FD">
        <w:rPr>
          <w:rFonts w:ascii="Verdana" w:eastAsia="Calibri" w:hAnsi="Verdana" w:cs="Arial"/>
          <w:color w:val="000000" w:themeColor="text1"/>
          <w:lang w:val="es-ES"/>
        </w:rPr>
        <w:t xml:space="preserve">4201913000006797 del 19 de noviembre de 2019, </w:t>
      </w:r>
      <w:r w:rsidR="00CF3E97" w:rsidRPr="007827FD">
        <w:rPr>
          <w:rFonts w:ascii="Verdana" w:eastAsia="Calibri" w:hAnsi="Verdana" w:cs="Arial"/>
          <w:color w:val="000000" w:themeColor="text1"/>
        </w:rPr>
        <w:t>C-025 del 16 de marzo de 2020, C-051 del 2 de marzo de 2020, C-113 del 25 de marzo de 2020, C-165 del 1 de abril de 2020, C-233 del 16 de abril de 2020, C-350 del 1° de junio de 2020, C-407 de 12 de junio de 2020, C-398 de 30 de junio de 2020, C-470 del 14 de julio de 2020 C-584 de 31 de agosto 2020, C-619 de 21 de septiembre 2020, C-662 del 9 de noviembre de 2020, C-710 del 9 de diciembre de 2020, C-717 del 10 de diciembre de 2020, C-729 del del 11 de diciembre de 2020, C-008 del 15 de febrero de 2021, C-103 del 24 de marzo de 2021, C-230 del 25 de mayo de 2021, C-316 del 29 de junio de 2021, C-318 del 29 de junio de 2021, C-474 del 6 de septiembre de 2021, C-589 del 19 de octubre de 2021, C-608 del 29 de octubre de 2021, C-696 del 31 de diciembre de 2021, C-725 del 25 de enero de 2022, C-034 del 2 de marzo de 2022, C-144 del 1° de abril de 2022, C-239 del 26 de julio de 2022, C-324 del 19 de mayo de 2022, C-447 del 19 de julio de 2022, C-456 del 15 de julio de 2022, C-592 del 20 de septiembre de 2022, C-623 del 29 de septiembre de 2022, C-837 del 6 de diciembre de 2022, C-841 del 6 de diciembre de 2022, C-929 del 30 de diciembre de 2022</w:t>
      </w:r>
      <w:r w:rsidR="00CF3E97" w:rsidRPr="007827FD">
        <w:rPr>
          <w:rFonts w:ascii="Verdana" w:eastAsia="Calibri" w:hAnsi="Verdana" w:cs="Arial"/>
          <w:color w:val="000000" w:themeColor="text1"/>
          <w:lang w:val="es-ES"/>
        </w:rPr>
        <w:t>, C-128 del 18 de mayo de 2023, C-450 del 3 de noviembre de 2023</w:t>
      </w:r>
      <w:r w:rsidR="00CF3E97">
        <w:rPr>
          <w:rFonts w:ascii="Verdana" w:eastAsia="Calibri" w:hAnsi="Verdana" w:cs="Arial"/>
          <w:color w:val="000000" w:themeColor="text1"/>
          <w:lang w:val="es-ES"/>
        </w:rPr>
        <w:t xml:space="preserve"> y</w:t>
      </w:r>
      <w:r w:rsidR="00CF3E97" w:rsidRPr="007827FD">
        <w:rPr>
          <w:rFonts w:ascii="Verdana" w:eastAsia="Calibri" w:hAnsi="Verdana" w:cs="Arial"/>
          <w:color w:val="000000" w:themeColor="text1"/>
          <w:lang w:val="es-ES"/>
        </w:rPr>
        <w:t xml:space="preserve"> C-088 del 13 de junio de 2024</w:t>
      </w:r>
      <w:r w:rsidR="00CF3E97">
        <w:rPr>
          <w:rFonts w:ascii="Verdana" w:hAnsi="Verdana"/>
          <w:color w:val="000000"/>
          <w:shd w:val="clear" w:color="auto" w:fill="FFFFFF"/>
        </w:rPr>
        <w:t xml:space="preserve">. </w:t>
      </w:r>
      <w:r w:rsidRPr="00A16FEE">
        <w:rPr>
          <w:rFonts w:ascii="Verdana" w:hAnsi="Verdana" w:cs="Arial"/>
          <w:color w:val="000000" w:themeColor="text1"/>
          <w:shd w:val="clear" w:color="auto" w:fill="FFFFFF"/>
          <w:lang w:val="es-ES"/>
        </w:rPr>
        <w:t xml:space="preserve">Estos </w:t>
      </w:r>
      <w:r w:rsidRPr="00A16FEE">
        <w:rPr>
          <w:rStyle w:val="normaltextrun"/>
          <w:rFonts w:ascii="Verdana" w:hAnsi="Verdana" w:cs="Arial"/>
          <w:color w:val="000000" w:themeColor="text1"/>
          <w:shd w:val="clear" w:color="auto" w:fill="FFFFFF"/>
          <w:lang w:val="es-ES"/>
        </w:rPr>
        <w:t xml:space="preserve">se encuentran disponibles para consulta en el Sistema de relatoría de la Agencia, al cual puede accederse a través del siguiente enlace: </w:t>
      </w:r>
      <w:hyperlink r:id="rId13" w:history="1">
        <w:r w:rsidR="00AC5DA8" w:rsidRPr="00D4732D">
          <w:rPr>
            <w:rStyle w:val="Hipervnculo"/>
            <w:rFonts w:ascii="Verdana" w:hAnsi="Verdana" w:cs="Arial"/>
            <w:shd w:val="clear" w:color="auto" w:fill="FFFFFF"/>
            <w:lang w:val="es-ES"/>
          </w:rPr>
          <w:t>https://relatoria.colombiacompra.gov.co/busqueda/conceptos</w:t>
        </w:r>
      </w:hyperlink>
      <w:r w:rsidR="00AC5DA8" w:rsidRPr="00D4732D">
        <w:rPr>
          <w:rStyle w:val="normaltextrun"/>
          <w:rFonts w:ascii="Verdana" w:hAnsi="Verdana" w:cs="Arial"/>
          <w:color w:val="FF0000"/>
          <w:shd w:val="clear" w:color="auto" w:fill="FFFFFF"/>
          <w:lang w:val="es-ES"/>
        </w:rPr>
        <w:t xml:space="preserve"> </w:t>
      </w:r>
    </w:p>
    <w:p w14:paraId="51E16BAA" w14:textId="77777777" w:rsidR="00054748" w:rsidRPr="005C170B" w:rsidRDefault="00054748" w:rsidP="00027F95">
      <w:pPr>
        <w:spacing w:after="0" w:line="276" w:lineRule="auto"/>
        <w:jc w:val="both"/>
        <w:rPr>
          <w:rFonts w:ascii="Verdana" w:hAnsi="Verdana"/>
        </w:rPr>
      </w:pPr>
      <w:r w:rsidRPr="005C170B">
        <w:rPr>
          <w:rFonts w:ascii="Verdana" w:hAnsi="Verdana"/>
        </w:rPr>
        <w:t xml:space="preserve">Por último, lo invitamos a seguirnos en las redes sociales en las cuales se difunde información institucional: </w:t>
      </w:r>
    </w:p>
    <w:p w14:paraId="4FEC34D8" w14:textId="77777777" w:rsidR="00054748" w:rsidRPr="005C170B" w:rsidRDefault="00054748" w:rsidP="00027F95">
      <w:pPr>
        <w:spacing w:after="0" w:line="276" w:lineRule="auto"/>
        <w:jc w:val="both"/>
        <w:rPr>
          <w:rFonts w:ascii="Verdana" w:hAnsi="Verdana"/>
        </w:rPr>
      </w:pPr>
    </w:p>
    <w:p w14:paraId="33B42560" w14:textId="77777777" w:rsidR="00054748" w:rsidRPr="005C170B" w:rsidRDefault="00054748" w:rsidP="00027F95">
      <w:pPr>
        <w:spacing w:after="0" w:line="276" w:lineRule="auto"/>
        <w:jc w:val="both"/>
        <w:rPr>
          <w:rFonts w:ascii="Verdana" w:hAnsi="Verdana"/>
        </w:rPr>
      </w:pPr>
      <w:r w:rsidRPr="005C170B">
        <w:rPr>
          <w:rFonts w:ascii="Verdana" w:hAnsi="Verdana"/>
        </w:rPr>
        <w:t xml:space="preserve">Twitter: </w:t>
      </w:r>
      <w:r w:rsidRPr="005C170B">
        <w:rPr>
          <w:rStyle w:val="Hipervnculo"/>
          <w:rFonts w:ascii="Verdana" w:hAnsi="Verdana"/>
        </w:rPr>
        <w:t>@colombiacompra</w:t>
      </w:r>
      <w:r w:rsidRPr="005C170B">
        <w:rPr>
          <w:rFonts w:ascii="Verdana" w:hAnsi="Verdana"/>
          <w:color w:val="0000FF"/>
        </w:rPr>
        <w:t xml:space="preserve"> </w:t>
      </w:r>
    </w:p>
    <w:p w14:paraId="210AA4BA" w14:textId="77777777" w:rsidR="00054748" w:rsidRPr="005C170B" w:rsidRDefault="00054748" w:rsidP="00027F95">
      <w:pPr>
        <w:spacing w:after="0" w:line="276" w:lineRule="auto"/>
        <w:jc w:val="both"/>
        <w:rPr>
          <w:rFonts w:ascii="Verdana" w:hAnsi="Verdana"/>
        </w:rPr>
      </w:pPr>
      <w:r w:rsidRPr="005C170B">
        <w:rPr>
          <w:rFonts w:ascii="Verdana" w:hAnsi="Verdana"/>
        </w:rPr>
        <w:t xml:space="preserve">Facebook: </w:t>
      </w:r>
      <w:r w:rsidRPr="005C170B">
        <w:rPr>
          <w:rStyle w:val="Hipervnculo"/>
          <w:rFonts w:ascii="Verdana" w:hAnsi="Verdana"/>
        </w:rPr>
        <w:t>ColombiaCompraEficiente</w:t>
      </w:r>
    </w:p>
    <w:p w14:paraId="305E26AC" w14:textId="77777777" w:rsidR="00054748" w:rsidRPr="005C170B" w:rsidRDefault="00054748" w:rsidP="00027F95">
      <w:pPr>
        <w:spacing w:after="0" w:line="276" w:lineRule="auto"/>
        <w:jc w:val="both"/>
        <w:rPr>
          <w:rFonts w:ascii="Verdana" w:hAnsi="Verdana"/>
        </w:rPr>
      </w:pPr>
      <w:r w:rsidRPr="005C170B">
        <w:rPr>
          <w:rFonts w:ascii="Verdana" w:hAnsi="Verdana"/>
        </w:rPr>
        <w:t xml:space="preserve">LinkedIn: </w:t>
      </w:r>
      <w:r w:rsidRPr="005C170B">
        <w:rPr>
          <w:rStyle w:val="Hipervnculo"/>
          <w:rFonts w:ascii="Verdana" w:hAnsi="Verdana"/>
        </w:rPr>
        <w:t>Agencia Nacional de Contratación Pública - Colombia Compra Eficiente</w:t>
      </w:r>
      <w:r w:rsidRPr="005C170B">
        <w:rPr>
          <w:rFonts w:ascii="Verdana" w:hAnsi="Verdana"/>
          <w:color w:val="0000FF"/>
        </w:rPr>
        <w:t xml:space="preserve"> </w:t>
      </w:r>
      <w:r w:rsidRPr="005C170B">
        <w:rPr>
          <w:rFonts w:ascii="Verdana" w:hAnsi="Verdana"/>
        </w:rPr>
        <w:t xml:space="preserve">Instagram: </w:t>
      </w:r>
      <w:r w:rsidRPr="005C170B">
        <w:rPr>
          <w:rStyle w:val="Hipervnculo"/>
          <w:rFonts w:ascii="Verdana" w:hAnsi="Verdana"/>
        </w:rPr>
        <w:t>@colombiacompraeficiente_cce</w:t>
      </w:r>
    </w:p>
    <w:p w14:paraId="26FE69AE" w14:textId="77777777" w:rsidR="00054748" w:rsidRPr="005C170B" w:rsidRDefault="00054748" w:rsidP="00054748">
      <w:pPr>
        <w:widowControl w:val="0"/>
        <w:autoSpaceDE w:val="0"/>
        <w:autoSpaceDN w:val="0"/>
        <w:spacing w:after="0" w:line="276" w:lineRule="auto"/>
        <w:jc w:val="both"/>
        <w:rPr>
          <w:rFonts w:ascii="Verdana" w:hAnsi="Verdana" w:cs="Arial"/>
        </w:rPr>
      </w:pPr>
    </w:p>
    <w:p w14:paraId="0928FFD9" w14:textId="77777777" w:rsidR="00054748" w:rsidRPr="005C170B" w:rsidRDefault="00054748" w:rsidP="00054748">
      <w:pPr>
        <w:widowControl w:val="0"/>
        <w:autoSpaceDE w:val="0"/>
        <w:autoSpaceDN w:val="0"/>
        <w:spacing w:after="0" w:line="276" w:lineRule="auto"/>
        <w:jc w:val="both"/>
        <w:rPr>
          <w:rFonts w:ascii="Verdana" w:hAnsi="Verdana" w:cs="Arial"/>
          <w:lang w:val="es-ES_tradnl"/>
        </w:rPr>
      </w:pPr>
      <w:r w:rsidRPr="005C170B">
        <w:rPr>
          <w:rFonts w:ascii="Verdana" w:hAnsi="Verdana" w:cs="Arial"/>
        </w:rPr>
        <w:t xml:space="preserve">Este concepto tiene el alcance previsto en el artículo 28 del Código de Procedimiento Administrativo y de lo Contencioso Administrativo </w:t>
      </w:r>
      <w:r w:rsidRPr="005C170B">
        <w:rPr>
          <w:rFonts w:ascii="Verdana" w:hAnsi="Verdana" w:cs="Arial"/>
          <w:lang w:val="es-ES_tradnl"/>
        </w:rPr>
        <w:t>y las expresiones aquí utilizadas con mayúscula inicial deben ser entendidas con el significado que les otorga el artículo 2.2.1.1.1.3.1. del Decreto 1082 de 2015.</w:t>
      </w:r>
    </w:p>
    <w:p w14:paraId="04EBCDD3" w14:textId="77777777" w:rsidR="00054748" w:rsidRPr="005C170B" w:rsidRDefault="00054748" w:rsidP="00054748">
      <w:pPr>
        <w:widowControl w:val="0"/>
        <w:autoSpaceDE w:val="0"/>
        <w:autoSpaceDN w:val="0"/>
        <w:spacing w:after="0" w:line="276" w:lineRule="auto"/>
        <w:jc w:val="both"/>
        <w:rPr>
          <w:rFonts w:ascii="Verdana" w:hAnsi="Verdana" w:cs="Arial"/>
        </w:rPr>
      </w:pPr>
    </w:p>
    <w:p w14:paraId="6543CEA6" w14:textId="77777777" w:rsidR="00054748" w:rsidRPr="005C170B" w:rsidRDefault="00054748" w:rsidP="00027F95">
      <w:pPr>
        <w:spacing w:after="0" w:line="276" w:lineRule="auto"/>
        <w:rPr>
          <w:rFonts w:ascii="Verdana" w:hAnsi="Verdana" w:cs="Arial"/>
          <w:lang w:eastAsia="es-CO"/>
        </w:rPr>
      </w:pPr>
      <w:r w:rsidRPr="005C170B">
        <w:rPr>
          <w:rFonts w:ascii="Verdana" w:eastAsia="Times New Roman" w:hAnsi="Verdana" w:cs="Arial"/>
          <w:lang w:eastAsia="es-CO"/>
        </w:rPr>
        <w:t>Atentamente,</w:t>
      </w:r>
      <w:r w:rsidRPr="005C170B">
        <w:rPr>
          <w:rFonts w:ascii="Verdana" w:hAnsi="Verdana" w:cs="Arial"/>
          <w:lang w:eastAsia="es-CO"/>
        </w:rPr>
        <w:t xml:space="preserve"> </w:t>
      </w:r>
    </w:p>
    <w:p w14:paraId="5692D7A5" w14:textId="00D83688" w:rsidR="00054748" w:rsidRPr="005C170B" w:rsidRDefault="0055428F" w:rsidP="00967D67">
      <w:pPr>
        <w:spacing w:line="276" w:lineRule="auto"/>
        <w:jc w:val="center"/>
        <w:rPr>
          <w:rFonts w:ascii="Verdana" w:hAnsi="Verdana" w:cs="Arial"/>
          <w:color w:val="000000"/>
          <w:lang w:eastAsia="es-CO"/>
        </w:rPr>
      </w:pPr>
      <w:r w:rsidRPr="0055428F">
        <w:rPr>
          <w:rFonts w:ascii="Verdana" w:hAnsi="Verdana" w:cs="Arial"/>
          <w:noProof/>
          <w:color w:val="000000"/>
          <w:lang w:eastAsia="es-CO"/>
        </w:rPr>
        <w:lastRenderedPageBreak/>
        <w:drawing>
          <wp:inline distT="0" distB="0" distL="0" distR="0" wp14:anchorId="01B0B9C8" wp14:editId="31161FAE">
            <wp:extent cx="2887980" cy="1164930"/>
            <wp:effectExtent l="0" t="0" r="7620" b="0"/>
            <wp:docPr id="4765079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507920" name=""/>
                    <pic:cNvPicPr/>
                  </pic:nvPicPr>
                  <pic:blipFill>
                    <a:blip r:embed="rId14"/>
                    <a:stretch>
                      <a:fillRect/>
                    </a:stretch>
                  </pic:blipFill>
                  <pic:spPr>
                    <a:xfrm>
                      <a:off x="0" y="0"/>
                      <a:ext cx="2892206" cy="1166634"/>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054748" w:rsidRPr="005C170B" w14:paraId="1170F5BB" w14:textId="77777777" w:rsidTr="00CB1843">
        <w:trPr>
          <w:trHeight w:val="315"/>
        </w:trPr>
        <w:tc>
          <w:tcPr>
            <w:tcW w:w="893" w:type="dxa"/>
            <w:vAlign w:val="center"/>
            <w:hideMark/>
          </w:tcPr>
          <w:p w14:paraId="5A67B4C6" w14:textId="77777777" w:rsidR="00054748" w:rsidRPr="005C170B" w:rsidRDefault="00054748" w:rsidP="00CB1843">
            <w:pPr>
              <w:contextualSpacing/>
              <w:rPr>
                <w:rFonts w:ascii="Verdana" w:hAnsi="Verdana" w:cs="Arial"/>
                <w:sz w:val="16"/>
                <w:szCs w:val="16"/>
                <w:lang w:val="es-ES" w:eastAsia="es-ES"/>
              </w:rPr>
            </w:pPr>
            <w:r w:rsidRPr="005C170B">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578EF5FB" w14:textId="77777777" w:rsidR="00054748" w:rsidRPr="005C170B" w:rsidRDefault="00054748" w:rsidP="00CB1843">
            <w:pPr>
              <w:contextualSpacing/>
              <w:rPr>
                <w:rFonts w:ascii="Verdana" w:eastAsia="Arial" w:hAnsi="Verdana" w:cs="Arial"/>
                <w:sz w:val="16"/>
                <w:szCs w:val="16"/>
              </w:rPr>
            </w:pPr>
            <w:r w:rsidRPr="005C170B">
              <w:rPr>
                <w:rFonts w:ascii="Verdana" w:eastAsia="Arial" w:hAnsi="Verdana" w:cs="Arial"/>
                <w:sz w:val="16"/>
                <w:szCs w:val="16"/>
              </w:rPr>
              <w:t>Andrea Camila Polo Paz</w:t>
            </w:r>
          </w:p>
          <w:p w14:paraId="227F8729" w14:textId="77777777" w:rsidR="00054748" w:rsidRPr="005C170B" w:rsidRDefault="00054748" w:rsidP="00CB1843">
            <w:pPr>
              <w:contextualSpacing/>
              <w:rPr>
                <w:rFonts w:ascii="Verdana" w:eastAsia="Arial" w:hAnsi="Verdana" w:cs="Arial"/>
                <w:sz w:val="16"/>
                <w:szCs w:val="16"/>
              </w:rPr>
            </w:pPr>
            <w:r w:rsidRPr="005C170B">
              <w:rPr>
                <w:rStyle w:val="normaltextrun"/>
                <w:rFonts w:ascii="Verdana" w:eastAsia="Arial" w:hAnsi="Verdana" w:cs="Arial"/>
                <w:sz w:val="16"/>
                <w:szCs w:val="16"/>
              </w:rPr>
              <w:t>Analista T02-1 de la Subdirección de Gestión Contractual</w:t>
            </w:r>
          </w:p>
        </w:tc>
      </w:tr>
      <w:tr w:rsidR="00054748" w:rsidRPr="005C170B" w14:paraId="244745AA" w14:textId="77777777" w:rsidTr="00CB1843">
        <w:trPr>
          <w:trHeight w:val="330"/>
        </w:trPr>
        <w:tc>
          <w:tcPr>
            <w:tcW w:w="893" w:type="dxa"/>
            <w:vAlign w:val="center"/>
            <w:hideMark/>
          </w:tcPr>
          <w:p w14:paraId="358FC580" w14:textId="77777777" w:rsidR="00054748" w:rsidRPr="005C170B" w:rsidRDefault="00054748" w:rsidP="00CB1843">
            <w:pPr>
              <w:contextualSpacing/>
              <w:rPr>
                <w:rFonts w:ascii="Verdana" w:hAnsi="Verdana" w:cs="Arial"/>
                <w:sz w:val="16"/>
                <w:szCs w:val="16"/>
                <w:lang w:val="es-ES" w:eastAsia="es-ES"/>
              </w:rPr>
            </w:pPr>
            <w:r w:rsidRPr="005C170B">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67988CAD" w14:textId="372F5049" w:rsidR="00054748" w:rsidRPr="005C170B" w:rsidRDefault="002E0DEA" w:rsidP="00CB1843">
            <w:pPr>
              <w:pStyle w:val="paragraph"/>
              <w:spacing w:before="0" w:beforeAutospacing="0" w:after="0" w:afterAutospacing="0"/>
              <w:contextualSpacing/>
              <w:textAlignment w:val="baseline"/>
              <w:rPr>
                <w:rStyle w:val="normaltextrun"/>
                <w:rFonts w:ascii="Verdana" w:hAnsi="Verdana" w:cs="Arial"/>
                <w:sz w:val="16"/>
                <w:szCs w:val="16"/>
                <w:lang w:val="es-ES"/>
              </w:rPr>
            </w:pPr>
            <w:r>
              <w:rPr>
                <w:rStyle w:val="normaltextrun"/>
                <w:rFonts w:ascii="Verdana" w:hAnsi="Verdana" w:cs="Arial"/>
                <w:sz w:val="16"/>
                <w:szCs w:val="16"/>
                <w:lang w:val="es-ES"/>
              </w:rPr>
              <w:t>Juan David Cárdenas</w:t>
            </w:r>
          </w:p>
          <w:p w14:paraId="6259A622" w14:textId="77777777" w:rsidR="00054748" w:rsidRPr="005C170B" w:rsidRDefault="00054748" w:rsidP="00CB1843">
            <w:pPr>
              <w:pStyle w:val="paragraph"/>
              <w:spacing w:before="0" w:beforeAutospacing="0" w:after="0" w:afterAutospacing="0"/>
              <w:contextualSpacing/>
              <w:textAlignment w:val="baseline"/>
              <w:rPr>
                <w:rFonts w:ascii="Verdana" w:hAnsi="Verdana" w:cs="Arial"/>
                <w:sz w:val="16"/>
                <w:szCs w:val="16"/>
                <w:lang w:val="es-ES"/>
              </w:rPr>
            </w:pPr>
            <w:r w:rsidRPr="005C170B">
              <w:rPr>
                <w:rStyle w:val="normaltextrun"/>
                <w:rFonts w:ascii="Verdana" w:hAnsi="Verdana" w:cs="Arial"/>
                <w:sz w:val="16"/>
                <w:szCs w:val="16"/>
                <w:lang w:val="es-ES"/>
              </w:rPr>
              <w:t>Contratista de la Subdirección de Gestión Contractual</w:t>
            </w:r>
            <w:r w:rsidRPr="005C170B">
              <w:rPr>
                <w:rStyle w:val="eop"/>
                <w:rFonts w:ascii="Verdana" w:hAnsi="Verdana" w:cs="Arial"/>
                <w:sz w:val="16"/>
                <w:szCs w:val="16"/>
              </w:rPr>
              <w:t> </w:t>
            </w:r>
          </w:p>
        </w:tc>
      </w:tr>
      <w:tr w:rsidR="00054748" w:rsidRPr="005C170B" w14:paraId="03D0D7A4" w14:textId="77777777" w:rsidTr="00CB1843">
        <w:trPr>
          <w:trHeight w:val="300"/>
        </w:trPr>
        <w:tc>
          <w:tcPr>
            <w:tcW w:w="893" w:type="dxa"/>
            <w:vAlign w:val="center"/>
          </w:tcPr>
          <w:p w14:paraId="5D484008" w14:textId="77777777" w:rsidR="00054748" w:rsidRPr="005C170B" w:rsidRDefault="00054748" w:rsidP="00CB1843">
            <w:pPr>
              <w:contextualSpacing/>
              <w:rPr>
                <w:rFonts w:ascii="Verdana" w:hAnsi="Verdana" w:cs="Arial"/>
                <w:sz w:val="16"/>
                <w:szCs w:val="16"/>
                <w:lang w:val="es-ES" w:eastAsia="es-ES"/>
              </w:rPr>
            </w:pPr>
            <w:r w:rsidRPr="005C170B">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37CD525E" w14:textId="77777777" w:rsidR="00054748" w:rsidRPr="005C170B" w:rsidRDefault="00054748" w:rsidP="00CB1843">
            <w:pPr>
              <w:contextualSpacing/>
              <w:rPr>
                <w:rFonts w:ascii="Verdana" w:eastAsia="Calibri" w:hAnsi="Verdana" w:cs="Arial"/>
                <w:sz w:val="16"/>
                <w:szCs w:val="16"/>
                <w:lang w:val="pt-BR" w:eastAsia="es-ES"/>
              </w:rPr>
            </w:pPr>
            <w:r w:rsidRPr="005C170B">
              <w:rPr>
                <w:rFonts w:ascii="Verdana" w:eastAsia="Calibri" w:hAnsi="Verdana" w:cs="Arial"/>
                <w:sz w:val="16"/>
                <w:szCs w:val="16"/>
                <w:lang w:val="pt-BR" w:eastAsia="es-ES"/>
              </w:rPr>
              <w:t>Carolina Quintero Gacharná</w:t>
            </w:r>
          </w:p>
          <w:p w14:paraId="5ADDA35C" w14:textId="77777777" w:rsidR="00054748" w:rsidRPr="005C170B" w:rsidRDefault="00054748" w:rsidP="00CB1843">
            <w:pPr>
              <w:contextualSpacing/>
              <w:rPr>
                <w:rFonts w:ascii="Verdana" w:eastAsia="Calibri" w:hAnsi="Verdana" w:cs="Arial"/>
                <w:sz w:val="16"/>
                <w:szCs w:val="16"/>
                <w:lang w:val="pt-BR" w:eastAsia="es-ES"/>
              </w:rPr>
            </w:pPr>
            <w:r w:rsidRPr="005C170B">
              <w:rPr>
                <w:rFonts w:ascii="Verdana" w:eastAsia="Calibri" w:hAnsi="Verdana" w:cs="Arial"/>
                <w:sz w:val="16"/>
                <w:szCs w:val="16"/>
                <w:lang w:eastAsia="es-ES"/>
              </w:rPr>
              <w:t>Subdirectora</w:t>
            </w:r>
            <w:r w:rsidRPr="005C170B">
              <w:rPr>
                <w:rFonts w:ascii="Verdana" w:eastAsia="Calibri" w:hAnsi="Verdana" w:cs="Arial"/>
                <w:sz w:val="16"/>
                <w:szCs w:val="16"/>
                <w:lang w:val="pt-BR" w:eastAsia="es-ES"/>
              </w:rPr>
              <w:t xml:space="preserve"> de Gestión Contractual ANCP – CCE</w:t>
            </w:r>
          </w:p>
        </w:tc>
      </w:tr>
      <w:bookmarkEnd w:id="0"/>
    </w:tbl>
    <w:p w14:paraId="0F293BF4" w14:textId="48477865" w:rsidR="00127233" w:rsidRPr="0015699B" w:rsidRDefault="00127233" w:rsidP="002B7ECD">
      <w:pPr>
        <w:spacing w:after="0" w:line="240" w:lineRule="auto"/>
        <w:textAlignment w:val="baseline"/>
        <w:rPr>
          <w:rFonts w:ascii="Verdana" w:eastAsia="Verdana" w:hAnsi="Verdana" w:cs="Verdana"/>
          <w:lang w:eastAsia="es-CO"/>
        </w:rPr>
      </w:pPr>
    </w:p>
    <w:sectPr w:rsidR="00127233" w:rsidRPr="0015699B" w:rsidSect="007C0C0F">
      <w:headerReference w:type="default" r:id="rId15"/>
      <w:footerReference w:type="default" r:id="rId16"/>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FDCF6" w14:textId="77777777" w:rsidR="005B4909" w:rsidRDefault="005B4909" w:rsidP="004A1847">
      <w:pPr>
        <w:spacing w:after="0" w:line="240" w:lineRule="auto"/>
      </w:pPr>
      <w:r>
        <w:separator/>
      </w:r>
    </w:p>
  </w:endnote>
  <w:endnote w:type="continuationSeparator" w:id="0">
    <w:p w14:paraId="18641F58" w14:textId="77777777" w:rsidR="005B4909" w:rsidRDefault="005B4909"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Arial MT">
    <w:altName w:val="Arial"/>
    <w:charset w:val="01"/>
    <w:family w:val="swiss"/>
    <w:pitch w:val="variable"/>
  </w:font>
  <w:font w:name="Century Gothic">
    <w:altName w:val="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6855A" w14:textId="77777777" w:rsidR="005B4909" w:rsidRDefault="005B4909" w:rsidP="004A1847">
      <w:pPr>
        <w:spacing w:after="0" w:line="240" w:lineRule="auto"/>
      </w:pPr>
      <w:r>
        <w:separator/>
      </w:r>
    </w:p>
  </w:footnote>
  <w:footnote w:type="continuationSeparator" w:id="0">
    <w:p w14:paraId="0346766C" w14:textId="77777777" w:rsidR="005B4909" w:rsidRDefault="005B4909" w:rsidP="004A1847">
      <w:pPr>
        <w:spacing w:after="0" w:line="240" w:lineRule="auto"/>
      </w:pPr>
      <w:r>
        <w:continuationSeparator/>
      </w:r>
    </w:p>
  </w:footnote>
  <w:footnote w:id="1">
    <w:p w14:paraId="040C41CA" w14:textId="77777777" w:rsidR="000D2881" w:rsidRPr="000D2881" w:rsidRDefault="000D2881" w:rsidP="000D2881">
      <w:pPr>
        <w:pStyle w:val="Textonotapie"/>
        <w:ind w:firstLine="708"/>
        <w:jc w:val="both"/>
        <w:rPr>
          <w:rFonts w:ascii="Verdana" w:hAnsi="Verdana" w:cs="Arial"/>
          <w:sz w:val="16"/>
          <w:szCs w:val="16"/>
        </w:rPr>
      </w:pPr>
      <w:r w:rsidRPr="000B0A23">
        <w:rPr>
          <w:rStyle w:val="Refdenotaalpie"/>
          <w:rFonts w:ascii="Arial" w:hAnsi="Arial" w:cs="Arial"/>
          <w:sz w:val="10"/>
          <w:szCs w:val="10"/>
        </w:rPr>
        <w:footnoteRef/>
      </w:r>
      <w:r w:rsidRPr="000B0A23">
        <w:rPr>
          <w:rFonts w:ascii="Arial" w:hAnsi="Arial" w:cs="Arial"/>
          <w:sz w:val="10"/>
          <w:szCs w:val="10"/>
        </w:rPr>
        <w:t xml:space="preserve"> </w:t>
      </w:r>
      <w:r w:rsidRPr="000D2881">
        <w:rPr>
          <w:rFonts w:ascii="Verdana" w:hAnsi="Verdana" w:cs="Arial"/>
          <w:sz w:val="16"/>
          <w:szCs w:val="16"/>
        </w:rPr>
        <w:t>Decreto 1082 de 2015: “Artículo 2.2.1.1.1.5.3. Requisitos habilitantes contenidos en el RUP. Las cámaras de comercio, con base en la información a la que hace referencia el artículo anterior, deben verificar y certificar los siguientes requisitos habilitantes: 1. Experiencia – Los contratos celebrados por el interesado para cada uno de los bienes, obras y servicios que ofrecerá a las Entidades Estatales, identificados con el Clasificador de Bienes y Servicios en el tercer nivel y su valor expresado en SMMLV. [...]”.</w:t>
      </w:r>
    </w:p>
    <w:p w14:paraId="65449854" w14:textId="77777777" w:rsidR="000D2881" w:rsidRPr="000D2881" w:rsidRDefault="000D2881" w:rsidP="000D2881">
      <w:pPr>
        <w:pStyle w:val="Textonotapie"/>
        <w:ind w:firstLine="708"/>
        <w:jc w:val="both"/>
        <w:rPr>
          <w:rFonts w:ascii="Verdana" w:hAnsi="Verdana" w:cs="Arial"/>
          <w:sz w:val="16"/>
          <w:szCs w:val="16"/>
          <w:lang w:val="es-CO"/>
        </w:rPr>
      </w:pPr>
    </w:p>
  </w:footnote>
  <w:footnote w:id="2">
    <w:p w14:paraId="1394C654" w14:textId="77777777" w:rsidR="000D2881" w:rsidRPr="000D2881" w:rsidRDefault="000D2881" w:rsidP="000D2881">
      <w:pPr>
        <w:pStyle w:val="Textonotapie"/>
        <w:ind w:firstLine="708"/>
        <w:jc w:val="both"/>
        <w:rPr>
          <w:rFonts w:ascii="Verdana" w:hAnsi="Verdana" w:cs="Arial"/>
          <w:sz w:val="16"/>
          <w:szCs w:val="16"/>
        </w:rPr>
      </w:pPr>
      <w:r w:rsidRPr="000D2881">
        <w:rPr>
          <w:rStyle w:val="Refdenotaalpie"/>
          <w:rFonts w:ascii="Verdana" w:hAnsi="Verdana" w:cs="Arial"/>
          <w:sz w:val="16"/>
          <w:szCs w:val="16"/>
        </w:rPr>
        <w:footnoteRef/>
      </w:r>
      <w:r w:rsidRPr="000D2881">
        <w:rPr>
          <w:rFonts w:ascii="Verdana" w:hAnsi="Verdana" w:cs="Arial"/>
          <w:sz w:val="16"/>
          <w:szCs w:val="16"/>
        </w:rPr>
        <w:t xml:space="preserve"> Ley 1150 de 2007: “Artículo 6. De la verificación de las condiciones de los proponentes. Todas las personas naturales o jurídicas nacionales o extranjeras domiciliadas o con sucursal en Colombia, que aspiren a celebrar contratos con las entidades estatales, se inscribirán en el Registro Único de Proponentes del Registro Único Empresarial de la Cámara de Comercio con jurisdicción en su domicilio principal.” [...] “El certificado de Registro Único de Proponentes será plena prueba de las circunstancias que en ella se hagan constar y que hayan sido verificadas por las Cámaras de Comercio. En tal sentido, la verificación de las condiciones establecidas en el numeral 1 del artículo 5 de la presente ley, se demostrará exclusivamente con el respectivo certificado del RUP en donde deberán constar dichas condiciones. En consecuencia, las entidades estatales en los procesos de contratación no podrán exigir, ni los proponentes aportar documentación que deba utilizarse para efectuar la inscripción en el registro No obstante lo anterior, sólo en aquellos casos en que por las características del objeto a contratar se requiera la verificación de requisitos del proponente adicionales a los contenidos en el Registro, la entidad podrá hacer tal verificación en forma directa”.</w:t>
      </w:r>
    </w:p>
    <w:p w14:paraId="4D894900" w14:textId="77777777" w:rsidR="000D2881" w:rsidRPr="000B0A23" w:rsidRDefault="000D2881" w:rsidP="000D2881">
      <w:pPr>
        <w:pStyle w:val="Textonotapie"/>
        <w:ind w:firstLine="708"/>
        <w:jc w:val="both"/>
        <w:rPr>
          <w:rFonts w:ascii="Arial" w:hAnsi="Arial" w:cs="Arial"/>
          <w:sz w:val="10"/>
          <w:szCs w:val="10"/>
          <w:lang w:val="es-C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7590"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1B781E"/>
    <w:multiLevelType w:val="hybridMultilevel"/>
    <w:tmpl w:val="6DCCB7D2"/>
    <w:lvl w:ilvl="0" w:tplc="62B67DCC">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095F4281"/>
    <w:multiLevelType w:val="hybridMultilevel"/>
    <w:tmpl w:val="CCF8BE0A"/>
    <w:lvl w:ilvl="0" w:tplc="26BC6B42">
      <w:start w:val="1"/>
      <w:numFmt w:val="lowerLetter"/>
      <w:lvlText w:val="%1)"/>
      <w:lvlJc w:val="left"/>
      <w:pPr>
        <w:ind w:left="1069" w:hanging="360"/>
      </w:pPr>
      <w:rPr>
        <w:rFonts w:hint="default"/>
        <w:i/>
        <w:iCs/>
        <w:sz w:val="18"/>
        <w:szCs w:val="18"/>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5" w15:restartNumberingAfterBreak="0">
    <w:nsid w:val="0E3A713D"/>
    <w:multiLevelType w:val="hybridMultilevel"/>
    <w:tmpl w:val="25522004"/>
    <w:lvl w:ilvl="0" w:tplc="CF48BA1A">
      <w:numFmt w:val="bullet"/>
      <w:lvlText w:val="-"/>
      <w:lvlJc w:val="left"/>
      <w:pPr>
        <w:ind w:left="1069" w:hanging="360"/>
      </w:pPr>
      <w:rPr>
        <w:rFonts w:ascii="Verdana" w:eastAsia="Calibri" w:hAnsi="Verdana" w:cs="Arial" w:hint="default"/>
      </w:rPr>
    </w:lvl>
    <w:lvl w:ilvl="1" w:tplc="240A0003" w:tentative="1">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abstractNum w:abstractNumId="6" w15:restartNumberingAfterBreak="0">
    <w:nsid w:val="1CA3503D"/>
    <w:multiLevelType w:val="hybridMultilevel"/>
    <w:tmpl w:val="B8C87EB2"/>
    <w:lvl w:ilvl="0" w:tplc="8DD0EDD6">
      <w:start w:val="1"/>
      <w:numFmt w:val="decimal"/>
      <w:lvlText w:val="%1-"/>
      <w:lvlJc w:val="left"/>
      <w:pPr>
        <w:ind w:left="1429" w:hanging="360"/>
      </w:pPr>
      <w:rPr>
        <w:rFonts w:hint="default"/>
      </w:r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7" w15:restartNumberingAfterBreak="0">
    <w:nsid w:val="22EA1896"/>
    <w:multiLevelType w:val="multilevel"/>
    <w:tmpl w:val="F0209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3E407F"/>
    <w:multiLevelType w:val="hybridMultilevel"/>
    <w:tmpl w:val="3BD84504"/>
    <w:lvl w:ilvl="0" w:tplc="97F8AF00">
      <w:start w:val="1"/>
      <w:numFmt w:val="decimal"/>
      <w:lvlText w:val="%1."/>
      <w:lvlJc w:val="left"/>
      <w:pPr>
        <w:ind w:left="1429" w:hanging="360"/>
      </w:pPr>
      <w:rPr>
        <w:rFonts w:hint="default"/>
      </w:r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10" w15:restartNumberingAfterBreak="0">
    <w:nsid w:val="2B273EF8"/>
    <w:multiLevelType w:val="multilevel"/>
    <w:tmpl w:val="CC50B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4F31B4"/>
    <w:multiLevelType w:val="hybridMultilevel"/>
    <w:tmpl w:val="5E6CCB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F7B3982"/>
    <w:multiLevelType w:val="multilevel"/>
    <w:tmpl w:val="C76C1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45A0C93"/>
    <w:multiLevelType w:val="multilevel"/>
    <w:tmpl w:val="21E6C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7401C1B"/>
    <w:multiLevelType w:val="hybridMultilevel"/>
    <w:tmpl w:val="E7B6B368"/>
    <w:lvl w:ilvl="0" w:tplc="D546897C">
      <w:start w:val="1"/>
      <w:numFmt w:val="lowerRoman"/>
      <w:lvlText w:val="%1."/>
      <w:lvlJc w:val="left"/>
      <w:pPr>
        <w:ind w:left="720" w:hanging="72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0" w15:restartNumberingAfterBreak="0">
    <w:nsid w:val="4C493EA9"/>
    <w:multiLevelType w:val="hybridMultilevel"/>
    <w:tmpl w:val="A55A14FA"/>
    <w:lvl w:ilvl="0" w:tplc="B6E88592">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1" w15:restartNumberingAfterBreak="0">
    <w:nsid w:val="52A36B3F"/>
    <w:multiLevelType w:val="hybridMultilevel"/>
    <w:tmpl w:val="7BE6BF8A"/>
    <w:lvl w:ilvl="0" w:tplc="AFE0C0FA">
      <w:start w:val="1"/>
      <w:numFmt w:val="lowerRoman"/>
      <w:lvlText w:val="%1."/>
      <w:lvlJc w:val="left"/>
      <w:pPr>
        <w:ind w:left="1429" w:hanging="720"/>
      </w:pPr>
      <w:rPr>
        <w:rFonts w:hint="default"/>
        <w:b/>
        <w:bCs w:val="0"/>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2" w15:restartNumberingAfterBreak="0">
    <w:nsid w:val="562F1C37"/>
    <w:multiLevelType w:val="hybridMultilevel"/>
    <w:tmpl w:val="21F624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1071440"/>
    <w:multiLevelType w:val="hybridMultilevel"/>
    <w:tmpl w:val="23E8CFD2"/>
    <w:lvl w:ilvl="0" w:tplc="1C08DDA2">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4"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25"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26D1F44"/>
    <w:multiLevelType w:val="hybridMultilevel"/>
    <w:tmpl w:val="38ACA4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9630B40"/>
    <w:multiLevelType w:val="hybridMultilevel"/>
    <w:tmpl w:val="376459FA"/>
    <w:lvl w:ilvl="0" w:tplc="9536ACF8">
      <w:numFmt w:val="bullet"/>
      <w:lvlText w:val="-"/>
      <w:lvlJc w:val="left"/>
      <w:pPr>
        <w:ind w:left="1429" w:hanging="360"/>
      </w:pPr>
      <w:rPr>
        <w:rFonts w:ascii="Verdana" w:eastAsia="Calibri" w:hAnsi="Verdana" w:cs="Aria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num w:numId="1" w16cid:durableId="948779781">
    <w:abstractNumId w:val="15"/>
  </w:num>
  <w:num w:numId="2" w16cid:durableId="19822139">
    <w:abstractNumId w:val="3"/>
  </w:num>
  <w:num w:numId="3" w16cid:durableId="876742304">
    <w:abstractNumId w:val="13"/>
  </w:num>
  <w:num w:numId="4" w16cid:durableId="2451864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3"/>
  </w:num>
  <w:num w:numId="6" w16cid:durableId="316692925">
    <w:abstractNumId w:val="27"/>
  </w:num>
  <w:num w:numId="7" w16cid:durableId="1946422806">
    <w:abstractNumId w:val="14"/>
  </w:num>
  <w:num w:numId="8" w16cid:durableId="152644682">
    <w:abstractNumId w:val="26"/>
  </w:num>
  <w:num w:numId="9" w16cid:durableId="1317221377">
    <w:abstractNumId w:val="17"/>
  </w:num>
  <w:num w:numId="10" w16cid:durableId="1471245386">
    <w:abstractNumId w:val="25"/>
  </w:num>
  <w:num w:numId="11" w16cid:durableId="289172385">
    <w:abstractNumId w:val="18"/>
  </w:num>
  <w:num w:numId="12" w16cid:durableId="1470781324">
    <w:abstractNumId w:val="1"/>
  </w:num>
  <w:num w:numId="13" w16cid:durableId="1512908409">
    <w:abstractNumId w:val="8"/>
  </w:num>
  <w:num w:numId="14" w16cid:durableId="895897244">
    <w:abstractNumId w:val="28"/>
  </w:num>
  <w:num w:numId="15" w16cid:durableId="390349800">
    <w:abstractNumId w:val="24"/>
  </w:num>
  <w:num w:numId="16" w16cid:durableId="1227110730">
    <w:abstractNumId w:val="0"/>
  </w:num>
  <w:num w:numId="17" w16cid:durableId="2068841316">
    <w:abstractNumId w:val="4"/>
  </w:num>
  <w:num w:numId="18" w16cid:durableId="1144280152">
    <w:abstractNumId w:val="29"/>
  </w:num>
  <w:num w:numId="19" w16cid:durableId="1602300139">
    <w:abstractNumId w:val="5"/>
  </w:num>
  <w:num w:numId="20" w16cid:durableId="1397629488">
    <w:abstractNumId w:val="22"/>
  </w:num>
  <w:num w:numId="21" w16cid:durableId="861283267">
    <w:abstractNumId w:val="11"/>
  </w:num>
  <w:num w:numId="22" w16cid:durableId="1235579301">
    <w:abstractNumId w:val="10"/>
  </w:num>
  <w:num w:numId="23" w16cid:durableId="545802288">
    <w:abstractNumId w:val="23"/>
  </w:num>
  <w:num w:numId="24" w16cid:durableId="784346637">
    <w:abstractNumId w:val="20"/>
  </w:num>
  <w:num w:numId="25" w16cid:durableId="54940666">
    <w:abstractNumId w:val="19"/>
  </w:num>
  <w:num w:numId="26" w16cid:durableId="828255882">
    <w:abstractNumId w:val="12"/>
  </w:num>
  <w:num w:numId="27" w16cid:durableId="838082249">
    <w:abstractNumId w:val="6"/>
  </w:num>
  <w:num w:numId="28" w16cid:durableId="713697127">
    <w:abstractNumId w:val="9"/>
  </w:num>
  <w:num w:numId="29" w16cid:durableId="2010978719">
    <w:abstractNumId w:val="21"/>
  </w:num>
  <w:num w:numId="30" w16cid:durableId="1070083242">
    <w:abstractNumId w:val="2"/>
  </w:num>
  <w:num w:numId="31" w16cid:durableId="1869291622">
    <w:abstractNumId w:val="7"/>
  </w:num>
  <w:num w:numId="32" w16cid:durableId="539585464">
    <w:abstractNumId w:val="30"/>
  </w:num>
  <w:num w:numId="33" w16cid:durableId="164805076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3541"/>
    <w:rsid w:val="00006513"/>
    <w:rsid w:val="0001041A"/>
    <w:rsid w:val="00015BF9"/>
    <w:rsid w:val="00016F78"/>
    <w:rsid w:val="00017468"/>
    <w:rsid w:val="0001755B"/>
    <w:rsid w:val="000208DF"/>
    <w:rsid w:val="00024220"/>
    <w:rsid w:val="000271E3"/>
    <w:rsid w:val="0002754A"/>
    <w:rsid w:val="00027585"/>
    <w:rsid w:val="00027F95"/>
    <w:rsid w:val="00034FE9"/>
    <w:rsid w:val="00043D21"/>
    <w:rsid w:val="00044F37"/>
    <w:rsid w:val="00045A4D"/>
    <w:rsid w:val="00045EDD"/>
    <w:rsid w:val="00046945"/>
    <w:rsid w:val="00050D7F"/>
    <w:rsid w:val="000516C9"/>
    <w:rsid w:val="00054748"/>
    <w:rsid w:val="000551B1"/>
    <w:rsid w:val="000559A6"/>
    <w:rsid w:val="000612FD"/>
    <w:rsid w:val="00061B2A"/>
    <w:rsid w:val="00061F0A"/>
    <w:rsid w:val="00063B8B"/>
    <w:rsid w:val="000642C7"/>
    <w:rsid w:val="00064366"/>
    <w:rsid w:val="00065BE6"/>
    <w:rsid w:val="000675E2"/>
    <w:rsid w:val="0006788D"/>
    <w:rsid w:val="00071AD1"/>
    <w:rsid w:val="00073537"/>
    <w:rsid w:val="00081F35"/>
    <w:rsid w:val="00082362"/>
    <w:rsid w:val="00082625"/>
    <w:rsid w:val="00083164"/>
    <w:rsid w:val="00085500"/>
    <w:rsid w:val="00085661"/>
    <w:rsid w:val="00086CF8"/>
    <w:rsid w:val="000905F3"/>
    <w:rsid w:val="0009582C"/>
    <w:rsid w:val="00096A63"/>
    <w:rsid w:val="000A0B60"/>
    <w:rsid w:val="000A683E"/>
    <w:rsid w:val="000B1665"/>
    <w:rsid w:val="000B19B9"/>
    <w:rsid w:val="000B4761"/>
    <w:rsid w:val="000C4AB7"/>
    <w:rsid w:val="000C6236"/>
    <w:rsid w:val="000D0334"/>
    <w:rsid w:val="000D2881"/>
    <w:rsid w:val="000D5DA7"/>
    <w:rsid w:val="000D6C73"/>
    <w:rsid w:val="000D7F7E"/>
    <w:rsid w:val="000E06D3"/>
    <w:rsid w:val="000E0836"/>
    <w:rsid w:val="000E379A"/>
    <w:rsid w:val="000F3573"/>
    <w:rsid w:val="000F6486"/>
    <w:rsid w:val="000F6BE7"/>
    <w:rsid w:val="000F77CB"/>
    <w:rsid w:val="0010054E"/>
    <w:rsid w:val="0010084B"/>
    <w:rsid w:val="00100A83"/>
    <w:rsid w:val="00100D82"/>
    <w:rsid w:val="00101496"/>
    <w:rsid w:val="00102C27"/>
    <w:rsid w:val="0010594F"/>
    <w:rsid w:val="00114EDD"/>
    <w:rsid w:val="001160B5"/>
    <w:rsid w:val="00116491"/>
    <w:rsid w:val="00116940"/>
    <w:rsid w:val="00116E26"/>
    <w:rsid w:val="00122859"/>
    <w:rsid w:val="00122AE8"/>
    <w:rsid w:val="00122C77"/>
    <w:rsid w:val="001235F9"/>
    <w:rsid w:val="0012459F"/>
    <w:rsid w:val="00125105"/>
    <w:rsid w:val="001268C0"/>
    <w:rsid w:val="00127233"/>
    <w:rsid w:val="001279A7"/>
    <w:rsid w:val="00131B48"/>
    <w:rsid w:val="00132271"/>
    <w:rsid w:val="00132EC2"/>
    <w:rsid w:val="00136760"/>
    <w:rsid w:val="001425B2"/>
    <w:rsid w:val="00144F0A"/>
    <w:rsid w:val="001508C2"/>
    <w:rsid w:val="00153AA8"/>
    <w:rsid w:val="00155C47"/>
    <w:rsid w:val="0015699B"/>
    <w:rsid w:val="0016152E"/>
    <w:rsid w:val="00163847"/>
    <w:rsid w:val="00163859"/>
    <w:rsid w:val="00163877"/>
    <w:rsid w:val="00164BED"/>
    <w:rsid w:val="00165403"/>
    <w:rsid w:val="00166D3E"/>
    <w:rsid w:val="00175917"/>
    <w:rsid w:val="0017657C"/>
    <w:rsid w:val="0018173F"/>
    <w:rsid w:val="00185005"/>
    <w:rsid w:val="00185D58"/>
    <w:rsid w:val="00186325"/>
    <w:rsid w:val="00191907"/>
    <w:rsid w:val="001921BC"/>
    <w:rsid w:val="00192F16"/>
    <w:rsid w:val="00193637"/>
    <w:rsid w:val="00194792"/>
    <w:rsid w:val="00195DF6"/>
    <w:rsid w:val="00197C83"/>
    <w:rsid w:val="00197FB5"/>
    <w:rsid w:val="001A05CA"/>
    <w:rsid w:val="001A1C4B"/>
    <w:rsid w:val="001A33BF"/>
    <w:rsid w:val="001A4606"/>
    <w:rsid w:val="001B12AB"/>
    <w:rsid w:val="001B797F"/>
    <w:rsid w:val="001B7BFE"/>
    <w:rsid w:val="001C05C4"/>
    <w:rsid w:val="001C0D62"/>
    <w:rsid w:val="001C1E35"/>
    <w:rsid w:val="001C2183"/>
    <w:rsid w:val="001C4E7B"/>
    <w:rsid w:val="001D0189"/>
    <w:rsid w:val="001D2F32"/>
    <w:rsid w:val="001D5D34"/>
    <w:rsid w:val="001D638B"/>
    <w:rsid w:val="001D6AE3"/>
    <w:rsid w:val="001E0D84"/>
    <w:rsid w:val="001E136F"/>
    <w:rsid w:val="001E17F3"/>
    <w:rsid w:val="001E4177"/>
    <w:rsid w:val="001E5022"/>
    <w:rsid w:val="001E6873"/>
    <w:rsid w:val="001F02F6"/>
    <w:rsid w:val="001F0B24"/>
    <w:rsid w:val="001F7DC6"/>
    <w:rsid w:val="0020050D"/>
    <w:rsid w:val="00210F23"/>
    <w:rsid w:val="00211AE1"/>
    <w:rsid w:val="002137F4"/>
    <w:rsid w:val="00213EDE"/>
    <w:rsid w:val="002144E5"/>
    <w:rsid w:val="002222AC"/>
    <w:rsid w:val="0022400B"/>
    <w:rsid w:val="0022405D"/>
    <w:rsid w:val="002303C3"/>
    <w:rsid w:val="0023261B"/>
    <w:rsid w:val="00233874"/>
    <w:rsid w:val="00233CB5"/>
    <w:rsid w:val="00236CD9"/>
    <w:rsid w:val="00241F9B"/>
    <w:rsid w:val="002421BB"/>
    <w:rsid w:val="002422E4"/>
    <w:rsid w:val="00243DE9"/>
    <w:rsid w:val="002516B1"/>
    <w:rsid w:val="002518AD"/>
    <w:rsid w:val="00252165"/>
    <w:rsid w:val="00254843"/>
    <w:rsid w:val="002576DC"/>
    <w:rsid w:val="0025796E"/>
    <w:rsid w:val="00263AC8"/>
    <w:rsid w:val="00266E15"/>
    <w:rsid w:val="00267882"/>
    <w:rsid w:val="002707A2"/>
    <w:rsid w:val="00270C1A"/>
    <w:rsid w:val="00274519"/>
    <w:rsid w:val="00275543"/>
    <w:rsid w:val="00275975"/>
    <w:rsid w:val="00282002"/>
    <w:rsid w:val="00282862"/>
    <w:rsid w:val="00282D17"/>
    <w:rsid w:val="0028468B"/>
    <w:rsid w:val="002851EA"/>
    <w:rsid w:val="002873C7"/>
    <w:rsid w:val="002951A0"/>
    <w:rsid w:val="002962BC"/>
    <w:rsid w:val="00296783"/>
    <w:rsid w:val="002A093D"/>
    <w:rsid w:val="002A0DD0"/>
    <w:rsid w:val="002A1B48"/>
    <w:rsid w:val="002A49AC"/>
    <w:rsid w:val="002A6158"/>
    <w:rsid w:val="002A64FD"/>
    <w:rsid w:val="002A7D0D"/>
    <w:rsid w:val="002B1D63"/>
    <w:rsid w:val="002B2D20"/>
    <w:rsid w:val="002B4237"/>
    <w:rsid w:val="002B5B71"/>
    <w:rsid w:val="002B7BBB"/>
    <w:rsid w:val="002B7ECD"/>
    <w:rsid w:val="002C1D40"/>
    <w:rsid w:val="002C2DF2"/>
    <w:rsid w:val="002C376B"/>
    <w:rsid w:val="002C3C40"/>
    <w:rsid w:val="002C4290"/>
    <w:rsid w:val="002C7A84"/>
    <w:rsid w:val="002D321C"/>
    <w:rsid w:val="002D3B15"/>
    <w:rsid w:val="002E0DEA"/>
    <w:rsid w:val="002E2BF8"/>
    <w:rsid w:val="002E37B2"/>
    <w:rsid w:val="002E38C5"/>
    <w:rsid w:val="002E4A78"/>
    <w:rsid w:val="002E4FD9"/>
    <w:rsid w:val="002E58E6"/>
    <w:rsid w:val="002F4067"/>
    <w:rsid w:val="00301B67"/>
    <w:rsid w:val="003049E8"/>
    <w:rsid w:val="0030657A"/>
    <w:rsid w:val="0030754F"/>
    <w:rsid w:val="00310057"/>
    <w:rsid w:val="00313696"/>
    <w:rsid w:val="003144F7"/>
    <w:rsid w:val="003148E3"/>
    <w:rsid w:val="00315308"/>
    <w:rsid w:val="00316CC9"/>
    <w:rsid w:val="003201DF"/>
    <w:rsid w:val="00321155"/>
    <w:rsid w:val="00321D63"/>
    <w:rsid w:val="003224F9"/>
    <w:rsid w:val="00322A85"/>
    <w:rsid w:val="00324168"/>
    <w:rsid w:val="00325AE0"/>
    <w:rsid w:val="00327136"/>
    <w:rsid w:val="00330834"/>
    <w:rsid w:val="00331CC4"/>
    <w:rsid w:val="00332110"/>
    <w:rsid w:val="00342BE5"/>
    <w:rsid w:val="003448F4"/>
    <w:rsid w:val="00344D47"/>
    <w:rsid w:val="00345B76"/>
    <w:rsid w:val="003568BE"/>
    <w:rsid w:val="00361D7C"/>
    <w:rsid w:val="003652FF"/>
    <w:rsid w:val="00373C2A"/>
    <w:rsid w:val="00373DB2"/>
    <w:rsid w:val="00374F5E"/>
    <w:rsid w:val="0037516C"/>
    <w:rsid w:val="00377E3E"/>
    <w:rsid w:val="00380880"/>
    <w:rsid w:val="00381124"/>
    <w:rsid w:val="00381802"/>
    <w:rsid w:val="0039200C"/>
    <w:rsid w:val="00395D79"/>
    <w:rsid w:val="0039743D"/>
    <w:rsid w:val="003A1077"/>
    <w:rsid w:val="003A6587"/>
    <w:rsid w:val="003A779E"/>
    <w:rsid w:val="003B0C59"/>
    <w:rsid w:val="003B5ABB"/>
    <w:rsid w:val="003B76B6"/>
    <w:rsid w:val="003C1DE4"/>
    <w:rsid w:val="003C20F3"/>
    <w:rsid w:val="003C2ECA"/>
    <w:rsid w:val="003C3853"/>
    <w:rsid w:val="003C4445"/>
    <w:rsid w:val="003D0F4D"/>
    <w:rsid w:val="003D14FF"/>
    <w:rsid w:val="003D1F47"/>
    <w:rsid w:val="003D2711"/>
    <w:rsid w:val="003D3285"/>
    <w:rsid w:val="003D32EF"/>
    <w:rsid w:val="003D5B0D"/>
    <w:rsid w:val="003E0499"/>
    <w:rsid w:val="003E187F"/>
    <w:rsid w:val="003E4F80"/>
    <w:rsid w:val="003E5686"/>
    <w:rsid w:val="003E641E"/>
    <w:rsid w:val="003E6439"/>
    <w:rsid w:val="003E76AD"/>
    <w:rsid w:val="003E7CF4"/>
    <w:rsid w:val="003F1839"/>
    <w:rsid w:val="003F1BCC"/>
    <w:rsid w:val="003F236B"/>
    <w:rsid w:val="003F3941"/>
    <w:rsid w:val="003F39A2"/>
    <w:rsid w:val="003F47D7"/>
    <w:rsid w:val="00401A84"/>
    <w:rsid w:val="00403964"/>
    <w:rsid w:val="00406424"/>
    <w:rsid w:val="00406575"/>
    <w:rsid w:val="00411024"/>
    <w:rsid w:val="00414C74"/>
    <w:rsid w:val="00416F20"/>
    <w:rsid w:val="00420C6E"/>
    <w:rsid w:val="00421A81"/>
    <w:rsid w:val="00424572"/>
    <w:rsid w:val="00424940"/>
    <w:rsid w:val="00425D4E"/>
    <w:rsid w:val="0042722E"/>
    <w:rsid w:val="00427DE5"/>
    <w:rsid w:val="004300DB"/>
    <w:rsid w:val="00432FDB"/>
    <w:rsid w:val="0043641A"/>
    <w:rsid w:val="004373B4"/>
    <w:rsid w:val="00437519"/>
    <w:rsid w:val="0044043F"/>
    <w:rsid w:val="00441E4A"/>
    <w:rsid w:val="004443F7"/>
    <w:rsid w:val="00444E8A"/>
    <w:rsid w:val="0044528D"/>
    <w:rsid w:val="0044555D"/>
    <w:rsid w:val="004526B7"/>
    <w:rsid w:val="00452E00"/>
    <w:rsid w:val="00453025"/>
    <w:rsid w:val="00454DD3"/>
    <w:rsid w:val="00456399"/>
    <w:rsid w:val="00457A70"/>
    <w:rsid w:val="00461976"/>
    <w:rsid w:val="00461A0A"/>
    <w:rsid w:val="004630E5"/>
    <w:rsid w:val="00466A1C"/>
    <w:rsid w:val="00466E39"/>
    <w:rsid w:val="00471C6D"/>
    <w:rsid w:val="00471DAE"/>
    <w:rsid w:val="004761A4"/>
    <w:rsid w:val="00477A70"/>
    <w:rsid w:val="004819DB"/>
    <w:rsid w:val="00481C55"/>
    <w:rsid w:val="00482B87"/>
    <w:rsid w:val="00485994"/>
    <w:rsid w:val="00487DA9"/>
    <w:rsid w:val="00495476"/>
    <w:rsid w:val="004A1847"/>
    <w:rsid w:val="004A2494"/>
    <w:rsid w:val="004A305D"/>
    <w:rsid w:val="004A5E22"/>
    <w:rsid w:val="004B0070"/>
    <w:rsid w:val="004B0599"/>
    <w:rsid w:val="004B30CA"/>
    <w:rsid w:val="004B3B71"/>
    <w:rsid w:val="004B4BBB"/>
    <w:rsid w:val="004B7CBF"/>
    <w:rsid w:val="004C0212"/>
    <w:rsid w:val="004C1F3D"/>
    <w:rsid w:val="004C4B36"/>
    <w:rsid w:val="004C52B7"/>
    <w:rsid w:val="004C5AC4"/>
    <w:rsid w:val="004D24AB"/>
    <w:rsid w:val="004D3D1B"/>
    <w:rsid w:val="004D75BE"/>
    <w:rsid w:val="004E5211"/>
    <w:rsid w:val="004E61A2"/>
    <w:rsid w:val="004E68DE"/>
    <w:rsid w:val="004F0E7A"/>
    <w:rsid w:val="004F1C23"/>
    <w:rsid w:val="004F21C4"/>
    <w:rsid w:val="004F518D"/>
    <w:rsid w:val="004F685F"/>
    <w:rsid w:val="00503E8D"/>
    <w:rsid w:val="0051099C"/>
    <w:rsid w:val="00510B77"/>
    <w:rsid w:val="005239B3"/>
    <w:rsid w:val="0052473B"/>
    <w:rsid w:val="00526744"/>
    <w:rsid w:val="00526B11"/>
    <w:rsid w:val="00527383"/>
    <w:rsid w:val="00527D60"/>
    <w:rsid w:val="005339DB"/>
    <w:rsid w:val="00535422"/>
    <w:rsid w:val="0054008D"/>
    <w:rsid w:val="00544E93"/>
    <w:rsid w:val="00547502"/>
    <w:rsid w:val="005502B9"/>
    <w:rsid w:val="0055254C"/>
    <w:rsid w:val="0055428F"/>
    <w:rsid w:val="00554615"/>
    <w:rsid w:val="005566E8"/>
    <w:rsid w:val="0055795B"/>
    <w:rsid w:val="0056224E"/>
    <w:rsid w:val="00564599"/>
    <w:rsid w:val="00570B99"/>
    <w:rsid w:val="00574867"/>
    <w:rsid w:val="0057556E"/>
    <w:rsid w:val="00584894"/>
    <w:rsid w:val="00584910"/>
    <w:rsid w:val="00591460"/>
    <w:rsid w:val="00593A2E"/>
    <w:rsid w:val="005A02AB"/>
    <w:rsid w:val="005A2B76"/>
    <w:rsid w:val="005A65E0"/>
    <w:rsid w:val="005A7E77"/>
    <w:rsid w:val="005A7EB7"/>
    <w:rsid w:val="005B0A81"/>
    <w:rsid w:val="005B4909"/>
    <w:rsid w:val="005B4C54"/>
    <w:rsid w:val="005B5E1E"/>
    <w:rsid w:val="005B5FE4"/>
    <w:rsid w:val="005B758B"/>
    <w:rsid w:val="005C1C2A"/>
    <w:rsid w:val="005C2AE6"/>
    <w:rsid w:val="005C2D83"/>
    <w:rsid w:val="005C3512"/>
    <w:rsid w:val="005C3777"/>
    <w:rsid w:val="005C3AE5"/>
    <w:rsid w:val="005C598D"/>
    <w:rsid w:val="005C5CDC"/>
    <w:rsid w:val="005C79E1"/>
    <w:rsid w:val="005D0AA9"/>
    <w:rsid w:val="005D476C"/>
    <w:rsid w:val="005D5CAE"/>
    <w:rsid w:val="005E1F8F"/>
    <w:rsid w:val="005E247F"/>
    <w:rsid w:val="005E3AD2"/>
    <w:rsid w:val="005E650C"/>
    <w:rsid w:val="005E701A"/>
    <w:rsid w:val="005F3D0B"/>
    <w:rsid w:val="005F3F7B"/>
    <w:rsid w:val="005F7FC5"/>
    <w:rsid w:val="00601412"/>
    <w:rsid w:val="006015F9"/>
    <w:rsid w:val="00605A65"/>
    <w:rsid w:val="00613205"/>
    <w:rsid w:val="00613EC1"/>
    <w:rsid w:val="00616FA1"/>
    <w:rsid w:val="00617CDD"/>
    <w:rsid w:val="006200BF"/>
    <w:rsid w:val="00621037"/>
    <w:rsid w:val="00621157"/>
    <w:rsid w:val="006219F8"/>
    <w:rsid w:val="00624E3E"/>
    <w:rsid w:val="006266D7"/>
    <w:rsid w:val="00627DD0"/>
    <w:rsid w:val="006302F7"/>
    <w:rsid w:val="00635CDF"/>
    <w:rsid w:val="00640E35"/>
    <w:rsid w:val="00643F93"/>
    <w:rsid w:val="006446CE"/>
    <w:rsid w:val="00646B9F"/>
    <w:rsid w:val="00652ADB"/>
    <w:rsid w:val="00653382"/>
    <w:rsid w:val="00657665"/>
    <w:rsid w:val="006650A3"/>
    <w:rsid w:val="00665D70"/>
    <w:rsid w:val="00670E33"/>
    <w:rsid w:val="006724F0"/>
    <w:rsid w:val="00675EAB"/>
    <w:rsid w:val="006809B4"/>
    <w:rsid w:val="006900D9"/>
    <w:rsid w:val="00692779"/>
    <w:rsid w:val="00695D4C"/>
    <w:rsid w:val="00697429"/>
    <w:rsid w:val="006A193A"/>
    <w:rsid w:val="006A3B3C"/>
    <w:rsid w:val="006A5F94"/>
    <w:rsid w:val="006B0734"/>
    <w:rsid w:val="006B0BB9"/>
    <w:rsid w:val="006B4AB2"/>
    <w:rsid w:val="006B667E"/>
    <w:rsid w:val="006C08D1"/>
    <w:rsid w:val="006C35D8"/>
    <w:rsid w:val="006C6AAE"/>
    <w:rsid w:val="006D4CFA"/>
    <w:rsid w:val="006D6332"/>
    <w:rsid w:val="006E2FD3"/>
    <w:rsid w:val="006E3A2D"/>
    <w:rsid w:val="006E3CD9"/>
    <w:rsid w:val="006E4594"/>
    <w:rsid w:val="006E4791"/>
    <w:rsid w:val="006E4BC3"/>
    <w:rsid w:val="006E4C10"/>
    <w:rsid w:val="006E64D4"/>
    <w:rsid w:val="006F6686"/>
    <w:rsid w:val="006F6E5F"/>
    <w:rsid w:val="00702D26"/>
    <w:rsid w:val="00706C16"/>
    <w:rsid w:val="00712CDA"/>
    <w:rsid w:val="00717188"/>
    <w:rsid w:val="007227D2"/>
    <w:rsid w:val="00722ECC"/>
    <w:rsid w:val="00724D03"/>
    <w:rsid w:val="00727928"/>
    <w:rsid w:val="00733684"/>
    <w:rsid w:val="007340C3"/>
    <w:rsid w:val="00740F02"/>
    <w:rsid w:val="00743301"/>
    <w:rsid w:val="00743CA3"/>
    <w:rsid w:val="00751E4C"/>
    <w:rsid w:val="00752103"/>
    <w:rsid w:val="0075235A"/>
    <w:rsid w:val="00754994"/>
    <w:rsid w:val="00754A7B"/>
    <w:rsid w:val="00756009"/>
    <w:rsid w:val="00756841"/>
    <w:rsid w:val="00757A07"/>
    <w:rsid w:val="00761CC9"/>
    <w:rsid w:val="007622DD"/>
    <w:rsid w:val="007649AB"/>
    <w:rsid w:val="007706DC"/>
    <w:rsid w:val="00771D0C"/>
    <w:rsid w:val="00772878"/>
    <w:rsid w:val="00775501"/>
    <w:rsid w:val="00775C16"/>
    <w:rsid w:val="00775DA9"/>
    <w:rsid w:val="007802F0"/>
    <w:rsid w:val="00781ECB"/>
    <w:rsid w:val="007833AC"/>
    <w:rsid w:val="00783E3C"/>
    <w:rsid w:val="00784AAC"/>
    <w:rsid w:val="0078640B"/>
    <w:rsid w:val="00787165"/>
    <w:rsid w:val="00787E3D"/>
    <w:rsid w:val="0079375D"/>
    <w:rsid w:val="007937B7"/>
    <w:rsid w:val="007975D0"/>
    <w:rsid w:val="007A059E"/>
    <w:rsid w:val="007B17D0"/>
    <w:rsid w:val="007B268C"/>
    <w:rsid w:val="007B3388"/>
    <w:rsid w:val="007B5340"/>
    <w:rsid w:val="007B7171"/>
    <w:rsid w:val="007B787B"/>
    <w:rsid w:val="007B7B08"/>
    <w:rsid w:val="007C0C0F"/>
    <w:rsid w:val="007C3C01"/>
    <w:rsid w:val="007C3DC2"/>
    <w:rsid w:val="007D307B"/>
    <w:rsid w:val="007D63B5"/>
    <w:rsid w:val="007D63CC"/>
    <w:rsid w:val="007D6933"/>
    <w:rsid w:val="007E1A66"/>
    <w:rsid w:val="007E5019"/>
    <w:rsid w:val="007E5497"/>
    <w:rsid w:val="007E58D9"/>
    <w:rsid w:val="007E6E6B"/>
    <w:rsid w:val="007E70DA"/>
    <w:rsid w:val="007E756B"/>
    <w:rsid w:val="007F0574"/>
    <w:rsid w:val="007F7759"/>
    <w:rsid w:val="007F77A0"/>
    <w:rsid w:val="008047AC"/>
    <w:rsid w:val="00805E10"/>
    <w:rsid w:val="00806537"/>
    <w:rsid w:val="00806F5F"/>
    <w:rsid w:val="008106C0"/>
    <w:rsid w:val="00810EBA"/>
    <w:rsid w:val="00820278"/>
    <w:rsid w:val="00820937"/>
    <w:rsid w:val="008218C2"/>
    <w:rsid w:val="0082340A"/>
    <w:rsid w:val="0082513D"/>
    <w:rsid w:val="008258C9"/>
    <w:rsid w:val="0083444C"/>
    <w:rsid w:val="0083635B"/>
    <w:rsid w:val="00843EB6"/>
    <w:rsid w:val="00844464"/>
    <w:rsid w:val="008446EF"/>
    <w:rsid w:val="00844A6B"/>
    <w:rsid w:val="00844AE9"/>
    <w:rsid w:val="00845206"/>
    <w:rsid w:val="00845882"/>
    <w:rsid w:val="0084609E"/>
    <w:rsid w:val="008476E1"/>
    <w:rsid w:val="00847BC0"/>
    <w:rsid w:val="00851635"/>
    <w:rsid w:val="0085196C"/>
    <w:rsid w:val="00856545"/>
    <w:rsid w:val="00856E3E"/>
    <w:rsid w:val="008576E2"/>
    <w:rsid w:val="0086480A"/>
    <w:rsid w:val="00865247"/>
    <w:rsid w:val="00867CB5"/>
    <w:rsid w:val="00867F95"/>
    <w:rsid w:val="0087048D"/>
    <w:rsid w:val="00870A1C"/>
    <w:rsid w:val="008813A3"/>
    <w:rsid w:val="008843B6"/>
    <w:rsid w:val="00891928"/>
    <w:rsid w:val="00893FEB"/>
    <w:rsid w:val="008A08C2"/>
    <w:rsid w:val="008A446D"/>
    <w:rsid w:val="008A7784"/>
    <w:rsid w:val="008B08F1"/>
    <w:rsid w:val="008B25F1"/>
    <w:rsid w:val="008B5A0C"/>
    <w:rsid w:val="008B7B4B"/>
    <w:rsid w:val="008C017D"/>
    <w:rsid w:val="008C0348"/>
    <w:rsid w:val="008C2148"/>
    <w:rsid w:val="008C522F"/>
    <w:rsid w:val="008C7BD2"/>
    <w:rsid w:val="008D180B"/>
    <w:rsid w:val="008D1C1D"/>
    <w:rsid w:val="008D2042"/>
    <w:rsid w:val="008D34F2"/>
    <w:rsid w:val="008D3606"/>
    <w:rsid w:val="008E06C4"/>
    <w:rsid w:val="008E0B6F"/>
    <w:rsid w:val="008E318F"/>
    <w:rsid w:val="008E73E1"/>
    <w:rsid w:val="008F0EA7"/>
    <w:rsid w:val="008F297F"/>
    <w:rsid w:val="008F5E43"/>
    <w:rsid w:val="008F6CB9"/>
    <w:rsid w:val="008F7CAA"/>
    <w:rsid w:val="008F7DFC"/>
    <w:rsid w:val="00901378"/>
    <w:rsid w:val="00904F2B"/>
    <w:rsid w:val="00912EA0"/>
    <w:rsid w:val="00914E0D"/>
    <w:rsid w:val="009157FB"/>
    <w:rsid w:val="00916CF5"/>
    <w:rsid w:val="00917C2A"/>
    <w:rsid w:val="00917D08"/>
    <w:rsid w:val="00917D7C"/>
    <w:rsid w:val="00920683"/>
    <w:rsid w:val="00923EEF"/>
    <w:rsid w:val="00923F89"/>
    <w:rsid w:val="00926AFB"/>
    <w:rsid w:val="009347E9"/>
    <w:rsid w:val="009377E4"/>
    <w:rsid w:val="009419F9"/>
    <w:rsid w:val="00942F04"/>
    <w:rsid w:val="00947432"/>
    <w:rsid w:val="00947764"/>
    <w:rsid w:val="00952228"/>
    <w:rsid w:val="0095685E"/>
    <w:rsid w:val="00957681"/>
    <w:rsid w:val="00961B09"/>
    <w:rsid w:val="00962B17"/>
    <w:rsid w:val="00963566"/>
    <w:rsid w:val="00963A43"/>
    <w:rsid w:val="00965334"/>
    <w:rsid w:val="0096783E"/>
    <w:rsid w:val="00967D67"/>
    <w:rsid w:val="0097093E"/>
    <w:rsid w:val="009712CF"/>
    <w:rsid w:val="0097530E"/>
    <w:rsid w:val="009754CF"/>
    <w:rsid w:val="00975D9C"/>
    <w:rsid w:val="00976CEB"/>
    <w:rsid w:val="0098061E"/>
    <w:rsid w:val="0098514C"/>
    <w:rsid w:val="00993FF1"/>
    <w:rsid w:val="00996FCF"/>
    <w:rsid w:val="009A0DFA"/>
    <w:rsid w:val="009A1C6F"/>
    <w:rsid w:val="009A2C7A"/>
    <w:rsid w:val="009A46DF"/>
    <w:rsid w:val="009A6D45"/>
    <w:rsid w:val="009A7CA2"/>
    <w:rsid w:val="009B0163"/>
    <w:rsid w:val="009B2D26"/>
    <w:rsid w:val="009B370F"/>
    <w:rsid w:val="009C1939"/>
    <w:rsid w:val="009C20F9"/>
    <w:rsid w:val="009C4DE6"/>
    <w:rsid w:val="009C5ADB"/>
    <w:rsid w:val="009C71FA"/>
    <w:rsid w:val="009C72E7"/>
    <w:rsid w:val="009C7F7E"/>
    <w:rsid w:val="009D2A2F"/>
    <w:rsid w:val="009D3058"/>
    <w:rsid w:val="009E28AD"/>
    <w:rsid w:val="009E3B65"/>
    <w:rsid w:val="009E75C5"/>
    <w:rsid w:val="009F0380"/>
    <w:rsid w:val="009F1284"/>
    <w:rsid w:val="009F3A13"/>
    <w:rsid w:val="009F4095"/>
    <w:rsid w:val="009F6918"/>
    <w:rsid w:val="00A028EE"/>
    <w:rsid w:val="00A03AF3"/>
    <w:rsid w:val="00A06FFF"/>
    <w:rsid w:val="00A122D3"/>
    <w:rsid w:val="00A1233B"/>
    <w:rsid w:val="00A14468"/>
    <w:rsid w:val="00A17F13"/>
    <w:rsid w:val="00A20739"/>
    <w:rsid w:val="00A21A2E"/>
    <w:rsid w:val="00A23AF9"/>
    <w:rsid w:val="00A27052"/>
    <w:rsid w:val="00A310A0"/>
    <w:rsid w:val="00A31B65"/>
    <w:rsid w:val="00A33C78"/>
    <w:rsid w:val="00A345DD"/>
    <w:rsid w:val="00A43FE4"/>
    <w:rsid w:val="00A50128"/>
    <w:rsid w:val="00A50B12"/>
    <w:rsid w:val="00A51A78"/>
    <w:rsid w:val="00A54A64"/>
    <w:rsid w:val="00A56D60"/>
    <w:rsid w:val="00A575B5"/>
    <w:rsid w:val="00A57A60"/>
    <w:rsid w:val="00A604D4"/>
    <w:rsid w:val="00A61041"/>
    <w:rsid w:val="00A6650D"/>
    <w:rsid w:val="00A67369"/>
    <w:rsid w:val="00A70219"/>
    <w:rsid w:val="00A72101"/>
    <w:rsid w:val="00A72A63"/>
    <w:rsid w:val="00A75061"/>
    <w:rsid w:val="00A751E5"/>
    <w:rsid w:val="00A8192E"/>
    <w:rsid w:val="00A822FD"/>
    <w:rsid w:val="00A82DB0"/>
    <w:rsid w:val="00A83154"/>
    <w:rsid w:val="00A858CF"/>
    <w:rsid w:val="00A859B6"/>
    <w:rsid w:val="00A873DB"/>
    <w:rsid w:val="00A92D03"/>
    <w:rsid w:val="00A93345"/>
    <w:rsid w:val="00A97A39"/>
    <w:rsid w:val="00AA02B7"/>
    <w:rsid w:val="00AA3D82"/>
    <w:rsid w:val="00AA6777"/>
    <w:rsid w:val="00AB0ADB"/>
    <w:rsid w:val="00AB1DF2"/>
    <w:rsid w:val="00AB1FF8"/>
    <w:rsid w:val="00AB24C2"/>
    <w:rsid w:val="00AB6E30"/>
    <w:rsid w:val="00AB7520"/>
    <w:rsid w:val="00AC5DA8"/>
    <w:rsid w:val="00AD2ACC"/>
    <w:rsid w:val="00AD4501"/>
    <w:rsid w:val="00AD55D9"/>
    <w:rsid w:val="00AE17D2"/>
    <w:rsid w:val="00AE189B"/>
    <w:rsid w:val="00AE329C"/>
    <w:rsid w:val="00AE45AC"/>
    <w:rsid w:val="00AE574C"/>
    <w:rsid w:val="00AE595A"/>
    <w:rsid w:val="00AE6D51"/>
    <w:rsid w:val="00AF247C"/>
    <w:rsid w:val="00AF3A3E"/>
    <w:rsid w:val="00B00C0E"/>
    <w:rsid w:val="00B01B1A"/>
    <w:rsid w:val="00B021AC"/>
    <w:rsid w:val="00B0381D"/>
    <w:rsid w:val="00B03D3C"/>
    <w:rsid w:val="00B07447"/>
    <w:rsid w:val="00B11F11"/>
    <w:rsid w:val="00B121F7"/>
    <w:rsid w:val="00B13E5A"/>
    <w:rsid w:val="00B13E8D"/>
    <w:rsid w:val="00B147A4"/>
    <w:rsid w:val="00B14EED"/>
    <w:rsid w:val="00B218A9"/>
    <w:rsid w:val="00B22BDC"/>
    <w:rsid w:val="00B308F7"/>
    <w:rsid w:val="00B30E7B"/>
    <w:rsid w:val="00B33ED6"/>
    <w:rsid w:val="00B36AF7"/>
    <w:rsid w:val="00B36E41"/>
    <w:rsid w:val="00B37401"/>
    <w:rsid w:val="00B3763A"/>
    <w:rsid w:val="00B37CC1"/>
    <w:rsid w:val="00B43F8B"/>
    <w:rsid w:val="00B44A47"/>
    <w:rsid w:val="00B44E76"/>
    <w:rsid w:val="00B45D54"/>
    <w:rsid w:val="00B4691A"/>
    <w:rsid w:val="00B5246B"/>
    <w:rsid w:val="00B524C9"/>
    <w:rsid w:val="00B53E33"/>
    <w:rsid w:val="00B55864"/>
    <w:rsid w:val="00B5789D"/>
    <w:rsid w:val="00B57B01"/>
    <w:rsid w:val="00B64665"/>
    <w:rsid w:val="00B66AA8"/>
    <w:rsid w:val="00B66E67"/>
    <w:rsid w:val="00B70323"/>
    <w:rsid w:val="00B72CD3"/>
    <w:rsid w:val="00B72FFF"/>
    <w:rsid w:val="00B73CF4"/>
    <w:rsid w:val="00B75769"/>
    <w:rsid w:val="00B76499"/>
    <w:rsid w:val="00B76D46"/>
    <w:rsid w:val="00B83594"/>
    <w:rsid w:val="00B87283"/>
    <w:rsid w:val="00B9186D"/>
    <w:rsid w:val="00B93F50"/>
    <w:rsid w:val="00B96118"/>
    <w:rsid w:val="00B9760C"/>
    <w:rsid w:val="00BA0F7F"/>
    <w:rsid w:val="00BA310B"/>
    <w:rsid w:val="00BA67CE"/>
    <w:rsid w:val="00BC3A61"/>
    <w:rsid w:val="00BC3D36"/>
    <w:rsid w:val="00BC4D68"/>
    <w:rsid w:val="00BC7C12"/>
    <w:rsid w:val="00BD0BDC"/>
    <w:rsid w:val="00BD54A6"/>
    <w:rsid w:val="00BD6409"/>
    <w:rsid w:val="00BD7F72"/>
    <w:rsid w:val="00BE2378"/>
    <w:rsid w:val="00BE58F0"/>
    <w:rsid w:val="00BE68E7"/>
    <w:rsid w:val="00BE6D2E"/>
    <w:rsid w:val="00BF590D"/>
    <w:rsid w:val="00BF62A1"/>
    <w:rsid w:val="00BF7425"/>
    <w:rsid w:val="00BF7B63"/>
    <w:rsid w:val="00BF7FD2"/>
    <w:rsid w:val="00C00584"/>
    <w:rsid w:val="00C01FD7"/>
    <w:rsid w:val="00C03868"/>
    <w:rsid w:val="00C04B2B"/>
    <w:rsid w:val="00C04FB3"/>
    <w:rsid w:val="00C05F2E"/>
    <w:rsid w:val="00C10BC3"/>
    <w:rsid w:val="00C11D8B"/>
    <w:rsid w:val="00C138F9"/>
    <w:rsid w:val="00C15139"/>
    <w:rsid w:val="00C16EAC"/>
    <w:rsid w:val="00C174DD"/>
    <w:rsid w:val="00C25563"/>
    <w:rsid w:val="00C26510"/>
    <w:rsid w:val="00C270A3"/>
    <w:rsid w:val="00C27470"/>
    <w:rsid w:val="00C30141"/>
    <w:rsid w:val="00C308D2"/>
    <w:rsid w:val="00C30E23"/>
    <w:rsid w:val="00C31D52"/>
    <w:rsid w:val="00C330EB"/>
    <w:rsid w:val="00C40E96"/>
    <w:rsid w:val="00C416B1"/>
    <w:rsid w:val="00C45A9E"/>
    <w:rsid w:val="00C4752A"/>
    <w:rsid w:val="00C5070A"/>
    <w:rsid w:val="00C50D69"/>
    <w:rsid w:val="00C50E70"/>
    <w:rsid w:val="00C52344"/>
    <w:rsid w:val="00C5287E"/>
    <w:rsid w:val="00C5365C"/>
    <w:rsid w:val="00C55450"/>
    <w:rsid w:val="00C645F4"/>
    <w:rsid w:val="00C67E80"/>
    <w:rsid w:val="00C70581"/>
    <w:rsid w:val="00C71D88"/>
    <w:rsid w:val="00C752D5"/>
    <w:rsid w:val="00C754BE"/>
    <w:rsid w:val="00C76786"/>
    <w:rsid w:val="00C76B1C"/>
    <w:rsid w:val="00C82AEE"/>
    <w:rsid w:val="00C82B97"/>
    <w:rsid w:val="00C925AC"/>
    <w:rsid w:val="00C93CE4"/>
    <w:rsid w:val="00CA2A60"/>
    <w:rsid w:val="00CA3A63"/>
    <w:rsid w:val="00CA3EED"/>
    <w:rsid w:val="00CA77CB"/>
    <w:rsid w:val="00CB2DFB"/>
    <w:rsid w:val="00CB3BEE"/>
    <w:rsid w:val="00CB4038"/>
    <w:rsid w:val="00CB4E73"/>
    <w:rsid w:val="00CB6357"/>
    <w:rsid w:val="00CC028B"/>
    <w:rsid w:val="00CC0DB5"/>
    <w:rsid w:val="00CC1B26"/>
    <w:rsid w:val="00CC2530"/>
    <w:rsid w:val="00CC424E"/>
    <w:rsid w:val="00CC55E8"/>
    <w:rsid w:val="00CC6EA4"/>
    <w:rsid w:val="00CC703E"/>
    <w:rsid w:val="00CD09A7"/>
    <w:rsid w:val="00CD184C"/>
    <w:rsid w:val="00CD7E83"/>
    <w:rsid w:val="00CE5193"/>
    <w:rsid w:val="00CF0A77"/>
    <w:rsid w:val="00CF3E97"/>
    <w:rsid w:val="00CF55CF"/>
    <w:rsid w:val="00D02EE0"/>
    <w:rsid w:val="00D05962"/>
    <w:rsid w:val="00D166B2"/>
    <w:rsid w:val="00D24123"/>
    <w:rsid w:val="00D24D67"/>
    <w:rsid w:val="00D26F18"/>
    <w:rsid w:val="00D34887"/>
    <w:rsid w:val="00D361FD"/>
    <w:rsid w:val="00D36581"/>
    <w:rsid w:val="00D36F1B"/>
    <w:rsid w:val="00D375A2"/>
    <w:rsid w:val="00D423A2"/>
    <w:rsid w:val="00D42565"/>
    <w:rsid w:val="00D44E26"/>
    <w:rsid w:val="00D47A94"/>
    <w:rsid w:val="00D47E0F"/>
    <w:rsid w:val="00D51480"/>
    <w:rsid w:val="00D520D8"/>
    <w:rsid w:val="00D52A6D"/>
    <w:rsid w:val="00D5371B"/>
    <w:rsid w:val="00D5525A"/>
    <w:rsid w:val="00D55781"/>
    <w:rsid w:val="00D57FE8"/>
    <w:rsid w:val="00D6057E"/>
    <w:rsid w:val="00D60B0B"/>
    <w:rsid w:val="00D63AC2"/>
    <w:rsid w:val="00D64AFC"/>
    <w:rsid w:val="00D64BE0"/>
    <w:rsid w:val="00D67C2C"/>
    <w:rsid w:val="00D72446"/>
    <w:rsid w:val="00D7383B"/>
    <w:rsid w:val="00D75B26"/>
    <w:rsid w:val="00D7788A"/>
    <w:rsid w:val="00D8568F"/>
    <w:rsid w:val="00D9012C"/>
    <w:rsid w:val="00D90489"/>
    <w:rsid w:val="00D91B3F"/>
    <w:rsid w:val="00D92711"/>
    <w:rsid w:val="00D92DDB"/>
    <w:rsid w:val="00D93290"/>
    <w:rsid w:val="00DA0544"/>
    <w:rsid w:val="00DA0612"/>
    <w:rsid w:val="00DA1F5C"/>
    <w:rsid w:val="00DA2179"/>
    <w:rsid w:val="00DA231B"/>
    <w:rsid w:val="00DA4941"/>
    <w:rsid w:val="00DB094E"/>
    <w:rsid w:val="00DB2934"/>
    <w:rsid w:val="00DB5EC7"/>
    <w:rsid w:val="00DB62F2"/>
    <w:rsid w:val="00DC06A4"/>
    <w:rsid w:val="00DC3678"/>
    <w:rsid w:val="00DC39FC"/>
    <w:rsid w:val="00DE05DD"/>
    <w:rsid w:val="00DE0B58"/>
    <w:rsid w:val="00DE5F1D"/>
    <w:rsid w:val="00DF24E4"/>
    <w:rsid w:val="00DF4613"/>
    <w:rsid w:val="00DF51B8"/>
    <w:rsid w:val="00DF5254"/>
    <w:rsid w:val="00E00EC8"/>
    <w:rsid w:val="00E02524"/>
    <w:rsid w:val="00E03BB4"/>
    <w:rsid w:val="00E12F1D"/>
    <w:rsid w:val="00E14270"/>
    <w:rsid w:val="00E14486"/>
    <w:rsid w:val="00E16408"/>
    <w:rsid w:val="00E17CA3"/>
    <w:rsid w:val="00E20894"/>
    <w:rsid w:val="00E22A31"/>
    <w:rsid w:val="00E245AB"/>
    <w:rsid w:val="00E248AD"/>
    <w:rsid w:val="00E26C46"/>
    <w:rsid w:val="00E2764C"/>
    <w:rsid w:val="00E27F2E"/>
    <w:rsid w:val="00E30F08"/>
    <w:rsid w:val="00E313CE"/>
    <w:rsid w:val="00E33E17"/>
    <w:rsid w:val="00E35D1B"/>
    <w:rsid w:val="00E372B8"/>
    <w:rsid w:val="00E37D67"/>
    <w:rsid w:val="00E41A71"/>
    <w:rsid w:val="00E43BBC"/>
    <w:rsid w:val="00E45963"/>
    <w:rsid w:val="00E50AFE"/>
    <w:rsid w:val="00E56386"/>
    <w:rsid w:val="00E574F5"/>
    <w:rsid w:val="00E60756"/>
    <w:rsid w:val="00E62D85"/>
    <w:rsid w:val="00E63A4C"/>
    <w:rsid w:val="00E6428D"/>
    <w:rsid w:val="00E65011"/>
    <w:rsid w:val="00E65215"/>
    <w:rsid w:val="00E7036C"/>
    <w:rsid w:val="00E70407"/>
    <w:rsid w:val="00E75C92"/>
    <w:rsid w:val="00E771DC"/>
    <w:rsid w:val="00E80EBB"/>
    <w:rsid w:val="00E84424"/>
    <w:rsid w:val="00E863A3"/>
    <w:rsid w:val="00E8772A"/>
    <w:rsid w:val="00E87AE9"/>
    <w:rsid w:val="00E90F6B"/>
    <w:rsid w:val="00E91CA9"/>
    <w:rsid w:val="00E92C27"/>
    <w:rsid w:val="00E93B3A"/>
    <w:rsid w:val="00E96B22"/>
    <w:rsid w:val="00EA0E3D"/>
    <w:rsid w:val="00EA1411"/>
    <w:rsid w:val="00EA5D64"/>
    <w:rsid w:val="00EA71F6"/>
    <w:rsid w:val="00EB1C21"/>
    <w:rsid w:val="00EB22ED"/>
    <w:rsid w:val="00EC1784"/>
    <w:rsid w:val="00EC38A7"/>
    <w:rsid w:val="00EC3DCF"/>
    <w:rsid w:val="00ED2182"/>
    <w:rsid w:val="00EE093F"/>
    <w:rsid w:val="00EE1AA8"/>
    <w:rsid w:val="00EE2ECC"/>
    <w:rsid w:val="00EE4660"/>
    <w:rsid w:val="00EE4810"/>
    <w:rsid w:val="00EE6118"/>
    <w:rsid w:val="00EE6152"/>
    <w:rsid w:val="00EF0894"/>
    <w:rsid w:val="00EF23C3"/>
    <w:rsid w:val="00EF3663"/>
    <w:rsid w:val="00EF3E45"/>
    <w:rsid w:val="00EF77B5"/>
    <w:rsid w:val="00F01300"/>
    <w:rsid w:val="00F06B58"/>
    <w:rsid w:val="00F072DC"/>
    <w:rsid w:val="00F10ACB"/>
    <w:rsid w:val="00F10D2A"/>
    <w:rsid w:val="00F14A34"/>
    <w:rsid w:val="00F151FA"/>
    <w:rsid w:val="00F17503"/>
    <w:rsid w:val="00F17B5D"/>
    <w:rsid w:val="00F23FEA"/>
    <w:rsid w:val="00F30BA5"/>
    <w:rsid w:val="00F31166"/>
    <w:rsid w:val="00F31EDC"/>
    <w:rsid w:val="00F4564D"/>
    <w:rsid w:val="00F462B3"/>
    <w:rsid w:val="00F52B54"/>
    <w:rsid w:val="00F53CF9"/>
    <w:rsid w:val="00F5664F"/>
    <w:rsid w:val="00F57E2E"/>
    <w:rsid w:val="00F63CDC"/>
    <w:rsid w:val="00F640B9"/>
    <w:rsid w:val="00F666C4"/>
    <w:rsid w:val="00F66A43"/>
    <w:rsid w:val="00F66A92"/>
    <w:rsid w:val="00F76AFC"/>
    <w:rsid w:val="00F8282B"/>
    <w:rsid w:val="00F82EBA"/>
    <w:rsid w:val="00F833DB"/>
    <w:rsid w:val="00F83A33"/>
    <w:rsid w:val="00F8463E"/>
    <w:rsid w:val="00F84F44"/>
    <w:rsid w:val="00F862FA"/>
    <w:rsid w:val="00F905C0"/>
    <w:rsid w:val="00F96570"/>
    <w:rsid w:val="00F97702"/>
    <w:rsid w:val="00FA47C0"/>
    <w:rsid w:val="00FA55F4"/>
    <w:rsid w:val="00FA5B39"/>
    <w:rsid w:val="00FA740D"/>
    <w:rsid w:val="00FB44C9"/>
    <w:rsid w:val="00FB5DD1"/>
    <w:rsid w:val="00FB69EF"/>
    <w:rsid w:val="00FB7209"/>
    <w:rsid w:val="00FC021D"/>
    <w:rsid w:val="00FC285E"/>
    <w:rsid w:val="00FC2B5D"/>
    <w:rsid w:val="00FC63F8"/>
    <w:rsid w:val="00FC7F7A"/>
    <w:rsid w:val="00FD0113"/>
    <w:rsid w:val="00FD3837"/>
    <w:rsid w:val="00FD5E64"/>
    <w:rsid w:val="00FE029B"/>
    <w:rsid w:val="00FE1C78"/>
    <w:rsid w:val="00FE58BB"/>
    <w:rsid w:val="00FF1116"/>
    <w:rsid w:val="00FF1449"/>
    <w:rsid w:val="00FF358C"/>
    <w:rsid w:val="00FF7963"/>
    <w:rsid w:val="071B8F93"/>
    <w:rsid w:val="07C73DD1"/>
    <w:rsid w:val="09908A09"/>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28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054748"/>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054748"/>
    <w:rPr>
      <w:rFonts w:ascii="Geomanist Light" w:hAnsi="Geomanist Ligh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ertulio@yahoo.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3.xml><?xml version="1.0" encoding="utf-8"?>
<ds:datastoreItem xmlns:ds="http://schemas.openxmlformats.org/officeDocument/2006/customXml" ds:itemID="{51008D5D-A1AF-4FEC-993D-20EC983388BB}">
  <ds:schemaRefs>
    <ds:schemaRef ds:uri="http://schemas.openxmlformats.org/officeDocument/2006/bibliography"/>
  </ds:schemaRefs>
</ds:datastoreItem>
</file>

<file path=customXml/itemProps4.xml><?xml version="1.0" encoding="utf-8"?>
<ds:datastoreItem xmlns:ds="http://schemas.openxmlformats.org/officeDocument/2006/customXml" ds:itemID="{5756CC5A-C7F9-4160-A671-D8AD037882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2920</TotalTime>
  <Pages>13</Pages>
  <Words>3946</Words>
  <Characters>21706</Characters>
  <Application>Microsoft Office Word</Application>
  <DocSecurity>0</DocSecurity>
  <Lines>180</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818</cp:revision>
  <cp:lastPrinted>2023-01-10T21:18:00Z</cp:lastPrinted>
  <dcterms:created xsi:type="dcterms:W3CDTF">2026-05-25T13:41:00Z</dcterms:created>
  <dcterms:modified xsi:type="dcterms:W3CDTF">2026-08-19T16:55:00Z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