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4A8C3" w14:textId="77777777" w:rsidR="001E7185" w:rsidRPr="001E7185" w:rsidRDefault="001E7185" w:rsidP="00A3295B">
      <w:pPr>
        <w:spacing w:after="0" w:line="240" w:lineRule="auto"/>
        <w:jc w:val="both"/>
        <w:rPr>
          <w:rFonts w:ascii="Verdana" w:eastAsia="Verdana" w:hAnsi="Verdana" w:cs="Verdana"/>
          <w:b/>
        </w:rPr>
      </w:pPr>
      <w:bookmarkStart w:id="0" w:name="_Hlk143780582"/>
      <w:r w:rsidRPr="001E7185">
        <w:rPr>
          <w:rFonts w:ascii="Verdana" w:eastAsia="Verdana" w:hAnsi="Verdana" w:cs="Verdana"/>
          <w:b/>
        </w:rPr>
        <w:t>PRECIO – Elemento – Contrato estatal</w:t>
      </w:r>
    </w:p>
    <w:p w14:paraId="0A6E5C1E" w14:textId="77777777" w:rsidR="001E7185" w:rsidRDefault="001E7185" w:rsidP="00A3295B">
      <w:pPr>
        <w:spacing w:after="0" w:line="240" w:lineRule="auto"/>
        <w:jc w:val="both"/>
        <w:rPr>
          <w:rFonts w:ascii="Verdana" w:eastAsia="Verdana" w:hAnsi="Verdana" w:cs="Verdana"/>
          <w:b/>
        </w:rPr>
      </w:pPr>
    </w:p>
    <w:p w14:paraId="628BE7A0" w14:textId="77777777" w:rsidR="00057408" w:rsidRPr="00E07CEC" w:rsidRDefault="00057408" w:rsidP="00A3295B">
      <w:pPr>
        <w:spacing w:after="0" w:line="240" w:lineRule="auto"/>
        <w:jc w:val="both"/>
        <w:rPr>
          <w:rFonts w:ascii="Verdana" w:eastAsia="Verdana" w:hAnsi="Verdana" w:cs="Verdana"/>
          <w:sz w:val="20"/>
          <w:szCs w:val="20"/>
        </w:rPr>
      </w:pPr>
      <w:r w:rsidRPr="00E07CEC">
        <w:rPr>
          <w:rFonts w:ascii="Verdana" w:eastAsia="Verdana" w:hAnsi="Verdana" w:cs="Verdana"/>
          <w:sz w:val="20"/>
          <w:szCs w:val="20"/>
          <w:lang w:val="es-ES_tradnl"/>
        </w:rPr>
        <w:t xml:space="preserve">Como es sabido, uno de los elementos más comunes en los contratos estatales es el precio, también conocido como valor. Aunque no todo contrato lo incluye –pues también existen negocios gratuitos– lo usual es que los contratos estatales se perfeccionen como onerosos y, la mayoría de las veces, como conmutativos. </w:t>
      </w:r>
      <w:r w:rsidRPr="00E07CEC">
        <w:rPr>
          <w:rFonts w:ascii="Verdana" w:eastAsia="Verdana" w:hAnsi="Verdana" w:cs="Verdana"/>
          <w:sz w:val="20"/>
          <w:szCs w:val="20"/>
        </w:rPr>
        <w:t>Adicionalmente, el precio suele constituir el factor de mayor relevancia para el contratista, en tanto representa la remuneración que la entidad contratante le reconocerá por la ejecución del contrato estatal.</w:t>
      </w:r>
    </w:p>
    <w:p w14:paraId="00CDDB0E" w14:textId="77777777" w:rsidR="00E07CEC" w:rsidRPr="00E07CEC" w:rsidRDefault="00E07CEC" w:rsidP="00A3295B">
      <w:pPr>
        <w:spacing w:after="0" w:line="240" w:lineRule="auto"/>
        <w:jc w:val="both"/>
        <w:rPr>
          <w:rFonts w:ascii="Verdana" w:eastAsia="Verdana" w:hAnsi="Verdana" w:cs="Verdana"/>
          <w:sz w:val="20"/>
          <w:szCs w:val="20"/>
          <w:lang w:val="es-ES_tradnl"/>
        </w:rPr>
      </w:pPr>
    </w:p>
    <w:p w14:paraId="4A4C0C97" w14:textId="2D1764C9" w:rsidR="00057408" w:rsidRPr="00E07CEC" w:rsidRDefault="00057408" w:rsidP="00A3295B">
      <w:pPr>
        <w:spacing w:after="0" w:line="240" w:lineRule="auto"/>
        <w:jc w:val="both"/>
        <w:rPr>
          <w:rFonts w:ascii="Verdana" w:eastAsia="Verdana" w:hAnsi="Verdana" w:cs="Verdana"/>
          <w:sz w:val="20"/>
          <w:szCs w:val="20"/>
          <w:lang w:val="es-ES"/>
        </w:rPr>
      </w:pPr>
      <w:r w:rsidRPr="00E07CEC">
        <w:rPr>
          <w:rFonts w:ascii="Verdana" w:eastAsia="Verdana" w:hAnsi="Verdana" w:cs="Verdana"/>
          <w:sz w:val="20"/>
          <w:szCs w:val="20"/>
          <w:lang w:val="es-ES"/>
        </w:rPr>
        <w:t xml:space="preserve">Desde la etapa de planeación, en la fase precontractual, las entidades estatales deben calcular el presupuesto oficial, mediante la realización del análisis del sector –que incluye el estudio del mercado– y definir la metodología con la cual estructurarán el precio del contrato. Dicho de otro modo, hace parte de los estudios previos la definición del esquema que la Administración usará para estipular el precio. Tal metodología generalmente depende del tipo de contrato, pues hay algunas modalidades más comunes en los de obra pública; otras más utilizadas en los de prestación de servicios y otras más indicadas para los de concesión, por mencionar algunos ejemplos. No hay, pues, una sola metodología para pactar el precio y, en gran medida, la manera de hacerlo ha obedecido a la costumbre mercantil y a la influencia de disciplinas técnicas, como la ingeniería o la administración de empresas, en la contratación estatal. Dentro de tales esquemas de establecimiento del precio pueden citarse, entre otros: i) los precios unitarios –calculados de acuerdo con las unidades que componen el objeto del contrato–, </w:t>
      </w:r>
      <w:proofErr w:type="spellStart"/>
      <w:r w:rsidRPr="00E07CEC">
        <w:rPr>
          <w:rFonts w:ascii="Verdana" w:eastAsia="Verdana" w:hAnsi="Verdana" w:cs="Verdana"/>
          <w:sz w:val="20"/>
          <w:szCs w:val="20"/>
          <w:lang w:val="es-ES"/>
        </w:rPr>
        <w:t>ii</w:t>
      </w:r>
      <w:proofErr w:type="spellEnd"/>
      <w:r w:rsidRPr="00E07CEC">
        <w:rPr>
          <w:rFonts w:ascii="Verdana" w:eastAsia="Verdana" w:hAnsi="Verdana" w:cs="Verdana"/>
          <w:sz w:val="20"/>
          <w:szCs w:val="20"/>
          <w:lang w:val="es-ES"/>
        </w:rPr>
        <w:t xml:space="preserve">) el precio global –que equivale al monto total, sin discriminar unidades–, y </w:t>
      </w:r>
      <w:proofErr w:type="spellStart"/>
      <w:r w:rsidRPr="00E07CEC">
        <w:rPr>
          <w:rFonts w:ascii="Verdana" w:eastAsia="Verdana" w:hAnsi="Verdana" w:cs="Verdana"/>
          <w:sz w:val="20"/>
          <w:szCs w:val="20"/>
          <w:lang w:val="es-ES"/>
        </w:rPr>
        <w:t>iii</w:t>
      </w:r>
      <w:proofErr w:type="spellEnd"/>
      <w:r w:rsidRPr="00E07CEC">
        <w:rPr>
          <w:rFonts w:ascii="Verdana" w:eastAsia="Verdana" w:hAnsi="Verdana" w:cs="Verdana"/>
          <w:sz w:val="20"/>
          <w:szCs w:val="20"/>
          <w:lang w:val="es-ES"/>
        </w:rPr>
        <w:t>) la administración delegada de recursos –en la que se distinguen los costos de inversión de los honorarios del administrador–.</w:t>
      </w:r>
    </w:p>
    <w:p w14:paraId="20F9BA8C" w14:textId="77777777" w:rsidR="00E07CEC" w:rsidRPr="001E7185" w:rsidRDefault="00E07CEC" w:rsidP="00A3295B">
      <w:pPr>
        <w:spacing w:after="0" w:line="240" w:lineRule="auto"/>
        <w:jc w:val="both"/>
        <w:rPr>
          <w:rFonts w:ascii="Verdana" w:eastAsia="Verdana" w:hAnsi="Verdana" w:cs="Verdana"/>
          <w:b/>
        </w:rPr>
      </w:pPr>
    </w:p>
    <w:p w14:paraId="19343A95" w14:textId="77777777" w:rsidR="001E7185" w:rsidRPr="001E7185" w:rsidRDefault="001E7185" w:rsidP="00A3295B">
      <w:pPr>
        <w:spacing w:after="0" w:line="240" w:lineRule="auto"/>
        <w:jc w:val="both"/>
        <w:rPr>
          <w:rFonts w:ascii="Verdana" w:eastAsia="Verdana" w:hAnsi="Verdana" w:cs="Verdana"/>
          <w:b/>
        </w:rPr>
      </w:pPr>
      <w:r w:rsidRPr="001E7185">
        <w:rPr>
          <w:rFonts w:ascii="Verdana" w:eastAsia="Verdana" w:hAnsi="Verdana" w:cs="Verdana"/>
          <w:b/>
        </w:rPr>
        <w:t>PRECIO – Determinable – Estructuración – Remuneración por comisiones o porcentajes sobre el resultado de la gestión</w:t>
      </w:r>
    </w:p>
    <w:p w14:paraId="4A89EC29" w14:textId="77777777" w:rsidR="001E7185" w:rsidRPr="001E7185" w:rsidRDefault="001E7185" w:rsidP="00A3295B">
      <w:pPr>
        <w:spacing w:after="0" w:line="240" w:lineRule="auto"/>
        <w:jc w:val="both"/>
        <w:rPr>
          <w:rFonts w:ascii="Verdana" w:eastAsia="Verdana" w:hAnsi="Verdana" w:cs="Verdana"/>
          <w:b/>
        </w:rPr>
      </w:pPr>
    </w:p>
    <w:p w14:paraId="40843136" w14:textId="77777777" w:rsidR="002057CF" w:rsidRDefault="002057CF" w:rsidP="00A3295B">
      <w:pPr>
        <w:spacing w:after="0" w:line="240" w:lineRule="auto"/>
        <w:jc w:val="both"/>
        <w:rPr>
          <w:rFonts w:ascii="Verdana" w:eastAsia="Verdana" w:hAnsi="Verdana" w:cs="Verdana"/>
          <w:sz w:val="20"/>
          <w:szCs w:val="20"/>
        </w:rPr>
      </w:pPr>
      <w:r w:rsidRPr="002057CF">
        <w:rPr>
          <w:rFonts w:ascii="Verdana" w:eastAsia="Verdana" w:hAnsi="Verdana" w:cs="Verdana"/>
          <w:sz w:val="20"/>
          <w:szCs w:val="20"/>
        </w:rPr>
        <w:t>En este marco, resulta procedente celebrar contratos en los que no exista una erogación directa de recursos públicos, sino una remuneración basada en comisiones, porcentajes u otros mecanismos económicos vinculados al resultado de la gestión en la prestación de bienes o servicios. Esta estructura es propia, por ejemplo, de la intermediación de seguros, en la cual la contraprestación depende de la labor desarrollada y de los parámetros previamente definidos por las partes, siendo la comisión del intermediario asumida por la compañía aseguradora conforme a la regulación aplicable. La forma de remuneración del corredor constituye un elemento característico de este tipo de contratos, pero no altera la naturaleza de la relación jurídica entre las partes ni implica subordinación del contrato de intermediación frente al contrato de seguro, pues cada uno conserva su autonomía funcional y normativa.</w:t>
      </w:r>
    </w:p>
    <w:p w14:paraId="4679E898" w14:textId="77777777" w:rsidR="00133E3A" w:rsidRPr="002057CF" w:rsidRDefault="00133E3A" w:rsidP="00A3295B">
      <w:pPr>
        <w:spacing w:after="0" w:line="240" w:lineRule="auto"/>
        <w:jc w:val="both"/>
        <w:rPr>
          <w:rFonts w:ascii="Verdana" w:eastAsia="Verdana" w:hAnsi="Verdana" w:cs="Verdana"/>
          <w:sz w:val="20"/>
          <w:szCs w:val="20"/>
        </w:rPr>
      </w:pPr>
    </w:p>
    <w:p w14:paraId="2A60B17F" w14:textId="77777777" w:rsidR="002057CF" w:rsidRPr="002057CF" w:rsidRDefault="002057CF" w:rsidP="00A3295B">
      <w:pPr>
        <w:spacing w:after="0" w:line="240" w:lineRule="auto"/>
        <w:jc w:val="both"/>
        <w:rPr>
          <w:rFonts w:ascii="Verdana" w:eastAsia="Verdana" w:hAnsi="Verdana" w:cs="Verdana"/>
          <w:sz w:val="20"/>
          <w:szCs w:val="20"/>
        </w:rPr>
      </w:pPr>
      <w:r w:rsidRPr="002057CF">
        <w:rPr>
          <w:rFonts w:ascii="Verdana" w:eastAsia="Verdana" w:hAnsi="Verdana" w:cs="Verdana"/>
          <w:sz w:val="20"/>
          <w:szCs w:val="20"/>
        </w:rPr>
        <w:t xml:space="preserve">Estos esquemas de remuneración basados en comisiones, porcentajes o resultados de gestión no desnaturalizan el contrato estatal ni afectan su validez, siempre que su estructuración y ejecución observen los principios de transparencia, responsabilidad, </w:t>
      </w:r>
      <w:r w:rsidRPr="002057CF">
        <w:rPr>
          <w:rFonts w:ascii="Verdana" w:eastAsia="Verdana" w:hAnsi="Verdana" w:cs="Verdana"/>
          <w:sz w:val="20"/>
          <w:szCs w:val="20"/>
        </w:rPr>
        <w:lastRenderedPageBreak/>
        <w:t>economía y eficiencia que rigen la actividad contractual de las entidades públicas. No obstante, es preciso distinguir la fuente de la remuneración: cuando la comisión la asume un tercero ajeno al Tesoro —como ocurre en la intermediación de seguros, en la que paga la compañía aseguradora—, la entidad no efectúa erogación de recursos públicos; en cambio, cuando la remuneración se paga con cargo a los recursos que el contratista recauda por cuenta de la entidad, tales sumas conservan su naturaleza pública y la comisión constituye un gasto público. Por ello, el carácter determinable del precio no releva a la entidad del deber de contar con el respaldo presupuestal correspondiente, en los términos que se precisan más adelante.</w:t>
      </w:r>
      <w:r w:rsidRPr="002057CF" w:rsidDel="007955C8">
        <w:rPr>
          <w:rFonts w:ascii="Verdana" w:eastAsia="Verdana" w:hAnsi="Verdana" w:cs="Verdana"/>
          <w:sz w:val="20"/>
          <w:szCs w:val="20"/>
        </w:rPr>
        <w:t xml:space="preserve"> </w:t>
      </w:r>
    </w:p>
    <w:p w14:paraId="2E864446" w14:textId="77777777" w:rsidR="001E7185" w:rsidRPr="001E7185" w:rsidRDefault="001E7185" w:rsidP="00A3295B">
      <w:pPr>
        <w:spacing w:after="0" w:line="240" w:lineRule="auto"/>
        <w:jc w:val="both"/>
        <w:rPr>
          <w:rFonts w:ascii="Verdana" w:eastAsia="Verdana" w:hAnsi="Verdana" w:cs="Verdana"/>
          <w:b/>
        </w:rPr>
      </w:pPr>
    </w:p>
    <w:p w14:paraId="07039640" w14:textId="77777777" w:rsidR="001E7185" w:rsidRPr="001E7185" w:rsidRDefault="001E7185" w:rsidP="00A3295B">
      <w:pPr>
        <w:spacing w:after="0" w:line="240" w:lineRule="auto"/>
        <w:jc w:val="both"/>
        <w:rPr>
          <w:rFonts w:ascii="Verdana" w:eastAsia="Verdana" w:hAnsi="Verdana" w:cs="Verdana"/>
          <w:b/>
        </w:rPr>
      </w:pPr>
      <w:r w:rsidRPr="001E7185">
        <w:rPr>
          <w:rFonts w:ascii="Verdana" w:eastAsia="Verdana" w:hAnsi="Verdana" w:cs="Verdana"/>
          <w:b/>
        </w:rPr>
        <w:t xml:space="preserve">ADICIÓN – Concepto – Distintos supuestos – Prohibición – Adición en más del 50% – Expresión en SMLMV </w:t>
      </w:r>
    </w:p>
    <w:p w14:paraId="5267BDC5" w14:textId="77777777" w:rsidR="001E7185" w:rsidRPr="001E7185" w:rsidRDefault="001E7185" w:rsidP="00A3295B">
      <w:pPr>
        <w:spacing w:after="0" w:line="240" w:lineRule="auto"/>
        <w:jc w:val="both"/>
        <w:rPr>
          <w:rFonts w:ascii="Verdana" w:eastAsia="Verdana" w:hAnsi="Verdana" w:cs="Verdana"/>
          <w:b/>
        </w:rPr>
      </w:pPr>
    </w:p>
    <w:p w14:paraId="0F42097B" w14:textId="5D282C6A" w:rsidR="0096285F" w:rsidRDefault="0096285F" w:rsidP="00A3295B">
      <w:pPr>
        <w:spacing w:after="0" w:line="240" w:lineRule="auto"/>
        <w:jc w:val="both"/>
        <w:rPr>
          <w:rFonts w:ascii="Verdana" w:eastAsia="Verdana" w:hAnsi="Verdana" w:cs="Verdana"/>
          <w:bCs/>
          <w:sz w:val="20"/>
          <w:szCs w:val="20"/>
          <w:vertAlign w:val="superscript"/>
        </w:rPr>
      </w:pPr>
      <w:r w:rsidRPr="0096285F">
        <w:rPr>
          <w:rFonts w:ascii="Verdana" w:eastAsia="Verdana" w:hAnsi="Verdana" w:cs="Verdana"/>
          <w:bCs/>
          <w:sz w:val="20"/>
          <w:szCs w:val="20"/>
        </w:rPr>
        <w:t>Lo importante es que, frente a cualquier incremento del valor inicial del contrato</w:t>
      </w:r>
      <w:r w:rsidRPr="0096285F">
        <w:rPr>
          <w:rFonts w:ascii="Verdana" w:eastAsia="Verdana" w:hAnsi="Verdana" w:cs="Verdana"/>
          <w:bCs/>
          <w:i/>
          <w:iCs/>
          <w:sz w:val="20"/>
          <w:szCs w:val="20"/>
        </w:rPr>
        <w:t xml:space="preserve"> </w:t>
      </w:r>
      <w:r w:rsidRPr="0096285F">
        <w:rPr>
          <w:rFonts w:ascii="Verdana" w:eastAsia="Verdana" w:hAnsi="Verdana" w:cs="Verdana"/>
          <w:bCs/>
          <w:sz w:val="20"/>
          <w:szCs w:val="20"/>
        </w:rPr>
        <w:t>por cualquiera de los dos supuestos señalados previamente, e independiente del nombre que se le dé al acuerdo -otrosí, adición, modificación o cualquier denominación- aplica el límite previsto en el parágrafo del artículo 40 de la Ley 80 de 1993: “Los contratos no podrán adicionarse en más del cincuenta por ciento (50%) de su valor inicial, expresado éste en salarios mínimos legales mensuales”. De manera que, aunque es posible celebrar todos los tipos de acuerdos indicados, siempre debe observarse esta última disposición que aplica a los contratos estatales, cuyos destinatarios son entidades sujetas al EGCAP. Sin embargo, no todo incremento del valor ejecutado configura una adición sujeta al tope del parágrafo del artículo 40. Conforme a la doctrina vigente de esta Agencia, la ejecución de mayores cantidades de ítems ya pactados —cuyo valor inicial es indicativo y se precisa al término de la ejecución— no constituye técnicamente una adición y puede superar el 50% del valor estimado; en cambio, la inclusión de prestaciones nuevas sí constituye adición y queda sometida al límite.</w:t>
      </w:r>
    </w:p>
    <w:p w14:paraId="5953A1AF" w14:textId="77777777" w:rsidR="0096285F" w:rsidRPr="0096285F" w:rsidRDefault="0096285F" w:rsidP="00A3295B">
      <w:pPr>
        <w:spacing w:after="0" w:line="240" w:lineRule="auto"/>
        <w:jc w:val="both"/>
        <w:rPr>
          <w:rFonts w:ascii="Verdana" w:eastAsia="Verdana" w:hAnsi="Verdana" w:cs="Verdana"/>
          <w:bCs/>
          <w:sz w:val="20"/>
          <w:szCs w:val="20"/>
        </w:rPr>
      </w:pPr>
    </w:p>
    <w:p w14:paraId="7372656F" w14:textId="77777777" w:rsidR="0096285F" w:rsidRPr="0096285F" w:rsidRDefault="0096285F" w:rsidP="00A3295B">
      <w:pPr>
        <w:spacing w:after="0" w:line="240" w:lineRule="auto"/>
        <w:jc w:val="both"/>
        <w:rPr>
          <w:rFonts w:ascii="Verdana" w:eastAsia="Verdana" w:hAnsi="Verdana" w:cs="Verdana"/>
          <w:bCs/>
          <w:sz w:val="20"/>
          <w:szCs w:val="20"/>
        </w:rPr>
      </w:pPr>
      <w:r w:rsidRPr="0096285F">
        <w:rPr>
          <w:rFonts w:ascii="Verdana" w:eastAsia="Verdana" w:hAnsi="Verdana" w:cs="Verdana"/>
          <w:bCs/>
          <w:sz w:val="20"/>
          <w:szCs w:val="20"/>
        </w:rPr>
        <w:t xml:space="preserve">Dicha norma además de consagrar una prohibición trae implícita una autorización, consistente en la posibilidad de adicionar los contratos estatales, siempre que no se supere el tope establecido. Debe tenerse en cuenta que el límite debe establecerse en salarios mínimos para que el cálculo del tope sea preciso. Para tales efectos, para adicionar un contrato debe dividirse el valor inicial por el salario mínimo legal mensual vigente – en adelante SMLMV – al momento de la suscripción del contrato, y luego dividirlo por dos (2); el resultado obtenido constituirá el número de SMLMV por los cuales podrá adicionarse el contrato. </w:t>
      </w:r>
    </w:p>
    <w:p w14:paraId="0F248024" w14:textId="77777777" w:rsidR="001E7185" w:rsidRPr="001E7185" w:rsidRDefault="001E7185" w:rsidP="00A3295B">
      <w:pPr>
        <w:spacing w:after="0" w:line="240" w:lineRule="auto"/>
        <w:jc w:val="both"/>
        <w:rPr>
          <w:rFonts w:ascii="Verdana" w:eastAsia="Verdana" w:hAnsi="Verdana" w:cs="Verdana"/>
          <w:b/>
        </w:rPr>
      </w:pPr>
    </w:p>
    <w:p w14:paraId="70CCB6A1" w14:textId="77777777" w:rsidR="001E7185" w:rsidRPr="001E7185" w:rsidRDefault="001E7185" w:rsidP="00A3295B">
      <w:pPr>
        <w:spacing w:after="0" w:line="240" w:lineRule="auto"/>
        <w:jc w:val="both"/>
        <w:rPr>
          <w:rFonts w:ascii="Verdana" w:eastAsia="Verdana" w:hAnsi="Verdana" w:cs="Verdana"/>
          <w:b/>
        </w:rPr>
      </w:pPr>
      <w:r w:rsidRPr="001E7185">
        <w:rPr>
          <w:rFonts w:ascii="Verdana" w:eastAsia="Verdana" w:hAnsi="Verdana" w:cs="Verdana"/>
          <w:b/>
        </w:rPr>
        <w:t xml:space="preserve">ADICIÓN – Mayores cantidades – No constituyen adición – Valor inicial indicativo – No sujeción al límite del 50% </w:t>
      </w:r>
    </w:p>
    <w:p w14:paraId="77577FCD" w14:textId="77777777" w:rsidR="001E7185" w:rsidRPr="00E94822" w:rsidRDefault="001E7185" w:rsidP="00A3295B">
      <w:pPr>
        <w:spacing w:after="0" w:line="240" w:lineRule="auto"/>
        <w:jc w:val="both"/>
        <w:rPr>
          <w:rFonts w:ascii="Verdana" w:eastAsia="Verdana" w:hAnsi="Verdana" w:cs="Verdana"/>
          <w:bCs/>
          <w:sz w:val="20"/>
          <w:szCs w:val="20"/>
        </w:rPr>
      </w:pPr>
    </w:p>
    <w:p w14:paraId="5B8A667C" w14:textId="77777777" w:rsidR="00E94822" w:rsidRPr="00E94822" w:rsidRDefault="00E94822" w:rsidP="00A3295B">
      <w:pPr>
        <w:spacing w:after="0" w:line="240" w:lineRule="auto"/>
        <w:jc w:val="both"/>
        <w:rPr>
          <w:rFonts w:ascii="Verdana" w:eastAsia="Verdana" w:hAnsi="Verdana" w:cs="Verdana"/>
          <w:bCs/>
          <w:sz w:val="20"/>
          <w:szCs w:val="20"/>
        </w:rPr>
      </w:pPr>
      <w:r w:rsidRPr="00E94822">
        <w:rPr>
          <w:rFonts w:ascii="Verdana" w:eastAsia="Verdana" w:hAnsi="Verdana" w:cs="Verdana"/>
          <w:bCs/>
          <w:sz w:val="20"/>
          <w:szCs w:val="20"/>
        </w:rPr>
        <w:t xml:space="preserve">La ejecución de los contratos estatales está sujeta a los cambios propios del paso del tiempo. Así, durante la etapa de planeación, las entidades públicas estiman y determinan las prestaciones que demanda la satisfacción de la necesidad de interés colectivo que pretende satisfacer. No obstante, durante la ejecución del contrato, las partes identifican alguna de las siguientes situaciones: i) la necesidad de mayores cantidades de bienes o </w:t>
      </w:r>
      <w:r w:rsidRPr="00E94822">
        <w:rPr>
          <w:rFonts w:ascii="Verdana" w:eastAsia="Verdana" w:hAnsi="Verdana" w:cs="Verdana"/>
          <w:bCs/>
          <w:sz w:val="20"/>
          <w:szCs w:val="20"/>
        </w:rPr>
        <w:lastRenderedPageBreak/>
        <w:t xml:space="preserve">actividades inicialmente previstos, a lo que se le conoce como “mayores cantidades de obra”, “obras adicionales” o adición de “ítems contractuales”; y </w:t>
      </w:r>
      <w:proofErr w:type="spellStart"/>
      <w:r w:rsidRPr="00E94822">
        <w:rPr>
          <w:rFonts w:ascii="Verdana" w:eastAsia="Verdana" w:hAnsi="Verdana" w:cs="Verdana"/>
          <w:bCs/>
          <w:sz w:val="20"/>
          <w:szCs w:val="20"/>
        </w:rPr>
        <w:t>ii</w:t>
      </w:r>
      <w:proofErr w:type="spellEnd"/>
      <w:r w:rsidRPr="00E94822">
        <w:rPr>
          <w:rFonts w:ascii="Verdana" w:eastAsia="Verdana" w:hAnsi="Verdana" w:cs="Verdana"/>
          <w:bCs/>
          <w:sz w:val="20"/>
          <w:szCs w:val="20"/>
        </w:rPr>
        <w:t xml:space="preserve">) la necesidad de ampliar las prestaciones contractuales, mediante la ejecución de nuevos ítems o actividades, no incluidos en el contrato inicial, para lo que en la práctica las entidades ejecutan “obras extra” o “amplían el alcance” del contrato mediante la celebración de un “contrato adicional”. No obstante, estos términos –algunos de ellos usualmente empleados en contratos de obra– son nociones doctrinarias que se utilizan en la práctica por las entidades estatales, que actualmente no tienen un fundamento particular en el ordenamiento jurídico, el cual no le asigna efectos específicos a cada uno de ellos. </w:t>
      </w:r>
    </w:p>
    <w:p w14:paraId="68D8ADA4" w14:textId="77777777" w:rsidR="00E94822" w:rsidRPr="001E7185" w:rsidRDefault="00E94822" w:rsidP="00A3295B">
      <w:pPr>
        <w:spacing w:after="0" w:line="240" w:lineRule="auto"/>
        <w:jc w:val="both"/>
        <w:rPr>
          <w:rFonts w:ascii="Verdana" w:eastAsia="Verdana" w:hAnsi="Verdana" w:cs="Verdana"/>
          <w:b/>
        </w:rPr>
      </w:pPr>
    </w:p>
    <w:p w14:paraId="3ADF4CCC" w14:textId="77777777" w:rsidR="001E7185" w:rsidRPr="001E7185" w:rsidRDefault="001E7185" w:rsidP="00A3295B">
      <w:pPr>
        <w:spacing w:after="0" w:line="240" w:lineRule="auto"/>
        <w:jc w:val="both"/>
        <w:rPr>
          <w:rFonts w:ascii="Verdana" w:eastAsia="Verdana" w:hAnsi="Verdana" w:cs="Verdana"/>
          <w:b/>
        </w:rPr>
      </w:pPr>
      <w:r w:rsidRPr="001E7185">
        <w:rPr>
          <w:rFonts w:ascii="Verdana" w:eastAsia="Verdana" w:hAnsi="Verdana" w:cs="Verdana"/>
          <w:b/>
        </w:rPr>
        <w:t>ADICIÓN – Precios determinables – El estimativo no es base fija del tope – Condiciones – Límites – Modalidad de selección según la cuantía – Plazo cierto</w:t>
      </w:r>
    </w:p>
    <w:p w14:paraId="360B12A5" w14:textId="77777777" w:rsidR="001E7185" w:rsidRPr="00E55087" w:rsidRDefault="001E7185" w:rsidP="00A3295B">
      <w:pPr>
        <w:spacing w:after="0" w:line="240" w:lineRule="auto"/>
        <w:jc w:val="both"/>
        <w:rPr>
          <w:rFonts w:ascii="Verdana" w:eastAsia="Verdana" w:hAnsi="Verdana" w:cs="Verdana"/>
          <w:bCs/>
          <w:sz w:val="20"/>
          <w:szCs w:val="20"/>
        </w:rPr>
      </w:pPr>
    </w:p>
    <w:p w14:paraId="741B0D57" w14:textId="77777777" w:rsidR="00FB22A5" w:rsidRPr="00E55087" w:rsidRDefault="00FB22A5" w:rsidP="00A3295B">
      <w:pPr>
        <w:spacing w:after="0" w:line="240" w:lineRule="auto"/>
        <w:jc w:val="both"/>
        <w:rPr>
          <w:rFonts w:ascii="Verdana" w:eastAsia="Verdana" w:hAnsi="Verdana" w:cs="Verdana"/>
          <w:bCs/>
          <w:sz w:val="20"/>
          <w:szCs w:val="20"/>
        </w:rPr>
      </w:pPr>
      <w:r w:rsidRPr="00E55087">
        <w:rPr>
          <w:rFonts w:ascii="Verdana" w:eastAsia="Verdana" w:hAnsi="Verdana" w:cs="Verdana"/>
          <w:bCs/>
          <w:sz w:val="20"/>
          <w:szCs w:val="20"/>
        </w:rPr>
        <w:t>En el sistema de compras públicas, la regla sobre las adiciones contractuales prevista en el parágrafo del artículo 40 de la Ley 80 de 1993 parte del supuesto de que existe un precio determinado, susceptible de incrementarse cuando se modifica el valor del contrato. Este esquema debe precisarse cuando se trata de contratos cuyo precio no es fijo, sino determinable a partir de variables objetivas, en los que la remuneración depende de comisiones, porcentajes o resultados de gestión. En tales casos, el valor inicialmente estimado tiene carácter indicativo y no opera como base fija para el cálculo del tope de adición. Ello, sin embargo, no significa que el contrato carezca de dimensión presupuestal: aun tratándose de pagos condicionados al resultado, la entidad debe prever y respaldar presupuestalmente el pago probable de la remuneración, conforme al régimen que se desarrolla más adelante, pues la ley no exceptuó a estos contratos de la exigencia de disponibilidad presupuestal previa.</w:t>
      </w:r>
      <w:r w:rsidRPr="00E55087" w:rsidDel="00453294">
        <w:rPr>
          <w:rFonts w:ascii="Verdana" w:eastAsia="Verdana" w:hAnsi="Verdana" w:cs="Verdana"/>
          <w:bCs/>
          <w:sz w:val="20"/>
          <w:szCs w:val="20"/>
        </w:rPr>
        <w:t xml:space="preserve"> </w:t>
      </w:r>
    </w:p>
    <w:p w14:paraId="3A55B1E7" w14:textId="77777777" w:rsidR="00175D6F" w:rsidRPr="00E55087" w:rsidRDefault="00175D6F" w:rsidP="00A3295B">
      <w:pPr>
        <w:spacing w:after="0" w:line="240" w:lineRule="auto"/>
        <w:jc w:val="both"/>
        <w:rPr>
          <w:rFonts w:ascii="Verdana" w:eastAsia="Verdana" w:hAnsi="Verdana" w:cs="Verdana"/>
          <w:bCs/>
          <w:sz w:val="20"/>
          <w:szCs w:val="20"/>
        </w:rPr>
      </w:pPr>
    </w:p>
    <w:p w14:paraId="4CDBACC7" w14:textId="77777777" w:rsidR="00FB22A5" w:rsidRPr="00E55087" w:rsidRDefault="00FB22A5" w:rsidP="00A3295B">
      <w:pPr>
        <w:spacing w:after="0" w:line="240" w:lineRule="auto"/>
        <w:jc w:val="both"/>
        <w:rPr>
          <w:rFonts w:ascii="Verdana" w:eastAsia="Verdana" w:hAnsi="Verdana" w:cs="Verdana"/>
          <w:bCs/>
          <w:sz w:val="20"/>
          <w:szCs w:val="20"/>
        </w:rPr>
      </w:pPr>
      <w:r w:rsidRPr="00E55087">
        <w:rPr>
          <w:rFonts w:ascii="Verdana" w:eastAsia="Verdana" w:hAnsi="Verdana" w:cs="Verdana"/>
          <w:bCs/>
          <w:sz w:val="20"/>
          <w:szCs w:val="20"/>
        </w:rPr>
        <w:t>En tales modalidades contractuales, la ausencia de un precio cierto no significa que el contrato carezca de parámetros económicos, pues las partes pueden establecer precios estimativos o fórmulas de determinación que permiten cuantificar la remuneración conforme a la actividad ejecutada. No obstante, estos valores estimados no constituyen el “precio del contrato” en el sentido estricto exigido por la regla de las adiciones, dado que no operan como base fija para el cálculo del tope de adición ni pueden incrementarse mediante un otrosí de adición, sin perjuicio de que la entidad deba prever y respaldar presupuestalmente el pago probable de la remuneración, conforme se precisa más adelante.</w:t>
      </w:r>
    </w:p>
    <w:p w14:paraId="7A7E8BAA" w14:textId="77777777" w:rsidR="00D27CAE" w:rsidRDefault="00D27CAE" w:rsidP="00A3295B">
      <w:pPr>
        <w:spacing w:after="0" w:line="240" w:lineRule="auto"/>
        <w:jc w:val="both"/>
        <w:rPr>
          <w:rFonts w:ascii="Verdana" w:eastAsia="Verdana" w:hAnsi="Verdana" w:cs="Verdana"/>
          <w:bCs/>
          <w:sz w:val="20"/>
          <w:szCs w:val="20"/>
        </w:rPr>
      </w:pPr>
    </w:p>
    <w:p w14:paraId="0EAAF0AB" w14:textId="192D50B9" w:rsidR="00E55087" w:rsidRPr="00E55087" w:rsidRDefault="00E55087" w:rsidP="00A3295B">
      <w:pPr>
        <w:spacing w:after="0" w:line="240" w:lineRule="auto"/>
        <w:jc w:val="both"/>
        <w:rPr>
          <w:rFonts w:ascii="Verdana" w:eastAsia="Verdana" w:hAnsi="Verdana" w:cs="Verdana"/>
          <w:bCs/>
          <w:sz w:val="20"/>
          <w:szCs w:val="20"/>
        </w:rPr>
      </w:pPr>
      <w:r w:rsidRPr="00E55087">
        <w:rPr>
          <w:rFonts w:ascii="Verdana" w:eastAsia="Verdana" w:hAnsi="Verdana" w:cs="Verdana"/>
          <w:bCs/>
          <w:sz w:val="20"/>
          <w:szCs w:val="20"/>
        </w:rPr>
        <w:t>[…]</w:t>
      </w:r>
    </w:p>
    <w:p w14:paraId="1C12D2CA" w14:textId="77777777" w:rsidR="00D27CAE" w:rsidRDefault="00D27CAE" w:rsidP="00A3295B">
      <w:pPr>
        <w:spacing w:after="0" w:line="240" w:lineRule="auto"/>
        <w:jc w:val="both"/>
        <w:rPr>
          <w:rFonts w:ascii="Verdana" w:eastAsia="Verdana" w:hAnsi="Verdana" w:cs="Verdana"/>
          <w:bCs/>
          <w:sz w:val="20"/>
          <w:szCs w:val="20"/>
        </w:rPr>
      </w:pPr>
    </w:p>
    <w:p w14:paraId="6A7175AF" w14:textId="477CDC0E" w:rsidR="00E55087" w:rsidRPr="00E55087" w:rsidRDefault="00E55087" w:rsidP="00A3295B">
      <w:pPr>
        <w:spacing w:after="0" w:line="240" w:lineRule="auto"/>
        <w:jc w:val="both"/>
        <w:rPr>
          <w:rFonts w:ascii="Verdana" w:eastAsia="Verdana" w:hAnsi="Verdana" w:cs="Verdana"/>
          <w:bCs/>
          <w:sz w:val="20"/>
          <w:szCs w:val="20"/>
        </w:rPr>
      </w:pPr>
      <w:r w:rsidRPr="00E55087">
        <w:rPr>
          <w:rFonts w:ascii="Verdana" w:eastAsia="Verdana" w:hAnsi="Verdana" w:cs="Verdana"/>
          <w:bCs/>
          <w:sz w:val="20"/>
          <w:szCs w:val="20"/>
        </w:rPr>
        <w:t xml:space="preserve">El hecho de que el precio sea determinable pero inicialmente estimativo no habilita a la Entidad Estatal para pactar plazos indeterminados ni para estructurar contratos de duración indefinida. Los contratos estatales deben contar con un plazo cierto, razonable y proporcional a la naturaleza del objeto, pues la contratación pública no admite vínculos perpetuos ni relaciones contractuales que se prolonguen indefinidamente sin justificación técnica, jurídica y financiera. La indeterminación del plazo afectaría la planeación, </w:t>
      </w:r>
      <w:r w:rsidRPr="00E55087">
        <w:rPr>
          <w:rFonts w:ascii="Verdana" w:eastAsia="Verdana" w:hAnsi="Verdana" w:cs="Verdana"/>
          <w:bCs/>
          <w:sz w:val="20"/>
          <w:szCs w:val="20"/>
        </w:rPr>
        <w:lastRenderedPageBreak/>
        <w:t>comprometería la competencia y podría desbordar la modalidad de selección aplicable, contrariando los principios del sistema de compras públicas.</w:t>
      </w:r>
    </w:p>
    <w:p w14:paraId="15536B2F" w14:textId="77777777" w:rsidR="001E7185" w:rsidRPr="001E7185" w:rsidRDefault="001E7185" w:rsidP="00A3295B">
      <w:pPr>
        <w:spacing w:after="0" w:line="240" w:lineRule="auto"/>
        <w:jc w:val="both"/>
        <w:rPr>
          <w:rFonts w:ascii="Verdana" w:eastAsia="Verdana" w:hAnsi="Verdana" w:cs="Verdana"/>
          <w:b/>
        </w:rPr>
      </w:pPr>
    </w:p>
    <w:p w14:paraId="674E0A6F" w14:textId="3BEA5898" w:rsidR="001E7185" w:rsidRPr="001E7185" w:rsidRDefault="001E7185" w:rsidP="00A3295B">
      <w:pPr>
        <w:spacing w:after="0" w:line="240" w:lineRule="auto"/>
        <w:jc w:val="both"/>
        <w:rPr>
          <w:rFonts w:ascii="Verdana" w:eastAsia="Verdana" w:hAnsi="Verdana" w:cs="Verdana"/>
          <w:b/>
        </w:rPr>
      </w:pPr>
      <w:r w:rsidRPr="001E7185">
        <w:rPr>
          <w:rFonts w:ascii="Verdana" w:eastAsia="Verdana" w:hAnsi="Verdana" w:cs="Verdana"/>
          <w:b/>
        </w:rPr>
        <w:t>DISPONIBILIDAD Y REGISTRO PRESUPUESTAL – Contratos con pago condicionado al resultado – Comisión de éxito</w:t>
      </w:r>
      <w:r w:rsidR="005E2250">
        <w:rPr>
          <w:rFonts w:ascii="Verdana" w:eastAsia="Verdana" w:hAnsi="Verdana" w:cs="Verdana"/>
          <w:b/>
        </w:rPr>
        <w:t xml:space="preserve">- </w:t>
      </w:r>
      <w:r w:rsidRPr="001E7185">
        <w:rPr>
          <w:rFonts w:ascii="Verdana" w:eastAsia="Verdana" w:hAnsi="Verdana" w:cs="Verdana"/>
          <w:b/>
        </w:rPr>
        <w:t>cuota litis – Previsión de los posibles pagos – Vigencias futuras – Anualidad</w:t>
      </w:r>
    </w:p>
    <w:p w14:paraId="0A95E0D9" w14:textId="77777777" w:rsidR="001E7185" w:rsidRPr="005A307B" w:rsidRDefault="001E7185" w:rsidP="00A3295B">
      <w:pPr>
        <w:spacing w:after="0" w:line="240" w:lineRule="auto"/>
        <w:jc w:val="both"/>
        <w:rPr>
          <w:rFonts w:ascii="Verdana" w:eastAsia="Verdana" w:hAnsi="Verdana" w:cs="Verdana"/>
          <w:bCs/>
          <w:sz w:val="20"/>
          <w:szCs w:val="20"/>
        </w:rPr>
      </w:pPr>
    </w:p>
    <w:p w14:paraId="37A0FB0C" w14:textId="77777777" w:rsidR="0073523A" w:rsidRPr="005A307B" w:rsidRDefault="0073523A" w:rsidP="00A3295B">
      <w:pPr>
        <w:spacing w:after="0" w:line="240" w:lineRule="auto"/>
        <w:jc w:val="both"/>
        <w:rPr>
          <w:rFonts w:ascii="Verdana" w:eastAsia="Verdana" w:hAnsi="Verdana" w:cs="Verdana"/>
          <w:bCs/>
          <w:sz w:val="20"/>
          <w:szCs w:val="20"/>
        </w:rPr>
      </w:pPr>
      <w:r w:rsidRPr="005A307B">
        <w:rPr>
          <w:rFonts w:ascii="Verdana" w:eastAsia="Verdana" w:hAnsi="Verdana" w:cs="Verdana"/>
          <w:bCs/>
          <w:sz w:val="20"/>
          <w:szCs w:val="20"/>
        </w:rPr>
        <w:t xml:space="preserve">Ahora bien, el carácter determinable de la remuneración y su pago con cargo al recaudo obtenido por el contratista no desplazan el régimen presupuestal. El numeral 6 del artículo 25 de la Ley 80 de 1993 y el artículo 71 del Estatuto Orgánico del Presupuesto exigen contar con disponibilidad presupuestal previa, exigencia que —como lo ha precisado esta Agencia en los conceptos C-641 del 11 de octubre de 2024 y C-566 del 19 de junio de 2025— aplica también a los contratos con pago condicionado al resultado, tales como las comisiones, primas de éxito o </w:t>
      </w:r>
      <w:r w:rsidRPr="005A307B">
        <w:rPr>
          <w:rFonts w:ascii="Verdana" w:eastAsia="Verdana" w:hAnsi="Verdana" w:cs="Verdana"/>
          <w:bCs/>
          <w:i/>
          <w:iCs/>
          <w:sz w:val="20"/>
          <w:szCs w:val="20"/>
        </w:rPr>
        <w:t>cuota litis</w:t>
      </w:r>
      <w:r w:rsidRPr="005A307B">
        <w:rPr>
          <w:rFonts w:ascii="Verdana" w:eastAsia="Verdana" w:hAnsi="Verdana" w:cs="Verdana"/>
          <w:bCs/>
          <w:sz w:val="20"/>
          <w:szCs w:val="20"/>
        </w:rPr>
        <w:t>, pues la ley no estableció excepción alguna. En consecuencia, la disponibilidad y el registro presupuestal deben incorporar la previsión de los posibles pagos de la remuneración, aun cuando no lleguen a causarse, calculada sobre las actuaciones que la Entidad estime ejecutar dentro de la respectiva vigencia; y cuando la ejecución supere la anualidad, deberá acudirse a los mecanismos de vigencias futuras.</w:t>
      </w:r>
    </w:p>
    <w:p w14:paraId="62414714" w14:textId="77777777" w:rsidR="001E7185" w:rsidRPr="001E7185" w:rsidRDefault="001E7185" w:rsidP="00A3295B">
      <w:pPr>
        <w:spacing w:after="0" w:line="240" w:lineRule="auto"/>
        <w:jc w:val="both"/>
        <w:rPr>
          <w:rFonts w:ascii="Verdana" w:eastAsia="Verdana" w:hAnsi="Verdana" w:cs="Verdana"/>
          <w:b/>
        </w:rPr>
      </w:pPr>
    </w:p>
    <w:p w14:paraId="32CB05FD" w14:textId="77777777" w:rsidR="001E7185" w:rsidRPr="001E7185" w:rsidRDefault="001E7185" w:rsidP="00A3295B">
      <w:pPr>
        <w:spacing w:after="0" w:line="240" w:lineRule="auto"/>
        <w:jc w:val="both"/>
        <w:rPr>
          <w:rFonts w:ascii="Verdana" w:eastAsia="Verdana" w:hAnsi="Verdana" w:cs="Verdana"/>
          <w:b/>
        </w:rPr>
      </w:pPr>
      <w:r w:rsidRPr="001E7185">
        <w:rPr>
          <w:rFonts w:ascii="Verdana" w:eastAsia="Verdana" w:hAnsi="Verdana" w:cs="Verdana"/>
          <w:b/>
        </w:rPr>
        <w:t xml:space="preserve">COMISIÓN DE ÉXITO – Límites – Recursos de destinación específica – Improcedencia – Nulidad absoluta por objeto ilícito </w:t>
      </w:r>
    </w:p>
    <w:p w14:paraId="05C3CE7E" w14:textId="77777777" w:rsidR="001E7185" w:rsidRPr="005A307B" w:rsidRDefault="001E7185" w:rsidP="00A3295B">
      <w:pPr>
        <w:spacing w:after="0" w:line="240" w:lineRule="auto"/>
        <w:jc w:val="both"/>
        <w:rPr>
          <w:rFonts w:ascii="Verdana" w:eastAsia="Verdana" w:hAnsi="Verdana" w:cs="Verdana"/>
          <w:bCs/>
          <w:sz w:val="20"/>
          <w:szCs w:val="20"/>
        </w:rPr>
      </w:pPr>
    </w:p>
    <w:p w14:paraId="78F60320" w14:textId="1C368A90" w:rsidR="00984AFF" w:rsidRPr="005A307B" w:rsidRDefault="00984AFF" w:rsidP="00A3295B">
      <w:pPr>
        <w:spacing w:after="0" w:line="240" w:lineRule="auto"/>
        <w:jc w:val="both"/>
        <w:rPr>
          <w:rFonts w:ascii="Verdana" w:eastAsia="Verdana" w:hAnsi="Verdana" w:cs="Verdana"/>
          <w:bCs/>
          <w:sz w:val="20"/>
          <w:szCs w:val="20"/>
        </w:rPr>
      </w:pPr>
      <w:r w:rsidRPr="005A307B">
        <w:rPr>
          <w:rFonts w:ascii="Verdana" w:eastAsia="Verdana" w:hAnsi="Verdana" w:cs="Verdana"/>
          <w:bCs/>
          <w:sz w:val="20"/>
          <w:szCs w:val="20"/>
        </w:rPr>
        <w:t>Adicionalmente, cuando los recursos objeto de recaudo tengan destinación específica, no resulta procedente pactar la remuneración como un porcentaje sobre ellos, pues ello supondría fijar una destinación no autorizada por el legislador, con riesgo de nulidad absoluta por objeto ilícito, según lo precisó el Consejo de Estado en sentencia del 7 de marzo de 2025. Este límite resulta especialmente relevante cuando la cartera objeto de cobro corresponde a rentas con destinación legal, evento en el cual la Entidad deberá verificar el régimen de la fuente antes de estructurar la remuneración.</w:t>
      </w:r>
    </w:p>
    <w:p w14:paraId="6EEA77A0" w14:textId="77777777" w:rsidR="001E7185" w:rsidRPr="001E7185" w:rsidRDefault="001E7185" w:rsidP="00A3295B">
      <w:pPr>
        <w:spacing w:after="0" w:line="240" w:lineRule="auto"/>
        <w:jc w:val="both"/>
        <w:rPr>
          <w:rFonts w:ascii="Verdana" w:eastAsia="Verdana" w:hAnsi="Verdana" w:cs="Verdana"/>
          <w:b/>
        </w:rPr>
      </w:pPr>
    </w:p>
    <w:p w14:paraId="51B93F0A" w14:textId="43D574B1" w:rsidR="001E7185" w:rsidRPr="001E7185" w:rsidRDefault="001E7185" w:rsidP="00A3295B">
      <w:pPr>
        <w:spacing w:after="0" w:line="240" w:lineRule="auto"/>
        <w:jc w:val="both"/>
        <w:rPr>
          <w:rFonts w:ascii="Verdana" w:eastAsia="Verdana" w:hAnsi="Verdana" w:cs="Verdana"/>
          <w:b/>
        </w:rPr>
      </w:pPr>
      <w:r w:rsidRPr="001E7185">
        <w:rPr>
          <w:rFonts w:ascii="Verdana" w:eastAsia="Verdana" w:hAnsi="Verdana" w:cs="Verdana"/>
          <w:b/>
        </w:rPr>
        <w:t>COBRO DE CARTERA – Remuneración por comisión o porcentaje – Naturaleza pública del recaudo</w:t>
      </w:r>
    </w:p>
    <w:p w14:paraId="00D9B01D" w14:textId="77777777" w:rsidR="001E7185" w:rsidRPr="005A307B" w:rsidRDefault="001E7185" w:rsidP="00A3295B">
      <w:pPr>
        <w:spacing w:after="0" w:line="240" w:lineRule="auto"/>
        <w:jc w:val="both"/>
        <w:rPr>
          <w:rFonts w:ascii="Verdana" w:eastAsia="Verdana" w:hAnsi="Verdana" w:cs="Verdana"/>
          <w:bCs/>
          <w:sz w:val="20"/>
          <w:szCs w:val="20"/>
        </w:rPr>
      </w:pPr>
    </w:p>
    <w:p w14:paraId="4E212143" w14:textId="77777777" w:rsidR="005A307B" w:rsidRDefault="005A307B" w:rsidP="00A3295B">
      <w:pPr>
        <w:spacing w:after="0" w:line="240" w:lineRule="auto"/>
        <w:jc w:val="both"/>
        <w:rPr>
          <w:rFonts w:ascii="Verdana" w:eastAsia="Verdana" w:hAnsi="Verdana" w:cs="Verdana"/>
          <w:bCs/>
          <w:sz w:val="20"/>
          <w:szCs w:val="20"/>
        </w:rPr>
      </w:pPr>
      <w:r w:rsidRPr="005A307B">
        <w:rPr>
          <w:rFonts w:ascii="Verdana" w:eastAsia="Verdana" w:hAnsi="Verdana" w:cs="Verdana"/>
          <w:bCs/>
          <w:sz w:val="20"/>
          <w:szCs w:val="20"/>
        </w:rPr>
        <w:t>Por lo expuesto, no es jurídicamente viable prescindir de la disponibilidad presupuestal por el solo hecho de que la remuneración se financie con recaudo externo y futuro: la Entidad debe estimar y respaldar presupuestalmente el pago probable de la comisión, mediante los vehículos presupuestales del caso, sin perjuicio de que su causación efectiva dependa del resultado. Corresponderá a cada Entidad, con fundamento en criterios jurídicos, técnicos y financieros, determinar en el caso concreto la procedencia y las condiciones de la modificación o de la ejecución de valores superiores al estimado, dentro del marco de los principios y reglas del sistema de compras públicas, sin que sea atribución de Colombia Compra Eficiente validar sus actuaciones.</w:t>
      </w:r>
    </w:p>
    <w:p w14:paraId="504D558A" w14:textId="77777777" w:rsidR="005A307B" w:rsidRDefault="005A307B" w:rsidP="005A307B">
      <w:pPr>
        <w:spacing w:after="0" w:line="240" w:lineRule="auto"/>
        <w:jc w:val="both"/>
        <w:rPr>
          <w:rFonts w:ascii="Verdana" w:eastAsia="Verdana" w:hAnsi="Verdana" w:cs="Verdana"/>
          <w:bCs/>
          <w:sz w:val="20"/>
          <w:szCs w:val="20"/>
        </w:rPr>
      </w:pPr>
    </w:p>
    <w:p w14:paraId="0121FBC7" w14:textId="77777777" w:rsidR="005A307B" w:rsidRPr="005A307B" w:rsidRDefault="005A307B" w:rsidP="005A307B">
      <w:pPr>
        <w:spacing w:after="0" w:line="240" w:lineRule="auto"/>
        <w:jc w:val="both"/>
        <w:rPr>
          <w:rFonts w:ascii="Verdana" w:eastAsia="Verdana" w:hAnsi="Verdana" w:cs="Verdana"/>
          <w:bCs/>
          <w:sz w:val="20"/>
          <w:szCs w:val="20"/>
        </w:rPr>
      </w:pPr>
    </w:p>
    <w:p w14:paraId="2A718A4C" w14:textId="77777777" w:rsidR="001E7185" w:rsidRDefault="001E7185" w:rsidP="003722BA">
      <w:pPr>
        <w:spacing w:after="0" w:line="240" w:lineRule="auto"/>
        <w:rPr>
          <w:rFonts w:ascii="Verdana" w:eastAsia="Verdana" w:hAnsi="Verdana" w:cs="Verdana"/>
          <w:bCs/>
        </w:rPr>
      </w:pPr>
    </w:p>
    <w:p w14:paraId="58BAE5A8" w14:textId="6A610B89" w:rsidR="003722BA" w:rsidRPr="003E4CC9" w:rsidRDefault="00D0290F" w:rsidP="003722BA">
      <w:pPr>
        <w:spacing w:after="0" w:line="240" w:lineRule="auto"/>
        <w:rPr>
          <w:rFonts w:ascii="Verdana" w:hAnsi="Verdana" w:cs="Arial"/>
          <w:bCs/>
          <w:lang w:eastAsia="es-ES" w:bidi="es-ES"/>
        </w:rPr>
      </w:pPr>
      <w:r w:rsidRPr="00D0290F">
        <w:rPr>
          <w:noProof/>
        </w:rPr>
        <w:drawing>
          <wp:anchor distT="0" distB="0" distL="114300" distR="114300" simplePos="0" relativeHeight="251658240" behindDoc="0" locked="0" layoutInCell="1" allowOverlap="1" wp14:anchorId="551D1F82" wp14:editId="639FEA43">
            <wp:simplePos x="0" y="0"/>
            <wp:positionH relativeFrom="margin">
              <wp:align>right</wp:align>
            </wp:positionH>
            <wp:positionV relativeFrom="paragraph">
              <wp:posOffset>171359</wp:posOffset>
            </wp:positionV>
            <wp:extent cx="2795270" cy="775335"/>
            <wp:effectExtent l="0" t="0" r="5080" b="5715"/>
            <wp:wrapSquare wrapText="bothSides"/>
            <wp:docPr id="15383688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5270" cy="775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22BA" w:rsidRPr="30821638">
        <w:rPr>
          <w:rFonts w:ascii="Verdana" w:eastAsia="Verdana" w:hAnsi="Verdana" w:cs="Verdana"/>
        </w:rPr>
        <w:t xml:space="preserve">Bogotá D.C., </w:t>
      </w:r>
      <w:r w:rsidR="004D060F">
        <w:rPr>
          <w:rFonts w:ascii="Verdana" w:eastAsia="Verdana" w:hAnsi="Verdana" w:cs="Verdana"/>
        </w:rPr>
        <w:t>18 de agosto de 2026</w:t>
      </w:r>
      <w:r w:rsidR="003722BA">
        <w:tab/>
      </w:r>
      <w:r w:rsidR="003722BA">
        <w:br/>
      </w:r>
    </w:p>
    <w:p w14:paraId="15094F2D" w14:textId="77777777" w:rsidR="003722BA" w:rsidRPr="003E4CC9" w:rsidRDefault="003722BA" w:rsidP="003722BA">
      <w:pPr>
        <w:spacing w:after="0" w:line="240" w:lineRule="auto"/>
        <w:rPr>
          <w:rFonts w:ascii="Verdana" w:hAnsi="Verdana" w:cs="Arial"/>
          <w:bCs/>
          <w:lang w:eastAsia="es-ES" w:bidi="es-ES"/>
        </w:rPr>
      </w:pPr>
    </w:p>
    <w:p w14:paraId="212F2F77" w14:textId="77777777" w:rsidR="003722BA" w:rsidRPr="003E4CC9" w:rsidRDefault="003722BA" w:rsidP="003722BA">
      <w:pPr>
        <w:spacing w:after="0" w:line="240" w:lineRule="auto"/>
        <w:jc w:val="both"/>
        <w:rPr>
          <w:rFonts w:ascii="Verdana" w:hAnsi="Verdana" w:cs="Arial"/>
          <w:bCs/>
          <w:lang w:eastAsia="es-ES" w:bidi="es-ES"/>
        </w:rPr>
      </w:pPr>
      <w:r w:rsidRPr="003E4CC9">
        <w:rPr>
          <w:rFonts w:ascii="Verdana" w:hAnsi="Verdana" w:cs="Arial"/>
          <w:bCs/>
          <w:lang w:eastAsia="es-ES" w:bidi="es-ES"/>
        </w:rPr>
        <w:t>Señor</w:t>
      </w:r>
    </w:p>
    <w:p w14:paraId="2A3CB1F6" w14:textId="77777777" w:rsidR="003722BA" w:rsidRDefault="003722BA" w:rsidP="003722BA">
      <w:pPr>
        <w:spacing w:after="0" w:line="240" w:lineRule="auto"/>
        <w:jc w:val="both"/>
        <w:rPr>
          <w:rFonts w:ascii="Verdana" w:hAnsi="Verdana" w:cs="Arial"/>
          <w:b/>
          <w:bCs/>
          <w:lang w:eastAsia="es-ES" w:bidi="es-ES"/>
        </w:rPr>
      </w:pPr>
      <w:r w:rsidRPr="003E4CC9">
        <w:rPr>
          <w:rFonts w:ascii="Verdana" w:hAnsi="Verdana" w:cs="Arial"/>
          <w:b/>
          <w:bCs/>
          <w:lang w:eastAsia="es-ES" w:bidi="es-ES"/>
        </w:rPr>
        <w:t>C</w:t>
      </w:r>
      <w:r>
        <w:rPr>
          <w:rFonts w:ascii="Verdana" w:hAnsi="Verdana" w:cs="Arial"/>
          <w:b/>
          <w:bCs/>
          <w:lang w:eastAsia="es-ES" w:bidi="es-ES"/>
        </w:rPr>
        <w:t>arlos Alfredo Mosquera Cortés</w:t>
      </w:r>
    </w:p>
    <w:p w14:paraId="7583FA03" w14:textId="77777777" w:rsidR="003722BA" w:rsidRPr="009C0562" w:rsidRDefault="003722BA" w:rsidP="003722BA">
      <w:pPr>
        <w:spacing w:after="0" w:line="240" w:lineRule="auto"/>
        <w:jc w:val="both"/>
        <w:rPr>
          <w:rFonts w:ascii="Verdana" w:hAnsi="Verdana" w:cs="Arial"/>
          <w:lang w:eastAsia="es-ES" w:bidi="es-ES"/>
        </w:rPr>
      </w:pPr>
      <w:hyperlink r:id="rId12" w:history="1">
        <w:r w:rsidRPr="009C0562">
          <w:rPr>
            <w:rStyle w:val="Hipervnculo"/>
            <w:rFonts w:ascii="Verdana" w:hAnsi="Verdana" w:cs="Arial"/>
            <w:lang w:eastAsia="es-ES" w:bidi="es-ES"/>
          </w:rPr>
          <w:t>cobrocoactivo@transito-huila.gov.co</w:t>
        </w:r>
      </w:hyperlink>
      <w:r w:rsidRPr="009C0562">
        <w:rPr>
          <w:rFonts w:ascii="Verdana" w:hAnsi="Verdana" w:cs="Arial"/>
          <w:lang w:eastAsia="es-ES" w:bidi="es-ES"/>
        </w:rPr>
        <w:t xml:space="preserve"> </w:t>
      </w:r>
    </w:p>
    <w:p w14:paraId="631B4883" w14:textId="1C0A2DD8" w:rsidR="003722BA" w:rsidRPr="00891331" w:rsidRDefault="003722BA" w:rsidP="003722BA">
      <w:pPr>
        <w:spacing w:after="0" w:line="240" w:lineRule="auto"/>
        <w:jc w:val="both"/>
        <w:rPr>
          <w:rFonts w:ascii="Verdana" w:hAnsi="Verdana" w:cs="Arial"/>
          <w:bCs/>
          <w:lang w:val="it-CH" w:eastAsia="es-ES" w:bidi="es-ES"/>
        </w:rPr>
      </w:pPr>
      <w:r w:rsidRPr="00891331">
        <w:rPr>
          <w:rFonts w:ascii="Verdana" w:hAnsi="Verdana" w:cs="Arial"/>
          <w:bCs/>
          <w:lang w:val="it-CH" w:eastAsia="es-ES" w:bidi="es-ES"/>
        </w:rPr>
        <w:t>Rivera</w:t>
      </w:r>
      <w:r w:rsidR="00393317">
        <w:rPr>
          <w:rFonts w:ascii="Verdana" w:hAnsi="Verdana" w:cs="Arial"/>
          <w:bCs/>
          <w:lang w:val="it-CH" w:eastAsia="es-ES" w:bidi="es-ES"/>
        </w:rPr>
        <w:t xml:space="preserve">, </w:t>
      </w:r>
      <w:r w:rsidRPr="00891331">
        <w:rPr>
          <w:rFonts w:ascii="Verdana" w:hAnsi="Verdana" w:cs="Arial"/>
          <w:bCs/>
          <w:lang w:val="it-CH" w:eastAsia="es-ES" w:bidi="es-ES"/>
        </w:rPr>
        <w:t xml:space="preserve">Huila </w:t>
      </w:r>
    </w:p>
    <w:p w14:paraId="28B9BA82" w14:textId="77777777" w:rsidR="003722BA" w:rsidRPr="00891331" w:rsidRDefault="003722BA" w:rsidP="003722BA">
      <w:pPr>
        <w:spacing w:after="0" w:line="240" w:lineRule="auto"/>
        <w:jc w:val="both"/>
        <w:rPr>
          <w:rFonts w:ascii="Verdana" w:hAnsi="Verdana" w:cs="Arial"/>
          <w:b/>
          <w:bCs/>
          <w:lang w:val="it-CH" w:eastAsia="es-ES" w:bidi="es-ES"/>
        </w:rPr>
      </w:pPr>
    </w:p>
    <w:p w14:paraId="7834DCCC" w14:textId="77777777" w:rsidR="003722BA" w:rsidRPr="00891331" w:rsidRDefault="003722BA" w:rsidP="003722BA">
      <w:pPr>
        <w:tabs>
          <w:tab w:val="left" w:pos="7184"/>
        </w:tabs>
        <w:spacing w:after="0" w:line="240" w:lineRule="auto"/>
        <w:jc w:val="both"/>
        <w:rPr>
          <w:rFonts w:ascii="Verdana" w:hAnsi="Verdana" w:cs="Arial"/>
          <w:b/>
          <w:bCs/>
          <w:lang w:val="it-CH" w:eastAsia="es-ES" w:bidi="es-ES"/>
        </w:rPr>
      </w:pPr>
      <w:r w:rsidRPr="00891331">
        <w:rPr>
          <w:rFonts w:ascii="Verdana" w:hAnsi="Verdana" w:cs="Arial"/>
          <w:b/>
          <w:bCs/>
          <w:lang w:val="it-CH" w:eastAsia="es-ES" w:bidi="es-ES"/>
        </w:rPr>
        <w:tab/>
      </w:r>
    </w:p>
    <w:tbl>
      <w:tblPr>
        <w:tblStyle w:val="Tablaconcuadrcula11"/>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242"/>
      </w:tblGrid>
      <w:tr w:rsidR="003722BA" w:rsidRPr="003E4CC9" w14:paraId="714FF2EA" w14:textId="77777777" w:rsidTr="005453ED">
        <w:trPr>
          <w:trHeight w:val="312"/>
        </w:trPr>
        <w:tc>
          <w:tcPr>
            <w:tcW w:w="2689" w:type="dxa"/>
          </w:tcPr>
          <w:p w14:paraId="1F077A91" w14:textId="77777777" w:rsidR="003722BA" w:rsidRPr="00891331" w:rsidRDefault="003722BA" w:rsidP="005453ED">
            <w:pPr>
              <w:jc w:val="both"/>
              <w:rPr>
                <w:rFonts w:ascii="Verdana" w:hAnsi="Verdana" w:cs="Arial"/>
                <w:b/>
                <w:bCs/>
                <w:lang w:val="it-CH" w:eastAsia="es-ES" w:bidi="es-ES"/>
              </w:rPr>
            </w:pPr>
          </w:p>
        </w:tc>
        <w:tc>
          <w:tcPr>
            <w:tcW w:w="6242" w:type="dxa"/>
          </w:tcPr>
          <w:p w14:paraId="7CF5DB46" w14:textId="77777777" w:rsidR="003722BA" w:rsidRPr="003E4CC9" w:rsidRDefault="003722BA" w:rsidP="005453ED">
            <w:pPr>
              <w:tabs>
                <w:tab w:val="right" w:pos="6242"/>
              </w:tabs>
              <w:jc w:val="both"/>
              <w:rPr>
                <w:rFonts w:ascii="Verdana" w:hAnsi="Verdana" w:cs="Arial"/>
                <w:b/>
                <w:bCs/>
                <w:lang w:val="es-MX" w:eastAsia="es-ES" w:bidi="es-ES"/>
              </w:rPr>
            </w:pPr>
            <w:r w:rsidRPr="003E4CC9">
              <w:rPr>
                <w:rFonts w:ascii="Verdana" w:hAnsi="Verdana" w:cs="Arial"/>
                <w:b/>
                <w:bCs/>
                <w:lang w:val="es-MX" w:eastAsia="es-ES" w:bidi="es-ES"/>
              </w:rPr>
              <w:t>Concepto C-</w:t>
            </w:r>
            <w:r>
              <w:rPr>
                <w:rFonts w:ascii="Verdana" w:hAnsi="Verdana" w:cs="Arial"/>
                <w:b/>
                <w:bCs/>
                <w:lang w:val="es-MX" w:eastAsia="es-ES" w:bidi="es-ES"/>
              </w:rPr>
              <w:t>1076 de 2026</w:t>
            </w:r>
            <w:r w:rsidRPr="003E4CC9">
              <w:rPr>
                <w:rFonts w:ascii="Verdana" w:hAnsi="Verdana" w:cs="Arial"/>
                <w:b/>
                <w:bCs/>
                <w:lang w:val="es-MX" w:eastAsia="es-ES" w:bidi="es-ES"/>
              </w:rPr>
              <w:tab/>
            </w:r>
          </w:p>
          <w:p w14:paraId="7EE9FB05" w14:textId="77777777" w:rsidR="003722BA" w:rsidRPr="003E4CC9" w:rsidRDefault="003722BA" w:rsidP="005453ED">
            <w:pPr>
              <w:jc w:val="both"/>
              <w:rPr>
                <w:rFonts w:ascii="Verdana" w:hAnsi="Verdana" w:cs="Arial"/>
                <w:b/>
                <w:bCs/>
                <w:lang w:val="es-MX" w:eastAsia="es-ES" w:bidi="es-ES"/>
              </w:rPr>
            </w:pPr>
          </w:p>
        </w:tc>
      </w:tr>
      <w:tr w:rsidR="003722BA" w:rsidRPr="00A654FC" w14:paraId="711FEE0F" w14:textId="77777777" w:rsidTr="005453ED">
        <w:trPr>
          <w:trHeight w:val="884"/>
        </w:trPr>
        <w:tc>
          <w:tcPr>
            <w:tcW w:w="2689" w:type="dxa"/>
          </w:tcPr>
          <w:p w14:paraId="2326DDD7" w14:textId="77777777" w:rsidR="003722BA" w:rsidRPr="00BF58C7" w:rsidRDefault="003722BA" w:rsidP="005453ED">
            <w:pPr>
              <w:jc w:val="both"/>
              <w:rPr>
                <w:rFonts w:ascii="Verdana" w:hAnsi="Verdana" w:cs="Arial"/>
                <w:b/>
                <w:lang w:val="es-MX" w:eastAsia="es-ES" w:bidi="es-ES"/>
              </w:rPr>
            </w:pPr>
            <w:r w:rsidRPr="00BF58C7">
              <w:rPr>
                <w:rFonts w:ascii="Verdana" w:hAnsi="Verdana" w:cs="Arial"/>
                <w:b/>
                <w:lang w:val="es-MX" w:eastAsia="es-ES" w:bidi="es-ES"/>
              </w:rPr>
              <w:t xml:space="preserve">Temas:                   </w:t>
            </w:r>
          </w:p>
        </w:tc>
        <w:tc>
          <w:tcPr>
            <w:tcW w:w="6242" w:type="dxa"/>
          </w:tcPr>
          <w:p w14:paraId="25194B10" w14:textId="763424C0" w:rsidR="003722BA" w:rsidRPr="00A654FC" w:rsidRDefault="003722BA" w:rsidP="005453ED">
            <w:pPr>
              <w:spacing w:line="276" w:lineRule="auto"/>
              <w:jc w:val="both"/>
              <w:rPr>
                <w:rFonts w:ascii="Verdana" w:hAnsi="Verdana" w:cs="Arial"/>
                <w:highlight w:val="yellow"/>
                <w:lang w:val="es-ES" w:eastAsia="es-ES" w:bidi="es-ES"/>
              </w:rPr>
            </w:pPr>
            <w:r w:rsidRPr="004426DD">
              <w:rPr>
                <w:rFonts w:ascii="Verdana" w:hAnsi="Verdana" w:cs="Arial"/>
                <w:bCs/>
                <w:lang w:eastAsia="es-ES" w:bidi="es-ES"/>
              </w:rPr>
              <w:t>PRECIO – Elemento – Contrato estatal / PRECIO – Determinable – Estructuración – Remuneración por comisiones o porcentajes sobre el resultado de la gestión / ADICIÓN – Concepto – Distintos supuestos – Prohibición – Adición en más del 50%</w:t>
            </w:r>
            <w:r>
              <w:rPr>
                <w:rFonts w:ascii="Verdana" w:hAnsi="Verdana" w:cs="Arial"/>
                <w:bCs/>
                <w:lang w:eastAsia="es-ES" w:bidi="es-ES"/>
              </w:rPr>
              <w:t xml:space="preserve"> </w:t>
            </w:r>
            <w:r w:rsidRPr="004426DD">
              <w:rPr>
                <w:rFonts w:ascii="Verdana" w:hAnsi="Verdana" w:cs="Arial"/>
                <w:bCs/>
                <w:lang w:eastAsia="es-ES" w:bidi="es-ES"/>
              </w:rPr>
              <w:t xml:space="preserve">– Expresión en SMLMV / ADICIÓN – Mayores cantidades – No constituyen adición – Valor inicial indicativo – No sujeción al límite del 50% / ADICIÓN – Precios determinables – El estimativo no es base fija del tope – Condiciones – Límites – Modalidad de selección según la cuantía – Plazo cierto / DISPONIBILIDAD Y REGISTRO PRESUPUESTAL – Contratos con pago condicionado al resultado – Comisión de éxito </w:t>
            </w:r>
            <w:r w:rsidR="005E2250">
              <w:rPr>
                <w:rFonts w:ascii="Verdana" w:hAnsi="Verdana" w:cs="Arial"/>
                <w:bCs/>
                <w:lang w:eastAsia="es-ES" w:bidi="es-ES"/>
              </w:rPr>
              <w:t>-</w:t>
            </w:r>
            <w:r w:rsidRPr="004426DD">
              <w:rPr>
                <w:rFonts w:ascii="Verdana" w:hAnsi="Verdana" w:cs="Arial"/>
                <w:bCs/>
                <w:lang w:eastAsia="es-ES" w:bidi="es-ES"/>
              </w:rPr>
              <w:t xml:space="preserve"> cuota litis – Previsión de los posibles pagos – Vigencias futuras – Anualidad /  COMISIÓN DE ÉXITO – Límites – Recursos de destinación específica – Improcedencia – Nulidad absoluta por objeto ilícito / COBRO DE CARTERA – Remuneración por comisión o porcentaje – Naturaleza pública del recaudo.</w:t>
            </w:r>
          </w:p>
          <w:p w14:paraId="56616300" w14:textId="77777777" w:rsidR="003722BA" w:rsidRPr="003E4CC9" w:rsidRDefault="003722BA" w:rsidP="005453ED">
            <w:pPr>
              <w:spacing w:line="276" w:lineRule="auto"/>
              <w:jc w:val="both"/>
              <w:rPr>
                <w:rFonts w:ascii="Verdana" w:hAnsi="Verdana" w:cs="Arial"/>
                <w:bCs/>
                <w:highlight w:val="yellow"/>
                <w:lang w:val="es-MX" w:eastAsia="es-ES" w:bidi="es-ES"/>
              </w:rPr>
            </w:pPr>
          </w:p>
        </w:tc>
      </w:tr>
      <w:tr w:rsidR="003722BA" w:rsidRPr="003E4CC9" w14:paraId="38608773" w14:textId="77777777" w:rsidTr="005453ED">
        <w:tc>
          <w:tcPr>
            <w:tcW w:w="2689" w:type="dxa"/>
          </w:tcPr>
          <w:p w14:paraId="70FCA756" w14:textId="77777777" w:rsidR="003722BA" w:rsidRPr="00BF58C7" w:rsidRDefault="003722BA" w:rsidP="005453ED">
            <w:pPr>
              <w:jc w:val="both"/>
              <w:rPr>
                <w:rFonts w:ascii="Verdana" w:hAnsi="Verdana" w:cs="Arial"/>
                <w:b/>
                <w:lang w:val="es-MX" w:eastAsia="es-ES" w:bidi="es-ES"/>
              </w:rPr>
            </w:pPr>
            <w:r w:rsidRPr="00BF58C7">
              <w:rPr>
                <w:rFonts w:ascii="Verdana" w:hAnsi="Verdana" w:cs="Arial"/>
                <w:b/>
                <w:lang w:val="es-MX" w:eastAsia="es-ES" w:bidi="es-ES"/>
              </w:rPr>
              <w:t xml:space="preserve">Radicación:               </w:t>
            </w:r>
          </w:p>
        </w:tc>
        <w:tc>
          <w:tcPr>
            <w:tcW w:w="6242" w:type="dxa"/>
          </w:tcPr>
          <w:p w14:paraId="27AC920B" w14:textId="77777777" w:rsidR="003722BA" w:rsidRPr="003C6DC8" w:rsidRDefault="003722BA" w:rsidP="005453ED">
            <w:pPr>
              <w:jc w:val="both"/>
              <w:rPr>
                <w:rFonts w:ascii="Verdana" w:hAnsi="Verdana" w:cs="Arial"/>
                <w:bCs/>
                <w:lang w:eastAsia="es-ES" w:bidi="es-ES"/>
              </w:rPr>
            </w:pPr>
            <w:r w:rsidRPr="003E4CC9">
              <w:rPr>
                <w:rFonts w:ascii="Verdana" w:hAnsi="Verdana" w:cs="Arial"/>
                <w:bCs/>
                <w:lang w:val="es-MX" w:eastAsia="es-ES" w:bidi="es-ES"/>
              </w:rPr>
              <w:t xml:space="preserve">Respuesta a consulta con radicado No. </w:t>
            </w:r>
            <w:r w:rsidRPr="00BF58C7">
              <w:rPr>
                <w:rFonts w:ascii="Verdana" w:hAnsi="Verdana" w:cs="Arial"/>
                <w:bCs/>
                <w:lang w:eastAsia="es-ES" w:bidi="es-ES"/>
              </w:rPr>
              <w:t>1_2026_07_06_008932</w:t>
            </w:r>
            <w:r>
              <w:rPr>
                <w:rFonts w:ascii="Verdana" w:hAnsi="Verdana" w:cs="Arial"/>
                <w:bCs/>
                <w:lang w:eastAsia="es-ES" w:bidi="es-ES"/>
              </w:rPr>
              <w:t xml:space="preserve"> y </w:t>
            </w:r>
            <w:r w:rsidRPr="003C6DC8">
              <w:rPr>
                <w:rFonts w:ascii="Verdana" w:hAnsi="Verdana" w:cs="Arial"/>
                <w:bCs/>
                <w:lang w:eastAsia="es-ES" w:bidi="es-ES"/>
              </w:rPr>
              <w:t>1_2026_07_03_008858</w:t>
            </w:r>
            <w:r>
              <w:rPr>
                <w:rFonts w:ascii="Verdana" w:hAnsi="Verdana" w:cs="Arial"/>
                <w:bCs/>
                <w:lang w:eastAsia="es-ES" w:bidi="es-ES"/>
              </w:rPr>
              <w:t xml:space="preserve"> (acumulados)</w:t>
            </w:r>
          </w:p>
          <w:p w14:paraId="226B76F5" w14:textId="77777777" w:rsidR="003722BA" w:rsidRPr="00BF58C7" w:rsidRDefault="003722BA" w:rsidP="005453ED">
            <w:pPr>
              <w:jc w:val="both"/>
              <w:rPr>
                <w:rFonts w:ascii="Verdana" w:hAnsi="Verdana" w:cs="Arial"/>
                <w:bCs/>
                <w:lang w:eastAsia="es-ES" w:bidi="es-ES"/>
              </w:rPr>
            </w:pPr>
          </w:p>
          <w:p w14:paraId="0FBF4902" w14:textId="77777777" w:rsidR="003722BA" w:rsidRPr="00BF58C7" w:rsidRDefault="003722BA" w:rsidP="005453ED">
            <w:pPr>
              <w:jc w:val="both"/>
              <w:rPr>
                <w:rFonts w:ascii="Verdana" w:hAnsi="Verdana" w:cs="Arial"/>
                <w:bCs/>
                <w:lang w:eastAsia="es-ES" w:bidi="es-ES"/>
              </w:rPr>
            </w:pPr>
          </w:p>
        </w:tc>
      </w:tr>
    </w:tbl>
    <w:p w14:paraId="6A3929AE" w14:textId="77777777" w:rsidR="003722BA" w:rsidRPr="003E4CC9" w:rsidRDefault="003722BA" w:rsidP="003722BA">
      <w:pPr>
        <w:spacing w:after="0" w:line="240" w:lineRule="auto"/>
        <w:jc w:val="both"/>
        <w:rPr>
          <w:rFonts w:ascii="Verdana" w:hAnsi="Verdana" w:cs="Arial"/>
          <w:bCs/>
          <w:lang w:val="es-ES_tradnl" w:eastAsia="es-ES" w:bidi="es-ES"/>
        </w:rPr>
      </w:pPr>
    </w:p>
    <w:p w14:paraId="2E00EF6C" w14:textId="77777777" w:rsidR="003722BA" w:rsidRPr="003E4CC9" w:rsidRDefault="003722BA" w:rsidP="003722BA">
      <w:pPr>
        <w:spacing w:after="0" w:line="276" w:lineRule="auto"/>
        <w:jc w:val="both"/>
        <w:rPr>
          <w:rFonts w:ascii="Verdana" w:hAnsi="Verdana" w:cs="Arial"/>
          <w:bCs/>
          <w:lang w:val="es-MX" w:eastAsia="es-ES" w:bidi="es-ES"/>
        </w:rPr>
      </w:pPr>
      <w:r w:rsidRPr="003E4CC9">
        <w:rPr>
          <w:rFonts w:ascii="Verdana" w:hAnsi="Verdana" w:cs="Arial"/>
          <w:bCs/>
          <w:lang w:val="es-MX" w:eastAsia="es-ES" w:bidi="es-ES"/>
        </w:rPr>
        <w:t xml:space="preserve">Estimado </w:t>
      </w:r>
      <w:r>
        <w:rPr>
          <w:rFonts w:ascii="Verdana" w:hAnsi="Verdana" w:cs="Arial"/>
          <w:bCs/>
          <w:lang w:val="es-MX" w:eastAsia="es-ES" w:bidi="es-ES"/>
        </w:rPr>
        <w:t>Señor Mosquera</w:t>
      </w:r>
      <w:r w:rsidRPr="003E4CC9">
        <w:rPr>
          <w:rFonts w:ascii="Verdana" w:hAnsi="Verdana" w:cs="Arial"/>
          <w:bCs/>
          <w:lang w:val="es-MX" w:eastAsia="es-ES" w:bidi="es-ES"/>
        </w:rPr>
        <w:t>:</w:t>
      </w:r>
    </w:p>
    <w:p w14:paraId="74EDDBB2" w14:textId="77777777" w:rsidR="003722BA" w:rsidRPr="003E4CC9" w:rsidRDefault="003722BA" w:rsidP="003722BA">
      <w:pPr>
        <w:spacing w:after="0" w:line="276" w:lineRule="auto"/>
        <w:jc w:val="both"/>
        <w:rPr>
          <w:rFonts w:ascii="Verdana" w:hAnsi="Verdana" w:cs="Arial"/>
          <w:bCs/>
          <w:lang w:val="es-ES" w:eastAsia="es-ES" w:bidi="es-ES"/>
        </w:rPr>
      </w:pPr>
      <w:r w:rsidRPr="003E4CC9">
        <w:rPr>
          <w:rFonts w:ascii="Verdana" w:hAnsi="Verdana" w:cs="Arial"/>
          <w:bCs/>
          <w:lang w:val="es-ES" w:eastAsia="es-ES" w:bidi="es-ES"/>
        </w:rPr>
        <w:lastRenderedPageBreak/>
        <w:tab/>
      </w:r>
    </w:p>
    <w:p w14:paraId="64123738" w14:textId="77777777" w:rsidR="003722BA" w:rsidRPr="003E4CC9" w:rsidRDefault="003722BA" w:rsidP="003722BA">
      <w:pPr>
        <w:spacing w:after="0" w:line="276" w:lineRule="auto"/>
        <w:jc w:val="both"/>
        <w:rPr>
          <w:rFonts w:ascii="Verdana" w:hAnsi="Verdana" w:cs="Arial"/>
          <w:bCs/>
          <w:lang w:val="es-ES" w:eastAsia="es-ES" w:bidi="es-ES"/>
        </w:rPr>
      </w:pPr>
      <w:r w:rsidRPr="003E4CC9">
        <w:rPr>
          <w:rFonts w:ascii="Verdana" w:hAnsi="Verdana" w:cs="Arial"/>
          <w:bCs/>
          <w:lang w:val="es-ES" w:eastAsia="es-ES" w:bidi="es-ES"/>
        </w:rPr>
        <w:t xml:space="preserve">En ejercicio de la competencia otorgada por los artículos 3, numeral 5º, y 11, numeral 8º, del Decreto Ley 4170 de 2011, </w:t>
      </w:r>
      <w:r w:rsidRPr="003E4CC9">
        <w:rPr>
          <w:rFonts w:ascii="Verdana" w:hAnsi="Verdana" w:cs="Arial"/>
          <w:lang w:val="es-ES_tradnl"/>
        </w:rPr>
        <w:t>así como lo establecido en</w:t>
      </w:r>
      <w:r w:rsidRPr="003E4CC9">
        <w:rPr>
          <w:rFonts w:ascii="Verdana" w:hAnsi="Verdana" w:cs="Arial"/>
        </w:rPr>
        <w:t xml:space="preserve"> la Resolución 469 de 2025 expedida por esta Entidad</w:t>
      </w:r>
      <w:r w:rsidRPr="003E4CC9">
        <w:rPr>
          <w:rFonts w:ascii="Verdana" w:hAnsi="Verdana" w:cs="Arial"/>
          <w:bCs/>
          <w:lang w:eastAsia="es-ES" w:bidi="es-ES"/>
        </w:rPr>
        <w:t xml:space="preserve">, </w:t>
      </w:r>
      <w:r w:rsidRPr="003E4CC9">
        <w:rPr>
          <w:rFonts w:ascii="Verdana" w:hAnsi="Verdana" w:cs="Arial"/>
          <w:bCs/>
          <w:lang w:val="es-ES" w:eastAsia="es-ES" w:bidi="es-ES"/>
        </w:rPr>
        <w:t xml:space="preserve">la Agencia Nacional de Contratación Pública – Colombia Compra Eficiente– responde su solicitud de consulta de </w:t>
      </w:r>
      <w:r>
        <w:rPr>
          <w:rFonts w:ascii="Verdana" w:hAnsi="Verdana" w:cs="Arial"/>
          <w:bCs/>
          <w:lang w:val="es-ES" w:eastAsia="es-ES" w:bidi="es-ES"/>
        </w:rPr>
        <w:t>6 de julio de 2026</w:t>
      </w:r>
      <w:r w:rsidRPr="003E4CC9">
        <w:rPr>
          <w:rFonts w:ascii="Verdana" w:hAnsi="Verdana" w:cs="Arial"/>
          <w:bCs/>
          <w:lang w:val="es-ES" w:eastAsia="es-ES" w:bidi="es-ES"/>
        </w:rPr>
        <w:t xml:space="preserve">, en la cual manifiesta: </w:t>
      </w:r>
    </w:p>
    <w:p w14:paraId="29DD4D6A" w14:textId="77777777" w:rsidR="003722BA" w:rsidRPr="002E418D" w:rsidRDefault="003722BA" w:rsidP="003722BA">
      <w:pPr>
        <w:spacing w:after="0" w:line="240" w:lineRule="auto"/>
        <w:ind w:right="709"/>
        <w:jc w:val="both"/>
        <w:rPr>
          <w:rFonts w:ascii="Verdana" w:hAnsi="Verdana" w:cs="Arial"/>
          <w:bCs/>
          <w:sz w:val="20"/>
          <w:szCs w:val="20"/>
          <w:lang w:eastAsia="es-ES" w:bidi="es-ES"/>
        </w:rPr>
      </w:pPr>
    </w:p>
    <w:p w14:paraId="29EFAED4" w14:textId="77777777" w:rsidR="003722BA" w:rsidRPr="002E418D" w:rsidRDefault="003722BA" w:rsidP="003722BA">
      <w:pPr>
        <w:spacing w:after="0" w:line="240" w:lineRule="auto"/>
        <w:ind w:left="709" w:right="709"/>
        <w:jc w:val="both"/>
        <w:rPr>
          <w:rFonts w:ascii="Verdana" w:hAnsi="Verdana" w:cs="Arial"/>
          <w:bCs/>
          <w:sz w:val="20"/>
          <w:szCs w:val="20"/>
          <w:lang w:eastAsia="es-ES" w:bidi="es-ES"/>
        </w:rPr>
      </w:pPr>
      <w:r>
        <w:rPr>
          <w:rFonts w:ascii="Verdana" w:hAnsi="Verdana" w:cs="Arial"/>
          <w:bCs/>
          <w:sz w:val="20"/>
          <w:szCs w:val="20"/>
          <w:lang w:eastAsia="es-ES" w:bidi="es-ES"/>
        </w:rPr>
        <w:t>“</w:t>
      </w:r>
      <w:r w:rsidRPr="002E418D">
        <w:rPr>
          <w:rFonts w:ascii="Verdana" w:hAnsi="Verdana" w:cs="Arial"/>
          <w:bCs/>
          <w:sz w:val="20"/>
          <w:szCs w:val="20"/>
          <w:lang w:eastAsia="es-ES" w:bidi="es-ES"/>
        </w:rPr>
        <w:t>¿Resulta jurídicamente viable, a la luz del Estatuto General de Contratación de la Administración Pública y el Estatuto Orgánico del Presupuesto, suscribir una modificación o adición en valor que supere el cien por ciento (100%) del estimativo fiscal pactado inicialmente en un contrato de cuantía indeterminada pero determinable, cuyo objeto es el cobro persuasivo de cartera, cuando los recursos para soportar dicho incremento provienen exclusivamente el recaudo externo y futuro derivado de la gestión del contratista, y el contrato de la referencia no requiere de una apropiación presupuestal (CDP) disponible en el momento de la firma de la modificación?</w:t>
      </w:r>
      <w:r>
        <w:rPr>
          <w:rFonts w:ascii="Verdana" w:hAnsi="Verdana" w:cs="Arial"/>
          <w:bCs/>
          <w:sz w:val="20"/>
          <w:szCs w:val="20"/>
          <w:lang w:eastAsia="es-ES" w:bidi="es-ES"/>
        </w:rPr>
        <w:t>”</w:t>
      </w:r>
      <w:r w:rsidRPr="002E418D">
        <w:rPr>
          <w:rFonts w:ascii="Verdana" w:hAnsi="Verdana" w:cs="Arial"/>
          <w:bCs/>
          <w:sz w:val="20"/>
          <w:szCs w:val="20"/>
          <w:lang w:eastAsia="es-ES" w:bidi="es-ES"/>
        </w:rPr>
        <w:t xml:space="preserve"> </w:t>
      </w:r>
    </w:p>
    <w:p w14:paraId="6B12D441" w14:textId="77777777" w:rsidR="003722BA" w:rsidRPr="003E4CC9" w:rsidRDefault="003722BA" w:rsidP="003722BA">
      <w:pPr>
        <w:spacing w:after="0" w:line="276" w:lineRule="auto"/>
        <w:ind w:firstLine="709"/>
        <w:jc w:val="both"/>
        <w:rPr>
          <w:rFonts w:ascii="Verdana" w:hAnsi="Verdana" w:cs="Arial"/>
          <w:bCs/>
          <w:lang w:eastAsia="es-ES" w:bidi="es-ES"/>
        </w:rPr>
      </w:pPr>
    </w:p>
    <w:p w14:paraId="4C65A844" w14:textId="77777777" w:rsidR="003722BA" w:rsidRPr="003E4CC9" w:rsidRDefault="003722BA" w:rsidP="003722BA">
      <w:pPr>
        <w:spacing w:after="120" w:line="276" w:lineRule="auto"/>
        <w:ind w:firstLine="709"/>
        <w:jc w:val="both"/>
        <w:rPr>
          <w:rFonts w:ascii="Verdana" w:eastAsia="Calibri" w:hAnsi="Verdana" w:cs="Times New Roman"/>
          <w:lang w:val="es-ES"/>
        </w:rPr>
      </w:pPr>
      <w:r w:rsidRPr="003E4CC9">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72F50CD8" w14:textId="77777777" w:rsidR="003722BA" w:rsidRPr="003E4CC9" w:rsidRDefault="003722BA" w:rsidP="003722BA">
      <w:pPr>
        <w:spacing w:after="0" w:line="276" w:lineRule="auto"/>
        <w:ind w:firstLine="708"/>
        <w:jc w:val="both"/>
        <w:rPr>
          <w:rFonts w:ascii="Verdana" w:eastAsia="Calibri" w:hAnsi="Verdana" w:cs="Times New Roman"/>
          <w:lang w:val="es-ES"/>
        </w:rPr>
      </w:pPr>
      <w:r w:rsidRPr="003E4CC9">
        <w:rPr>
          <w:rFonts w:ascii="Verdana" w:eastAsia="Calibri" w:hAnsi="Verdana" w:cs="Times New Roman"/>
          <w:lang w:val="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el problema jurídico de su consulta.</w:t>
      </w:r>
    </w:p>
    <w:p w14:paraId="3DFAB9FF" w14:textId="77777777" w:rsidR="003722BA" w:rsidRPr="003E4CC9" w:rsidRDefault="003722BA" w:rsidP="003722BA">
      <w:pPr>
        <w:spacing w:after="0" w:line="256" w:lineRule="auto"/>
        <w:rPr>
          <w:rFonts w:ascii="Verdana" w:eastAsia="Calibri" w:hAnsi="Verdana" w:cs="Times New Roman"/>
          <w:lang w:val="es-ES"/>
        </w:rPr>
      </w:pPr>
    </w:p>
    <w:p w14:paraId="56BE4B78" w14:textId="77777777" w:rsidR="003722BA" w:rsidRDefault="003722BA" w:rsidP="003722BA">
      <w:pPr>
        <w:numPr>
          <w:ilvl w:val="0"/>
          <w:numId w:val="16"/>
        </w:numPr>
        <w:spacing w:after="0" w:line="256" w:lineRule="auto"/>
        <w:contextualSpacing/>
        <w:rPr>
          <w:rFonts w:ascii="Verdana" w:eastAsia="Calibri" w:hAnsi="Verdana" w:cs="Times New Roman"/>
          <w:b/>
          <w:bCs/>
          <w:lang w:val="es-ES"/>
        </w:rPr>
      </w:pPr>
      <w:r w:rsidRPr="003E4CC9">
        <w:rPr>
          <w:rFonts w:ascii="Verdana" w:eastAsia="Calibri" w:hAnsi="Verdana" w:cs="Times New Roman"/>
          <w:b/>
          <w:bCs/>
          <w:lang w:val="es-ES"/>
        </w:rPr>
        <w:lastRenderedPageBreak/>
        <w:t>Problema planteado:</w:t>
      </w:r>
    </w:p>
    <w:p w14:paraId="28056DA7" w14:textId="77777777" w:rsidR="00C370BD" w:rsidRPr="00C370BD" w:rsidRDefault="00C370BD" w:rsidP="00C370BD">
      <w:pPr>
        <w:spacing w:after="0" w:line="256" w:lineRule="auto"/>
        <w:contextualSpacing/>
        <w:rPr>
          <w:rFonts w:ascii="Verdana" w:eastAsia="Calibri" w:hAnsi="Verdana" w:cs="Times New Roman"/>
          <w:b/>
          <w:bCs/>
        </w:rPr>
      </w:pPr>
    </w:p>
    <w:p w14:paraId="734C6174" w14:textId="77777777" w:rsidR="00C370BD" w:rsidRPr="00C370BD" w:rsidRDefault="00C370BD" w:rsidP="00C370BD">
      <w:pPr>
        <w:spacing w:after="0" w:line="256" w:lineRule="auto"/>
        <w:contextualSpacing/>
        <w:jc w:val="both"/>
        <w:rPr>
          <w:rFonts w:ascii="Verdana" w:eastAsia="Calibri" w:hAnsi="Verdana" w:cs="Times New Roman"/>
        </w:rPr>
      </w:pPr>
      <w:r w:rsidRPr="00C370BD">
        <w:rPr>
          <w:rFonts w:ascii="Verdana" w:eastAsia="Calibri" w:hAnsi="Verdana" w:cs="Times New Roman"/>
        </w:rPr>
        <w:t xml:space="preserve">De acuerdo con el contenido de su solicitud, se resolverán los siguientes problemas jurídicos: i) ¿El límite a las adiciones previsto en el parágrafo del artículo 40 de la Ley 80 de 1993 resulta aplicable a los contratos de cuantía indeterminada pero determinable —cuya remuneración se pacta mediante comisiones o porcentajes sobre el resultado de la gestión— cuando el valor efectivamente ejecutado supera el estimativo inicialmente previsto?; y </w:t>
      </w:r>
      <w:proofErr w:type="spellStart"/>
      <w:r w:rsidRPr="00C370BD">
        <w:rPr>
          <w:rFonts w:ascii="Verdana" w:eastAsia="Calibri" w:hAnsi="Verdana" w:cs="Times New Roman"/>
        </w:rPr>
        <w:t>ii</w:t>
      </w:r>
      <w:proofErr w:type="spellEnd"/>
      <w:r w:rsidRPr="00C370BD">
        <w:rPr>
          <w:rFonts w:ascii="Verdana" w:eastAsia="Calibri" w:hAnsi="Verdana" w:cs="Times New Roman"/>
        </w:rPr>
        <w:t>) ¿Puede una Entidad Estatal celebrar o modificar un contrato de esa naturaleza sin contar con la disponibilidad presupuestal exigida por el numeral 6 del artículo 25 de la Ley 80 de 1993, bajo el argumento de que la remuneración del contratista se pagará exclusivamente con el recaudo externo y futuro derivado de su gestión?</w:t>
      </w:r>
    </w:p>
    <w:p w14:paraId="5AF3CCE3" w14:textId="77777777" w:rsidR="00C370BD" w:rsidRPr="00C370BD" w:rsidRDefault="00C370BD" w:rsidP="00C370BD">
      <w:pPr>
        <w:spacing w:after="0" w:line="256" w:lineRule="auto"/>
        <w:contextualSpacing/>
        <w:rPr>
          <w:rFonts w:ascii="Verdana" w:eastAsia="Calibri" w:hAnsi="Verdana" w:cs="Times New Roman"/>
          <w:b/>
          <w:bCs/>
        </w:rPr>
      </w:pPr>
    </w:p>
    <w:p w14:paraId="3192F735" w14:textId="77777777" w:rsidR="003722BA" w:rsidRPr="003E4CC9" w:rsidRDefault="003722BA" w:rsidP="003722BA">
      <w:pPr>
        <w:numPr>
          <w:ilvl w:val="0"/>
          <w:numId w:val="16"/>
        </w:numPr>
        <w:spacing w:after="0" w:line="256" w:lineRule="auto"/>
        <w:contextualSpacing/>
        <w:rPr>
          <w:rFonts w:ascii="Verdana" w:eastAsia="Calibri" w:hAnsi="Verdana" w:cs="Times New Roman"/>
          <w:b/>
          <w:bCs/>
          <w:lang w:val="es-ES"/>
        </w:rPr>
      </w:pPr>
      <w:r w:rsidRPr="003E4CC9">
        <w:rPr>
          <w:rFonts w:ascii="Verdana" w:eastAsia="Calibri" w:hAnsi="Verdana" w:cs="Times New Roman"/>
          <w:b/>
          <w:bCs/>
          <w:lang w:val="es-ES"/>
        </w:rPr>
        <w:t>Respuesta:</w:t>
      </w:r>
    </w:p>
    <w:p w14:paraId="6E226AD1" w14:textId="77777777" w:rsidR="003722BA" w:rsidRPr="003E4CC9" w:rsidRDefault="003722BA" w:rsidP="003722BA">
      <w:pPr>
        <w:spacing w:after="0" w:line="240" w:lineRule="auto"/>
        <w:jc w:val="both"/>
        <w:rPr>
          <w:rFonts w:ascii="Verdana" w:hAnsi="Verdana" w:cs="Arial"/>
          <w:bCs/>
          <w:lang w:val="es-ES" w:eastAsia="es-ES" w:bidi="es-ES"/>
        </w:rPr>
      </w:pPr>
    </w:p>
    <w:tbl>
      <w:tblPr>
        <w:tblStyle w:val="Tablaconcuadrcula1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3722BA" w:rsidRPr="003E4CC9" w14:paraId="5060F70D" w14:textId="77777777" w:rsidTr="005453ED">
        <w:trPr>
          <w:trHeight w:val="870"/>
          <w:jc w:val="center"/>
        </w:trPr>
        <w:tc>
          <w:tcPr>
            <w:tcW w:w="8647" w:type="dxa"/>
          </w:tcPr>
          <w:p w14:paraId="3968C777" w14:textId="77777777" w:rsidR="003722BA" w:rsidRPr="00A654FC" w:rsidRDefault="003722BA" w:rsidP="005453ED">
            <w:pPr>
              <w:pBdr>
                <w:left w:val="single" w:sz="16" w:space="12" w:color="2E7D32"/>
              </w:pBdr>
              <w:spacing w:after="120" w:line="276" w:lineRule="auto"/>
              <w:jc w:val="both"/>
              <w:rPr>
                <w:rFonts w:ascii="Verdana" w:hAnsi="Verdana"/>
              </w:rPr>
            </w:pPr>
            <w:r w:rsidRPr="00A654FC">
              <w:rPr>
                <w:rFonts w:ascii="Verdana" w:eastAsia="Arial" w:hAnsi="Verdana" w:cs="Arial"/>
              </w:rPr>
              <w:t>Respecto del primer problema jurídico, el límite del parágrafo del artículo 40 de la Ley 80 de 1993 opera sobre un precio cierto y determinado. En los contratos cuya remuneración es determinable a partir de variables objetivas —comisiones o porcentajes sobre el resultado de la gestión—, el valor inicialmente estimado tiene carácter indicativo y no constituye una base fija para calcular ese tope. Por ello, la ejecución de un valor superior al estimado, cuando obedece al mayor resultado de la misma gestión contratada y no a la ampliación del objeto ni a la inclusión de prestaciones nuevas, no configura técnicamente una adición sujeta al límite del 50%. Situación distinta se presenta cuando se amplía el objeto o se incorporan prestaciones no previstas, evento en el cual sí hay una adición sometida al referido tope. En todo caso, la naturaleza determinable del precio no habilita para inaplicar la modalidad de selección que corresponda según la cuantía estimada, ni para eludir los principios de planeación, transparencia y selección objetiva.</w:t>
            </w:r>
            <w:r w:rsidRPr="00A654FC">
              <w:rPr>
                <w:rStyle w:val="Refdenotaalpie"/>
                <w:rFonts w:ascii="Verdana" w:hAnsi="Verdana"/>
              </w:rPr>
              <w:footnoteReference w:id="1"/>
            </w:r>
            <w:r>
              <w:rPr>
                <w:rFonts w:ascii="Verdana" w:eastAsia="Arial" w:hAnsi="Verdana" w:cs="Arial"/>
                <w:vertAlign w:val="superscript"/>
              </w:rPr>
              <w:t>-</w:t>
            </w:r>
            <w:r w:rsidRPr="00A654FC">
              <w:rPr>
                <w:rStyle w:val="Refdenotaalpie"/>
                <w:rFonts w:ascii="Verdana" w:hAnsi="Verdana"/>
              </w:rPr>
              <w:footnoteReference w:id="2"/>
            </w:r>
          </w:p>
          <w:p w14:paraId="03B8FDAC" w14:textId="77777777" w:rsidR="003722BA" w:rsidRPr="00A654FC" w:rsidRDefault="003722BA" w:rsidP="005453ED">
            <w:pPr>
              <w:pBdr>
                <w:left w:val="single" w:sz="16" w:space="12" w:color="2E7D32"/>
              </w:pBdr>
              <w:spacing w:after="120" w:line="276" w:lineRule="auto"/>
              <w:ind w:firstLine="709"/>
              <w:jc w:val="both"/>
              <w:rPr>
                <w:rFonts w:ascii="Verdana" w:hAnsi="Verdana"/>
              </w:rPr>
            </w:pPr>
            <w:r w:rsidRPr="00A654FC">
              <w:rPr>
                <w:rFonts w:ascii="Verdana" w:eastAsia="Arial" w:hAnsi="Verdana" w:cs="Arial"/>
              </w:rPr>
              <w:t xml:space="preserve">Respecto del segundo problema jurídico, el carácter determinable de la remuneración y el hecho de que se pague con el recaudo derivado de la </w:t>
            </w:r>
            <w:r w:rsidRPr="00A654FC">
              <w:rPr>
                <w:rFonts w:ascii="Verdana" w:eastAsia="Arial" w:hAnsi="Verdana" w:cs="Arial"/>
              </w:rPr>
              <w:lastRenderedPageBreak/>
              <w:t>gestión no eximen a la Entidad de la disciplina presupuestal. Conforme al numeral 6 del artículo 25 de la Ley 80 de 1993, al artículo 71 del Estatuto Orgánico del Presupuesto y a la doctrina vigente de esta Agencia, la exigencia de contar con disponibilidad presupuestal previa aplica también a los contratos con pago condicionado al resultado —comisiones, primas de éxito o cuota litis—, pues la ley no estableció excepción alguna. En consecuencia, la disponibilidad y el registro presupuestal deben incorporar la previsión de los posibles pagos de la comisión, aun cuando no lleguen a causarse, calculada sobre las actuaciones que la Entidad estime ejecutar dentro de la respectiva vigencia; y cuando la ejecución supere la anualidad, deberá acudirse a los mecanismos de vigencias futuras.</w:t>
            </w:r>
            <w:r w:rsidRPr="00A654FC">
              <w:rPr>
                <w:rStyle w:val="Refdenotaalpie"/>
                <w:rFonts w:ascii="Verdana" w:hAnsi="Verdana"/>
              </w:rPr>
              <w:footnoteReference w:id="3"/>
            </w:r>
            <w:r w:rsidRPr="00A654FC">
              <w:rPr>
                <w:rStyle w:val="Refdenotaalpie"/>
                <w:rFonts w:ascii="Verdana" w:hAnsi="Verdana"/>
              </w:rPr>
              <w:footnoteReference w:id="4"/>
            </w:r>
            <w:r w:rsidRPr="00A654FC">
              <w:rPr>
                <w:rStyle w:val="Refdenotaalpie"/>
                <w:rFonts w:ascii="Verdana" w:hAnsi="Verdana"/>
              </w:rPr>
              <w:footnoteReference w:id="5"/>
            </w:r>
          </w:p>
          <w:p w14:paraId="6AE85000" w14:textId="77777777" w:rsidR="003722BA" w:rsidRPr="00A654FC" w:rsidRDefault="003722BA" w:rsidP="005453ED">
            <w:pPr>
              <w:pBdr>
                <w:left w:val="single" w:sz="16" w:space="12" w:color="2E7D32"/>
              </w:pBdr>
              <w:spacing w:after="120" w:line="276" w:lineRule="auto"/>
              <w:ind w:firstLine="709"/>
              <w:jc w:val="both"/>
              <w:rPr>
                <w:rFonts w:ascii="Verdana" w:hAnsi="Verdana"/>
              </w:rPr>
            </w:pPr>
            <w:r w:rsidRPr="00A654FC">
              <w:rPr>
                <w:rFonts w:ascii="Verdana" w:eastAsia="Arial" w:hAnsi="Verdana" w:cs="Arial"/>
              </w:rPr>
              <w:t xml:space="preserve">El recaudo que gestiona el contratista conserva naturaleza de recurso público; por tanto, la comisión pagada con cargo a él es gasto público sujeto al principio de legalidad </w:t>
            </w:r>
            <w:r>
              <w:rPr>
                <w:rFonts w:ascii="Verdana" w:eastAsia="Arial" w:hAnsi="Verdana" w:cs="Arial"/>
              </w:rPr>
              <w:t>–</w:t>
            </w:r>
            <w:r w:rsidRPr="00A654FC">
              <w:rPr>
                <w:rFonts w:ascii="Verdana" w:eastAsia="Arial" w:hAnsi="Verdana" w:cs="Arial"/>
              </w:rPr>
              <w:t>artículos 345, 346 y 347 de la Constitución</w:t>
            </w:r>
            <w:r>
              <w:rPr>
                <w:rFonts w:ascii="Verdana" w:eastAsia="Arial" w:hAnsi="Verdana" w:cs="Arial"/>
              </w:rPr>
              <w:t>-</w:t>
            </w:r>
            <w:r w:rsidRPr="00A654FC">
              <w:rPr>
                <w:rFonts w:ascii="Verdana" w:eastAsia="Arial" w:hAnsi="Verdana" w:cs="Arial"/>
              </w:rPr>
              <w:t>. Además, cuando los recursos objeto de recaudo tengan destinación específica, no resulta procedente pactar la remuneración como un porcentaje sobre ellos, pues ello supondría fijar una destinación no autorizada por el legislador, con riesgo de nulidad absoluta por objeto ilícito, según lo precisó el Consejo de Estado.</w:t>
            </w:r>
            <w:r w:rsidRPr="00A654FC">
              <w:rPr>
                <w:rStyle w:val="Refdenotaalpie"/>
                <w:rFonts w:ascii="Verdana" w:hAnsi="Verdana"/>
              </w:rPr>
              <w:footnoteReference w:id="6"/>
            </w:r>
            <w:r w:rsidRPr="00A654FC">
              <w:rPr>
                <w:rStyle w:val="Refdenotaalpie"/>
                <w:rFonts w:ascii="Verdana" w:hAnsi="Verdana"/>
              </w:rPr>
              <w:footnoteReference w:id="7"/>
            </w:r>
          </w:p>
          <w:p w14:paraId="6D5209C2" w14:textId="77777777" w:rsidR="003722BA" w:rsidRPr="00A654FC" w:rsidRDefault="003722BA" w:rsidP="005453ED">
            <w:pPr>
              <w:pBdr>
                <w:left w:val="single" w:sz="16" w:space="12" w:color="2E7D32"/>
              </w:pBdr>
              <w:spacing w:after="120" w:line="276" w:lineRule="auto"/>
              <w:ind w:firstLine="709"/>
              <w:jc w:val="both"/>
              <w:rPr>
                <w:rFonts w:ascii="Verdana" w:hAnsi="Verdana"/>
              </w:rPr>
            </w:pPr>
            <w:r w:rsidRPr="00A654FC">
              <w:rPr>
                <w:rFonts w:ascii="Verdana" w:eastAsia="Arial" w:hAnsi="Verdana" w:cs="Arial"/>
              </w:rPr>
              <w:lastRenderedPageBreak/>
              <w:t>Por lo expuesto, no es jurídicamente viable prescindir de la disponibilidad presupuestal por el solo hecho de que la remuneración se financie con recaudo externo y futuro: la Entidad debe estimar y respaldar presupuestalmente el pago probable de la comisión,</w:t>
            </w:r>
            <w:r>
              <w:rPr>
                <w:rFonts w:ascii="Verdana" w:eastAsia="Arial" w:hAnsi="Verdana" w:cs="Arial"/>
              </w:rPr>
              <w:t xml:space="preserve"> mediante los vehículos presupuestales del caso,</w:t>
            </w:r>
            <w:r w:rsidRPr="00A654FC">
              <w:rPr>
                <w:rFonts w:ascii="Verdana" w:eastAsia="Arial" w:hAnsi="Verdana" w:cs="Arial"/>
              </w:rPr>
              <w:t xml:space="preserve"> sin perjuicio de que su causación efectiva dependa del resultado. Corresponderá a cada Entidad, con fundamento en criterios jurídicos, técnicos y financieros, determinar en el caso concreto la procedencia y las condiciones de la modificación o de la ejecución de valores superiores al estimado, dentro del marco de los principios y reglas del sistema de compras públicas, sin que sea atribución de Colombia Compra Eficiente validar sus actuaciones.</w:t>
            </w:r>
          </w:p>
          <w:p w14:paraId="7F4D37C2" w14:textId="77777777" w:rsidR="003722BA" w:rsidRPr="00DB5F83" w:rsidRDefault="003722BA" w:rsidP="005453ED">
            <w:pPr>
              <w:widowControl w:val="0"/>
              <w:autoSpaceDE w:val="0"/>
              <w:autoSpaceDN w:val="0"/>
              <w:spacing w:line="276" w:lineRule="auto"/>
              <w:ind w:firstLine="709"/>
              <w:jc w:val="both"/>
              <w:rPr>
                <w:rFonts w:ascii="Verdana" w:eastAsia="Calibri" w:hAnsi="Verdana" w:cs="Arial"/>
                <w:bCs/>
                <w:lang w:val="es-MX" w:eastAsia="es-ES_tradnl"/>
              </w:rPr>
            </w:pPr>
            <w:r w:rsidRPr="003E4CC9">
              <w:rPr>
                <w:rFonts w:ascii="Verdana" w:hAnsi="Verdana" w:cs="Arial"/>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w:t>
            </w:r>
          </w:p>
        </w:tc>
      </w:tr>
    </w:tbl>
    <w:p w14:paraId="32F28504" w14:textId="77777777" w:rsidR="003722BA" w:rsidRPr="003E4CC9" w:rsidRDefault="003722BA" w:rsidP="003722BA">
      <w:pPr>
        <w:spacing w:after="0" w:line="276" w:lineRule="auto"/>
        <w:jc w:val="both"/>
        <w:rPr>
          <w:rFonts w:ascii="Verdana" w:eastAsia="Calibri" w:hAnsi="Verdana" w:cs="Arial"/>
          <w:bCs/>
          <w:color w:val="000000" w:themeColor="text1"/>
        </w:rPr>
      </w:pPr>
    </w:p>
    <w:p w14:paraId="1CE5B562" w14:textId="77777777" w:rsidR="003722BA" w:rsidRPr="003E4CC9" w:rsidRDefault="003722BA" w:rsidP="003722BA">
      <w:pPr>
        <w:numPr>
          <w:ilvl w:val="0"/>
          <w:numId w:val="16"/>
        </w:numPr>
        <w:spacing w:after="0" w:line="276" w:lineRule="auto"/>
        <w:rPr>
          <w:rFonts w:ascii="Verdana" w:eastAsia="Calibri" w:hAnsi="Verdana" w:cs="Times New Roman"/>
          <w:b/>
          <w:bCs/>
          <w:lang w:val="es-ES"/>
        </w:rPr>
      </w:pPr>
      <w:r w:rsidRPr="003E4CC9">
        <w:rPr>
          <w:rFonts w:ascii="Verdana" w:eastAsia="Calibri" w:hAnsi="Verdana" w:cs="Times New Roman"/>
          <w:b/>
          <w:bCs/>
          <w:lang w:val="es-ES"/>
        </w:rPr>
        <w:t>Razones de la respuesta:</w:t>
      </w:r>
    </w:p>
    <w:p w14:paraId="336C3CA8" w14:textId="77777777" w:rsidR="003722BA" w:rsidRPr="003E4CC9" w:rsidRDefault="003722BA" w:rsidP="003722BA">
      <w:pPr>
        <w:spacing w:after="0" w:line="276" w:lineRule="auto"/>
        <w:rPr>
          <w:rFonts w:ascii="Verdana" w:eastAsia="Calibri" w:hAnsi="Verdana" w:cs="Times New Roman"/>
          <w:b/>
          <w:bCs/>
          <w:lang w:val="es-ES"/>
        </w:rPr>
      </w:pPr>
    </w:p>
    <w:p w14:paraId="5A5FBA84" w14:textId="77777777" w:rsidR="003722BA" w:rsidRPr="003E4CC9" w:rsidRDefault="003722BA" w:rsidP="003722BA">
      <w:pPr>
        <w:spacing w:after="0" w:line="276" w:lineRule="auto"/>
        <w:jc w:val="both"/>
        <w:rPr>
          <w:rFonts w:ascii="Verdana" w:eastAsia="Calibri" w:hAnsi="Verdana" w:cs="Arial"/>
          <w:lang w:val="es-ES"/>
        </w:rPr>
      </w:pPr>
      <w:r w:rsidRPr="003E4CC9">
        <w:rPr>
          <w:rFonts w:ascii="Verdana" w:eastAsia="Calibri" w:hAnsi="Verdana" w:cs="Arial"/>
          <w:lang w:val="es-ES"/>
        </w:rPr>
        <w:t xml:space="preserve">Lo anterior se sustenta en las siguientes consideraciones: </w:t>
      </w:r>
    </w:p>
    <w:p w14:paraId="258350B7" w14:textId="77777777" w:rsidR="003722BA" w:rsidRPr="003E4CC9" w:rsidRDefault="003722BA" w:rsidP="003722BA">
      <w:pPr>
        <w:spacing w:after="0" w:line="276" w:lineRule="auto"/>
        <w:jc w:val="both"/>
        <w:rPr>
          <w:rFonts w:ascii="Verdana" w:hAnsi="Verdana" w:cs="Arial"/>
          <w:bCs/>
          <w:lang w:val="es-ES" w:eastAsia="es-ES" w:bidi="es-ES"/>
        </w:rPr>
      </w:pPr>
    </w:p>
    <w:p w14:paraId="39BC5280" w14:textId="77777777" w:rsidR="003722BA" w:rsidRPr="004441F6" w:rsidRDefault="003722BA" w:rsidP="003722BA">
      <w:pPr>
        <w:spacing w:after="0" w:line="276" w:lineRule="auto"/>
        <w:jc w:val="both"/>
        <w:rPr>
          <w:rFonts w:ascii="Verdana" w:eastAsia="Calibri" w:hAnsi="Verdana" w:cs="Arial"/>
          <w:bCs/>
          <w:lang w:val="es-ES_tradnl"/>
        </w:rPr>
      </w:pPr>
      <w:r w:rsidRPr="003E4CC9">
        <w:rPr>
          <w:rFonts w:ascii="Verdana" w:hAnsi="Verdana" w:cs="Arial"/>
          <w:bCs/>
          <w:lang w:val="es-ES" w:eastAsia="es-ES" w:bidi="es-ES"/>
        </w:rPr>
        <w:t xml:space="preserve">i. </w:t>
      </w:r>
      <w:r w:rsidRPr="00AA633E">
        <w:rPr>
          <w:rFonts w:ascii="Verdana" w:hAnsi="Verdana" w:cs="Arial"/>
          <w:bCs/>
          <w:szCs w:val="24"/>
          <w:lang w:val="es-ES_tradnl" w:eastAsia="es-ES_tradnl"/>
        </w:rPr>
        <w:t xml:space="preserve">Como es sabido, uno de los elementos más comunes en los contratos estatales es el precio, también conocido como valor. Aunque no todo contrato lo incluye –pues también existen negocios gratuitos– lo usual es que los contratos estatales se perfeccionen como onerosos y, la mayoría de las veces, como conmutativos. </w:t>
      </w:r>
      <w:r w:rsidRPr="00CA0C34">
        <w:rPr>
          <w:rFonts w:ascii="Verdana" w:hAnsi="Verdana" w:cs="Arial"/>
          <w:bCs/>
          <w:szCs w:val="24"/>
          <w:lang w:eastAsia="es-ES_tradnl"/>
        </w:rPr>
        <w:t>Adicionalmente, el precio suele constituir el factor de mayor relevancia para el contratista, en tanto representa la remuneración que la entidad contratante le reconocerá por la ejecución del contrato estatal.</w:t>
      </w:r>
    </w:p>
    <w:p w14:paraId="08B5C00F" w14:textId="77777777" w:rsidR="003722BA" w:rsidRPr="00AA633E" w:rsidRDefault="003722BA" w:rsidP="003722BA">
      <w:pPr>
        <w:spacing w:before="120" w:after="120" w:line="276" w:lineRule="auto"/>
        <w:ind w:firstLine="709"/>
        <w:jc w:val="both"/>
        <w:rPr>
          <w:rFonts w:ascii="Verdana" w:hAnsi="Verdana" w:cs="Arial"/>
          <w:lang w:val="es-ES" w:eastAsia="es-ES"/>
        </w:rPr>
      </w:pPr>
      <w:r w:rsidRPr="00AA633E">
        <w:rPr>
          <w:rFonts w:ascii="Verdana" w:hAnsi="Verdana" w:cs="Arial"/>
          <w:lang w:val="es-ES" w:eastAsia="es-ES"/>
        </w:rPr>
        <w:t xml:space="preserve">Desde la etapa de planeación, en la fase precontractual, las entidades estatales deben calcular el presupuesto oficial, mediante la realización del análisis del sector –que incluye el estudio del mercado– y definir la metodología con la cual estructurarán el precio del contrato. Dicho de otro modo, hace parte de los estudios previos la definición del esquema que la Administración usará </w:t>
      </w:r>
      <w:r w:rsidRPr="00AA633E">
        <w:rPr>
          <w:rFonts w:ascii="Verdana" w:hAnsi="Verdana" w:cs="Arial"/>
          <w:lang w:val="es-ES" w:eastAsia="es-ES"/>
        </w:rPr>
        <w:lastRenderedPageBreak/>
        <w:t>para estipular el precio. Tal metodología generalmente depende del tipo de contrato, pues hay algunas modalidades más comunes en los de obra pública; otras más utilizadas en los de prestación de servicios y otras más indicadas para los de concesión, por mencionar algunos ejemplos</w:t>
      </w:r>
      <w:r w:rsidRPr="00AA633E">
        <w:rPr>
          <w:rFonts w:ascii="Verdana" w:hAnsi="Verdana" w:cs="Arial"/>
          <w:vertAlign w:val="superscript"/>
          <w:lang w:val="es-ES" w:eastAsia="es-ES"/>
        </w:rPr>
        <w:footnoteReference w:id="8"/>
      </w:r>
      <w:r w:rsidRPr="00AA633E">
        <w:rPr>
          <w:rFonts w:ascii="Verdana" w:hAnsi="Verdana" w:cs="Arial"/>
          <w:lang w:val="es-ES" w:eastAsia="es-ES"/>
        </w:rPr>
        <w:t xml:space="preserve">. No hay, pues, una sola metodología para pactar el precio y, en gran medida, la manera de hacerlo ha obedecido a la costumbre mercantil y a la influencia de disciplinas técnicas, como la ingeniería o la administración de empresas, en la contratación estatal. Dentro de tales esquemas de establecimiento del precio pueden citarse, entre otros: i) los precios unitarios –calculados de acuerdo con las unidades que componen el objeto del contrato–, </w:t>
      </w:r>
      <w:proofErr w:type="spellStart"/>
      <w:r w:rsidRPr="00AA633E">
        <w:rPr>
          <w:rFonts w:ascii="Verdana" w:hAnsi="Verdana" w:cs="Arial"/>
          <w:lang w:val="es-ES" w:eastAsia="es-ES"/>
        </w:rPr>
        <w:t>ii</w:t>
      </w:r>
      <w:proofErr w:type="spellEnd"/>
      <w:r w:rsidRPr="00AA633E">
        <w:rPr>
          <w:rFonts w:ascii="Verdana" w:hAnsi="Verdana" w:cs="Arial"/>
          <w:lang w:val="es-ES" w:eastAsia="es-ES"/>
        </w:rPr>
        <w:t xml:space="preserve">) el precio global –que equivale al monto total, sin discriminar unidades–, y </w:t>
      </w:r>
      <w:proofErr w:type="spellStart"/>
      <w:r w:rsidRPr="00AA633E">
        <w:rPr>
          <w:rFonts w:ascii="Verdana" w:hAnsi="Verdana" w:cs="Arial"/>
          <w:lang w:val="es-ES" w:eastAsia="es-ES"/>
        </w:rPr>
        <w:t>iii</w:t>
      </w:r>
      <w:proofErr w:type="spellEnd"/>
      <w:r w:rsidRPr="00AA633E">
        <w:rPr>
          <w:rFonts w:ascii="Verdana" w:hAnsi="Verdana" w:cs="Arial"/>
          <w:lang w:val="es-ES" w:eastAsia="es-ES"/>
        </w:rPr>
        <w:t>) la administración delegada de recursos –en la que se distinguen los costos de inversión de los honorarios del administrador–.</w:t>
      </w:r>
    </w:p>
    <w:p w14:paraId="3F95C4D5" w14:textId="77777777" w:rsidR="003722BA" w:rsidRPr="00C545CC" w:rsidRDefault="003722BA" w:rsidP="003722BA">
      <w:pPr>
        <w:spacing w:after="120" w:line="276" w:lineRule="auto"/>
        <w:ind w:firstLine="709"/>
        <w:jc w:val="both"/>
        <w:rPr>
          <w:rFonts w:ascii="Verdana" w:hAnsi="Verdana" w:cs="Arial"/>
          <w:bCs/>
        </w:rPr>
      </w:pPr>
      <w:r w:rsidRPr="00C545CC">
        <w:rPr>
          <w:rFonts w:ascii="Verdana" w:hAnsi="Verdana" w:cs="Arial"/>
          <w:bCs/>
        </w:rPr>
        <w:t>En el régimen de contratación estatal, las partes pueden incorporar todas las modalidades, condiciones y estipulaciones que estimen necesarias para la adecuada satisfacción del interés público, siempre que dichas cláusulas respeten la Constitución, la ley, el orden público y los principios que orientan la función administrativa y la buena gestión contractual. Esta flexibilidad normativa —derivada de los artículos 13 y 32 de la Ley 80 de 1993— permite estructurar acuerdos con esquemas de remuneración diversos, incluidos aquellos en los que el precio es determinado o determinable a partir de parámetros objetivos definidos por las partes, sin que ello implique desconocer los límites propios del derecho público contractual.</w:t>
      </w:r>
    </w:p>
    <w:p w14:paraId="6FAD00DC" w14:textId="77777777" w:rsidR="003722BA" w:rsidRDefault="003722BA" w:rsidP="003722BA">
      <w:pPr>
        <w:spacing w:after="120" w:line="276" w:lineRule="auto"/>
        <w:ind w:firstLine="709"/>
        <w:jc w:val="both"/>
        <w:rPr>
          <w:rFonts w:ascii="Verdana" w:hAnsi="Verdana" w:cs="Arial"/>
          <w:bCs/>
        </w:rPr>
      </w:pPr>
      <w:r w:rsidRPr="00AF7A0F">
        <w:rPr>
          <w:rFonts w:ascii="Verdana" w:hAnsi="Verdana" w:cs="Arial"/>
          <w:bCs/>
        </w:rPr>
        <w:lastRenderedPageBreak/>
        <w:t xml:space="preserve">En este marco, resulta </w:t>
      </w:r>
      <w:r>
        <w:rPr>
          <w:rFonts w:ascii="Verdana" w:hAnsi="Verdana" w:cs="Arial"/>
          <w:bCs/>
        </w:rPr>
        <w:t xml:space="preserve">procedente </w:t>
      </w:r>
      <w:r w:rsidRPr="00AF7A0F">
        <w:rPr>
          <w:rFonts w:ascii="Verdana" w:hAnsi="Verdana" w:cs="Arial"/>
          <w:bCs/>
        </w:rPr>
        <w:t>celebrar contratos en los que no exista una erogación directa de recursos públicos, sino una remuneración basada en comisiones, porcentajes u otros mecanismos económicos vinculados al resultado de la gestión en la prestación de bienes o servicios. Esta estructura es propia, por ejemplo, de la intermediación de seguros, en la cual la contraprestación depende de la labor desarrollada y de los parámetros previamente definidos por las partes, siendo la comisión del intermediario asumida por la compañía aseguradora conforme a la regulación aplicable. La forma de remuneración del corredor constituye un elemento característico de este tipo de contratos, pero no altera la naturaleza de la relación jurídica entre las partes ni implica subordinación del contrato de intermediación frente al contrato de seguro, pues cada uno conserva su autonomía funcional y normativa.</w:t>
      </w:r>
    </w:p>
    <w:p w14:paraId="5B06DDD3" w14:textId="77777777" w:rsidR="003722BA" w:rsidRDefault="003722BA" w:rsidP="003722BA">
      <w:pPr>
        <w:tabs>
          <w:tab w:val="left" w:pos="284"/>
        </w:tabs>
        <w:spacing w:after="0" w:line="276" w:lineRule="auto"/>
        <w:ind w:firstLine="737"/>
        <w:jc w:val="both"/>
        <w:rPr>
          <w:rFonts w:ascii="Verdana" w:hAnsi="Verdana" w:cs="Arial"/>
          <w:bCs/>
          <w:lang w:eastAsia="es-ES" w:bidi="es-ES"/>
        </w:rPr>
      </w:pPr>
      <w:r w:rsidRPr="007955C8">
        <w:rPr>
          <w:rFonts w:ascii="Verdana" w:hAnsi="Verdana" w:cs="Arial"/>
          <w:bCs/>
          <w:lang w:eastAsia="es-ES" w:bidi="es-ES"/>
        </w:rPr>
        <w:t>Estos esquemas de remuneración basados en comisiones, porcentajes o resultados de gestión no desnaturalizan el contrato estatal ni afectan su validez, siempre que su estructuración y ejecución observen los principios de transparencia, responsabilidad, economía y eficiencia que rigen la actividad contractual de las entidades públicas. No obstante, es preciso distinguir la fuente de la remuneración: cuando la comisión la asume un tercero ajeno al Tesoro —como ocurre en la intermediación de seguros, en la que paga la compañía aseguradora—, la entidad no efectúa erogación de recursos públicos; en cambio, cuando la remuneración se paga con cargo a los recursos que el contratista recauda por cuenta de la entidad, tales sumas conservan su naturaleza pública y la comisión constituye un gasto público. Por ello, el carácter determinable del precio no releva a la entidad del deber de contar con el respaldo presupuestal correspondiente, en los términos que se precisan más adelante.</w:t>
      </w:r>
      <w:r w:rsidRPr="007955C8" w:rsidDel="007955C8">
        <w:rPr>
          <w:rFonts w:ascii="Verdana" w:hAnsi="Verdana" w:cs="Arial"/>
          <w:bCs/>
          <w:lang w:eastAsia="es-ES" w:bidi="es-ES"/>
        </w:rPr>
        <w:t xml:space="preserve"> </w:t>
      </w:r>
    </w:p>
    <w:p w14:paraId="3178C2B1" w14:textId="77777777" w:rsidR="003722BA" w:rsidRDefault="003722BA" w:rsidP="003722BA">
      <w:pPr>
        <w:tabs>
          <w:tab w:val="left" w:pos="284"/>
        </w:tabs>
        <w:spacing w:after="0" w:line="276" w:lineRule="auto"/>
        <w:ind w:firstLine="737"/>
        <w:jc w:val="both"/>
        <w:rPr>
          <w:rFonts w:ascii="Verdana" w:hAnsi="Verdana" w:cs="Arial"/>
          <w:bCs/>
          <w:lang w:val="es-ES" w:eastAsia="es-ES" w:bidi="es-ES"/>
        </w:rPr>
      </w:pPr>
    </w:p>
    <w:p w14:paraId="00D1CE61" w14:textId="77777777" w:rsidR="003722BA" w:rsidRPr="003E4CC9" w:rsidRDefault="003722BA" w:rsidP="003722BA">
      <w:pPr>
        <w:tabs>
          <w:tab w:val="left" w:pos="284"/>
        </w:tabs>
        <w:spacing w:after="120" w:line="276" w:lineRule="auto"/>
        <w:jc w:val="both"/>
        <w:rPr>
          <w:rFonts w:ascii="Verdana" w:eastAsia="Arial" w:hAnsi="Verdana" w:cs="Arial"/>
          <w:color w:val="000000"/>
          <w:lang w:eastAsia="es-ES" w:bidi="es-ES"/>
        </w:rPr>
      </w:pPr>
      <w:proofErr w:type="spellStart"/>
      <w:r>
        <w:rPr>
          <w:rFonts w:ascii="Verdana" w:eastAsia="Arial" w:hAnsi="Verdana" w:cs="Arial"/>
          <w:color w:val="000000"/>
          <w:lang w:val="es-ES" w:eastAsia="es-ES" w:bidi="es-ES"/>
        </w:rPr>
        <w:t>ii</w:t>
      </w:r>
      <w:proofErr w:type="spellEnd"/>
      <w:r>
        <w:rPr>
          <w:rFonts w:ascii="Verdana" w:eastAsia="Arial" w:hAnsi="Verdana" w:cs="Arial"/>
          <w:color w:val="000000"/>
          <w:lang w:val="es-ES" w:eastAsia="es-ES" w:bidi="es-ES"/>
        </w:rPr>
        <w:t xml:space="preserve">. </w:t>
      </w:r>
      <w:r>
        <w:rPr>
          <w:rFonts w:ascii="Verdana" w:eastAsia="Arial" w:hAnsi="Verdana" w:cs="Arial"/>
          <w:color w:val="000000"/>
          <w:lang w:eastAsia="es-ES" w:bidi="es-ES"/>
        </w:rPr>
        <w:t>Teniendo en cuenta estas precisiones, una</w:t>
      </w:r>
      <w:r w:rsidRPr="003E4CC9">
        <w:rPr>
          <w:rFonts w:ascii="Verdana" w:eastAsia="Arial" w:hAnsi="Verdana" w:cs="Arial"/>
          <w:color w:val="000000"/>
          <w:lang w:eastAsia="es-ES" w:bidi="es-ES"/>
        </w:rPr>
        <w:t xml:space="preserve"> de las manifestaciones de modificación de los contratos es mediante la adición. Al respecto, es oportuno explicar que la palabra </w:t>
      </w:r>
      <w:r w:rsidRPr="003E4CC9">
        <w:rPr>
          <w:rFonts w:ascii="Verdana" w:eastAsia="Arial" w:hAnsi="Verdana" w:cs="Arial"/>
          <w:i/>
          <w:iCs/>
          <w:color w:val="000000"/>
          <w:lang w:eastAsia="es-ES" w:bidi="es-ES"/>
        </w:rPr>
        <w:t xml:space="preserve">adición </w:t>
      </w:r>
      <w:r w:rsidRPr="003E4CC9">
        <w:rPr>
          <w:rFonts w:ascii="Verdana" w:eastAsia="Arial" w:hAnsi="Verdana" w:cs="Arial"/>
          <w:color w:val="000000"/>
          <w:lang w:eastAsia="es-ES" w:bidi="es-ES"/>
        </w:rPr>
        <w:t xml:space="preserve">significa “acción y efecto de añadir o agregar”. Los contratos estatales pueden ser objeto de situaciones que impliquen la necesidad de adicionar o modificar las condiciones inicialmente pactadas, conforme lo prescribe el artículo 40 de la Ley 80 de 1993, pudiendo incluirse las modalidades, condiciones y, en general las cláusulas o estipulaciones que las partes consideren necesarias para el cabal cumplimiento del objeto contractual. </w:t>
      </w:r>
    </w:p>
    <w:p w14:paraId="0BE71D0F" w14:textId="77777777" w:rsidR="003722BA" w:rsidRDefault="003722BA" w:rsidP="003722BA">
      <w:pPr>
        <w:spacing w:after="120" w:line="276" w:lineRule="auto"/>
        <w:ind w:firstLine="708"/>
        <w:jc w:val="both"/>
        <w:rPr>
          <w:rFonts w:ascii="Verdana" w:eastAsia="Calibri" w:hAnsi="Verdana" w:cs="Arial"/>
          <w:color w:val="000000"/>
          <w:szCs w:val="24"/>
          <w:lang w:eastAsia="es-ES_tradnl"/>
        </w:rPr>
      </w:pPr>
      <w:r w:rsidRPr="003E4CC9">
        <w:rPr>
          <w:rFonts w:ascii="Verdana" w:eastAsia="Calibri" w:hAnsi="Verdana" w:cs="Arial"/>
          <w:color w:val="000000"/>
          <w:szCs w:val="24"/>
          <w:lang w:eastAsia="es-ES_tradnl"/>
        </w:rPr>
        <w:lastRenderedPageBreak/>
        <w:t xml:space="preserve">La ejecución de los contratos estatales está sujeta a los cambios propios del paso del tiempo. Así, durante la etapa de planeación, las entidades públicas estiman y determinan las prestaciones que demanda la satisfacción de la necesidad de interés colectivo que pretende satisfacer. No obstante, durante la ejecución del contrato, las partes identifican alguna de las siguientes situaciones: i) la necesidad de mayores cantidades de bienes o actividades inicialmente previstos, a lo que se le conoce como “mayores cantidades de obra”, “obras adicionales” o adición de “ítems contractuales”; y </w:t>
      </w:r>
      <w:proofErr w:type="spellStart"/>
      <w:r w:rsidRPr="003E4CC9">
        <w:rPr>
          <w:rFonts w:ascii="Verdana" w:eastAsia="Calibri" w:hAnsi="Verdana" w:cs="Arial"/>
          <w:color w:val="000000"/>
          <w:szCs w:val="24"/>
          <w:lang w:eastAsia="es-ES_tradnl"/>
        </w:rPr>
        <w:t>ii</w:t>
      </w:r>
      <w:proofErr w:type="spellEnd"/>
      <w:r w:rsidRPr="003E4CC9">
        <w:rPr>
          <w:rFonts w:ascii="Verdana" w:eastAsia="Calibri" w:hAnsi="Verdana" w:cs="Arial"/>
          <w:color w:val="000000"/>
          <w:szCs w:val="24"/>
          <w:lang w:eastAsia="es-ES_tradnl"/>
        </w:rPr>
        <w:t xml:space="preserve">) la necesidad de ampliar las prestaciones contractuales, mediante la ejecución de nuevos ítems o actividades, no incluidos en el contrato inicial, para lo que en la práctica las entidades ejecutan “obras extra” o “amplían el alcance” del contrato mediante la celebración de un “contrato adicional”. No obstante, estos términos –algunos de ellos usualmente empleados en contratos de obra– son nociones doctrinarias que se utilizan en la práctica por las entidades estatales, que actualmente no tienen un fundamento particular en el ordenamiento jurídico, el cual no le asigna efectos específicos a cada uno de ellos. </w:t>
      </w:r>
    </w:p>
    <w:p w14:paraId="484AD6D2" w14:textId="04A49A03" w:rsidR="00133E3A" w:rsidRPr="003E4CC9" w:rsidRDefault="00133E3A" w:rsidP="00133E3A">
      <w:pPr>
        <w:spacing w:after="120" w:line="276" w:lineRule="auto"/>
        <w:ind w:firstLine="708"/>
        <w:jc w:val="both"/>
        <w:rPr>
          <w:rFonts w:ascii="Verdana" w:eastAsia="Calibri" w:hAnsi="Verdana" w:cs="Arial"/>
          <w:color w:val="000000"/>
          <w:szCs w:val="24"/>
          <w:lang w:eastAsia="es-ES_tradnl"/>
        </w:rPr>
      </w:pPr>
      <w:r w:rsidRPr="00133E3A">
        <w:rPr>
          <w:rFonts w:ascii="Verdana" w:eastAsia="Calibri" w:hAnsi="Verdana" w:cs="Arial"/>
          <w:color w:val="000000"/>
          <w:szCs w:val="24"/>
          <w:lang w:eastAsia="es-ES_tradnl"/>
        </w:rPr>
        <w:t>Lo importante es que, frente a cualquier incremento del valor inicial del contrato</w:t>
      </w:r>
      <w:r w:rsidRPr="00133E3A">
        <w:rPr>
          <w:rFonts w:ascii="Verdana" w:eastAsia="Calibri" w:hAnsi="Verdana" w:cs="Arial"/>
          <w:i/>
          <w:iCs/>
          <w:color w:val="000000"/>
          <w:szCs w:val="24"/>
          <w:lang w:eastAsia="es-ES_tradnl"/>
        </w:rPr>
        <w:t xml:space="preserve"> </w:t>
      </w:r>
      <w:r w:rsidRPr="00133E3A">
        <w:rPr>
          <w:rFonts w:ascii="Verdana" w:eastAsia="Calibri" w:hAnsi="Verdana" w:cs="Arial"/>
          <w:color w:val="000000"/>
          <w:szCs w:val="24"/>
          <w:lang w:eastAsia="es-ES_tradnl"/>
        </w:rPr>
        <w:t>por cualquiera de los dos supuestos señalados previamente, e independiente del nombre que se le dé al acuerdo -otrosí, adición, modificación o cualquier denominación- aplica el límite previsto en el parágrafo del artículo 40 de la Ley 80 de 1993: “Los contratos no podrán adicionarse en más del cincuenta por ciento (50%) de su valor inicial, expresado éste en salarios mínimos legales mensuales”. De manera que, aunque es posible celebrar todos los tipos de acuerdos indicados, siempre debe observarse esta última disposición que aplica a los contratos estatales, cuyos destinatarios son entidades sujetas al EGCAP. Sin embargo, no todo incremento del valor ejecutado configura una adición sujeta al tope del parágrafo del artículo 40. Conforme a la doctrina vigente de esta Agencia, la ejecución de mayores cantidades de ítems ya pactados —cuyo valor inicial es indicativo y se precisa al término de la ejecución— no constituye técnicamente una adición y puede superar el 50% del valor estimado; en cambio, la inclusión de prestaciones nuevas sí constituye adición y queda sometida al límite.</w:t>
      </w:r>
      <w:r w:rsidRPr="00133E3A">
        <w:rPr>
          <w:rFonts w:ascii="Verdana" w:eastAsia="Calibri" w:hAnsi="Verdana" w:cs="Arial"/>
          <w:color w:val="000000"/>
          <w:szCs w:val="24"/>
          <w:vertAlign w:val="superscript"/>
          <w:lang w:eastAsia="es-ES_tradnl"/>
        </w:rPr>
        <w:footnoteReference w:id="9"/>
      </w:r>
    </w:p>
    <w:p w14:paraId="429179F8" w14:textId="77777777" w:rsidR="003722BA" w:rsidRPr="003E4CC9" w:rsidRDefault="003722BA" w:rsidP="003722BA">
      <w:pPr>
        <w:spacing w:after="120" w:line="276" w:lineRule="auto"/>
        <w:ind w:firstLine="709"/>
        <w:jc w:val="both"/>
        <w:rPr>
          <w:rFonts w:ascii="Verdana" w:hAnsi="Verdana" w:cs="Arial"/>
          <w:color w:val="000000"/>
          <w:szCs w:val="24"/>
          <w:lang w:eastAsia="es-ES_tradnl"/>
        </w:rPr>
      </w:pPr>
      <w:r w:rsidRPr="003E4CC9">
        <w:rPr>
          <w:rFonts w:ascii="Verdana" w:eastAsia="Calibri" w:hAnsi="Verdana" w:cs="Arial"/>
          <w:color w:val="000000"/>
          <w:szCs w:val="24"/>
          <w:lang w:eastAsia="es-ES_tradnl"/>
        </w:rPr>
        <w:lastRenderedPageBreak/>
        <w:t xml:space="preserve">Dicha norma además de consagrar una prohibición trae implícita una autorización, consistente en la posibilidad de adicionar los contratos estatales, siempre que no se supere el tope establecido. Debe tenerse en cuenta que el límite debe establecerse en salarios mínimos para que el cálculo del tope sea preciso. </w:t>
      </w:r>
      <w:r w:rsidRPr="003E4CC9">
        <w:rPr>
          <w:rFonts w:ascii="Verdana" w:hAnsi="Verdana" w:cs="Arial"/>
          <w:color w:val="000000"/>
          <w:szCs w:val="24"/>
          <w:lang w:eastAsia="es-ES_tradnl"/>
        </w:rPr>
        <w:t xml:space="preserve">Para tales efectos, para adicionar un contrato debe dividirse el valor inicial por el salario mínimo legal mensual vigente – en adelante SMLMV – al momento de la suscripción del contrato, y luego dividirlo por dos (2); el resultado obtenido constituirá el número de SMLMV por los cuales podrá adicionarse el contrato. </w:t>
      </w:r>
    </w:p>
    <w:p w14:paraId="62010957" w14:textId="77777777" w:rsidR="003722BA" w:rsidRPr="003E4CC9" w:rsidRDefault="003722BA" w:rsidP="003722BA">
      <w:pPr>
        <w:spacing w:after="120" w:line="276" w:lineRule="auto"/>
        <w:ind w:firstLine="709"/>
        <w:jc w:val="both"/>
        <w:rPr>
          <w:rFonts w:ascii="Verdana" w:hAnsi="Verdana" w:cs="Arial"/>
          <w:color w:val="000000"/>
          <w:szCs w:val="24"/>
          <w:lang w:eastAsia="es-ES_tradnl"/>
        </w:rPr>
      </w:pPr>
      <w:r w:rsidRPr="003E4CC9">
        <w:rPr>
          <w:rFonts w:ascii="Verdana" w:hAnsi="Verdana" w:cs="Arial"/>
          <w:color w:val="000000"/>
          <w:szCs w:val="24"/>
          <w:lang w:eastAsia="es-ES_tradnl"/>
        </w:rPr>
        <w:t xml:space="preserve">En este sentido, para evitar equivocaciones, lo ideal es que cada vez que se efectúe una adición, se estime su valor en SMLMV, </w:t>
      </w:r>
      <w:r w:rsidRPr="003E4CC9">
        <w:rPr>
          <w:rFonts w:ascii="Verdana" w:hAnsi="Verdana" w:cs="Arial"/>
          <w:i/>
          <w:iCs/>
          <w:color w:val="000000"/>
          <w:szCs w:val="24"/>
          <w:lang w:eastAsia="es-ES_tradnl"/>
        </w:rPr>
        <w:t>que se calcularán con base en el vigente al momento de la adición</w:t>
      </w:r>
      <w:r w:rsidRPr="003E4CC9">
        <w:rPr>
          <w:rFonts w:ascii="Verdana" w:hAnsi="Verdana" w:cs="Arial"/>
          <w:color w:val="000000"/>
          <w:szCs w:val="24"/>
          <w:lang w:eastAsia="es-ES_tradnl"/>
        </w:rPr>
        <w:t xml:space="preserve">, de manera que se descuenten estos de los salarios mínimos que restan por adicionar, ya que las adiciones podrían hacerse en diferentes vigencias fiscales, porque si el contrato se ejecuta sin existir variación en el valor del SMMLV la operación sería la misma si se toma el monto en pesos. </w:t>
      </w:r>
    </w:p>
    <w:p w14:paraId="5CD03E2C" w14:textId="77777777" w:rsidR="003722BA" w:rsidRPr="003E4CC9" w:rsidRDefault="003722BA" w:rsidP="003722BA">
      <w:pPr>
        <w:widowControl w:val="0"/>
        <w:autoSpaceDE w:val="0"/>
        <w:autoSpaceDN w:val="0"/>
        <w:spacing w:after="120" w:line="276" w:lineRule="auto"/>
        <w:ind w:firstLine="709"/>
        <w:jc w:val="both"/>
        <w:rPr>
          <w:rFonts w:ascii="Verdana" w:eastAsia="Arial MT" w:hAnsi="Verdana" w:cs="Arial"/>
          <w:lang w:eastAsia="es-ES" w:bidi="es-ES"/>
        </w:rPr>
      </w:pPr>
      <w:r w:rsidRPr="003E4CC9">
        <w:rPr>
          <w:rFonts w:ascii="Verdana" w:eastAsia="Arial MT" w:hAnsi="Verdana" w:cs="Arial"/>
          <w:lang w:eastAsia="es-ES" w:bidi="es-ES"/>
        </w:rPr>
        <w:t>A modo ilustrativo, y con fines netamente pedagógicos, exponemos a continuación el siguiente ejemplo: la entidad estatal celebra un contrato de prestación de servicios por un valor de $10.000.000 en vigencia 2022. Para esa vigencia el valor del SMLMV era de $1.000.000. Para efectos del cálculo del 50%</w:t>
      </w:r>
      <w:r w:rsidRPr="003E4CC9">
        <w:t xml:space="preserve"> </w:t>
      </w:r>
      <w:r w:rsidRPr="003E4CC9">
        <w:rPr>
          <w:rFonts w:ascii="Verdana" w:eastAsia="Arial MT" w:hAnsi="Verdana" w:cs="Arial"/>
          <w:lang w:eastAsia="es-ES" w:bidi="es-ES"/>
        </w:rPr>
        <w:t>límite para llevar a cabo la adición del contrato, necesariamente debemos dividir el valor del contrato (10.000.000) por el salario mínimo vigente al momento de la suscripción del contrato (1.000.000). El resultado de la operación anterior (10) pasa a dividirse por 2, por cuanto es claro que la adición debe ser por, máximo, el 50 % del valor del contrato. En ese orden, el resultado de la segunda operación (5) constituye el número de salarios mínimos por los cuales podrá adicionarse el contrato. Supongamos que, en nuestro ejemplo, la adición se llevará a cabo en la vigencia 2026 y el valor será de $6.500.000. En el año 2026, el SMLMV es de $</w:t>
      </w:r>
      <w:r w:rsidRPr="003E4CC9">
        <w:t xml:space="preserve"> </w:t>
      </w:r>
      <w:r w:rsidRPr="003E4CC9">
        <w:rPr>
          <w:rFonts w:ascii="Verdana" w:eastAsia="Arial MT" w:hAnsi="Verdana" w:cs="Arial"/>
          <w:lang w:eastAsia="es-ES" w:bidi="es-ES"/>
        </w:rPr>
        <w:t>1.750.905</w:t>
      </w:r>
      <w:r w:rsidRPr="003E4CC9">
        <w:rPr>
          <w:rFonts w:ascii="Verdana" w:eastAsia="Arial MT" w:hAnsi="Verdana" w:cs="Arial"/>
          <w:vertAlign w:val="superscript"/>
          <w:lang w:eastAsia="es-ES" w:bidi="es-ES"/>
        </w:rPr>
        <w:footnoteReference w:id="10"/>
      </w:r>
      <w:r w:rsidRPr="003E4CC9">
        <w:rPr>
          <w:rFonts w:ascii="Verdana" w:eastAsia="Arial MT" w:hAnsi="Verdana" w:cs="Arial"/>
          <w:lang w:eastAsia="es-ES" w:bidi="es-ES"/>
        </w:rPr>
        <w:t xml:space="preserve">, lo que supone que la adición corresponde a 3,71 SMLMV al momento de la adición, en la medida en que la división del valor de la </w:t>
      </w:r>
      <w:r w:rsidRPr="003E4CC9">
        <w:rPr>
          <w:rFonts w:ascii="Verdana" w:eastAsia="Arial MT" w:hAnsi="Verdana" w:cs="Arial"/>
          <w:lang w:eastAsia="es-ES" w:bidi="es-ES"/>
        </w:rPr>
        <w:lastRenderedPageBreak/>
        <w:t>adición 6.500.000 y el valor del SMLMV al momento de la adición arroja 3,71 SMLMV. Por lo tanto, la adición que se pretende en el contrato ejemplo es válida y se ajusta a la prohibición contenida en el parágrafo del artículo 40, toda vez que será de 3,71 SMLMV, sin superar el 50% del valor inicialmente pactado que fue de 5 SMLMV en el año 2022.</w:t>
      </w:r>
    </w:p>
    <w:p w14:paraId="3BEE0995" w14:textId="77777777" w:rsidR="003722BA" w:rsidRDefault="003722BA" w:rsidP="003722BA">
      <w:pPr>
        <w:spacing w:after="120" w:line="276" w:lineRule="auto"/>
        <w:ind w:firstLine="708"/>
        <w:jc w:val="both"/>
        <w:rPr>
          <w:rFonts w:ascii="Verdana" w:eastAsia="Calibri" w:hAnsi="Verdana" w:cs="Arial"/>
          <w:color w:val="000000"/>
          <w:szCs w:val="24"/>
          <w:lang w:eastAsia="es-ES_tradnl"/>
        </w:rPr>
      </w:pPr>
      <w:r w:rsidRPr="003E4CC9">
        <w:rPr>
          <w:rFonts w:ascii="Verdana" w:eastAsia="Calibri" w:hAnsi="Verdana" w:cs="Arial"/>
          <w:color w:val="000000"/>
          <w:szCs w:val="24"/>
          <w:lang w:eastAsia="es-ES_tradnl"/>
        </w:rPr>
        <w:t xml:space="preserve">El razonamiento anterior se fundamenta en la forma como la Ley 80 de 1993 estableció el tope para las adiciones, acudiendo a una forma de actualización del valor, de acuerdo con los incrementos que tenga el salario mínimo, lo que resulta especialmente relevante en contratos de larga duración. De esta manera, el inciso segundo del parágrafo del artículo 40 de la Ley 80 de 1993 establece que los contratos estatales no podrán adicionarse en más del cincuenta por ciento (50%) de su valor inicial expresada en SMLMV, y valga la redundancia, el valor inicial es el contemplado en el contrato originario y cualquier alteración a ese valor constituirá, técnicamente, una adición, independientemente de cuál sea su causa. </w:t>
      </w:r>
    </w:p>
    <w:p w14:paraId="35F26CAD" w14:textId="77777777" w:rsidR="003722BA" w:rsidRPr="000273A9" w:rsidRDefault="003722BA" w:rsidP="003722BA">
      <w:pPr>
        <w:spacing w:after="120" w:line="276" w:lineRule="auto"/>
        <w:ind w:firstLine="708"/>
        <w:jc w:val="both"/>
        <w:rPr>
          <w:rFonts w:ascii="Verdana" w:eastAsia="Calibri" w:hAnsi="Verdana" w:cs="Arial"/>
          <w:color w:val="000000"/>
          <w:szCs w:val="24"/>
          <w:lang w:eastAsia="es-ES_tradnl"/>
        </w:rPr>
      </w:pPr>
      <w:r w:rsidRPr="00453294">
        <w:rPr>
          <w:rFonts w:ascii="Verdana" w:eastAsia="Calibri" w:hAnsi="Verdana" w:cs="Arial"/>
          <w:color w:val="000000"/>
          <w:szCs w:val="24"/>
          <w:lang w:eastAsia="es-ES_tradnl"/>
        </w:rPr>
        <w:t>En el sistema de compras públicas, la regla sobre las adiciones contractuales prevista en el parágrafo del artículo 40 de la Ley 80 de 1993 parte del supuesto de que existe un precio determinado, susceptible de incrementarse cuando se modifica el valor del contrato. Este esquema debe precisarse cuando se trata de contratos cuyo precio no es fijo, sino determinable a partir de variables objetivas, en los que la remuneración depende de comisiones, porcentajes o resultados de gestión. En tales casos, el valor inicialmente estimado tiene carácter indicativo y no opera como base fija para el cálculo del tope de adición. Ello, sin embargo, no significa que el contrato carezca de dimensión presupuestal: aun tratándose de pagos condicionados al resultado, la entidad debe prever y respaldar presupuestalmente el pago probable de la remuneración, conforme al régimen que se desarrolla más adelante, pues la ley no exceptuó a estos contratos de la exigencia de disponibilidad presupuestal previa.</w:t>
      </w:r>
      <w:r w:rsidRPr="00453294" w:rsidDel="00453294">
        <w:rPr>
          <w:rFonts w:ascii="Verdana" w:eastAsia="Calibri" w:hAnsi="Verdana" w:cs="Arial"/>
          <w:color w:val="000000"/>
          <w:szCs w:val="24"/>
          <w:lang w:eastAsia="es-ES_tradnl"/>
        </w:rPr>
        <w:t xml:space="preserve"> </w:t>
      </w:r>
    </w:p>
    <w:p w14:paraId="303FF0A1" w14:textId="77777777" w:rsidR="003722BA" w:rsidRPr="000273A9" w:rsidRDefault="003722BA" w:rsidP="003722BA">
      <w:pPr>
        <w:spacing w:after="120" w:line="276" w:lineRule="auto"/>
        <w:ind w:firstLine="708"/>
        <w:jc w:val="both"/>
        <w:rPr>
          <w:rFonts w:ascii="Verdana" w:eastAsia="Calibri" w:hAnsi="Verdana" w:cs="Arial"/>
          <w:color w:val="000000"/>
          <w:szCs w:val="24"/>
          <w:lang w:eastAsia="es-ES_tradnl"/>
        </w:rPr>
      </w:pPr>
      <w:r w:rsidRPr="000273A9">
        <w:rPr>
          <w:rFonts w:ascii="Verdana" w:eastAsia="Calibri" w:hAnsi="Verdana" w:cs="Arial"/>
          <w:color w:val="000000"/>
          <w:szCs w:val="24"/>
          <w:lang w:eastAsia="es-ES_tradnl"/>
        </w:rPr>
        <w:t xml:space="preserve">En tales modalidades contractuales, la ausencia de un precio cierto no significa que el contrato carezca de parámetros económicos, pues las partes pueden establecer precios estimativos o fórmulas de determinación que permiten cuantificar la remuneración conforme a la actividad ejecutada. No obstante, estos valores estimados no constituyen el “precio del contrato” en el sentido estricto exigido por la regla de las adiciones, </w:t>
      </w:r>
      <w:r w:rsidRPr="00A654FC">
        <w:rPr>
          <w:rFonts w:ascii="Verdana" w:eastAsia="Calibri" w:hAnsi="Verdana" w:cs="Arial"/>
          <w:color w:val="000000"/>
          <w:szCs w:val="24"/>
          <w:lang w:eastAsia="es-ES_tradnl"/>
        </w:rPr>
        <w:t xml:space="preserve">dado que no operan como </w:t>
      </w:r>
      <w:r w:rsidRPr="00A654FC">
        <w:rPr>
          <w:rFonts w:ascii="Verdana" w:eastAsia="Calibri" w:hAnsi="Verdana" w:cs="Arial"/>
          <w:color w:val="000000"/>
          <w:szCs w:val="24"/>
          <w:lang w:eastAsia="es-ES_tradnl"/>
        </w:rPr>
        <w:lastRenderedPageBreak/>
        <w:t>base fija para el cálculo del tope de adición ni pueden incrementarse mediante un otrosí de adición, sin perjuicio de que la entidad deba prever y respaldar presupuestalmente el pago probable de la remuneración, conforme se precisa más adelante.</w:t>
      </w:r>
    </w:p>
    <w:p w14:paraId="1FFF2AC7" w14:textId="77777777" w:rsidR="003722BA" w:rsidRPr="000C0ADD" w:rsidRDefault="003722BA" w:rsidP="003722BA">
      <w:pPr>
        <w:spacing w:after="120" w:line="276" w:lineRule="auto"/>
        <w:ind w:firstLine="708"/>
        <w:jc w:val="both"/>
        <w:rPr>
          <w:rFonts w:ascii="Verdana" w:eastAsia="Calibri" w:hAnsi="Verdana" w:cs="Arial"/>
          <w:color w:val="000000"/>
          <w:szCs w:val="24"/>
          <w:lang w:eastAsia="es-ES_tradnl"/>
        </w:rPr>
      </w:pPr>
      <w:r w:rsidRPr="000273A9">
        <w:rPr>
          <w:rFonts w:ascii="Verdana" w:eastAsia="Calibri" w:hAnsi="Verdana" w:cs="Arial"/>
          <w:color w:val="000000"/>
          <w:szCs w:val="24"/>
          <w:lang w:eastAsia="es-ES_tradnl"/>
        </w:rPr>
        <w:t xml:space="preserve">Por ello, en contratos con precios determinables, la aplicación del límite del 50% previsto en el parágrafo del artículo 40 no resulta procedente, </w:t>
      </w:r>
      <w:r w:rsidRPr="00A654FC">
        <w:rPr>
          <w:rFonts w:ascii="Verdana" w:eastAsia="Calibri" w:hAnsi="Verdana" w:cs="Arial"/>
          <w:color w:val="000000"/>
          <w:szCs w:val="24"/>
          <w:lang w:eastAsia="es-ES_tradnl"/>
        </w:rPr>
        <w:t>pues el estimativo inicial no opera como base fija para el cálculo de dicho tope.</w:t>
      </w:r>
      <w:r w:rsidRPr="000273A9">
        <w:rPr>
          <w:rFonts w:ascii="Verdana" w:eastAsia="Calibri" w:hAnsi="Verdana" w:cs="Arial"/>
          <w:color w:val="000000"/>
          <w:szCs w:val="24"/>
          <w:lang w:eastAsia="es-ES_tradnl"/>
        </w:rPr>
        <w:t xml:space="preserve"> En estos casos, la remuneración se ajusta conforme a la metodología pactada, sin que ello configure una adición contractual, y sin perjuicio de que la entidad deba observar los principios de planeación, transparencia y responsabilidad en la definición de los criterios económicos que rigen la ejecución del contrato.</w:t>
      </w:r>
      <w:r w:rsidRPr="00A654FC">
        <w:rPr>
          <w:rFonts w:ascii="Verdana" w:eastAsia="Calibri" w:hAnsi="Verdana" w:cs="Arial"/>
          <w:color w:val="000000"/>
          <w:szCs w:val="24"/>
          <w:lang w:eastAsia="es-ES_tradnl"/>
        </w:rPr>
        <w:t xml:space="preserve"> Ello opera sin perjuicio del respaldo presupuestal exigible, conforme se precisa a continuación.</w:t>
      </w:r>
    </w:p>
    <w:p w14:paraId="1B18E96A" w14:textId="77777777" w:rsidR="003722BA" w:rsidRPr="000C0ADD" w:rsidRDefault="003722BA" w:rsidP="003722BA">
      <w:pPr>
        <w:spacing w:after="120" w:line="276" w:lineRule="auto"/>
        <w:ind w:firstLine="708"/>
        <w:jc w:val="both"/>
        <w:rPr>
          <w:rFonts w:ascii="Verdana" w:eastAsia="Calibri" w:hAnsi="Verdana" w:cs="Arial"/>
          <w:color w:val="000000"/>
          <w:szCs w:val="24"/>
          <w:lang w:eastAsia="es-ES_tradnl"/>
        </w:rPr>
      </w:pPr>
      <w:r w:rsidRPr="00A654FC">
        <w:rPr>
          <w:rFonts w:ascii="Verdana" w:eastAsia="Calibri" w:hAnsi="Verdana" w:cs="Arial"/>
          <w:color w:val="000000"/>
          <w:szCs w:val="24"/>
          <w:lang w:eastAsia="es-ES_tradnl"/>
        </w:rPr>
        <w:t xml:space="preserve">Ahora bien, el carácter determinable de la remuneración y su pago con cargo al recaudo obtenido por el contratista no desplazan el régimen presupuestal. El numeral 6 del artículo 25 de la Ley 80 de 1993 y el artículo 71 del Estatuto Orgánico del Presupuesto exigen contar con disponibilidad presupuestal previa, exigencia que —como lo ha precisado esta Agencia en los conceptos C-641 del 11 de octubre de 2024 y C-566 del 19 de junio de 2025— aplica también a los contratos con pago condicionado al resultado, tales como las comisiones, primas de éxito o </w:t>
      </w:r>
      <w:r w:rsidRPr="00A654FC">
        <w:rPr>
          <w:rFonts w:ascii="Verdana" w:eastAsia="Calibri" w:hAnsi="Verdana" w:cs="Arial"/>
          <w:i/>
          <w:iCs/>
          <w:color w:val="000000"/>
          <w:szCs w:val="24"/>
          <w:lang w:eastAsia="es-ES_tradnl"/>
        </w:rPr>
        <w:t>cuota litis</w:t>
      </w:r>
      <w:r w:rsidRPr="00A654FC">
        <w:rPr>
          <w:rFonts w:ascii="Verdana" w:eastAsia="Calibri" w:hAnsi="Verdana" w:cs="Arial"/>
          <w:color w:val="000000"/>
          <w:szCs w:val="24"/>
          <w:lang w:eastAsia="es-ES_tradnl"/>
        </w:rPr>
        <w:t>, pues la ley no estableció excepción alguna. En consecuencia, la disponibilidad y el registro presupuestal deben incorporar la previsión de los posibles pagos de la remuneración, aun cuando no lleguen a causarse, calculada sobre las actuaciones que la Entidad estime ejecutar dentro de la respectiva vigencia; y cuando la ejecución supere la anualidad, deberá acudirse a los mecanismos de vigencias futuras.</w:t>
      </w:r>
    </w:p>
    <w:p w14:paraId="25BF482C" w14:textId="77777777" w:rsidR="003722BA" w:rsidRDefault="003722BA" w:rsidP="003722BA">
      <w:pPr>
        <w:spacing w:after="120" w:line="276" w:lineRule="auto"/>
        <w:ind w:firstLine="708"/>
        <w:jc w:val="both"/>
        <w:rPr>
          <w:rFonts w:ascii="Verdana" w:eastAsia="Calibri" w:hAnsi="Verdana" w:cs="Arial"/>
          <w:color w:val="000000"/>
          <w:szCs w:val="24"/>
          <w:lang w:eastAsia="es-ES_tradnl"/>
        </w:rPr>
      </w:pPr>
      <w:r w:rsidRPr="00A654FC">
        <w:rPr>
          <w:rFonts w:ascii="Verdana" w:eastAsia="Calibri" w:hAnsi="Verdana" w:cs="Arial"/>
          <w:color w:val="000000"/>
          <w:szCs w:val="24"/>
          <w:lang w:eastAsia="es-ES_tradnl"/>
        </w:rPr>
        <w:t>Adicionalmente, cuando los recursos objeto de recaudo tengan destinación específica, no resulta procedente pactar la remuneración como un porcentaje sobre ellos, pues ello supondría fijar una destinación no autorizada por el legislador, con riesgo de nulidad absoluta por objeto ilícito, según lo precisó el Consejo de Estado en sentencia del 7 de marzo de 2025</w:t>
      </w:r>
      <w:r w:rsidRPr="00A654FC">
        <w:rPr>
          <w:rStyle w:val="Refdenotaalpie"/>
          <w:rFonts w:ascii="Verdana" w:eastAsia="Calibri" w:hAnsi="Verdana" w:cs="Arial"/>
          <w:color w:val="000000"/>
          <w:szCs w:val="24"/>
          <w:lang w:eastAsia="es-ES_tradnl"/>
        </w:rPr>
        <w:footnoteReference w:id="11"/>
      </w:r>
      <w:r w:rsidRPr="00A654FC">
        <w:rPr>
          <w:rFonts w:ascii="Verdana" w:eastAsia="Calibri" w:hAnsi="Verdana" w:cs="Arial"/>
          <w:color w:val="000000"/>
          <w:szCs w:val="24"/>
          <w:lang w:eastAsia="es-ES_tradnl"/>
        </w:rPr>
        <w:t xml:space="preserve">. Este límite resulta especialmente relevante cuando la cartera objeto de cobro corresponde </w:t>
      </w:r>
      <w:r w:rsidRPr="00A654FC">
        <w:rPr>
          <w:rFonts w:ascii="Verdana" w:eastAsia="Calibri" w:hAnsi="Verdana" w:cs="Arial"/>
          <w:color w:val="000000"/>
          <w:szCs w:val="24"/>
          <w:lang w:eastAsia="es-ES_tradnl"/>
        </w:rPr>
        <w:lastRenderedPageBreak/>
        <w:t>a rentas con destinación legal, evento en el cual la Entidad deberá verificar el régimen de la fuente antes de estructurar la remuneración.</w:t>
      </w:r>
    </w:p>
    <w:p w14:paraId="36409075" w14:textId="77777777" w:rsidR="003722BA" w:rsidRPr="00E63923" w:rsidRDefault="003722BA" w:rsidP="003722BA">
      <w:pPr>
        <w:spacing w:after="120" w:line="276" w:lineRule="auto"/>
        <w:ind w:firstLine="708"/>
        <w:jc w:val="both"/>
        <w:rPr>
          <w:rFonts w:ascii="Verdana" w:eastAsia="Calibri" w:hAnsi="Verdana" w:cs="Arial"/>
          <w:color w:val="000000"/>
          <w:szCs w:val="24"/>
          <w:lang w:eastAsia="es-ES_tradnl"/>
        </w:rPr>
      </w:pPr>
      <w:r>
        <w:rPr>
          <w:rFonts w:ascii="Verdana" w:eastAsia="Calibri" w:hAnsi="Verdana" w:cs="Arial"/>
          <w:color w:val="000000"/>
          <w:szCs w:val="24"/>
          <w:lang w:eastAsia="es-ES_tradnl"/>
        </w:rPr>
        <w:t>En este contexto, l</w:t>
      </w:r>
      <w:r w:rsidRPr="00E63923">
        <w:rPr>
          <w:rFonts w:ascii="Verdana" w:eastAsia="Calibri" w:hAnsi="Verdana" w:cs="Arial"/>
          <w:color w:val="000000"/>
          <w:szCs w:val="24"/>
          <w:lang w:eastAsia="es-ES_tradnl"/>
        </w:rPr>
        <w:t>a circunstancia de que determinados contratos estatales tengan un precio determinable, aunque inicialmente fijado como estimativo, no los exonera del cumplimiento estricto de las reglas, límites y principios del sistema de compras públicas. En particular, la posibilidad de que la remuneración final supere el valor inicialmente calculado —como ocurre en contratos basados en comisiones, porcentajes o esquemas de gestión— no puede utilizarse para inaplicar la modalidad de selección correspondiente según la cuantía, ni para desconocer los principios de transparencia, selección objetiva y planeación que rigen la contratación estatal.</w:t>
      </w:r>
    </w:p>
    <w:p w14:paraId="65F2B57D" w14:textId="77777777" w:rsidR="003722BA" w:rsidRPr="00E63923" w:rsidRDefault="003722BA" w:rsidP="003722BA">
      <w:pPr>
        <w:spacing w:after="120" w:line="276" w:lineRule="auto"/>
        <w:ind w:firstLine="708"/>
        <w:jc w:val="both"/>
        <w:rPr>
          <w:rFonts w:ascii="Verdana" w:eastAsia="Calibri" w:hAnsi="Verdana" w:cs="Arial"/>
          <w:color w:val="000000"/>
          <w:szCs w:val="24"/>
          <w:lang w:eastAsia="es-ES_tradnl"/>
        </w:rPr>
      </w:pPr>
      <w:r w:rsidRPr="00E63923">
        <w:rPr>
          <w:rFonts w:ascii="Verdana" w:eastAsia="Calibri" w:hAnsi="Verdana" w:cs="Arial"/>
          <w:color w:val="000000"/>
          <w:szCs w:val="24"/>
          <w:lang w:eastAsia="es-ES_tradnl"/>
        </w:rPr>
        <w:t>Si bien en estos contratos el valor real solo se determina al finalizar la ejecución, el valor estimado debe derivarse de estudios previos serios y suficientes que permitan aproximar con la mayor exactitud posible el costo del servicio. En este contexto, el principio de planeación exige a las entidades estructurar el proceso contractual con rigor técnico, identificando la necesidad pública, las alternativas de solución, las condiciones del mercado, los precios, riesgos</w:t>
      </w:r>
      <w:r>
        <w:rPr>
          <w:rFonts w:ascii="Verdana" w:eastAsia="Calibri" w:hAnsi="Verdana" w:cs="Arial"/>
          <w:color w:val="000000"/>
          <w:szCs w:val="24"/>
          <w:lang w:eastAsia="es-ES_tradnl"/>
        </w:rPr>
        <w:t xml:space="preserve"> </w:t>
      </w:r>
      <w:r w:rsidRPr="00E63923">
        <w:rPr>
          <w:rFonts w:ascii="Verdana" w:eastAsia="Calibri" w:hAnsi="Verdana" w:cs="Arial"/>
          <w:color w:val="000000"/>
          <w:szCs w:val="24"/>
          <w:lang w:eastAsia="es-ES_tradnl"/>
        </w:rPr>
        <w:t>y demás elementos indispensables para evitar improvisaciones en la selección, celebración, ejecución y liquidación del contrato.</w:t>
      </w:r>
      <w:r>
        <w:rPr>
          <w:rFonts w:ascii="Verdana" w:eastAsia="Calibri" w:hAnsi="Verdana" w:cs="Arial"/>
          <w:color w:val="000000"/>
          <w:szCs w:val="24"/>
          <w:lang w:eastAsia="es-ES_tradnl"/>
        </w:rPr>
        <w:t xml:space="preserve"> </w:t>
      </w:r>
      <w:r w:rsidRPr="00E63923">
        <w:rPr>
          <w:rFonts w:ascii="Verdana" w:eastAsia="Calibri" w:hAnsi="Verdana" w:cs="Arial"/>
          <w:color w:val="000000"/>
          <w:szCs w:val="24"/>
          <w:lang w:eastAsia="es-ES_tradnl"/>
        </w:rPr>
        <w:t>De igual manera, la planeación implica que todo proyecto esté precedido de análisis que permitan establecer su viabilidad económica y asegurar la racionalidad del gasto público. Por ello, antes de iniciar la ejecución contractual, la Administración debe contar con estudios que soporten el valor aproximado del contrato, considerando la dinámica del mercado y las condiciones del sector.</w:t>
      </w:r>
    </w:p>
    <w:p w14:paraId="2B296636" w14:textId="77777777" w:rsidR="003722BA" w:rsidRDefault="003722BA" w:rsidP="003722BA">
      <w:pPr>
        <w:spacing w:after="120" w:line="276" w:lineRule="auto"/>
        <w:ind w:firstLine="708"/>
        <w:jc w:val="both"/>
        <w:rPr>
          <w:rFonts w:ascii="Verdana" w:eastAsia="Calibri" w:hAnsi="Verdana" w:cs="Arial"/>
          <w:color w:val="000000"/>
          <w:szCs w:val="24"/>
          <w:lang w:eastAsia="es-ES_tradnl"/>
        </w:rPr>
      </w:pPr>
      <w:r>
        <w:rPr>
          <w:rFonts w:ascii="Verdana" w:eastAsia="Calibri" w:hAnsi="Verdana" w:cs="Arial"/>
          <w:color w:val="000000"/>
          <w:szCs w:val="24"/>
          <w:lang w:eastAsia="es-ES_tradnl"/>
        </w:rPr>
        <w:t xml:space="preserve">El </w:t>
      </w:r>
      <w:r w:rsidRPr="00E63923">
        <w:rPr>
          <w:rFonts w:ascii="Verdana" w:eastAsia="Calibri" w:hAnsi="Verdana" w:cs="Arial"/>
          <w:color w:val="000000"/>
          <w:szCs w:val="24"/>
          <w:lang w:eastAsia="es-ES_tradnl"/>
        </w:rPr>
        <w:t xml:space="preserve">hecho de que el precio sea determinable pero inicialmente estimativo </w:t>
      </w:r>
      <w:r w:rsidRPr="009D2DCA">
        <w:rPr>
          <w:rFonts w:ascii="Verdana" w:eastAsia="Calibri" w:hAnsi="Verdana" w:cs="Arial"/>
          <w:color w:val="000000"/>
          <w:szCs w:val="24"/>
          <w:lang w:eastAsia="es-ES_tradnl"/>
        </w:rPr>
        <w:t>no habilita a la Entidad Estatal para pactar plazos indeterminados ni para estructurar contratos de duración indefinida.</w:t>
      </w:r>
      <w:r w:rsidRPr="00E63923">
        <w:rPr>
          <w:rFonts w:ascii="Verdana" w:eastAsia="Calibri" w:hAnsi="Verdana" w:cs="Arial"/>
          <w:color w:val="000000"/>
          <w:szCs w:val="24"/>
          <w:lang w:eastAsia="es-ES_tradnl"/>
        </w:rPr>
        <w:t xml:space="preserve"> Los contratos estatales deben contar con un plazo cierto, razonable y proporcional a la naturaleza del objeto, pues la contratación pública no admite vínculos perpetuos ni relaciones contractuales que se prolonguen indefinidamente sin justificación técnica, jurídica y financiera. La indeterminación del plazo afectaría la planeación, comprometería la competencia y podría desbordar la modalidad de selección aplicable, contrariando los principios del sistema de compras públicas.</w:t>
      </w:r>
    </w:p>
    <w:p w14:paraId="6E42EB5F" w14:textId="77777777" w:rsidR="003722BA" w:rsidRPr="00EE2FD0" w:rsidRDefault="003722BA" w:rsidP="003722BA">
      <w:pPr>
        <w:spacing w:after="120" w:line="276" w:lineRule="auto"/>
        <w:ind w:firstLine="709"/>
        <w:jc w:val="both"/>
        <w:rPr>
          <w:rFonts w:ascii="Verdana" w:eastAsia="Calibri" w:hAnsi="Verdana"/>
          <w:color w:val="000000" w:themeColor="text1"/>
        </w:rPr>
      </w:pPr>
      <w:r w:rsidRPr="00CA7B44">
        <w:rPr>
          <w:rFonts w:ascii="Verdana" w:eastAsia="Calibri" w:hAnsi="Verdana"/>
          <w:color w:val="000000" w:themeColor="text1"/>
        </w:rPr>
        <w:t>En este contexto, el plazo pactado en el contrato</w:t>
      </w:r>
      <w:r>
        <w:rPr>
          <w:rFonts w:ascii="Verdana" w:eastAsia="Calibri" w:hAnsi="Verdana"/>
          <w:color w:val="000000" w:themeColor="text1"/>
        </w:rPr>
        <w:t xml:space="preserve"> tiene efectos extintivos</w:t>
      </w:r>
      <w:r w:rsidRPr="00CA7B44">
        <w:rPr>
          <w:rFonts w:ascii="Verdana" w:eastAsia="Calibri" w:hAnsi="Verdana"/>
          <w:color w:val="000000" w:themeColor="text1"/>
        </w:rPr>
        <w:t xml:space="preserve">, pues determina el momento en que cesan los efectos jurídicos del vínculo </w:t>
      </w:r>
      <w:r w:rsidRPr="00CA7B44">
        <w:rPr>
          <w:rFonts w:ascii="Verdana" w:eastAsia="Calibri" w:hAnsi="Verdana"/>
          <w:color w:val="000000" w:themeColor="text1"/>
        </w:rPr>
        <w:lastRenderedPageBreak/>
        <w:t>contractual. La administración no puede continuar ejecutando el contrato ni asumir obligaciones fuera del término establecido, salvo que se pacte una prórroga formal mediante otrosí. Esta característica garantiza seguridad jurídica y permite ejercer control sobre el uso de recursos</w:t>
      </w:r>
      <w:r>
        <w:rPr>
          <w:rFonts w:ascii="Verdana" w:eastAsia="Calibri" w:hAnsi="Verdana"/>
          <w:color w:val="000000" w:themeColor="text1"/>
        </w:rPr>
        <w:t xml:space="preserve"> que se gestionen por parte del contratista</w:t>
      </w:r>
      <w:r w:rsidRPr="00CA7B44">
        <w:rPr>
          <w:rFonts w:ascii="Verdana" w:eastAsia="Calibri" w:hAnsi="Verdana"/>
          <w:color w:val="000000" w:themeColor="text1"/>
        </w:rPr>
        <w:t>.</w:t>
      </w:r>
    </w:p>
    <w:p w14:paraId="184C9FD6" w14:textId="77777777" w:rsidR="003722BA" w:rsidRPr="00E63923" w:rsidRDefault="003722BA" w:rsidP="003722BA">
      <w:pPr>
        <w:spacing w:after="0" w:line="276" w:lineRule="auto"/>
        <w:ind w:firstLine="709"/>
        <w:jc w:val="both"/>
        <w:rPr>
          <w:rFonts w:ascii="Verdana" w:eastAsia="Calibri" w:hAnsi="Verdana" w:cs="Arial"/>
          <w:color w:val="000000"/>
          <w:szCs w:val="24"/>
          <w:lang w:eastAsia="es-ES_tradnl"/>
        </w:rPr>
      </w:pPr>
      <w:r>
        <w:rPr>
          <w:rFonts w:ascii="Verdana" w:eastAsia="Calibri" w:hAnsi="Verdana" w:cs="Arial"/>
          <w:color w:val="000000"/>
          <w:szCs w:val="24"/>
          <w:lang w:eastAsia="es-ES_tradnl"/>
        </w:rPr>
        <w:t>Así las cosas</w:t>
      </w:r>
      <w:r w:rsidRPr="00E63923">
        <w:rPr>
          <w:rFonts w:ascii="Verdana" w:eastAsia="Calibri" w:hAnsi="Verdana" w:cs="Arial"/>
          <w:color w:val="000000"/>
          <w:szCs w:val="24"/>
          <w:lang w:eastAsia="es-ES_tradnl"/>
        </w:rPr>
        <w:t>, corresponde a cada Entidad Estatal evaluar, con fundamento en criterios jurídicos, técnicos y financieros, la procedencia de modificar el contrato o ejecutar valores superiores al estimado inicial cuando ello sea inherente a la modalidad de remuneración pactada. Esta decisión debe adoptarse respetando estrictamente el ordenamiento jurídico y garantizando que la flexibilidad propia de los contratos con precio determinable no se convierta en un mecanismo para alterar la modalidad de selección, desbordar la planeación, afectar la transparencia o extender indefinidamente la duración del contrato.</w:t>
      </w:r>
    </w:p>
    <w:p w14:paraId="4E9CA630" w14:textId="77777777" w:rsidR="003722BA" w:rsidRPr="003E4CC9" w:rsidRDefault="003722BA" w:rsidP="003722BA">
      <w:pPr>
        <w:widowControl w:val="0"/>
        <w:autoSpaceDE w:val="0"/>
        <w:autoSpaceDN w:val="0"/>
        <w:spacing w:after="0" w:line="276" w:lineRule="auto"/>
        <w:jc w:val="both"/>
        <w:rPr>
          <w:rFonts w:ascii="Verdana" w:eastAsia="Calibri" w:hAnsi="Verdana" w:cs="Arial"/>
          <w:bCs/>
          <w:lang w:eastAsia="es-ES_tradnl"/>
        </w:rPr>
      </w:pPr>
    </w:p>
    <w:p w14:paraId="6AA06A48" w14:textId="77777777" w:rsidR="003722BA" w:rsidRPr="003E4CC9" w:rsidRDefault="003722BA" w:rsidP="003722BA">
      <w:pPr>
        <w:widowControl w:val="0"/>
        <w:autoSpaceDE w:val="0"/>
        <w:autoSpaceDN w:val="0"/>
        <w:spacing w:after="120" w:line="276" w:lineRule="auto"/>
        <w:jc w:val="both"/>
        <w:rPr>
          <w:rFonts w:ascii="Verdana" w:hAnsi="Verdana" w:cs="Arial"/>
          <w:color w:val="000000" w:themeColor="text1"/>
        </w:rPr>
      </w:pPr>
      <w:proofErr w:type="spellStart"/>
      <w:r>
        <w:rPr>
          <w:rFonts w:ascii="Verdana" w:hAnsi="Verdana"/>
        </w:rPr>
        <w:t>iii</w:t>
      </w:r>
      <w:proofErr w:type="spellEnd"/>
      <w:r>
        <w:rPr>
          <w:rFonts w:ascii="Verdana" w:hAnsi="Verdana"/>
        </w:rPr>
        <w:t xml:space="preserve">. </w:t>
      </w:r>
      <w:r w:rsidRPr="003E4CC9">
        <w:rPr>
          <w:rFonts w:ascii="Verdana" w:eastAsia="Calibri" w:hAnsi="Verdana"/>
          <w:lang w:val="es-ES"/>
        </w:rPr>
        <w:t>Finalmente debe advertirse, que el análisis para resolver problemas específicos en torno a las adiciones de un contrato determinado debe ser realizado por quienes tengan interés en ello</w:t>
      </w:r>
      <w:r w:rsidRPr="003E4CC9">
        <w:rPr>
          <w:rFonts w:ascii="Verdana" w:hAnsi="Verdana" w:cs="Arial"/>
          <w:color w:val="000000" w:themeColor="text1"/>
        </w:rPr>
        <w:t>.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de adoptar la decisión y, en caso de conflicto, a las autoridades judiciales, fiscales y disciplinarias.</w:t>
      </w:r>
    </w:p>
    <w:p w14:paraId="271A4D1C" w14:textId="77777777" w:rsidR="003722BA" w:rsidRPr="003E4CC9" w:rsidRDefault="003722BA" w:rsidP="003722BA">
      <w:pPr>
        <w:widowControl w:val="0"/>
        <w:autoSpaceDE w:val="0"/>
        <w:autoSpaceDN w:val="0"/>
        <w:spacing w:after="0" w:line="276" w:lineRule="auto"/>
        <w:ind w:firstLine="709"/>
        <w:jc w:val="both"/>
        <w:rPr>
          <w:rFonts w:ascii="Verdana" w:eastAsia="Calibri" w:hAnsi="Verdana" w:cs="Arial"/>
          <w:bCs/>
          <w:lang w:val="es-MX" w:eastAsia="es-ES_tradnl"/>
        </w:rPr>
      </w:pPr>
      <w:r w:rsidRPr="003E4CC9">
        <w:rPr>
          <w:rFonts w:ascii="Verdana" w:hAnsi="Verdana" w:cs="Arial"/>
          <w:color w:val="000000" w:themeColor="text1"/>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Por tanto, cada entidad definirá la forma de adelantar su gestión contractual, sin que sea atribución de Colombia Compra Eficiente validar sus actuaciones.</w:t>
      </w:r>
    </w:p>
    <w:p w14:paraId="370CF5CD" w14:textId="77777777" w:rsidR="003722BA" w:rsidRPr="003E4CC9" w:rsidRDefault="003722BA" w:rsidP="003722BA">
      <w:pPr>
        <w:spacing w:after="0" w:line="276" w:lineRule="auto"/>
        <w:jc w:val="both"/>
        <w:rPr>
          <w:rFonts w:ascii="Verdana" w:eastAsia="Calibri" w:hAnsi="Verdana" w:cs="Arial"/>
          <w:lang w:val="es-ES_tradnl" w:eastAsia="es-ES_tradnl"/>
        </w:rPr>
      </w:pPr>
    </w:p>
    <w:p w14:paraId="073E9005" w14:textId="172818B1" w:rsidR="003722BA" w:rsidRPr="003E4CC9" w:rsidRDefault="003722BA" w:rsidP="003722BA">
      <w:pPr>
        <w:numPr>
          <w:ilvl w:val="0"/>
          <w:numId w:val="16"/>
        </w:numPr>
        <w:spacing w:after="0" w:line="276" w:lineRule="auto"/>
        <w:rPr>
          <w:rFonts w:ascii="Verdana" w:eastAsia="Calibri" w:hAnsi="Verdana" w:cs="Times New Roman"/>
          <w:b/>
          <w:bCs/>
          <w:lang w:val="es-ES"/>
        </w:rPr>
      </w:pPr>
      <w:r w:rsidRPr="003E4CC9">
        <w:rPr>
          <w:rFonts w:ascii="Verdana" w:eastAsia="Calibri" w:hAnsi="Verdana" w:cs="Times New Roman"/>
          <w:b/>
          <w:bCs/>
          <w:lang w:val="es-ES"/>
        </w:rPr>
        <w:t>Referencias normativas</w:t>
      </w:r>
      <w:r w:rsidR="00744089">
        <w:rPr>
          <w:rFonts w:ascii="Verdana" w:eastAsia="Calibri" w:hAnsi="Verdana" w:cs="Times New Roman"/>
          <w:b/>
          <w:bCs/>
          <w:lang w:val="es-ES"/>
        </w:rPr>
        <w:t>, jurisprudenciales y otras fuentes</w:t>
      </w:r>
      <w:r w:rsidRPr="003E4CC9">
        <w:rPr>
          <w:rFonts w:ascii="Verdana" w:eastAsia="Calibri" w:hAnsi="Verdana" w:cs="Times New Roman"/>
          <w:b/>
          <w:bCs/>
          <w:lang w:val="es-ES"/>
        </w:rPr>
        <w:t>:</w:t>
      </w:r>
    </w:p>
    <w:p w14:paraId="0627BB6E" w14:textId="77777777" w:rsidR="003722BA" w:rsidRPr="003E4CC9" w:rsidRDefault="003722BA" w:rsidP="003722BA">
      <w:pPr>
        <w:widowControl w:val="0"/>
        <w:autoSpaceDE w:val="0"/>
        <w:autoSpaceDN w:val="0"/>
        <w:spacing w:after="0" w:line="276" w:lineRule="auto"/>
        <w:jc w:val="both"/>
        <w:rPr>
          <w:rFonts w:ascii="Verdana" w:hAnsi="Verdana" w:cs="Arial"/>
        </w:rPr>
      </w:pPr>
    </w:p>
    <w:tbl>
      <w:tblPr>
        <w:tblStyle w:val="Tablaconcuadrcula1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3722BA" w:rsidRPr="003E4CC9" w14:paraId="02D5BAD7" w14:textId="77777777" w:rsidTr="005453ED">
        <w:trPr>
          <w:trHeight w:val="501"/>
          <w:jc w:val="center"/>
        </w:trPr>
        <w:tc>
          <w:tcPr>
            <w:tcW w:w="8647" w:type="dxa"/>
          </w:tcPr>
          <w:p w14:paraId="3D4E137F" w14:textId="77777777" w:rsidR="003722BA" w:rsidRDefault="003722BA" w:rsidP="005453ED">
            <w:pPr>
              <w:widowControl w:val="0"/>
              <w:numPr>
                <w:ilvl w:val="0"/>
                <w:numId w:val="17"/>
              </w:numPr>
              <w:autoSpaceDE w:val="0"/>
              <w:autoSpaceDN w:val="0"/>
              <w:spacing w:before="120" w:after="120" w:line="276" w:lineRule="auto"/>
              <w:ind w:left="714" w:hanging="357"/>
              <w:jc w:val="both"/>
              <w:rPr>
                <w:rFonts w:ascii="Verdana" w:hAnsi="Verdana" w:cs="Arial"/>
                <w:color w:val="000000" w:themeColor="text1"/>
                <w:lang w:val="es-ES"/>
              </w:rPr>
            </w:pPr>
            <w:r w:rsidRPr="003E4CC9">
              <w:rPr>
                <w:rFonts w:ascii="Verdana" w:hAnsi="Verdana" w:cs="Arial"/>
                <w:color w:val="000000" w:themeColor="text1"/>
                <w:lang w:val="es-ES"/>
              </w:rPr>
              <w:lastRenderedPageBreak/>
              <w:t>Ley 80 de 1993, artículo</w:t>
            </w:r>
            <w:r>
              <w:rPr>
                <w:rFonts w:ascii="Verdana" w:hAnsi="Verdana" w:cs="Arial"/>
                <w:color w:val="000000" w:themeColor="text1"/>
                <w:lang w:val="es-ES"/>
              </w:rPr>
              <w:t xml:space="preserve">s 13, 32 y </w:t>
            </w:r>
            <w:r w:rsidRPr="003E4CC9">
              <w:rPr>
                <w:rFonts w:ascii="Verdana" w:hAnsi="Verdana" w:cs="Arial"/>
                <w:color w:val="000000" w:themeColor="text1"/>
                <w:lang w:val="es-ES"/>
              </w:rPr>
              <w:t>40.</w:t>
            </w:r>
          </w:p>
          <w:p w14:paraId="774ED33D" w14:textId="77777777" w:rsidR="003722BA" w:rsidRPr="00C40DD4" w:rsidRDefault="003722BA" w:rsidP="005453ED">
            <w:pPr>
              <w:widowControl w:val="0"/>
              <w:numPr>
                <w:ilvl w:val="0"/>
                <w:numId w:val="17"/>
              </w:numPr>
              <w:autoSpaceDE w:val="0"/>
              <w:autoSpaceDN w:val="0"/>
              <w:spacing w:before="120" w:after="120" w:line="276" w:lineRule="auto"/>
              <w:ind w:left="714" w:hanging="357"/>
              <w:jc w:val="both"/>
              <w:rPr>
                <w:rFonts w:ascii="Verdana" w:hAnsi="Verdana" w:cs="Arial"/>
                <w:color w:val="000000" w:themeColor="text1"/>
                <w:lang w:val="es-ES"/>
              </w:rPr>
            </w:pPr>
            <w:r w:rsidRPr="00A654FC">
              <w:rPr>
                <w:rFonts w:ascii="Verdana" w:hAnsi="Verdana" w:cs="Arial"/>
                <w:color w:val="000000" w:themeColor="text1"/>
                <w:lang w:val="es-ES"/>
              </w:rPr>
              <w:t>Constitución Política, artículos 345, 346 y 347.</w:t>
            </w:r>
          </w:p>
          <w:p w14:paraId="260ABEC7" w14:textId="77777777" w:rsidR="003722BA" w:rsidRPr="00C40DD4" w:rsidRDefault="003722BA" w:rsidP="005453ED">
            <w:pPr>
              <w:widowControl w:val="0"/>
              <w:numPr>
                <w:ilvl w:val="0"/>
                <w:numId w:val="17"/>
              </w:numPr>
              <w:autoSpaceDE w:val="0"/>
              <w:autoSpaceDN w:val="0"/>
              <w:spacing w:before="120" w:after="120" w:line="276" w:lineRule="auto"/>
              <w:ind w:left="714" w:hanging="357"/>
              <w:jc w:val="both"/>
              <w:rPr>
                <w:rFonts w:ascii="Verdana" w:hAnsi="Verdana" w:cs="Arial"/>
                <w:color w:val="000000" w:themeColor="text1"/>
                <w:lang w:val="es-ES"/>
              </w:rPr>
            </w:pPr>
            <w:r w:rsidRPr="00A654FC">
              <w:rPr>
                <w:rFonts w:ascii="Verdana" w:hAnsi="Verdana" w:cs="Arial"/>
                <w:color w:val="000000" w:themeColor="text1"/>
                <w:lang w:val="es-ES"/>
              </w:rPr>
              <w:t>Ley 80 de 1993, artículos 25 (numeral 6), 41 y 51.</w:t>
            </w:r>
          </w:p>
          <w:p w14:paraId="05459643" w14:textId="77777777" w:rsidR="003722BA" w:rsidRPr="00C40DD4" w:rsidRDefault="003722BA" w:rsidP="005453ED">
            <w:pPr>
              <w:widowControl w:val="0"/>
              <w:numPr>
                <w:ilvl w:val="0"/>
                <w:numId w:val="17"/>
              </w:numPr>
              <w:autoSpaceDE w:val="0"/>
              <w:autoSpaceDN w:val="0"/>
              <w:spacing w:before="120" w:after="120" w:line="276" w:lineRule="auto"/>
              <w:ind w:left="714" w:hanging="357"/>
              <w:jc w:val="both"/>
              <w:rPr>
                <w:rFonts w:ascii="Verdana" w:hAnsi="Verdana" w:cs="Arial"/>
                <w:color w:val="000000" w:themeColor="text1"/>
                <w:lang w:val="es-ES"/>
              </w:rPr>
            </w:pPr>
            <w:r w:rsidRPr="00A654FC">
              <w:rPr>
                <w:rFonts w:ascii="Verdana" w:hAnsi="Verdana" w:cs="Arial"/>
                <w:color w:val="000000" w:themeColor="text1"/>
                <w:lang w:val="es-ES"/>
              </w:rPr>
              <w:t>Decreto 111 de 1996 (Estatuto Orgánico del Presupuesto), artículo 71.</w:t>
            </w:r>
          </w:p>
          <w:p w14:paraId="59A24422" w14:textId="77777777" w:rsidR="003722BA" w:rsidRPr="00C40DD4" w:rsidRDefault="003722BA" w:rsidP="005453ED">
            <w:pPr>
              <w:widowControl w:val="0"/>
              <w:numPr>
                <w:ilvl w:val="0"/>
                <w:numId w:val="17"/>
              </w:numPr>
              <w:autoSpaceDE w:val="0"/>
              <w:autoSpaceDN w:val="0"/>
              <w:spacing w:before="120" w:after="120" w:line="276" w:lineRule="auto"/>
              <w:ind w:left="714" w:hanging="357"/>
              <w:jc w:val="both"/>
              <w:rPr>
                <w:rFonts w:ascii="Verdana" w:hAnsi="Verdana" w:cs="Arial"/>
                <w:color w:val="000000" w:themeColor="text1"/>
                <w:lang w:val="es-ES"/>
              </w:rPr>
            </w:pPr>
            <w:r w:rsidRPr="00A654FC">
              <w:rPr>
                <w:rFonts w:ascii="Verdana" w:hAnsi="Verdana" w:cs="Arial"/>
                <w:color w:val="000000" w:themeColor="text1"/>
                <w:lang w:val="es-ES"/>
              </w:rPr>
              <w:t>Ley 1150 de 2007, artículo 2; Ley 819 de 2003; Ley 1066 de 2006; Ley 769 de 2002, artículo 160.</w:t>
            </w:r>
          </w:p>
          <w:p w14:paraId="411CA43E" w14:textId="77777777" w:rsidR="003722BA" w:rsidRPr="00874B89" w:rsidRDefault="003722BA" w:rsidP="005453ED">
            <w:pPr>
              <w:widowControl w:val="0"/>
              <w:numPr>
                <w:ilvl w:val="0"/>
                <w:numId w:val="17"/>
              </w:numPr>
              <w:autoSpaceDE w:val="0"/>
              <w:autoSpaceDN w:val="0"/>
              <w:spacing w:before="120" w:after="120" w:line="276" w:lineRule="auto"/>
              <w:ind w:left="714" w:hanging="357"/>
              <w:jc w:val="both"/>
              <w:rPr>
                <w:rFonts w:ascii="Verdana" w:hAnsi="Verdana" w:cs="Arial"/>
                <w:color w:val="000000" w:themeColor="text1"/>
                <w:lang w:val="es-ES"/>
              </w:rPr>
            </w:pPr>
            <w:r w:rsidRPr="00A654FC">
              <w:rPr>
                <w:rFonts w:ascii="Verdana" w:hAnsi="Verdana" w:cs="Arial"/>
                <w:color w:val="000000" w:themeColor="text1"/>
                <w:lang w:val="es-ES"/>
              </w:rPr>
              <w:t xml:space="preserve">Consejo de Estado, Sección Tercera: Sentencia del 7 de marzo de 2025, Rad. 66556, y Sentencia del 6 de mayo de 2015, </w:t>
            </w:r>
            <w:proofErr w:type="spellStart"/>
            <w:r w:rsidRPr="00A654FC">
              <w:rPr>
                <w:rFonts w:ascii="Verdana" w:hAnsi="Verdana" w:cs="Arial"/>
                <w:color w:val="000000" w:themeColor="text1"/>
                <w:lang w:val="es-ES"/>
              </w:rPr>
              <w:t>Exp</w:t>
            </w:r>
            <w:proofErr w:type="spellEnd"/>
            <w:r w:rsidRPr="00A654FC">
              <w:rPr>
                <w:rFonts w:ascii="Verdana" w:hAnsi="Verdana" w:cs="Arial"/>
                <w:color w:val="000000" w:themeColor="text1"/>
                <w:lang w:val="es-ES"/>
              </w:rPr>
              <w:t>. 35268. Corte Constitucional, Sentencia C-073 de 1993.</w:t>
            </w:r>
          </w:p>
        </w:tc>
      </w:tr>
    </w:tbl>
    <w:p w14:paraId="5C6D7530" w14:textId="77777777" w:rsidR="003722BA" w:rsidRPr="003E4CC9" w:rsidRDefault="003722BA" w:rsidP="003722BA">
      <w:pPr>
        <w:spacing w:after="0" w:line="276" w:lineRule="auto"/>
        <w:ind w:right="709"/>
        <w:jc w:val="both"/>
        <w:rPr>
          <w:rFonts w:ascii="Verdana" w:hAnsi="Verdana" w:cs="Arial"/>
          <w:color w:val="000000" w:themeColor="text1"/>
          <w:lang w:val="es-ES_tradnl"/>
        </w:rPr>
      </w:pPr>
    </w:p>
    <w:p w14:paraId="6E359D49" w14:textId="77777777" w:rsidR="003722BA" w:rsidRPr="003E4CC9" w:rsidRDefault="003722BA" w:rsidP="003722BA">
      <w:pPr>
        <w:numPr>
          <w:ilvl w:val="0"/>
          <w:numId w:val="16"/>
        </w:numPr>
        <w:spacing w:after="0" w:line="276" w:lineRule="auto"/>
        <w:rPr>
          <w:rFonts w:ascii="Verdana" w:eastAsia="Calibri" w:hAnsi="Verdana" w:cs="Times New Roman"/>
          <w:b/>
          <w:bCs/>
          <w:lang w:val="es-ES"/>
        </w:rPr>
      </w:pPr>
      <w:r w:rsidRPr="003E4CC9">
        <w:rPr>
          <w:rFonts w:ascii="Verdana" w:eastAsia="Calibri" w:hAnsi="Verdana" w:cs="Times New Roman"/>
          <w:b/>
          <w:bCs/>
          <w:lang w:val="es-ES"/>
        </w:rPr>
        <w:t>Doctrina de la Agencia Nacional de Contratación Pública:</w:t>
      </w:r>
    </w:p>
    <w:p w14:paraId="19DFEB1D" w14:textId="77777777" w:rsidR="003722BA" w:rsidRPr="003E4CC9" w:rsidRDefault="003722BA" w:rsidP="003722BA">
      <w:pPr>
        <w:widowControl w:val="0"/>
        <w:autoSpaceDE w:val="0"/>
        <w:autoSpaceDN w:val="0"/>
        <w:spacing w:after="0" w:line="276" w:lineRule="auto"/>
        <w:jc w:val="both"/>
        <w:rPr>
          <w:rFonts w:ascii="Verdana" w:hAnsi="Verdana" w:cs="Arial"/>
          <w:bCs/>
          <w:shd w:val="clear" w:color="auto" w:fill="FFFFFF"/>
        </w:rPr>
      </w:pPr>
    </w:p>
    <w:p w14:paraId="3E4B7919" w14:textId="77777777" w:rsidR="003722BA" w:rsidRDefault="003722BA" w:rsidP="003722BA">
      <w:pPr>
        <w:widowControl w:val="0"/>
        <w:autoSpaceDE w:val="0"/>
        <w:autoSpaceDN w:val="0"/>
        <w:spacing w:after="0" w:line="276" w:lineRule="auto"/>
        <w:jc w:val="both"/>
        <w:rPr>
          <w:rFonts w:ascii="Verdana" w:eastAsia="Calibri" w:hAnsi="Verdana" w:cs="Times New Roman"/>
        </w:rPr>
      </w:pPr>
      <w:r w:rsidRPr="003E4CC9">
        <w:rPr>
          <w:rFonts w:ascii="Verdana" w:hAnsi="Verdana" w:cs="Arial"/>
          <w:bCs/>
          <w:shd w:val="clear" w:color="auto" w:fill="FFFFFF"/>
        </w:rPr>
        <w:t xml:space="preserve">La Agencia Nacional de Contratación Pública – Colombia Compra Eficiente, se ha pronunciado en diferentes conceptos sobre las </w:t>
      </w:r>
      <w:r w:rsidRPr="003E4CC9">
        <w:rPr>
          <w:rFonts w:ascii="Verdana" w:hAnsi="Verdana" w:cs="Arial"/>
          <w:bCs/>
          <w:shd w:val="clear" w:color="auto" w:fill="FFFFFF"/>
          <w:lang w:val="es-ES_tradnl"/>
        </w:rPr>
        <w:t>modificaciones y adiciones en los contratos estatales en los Conceptos Nro. C-277 de 21 de junio de 2021, C-644 de 18 de noviembre de 2021, C-755 de 21 de enero de 2022, C-152 de 1 de abril de 2022, C-267 de 5 de mayo de 2022, C-432 de 13 de julio de 2022, C-630 del 29 de septiembre de 2022, C</w:t>
      </w:r>
      <w:r>
        <w:rPr>
          <w:rFonts w:ascii="Verdana" w:hAnsi="Verdana" w:cs="Arial"/>
          <w:bCs/>
          <w:shd w:val="clear" w:color="auto" w:fill="FFFFFF"/>
          <w:lang w:val="es-ES_tradnl"/>
        </w:rPr>
        <w:t>-</w:t>
      </w:r>
      <w:r w:rsidRPr="003E4CC9">
        <w:rPr>
          <w:rFonts w:ascii="Verdana" w:hAnsi="Verdana" w:cs="Arial"/>
          <w:bCs/>
          <w:shd w:val="clear" w:color="auto" w:fill="FFFFFF"/>
          <w:lang w:val="es-ES_tradnl"/>
        </w:rPr>
        <w:t>784 del 21 de noviembre del 2022, C-398 del 27 de septiembre de 2023, C-452 del 7 de noviembre de 2023, C-463 del 22 de noviembre de 2023, C-471 del 25 de enero del 2024, C-329 del 22 de agosto de 2024, C-563 del 21 de octubre de 2024, C-903 del 2 de enero de 2024, C-1008 del 30 de enero de 2025</w:t>
      </w:r>
      <w:r w:rsidRPr="003E4CC9">
        <w:rPr>
          <w:rFonts w:ascii="Verdana" w:hAnsi="Verdana" w:cs="Arial"/>
          <w:bCs/>
          <w:shd w:val="clear" w:color="auto" w:fill="FFFFFF"/>
          <w:lang w:val="es-ES"/>
        </w:rPr>
        <w:t>, C-308 del 28 de abril de 2025, C-451 del 19 de mayo de 2025, C-491 del 3 de junio de 2025,</w:t>
      </w:r>
      <w:r w:rsidRPr="003E4CC9">
        <w:rPr>
          <w:rFonts w:ascii="Verdana" w:hAnsi="Verdana" w:cs="Arial"/>
          <w:bCs/>
          <w:shd w:val="clear" w:color="auto" w:fill="FFFFFF"/>
        </w:rPr>
        <w:t xml:space="preserve"> C-165 del 26 de febrero de 2026, entre otros.</w:t>
      </w:r>
      <w:r w:rsidRPr="00542FE4">
        <w:rPr>
          <w:rFonts w:ascii="Verdana" w:hAnsi="Verdana" w:cs="Arial"/>
          <w:shd w:val="clear" w:color="auto" w:fill="FFFFFF"/>
        </w:rPr>
        <w:t xml:space="preserve"> </w:t>
      </w:r>
      <w:r w:rsidRPr="00A654FC">
        <w:rPr>
          <w:rFonts w:ascii="Verdana" w:hAnsi="Verdana" w:cs="Arial"/>
          <w:bCs/>
          <w:shd w:val="clear" w:color="auto" w:fill="FFFFFF"/>
        </w:rPr>
        <w:t>Sobre la exigencia de disponibilidad presupuestal en contratos con cláusula de comisión de éxito o cuota litis, ver los Conceptos C-641 del 11 de octubre de 2024 y C-566 del 19 de junio de 2025; y sobre la ejecución de mayores cantidades, el Concepto C-017 del 5 de febrero de 2025.</w:t>
      </w:r>
      <w:r w:rsidRPr="00542FE4">
        <w:t xml:space="preserve">  </w:t>
      </w:r>
      <w:r w:rsidRPr="00802BE2">
        <w:rPr>
          <w:rFonts w:ascii="Verdana" w:hAnsi="Verdana" w:cs="Arial"/>
          <w:bCs/>
          <w:shd w:val="clear" w:color="auto" w:fill="FFFFFF"/>
        </w:rPr>
        <w:t>Respecto de los contratos en los cuales el precio o valor es susceptible de determinación conforme a los parámetros previstos por las partes, en este concepto se exponen las consideraciones jurídicas relevantes para su análisis.</w:t>
      </w:r>
      <w:r>
        <w:rPr>
          <w:rFonts w:ascii="Verdana" w:hAnsi="Verdana" w:cs="Arial"/>
          <w:bCs/>
          <w:shd w:val="clear" w:color="auto" w:fill="FFFFFF"/>
        </w:rPr>
        <w:t xml:space="preserve"> </w:t>
      </w:r>
      <w:r w:rsidRPr="003E4CC9">
        <w:rPr>
          <w:rFonts w:ascii="Verdana" w:eastAsia="Calibri" w:hAnsi="Verdana" w:cs="Times New Roman"/>
        </w:rPr>
        <w:t xml:space="preserve">Estos y otros conceptos se encuentran disponibles para consulta en el Sistema de Relatoría de la Agencia, en el cual también podrás encontrar jurisprudencia del Consejo de Estado, laudos arbitrales y la normativa de la contratación concordada con la doctrina </w:t>
      </w:r>
      <w:r w:rsidRPr="003E4CC9">
        <w:rPr>
          <w:rFonts w:ascii="Verdana" w:eastAsia="Calibri" w:hAnsi="Verdana" w:cs="Times New Roman"/>
        </w:rPr>
        <w:lastRenderedPageBreak/>
        <w:t>de la Subdirección de Gestión Contractual, accede a través del siguiente enlace:</w:t>
      </w:r>
      <w:r w:rsidRPr="003E4CC9">
        <w:rPr>
          <w:rFonts w:ascii="Verdana" w:hAnsi="Verdana" w:cs="Arial"/>
          <w:bCs/>
          <w:shd w:val="clear" w:color="auto" w:fill="FFFFFF"/>
        </w:rPr>
        <w:t xml:space="preserve"> </w:t>
      </w:r>
      <w:hyperlink r:id="rId13" w:history="1">
        <w:r w:rsidRPr="003E4CC9">
          <w:rPr>
            <w:rFonts w:ascii="Verdana" w:eastAsia="Calibri" w:hAnsi="Verdana" w:cs="Times New Roman"/>
            <w:color w:val="0000FF"/>
            <w:u w:val="single"/>
            <w:lang w:val="es-ES"/>
          </w:rPr>
          <w:t>https://relatoria.colombiacompra.gov.co/busqueda/conceptos</w:t>
        </w:r>
      </w:hyperlink>
      <w:r w:rsidRPr="003E4CC9">
        <w:rPr>
          <w:rFonts w:ascii="Verdana" w:eastAsia="Calibri" w:hAnsi="Verdana" w:cs="Times New Roman"/>
        </w:rPr>
        <w:t xml:space="preserve">. </w:t>
      </w:r>
    </w:p>
    <w:p w14:paraId="70718B72" w14:textId="77777777" w:rsidR="003722BA" w:rsidRDefault="003722BA" w:rsidP="003722BA">
      <w:pPr>
        <w:widowControl w:val="0"/>
        <w:autoSpaceDE w:val="0"/>
        <w:autoSpaceDN w:val="0"/>
        <w:spacing w:after="0" w:line="276" w:lineRule="auto"/>
        <w:jc w:val="both"/>
        <w:rPr>
          <w:rFonts w:ascii="Verdana" w:eastAsia="Calibri" w:hAnsi="Verdana" w:cs="Times New Roman"/>
        </w:rPr>
      </w:pPr>
    </w:p>
    <w:p w14:paraId="4EFF8CAC" w14:textId="77777777" w:rsidR="003722BA" w:rsidRPr="003D5C91" w:rsidRDefault="003722BA" w:rsidP="003722BA">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3D5C91">
        <w:rPr>
          <w:rFonts w:ascii="Verdana" w:eastAsia="Calibri" w:hAnsi="Verdana" w:cs="Arial"/>
          <w:b/>
          <w:bCs/>
          <w:color w:val="000000"/>
          <w:lang w:eastAsia="es-ES_tradnl"/>
        </w:rPr>
        <w:t>Guía para la Exigencia y Constitución de Garantías en los Procesos de Contratación</w:t>
      </w:r>
      <w:r w:rsidRPr="003D5C91">
        <w:rPr>
          <w:rFonts w:ascii="Verdana" w:eastAsia="Calibri" w:hAnsi="Verdana" w:cs="Arial"/>
          <w:color w:val="000000"/>
          <w:lang w:eastAsia="es-ES_tradn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https://www.colombiacompra.gov.co/archivos/manual/guia-de-garantias-en-procesos-de-contratacion" w:history="1">
        <w:r w:rsidRPr="003D5C91">
          <w:rPr>
            <w:rStyle w:val="Hipervnculo"/>
            <w:rFonts w:ascii="Verdana" w:eastAsia="Calibri" w:hAnsi="Verdana" w:cs="Arial"/>
            <w:lang w:eastAsia="es-ES_tradnl"/>
          </w:rPr>
          <w:t>https://www.colombiacompra.gov.co/archivos/manual/guia-de-garantias-en-procesos-de-contratacion</w:t>
        </w:r>
      </w:hyperlink>
    </w:p>
    <w:p w14:paraId="3CC490DB" w14:textId="77777777" w:rsidR="003722BA" w:rsidRDefault="003722BA" w:rsidP="003722BA">
      <w:pPr>
        <w:spacing w:after="0" w:line="276" w:lineRule="auto"/>
        <w:jc w:val="both"/>
        <w:rPr>
          <w:rFonts w:ascii="Verdana" w:eastAsia="Calibri" w:hAnsi="Verdana" w:cs="Arial"/>
          <w:color w:val="000000"/>
          <w:lang w:eastAsia="es-ES_tradnl"/>
        </w:rPr>
      </w:pPr>
    </w:p>
    <w:p w14:paraId="5BF5EA63" w14:textId="77777777" w:rsidR="003722BA" w:rsidRPr="003D5C91" w:rsidRDefault="003722BA" w:rsidP="003722BA">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De otro lado, te contamos que el Decreto 287 del 19 de marzo de 2026 sustituyó los artículos 2.2.1.2.4.2.6., 2.2.1.2.4.2.7. y 2.2.1.2.4.2.8. del Decreto 1082 de 2015 y estructuró el </w:t>
      </w:r>
      <w:r w:rsidRPr="003D5C91">
        <w:rPr>
          <w:rFonts w:ascii="Verdana" w:eastAsia="Calibri" w:hAnsi="Verdana" w:cs="Arial"/>
          <w:b/>
          <w:bCs/>
          <w:color w:val="000000"/>
          <w:lang w:eastAsia="es-ES_tradnl"/>
        </w:rPr>
        <w:t>Sistema Integral de Preferencias en favor de las personas con discapacidad</w:t>
      </w:r>
      <w:r w:rsidRPr="003D5C91">
        <w:rPr>
          <w:rFonts w:ascii="Verdana" w:eastAsia="Calibri" w:hAnsi="Verdana" w:cs="Arial"/>
          <w:color w:val="000000"/>
          <w:lang w:eastAsia="es-ES_tradnl"/>
        </w:rPr>
        <w:t>, en cumplimiento del artículo 13 de la Ley Estatutaria 1618 de 2013. Para orientar su aplicación, esta Agencia expidió la </w:t>
      </w:r>
      <w:r w:rsidRPr="003D5C91">
        <w:rPr>
          <w:rFonts w:ascii="Verdana" w:eastAsia="Calibri" w:hAnsi="Verdana" w:cs="Arial"/>
          <w:b/>
          <w:bCs/>
          <w:color w:val="000000"/>
          <w:lang w:eastAsia="es-ES_tradnl"/>
        </w:rPr>
        <w:t>Circular Externa 003 del 12 de mayo de 2026, </w:t>
      </w:r>
      <w:r w:rsidRPr="003D5C91">
        <w:rPr>
          <w:rFonts w:ascii="Verdana" w:eastAsia="Calibri" w:hAnsi="Verdana" w:cs="Arial"/>
          <w:color w:val="000000"/>
          <w:lang w:eastAsia="es-ES_tradnl"/>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https://www.colombiacompra.gov.co/archivos/circular/circular-externa-003-de-2026" w:history="1">
        <w:r w:rsidRPr="003D5C91">
          <w:rPr>
            <w:rStyle w:val="Hipervnculo"/>
            <w:rFonts w:ascii="Verdana" w:eastAsia="Calibri" w:hAnsi="Verdana" w:cs="Arial"/>
            <w:lang w:eastAsia="es-ES_tradnl"/>
          </w:rPr>
          <w:t>https://www.colombiacompra.gov.co/archivos/circular/circular-externa-003-de-2026</w:t>
        </w:r>
      </w:hyperlink>
    </w:p>
    <w:p w14:paraId="042DC716" w14:textId="77777777" w:rsidR="003722BA" w:rsidRDefault="003722BA" w:rsidP="003722BA">
      <w:pPr>
        <w:spacing w:after="0" w:line="276" w:lineRule="auto"/>
        <w:jc w:val="both"/>
        <w:rPr>
          <w:rFonts w:ascii="Verdana" w:eastAsia="Calibri" w:hAnsi="Verdana" w:cs="Arial"/>
          <w:color w:val="000000"/>
          <w:lang w:eastAsia="es-ES_tradnl"/>
        </w:rPr>
      </w:pPr>
    </w:p>
    <w:p w14:paraId="6B3B58C7" w14:textId="77777777" w:rsidR="003722BA" w:rsidRDefault="003722BA" w:rsidP="003722BA">
      <w:pPr>
        <w:spacing w:after="0" w:line="276" w:lineRule="auto"/>
        <w:jc w:val="both"/>
      </w:pPr>
      <w:r w:rsidRPr="003D5C91">
        <w:rPr>
          <w:rFonts w:ascii="Verdana" w:eastAsia="Calibri" w:hAnsi="Verdana" w:cs="Arial"/>
          <w:color w:val="000000"/>
          <w:lang w:eastAsia="es-ES_tradnl"/>
        </w:rPr>
        <w:t>Recuerda también que la</w:t>
      </w:r>
      <w:r w:rsidRPr="003D5C91">
        <w:rPr>
          <w:rFonts w:ascii="Verdana" w:eastAsia="Calibri" w:hAnsi="Verdana" w:cs="Arial"/>
          <w:b/>
          <w:bCs/>
          <w:color w:val="000000"/>
          <w:lang w:eastAsia="es-ES_tradnl"/>
        </w:rPr>
        <w:t> información sobre sanciones e inhabilidades </w:t>
      </w:r>
      <w:r w:rsidRPr="003D5C91">
        <w:rPr>
          <w:rFonts w:ascii="Verdana" w:eastAsia="Calibri" w:hAnsi="Verdana" w:cs="Arial"/>
          <w:color w:val="000000"/>
          <w:lang w:eastAsia="es-ES_tradnl"/>
        </w:rPr>
        <w:t>solo cumple su función preventiva si llega oportunamente a los registros públicos. Sobre este deber, esta Agencia expidió la </w:t>
      </w:r>
      <w:r w:rsidRPr="003D5C91">
        <w:rPr>
          <w:rFonts w:ascii="Verdana" w:eastAsia="Calibri" w:hAnsi="Verdana" w:cs="Arial"/>
          <w:b/>
          <w:bCs/>
          <w:color w:val="000000"/>
          <w:lang w:eastAsia="es-ES_tradnl"/>
        </w:rPr>
        <w:t>Circular Externa 002 del 5 de mayo de 2026,</w:t>
      </w:r>
      <w:r w:rsidRPr="003D5C91">
        <w:rPr>
          <w:rFonts w:ascii="Verdana" w:eastAsia="Calibri" w:hAnsi="Verdana" w:cs="Arial"/>
          <w:color w:val="000000"/>
          <w:lang w:eastAsia="es-ES_tradnl"/>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w:t>
      </w:r>
      <w:r w:rsidRPr="003D5C91">
        <w:rPr>
          <w:rFonts w:ascii="Verdana" w:eastAsia="Calibri" w:hAnsi="Verdana" w:cs="Arial"/>
          <w:color w:val="000000"/>
          <w:lang w:eastAsia="es-ES_tradnl"/>
        </w:rPr>
        <w:lastRenderedPageBreak/>
        <w:t>aquí: </w:t>
      </w:r>
      <w:hyperlink r:id="rId16" w:tgtFrame="_blank" w:tooltip="https://www.colombiacompra.gov.co/archivos/circular/circular-externa-002-de-2026" w:history="1">
        <w:r w:rsidRPr="003D5C91">
          <w:rPr>
            <w:rStyle w:val="Hipervnculo"/>
            <w:rFonts w:ascii="Verdana" w:eastAsia="Calibri" w:hAnsi="Verdana" w:cs="Arial"/>
            <w:lang w:eastAsia="es-ES_tradnl"/>
          </w:rPr>
          <w:t>https://www.colombiacompra.gov.co/archivos/circular/circular-externa-002-de-2026</w:t>
        </w:r>
      </w:hyperlink>
    </w:p>
    <w:p w14:paraId="5EC9B690" w14:textId="77777777" w:rsidR="003722BA" w:rsidRPr="003D5C91" w:rsidRDefault="003722BA" w:rsidP="003722BA">
      <w:pPr>
        <w:spacing w:after="0" w:line="276" w:lineRule="auto"/>
        <w:jc w:val="both"/>
        <w:rPr>
          <w:rFonts w:ascii="Verdana" w:eastAsia="Calibri" w:hAnsi="Verdana" w:cs="Arial"/>
          <w:color w:val="000000"/>
          <w:lang w:eastAsia="es-ES_tradnl"/>
        </w:rPr>
      </w:pPr>
    </w:p>
    <w:p w14:paraId="7B6D9E48" w14:textId="77777777" w:rsidR="003722BA" w:rsidRPr="003D5C91" w:rsidRDefault="003722BA" w:rsidP="003722BA">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Finalmente, si quieres seguir de cerca la actividad de la Agencia, la tercera edición de 2026 del</w:t>
      </w:r>
      <w:r w:rsidRPr="003D5C91">
        <w:rPr>
          <w:rFonts w:ascii="Verdana" w:eastAsia="Calibri" w:hAnsi="Verdana" w:cs="Arial"/>
          <w:b/>
          <w:bCs/>
          <w:color w:val="000000"/>
          <w:lang w:eastAsia="es-ES_tradnl"/>
        </w:rPr>
        <w:t> Radar de la Compra Pública</w:t>
      </w:r>
      <w:r w:rsidRPr="003D5C91">
        <w:rPr>
          <w:rFonts w:ascii="Verdana" w:eastAsia="Calibri" w:hAnsi="Verdana" w:cs="Arial"/>
          <w:color w:val="000000"/>
          <w:lang w:eastAsia="es-ES_tradn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https://www.colombiacompra.gov.co/archivos/boletin/boletin-edicion-n-3-de-2026-radar-de-la-compra-publica" w:history="1">
        <w:r w:rsidRPr="003D5C91">
          <w:rPr>
            <w:rStyle w:val="Hipervnculo"/>
            <w:rFonts w:ascii="Verdana" w:eastAsia="Calibri" w:hAnsi="Verdana" w:cs="Arial"/>
            <w:lang w:eastAsia="es-ES_tradnl"/>
          </w:rPr>
          <w:t>https://www.colombiacompra.gov.co/archivos/boletin/boletin-edicion-n-3-de-2026-radar-de-la-compra-publica</w:t>
        </w:r>
      </w:hyperlink>
    </w:p>
    <w:p w14:paraId="375E268B" w14:textId="77777777" w:rsidR="003722BA" w:rsidRDefault="003722BA" w:rsidP="003722BA">
      <w:pPr>
        <w:spacing w:after="0"/>
        <w:jc w:val="both"/>
        <w:rPr>
          <w:rFonts w:ascii="Verdana" w:hAnsi="Verdana"/>
        </w:rPr>
      </w:pPr>
    </w:p>
    <w:p w14:paraId="31F97C09" w14:textId="77777777" w:rsidR="003722BA" w:rsidRPr="00116940" w:rsidRDefault="003722BA" w:rsidP="003722BA">
      <w:pPr>
        <w:spacing w:after="0"/>
        <w:jc w:val="both"/>
        <w:rPr>
          <w:rFonts w:ascii="Verdana" w:hAnsi="Verdana"/>
        </w:rPr>
      </w:pPr>
      <w:r w:rsidRPr="00E02524">
        <w:rPr>
          <w:rFonts w:ascii="Verdana" w:hAnsi="Verdana"/>
        </w:rPr>
        <w:t xml:space="preserve">Por último, aprovechamos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4B18416E" w14:textId="77777777" w:rsidR="003722BA" w:rsidRPr="00116940" w:rsidRDefault="003722BA" w:rsidP="003722BA">
      <w:pPr>
        <w:spacing w:after="0"/>
        <w:jc w:val="both"/>
        <w:rPr>
          <w:rFonts w:ascii="Verdana" w:hAnsi="Verdana"/>
        </w:rPr>
      </w:pPr>
    </w:p>
    <w:p w14:paraId="7C9302D5" w14:textId="77777777" w:rsidR="003722BA" w:rsidRPr="00116940" w:rsidRDefault="003722BA" w:rsidP="003722BA">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2EE09878" w14:textId="77777777" w:rsidR="003722BA" w:rsidRPr="00116940" w:rsidRDefault="003722BA" w:rsidP="003722BA">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79460D6E" w14:textId="77777777" w:rsidR="003722BA" w:rsidRPr="00116940" w:rsidRDefault="003722BA" w:rsidP="003722BA">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8">
        <w:r w:rsidRPr="00116940">
          <w:rPr>
            <w:rStyle w:val="Hipervnculo"/>
            <w:rFonts w:ascii="Verdana" w:eastAsia="Verdana" w:hAnsi="Verdana" w:cs="Verdana"/>
            <w:lang w:val="es-MX"/>
          </w:rPr>
          <w:t>ventanilladeradicacion@colombiacompra.gov.co</w:t>
        </w:r>
      </w:hyperlink>
    </w:p>
    <w:p w14:paraId="0F7E2D00" w14:textId="77777777" w:rsidR="003722BA" w:rsidRPr="00116940" w:rsidRDefault="003722BA" w:rsidP="003722BA">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9">
        <w:r w:rsidRPr="00116940">
          <w:rPr>
            <w:rStyle w:val="Hipervnculo"/>
            <w:rFonts w:ascii="Verdana" w:eastAsia="Verdana" w:hAnsi="Verdana" w:cs="Verdana"/>
            <w:lang w:val="es-MX"/>
          </w:rPr>
          <w:t>https://www.colombiacompra.gov.co/pqrsd/informacion-importante-antes-de-formular-una-pqrsd</w:t>
        </w:r>
      </w:hyperlink>
    </w:p>
    <w:p w14:paraId="76910C2C" w14:textId="77777777" w:rsidR="003722BA" w:rsidRPr="00116940" w:rsidRDefault="003722BA" w:rsidP="003722BA">
      <w:pPr>
        <w:spacing w:after="0" w:line="240" w:lineRule="auto"/>
        <w:ind w:left="720"/>
        <w:jc w:val="both"/>
        <w:rPr>
          <w:rFonts w:ascii="Verdana" w:hAnsi="Verdana"/>
        </w:rPr>
      </w:pPr>
    </w:p>
    <w:p w14:paraId="358CF683" w14:textId="77777777" w:rsidR="003722BA" w:rsidRPr="00116940" w:rsidRDefault="003722BA" w:rsidP="003722BA">
      <w:pPr>
        <w:spacing w:after="0" w:line="240" w:lineRule="auto"/>
        <w:rPr>
          <w:rFonts w:ascii="Verdana" w:hAnsi="Verdana"/>
        </w:rPr>
      </w:pPr>
      <w:r w:rsidRPr="00116940">
        <w:rPr>
          <w:rFonts w:ascii="Verdana" w:hAnsi="Verdana"/>
        </w:rPr>
        <w:t xml:space="preserve">Evalúa el servicio que ofrece la Agencia por el canal de atención de PQRSD en el siguiente </w:t>
      </w:r>
      <w:proofErr w:type="gramStart"/>
      <w:r w:rsidRPr="00116940">
        <w:rPr>
          <w:rFonts w:ascii="Verdana" w:hAnsi="Verdana"/>
        </w:rPr>
        <w:t>enlace :</w:t>
      </w:r>
      <w:proofErr w:type="gramEnd"/>
      <w:hyperlink r:id="rId20"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7BD9C33F" w14:textId="77777777" w:rsidR="003722BA" w:rsidRPr="00116940" w:rsidRDefault="003722BA" w:rsidP="003722BA">
      <w:pPr>
        <w:spacing w:after="0" w:line="240" w:lineRule="auto"/>
        <w:rPr>
          <w:rFonts w:ascii="Verdana" w:hAnsi="Verdana"/>
        </w:rPr>
      </w:pPr>
    </w:p>
    <w:p w14:paraId="6C2448E9" w14:textId="77777777" w:rsidR="003722BA" w:rsidRPr="00116940" w:rsidRDefault="003722BA" w:rsidP="003722BA">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470E0AC1" w14:textId="77777777" w:rsidR="003722BA" w:rsidRPr="00116940" w:rsidRDefault="003722BA" w:rsidP="003722BA">
      <w:pPr>
        <w:spacing w:after="0" w:line="240" w:lineRule="auto"/>
        <w:jc w:val="both"/>
        <w:rPr>
          <w:rFonts w:ascii="Verdana" w:hAnsi="Verdana"/>
        </w:rPr>
      </w:pPr>
    </w:p>
    <w:p w14:paraId="00BF6E8D" w14:textId="77777777" w:rsidR="003722BA" w:rsidRPr="00116940" w:rsidRDefault="003722BA" w:rsidP="003722BA">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4B00C1EE" w14:textId="77777777" w:rsidR="003722BA" w:rsidRPr="00116940" w:rsidRDefault="003722BA" w:rsidP="003722BA">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771CB5D4" w14:textId="77777777" w:rsidR="003722BA" w:rsidRPr="00116940" w:rsidRDefault="003722BA" w:rsidP="003722BA">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237880AD" w14:textId="77777777" w:rsidR="003722BA" w:rsidRPr="00116940" w:rsidRDefault="003722BA" w:rsidP="003722BA">
      <w:pPr>
        <w:spacing w:after="0" w:line="240" w:lineRule="auto"/>
        <w:jc w:val="both"/>
        <w:rPr>
          <w:rFonts w:ascii="Verdana" w:hAnsi="Verdana"/>
        </w:rPr>
      </w:pPr>
    </w:p>
    <w:p w14:paraId="60ED2DA9" w14:textId="77777777" w:rsidR="003722BA" w:rsidRPr="009037F6" w:rsidRDefault="003722BA" w:rsidP="003722BA">
      <w:pPr>
        <w:spacing w:after="0" w:line="256" w:lineRule="auto"/>
        <w:jc w:val="both"/>
        <w:rPr>
          <w:rFonts w:ascii="Verdana" w:eastAsia="Calibri" w:hAnsi="Verdana" w:cs="Times New Roman"/>
          <w:bCs/>
          <w:lang w:val="es-ES_tradnl"/>
        </w:rPr>
      </w:pPr>
      <w:r w:rsidRPr="009037F6">
        <w:rPr>
          <w:rFonts w:ascii="Verdana" w:eastAsia="Calibri" w:hAnsi="Verdana" w:cs="Times New Roman"/>
          <w:lang w:val="es-ES_tradnl"/>
        </w:rPr>
        <w:lastRenderedPageBreak/>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05FD8ACF" w14:textId="77777777" w:rsidR="003722BA" w:rsidRPr="00492C4A" w:rsidRDefault="003722BA" w:rsidP="003722BA">
      <w:pPr>
        <w:spacing w:after="0" w:line="256" w:lineRule="auto"/>
        <w:jc w:val="both"/>
        <w:rPr>
          <w:rFonts w:ascii="Verdana" w:eastAsia="Calibri" w:hAnsi="Verdana" w:cs="Times New Roman"/>
          <w:lang w:val="es-ES_tradnl"/>
        </w:rPr>
      </w:pPr>
    </w:p>
    <w:p w14:paraId="6AC2D594" w14:textId="77777777" w:rsidR="003722BA" w:rsidRPr="00B513EA" w:rsidRDefault="003722BA" w:rsidP="003722BA">
      <w:pPr>
        <w:spacing w:after="0" w:line="256" w:lineRule="auto"/>
        <w:jc w:val="both"/>
        <w:rPr>
          <w:rFonts w:ascii="Verdana" w:eastAsia="Calibri" w:hAnsi="Verdana" w:cs="Times New Roman"/>
        </w:rPr>
      </w:pPr>
      <w:r w:rsidRPr="009037F6">
        <w:rPr>
          <w:rFonts w:ascii="Verdana" w:eastAsia="Calibri" w:hAnsi="Verdana" w:cs="Times New Roman"/>
        </w:rPr>
        <w:t>Atentamente,</w:t>
      </w:r>
    </w:p>
    <w:p w14:paraId="4F887950" w14:textId="4090B316" w:rsidR="003722BA" w:rsidRDefault="003722BA" w:rsidP="003722BA">
      <w:pPr>
        <w:spacing w:after="0" w:line="256" w:lineRule="auto"/>
        <w:jc w:val="center"/>
        <w:rPr>
          <w:rFonts w:ascii="Century Gothic" w:hAnsi="Century Gothic"/>
          <w:noProof/>
          <w:sz w:val="16"/>
          <w:szCs w:val="16"/>
          <w:lang w:val="en-US"/>
        </w:rPr>
      </w:pPr>
    </w:p>
    <w:p w14:paraId="41A2D724" w14:textId="4549F992" w:rsidR="003722BA" w:rsidRDefault="000F7341" w:rsidP="003722BA">
      <w:pPr>
        <w:spacing w:after="0" w:line="256" w:lineRule="auto"/>
        <w:jc w:val="center"/>
        <w:rPr>
          <w:rFonts w:ascii="Century Gothic" w:hAnsi="Century Gothic"/>
          <w:noProof/>
          <w:sz w:val="16"/>
          <w:szCs w:val="16"/>
          <w:lang w:val="en-US"/>
        </w:rPr>
      </w:pPr>
      <w:r w:rsidRPr="002C3AD6">
        <w:rPr>
          <w:rFonts w:ascii="Century Gothic" w:hAnsi="Century Gothic"/>
          <w:noProof/>
          <w:lang w:val="en-US"/>
        </w:rPr>
        <w:drawing>
          <wp:inline distT="0" distB="0" distL="0" distR="0" wp14:anchorId="41F81EA5" wp14:editId="31CB0684">
            <wp:extent cx="3344092" cy="1241367"/>
            <wp:effectExtent l="0" t="0" r="0" b="0"/>
            <wp:docPr id="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1"/>
                    <a:stretch>
                      <a:fillRect/>
                    </a:stretch>
                  </pic:blipFill>
                  <pic:spPr>
                    <a:xfrm>
                      <a:off x="0" y="0"/>
                      <a:ext cx="3383988" cy="1256177"/>
                    </a:xfrm>
                    <a:prstGeom prst="rect">
                      <a:avLst/>
                    </a:prstGeom>
                  </pic:spPr>
                </pic:pic>
              </a:graphicData>
            </a:graphic>
          </wp:inline>
        </w:drawing>
      </w:r>
    </w:p>
    <w:p w14:paraId="1BB97849" w14:textId="77777777" w:rsidR="00B2048D" w:rsidRPr="002961A6" w:rsidRDefault="00B2048D" w:rsidP="003722BA">
      <w:pPr>
        <w:spacing w:after="0" w:line="256" w:lineRule="auto"/>
        <w:jc w:val="center"/>
        <w:rPr>
          <w:rFonts w:ascii="Century Gothic" w:hAnsi="Century Gothic"/>
          <w:noProof/>
          <w:sz w:val="16"/>
          <w:szCs w:val="16"/>
          <w:lang w:val="en-US"/>
        </w:rPr>
      </w:pP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3722BA" w:rsidRPr="00D56F8A" w14:paraId="30E4E8A3" w14:textId="77777777" w:rsidTr="005453ED">
        <w:trPr>
          <w:trHeight w:val="409"/>
        </w:trPr>
        <w:tc>
          <w:tcPr>
            <w:tcW w:w="817" w:type="dxa"/>
            <w:tcBorders>
              <w:top w:val="nil"/>
              <w:left w:val="nil"/>
              <w:bottom w:val="nil"/>
              <w:right w:val="nil"/>
            </w:tcBorders>
            <w:vAlign w:val="center"/>
            <w:hideMark/>
          </w:tcPr>
          <w:p w14:paraId="1F245B31" w14:textId="77777777" w:rsidR="003722BA" w:rsidRPr="00D56F8A" w:rsidRDefault="003722BA" w:rsidP="005453ED">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50CB3BD8" w14:textId="77777777" w:rsidR="003722BA" w:rsidRPr="00D56F8A" w:rsidRDefault="003722BA" w:rsidP="005453ED">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José Luis Sánchez Cardona</w:t>
            </w:r>
          </w:p>
          <w:p w14:paraId="1FC3AD87" w14:textId="77777777" w:rsidR="003722BA" w:rsidRPr="00D56F8A" w:rsidRDefault="003722BA" w:rsidP="005453ED">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Contratista de la Subdirección de Gestión Contractual</w:t>
            </w:r>
          </w:p>
        </w:tc>
      </w:tr>
      <w:tr w:rsidR="003722BA" w:rsidRPr="00D56F8A" w14:paraId="34358E87" w14:textId="77777777" w:rsidTr="005453ED">
        <w:trPr>
          <w:trHeight w:val="409"/>
        </w:trPr>
        <w:tc>
          <w:tcPr>
            <w:tcW w:w="817" w:type="dxa"/>
            <w:tcBorders>
              <w:top w:val="nil"/>
              <w:left w:val="nil"/>
              <w:bottom w:val="nil"/>
              <w:right w:val="nil"/>
            </w:tcBorders>
            <w:vAlign w:val="center"/>
            <w:hideMark/>
          </w:tcPr>
          <w:p w14:paraId="58BD91D3" w14:textId="77777777" w:rsidR="003722BA" w:rsidRPr="00D56F8A" w:rsidRDefault="003722BA" w:rsidP="005453ED">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7B9038F8" w14:textId="77777777" w:rsidR="003722BA" w:rsidRPr="00D56F8A" w:rsidRDefault="003722BA" w:rsidP="005453ED">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Alejandro R. Sarmiento Cantillo</w:t>
            </w:r>
          </w:p>
          <w:p w14:paraId="66E682D2" w14:textId="77777777" w:rsidR="003722BA" w:rsidRPr="00D56F8A" w:rsidRDefault="003722BA" w:rsidP="005453ED">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Gestor T1-15 de la Subdirección de Gestión Contractual </w:t>
            </w:r>
          </w:p>
        </w:tc>
      </w:tr>
      <w:tr w:rsidR="003722BA" w:rsidRPr="00D56F8A" w14:paraId="4C27E872" w14:textId="77777777" w:rsidTr="005453ED">
        <w:trPr>
          <w:trHeight w:val="389"/>
        </w:trPr>
        <w:tc>
          <w:tcPr>
            <w:tcW w:w="817" w:type="dxa"/>
            <w:tcBorders>
              <w:top w:val="nil"/>
              <w:left w:val="nil"/>
              <w:bottom w:val="nil"/>
              <w:right w:val="nil"/>
            </w:tcBorders>
            <w:vAlign w:val="center"/>
            <w:hideMark/>
          </w:tcPr>
          <w:p w14:paraId="05A99B87" w14:textId="77777777" w:rsidR="003722BA" w:rsidRPr="00D56F8A" w:rsidRDefault="003722BA" w:rsidP="005453ED">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56C02C49" w14:textId="77777777" w:rsidR="003722BA" w:rsidRPr="00D56F8A" w:rsidRDefault="003722BA" w:rsidP="005453ED">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Carolina Quintero Gacharná</w:t>
            </w:r>
          </w:p>
          <w:p w14:paraId="256FC6BC" w14:textId="77777777" w:rsidR="003722BA" w:rsidRPr="00D56F8A" w:rsidRDefault="003722BA" w:rsidP="005453ED">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Subdirectora de Gestión Contractual ANCP – CCE</w:t>
            </w:r>
          </w:p>
        </w:tc>
      </w:tr>
    </w:tbl>
    <w:p w14:paraId="320D4890" w14:textId="0A33269E" w:rsidR="003722BA" w:rsidRPr="000E2B93" w:rsidRDefault="003722BA" w:rsidP="003722BA">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0EE85FDE" w14:textId="77777777" w:rsidR="00C60D32" w:rsidRPr="003722BA" w:rsidRDefault="00C60D32" w:rsidP="003722BA"/>
    <w:sectPr w:rsidR="00C60D32" w:rsidRPr="003722BA"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03F3F" w14:textId="77777777" w:rsidR="00B80D30" w:rsidRDefault="00B80D30" w:rsidP="004A1847">
      <w:pPr>
        <w:spacing w:after="0" w:line="240" w:lineRule="auto"/>
      </w:pPr>
      <w:r>
        <w:separator/>
      </w:r>
    </w:p>
  </w:endnote>
  <w:endnote w:type="continuationSeparator" w:id="0">
    <w:p w14:paraId="64B53AFB" w14:textId="77777777" w:rsidR="00B80D30" w:rsidRDefault="00B80D30"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BE429B" w:rsidRDefault="00BE429B">
    <w:pPr>
      <w:pStyle w:val="Piedepgina"/>
    </w:pPr>
  </w:p>
  <w:p w14:paraId="594D6D9F" w14:textId="4827F3E8" w:rsidR="00BE429B" w:rsidRPr="00174B77" w:rsidRDefault="00BE429B"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D8371D" w:rsidRPr="00D8371D">
      <w:rPr>
        <w:rFonts w:ascii="Verdana" w:eastAsiaTheme="minorEastAsia" w:hAnsi="Verdana"/>
        <w:b/>
        <w:bCs/>
        <w:noProof/>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BE429B" w:rsidRDefault="00BE429B"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BE429B" w:rsidRPr="00E41027" w:rsidRDefault="00BE429B"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BE429B" w:rsidRDefault="00BE429B" w:rsidP="0025796E">
    <w:pPr>
      <w:pBdr>
        <w:top w:val="nil"/>
        <w:left w:val="nil"/>
        <w:bottom w:val="nil"/>
        <w:right w:val="nil"/>
        <w:between w:val="nil"/>
      </w:pBdr>
      <w:tabs>
        <w:tab w:val="center" w:pos="4419"/>
        <w:tab w:val="right" w:pos="8838"/>
        <w:tab w:val="center" w:pos="5400"/>
      </w:tabs>
      <w:spacing w:after="0"/>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2CD59" w14:textId="77777777" w:rsidR="00B80D30" w:rsidRDefault="00B80D30" w:rsidP="004A1847">
      <w:pPr>
        <w:spacing w:after="0" w:line="240" w:lineRule="auto"/>
      </w:pPr>
      <w:r>
        <w:separator/>
      </w:r>
    </w:p>
  </w:footnote>
  <w:footnote w:type="continuationSeparator" w:id="0">
    <w:p w14:paraId="0756BDFE" w14:textId="77777777" w:rsidR="00B80D30" w:rsidRDefault="00B80D30" w:rsidP="004A1847">
      <w:pPr>
        <w:spacing w:after="0" w:line="240" w:lineRule="auto"/>
      </w:pPr>
      <w:r>
        <w:continuationSeparator/>
      </w:r>
    </w:p>
  </w:footnote>
  <w:footnote w:id="1">
    <w:p w14:paraId="4BA03791" w14:textId="77777777" w:rsidR="003722BA" w:rsidRPr="00A654FC" w:rsidRDefault="003722BA" w:rsidP="003722BA">
      <w:pPr>
        <w:spacing w:after="0" w:line="276" w:lineRule="auto"/>
        <w:ind w:firstLine="709"/>
        <w:jc w:val="both"/>
        <w:rPr>
          <w:rFonts w:ascii="Verdana" w:hAnsi="Verdana"/>
          <w:sz w:val="16"/>
          <w:szCs w:val="16"/>
        </w:rPr>
      </w:pPr>
      <w:r w:rsidRPr="00A654FC">
        <w:rPr>
          <w:rStyle w:val="Refdenotaalpie"/>
          <w:rFonts w:ascii="Verdana" w:hAnsi="Verdana"/>
          <w:sz w:val="16"/>
          <w:szCs w:val="16"/>
        </w:rPr>
        <w:footnoteRef/>
      </w:r>
      <w:r w:rsidRPr="00A654FC">
        <w:rPr>
          <w:rFonts w:ascii="Verdana" w:eastAsia="Arial" w:hAnsi="Verdana" w:cs="Arial"/>
          <w:sz w:val="16"/>
          <w:szCs w:val="16"/>
        </w:rPr>
        <w:t>Ley 80 de 1993</w:t>
      </w:r>
      <w:r w:rsidRPr="007A2429">
        <w:rPr>
          <w:rFonts w:ascii="Verdana" w:eastAsia="Arial" w:hAnsi="Verdana" w:cs="Arial"/>
          <w:sz w:val="16"/>
          <w:szCs w:val="16"/>
        </w:rPr>
        <w:t>,</w:t>
      </w:r>
      <w:r w:rsidRPr="00A654FC">
        <w:rPr>
          <w:rFonts w:ascii="Verdana" w:eastAsia="Arial" w:hAnsi="Verdana" w:cs="Arial"/>
          <w:sz w:val="16"/>
          <w:szCs w:val="16"/>
        </w:rPr>
        <w:t xml:space="preserve"> art. 40, parágrafo (inciso segundo): “Los contratos no podrán adicionarse en más del cincuenta por ciento (50%) de su valor inicial, expresado éste en salarios mínimos legales mensuales”.</w:t>
      </w:r>
    </w:p>
  </w:footnote>
  <w:footnote w:id="2">
    <w:p w14:paraId="5C80A145" w14:textId="77777777" w:rsidR="003722BA" w:rsidRPr="00A654FC" w:rsidRDefault="003722BA" w:rsidP="003722BA">
      <w:pPr>
        <w:spacing w:after="0" w:line="276" w:lineRule="auto"/>
        <w:ind w:firstLine="709"/>
        <w:jc w:val="both"/>
        <w:rPr>
          <w:rFonts w:ascii="Verdana" w:hAnsi="Verdana"/>
          <w:sz w:val="16"/>
          <w:szCs w:val="16"/>
        </w:rPr>
      </w:pPr>
      <w:r w:rsidRPr="00A654FC">
        <w:rPr>
          <w:rStyle w:val="Refdenotaalpie"/>
          <w:rFonts w:ascii="Verdana" w:hAnsi="Verdana"/>
          <w:sz w:val="16"/>
          <w:szCs w:val="16"/>
        </w:rPr>
        <w:footnoteRef/>
      </w:r>
      <w:r w:rsidRPr="00A654FC">
        <w:rPr>
          <w:rFonts w:ascii="Verdana" w:eastAsia="Arial" w:hAnsi="Verdana" w:cs="Arial"/>
          <w:sz w:val="16"/>
          <w:szCs w:val="16"/>
        </w:rPr>
        <w:t>AGENCIA NACIONAL DE CONTRATACIÓN PÚBLICA – COLOMBIA COMPRA EFICIENTE. Concepto C-017 del 5 de febrero de 2025: “El límite a las adiciones previsto en el segundo inciso del parágrafo del artículo 40 de la Ley 80 de 1993, no impide que se ejecuten mayores cantidades de obras a las inicialmente estimadas, por valores incluso mayores al cincuenta por ciento (50%)”; el valor inicial tiene carácter indicativo.</w:t>
      </w:r>
    </w:p>
  </w:footnote>
  <w:footnote w:id="3">
    <w:p w14:paraId="4DB7CDF9" w14:textId="77777777" w:rsidR="003722BA" w:rsidRPr="00A654FC" w:rsidRDefault="003722BA" w:rsidP="003722BA">
      <w:pPr>
        <w:spacing w:after="0" w:line="276" w:lineRule="auto"/>
        <w:ind w:firstLine="709"/>
        <w:jc w:val="both"/>
        <w:rPr>
          <w:rFonts w:ascii="Verdana" w:hAnsi="Verdana"/>
          <w:sz w:val="16"/>
          <w:szCs w:val="16"/>
        </w:rPr>
      </w:pPr>
      <w:r w:rsidRPr="00A654FC">
        <w:rPr>
          <w:rStyle w:val="Refdenotaalpie"/>
          <w:rFonts w:ascii="Verdana" w:hAnsi="Verdana"/>
          <w:sz w:val="16"/>
          <w:szCs w:val="16"/>
        </w:rPr>
        <w:footnoteRef/>
      </w:r>
      <w:r w:rsidRPr="00A654FC">
        <w:rPr>
          <w:rFonts w:ascii="Verdana" w:eastAsia="Arial" w:hAnsi="Verdana" w:cs="Arial"/>
          <w:sz w:val="16"/>
          <w:szCs w:val="16"/>
        </w:rPr>
        <w:t xml:space="preserve"> Ley 80 de 1993, art. 25, num. 6: “Las entidades estatales abrirán licitaciones e iniciarán procesos de suscripción de contratos, cuando existan las respectivas partidas o disponibilidades presupuestales”. El CDP debe ser previo al inicio del proceso de selección (o de la negociación, en contratación directa).</w:t>
      </w:r>
    </w:p>
  </w:footnote>
  <w:footnote w:id="4">
    <w:p w14:paraId="1F65B79B" w14:textId="77777777" w:rsidR="003722BA" w:rsidRPr="00A654FC" w:rsidRDefault="003722BA" w:rsidP="003722BA">
      <w:pPr>
        <w:spacing w:after="0" w:line="276" w:lineRule="auto"/>
        <w:ind w:firstLine="709"/>
        <w:jc w:val="both"/>
        <w:rPr>
          <w:rFonts w:ascii="Verdana" w:hAnsi="Verdana"/>
          <w:sz w:val="16"/>
          <w:szCs w:val="16"/>
        </w:rPr>
      </w:pPr>
      <w:r w:rsidRPr="00A654FC">
        <w:rPr>
          <w:rStyle w:val="Refdenotaalpie"/>
          <w:rFonts w:ascii="Verdana" w:hAnsi="Verdana"/>
          <w:sz w:val="16"/>
          <w:szCs w:val="16"/>
        </w:rPr>
        <w:footnoteRef/>
      </w:r>
      <w:r w:rsidRPr="00A654FC">
        <w:rPr>
          <w:rFonts w:ascii="Verdana" w:eastAsia="Arial" w:hAnsi="Verdana" w:cs="Arial"/>
          <w:sz w:val="16"/>
          <w:szCs w:val="16"/>
        </w:rPr>
        <w:t>AGENCIA NACIONAL DE CONTRATACIÓN PÚBLICA – COLOMBIA COMPRA EFICIENTE. Concepto C-566 del 19 de junio de 2025: la regla presupuestal del num. 6 del art. 25 de la Ley 80 de 1993 “aplica incluso en los contratos que tienen la modalidad de pago de cuota litis, primas o comisiones de éxito, toda vez que la Ley no hizo ninguna exclusión”; la disponibilidad y el registro presupuestal “deben incluir las previsiones de los posibles pagos en virtud del pacto de comisiones de éxito, aun cuando estos pagos no se realicen”.</w:t>
      </w:r>
    </w:p>
  </w:footnote>
  <w:footnote w:id="5">
    <w:p w14:paraId="1C41693D" w14:textId="77777777" w:rsidR="003722BA" w:rsidRPr="00A654FC" w:rsidRDefault="003722BA" w:rsidP="003722BA">
      <w:pPr>
        <w:spacing w:after="0" w:line="276" w:lineRule="auto"/>
        <w:ind w:firstLine="709"/>
        <w:jc w:val="both"/>
        <w:rPr>
          <w:rFonts w:ascii="Verdana" w:hAnsi="Verdana"/>
          <w:sz w:val="16"/>
          <w:szCs w:val="16"/>
        </w:rPr>
      </w:pPr>
      <w:r w:rsidRPr="00A654FC">
        <w:rPr>
          <w:rStyle w:val="Refdenotaalpie"/>
          <w:rFonts w:ascii="Verdana" w:hAnsi="Verdana"/>
          <w:sz w:val="16"/>
          <w:szCs w:val="16"/>
        </w:rPr>
        <w:footnoteRef/>
      </w:r>
      <w:r w:rsidRPr="00A654FC">
        <w:rPr>
          <w:rFonts w:ascii="Verdana" w:eastAsia="Arial" w:hAnsi="Verdana" w:cs="Arial"/>
          <w:sz w:val="16"/>
          <w:szCs w:val="16"/>
        </w:rPr>
        <w:t xml:space="preserve"> Decreto 111 de 1996</w:t>
      </w:r>
      <w:r w:rsidRPr="007A2429">
        <w:rPr>
          <w:rFonts w:ascii="Verdana" w:eastAsia="Arial" w:hAnsi="Verdana" w:cs="Arial"/>
          <w:sz w:val="16"/>
          <w:szCs w:val="16"/>
        </w:rPr>
        <w:t>,</w:t>
      </w:r>
      <w:r w:rsidRPr="00A654FC">
        <w:rPr>
          <w:rFonts w:ascii="Verdana" w:eastAsia="Arial" w:hAnsi="Verdana" w:cs="Arial"/>
          <w:sz w:val="16"/>
          <w:szCs w:val="16"/>
        </w:rPr>
        <w:t xml:space="preserve"> Estatuto Orgánico del Presupuesto, art. 71: todos los actos que afecten apropiaciones “deberán contar con certificados de disponibilidad previos”; los compromisos requieren registro presupuestal; “ninguna autoridad podrá contraer obligaciones sobre apropiaciones inexistentes”; su violación “creará responsabilidad personal y pecuniaria”.</w:t>
      </w:r>
    </w:p>
  </w:footnote>
  <w:footnote w:id="6">
    <w:p w14:paraId="146EF7EB" w14:textId="77777777" w:rsidR="003722BA" w:rsidRPr="00A654FC" w:rsidRDefault="003722BA" w:rsidP="003722BA">
      <w:pPr>
        <w:spacing w:after="0" w:line="276" w:lineRule="auto"/>
        <w:ind w:firstLine="709"/>
        <w:jc w:val="both"/>
        <w:rPr>
          <w:rFonts w:ascii="Verdana" w:hAnsi="Verdana"/>
          <w:sz w:val="16"/>
          <w:szCs w:val="16"/>
        </w:rPr>
      </w:pPr>
      <w:r w:rsidRPr="00A654FC">
        <w:rPr>
          <w:rStyle w:val="Refdenotaalpie"/>
          <w:rFonts w:ascii="Verdana" w:hAnsi="Verdana"/>
          <w:sz w:val="16"/>
          <w:szCs w:val="16"/>
        </w:rPr>
        <w:footnoteRef/>
      </w:r>
      <w:r w:rsidRPr="00A654FC">
        <w:rPr>
          <w:rFonts w:ascii="Verdana" w:eastAsia="Arial" w:hAnsi="Verdana" w:cs="Arial"/>
          <w:sz w:val="16"/>
          <w:szCs w:val="16"/>
        </w:rPr>
        <w:t xml:space="preserve"> Constitución Política, arts. 345, 346 y 347 (principio de legalidad del gasto público). CORTE CONSTITUCIONAL. Sentencia C-073 de 1993, M.P. Alejandro Martínez Caballero: la disponibilidad presupuestal es un instrumento protector del principio de legalidad del gasto.</w:t>
      </w:r>
    </w:p>
  </w:footnote>
  <w:footnote w:id="7">
    <w:p w14:paraId="0029B30A" w14:textId="77777777" w:rsidR="003722BA" w:rsidRPr="00A654FC" w:rsidRDefault="003722BA" w:rsidP="003722BA">
      <w:pPr>
        <w:spacing w:after="0" w:line="276" w:lineRule="auto"/>
        <w:ind w:firstLine="709"/>
        <w:jc w:val="both"/>
        <w:rPr>
          <w:rFonts w:ascii="Verdana" w:hAnsi="Verdana"/>
          <w:sz w:val="16"/>
          <w:szCs w:val="16"/>
        </w:rPr>
      </w:pPr>
      <w:r w:rsidRPr="00A654FC">
        <w:rPr>
          <w:rStyle w:val="Refdenotaalpie"/>
          <w:rFonts w:ascii="Verdana" w:hAnsi="Verdana"/>
          <w:sz w:val="16"/>
          <w:szCs w:val="16"/>
        </w:rPr>
        <w:footnoteRef/>
      </w:r>
      <w:r w:rsidRPr="00A654FC">
        <w:rPr>
          <w:rFonts w:ascii="Verdana" w:eastAsia="Arial" w:hAnsi="Verdana" w:cs="Arial"/>
          <w:sz w:val="16"/>
          <w:szCs w:val="16"/>
        </w:rPr>
        <w:t>CONSEJO DE ESTADO. Sección Tercera. Sentencia del 7 de marzo de 2025, Rad. 66556, C.P. María Adriana Marín: declaró la nulidad absoluta, por objeto ilícito, de un contrato que pactó comisión de éxito (20%) sobre excedentes del FONPET, por delegar una función indelegable y por recaer sobre recursos de destinación específica. Las entidades “no pueden pactar comisiones de éxito cuando su pago se realice con recursos que tienen una destinación específica”.</w:t>
      </w:r>
    </w:p>
  </w:footnote>
  <w:footnote w:id="8">
    <w:p w14:paraId="5AC630BE" w14:textId="77777777" w:rsidR="003722BA" w:rsidRPr="00730B6F" w:rsidRDefault="003722BA" w:rsidP="003722BA">
      <w:pPr>
        <w:pStyle w:val="Textonotapie"/>
        <w:ind w:firstLine="709"/>
        <w:jc w:val="both"/>
        <w:rPr>
          <w:rFonts w:ascii="Verdana" w:eastAsia="Calibri" w:hAnsi="Verdana" w:cs="Arial"/>
          <w:sz w:val="16"/>
          <w:szCs w:val="16"/>
          <w:lang w:val="es-ES_tradnl" w:eastAsia="es-ES_tradnl"/>
        </w:rPr>
      </w:pPr>
      <w:r w:rsidRPr="00730B6F">
        <w:rPr>
          <w:rStyle w:val="Refdenotaalpie"/>
          <w:rFonts w:ascii="Verdana" w:hAnsi="Verdana" w:cs="Arial"/>
          <w:sz w:val="16"/>
          <w:szCs w:val="16"/>
        </w:rPr>
        <w:footnoteRef/>
      </w:r>
      <w:r w:rsidRPr="00730B6F">
        <w:rPr>
          <w:rFonts w:ascii="Verdana" w:hAnsi="Verdana" w:cs="Arial"/>
          <w:sz w:val="16"/>
          <w:szCs w:val="16"/>
        </w:rPr>
        <w:t xml:space="preserve"> </w:t>
      </w:r>
      <w:r w:rsidRPr="00730B6F">
        <w:rPr>
          <w:rFonts w:ascii="Verdana" w:eastAsia="Calibri" w:hAnsi="Verdana" w:cs="Arial"/>
          <w:sz w:val="16"/>
          <w:szCs w:val="16"/>
          <w:lang w:val="es-ES_tradnl" w:eastAsia="es-ES_tradnl"/>
        </w:rPr>
        <w:t>“La manera como las ofertas presentan el precio varía demasiado, incluso por razón de la costumbre que se impone en determinados negocios. Por ejemplo, tratándose de la compraventa, del suministro o la prestación de servicios profesionales –entre otros contratos, que de hecho son la mayoría– el valor que se ofrece no se desglosa para revelar al destinatario su estructura de costos. El proponente se limita a establecer una cifra por la que está dispuesto a asumir ciertas obligaciones, pero el comprador desconoce cómo se compone internamente, es decir, no sabe –ni usualmente le interesa conocerlo– qué parte del valor corresponde a gastos de mano de obra, de transporte, de energía, cuál es la utilidad esperada, entre otros conceptos. En estos casos se limita a conocer con claridad absoluta cuánto le costará el bien o el servicio, porque es lo que pagará.</w:t>
      </w:r>
    </w:p>
    <w:p w14:paraId="0048C604" w14:textId="77777777" w:rsidR="003722BA" w:rsidRPr="00730B6F" w:rsidRDefault="003722BA" w:rsidP="003722BA">
      <w:pPr>
        <w:pStyle w:val="Textonotapie"/>
        <w:ind w:firstLine="709"/>
        <w:jc w:val="both"/>
        <w:rPr>
          <w:rFonts w:ascii="Verdana" w:hAnsi="Verdana" w:cs="Arial"/>
          <w:sz w:val="16"/>
          <w:szCs w:val="16"/>
          <w:lang w:val="es-ES"/>
        </w:rPr>
      </w:pPr>
      <w:r w:rsidRPr="00730B6F">
        <w:rPr>
          <w:rFonts w:ascii="Verdana" w:eastAsia="Calibri" w:hAnsi="Verdana" w:cs="Arial"/>
          <w:sz w:val="16"/>
          <w:szCs w:val="16"/>
          <w:lang w:val="es-ES_tradnl" w:eastAsia="es-ES_tradnl"/>
        </w:rPr>
        <w:t>Sin embargo, en otros negocios, como la obra pública, la concesión y la consultoría, el Estado está acostumbrado a que se desglosen intensamente los costos, exigiendo no sólo el precio total sino una distinción entre los costos directos y los costos indirectos. Los primeros son los gastos imprescindibles para ejecutar la obra, entre los que se encuentra: la adquisición de materiales, insumos y suministros, la inversión en equipos, el pago de la mano de obra de las cuadrillas de trabajadores obreros y otros gastos afines –representados en los ítems que componen el contrato–. Los costos indirectos aluden a los gastos que también son necesarios para la obra, pero que no hacen parte de los elementos mismos con los que se construye, es decir, se trata de los costos de administración de la obra, los imprevistos que se presentan durante su ejecución y la utilidad esperada” (MARÍN CORTÉS, Fabián. El precio. Serie: Las cláusulas del contrato estatal. Medellín: Librería Jurídica Sánchez y Centro de Estudios de Derecho Administrativo –CEDA–, 2012. pp. 63-64).</w:t>
      </w:r>
    </w:p>
  </w:footnote>
  <w:footnote w:id="9">
    <w:p w14:paraId="395727D6" w14:textId="77777777" w:rsidR="00133E3A" w:rsidRPr="00A654FC" w:rsidRDefault="00133E3A" w:rsidP="00133E3A">
      <w:pPr>
        <w:spacing w:line="276" w:lineRule="auto"/>
        <w:ind w:firstLine="708"/>
        <w:jc w:val="both"/>
        <w:rPr>
          <w:rFonts w:ascii="Verdana" w:hAnsi="Verdana"/>
          <w:sz w:val="16"/>
          <w:szCs w:val="16"/>
        </w:rPr>
      </w:pPr>
      <w:r w:rsidRPr="00A654FC">
        <w:rPr>
          <w:rStyle w:val="Refdenotaalpie"/>
          <w:rFonts w:ascii="Verdana" w:hAnsi="Verdana"/>
          <w:sz w:val="16"/>
          <w:szCs w:val="16"/>
        </w:rPr>
        <w:footnoteRef/>
      </w:r>
      <w:r w:rsidRPr="00A654FC">
        <w:rPr>
          <w:rFonts w:ascii="Verdana" w:eastAsia="Arial" w:hAnsi="Verdana" w:cs="Arial"/>
          <w:sz w:val="16"/>
          <w:szCs w:val="16"/>
        </w:rPr>
        <w:t>AGENCIA NACIONAL DE CONTRATACIÓN PÚBLICA –COLOMBIA COMPRA EFICIENTE–. Concepto C-017 del 5 de febrero de 2025: “El límite a las adiciones previsto en el segundo inciso del parágrafo del artículo 40 de la Ley 80 de 1993, no impide que se ejecuten mayores cantidades de obras a las inicialmente estimadas, por valores incluso mayores al cincuenta por ciento (50%)”; el valor inicial tiene carácter indicativo.</w:t>
      </w:r>
    </w:p>
  </w:footnote>
  <w:footnote w:id="10">
    <w:p w14:paraId="146AFBFA" w14:textId="77777777" w:rsidR="003722BA" w:rsidRPr="001947A2" w:rsidRDefault="003722BA" w:rsidP="003722BA">
      <w:pPr>
        <w:pStyle w:val="Textonotapie"/>
        <w:ind w:firstLine="709"/>
        <w:jc w:val="both"/>
        <w:rPr>
          <w:rFonts w:ascii="Verdana" w:hAnsi="Verdana"/>
          <w:sz w:val="16"/>
          <w:szCs w:val="16"/>
          <w:lang w:val="es-CO"/>
        </w:rPr>
      </w:pPr>
      <w:r w:rsidRPr="001947A2">
        <w:rPr>
          <w:rStyle w:val="Refdenotaalpie"/>
          <w:rFonts w:ascii="Verdana" w:hAnsi="Verdana"/>
          <w:sz w:val="16"/>
          <w:szCs w:val="16"/>
        </w:rPr>
        <w:footnoteRef/>
      </w:r>
      <w:r w:rsidRPr="001947A2">
        <w:rPr>
          <w:rFonts w:ascii="Verdana" w:hAnsi="Verdana"/>
          <w:sz w:val="16"/>
          <w:szCs w:val="16"/>
        </w:rPr>
        <w:t xml:space="preserve"> Debe tenerse en cuenta que </w:t>
      </w:r>
      <w:r w:rsidRPr="001947A2">
        <w:rPr>
          <w:rFonts w:ascii="Verdana" w:hAnsi="Verdana"/>
          <w:sz w:val="16"/>
          <w:szCs w:val="16"/>
          <w:lang w:val="es-CO"/>
        </w:rPr>
        <w:t xml:space="preserve">de conformidad con el Decreto 0159 del 19 de febrero de 2026 se fijó transitoriamente el SMLMV en $ 1.750.905, el cual se encontrará vigente hasta que </w:t>
      </w:r>
      <w:r w:rsidRPr="001947A2">
        <w:rPr>
          <w:rFonts w:ascii="Verdana" w:hAnsi="Verdana"/>
          <w:sz w:val="16"/>
          <w:szCs w:val="16"/>
        </w:rPr>
        <w:t>se dicte sentencia en el proceso de nulidad radicado 11001-03-25-000-2026-00004-00 (0004-2026) que cursa en la Sección Segunda, Subsección A, de la Sala de lo Contencioso Administrativo del Consejo de Estado.</w:t>
      </w:r>
    </w:p>
  </w:footnote>
  <w:footnote w:id="11">
    <w:p w14:paraId="675153D0" w14:textId="77777777" w:rsidR="003722BA" w:rsidRPr="00A654FC" w:rsidRDefault="003722BA" w:rsidP="003722BA">
      <w:pPr>
        <w:pStyle w:val="Textonotapie"/>
        <w:ind w:firstLine="708"/>
        <w:jc w:val="both"/>
        <w:rPr>
          <w:rFonts w:ascii="Verdana" w:hAnsi="Verdana"/>
          <w:sz w:val="16"/>
          <w:szCs w:val="16"/>
        </w:rPr>
      </w:pPr>
      <w:r w:rsidRPr="00A654FC">
        <w:rPr>
          <w:rStyle w:val="Refdenotaalpie"/>
          <w:rFonts w:ascii="Verdana" w:hAnsi="Verdana"/>
          <w:sz w:val="16"/>
          <w:szCs w:val="16"/>
        </w:rPr>
        <w:footnoteRef/>
      </w:r>
      <w:r w:rsidRPr="00A654FC">
        <w:rPr>
          <w:rFonts w:ascii="Verdana" w:hAnsi="Verdana"/>
          <w:sz w:val="16"/>
          <w:szCs w:val="16"/>
        </w:rPr>
        <w:t xml:space="preserve"> </w:t>
      </w:r>
      <w:r w:rsidRPr="007A2429">
        <w:rPr>
          <w:rFonts w:ascii="Verdana" w:hAnsi="Verdana"/>
          <w:sz w:val="16"/>
          <w:szCs w:val="16"/>
        </w:rPr>
        <w:t>CONSEJO DE ESTADO. Sección Tercera. Sentencia del 7 de marzo 2025, Exp. No. Rad: 66556. C.P. María Adriana Marín.</w:t>
      </w:r>
      <w:r w:rsidRPr="00A654FC">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BE429B" w:rsidRDefault="00BE429B"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BE429B" w:rsidRDefault="00BE429B">
    <w:pPr>
      <w:pStyle w:val="Encabezado"/>
    </w:pPr>
  </w:p>
  <w:p w14:paraId="5E18350A" w14:textId="705F7B76" w:rsidR="00BE429B" w:rsidRPr="004A305D" w:rsidRDefault="00BE429B" w:rsidP="00B01B1A">
    <w:pPr>
      <w:spacing w:after="0" w:line="120" w:lineRule="auto"/>
      <w:rPr>
        <w:rFonts w:ascii="Century Gothic" w:eastAsia="Geo" w:hAnsi="Century Gothic" w:cs="Geo"/>
        <w:sz w:val="16"/>
        <w:szCs w:val="16"/>
        <w:lang w:eastAsia="es-CO"/>
      </w:rPr>
    </w:pPr>
  </w:p>
  <w:p w14:paraId="211B7F5D" w14:textId="77777777" w:rsidR="00BE429B" w:rsidRDefault="00BE429B" w:rsidP="00844AE9">
    <w:pPr>
      <w:spacing w:after="0" w:line="240" w:lineRule="auto"/>
      <w:rPr>
        <w:rFonts w:ascii="Verdana" w:hAnsi="Verdana"/>
        <w:sz w:val="24"/>
        <w:szCs w:val="24"/>
      </w:rPr>
    </w:pPr>
  </w:p>
  <w:p w14:paraId="5A0054B1" w14:textId="77777777" w:rsidR="00BE429B" w:rsidRPr="00C925AC" w:rsidRDefault="00BE429B" w:rsidP="00844AE9">
    <w:pPr>
      <w:spacing w:after="0" w:line="240" w:lineRule="auto"/>
      <w:rPr>
        <w:rFonts w:ascii="Verdana" w:hAnsi="Verdana"/>
        <w:sz w:val="24"/>
        <w:szCs w:val="24"/>
      </w:rPr>
    </w:pPr>
  </w:p>
  <w:p w14:paraId="1FD1C243" w14:textId="37C5500A" w:rsidR="00BE429B" w:rsidRPr="00C925AC" w:rsidRDefault="00BE429B"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pt;height:7.2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0C755D"/>
    <w:multiLevelType w:val="hybridMultilevel"/>
    <w:tmpl w:val="EEC215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468161">
    <w:abstractNumId w:val="6"/>
  </w:num>
  <w:num w:numId="2" w16cid:durableId="374351543">
    <w:abstractNumId w:val="1"/>
  </w:num>
  <w:num w:numId="3" w16cid:durableId="1152529079">
    <w:abstractNumId w:val="4"/>
  </w:num>
  <w:num w:numId="4" w16cid:durableId="16604289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556058">
    <w:abstractNumId w:val="1"/>
  </w:num>
  <w:num w:numId="6" w16cid:durableId="1124035714">
    <w:abstractNumId w:val="13"/>
  </w:num>
  <w:num w:numId="7" w16cid:durableId="382825845">
    <w:abstractNumId w:val="5"/>
  </w:num>
  <w:num w:numId="8" w16cid:durableId="1947342167">
    <w:abstractNumId w:val="12"/>
  </w:num>
  <w:num w:numId="9" w16cid:durableId="2096123706">
    <w:abstractNumId w:val="7"/>
  </w:num>
  <w:num w:numId="10" w16cid:durableId="24258392">
    <w:abstractNumId w:val="11"/>
  </w:num>
  <w:num w:numId="11" w16cid:durableId="1664354151">
    <w:abstractNumId w:val="8"/>
  </w:num>
  <w:num w:numId="12" w16cid:durableId="1521818467">
    <w:abstractNumId w:val="0"/>
  </w:num>
  <w:num w:numId="13" w16cid:durableId="742069231">
    <w:abstractNumId w:val="2"/>
  </w:num>
  <w:num w:numId="14" w16cid:durableId="1786463676">
    <w:abstractNumId w:val="14"/>
  </w:num>
  <w:num w:numId="15" w16cid:durableId="515383840">
    <w:abstractNumId w:val="10"/>
  </w:num>
  <w:num w:numId="16" w16cid:durableId="74788305">
    <w:abstractNumId w:val="3"/>
  </w:num>
  <w:num w:numId="17" w16cid:durableId="1309940973">
    <w:abstractNumId w:val="9"/>
  </w:num>
  <w:num w:numId="18" w16cid:durableId="498840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113C3"/>
    <w:rsid w:val="000130CF"/>
    <w:rsid w:val="00016F78"/>
    <w:rsid w:val="000273A9"/>
    <w:rsid w:val="00033998"/>
    <w:rsid w:val="00034914"/>
    <w:rsid w:val="000447FC"/>
    <w:rsid w:val="000460C4"/>
    <w:rsid w:val="00046945"/>
    <w:rsid w:val="00055945"/>
    <w:rsid w:val="00057408"/>
    <w:rsid w:val="00061B2A"/>
    <w:rsid w:val="00082362"/>
    <w:rsid w:val="000A683E"/>
    <w:rsid w:val="000B19B9"/>
    <w:rsid w:val="000C7D33"/>
    <w:rsid w:val="000D0334"/>
    <w:rsid w:val="000D3658"/>
    <w:rsid w:val="000D5DA7"/>
    <w:rsid w:val="000F1875"/>
    <w:rsid w:val="000F6486"/>
    <w:rsid w:val="000F7341"/>
    <w:rsid w:val="00107BC7"/>
    <w:rsid w:val="00116940"/>
    <w:rsid w:val="00125105"/>
    <w:rsid w:val="00127233"/>
    <w:rsid w:val="00133E3A"/>
    <w:rsid w:val="00141925"/>
    <w:rsid w:val="0015699B"/>
    <w:rsid w:val="001743CA"/>
    <w:rsid w:val="00175D6F"/>
    <w:rsid w:val="00180CE5"/>
    <w:rsid w:val="001A33BF"/>
    <w:rsid w:val="001C4BDC"/>
    <w:rsid w:val="001C7340"/>
    <w:rsid w:val="001E4177"/>
    <w:rsid w:val="001E6731"/>
    <w:rsid w:val="001E7185"/>
    <w:rsid w:val="001F0B24"/>
    <w:rsid w:val="001F7A3C"/>
    <w:rsid w:val="001F7DC6"/>
    <w:rsid w:val="002057CF"/>
    <w:rsid w:val="00211230"/>
    <w:rsid w:val="002153D5"/>
    <w:rsid w:val="0022400B"/>
    <w:rsid w:val="00226271"/>
    <w:rsid w:val="002421BB"/>
    <w:rsid w:val="00246CBB"/>
    <w:rsid w:val="00252059"/>
    <w:rsid w:val="0025796E"/>
    <w:rsid w:val="002608FC"/>
    <w:rsid w:val="002707A2"/>
    <w:rsid w:val="002951A0"/>
    <w:rsid w:val="002962BC"/>
    <w:rsid w:val="002A093D"/>
    <w:rsid w:val="002A0DD0"/>
    <w:rsid w:val="002A0E38"/>
    <w:rsid w:val="002A49AC"/>
    <w:rsid w:val="002A58CD"/>
    <w:rsid w:val="002A64FD"/>
    <w:rsid w:val="002B730F"/>
    <w:rsid w:val="002C1E3E"/>
    <w:rsid w:val="002C7A84"/>
    <w:rsid w:val="002E2BF8"/>
    <w:rsid w:val="002E418D"/>
    <w:rsid w:val="002E4FD9"/>
    <w:rsid w:val="003004D2"/>
    <w:rsid w:val="0030657A"/>
    <w:rsid w:val="00312162"/>
    <w:rsid w:val="00322A85"/>
    <w:rsid w:val="00324168"/>
    <w:rsid w:val="00325055"/>
    <w:rsid w:val="00330834"/>
    <w:rsid w:val="003448F4"/>
    <w:rsid w:val="0036053B"/>
    <w:rsid w:val="0037015E"/>
    <w:rsid w:val="003722BA"/>
    <w:rsid w:val="00374F5E"/>
    <w:rsid w:val="00377E3E"/>
    <w:rsid w:val="00393317"/>
    <w:rsid w:val="003A779E"/>
    <w:rsid w:val="003C3551"/>
    <w:rsid w:val="003C5FD9"/>
    <w:rsid w:val="003D0F4D"/>
    <w:rsid w:val="003D11EF"/>
    <w:rsid w:val="003D5B0D"/>
    <w:rsid w:val="003E0499"/>
    <w:rsid w:val="003E4F80"/>
    <w:rsid w:val="003E6439"/>
    <w:rsid w:val="003F17DF"/>
    <w:rsid w:val="003F3941"/>
    <w:rsid w:val="00406575"/>
    <w:rsid w:val="00414C74"/>
    <w:rsid w:val="0042722E"/>
    <w:rsid w:val="00442203"/>
    <w:rsid w:val="004441F6"/>
    <w:rsid w:val="0044528D"/>
    <w:rsid w:val="00466E39"/>
    <w:rsid w:val="00470178"/>
    <w:rsid w:val="00474655"/>
    <w:rsid w:val="004A1847"/>
    <w:rsid w:val="004A305D"/>
    <w:rsid w:val="004C6F45"/>
    <w:rsid w:val="004D060F"/>
    <w:rsid w:val="004D5C33"/>
    <w:rsid w:val="004E2B29"/>
    <w:rsid w:val="004F21C4"/>
    <w:rsid w:val="004F685F"/>
    <w:rsid w:val="005038FC"/>
    <w:rsid w:val="00516B1D"/>
    <w:rsid w:val="00525C65"/>
    <w:rsid w:val="005566E8"/>
    <w:rsid w:val="00560ECB"/>
    <w:rsid w:val="0056334A"/>
    <w:rsid w:val="0057054E"/>
    <w:rsid w:val="00574867"/>
    <w:rsid w:val="00591460"/>
    <w:rsid w:val="00597FE6"/>
    <w:rsid w:val="005A307B"/>
    <w:rsid w:val="005A65E0"/>
    <w:rsid w:val="005C3777"/>
    <w:rsid w:val="005C47DD"/>
    <w:rsid w:val="005C5CDC"/>
    <w:rsid w:val="005D476C"/>
    <w:rsid w:val="005E2250"/>
    <w:rsid w:val="005E6317"/>
    <w:rsid w:val="005E7C99"/>
    <w:rsid w:val="005F1A8F"/>
    <w:rsid w:val="005F5261"/>
    <w:rsid w:val="00600B4F"/>
    <w:rsid w:val="00603964"/>
    <w:rsid w:val="006200BF"/>
    <w:rsid w:val="006219F8"/>
    <w:rsid w:val="006302F7"/>
    <w:rsid w:val="0064394E"/>
    <w:rsid w:val="00646B9F"/>
    <w:rsid w:val="006506D8"/>
    <w:rsid w:val="006571B8"/>
    <w:rsid w:val="00665D70"/>
    <w:rsid w:val="0067199F"/>
    <w:rsid w:val="00674441"/>
    <w:rsid w:val="006900D9"/>
    <w:rsid w:val="006E3934"/>
    <w:rsid w:val="00706C16"/>
    <w:rsid w:val="00713D02"/>
    <w:rsid w:val="0071632A"/>
    <w:rsid w:val="00720735"/>
    <w:rsid w:val="007340C3"/>
    <w:rsid w:val="0073523A"/>
    <w:rsid w:val="00744089"/>
    <w:rsid w:val="00747A86"/>
    <w:rsid w:val="007502F9"/>
    <w:rsid w:val="0075235A"/>
    <w:rsid w:val="00756841"/>
    <w:rsid w:val="007649AB"/>
    <w:rsid w:val="00765627"/>
    <w:rsid w:val="00767D3C"/>
    <w:rsid w:val="00771D0C"/>
    <w:rsid w:val="007833AC"/>
    <w:rsid w:val="007977D5"/>
    <w:rsid w:val="007A1830"/>
    <w:rsid w:val="007A7588"/>
    <w:rsid w:val="007B268C"/>
    <w:rsid w:val="007B7171"/>
    <w:rsid w:val="007C0C0F"/>
    <w:rsid w:val="007C3DC2"/>
    <w:rsid w:val="007C63D6"/>
    <w:rsid w:val="007D021B"/>
    <w:rsid w:val="007D1AA3"/>
    <w:rsid w:val="007E4424"/>
    <w:rsid w:val="007E5497"/>
    <w:rsid w:val="00802BE2"/>
    <w:rsid w:val="00803856"/>
    <w:rsid w:val="00806F5F"/>
    <w:rsid w:val="00820278"/>
    <w:rsid w:val="00821D00"/>
    <w:rsid w:val="008258C9"/>
    <w:rsid w:val="008316FF"/>
    <w:rsid w:val="00844AE9"/>
    <w:rsid w:val="00867F95"/>
    <w:rsid w:val="00872231"/>
    <w:rsid w:val="00874B89"/>
    <w:rsid w:val="00882271"/>
    <w:rsid w:val="008843B6"/>
    <w:rsid w:val="008849FF"/>
    <w:rsid w:val="008853C8"/>
    <w:rsid w:val="00891928"/>
    <w:rsid w:val="0089255E"/>
    <w:rsid w:val="008A3E33"/>
    <w:rsid w:val="008A446D"/>
    <w:rsid w:val="008B25F1"/>
    <w:rsid w:val="008D1369"/>
    <w:rsid w:val="008D180B"/>
    <w:rsid w:val="008F0EA7"/>
    <w:rsid w:val="00900C01"/>
    <w:rsid w:val="00912625"/>
    <w:rsid w:val="00923EEF"/>
    <w:rsid w:val="009419F9"/>
    <w:rsid w:val="00945E3D"/>
    <w:rsid w:val="0095685E"/>
    <w:rsid w:val="00961B09"/>
    <w:rsid w:val="0096285F"/>
    <w:rsid w:val="00965334"/>
    <w:rsid w:val="0097093E"/>
    <w:rsid w:val="00982C6E"/>
    <w:rsid w:val="00984AFF"/>
    <w:rsid w:val="009A0DFA"/>
    <w:rsid w:val="009B27CB"/>
    <w:rsid w:val="009B2D26"/>
    <w:rsid w:val="009B6A49"/>
    <w:rsid w:val="009C71FA"/>
    <w:rsid w:val="009C72E7"/>
    <w:rsid w:val="009C7F7E"/>
    <w:rsid w:val="009D2DCA"/>
    <w:rsid w:val="009D3058"/>
    <w:rsid w:val="009D53A2"/>
    <w:rsid w:val="009D75D4"/>
    <w:rsid w:val="009F3A13"/>
    <w:rsid w:val="00A02AB0"/>
    <w:rsid w:val="00A03ACE"/>
    <w:rsid w:val="00A122D3"/>
    <w:rsid w:val="00A14468"/>
    <w:rsid w:val="00A17F13"/>
    <w:rsid w:val="00A17FDE"/>
    <w:rsid w:val="00A20739"/>
    <w:rsid w:val="00A21219"/>
    <w:rsid w:val="00A23AF9"/>
    <w:rsid w:val="00A3078F"/>
    <w:rsid w:val="00A3295B"/>
    <w:rsid w:val="00A33C78"/>
    <w:rsid w:val="00A50F0E"/>
    <w:rsid w:val="00A7153D"/>
    <w:rsid w:val="00A8431B"/>
    <w:rsid w:val="00A96668"/>
    <w:rsid w:val="00AA64AB"/>
    <w:rsid w:val="00AB0ADB"/>
    <w:rsid w:val="00AB1C11"/>
    <w:rsid w:val="00AE50E6"/>
    <w:rsid w:val="00AF7A0F"/>
    <w:rsid w:val="00B00412"/>
    <w:rsid w:val="00B00C0E"/>
    <w:rsid w:val="00B01B1A"/>
    <w:rsid w:val="00B0798D"/>
    <w:rsid w:val="00B170E4"/>
    <w:rsid w:val="00B174A5"/>
    <w:rsid w:val="00B2048D"/>
    <w:rsid w:val="00B37449"/>
    <w:rsid w:val="00B44A47"/>
    <w:rsid w:val="00B64455"/>
    <w:rsid w:val="00B72CD3"/>
    <w:rsid w:val="00B72FFF"/>
    <w:rsid w:val="00B77287"/>
    <w:rsid w:val="00B80D30"/>
    <w:rsid w:val="00B87FFD"/>
    <w:rsid w:val="00BC3D36"/>
    <w:rsid w:val="00BD54A6"/>
    <w:rsid w:val="00BD7F72"/>
    <w:rsid w:val="00BE429B"/>
    <w:rsid w:val="00BF54F9"/>
    <w:rsid w:val="00BF58C7"/>
    <w:rsid w:val="00BF7425"/>
    <w:rsid w:val="00C04FB3"/>
    <w:rsid w:val="00C11D8B"/>
    <w:rsid w:val="00C16B06"/>
    <w:rsid w:val="00C330EB"/>
    <w:rsid w:val="00C370BD"/>
    <w:rsid w:val="00C50D69"/>
    <w:rsid w:val="00C5365C"/>
    <w:rsid w:val="00C545CC"/>
    <w:rsid w:val="00C60D32"/>
    <w:rsid w:val="00C754BE"/>
    <w:rsid w:val="00C76B1C"/>
    <w:rsid w:val="00C925AC"/>
    <w:rsid w:val="00C93BD2"/>
    <w:rsid w:val="00CB2543"/>
    <w:rsid w:val="00CB6357"/>
    <w:rsid w:val="00CB6ED9"/>
    <w:rsid w:val="00CC1B26"/>
    <w:rsid w:val="00CD7287"/>
    <w:rsid w:val="00CE6D68"/>
    <w:rsid w:val="00D01973"/>
    <w:rsid w:val="00D0290F"/>
    <w:rsid w:val="00D0716E"/>
    <w:rsid w:val="00D21ABC"/>
    <w:rsid w:val="00D24E1B"/>
    <w:rsid w:val="00D27CAE"/>
    <w:rsid w:val="00D314C4"/>
    <w:rsid w:val="00D361FD"/>
    <w:rsid w:val="00D423A2"/>
    <w:rsid w:val="00D44E26"/>
    <w:rsid w:val="00D520D8"/>
    <w:rsid w:val="00D532F2"/>
    <w:rsid w:val="00D63AC2"/>
    <w:rsid w:val="00D73595"/>
    <w:rsid w:val="00D7383B"/>
    <w:rsid w:val="00D75D9B"/>
    <w:rsid w:val="00D7788A"/>
    <w:rsid w:val="00D8371D"/>
    <w:rsid w:val="00D84EBD"/>
    <w:rsid w:val="00D86877"/>
    <w:rsid w:val="00D975F9"/>
    <w:rsid w:val="00DA01E5"/>
    <w:rsid w:val="00DA231B"/>
    <w:rsid w:val="00DA574C"/>
    <w:rsid w:val="00DA656F"/>
    <w:rsid w:val="00DB1225"/>
    <w:rsid w:val="00DB5F83"/>
    <w:rsid w:val="00DC39FC"/>
    <w:rsid w:val="00DC5F62"/>
    <w:rsid w:val="00DF3306"/>
    <w:rsid w:val="00DF5254"/>
    <w:rsid w:val="00E02524"/>
    <w:rsid w:val="00E04B99"/>
    <w:rsid w:val="00E07CEC"/>
    <w:rsid w:val="00E16408"/>
    <w:rsid w:val="00E20894"/>
    <w:rsid w:val="00E245AB"/>
    <w:rsid w:val="00E2764C"/>
    <w:rsid w:val="00E27F2E"/>
    <w:rsid w:val="00E50AFE"/>
    <w:rsid w:val="00E55087"/>
    <w:rsid w:val="00E634C6"/>
    <w:rsid w:val="00E63923"/>
    <w:rsid w:val="00E75C92"/>
    <w:rsid w:val="00E76C8B"/>
    <w:rsid w:val="00E76D22"/>
    <w:rsid w:val="00E771DC"/>
    <w:rsid w:val="00E8772A"/>
    <w:rsid w:val="00E90F6B"/>
    <w:rsid w:val="00E92C27"/>
    <w:rsid w:val="00E937AA"/>
    <w:rsid w:val="00E94822"/>
    <w:rsid w:val="00E94B76"/>
    <w:rsid w:val="00EA0E3D"/>
    <w:rsid w:val="00EA3621"/>
    <w:rsid w:val="00EC38A7"/>
    <w:rsid w:val="00ED0AD9"/>
    <w:rsid w:val="00ED2DA4"/>
    <w:rsid w:val="00EE1089"/>
    <w:rsid w:val="00EE1AA8"/>
    <w:rsid w:val="00EE2FD0"/>
    <w:rsid w:val="00EE64C5"/>
    <w:rsid w:val="00F23FEA"/>
    <w:rsid w:val="00F27B7B"/>
    <w:rsid w:val="00F31EDC"/>
    <w:rsid w:val="00F462B3"/>
    <w:rsid w:val="00F5664F"/>
    <w:rsid w:val="00F666C4"/>
    <w:rsid w:val="00F7089A"/>
    <w:rsid w:val="00F7501A"/>
    <w:rsid w:val="00F76AFC"/>
    <w:rsid w:val="00FA4768"/>
    <w:rsid w:val="00FA47C0"/>
    <w:rsid w:val="00FB22A5"/>
    <w:rsid w:val="00FB448C"/>
    <w:rsid w:val="00FB5DD1"/>
    <w:rsid w:val="00FC2B5D"/>
    <w:rsid w:val="00FD2581"/>
    <w:rsid w:val="00FD2DCE"/>
    <w:rsid w:val="00FD635A"/>
    <w:rsid w:val="00FD7439"/>
    <w:rsid w:val="00FF1449"/>
    <w:rsid w:val="00FF3D97"/>
    <w:rsid w:val="00FF3FDA"/>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1E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FF3D97"/>
    <w:rPr>
      <w:rFonts w:ascii="Geomanist Light" w:hAnsi="Geomanist Light"/>
      <w:lang w:val="es-ES"/>
    </w:rPr>
  </w:style>
  <w:style w:type="character" w:customStyle="1" w:styleId="NormalWebCar">
    <w:name w:val="Normal (Web) Car"/>
    <w:link w:val="NormalWeb"/>
    <w:uiPriority w:val="99"/>
    <w:locked/>
    <w:rsid w:val="00A7153D"/>
    <w:rPr>
      <w:rFonts w:ascii="Times New Roman" w:eastAsia="Times New Roman" w:hAnsi="Times New Roman" w:cs="Times New Roman"/>
      <w:sz w:val="24"/>
      <w:szCs w:val="24"/>
      <w:lang w:eastAsia="es-CO"/>
    </w:rPr>
  </w:style>
  <w:style w:type="character" w:customStyle="1" w:styleId="baj">
    <w:name w:val="b_aj"/>
    <w:basedOn w:val="Fuentedeprrafopredeter"/>
    <w:rsid w:val="00A7153D"/>
  </w:style>
  <w:style w:type="character" w:styleId="Refdecomentario">
    <w:name w:val="annotation reference"/>
    <w:basedOn w:val="Fuentedeprrafopredeter"/>
    <w:uiPriority w:val="99"/>
    <w:semiHidden/>
    <w:unhideWhenUsed/>
    <w:rsid w:val="009B27CB"/>
    <w:rPr>
      <w:sz w:val="16"/>
      <w:szCs w:val="16"/>
    </w:rPr>
  </w:style>
  <w:style w:type="paragraph" w:styleId="Textocomentario">
    <w:name w:val="annotation text"/>
    <w:basedOn w:val="Normal"/>
    <w:link w:val="TextocomentarioCar"/>
    <w:uiPriority w:val="99"/>
    <w:unhideWhenUsed/>
    <w:rsid w:val="009B27CB"/>
    <w:pPr>
      <w:spacing w:line="240" w:lineRule="auto"/>
    </w:pPr>
    <w:rPr>
      <w:sz w:val="20"/>
      <w:szCs w:val="20"/>
    </w:rPr>
  </w:style>
  <w:style w:type="character" w:customStyle="1" w:styleId="TextocomentarioCar">
    <w:name w:val="Texto comentario Car"/>
    <w:basedOn w:val="Fuentedeprrafopredeter"/>
    <w:link w:val="Textocomentario"/>
    <w:uiPriority w:val="99"/>
    <w:rsid w:val="009B27CB"/>
    <w:rPr>
      <w:sz w:val="20"/>
      <w:szCs w:val="20"/>
    </w:rPr>
  </w:style>
  <w:style w:type="table" w:customStyle="1" w:styleId="Tablaconcuadrcula11">
    <w:name w:val="Tabla con cuadrícula11"/>
    <w:basedOn w:val="Tablanormal"/>
    <w:next w:val="Tablaconcuadrcula"/>
    <w:uiPriority w:val="39"/>
    <w:qFormat/>
    <w:rsid w:val="009B2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8371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8371D"/>
    <w:rPr>
      <w:rFonts w:ascii="Segoe UI" w:hAnsi="Segoe UI" w:cs="Segoe UI"/>
      <w:sz w:val="18"/>
      <w:szCs w:val="18"/>
    </w:rPr>
  </w:style>
  <w:style w:type="character" w:styleId="Mencinsinresolver">
    <w:name w:val="Unresolved Mention"/>
    <w:basedOn w:val="Fuentedeprrafopredeter"/>
    <w:uiPriority w:val="99"/>
    <w:semiHidden/>
    <w:unhideWhenUsed/>
    <w:rsid w:val="00B87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17703">
      <w:bodyDiv w:val="1"/>
      <w:marLeft w:val="0"/>
      <w:marRight w:val="0"/>
      <w:marTop w:val="0"/>
      <w:marBottom w:val="0"/>
      <w:divBdr>
        <w:top w:val="none" w:sz="0" w:space="0" w:color="auto"/>
        <w:left w:val="none" w:sz="0" w:space="0" w:color="auto"/>
        <w:bottom w:val="none" w:sz="0" w:space="0" w:color="auto"/>
        <w:right w:val="none" w:sz="0" w:space="0" w:color="auto"/>
      </w:divBdr>
    </w:div>
    <w:div w:id="362830511">
      <w:bodyDiv w:val="1"/>
      <w:marLeft w:val="0"/>
      <w:marRight w:val="0"/>
      <w:marTop w:val="0"/>
      <w:marBottom w:val="0"/>
      <w:divBdr>
        <w:top w:val="none" w:sz="0" w:space="0" w:color="auto"/>
        <w:left w:val="none" w:sz="0" w:space="0" w:color="auto"/>
        <w:bottom w:val="none" w:sz="0" w:space="0" w:color="auto"/>
        <w:right w:val="none" w:sz="0" w:space="0" w:color="auto"/>
      </w:divBdr>
    </w:div>
    <w:div w:id="364061825">
      <w:bodyDiv w:val="1"/>
      <w:marLeft w:val="0"/>
      <w:marRight w:val="0"/>
      <w:marTop w:val="0"/>
      <w:marBottom w:val="0"/>
      <w:divBdr>
        <w:top w:val="none" w:sz="0" w:space="0" w:color="auto"/>
        <w:left w:val="none" w:sz="0" w:space="0" w:color="auto"/>
        <w:bottom w:val="none" w:sz="0" w:space="0" w:color="auto"/>
        <w:right w:val="none" w:sz="0" w:space="0" w:color="auto"/>
      </w:divBdr>
    </w:div>
    <w:div w:id="555898339">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941713527">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cobrocoactivo@transito-huila.gov.co" TargetMode="External"/><Relationship Id="rId17" Type="http://schemas.openxmlformats.org/officeDocument/2006/relationships/hyperlink" Target="https://www.colombiacompra.gov.co/archivos/boletin/boletin-edicion-n-3-de-2026-radar-de-la-compra-public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lombiacompra.gov.co/archivos/circular/circular-externa-002-de-2026"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olombiacompra.gov.co/archivos/circular/circular-externa-003-de-2026"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olombiacompra.gov.co/pqrsd/informacion-importante-antes-de-formular-una-pqrs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archivos/manual/guia-de-garantias-en-procesos-de-contratacio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Props1.xml><?xml version="1.0" encoding="utf-8"?>
<ds:datastoreItem xmlns:ds="http://schemas.openxmlformats.org/officeDocument/2006/customXml" ds:itemID="{A169F749-8AFB-4BDD-9DD9-956C776F9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DC843E3-D620-4881-8440-74CA2CD00A2E}">
  <ds:schemaRefs>
    <ds:schemaRef ds:uri="http://schemas.openxmlformats.org/officeDocument/2006/bibliography"/>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21</Pages>
  <Words>7437</Words>
  <Characters>40906</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29</cp:revision>
  <cp:lastPrinted>2023-01-10T21:18:00Z</cp:lastPrinted>
  <dcterms:created xsi:type="dcterms:W3CDTF">2026-08-18T18:59:00Z</dcterms:created>
  <dcterms:modified xsi:type="dcterms:W3CDTF">2026-08-19T13:48:00Z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