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BFA1" w14:textId="4F7E7145" w:rsidR="00752587" w:rsidRPr="00024A94" w:rsidRDefault="00752587" w:rsidP="00024A94">
      <w:pPr>
        <w:spacing w:after="0" w:line="240" w:lineRule="auto"/>
        <w:jc w:val="both"/>
        <w:rPr>
          <w:rFonts w:ascii="Verdana" w:eastAsia="Calibri" w:hAnsi="Verdana" w:cs="Arial"/>
          <w:b/>
          <w:bCs/>
          <w:color w:val="000000" w:themeColor="text1"/>
          <w:lang w:val="es-ES"/>
        </w:rPr>
      </w:pPr>
      <w:bookmarkStart w:id="0" w:name="_Hlk143780582"/>
      <w:r w:rsidRPr="00024A94">
        <w:rPr>
          <w:rFonts w:ascii="Verdana" w:eastAsia="Calibri" w:hAnsi="Verdana" w:cs="Arial"/>
          <w:b/>
          <w:bCs/>
          <w:color w:val="000000" w:themeColor="text1"/>
          <w:lang w:val="es-ES"/>
        </w:rPr>
        <w:t>ACUERDOS DE NIVELES DE SERVICIO – Concepto – Fundamento – Atipicidad – Autonomía de la voluntad</w:t>
      </w:r>
    </w:p>
    <w:p w14:paraId="6CF967DE" w14:textId="77777777" w:rsidR="00752587" w:rsidRPr="00024A94" w:rsidRDefault="00752587" w:rsidP="00024A94">
      <w:pPr>
        <w:spacing w:after="0" w:line="240" w:lineRule="auto"/>
        <w:jc w:val="both"/>
        <w:rPr>
          <w:rFonts w:ascii="Verdana" w:eastAsia="Calibri" w:hAnsi="Verdana" w:cs="Arial"/>
          <w:color w:val="000000" w:themeColor="text1"/>
          <w:sz w:val="20"/>
          <w:szCs w:val="20"/>
          <w:lang w:val="es-ES"/>
        </w:rPr>
      </w:pPr>
    </w:p>
    <w:p w14:paraId="1F2C3FF2" w14:textId="77777777" w:rsidR="00752587" w:rsidRDefault="00752587" w:rsidP="00C236CB">
      <w:pPr>
        <w:spacing w:after="0" w:line="240" w:lineRule="auto"/>
        <w:jc w:val="both"/>
        <w:rPr>
          <w:rFonts w:ascii="Verdana" w:eastAsia="Calibri" w:hAnsi="Verdana" w:cs="Arial"/>
          <w:color w:val="000000" w:themeColor="text1"/>
          <w:sz w:val="20"/>
          <w:szCs w:val="20"/>
          <w:lang w:val="es-ES"/>
        </w:rPr>
      </w:pPr>
      <w:r w:rsidRPr="00024A94">
        <w:rPr>
          <w:rFonts w:ascii="Verdana" w:eastAsia="Calibri" w:hAnsi="Verdana" w:cs="Arial"/>
          <w:color w:val="000000" w:themeColor="text1"/>
          <w:sz w:val="20"/>
          <w:szCs w:val="20"/>
          <w:lang w:val="es-ES"/>
        </w:rPr>
        <w:t>Los acuerdos de niveles de servicio (ANS) son estipulaciones de carácter accesorio, innominado, oneroso y conmutativo, mediante las cuales las partes definen los estándares de calidad, oportunidad y desempeño con los que el contratista se compromete a ejecutar sus obligaciones, así como las consecuencias derivadas de su desatención. Son accesorios porque su objeto es la regulación del cumplimiento de un servicio derivado de un negocio principal; innominados, dado que no se encuentran previstos expresamente en la legislación ni existe un contrato análogo al cual recurrir para su interpretación; onerosos, porque su pacto busca que ambas partes obtengan ventajas con un correlativo sacrificio; y conmutativos, por la existencia de ventajas y sacrificios correlativos entre las partes.</w:t>
      </w:r>
    </w:p>
    <w:p w14:paraId="3AB285BE" w14:textId="77777777" w:rsidR="00501FAB" w:rsidRPr="00024A94" w:rsidRDefault="00501FAB" w:rsidP="00C236CB">
      <w:pPr>
        <w:spacing w:after="0" w:line="240" w:lineRule="auto"/>
        <w:jc w:val="both"/>
        <w:rPr>
          <w:rFonts w:ascii="Verdana" w:eastAsia="Calibri" w:hAnsi="Verdana" w:cs="Arial"/>
          <w:color w:val="000000" w:themeColor="text1"/>
          <w:sz w:val="20"/>
          <w:szCs w:val="20"/>
          <w:lang w:val="es-ES"/>
        </w:rPr>
      </w:pPr>
    </w:p>
    <w:p w14:paraId="1CC45170" w14:textId="122CE0B7" w:rsidR="00752587" w:rsidRPr="00024A94" w:rsidRDefault="00752587" w:rsidP="00C236CB">
      <w:pPr>
        <w:spacing w:after="120" w:line="240" w:lineRule="auto"/>
        <w:jc w:val="both"/>
        <w:rPr>
          <w:rFonts w:ascii="Verdana" w:eastAsia="Calibri" w:hAnsi="Verdana" w:cs="Arial"/>
          <w:color w:val="000000" w:themeColor="text1"/>
          <w:sz w:val="20"/>
          <w:szCs w:val="20"/>
          <w:lang w:val="es-ES"/>
        </w:rPr>
      </w:pPr>
      <w:r w:rsidRPr="00024A94">
        <w:rPr>
          <w:rFonts w:ascii="Verdana" w:eastAsia="Calibri" w:hAnsi="Verdana" w:cs="Arial"/>
          <w:color w:val="000000" w:themeColor="text1"/>
          <w:sz w:val="20"/>
          <w:szCs w:val="20"/>
          <w:lang w:val="es-ES"/>
        </w:rPr>
        <w:t xml:space="preserve">Ni el Estatuto General de Contratación de la Administración Pública ni sus normas complementarias y reglamentarias regulan expresamente los ANS, ni atribuyen a las Entidades Estatales la competencia para efectuar descuentos </w:t>
      </w:r>
      <w:r w:rsidRPr="00024A94">
        <w:rPr>
          <w:rFonts w:ascii="Verdana" w:eastAsia="Calibri" w:hAnsi="Verdana" w:cs="Arial"/>
          <w:i/>
          <w:iCs/>
          <w:color w:val="000000" w:themeColor="text1"/>
          <w:sz w:val="20"/>
          <w:szCs w:val="20"/>
          <w:lang w:val="es-ES"/>
        </w:rPr>
        <w:t>de plano</w:t>
      </w:r>
      <w:r w:rsidRPr="00024A94">
        <w:rPr>
          <w:rFonts w:ascii="Verdana" w:eastAsia="Calibri" w:hAnsi="Verdana" w:cs="Arial"/>
          <w:color w:val="000000" w:themeColor="text1"/>
          <w:sz w:val="20"/>
          <w:szCs w:val="20"/>
          <w:lang w:val="es-ES"/>
        </w:rPr>
        <w:t xml:space="preserve"> por el incumplimiento de los hitos o compromisos acordados […] Lo anterior no impide su pacto, pues, en virtud del segundo inciso del artículo 40 de la Ley 80 de 1993, las entidades pueden celebrar los contratos y acuerdos que permita la autonomía de la voluntad y requiera el cumplimiento de los fines estatales, de manera que nada obsta para que las partes acuerden estándares o hitos de cumplimiento, siempre que tales estipulaciones se ajusten a los límites de las normas de orden público y no incurran en causales de nulidad. Así entendidos, los ANS constituyen cláusulas accidentales dentro de los contratos estatales, en los términos del artículo 1501 del Código Civil, y la naturaleza de las obligaciones que incorporen dependerá igualmente del acuerdo de voluntades, aunque comúnmente se pacten como obligaciones de resultado.</w:t>
      </w:r>
    </w:p>
    <w:p w14:paraId="543164E6" w14:textId="77777777" w:rsidR="00752587" w:rsidRPr="00024A94" w:rsidRDefault="00752587" w:rsidP="00024A94">
      <w:pPr>
        <w:spacing w:after="0" w:line="240" w:lineRule="auto"/>
        <w:jc w:val="both"/>
        <w:rPr>
          <w:rFonts w:ascii="Verdana" w:eastAsia="Calibri" w:hAnsi="Verdana" w:cs="Arial"/>
          <w:b/>
          <w:bCs/>
          <w:color w:val="000000" w:themeColor="text1"/>
          <w:sz w:val="20"/>
          <w:szCs w:val="20"/>
          <w:lang w:val="es-ES"/>
        </w:rPr>
      </w:pPr>
    </w:p>
    <w:p w14:paraId="141F6597" w14:textId="06CB39B6" w:rsidR="00752587" w:rsidRPr="00024A94" w:rsidRDefault="00752587" w:rsidP="00024A94">
      <w:pPr>
        <w:spacing w:after="0" w:line="240" w:lineRule="auto"/>
        <w:jc w:val="both"/>
        <w:rPr>
          <w:rFonts w:ascii="Verdana" w:eastAsia="Calibri" w:hAnsi="Verdana" w:cs="Arial"/>
          <w:b/>
          <w:bCs/>
          <w:color w:val="000000" w:themeColor="text1"/>
          <w:lang w:val="es-ES"/>
        </w:rPr>
      </w:pPr>
      <w:r w:rsidRPr="00024A94">
        <w:rPr>
          <w:rFonts w:ascii="Verdana" w:eastAsia="Calibri" w:hAnsi="Verdana" w:cs="Arial"/>
          <w:b/>
          <w:bCs/>
          <w:color w:val="000000" w:themeColor="text1"/>
          <w:lang w:val="es-ES"/>
        </w:rPr>
        <w:t>ACUERDOS DE NIVELES DE SERVICIO – Deducciones – Naturaleza</w:t>
      </w:r>
    </w:p>
    <w:p w14:paraId="67095501" w14:textId="77777777" w:rsidR="000E5F62" w:rsidRPr="00024A94" w:rsidRDefault="000E5F62" w:rsidP="00024A94">
      <w:pPr>
        <w:spacing w:after="0" w:line="240" w:lineRule="auto"/>
        <w:jc w:val="both"/>
        <w:rPr>
          <w:rFonts w:ascii="Verdana" w:eastAsia="Calibri" w:hAnsi="Verdana" w:cs="Arial"/>
          <w:b/>
          <w:bCs/>
          <w:color w:val="000000" w:themeColor="text1"/>
          <w:sz w:val="20"/>
          <w:szCs w:val="20"/>
          <w:lang w:val="es-ES"/>
        </w:rPr>
      </w:pPr>
    </w:p>
    <w:p w14:paraId="157A302E" w14:textId="497BADB5" w:rsidR="000E5F62" w:rsidRDefault="000E5F62" w:rsidP="00C236CB">
      <w:pPr>
        <w:spacing w:after="0" w:line="240" w:lineRule="auto"/>
        <w:jc w:val="both"/>
        <w:rPr>
          <w:rFonts w:ascii="Verdana" w:eastAsia="Calibri" w:hAnsi="Verdana" w:cs="Arial"/>
          <w:color w:val="000000" w:themeColor="text1"/>
          <w:sz w:val="20"/>
          <w:szCs w:val="20"/>
          <w:lang w:val="es-ES"/>
        </w:rPr>
      </w:pPr>
      <w:r w:rsidRPr="00024A94">
        <w:rPr>
          <w:rFonts w:ascii="Verdana" w:eastAsia="Calibri" w:hAnsi="Verdana" w:cs="Arial"/>
          <w:color w:val="000000" w:themeColor="text1"/>
          <w:sz w:val="20"/>
          <w:szCs w:val="20"/>
          <w:lang w:val="es-ES"/>
        </w:rPr>
        <w:t xml:space="preserve">De conformidad con lo expuesto en este concepto, es claro que en virtud del </w:t>
      </w:r>
      <w:r w:rsidRPr="00024A94">
        <w:rPr>
          <w:rFonts w:ascii="Verdana" w:eastAsia="Calibri" w:hAnsi="Verdana" w:cs="Arial"/>
          <w:color w:val="000000"/>
          <w:sz w:val="20"/>
          <w:szCs w:val="20"/>
          <w:lang w:val="es-ES" w:eastAsia="es-ES_tradnl"/>
        </w:rPr>
        <w:t xml:space="preserve">segundo inciso del artículo 40 de la Ley 80 de 1993, las entidades pueden acordar con el contratista incluir estipulaciones que propendan por el cumplimiento efectivo del objeto contractual, como lo son los ANS como estándares o niveles de calidad y/o servicio. </w:t>
      </w:r>
      <w:r w:rsidRPr="00024A94">
        <w:rPr>
          <w:rFonts w:ascii="Verdana" w:eastAsia="Calibri" w:hAnsi="Verdana" w:cs="Arial"/>
          <w:color w:val="000000" w:themeColor="text1"/>
          <w:sz w:val="20"/>
          <w:szCs w:val="20"/>
          <w:lang w:val="es-ES"/>
        </w:rPr>
        <w:t xml:space="preserve">Debido a que estos acuerdos no se encuentran regulados en el EGCAP ni en sus normas complementarias y reglamentarias, la determinación de su naturaleza, incluyendo si tienen o no carácter sancionatorio, depende de la forma como las partes los hayan pactado en cada caso; </w:t>
      </w:r>
      <w:r w:rsidRPr="00024A94">
        <w:rPr>
          <w:rFonts w:ascii="Verdana" w:eastAsia="Calibri" w:hAnsi="Verdana" w:cs="Arial"/>
          <w:color w:val="000000"/>
          <w:sz w:val="20"/>
          <w:szCs w:val="20"/>
          <w:lang w:val="es-ES" w:eastAsia="es-ES_tradnl"/>
        </w:rPr>
        <w:t>su aplicabilidad y procedimiento dependerá del contenido de las obligaciones que en los ANS se incorpore por las partes</w:t>
      </w:r>
      <w:r w:rsidRPr="00024A94">
        <w:rPr>
          <w:rFonts w:ascii="Verdana" w:eastAsia="Calibri" w:hAnsi="Verdana" w:cs="Arial"/>
          <w:color w:val="000000" w:themeColor="text1"/>
          <w:sz w:val="20"/>
          <w:szCs w:val="20"/>
          <w:lang w:val="es-ES"/>
        </w:rPr>
        <w:t>.</w:t>
      </w:r>
    </w:p>
    <w:p w14:paraId="59FED9A3" w14:textId="77777777" w:rsidR="00501FAB" w:rsidRPr="00024A94" w:rsidRDefault="00501FAB" w:rsidP="00C236CB">
      <w:pPr>
        <w:spacing w:after="0" w:line="240" w:lineRule="auto"/>
        <w:jc w:val="both"/>
        <w:rPr>
          <w:rFonts w:ascii="Verdana" w:eastAsia="Calibri" w:hAnsi="Verdana" w:cs="Arial"/>
          <w:color w:val="000000" w:themeColor="text1"/>
          <w:sz w:val="20"/>
          <w:szCs w:val="20"/>
          <w:lang w:val="es-ES"/>
        </w:rPr>
      </w:pPr>
    </w:p>
    <w:p w14:paraId="7A9E2C75" w14:textId="5DBFE9A3" w:rsidR="000E5F62" w:rsidRDefault="000E5F62" w:rsidP="00C236CB">
      <w:pPr>
        <w:spacing w:after="0" w:line="240" w:lineRule="auto"/>
        <w:jc w:val="both"/>
        <w:rPr>
          <w:rFonts w:ascii="Verdana" w:eastAsia="Calibri" w:hAnsi="Verdana" w:cs="Arial"/>
          <w:color w:val="000000" w:themeColor="text1"/>
          <w:sz w:val="20"/>
          <w:szCs w:val="20"/>
          <w:lang w:val="es-ES"/>
        </w:rPr>
      </w:pPr>
      <w:r w:rsidRPr="00024A94">
        <w:rPr>
          <w:rFonts w:ascii="Verdana" w:eastAsia="Calibri" w:hAnsi="Verdana" w:cs="Arial"/>
          <w:color w:val="000000" w:themeColor="text1"/>
          <w:sz w:val="20"/>
          <w:szCs w:val="20"/>
          <w:lang w:val="es-ES"/>
        </w:rPr>
        <w:t>Por un lado,</w:t>
      </w:r>
      <w:r w:rsidRPr="00024A94">
        <w:rPr>
          <w:rFonts w:ascii="Verdana" w:eastAsia="Calibri" w:hAnsi="Verdana" w:cs="Arial"/>
          <w:color w:val="000000"/>
          <w:sz w:val="20"/>
          <w:szCs w:val="20"/>
          <w:lang w:val="es-ES" w:eastAsia="es-ES_tradnl"/>
        </w:rPr>
        <w:t xml:space="preserve"> si en estos se incorporan obligaciones alternativas de estándares de calidad o niveles de rendimiento específicos estrechamente relacionados con la retribución o contraprestación económica pactada por las partes, sin que necesariamente sean asumidas como incumplimientos que lleven a la rescisión o resolución del contrato, no es necesario que la Entidad Estatal utilice el procedimiento </w:t>
      </w:r>
      <w:r w:rsidRPr="00024A94">
        <w:rPr>
          <w:rFonts w:ascii="Verdana" w:eastAsia="Calibri" w:hAnsi="Verdana" w:cs="Arial"/>
          <w:color w:val="000000" w:themeColor="text1"/>
          <w:sz w:val="20"/>
          <w:szCs w:val="20"/>
          <w:lang w:val="es-ES"/>
        </w:rPr>
        <w:t xml:space="preserve">sancionatorio establecido en </w:t>
      </w:r>
      <w:r w:rsidRPr="00024A94">
        <w:rPr>
          <w:rFonts w:ascii="Verdana" w:eastAsia="Calibri" w:hAnsi="Verdana" w:cs="Arial"/>
          <w:color w:val="000000" w:themeColor="text1"/>
          <w:sz w:val="20"/>
          <w:szCs w:val="20"/>
          <w:lang w:val="es-ES"/>
        </w:rPr>
        <w:lastRenderedPageBreak/>
        <w:t>el artículo 86 de la Ley 1474 de 2011. Con relación a la naturaleza de estos descuentos, conviene precisar que, cuando la retribución se pacta en función directa del nivel de servicio efectivamente prestado —de modo que un cumplimiento inferior al estándar acordado se traduce en una remuneración proporcionalmente menor—, el descuento no constituye, en rigor, una compensación en el sentido de los artículos 1625.5 y 1714 del Código Civil, pues no supone la extinción de dos deudas recíprocas, líquidas y exigibles, sino la determinación del valor realmente causado a favor del contratista conforme a la conmutatividad del contrato (artículos 1495 y 1602 del Código Civil y artículo 40 de la Ley 80 de 1993). En tal supuesto, los recursos correspondientes no llegan a integrarse al patrimonio del contratista, en la medida en que la prestación parcial o defectuosa no genera el derecho a su reconocimiento íntegro. La compensación de los artículos 1625.5 y 1714 del Código Civil y el parágrafo del artículo 17 de la Ley 1150 de 2007 opera, en cambio, como mecanismo para hacer efectivas, frente a las sumas adeudadas al contratista, deducciones de naturaleza resarcitoria o sancionatoria —tales como multas y cláusula penal— ya causadas y cuantificadas. La calificación concreta dependerá de la forma como las partes hayan configurado el mecanismo en el contrato.</w:t>
      </w:r>
    </w:p>
    <w:p w14:paraId="70E53EEE" w14:textId="77777777" w:rsidR="00501FAB" w:rsidRPr="00024A94" w:rsidRDefault="00501FAB" w:rsidP="00501FAB">
      <w:pPr>
        <w:spacing w:after="0" w:line="240" w:lineRule="auto"/>
        <w:jc w:val="both"/>
        <w:rPr>
          <w:rFonts w:ascii="Verdana" w:eastAsia="Calibri" w:hAnsi="Verdana" w:cs="Arial"/>
          <w:color w:val="000000" w:themeColor="text1"/>
          <w:sz w:val="20"/>
          <w:szCs w:val="20"/>
          <w:lang w:val="es-ES"/>
        </w:rPr>
      </w:pPr>
    </w:p>
    <w:p w14:paraId="649A724A" w14:textId="522EDE96" w:rsidR="00752587" w:rsidRDefault="000E5F62" w:rsidP="00C236CB">
      <w:pPr>
        <w:spacing w:after="0" w:line="240" w:lineRule="auto"/>
        <w:jc w:val="both"/>
        <w:rPr>
          <w:rFonts w:ascii="Verdana" w:eastAsia="Calibri" w:hAnsi="Verdana" w:cs="Arial"/>
          <w:color w:val="000000" w:themeColor="text1"/>
          <w:sz w:val="20"/>
          <w:szCs w:val="20"/>
          <w:lang w:val="es-ES"/>
        </w:rPr>
      </w:pPr>
      <w:r w:rsidRPr="00024A94">
        <w:rPr>
          <w:rFonts w:ascii="Verdana" w:eastAsia="Calibri" w:hAnsi="Verdana" w:cs="Arial"/>
          <w:color w:val="000000" w:themeColor="text1"/>
          <w:sz w:val="20"/>
          <w:szCs w:val="20"/>
          <w:lang w:val="es-ES"/>
        </w:rPr>
        <w:t xml:space="preserve">En suma, si los descuentos automáticos están contemplados en el contrato como una forma de compensación procedente en virtud de un cumplimiento alternativo, entonces se aplicarían automáticamente en función del nivel de servicio no cumplido, sin necesidad de un procedimiento sancionatorio previo. </w:t>
      </w:r>
      <w:r w:rsidRPr="00024A94">
        <w:rPr>
          <w:rFonts w:ascii="Verdana" w:eastAsia="Calibri" w:hAnsi="Verdana" w:cs="Arial"/>
          <w:color w:val="000000"/>
          <w:sz w:val="20"/>
          <w:szCs w:val="20"/>
          <w:lang w:val="es-ES" w:eastAsia="es-ES_tradnl"/>
        </w:rPr>
        <w:t xml:space="preserve">Por el contrario, si los ANS pactados en ejercicio de la autonomía de la voluntad, tienen el carácter sancionatorio en el contrato que prevé la declaración de multas o incumplimientos, su aplicación debe estar precedida por la garantía del debido proceso, que corresponde al del </w:t>
      </w:r>
      <w:r w:rsidRPr="00024A94">
        <w:rPr>
          <w:rFonts w:ascii="Verdana" w:eastAsia="Calibri" w:hAnsi="Verdana" w:cs="Arial"/>
          <w:color w:val="000000" w:themeColor="text1"/>
          <w:sz w:val="20"/>
          <w:szCs w:val="20"/>
          <w:lang w:val="es-ES"/>
        </w:rPr>
        <w:t>artículo 86 de la Ley 1474 de 2011</w:t>
      </w:r>
      <w:r w:rsidRPr="00024A94">
        <w:rPr>
          <w:rFonts w:ascii="Verdana" w:eastAsia="Calibri" w:hAnsi="Verdana" w:cs="Arial"/>
          <w:color w:val="000000"/>
          <w:sz w:val="20"/>
          <w:szCs w:val="20"/>
          <w:lang w:val="es-ES" w:eastAsia="es-ES_tradnl"/>
        </w:rPr>
        <w:t>.</w:t>
      </w:r>
    </w:p>
    <w:p w14:paraId="7ABFC207" w14:textId="77777777" w:rsidR="00024A94" w:rsidRPr="00024A94" w:rsidRDefault="00024A94" w:rsidP="00024A94">
      <w:pPr>
        <w:spacing w:after="0" w:line="240" w:lineRule="auto"/>
        <w:jc w:val="both"/>
        <w:rPr>
          <w:rFonts w:ascii="Verdana" w:eastAsia="Calibri" w:hAnsi="Verdana" w:cs="Arial"/>
          <w:color w:val="000000" w:themeColor="text1"/>
          <w:sz w:val="20"/>
          <w:szCs w:val="20"/>
          <w:lang w:val="es-ES"/>
        </w:rPr>
      </w:pPr>
    </w:p>
    <w:p w14:paraId="2FB0AAE2" w14:textId="4ACE3A2B" w:rsidR="00752587" w:rsidRPr="00AA48DC" w:rsidRDefault="00752587" w:rsidP="00024A94">
      <w:pPr>
        <w:spacing w:after="0" w:line="240" w:lineRule="auto"/>
        <w:jc w:val="both"/>
        <w:rPr>
          <w:rFonts w:ascii="Verdana" w:eastAsia="Calibri" w:hAnsi="Verdana" w:cs="Arial"/>
          <w:b/>
          <w:bCs/>
          <w:color w:val="000000" w:themeColor="text1"/>
        </w:rPr>
      </w:pPr>
      <w:r w:rsidRPr="00AA48DC">
        <w:rPr>
          <w:rFonts w:ascii="Verdana" w:eastAsia="Calibri" w:hAnsi="Verdana" w:cs="Arial"/>
          <w:b/>
          <w:bCs/>
          <w:color w:val="000000" w:themeColor="text1"/>
          <w:lang w:val="es-ES"/>
        </w:rPr>
        <w:t>ACUERDOS DE NIVELES DE SERVICIO – Sanciones – Procedimiento – Aplicación – Debido proceso</w:t>
      </w:r>
    </w:p>
    <w:p w14:paraId="27987F30" w14:textId="77777777" w:rsidR="00752587" w:rsidRPr="00024A94" w:rsidRDefault="00752587" w:rsidP="00024A94">
      <w:pPr>
        <w:spacing w:after="0" w:line="240" w:lineRule="auto"/>
        <w:rPr>
          <w:rFonts w:ascii="Verdana" w:eastAsia="Geomanist Light" w:hAnsi="Verdana" w:cs="Arial"/>
          <w:color w:val="000000" w:themeColor="text1"/>
          <w:sz w:val="20"/>
          <w:szCs w:val="20"/>
        </w:rPr>
      </w:pPr>
    </w:p>
    <w:p w14:paraId="20541B2C" w14:textId="77777777" w:rsidR="00752587" w:rsidRPr="00024A94" w:rsidRDefault="00752587" w:rsidP="00C236CB">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024A94">
        <w:rPr>
          <w:rFonts w:ascii="Verdana" w:eastAsia="Calibri" w:hAnsi="Verdana" w:cs="Arial"/>
          <w:color w:val="000000"/>
          <w:sz w:val="20"/>
          <w:szCs w:val="20"/>
          <w:lang w:val="es-ES_tradnl" w:eastAsia="es-ES_tradnl"/>
        </w:rPr>
        <w:t>El segundo inciso del artículo 40 de la Ley 80 de 1993 dispone que “Las entidades podrán celebrar los contratos y acuerdos que permitan la autonomía de la voluntad y requieran el cumplimiento de los fines estatales”. Esto significa que las entidades pueden acordar con el contratista incluir estipulaciones que propendan por el cumplimiento efectivo del objeto contractual, siempre que estas cláusulas sean acordes con los límites consagrados en las normas de orden público, es decir, que no incurran en causales de nulidad. Por ende, nada obsta para que, dentro de estas estipulaciones, las partes, por ejemplo, acuerden estándares o hitos de cumplimiento. Más aún, el artículo 17 de la Ley 1150 de 2007, como se indicó, permite pactar multas y cláusulas penales pecuniarias y faculta a las entidades estatales para hacerlas efectivas unilateralmente.</w:t>
      </w:r>
    </w:p>
    <w:p w14:paraId="55A32C71" w14:textId="77777777" w:rsidR="00752587" w:rsidRPr="00024A94" w:rsidRDefault="00752587" w:rsidP="00C236CB">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6FECD380" w14:textId="77777777" w:rsidR="00752587" w:rsidRPr="00024A94" w:rsidRDefault="00752587" w:rsidP="00C236CB">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024A94">
        <w:rPr>
          <w:rFonts w:ascii="Verdana" w:eastAsia="Calibri" w:hAnsi="Verdana" w:cs="Arial"/>
          <w:color w:val="000000"/>
          <w:sz w:val="20"/>
          <w:szCs w:val="20"/>
          <w:lang w:val="es-ES_tradnl" w:eastAsia="es-ES_tradnl"/>
        </w:rPr>
        <w:t xml:space="preserve">De esta forma, debido a que estos acuerdos no se encuentran regulados en el Estatuto General de Contratación de la Administración Pública, ni en sus normas complementarias y reglamentarias, sino solo para los contratos de APP, la determinación de su naturaleza y de si estos son de carácter sancionatorio o no, depende de la forma como las partes hayan pactado dichos </w:t>
      </w:r>
      <w:r w:rsidRPr="00024A94">
        <w:rPr>
          <w:rFonts w:ascii="Verdana" w:eastAsia="Calibri" w:hAnsi="Verdana" w:cs="Arial"/>
          <w:i/>
          <w:iCs/>
          <w:color w:val="000000"/>
          <w:sz w:val="20"/>
          <w:szCs w:val="20"/>
          <w:lang w:val="es-ES_tradnl" w:eastAsia="es-ES_tradnl"/>
        </w:rPr>
        <w:t>acuerdos</w:t>
      </w:r>
      <w:r w:rsidRPr="00024A94">
        <w:rPr>
          <w:rFonts w:ascii="Verdana" w:eastAsia="Calibri" w:hAnsi="Verdana" w:cs="Arial"/>
          <w:color w:val="000000"/>
          <w:sz w:val="20"/>
          <w:szCs w:val="20"/>
          <w:lang w:val="es-ES_tradnl" w:eastAsia="es-ES_tradnl"/>
        </w:rPr>
        <w:t xml:space="preserve"> en el contrato en </w:t>
      </w:r>
      <w:r w:rsidRPr="00024A94">
        <w:rPr>
          <w:rFonts w:ascii="Verdana" w:eastAsia="Calibri" w:hAnsi="Verdana" w:cs="Arial"/>
          <w:color w:val="000000"/>
          <w:sz w:val="20"/>
          <w:szCs w:val="20"/>
          <w:lang w:val="es-ES_tradnl" w:eastAsia="es-ES_tradnl"/>
        </w:rPr>
        <w:lastRenderedPageBreak/>
        <w:t xml:space="preserve">cada caso. La costumbre negocial refleja que, usualmente, estos </w:t>
      </w:r>
      <w:r w:rsidRPr="00024A94">
        <w:rPr>
          <w:rFonts w:ascii="Verdana" w:eastAsia="Calibri" w:hAnsi="Verdana" w:cs="Arial"/>
          <w:i/>
          <w:iCs/>
          <w:color w:val="000000"/>
          <w:sz w:val="20"/>
          <w:szCs w:val="20"/>
          <w:lang w:val="es-ES_tradnl" w:eastAsia="es-ES_tradnl"/>
        </w:rPr>
        <w:t>acuerdos</w:t>
      </w:r>
      <w:r w:rsidRPr="00024A94">
        <w:rPr>
          <w:rFonts w:ascii="Verdana" w:eastAsia="Calibri" w:hAnsi="Verdana" w:cs="Arial"/>
          <w:color w:val="000000"/>
          <w:sz w:val="20"/>
          <w:szCs w:val="20"/>
          <w:lang w:val="es-ES_tradnl" w:eastAsia="es-ES_tradnl"/>
        </w:rPr>
        <w:t xml:space="preserve"> son estipulaciones mediante las cuales el contratista se compromete a ejecutar sus obligaciones con un determinado grado de calidad o eficiencia, para, en caso de no cumplir con tal nivel de satisfacción, ver disminuida en parte su remuneración en virtud del descuento que le realiza el contratante.</w:t>
      </w:r>
    </w:p>
    <w:p w14:paraId="54CBD48E" w14:textId="77777777" w:rsidR="00752587" w:rsidRPr="00024A94" w:rsidRDefault="00752587" w:rsidP="00024A94">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568D8774" w14:textId="0E92518C" w:rsidR="00752587" w:rsidRPr="00024A94" w:rsidRDefault="00752587" w:rsidP="00024A94">
      <w:pPr>
        <w:pStyle w:val="s16"/>
        <w:spacing w:before="0" w:beforeAutospacing="0" w:after="0" w:afterAutospacing="0"/>
        <w:jc w:val="both"/>
        <w:rPr>
          <w:rFonts w:ascii="Verdana" w:eastAsia="Calibri" w:hAnsi="Verdana" w:cs="Arial"/>
          <w:b/>
          <w:bCs/>
          <w:sz w:val="22"/>
          <w:szCs w:val="22"/>
          <w:lang w:val="es-ES" w:eastAsia="es-ES"/>
        </w:rPr>
      </w:pPr>
      <w:r w:rsidRPr="00024A94">
        <w:rPr>
          <w:rFonts w:ascii="Verdana" w:eastAsia="Calibri" w:hAnsi="Verdana" w:cs="Arial"/>
          <w:b/>
          <w:bCs/>
          <w:sz w:val="22"/>
          <w:szCs w:val="22"/>
          <w:lang w:val="es-ES" w:eastAsia="es-ES"/>
        </w:rPr>
        <w:t>EXTINCIÓN DE LAS OBLIGACIONES – Compensación – Definición</w:t>
      </w:r>
    </w:p>
    <w:p w14:paraId="1B721922" w14:textId="77777777" w:rsidR="00804E89" w:rsidRPr="00804E89" w:rsidRDefault="00804E89" w:rsidP="00804E89">
      <w:pPr>
        <w:tabs>
          <w:tab w:val="left" w:pos="0"/>
        </w:tabs>
        <w:spacing w:before="120" w:after="0" w:line="240" w:lineRule="auto"/>
        <w:jc w:val="both"/>
        <w:rPr>
          <w:rFonts w:ascii="Verdana" w:eastAsia="Calibri" w:hAnsi="Verdana" w:cs="Arial"/>
          <w:color w:val="000000"/>
          <w:sz w:val="20"/>
          <w:szCs w:val="20"/>
          <w:lang w:val="es-ES" w:eastAsia="es-ES_tradnl"/>
        </w:rPr>
      </w:pPr>
      <w:r w:rsidRPr="00804E89">
        <w:rPr>
          <w:rFonts w:ascii="Verdana" w:eastAsia="Calibri" w:hAnsi="Verdana" w:cs="Arial"/>
          <w:color w:val="000000"/>
          <w:sz w:val="20"/>
          <w:szCs w:val="20"/>
          <w:lang w:val="es-ES" w:eastAsia="es-ES_tradnl"/>
        </w:rPr>
        <w:t xml:space="preserve">Sobre la compensación, </w:t>
      </w:r>
      <w:r w:rsidRPr="00804E89">
        <w:rPr>
          <w:rFonts w:ascii="Verdana" w:hAnsi="Verdana" w:cs="Arial"/>
          <w:iCs/>
          <w:color w:val="000000" w:themeColor="text1"/>
          <w:sz w:val="20"/>
          <w:szCs w:val="20"/>
          <w:lang w:val="es-ES"/>
        </w:rPr>
        <w:t xml:space="preserve">el parágrafo del artículo 17 de la Ley 1150 de 2007 dispone que “La cláusula penal y las multas así impuestas, se harán efectivas directamente por las entidades estatales, pudiendo acudir para el efecto entre otros a los </w:t>
      </w:r>
      <w:r w:rsidRPr="00804E89">
        <w:rPr>
          <w:rFonts w:ascii="Verdana" w:hAnsi="Verdana" w:cs="Arial"/>
          <w:i/>
          <w:color w:val="000000" w:themeColor="text1"/>
          <w:sz w:val="20"/>
          <w:szCs w:val="20"/>
          <w:lang w:val="es-ES"/>
        </w:rPr>
        <w:t>mecanismos de compensación de las sumas adeudadas al contratista</w:t>
      </w:r>
      <w:r w:rsidRPr="00804E89">
        <w:rPr>
          <w:rFonts w:ascii="Verdana" w:hAnsi="Verdana" w:cs="Arial"/>
          <w:iCs/>
          <w:color w:val="000000" w:themeColor="text1"/>
          <w:sz w:val="20"/>
          <w:szCs w:val="20"/>
          <w:lang w:val="es-ES"/>
        </w:rPr>
        <w:t xml:space="preserve">, cobro de la garantía, o a cualquier otro medio para obtener el pago, incluyendo el de la jurisdicción coactiva” (Énfasis fuera de texto). Así, </w:t>
      </w:r>
      <w:r w:rsidRPr="00804E89">
        <w:rPr>
          <w:rFonts w:ascii="Verdana" w:hAnsi="Verdana" w:cs="Arial"/>
          <w:sz w:val="20"/>
          <w:szCs w:val="20"/>
          <w:lang w:val="es-ES"/>
        </w:rPr>
        <w:t xml:space="preserve">tomando como fuente las corrientes romanistas, el artículo 1625.5 del Código Civil establece la compensación como forma de extinguir las obligaciones. </w:t>
      </w:r>
    </w:p>
    <w:p w14:paraId="033AFBF5" w14:textId="77777777" w:rsidR="00804E89" w:rsidRPr="00804E89" w:rsidRDefault="00804E89" w:rsidP="00804E89">
      <w:pPr>
        <w:tabs>
          <w:tab w:val="left" w:pos="0"/>
        </w:tabs>
        <w:spacing w:before="120" w:after="0" w:line="240" w:lineRule="auto"/>
        <w:jc w:val="both"/>
        <w:rPr>
          <w:rFonts w:ascii="Verdana" w:hAnsi="Verdana" w:cs="Arial"/>
          <w:sz w:val="20"/>
          <w:szCs w:val="20"/>
          <w:lang w:val="es-ES"/>
        </w:rPr>
      </w:pPr>
      <w:r w:rsidRPr="00804E89">
        <w:rPr>
          <w:rFonts w:ascii="Verdana" w:hAnsi="Verdana" w:cs="Arial"/>
          <w:sz w:val="20"/>
          <w:szCs w:val="20"/>
          <w:lang w:val="es-ES"/>
        </w:rPr>
        <w:t>Según la célebre definición del MODESTINO, “La compensación es la contribución de una deuda y de un crédito entre sí” (D. 16.2.1). Para DOMAT, “[…] las compensaciones son dos pagos recíprocos que se hacen a un mismo tiempo, sin que los deudores se den mutuamente otra cosa que el recibo de cada deuda, quedando ellas extinguidas hasta la cantidad en que fueren compensadas”</w:t>
      </w:r>
      <w:r w:rsidRPr="00804E89">
        <w:rPr>
          <w:rStyle w:val="Refdenotaalpie"/>
          <w:rFonts w:ascii="Verdana" w:hAnsi="Verdana" w:cs="Arial"/>
          <w:sz w:val="20"/>
          <w:szCs w:val="20"/>
          <w:lang w:val="es-ES"/>
        </w:rPr>
        <w:footnoteReference w:id="2"/>
      </w:r>
      <w:r w:rsidRPr="00804E89">
        <w:rPr>
          <w:rFonts w:ascii="Verdana" w:hAnsi="Verdana" w:cs="Arial"/>
          <w:sz w:val="20"/>
          <w:szCs w:val="20"/>
          <w:lang w:val="es-ES"/>
        </w:rPr>
        <w:t>. POTHIER, por su parte, estima que “La compensación es la extinción de las deudas de dos personas de dos recíprocos derechos”</w:t>
      </w:r>
      <w:r w:rsidRPr="00804E89">
        <w:rPr>
          <w:rStyle w:val="Refdenotaalpie"/>
          <w:rFonts w:ascii="Verdana" w:hAnsi="Verdana" w:cs="Arial"/>
          <w:sz w:val="20"/>
          <w:szCs w:val="20"/>
          <w:lang w:val="es-ES"/>
        </w:rPr>
        <w:footnoteReference w:id="3"/>
      </w:r>
      <w:r w:rsidRPr="00804E89">
        <w:rPr>
          <w:rFonts w:ascii="Verdana" w:hAnsi="Verdana" w:cs="Arial"/>
          <w:sz w:val="20"/>
          <w:szCs w:val="20"/>
          <w:lang w:val="es-ES"/>
        </w:rPr>
        <w:t>.</w:t>
      </w:r>
    </w:p>
    <w:p w14:paraId="14C395AA" w14:textId="2E515DBF" w:rsidR="00804E89" w:rsidRPr="00804E89" w:rsidRDefault="00804E89" w:rsidP="00804E89">
      <w:pPr>
        <w:tabs>
          <w:tab w:val="left" w:pos="0"/>
        </w:tabs>
        <w:spacing w:before="120" w:after="0" w:line="240" w:lineRule="auto"/>
        <w:jc w:val="both"/>
        <w:rPr>
          <w:rFonts w:ascii="Verdana" w:eastAsia="Calibri" w:hAnsi="Verdana" w:cs="Arial"/>
          <w:color w:val="000000"/>
          <w:sz w:val="20"/>
          <w:szCs w:val="20"/>
          <w:lang w:val="es-ES" w:eastAsia="es-ES_tradnl"/>
        </w:rPr>
      </w:pPr>
      <w:r w:rsidRPr="00804E89">
        <w:rPr>
          <w:rFonts w:ascii="Verdana" w:hAnsi="Verdana" w:cs="Arial"/>
          <w:sz w:val="20"/>
          <w:szCs w:val="20"/>
          <w:lang w:val="es-ES"/>
        </w:rPr>
        <w:t xml:space="preserve">Por ello, el artículo 1714 </w:t>
      </w:r>
      <w:r w:rsidRPr="00804E89">
        <w:rPr>
          <w:rFonts w:ascii="Verdana" w:hAnsi="Verdana" w:cs="Arial"/>
          <w:i/>
          <w:iCs/>
          <w:sz w:val="20"/>
          <w:szCs w:val="20"/>
          <w:lang w:val="es-ES"/>
        </w:rPr>
        <w:t>ibidem</w:t>
      </w:r>
      <w:r w:rsidRPr="00804E89">
        <w:rPr>
          <w:rFonts w:ascii="Verdana" w:hAnsi="Verdana" w:cs="Arial"/>
          <w:sz w:val="20"/>
          <w:szCs w:val="20"/>
          <w:lang w:val="es-ES"/>
        </w:rPr>
        <w:t xml:space="preserve"> establece que “Cuando dos personas son deudoras una de otra, se opera entre ellas una compensación que extingue ambas deudas […]”. Desde el punto de vista etimológico, la expresión deriva del prefijo </w:t>
      </w:r>
      <w:r w:rsidRPr="00804E89">
        <w:rPr>
          <w:rFonts w:ascii="Verdana" w:hAnsi="Verdana" w:cs="Arial"/>
          <w:i/>
          <w:iCs/>
          <w:sz w:val="20"/>
          <w:szCs w:val="20"/>
          <w:lang w:val="es-ES"/>
        </w:rPr>
        <w:t>con</w:t>
      </w:r>
      <w:r w:rsidRPr="00804E89">
        <w:rPr>
          <w:rFonts w:ascii="Verdana" w:hAnsi="Verdana" w:cs="Arial"/>
          <w:sz w:val="20"/>
          <w:szCs w:val="20"/>
          <w:lang w:val="es-ES"/>
        </w:rPr>
        <w:t xml:space="preserve">- (todo, junto), </w:t>
      </w:r>
      <w:r w:rsidRPr="00804E89">
        <w:rPr>
          <w:rFonts w:ascii="Verdana" w:hAnsi="Verdana" w:cs="Arial"/>
          <w:i/>
          <w:iCs/>
          <w:sz w:val="20"/>
          <w:szCs w:val="20"/>
          <w:lang w:val="es-ES"/>
        </w:rPr>
        <w:t>pensare</w:t>
      </w:r>
      <w:r w:rsidRPr="00804E89">
        <w:rPr>
          <w:rFonts w:ascii="Verdana" w:hAnsi="Verdana" w:cs="Arial"/>
          <w:sz w:val="20"/>
          <w:szCs w:val="20"/>
          <w:lang w:val="es-ES"/>
        </w:rPr>
        <w:t xml:space="preserve"> (pesar en una balanza), más el sufijo -</w:t>
      </w:r>
      <w:proofErr w:type="spellStart"/>
      <w:r w:rsidRPr="00804E89">
        <w:rPr>
          <w:rFonts w:ascii="Verdana" w:hAnsi="Verdana" w:cs="Arial"/>
          <w:i/>
          <w:iCs/>
          <w:sz w:val="20"/>
          <w:szCs w:val="20"/>
          <w:lang w:val="es-ES"/>
        </w:rPr>
        <w:t>ción</w:t>
      </w:r>
      <w:proofErr w:type="spellEnd"/>
      <w:r w:rsidRPr="00804E89">
        <w:rPr>
          <w:rFonts w:ascii="Verdana" w:hAnsi="Verdana" w:cs="Arial"/>
          <w:sz w:val="20"/>
          <w:szCs w:val="20"/>
          <w:lang w:val="es-ES"/>
        </w:rPr>
        <w:t xml:space="preserve"> (acción y efecto); razón por la que, en conjunto, significa sopesar o comparar el monto de los créditos que dos personas se adeudan entre sí</w:t>
      </w:r>
      <w:r w:rsidRPr="00804E89">
        <w:rPr>
          <w:rStyle w:val="Refdenotaalpie"/>
          <w:rFonts w:ascii="Verdana" w:hAnsi="Verdana" w:cs="Arial"/>
          <w:sz w:val="20"/>
          <w:szCs w:val="20"/>
          <w:lang w:val="es-ES"/>
        </w:rPr>
        <w:footnoteReference w:id="4"/>
      </w:r>
      <w:r w:rsidRPr="00804E89">
        <w:rPr>
          <w:rFonts w:ascii="Verdana" w:hAnsi="Verdana" w:cs="Arial"/>
          <w:sz w:val="20"/>
          <w:szCs w:val="20"/>
          <w:lang w:val="es-ES"/>
        </w:rPr>
        <w:t>.</w:t>
      </w:r>
    </w:p>
    <w:p w14:paraId="7592CA91" w14:textId="77777777" w:rsidR="00804E89" w:rsidRPr="00024A94" w:rsidRDefault="00804E89" w:rsidP="00024A94">
      <w:pPr>
        <w:pStyle w:val="s16"/>
        <w:spacing w:before="0" w:beforeAutospacing="0" w:after="0" w:afterAutospacing="0"/>
        <w:jc w:val="both"/>
        <w:rPr>
          <w:rStyle w:val="s15"/>
          <w:rFonts w:ascii="Verdana" w:eastAsiaTheme="majorEastAsia" w:hAnsi="Verdana" w:cs="Arial"/>
          <w:b/>
          <w:bCs/>
          <w:color w:val="000000"/>
          <w:sz w:val="22"/>
          <w:szCs w:val="22"/>
        </w:rPr>
      </w:pPr>
    </w:p>
    <w:p w14:paraId="6B3FAE36" w14:textId="064678D7" w:rsidR="00752587" w:rsidRPr="00024A94" w:rsidRDefault="00752587" w:rsidP="00024A94">
      <w:pPr>
        <w:pStyle w:val="s16"/>
        <w:spacing w:before="0" w:beforeAutospacing="0" w:after="0" w:afterAutospacing="0"/>
        <w:jc w:val="both"/>
        <w:rPr>
          <w:rFonts w:ascii="Verdana" w:hAnsi="Verdana" w:cs="Arial"/>
          <w:b/>
          <w:bCs/>
          <w:color w:val="000000"/>
          <w:sz w:val="22"/>
          <w:szCs w:val="22"/>
        </w:rPr>
      </w:pPr>
      <w:r w:rsidRPr="00024A94">
        <w:rPr>
          <w:rStyle w:val="s15"/>
          <w:rFonts w:ascii="Verdana" w:eastAsiaTheme="majorEastAsia" w:hAnsi="Verdana" w:cs="Arial"/>
          <w:b/>
          <w:bCs/>
          <w:color w:val="000000"/>
          <w:sz w:val="22"/>
          <w:szCs w:val="22"/>
        </w:rPr>
        <w:t xml:space="preserve">COMPENSACIÓN – Clasificación </w:t>
      </w:r>
    </w:p>
    <w:p w14:paraId="050B4F66" w14:textId="77777777" w:rsidR="00752587" w:rsidRPr="00024A94" w:rsidRDefault="00752587" w:rsidP="00024A94">
      <w:pPr>
        <w:pStyle w:val="s17"/>
        <w:spacing w:before="0" w:beforeAutospacing="0" w:after="0" w:afterAutospacing="0"/>
        <w:jc w:val="both"/>
        <w:rPr>
          <w:rFonts w:ascii="Verdana" w:hAnsi="Verdana" w:cs="Arial"/>
          <w:color w:val="000000"/>
          <w:sz w:val="20"/>
          <w:szCs w:val="20"/>
        </w:rPr>
      </w:pPr>
      <w:r w:rsidRPr="00024A94">
        <w:rPr>
          <w:rFonts w:ascii="Verdana" w:hAnsi="Verdana" w:cs="Arial"/>
          <w:color w:val="000000"/>
          <w:sz w:val="20"/>
          <w:szCs w:val="20"/>
        </w:rPr>
        <w:t> </w:t>
      </w:r>
    </w:p>
    <w:p w14:paraId="1DF1A03F" w14:textId="77777777" w:rsidR="00752587" w:rsidRPr="00024A94" w:rsidRDefault="00752587" w:rsidP="00024A94">
      <w:pPr>
        <w:pStyle w:val="s17"/>
        <w:spacing w:before="0" w:beforeAutospacing="0" w:after="0" w:afterAutospacing="0"/>
        <w:jc w:val="both"/>
        <w:rPr>
          <w:rFonts w:ascii="Verdana" w:hAnsi="Verdana" w:cs="Arial"/>
          <w:color w:val="000000"/>
          <w:sz w:val="20"/>
          <w:szCs w:val="20"/>
        </w:rPr>
      </w:pPr>
      <w:r w:rsidRPr="00024A94">
        <w:rPr>
          <w:rFonts w:ascii="Verdana" w:hAnsi="Verdana" w:cs="Arial"/>
          <w:color w:val="000000"/>
          <w:sz w:val="20"/>
          <w:szCs w:val="20"/>
        </w:rPr>
        <w:t xml:space="preserve">La compensación puede tener carácter legal, voluntaria o judicial. La </w:t>
      </w:r>
      <w:r w:rsidRPr="00024A94">
        <w:rPr>
          <w:rFonts w:ascii="Verdana" w:hAnsi="Verdana" w:cs="Arial"/>
          <w:i/>
          <w:iCs/>
          <w:color w:val="000000"/>
          <w:sz w:val="20"/>
          <w:szCs w:val="20"/>
        </w:rPr>
        <w:t>compensación legal</w:t>
      </w:r>
      <w:r w:rsidRPr="00024A94">
        <w:rPr>
          <w:rFonts w:ascii="Verdana" w:hAnsi="Verdana" w:cs="Arial"/>
          <w:color w:val="000000"/>
          <w:sz w:val="20"/>
          <w:szCs w:val="20"/>
        </w:rPr>
        <w:t xml:space="preserve"> opera automáticamente por disposición del ordenamiento jurídico, incluso sin que las partes lo sepan, siempre que ambas deudas cumplan con los requisitos exigidos para que se produzca; la </w:t>
      </w:r>
      <w:r w:rsidRPr="00024A94">
        <w:rPr>
          <w:rFonts w:ascii="Verdana" w:hAnsi="Verdana" w:cs="Arial"/>
          <w:i/>
          <w:iCs/>
          <w:color w:val="000000"/>
          <w:sz w:val="20"/>
          <w:szCs w:val="20"/>
        </w:rPr>
        <w:t>compensación voluntaria</w:t>
      </w:r>
      <w:r w:rsidRPr="00024A94">
        <w:rPr>
          <w:rFonts w:ascii="Verdana" w:hAnsi="Verdana" w:cs="Arial"/>
          <w:color w:val="000000"/>
          <w:sz w:val="20"/>
          <w:szCs w:val="20"/>
        </w:rPr>
        <w:t xml:space="preserve"> ocurre cuando no se cumplen los requisitos para la </w:t>
      </w:r>
      <w:r w:rsidRPr="00024A94">
        <w:rPr>
          <w:rFonts w:ascii="Verdana" w:hAnsi="Verdana" w:cs="Arial"/>
          <w:i/>
          <w:iCs/>
          <w:color w:val="000000"/>
          <w:sz w:val="20"/>
          <w:szCs w:val="20"/>
        </w:rPr>
        <w:t>compensación legal</w:t>
      </w:r>
      <w:r w:rsidRPr="00024A94">
        <w:rPr>
          <w:rFonts w:ascii="Verdana" w:hAnsi="Verdana" w:cs="Arial"/>
          <w:color w:val="000000"/>
          <w:sz w:val="20"/>
          <w:szCs w:val="20"/>
        </w:rPr>
        <w:t xml:space="preserve">, pero las partes acuerdan llevarla a cabo, o cuando la persona que podría oponerse a ella decide renunciar libremente a ese derecho; finalmente, la </w:t>
      </w:r>
      <w:r w:rsidRPr="00024A94">
        <w:rPr>
          <w:rFonts w:ascii="Verdana" w:hAnsi="Verdana" w:cs="Arial"/>
          <w:i/>
          <w:iCs/>
          <w:color w:val="000000"/>
          <w:sz w:val="20"/>
          <w:szCs w:val="20"/>
        </w:rPr>
        <w:t>compensación judicial</w:t>
      </w:r>
      <w:r w:rsidRPr="00024A94">
        <w:rPr>
          <w:rFonts w:ascii="Verdana" w:hAnsi="Verdana" w:cs="Arial"/>
          <w:color w:val="000000"/>
          <w:sz w:val="20"/>
          <w:szCs w:val="20"/>
        </w:rPr>
        <w:t xml:space="preserve"> supone que el deudor, al ser demandado, no puede alegar la </w:t>
      </w:r>
      <w:r w:rsidRPr="00024A94">
        <w:rPr>
          <w:rFonts w:ascii="Verdana" w:hAnsi="Verdana" w:cs="Arial"/>
          <w:i/>
          <w:iCs/>
          <w:color w:val="000000"/>
          <w:sz w:val="20"/>
          <w:szCs w:val="20"/>
        </w:rPr>
        <w:t>compensación legal</w:t>
      </w:r>
      <w:r w:rsidRPr="00024A94">
        <w:rPr>
          <w:rFonts w:ascii="Verdana" w:hAnsi="Verdana" w:cs="Arial"/>
          <w:color w:val="000000"/>
          <w:sz w:val="20"/>
          <w:szCs w:val="20"/>
        </w:rPr>
        <w:t xml:space="preserve"> porque su crédito no cumple con algún requisito, pero presenta una </w:t>
      </w:r>
      <w:r w:rsidRPr="00024A94">
        <w:rPr>
          <w:rFonts w:ascii="Verdana" w:hAnsi="Verdana" w:cs="Arial"/>
          <w:color w:val="000000"/>
          <w:sz w:val="20"/>
          <w:szCs w:val="20"/>
        </w:rPr>
        <w:lastRenderedPageBreak/>
        <w:t>demanda de reconvención contra el demandante, y el juez, al determinar que ambas pretensiones son válidas, ordena la compensación en la sentencia.</w:t>
      </w:r>
    </w:p>
    <w:p w14:paraId="599D6076" w14:textId="77777777" w:rsidR="00752587" w:rsidRPr="00024A94" w:rsidRDefault="00752587" w:rsidP="00024A94">
      <w:pPr>
        <w:pStyle w:val="s17"/>
        <w:spacing w:before="0" w:beforeAutospacing="0" w:after="0" w:afterAutospacing="0"/>
        <w:jc w:val="both"/>
        <w:rPr>
          <w:rFonts w:ascii="Verdana" w:hAnsi="Verdana" w:cs="Arial"/>
          <w:color w:val="000000"/>
          <w:sz w:val="20"/>
          <w:szCs w:val="20"/>
        </w:rPr>
      </w:pPr>
    </w:p>
    <w:p w14:paraId="058A64F7" w14:textId="77777777" w:rsidR="00752587" w:rsidRDefault="00752587" w:rsidP="00024A94">
      <w:pPr>
        <w:pStyle w:val="s17"/>
        <w:spacing w:before="0" w:beforeAutospacing="0" w:after="0" w:afterAutospacing="0"/>
        <w:jc w:val="both"/>
        <w:rPr>
          <w:rStyle w:val="s18"/>
          <w:rFonts w:ascii="Verdana" w:hAnsi="Verdana" w:cs="Arial"/>
          <w:color w:val="000000"/>
          <w:sz w:val="20"/>
          <w:szCs w:val="20"/>
        </w:rPr>
      </w:pPr>
      <w:r w:rsidRPr="00024A94">
        <w:rPr>
          <w:rFonts w:ascii="Verdana" w:hAnsi="Verdana" w:cs="Arial"/>
          <w:color w:val="000000"/>
          <w:sz w:val="20"/>
          <w:szCs w:val="20"/>
        </w:rPr>
        <w:t xml:space="preserve">Ello muestra el carácter principal que asume la </w:t>
      </w:r>
      <w:r w:rsidRPr="00024A94">
        <w:rPr>
          <w:rFonts w:ascii="Verdana" w:hAnsi="Verdana" w:cs="Arial"/>
          <w:i/>
          <w:iCs/>
          <w:color w:val="000000"/>
          <w:sz w:val="20"/>
          <w:szCs w:val="20"/>
        </w:rPr>
        <w:t>compensación legal</w:t>
      </w:r>
      <w:r w:rsidRPr="00024A94">
        <w:rPr>
          <w:rFonts w:ascii="Verdana" w:hAnsi="Verdana" w:cs="Arial"/>
          <w:color w:val="000000"/>
          <w:sz w:val="20"/>
          <w:szCs w:val="20"/>
        </w:rPr>
        <w:t xml:space="preserve">, mientras que la </w:t>
      </w:r>
      <w:r w:rsidRPr="00024A94">
        <w:rPr>
          <w:rFonts w:ascii="Verdana" w:hAnsi="Verdana" w:cs="Arial"/>
          <w:i/>
          <w:iCs/>
          <w:color w:val="000000"/>
          <w:sz w:val="20"/>
          <w:szCs w:val="20"/>
        </w:rPr>
        <w:t>compensación voluntaria</w:t>
      </w:r>
      <w:r w:rsidRPr="00024A94">
        <w:rPr>
          <w:rFonts w:ascii="Verdana" w:hAnsi="Verdana" w:cs="Arial"/>
          <w:color w:val="000000"/>
          <w:sz w:val="20"/>
          <w:szCs w:val="20"/>
        </w:rPr>
        <w:t xml:space="preserve"> y la </w:t>
      </w:r>
      <w:r w:rsidRPr="00024A94">
        <w:rPr>
          <w:rFonts w:ascii="Verdana" w:hAnsi="Verdana" w:cs="Arial"/>
          <w:i/>
          <w:iCs/>
          <w:color w:val="000000"/>
          <w:sz w:val="20"/>
          <w:szCs w:val="20"/>
        </w:rPr>
        <w:t>compensación judicial</w:t>
      </w:r>
      <w:r w:rsidRPr="00024A94">
        <w:rPr>
          <w:rFonts w:ascii="Verdana" w:hAnsi="Verdana" w:cs="Arial"/>
          <w:color w:val="000000"/>
          <w:sz w:val="20"/>
          <w:szCs w:val="20"/>
        </w:rPr>
        <w:t xml:space="preserve"> tienen una naturaleza subsidiaria, pues ambas aplican en defecto de la primera. Esta situación también influye en su desarrollo normativo, pues sólo la </w:t>
      </w:r>
      <w:r w:rsidRPr="00024A94">
        <w:rPr>
          <w:rFonts w:ascii="Verdana" w:hAnsi="Verdana" w:cs="Arial"/>
          <w:i/>
          <w:iCs/>
          <w:color w:val="000000"/>
          <w:sz w:val="20"/>
          <w:szCs w:val="20"/>
        </w:rPr>
        <w:t>compensación legal</w:t>
      </w:r>
      <w:r w:rsidRPr="00024A94">
        <w:rPr>
          <w:rFonts w:ascii="Verdana" w:hAnsi="Verdana" w:cs="Arial"/>
          <w:color w:val="000000"/>
          <w:sz w:val="20"/>
          <w:szCs w:val="20"/>
        </w:rPr>
        <w:t xml:space="preserve"> tiene tratamiento específico en el Código Civil.</w:t>
      </w:r>
      <w:r w:rsidRPr="00024A94">
        <w:rPr>
          <w:rStyle w:val="s18"/>
          <w:rFonts w:ascii="Verdana" w:hAnsi="Verdana" w:cs="Arial"/>
          <w:color w:val="000000"/>
          <w:sz w:val="20"/>
          <w:szCs w:val="20"/>
        </w:rPr>
        <w:t xml:space="preserve"> </w:t>
      </w:r>
    </w:p>
    <w:p w14:paraId="72B8DD04" w14:textId="77777777" w:rsidR="00024A94" w:rsidRPr="00024A94" w:rsidRDefault="00024A94" w:rsidP="00024A94">
      <w:pPr>
        <w:pStyle w:val="s17"/>
        <w:spacing w:before="0" w:beforeAutospacing="0" w:after="0" w:afterAutospacing="0"/>
        <w:jc w:val="both"/>
        <w:rPr>
          <w:rStyle w:val="s18"/>
          <w:rFonts w:ascii="Verdana" w:hAnsi="Verdana" w:cs="Arial"/>
          <w:color w:val="000000"/>
          <w:sz w:val="20"/>
          <w:szCs w:val="20"/>
        </w:rPr>
      </w:pPr>
    </w:p>
    <w:p w14:paraId="47EAC346" w14:textId="77777777" w:rsidR="00752587" w:rsidRPr="00024A94" w:rsidRDefault="00752587" w:rsidP="00024A94">
      <w:pPr>
        <w:spacing w:line="240" w:lineRule="auto"/>
        <w:jc w:val="both"/>
        <w:rPr>
          <w:rFonts w:ascii="Verdana" w:eastAsia="Calibri" w:hAnsi="Verdana" w:cs="Arial"/>
          <w:b/>
          <w:bCs/>
          <w:color w:val="000000" w:themeColor="text1"/>
          <w:lang w:val="es-ES"/>
        </w:rPr>
      </w:pPr>
      <w:r w:rsidRPr="00024A94">
        <w:rPr>
          <w:rFonts w:ascii="Verdana" w:eastAsia="Calibri" w:hAnsi="Verdana" w:cs="Arial"/>
          <w:b/>
          <w:bCs/>
          <w:lang w:val="es-ES" w:eastAsia="es-ES"/>
        </w:rPr>
        <w:t>CLÁUSULAS PENALES Y MULTAS – Imposición unilateral – Proporcionalidad – Régimen jurídico – Derecho privado</w:t>
      </w:r>
    </w:p>
    <w:p w14:paraId="70154E59" w14:textId="7D73B624" w:rsidR="00804E89" w:rsidRPr="00804E89" w:rsidRDefault="00804E89" w:rsidP="00804E89">
      <w:pPr>
        <w:spacing w:before="120" w:line="240" w:lineRule="auto"/>
        <w:ind w:right="142"/>
        <w:jc w:val="both"/>
        <w:rPr>
          <w:rFonts w:ascii="Verdana" w:hAnsi="Verdana" w:cs="Arial"/>
          <w:iCs/>
          <w:color w:val="000000" w:themeColor="text1"/>
          <w:sz w:val="20"/>
          <w:szCs w:val="20"/>
          <w:lang w:val="es-ES"/>
        </w:rPr>
      </w:pPr>
      <w:r w:rsidRPr="00804E89">
        <w:rPr>
          <w:rFonts w:ascii="Verdana" w:hAnsi="Verdana" w:cs="Arial"/>
          <w:i/>
          <w:color w:val="000000" w:themeColor="text1"/>
          <w:sz w:val="20"/>
          <w:szCs w:val="20"/>
          <w:lang w:val="es-ES"/>
        </w:rPr>
        <w:t>La imposición unilateral</w:t>
      </w:r>
      <w:r w:rsidRPr="00804E89">
        <w:rPr>
          <w:rFonts w:ascii="Verdana" w:hAnsi="Verdana" w:cs="Arial"/>
          <w:iCs/>
          <w:color w:val="000000" w:themeColor="text1"/>
          <w:sz w:val="20"/>
          <w:szCs w:val="20"/>
          <w:lang w:val="es-ES"/>
        </w:rPr>
        <w:t xml:space="preserve"> de la multa o la cláusula penal cuenta con una particular combinación entre el principio de legalidad y la autonomía de la voluntad, de tal suerte </w:t>
      </w:r>
      <w:proofErr w:type="gramStart"/>
      <w:r w:rsidRPr="00804E89">
        <w:rPr>
          <w:rFonts w:ascii="Verdana" w:hAnsi="Verdana" w:cs="Arial"/>
          <w:iCs/>
          <w:color w:val="000000" w:themeColor="text1"/>
          <w:sz w:val="20"/>
          <w:szCs w:val="20"/>
          <w:lang w:val="es-ES"/>
        </w:rPr>
        <w:t>que</w:t>
      </w:r>
      <w:proofErr w:type="gramEnd"/>
      <w:r w:rsidRPr="00804E89">
        <w:rPr>
          <w:rFonts w:ascii="Verdana" w:hAnsi="Verdana" w:cs="Arial"/>
          <w:iCs/>
          <w:color w:val="000000" w:themeColor="text1"/>
          <w:sz w:val="20"/>
          <w:szCs w:val="20"/>
          <w:lang w:val="es-ES"/>
        </w:rPr>
        <w:t xml:space="preserve"> si bien el legislador autorizó a las entidades para declarar el incumplimiento con la intención de multar al contratista para conminarlo al cumplimiento o para hacer efectiva la cláusula penal, es indispensable que uno u otro caso se hayan pactado en el contrato. No obstante, cumplido el requisito del pacto en el contrato, las entidades estatales sometidas al EGCAP, por ministerio de la ley –artículo 17 de la Ley 1150 de 2007–, se entienden investidas de la prerrogativa de imposición unilateral. </w:t>
      </w:r>
    </w:p>
    <w:p w14:paraId="45A8793B" w14:textId="77777777" w:rsidR="00752587" w:rsidRPr="00C7143B" w:rsidRDefault="00752587" w:rsidP="00752587">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6B1214B1" w14:textId="77777777" w:rsidR="00752587" w:rsidRDefault="00752587" w:rsidP="00DB2B86">
      <w:pPr>
        <w:spacing w:after="0"/>
        <w:rPr>
          <w:rFonts w:ascii="Verdana" w:hAnsi="Verdana"/>
          <w:lang w:val="es-ES"/>
        </w:rPr>
      </w:pPr>
    </w:p>
    <w:p w14:paraId="0506D780" w14:textId="77777777" w:rsidR="00C11B27" w:rsidRDefault="00C11B27" w:rsidP="00DB2B86">
      <w:pPr>
        <w:spacing w:after="0"/>
        <w:rPr>
          <w:rFonts w:ascii="Verdana" w:hAnsi="Verdana"/>
          <w:lang w:val="es-ES"/>
        </w:rPr>
      </w:pPr>
    </w:p>
    <w:p w14:paraId="16AED25F" w14:textId="77777777" w:rsidR="00C11B27" w:rsidRDefault="00C11B27" w:rsidP="00DB2B86">
      <w:pPr>
        <w:spacing w:after="0"/>
        <w:rPr>
          <w:rFonts w:ascii="Verdana" w:hAnsi="Verdana"/>
          <w:lang w:val="es-ES"/>
        </w:rPr>
      </w:pPr>
    </w:p>
    <w:p w14:paraId="00A2FD85" w14:textId="77777777" w:rsidR="00C11B27" w:rsidRDefault="00C11B27" w:rsidP="00DB2B86">
      <w:pPr>
        <w:spacing w:after="0"/>
        <w:rPr>
          <w:rFonts w:ascii="Verdana" w:hAnsi="Verdana"/>
          <w:lang w:val="es-ES"/>
        </w:rPr>
      </w:pPr>
    </w:p>
    <w:p w14:paraId="6420B144" w14:textId="77777777" w:rsidR="00C11B27" w:rsidRDefault="00C11B27" w:rsidP="00DB2B86">
      <w:pPr>
        <w:spacing w:after="0"/>
        <w:rPr>
          <w:rFonts w:ascii="Verdana" w:hAnsi="Verdana"/>
          <w:lang w:val="es-ES"/>
        </w:rPr>
      </w:pPr>
    </w:p>
    <w:p w14:paraId="2DF989C5" w14:textId="77777777" w:rsidR="00C11B27" w:rsidRDefault="00C11B27" w:rsidP="00DB2B86">
      <w:pPr>
        <w:spacing w:after="0"/>
        <w:rPr>
          <w:rFonts w:ascii="Verdana" w:hAnsi="Verdana"/>
          <w:lang w:val="es-ES"/>
        </w:rPr>
      </w:pPr>
    </w:p>
    <w:p w14:paraId="4D1CC1EB" w14:textId="77777777" w:rsidR="00C11B27" w:rsidRDefault="00C11B27" w:rsidP="00DB2B86">
      <w:pPr>
        <w:spacing w:after="0"/>
        <w:rPr>
          <w:rFonts w:ascii="Verdana" w:hAnsi="Verdana"/>
          <w:lang w:val="es-ES"/>
        </w:rPr>
      </w:pPr>
    </w:p>
    <w:p w14:paraId="6532877E" w14:textId="77777777" w:rsidR="00C11B27" w:rsidRDefault="00C11B27" w:rsidP="00DB2B86">
      <w:pPr>
        <w:spacing w:after="0"/>
        <w:rPr>
          <w:rFonts w:ascii="Verdana" w:hAnsi="Verdana"/>
          <w:lang w:val="es-ES"/>
        </w:rPr>
      </w:pPr>
    </w:p>
    <w:p w14:paraId="280BF7F7" w14:textId="77777777" w:rsidR="00C11B27" w:rsidRDefault="00C11B27" w:rsidP="00DB2B86">
      <w:pPr>
        <w:spacing w:after="0"/>
        <w:rPr>
          <w:rFonts w:ascii="Verdana" w:hAnsi="Verdana"/>
          <w:lang w:val="es-ES"/>
        </w:rPr>
      </w:pPr>
    </w:p>
    <w:p w14:paraId="71527BC7" w14:textId="77777777" w:rsidR="00C11B27" w:rsidRDefault="00C11B27" w:rsidP="00DB2B86">
      <w:pPr>
        <w:spacing w:after="0"/>
        <w:rPr>
          <w:rFonts w:ascii="Verdana" w:hAnsi="Verdana"/>
          <w:lang w:val="es-ES"/>
        </w:rPr>
      </w:pPr>
    </w:p>
    <w:p w14:paraId="7968AB80" w14:textId="77777777" w:rsidR="00C11B27" w:rsidRDefault="00C11B27" w:rsidP="00DB2B86">
      <w:pPr>
        <w:spacing w:after="0"/>
        <w:rPr>
          <w:rFonts w:ascii="Verdana" w:hAnsi="Verdana"/>
          <w:lang w:val="es-ES"/>
        </w:rPr>
      </w:pPr>
    </w:p>
    <w:p w14:paraId="6978F6F6" w14:textId="77777777" w:rsidR="00C11B27" w:rsidRDefault="00C11B27" w:rsidP="00DB2B86">
      <w:pPr>
        <w:spacing w:after="0"/>
        <w:rPr>
          <w:rFonts w:ascii="Verdana" w:hAnsi="Verdana"/>
          <w:lang w:val="es-ES"/>
        </w:rPr>
      </w:pPr>
    </w:p>
    <w:p w14:paraId="0A3AC680" w14:textId="77777777" w:rsidR="00C11B27" w:rsidRDefault="00C11B27" w:rsidP="00DB2B86">
      <w:pPr>
        <w:spacing w:after="0"/>
        <w:rPr>
          <w:rFonts w:ascii="Verdana" w:hAnsi="Verdana"/>
          <w:lang w:val="es-ES"/>
        </w:rPr>
      </w:pPr>
    </w:p>
    <w:p w14:paraId="5749DDF3" w14:textId="77777777" w:rsidR="00C11B27" w:rsidRDefault="00C11B27" w:rsidP="00DB2B86">
      <w:pPr>
        <w:spacing w:after="0"/>
        <w:rPr>
          <w:rFonts w:ascii="Verdana" w:hAnsi="Verdana"/>
          <w:lang w:val="es-ES"/>
        </w:rPr>
      </w:pPr>
    </w:p>
    <w:p w14:paraId="4061A7A1" w14:textId="77777777" w:rsidR="00C11B27" w:rsidRDefault="00C11B27" w:rsidP="00DB2B86">
      <w:pPr>
        <w:spacing w:after="0"/>
        <w:rPr>
          <w:rFonts w:ascii="Verdana" w:hAnsi="Verdana"/>
          <w:lang w:val="es-ES"/>
        </w:rPr>
      </w:pPr>
    </w:p>
    <w:p w14:paraId="34C6203B" w14:textId="77777777" w:rsidR="00C11B27" w:rsidRDefault="00C11B27" w:rsidP="00DB2B86">
      <w:pPr>
        <w:spacing w:after="0"/>
        <w:rPr>
          <w:rFonts w:ascii="Verdana" w:hAnsi="Verdana"/>
          <w:lang w:val="es-ES"/>
        </w:rPr>
      </w:pPr>
    </w:p>
    <w:p w14:paraId="3B296D3F" w14:textId="77777777" w:rsidR="00C11B27" w:rsidRDefault="00C11B27" w:rsidP="00DB2B86">
      <w:pPr>
        <w:spacing w:after="0"/>
        <w:rPr>
          <w:rFonts w:ascii="Verdana" w:hAnsi="Verdana"/>
          <w:lang w:val="es-ES"/>
        </w:rPr>
      </w:pPr>
    </w:p>
    <w:p w14:paraId="1C2374EB" w14:textId="77777777" w:rsidR="00C11B27" w:rsidRDefault="00C11B27" w:rsidP="00DB2B86">
      <w:pPr>
        <w:spacing w:after="0"/>
        <w:rPr>
          <w:rFonts w:ascii="Verdana" w:hAnsi="Verdana"/>
          <w:lang w:val="es-ES"/>
        </w:rPr>
      </w:pPr>
    </w:p>
    <w:p w14:paraId="6BC24A5C" w14:textId="77777777" w:rsidR="00C11B27" w:rsidRDefault="00C11B27" w:rsidP="00DB2B86">
      <w:pPr>
        <w:spacing w:after="0"/>
        <w:rPr>
          <w:rFonts w:ascii="Verdana" w:hAnsi="Verdana"/>
          <w:lang w:val="es-ES"/>
        </w:rPr>
      </w:pPr>
    </w:p>
    <w:p w14:paraId="2DC1C372" w14:textId="77777777" w:rsidR="00C11B27" w:rsidRDefault="00C11B27" w:rsidP="00DB2B86">
      <w:pPr>
        <w:spacing w:after="0"/>
        <w:rPr>
          <w:rFonts w:ascii="Verdana" w:hAnsi="Verdana"/>
          <w:lang w:val="es-ES"/>
        </w:rPr>
      </w:pPr>
    </w:p>
    <w:p w14:paraId="6175447D" w14:textId="77777777" w:rsidR="00C11B27" w:rsidRDefault="00C11B27" w:rsidP="00DB2B86">
      <w:pPr>
        <w:spacing w:after="0"/>
        <w:rPr>
          <w:rFonts w:ascii="Verdana" w:hAnsi="Verdana"/>
          <w:lang w:val="es-ES"/>
        </w:rPr>
      </w:pPr>
    </w:p>
    <w:p w14:paraId="7E6EDA51" w14:textId="77777777" w:rsidR="00C11B27" w:rsidRDefault="00C11B27" w:rsidP="00DB2B86">
      <w:pPr>
        <w:spacing w:after="0"/>
        <w:rPr>
          <w:rFonts w:ascii="Verdana" w:hAnsi="Verdana"/>
          <w:lang w:val="es-ES"/>
        </w:rPr>
      </w:pPr>
    </w:p>
    <w:p w14:paraId="06376B7C" w14:textId="4A2B3A9B" w:rsidR="00DB2B86" w:rsidRPr="00ED6485" w:rsidRDefault="00DB2B86" w:rsidP="00DB2B86">
      <w:pPr>
        <w:spacing w:after="0"/>
        <w:rPr>
          <w:rFonts w:ascii="Verdana" w:hAnsi="Verdana"/>
          <w:lang w:val="es-ES"/>
        </w:rPr>
      </w:pPr>
      <w:r w:rsidRPr="00ED6485">
        <w:rPr>
          <w:rFonts w:ascii="Verdana" w:hAnsi="Verdana"/>
          <w:lang w:val="es-ES"/>
        </w:rPr>
        <w:t xml:space="preserve">Bogotá D.C., </w:t>
      </w:r>
      <w:r w:rsidR="00C11B27">
        <w:rPr>
          <w:rFonts w:ascii="Verdana" w:hAnsi="Verdana"/>
          <w:lang w:val="es-ES"/>
        </w:rPr>
        <w:t>19 de agosto de 2026</w:t>
      </w:r>
      <w:r w:rsidRPr="00ED6485">
        <w:rPr>
          <w:rFonts w:ascii="Verdana" w:hAnsi="Verdana"/>
          <w:lang w:val="es-ES"/>
        </w:rPr>
        <w:tab/>
      </w:r>
    </w:p>
    <w:p w14:paraId="17232846" w14:textId="55BA4709" w:rsidR="00DB2B86" w:rsidRPr="00ED6485" w:rsidRDefault="00C11B27" w:rsidP="00DB2B86">
      <w:pPr>
        <w:spacing w:after="0"/>
        <w:rPr>
          <w:rFonts w:ascii="Verdana" w:hAnsi="Verdana"/>
          <w:lang w:val="es-ES"/>
        </w:rPr>
      </w:pPr>
      <w:r>
        <w:rPr>
          <w:rFonts w:ascii="Verdana" w:hAnsi="Verdana"/>
          <w:noProof/>
          <w:lang w:val="es-ES"/>
        </w:rPr>
        <w:drawing>
          <wp:anchor distT="0" distB="0" distL="114300" distR="114300" simplePos="0" relativeHeight="251660288" behindDoc="0" locked="0" layoutInCell="1" allowOverlap="1" wp14:anchorId="2A2827A3" wp14:editId="0EAE11CD">
            <wp:simplePos x="0" y="0"/>
            <wp:positionH relativeFrom="column">
              <wp:posOffset>2982595</wp:posOffset>
            </wp:positionH>
            <wp:positionV relativeFrom="paragraph">
              <wp:posOffset>103505</wp:posOffset>
            </wp:positionV>
            <wp:extent cx="2553970" cy="866140"/>
            <wp:effectExtent l="0" t="0" r="0" b="0"/>
            <wp:wrapSquare wrapText="bothSides"/>
            <wp:docPr id="953713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13213" name="Picture 953713213"/>
                    <pic:cNvPicPr/>
                  </pic:nvPicPr>
                  <pic:blipFill>
                    <a:blip r:embed="rId10">
                      <a:extLst>
                        <a:ext uri="{28A0092B-C50C-407E-A947-70E740481C1C}">
                          <a14:useLocalDpi xmlns:a14="http://schemas.microsoft.com/office/drawing/2010/main" val="0"/>
                        </a:ext>
                      </a:extLst>
                    </a:blip>
                    <a:stretch>
                      <a:fillRect/>
                    </a:stretch>
                  </pic:blipFill>
                  <pic:spPr>
                    <a:xfrm>
                      <a:off x="0" y="0"/>
                      <a:ext cx="2553970" cy="866140"/>
                    </a:xfrm>
                    <a:prstGeom prst="rect">
                      <a:avLst/>
                    </a:prstGeom>
                  </pic:spPr>
                </pic:pic>
              </a:graphicData>
            </a:graphic>
            <wp14:sizeRelH relativeFrom="page">
              <wp14:pctWidth>0</wp14:pctWidth>
            </wp14:sizeRelH>
            <wp14:sizeRelV relativeFrom="page">
              <wp14:pctHeight>0</wp14:pctHeight>
            </wp14:sizeRelV>
          </wp:anchor>
        </w:drawing>
      </w:r>
    </w:p>
    <w:p w14:paraId="23313E0A" w14:textId="77777777" w:rsidR="00AA48DC" w:rsidRDefault="00AA48DC" w:rsidP="00DB2B86">
      <w:pPr>
        <w:spacing w:after="0" w:line="240" w:lineRule="auto"/>
        <w:jc w:val="both"/>
        <w:rPr>
          <w:rFonts w:ascii="Verdana" w:eastAsia="Calibri" w:hAnsi="Verdana" w:cs="Arial"/>
          <w:color w:val="000000" w:themeColor="text1"/>
          <w:lang w:val="es-ES" w:eastAsia="es-ES"/>
        </w:rPr>
      </w:pPr>
    </w:p>
    <w:p w14:paraId="3ACCD00F" w14:textId="46ED931B" w:rsidR="00DB2B86" w:rsidRPr="00ED6485" w:rsidRDefault="00DB2B86" w:rsidP="00DB2B86">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Señora</w:t>
      </w:r>
    </w:p>
    <w:p w14:paraId="5E56A5FD" w14:textId="77777777" w:rsidR="00DB2B86" w:rsidRPr="00ED6485" w:rsidRDefault="00DB2B86" w:rsidP="00DB2B86">
      <w:pPr>
        <w:spacing w:after="0" w:line="240" w:lineRule="auto"/>
        <w:jc w:val="both"/>
        <w:rPr>
          <w:rFonts w:ascii="Verdana" w:eastAsia="Calibri" w:hAnsi="Verdana" w:cs="Arial"/>
          <w:b/>
          <w:bCs/>
          <w:color w:val="000000" w:themeColor="text1"/>
          <w:lang w:val="es-ES" w:eastAsia="es-ES"/>
        </w:rPr>
      </w:pPr>
      <w:proofErr w:type="spellStart"/>
      <w:r w:rsidRPr="00ED6485">
        <w:rPr>
          <w:rFonts w:ascii="Verdana" w:eastAsia="Calibri" w:hAnsi="Verdana" w:cs="Arial"/>
          <w:b/>
          <w:bCs/>
          <w:color w:val="000000" w:themeColor="text1"/>
          <w:lang w:val="es-ES" w:eastAsia="es-ES"/>
        </w:rPr>
        <w:t>Jeniffer</w:t>
      </w:r>
      <w:proofErr w:type="spellEnd"/>
      <w:r w:rsidRPr="00ED6485">
        <w:rPr>
          <w:rFonts w:ascii="Verdana" w:eastAsia="Calibri" w:hAnsi="Verdana" w:cs="Arial"/>
          <w:b/>
          <w:bCs/>
          <w:color w:val="000000" w:themeColor="text1"/>
          <w:lang w:val="es-ES" w:eastAsia="es-ES"/>
        </w:rPr>
        <w:t xml:space="preserve"> Vanessa Briñez Remisio</w:t>
      </w:r>
    </w:p>
    <w:p w14:paraId="3D2AD33F" w14:textId="77777777" w:rsidR="00DB2B86" w:rsidRPr="00ED6485" w:rsidRDefault="00DB2B86" w:rsidP="00DB2B86">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U.A.E Bomberos Bogotá D.C.</w:t>
      </w:r>
    </w:p>
    <w:p w14:paraId="2EF6E6CA" w14:textId="77777777" w:rsidR="00DB2B86" w:rsidRPr="00ED6485" w:rsidRDefault="00DB2B86" w:rsidP="00DB2B86">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Bogotá D.C.</w:t>
      </w:r>
    </w:p>
    <w:p w14:paraId="5100911F" w14:textId="77777777" w:rsidR="00DB2B86" w:rsidRPr="00ED6485" w:rsidRDefault="00DB2B86" w:rsidP="00DB2B86">
      <w:pPr>
        <w:spacing w:after="0" w:line="240" w:lineRule="auto"/>
        <w:jc w:val="both"/>
        <w:rPr>
          <w:rFonts w:ascii="Verdana" w:eastAsia="Calibri" w:hAnsi="Verdana" w:cs="Arial"/>
          <w:color w:val="000000" w:themeColor="text1"/>
          <w:lang w:val="es-ES" w:eastAsia="es-ES"/>
        </w:rPr>
      </w:pPr>
    </w:p>
    <w:p w14:paraId="1DCC45E1" w14:textId="77777777" w:rsidR="00DB2B86" w:rsidRPr="00ED6485" w:rsidRDefault="00DB2B86" w:rsidP="00DB2B86">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DB2B86" w:rsidRPr="00ED6485" w14:paraId="02242CDD" w14:textId="77777777" w:rsidTr="00B23CA7">
        <w:trPr>
          <w:gridAfter w:val="1"/>
          <w:wAfter w:w="4179" w:type="dxa"/>
          <w:trHeight w:val="304"/>
        </w:trPr>
        <w:tc>
          <w:tcPr>
            <w:tcW w:w="2689" w:type="dxa"/>
          </w:tcPr>
          <w:p w14:paraId="40A186A1" w14:textId="77777777" w:rsidR="00DB2B86" w:rsidRPr="00ED6485" w:rsidRDefault="00DB2B86" w:rsidP="00B23CA7">
            <w:pPr>
              <w:jc w:val="both"/>
              <w:rPr>
                <w:rFonts w:ascii="Verdana" w:eastAsia="Calibri" w:hAnsi="Verdana" w:cs="Arial"/>
                <w:b/>
                <w:bCs/>
                <w:color w:val="000000" w:themeColor="text1"/>
                <w:lang w:val="es-ES" w:eastAsia="es-ES_tradnl"/>
              </w:rPr>
            </w:pPr>
          </w:p>
        </w:tc>
        <w:tc>
          <w:tcPr>
            <w:tcW w:w="6100" w:type="dxa"/>
          </w:tcPr>
          <w:p w14:paraId="0FB6A9AE" w14:textId="2B2764E5" w:rsidR="00DB2B86" w:rsidRPr="00ED6485" w:rsidRDefault="00DB2B86" w:rsidP="00B23CA7">
            <w:pPr>
              <w:jc w:val="both"/>
              <w:rPr>
                <w:rFonts w:ascii="Verdana" w:eastAsia="Calibri" w:hAnsi="Verdana" w:cs="Arial"/>
                <w:b/>
                <w:bCs/>
                <w:color w:val="000000" w:themeColor="text1"/>
                <w:lang w:val="es-ES" w:eastAsia="es-ES"/>
              </w:rPr>
            </w:pPr>
            <w:r w:rsidRPr="00ED6485">
              <w:rPr>
                <w:rFonts w:ascii="Verdana" w:eastAsia="Calibri" w:hAnsi="Verdana" w:cs="Arial"/>
                <w:b/>
                <w:bCs/>
                <w:color w:val="000000" w:themeColor="text1"/>
                <w:lang w:val="es-ES" w:eastAsia="es-ES"/>
              </w:rPr>
              <w:t>Concepto C-</w:t>
            </w:r>
            <w:r w:rsidR="008E1602">
              <w:rPr>
                <w:rFonts w:ascii="Verdana" w:eastAsia="Calibri" w:hAnsi="Verdana" w:cs="Arial"/>
                <w:b/>
                <w:bCs/>
                <w:color w:val="000000" w:themeColor="text1"/>
                <w:lang w:val="es-ES" w:eastAsia="es-ES"/>
              </w:rPr>
              <w:t>1078</w:t>
            </w:r>
            <w:r w:rsidRPr="00ED6485">
              <w:rPr>
                <w:rFonts w:ascii="Verdana" w:eastAsia="Calibri" w:hAnsi="Verdana" w:cs="Arial"/>
                <w:b/>
                <w:bCs/>
                <w:color w:val="000000" w:themeColor="text1"/>
                <w:lang w:val="es-ES" w:eastAsia="es-ES"/>
              </w:rPr>
              <w:t xml:space="preserve"> de 2026</w:t>
            </w:r>
          </w:p>
          <w:p w14:paraId="6D982DDB" w14:textId="77777777" w:rsidR="00DB2B86" w:rsidRPr="00ED6485" w:rsidRDefault="00DB2B86" w:rsidP="00B23CA7">
            <w:pPr>
              <w:jc w:val="both"/>
              <w:rPr>
                <w:rFonts w:ascii="Verdana" w:eastAsia="Calibri" w:hAnsi="Verdana" w:cs="Arial"/>
                <w:b/>
                <w:bCs/>
                <w:color w:val="000000" w:themeColor="text1"/>
                <w:lang w:val="es-ES" w:eastAsia="es-ES"/>
              </w:rPr>
            </w:pPr>
          </w:p>
        </w:tc>
      </w:tr>
      <w:tr w:rsidR="00DB2B86" w:rsidRPr="00ED6485" w14:paraId="12981AC6" w14:textId="77777777" w:rsidTr="00B23CA7">
        <w:trPr>
          <w:trHeight w:val="1422"/>
        </w:trPr>
        <w:tc>
          <w:tcPr>
            <w:tcW w:w="2689" w:type="dxa"/>
          </w:tcPr>
          <w:p w14:paraId="40D9C8F7" w14:textId="77777777" w:rsidR="00DB2B86" w:rsidRPr="00ED6485" w:rsidRDefault="00DB2B86" w:rsidP="00B23CA7">
            <w:pPr>
              <w:jc w:val="both"/>
              <w:rPr>
                <w:rFonts w:ascii="Verdana" w:eastAsia="Calibri" w:hAnsi="Verdana" w:cs="Arial"/>
                <w:color w:val="000000" w:themeColor="text1"/>
                <w:lang w:val="es-ES" w:eastAsia="es-ES_tradnl"/>
              </w:rPr>
            </w:pPr>
            <w:r w:rsidRPr="00ED6485">
              <w:rPr>
                <w:rFonts w:ascii="Verdana" w:eastAsia="Calibri" w:hAnsi="Verdana" w:cs="Arial"/>
                <w:b/>
                <w:color w:val="000000" w:themeColor="text1"/>
                <w:lang w:val="es-ES" w:eastAsia="es-ES_tradnl"/>
              </w:rPr>
              <w:t>Temas:</w:t>
            </w:r>
            <w:r w:rsidRPr="00ED6485">
              <w:rPr>
                <w:rFonts w:ascii="Verdana" w:eastAsia="Calibri" w:hAnsi="Verdana" w:cs="Arial"/>
                <w:color w:val="000000" w:themeColor="text1"/>
                <w:lang w:val="es-ES" w:eastAsia="es-ES_tradnl"/>
              </w:rPr>
              <w:t xml:space="preserve">                   </w:t>
            </w:r>
          </w:p>
        </w:tc>
        <w:tc>
          <w:tcPr>
            <w:tcW w:w="6100" w:type="dxa"/>
          </w:tcPr>
          <w:p w14:paraId="7DFF8BCA" w14:textId="64A37927" w:rsidR="00DB2B86" w:rsidRPr="00752587" w:rsidRDefault="00DB2B86" w:rsidP="00752587">
            <w:pPr>
              <w:jc w:val="both"/>
              <w:rPr>
                <w:rFonts w:ascii="Verdana" w:eastAsia="Calibri" w:hAnsi="Verdana" w:cs="Arial"/>
                <w:b/>
                <w:bCs/>
                <w:color w:val="000000" w:themeColor="text1"/>
                <w:sz w:val="20"/>
                <w:szCs w:val="20"/>
              </w:rPr>
            </w:pPr>
            <w:r w:rsidRPr="00513377">
              <w:rPr>
                <w:rFonts w:ascii="Verdana" w:eastAsia="Calibri" w:hAnsi="Verdana" w:cs="Arial"/>
                <w:color w:val="000000" w:themeColor="text1"/>
                <w:lang w:val="es-ES"/>
              </w:rPr>
              <w:t xml:space="preserve">ACUERDOS DE NIVELES DE SERVICIO – Concepto – Fundamento – Atipicidad – Autonomía de la voluntad </w:t>
            </w:r>
            <w:r w:rsidRPr="00ED6485">
              <w:rPr>
                <w:rFonts w:ascii="Verdana" w:eastAsia="Calibri" w:hAnsi="Verdana" w:cs="Arial"/>
                <w:color w:val="000000" w:themeColor="text1"/>
                <w:lang w:val="es-ES"/>
              </w:rPr>
              <w:t>/</w:t>
            </w:r>
            <w:r w:rsidRPr="00ED6485">
              <w:rPr>
                <w:rFonts w:ascii="Verdana" w:eastAsia="Calibri" w:hAnsi="Verdana" w:cs="Arial"/>
                <w:b/>
                <w:bCs/>
                <w:color w:val="000000" w:themeColor="text1"/>
                <w:lang w:val="es-ES"/>
              </w:rPr>
              <w:t xml:space="preserve"> </w:t>
            </w:r>
            <w:r w:rsidR="00752587" w:rsidRPr="00752587">
              <w:rPr>
                <w:rFonts w:ascii="Verdana" w:eastAsia="Calibri" w:hAnsi="Verdana" w:cs="Arial"/>
                <w:color w:val="000000" w:themeColor="text1"/>
                <w:lang w:val="es-ES"/>
              </w:rPr>
              <w:t>ACUERDOS DE NIVELES DE SERVICIO – Deducciones – Naturaleza /</w:t>
            </w:r>
            <w:r w:rsidR="00752587">
              <w:rPr>
                <w:rFonts w:ascii="Verdana" w:eastAsia="Calibri" w:hAnsi="Verdana" w:cs="Arial"/>
                <w:b/>
                <w:bCs/>
                <w:color w:val="000000" w:themeColor="text1"/>
                <w:lang w:val="es-ES"/>
              </w:rPr>
              <w:t xml:space="preserve"> </w:t>
            </w:r>
            <w:r w:rsidRPr="00ED6485">
              <w:rPr>
                <w:rFonts w:ascii="Verdana" w:eastAsia="Calibri" w:hAnsi="Verdana" w:cs="Arial"/>
                <w:color w:val="000000" w:themeColor="text1"/>
                <w:lang w:val="es-ES"/>
              </w:rPr>
              <w:t xml:space="preserve">ACUERDOS DE NIVELES DE SERVICIO – Sanciones – Procedimiento – Aplicación – Debido proceso / </w:t>
            </w:r>
            <w:r w:rsidRPr="00ED6485">
              <w:rPr>
                <w:rFonts w:ascii="Verdana" w:eastAsia="Calibri" w:hAnsi="Verdana" w:cs="Arial"/>
                <w:lang w:val="es-ES" w:eastAsia="es-ES"/>
              </w:rPr>
              <w:t>EXTINCIÓN DE LAS OBLIGACIONES – Compensación – Definición / COMPENSACIÓN – Clasificación / CLÁUSULAS PENALES Y MULTAS – Imposición unilateral – Proporcionalidad – Régimen jurídico – Derecho privado</w:t>
            </w:r>
          </w:p>
          <w:p w14:paraId="4FA2AFFB" w14:textId="77777777" w:rsidR="00DB2B86" w:rsidRPr="00ED6485" w:rsidRDefault="00DB2B86" w:rsidP="00B23CA7">
            <w:pPr>
              <w:spacing w:line="276" w:lineRule="auto"/>
              <w:ind w:hanging="4"/>
              <w:jc w:val="both"/>
              <w:rPr>
                <w:rFonts w:ascii="Verdana" w:eastAsia="Calibri" w:hAnsi="Verdana" w:cs="Arial"/>
                <w:color w:val="000000" w:themeColor="text1"/>
                <w:lang w:val="es-ES" w:eastAsia="es-ES"/>
              </w:rPr>
            </w:pPr>
          </w:p>
        </w:tc>
        <w:tc>
          <w:tcPr>
            <w:tcW w:w="4179" w:type="dxa"/>
          </w:tcPr>
          <w:p w14:paraId="2F4603BB" w14:textId="77777777" w:rsidR="00DB2B86" w:rsidRPr="00ED6485" w:rsidRDefault="00DB2B86" w:rsidP="00B23CA7">
            <w:pPr>
              <w:spacing w:line="276" w:lineRule="auto"/>
              <w:jc w:val="both"/>
              <w:rPr>
                <w:rFonts w:ascii="Verdana" w:eastAsia="Calibri" w:hAnsi="Verdana" w:cs="Arial"/>
                <w:b/>
                <w:bCs/>
                <w:color w:val="000000" w:themeColor="text1"/>
                <w:lang w:val="es-ES" w:eastAsia="es-ES"/>
              </w:rPr>
            </w:pPr>
          </w:p>
          <w:p w14:paraId="2C09E4B7" w14:textId="77777777" w:rsidR="00DB2B86" w:rsidRPr="00ED6485" w:rsidRDefault="00DB2B86" w:rsidP="00B23CA7">
            <w:pPr>
              <w:rPr>
                <w:rFonts w:ascii="Verdana" w:hAnsi="Verdana"/>
                <w:lang w:val="es-ES"/>
              </w:rPr>
            </w:pPr>
          </w:p>
        </w:tc>
      </w:tr>
      <w:tr w:rsidR="00DB2B86" w:rsidRPr="00ED6485" w14:paraId="2515B07F" w14:textId="77777777" w:rsidTr="00B23CA7">
        <w:trPr>
          <w:gridAfter w:val="1"/>
          <w:wAfter w:w="4179" w:type="dxa"/>
        </w:trPr>
        <w:tc>
          <w:tcPr>
            <w:tcW w:w="2689" w:type="dxa"/>
          </w:tcPr>
          <w:p w14:paraId="7047CCAF" w14:textId="77777777" w:rsidR="00DB2B86" w:rsidRPr="00ED6485" w:rsidRDefault="00DB2B86" w:rsidP="00B23CA7">
            <w:pPr>
              <w:jc w:val="both"/>
              <w:rPr>
                <w:rFonts w:ascii="Verdana" w:eastAsia="Calibri" w:hAnsi="Verdana" w:cs="Arial"/>
                <w:b/>
                <w:color w:val="000000" w:themeColor="text1"/>
                <w:lang w:val="es-ES" w:eastAsia="es-ES_tradnl"/>
              </w:rPr>
            </w:pPr>
            <w:r w:rsidRPr="00ED6485">
              <w:rPr>
                <w:rFonts w:ascii="Verdana" w:eastAsia="Calibri" w:hAnsi="Verdana" w:cs="Arial"/>
                <w:b/>
                <w:color w:val="000000" w:themeColor="text1"/>
                <w:lang w:val="es-ES" w:eastAsia="es-ES_tradnl"/>
              </w:rPr>
              <w:t>Radicación:</w:t>
            </w:r>
            <w:r w:rsidRPr="00ED6485">
              <w:rPr>
                <w:rFonts w:ascii="Verdana" w:eastAsia="Calibri" w:hAnsi="Verdana" w:cs="Arial"/>
                <w:color w:val="000000" w:themeColor="text1"/>
                <w:lang w:val="es-ES" w:eastAsia="es-ES_tradnl"/>
              </w:rPr>
              <w:t xml:space="preserve">               </w:t>
            </w:r>
          </w:p>
        </w:tc>
        <w:tc>
          <w:tcPr>
            <w:tcW w:w="6100" w:type="dxa"/>
          </w:tcPr>
          <w:p w14:paraId="298900FA" w14:textId="77777777" w:rsidR="0082455C" w:rsidRPr="0082455C" w:rsidRDefault="00DB2B86" w:rsidP="0082455C">
            <w:pPr>
              <w:jc w:val="both"/>
              <w:rPr>
                <w:rFonts w:ascii="Verdana" w:eastAsia="Calibri" w:hAnsi="Verdana" w:cs="Arial"/>
                <w:color w:val="000000" w:themeColor="text1"/>
                <w:lang w:eastAsia="es-ES_tradnl"/>
              </w:rPr>
            </w:pPr>
            <w:r w:rsidRPr="00ED6485">
              <w:rPr>
                <w:rFonts w:ascii="Verdana" w:eastAsia="Calibri" w:hAnsi="Verdana" w:cs="Arial"/>
                <w:color w:val="000000" w:themeColor="text1"/>
                <w:lang w:val="es-ES" w:eastAsia="es-ES_tradnl"/>
              </w:rPr>
              <w:t xml:space="preserve">Respuesta a la consulta con radicado No. </w:t>
            </w:r>
            <w:r w:rsidR="0082455C" w:rsidRPr="0082455C">
              <w:rPr>
                <w:rFonts w:ascii="Verdana" w:eastAsia="Calibri" w:hAnsi="Verdana" w:cs="Arial"/>
                <w:color w:val="000000" w:themeColor="text1"/>
                <w:lang w:eastAsia="es-ES_tradnl"/>
              </w:rPr>
              <w:t>1_2026_07_06_008959</w:t>
            </w:r>
          </w:p>
          <w:p w14:paraId="0D843C9B" w14:textId="07F72D5F" w:rsidR="00DB2B86" w:rsidRPr="00ED6485" w:rsidRDefault="00DB2B86" w:rsidP="00B23CA7">
            <w:pPr>
              <w:jc w:val="both"/>
              <w:rPr>
                <w:rFonts w:ascii="Verdana" w:eastAsia="Calibri" w:hAnsi="Verdana" w:cs="Arial"/>
                <w:color w:val="000000" w:themeColor="text1"/>
                <w:lang w:val="es-ES" w:eastAsia="es-ES_tradnl"/>
              </w:rPr>
            </w:pPr>
          </w:p>
        </w:tc>
      </w:tr>
    </w:tbl>
    <w:p w14:paraId="4C20B5BA" w14:textId="77777777" w:rsidR="00DB2B86" w:rsidRPr="00ED6485" w:rsidRDefault="00DB2B86" w:rsidP="00DB2B86">
      <w:pPr>
        <w:spacing w:after="0" w:line="276" w:lineRule="auto"/>
        <w:jc w:val="both"/>
        <w:rPr>
          <w:rFonts w:ascii="Verdana" w:eastAsia="Calibri" w:hAnsi="Verdana" w:cs="Arial"/>
          <w:color w:val="000000" w:themeColor="text1"/>
          <w:lang w:val="es-ES" w:eastAsia="es-ES_tradnl"/>
        </w:rPr>
      </w:pPr>
    </w:p>
    <w:p w14:paraId="1DE88640" w14:textId="549A54EA" w:rsidR="00DB2B86" w:rsidRPr="00ED6485" w:rsidRDefault="00DB2B86" w:rsidP="00DB2B86">
      <w:pPr>
        <w:spacing w:after="0" w:line="240"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Estimada Señora Briñez:</w:t>
      </w:r>
    </w:p>
    <w:p w14:paraId="7C730B61" w14:textId="77777777" w:rsidR="00DB2B86" w:rsidRPr="00ED6485" w:rsidRDefault="00DB2B86" w:rsidP="00DB2B86">
      <w:pPr>
        <w:tabs>
          <w:tab w:val="left" w:pos="3768"/>
        </w:tabs>
        <w:spacing w:after="0" w:line="276" w:lineRule="auto"/>
        <w:jc w:val="both"/>
        <w:rPr>
          <w:rFonts w:ascii="Verdana" w:eastAsia="Calibri" w:hAnsi="Verdana" w:cs="Arial"/>
          <w:color w:val="000000" w:themeColor="text1"/>
          <w:lang w:val="es-ES" w:eastAsia="es-ES"/>
        </w:rPr>
      </w:pPr>
    </w:p>
    <w:p w14:paraId="6488890A" w14:textId="6C463109" w:rsidR="00DB2B86" w:rsidRPr="00ED6485" w:rsidRDefault="00DB2B86" w:rsidP="00DB2B86">
      <w:pPr>
        <w:spacing w:after="0" w:line="276" w:lineRule="auto"/>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En ejercicio de la competencia otorgada por los artículos 3, numeral 5º, y 11, numeral 8º, del Decreto Ley 4170 de 2011,</w:t>
      </w:r>
      <w:r w:rsidRPr="00ED6485">
        <w:rPr>
          <w:rFonts w:ascii="Verdana" w:eastAsia="Arial MT" w:hAnsi="Verdana" w:cs="Arial MT"/>
          <w:color w:val="000000" w:themeColor="text1"/>
          <w:lang w:val="es-ES" w:eastAsia="es-ES"/>
        </w:rPr>
        <w:t xml:space="preserve"> </w:t>
      </w:r>
      <w:r w:rsidRPr="00ED6485">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del </w:t>
      </w:r>
      <w:r w:rsidR="00910645">
        <w:rPr>
          <w:rFonts w:ascii="Verdana" w:hAnsi="Verdana" w:cs="Arial"/>
          <w:color w:val="000000" w:themeColor="text1"/>
          <w:lang w:val="es-ES"/>
        </w:rPr>
        <w:t>06 de julio</w:t>
      </w:r>
      <w:r w:rsidRPr="00ED6485">
        <w:rPr>
          <w:rFonts w:ascii="Verdana" w:hAnsi="Verdana" w:cs="Arial"/>
          <w:color w:val="000000" w:themeColor="text1"/>
          <w:lang w:val="es-ES"/>
        </w:rPr>
        <w:t xml:space="preserve"> de 2026, en la cual manifiesta lo siguiente:</w:t>
      </w:r>
      <w:r w:rsidRPr="00ED6485">
        <w:rPr>
          <w:rFonts w:ascii="Verdana" w:eastAsia="Calibri" w:hAnsi="Verdana" w:cs="Arial"/>
          <w:color w:val="000000" w:themeColor="text1"/>
          <w:lang w:val="es-ES" w:eastAsia="es-ES"/>
        </w:rPr>
        <w:t xml:space="preserve"> </w:t>
      </w:r>
    </w:p>
    <w:p w14:paraId="64FE27C3" w14:textId="77777777" w:rsidR="00DB2B86" w:rsidRPr="00ED6485" w:rsidRDefault="00DB2B86" w:rsidP="00DB2B86">
      <w:pPr>
        <w:spacing w:after="0" w:line="276" w:lineRule="auto"/>
        <w:jc w:val="both"/>
        <w:rPr>
          <w:rFonts w:ascii="Verdana" w:eastAsia="Calibri" w:hAnsi="Verdana" w:cs="Arial"/>
          <w:color w:val="000000" w:themeColor="text1"/>
          <w:lang w:val="es-ES" w:eastAsia="es-ES"/>
        </w:rPr>
      </w:pPr>
    </w:p>
    <w:p w14:paraId="05484999" w14:textId="77777777" w:rsidR="00DB2B86" w:rsidRPr="00ED6485" w:rsidRDefault="00DB2B86" w:rsidP="00DB2B86">
      <w:pPr>
        <w:spacing w:after="0"/>
        <w:ind w:left="720" w:right="709"/>
        <w:contextualSpacing/>
        <w:jc w:val="both"/>
        <w:rPr>
          <w:rFonts w:ascii="Verdana" w:eastAsia="Century Gothic" w:hAnsi="Verdana" w:cs="Century Gothic"/>
          <w:i/>
          <w:iCs/>
          <w:color w:val="000000" w:themeColor="text1"/>
          <w:sz w:val="20"/>
          <w:szCs w:val="20"/>
          <w:lang w:val="es-ES"/>
        </w:rPr>
      </w:pPr>
      <w:r w:rsidRPr="00ED6485">
        <w:rPr>
          <w:rFonts w:ascii="Verdana" w:eastAsia="Century Gothic" w:hAnsi="Verdana" w:cs="Century Gothic"/>
          <w:i/>
          <w:iCs/>
          <w:color w:val="000000" w:themeColor="text1"/>
          <w:sz w:val="20"/>
          <w:szCs w:val="20"/>
          <w:lang w:val="es-ES"/>
        </w:rPr>
        <w:t>“[…]</w:t>
      </w:r>
      <w:proofErr w:type="gramStart"/>
      <w:r w:rsidRPr="00ED6485">
        <w:rPr>
          <w:rFonts w:ascii="Verdana" w:eastAsia="Century Gothic" w:hAnsi="Verdana" w:cs="Century Gothic"/>
          <w:i/>
          <w:iCs/>
          <w:color w:val="000000" w:themeColor="text1"/>
          <w:sz w:val="20"/>
          <w:szCs w:val="20"/>
          <w:lang w:val="es-ES"/>
        </w:rPr>
        <w:t>-¿</w:t>
      </w:r>
      <w:proofErr w:type="gramEnd"/>
      <w:r w:rsidRPr="00ED6485">
        <w:rPr>
          <w:rFonts w:ascii="Verdana" w:eastAsia="Century Gothic" w:hAnsi="Verdana" w:cs="Century Gothic"/>
          <w:i/>
          <w:iCs/>
          <w:color w:val="000000" w:themeColor="text1"/>
          <w:sz w:val="20"/>
          <w:szCs w:val="20"/>
          <w:lang w:val="es-ES"/>
        </w:rPr>
        <w:t>Cuál es la naturaleza jurídica de los Acuerdos de Nivel de Servicio (ANS) dentro de los contratos estatales y cuál es su finalidad desde la perspectiva del Estatuto General de Contratación de la Administración Pública?</w:t>
      </w:r>
    </w:p>
    <w:p w14:paraId="413C1952" w14:textId="77777777" w:rsidR="00DB2B86" w:rsidRPr="00ED6485" w:rsidRDefault="00DB2B86" w:rsidP="00DB2B86">
      <w:pPr>
        <w:spacing w:after="0"/>
        <w:ind w:left="720" w:right="709"/>
        <w:contextualSpacing/>
        <w:jc w:val="both"/>
        <w:rPr>
          <w:rFonts w:ascii="Verdana" w:eastAsia="Century Gothic" w:hAnsi="Verdana" w:cs="Century Gothic"/>
          <w:i/>
          <w:iCs/>
          <w:color w:val="000000" w:themeColor="text1"/>
          <w:sz w:val="20"/>
          <w:szCs w:val="20"/>
          <w:lang w:val="es-ES"/>
        </w:rPr>
      </w:pPr>
      <w:proofErr w:type="gramStart"/>
      <w:r w:rsidRPr="00ED6485">
        <w:rPr>
          <w:rFonts w:ascii="Verdana" w:eastAsia="Century Gothic" w:hAnsi="Verdana" w:cs="Century Gothic"/>
          <w:i/>
          <w:iCs/>
          <w:color w:val="000000" w:themeColor="text1"/>
          <w:sz w:val="20"/>
          <w:szCs w:val="20"/>
          <w:lang w:val="es-ES"/>
        </w:rPr>
        <w:lastRenderedPageBreak/>
        <w:t>-¿</w:t>
      </w:r>
      <w:proofErr w:type="gramEnd"/>
      <w:r w:rsidRPr="00ED6485">
        <w:rPr>
          <w:rFonts w:ascii="Verdana" w:eastAsia="Century Gothic" w:hAnsi="Verdana" w:cs="Century Gothic"/>
          <w:i/>
          <w:iCs/>
          <w:color w:val="000000" w:themeColor="text1"/>
          <w:sz w:val="20"/>
          <w:szCs w:val="20"/>
          <w:lang w:val="es-ES"/>
        </w:rPr>
        <w:t>Los descuentos derivados del incumplimiento de los indicadores de ANS constituyen una cláusula penal pecuniaria, una multa, una compensación económica, un mecanismo de ajuste del precio contractual o una figura jurídica diferente? Favor sustentar.</w:t>
      </w:r>
    </w:p>
    <w:p w14:paraId="39A4351B" w14:textId="77777777" w:rsidR="00DB2B86" w:rsidRPr="00ED6485" w:rsidRDefault="00DB2B86" w:rsidP="00DB2B86">
      <w:pPr>
        <w:spacing w:after="0"/>
        <w:ind w:left="720"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-¿Cuando</w:t>
      </w:r>
      <w:proofErr w:type="gramEnd"/>
      <w:r w:rsidRPr="00ED6485">
        <w:rPr>
          <w:rFonts w:ascii="Verdana" w:eastAsia="Century Gothic" w:hAnsi="Verdana" w:cs="Century Gothic"/>
          <w:i/>
          <w:color w:val="000000" w:themeColor="text1"/>
          <w:sz w:val="20"/>
          <w:szCs w:val="20"/>
          <w:lang w:val="es-ES"/>
        </w:rPr>
        <w:t xml:space="preserve"> la Entidad aplica descuentos por concepto de ANS conforme a las reglas establecidas en la </w:t>
      </w:r>
      <w:r w:rsidRPr="00ED6485">
        <w:rPr>
          <w:rFonts w:ascii="Verdana" w:eastAsia="Century Gothic" w:hAnsi="Verdana" w:cs="Century Gothic"/>
          <w:i/>
          <w:iCs/>
          <w:color w:val="000000" w:themeColor="text1"/>
          <w:sz w:val="20"/>
          <w:szCs w:val="20"/>
          <w:lang w:val="es-ES"/>
        </w:rPr>
        <w:t>lex contractus</w:t>
      </w:r>
      <w:r w:rsidRPr="00ED6485">
        <w:rPr>
          <w:rFonts w:ascii="Verdana" w:eastAsia="Century Gothic" w:hAnsi="Verdana" w:cs="Century Gothic"/>
          <w:i/>
          <w:color w:val="000000" w:themeColor="text1"/>
          <w:sz w:val="20"/>
          <w:szCs w:val="20"/>
          <w:lang w:val="es-ES"/>
        </w:rPr>
        <w:t> (estudios previos, pliegos de condiciones y contrato), puede afirmarse que existe un incumplimiento de las obligaciones de protección del patrimonio público por parte de la Entidad? Justificar jurídicamente.</w:t>
      </w:r>
    </w:p>
    <w:p w14:paraId="6B96303C" w14:textId="77777777" w:rsidR="00DB2B86" w:rsidRPr="00ED6485" w:rsidRDefault="00DB2B86" w:rsidP="00DB2B86">
      <w:pPr>
        <w:spacing w:after="0"/>
        <w:ind w:left="720"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 xml:space="preserve">La aplicación de descuentos por ANS mediante nota crédito o descuento directo sobre la factura implica que dichos recursos hayan salido del patrimonio de la Entidad, </w:t>
      </w:r>
      <w:proofErr w:type="gramStart"/>
      <w:r w:rsidRPr="00ED6485">
        <w:rPr>
          <w:rFonts w:ascii="Verdana" w:eastAsia="Century Gothic" w:hAnsi="Verdana" w:cs="Century Gothic"/>
          <w:i/>
          <w:color w:val="000000" w:themeColor="text1"/>
          <w:sz w:val="20"/>
          <w:szCs w:val="20"/>
          <w:lang w:val="es-ES"/>
        </w:rPr>
        <w:t>o</w:t>
      </w:r>
      <w:proofErr w:type="gramEnd"/>
      <w:r w:rsidRPr="00ED6485">
        <w:rPr>
          <w:rFonts w:ascii="Verdana" w:eastAsia="Century Gothic" w:hAnsi="Verdana" w:cs="Century Gothic"/>
          <w:i/>
          <w:color w:val="000000" w:themeColor="text1"/>
          <w:sz w:val="20"/>
          <w:szCs w:val="20"/>
          <w:lang w:val="es-ES"/>
        </w:rPr>
        <w:t xml:space="preserve"> por el contrario, corresponde a un menor valor reconocido al contratista como consecuencia del incumplimiento de los niveles de servicio pactados?</w:t>
      </w:r>
    </w:p>
    <w:p w14:paraId="7BC56F6B"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r w:rsidRPr="00ED6485">
        <w:rPr>
          <w:rFonts w:ascii="Verdana" w:eastAsia="Century Gothic" w:hAnsi="Verdana" w:cs="Century Gothic"/>
          <w:i/>
          <w:color w:val="000000" w:themeColor="text1"/>
          <w:sz w:val="20"/>
          <w:szCs w:val="20"/>
          <w:lang w:val="es-ES"/>
        </w:rPr>
        <w:t>-Conforme a la definición de daño patrimonial prevista en la Ley 610 de 2000, ¿puede configurarse un detrimento patrimonial cuando la Entidad descuenta oportunamente los valores correspondientes a los ANS antes de efectuar el pago al contratista? Fundamentar la respuesta.</w:t>
      </w:r>
    </w:p>
    <w:p w14:paraId="6050655D"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Es jurídicamente procedente afirmar que, cuando la Entidad aplica correctamente los descuentos por ANS conforme al procedimiento previsto en el contrato, no se produce un menoscabo, pérdida, disminución o salida de recursos públicos que permita estructurar un daño patrimonial al Estado?</w:t>
      </w:r>
    </w:p>
    <w:p w14:paraId="074D869E"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La aplicación de los ANS constituye un mecanismo de protección del patrimonio público, en la medida en que evita el pago total de servicios que no fueron prestados conforme a los niveles de calidad y oportunidad contractualmente pactados? Sustentar.</w:t>
      </w:r>
    </w:p>
    <w:p w14:paraId="4432091B"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En qué circunstancias la incorrecta aplicación o la omisión en la aplicación de los ANS sí podría generar un eventual daño patrimonial, diferenciándolas de aquellos eventos en los que la Entidad realiza oportunamente los descuentos correspondientes?</w:t>
      </w:r>
    </w:p>
    <w:p w14:paraId="4E942301"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Cuál es el alcance del principio de autonomía de la voluntad y de la lex contractus respecto de la regulación de los ANS y de los mecanismos de descuento pactados entre las partes?</w:t>
      </w:r>
    </w:p>
    <w:p w14:paraId="240FC12B"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Qué efectos jurídicos tiene el acuerdo suscrito entre el supervisor y el contratista mediante el cual se determina el valor definitivo de los descuentos por ANS y se autoriza su aplicación mediante nota crédito o descuento en factura?</w:t>
      </w:r>
    </w:p>
    <w:p w14:paraId="0B72665E"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La existencia de un acta de verificación, un acta de aplicación de ANS o un acuerdo de reconocimiento de los descuentos por parte del contratista fortalece la presunción de legalidad de los descuentos efectuados por la Entidad? Fundamentar.</w:t>
      </w:r>
    </w:p>
    <w:p w14:paraId="3ECDCC29"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lastRenderedPageBreak/>
        <w:t>-¿</w:t>
      </w:r>
      <w:proofErr w:type="gramEnd"/>
      <w:r w:rsidRPr="00ED6485">
        <w:rPr>
          <w:rFonts w:ascii="Verdana" w:eastAsia="Century Gothic" w:hAnsi="Verdana" w:cs="Century Gothic"/>
          <w:i/>
          <w:color w:val="000000" w:themeColor="text1"/>
          <w:sz w:val="20"/>
          <w:szCs w:val="20"/>
          <w:lang w:val="es-ES"/>
        </w:rPr>
        <w:t xml:space="preserve">Desde la perspectiva de la responsabilidad fiscal, </w:t>
      </w:r>
      <w:proofErr w:type="gramStart"/>
      <w:r w:rsidRPr="00ED6485">
        <w:rPr>
          <w:rFonts w:ascii="Verdana" w:eastAsia="Century Gothic" w:hAnsi="Verdana" w:cs="Century Gothic"/>
          <w:i/>
          <w:color w:val="000000" w:themeColor="text1"/>
          <w:sz w:val="20"/>
          <w:szCs w:val="20"/>
          <w:lang w:val="es-ES"/>
        </w:rPr>
        <w:t>cuáles son los elementos que deben concurrir para configurar un daño patrimonial al Estado y por qué la aplicación correcta de los ANS, conforme a la Ley 610 de 2000 y a la lex contractus, no satisface dichos presupuestos?</w:t>
      </w:r>
      <w:proofErr w:type="gramEnd"/>
    </w:p>
    <w:p w14:paraId="781E1A95" w14:textId="77777777" w:rsidR="00DB2B86" w:rsidRPr="00ED6485" w:rsidRDefault="00DB2B86" w:rsidP="00DB2B86">
      <w:pPr>
        <w:spacing w:after="0"/>
        <w:ind w:left="709" w:right="709"/>
        <w:contextualSpacing/>
        <w:jc w:val="both"/>
        <w:rPr>
          <w:rFonts w:ascii="Verdana" w:eastAsia="Century Gothic" w:hAnsi="Verdana" w:cs="Century Gothic"/>
          <w:i/>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Puede concluirse que los recursos descontados por concepto de ANS nunca ingresan al patrimonio del contratista, toda vez que corresponden a valores que la Entidad legítimamente deja de reconocer por incumplimiento de las condiciones contractuales, razón por la cual no existe una erogación indebida de recursos públicos?</w:t>
      </w:r>
    </w:p>
    <w:p w14:paraId="35EEB03A" w14:textId="77777777" w:rsidR="00DB2B86" w:rsidRPr="00ED6485" w:rsidRDefault="00DB2B86" w:rsidP="00DB2B86">
      <w:pPr>
        <w:spacing w:after="0"/>
        <w:ind w:left="709" w:right="709"/>
        <w:contextualSpacing/>
        <w:jc w:val="both"/>
        <w:rPr>
          <w:rFonts w:ascii="Verdana" w:eastAsia="Century Gothic" w:hAnsi="Verdana" w:cs="Century Gothic"/>
          <w:i/>
          <w:iCs/>
          <w:color w:val="000000" w:themeColor="text1"/>
          <w:sz w:val="20"/>
          <w:szCs w:val="20"/>
          <w:lang w:val="es-ES"/>
        </w:rPr>
      </w:pPr>
      <w:proofErr w:type="gramStart"/>
      <w:r w:rsidRPr="00ED6485">
        <w:rPr>
          <w:rFonts w:ascii="Verdana" w:eastAsia="Century Gothic" w:hAnsi="Verdana" w:cs="Century Gothic"/>
          <w:i/>
          <w:color w:val="000000" w:themeColor="text1"/>
          <w:sz w:val="20"/>
          <w:szCs w:val="20"/>
          <w:lang w:val="es-ES"/>
        </w:rPr>
        <w:t>-¿</w:t>
      </w:r>
      <w:proofErr w:type="gramEnd"/>
      <w:r w:rsidRPr="00ED6485">
        <w:rPr>
          <w:rFonts w:ascii="Verdana" w:eastAsia="Century Gothic" w:hAnsi="Verdana" w:cs="Century Gothic"/>
          <w:i/>
          <w:color w:val="000000" w:themeColor="text1"/>
          <w:sz w:val="20"/>
          <w:szCs w:val="20"/>
          <w:lang w:val="es-ES"/>
        </w:rPr>
        <w:t>Existe sustento jurídico para afirmar que la aplicación de los ANS responde al principio de responsabilidad, eficiencia y economía en la contratación estatal, al garantizar que la Entidad únicamente remunere los servicios efectivamente prestados conforme a los estándares de calidad pactados?</w:t>
      </w:r>
      <w:r w:rsidRPr="00ED6485">
        <w:rPr>
          <w:rFonts w:ascii="Verdana" w:eastAsia="Century Gothic" w:hAnsi="Verdana" w:cs="Century Gothic"/>
          <w:i/>
          <w:iCs/>
          <w:color w:val="000000" w:themeColor="text1"/>
          <w:sz w:val="20"/>
          <w:szCs w:val="20"/>
          <w:lang w:val="es-ES"/>
        </w:rPr>
        <w:t>”</w:t>
      </w:r>
    </w:p>
    <w:p w14:paraId="20EB82B4" w14:textId="77777777" w:rsidR="00DB2B86" w:rsidRPr="00ED6485" w:rsidRDefault="00DB2B86" w:rsidP="00DB2B86">
      <w:pPr>
        <w:spacing w:after="0"/>
        <w:ind w:right="709"/>
        <w:contextualSpacing/>
        <w:jc w:val="both"/>
        <w:rPr>
          <w:rFonts w:ascii="Verdana" w:eastAsia="Century Gothic" w:hAnsi="Verdana" w:cs="Century Gothic"/>
          <w:i/>
          <w:color w:val="000000" w:themeColor="text1"/>
          <w:sz w:val="20"/>
          <w:szCs w:val="20"/>
          <w:lang w:val="es-ES"/>
        </w:rPr>
      </w:pPr>
    </w:p>
    <w:p w14:paraId="060200DF" w14:textId="77777777" w:rsidR="00DB2B86" w:rsidRPr="00ED6485" w:rsidRDefault="00DB2B86" w:rsidP="00DB2B86">
      <w:pPr>
        <w:spacing w:after="0" w:line="276" w:lineRule="auto"/>
        <w:contextualSpacing/>
        <w:jc w:val="both"/>
        <w:rPr>
          <w:rFonts w:ascii="Verdana" w:eastAsia="Calibri" w:hAnsi="Verdana" w:cs="Arial"/>
          <w:color w:val="000000" w:themeColor="text1"/>
          <w:szCs w:val="24"/>
          <w:lang w:val="es-ES" w:eastAsia="es-ES_tradnl"/>
        </w:rPr>
      </w:pPr>
      <w:r w:rsidRPr="00ED6485">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D6485">
        <w:rPr>
          <w:rFonts w:ascii="Verdana" w:eastAsia="Calibri" w:hAnsi="Verdana" w:cs="Arial"/>
          <w:color w:val="000000" w:themeColor="text1"/>
          <w:szCs w:val="24"/>
          <w:lang w:val="es-ES" w:eastAsia="es-ES_tradnl"/>
        </w:rPr>
        <w:tab/>
      </w:r>
    </w:p>
    <w:p w14:paraId="15E81772" w14:textId="77777777" w:rsidR="00DB2B86" w:rsidRPr="00ED6485" w:rsidRDefault="00DB2B86" w:rsidP="00DB2B86">
      <w:pPr>
        <w:spacing w:before="120" w:after="120" w:line="276" w:lineRule="auto"/>
        <w:ind w:firstLine="709"/>
        <w:jc w:val="both"/>
        <w:rPr>
          <w:rFonts w:ascii="Verdana" w:eastAsia="Calibri" w:hAnsi="Verdana" w:cs="Arial"/>
          <w:color w:val="000000" w:themeColor="text1"/>
          <w:lang w:val="es-ES" w:eastAsia="es-ES"/>
        </w:rPr>
      </w:pPr>
      <w:r w:rsidRPr="00ED6485">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3D83F3E" w14:textId="77777777" w:rsidR="00DB2B86" w:rsidRPr="00ED6485" w:rsidRDefault="00DB2B86" w:rsidP="00DB2B86">
      <w:pPr>
        <w:spacing w:after="0" w:line="276" w:lineRule="auto"/>
        <w:jc w:val="both"/>
        <w:rPr>
          <w:rFonts w:ascii="Verdana" w:eastAsia="Calibri" w:hAnsi="Verdana" w:cs="Arial"/>
          <w:color w:val="000000" w:themeColor="text1"/>
          <w:lang w:val="es-ES" w:eastAsia="es-ES"/>
        </w:rPr>
      </w:pPr>
    </w:p>
    <w:p w14:paraId="19FEE44C" w14:textId="77777777" w:rsidR="00DB2B86" w:rsidRPr="00ED6485" w:rsidRDefault="00DB2B86" w:rsidP="00DB2B86">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Problema planteado:</w:t>
      </w:r>
    </w:p>
    <w:p w14:paraId="628908FB" w14:textId="77777777" w:rsidR="00DB2B86" w:rsidRPr="00ED6485" w:rsidRDefault="00DB2B86" w:rsidP="00DB2B86">
      <w:pPr>
        <w:tabs>
          <w:tab w:val="left" w:pos="426"/>
        </w:tabs>
        <w:spacing w:after="0" w:line="276" w:lineRule="auto"/>
        <w:jc w:val="both"/>
        <w:rPr>
          <w:rFonts w:ascii="Verdana" w:eastAsia="Century Gothic" w:hAnsi="Verdana" w:cs="Century Gothic"/>
          <w:color w:val="000000" w:themeColor="text1"/>
          <w:lang w:val="es-ES"/>
        </w:rPr>
      </w:pPr>
    </w:p>
    <w:p w14:paraId="3E2A6910" w14:textId="77777777" w:rsidR="00DB2B86" w:rsidRPr="00ED6485" w:rsidRDefault="00DB2B86" w:rsidP="00DB2B86">
      <w:pPr>
        <w:pStyle w:val="Prrafodelista"/>
        <w:spacing w:after="0" w:line="276" w:lineRule="auto"/>
        <w:ind w:left="0"/>
        <w:jc w:val="both"/>
        <w:rPr>
          <w:rFonts w:ascii="Verdana" w:eastAsia="Century Gothic" w:hAnsi="Verdana" w:cs="Century Gothic"/>
          <w:color w:val="000000" w:themeColor="text1"/>
        </w:rPr>
      </w:pPr>
      <w:r w:rsidRPr="00ED6485">
        <w:rPr>
          <w:rFonts w:ascii="Verdana" w:eastAsia="Century Gothic" w:hAnsi="Verdana" w:cs="Century Gothic"/>
          <w:color w:val="000000" w:themeColor="text1"/>
        </w:rPr>
        <w:t xml:space="preserve">De acuerdo con el contenido de su solicitud, esta Agencia resolverá los siguientes problemas jurídicos: i) ¿Cuál es la naturaleza jurídica de los Acuerdos de Niveles </w:t>
      </w:r>
      <w:r w:rsidRPr="00ED6485">
        <w:rPr>
          <w:rFonts w:ascii="Verdana" w:eastAsia="Century Gothic" w:hAnsi="Verdana" w:cs="Century Gothic"/>
          <w:color w:val="000000" w:themeColor="text1"/>
        </w:rPr>
        <w:lastRenderedPageBreak/>
        <w:t xml:space="preserve">de Servicio (ANS) en el marco de la contratación estatal?; </w:t>
      </w:r>
      <w:proofErr w:type="spellStart"/>
      <w:r w:rsidRPr="00ED6485">
        <w:rPr>
          <w:rFonts w:ascii="Verdana" w:eastAsia="Century Gothic" w:hAnsi="Verdana" w:cs="Century Gothic"/>
          <w:color w:val="000000" w:themeColor="text1"/>
        </w:rPr>
        <w:t>ii</w:t>
      </w:r>
      <w:proofErr w:type="spellEnd"/>
      <w:r w:rsidRPr="00ED6485">
        <w:rPr>
          <w:rFonts w:ascii="Verdana" w:eastAsia="Century Gothic" w:hAnsi="Verdana" w:cs="Century Gothic"/>
          <w:color w:val="000000" w:themeColor="text1"/>
        </w:rPr>
        <w:t xml:space="preserve">) Cuál es la naturaleza jurídica de los descuentos derivados del incumplimiento de los indicadores pactados en los ANS?; y </w:t>
      </w:r>
      <w:proofErr w:type="spellStart"/>
      <w:r w:rsidRPr="00ED6485">
        <w:rPr>
          <w:rFonts w:ascii="Verdana" w:eastAsia="Century Gothic" w:hAnsi="Verdana" w:cs="Century Gothic"/>
          <w:color w:val="000000" w:themeColor="text1"/>
        </w:rPr>
        <w:t>iii</w:t>
      </w:r>
      <w:proofErr w:type="spellEnd"/>
      <w:r w:rsidRPr="00ED6485">
        <w:rPr>
          <w:rFonts w:ascii="Verdana" w:eastAsia="Century Gothic" w:hAnsi="Verdana" w:cs="Century Gothic"/>
          <w:color w:val="000000" w:themeColor="text1"/>
        </w:rPr>
        <w:t>) ¿cuál es el alcance y límites del principio de autonomía de la voluntad al pactar los ANS en contratos estatales?</w:t>
      </w:r>
    </w:p>
    <w:p w14:paraId="7C0D6985" w14:textId="77777777" w:rsidR="00DB2B86" w:rsidRPr="00ED6485" w:rsidRDefault="00DB2B86" w:rsidP="00DB2B86">
      <w:pPr>
        <w:spacing w:after="0" w:line="276" w:lineRule="auto"/>
        <w:jc w:val="both"/>
        <w:rPr>
          <w:rFonts w:ascii="Verdana" w:eastAsia="Calibri" w:hAnsi="Verdana" w:cs="Arial"/>
          <w:color w:val="000000" w:themeColor="text1"/>
          <w:lang w:val="es-ES"/>
        </w:rPr>
      </w:pPr>
    </w:p>
    <w:p w14:paraId="299603EF" w14:textId="77777777" w:rsidR="00DB2B86" w:rsidRPr="00ED6485" w:rsidRDefault="00DB2B86" w:rsidP="00DB2B8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Respuesta:</w:t>
      </w:r>
    </w:p>
    <w:p w14:paraId="7B21C1F6" w14:textId="77777777" w:rsidR="00DB2B86" w:rsidRPr="00ED6485" w:rsidRDefault="00DB2B86" w:rsidP="00DB2B86">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B2B86" w:rsidRPr="00ED6485" w14:paraId="4275C5EE" w14:textId="77777777" w:rsidTr="00B23CA7">
        <w:tc>
          <w:tcPr>
            <w:tcW w:w="8828" w:type="dxa"/>
          </w:tcPr>
          <w:p w14:paraId="591AE7E9" w14:textId="77777777" w:rsidR="00DB2B86" w:rsidRPr="00ED6485" w:rsidRDefault="00DB2B86" w:rsidP="00B23CA7">
            <w:pPr>
              <w:spacing w:after="120" w:line="276" w:lineRule="auto"/>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i. </w:t>
            </w:r>
            <w:r w:rsidRPr="00DF58ED">
              <w:rPr>
                <w:rFonts w:ascii="Verdana" w:eastAsia="Calibri" w:hAnsi="Verdana" w:cs="Arial"/>
                <w:color w:val="000000" w:themeColor="text1"/>
                <w:lang w:val="es-ES"/>
              </w:rPr>
              <w:t xml:space="preserve">Los acuerdos de niveles de servicio </w:t>
            </w:r>
            <w:r w:rsidRPr="00ED6485">
              <w:rPr>
                <w:rFonts w:ascii="Verdana" w:eastAsia="Calibri" w:hAnsi="Verdana" w:cs="Arial"/>
                <w:color w:val="000000" w:themeColor="text1"/>
                <w:lang w:val="es-ES"/>
              </w:rPr>
              <w:t>(</w:t>
            </w:r>
            <w:r w:rsidRPr="00DF58ED">
              <w:rPr>
                <w:rFonts w:ascii="Verdana" w:eastAsia="Calibri" w:hAnsi="Verdana" w:cs="Arial"/>
                <w:color w:val="000000" w:themeColor="text1"/>
                <w:lang w:val="es-ES"/>
              </w:rPr>
              <w:t>ANS</w:t>
            </w:r>
            <w:r w:rsidRPr="00ED6485">
              <w:rPr>
                <w:rFonts w:ascii="Verdana" w:eastAsia="Calibri" w:hAnsi="Verdana" w:cs="Arial"/>
                <w:color w:val="000000" w:themeColor="text1"/>
                <w:lang w:val="es-ES"/>
              </w:rPr>
              <w:t>)</w:t>
            </w:r>
            <w:r w:rsidRPr="00DF58ED">
              <w:rPr>
                <w:rFonts w:ascii="Verdana" w:eastAsia="Calibri" w:hAnsi="Verdana" w:cs="Arial"/>
                <w:color w:val="000000" w:themeColor="text1"/>
                <w:lang w:val="es-ES"/>
              </w:rPr>
              <w:t xml:space="preserve"> son estipulaciones de carácter accesorio, innominado, oneroso y conmutativo, mediante las cuales las partes definen los estándares de calidad, oportunidad y desempeño con los que el contratista se compromete a ejecutar sus obligaciones, así como las consecuencias derivadas de su desatención. Son accesorios porque su objeto es la regulación del cumplimiento de un servicio derivado de un negocio principal; innominados, dado que no se encuentran previstos expresamente en la legislación ni existe un contrato análogo al cual recurrir para su interpretación; onerosos, porque su pacto busca que ambas partes obtengan ventajas con un correlativo sacrificio; y conmutativos, por la existencia de ventajas y sacrificios correlativos entre las partes.</w:t>
            </w:r>
          </w:p>
          <w:p w14:paraId="783FC50F" w14:textId="77777777" w:rsidR="00DB2B86" w:rsidRPr="00ED6485" w:rsidRDefault="00DB2B86" w:rsidP="00B23CA7">
            <w:pPr>
              <w:spacing w:after="120" w:line="276" w:lineRule="auto"/>
              <w:ind w:firstLine="741"/>
              <w:jc w:val="both"/>
              <w:rPr>
                <w:rFonts w:ascii="Verdana" w:eastAsia="Calibri" w:hAnsi="Verdana" w:cs="Arial"/>
                <w:color w:val="000000" w:themeColor="text1"/>
                <w:lang w:val="es-ES"/>
              </w:rPr>
            </w:pPr>
            <w:r w:rsidRPr="00DF58ED">
              <w:rPr>
                <w:rFonts w:ascii="Verdana" w:eastAsia="Calibri" w:hAnsi="Verdana" w:cs="Arial"/>
                <w:color w:val="000000" w:themeColor="text1"/>
                <w:lang w:val="es-ES"/>
              </w:rPr>
              <w:t xml:space="preserve">Ni el Estatuto General de Contratación de la Administración Pública ni sus normas complementarias y reglamentarias regulan expresamente los ANS, ni atribuyen a las Entidades Estatales la competencia para efectuar descuentos </w:t>
            </w:r>
            <w:r w:rsidRPr="00DF58ED">
              <w:rPr>
                <w:rFonts w:ascii="Verdana" w:eastAsia="Calibri" w:hAnsi="Verdana" w:cs="Arial"/>
                <w:i/>
                <w:iCs/>
                <w:color w:val="000000" w:themeColor="text1"/>
                <w:lang w:val="es-ES"/>
              </w:rPr>
              <w:t>de plano</w:t>
            </w:r>
            <w:r w:rsidRPr="00DF58ED">
              <w:rPr>
                <w:rFonts w:ascii="Verdana" w:eastAsia="Calibri" w:hAnsi="Verdana" w:cs="Arial"/>
                <w:color w:val="000000" w:themeColor="text1"/>
                <w:lang w:val="es-ES"/>
              </w:rPr>
              <w:t xml:space="preserve"> por el incumplimiento de los hitos o compromisos acordados. La referencia más cercana se encuentra en el régimen de las Asociaciones </w:t>
            </w:r>
            <w:proofErr w:type="gramStart"/>
            <w:r w:rsidRPr="00DF58ED">
              <w:rPr>
                <w:rFonts w:ascii="Verdana" w:eastAsia="Calibri" w:hAnsi="Verdana" w:cs="Arial"/>
                <w:color w:val="000000" w:themeColor="text1"/>
                <w:lang w:val="es-ES"/>
              </w:rPr>
              <w:t>Público Privadas</w:t>
            </w:r>
            <w:proofErr w:type="gramEnd"/>
            <w:r w:rsidRPr="00DF58ED">
              <w:rPr>
                <w:rFonts w:ascii="Verdana" w:eastAsia="Calibri" w:hAnsi="Verdana" w:cs="Arial"/>
                <w:color w:val="000000" w:themeColor="text1"/>
                <w:lang w:val="es-ES"/>
              </w:rPr>
              <w:t xml:space="preserve">, que establece los niveles de servicio como condición de la retribución y admite deducciones graduales por este concepto; pero se trata de un régimen aplicable únicamente a los contratos de APP. Por tanto, para los demás contratos estatales, los acuerdos de niveles de servicio constituyen una figura </w:t>
            </w:r>
            <w:r w:rsidRPr="00DF58ED">
              <w:rPr>
                <w:rFonts w:ascii="Verdana" w:eastAsia="Calibri" w:hAnsi="Verdana" w:cs="Arial"/>
                <w:i/>
                <w:iCs/>
                <w:color w:val="000000" w:themeColor="text1"/>
                <w:lang w:val="es-ES"/>
              </w:rPr>
              <w:t>atípica</w:t>
            </w:r>
            <w:r w:rsidRPr="00DF58ED">
              <w:rPr>
                <w:rFonts w:ascii="Verdana" w:eastAsia="Calibri" w:hAnsi="Verdana" w:cs="Arial"/>
                <w:color w:val="000000" w:themeColor="text1"/>
                <w:lang w:val="es-ES"/>
              </w:rPr>
              <w:t>.</w:t>
            </w:r>
          </w:p>
          <w:p w14:paraId="4177D479" w14:textId="77777777" w:rsidR="00DB2B86" w:rsidRPr="00DF58ED" w:rsidRDefault="00DB2B86" w:rsidP="00B23CA7">
            <w:pPr>
              <w:spacing w:after="120" w:line="276" w:lineRule="auto"/>
              <w:ind w:firstLine="741"/>
              <w:jc w:val="both"/>
              <w:rPr>
                <w:rFonts w:ascii="Verdana" w:eastAsia="Calibri" w:hAnsi="Verdana" w:cs="Arial"/>
                <w:color w:val="000000" w:themeColor="text1"/>
                <w:lang w:val="es-ES"/>
              </w:rPr>
            </w:pPr>
            <w:r w:rsidRPr="00DF58ED">
              <w:rPr>
                <w:rFonts w:ascii="Verdana" w:eastAsia="Calibri" w:hAnsi="Verdana" w:cs="Arial"/>
                <w:color w:val="000000" w:themeColor="text1"/>
                <w:lang w:val="es-ES"/>
              </w:rPr>
              <w:t>Lo anterior no impide su pacto</w:t>
            </w:r>
            <w:r w:rsidRPr="00ED6485">
              <w:rPr>
                <w:rFonts w:ascii="Verdana" w:eastAsia="Calibri" w:hAnsi="Verdana" w:cs="Arial"/>
                <w:color w:val="000000" w:themeColor="text1"/>
                <w:lang w:val="es-ES"/>
              </w:rPr>
              <w:t>, pues,</w:t>
            </w:r>
            <w:r w:rsidRPr="00DF58ED">
              <w:rPr>
                <w:rFonts w:ascii="Verdana" w:eastAsia="Calibri" w:hAnsi="Verdana" w:cs="Arial"/>
                <w:color w:val="000000" w:themeColor="text1"/>
                <w:lang w:val="es-ES"/>
              </w:rPr>
              <w:t xml:space="preserve"> </w:t>
            </w:r>
            <w:r w:rsidRPr="00ED6485">
              <w:rPr>
                <w:rFonts w:ascii="Verdana" w:eastAsia="Calibri" w:hAnsi="Verdana" w:cs="Arial"/>
                <w:color w:val="000000" w:themeColor="text1"/>
                <w:lang w:val="es-ES"/>
              </w:rPr>
              <w:t>e</w:t>
            </w:r>
            <w:r w:rsidRPr="00DF58ED">
              <w:rPr>
                <w:rFonts w:ascii="Verdana" w:eastAsia="Calibri" w:hAnsi="Verdana" w:cs="Arial"/>
                <w:color w:val="000000" w:themeColor="text1"/>
                <w:lang w:val="es-ES"/>
              </w:rPr>
              <w:t xml:space="preserve">n virtud del segundo inciso del artículo 40 de la Ley 80 de 1993, las entidades pueden celebrar los contratos y acuerdos que permita la autonomía de la voluntad y requiera el cumplimiento de los fines estatales, de manera que nada obsta para que las partes acuerden estándares o hitos de cumplimiento, siempre que tales estipulaciones se ajusten a los límites de las normas de orden público y no incurran en causales de nulidad. Así entendidos, los ANS constituyen cláusulas accidentales dentro </w:t>
            </w:r>
            <w:r w:rsidRPr="00DF58ED">
              <w:rPr>
                <w:rFonts w:ascii="Verdana" w:eastAsia="Calibri" w:hAnsi="Verdana" w:cs="Arial"/>
                <w:color w:val="000000" w:themeColor="text1"/>
                <w:lang w:val="es-ES"/>
              </w:rPr>
              <w:lastRenderedPageBreak/>
              <w:t>de los contratos estatales, en los términos del artículo 1501 del Código Civil, y la naturaleza de las obligaciones que incorporen dependerá igualmente del acuerdo de voluntades, aunque comúnmente se pacten como obligaciones de resultado.</w:t>
            </w:r>
          </w:p>
          <w:p w14:paraId="2D1F01E5" w14:textId="77777777" w:rsidR="00DB2B86" w:rsidRPr="00ED6485" w:rsidRDefault="00DB2B86" w:rsidP="00B23CA7">
            <w:pPr>
              <w:spacing w:after="120" w:line="276" w:lineRule="auto"/>
              <w:jc w:val="both"/>
              <w:rPr>
                <w:rFonts w:ascii="Verdana" w:eastAsia="Calibri" w:hAnsi="Verdana" w:cs="Arial"/>
                <w:color w:val="000000" w:themeColor="text1"/>
                <w:lang w:val="es-ES"/>
              </w:rPr>
            </w:pPr>
            <w:proofErr w:type="spellStart"/>
            <w:r w:rsidRPr="00ED6485">
              <w:rPr>
                <w:rFonts w:ascii="Verdana" w:eastAsia="Calibri" w:hAnsi="Verdana" w:cs="Arial"/>
                <w:color w:val="000000" w:themeColor="text1"/>
                <w:lang w:val="es-ES"/>
              </w:rPr>
              <w:t>ii</w:t>
            </w:r>
            <w:proofErr w:type="spellEnd"/>
            <w:r w:rsidRPr="00ED6485">
              <w:rPr>
                <w:rFonts w:ascii="Verdana" w:eastAsia="Calibri" w:hAnsi="Verdana" w:cs="Arial"/>
                <w:color w:val="000000" w:themeColor="text1"/>
                <w:lang w:val="es-ES"/>
              </w:rPr>
              <w:t xml:space="preserve">. De conformidad con lo expuesto en este concepto, es claro que en virtud del </w:t>
            </w:r>
            <w:r w:rsidRPr="00ED6485">
              <w:rPr>
                <w:rFonts w:ascii="Verdana" w:eastAsia="Calibri" w:hAnsi="Verdana" w:cs="Arial"/>
                <w:color w:val="000000"/>
                <w:lang w:val="es-ES" w:eastAsia="es-ES_tradnl"/>
              </w:rPr>
              <w:t xml:space="preserve">segundo inciso del artículo 40 de la Ley 80 de 1993, las entidades pueden acordar con el contratista incluir estipulaciones que propendan por el cumplimiento efectivo del objeto contractual, como lo son los ANS como estándares o niveles de calidad y/o servicio. </w:t>
            </w:r>
            <w:r w:rsidRPr="00DF58ED">
              <w:rPr>
                <w:rFonts w:ascii="Verdana" w:eastAsia="Calibri" w:hAnsi="Verdana" w:cs="Arial"/>
                <w:color w:val="000000" w:themeColor="text1"/>
                <w:lang w:val="es-ES"/>
              </w:rPr>
              <w:t>Debido a que estos acuerdos no se encuentran regulados en el EGCAP ni en sus normas complementarias y reglamentarias, la determinación de su naturaleza</w:t>
            </w:r>
            <w:r w:rsidRPr="00ED6485">
              <w:rPr>
                <w:rFonts w:ascii="Verdana" w:eastAsia="Calibri" w:hAnsi="Verdana" w:cs="Arial"/>
                <w:color w:val="000000" w:themeColor="text1"/>
                <w:lang w:val="es-ES"/>
              </w:rPr>
              <w:t xml:space="preserve">, incluyendo </w:t>
            </w:r>
            <w:r w:rsidRPr="00DF58ED">
              <w:rPr>
                <w:rFonts w:ascii="Verdana" w:eastAsia="Calibri" w:hAnsi="Verdana" w:cs="Arial"/>
                <w:color w:val="000000" w:themeColor="text1"/>
                <w:lang w:val="es-ES"/>
              </w:rPr>
              <w:t>si tienen o no carácter sancionatorio</w:t>
            </w:r>
            <w:r w:rsidRPr="00ED6485">
              <w:rPr>
                <w:rFonts w:ascii="Verdana" w:eastAsia="Calibri" w:hAnsi="Verdana" w:cs="Arial"/>
                <w:color w:val="000000" w:themeColor="text1"/>
                <w:lang w:val="es-ES"/>
              </w:rPr>
              <w:t>,</w:t>
            </w:r>
            <w:r w:rsidRPr="00DF58ED">
              <w:rPr>
                <w:rFonts w:ascii="Verdana" w:eastAsia="Calibri" w:hAnsi="Verdana" w:cs="Arial"/>
                <w:color w:val="000000" w:themeColor="text1"/>
                <w:lang w:val="es-ES"/>
              </w:rPr>
              <w:t xml:space="preserve"> depende de la forma como las partes los hayan pactado en cada caso</w:t>
            </w:r>
            <w:r w:rsidRPr="00ED6485">
              <w:rPr>
                <w:rFonts w:ascii="Verdana" w:eastAsia="Calibri" w:hAnsi="Verdana" w:cs="Arial"/>
                <w:color w:val="000000" w:themeColor="text1"/>
                <w:lang w:val="es-ES"/>
              </w:rPr>
              <w:t xml:space="preserve">; </w:t>
            </w:r>
            <w:r w:rsidRPr="00ED6485">
              <w:rPr>
                <w:rFonts w:ascii="Verdana" w:eastAsia="Calibri" w:hAnsi="Verdana" w:cs="Arial"/>
                <w:color w:val="000000"/>
                <w:lang w:val="es-ES" w:eastAsia="es-ES_tradnl"/>
              </w:rPr>
              <w:t>su aplicabilidad y procedimiento dependerá del contenido de las obligaciones que en los ANS se incorpore por las partes</w:t>
            </w:r>
          </w:p>
          <w:p w14:paraId="1998832A" w14:textId="4FA1FF7F" w:rsidR="00DB2B86" w:rsidRPr="00ED6485" w:rsidRDefault="00DB2B86" w:rsidP="00B23CA7">
            <w:pPr>
              <w:spacing w:after="120" w:line="276" w:lineRule="auto"/>
              <w:ind w:firstLine="73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Por un lado,</w:t>
            </w:r>
            <w:r w:rsidRPr="00ED6485">
              <w:rPr>
                <w:rFonts w:ascii="Verdana" w:eastAsia="Calibri" w:hAnsi="Verdana" w:cs="Arial"/>
                <w:color w:val="000000"/>
                <w:lang w:val="es-ES" w:eastAsia="es-ES_tradnl"/>
              </w:rPr>
              <w:t xml:space="preserve"> si en estos se incorporan obligaciones alternativas de </w:t>
            </w:r>
            <w:r w:rsidRPr="00ED6485">
              <w:rPr>
                <w:rFonts w:ascii="Verdana" w:eastAsia="Calibri" w:hAnsi="Verdana" w:cs="Arial"/>
                <w:color w:val="000000"/>
                <w:szCs w:val="24"/>
                <w:lang w:val="es-ES" w:eastAsia="es-ES_tradnl"/>
              </w:rPr>
              <w:t xml:space="preserve">estándares de calidad o niveles de rendimiento específicos estrechamente relacionados con la retribución o contraprestación económica pactada por las partes, sin que necesariamente sean asumidas como incumplimientos que lleven a la rescisión o resolución del contrato, no es necesario que la Entidad Estatal utilice el procedimiento </w:t>
            </w:r>
            <w:r w:rsidRPr="00ED6485">
              <w:rPr>
                <w:rFonts w:ascii="Verdana" w:eastAsia="Calibri" w:hAnsi="Verdana" w:cs="Arial"/>
                <w:color w:val="000000" w:themeColor="text1"/>
                <w:lang w:val="es-ES"/>
              </w:rPr>
              <w:t xml:space="preserve">sancionatorio establecido en el artículo 86 de la Ley 1474 de 2011. </w:t>
            </w:r>
            <w:r w:rsidR="00C21D78" w:rsidRPr="00C21D78">
              <w:rPr>
                <w:rFonts w:ascii="Verdana" w:eastAsia="Calibri" w:hAnsi="Verdana" w:cs="Arial"/>
                <w:color w:val="000000" w:themeColor="text1"/>
                <w:lang w:val="es-ES"/>
              </w:rPr>
              <w:t>Con</w:t>
            </w:r>
            <w:r w:rsidR="00C21D78">
              <w:rPr>
                <w:rFonts w:ascii="Verdana" w:eastAsia="Calibri" w:hAnsi="Verdana" w:cs="Arial"/>
                <w:color w:val="000000" w:themeColor="text1"/>
                <w:lang w:val="es-ES"/>
              </w:rPr>
              <w:t xml:space="preserve"> relación</w:t>
            </w:r>
            <w:r w:rsidR="00C21D78" w:rsidRPr="00C21D78">
              <w:rPr>
                <w:rFonts w:ascii="Verdana" w:eastAsia="Calibri" w:hAnsi="Verdana" w:cs="Arial"/>
                <w:color w:val="000000" w:themeColor="text1"/>
                <w:lang w:val="es-ES"/>
              </w:rPr>
              <w:t xml:space="preserve"> </w:t>
            </w:r>
            <w:r w:rsidR="004E376C">
              <w:rPr>
                <w:rFonts w:ascii="Verdana" w:eastAsia="Calibri" w:hAnsi="Verdana" w:cs="Arial"/>
                <w:color w:val="000000" w:themeColor="text1"/>
                <w:lang w:val="es-ES"/>
              </w:rPr>
              <w:t xml:space="preserve">a </w:t>
            </w:r>
            <w:r w:rsidR="00C21D78" w:rsidRPr="00C21D78">
              <w:rPr>
                <w:rFonts w:ascii="Verdana" w:eastAsia="Calibri" w:hAnsi="Verdana" w:cs="Arial"/>
                <w:color w:val="000000" w:themeColor="text1"/>
                <w:lang w:val="es-ES"/>
              </w:rPr>
              <w:t>la naturaleza de estos descuentos</w:t>
            </w:r>
            <w:r w:rsidR="004E376C">
              <w:rPr>
                <w:rFonts w:ascii="Verdana" w:eastAsia="Calibri" w:hAnsi="Verdana" w:cs="Arial"/>
                <w:color w:val="000000" w:themeColor="text1"/>
                <w:lang w:val="es-ES"/>
              </w:rPr>
              <w:t>, conviene precisar que,</w:t>
            </w:r>
            <w:r w:rsidR="00C21D78" w:rsidRPr="00C21D78">
              <w:rPr>
                <w:rFonts w:ascii="Verdana" w:eastAsia="Calibri" w:hAnsi="Verdana" w:cs="Arial"/>
                <w:color w:val="000000" w:themeColor="text1"/>
                <w:lang w:val="es-ES"/>
              </w:rPr>
              <w:t xml:space="preserve"> </w:t>
            </w:r>
            <w:r w:rsidR="004E376C">
              <w:rPr>
                <w:rFonts w:ascii="Verdana" w:eastAsia="Calibri" w:hAnsi="Verdana" w:cs="Arial"/>
                <w:color w:val="000000" w:themeColor="text1"/>
                <w:lang w:val="es-ES"/>
              </w:rPr>
              <w:t>c</w:t>
            </w:r>
            <w:r w:rsidR="00C21D78" w:rsidRPr="00C21D78">
              <w:rPr>
                <w:rFonts w:ascii="Verdana" w:eastAsia="Calibri" w:hAnsi="Verdana" w:cs="Arial"/>
                <w:color w:val="000000" w:themeColor="text1"/>
                <w:lang w:val="es-ES"/>
              </w:rPr>
              <w:t xml:space="preserve">uando la retribución se pacta en función directa del nivel de servicio efectivamente prestado —de modo que un cumplimiento inferior al estándar acordado se traduce en una remuneración proporcionalmente menor—, el descuento no constituye, en rigor, una compensación en el sentido de los artículos 1625.5 y 1714 del Código Civil, pues no supone la extinción de dos deudas recíprocas, líquidas y exigibles, sino la determinación del valor realmente causado a favor del contratista conforme a la conmutatividad del contrato (artículos 1495 y 1602 del Código Civil y artículo 40 de la Ley 80 de 1993). En tal supuesto, los recursos correspondientes no llegan a integrarse al patrimonio del contratista, en la medida en que la prestación parcial o defectuosa no genera el derecho a su reconocimiento íntegro. La compensación de los artículos 1625.5 y 1714 del Código Civil y el parágrafo del artículo 17 de la Ley 1150 de 2007 opera, en cambio, como mecanismo para hacer efectivas, frente a las sumas adeudadas </w:t>
            </w:r>
            <w:r w:rsidR="00C21D78" w:rsidRPr="00C21D78">
              <w:rPr>
                <w:rFonts w:ascii="Verdana" w:eastAsia="Calibri" w:hAnsi="Verdana" w:cs="Arial"/>
                <w:color w:val="000000" w:themeColor="text1"/>
                <w:lang w:val="es-ES"/>
              </w:rPr>
              <w:lastRenderedPageBreak/>
              <w:t>al contratista, deducciones de naturaleza resarcitoria o sancionatoria —tales como multas y cláusula penal— ya causadas y cuantificadas. La calificación concreta dependerá de la forma como las partes hayan configurado el mecanismo en el contrato.</w:t>
            </w:r>
          </w:p>
          <w:p w14:paraId="0AEC94FD" w14:textId="77777777" w:rsidR="00DB2B86" w:rsidRPr="00DF58ED" w:rsidRDefault="00DB2B86" w:rsidP="00B23CA7">
            <w:pPr>
              <w:spacing w:after="120" w:line="276" w:lineRule="auto"/>
              <w:ind w:firstLine="73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En suma, si los descuentos automáticos están contemplados en el contrato como una forma de compensación procedente en virtud de un cumplimiento alternativo, entonces se aplicarían automáticamente en función del nivel de servicio no cumplido, sin necesidad de un procedimiento sancionatorio previo. </w:t>
            </w:r>
            <w:r w:rsidRPr="00ED6485">
              <w:rPr>
                <w:rFonts w:ascii="Verdana" w:eastAsia="Calibri" w:hAnsi="Verdana" w:cs="Arial"/>
                <w:color w:val="000000"/>
                <w:lang w:val="es-ES" w:eastAsia="es-ES_tradnl"/>
              </w:rPr>
              <w:t xml:space="preserve">Por el contrario, si los ANS pactados en ejercicio de la autonomía de la voluntad, tienen el carácter sancionatorio en el contrato que prevé la declaración de multas o incumplimientos, su aplicación debe estar precedida por la garantía del debido proceso, que corresponde al del </w:t>
            </w:r>
            <w:r w:rsidRPr="00ED6485">
              <w:rPr>
                <w:rFonts w:ascii="Verdana" w:eastAsia="Calibri" w:hAnsi="Verdana" w:cs="Arial"/>
                <w:color w:val="000000" w:themeColor="text1"/>
                <w:lang w:val="es-ES"/>
              </w:rPr>
              <w:t>artículo 86 de la Ley 1474 de 2011</w:t>
            </w:r>
            <w:r w:rsidRPr="00ED6485">
              <w:rPr>
                <w:rFonts w:ascii="Verdana" w:eastAsia="Calibri" w:hAnsi="Verdana" w:cs="Arial"/>
                <w:color w:val="000000"/>
                <w:lang w:val="es-ES" w:eastAsia="es-ES_tradnl"/>
              </w:rPr>
              <w:t>.</w:t>
            </w:r>
          </w:p>
          <w:p w14:paraId="311C6043" w14:textId="77777777" w:rsidR="00DB2B86" w:rsidRPr="00DF58ED" w:rsidRDefault="00DB2B86" w:rsidP="00B23CA7">
            <w:pPr>
              <w:spacing w:after="120" w:line="276" w:lineRule="auto"/>
              <w:jc w:val="both"/>
              <w:rPr>
                <w:rFonts w:ascii="Verdana" w:eastAsia="Calibri" w:hAnsi="Verdana" w:cs="Arial"/>
                <w:color w:val="000000" w:themeColor="text1"/>
                <w:lang w:val="es-ES"/>
              </w:rPr>
            </w:pPr>
            <w:proofErr w:type="spellStart"/>
            <w:r w:rsidRPr="00DF58ED">
              <w:rPr>
                <w:rFonts w:ascii="Verdana" w:eastAsia="Calibri" w:hAnsi="Verdana" w:cs="Arial"/>
                <w:color w:val="000000" w:themeColor="text1"/>
                <w:lang w:val="es-ES"/>
              </w:rPr>
              <w:t>iii</w:t>
            </w:r>
            <w:proofErr w:type="spellEnd"/>
            <w:r w:rsidRPr="00ED6485">
              <w:rPr>
                <w:rFonts w:ascii="Verdana" w:eastAsia="Calibri" w:hAnsi="Verdana" w:cs="Arial"/>
                <w:color w:val="000000" w:themeColor="text1"/>
                <w:lang w:val="es-ES"/>
              </w:rPr>
              <w:t>.</w:t>
            </w:r>
            <w:r w:rsidRPr="00DF58ED">
              <w:rPr>
                <w:rFonts w:ascii="Verdana" w:eastAsia="Calibri" w:hAnsi="Verdana" w:cs="Arial"/>
                <w:b/>
                <w:bCs/>
                <w:color w:val="000000" w:themeColor="text1"/>
                <w:lang w:val="es-ES"/>
              </w:rPr>
              <w:t xml:space="preserve"> </w:t>
            </w:r>
            <w:r w:rsidRPr="00DF58ED">
              <w:rPr>
                <w:rFonts w:ascii="Verdana" w:eastAsia="Calibri" w:hAnsi="Verdana" w:cs="Arial"/>
                <w:color w:val="000000" w:themeColor="text1"/>
                <w:lang w:val="es-ES"/>
              </w:rPr>
              <w:t xml:space="preserve">La facultad de pactar </w:t>
            </w:r>
            <w:r w:rsidRPr="00ED6485">
              <w:rPr>
                <w:rFonts w:ascii="Verdana" w:eastAsia="Calibri" w:hAnsi="Verdana" w:cs="Arial"/>
                <w:color w:val="000000" w:themeColor="text1"/>
                <w:lang w:val="es-ES"/>
              </w:rPr>
              <w:t xml:space="preserve">ANS </w:t>
            </w:r>
            <w:r w:rsidRPr="00DF58ED">
              <w:rPr>
                <w:rFonts w:ascii="Verdana" w:eastAsia="Calibri" w:hAnsi="Verdana" w:cs="Arial"/>
                <w:color w:val="000000" w:themeColor="text1"/>
                <w:lang w:val="es-ES"/>
              </w:rPr>
              <w:t>no</w:t>
            </w:r>
            <w:r w:rsidRPr="00ED6485">
              <w:rPr>
                <w:rFonts w:ascii="Verdana" w:eastAsia="Calibri" w:hAnsi="Verdana" w:cs="Arial"/>
                <w:color w:val="000000" w:themeColor="text1"/>
                <w:lang w:val="es-ES"/>
              </w:rPr>
              <w:t xml:space="preserve"> es</w:t>
            </w:r>
            <w:r w:rsidRPr="00DF58ED">
              <w:rPr>
                <w:rFonts w:ascii="Verdana" w:eastAsia="Calibri" w:hAnsi="Verdana" w:cs="Arial"/>
                <w:color w:val="000000" w:themeColor="text1"/>
                <w:lang w:val="es-ES"/>
              </w:rPr>
              <w:t xml:space="preserve"> ilimitada. Cualquiera que sea la naturaleza que las partes les atribuyan, los descuentos deben corresponder estrictamente a lo pactado, por lo que resulta indispensable que las situaciones o eventos que puedan dar lugar a su aplicación se encuentren claramente definidos, delimitados y tipificados en los documentos contractuales, y que tales condiciones sean conocidas por el contratista desde la etapa precontractual, de manera que pueda evaluar adecuadamente los riesgos asociados, incorporarlos en su propuesta y asumirlos durante la ejecución. De lo contrario, su aplicación podría resultar desproporcionada y afectar la ecuación económica del contrato, en la medida en que se introducirían aspectos no previstos al momento de estructurar la oferta económica.</w:t>
            </w:r>
          </w:p>
          <w:p w14:paraId="28A5C694" w14:textId="77777777" w:rsidR="00DB2B86" w:rsidRPr="00ED6485" w:rsidRDefault="00DB2B86" w:rsidP="00B23CA7">
            <w:pPr>
              <w:spacing w:after="120" w:line="276" w:lineRule="auto"/>
              <w:ind w:firstLine="739"/>
              <w:jc w:val="both"/>
              <w:rPr>
                <w:rFonts w:ascii="Verdana" w:eastAsia="Calibri" w:hAnsi="Verdana" w:cs="Arial"/>
                <w:color w:val="000000" w:themeColor="text1"/>
                <w:lang w:val="es-ES"/>
              </w:rPr>
            </w:pPr>
            <w:r w:rsidRPr="00DF58ED">
              <w:rPr>
                <w:rFonts w:ascii="Verdana" w:eastAsia="Calibri" w:hAnsi="Verdana" w:cs="Arial"/>
                <w:color w:val="000000" w:themeColor="text1"/>
                <w:lang w:val="es-ES"/>
              </w:rPr>
              <w:t xml:space="preserve">En ese marco, constituyen límites de la autonomía de la voluntad los siguientes: i) las entidades no pueden pactar ANS de forma que encubran la imposición unilateral de sanciones, multas o cláusula penal sin el cumplimiento del debido proceso; </w:t>
            </w:r>
            <w:proofErr w:type="spellStart"/>
            <w:r w:rsidRPr="00DF58ED">
              <w:rPr>
                <w:rFonts w:ascii="Verdana" w:eastAsia="Calibri" w:hAnsi="Verdana" w:cs="Arial"/>
                <w:color w:val="000000" w:themeColor="text1"/>
                <w:lang w:val="es-ES"/>
              </w:rPr>
              <w:t>ii</w:t>
            </w:r>
            <w:proofErr w:type="spellEnd"/>
            <w:r w:rsidRPr="00DF58ED">
              <w:rPr>
                <w:rFonts w:ascii="Verdana" w:eastAsia="Calibri" w:hAnsi="Verdana" w:cs="Arial"/>
                <w:color w:val="000000" w:themeColor="text1"/>
                <w:lang w:val="es-ES"/>
              </w:rPr>
              <w:t xml:space="preserve">) en ningún caso la aplicación de los descuentos pactados puede desconocer el artículo 29 de la Constitución Política; </w:t>
            </w:r>
            <w:proofErr w:type="spellStart"/>
            <w:r w:rsidRPr="00DF58ED">
              <w:rPr>
                <w:rFonts w:ascii="Verdana" w:eastAsia="Calibri" w:hAnsi="Verdana" w:cs="Arial"/>
                <w:color w:val="000000" w:themeColor="text1"/>
                <w:lang w:val="es-ES"/>
              </w:rPr>
              <w:t>iii</w:t>
            </w:r>
            <w:proofErr w:type="spellEnd"/>
            <w:r w:rsidRPr="00DF58ED">
              <w:rPr>
                <w:rFonts w:ascii="Verdana" w:eastAsia="Calibri" w:hAnsi="Verdana" w:cs="Arial"/>
                <w:color w:val="000000" w:themeColor="text1"/>
                <w:lang w:val="es-ES"/>
              </w:rPr>
              <w:t xml:space="preserve">) los términos en que se pacte el ANS no pueden ser abusivos ni desproporcionados, de modo que deben atender criterios de razonabilidad y proporcionalidad, guardando una relación adecuada con el nivel de prestación del servicio; </w:t>
            </w:r>
            <w:proofErr w:type="spellStart"/>
            <w:r w:rsidRPr="00DF58ED">
              <w:rPr>
                <w:rFonts w:ascii="Verdana" w:eastAsia="Calibri" w:hAnsi="Verdana" w:cs="Arial"/>
                <w:color w:val="000000" w:themeColor="text1"/>
                <w:lang w:val="es-ES"/>
              </w:rPr>
              <w:t>iv</w:t>
            </w:r>
            <w:proofErr w:type="spellEnd"/>
            <w:r w:rsidRPr="00DF58ED">
              <w:rPr>
                <w:rFonts w:ascii="Verdana" w:eastAsia="Calibri" w:hAnsi="Verdana" w:cs="Arial"/>
                <w:color w:val="000000" w:themeColor="text1"/>
                <w:lang w:val="es-ES"/>
              </w:rPr>
              <w:t>) su aplicación no puede vaciar el derecho al pago de lo efectivamente ejecutado; y v) las estipulaciones no pueden incurrir en las causales de nulidad previstas en el artículo 44 de la Ley 80 de 1993.</w:t>
            </w:r>
          </w:p>
          <w:p w14:paraId="7ABFE63E" w14:textId="77777777" w:rsidR="00DB2B86" w:rsidRPr="00ED6485" w:rsidRDefault="00DB2B86" w:rsidP="00B23CA7">
            <w:pPr>
              <w:spacing w:after="120" w:line="276" w:lineRule="auto"/>
              <w:ind w:firstLine="739"/>
              <w:jc w:val="both"/>
              <w:rPr>
                <w:rFonts w:ascii="Verdana" w:eastAsia="Calibri" w:hAnsi="Verdana" w:cs="Arial"/>
                <w:color w:val="000000" w:themeColor="text1"/>
                <w:lang w:val="es-ES"/>
              </w:rPr>
            </w:pPr>
            <w:r w:rsidRPr="00DF58ED">
              <w:rPr>
                <w:rFonts w:ascii="Verdana" w:eastAsia="Calibri" w:hAnsi="Verdana" w:cs="Arial"/>
                <w:color w:val="000000" w:themeColor="text1"/>
                <w:lang w:val="es-ES"/>
              </w:rPr>
              <w:lastRenderedPageBreak/>
              <w:t>Finalmente, la verificación de estos presupuestos corresponde a la supervisión o interventoría, que en desarrollo del artículo 83 de la Ley 1474 de 2011 debe ejercer una vigilancia integral sobre la ejecución del contrato y evaluar de forma detallada su estado real, el cumplimiento de los términos pactados y los descuentos aplicables. El supervisor constata la ocurrencia del hecho generador en los términos establecidos en el contrato y verifica el monto conforme a la fórmula allí prevista, sin que pueda exonerar de obligaciones al contratista ni sustituir a la Entidad Estatal en la toma de decisiones. Por lo mismo, la posibilidad de aplicar los descuentos mediante mecanismos como la emisión de una nota crédito o la deducción del valor de la factura dependerá de las condiciones que hayan pactado las partes, sin que ello afecte la continuidad del contrato ni el derecho al pago por lo ejecutado, y sin perjuicio de la posterior liquidación de las obligaciones recíprocas. Estas funciones no recaen exclusivamente en la supervisión, pues conforme a los artículos 4, 14 y 26 de la Ley 80 de 1993 los jefes y representantes legales conservan el deber de dirección</w:t>
            </w:r>
            <w:r>
              <w:rPr>
                <w:rFonts w:ascii="Verdana" w:eastAsia="Calibri" w:hAnsi="Verdana" w:cs="Arial"/>
                <w:color w:val="000000" w:themeColor="text1"/>
                <w:lang w:val="es-ES"/>
              </w:rPr>
              <w:t xml:space="preserve"> y</w:t>
            </w:r>
            <w:r w:rsidRPr="00DF58ED">
              <w:rPr>
                <w:rFonts w:ascii="Verdana" w:eastAsia="Calibri" w:hAnsi="Verdana" w:cs="Arial"/>
                <w:color w:val="000000" w:themeColor="text1"/>
                <w:lang w:val="es-ES"/>
              </w:rPr>
              <w:t xml:space="preserve"> control</w:t>
            </w:r>
            <w:r>
              <w:rPr>
                <w:rFonts w:ascii="Verdana" w:eastAsia="Calibri" w:hAnsi="Verdana" w:cs="Arial"/>
                <w:color w:val="000000" w:themeColor="text1"/>
                <w:lang w:val="es-ES"/>
              </w:rPr>
              <w:t xml:space="preserve"> </w:t>
            </w:r>
            <w:r w:rsidRPr="00DF58ED">
              <w:rPr>
                <w:rFonts w:ascii="Verdana" w:eastAsia="Calibri" w:hAnsi="Verdana" w:cs="Arial"/>
                <w:color w:val="000000" w:themeColor="text1"/>
                <w:lang w:val="es-ES"/>
              </w:rPr>
              <w:t>de la actividad contractual, sin que la designación de supervisores o interventores los exonere de tales obligaciones.</w:t>
            </w:r>
          </w:p>
          <w:p w14:paraId="2EF0C77E" w14:textId="77777777" w:rsidR="00DB2B86" w:rsidRPr="00ED6485" w:rsidRDefault="00DB2B86" w:rsidP="00B23CA7">
            <w:pPr>
              <w:spacing w:after="120" w:line="276" w:lineRule="auto"/>
              <w:ind w:firstLine="73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Al </w:t>
            </w:r>
            <w:r w:rsidRPr="00ED6485">
              <w:rPr>
                <w:rFonts w:ascii="Verdana" w:hAnsi="Verdana" w:cs="Arial"/>
                <w:lang w:val="es-ES" w:eastAsia="es-ES"/>
              </w:rPr>
              <w:t>margen de la explicación precedente debe advertirse que el análisis requerido para resolver problemas específicos debe realizarse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6622070F" w14:textId="77777777" w:rsidR="00DB2B86" w:rsidRPr="00ED6485" w:rsidRDefault="00DB2B86" w:rsidP="00B23CA7">
            <w:pPr>
              <w:tabs>
                <w:tab w:val="left" w:pos="426"/>
              </w:tabs>
              <w:spacing w:after="120" w:line="276" w:lineRule="auto"/>
              <w:ind w:firstLine="709"/>
              <w:jc w:val="both"/>
              <w:rPr>
                <w:rFonts w:ascii="Verdana" w:eastAsia="Calibri" w:hAnsi="Verdana" w:cs="Times New Roman"/>
                <w:lang w:val="es-ES"/>
              </w:rPr>
            </w:pPr>
            <w:r w:rsidRPr="00ED6485">
              <w:rPr>
                <w:rFonts w:ascii="Verdana" w:hAnsi="Verdana" w:cs="Arial"/>
                <w:lang w:val="es-ES" w:eastAsia="es-ES"/>
              </w:rPr>
              <w:t xml:space="preserve">Dentro de este marco, la Entidad Estatal definirá en cada caso concreto lo relacionado con el tema objeto de consulta. Corresponde a estas adoptar la decisión que en derecho proceda respecto de la aplicación de los descuentos pactados, con fundamento en el acervo documental que obre en el expediente especifico. </w:t>
            </w:r>
            <w:r w:rsidRPr="00ED6485">
              <w:rPr>
                <w:rFonts w:ascii="Verdana" w:hAnsi="Verdana" w:cs="Arial"/>
                <w:color w:val="000000" w:themeColor="text1"/>
                <w:lang w:val="es-ES"/>
              </w:rPr>
              <w:t>Al tratarse de un análisis que debe realizarse en un procedimiento contractual específico, esta Agencia no puede definir un criterio universal y absoluto por vía consultiva, sino que brinda elementos de carácter general para que</w:t>
            </w:r>
            <w:r w:rsidRPr="00ED6485">
              <w:rPr>
                <w:rFonts w:ascii="Verdana" w:eastAsia="Calibri" w:hAnsi="Verdana" w:cs="Times New Roman"/>
                <w:lang w:val="es-ES"/>
              </w:rPr>
              <w:t xml:space="preserve"> los partícipes del Sistema de Compras y Contratación Pública adopten la decisión que corresponda, lo cual es acorde con el principio de juridicidad. </w:t>
            </w:r>
            <w:r w:rsidRPr="00ED6485">
              <w:rPr>
                <w:rFonts w:ascii="Verdana" w:eastAsia="Calibri" w:hAnsi="Verdana" w:cs="Times New Roman"/>
                <w:lang w:val="es-ES"/>
              </w:rPr>
              <w:lastRenderedPageBreak/>
              <w:t>Así, cada entidad definirá la forma de adelantar su gestión contractual, sin que sea atribución de la Agencia Nacional de Contratación Pública – Colombia Compra Eficiente validar sus actuaciones.</w:t>
            </w:r>
          </w:p>
        </w:tc>
      </w:tr>
    </w:tbl>
    <w:p w14:paraId="3B37227D" w14:textId="77777777" w:rsidR="00DB2B86" w:rsidRPr="00ED6485" w:rsidRDefault="00DB2B86" w:rsidP="00DB2B86">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4D32E5E2" w14:textId="77777777" w:rsidR="00DB2B86" w:rsidRPr="00ED6485" w:rsidRDefault="00DB2B86" w:rsidP="00DB2B8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Razones de la respuesta:</w:t>
      </w:r>
    </w:p>
    <w:p w14:paraId="34A9EC17" w14:textId="77777777" w:rsidR="00DB2B86" w:rsidRPr="00ED6485" w:rsidRDefault="00DB2B86" w:rsidP="00DB2B86">
      <w:pPr>
        <w:spacing w:after="0" w:line="276" w:lineRule="auto"/>
        <w:jc w:val="both"/>
        <w:rPr>
          <w:rFonts w:ascii="Verdana" w:eastAsia="Calibri" w:hAnsi="Verdana" w:cs="Arial"/>
          <w:color w:val="000000" w:themeColor="text1"/>
          <w:lang w:val="es-ES"/>
        </w:rPr>
      </w:pPr>
    </w:p>
    <w:p w14:paraId="75D2F1CA" w14:textId="77777777" w:rsidR="00DB2B86" w:rsidRPr="00ED6485" w:rsidRDefault="00DB2B86" w:rsidP="00DB2B86">
      <w:pPr>
        <w:spacing w:after="0" w:line="276" w:lineRule="auto"/>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Lo anterior se sustenta en las siguientes consideraciones: </w:t>
      </w:r>
    </w:p>
    <w:p w14:paraId="3892BE81" w14:textId="77777777" w:rsidR="00DB2B86" w:rsidRPr="00ED6485" w:rsidRDefault="00DB2B86" w:rsidP="00DB2B86">
      <w:pPr>
        <w:spacing w:after="0" w:line="276" w:lineRule="auto"/>
        <w:jc w:val="both"/>
        <w:rPr>
          <w:rFonts w:ascii="Verdana" w:eastAsia="Calibri" w:hAnsi="Verdana" w:cs="Arial"/>
          <w:lang w:val="es-ES"/>
        </w:rPr>
      </w:pPr>
    </w:p>
    <w:p w14:paraId="70A338E5" w14:textId="77777777" w:rsidR="00DB2B86" w:rsidRPr="00ED6485" w:rsidRDefault="00DB2B86" w:rsidP="00DB2B86">
      <w:pPr>
        <w:tabs>
          <w:tab w:val="left" w:pos="0"/>
        </w:tabs>
        <w:spacing w:before="120" w:after="0" w:line="276" w:lineRule="auto"/>
        <w:ind w:right="191"/>
        <w:jc w:val="both"/>
        <w:rPr>
          <w:rFonts w:ascii="Verdana" w:hAnsi="Verdana" w:cs="Arial"/>
          <w:color w:val="000000" w:themeColor="text1"/>
          <w:lang w:val="es-ES"/>
        </w:rPr>
      </w:pPr>
      <w:r w:rsidRPr="00ED6485">
        <w:rPr>
          <w:rFonts w:ascii="Verdana" w:hAnsi="Verdana" w:cs="Arial"/>
          <w:lang w:val="es-ES"/>
        </w:rPr>
        <w:t xml:space="preserve">i. </w:t>
      </w:r>
      <w:r w:rsidRPr="00ED6485">
        <w:rPr>
          <w:rFonts w:ascii="Verdana" w:hAnsi="Verdana" w:cs="Arial"/>
          <w:color w:val="000000" w:themeColor="text1"/>
          <w:lang w:val="es-ES"/>
        </w:rPr>
        <w:t xml:space="preserve">Teniendo en cuenta que la consulta se refiere a descuentos económicos al contratista por la afectación en la calidad o cantidad de los bienes y servicios suministrados, resulta pertinente realizar algunas precisiones sobre los acuerdos de niveles de servicios –en adelante, ANS–. </w:t>
      </w:r>
    </w:p>
    <w:p w14:paraId="40CAA7D2" w14:textId="77777777" w:rsidR="00DB2B86" w:rsidRPr="00ED6485" w:rsidRDefault="00DB2B86" w:rsidP="00DB2B86">
      <w:pPr>
        <w:tabs>
          <w:tab w:val="left" w:pos="0"/>
        </w:tabs>
        <w:spacing w:before="120" w:after="120" w:line="276" w:lineRule="auto"/>
        <w:ind w:right="191"/>
        <w:jc w:val="both"/>
        <w:rPr>
          <w:rFonts w:ascii="Verdana" w:hAnsi="Verdana" w:cs="Arial"/>
          <w:color w:val="000000" w:themeColor="text1"/>
          <w:lang w:val="es-ES"/>
        </w:rPr>
      </w:pPr>
      <w:r w:rsidRPr="00ED6485">
        <w:rPr>
          <w:rFonts w:ascii="Verdana" w:hAnsi="Verdana" w:cs="Arial"/>
          <w:color w:val="000000" w:themeColor="text1"/>
          <w:lang w:val="es-ES"/>
        </w:rPr>
        <w:tab/>
      </w:r>
      <w:r w:rsidRPr="00ED6485">
        <w:rPr>
          <w:rFonts w:ascii="Verdana" w:eastAsia="Calibri" w:hAnsi="Verdana" w:cs="Arial"/>
          <w:color w:val="000000"/>
          <w:szCs w:val="24"/>
          <w:lang w:val="es-ES" w:eastAsia="es-ES_tradnl"/>
        </w:rPr>
        <w:t xml:space="preserve">Los acuerdos de niveles de servicio –ANS–, también conocidos como </w:t>
      </w:r>
      <w:r w:rsidRPr="00ED6485">
        <w:rPr>
          <w:rFonts w:ascii="Verdana" w:eastAsia="Calibri" w:hAnsi="Verdana" w:cs="Arial"/>
          <w:i/>
          <w:iCs/>
          <w:color w:val="000000"/>
          <w:szCs w:val="24"/>
          <w:lang w:val="es-ES" w:eastAsia="es-ES_tradnl"/>
        </w:rPr>
        <w:t xml:space="preserve">Service Level </w:t>
      </w:r>
      <w:proofErr w:type="spellStart"/>
      <w:r w:rsidRPr="00ED6485">
        <w:rPr>
          <w:rFonts w:ascii="Verdana" w:eastAsia="Calibri" w:hAnsi="Verdana" w:cs="Arial"/>
          <w:i/>
          <w:iCs/>
          <w:color w:val="000000"/>
          <w:szCs w:val="24"/>
          <w:lang w:val="es-ES" w:eastAsia="es-ES_tradnl"/>
        </w:rPr>
        <w:t>Agreements</w:t>
      </w:r>
      <w:proofErr w:type="spellEnd"/>
      <w:r w:rsidRPr="00ED6485">
        <w:rPr>
          <w:rStyle w:val="Refdenotaalpie"/>
          <w:rFonts w:ascii="Verdana" w:eastAsia="Calibri" w:hAnsi="Verdana" w:cs="Arial"/>
          <w:color w:val="000000"/>
          <w:szCs w:val="24"/>
          <w:lang w:val="es-ES" w:eastAsia="es-ES_tradnl"/>
        </w:rPr>
        <w:footnoteReference w:id="5"/>
      </w:r>
      <w:r w:rsidRPr="00ED6485">
        <w:rPr>
          <w:rFonts w:ascii="Verdana" w:eastAsia="Calibri" w:hAnsi="Verdana" w:cs="Arial"/>
          <w:color w:val="000000"/>
          <w:szCs w:val="24"/>
          <w:lang w:val="es-ES" w:eastAsia="es-ES_tradnl"/>
        </w:rPr>
        <w:t xml:space="preserve"> –SLA– en inglés, son contratos o acuerdos que se establecen para definir los niveles de calidad y desempeño del servicio que una de las partes se compromete a ofrecer a la otra, y a la vez, es considerado en la doctrina internacional como acuerdos que permiten regular el </w:t>
      </w:r>
      <w:r w:rsidRPr="00ED6485">
        <w:rPr>
          <w:rFonts w:ascii="Verdana" w:eastAsia="Calibri" w:hAnsi="Verdana" w:cs="Arial"/>
          <w:color w:val="000000" w:themeColor="text1"/>
          <w:lang w:val="es-ES"/>
        </w:rPr>
        <w:t>«incumplimiento tolerado» de algunas obligaciones asumidas por una de las partes en la prestación de un servicio</w:t>
      </w:r>
      <w:r w:rsidRPr="00ED6485">
        <w:rPr>
          <w:rStyle w:val="Refdenotaalpie"/>
          <w:rFonts w:ascii="Verdana" w:eastAsia="Calibri" w:hAnsi="Verdana" w:cs="Arial"/>
          <w:color w:val="000000" w:themeColor="text1"/>
          <w:lang w:val="es-ES"/>
        </w:rPr>
        <w:footnoteReference w:id="6"/>
      </w:r>
      <w:r w:rsidRPr="00ED6485">
        <w:rPr>
          <w:rFonts w:ascii="Verdana" w:eastAsia="Calibri" w:hAnsi="Verdana" w:cs="Arial"/>
          <w:color w:val="000000" w:themeColor="text1"/>
          <w:lang w:val="es-ES"/>
        </w:rPr>
        <w:t>.</w:t>
      </w:r>
    </w:p>
    <w:p w14:paraId="3994FC3B" w14:textId="77777777" w:rsidR="00DB2B86" w:rsidRPr="00ED6485" w:rsidRDefault="00DB2B86" w:rsidP="00DB2B86">
      <w:pPr>
        <w:spacing w:before="120" w:after="120" w:line="276" w:lineRule="auto"/>
        <w:ind w:firstLine="709"/>
        <w:jc w:val="both"/>
        <w:rPr>
          <w:rFonts w:ascii="Verdana" w:eastAsia="Calibri" w:hAnsi="Verdana" w:cs="Arial"/>
          <w:color w:val="000000"/>
          <w:szCs w:val="24"/>
          <w:lang w:val="es-ES" w:eastAsia="es-ES_tradnl"/>
        </w:rPr>
      </w:pPr>
      <w:r w:rsidRPr="00ED6485">
        <w:rPr>
          <w:rFonts w:ascii="Verdana" w:eastAsia="Calibri" w:hAnsi="Verdana" w:cs="Arial"/>
          <w:color w:val="000000"/>
          <w:szCs w:val="24"/>
          <w:lang w:val="es-ES" w:eastAsia="es-ES_tradnl"/>
        </w:rPr>
        <w:t>Comúnmente l</w:t>
      </w:r>
      <w:r>
        <w:rPr>
          <w:rFonts w:ascii="Verdana" w:eastAsia="Calibri" w:hAnsi="Verdana" w:cs="Arial"/>
          <w:color w:val="000000"/>
          <w:szCs w:val="24"/>
          <w:lang w:val="es-ES" w:eastAsia="es-ES_tradnl"/>
        </w:rPr>
        <w:t>o</w:t>
      </w:r>
      <w:r w:rsidRPr="00ED6485">
        <w:rPr>
          <w:rFonts w:ascii="Verdana" w:eastAsia="Calibri" w:hAnsi="Verdana" w:cs="Arial"/>
          <w:color w:val="000000"/>
          <w:szCs w:val="24"/>
          <w:lang w:val="es-ES" w:eastAsia="es-ES_tradnl"/>
        </w:rPr>
        <w:t>s ANS se pactan en la prestación de servicios complejos los cuales por su contenido técnico exigen que todos los aspectos relevantes del servicio sean incluidos sobre la base de un acuerdo, que permitan ser ajustados a cualquier clase de negocio, independientemente de la naturaleza del mismo y, por lo tanto, del servicio contratado.</w:t>
      </w:r>
      <w:r w:rsidRPr="00ED6485">
        <w:rPr>
          <w:rStyle w:val="Refdenotaalpie"/>
          <w:rFonts w:ascii="Verdana" w:eastAsia="Calibri" w:hAnsi="Verdana" w:cs="Arial"/>
          <w:color w:val="000000"/>
          <w:szCs w:val="24"/>
          <w:lang w:val="es-ES" w:eastAsia="es-ES_tradnl"/>
        </w:rPr>
        <w:footnoteReference w:id="7"/>
      </w:r>
      <w:r w:rsidRPr="00ED6485">
        <w:rPr>
          <w:rFonts w:ascii="Verdana" w:eastAsia="Calibri" w:hAnsi="Verdana" w:cs="Arial"/>
          <w:color w:val="000000"/>
          <w:szCs w:val="24"/>
          <w:lang w:val="es-ES" w:eastAsia="es-ES_tradnl"/>
        </w:rPr>
        <w:t xml:space="preserve"> Los ANS son comunes en el ámbito de la tecnología de la información –TI–, donde se utilizan para definir los niveles de servicio que se compromete a ofrecer un proveedor de servicios de TI, pero en los últimos años se ha aplicado en otros sectores y áreas de negocios.</w:t>
      </w:r>
    </w:p>
    <w:p w14:paraId="239D2E37" w14:textId="77777777" w:rsidR="00DB2B86" w:rsidRPr="00ED6485" w:rsidRDefault="00DB2B86" w:rsidP="00DB2B86">
      <w:pPr>
        <w:spacing w:before="120" w:after="120" w:line="276" w:lineRule="auto"/>
        <w:ind w:firstLine="709"/>
        <w:jc w:val="both"/>
        <w:rPr>
          <w:rFonts w:ascii="Verdana" w:eastAsia="Calibri" w:hAnsi="Verdana" w:cs="Arial"/>
          <w:color w:val="000000"/>
          <w:szCs w:val="24"/>
          <w:lang w:val="es-ES" w:eastAsia="es-ES_tradnl"/>
        </w:rPr>
      </w:pPr>
      <w:r w:rsidRPr="00ED6485">
        <w:rPr>
          <w:rFonts w:ascii="Verdana" w:eastAsia="Calibri" w:hAnsi="Verdana" w:cs="Arial"/>
          <w:color w:val="000000"/>
          <w:szCs w:val="24"/>
          <w:lang w:val="es-ES" w:eastAsia="es-ES_tradnl"/>
        </w:rPr>
        <w:lastRenderedPageBreak/>
        <w:t>Con respecto a la importancia de los ANS existen autores que consideran que su valor radica en la función que cumple en el aseguramiento, desde la entrega de la totalidad del valor del servicio hasta el cumplimiento de estándares de calidad. Más aún cuando en la actualidad se exigen servicios que garanticen niveles de rendimiento específicos</w:t>
      </w:r>
      <w:r w:rsidRPr="00ED6485">
        <w:rPr>
          <w:rStyle w:val="Refdenotaalpie"/>
          <w:rFonts w:ascii="Verdana" w:eastAsia="Calibri" w:hAnsi="Verdana" w:cs="Arial"/>
          <w:color w:val="000000"/>
          <w:szCs w:val="24"/>
          <w:lang w:val="es-ES" w:eastAsia="es-ES_tradnl"/>
        </w:rPr>
        <w:footnoteReference w:id="8"/>
      </w:r>
      <w:r w:rsidRPr="00ED6485">
        <w:rPr>
          <w:rFonts w:ascii="Verdana" w:eastAsia="Calibri" w:hAnsi="Verdana" w:cs="Arial"/>
          <w:color w:val="000000"/>
          <w:szCs w:val="24"/>
          <w:lang w:val="es-ES" w:eastAsia="es-ES_tradnl"/>
        </w:rPr>
        <w:t>. En ese sentido, los ANS son una herramienta utilizada para medir y controlar la calidad de los servicios prestados por el contratista, y se establecen en el contrato como una forma de garantizar que el contratista cumpla con las expectativas del contratante.</w:t>
      </w:r>
    </w:p>
    <w:p w14:paraId="6002B218" w14:textId="77777777" w:rsidR="00DB2B86" w:rsidRPr="00ED6485" w:rsidRDefault="00DB2B86" w:rsidP="00DB2B86">
      <w:pPr>
        <w:spacing w:before="120" w:after="120" w:line="276" w:lineRule="auto"/>
        <w:ind w:firstLine="709"/>
        <w:jc w:val="both"/>
        <w:rPr>
          <w:rFonts w:ascii="Verdana" w:eastAsia="Times New Roman" w:hAnsi="Verdana" w:cs="Arial"/>
          <w:iCs/>
          <w:color w:val="000000"/>
          <w:szCs w:val="24"/>
          <w:lang w:val="es-ES" w:eastAsia="es-ES_tradnl"/>
        </w:rPr>
      </w:pPr>
      <w:r w:rsidRPr="00ED6485">
        <w:rPr>
          <w:rFonts w:ascii="Verdana" w:hAnsi="Verdana" w:cs="Arial"/>
          <w:lang w:val="es-ES"/>
        </w:rPr>
        <w:t xml:space="preserve">En este marco, </w:t>
      </w:r>
      <w:r w:rsidRPr="00ED6485">
        <w:rPr>
          <w:rFonts w:ascii="Verdana" w:eastAsia="Times New Roman" w:hAnsi="Verdana" w:cs="Arial"/>
          <w:iCs/>
          <w:color w:val="000000"/>
          <w:szCs w:val="24"/>
          <w:lang w:val="es-ES" w:eastAsia="es-ES_tradnl"/>
        </w:rPr>
        <w:t xml:space="preserve">los ANS son acuerdos accesorios, innominados, onerosos y conmutativos; i) accesorios, porque su objeto es la regulación del cumplimiento de un servicio como derivado de un negocio principal; </w:t>
      </w:r>
      <w:proofErr w:type="spellStart"/>
      <w:r w:rsidRPr="00ED6485">
        <w:rPr>
          <w:rFonts w:ascii="Verdana" w:eastAsia="Times New Roman" w:hAnsi="Verdana" w:cs="Arial"/>
          <w:iCs/>
          <w:color w:val="000000"/>
          <w:szCs w:val="24"/>
          <w:lang w:val="es-ES" w:eastAsia="es-ES_tradnl"/>
        </w:rPr>
        <w:t>ii</w:t>
      </w:r>
      <w:proofErr w:type="spellEnd"/>
      <w:r w:rsidRPr="00ED6485">
        <w:rPr>
          <w:rFonts w:ascii="Verdana" w:eastAsia="Times New Roman" w:hAnsi="Verdana" w:cs="Arial"/>
          <w:iCs/>
          <w:color w:val="000000"/>
          <w:szCs w:val="24"/>
          <w:lang w:val="es-ES" w:eastAsia="es-ES_tradnl"/>
        </w:rPr>
        <w:t>) Innominados, dado que no se encuentran previsto</w:t>
      </w:r>
      <w:r>
        <w:rPr>
          <w:rFonts w:ascii="Verdana" w:eastAsia="Times New Roman" w:hAnsi="Verdana" w:cs="Arial"/>
          <w:iCs/>
          <w:color w:val="000000"/>
          <w:szCs w:val="24"/>
          <w:lang w:val="es-ES" w:eastAsia="es-ES_tradnl"/>
        </w:rPr>
        <w:t>s</w:t>
      </w:r>
      <w:r w:rsidRPr="00ED6485">
        <w:rPr>
          <w:rFonts w:ascii="Verdana" w:eastAsia="Times New Roman" w:hAnsi="Verdana" w:cs="Arial"/>
          <w:iCs/>
          <w:color w:val="000000"/>
          <w:szCs w:val="24"/>
          <w:lang w:val="es-ES" w:eastAsia="es-ES_tradnl"/>
        </w:rPr>
        <w:t xml:space="preserve"> expresamente en nuestra legislación y, debido a sus particulares características, tampoco existe un contrato análogo al cual recurrir para su interpretación; </w:t>
      </w:r>
      <w:proofErr w:type="spellStart"/>
      <w:r w:rsidRPr="00ED6485">
        <w:rPr>
          <w:rFonts w:ascii="Verdana" w:eastAsia="Times New Roman" w:hAnsi="Verdana" w:cs="Arial"/>
          <w:iCs/>
          <w:color w:val="000000"/>
          <w:szCs w:val="24"/>
          <w:lang w:val="es-ES" w:eastAsia="es-ES_tradnl"/>
        </w:rPr>
        <w:t>iii</w:t>
      </w:r>
      <w:proofErr w:type="spellEnd"/>
      <w:r w:rsidRPr="00ED6485">
        <w:rPr>
          <w:rFonts w:ascii="Verdana" w:eastAsia="Times New Roman" w:hAnsi="Verdana" w:cs="Arial"/>
          <w:iCs/>
          <w:color w:val="000000"/>
          <w:szCs w:val="24"/>
          <w:lang w:val="es-ES" w:eastAsia="es-ES_tradnl"/>
        </w:rPr>
        <w:t xml:space="preserve">) Onerosos, dado que su pacto busca </w:t>
      </w:r>
      <w:r>
        <w:rPr>
          <w:rFonts w:ascii="Verdana" w:eastAsia="Times New Roman" w:hAnsi="Verdana" w:cs="Arial"/>
          <w:iCs/>
          <w:color w:val="000000"/>
          <w:szCs w:val="24"/>
          <w:lang w:val="es-ES" w:eastAsia="es-ES_tradnl"/>
        </w:rPr>
        <w:t xml:space="preserve">que </w:t>
      </w:r>
      <w:r w:rsidRPr="00ED6485">
        <w:rPr>
          <w:rFonts w:ascii="Verdana" w:eastAsia="Times New Roman" w:hAnsi="Verdana" w:cs="Arial"/>
          <w:iCs/>
          <w:color w:val="000000"/>
          <w:szCs w:val="24"/>
          <w:lang w:val="es-ES" w:eastAsia="es-ES_tradnl"/>
        </w:rPr>
        <w:t xml:space="preserve">ambas partes obtengan ventajas con un correlativo sacrificio; y </w:t>
      </w:r>
      <w:proofErr w:type="spellStart"/>
      <w:r w:rsidRPr="00ED6485">
        <w:rPr>
          <w:rFonts w:ascii="Verdana" w:eastAsia="Times New Roman" w:hAnsi="Verdana" w:cs="Arial"/>
          <w:iCs/>
          <w:color w:val="000000"/>
          <w:szCs w:val="24"/>
          <w:lang w:val="es-ES" w:eastAsia="es-ES_tradnl"/>
        </w:rPr>
        <w:t>iv</w:t>
      </w:r>
      <w:proofErr w:type="spellEnd"/>
      <w:r w:rsidRPr="00ED6485">
        <w:rPr>
          <w:rFonts w:ascii="Verdana" w:eastAsia="Times New Roman" w:hAnsi="Verdana" w:cs="Arial"/>
          <w:iCs/>
          <w:color w:val="000000"/>
          <w:szCs w:val="24"/>
          <w:lang w:val="es-ES" w:eastAsia="es-ES_tradnl"/>
        </w:rPr>
        <w:t xml:space="preserve">) Conmutativos por </w:t>
      </w:r>
      <w:r>
        <w:rPr>
          <w:rFonts w:ascii="Verdana" w:eastAsia="Times New Roman" w:hAnsi="Verdana" w:cs="Arial"/>
          <w:iCs/>
          <w:color w:val="000000"/>
          <w:szCs w:val="24"/>
          <w:lang w:val="es-ES" w:eastAsia="es-ES_tradnl"/>
        </w:rPr>
        <w:t xml:space="preserve">la </w:t>
      </w:r>
      <w:r w:rsidRPr="00ED6485">
        <w:rPr>
          <w:rFonts w:ascii="Verdana" w:eastAsia="Times New Roman" w:hAnsi="Verdana" w:cs="Arial"/>
          <w:iCs/>
          <w:color w:val="000000"/>
          <w:szCs w:val="24"/>
          <w:lang w:val="es-ES" w:eastAsia="es-ES_tradnl"/>
        </w:rPr>
        <w:t>existencia de ventajas y sacrificios correlativos entre las partes.</w:t>
      </w:r>
    </w:p>
    <w:p w14:paraId="627732CF" w14:textId="77777777" w:rsidR="00DB2B86" w:rsidRPr="00ED6485" w:rsidRDefault="00DB2B86" w:rsidP="00DB2B86">
      <w:pPr>
        <w:spacing w:before="120" w:after="120" w:line="276" w:lineRule="auto"/>
        <w:ind w:firstLine="709"/>
        <w:jc w:val="both"/>
        <w:rPr>
          <w:rFonts w:ascii="Verdana" w:eastAsia="Times New Roman" w:hAnsi="Verdana" w:cs="Arial"/>
          <w:iCs/>
          <w:color w:val="000000"/>
          <w:szCs w:val="24"/>
          <w:lang w:val="es-ES" w:eastAsia="es-ES_tradnl"/>
        </w:rPr>
      </w:pPr>
      <w:r w:rsidRPr="00ED6485">
        <w:rPr>
          <w:rFonts w:ascii="Verdana" w:eastAsia="Calibri" w:hAnsi="Verdana" w:cs="Arial"/>
          <w:color w:val="000000"/>
          <w:szCs w:val="24"/>
          <w:lang w:val="es-ES" w:eastAsia="es-ES_tradnl"/>
        </w:rPr>
        <w:t>En cuanto a la naturaleza jurídica de las obligaciones contraídas en los ANS, dependerá del acuerdo de voluntad</w:t>
      </w:r>
      <w:r>
        <w:rPr>
          <w:rFonts w:ascii="Verdana" w:eastAsia="Calibri" w:hAnsi="Verdana" w:cs="Arial"/>
          <w:color w:val="000000"/>
          <w:szCs w:val="24"/>
          <w:lang w:val="es-ES" w:eastAsia="es-ES_tradnl"/>
        </w:rPr>
        <w:t>es</w:t>
      </w:r>
      <w:r w:rsidRPr="00ED6485">
        <w:rPr>
          <w:rFonts w:ascii="Verdana" w:eastAsia="Calibri" w:hAnsi="Verdana" w:cs="Arial"/>
          <w:color w:val="000000"/>
          <w:szCs w:val="24"/>
          <w:lang w:val="es-ES" w:eastAsia="es-ES_tradnl"/>
        </w:rPr>
        <w:t xml:space="preserve"> de las partes, pues bien pueden pactarse como una obligación contractual de medios, es decir, una obligación de hacer todo lo necesario para cumplir con los niveles de servicio acordados.</w:t>
      </w:r>
      <w:r w:rsidRPr="00ED6485">
        <w:rPr>
          <w:rFonts w:ascii="Verdana" w:eastAsia="Times New Roman" w:hAnsi="Verdana" w:cs="Arial"/>
          <w:iCs/>
          <w:color w:val="000000"/>
          <w:szCs w:val="24"/>
          <w:lang w:val="es-ES" w:eastAsia="es-ES_tradnl"/>
        </w:rPr>
        <w:t xml:space="preserve"> Pero en principio, es común ver que el contenido de las obligaciones de los ANS sea de resultado, pues el contratista proveedor de servicios se compromete a cumplir con los niveles de servicio acordados y a garantizar el resultado específico establecido en el contrato en términos de calidad, tiempo, disponibilidad, entre otros aspectos.</w:t>
      </w:r>
    </w:p>
    <w:p w14:paraId="11E52537" w14:textId="77777777" w:rsidR="00DB2B86" w:rsidRPr="00ED6485" w:rsidRDefault="00DB2B86" w:rsidP="00DB2B86">
      <w:pPr>
        <w:spacing w:before="120" w:after="120" w:line="276" w:lineRule="auto"/>
        <w:ind w:firstLine="709"/>
        <w:jc w:val="both"/>
        <w:rPr>
          <w:rFonts w:ascii="Verdana" w:eastAsia="Times New Roman" w:hAnsi="Verdana" w:cs="Arial"/>
          <w:iCs/>
          <w:color w:val="000000"/>
          <w:szCs w:val="24"/>
          <w:highlight w:val="yellow"/>
          <w:lang w:val="es-ES" w:eastAsia="es-ES_tradnl"/>
        </w:rPr>
      </w:pPr>
      <w:r w:rsidRPr="00ED6485">
        <w:rPr>
          <w:rFonts w:ascii="Verdana" w:eastAsia="Times New Roman" w:hAnsi="Verdana" w:cs="Arial"/>
          <w:iCs/>
          <w:color w:val="000000"/>
          <w:szCs w:val="24"/>
          <w:lang w:val="es-ES" w:eastAsia="es-ES_tradnl"/>
        </w:rPr>
        <w:lastRenderedPageBreak/>
        <w:t xml:space="preserve">Sobre su aplicación en el marco jurídico de la contratación </w:t>
      </w:r>
      <w:proofErr w:type="gramStart"/>
      <w:r w:rsidRPr="00ED6485">
        <w:rPr>
          <w:rFonts w:ascii="Verdana" w:eastAsia="Times New Roman" w:hAnsi="Verdana" w:cs="Arial"/>
          <w:iCs/>
          <w:color w:val="000000"/>
          <w:szCs w:val="24"/>
          <w:lang w:val="es-ES" w:eastAsia="es-ES_tradnl"/>
        </w:rPr>
        <w:t>estatal,  n</w:t>
      </w:r>
      <w:r w:rsidRPr="00ED6485">
        <w:rPr>
          <w:rFonts w:ascii="Verdana" w:eastAsia="Calibri" w:hAnsi="Verdana" w:cs="Arial"/>
          <w:color w:val="000000"/>
          <w:lang w:val="es-ES" w:eastAsia="es-ES"/>
        </w:rPr>
        <w:t>i</w:t>
      </w:r>
      <w:proofErr w:type="gramEnd"/>
      <w:r w:rsidRPr="00ED6485">
        <w:rPr>
          <w:rFonts w:ascii="Verdana" w:eastAsia="Calibri" w:hAnsi="Verdana" w:cs="Arial"/>
          <w:color w:val="000000"/>
          <w:lang w:val="es-ES" w:eastAsia="es-ES"/>
        </w:rPr>
        <w:t xml:space="preserve"> el Estatuto General de Contratación de la Administración Pública </w:t>
      </w:r>
      <w:r w:rsidRPr="00ED6485">
        <w:rPr>
          <w:rFonts w:ascii="Verdana" w:hAnsi="Verdana" w:cs="Arial"/>
          <w:color w:val="000000" w:themeColor="text1"/>
          <w:lang w:val="es-ES"/>
        </w:rPr>
        <w:t>–en adelante, EGCAP–</w:t>
      </w:r>
      <w:r w:rsidRPr="00ED6485">
        <w:rPr>
          <w:rFonts w:ascii="Verdana" w:eastAsia="Calibri" w:hAnsi="Verdana" w:cs="Arial"/>
          <w:color w:val="000000"/>
          <w:lang w:val="es-ES" w:eastAsia="es-ES"/>
        </w:rPr>
        <w:t xml:space="preserve"> ni sus normas complementarias y reglamentarias regulan expresamente los ANS, ni brindan a las Entidades Estatales la competencia para efectuar descuentos </w:t>
      </w:r>
      <w:r w:rsidRPr="00ED6485">
        <w:rPr>
          <w:rFonts w:ascii="Verdana" w:eastAsia="Calibri" w:hAnsi="Verdana" w:cs="Arial"/>
          <w:i/>
          <w:color w:val="000000"/>
          <w:lang w:val="es-ES" w:eastAsia="es-ES"/>
        </w:rPr>
        <w:t>de plano</w:t>
      </w:r>
      <w:r w:rsidRPr="00ED6485">
        <w:rPr>
          <w:rFonts w:ascii="Verdana" w:eastAsia="Calibri" w:hAnsi="Verdana" w:cs="Arial"/>
          <w:color w:val="000000"/>
          <w:lang w:val="es-ES" w:eastAsia="es-ES"/>
        </w:rPr>
        <w:t xml:space="preserve"> de sumas de dinero al contratista por el incumplimiento de los hitos contractuales o compromisos acordados en el contrato. La referencia más cercana a lo anterior se encuentra en el régimen de las Asociaciones </w:t>
      </w:r>
      <w:proofErr w:type="gramStart"/>
      <w:r w:rsidRPr="00ED6485">
        <w:rPr>
          <w:rFonts w:ascii="Verdana" w:eastAsia="Calibri" w:hAnsi="Verdana" w:cs="Arial"/>
          <w:color w:val="000000"/>
          <w:lang w:val="es-ES" w:eastAsia="es-ES"/>
        </w:rPr>
        <w:t>Público Privadas</w:t>
      </w:r>
      <w:proofErr w:type="gramEnd"/>
      <w:r w:rsidRPr="00ED6485">
        <w:rPr>
          <w:rFonts w:ascii="Verdana" w:eastAsia="Calibri" w:hAnsi="Verdana" w:cs="Arial"/>
          <w:color w:val="000000"/>
          <w:lang w:val="es-ES" w:eastAsia="es-ES"/>
        </w:rPr>
        <w:t xml:space="preserve"> (APP), que sí establece los “niveles de servicio” como una condición de retribución</w:t>
      </w:r>
      <w:r w:rsidRPr="00ED6485">
        <w:rPr>
          <w:rStyle w:val="Refdenotaalpie"/>
          <w:rFonts w:ascii="Verdana" w:eastAsia="Calibri" w:hAnsi="Verdana" w:cs="Arial"/>
          <w:color w:val="000000"/>
          <w:lang w:val="es-ES" w:eastAsia="es-ES"/>
        </w:rPr>
        <w:footnoteReference w:id="9"/>
      </w:r>
      <w:r w:rsidRPr="00ED6485">
        <w:rPr>
          <w:rFonts w:ascii="Verdana" w:eastAsia="Calibri" w:hAnsi="Verdana" w:cs="Arial"/>
          <w:color w:val="000000"/>
          <w:lang w:val="es-ES" w:eastAsia="es-ES"/>
        </w:rPr>
        <w:t xml:space="preserve"> e incluso permite efectuar ciertos descuentos por este concepto</w:t>
      </w:r>
      <w:r w:rsidRPr="00ED6485">
        <w:rPr>
          <w:rStyle w:val="Refdenotaalpie"/>
          <w:rFonts w:ascii="Verdana" w:eastAsia="Calibri" w:hAnsi="Verdana" w:cs="Arial"/>
          <w:color w:val="000000"/>
          <w:lang w:val="es-ES" w:eastAsia="es-ES"/>
        </w:rPr>
        <w:footnoteReference w:id="10"/>
      </w:r>
      <w:r w:rsidRPr="00ED6485">
        <w:rPr>
          <w:rFonts w:ascii="Verdana" w:eastAsia="Calibri" w:hAnsi="Verdana" w:cs="Arial"/>
          <w:color w:val="000000"/>
          <w:lang w:val="es-ES" w:eastAsia="es-ES"/>
        </w:rPr>
        <w:t xml:space="preserve">. Pero, como se sabe, este es un régimen que aplica solo a los contratos de APP. Por tanto, para los demás contratos estatales los acuerdos de niveles de servicios constituyen una figura </w:t>
      </w:r>
      <w:r w:rsidRPr="00ED6485">
        <w:rPr>
          <w:rFonts w:ascii="Verdana" w:eastAsia="Calibri" w:hAnsi="Verdana" w:cs="Arial"/>
          <w:i/>
          <w:color w:val="000000"/>
          <w:lang w:val="es-ES" w:eastAsia="es-ES"/>
        </w:rPr>
        <w:t>atípica</w:t>
      </w:r>
      <w:r w:rsidRPr="00ED6485">
        <w:rPr>
          <w:rFonts w:ascii="Verdana" w:eastAsia="Calibri" w:hAnsi="Verdana" w:cs="Arial"/>
          <w:color w:val="000000"/>
          <w:lang w:val="es-ES" w:eastAsia="es-ES"/>
        </w:rPr>
        <w:t>, pues no se encuentra tipificada ni regulada.</w:t>
      </w:r>
    </w:p>
    <w:p w14:paraId="1ED165AE" w14:textId="77777777" w:rsidR="00DB2B86" w:rsidRPr="00ED6485" w:rsidRDefault="00DB2B86" w:rsidP="00DB2B86">
      <w:pPr>
        <w:tabs>
          <w:tab w:val="left" w:pos="0"/>
        </w:tabs>
        <w:spacing w:before="120" w:after="0" w:line="276" w:lineRule="auto"/>
        <w:ind w:firstLine="709"/>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Sin perjuicio de lo expuesto, el segundo inciso del artículo 40 de la Ley 80 de 1993 dispone que “Las entidades podrán celebrar los contratos y acuerdos que permitan la autonomía de la voluntad y requieran el cumplimiento de los fines estatales”. Esto significa que las entidades pueden acordar con el contratista incluir estipulaciones que propendan por el cumplimiento efectivo del objeto contractual, siempre que estas cláusulas sean acordes con los límites consagrados en las normas de orden público, es decir, que no incurran en </w:t>
      </w:r>
      <w:r w:rsidRPr="00ED6485">
        <w:rPr>
          <w:rFonts w:ascii="Verdana" w:eastAsia="Calibri" w:hAnsi="Verdana" w:cs="Arial"/>
          <w:color w:val="000000"/>
          <w:lang w:val="es-ES" w:eastAsia="es-ES_tradnl"/>
        </w:rPr>
        <w:lastRenderedPageBreak/>
        <w:t>causales de nulidad</w:t>
      </w:r>
      <w:r w:rsidRPr="00ED6485">
        <w:rPr>
          <w:rStyle w:val="Refdenotaalpie"/>
          <w:rFonts w:ascii="Verdana" w:eastAsia="Calibri" w:hAnsi="Verdana" w:cs="Arial"/>
          <w:color w:val="000000"/>
          <w:lang w:val="es-ES" w:eastAsia="es-ES_tradnl"/>
        </w:rPr>
        <w:footnoteReference w:id="11"/>
      </w:r>
      <w:r w:rsidRPr="00ED6485">
        <w:rPr>
          <w:rFonts w:ascii="Verdana" w:eastAsia="Calibri" w:hAnsi="Verdana" w:cs="Arial"/>
          <w:color w:val="000000"/>
          <w:lang w:val="es-ES" w:eastAsia="es-ES_tradnl"/>
        </w:rPr>
        <w:t>. Por ende, nada obsta para que, dentro de estas estipulaciones, las partes, por ejemplo, acuerden estándares o hitos de cumplimiento. Más aún, el artículo 17 de la Ley 1150 de 2007, como se indicó, permite pactar multas y cláusulas penales pecuniarias y faculta a las Entidades Estatales para hacerlas efectivas unilateralmente.</w:t>
      </w:r>
    </w:p>
    <w:p w14:paraId="62368E9D" w14:textId="77777777" w:rsidR="00DB2B86" w:rsidRPr="00ED6485" w:rsidRDefault="00DB2B86" w:rsidP="00DB2B86">
      <w:pPr>
        <w:tabs>
          <w:tab w:val="left" w:pos="0"/>
        </w:tabs>
        <w:spacing w:after="0" w:line="276" w:lineRule="auto"/>
        <w:ind w:right="191" w:firstLine="709"/>
        <w:jc w:val="both"/>
        <w:rPr>
          <w:rFonts w:ascii="Verdana" w:eastAsia="Calibri" w:hAnsi="Verdana" w:cs="Arial"/>
          <w:color w:val="000000"/>
          <w:lang w:val="es-ES" w:eastAsia="es-ES_tradnl"/>
        </w:rPr>
      </w:pPr>
    </w:p>
    <w:p w14:paraId="620A0509" w14:textId="77777777" w:rsidR="00DB2B86" w:rsidRPr="00ED6485" w:rsidRDefault="00DB2B86" w:rsidP="00DB2B86">
      <w:pPr>
        <w:tabs>
          <w:tab w:val="left" w:pos="0"/>
        </w:tabs>
        <w:spacing w:after="0" w:line="276" w:lineRule="auto"/>
        <w:jc w:val="both"/>
        <w:rPr>
          <w:rFonts w:ascii="Verdana" w:eastAsia="Calibri" w:hAnsi="Verdana" w:cs="Arial"/>
          <w:color w:val="000000"/>
          <w:lang w:val="es-ES" w:eastAsia="es-ES_tradnl"/>
        </w:rPr>
      </w:pPr>
      <w:proofErr w:type="spellStart"/>
      <w:r w:rsidRPr="00ED6485">
        <w:rPr>
          <w:rFonts w:ascii="Verdana" w:eastAsia="Calibri" w:hAnsi="Verdana" w:cs="Arial"/>
          <w:color w:val="000000"/>
          <w:lang w:val="es-ES" w:eastAsia="es-ES_tradnl"/>
        </w:rPr>
        <w:t>ii</w:t>
      </w:r>
      <w:proofErr w:type="spellEnd"/>
      <w:r w:rsidRPr="00ED6485">
        <w:rPr>
          <w:rFonts w:ascii="Verdana" w:eastAsia="Calibri" w:hAnsi="Verdana" w:cs="Arial"/>
          <w:color w:val="000000"/>
          <w:lang w:val="es-ES" w:eastAsia="es-ES_tradnl"/>
        </w:rPr>
        <w:t xml:space="preserve">. De esta forma, debido a que estos acuerdos no se encuentran regulados en el Estatuto General de Contratación de la Administración Pública, ni en sus normas complementarias y reglamentarias, sino solo para los contratos de APP, la determinación de su naturaleza y de si estos son de carácter sancionatorio o no, depende de la forma como las partes hayan pactado dichos </w:t>
      </w:r>
      <w:r w:rsidRPr="00ED6485">
        <w:rPr>
          <w:rFonts w:ascii="Verdana" w:eastAsia="Calibri" w:hAnsi="Verdana" w:cs="Arial"/>
          <w:i/>
          <w:iCs/>
          <w:color w:val="000000"/>
          <w:lang w:val="es-ES" w:eastAsia="es-ES_tradnl"/>
        </w:rPr>
        <w:t>acuerdos</w:t>
      </w:r>
      <w:r w:rsidRPr="00ED6485">
        <w:rPr>
          <w:rFonts w:ascii="Verdana" w:eastAsia="Calibri" w:hAnsi="Verdana" w:cs="Arial"/>
          <w:color w:val="000000"/>
          <w:lang w:val="es-ES" w:eastAsia="es-ES_tradnl"/>
        </w:rPr>
        <w:t xml:space="preserve"> en el contrato en cada caso. La costumbre negocial refleja que, usualmente, estos </w:t>
      </w:r>
      <w:r w:rsidRPr="00ED6485">
        <w:rPr>
          <w:rFonts w:ascii="Verdana" w:eastAsia="Calibri" w:hAnsi="Verdana" w:cs="Arial"/>
          <w:i/>
          <w:iCs/>
          <w:color w:val="000000"/>
          <w:lang w:val="es-ES" w:eastAsia="es-ES_tradnl"/>
        </w:rPr>
        <w:t>acuerdos</w:t>
      </w:r>
      <w:r w:rsidRPr="00ED6485">
        <w:rPr>
          <w:rFonts w:ascii="Verdana" w:eastAsia="Calibri" w:hAnsi="Verdana" w:cs="Arial"/>
          <w:color w:val="000000"/>
          <w:lang w:val="es-ES" w:eastAsia="es-ES_tradnl"/>
        </w:rPr>
        <w:t xml:space="preserve"> son estipulaciones mediante las cuales el contratista se compromete a ejecutar sus obligaciones con un determinado grado de calidad o eficiencia</w:t>
      </w:r>
      <w:r w:rsidRPr="00ED6485">
        <w:rPr>
          <w:rStyle w:val="Refdenotaalpie"/>
          <w:rFonts w:ascii="Verdana" w:eastAsia="Calibri" w:hAnsi="Verdana" w:cs="Arial"/>
          <w:color w:val="000000"/>
          <w:lang w:val="es-ES" w:eastAsia="es-ES_tradnl"/>
        </w:rPr>
        <w:footnoteReference w:id="12"/>
      </w:r>
      <w:r w:rsidRPr="00ED6485">
        <w:rPr>
          <w:rFonts w:ascii="Verdana" w:eastAsia="Calibri" w:hAnsi="Verdana" w:cs="Arial"/>
          <w:color w:val="000000"/>
          <w:lang w:val="es-ES" w:eastAsia="es-ES_tradnl"/>
        </w:rPr>
        <w:t>, de tal forma que, en caso de no cumplir con tal nivel de satisfacción, verá disminuida en parte su remuneración en virtud del descuento que realiza el contratante.</w:t>
      </w:r>
    </w:p>
    <w:p w14:paraId="3570089B" w14:textId="77777777" w:rsidR="00DB2B86" w:rsidRPr="00ED6485" w:rsidRDefault="00DB2B86" w:rsidP="00DB2B86">
      <w:pPr>
        <w:tabs>
          <w:tab w:val="left" w:pos="0"/>
        </w:tabs>
        <w:spacing w:before="120" w:line="276" w:lineRule="auto"/>
        <w:ind w:firstLine="709"/>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Si bien en estos casos se considera que no es necesario acudir al procedimiento administrativo sancionatorio regulado en el artículo 86 de la Ley 1474 de 2011, se debe garantizar en todo caso el debido proceso, como principio rector de las actuaciones contractuales, cuya aplicación automática dependerá del procedimiento previamente establecido por las partes, en el cual el </w:t>
      </w:r>
      <w:r w:rsidRPr="00ED6485">
        <w:rPr>
          <w:rFonts w:ascii="Verdana" w:eastAsia="Calibri" w:hAnsi="Verdana" w:cs="Arial"/>
          <w:color w:val="000000"/>
          <w:lang w:val="es-ES" w:eastAsia="es-ES_tradnl"/>
        </w:rPr>
        <w:lastRenderedPageBreak/>
        <w:t>contratista tenga la oportunidad de ejercer sus derechos de audiencia, defensa y los demás que integran dicho derecho fundamental al debido proceso</w:t>
      </w:r>
      <w:r w:rsidRPr="00ED6485">
        <w:rPr>
          <w:rStyle w:val="Refdenotaalpie"/>
          <w:rFonts w:ascii="Verdana" w:eastAsia="Calibri" w:hAnsi="Verdana" w:cs="Arial"/>
          <w:color w:val="000000"/>
          <w:lang w:val="es-ES" w:eastAsia="es-ES_tradnl"/>
        </w:rPr>
        <w:footnoteReference w:id="13"/>
      </w:r>
      <w:r w:rsidRPr="00ED6485">
        <w:rPr>
          <w:rFonts w:ascii="Verdana" w:eastAsia="Calibri" w:hAnsi="Verdana" w:cs="Arial"/>
          <w:color w:val="000000"/>
          <w:lang w:val="es-ES" w:eastAsia="es-ES_tradnl"/>
        </w:rPr>
        <w:t xml:space="preserve">.  </w:t>
      </w:r>
    </w:p>
    <w:p w14:paraId="2606F016" w14:textId="7803C539" w:rsidR="00DB2B86" w:rsidRPr="00ED6485" w:rsidRDefault="00DB2B86" w:rsidP="00DB2B86">
      <w:pPr>
        <w:tabs>
          <w:tab w:val="left" w:pos="0"/>
        </w:tabs>
        <w:spacing w:before="120" w:after="0" w:line="276" w:lineRule="auto"/>
        <w:ind w:firstLine="70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En ese orden de ideas, los descuentos automáticos pueden estar contemplados en el contrato como una forma de </w:t>
      </w:r>
      <w:r w:rsidRPr="00ED6485">
        <w:rPr>
          <w:rFonts w:ascii="Verdana" w:eastAsia="Calibri" w:hAnsi="Verdana" w:cs="Arial"/>
          <w:i/>
          <w:iCs/>
          <w:color w:val="000000" w:themeColor="text1"/>
          <w:lang w:val="es-ES"/>
        </w:rPr>
        <w:t>compensación</w:t>
      </w:r>
      <w:r w:rsidRPr="00ED6485">
        <w:rPr>
          <w:rFonts w:ascii="Verdana" w:eastAsia="Calibri" w:hAnsi="Verdana" w:cs="Arial"/>
          <w:color w:val="000000" w:themeColor="text1"/>
          <w:lang w:val="es-ES"/>
        </w:rPr>
        <w:t xml:space="preserve"> procedente en virtud de un cumplimiento alternativo. En general, tanto los descuentos y/o deducciones automátic</w:t>
      </w:r>
      <w:r>
        <w:rPr>
          <w:rFonts w:ascii="Verdana" w:eastAsia="Calibri" w:hAnsi="Verdana" w:cs="Arial"/>
          <w:color w:val="000000" w:themeColor="text1"/>
          <w:lang w:val="es-ES"/>
        </w:rPr>
        <w:t>a</w:t>
      </w:r>
      <w:r w:rsidRPr="00ED6485">
        <w:rPr>
          <w:rFonts w:ascii="Verdana" w:eastAsia="Calibri" w:hAnsi="Verdana" w:cs="Arial"/>
          <w:color w:val="000000" w:themeColor="text1"/>
          <w:lang w:val="es-ES"/>
        </w:rPr>
        <w:t>s pactadas en dichos contratos se podrían definir como una forma de compensación pactada previamente en los ANS, en función a unos niveles de calidad y que resultan equitativ</w:t>
      </w:r>
      <w:r>
        <w:rPr>
          <w:rFonts w:ascii="Verdana" w:eastAsia="Calibri" w:hAnsi="Verdana" w:cs="Arial"/>
          <w:color w:val="000000" w:themeColor="text1"/>
          <w:lang w:val="es-ES"/>
        </w:rPr>
        <w:t>o</w:t>
      </w:r>
      <w:r w:rsidRPr="00ED6485">
        <w:rPr>
          <w:rFonts w:ascii="Verdana" w:eastAsia="Calibri" w:hAnsi="Verdana" w:cs="Arial"/>
          <w:color w:val="000000" w:themeColor="text1"/>
          <w:lang w:val="es-ES"/>
        </w:rPr>
        <w:t>s y proporcional</w:t>
      </w:r>
      <w:r>
        <w:rPr>
          <w:rFonts w:ascii="Verdana" w:eastAsia="Calibri" w:hAnsi="Verdana" w:cs="Arial"/>
          <w:color w:val="000000" w:themeColor="text1"/>
          <w:lang w:val="es-ES"/>
        </w:rPr>
        <w:t>e</w:t>
      </w:r>
      <w:r w:rsidRPr="00ED6485">
        <w:rPr>
          <w:rFonts w:ascii="Verdana" w:eastAsia="Calibri" w:hAnsi="Verdana" w:cs="Arial"/>
          <w:color w:val="000000" w:themeColor="text1"/>
          <w:lang w:val="es-ES"/>
        </w:rPr>
        <w:t xml:space="preserve">s, estableciendo de manera clara en dichos contratos el procedimiento para la aplicación de </w:t>
      </w:r>
      <w:proofErr w:type="gramStart"/>
      <w:r w:rsidRPr="00ED6485">
        <w:rPr>
          <w:rFonts w:ascii="Verdana" w:eastAsia="Calibri" w:hAnsi="Verdana" w:cs="Arial"/>
          <w:color w:val="000000" w:themeColor="text1"/>
          <w:lang w:val="es-ES"/>
        </w:rPr>
        <w:t>las mismas</w:t>
      </w:r>
      <w:proofErr w:type="gramEnd"/>
      <w:r w:rsidRPr="00ED6485">
        <w:rPr>
          <w:rFonts w:ascii="Verdana" w:eastAsia="Calibri" w:hAnsi="Verdana" w:cs="Arial"/>
          <w:color w:val="000000" w:themeColor="text1"/>
          <w:lang w:val="es-ES"/>
        </w:rPr>
        <w:t xml:space="preserve"> a la retribución</w:t>
      </w:r>
      <w:r>
        <w:rPr>
          <w:rFonts w:ascii="Verdana" w:eastAsia="Calibri" w:hAnsi="Verdana" w:cs="Arial"/>
          <w:color w:val="000000" w:themeColor="text1"/>
          <w:lang w:val="es-ES"/>
        </w:rPr>
        <w:t xml:space="preserve"> o contraprestación</w:t>
      </w:r>
      <w:r w:rsidRPr="00ED6485">
        <w:rPr>
          <w:rFonts w:ascii="Verdana" w:eastAsia="Calibri" w:hAnsi="Verdana" w:cs="Arial"/>
          <w:color w:val="000000" w:themeColor="text1"/>
          <w:lang w:val="es-ES"/>
        </w:rPr>
        <w:t>, garantizando con ello el debido proceso. En este supuesto</w:t>
      </w:r>
      <w:r w:rsidR="0085198A" w:rsidRPr="0085198A">
        <w:rPr>
          <w:rFonts w:ascii="Verdana" w:eastAsia="Calibri" w:hAnsi="Verdana" w:cs="Arial"/>
          <w:color w:val="000000" w:themeColor="text1"/>
          <w:lang w:val="es-ES"/>
        </w:rPr>
        <w:t xml:space="preserve"> </w:t>
      </w:r>
      <w:r w:rsidR="00D760B9" w:rsidRPr="00505274">
        <w:rPr>
          <w:rFonts w:ascii="Verdana" w:eastAsia="Times New Roman" w:hAnsi="Verdana" w:cs="Times New Roman"/>
        </w:rPr>
        <w:t>se aplicarían en función del nivel de servicio no cumplido, sin necesidad de agotar el procedimiento administrativo sancionatorio del artículo 86 de la Ley 1474 de 2011</w:t>
      </w:r>
      <w:r w:rsidR="0085198A" w:rsidRPr="0085198A">
        <w:rPr>
          <w:rStyle w:val="Refdenotaalpie"/>
          <w:rFonts w:ascii="Verdana" w:eastAsia="Calibri" w:hAnsi="Verdana" w:cs="Arial"/>
          <w:color w:val="000000" w:themeColor="text1"/>
          <w:lang w:val="es-ES"/>
        </w:rPr>
        <w:footnoteReference w:id="14"/>
      </w:r>
      <w:r w:rsidR="00D760B9" w:rsidRPr="00505274">
        <w:rPr>
          <w:rFonts w:ascii="Verdana" w:eastAsia="Times New Roman" w:hAnsi="Verdana" w:cs="Times New Roman"/>
        </w:rPr>
        <w:t>. Ello no equivale a una aplicación de plano: en todo caso debe garantizarse el debido proceso mínimo previsto en el contrato, de modo que el contratista pueda conocer la verificación efectuada, controvertirla y ejercer su derecho de contradicción antes de que se materialice la deducción</w:t>
      </w:r>
      <w:r w:rsidR="0085198A" w:rsidRPr="00505274">
        <w:rPr>
          <w:rFonts w:ascii="Verdana" w:eastAsia="Times New Roman" w:hAnsi="Verdana" w:cs="Times New Roman"/>
        </w:rPr>
        <w:t>.</w:t>
      </w:r>
      <w:r w:rsidRPr="00ED6485">
        <w:rPr>
          <w:rFonts w:ascii="Verdana" w:eastAsia="Calibri" w:hAnsi="Verdana" w:cs="Arial"/>
          <w:color w:val="000000" w:themeColor="text1"/>
          <w:lang w:val="es-ES"/>
        </w:rPr>
        <w:t xml:space="preserve"> </w:t>
      </w:r>
    </w:p>
    <w:p w14:paraId="7335444C" w14:textId="77777777" w:rsidR="00DB2B86" w:rsidRPr="00ED6485" w:rsidRDefault="00DB2B86" w:rsidP="00DB2B86">
      <w:pPr>
        <w:tabs>
          <w:tab w:val="left" w:pos="0"/>
        </w:tabs>
        <w:spacing w:before="120" w:after="0" w:line="276" w:lineRule="auto"/>
        <w:ind w:firstLine="709"/>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Sobre la compensación, </w:t>
      </w:r>
      <w:r w:rsidRPr="00ED6485">
        <w:rPr>
          <w:rFonts w:ascii="Verdana" w:hAnsi="Verdana" w:cs="Arial"/>
          <w:iCs/>
          <w:color w:val="000000" w:themeColor="text1"/>
          <w:lang w:val="es-ES"/>
        </w:rPr>
        <w:t xml:space="preserve">el parágrafo del artículo 17 de la Ley 1150 de 2007 dispone que “La cláusula penal y las multas así impuestas, se harán efectivas directamente por las entidades estatales, pudiendo acudir para el efecto entre otros a los </w:t>
      </w:r>
      <w:r w:rsidRPr="00ED6485">
        <w:rPr>
          <w:rFonts w:ascii="Verdana" w:hAnsi="Verdana" w:cs="Arial"/>
          <w:i/>
          <w:color w:val="000000" w:themeColor="text1"/>
          <w:lang w:val="es-ES"/>
        </w:rPr>
        <w:t>mecanismos de compensación de las sumas adeudadas al contratista</w:t>
      </w:r>
      <w:r w:rsidRPr="00ED6485">
        <w:rPr>
          <w:rFonts w:ascii="Verdana" w:hAnsi="Verdana" w:cs="Arial"/>
          <w:iCs/>
          <w:color w:val="000000" w:themeColor="text1"/>
          <w:lang w:val="es-ES"/>
        </w:rPr>
        <w:t xml:space="preserve">, cobro de la garantía, o a cualquier otro medio para obtener el pago, incluyendo el de la jurisdicción coactiva” (Énfasis fuera de texto). Así, </w:t>
      </w:r>
      <w:r w:rsidRPr="00ED6485">
        <w:rPr>
          <w:rFonts w:ascii="Verdana" w:hAnsi="Verdana" w:cs="Arial"/>
          <w:lang w:val="es-ES"/>
        </w:rPr>
        <w:t xml:space="preserve">tomando como fuente las corrientes romanistas, el artículo 1625.5 del Código Civil establece la compensación como forma de extinguir las obligaciones. </w:t>
      </w:r>
    </w:p>
    <w:p w14:paraId="5D89FC50" w14:textId="77777777" w:rsidR="00DB2B86" w:rsidRPr="00ED6485" w:rsidRDefault="00DB2B86" w:rsidP="00DB2B86">
      <w:pPr>
        <w:tabs>
          <w:tab w:val="left" w:pos="0"/>
        </w:tabs>
        <w:spacing w:before="120" w:after="0" w:line="276" w:lineRule="auto"/>
        <w:ind w:firstLine="709"/>
        <w:jc w:val="both"/>
        <w:rPr>
          <w:rFonts w:ascii="Verdana" w:eastAsia="Calibri" w:hAnsi="Verdana" w:cs="Arial"/>
          <w:color w:val="000000"/>
          <w:lang w:val="es-ES" w:eastAsia="es-ES_tradnl"/>
        </w:rPr>
      </w:pPr>
      <w:r w:rsidRPr="00ED6485">
        <w:rPr>
          <w:rFonts w:ascii="Verdana" w:hAnsi="Verdana" w:cs="Arial"/>
          <w:lang w:val="es-ES"/>
        </w:rPr>
        <w:lastRenderedPageBreak/>
        <w:t>Según la célebre definición del MODESTINO, “La compensación es la contribución de una deuda y de un crédito entre sí” (D. 16.2.1). Para DOMAT, “[…] las compensaciones son dos pagos recíprocos que se hacen a un mismo tiempo, sin que los deudores se den mutuamente otra cosa que el recibo de cada deuda, quedando ellas extinguidas hasta la cantidad en que fueren compensadas”</w:t>
      </w:r>
      <w:r w:rsidRPr="00ED6485">
        <w:rPr>
          <w:rStyle w:val="Refdenotaalpie"/>
          <w:rFonts w:ascii="Verdana" w:hAnsi="Verdana" w:cs="Arial"/>
          <w:lang w:val="es-ES"/>
        </w:rPr>
        <w:footnoteReference w:id="15"/>
      </w:r>
      <w:r w:rsidRPr="00ED6485">
        <w:rPr>
          <w:rFonts w:ascii="Verdana" w:hAnsi="Verdana" w:cs="Arial"/>
          <w:lang w:val="es-ES"/>
        </w:rPr>
        <w:t>. POTHIER, por su parte, estima que “La compensación es la extinción de las deudas de dos personas de dos recíprocos derechos”</w:t>
      </w:r>
      <w:r w:rsidRPr="00ED6485">
        <w:rPr>
          <w:rStyle w:val="Refdenotaalpie"/>
          <w:rFonts w:ascii="Verdana" w:hAnsi="Verdana" w:cs="Arial"/>
          <w:lang w:val="es-ES"/>
        </w:rPr>
        <w:footnoteReference w:id="16"/>
      </w:r>
      <w:r w:rsidRPr="00ED6485">
        <w:rPr>
          <w:rFonts w:ascii="Verdana" w:hAnsi="Verdana" w:cs="Arial"/>
          <w:lang w:val="es-ES"/>
        </w:rPr>
        <w:t>.</w:t>
      </w:r>
    </w:p>
    <w:p w14:paraId="11A167B3" w14:textId="77777777" w:rsidR="00DB2B86" w:rsidRPr="00ED6485" w:rsidRDefault="00DB2B86" w:rsidP="00DB2B86">
      <w:pPr>
        <w:widowControl w:val="0"/>
        <w:autoSpaceDE w:val="0"/>
        <w:autoSpaceDN w:val="0"/>
        <w:spacing w:before="120" w:after="0" w:line="276" w:lineRule="auto"/>
        <w:ind w:firstLine="708"/>
        <w:jc w:val="both"/>
        <w:rPr>
          <w:rFonts w:ascii="Verdana" w:hAnsi="Verdana" w:cs="Arial"/>
          <w:lang w:val="es-ES"/>
        </w:rPr>
      </w:pPr>
      <w:r w:rsidRPr="00ED6485">
        <w:rPr>
          <w:rFonts w:ascii="Verdana" w:hAnsi="Verdana" w:cs="Arial"/>
          <w:lang w:val="es-ES"/>
        </w:rPr>
        <w:t xml:space="preserve">Por ello, el artículo 1714 </w:t>
      </w:r>
      <w:r w:rsidRPr="00ED6485">
        <w:rPr>
          <w:rFonts w:ascii="Verdana" w:hAnsi="Verdana" w:cs="Arial"/>
          <w:i/>
          <w:iCs/>
          <w:lang w:val="es-ES"/>
        </w:rPr>
        <w:t>ibidem</w:t>
      </w:r>
      <w:r w:rsidRPr="00ED6485">
        <w:rPr>
          <w:rFonts w:ascii="Verdana" w:hAnsi="Verdana" w:cs="Arial"/>
          <w:lang w:val="es-ES"/>
        </w:rPr>
        <w:t xml:space="preserve"> establece que “Cuando dos personas son deudoras una de otra, se opera entre ellas una compensación que extingue ambas deudas […]”. Desde el punto de vista etimológico, la expresión deriva del prefijo </w:t>
      </w:r>
      <w:r w:rsidRPr="00ED6485">
        <w:rPr>
          <w:rFonts w:ascii="Verdana" w:hAnsi="Verdana" w:cs="Arial"/>
          <w:i/>
          <w:iCs/>
          <w:lang w:val="es-ES"/>
        </w:rPr>
        <w:t>con</w:t>
      </w:r>
      <w:r w:rsidRPr="00ED6485">
        <w:rPr>
          <w:rFonts w:ascii="Verdana" w:hAnsi="Verdana" w:cs="Arial"/>
          <w:lang w:val="es-ES"/>
        </w:rPr>
        <w:t xml:space="preserve">- (todo, junto), </w:t>
      </w:r>
      <w:r w:rsidRPr="00ED6485">
        <w:rPr>
          <w:rFonts w:ascii="Verdana" w:hAnsi="Verdana" w:cs="Arial"/>
          <w:i/>
          <w:iCs/>
          <w:lang w:val="es-ES"/>
        </w:rPr>
        <w:t>pensare</w:t>
      </w:r>
      <w:r w:rsidRPr="00ED6485">
        <w:rPr>
          <w:rFonts w:ascii="Verdana" w:hAnsi="Verdana" w:cs="Arial"/>
          <w:lang w:val="es-ES"/>
        </w:rPr>
        <w:t xml:space="preserve"> (pesar en una balanza), más el sufijo -</w:t>
      </w:r>
      <w:proofErr w:type="spellStart"/>
      <w:r w:rsidRPr="00ED6485">
        <w:rPr>
          <w:rFonts w:ascii="Verdana" w:hAnsi="Verdana" w:cs="Arial"/>
          <w:i/>
          <w:iCs/>
          <w:lang w:val="es-ES"/>
        </w:rPr>
        <w:t>ción</w:t>
      </w:r>
      <w:proofErr w:type="spellEnd"/>
      <w:r w:rsidRPr="00ED6485">
        <w:rPr>
          <w:rFonts w:ascii="Verdana" w:hAnsi="Verdana" w:cs="Arial"/>
          <w:lang w:val="es-ES"/>
        </w:rPr>
        <w:t xml:space="preserve"> (acción y efecto); razón por la que, en conjunto, significa sopesar o comparar el monto de los créditos que dos personas se adeudan entre sí</w:t>
      </w:r>
      <w:r w:rsidRPr="00ED6485">
        <w:rPr>
          <w:rStyle w:val="Refdenotaalpie"/>
          <w:rFonts w:ascii="Verdana" w:hAnsi="Verdana" w:cs="Arial"/>
          <w:lang w:val="es-ES"/>
        </w:rPr>
        <w:footnoteReference w:id="17"/>
      </w:r>
      <w:r w:rsidRPr="00ED6485">
        <w:rPr>
          <w:rFonts w:ascii="Verdana" w:hAnsi="Verdana" w:cs="Arial"/>
          <w:lang w:val="es-ES"/>
        </w:rPr>
        <w:t>. Al ser un medio equivalente al pago, la doctrina la caracteriza como una forma simplificada de la prestación de lo debido:</w:t>
      </w:r>
    </w:p>
    <w:p w14:paraId="7814014F" w14:textId="77777777" w:rsidR="00DB2B86" w:rsidRPr="00ED6485" w:rsidRDefault="00DB2B86" w:rsidP="00DB2B86">
      <w:pPr>
        <w:widowControl w:val="0"/>
        <w:autoSpaceDE w:val="0"/>
        <w:autoSpaceDN w:val="0"/>
        <w:spacing w:after="0" w:line="276" w:lineRule="auto"/>
        <w:jc w:val="both"/>
        <w:rPr>
          <w:rFonts w:ascii="Verdana" w:hAnsi="Verdana" w:cs="Arial"/>
          <w:lang w:val="es-ES"/>
        </w:rPr>
      </w:pPr>
    </w:p>
    <w:p w14:paraId="32833840" w14:textId="77777777" w:rsidR="00DB2B86" w:rsidRPr="00ED6485" w:rsidRDefault="00DB2B86" w:rsidP="00DB2B86">
      <w:pPr>
        <w:widowControl w:val="0"/>
        <w:autoSpaceDE w:val="0"/>
        <w:autoSpaceDN w:val="0"/>
        <w:spacing w:after="120" w:line="240" w:lineRule="auto"/>
        <w:ind w:left="709" w:right="709"/>
        <w:jc w:val="both"/>
        <w:rPr>
          <w:rFonts w:ascii="Verdana" w:hAnsi="Verdana" w:cs="Arial"/>
          <w:sz w:val="20"/>
          <w:szCs w:val="20"/>
          <w:lang w:val="es-ES"/>
        </w:rPr>
      </w:pPr>
      <w:r w:rsidRPr="00ED6485">
        <w:rPr>
          <w:rFonts w:ascii="Verdana" w:hAnsi="Verdana" w:cs="Arial"/>
          <w:sz w:val="20"/>
          <w:szCs w:val="20"/>
          <w:lang w:val="es-ES"/>
        </w:rPr>
        <w:t>“[…] la compensación es un modo de extinción de las obligaciones que opera entre dos personas que simultáneamente ostentan, la una respecto de la otra, un crédito y una deuda exigibles, cuyo objeto es semejante u homogéneo, lo que conduce a que se considere que los acreedores se entiendan satisfechos y, por ende, a que se estime que los deudores quedan liberados de las respectivas obligaciones. En efecto, una vez se reúnen los requisitos consagrados en la ley […], la compensación, según se ha indicado en una gráfica expresión, opera como una especie de ‘pago abreviado’, lo que otros autores han explicado como un fenómeno de ‘neutralización’ de las deudas, en el que las obligaciones recíprocas se extinguen total o parcialmente, según sea el caso, sin necesidad de que cada deudor ejecute de manera independiente la prestación que adeuda a su respectivo acreedor.</w:t>
      </w:r>
    </w:p>
    <w:p w14:paraId="6F11AF29" w14:textId="77777777" w:rsidR="00DB2B86" w:rsidRPr="00ED6485" w:rsidRDefault="00DB2B86" w:rsidP="00DB2B86">
      <w:pPr>
        <w:widowControl w:val="0"/>
        <w:autoSpaceDE w:val="0"/>
        <w:autoSpaceDN w:val="0"/>
        <w:spacing w:after="0" w:line="240" w:lineRule="auto"/>
        <w:ind w:left="709" w:right="709"/>
        <w:jc w:val="both"/>
        <w:rPr>
          <w:rFonts w:ascii="Verdana" w:hAnsi="Verdana" w:cs="Arial"/>
          <w:sz w:val="20"/>
          <w:szCs w:val="20"/>
          <w:lang w:val="es-ES"/>
        </w:rPr>
      </w:pPr>
      <w:r w:rsidRPr="00ED6485">
        <w:rPr>
          <w:rFonts w:ascii="Verdana" w:hAnsi="Verdana" w:cs="Arial"/>
          <w:sz w:val="20"/>
          <w:szCs w:val="20"/>
          <w:lang w:val="es-ES"/>
        </w:rPr>
        <w:t xml:space="preserve">De manera muy elemental se puede indicar, por ejemplo, que si A le debe a B $ 100.000 y B le debe a </w:t>
      </w:r>
      <w:proofErr w:type="spellStart"/>
      <w:r w:rsidRPr="00ED6485">
        <w:rPr>
          <w:rFonts w:ascii="Verdana" w:hAnsi="Verdana" w:cs="Arial"/>
          <w:sz w:val="20"/>
          <w:szCs w:val="20"/>
          <w:lang w:val="es-ES"/>
        </w:rPr>
        <w:t>A</w:t>
      </w:r>
      <w:proofErr w:type="spellEnd"/>
      <w:r w:rsidRPr="00ED6485">
        <w:rPr>
          <w:rFonts w:ascii="Verdana" w:hAnsi="Verdana" w:cs="Arial"/>
          <w:sz w:val="20"/>
          <w:szCs w:val="20"/>
          <w:lang w:val="es-ES"/>
        </w:rPr>
        <w:t xml:space="preserve"> $ 70.000, la deuda de B para con A se extingue totalmente y la obligación de A hacia B se cancela parcialmente, pues se reduce a los $ 30.000 que finalmente A deberá pagar a B”</w:t>
      </w:r>
      <w:r w:rsidRPr="00ED6485">
        <w:rPr>
          <w:rStyle w:val="Refdenotaalpie"/>
          <w:rFonts w:ascii="Verdana" w:hAnsi="Verdana" w:cs="Arial"/>
          <w:sz w:val="20"/>
          <w:szCs w:val="20"/>
          <w:lang w:val="es-ES"/>
        </w:rPr>
        <w:footnoteReference w:id="18"/>
      </w:r>
      <w:r w:rsidRPr="00ED6485">
        <w:rPr>
          <w:rFonts w:ascii="Verdana" w:hAnsi="Verdana" w:cs="Arial"/>
          <w:sz w:val="20"/>
          <w:szCs w:val="20"/>
          <w:lang w:val="es-ES"/>
        </w:rPr>
        <w:t>.</w:t>
      </w:r>
    </w:p>
    <w:p w14:paraId="1479B5C7" w14:textId="77777777" w:rsidR="00DB2B86" w:rsidRPr="00ED6485" w:rsidRDefault="00DB2B86" w:rsidP="00DB2B86">
      <w:pPr>
        <w:widowControl w:val="0"/>
        <w:autoSpaceDE w:val="0"/>
        <w:autoSpaceDN w:val="0"/>
        <w:spacing w:after="0" w:line="276" w:lineRule="auto"/>
        <w:jc w:val="both"/>
        <w:rPr>
          <w:rFonts w:ascii="Verdana" w:hAnsi="Verdana" w:cs="Arial"/>
          <w:lang w:val="es-ES"/>
        </w:rPr>
      </w:pPr>
    </w:p>
    <w:p w14:paraId="1C3F4CC4" w14:textId="77777777" w:rsidR="00DB2B86" w:rsidRPr="00ED6485" w:rsidRDefault="00DB2B86" w:rsidP="00DB2B86">
      <w:pPr>
        <w:widowControl w:val="0"/>
        <w:autoSpaceDE w:val="0"/>
        <w:autoSpaceDN w:val="0"/>
        <w:spacing w:after="120" w:line="276" w:lineRule="auto"/>
        <w:ind w:firstLine="709"/>
        <w:jc w:val="both"/>
        <w:rPr>
          <w:rFonts w:ascii="Verdana" w:hAnsi="Verdana" w:cs="Arial"/>
          <w:lang w:val="es-ES"/>
        </w:rPr>
      </w:pPr>
      <w:r w:rsidRPr="00ED6485">
        <w:rPr>
          <w:rFonts w:ascii="Verdana" w:hAnsi="Verdana" w:cs="Arial"/>
          <w:lang w:val="es-ES"/>
        </w:rPr>
        <w:t xml:space="preserve">La compensación puede tener carácter legal, voluntaria o judicial. La </w:t>
      </w:r>
      <w:r w:rsidRPr="00ED6485">
        <w:rPr>
          <w:rFonts w:ascii="Verdana" w:hAnsi="Verdana" w:cs="Arial"/>
          <w:i/>
          <w:iCs/>
          <w:lang w:val="es-ES"/>
        </w:rPr>
        <w:t>compensación legal</w:t>
      </w:r>
      <w:r w:rsidRPr="00ED6485">
        <w:rPr>
          <w:rFonts w:ascii="Verdana" w:hAnsi="Verdana" w:cs="Arial"/>
          <w:lang w:val="es-ES"/>
        </w:rPr>
        <w:t xml:space="preserve"> opera automáticamente por disposición del ordenamiento jurídico, incluso sin que las partes lo sepan, siempre que ambas deudas cumplan con los requisitos exigidos para que se produzca; la </w:t>
      </w:r>
      <w:r w:rsidRPr="00ED6485">
        <w:rPr>
          <w:rFonts w:ascii="Verdana" w:hAnsi="Verdana" w:cs="Arial"/>
          <w:i/>
          <w:iCs/>
          <w:lang w:val="es-ES"/>
        </w:rPr>
        <w:t>compensación voluntaria</w:t>
      </w:r>
      <w:r w:rsidRPr="00ED6485">
        <w:rPr>
          <w:rFonts w:ascii="Verdana" w:hAnsi="Verdana" w:cs="Arial"/>
          <w:lang w:val="es-ES"/>
        </w:rPr>
        <w:t xml:space="preserve"> ocurre cuando no se cumplen los requisitos para la </w:t>
      </w:r>
      <w:r w:rsidRPr="00ED6485">
        <w:rPr>
          <w:rFonts w:ascii="Verdana" w:hAnsi="Verdana" w:cs="Arial"/>
          <w:i/>
          <w:iCs/>
          <w:lang w:val="es-ES"/>
        </w:rPr>
        <w:t>compensación legal</w:t>
      </w:r>
      <w:r w:rsidRPr="00ED6485">
        <w:rPr>
          <w:rFonts w:ascii="Verdana" w:hAnsi="Verdana" w:cs="Arial"/>
          <w:lang w:val="es-ES"/>
        </w:rPr>
        <w:t xml:space="preserve">, pero las partes acuerdan llevarla a cabo, o cuando la persona que podría oponerse a ella decide renunciar libremente a ese derecho; finalmente, la </w:t>
      </w:r>
      <w:r w:rsidRPr="00ED6485">
        <w:rPr>
          <w:rFonts w:ascii="Verdana" w:hAnsi="Verdana" w:cs="Arial"/>
          <w:i/>
          <w:iCs/>
          <w:lang w:val="es-ES"/>
        </w:rPr>
        <w:t>compensación judicial</w:t>
      </w:r>
      <w:r w:rsidRPr="00ED6485">
        <w:rPr>
          <w:rFonts w:ascii="Verdana" w:hAnsi="Verdana" w:cs="Arial"/>
          <w:lang w:val="es-ES"/>
        </w:rPr>
        <w:t xml:space="preserve"> supone que el deudor, al ser demandado, no puede alegar la </w:t>
      </w:r>
      <w:r w:rsidRPr="00ED6485">
        <w:rPr>
          <w:rFonts w:ascii="Verdana" w:hAnsi="Verdana" w:cs="Arial"/>
          <w:i/>
          <w:iCs/>
          <w:lang w:val="es-ES"/>
        </w:rPr>
        <w:t>compensación legal</w:t>
      </w:r>
      <w:r w:rsidRPr="00ED6485">
        <w:rPr>
          <w:rFonts w:ascii="Verdana" w:hAnsi="Verdana" w:cs="Arial"/>
          <w:lang w:val="es-ES"/>
        </w:rPr>
        <w:t xml:space="preserve"> porque su crédito no cumple con algún requisito, pero presenta una demanda de reconvención contra el demandante, y el juez, al determinar que ambas pretensiones son válidas, ordena la compensación en la sentencia</w:t>
      </w:r>
      <w:r w:rsidRPr="00ED6485">
        <w:rPr>
          <w:rStyle w:val="Refdenotaalpie"/>
          <w:rFonts w:ascii="Verdana" w:hAnsi="Verdana" w:cs="Arial"/>
          <w:lang w:val="es-ES"/>
        </w:rPr>
        <w:footnoteReference w:id="19"/>
      </w:r>
      <w:r w:rsidRPr="00ED6485">
        <w:rPr>
          <w:rFonts w:ascii="Verdana" w:hAnsi="Verdana" w:cs="Arial"/>
          <w:lang w:val="es-ES"/>
        </w:rPr>
        <w:t xml:space="preserve">. Ello muestra el carácter principal que asume la </w:t>
      </w:r>
      <w:r w:rsidRPr="00ED6485">
        <w:rPr>
          <w:rFonts w:ascii="Verdana" w:hAnsi="Verdana" w:cs="Arial"/>
          <w:i/>
          <w:iCs/>
          <w:lang w:val="es-ES"/>
        </w:rPr>
        <w:t>compensación legal</w:t>
      </w:r>
      <w:r w:rsidRPr="00ED6485">
        <w:rPr>
          <w:rFonts w:ascii="Verdana" w:hAnsi="Verdana" w:cs="Arial"/>
          <w:lang w:val="es-ES"/>
        </w:rPr>
        <w:t xml:space="preserve">, mientras que la </w:t>
      </w:r>
      <w:r w:rsidRPr="00ED6485">
        <w:rPr>
          <w:rFonts w:ascii="Verdana" w:hAnsi="Verdana" w:cs="Arial"/>
          <w:i/>
          <w:iCs/>
          <w:lang w:val="es-ES"/>
        </w:rPr>
        <w:t>compensación voluntaria</w:t>
      </w:r>
      <w:r w:rsidRPr="00ED6485">
        <w:rPr>
          <w:rFonts w:ascii="Verdana" w:hAnsi="Verdana" w:cs="Arial"/>
          <w:lang w:val="es-ES"/>
        </w:rPr>
        <w:t xml:space="preserve"> y la </w:t>
      </w:r>
      <w:r w:rsidRPr="00ED6485">
        <w:rPr>
          <w:rFonts w:ascii="Verdana" w:hAnsi="Verdana" w:cs="Arial"/>
          <w:i/>
          <w:iCs/>
          <w:lang w:val="es-ES"/>
        </w:rPr>
        <w:t>compensación judicial</w:t>
      </w:r>
      <w:r w:rsidRPr="00ED6485">
        <w:rPr>
          <w:rFonts w:ascii="Verdana" w:hAnsi="Verdana" w:cs="Arial"/>
          <w:lang w:val="es-ES"/>
        </w:rPr>
        <w:t xml:space="preserve"> tienen una naturaleza subsidiaria, pues ambas aplican en defecto de la primera.</w:t>
      </w:r>
    </w:p>
    <w:p w14:paraId="4370BAE4" w14:textId="77777777" w:rsidR="00DB2B86" w:rsidRPr="00ED6485" w:rsidRDefault="00DB2B86" w:rsidP="00DB2B86">
      <w:pPr>
        <w:tabs>
          <w:tab w:val="left" w:pos="0"/>
        </w:tabs>
        <w:spacing w:before="120" w:after="0" w:line="276" w:lineRule="auto"/>
        <w:ind w:right="191" w:firstLine="709"/>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Por el contrario, si los ANS pactados en ejercicio de la autonomía de la voluntad tienen el carácter sancionatorio en el contrato que prevé la declaración de multas o incumplimientos, su aplicación debe estar precedida por la garantía del debido proceso, que corresponde al del </w:t>
      </w:r>
      <w:r w:rsidRPr="00ED6485">
        <w:rPr>
          <w:rFonts w:ascii="Verdana" w:eastAsia="Calibri" w:hAnsi="Verdana" w:cs="Arial"/>
          <w:color w:val="000000" w:themeColor="text1"/>
          <w:lang w:val="es-ES"/>
        </w:rPr>
        <w:t xml:space="preserve">artículo 86 </w:t>
      </w:r>
      <w:r w:rsidRPr="00ED6485">
        <w:rPr>
          <w:rFonts w:ascii="Verdana" w:eastAsia="Calibri" w:hAnsi="Verdana" w:cs="Arial"/>
          <w:color w:val="000000"/>
          <w:lang w:val="es-ES" w:eastAsia="es-ES_tradnl"/>
        </w:rPr>
        <w:t>de la Ley 1474 de 2011.</w:t>
      </w:r>
    </w:p>
    <w:p w14:paraId="56BEA5CD" w14:textId="77777777" w:rsidR="00DB2B86" w:rsidRPr="00ED6485" w:rsidRDefault="00DB2B86" w:rsidP="00DB2B86">
      <w:pPr>
        <w:tabs>
          <w:tab w:val="left" w:pos="0"/>
        </w:tabs>
        <w:spacing w:before="120" w:after="0" w:line="276" w:lineRule="auto"/>
        <w:ind w:right="191" w:firstLine="709"/>
        <w:jc w:val="both"/>
        <w:rPr>
          <w:rFonts w:ascii="Verdana" w:hAnsi="Verdana" w:cs="Arial"/>
          <w:iCs/>
          <w:color w:val="000000" w:themeColor="text1"/>
          <w:lang w:val="es-ES"/>
        </w:rPr>
      </w:pPr>
      <w:r w:rsidRPr="00ED6485">
        <w:rPr>
          <w:rFonts w:ascii="Verdana" w:eastAsia="Calibri" w:hAnsi="Verdana" w:cs="Arial"/>
          <w:color w:val="000000"/>
          <w:lang w:val="es-ES" w:eastAsia="es-ES_tradnl"/>
        </w:rPr>
        <w:t xml:space="preserve">Sobre este supuesto, es importante resaltar que </w:t>
      </w:r>
      <w:r w:rsidRPr="00ED6485">
        <w:rPr>
          <w:rFonts w:ascii="Verdana" w:hAnsi="Verdana" w:cs="Arial"/>
          <w:iCs/>
          <w:color w:val="000000" w:themeColor="text1"/>
          <w:lang w:val="es-ES"/>
        </w:rPr>
        <w:t xml:space="preserve">las Entidades Estatales generalmente cuentan con distintas potestades exorbitantes o excepcionales con base en las cuales ejercen la dirección general del contrato y realizan las actividades propias de vigilancia y control, entre otras están: i) las cláusulas excepcionales del artículo 14 de la Ley 80 de 1993, donde se encuentran la terminación unilateral, la interpretación unilateral, la modificación unilateral, la caducidad y la reversión, las cuales se desarrollan en los artículos 15 a 19 </w:t>
      </w:r>
      <w:r w:rsidRPr="00ED6485">
        <w:rPr>
          <w:rFonts w:ascii="Verdana" w:hAnsi="Verdana" w:cs="Arial"/>
          <w:i/>
          <w:color w:val="000000" w:themeColor="text1"/>
          <w:lang w:val="es-ES"/>
        </w:rPr>
        <w:t>ibidem</w:t>
      </w:r>
      <w:r w:rsidRPr="00ED6485">
        <w:rPr>
          <w:rFonts w:ascii="Verdana" w:hAnsi="Verdana" w:cs="Arial"/>
          <w:iCs/>
          <w:color w:val="000000" w:themeColor="text1"/>
          <w:lang w:val="es-ES"/>
        </w:rPr>
        <w:t xml:space="preserve">; </w:t>
      </w:r>
      <w:proofErr w:type="spellStart"/>
      <w:r w:rsidRPr="00ED6485">
        <w:rPr>
          <w:rFonts w:ascii="Verdana" w:hAnsi="Verdana" w:cs="Arial"/>
          <w:iCs/>
          <w:color w:val="000000" w:themeColor="text1"/>
          <w:lang w:val="es-ES"/>
        </w:rPr>
        <w:t>ii</w:t>
      </w:r>
      <w:proofErr w:type="spellEnd"/>
      <w:r w:rsidRPr="00ED6485">
        <w:rPr>
          <w:rFonts w:ascii="Verdana" w:hAnsi="Verdana" w:cs="Arial"/>
          <w:iCs/>
          <w:color w:val="000000" w:themeColor="text1"/>
          <w:lang w:val="es-ES"/>
        </w:rPr>
        <w:t xml:space="preserve">) en otras disposiciones también se encuentran establecidas otras potestades exorbitantes, como la liquidación unilateral y la declaratoria </w:t>
      </w:r>
      <w:r w:rsidRPr="00ED6485">
        <w:rPr>
          <w:rFonts w:ascii="Verdana" w:hAnsi="Verdana" w:cs="Arial"/>
          <w:iCs/>
          <w:color w:val="000000" w:themeColor="text1"/>
          <w:lang w:val="es-ES"/>
        </w:rPr>
        <w:lastRenderedPageBreak/>
        <w:t xml:space="preserve">unilateral del siniestro; y </w:t>
      </w:r>
      <w:proofErr w:type="spellStart"/>
      <w:r w:rsidRPr="00ED6485">
        <w:rPr>
          <w:rFonts w:ascii="Verdana" w:hAnsi="Verdana" w:cs="Arial"/>
          <w:iCs/>
          <w:color w:val="000000" w:themeColor="text1"/>
          <w:lang w:val="es-ES"/>
        </w:rPr>
        <w:t>iii</w:t>
      </w:r>
      <w:proofErr w:type="spellEnd"/>
      <w:r w:rsidRPr="00ED6485">
        <w:rPr>
          <w:rFonts w:ascii="Verdana" w:hAnsi="Verdana" w:cs="Arial"/>
          <w:iCs/>
          <w:color w:val="000000" w:themeColor="text1"/>
          <w:lang w:val="es-ES"/>
        </w:rPr>
        <w:t xml:space="preserve">) por sus características, que se enunciarán en este concepto, se tratan en un grupo distinto las cláusulas excepcionales de </w:t>
      </w:r>
      <w:r w:rsidRPr="00ED6485">
        <w:rPr>
          <w:rFonts w:ascii="Verdana" w:hAnsi="Verdana" w:cs="Arial"/>
          <w:i/>
          <w:color w:val="000000" w:themeColor="text1"/>
          <w:lang w:val="es-ES"/>
        </w:rPr>
        <w:t>imposición unilateral</w:t>
      </w:r>
      <w:r w:rsidRPr="00ED6485">
        <w:rPr>
          <w:rFonts w:ascii="Verdana" w:hAnsi="Verdana" w:cs="Arial"/>
          <w:iCs/>
          <w:color w:val="000000" w:themeColor="text1"/>
          <w:lang w:val="es-ES"/>
        </w:rPr>
        <w:t xml:space="preserve"> de las cláusulas penales y de multas, aclarando que su exorbitancia se refiere a su imposición unilateral, no a su pacto, que es posible en virtud de las normas civiles y comerciales.</w:t>
      </w:r>
    </w:p>
    <w:p w14:paraId="6AEB95AB" w14:textId="77777777" w:rsidR="00DB2B86" w:rsidRPr="00ED6485" w:rsidRDefault="00DB2B86" w:rsidP="00DB2B86">
      <w:pPr>
        <w:spacing w:before="120" w:line="276" w:lineRule="auto"/>
        <w:ind w:right="142" w:firstLine="709"/>
        <w:jc w:val="both"/>
        <w:rPr>
          <w:rFonts w:ascii="Verdana" w:hAnsi="Verdana" w:cs="Arial"/>
          <w:iCs/>
          <w:color w:val="000000" w:themeColor="text1"/>
          <w:lang w:val="es-ES"/>
        </w:rPr>
      </w:pPr>
      <w:r w:rsidRPr="00ED6485">
        <w:rPr>
          <w:rFonts w:ascii="Verdana" w:hAnsi="Verdana" w:cs="Arial"/>
          <w:i/>
          <w:color w:val="000000" w:themeColor="text1"/>
          <w:lang w:val="es-ES"/>
        </w:rPr>
        <w:t>La imposición unilateral</w:t>
      </w:r>
      <w:r w:rsidRPr="00ED6485">
        <w:rPr>
          <w:rFonts w:ascii="Verdana" w:hAnsi="Verdana" w:cs="Arial"/>
          <w:iCs/>
          <w:color w:val="000000" w:themeColor="text1"/>
          <w:lang w:val="es-ES"/>
        </w:rPr>
        <w:t xml:space="preserve"> de la multa o la cláusula penal cuenta con una particular combinación entre el principio de legalidad y la autonomía de la voluntad, de tal suerte </w:t>
      </w:r>
      <w:proofErr w:type="gramStart"/>
      <w:r w:rsidRPr="00ED6485">
        <w:rPr>
          <w:rFonts w:ascii="Verdana" w:hAnsi="Verdana" w:cs="Arial"/>
          <w:iCs/>
          <w:color w:val="000000" w:themeColor="text1"/>
          <w:lang w:val="es-ES"/>
        </w:rPr>
        <w:t>que</w:t>
      </w:r>
      <w:proofErr w:type="gramEnd"/>
      <w:r w:rsidRPr="00ED6485">
        <w:rPr>
          <w:rFonts w:ascii="Verdana" w:hAnsi="Verdana" w:cs="Arial"/>
          <w:iCs/>
          <w:color w:val="000000" w:themeColor="text1"/>
          <w:lang w:val="es-ES"/>
        </w:rPr>
        <w:t xml:space="preserv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00ED6485">
        <w:rPr>
          <w:rFonts w:ascii="Verdana" w:hAnsi="Verdana" w:cs="Arial"/>
          <w:color w:val="000000" w:themeColor="text1"/>
          <w:vertAlign w:val="superscript"/>
          <w:lang w:val="es-ES"/>
        </w:rPr>
        <w:footnoteReference w:id="20"/>
      </w:r>
      <w:r w:rsidRPr="00ED6485">
        <w:rPr>
          <w:rFonts w:ascii="Verdana" w:hAnsi="Verdana" w:cs="Arial"/>
          <w:iCs/>
          <w:color w:val="000000" w:themeColor="text1"/>
          <w:lang w:val="es-ES"/>
        </w:rPr>
        <w:t xml:space="preserve">. No obstante, cumplido el requisito del pacto en el contrato, las entidades estatales sometidas al EGCAP, por ministerio de la ley –artículo 17 de la Ley 1150 de 2007–, se entienden investidas de la prerrogativa de imposición unilateral. </w:t>
      </w:r>
    </w:p>
    <w:p w14:paraId="6AD9A60C" w14:textId="77777777" w:rsidR="00DB2B86" w:rsidRPr="00ED6485" w:rsidRDefault="00DB2B86" w:rsidP="00DB2B86">
      <w:pPr>
        <w:spacing w:before="120" w:after="0" w:line="276" w:lineRule="auto"/>
        <w:ind w:right="142" w:firstLine="709"/>
        <w:jc w:val="both"/>
        <w:rPr>
          <w:rFonts w:ascii="Verdana" w:hAnsi="Verdana" w:cs="Arial"/>
          <w:iCs/>
          <w:color w:val="000000" w:themeColor="text1"/>
          <w:lang w:val="es-ES"/>
        </w:rPr>
      </w:pPr>
      <w:r w:rsidRPr="00ED6485">
        <w:rPr>
          <w:rFonts w:ascii="Verdana" w:hAnsi="Verdana" w:cs="Arial"/>
          <w:iCs/>
          <w:color w:val="000000" w:themeColor="text1"/>
          <w:lang w:val="es-ES"/>
        </w:rPr>
        <w:t xml:space="preserve">En efecto, tratándose de las multas, en cumplimiento del principio de tipicidad, las partes deben determinar pormenorizadamente las acciones u omisiones objeto de sanción y el monto de la sanción a imponer, el cual, en todo caso, debe atender los criterios de proporcionalidad y razonabilidad. En esa línea se pronunció la Sección Tercera del Consejo de Estado, en la Sentencia del 15 de noviembre de 2011, expediente 20.916, con ponencia de Olga Mélida Valle de </w:t>
      </w:r>
      <w:proofErr w:type="spellStart"/>
      <w:r w:rsidRPr="00ED6485">
        <w:rPr>
          <w:rFonts w:ascii="Verdana" w:hAnsi="Verdana" w:cs="Arial"/>
          <w:iCs/>
          <w:color w:val="000000" w:themeColor="text1"/>
          <w:lang w:val="es-ES"/>
        </w:rPr>
        <w:t>De</w:t>
      </w:r>
      <w:proofErr w:type="spellEnd"/>
      <w:r w:rsidRPr="00ED6485">
        <w:rPr>
          <w:rFonts w:ascii="Verdana" w:hAnsi="Verdana" w:cs="Arial"/>
          <w:iCs/>
          <w:color w:val="000000" w:themeColor="text1"/>
          <w:lang w:val="es-ES"/>
        </w:rPr>
        <w:t xml:space="preserve"> La Hoz:</w:t>
      </w:r>
    </w:p>
    <w:p w14:paraId="3AC40DF9" w14:textId="77777777" w:rsidR="00DB2B86" w:rsidRPr="00ED6485" w:rsidRDefault="00DB2B86" w:rsidP="00DB2B86">
      <w:pPr>
        <w:pStyle w:val="Prrafodelista"/>
        <w:spacing w:line="276" w:lineRule="auto"/>
        <w:ind w:right="-425"/>
        <w:jc w:val="both"/>
        <w:rPr>
          <w:rFonts w:ascii="Verdana" w:hAnsi="Verdana" w:cs="Arial"/>
          <w:iCs/>
          <w:color w:val="000000" w:themeColor="text1"/>
        </w:rPr>
      </w:pPr>
    </w:p>
    <w:p w14:paraId="0E58EDCA" w14:textId="77777777" w:rsidR="00DB2B86" w:rsidRPr="00ED6485" w:rsidRDefault="00DB2B86" w:rsidP="00DB2B86">
      <w:pPr>
        <w:pStyle w:val="Prrafodelista"/>
        <w:spacing w:after="120"/>
        <w:ind w:left="709" w:right="758"/>
        <w:jc w:val="both"/>
        <w:rPr>
          <w:rFonts w:ascii="Verdana" w:hAnsi="Verdana" w:cs="Arial"/>
          <w:iCs/>
          <w:color w:val="000000" w:themeColor="text1"/>
          <w:sz w:val="20"/>
          <w:szCs w:val="20"/>
        </w:rPr>
      </w:pPr>
      <w:r w:rsidRPr="00ED6485">
        <w:rPr>
          <w:rFonts w:ascii="Verdana" w:hAnsi="Verdana" w:cs="Arial"/>
          <w:iCs/>
          <w:color w:val="000000" w:themeColor="text1"/>
          <w:sz w:val="20"/>
          <w:szCs w:val="20"/>
        </w:rPr>
        <w:t xml:space="preserve">“De otro lado, según se ha expuesto, otras sanciones contractuales, como la multa y la cláusula penal, mantienen la libertad de pacto, es decir, que la ley no determina las conductas que las originan, y las partes pueden hacerlo con gran libertad -pero tampoco arbitrariamente-. Pese a este relajamiento del principio de legalidad fuerte, en todo caso se conserva el principio de tipicidad, según el cual las partes del negocio deben describir la conducta prohibida en la cláusula contractual. Además, también se mantiene el principio que impone que la conducta reprochable se establezca de manera previa a su realización –lex previa–, para evitar la arbitrariedad y el abuso de poder”. </w:t>
      </w:r>
    </w:p>
    <w:p w14:paraId="04A71A2E" w14:textId="77777777" w:rsidR="00DB2B86" w:rsidRPr="00ED6485" w:rsidRDefault="00DB2B86" w:rsidP="00DB2B86">
      <w:pPr>
        <w:spacing w:after="0" w:line="276" w:lineRule="auto"/>
        <w:ind w:left="709" w:right="758"/>
        <w:jc w:val="both"/>
        <w:rPr>
          <w:rFonts w:ascii="Verdana" w:hAnsi="Verdana" w:cs="Arial"/>
          <w:iCs/>
          <w:color w:val="000000" w:themeColor="text1"/>
          <w:lang w:val="es-ES"/>
        </w:rPr>
      </w:pPr>
    </w:p>
    <w:p w14:paraId="19A4083E" w14:textId="77777777" w:rsidR="00DB2B86" w:rsidRPr="00ED6485" w:rsidRDefault="00DB2B86" w:rsidP="00DB2B86">
      <w:pPr>
        <w:spacing w:after="0" w:line="276" w:lineRule="auto"/>
        <w:ind w:right="142" w:firstLine="708"/>
        <w:jc w:val="both"/>
        <w:rPr>
          <w:rFonts w:ascii="Verdana" w:hAnsi="Verdana" w:cs="Arial"/>
          <w:iCs/>
          <w:color w:val="000000" w:themeColor="text1"/>
          <w:lang w:val="es-ES"/>
        </w:rPr>
      </w:pPr>
      <w:r w:rsidRPr="00ED6485">
        <w:rPr>
          <w:rFonts w:ascii="Verdana" w:hAnsi="Verdana" w:cs="Arial"/>
          <w:iCs/>
          <w:color w:val="000000" w:themeColor="text1"/>
          <w:lang w:val="es-ES"/>
        </w:rPr>
        <w:lastRenderedPageBreak/>
        <w:t xml:space="preserve">De igual forma, en la sentencia del 23 de junio de 2010, expediente 16.367 y ponencia de Enrique Gil Botero, la Sección Tercera del Consejo de Estado indicó que “el núcleo mínimo de este derecho exige que una norma –legal o contractual– contemple la falta y la sanción. Si ni siquiera lo hace el contrato, la administración no puede imponer sanciones, so pena de violar el debido proceso”. Asimismo, frente al tema </w:t>
      </w:r>
      <w:r w:rsidRPr="00ED6485">
        <w:rPr>
          <w:rFonts w:ascii="Verdana" w:hAnsi="Verdana" w:cs="Arial"/>
          <w:i/>
          <w:color w:val="000000" w:themeColor="text1"/>
          <w:lang w:val="es-ES"/>
        </w:rPr>
        <w:t xml:space="preserve">sub examine, </w:t>
      </w:r>
      <w:r w:rsidRPr="00ED6485">
        <w:rPr>
          <w:rFonts w:ascii="Verdana" w:hAnsi="Verdana" w:cs="Arial"/>
          <w:iCs/>
          <w:color w:val="000000" w:themeColor="text1"/>
          <w:lang w:val="es-ES"/>
        </w:rPr>
        <w:t xml:space="preserve">el máximo Tribunal de lo Contencioso Administrativo, en sentencia del 13 de noviembre de 2008, indicó </w:t>
      </w:r>
      <w:proofErr w:type="gramStart"/>
      <w:r w:rsidRPr="00ED6485">
        <w:rPr>
          <w:rFonts w:ascii="Verdana" w:hAnsi="Verdana" w:cs="Arial"/>
          <w:i/>
          <w:color w:val="000000" w:themeColor="text1"/>
          <w:lang w:val="es-ES"/>
        </w:rPr>
        <w:t>in extenso</w:t>
      </w:r>
      <w:proofErr w:type="gramEnd"/>
      <w:r w:rsidRPr="00ED6485">
        <w:rPr>
          <w:rFonts w:ascii="Verdana" w:hAnsi="Verdana" w:cs="Arial"/>
          <w:i/>
          <w:color w:val="000000" w:themeColor="text1"/>
          <w:lang w:val="es-ES"/>
        </w:rPr>
        <w:t xml:space="preserve"> </w:t>
      </w:r>
      <w:r w:rsidRPr="00ED6485">
        <w:rPr>
          <w:rFonts w:ascii="Verdana" w:hAnsi="Verdana" w:cs="Arial"/>
          <w:iCs/>
          <w:color w:val="000000" w:themeColor="text1"/>
          <w:lang w:val="es-ES"/>
        </w:rPr>
        <w:t>lo siguiente:</w:t>
      </w:r>
    </w:p>
    <w:p w14:paraId="44DCE879" w14:textId="77777777" w:rsidR="00DB2B86" w:rsidRPr="00ED6485" w:rsidRDefault="00DB2B86" w:rsidP="00DB2B86">
      <w:pPr>
        <w:pStyle w:val="Prrafodelista"/>
        <w:spacing w:line="276" w:lineRule="auto"/>
        <w:ind w:right="-425"/>
        <w:jc w:val="both"/>
        <w:rPr>
          <w:rFonts w:ascii="Verdana" w:hAnsi="Verdana" w:cs="Arial"/>
          <w:iCs/>
          <w:color w:val="000000" w:themeColor="text1"/>
        </w:rPr>
      </w:pPr>
    </w:p>
    <w:p w14:paraId="69CF3B67" w14:textId="77777777" w:rsidR="00DB2B86" w:rsidRPr="00ED6485" w:rsidRDefault="00DB2B86" w:rsidP="00DB2B86">
      <w:pPr>
        <w:pStyle w:val="Prrafodelista"/>
        <w:ind w:left="709" w:right="758"/>
        <w:jc w:val="both"/>
        <w:rPr>
          <w:rFonts w:ascii="Verdana" w:hAnsi="Verdana" w:cs="Arial"/>
          <w:iCs/>
          <w:color w:val="000000" w:themeColor="text1"/>
          <w:sz w:val="20"/>
          <w:szCs w:val="20"/>
        </w:rPr>
      </w:pPr>
      <w:r w:rsidRPr="00ED6485">
        <w:rPr>
          <w:rFonts w:ascii="Verdana" w:hAnsi="Verdana" w:cs="Arial"/>
          <w:iCs/>
          <w:color w:val="000000" w:themeColor="text1"/>
          <w:sz w:val="20"/>
          <w:szCs w:val="20"/>
        </w:rPr>
        <w:t>“La otra, la débil, donde se enmarcan la mayoría de las sanciones contractuales, hace relación a que lo determinante no es que una Ley sea quien contemple las faltas y las sanciones, sino que sea una norma –por ejemplo, un reglamento- quien en forma previa y clara las estipule. A este grupo pertenecen buena parte de las sanciones administrativas, como las educativas, las cuales no están consagradas en una ley expedida por el legislador o por el ejecutivo al amparo de facultades extraordinarias, sino en simples reglamentos administrativos internos.</w:t>
      </w:r>
    </w:p>
    <w:p w14:paraId="4E26C944" w14:textId="77777777" w:rsidR="00DB2B86" w:rsidRPr="00ED6485" w:rsidRDefault="00DB2B86" w:rsidP="00DB2B86">
      <w:pPr>
        <w:pStyle w:val="Prrafodelista"/>
        <w:ind w:left="709" w:right="758"/>
        <w:jc w:val="both"/>
        <w:rPr>
          <w:rFonts w:ascii="Verdana" w:hAnsi="Verdana" w:cs="Arial"/>
          <w:iCs/>
          <w:color w:val="000000" w:themeColor="text1"/>
          <w:sz w:val="12"/>
          <w:szCs w:val="12"/>
        </w:rPr>
      </w:pPr>
    </w:p>
    <w:p w14:paraId="4104104B" w14:textId="77777777" w:rsidR="00DB2B86" w:rsidRPr="00ED6485" w:rsidRDefault="00DB2B86" w:rsidP="00DB2B86">
      <w:pPr>
        <w:pStyle w:val="Prrafodelista"/>
        <w:ind w:left="709" w:right="758"/>
        <w:jc w:val="both"/>
        <w:rPr>
          <w:rFonts w:ascii="Verdana" w:hAnsi="Verdana" w:cs="Arial"/>
          <w:iCs/>
          <w:color w:val="000000" w:themeColor="text1"/>
          <w:sz w:val="20"/>
          <w:szCs w:val="20"/>
        </w:rPr>
      </w:pPr>
      <w:r w:rsidRPr="00ED6485">
        <w:rPr>
          <w:rFonts w:ascii="Verdana" w:hAnsi="Verdana" w:cs="Arial"/>
          <w:iCs/>
          <w:color w:val="000000" w:themeColor="text1"/>
          <w:sz w:val="20"/>
          <w:szCs w:val="20"/>
        </w:rPr>
        <w:t>Algunas de las sanciones contractuales podrían enmarcarse en esta clasificación, pues es claro que la ley –bien la que expide el Congreso o bien los decretos con fuerza de ley– no las contempla de manera directa –salvo excepciones–. Tal es el caso de las multas y de la cláusula penal pecuniaria, que están autorizadas por la ley, pero no previstas en ella, sino en cada contrato, en caso de que las partes las pacten.</w:t>
      </w:r>
    </w:p>
    <w:p w14:paraId="53F1D7E0" w14:textId="77777777" w:rsidR="00DB2B86" w:rsidRPr="00ED6485" w:rsidRDefault="00DB2B86" w:rsidP="00DB2B86">
      <w:pPr>
        <w:pStyle w:val="Prrafodelista"/>
        <w:ind w:left="709" w:right="758"/>
        <w:jc w:val="both"/>
        <w:rPr>
          <w:rFonts w:ascii="Verdana" w:hAnsi="Verdana" w:cs="Arial"/>
          <w:iCs/>
          <w:color w:val="000000" w:themeColor="text1"/>
          <w:sz w:val="12"/>
          <w:szCs w:val="12"/>
        </w:rPr>
      </w:pPr>
    </w:p>
    <w:p w14:paraId="7FF382EA" w14:textId="77777777" w:rsidR="00DB2B86" w:rsidRPr="00ED6485" w:rsidRDefault="00DB2B86" w:rsidP="00DB2B86">
      <w:pPr>
        <w:pStyle w:val="Prrafodelista"/>
        <w:ind w:left="709" w:right="758"/>
        <w:jc w:val="both"/>
        <w:rPr>
          <w:rFonts w:ascii="Verdana" w:hAnsi="Verdana" w:cs="Arial"/>
          <w:iCs/>
          <w:color w:val="000000" w:themeColor="text1"/>
          <w:sz w:val="20"/>
          <w:szCs w:val="20"/>
        </w:rPr>
      </w:pPr>
      <w:r w:rsidRPr="00ED6485">
        <w:rPr>
          <w:rFonts w:ascii="Verdana" w:hAnsi="Verdana" w:cs="Arial"/>
          <w:iCs/>
          <w:color w:val="000000" w:themeColor="text1"/>
          <w:sz w:val="20"/>
          <w:szCs w:val="20"/>
        </w:rPr>
        <w:t>Obsérvese cómo el ‘principio de legalidad’ –es decir, la predeterminación de las conductas en la Ley–, en materia contractual se reduce a la simple “tipicidad” de la conducta –es decir, a la descripción y especificación normativa del comportamiento prohibido–, pues lo determinante no es que la Ley contemple la falta y la sanción, sino que estén previamente definidas en cualquier norma, sin que importe que sea o no una ley quien lo haga.</w:t>
      </w:r>
    </w:p>
    <w:p w14:paraId="3BF24358" w14:textId="77777777" w:rsidR="00DB2B86" w:rsidRPr="00ED6485" w:rsidRDefault="00DB2B86" w:rsidP="00DB2B86">
      <w:pPr>
        <w:pStyle w:val="Prrafodelista"/>
        <w:ind w:left="709" w:right="758"/>
        <w:jc w:val="both"/>
        <w:rPr>
          <w:rFonts w:ascii="Verdana" w:hAnsi="Verdana" w:cs="Arial"/>
          <w:iCs/>
          <w:color w:val="000000" w:themeColor="text1"/>
          <w:sz w:val="12"/>
          <w:szCs w:val="12"/>
        </w:rPr>
      </w:pPr>
    </w:p>
    <w:p w14:paraId="580E5604" w14:textId="77777777" w:rsidR="00DB2B86" w:rsidRPr="00ED6485" w:rsidRDefault="00DB2B86" w:rsidP="00DB2B86">
      <w:pPr>
        <w:pStyle w:val="Prrafodelista"/>
        <w:ind w:left="709" w:right="758"/>
        <w:jc w:val="both"/>
        <w:rPr>
          <w:rFonts w:ascii="Verdana" w:hAnsi="Verdana" w:cs="Arial"/>
          <w:iCs/>
          <w:color w:val="000000" w:themeColor="text1"/>
          <w:sz w:val="20"/>
          <w:szCs w:val="20"/>
        </w:rPr>
      </w:pPr>
      <w:r w:rsidRPr="00ED6485">
        <w:rPr>
          <w:rFonts w:ascii="Verdana" w:hAnsi="Verdana" w:cs="Arial"/>
          <w:iCs/>
          <w:color w:val="000000" w:themeColor="text1"/>
          <w:sz w:val="20"/>
          <w:szCs w:val="20"/>
        </w:rPr>
        <w:t xml:space="preserve">Por tanto, en materia contractual opera una especie de combinación entre el principio de legalidad y el de la autonomía de la voluntad: el primero exige que las conductas reprochables entre las partes del contrato se contemplen previamente, con su correspondiente sanción, y el segundo permite que sean las partes –no la ley; pero autorizadas por ella– quienes definan esas conductas y la sanción. Se trata, no cabe duda, de un </w:t>
      </w:r>
      <w:r w:rsidRPr="00ED6485">
        <w:rPr>
          <w:rFonts w:ascii="Verdana" w:hAnsi="Verdana" w:cs="Arial"/>
          <w:iCs/>
          <w:color w:val="000000" w:themeColor="text1"/>
          <w:sz w:val="20"/>
          <w:szCs w:val="20"/>
        </w:rPr>
        <w:lastRenderedPageBreak/>
        <w:t>supuesto de ius puniendi sui generis al que regula el art. 29 CP., en lo que respecta, por lo menos, a la legalidad”</w:t>
      </w:r>
      <w:r w:rsidRPr="00ED6485">
        <w:rPr>
          <w:rStyle w:val="Refdenotaalpie"/>
          <w:rFonts w:ascii="Verdana" w:hAnsi="Verdana" w:cs="Arial"/>
          <w:iCs/>
          <w:color w:val="000000" w:themeColor="text1"/>
          <w:sz w:val="20"/>
          <w:szCs w:val="20"/>
        </w:rPr>
        <w:footnoteReference w:id="21"/>
      </w:r>
      <w:r w:rsidRPr="00ED6485">
        <w:rPr>
          <w:rFonts w:ascii="Verdana" w:hAnsi="Verdana" w:cs="Arial"/>
          <w:iCs/>
          <w:color w:val="000000" w:themeColor="text1"/>
          <w:sz w:val="20"/>
          <w:szCs w:val="20"/>
        </w:rPr>
        <w:t>.</w:t>
      </w:r>
    </w:p>
    <w:p w14:paraId="3906C97F" w14:textId="77777777" w:rsidR="00DB2B86" w:rsidRPr="00ED6485" w:rsidRDefault="00DB2B86" w:rsidP="00DB2B86">
      <w:pPr>
        <w:pStyle w:val="Prrafodelista"/>
        <w:spacing w:after="0" w:line="276" w:lineRule="auto"/>
        <w:ind w:right="-425"/>
        <w:jc w:val="both"/>
        <w:rPr>
          <w:rFonts w:ascii="Verdana" w:hAnsi="Verdana" w:cs="Arial"/>
          <w:iCs/>
          <w:color w:val="000000" w:themeColor="text1"/>
        </w:rPr>
      </w:pPr>
    </w:p>
    <w:p w14:paraId="546CD225" w14:textId="77777777" w:rsidR="00DB2B86" w:rsidRPr="00ED6485" w:rsidRDefault="00DB2B86" w:rsidP="00DB2B86">
      <w:pPr>
        <w:spacing w:line="276" w:lineRule="auto"/>
        <w:ind w:right="142" w:firstLine="708"/>
        <w:jc w:val="both"/>
        <w:rPr>
          <w:rFonts w:ascii="Verdana" w:hAnsi="Verdana" w:cs="Arial"/>
          <w:iCs/>
          <w:color w:val="000000" w:themeColor="text1"/>
          <w:lang w:val="es-ES"/>
        </w:rPr>
      </w:pPr>
      <w:r w:rsidRPr="00ED6485">
        <w:rPr>
          <w:rFonts w:ascii="Verdana" w:hAnsi="Verdana" w:cs="Arial"/>
          <w:iCs/>
          <w:color w:val="000000" w:themeColor="text1"/>
          <w:lang w:val="es-ES"/>
        </w:rPr>
        <w:t>De otro lado, la Corte Constitucional precisó que la tipicidad hacía referencia a “la exigencia de descripción específica y precisa por la norma creadora de las infracciones y de las sanciones, de las conductas que pueden ser sancionadas y del contenido material de las sanciones que puede imponerse por la comisión de cada conducta, así como la correlación entre unas y otras”</w:t>
      </w:r>
      <w:r w:rsidRPr="00ED6485">
        <w:rPr>
          <w:rStyle w:val="Refdenotaalpie"/>
          <w:rFonts w:ascii="Verdana" w:hAnsi="Verdana" w:cs="Arial"/>
          <w:iCs/>
          <w:color w:val="000000" w:themeColor="text1"/>
          <w:lang w:val="es-ES"/>
        </w:rPr>
        <w:footnoteReference w:id="22"/>
      </w:r>
      <w:r w:rsidRPr="00ED6485">
        <w:rPr>
          <w:rFonts w:ascii="Verdana" w:hAnsi="Verdana" w:cs="Arial"/>
          <w:iCs/>
          <w:color w:val="000000" w:themeColor="text1"/>
          <w:lang w:val="es-ES"/>
        </w:rPr>
        <w:t xml:space="preserve">. Por su parte, el artículo 17 de la Ley 1150 de 2007, además de autorizar la imposición unilateral de multas, también precisa que la declaración de incumplimiento tiene como propósito “hacer efectiva la cláusula penal pecuniaria incluida en el contrato”. </w:t>
      </w:r>
    </w:p>
    <w:p w14:paraId="6DC6BA71" w14:textId="77777777" w:rsidR="00DB2B86" w:rsidRPr="00ED6485" w:rsidRDefault="00DB2B86" w:rsidP="00DB2B86">
      <w:pPr>
        <w:spacing w:before="120" w:line="276" w:lineRule="auto"/>
        <w:ind w:right="142" w:firstLine="709"/>
        <w:jc w:val="both"/>
        <w:rPr>
          <w:rFonts w:ascii="Verdana" w:hAnsi="Verdana" w:cs="Arial"/>
          <w:iCs/>
          <w:color w:val="000000" w:themeColor="text1"/>
          <w:lang w:val="es-ES"/>
        </w:rPr>
      </w:pPr>
      <w:r w:rsidRPr="00ED6485">
        <w:rPr>
          <w:rFonts w:ascii="Verdana" w:hAnsi="Verdana" w:cs="Arial"/>
          <w:iCs/>
          <w:color w:val="000000" w:themeColor="text1"/>
          <w:lang w:val="es-ES"/>
        </w:rPr>
        <w:t>La Sección Tercera del Consejo de Estado, en relación con las diferencias entre las multas y la cláusula penal, ha señalado que: “Aunque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sidRPr="00ED6485">
        <w:rPr>
          <w:rFonts w:ascii="Verdana" w:hAnsi="Verdana" w:cs="Arial"/>
          <w:color w:val="000000" w:themeColor="text1"/>
          <w:vertAlign w:val="superscript"/>
          <w:lang w:val="es-ES"/>
        </w:rPr>
        <w:footnoteReference w:id="23"/>
      </w:r>
      <w:r w:rsidRPr="00ED6485">
        <w:rPr>
          <w:rFonts w:ascii="Verdana" w:hAnsi="Verdana" w:cs="Arial"/>
          <w:iCs/>
          <w:color w:val="000000" w:themeColor="text1"/>
          <w:lang w:val="es-ES"/>
        </w:rPr>
        <w:t>.</w:t>
      </w:r>
    </w:p>
    <w:p w14:paraId="7BEB7B8E" w14:textId="77777777" w:rsidR="00DB2B86" w:rsidRPr="00ED6485" w:rsidRDefault="00DB2B86" w:rsidP="00DB2B86">
      <w:pPr>
        <w:spacing w:before="120" w:line="276" w:lineRule="auto"/>
        <w:ind w:right="142" w:firstLine="709"/>
        <w:jc w:val="both"/>
        <w:rPr>
          <w:rFonts w:ascii="Verdana" w:hAnsi="Verdana" w:cs="Arial"/>
          <w:iCs/>
          <w:color w:val="000000" w:themeColor="text1"/>
          <w:lang w:val="es-ES"/>
        </w:rPr>
      </w:pPr>
      <w:r w:rsidRPr="00ED6485">
        <w:rPr>
          <w:rFonts w:ascii="Verdana" w:hAnsi="Verdana" w:cs="Arial"/>
          <w:iCs/>
          <w:color w:val="000000" w:themeColor="text1"/>
          <w:lang w:val="es-ES"/>
        </w:rPr>
        <w:t xml:space="preserve">Igualmente, la Ley 1474 de 2011 contempla la posibilidad de declarar el incumplimiento cuantificando los perjuicios </w:t>
      </w:r>
      <w:proofErr w:type="gramStart"/>
      <w:r w:rsidRPr="00ED6485">
        <w:rPr>
          <w:rFonts w:ascii="Verdana" w:hAnsi="Verdana" w:cs="Arial"/>
          <w:iCs/>
          <w:color w:val="000000" w:themeColor="text1"/>
          <w:lang w:val="es-ES"/>
        </w:rPr>
        <w:t>del mismo</w:t>
      </w:r>
      <w:proofErr w:type="gramEnd"/>
      <w:r w:rsidRPr="00ED6485">
        <w:rPr>
          <w:rFonts w:ascii="Verdana" w:hAnsi="Verdana" w:cs="Arial"/>
          <w:iCs/>
          <w:color w:val="000000" w:themeColor="text1"/>
          <w:lang w:val="es-ES"/>
        </w:rPr>
        <w:t>, claro está, previa citación del contratista y respetando el debido proceso. Al respecto, el artículo 86 de la Ley 1474 de 2011 establece las etapas del procedimiento que se deben seguir: i) c</w:t>
      </w:r>
      <w:r w:rsidRPr="00ED6485">
        <w:rPr>
          <w:rFonts w:ascii="Verdana" w:hAnsi="Verdana" w:cs="Arial"/>
          <w:i/>
          <w:iCs/>
          <w:color w:val="000000" w:themeColor="text1"/>
          <w:lang w:val="es-ES"/>
        </w:rPr>
        <w:t>itación a audiencia</w:t>
      </w:r>
      <w:r w:rsidRPr="00ED6485">
        <w:rPr>
          <w:rFonts w:ascii="Verdana" w:hAnsi="Verdana" w:cs="Arial"/>
          <w:iCs/>
          <w:color w:val="000000" w:themeColor="text1"/>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w:t>
      </w:r>
      <w:proofErr w:type="spellStart"/>
      <w:r w:rsidRPr="00ED6485">
        <w:rPr>
          <w:rFonts w:ascii="Verdana" w:hAnsi="Verdana" w:cs="Arial"/>
          <w:iCs/>
          <w:color w:val="000000" w:themeColor="text1"/>
          <w:lang w:val="es-ES"/>
        </w:rPr>
        <w:t>ii</w:t>
      </w:r>
      <w:proofErr w:type="spellEnd"/>
      <w:r w:rsidRPr="00ED6485">
        <w:rPr>
          <w:rFonts w:ascii="Verdana" w:hAnsi="Verdana" w:cs="Arial"/>
          <w:iCs/>
          <w:color w:val="000000" w:themeColor="text1"/>
          <w:lang w:val="es-ES"/>
        </w:rPr>
        <w:t xml:space="preserve">) </w:t>
      </w:r>
      <w:r w:rsidRPr="00ED6485">
        <w:rPr>
          <w:rFonts w:ascii="Verdana" w:hAnsi="Verdana" w:cs="Arial"/>
          <w:i/>
          <w:iCs/>
          <w:color w:val="000000" w:themeColor="text1"/>
          <w:lang w:val="es-ES"/>
        </w:rPr>
        <w:t>Audiencia</w:t>
      </w:r>
      <w:r w:rsidRPr="00ED6485">
        <w:rPr>
          <w:rFonts w:ascii="Verdana" w:hAnsi="Verdana" w:cs="Arial"/>
          <w:iCs/>
          <w:color w:val="000000" w:themeColor="text1"/>
          <w:lang w:val="es-ES"/>
        </w:rPr>
        <w:t xml:space="preserve">. En la diligencia intervendrá el jefe de la entidad o su </w:t>
      </w:r>
      <w:r w:rsidRPr="00ED6485">
        <w:rPr>
          <w:rFonts w:ascii="Verdana" w:hAnsi="Verdana" w:cs="Arial"/>
          <w:iCs/>
          <w:color w:val="000000" w:themeColor="text1"/>
          <w:lang w:val="es-ES"/>
        </w:rPr>
        <w:lastRenderedPageBreak/>
        <w:t xml:space="preserve">delegado y, posteriormente, se le concederá el uso de la palabra al representante legal del contratista o a quien lo represente y al garante, en caso de ser necesario, para que estos presenten sus descargos, aporten y controviertan pruebas y rindan las explicaciones del caso; y </w:t>
      </w:r>
      <w:proofErr w:type="spellStart"/>
      <w:r w:rsidRPr="00ED6485">
        <w:rPr>
          <w:rFonts w:ascii="Verdana" w:hAnsi="Verdana" w:cs="Arial"/>
          <w:iCs/>
          <w:color w:val="000000" w:themeColor="text1"/>
          <w:lang w:val="es-ES"/>
        </w:rPr>
        <w:t>iii</w:t>
      </w:r>
      <w:proofErr w:type="spellEnd"/>
      <w:r w:rsidRPr="00ED6485">
        <w:rPr>
          <w:rFonts w:ascii="Verdana" w:hAnsi="Verdana" w:cs="Arial"/>
          <w:iCs/>
          <w:color w:val="000000" w:themeColor="text1"/>
          <w:lang w:val="es-ES"/>
        </w:rPr>
        <w:t xml:space="preserve">) </w:t>
      </w:r>
      <w:r w:rsidRPr="00ED6485">
        <w:rPr>
          <w:rFonts w:ascii="Verdana" w:hAnsi="Verdana" w:cs="Arial"/>
          <w:i/>
          <w:iCs/>
          <w:color w:val="000000" w:themeColor="text1"/>
          <w:lang w:val="es-ES"/>
        </w:rPr>
        <w:t>Decisión</w:t>
      </w:r>
      <w:r w:rsidRPr="00ED6485">
        <w:rPr>
          <w:rFonts w:ascii="Verdana" w:hAnsi="Verdana" w:cs="Arial"/>
          <w:iCs/>
          <w:color w:val="000000" w:themeColor="text1"/>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13EFF631" w14:textId="77777777" w:rsidR="00DB2B86" w:rsidRPr="00ED6485" w:rsidRDefault="00DB2B86" w:rsidP="00DB2B86">
      <w:pPr>
        <w:spacing w:after="120" w:line="276" w:lineRule="auto"/>
        <w:ind w:firstLine="708"/>
        <w:jc w:val="both"/>
        <w:rPr>
          <w:rFonts w:ascii="Verdana" w:hAnsi="Verdana" w:cs="Arial"/>
          <w:color w:val="000000" w:themeColor="text1"/>
          <w:lang w:val="es-ES"/>
        </w:rPr>
      </w:pPr>
      <w:r w:rsidRPr="00ED6485">
        <w:rPr>
          <w:rFonts w:ascii="Verdana" w:hAnsi="Verdana" w:cs="Arial"/>
          <w:iCs/>
          <w:color w:val="000000" w:themeColor="text1"/>
          <w:lang w:val="es-ES"/>
        </w:rPr>
        <w:t xml:space="preserve">En este sentido, la entidad está facultada para cuantificar los perjuicios causados por el incumplimiento del contratista, previa declaración </w:t>
      </w:r>
      <w:proofErr w:type="gramStart"/>
      <w:r w:rsidRPr="00ED6485">
        <w:rPr>
          <w:rFonts w:ascii="Verdana" w:hAnsi="Verdana" w:cs="Arial"/>
          <w:iCs/>
          <w:color w:val="000000" w:themeColor="text1"/>
          <w:lang w:val="es-ES"/>
        </w:rPr>
        <w:t>del mismo</w:t>
      </w:r>
      <w:proofErr w:type="gramEnd"/>
      <w:r w:rsidRPr="00ED6485">
        <w:rPr>
          <w:rFonts w:ascii="Verdana" w:hAnsi="Verdana" w:cs="Arial"/>
          <w:iCs/>
          <w:color w:val="000000" w:themeColor="text1"/>
          <w:lang w:val="es-ES"/>
        </w:rPr>
        <w:t xml:space="preserve"> y luego de haberse surtido el trámite antes referido. Esta facultad, en palabras de la Corte Constitucional, “[…] está reglada y se ejerce conforme a un procedimiento administrativo, del que debe darse cuenta en un acto administrativo motivado, de tal suerte que la cuantificación de los perjuicios no obedece a la mera discrecionalidad de la entidad estatal, ni es fruto de su capricho […]”</w:t>
      </w:r>
      <w:r w:rsidRPr="00ED6485">
        <w:rPr>
          <w:rStyle w:val="Refdenotaalpie"/>
          <w:rFonts w:ascii="Verdana" w:hAnsi="Verdana" w:cs="Arial"/>
          <w:iCs/>
          <w:color w:val="000000" w:themeColor="text1"/>
          <w:lang w:val="es-ES"/>
        </w:rPr>
        <w:footnoteReference w:id="24"/>
      </w:r>
      <w:r w:rsidRPr="00ED6485">
        <w:rPr>
          <w:rFonts w:ascii="Verdana" w:hAnsi="Verdana" w:cs="Arial"/>
          <w:iCs/>
          <w:color w:val="000000" w:themeColor="text1"/>
          <w:lang w:val="es-ES"/>
        </w:rPr>
        <w:t>.</w:t>
      </w:r>
      <w:r w:rsidRPr="00ED6485">
        <w:rPr>
          <w:rFonts w:ascii="Verdana" w:hAnsi="Verdana" w:cs="Arial"/>
          <w:color w:val="000000" w:themeColor="text1"/>
          <w:lang w:val="es-ES"/>
        </w:rPr>
        <w:t xml:space="preserve"> </w:t>
      </w:r>
    </w:p>
    <w:p w14:paraId="77C47629" w14:textId="77777777" w:rsidR="00DB2B86" w:rsidRPr="00ED6485" w:rsidRDefault="00DB2B86" w:rsidP="00DB2B86">
      <w:pPr>
        <w:spacing w:after="0" w:line="276" w:lineRule="auto"/>
        <w:ind w:firstLine="708"/>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En ese orden de ideas, dependerá del sentido en el que se consagren l</w:t>
      </w:r>
      <w:r>
        <w:rPr>
          <w:rFonts w:ascii="Verdana" w:eastAsia="Calibri" w:hAnsi="Verdana" w:cs="Arial"/>
          <w:color w:val="000000"/>
          <w:lang w:val="es-ES" w:eastAsia="es-ES_tradnl"/>
        </w:rPr>
        <w:t>o</w:t>
      </w:r>
      <w:r w:rsidRPr="00ED6485">
        <w:rPr>
          <w:rFonts w:ascii="Verdana" w:eastAsia="Calibri" w:hAnsi="Verdana" w:cs="Arial"/>
          <w:color w:val="000000"/>
          <w:lang w:val="es-ES" w:eastAsia="es-ES_tradnl"/>
        </w:rPr>
        <w:t>s ANS en los contratos estatales la utilización del procedimiento administrativo sancionatorio regulado en el artículo 86 de la Ley 1474 de 2011, pues si aquellos se contemplan como medidas sancionatorias previ</w:t>
      </w:r>
      <w:r>
        <w:rPr>
          <w:rFonts w:ascii="Verdana" w:eastAsia="Calibri" w:hAnsi="Verdana" w:cs="Arial"/>
          <w:color w:val="000000"/>
          <w:lang w:val="es-ES" w:eastAsia="es-ES_tradnl"/>
        </w:rPr>
        <w:t>as</w:t>
      </w:r>
      <w:r w:rsidRPr="00ED6485">
        <w:rPr>
          <w:rFonts w:ascii="Verdana" w:eastAsia="Calibri" w:hAnsi="Verdana" w:cs="Arial"/>
          <w:color w:val="000000"/>
          <w:lang w:val="es-ES" w:eastAsia="es-ES_tradnl"/>
        </w:rPr>
        <w:t xml:space="preserve"> a la declaración de un incumplimiento o imposición de multas, su exigencia por la entidad estatal debe estar precedida </w:t>
      </w:r>
      <w:r>
        <w:rPr>
          <w:rFonts w:ascii="Verdana" w:eastAsia="Calibri" w:hAnsi="Verdana" w:cs="Arial"/>
          <w:color w:val="000000"/>
          <w:lang w:val="es-ES" w:eastAsia="es-ES_tradnl"/>
        </w:rPr>
        <w:t>d</w:t>
      </w:r>
      <w:r w:rsidRPr="00ED6485">
        <w:rPr>
          <w:rFonts w:ascii="Verdana" w:eastAsia="Calibri" w:hAnsi="Verdana" w:cs="Arial"/>
          <w:color w:val="000000"/>
          <w:lang w:val="es-ES" w:eastAsia="es-ES_tradnl"/>
        </w:rPr>
        <w:t>el trámite previsto en dicho artículo.</w:t>
      </w:r>
    </w:p>
    <w:p w14:paraId="46F60438" w14:textId="77777777" w:rsidR="00DB2B86" w:rsidRPr="00ED6485" w:rsidRDefault="00DB2B86" w:rsidP="00DB2B86">
      <w:pPr>
        <w:spacing w:after="0" w:line="276" w:lineRule="auto"/>
        <w:ind w:firstLine="708"/>
        <w:jc w:val="both"/>
        <w:rPr>
          <w:rFonts w:ascii="Verdana" w:eastAsia="Calibri" w:hAnsi="Verdana" w:cs="Arial"/>
          <w:color w:val="000000"/>
          <w:lang w:val="es-ES" w:eastAsia="es-ES_tradnl"/>
        </w:rPr>
      </w:pPr>
    </w:p>
    <w:p w14:paraId="670CC5F6" w14:textId="77777777" w:rsidR="00DB2B86" w:rsidRPr="00ED6485" w:rsidRDefault="00DB2B86" w:rsidP="00DB2B86">
      <w:pPr>
        <w:tabs>
          <w:tab w:val="left" w:pos="0"/>
        </w:tabs>
        <w:spacing w:line="276" w:lineRule="auto"/>
        <w:jc w:val="both"/>
        <w:rPr>
          <w:rFonts w:ascii="Verdana" w:eastAsia="Calibri" w:hAnsi="Verdana" w:cs="Arial"/>
          <w:color w:val="000000"/>
          <w:lang w:val="es-ES" w:eastAsia="es-ES_tradnl"/>
        </w:rPr>
      </w:pPr>
      <w:proofErr w:type="spellStart"/>
      <w:r w:rsidRPr="00ED6485">
        <w:rPr>
          <w:rFonts w:ascii="Verdana" w:eastAsia="Calibri" w:hAnsi="Verdana" w:cs="Arial"/>
          <w:color w:val="000000"/>
          <w:lang w:val="es-ES" w:eastAsia="es-ES_tradnl"/>
        </w:rPr>
        <w:t>iii</w:t>
      </w:r>
      <w:proofErr w:type="spellEnd"/>
      <w:r w:rsidRPr="00ED6485">
        <w:rPr>
          <w:rFonts w:ascii="Verdana" w:eastAsia="Calibri" w:hAnsi="Verdana" w:cs="Arial"/>
          <w:color w:val="000000"/>
          <w:lang w:val="es-ES" w:eastAsia="es-ES_tradnl"/>
        </w:rPr>
        <w:t xml:space="preserve">. Sobre los límites y principios que deben regir la actuación de la entidad contratante, cualquiera que sea la naturaleza de los ANS que se pacten en el contrato, los descuentos que se apliquen deben observar criterios de proporcionalidad y razonabilidad, de manera que su aplicación no puede traducirse en una carga desmedida o desproporcionada para el contratista, sino que debe guardar una relación adecuada con el nivel de prestación del servicio. Adicionalmente, si se trata de un supuesto en el que no es necesario acudir al procedimiento administrativo sancionatorio regulado en el artículo 86 de la Ley </w:t>
      </w:r>
      <w:r w:rsidRPr="00ED6485">
        <w:rPr>
          <w:rFonts w:ascii="Verdana" w:eastAsia="Calibri" w:hAnsi="Verdana" w:cs="Arial"/>
          <w:color w:val="000000"/>
          <w:lang w:val="es-ES" w:eastAsia="es-ES_tradnl"/>
        </w:rPr>
        <w:lastRenderedPageBreak/>
        <w:t>1474 de 2011, se debe garantizar en todo caso el debido proceso, como principio rector de las actuaciones contractuales, cuya aplicación dependerá del procedimiento previamente establecido por las partes, en el cual el contratista tenga la oportunidad de ejercer sus derechos de audiencia, defensa y los demás que integran dicho derecho fundamental al debido proceso</w:t>
      </w:r>
      <w:r w:rsidRPr="00ED6485">
        <w:rPr>
          <w:rStyle w:val="Refdenotaalpie"/>
          <w:rFonts w:ascii="Verdana" w:eastAsia="Calibri" w:hAnsi="Verdana" w:cs="Arial"/>
          <w:color w:val="000000"/>
          <w:lang w:val="es-ES" w:eastAsia="es-ES_tradnl"/>
        </w:rPr>
        <w:footnoteReference w:id="25"/>
      </w:r>
      <w:r w:rsidRPr="00ED6485">
        <w:rPr>
          <w:rFonts w:ascii="Verdana" w:eastAsia="Calibri" w:hAnsi="Verdana" w:cs="Arial"/>
          <w:color w:val="000000"/>
          <w:lang w:val="es-ES" w:eastAsia="es-ES_tradnl"/>
        </w:rPr>
        <w:t xml:space="preserve">.  </w:t>
      </w:r>
    </w:p>
    <w:p w14:paraId="7013649A" w14:textId="77777777" w:rsidR="00DB2B86" w:rsidRPr="00ED6485" w:rsidRDefault="00DB2B86" w:rsidP="00DB2B86">
      <w:pPr>
        <w:tabs>
          <w:tab w:val="left" w:pos="0"/>
        </w:tabs>
        <w:spacing w:before="12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ab/>
        <w:t>De esta forma algunos límites que deben tenerse en cuenta en materia de contratación son:(i) las entidades no pueden pactar ANS de forma que encubran la imposición unilateral de sanciones, multas o cláusula penal sin el cumplimiento del debido proceso; (</w:t>
      </w:r>
      <w:proofErr w:type="spellStart"/>
      <w:r w:rsidRPr="00ED6485">
        <w:rPr>
          <w:rFonts w:ascii="Verdana" w:eastAsia="Calibri" w:hAnsi="Verdana" w:cs="Arial"/>
          <w:color w:val="000000"/>
          <w:lang w:val="es-ES" w:eastAsia="es-ES_tradnl"/>
        </w:rPr>
        <w:t>ii</w:t>
      </w:r>
      <w:proofErr w:type="spellEnd"/>
      <w:r w:rsidRPr="00ED6485">
        <w:rPr>
          <w:rFonts w:ascii="Verdana" w:eastAsia="Calibri" w:hAnsi="Verdana" w:cs="Arial"/>
          <w:color w:val="000000"/>
          <w:lang w:val="es-ES" w:eastAsia="es-ES_tradnl"/>
        </w:rPr>
        <w:t>) en ningún caso la aplicación de los descuentos pactados puede desconocer el artículo 29 de la Constitución; (</w:t>
      </w:r>
      <w:proofErr w:type="spellStart"/>
      <w:r w:rsidRPr="00ED6485">
        <w:rPr>
          <w:rFonts w:ascii="Verdana" w:eastAsia="Calibri" w:hAnsi="Verdana" w:cs="Arial"/>
          <w:color w:val="000000"/>
          <w:lang w:val="es-ES" w:eastAsia="es-ES_tradnl"/>
        </w:rPr>
        <w:t>iii</w:t>
      </w:r>
      <w:proofErr w:type="spellEnd"/>
      <w:r w:rsidRPr="00ED6485">
        <w:rPr>
          <w:rFonts w:ascii="Verdana" w:eastAsia="Calibri" w:hAnsi="Verdana" w:cs="Arial"/>
          <w:color w:val="000000"/>
          <w:lang w:val="es-ES" w:eastAsia="es-ES_tradnl"/>
        </w:rPr>
        <w:t>) los términos en los cuales se pacte el ANS no pueden ser abusivos ni desproporcionados, de modo que deben cumplir con criterios de razonabilidad y proporcionalidad; y (</w:t>
      </w:r>
      <w:proofErr w:type="spellStart"/>
      <w:r w:rsidRPr="00ED6485">
        <w:rPr>
          <w:rFonts w:ascii="Verdana" w:eastAsia="Calibri" w:hAnsi="Verdana" w:cs="Arial"/>
          <w:color w:val="000000"/>
          <w:lang w:val="es-ES" w:eastAsia="es-ES_tradnl"/>
        </w:rPr>
        <w:t>iv</w:t>
      </w:r>
      <w:proofErr w:type="spellEnd"/>
      <w:r w:rsidRPr="00ED6485">
        <w:rPr>
          <w:rFonts w:ascii="Verdana" w:eastAsia="Calibri" w:hAnsi="Verdana" w:cs="Arial"/>
          <w:color w:val="000000"/>
          <w:lang w:val="es-ES" w:eastAsia="es-ES_tradnl"/>
        </w:rPr>
        <w:t xml:space="preserve">) su aplicación no puede vaciar el derecho al pago de lo efectivamente ejecutado. Se resalta que en el procedimiento sancionatorio del artículo 86 de la Ley 1474 la declaratoria de cualquier incumplimiento, total o parcial e independientemente de su gravedad, debe realizarse con plena observancia de las reglas procedimentales aplicables. </w:t>
      </w:r>
    </w:p>
    <w:p w14:paraId="330759EA" w14:textId="77777777" w:rsidR="00DB2B86" w:rsidRPr="00ED6485" w:rsidRDefault="00DB2B86" w:rsidP="00DB2B86">
      <w:pPr>
        <w:tabs>
          <w:tab w:val="left" w:pos="0"/>
        </w:tabs>
        <w:spacing w:before="120" w:after="0" w:line="276" w:lineRule="auto"/>
        <w:ind w:right="191" w:firstLine="709"/>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En ese sentido, dichos descuentos deben corresponder estrictamente a lo pactado por las partes en el contrato, por lo que resulta indispensable que las situaciones o eventos que puedan dar lugar a su aplicación se encuentren claramente definidos, delimitados y tipificados en los documentos contractuales. Además, estas condiciones deben ser conocidas por el contratista desde la etapa precontractual, de manera que este pueda evaluar adecuadamente los riesgos asociados, incorporarlos en su propuesta y asumirlos durante la ejecución del contrato. De lo contrario, es decir, si tales descuentos no se encuentran previamente definidos e identificados de manera clara, su aplicación podría resultar desproporcionada y afectar la ecuación económica del contrato, en la medida en que establece aspectos que no fueron previstos ni considerados al momento de estructurar la oferta económica. </w:t>
      </w:r>
    </w:p>
    <w:p w14:paraId="3C112420" w14:textId="77777777" w:rsidR="00DB2B86" w:rsidRPr="00ED6485" w:rsidRDefault="00DB2B86" w:rsidP="00DB2B86">
      <w:pPr>
        <w:tabs>
          <w:tab w:val="left" w:pos="0"/>
        </w:tabs>
        <w:spacing w:after="0" w:line="276" w:lineRule="auto"/>
        <w:ind w:right="191" w:firstLine="709"/>
        <w:jc w:val="both"/>
        <w:rPr>
          <w:rFonts w:ascii="Verdana" w:eastAsia="Calibri" w:hAnsi="Verdana" w:cs="Arial"/>
          <w:color w:val="000000"/>
          <w:lang w:val="es-ES" w:eastAsia="es-ES_tradnl"/>
        </w:rPr>
      </w:pPr>
    </w:p>
    <w:p w14:paraId="78A3A95A" w14:textId="77777777" w:rsidR="00DB2B86" w:rsidRPr="00ED6485" w:rsidRDefault="00DB2B86" w:rsidP="00DB2B86">
      <w:pPr>
        <w:spacing w:after="120" w:line="276" w:lineRule="auto"/>
        <w:jc w:val="both"/>
        <w:rPr>
          <w:rFonts w:ascii="Verdana" w:eastAsia="Calibri" w:hAnsi="Verdana" w:cs="Arial"/>
          <w:color w:val="000000" w:themeColor="text1"/>
          <w:lang w:val="es-ES"/>
        </w:rPr>
      </w:pPr>
      <w:proofErr w:type="spellStart"/>
      <w:r w:rsidRPr="00ED6485">
        <w:rPr>
          <w:rFonts w:ascii="Verdana" w:eastAsia="Calibri" w:hAnsi="Verdana" w:cs="Arial"/>
          <w:color w:val="000000"/>
          <w:lang w:val="es-ES" w:eastAsia="es-ES_tradnl"/>
        </w:rPr>
        <w:t>iv</w:t>
      </w:r>
      <w:proofErr w:type="spellEnd"/>
      <w:r w:rsidRPr="00ED6485">
        <w:rPr>
          <w:rFonts w:ascii="Verdana" w:eastAsia="Calibri" w:hAnsi="Verdana" w:cs="Arial"/>
          <w:color w:val="000000"/>
          <w:lang w:val="es-ES" w:eastAsia="es-ES_tradnl"/>
        </w:rPr>
        <w:t xml:space="preserve">. </w:t>
      </w:r>
      <w:r w:rsidRPr="00ED6485">
        <w:rPr>
          <w:rFonts w:ascii="Verdana" w:eastAsia="Calibri" w:hAnsi="Verdana" w:cs="Arial"/>
          <w:color w:val="000000" w:themeColor="text1"/>
          <w:lang w:val="es-ES"/>
        </w:rPr>
        <w:t xml:space="preserve">En el marco del seguimiento técnico, administrativo, financiero, contable y jurídico, la supervisión o interventoría tienen el deber de ejercer una vigilancia integral sobre la ejecución del contrato, conforme a lo dispuesto en el artículo </w:t>
      </w:r>
      <w:r w:rsidRPr="00ED6485">
        <w:rPr>
          <w:rFonts w:ascii="Verdana" w:eastAsia="Calibri" w:hAnsi="Verdana" w:cs="Arial"/>
          <w:color w:val="000000" w:themeColor="text1"/>
          <w:lang w:val="es-ES"/>
        </w:rPr>
        <w:lastRenderedPageBreak/>
        <w:t>83 de la Ley 1474 de 2011. Este deber cobra especial relevancia cuando el contratista es objeto de la aplicación de descuentos en el marco de los ANS. En tales casos, la supervisión debe evaluar de forma detallada el estado real de ejecución del contrato, el cumplimiento de los términos pactados y los descuentos aplicables, así como los mecanismos dispuestos para su materialización.</w:t>
      </w:r>
    </w:p>
    <w:p w14:paraId="39A4D7B5" w14:textId="77777777" w:rsidR="00DB2B86" w:rsidRPr="00ED6485" w:rsidRDefault="00DB2B86" w:rsidP="00DB2B86">
      <w:pPr>
        <w:spacing w:before="120" w:after="120" w:line="276" w:lineRule="auto"/>
        <w:ind w:firstLine="708"/>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En tal sentido, es necesario un seguimiento riguroso y sistemático que permita determinar la procedencia de mecanismos como la compensación entre las obligaciones cumplidas y las sumas a ser descontadas por el ANS. Solo mediante un control efectivo, documentado y continuo es posible establecer con precisión qué actividades han sido satisfactoriamente ejecutadas, cuáles presentan incumplimientos y cómo deben reflejarse estas circunstancias en la validación de entregables y en la autorización de pagos, garantizando así una adecuada gestión contractual y el respeto por el equilibrio económico del contrato.</w:t>
      </w:r>
    </w:p>
    <w:p w14:paraId="03F417E5" w14:textId="77777777" w:rsidR="00DB2B86" w:rsidRPr="00ED6485" w:rsidRDefault="00DB2B86" w:rsidP="00DB2B86">
      <w:pPr>
        <w:spacing w:after="120" w:line="276" w:lineRule="auto"/>
        <w:ind w:firstLine="70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No obstante, estas funciones no recaen exclusivamente en la supervisión o la interventoría, toda vez que corresponde a la entidad estatal, en desarrollo de sus deberes legales, exigir al contratista la ejecución idónea y oportuna del objeto contratado, adelantar revisiones periódicas, verificar el cumplimiento de las condiciones de calidad ofrecidas y promover las acciones de responsabilidad a que haya lugar contra el contratista y sus garantes. En esta línea, de conformidad con los artículos 4, 14 y 26 de la Ley 80 de 1993, los jefes y representantes legales no quedan exonerados de tales obligaciones por efecto de la delegación ni por la designación de supervisores o interventores.</w:t>
      </w:r>
    </w:p>
    <w:p w14:paraId="46455733" w14:textId="77777777" w:rsidR="00DB2B86" w:rsidRPr="00ED6485" w:rsidRDefault="00DB2B86" w:rsidP="00DB2B86">
      <w:pPr>
        <w:spacing w:after="0" w:line="276" w:lineRule="auto"/>
        <w:ind w:firstLine="70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En cualquier caso, el artículo 83 ibidem dispone que el supervisor no está revestido de la facultad de exonerar de obligaciones al contratista, y el artículo 84 señala que sus atribuciones se circunscriben al seguimiento permanente, la solicitud de informes y aclaraciones, y el deber de mantener informada </w:t>
      </w:r>
      <w:r>
        <w:rPr>
          <w:rFonts w:ascii="Verdana" w:eastAsia="Calibri" w:hAnsi="Verdana" w:cs="Arial"/>
          <w:color w:val="000000" w:themeColor="text1"/>
          <w:lang w:val="es-ES"/>
        </w:rPr>
        <w:t xml:space="preserve">a </w:t>
      </w:r>
      <w:r w:rsidRPr="00ED6485">
        <w:rPr>
          <w:rFonts w:ascii="Verdana" w:eastAsia="Calibri" w:hAnsi="Verdana" w:cs="Arial"/>
          <w:color w:val="000000" w:themeColor="text1"/>
          <w:lang w:val="es-ES"/>
        </w:rPr>
        <w:t xml:space="preserve">la entidad de hechos que puedan constituir incumplimientos contractuales o actos de corrupción. Los supervisores e interventores tienen la función general de ejercer el control y vigilancia sobre la ejecución contractual del contrato vigilado para verificar el cumplimiento de las condiciones pactadas y como consecuencia de ello están facultados para solicitar informes, aclaraciones y explicaciones sobre el desarrollo de la ejecución contractual, impartir instrucciones al contratista y hacer recomendaciones encaminadas a lograr la correcta ejecución </w:t>
      </w:r>
      <w:r w:rsidRPr="00ED6485">
        <w:rPr>
          <w:rFonts w:ascii="Verdana" w:eastAsia="Calibri" w:hAnsi="Verdana" w:cs="Arial"/>
          <w:color w:val="000000" w:themeColor="text1"/>
          <w:lang w:val="es-ES"/>
        </w:rPr>
        <w:lastRenderedPageBreak/>
        <w:t xml:space="preserve">del objeto contratado. Es obligatorio para el interventor o supervisor entregar sus órdenes por escrito y los requerimientos o informes que realice deben ser publicados en el SECOP. </w:t>
      </w:r>
      <w:r>
        <w:rPr>
          <w:rFonts w:ascii="Verdana" w:eastAsia="Calibri" w:hAnsi="Verdana" w:cs="Arial"/>
          <w:color w:val="000000" w:themeColor="text1"/>
          <w:lang w:val="es-ES"/>
        </w:rPr>
        <w:t xml:space="preserve">En todo caso, </w:t>
      </w:r>
      <w:r w:rsidRPr="00ED6485">
        <w:rPr>
          <w:rFonts w:ascii="Verdana" w:eastAsia="Calibri" w:hAnsi="Verdana" w:cs="Arial"/>
          <w:color w:val="000000" w:themeColor="text1"/>
          <w:lang w:val="es-ES"/>
        </w:rPr>
        <w:t>los interventores o supervisores no pueden sustituir a la Entidad Estatal</w:t>
      </w:r>
      <w:r>
        <w:rPr>
          <w:rFonts w:ascii="Verdana" w:eastAsia="Calibri" w:hAnsi="Verdana" w:cs="Arial"/>
          <w:color w:val="000000" w:themeColor="text1"/>
          <w:lang w:val="es-ES"/>
        </w:rPr>
        <w:t xml:space="preserve"> y, </w:t>
      </w:r>
      <w:r w:rsidRPr="00ED6485">
        <w:rPr>
          <w:rFonts w:ascii="Verdana" w:eastAsia="Calibri" w:hAnsi="Verdana" w:cs="Arial"/>
          <w:color w:val="000000" w:themeColor="text1"/>
          <w:lang w:val="es-ES"/>
        </w:rPr>
        <w:t>por tanto</w:t>
      </w:r>
      <w:r>
        <w:rPr>
          <w:rFonts w:ascii="Verdana" w:eastAsia="Calibri" w:hAnsi="Verdana" w:cs="Arial"/>
          <w:color w:val="000000" w:themeColor="text1"/>
          <w:lang w:val="es-ES"/>
        </w:rPr>
        <w:t>,</w:t>
      </w:r>
      <w:r w:rsidRPr="00ED6485">
        <w:rPr>
          <w:rFonts w:ascii="Verdana" w:eastAsia="Calibri" w:hAnsi="Verdana" w:cs="Arial"/>
          <w:color w:val="000000" w:themeColor="text1"/>
          <w:lang w:val="es-ES"/>
        </w:rPr>
        <w:t xml:space="preserve"> no pueden dar instrucciones en su nombre.</w:t>
      </w:r>
    </w:p>
    <w:p w14:paraId="6D2F2368" w14:textId="77777777" w:rsidR="00DB2B86" w:rsidRPr="00ED6485" w:rsidRDefault="00DB2B86" w:rsidP="00DB2B86">
      <w:pPr>
        <w:spacing w:before="120" w:after="0" w:line="276" w:lineRule="auto"/>
        <w:ind w:firstLine="709"/>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En el marco de lo anterior, el supervisor revisa si la ejecución del contrato cumple con los términos </w:t>
      </w:r>
      <w:proofErr w:type="gramStart"/>
      <w:r w:rsidRPr="00ED6485">
        <w:rPr>
          <w:rFonts w:ascii="Verdana" w:eastAsia="Calibri" w:hAnsi="Verdana" w:cs="Arial"/>
          <w:color w:val="000000" w:themeColor="text1"/>
          <w:lang w:val="es-ES"/>
        </w:rPr>
        <w:t>del mismo</w:t>
      </w:r>
      <w:proofErr w:type="gramEnd"/>
      <w:r w:rsidRPr="00ED6485">
        <w:rPr>
          <w:rFonts w:ascii="Verdana" w:eastAsia="Calibri" w:hAnsi="Verdana" w:cs="Arial"/>
          <w:color w:val="000000" w:themeColor="text1"/>
          <w:lang w:val="es-ES"/>
        </w:rPr>
        <w:t xml:space="preserve"> y las necesidades de la Entidad Estatal y act</w:t>
      </w:r>
      <w:r>
        <w:rPr>
          <w:rFonts w:ascii="Verdana" w:eastAsia="Calibri" w:hAnsi="Verdana" w:cs="Arial"/>
          <w:color w:val="000000" w:themeColor="text1"/>
          <w:lang w:val="es-ES"/>
        </w:rPr>
        <w:t>úa</w:t>
      </w:r>
      <w:r w:rsidRPr="00ED6485">
        <w:rPr>
          <w:rFonts w:ascii="Verdana" w:eastAsia="Calibri" w:hAnsi="Verdana" w:cs="Arial"/>
          <w:color w:val="000000" w:themeColor="text1"/>
          <w:lang w:val="es-ES"/>
        </w:rPr>
        <w:t xml:space="preserve"> en consecuencia de acuerdo con lo establecido en el contrato. Así, puede aprobar o rechazar oportuna y justificada</w:t>
      </w:r>
      <w:r>
        <w:rPr>
          <w:rFonts w:ascii="Verdana" w:eastAsia="Calibri" w:hAnsi="Verdana" w:cs="Arial"/>
          <w:color w:val="000000" w:themeColor="text1"/>
          <w:lang w:val="es-ES"/>
        </w:rPr>
        <w:t>mente</w:t>
      </w:r>
      <w:r w:rsidRPr="00ED6485">
        <w:rPr>
          <w:rFonts w:ascii="Verdana" w:eastAsia="Calibri" w:hAnsi="Verdana" w:cs="Arial"/>
          <w:color w:val="000000" w:themeColor="text1"/>
          <w:lang w:val="es-ES"/>
        </w:rPr>
        <w:t xml:space="preserve"> el recibo de bienes y servicio de acuerdo con lo establecido en los Documentos del Proceso. También puede informar a la Entidad Estatal de posibles incumplimientos del proveedor o contratista, elaborar y presentar los soportes correspondientes, solicitar los informes necesarios y convocar a las reuniones requeridas para cumplir con su función y suscribir las actas generadas durante la ejecución del contrato para documentar las reuniones, acuerdos y controversias entre las partes, así como las actas parciales de avance, actas parciales de recibo y actas de recibo final.</w:t>
      </w:r>
    </w:p>
    <w:p w14:paraId="446E2B7E" w14:textId="07E2724E" w:rsidR="00DB2B86" w:rsidRPr="00505274" w:rsidRDefault="00DB2B86" w:rsidP="00DB2B86">
      <w:pPr>
        <w:spacing w:before="120" w:after="0" w:line="276" w:lineRule="auto"/>
        <w:ind w:firstLine="709"/>
        <w:jc w:val="both"/>
        <w:rPr>
          <w:rFonts w:ascii="Verdana" w:eastAsia="Calibri" w:hAnsi="Verdana" w:cs="Arial"/>
          <w:color w:val="000000" w:themeColor="text1"/>
        </w:rPr>
      </w:pPr>
      <w:r w:rsidRPr="00ED6485">
        <w:rPr>
          <w:rFonts w:ascii="Verdana" w:eastAsia="Calibri" w:hAnsi="Verdana" w:cs="Arial"/>
          <w:color w:val="000000" w:themeColor="text1"/>
          <w:lang w:val="es-ES"/>
        </w:rPr>
        <w:t>De esta manera</w:t>
      </w:r>
      <w:r>
        <w:rPr>
          <w:rFonts w:ascii="Verdana" w:eastAsia="Calibri" w:hAnsi="Verdana" w:cs="Arial"/>
          <w:color w:val="000000" w:themeColor="text1"/>
          <w:lang w:val="es-ES"/>
        </w:rPr>
        <w:t>,</w:t>
      </w:r>
      <w:r w:rsidRPr="00ED6485">
        <w:rPr>
          <w:rFonts w:ascii="Verdana" w:eastAsia="Calibri" w:hAnsi="Verdana" w:cs="Arial"/>
          <w:color w:val="000000" w:themeColor="text1"/>
          <w:lang w:val="es-ES"/>
        </w:rPr>
        <w:t xml:space="preserve"> el supervisor no crea </w:t>
      </w:r>
      <w:r>
        <w:rPr>
          <w:rFonts w:ascii="Verdana" w:eastAsia="Calibri" w:hAnsi="Verdana" w:cs="Arial"/>
          <w:color w:val="000000" w:themeColor="text1"/>
          <w:lang w:val="es-ES"/>
        </w:rPr>
        <w:t>ni</w:t>
      </w:r>
      <w:r w:rsidRPr="00ED6485">
        <w:rPr>
          <w:rFonts w:ascii="Verdana" w:eastAsia="Calibri" w:hAnsi="Verdana" w:cs="Arial"/>
          <w:color w:val="000000" w:themeColor="text1"/>
          <w:lang w:val="es-ES"/>
        </w:rPr>
        <w:t xml:space="preserve"> impone la consecuencia económica para el contratista, sino que constata la ocurrencia del hecho generador en los términos establecidos en el contrato, verificando el monto a descontar conforme a la fórmula incluida en el contrato. Así, la posibilidad de aplicar los descuentos mediante mecanismos como la emisión de una nota de crédito o deducir del valor de la factura a pagar el mes siguiente dependerá de las condiciones que hayan pactado las partes. </w:t>
      </w:r>
      <w:r w:rsidR="00BD56F5" w:rsidRPr="00BD56F5">
        <w:rPr>
          <w:rFonts w:ascii="Verdana" w:eastAsia="Calibri" w:hAnsi="Verdana" w:cs="Arial"/>
          <w:color w:val="000000" w:themeColor="text1"/>
          <w:lang w:val="es-ES"/>
        </w:rPr>
        <w:t>Lo anterior sin perjuicio de que los aspectos propiamente tributarios y de facturación electrónica asociados a la emisión de la nota crédito se rijan por la regulación de la Dirección de Impuestos y Aduanas Nacionales, materia ajena a la competencia consultiva de esta Agencia.</w:t>
      </w:r>
    </w:p>
    <w:p w14:paraId="3D834011" w14:textId="0E6E2C0B" w:rsidR="00E37F5C" w:rsidRPr="00505274" w:rsidRDefault="00E37F5C" w:rsidP="00DB2B86">
      <w:pPr>
        <w:spacing w:before="120" w:after="0" w:line="276" w:lineRule="auto"/>
        <w:ind w:firstLine="709"/>
        <w:jc w:val="both"/>
        <w:rPr>
          <w:rFonts w:ascii="Verdana" w:eastAsia="Calibri" w:hAnsi="Verdana" w:cs="Arial"/>
          <w:color w:val="000000" w:themeColor="text1"/>
        </w:rPr>
      </w:pPr>
      <w:r>
        <w:rPr>
          <w:rFonts w:ascii="Verdana" w:eastAsia="Calibri" w:hAnsi="Verdana" w:cs="Arial"/>
          <w:color w:val="000000" w:themeColor="text1"/>
          <w:lang w:val="es-ES"/>
        </w:rPr>
        <w:t>En ese sentido, el</w:t>
      </w:r>
      <w:r w:rsidRPr="00E37F5C">
        <w:rPr>
          <w:rFonts w:ascii="Verdana" w:eastAsia="Calibri" w:hAnsi="Verdana" w:cs="Arial"/>
          <w:color w:val="000000" w:themeColor="text1"/>
        </w:rPr>
        <w:t xml:space="preserve"> acuerdo suscrito entre la supervisión y el contratista sobre el valor de los descuentos tiene carácter declarativo y de constatación: documenta la ocurrencia del hecho generador y el monto conforme a la fórmula contractual, pero no sustituye a la Entidad Estatal ni modifica el contrato, salvo que se surta por quien tiene la competencia para ello y con las formalidades de una modificación contractual. En cuanto a las actas de verificación o de aplicación de los ANS, constituyen soporte documental de la actuación y refuerzan su motivación; ahora bien, la presunción de legalidad predicable de </w:t>
      </w:r>
      <w:r w:rsidRPr="00E37F5C">
        <w:rPr>
          <w:rFonts w:ascii="Verdana" w:eastAsia="Calibri" w:hAnsi="Verdana" w:cs="Arial"/>
          <w:color w:val="000000" w:themeColor="text1"/>
        </w:rPr>
        <w:lastRenderedPageBreak/>
        <w:t>los actos y actuaciones de la Administración (artículo 88 del CPACA) no deriva del acuerdo del contratista, sino del cumplimiento de las reglas contractuales y del debido proceso. La valoración concreta de tales documentos corresponde, en caso de controversia, a las autoridades judiciales y de control.</w:t>
      </w:r>
    </w:p>
    <w:p w14:paraId="51874B07" w14:textId="77777777" w:rsidR="00DB2B86" w:rsidRPr="00ED6485" w:rsidRDefault="00DB2B86" w:rsidP="00DB2B86">
      <w:pPr>
        <w:spacing w:before="120" w:after="120" w:line="276" w:lineRule="auto"/>
        <w:ind w:firstLine="708"/>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 xml:space="preserve">Sobre lo anterior, se reitera </w:t>
      </w:r>
      <w:proofErr w:type="gramStart"/>
      <w:r w:rsidRPr="00ED6485">
        <w:rPr>
          <w:rFonts w:ascii="Verdana" w:eastAsia="Calibri" w:hAnsi="Verdana" w:cs="Arial"/>
          <w:color w:val="000000" w:themeColor="text1"/>
          <w:lang w:val="es-ES"/>
        </w:rPr>
        <w:t>que</w:t>
      </w:r>
      <w:proofErr w:type="gramEnd"/>
      <w:r w:rsidRPr="00ED6485">
        <w:rPr>
          <w:rFonts w:ascii="Verdana" w:eastAsia="Calibri" w:hAnsi="Verdana" w:cs="Arial"/>
          <w:color w:val="000000" w:themeColor="text1"/>
          <w:lang w:val="es-ES"/>
        </w:rPr>
        <w:t xml:space="preserve"> s</w:t>
      </w:r>
      <w:r w:rsidRPr="00ED6485">
        <w:rPr>
          <w:rFonts w:ascii="Verdana" w:hAnsi="Verdana" w:cs="Arial"/>
          <w:color w:val="000000" w:themeColor="text1"/>
          <w:lang w:val="es-ES"/>
        </w:rPr>
        <w:t xml:space="preserve">i se estima procedente la deducción, su monto puede hacerse efectivo por medio de la compensación de las sumas adeudadas al contratista. Este supuesto es ajeno al enriquecimiento sin causa o a la alteración de la ecuación económica del contrato, porque las circunstancias que dan lugar a la aplicación de sanciones o, en este caso, descuentos son mutuamente aceptadas por las partes al suscribir el contrato respectivo, además de que tampoco son producto de situaciones sobrevinientes e irresistibles que afecten la ejecución después de la fecha de inicio. </w:t>
      </w:r>
    </w:p>
    <w:p w14:paraId="4E56259B" w14:textId="77777777" w:rsidR="00DB2B86" w:rsidRPr="00ED6485" w:rsidRDefault="00DB2B86" w:rsidP="00DB2B86">
      <w:pPr>
        <w:spacing w:before="120" w:after="0" w:line="276" w:lineRule="auto"/>
        <w:ind w:firstLine="708"/>
        <w:jc w:val="both"/>
        <w:rPr>
          <w:rFonts w:ascii="Verdana" w:eastAsia="Calibri" w:hAnsi="Verdana" w:cs="Arial"/>
          <w:color w:val="000000" w:themeColor="text1"/>
          <w:lang w:val="es-ES"/>
        </w:rPr>
      </w:pPr>
      <w:r w:rsidRPr="00ED6485">
        <w:rPr>
          <w:rFonts w:ascii="Verdana" w:eastAsia="Calibri" w:hAnsi="Verdana" w:cs="Arial"/>
          <w:color w:val="000000" w:themeColor="text1"/>
          <w:lang w:val="es-ES"/>
        </w:rPr>
        <w:t>Así, sin afectar la continuidad del contrato ni el derecho al pago por lo ejecutado, es viable descontar el valor de la deducción de los pagos futuros o en trámite, siempre que ello se realice conforme a las reglas contractuales y normativas aplicables, garantizando el debido proceso y la posterior liquidación de las obligaciones recíprocas. Lo anterior, en el marco del seguimiento técnico, administrativo, financiero, contable y jurídico, la supervisión o interventoría tienen el deber de ejercer una vigilancia integral sobre la ejecución del contrato, conforme a lo dispuesto en el artículo 83 de la Ley 1474 de 2011.</w:t>
      </w:r>
    </w:p>
    <w:p w14:paraId="59ED91E2" w14:textId="77777777" w:rsidR="00DB2B86" w:rsidRPr="00ED6485" w:rsidRDefault="00DB2B86" w:rsidP="00DB2B86">
      <w:pPr>
        <w:spacing w:after="0" w:line="276" w:lineRule="auto"/>
        <w:ind w:firstLine="708"/>
        <w:jc w:val="both"/>
        <w:rPr>
          <w:rFonts w:ascii="Verdana" w:eastAsia="Calibri" w:hAnsi="Verdana" w:cs="Arial"/>
          <w:color w:val="000000" w:themeColor="text1"/>
          <w:lang w:val="es-ES"/>
        </w:rPr>
      </w:pPr>
    </w:p>
    <w:p w14:paraId="0A027E7F" w14:textId="77777777" w:rsidR="00DB2B86" w:rsidRPr="00ED6485" w:rsidRDefault="00DB2B86" w:rsidP="00DB2B86">
      <w:pPr>
        <w:tabs>
          <w:tab w:val="left" w:pos="0"/>
        </w:tabs>
        <w:spacing w:after="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 xml:space="preserve">v. Finalmente, </w:t>
      </w:r>
      <w:r>
        <w:rPr>
          <w:rFonts w:ascii="Verdana" w:eastAsia="Calibri" w:hAnsi="Verdana" w:cs="Arial"/>
          <w:color w:val="000000"/>
          <w:lang w:val="es-ES" w:eastAsia="es-ES_tradnl"/>
        </w:rPr>
        <w:t xml:space="preserve">conforme a lo expuesto, </w:t>
      </w:r>
      <w:r w:rsidRPr="00ED6485">
        <w:rPr>
          <w:rFonts w:ascii="Verdana" w:hAnsi="Verdana" w:cs="Arial"/>
          <w:color w:val="000000" w:themeColor="text1"/>
          <w:lang w:val="es-ES"/>
        </w:rPr>
        <w:t xml:space="preserve">cuando los ANS son utilizados en cumplimiento de dichos parámetros, constituyen una herramienta que permite a la entidad cumplir con </w:t>
      </w:r>
      <w:r w:rsidRPr="00ED6485">
        <w:rPr>
          <w:rFonts w:ascii="Verdana" w:eastAsia="Calibri" w:hAnsi="Verdana" w:cs="Arial"/>
          <w:color w:val="000000"/>
          <w:lang w:val="es-ES" w:eastAsia="es-ES_tradnl"/>
        </w:rPr>
        <w:t>los fines de la contratación estatal del artículo 3 de la Ley 80</w:t>
      </w:r>
      <w:r>
        <w:rPr>
          <w:rFonts w:ascii="Verdana" w:eastAsia="Calibri" w:hAnsi="Verdana" w:cs="Arial"/>
          <w:color w:val="000000"/>
          <w:lang w:val="es-ES" w:eastAsia="es-ES_tradnl"/>
        </w:rPr>
        <w:t xml:space="preserve"> de 1993</w:t>
      </w:r>
      <w:r w:rsidRPr="00ED6485">
        <w:rPr>
          <w:rFonts w:ascii="Verdana" w:eastAsia="Calibri" w:hAnsi="Verdana" w:cs="Arial"/>
          <w:color w:val="000000"/>
          <w:lang w:val="es-ES" w:eastAsia="es-ES_tradnl"/>
        </w:rPr>
        <w:t>, en el sentido de buscar la continuidad y efectiva prestación del servicio.</w:t>
      </w:r>
      <w:r w:rsidRPr="00ED6485">
        <w:rPr>
          <w:rFonts w:ascii="Verdana" w:eastAsia="Calibri" w:hAnsi="Verdana" w:cs="Arial"/>
          <w:color w:val="000000"/>
          <w:lang w:val="es-ES" w:eastAsia="es-ES_tradnl"/>
        </w:rPr>
        <w:tab/>
      </w:r>
    </w:p>
    <w:p w14:paraId="1CBB7720" w14:textId="77777777" w:rsidR="00DB2B86" w:rsidRPr="00ED6485" w:rsidRDefault="00DB2B86" w:rsidP="00DB2B86">
      <w:pPr>
        <w:tabs>
          <w:tab w:val="left" w:pos="0"/>
        </w:tabs>
        <w:spacing w:before="120" w:after="12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ab/>
        <w:t xml:space="preserve">En este </w:t>
      </w:r>
      <w:proofErr w:type="gramStart"/>
      <w:r w:rsidRPr="00ED6485">
        <w:rPr>
          <w:rFonts w:ascii="Verdana" w:eastAsia="Calibri" w:hAnsi="Verdana" w:cs="Arial"/>
          <w:color w:val="000000"/>
          <w:lang w:val="es-ES" w:eastAsia="es-ES_tradnl"/>
        </w:rPr>
        <w:t>sentido,  el</w:t>
      </w:r>
      <w:proofErr w:type="gramEnd"/>
      <w:r w:rsidRPr="00ED6485">
        <w:rPr>
          <w:rFonts w:ascii="Verdana" w:eastAsia="Calibri" w:hAnsi="Verdana" w:cs="Arial"/>
          <w:color w:val="000000"/>
          <w:lang w:val="es-ES" w:eastAsia="es-ES_tradnl"/>
        </w:rPr>
        <w:t xml:space="preserve"> ANS traslada al contratista el riesgo económico de la falla de servicio y genera un incentivo al cumplimiento. De esta manera, se convierte en una herramienta para garantizar que las obligaciones pactadas se cumplan conforme a los objetivos y tiempos definidos en el contrato. Adicionalmente, puede evitar la remuneración de prestaciones que el contratista no cumple a satisfacción. </w:t>
      </w:r>
    </w:p>
    <w:p w14:paraId="5ED5C7D0" w14:textId="77777777" w:rsidR="00DB2B86" w:rsidRPr="00ED6485" w:rsidRDefault="00DB2B86" w:rsidP="00DB2B86">
      <w:pPr>
        <w:tabs>
          <w:tab w:val="left" w:pos="0"/>
        </w:tabs>
        <w:spacing w:before="120" w:after="12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ab/>
        <w:t xml:space="preserve">Por lo anterior, la aplicación de los descuentos no configura per se un incumplimiento del deber de proteger el patrimonio público, como lo sugiere en su consulta. Corresponde a la entidad exigir la ejecución idónea y oportuna del </w:t>
      </w:r>
      <w:r w:rsidRPr="00ED6485">
        <w:rPr>
          <w:rFonts w:ascii="Verdana" w:eastAsia="Calibri" w:hAnsi="Verdana" w:cs="Arial"/>
          <w:color w:val="000000"/>
          <w:lang w:val="es-ES" w:eastAsia="es-ES_tradnl"/>
        </w:rPr>
        <w:lastRenderedPageBreak/>
        <w:t xml:space="preserve">objeto, adelantar las gestiones necesarias para el reconocimiento de los perjuicios y adelantar revisiones periódicas para verificar que el bien o servicio cumple las condiciones exigidas en los términos pactados en ejercicio de la autonomía de la voluntad. En este sentido, la aplicación del descuento con respeto al debido proceso y bajo criterios de proporcionalidad y razonabilidad constituye el cumplimiento de lo pactado. </w:t>
      </w:r>
    </w:p>
    <w:p w14:paraId="4A5F5173" w14:textId="77777777" w:rsidR="00DB2B86" w:rsidRPr="00ED6485" w:rsidRDefault="00DB2B86" w:rsidP="00DB2B86">
      <w:pPr>
        <w:tabs>
          <w:tab w:val="left" w:pos="0"/>
        </w:tabs>
        <w:spacing w:before="120" w:after="12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ab/>
        <w:t xml:space="preserve">Con respecto a las preguntas planteadas en su consulta sobre si el descuento puede configurar un detrimento o daño patrimonial, menoscabo, pérdida, disminución o salida de recursos del </w:t>
      </w:r>
      <w:proofErr w:type="gramStart"/>
      <w:r w:rsidRPr="00ED6485">
        <w:rPr>
          <w:rFonts w:ascii="Verdana" w:eastAsia="Calibri" w:hAnsi="Verdana" w:cs="Arial"/>
          <w:color w:val="000000"/>
          <w:lang w:val="es-ES" w:eastAsia="es-ES_tradnl"/>
        </w:rPr>
        <w:t>erario público</w:t>
      </w:r>
      <w:proofErr w:type="gramEnd"/>
      <w:r w:rsidRPr="00ED6485">
        <w:rPr>
          <w:rFonts w:ascii="Verdana" w:eastAsia="Calibri" w:hAnsi="Verdana" w:cs="Arial"/>
          <w:color w:val="000000"/>
          <w:lang w:val="es-ES" w:eastAsia="es-ES_tradnl"/>
        </w:rPr>
        <w:t xml:space="preserve">, así como sobre los elementos que deben concurrir para configurar el daño patrimonial y la responsabilidad fiscal, es preciso advertir que estos asuntos exceden el ámbito de la competencia consultiva de esta Agencia, en los términos señalados en la aclaración preliminar de este oficio. </w:t>
      </w:r>
    </w:p>
    <w:p w14:paraId="45C48F47" w14:textId="77777777" w:rsidR="00DB2B86" w:rsidRPr="00ED6485" w:rsidRDefault="00DB2B86" w:rsidP="00DB2B86">
      <w:pPr>
        <w:tabs>
          <w:tab w:val="left" w:pos="0"/>
        </w:tabs>
        <w:spacing w:before="120" w:after="120" w:line="276" w:lineRule="auto"/>
        <w:jc w:val="both"/>
        <w:rPr>
          <w:rFonts w:ascii="Verdana" w:eastAsia="Calibri" w:hAnsi="Verdana" w:cs="Arial"/>
          <w:color w:val="000000"/>
          <w:lang w:val="es-ES" w:eastAsia="es-ES_tradnl"/>
        </w:rPr>
      </w:pPr>
      <w:r w:rsidRPr="00ED6485">
        <w:rPr>
          <w:rFonts w:ascii="Verdana" w:eastAsia="Calibri" w:hAnsi="Verdana" w:cs="Arial"/>
          <w:color w:val="000000"/>
          <w:lang w:val="es-ES" w:eastAsia="es-ES_tradnl"/>
        </w:rPr>
        <w:tab/>
      </w:r>
      <w:r w:rsidRPr="009B0D03">
        <w:rPr>
          <w:rFonts w:ascii="Verdana" w:eastAsia="Calibri" w:hAnsi="Verdana" w:cs="Arial"/>
          <w:color w:val="000000"/>
          <w:lang w:val="es-ES" w:eastAsia="es-ES_tradnl"/>
        </w:rPr>
        <w:t xml:space="preserve">Bajo esa premisa, determinar si en un caso concreto la aplicación de los descuentos derivados de los Acuerdos de Nivel de Servicio comporta o no una lesión del patrimonio público en los términos del artículo 6 de la Ley 610 de 2000, así como establecer la concurrencia de los elementos de la responsabilidad fiscal previstos en el artículo 5 </w:t>
      </w:r>
      <w:r w:rsidRPr="009B0D03">
        <w:rPr>
          <w:rFonts w:ascii="Verdana" w:eastAsia="Calibri" w:hAnsi="Verdana" w:cs="Arial"/>
          <w:i/>
          <w:iCs/>
          <w:color w:val="000000"/>
          <w:lang w:val="es-ES" w:eastAsia="es-ES_tradnl"/>
        </w:rPr>
        <w:t>ibidem</w:t>
      </w:r>
      <w:r w:rsidRPr="009B0D03">
        <w:rPr>
          <w:rFonts w:ascii="Verdana" w:eastAsia="Calibri" w:hAnsi="Verdana" w:cs="Arial"/>
          <w:color w:val="000000"/>
          <w:lang w:val="es-ES" w:eastAsia="es-ES_tradnl"/>
        </w:rPr>
        <w:t xml:space="preserve"> —esto es, una conducta dolosa o gravemente culposa atribuible a quien realiza gestión fiscal, un daño patrimonial al Estado y el nexo causal entre ambos—, son cuestiones que suponen la valoración probatoria de una situación particular y el ejercicio de la vigilancia de la gestión fiscal, función pública que los artículos 267 y 268 de la Constitución Política, en concordancia con la Ley 42 de 1993</w:t>
      </w:r>
      <w:r w:rsidRPr="00ED6485">
        <w:rPr>
          <w:rFonts w:ascii="Verdana" w:eastAsia="Calibri" w:hAnsi="Verdana" w:cs="Arial"/>
          <w:color w:val="000000"/>
          <w:lang w:val="es-ES" w:eastAsia="es-ES_tradnl"/>
        </w:rPr>
        <w:t xml:space="preserve"> y</w:t>
      </w:r>
      <w:r w:rsidRPr="009B0D03">
        <w:rPr>
          <w:rFonts w:ascii="Verdana" w:eastAsia="Calibri" w:hAnsi="Verdana" w:cs="Arial"/>
          <w:color w:val="000000"/>
          <w:lang w:val="es-ES" w:eastAsia="es-ES_tradnl"/>
        </w:rPr>
        <w:t xml:space="preserve"> la Ley 610 de 2000, atribuyen de manera privativa a la Contraloría General de la República y a las contralorías territoriales</w:t>
      </w:r>
      <w:r w:rsidRPr="00ED6485">
        <w:rPr>
          <w:rFonts w:ascii="Verdana" w:eastAsia="Calibri" w:hAnsi="Verdana" w:cs="Arial"/>
          <w:color w:val="000000"/>
          <w:lang w:val="es-ES" w:eastAsia="es-ES_tradnl"/>
        </w:rPr>
        <w:t xml:space="preserve">. Dado que esta Agencia no ejerce funciones de control fiscal, inspección, vigilancia o control, no es de su competencia calificar la conducta del gestor fiscal, ni pronunciarse sobre la existencia, cuantificación o inexistencia de un daño patrimonial al Estado. </w:t>
      </w:r>
    </w:p>
    <w:p w14:paraId="20B98337" w14:textId="77777777" w:rsidR="00DB2B86" w:rsidRPr="00ED6485" w:rsidRDefault="00DB2B86" w:rsidP="00DB2B86">
      <w:pPr>
        <w:tabs>
          <w:tab w:val="left" w:pos="426"/>
        </w:tabs>
        <w:spacing w:after="120" w:line="276" w:lineRule="auto"/>
        <w:ind w:firstLine="709"/>
        <w:jc w:val="both"/>
        <w:rPr>
          <w:rFonts w:ascii="Verdana" w:hAnsi="Verdana" w:cs="Arial"/>
          <w:lang w:val="es-ES" w:eastAsia="es-ES"/>
        </w:rPr>
      </w:pPr>
      <w:r w:rsidRPr="00ED6485">
        <w:rPr>
          <w:rFonts w:ascii="Verdana" w:eastAsia="Calibri" w:hAnsi="Verdana" w:cs="Arial"/>
          <w:color w:val="000000" w:themeColor="text1"/>
          <w:lang w:val="es-ES"/>
        </w:rPr>
        <w:t xml:space="preserve">Al </w:t>
      </w:r>
      <w:r w:rsidRPr="00ED6485">
        <w:rPr>
          <w:rFonts w:ascii="Verdana" w:hAnsi="Verdana" w:cs="Arial"/>
          <w:lang w:val="es-ES" w:eastAsia="es-ES"/>
        </w:rPr>
        <w:t xml:space="preserve">margen de la explicación precedente debe advertirse que el análisis requerido para resolver problemas específicos debe realizarse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w:t>
      </w:r>
      <w:r w:rsidRPr="00ED6485">
        <w:rPr>
          <w:rFonts w:ascii="Verdana" w:hAnsi="Verdana" w:cs="Arial"/>
          <w:lang w:val="es-ES" w:eastAsia="es-ES"/>
        </w:rPr>
        <w:lastRenderedPageBreak/>
        <w:t>los interesados en adoptar la decisión correspondiente y, en caso de conflicto, a las autoridades judiciales, fiscales y disciplinarias.</w:t>
      </w:r>
    </w:p>
    <w:p w14:paraId="07EBA874" w14:textId="77777777" w:rsidR="00DB2B86" w:rsidRPr="00ED6485" w:rsidRDefault="00DB2B86" w:rsidP="00DB2B86">
      <w:pPr>
        <w:tabs>
          <w:tab w:val="left" w:pos="426"/>
        </w:tabs>
        <w:spacing w:after="120" w:line="276" w:lineRule="auto"/>
        <w:ind w:firstLine="709"/>
        <w:jc w:val="both"/>
        <w:rPr>
          <w:rFonts w:ascii="Verdana" w:eastAsia="Calibri" w:hAnsi="Verdana" w:cs="Times New Roman"/>
          <w:lang w:val="es-ES"/>
        </w:rPr>
      </w:pPr>
      <w:r w:rsidRPr="00ED6485">
        <w:rPr>
          <w:rFonts w:ascii="Verdana" w:hAnsi="Verdana" w:cs="Arial"/>
          <w:lang w:val="es-ES" w:eastAsia="es-ES"/>
        </w:rPr>
        <w:t>Dentro de este marco, la Entidad Estatal definirá en cada caso concreto lo relacionado con el tema objeto de consulta. Corresponde a estas adoptar la decisión que en derecho proceda respecto de la aplicación de los descuentos pactados, con fundamento en el acervo documental que obre en el expediente espec</w:t>
      </w:r>
      <w:r>
        <w:rPr>
          <w:rFonts w:ascii="Verdana" w:hAnsi="Verdana" w:cs="Arial"/>
          <w:lang w:val="es-ES" w:eastAsia="es-ES"/>
        </w:rPr>
        <w:t>í</w:t>
      </w:r>
      <w:r w:rsidRPr="00ED6485">
        <w:rPr>
          <w:rFonts w:ascii="Verdana" w:hAnsi="Verdana" w:cs="Arial"/>
          <w:lang w:val="es-ES" w:eastAsia="es-ES"/>
        </w:rPr>
        <w:t xml:space="preserve">fico. </w:t>
      </w:r>
      <w:r w:rsidRPr="00ED6485">
        <w:rPr>
          <w:rFonts w:ascii="Verdana" w:hAnsi="Verdana" w:cs="Arial"/>
          <w:color w:val="000000" w:themeColor="text1"/>
          <w:lang w:val="es-ES"/>
        </w:rPr>
        <w:t>Al tratarse de un análisis que debe realizarse en un procedimiento contractual específico, esta Agencia no puede definir un criterio universal y absoluto por vía consultiva, sino que brinda elementos de carácter general para que</w:t>
      </w:r>
      <w:r w:rsidRPr="00ED6485">
        <w:rPr>
          <w:rFonts w:ascii="Verdana" w:eastAsia="Calibri" w:hAnsi="Verdana" w:cs="Times New Roman"/>
          <w:lang w:val="es-ES"/>
        </w:rPr>
        <w:t xml:space="preserv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76AA2AF3" w14:textId="77777777" w:rsidR="00DB2B86" w:rsidRPr="00ED6485" w:rsidRDefault="00DB2B86" w:rsidP="00DB2B86">
      <w:pPr>
        <w:tabs>
          <w:tab w:val="left" w:pos="426"/>
        </w:tabs>
        <w:spacing w:after="120" w:line="276" w:lineRule="auto"/>
        <w:ind w:firstLine="709"/>
        <w:jc w:val="both"/>
        <w:rPr>
          <w:rFonts w:ascii="Verdana" w:hAnsi="Verdana"/>
          <w:lang w:val="es-ES"/>
        </w:rPr>
      </w:pPr>
    </w:p>
    <w:p w14:paraId="793EB10C" w14:textId="77777777" w:rsidR="00DB2B86" w:rsidRPr="00ED6485" w:rsidRDefault="00DB2B86" w:rsidP="00DB2B8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Referencias normativas, jurisprudenciales y otras fuentes:</w:t>
      </w:r>
    </w:p>
    <w:p w14:paraId="751B1477" w14:textId="77777777" w:rsidR="00DB2B86" w:rsidRPr="00ED6485" w:rsidRDefault="00DB2B86" w:rsidP="00DB2B86">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B2B86" w:rsidRPr="00ED6485" w14:paraId="44251AD5" w14:textId="77777777" w:rsidTr="00B23CA7">
        <w:trPr>
          <w:trHeight w:val="870"/>
        </w:trPr>
        <w:tc>
          <w:tcPr>
            <w:tcW w:w="8647" w:type="dxa"/>
          </w:tcPr>
          <w:p w14:paraId="2AED03DB"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Constitución Política. Artículos 29, 267 y 268.</w:t>
            </w:r>
          </w:p>
          <w:p w14:paraId="61B9AE51"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Código Civil. Artículos 1501, 1602, 1625 numeral 5 y 1714.</w:t>
            </w:r>
          </w:p>
          <w:p w14:paraId="2B613763"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Digesto. D. 16.2.1.</w:t>
            </w:r>
          </w:p>
          <w:p w14:paraId="4B96A243"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42 de 1993.</w:t>
            </w:r>
          </w:p>
          <w:p w14:paraId="6CDBC140"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80 de 1993. Artículos 3, 4, 14, 15 a 19, 26, 40 y 44.</w:t>
            </w:r>
          </w:p>
          <w:p w14:paraId="45919715"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610 de 2000. Artículos 5 y 6.</w:t>
            </w:r>
          </w:p>
          <w:p w14:paraId="7D5DCA94"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1150 de 2007. Artículo 17 y su parágrafo.</w:t>
            </w:r>
          </w:p>
          <w:p w14:paraId="12319AB0"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1474 de 2011. Artículos 83, 84 y 86.</w:t>
            </w:r>
          </w:p>
          <w:p w14:paraId="1407FC6D"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Ley 1508 de 2012. Artículo 5.</w:t>
            </w:r>
          </w:p>
          <w:p w14:paraId="116B94B4"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Decreto 1082 de 2015. Artículo 2.2.2.1.2.5.</w:t>
            </w:r>
          </w:p>
          <w:p w14:paraId="67346C38"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Corte Constitucional. Sentencia C-827 de 2001. M.P. Álvaro Tafur Galvis.</w:t>
            </w:r>
          </w:p>
          <w:p w14:paraId="61288E56"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Corte Constitucional. Sentencia C-499 de 2015. M.P. Mauricio González Cuervo.</w:t>
            </w:r>
          </w:p>
          <w:p w14:paraId="6BE96BF4"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Consejo de Estado. Sección Tercera. Sentencia del 13 de noviembre de 2008. Expediente 17.009. C.P. Enrique Gil Botero.</w:t>
            </w:r>
          </w:p>
          <w:p w14:paraId="74DF735D"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Consejo de Estado. Sección Tercera. Sentencia del 23 de junio de 2010. Expediente 16.367. C.P. Enrique Gil Botero.</w:t>
            </w:r>
          </w:p>
          <w:p w14:paraId="3B599D36"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lastRenderedPageBreak/>
              <w:t xml:space="preserve">Consejo de Estado. Sección Tercera. Sentencia del 15 de noviembre de 2011. Expediente 20.916. C.P. Olga Mélida Valle de </w:t>
            </w:r>
            <w:proofErr w:type="spellStart"/>
            <w:r w:rsidRPr="00ED6485">
              <w:rPr>
                <w:rFonts w:ascii="Verdana" w:hAnsi="Verdana" w:cs="Arial"/>
              </w:rPr>
              <w:t>De</w:t>
            </w:r>
            <w:proofErr w:type="spellEnd"/>
            <w:r w:rsidRPr="00ED6485">
              <w:rPr>
                <w:rFonts w:ascii="Verdana" w:hAnsi="Verdana" w:cs="Arial"/>
              </w:rPr>
              <w:t xml:space="preserve"> La Hoz.</w:t>
            </w:r>
          </w:p>
          <w:p w14:paraId="77F10624"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jc w:val="both"/>
              <w:rPr>
                <w:rFonts w:ascii="Verdana" w:hAnsi="Verdana" w:cs="Arial"/>
              </w:rPr>
            </w:pPr>
            <w:r w:rsidRPr="00ED6485">
              <w:rPr>
                <w:rFonts w:ascii="Verdana" w:hAnsi="Verdana" w:cs="Arial"/>
              </w:rPr>
              <w:t>Consejo de Estado. Sección Tercera. Subsección A. Sentencia del 18 de febrero de 2022. Expediente 53.318. C.P. José Roberto Sáchica Méndez.</w:t>
            </w:r>
          </w:p>
          <w:p w14:paraId="748597FF" w14:textId="77777777" w:rsidR="00DB2B86" w:rsidRPr="00ED6485" w:rsidRDefault="00DB2B86" w:rsidP="00DB2B86">
            <w:pPr>
              <w:pStyle w:val="Prrafodelista"/>
              <w:widowControl w:val="0"/>
              <w:numPr>
                <w:ilvl w:val="0"/>
                <w:numId w:val="17"/>
              </w:numPr>
              <w:autoSpaceDE w:val="0"/>
              <w:autoSpaceDN w:val="0"/>
              <w:snapToGrid w:val="0"/>
              <w:spacing w:before="120" w:after="120" w:line="276" w:lineRule="auto"/>
              <w:contextualSpacing w:val="0"/>
              <w:jc w:val="both"/>
              <w:rPr>
                <w:rFonts w:ascii="Verdana" w:hAnsi="Verdana" w:cs="Arial"/>
              </w:rPr>
            </w:pPr>
            <w:r w:rsidRPr="00ED6485">
              <w:rPr>
                <w:rFonts w:ascii="Verdana" w:hAnsi="Verdana" w:cs="Arial"/>
              </w:rPr>
              <w:t>Consejo de Estado. Sección Tercera. Subsección A. Sentencia del 30 de enero de 2026. Expediente 69090. C.P. José Roberto Sáchica Méndez.</w:t>
            </w:r>
          </w:p>
        </w:tc>
      </w:tr>
    </w:tbl>
    <w:p w14:paraId="5E832755" w14:textId="77777777" w:rsidR="00DB2B86" w:rsidRPr="00ED6485" w:rsidRDefault="00DB2B86" w:rsidP="00DB2B86">
      <w:pPr>
        <w:widowControl w:val="0"/>
        <w:autoSpaceDE w:val="0"/>
        <w:autoSpaceDN w:val="0"/>
        <w:spacing w:after="0" w:line="276" w:lineRule="auto"/>
        <w:jc w:val="both"/>
        <w:rPr>
          <w:rFonts w:ascii="Verdana" w:hAnsi="Verdana" w:cs="Arial"/>
          <w:color w:val="000000" w:themeColor="text1"/>
          <w:lang w:val="es-ES"/>
        </w:rPr>
      </w:pPr>
    </w:p>
    <w:p w14:paraId="6888CC6E" w14:textId="77777777" w:rsidR="00DB2B86" w:rsidRPr="00ED6485" w:rsidRDefault="00DB2B86" w:rsidP="00DB2B8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D6485">
        <w:rPr>
          <w:rFonts w:ascii="Verdana" w:eastAsia="Century Gothic" w:hAnsi="Verdana" w:cs="Century Gothic"/>
          <w:b/>
          <w:bCs/>
          <w:color w:val="000000" w:themeColor="text1"/>
        </w:rPr>
        <w:t>Doctrina de la Agencia Nacional de Contratación Pública:</w:t>
      </w:r>
    </w:p>
    <w:p w14:paraId="63178F05" w14:textId="77777777" w:rsidR="00DB2B86" w:rsidRPr="00ED6485" w:rsidRDefault="00DB2B86" w:rsidP="00DB2B86">
      <w:pPr>
        <w:widowControl w:val="0"/>
        <w:autoSpaceDE w:val="0"/>
        <w:autoSpaceDN w:val="0"/>
        <w:spacing w:after="0" w:line="276" w:lineRule="auto"/>
        <w:jc w:val="both"/>
        <w:rPr>
          <w:rFonts w:ascii="Verdana" w:hAnsi="Verdana" w:cs="Arial"/>
          <w:color w:val="000000" w:themeColor="text1"/>
          <w:lang w:val="es-ES"/>
        </w:rPr>
      </w:pPr>
    </w:p>
    <w:p w14:paraId="19D6A4B6" w14:textId="77777777" w:rsidR="00DB2B86" w:rsidRPr="00ED6485" w:rsidRDefault="00DB2B86" w:rsidP="00DB2B86">
      <w:pPr>
        <w:ind w:left="3"/>
        <w:jc w:val="both"/>
        <w:rPr>
          <w:rStyle w:val="normaltextrun"/>
          <w:rFonts w:ascii="Verdana" w:eastAsia="Calibri" w:hAnsi="Verdana" w:cs="Arial"/>
          <w:b/>
          <w:bCs/>
          <w:color w:val="000000" w:themeColor="text1"/>
          <w:lang w:val="es-ES" w:eastAsia="es-ES"/>
        </w:rPr>
      </w:pPr>
      <w:r w:rsidRPr="00ED6485">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ED6485">
        <w:rPr>
          <w:rStyle w:val="normaltextrun"/>
          <w:rFonts w:ascii="Verdana" w:hAnsi="Verdana"/>
          <w:color w:val="000000" w:themeColor="text1"/>
          <w:shd w:val="clear" w:color="auto" w:fill="FFFFFF"/>
          <w:lang w:val="es-ES"/>
        </w:rPr>
        <w:t xml:space="preserve">sobre los </w:t>
      </w:r>
      <w:r w:rsidRPr="00ED6485">
        <w:rPr>
          <w:rStyle w:val="normaltextrun"/>
          <w:rFonts w:ascii="Verdana" w:hAnsi="Verdana" w:cs="Arial"/>
          <w:color w:val="000000" w:themeColor="text1"/>
          <w:shd w:val="clear" w:color="auto" w:fill="FFFFFF"/>
          <w:lang w:val="es-ES"/>
        </w:rPr>
        <w:t xml:space="preserve">ANS en los conceptos No. </w:t>
      </w:r>
      <w:r w:rsidRPr="00ED6485">
        <w:rPr>
          <w:rStyle w:val="normaltextrun"/>
          <w:rFonts w:ascii="Verdana" w:hAnsi="Verdana"/>
          <w:shd w:val="clear" w:color="auto" w:fill="FFFFFF"/>
          <w:lang w:val="es-ES"/>
        </w:rPr>
        <w:t xml:space="preserve">C-866 de 20 de diciembre de 2022, C ‒ 034 del 09 de marzo de 2023 y </w:t>
      </w:r>
      <w:r w:rsidRPr="00ED6485">
        <w:rPr>
          <w:rStyle w:val="normaltextrun"/>
          <w:rFonts w:ascii="Verdana" w:hAnsi="Verdana"/>
          <w:color w:val="000000" w:themeColor="text1"/>
          <w:shd w:val="clear" w:color="auto" w:fill="FFFFFF"/>
          <w:lang w:val="es-ES"/>
        </w:rPr>
        <w:t>C – 277 del 13 de marzo de 2026</w:t>
      </w:r>
      <w:r w:rsidRPr="00ED6485">
        <w:rPr>
          <w:rStyle w:val="normaltextrun"/>
          <w:rFonts w:ascii="Verdana" w:hAnsi="Verdana"/>
          <w:color w:val="000000" w:themeColor="text1"/>
          <w:lang w:val="es-ES"/>
        </w:rPr>
        <w:t xml:space="preserve">. </w:t>
      </w:r>
      <w:r w:rsidRPr="00ED6485">
        <w:rPr>
          <w:rStyle w:val="normaltextrun"/>
          <w:rFonts w:ascii="Verdana" w:hAnsi="Verdana"/>
          <w:shd w:val="clear" w:color="auto" w:fill="FFFFFF"/>
          <w:lang w:val="es-ES"/>
        </w:rPr>
        <w:t>Estos</w:t>
      </w:r>
      <w:r w:rsidRPr="00ED6485">
        <w:rPr>
          <w:rFonts w:ascii="Verdana" w:hAnsi="Verdana"/>
          <w:lang w:val="es-ES"/>
        </w:rPr>
        <w:t xml:space="preserve"> y otros conceptos se encuentran disponibles para consulta en</w:t>
      </w:r>
      <w:r w:rsidRPr="00ED6485">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1" w:history="1">
        <w:r w:rsidRPr="00ED6485">
          <w:rPr>
            <w:rStyle w:val="Hipervnculo"/>
            <w:rFonts w:ascii="Verdana" w:hAnsi="Verdana" w:cs="Arial"/>
            <w:shd w:val="clear" w:color="auto" w:fill="FFFFFF"/>
            <w:lang w:val="es-ES"/>
          </w:rPr>
          <w:t>https://relatoria.colombiacompra.gov.co/busqueda/conceptos</w:t>
        </w:r>
      </w:hyperlink>
      <w:r w:rsidRPr="00ED6485">
        <w:rPr>
          <w:rStyle w:val="normaltextrun"/>
          <w:rFonts w:ascii="Verdana" w:hAnsi="Verdana" w:cs="Arial"/>
          <w:shd w:val="clear" w:color="auto" w:fill="FFFFFF"/>
          <w:lang w:val="es-ES"/>
        </w:rPr>
        <w:t>.</w:t>
      </w:r>
      <w:r w:rsidRPr="00ED6485">
        <w:rPr>
          <w:rStyle w:val="normaltextrun"/>
          <w:rFonts w:ascii="Verdana" w:hAnsi="Verdana" w:cs="Arial"/>
          <w:color w:val="FF0000"/>
          <w:shd w:val="clear" w:color="auto" w:fill="FFFFFF"/>
          <w:lang w:val="es-ES"/>
        </w:rPr>
        <w:t xml:space="preserve"> </w:t>
      </w:r>
    </w:p>
    <w:p w14:paraId="5A799130" w14:textId="77777777" w:rsidR="00DB2B86" w:rsidRPr="00ED6485" w:rsidRDefault="00DB2B86" w:rsidP="00DB2B86">
      <w:pPr>
        <w:ind w:left="3"/>
        <w:jc w:val="both"/>
        <w:rPr>
          <w:rFonts w:ascii="Verdana" w:eastAsia="Calibri" w:hAnsi="Verdana" w:cs="Arial"/>
          <w:b/>
          <w:bCs/>
          <w:color w:val="000000" w:themeColor="text1"/>
          <w:lang w:val="es-ES" w:eastAsia="es-ES"/>
        </w:rPr>
      </w:pPr>
      <w:r w:rsidRPr="00ED6485">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D6485">
        <w:rPr>
          <w:rFonts w:ascii="Verdana" w:hAnsi="Verdana"/>
          <w:b/>
          <w:lang w:val="es-ES"/>
        </w:rPr>
        <w:t>Guía para la Exigencia y Constitución de Garantías en los Procesos de Contratación</w:t>
      </w:r>
      <w:r w:rsidRPr="00ED6485">
        <w:rPr>
          <w:rFonts w:ascii="Verdana" w:hAnsi="Verdana"/>
          <w:lang w:val="es-ES"/>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2" w:tgtFrame="_blank" w:tooltip="Original URL: https://www.colombiacompra.gov.co/archivos/manual/guia-de-garantias-en-procesos-de-contratacion. Click or tap if you trust this link." w:history="1">
        <w:r w:rsidRPr="00ED6485">
          <w:rPr>
            <w:rStyle w:val="Hipervnculo"/>
            <w:rFonts w:ascii="Verdana" w:hAnsi="Verdana"/>
            <w:lang w:val="es-ES"/>
          </w:rPr>
          <w:t>https://www.colombiacompra.gov.co/archivos/manual/guia-de-garantias-en-procesos-de-contratacion</w:t>
        </w:r>
      </w:hyperlink>
    </w:p>
    <w:p w14:paraId="04C3CBB0" w14:textId="77777777" w:rsidR="00DB2B86" w:rsidRPr="00ED6485" w:rsidRDefault="00DB2B86" w:rsidP="00DB2B86">
      <w:pPr>
        <w:spacing w:after="0" w:line="276" w:lineRule="auto"/>
        <w:jc w:val="both"/>
        <w:rPr>
          <w:rFonts w:ascii="Verdana" w:hAnsi="Verdana"/>
          <w:lang w:val="es-ES"/>
        </w:rPr>
      </w:pPr>
    </w:p>
    <w:p w14:paraId="6669CBF8"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De otro lado, te contamos que el Decreto 287 del 19 de marzo de 2026 sustituyó los artículos 2.2.1.2.4.2.6., 2.2.1.2.4.2.7. y 2.2.1.2.4.2.8. del Decreto 1082 de 2015 y estructuró el </w:t>
      </w:r>
      <w:r w:rsidRPr="00ED6485">
        <w:rPr>
          <w:rFonts w:ascii="Verdana" w:hAnsi="Verdana"/>
          <w:b/>
          <w:lang w:val="es-ES"/>
        </w:rPr>
        <w:t>Sistema Integral de Preferencias en favor de las personas con discapacidad</w:t>
      </w:r>
      <w:r w:rsidRPr="00ED6485">
        <w:rPr>
          <w:rFonts w:ascii="Verdana" w:hAnsi="Verdana"/>
          <w:lang w:val="es-ES"/>
        </w:rPr>
        <w:t>, en cumplimiento del artículo 13 de la Ley Estatutaria 1618 de 2013. Para orientar su aplicación, esta Agencia expidió la </w:t>
      </w:r>
      <w:r w:rsidRPr="00ED6485">
        <w:rPr>
          <w:rFonts w:ascii="Verdana" w:hAnsi="Verdana"/>
          <w:b/>
          <w:lang w:val="es-ES"/>
        </w:rPr>
        <w:t>Circular Externa 003 del 12 de mayo de 2026, </w:t>
      </w:r>
      <w:r w:rsidRPr="00ED6485">
        <w:rPr>
          <w:rFonts w:ascii="Verdana" w:hAnsi="Verdana"/>
          <w:lang w:val="es-ES"/>
        </w:rPr>
        <w:t xml:space="preserve">en la que precisa quiénes son los beneficiarios, las cinco medidas que integran el sistema y su </w:t>
      </w:r>
      <w:r w:rsidRPr="00ED6485">
        <w:rPr>
          <w:rFonts w:ascii="Verdana" w:hAnsi="Verdana"/>
          <w:lang w:val="es-ES"/>
        </w:rPr>
        <w:lastRenderedPageBreak/>
        <w:t>obligatoriedad según la modalidad de selección, y el régimen de transición aplicable a los procesos en curso. Consúltala aquí: </w:t>
      </w:r>
      <w:hyperlink r:id="rId13" w:tgtFrame="_blank" w:tooltip="Original URL: https://www.colombiacompra.gov.co/archivos/circular/circular-externa-003-de-2026. Click or tap if you trust this link." w:history="1">
        <w:r w:rsidRPr="00ED6485">
          <w:rPr>
            <w:rStyle w:val="Hipervnculo"/>
            <w:rFonts w:ascii="Verdana" w:hAnsi="Verdana"/>
            <w:lang w:val="es-ES"/>
          </w:rPr>
          <w:t>https://www.colombiacompra.gov.co/archivos/circular/circular-externa-003-de-2026</w:t>
        </w:r>
      </w:hyperlink>
    </w:p>
    <w:p w14:paraId="03C2C94E" w14:textId="77777777" w:rsidR="00DB2B86" w:rsidRPr="00ED6485" w:rsidRDefault="00DB2B86" w:rsidP="00DB2B86">
      <w:pPr>
        <w:spacing w:after="0" w:line="276" w:lineRule="auto"/>
        <w:jc w:val="both"/>
        <w:rPr>
          <w:rFonts w:ascii="Verdana" w:hAnsi="Verdana"/>
          <w:lang w:val="es-ES"/>
        </w:rPr>
      </w:pPr>
    </w:p>
    <w:p w14:paraId="62B17180"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Recuerda también que la</w:t>
      </w:r>
      <w:r w:rsidRPr="00ED6485">
        <w:rPr>
          <w:rFonts w:ascii="Verdana" w:hAnsi="Verdana"/>
          <w:b/>
          <w:lang w:val="es-ES"/>
        </w:rPr>
        <w:t> información sobre sanciones e inhabilidades </w:t>
      </w:r>
      <w:r w:rsidRPr="00ED6485">
        <w:rPr>
          <w:rFonts w:ascii="Verdana" w:hAnsi="Verdana"/>
          <w:lang w:val="es-ES"/>
        </w:rPr>
        <w:t>solo cumple su función preventiva si llega oportunamente a los registros públicos. Sobre este deber, esta Agencia expidió la </w:t>
      </w:r>
      <w:r w:rsidRPr="00ED6485">
        <w:rPr>
          <w:rFonts w:ascii="Verdana" w:hAnsi="Verdana"/>
          <w:b/>
          <w:lang w:val="es-ES"/>
        </w:rPr>
        <w:t>Circular Externa 002 del 5 de mayo de 2026,</w:t>
      </w:r>
      <w:r w:rsidRPr="00ED6485">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4" w:tgtFrame="_blank" w:tooltip="Original URL: https://www.colombiacompra.gov.co/archivos/circular/circular-externa-002-de-2026. Click or tap if you trust this link." w:history="1">
        <w:r w:rsidRPr="00ED6485">
          <w:rPr>
            <w:rStyle w:val="Hipervnculo"/>
            <w:rFonts w:ascii="Verdana" w:hAnsi="Verdana"/>
            <w:lang w:val="es-ES"/>
          </w:rPr>
          <w:t>https://www.colombiacompra.gov.co/archivos/circular/circular-externa-002-de-2026</w:t>
        </w:r>
      </w:hyperlink>
    </w:p>
    <w:p w14:paraId="4C5C363B" w14:textId="77777777" w:rsidR="00DB2B86" w:rsidRPr="00ED6485" w:rsidRDefault="00DB2B86" w:rsidP="00DB2B86">
      <w:pPr>
        <w:spacing w:after="0" w:line="276" w:lineRule="auto"/>
        <w:jc w:val="both"/>
        <w:rPr>
          <w:rFonts w:ascii="Verdana" w:hAnsi="Verdana"/>
          <w:lang w:val="es-ES"/>
        </w:rPr>
      </w:pPr>
    </w:p>
    <w:p w14:paraId="08996382"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Finalmente, si quieres seguir de cerca la actividad de la Agencia, la tercera edición de 2026 del</w:t>
      </w:r>
      <w:r w:rsidRPr="00ED6485">
        <w:rPr>
          <w:rFonts w:ascii="Verdana" w:hAnsi="Verdana"/>
          <w:b/>
          <w:lang w:val="es-ES"/>
        </w:rPr>
        <w:t> Radar de la Compra Pública</w:t>
      </w:r>
      <w:r w:rsidRPr="00ED6485">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5" w:tgtFrame="_blank" w:tooltip="Original URL: https://www.colombiacompra.gov.co/archivos/boletin/boletin-edicion-n-3-de-2026-radar-de-la-compra-publica. Click or tap if you trust this link." w:history="1">
        <w:r w:rsidRPr="00ED6485">
          <w:rPr>
            <w:rStyle w:val="Hipervnculo"/>
            <w:rFonts w:ascii="Verdana" w:hAnsi="Verdana"/>
            <w:lang w:val="es-ES"/>
          </w:rPr>
          <w:t>https://www.colombiacompra.gov.co/archivos/boletin/boletin-edicion-n-3-de-2026-radar-de-la-compra-publica</w:t>
        </w:r>
      </w:hyperlink>
      <w:r w:rsidRPr="00ED6485">
        <w:rPr>
          <w:rFonts w:ascii="Verdana" w:hAnsi="Verdana"/>
          <w:lang w:val="es-ES"/>
        </w:rPr>
        <w:t>"</w:t>
      </w:r>
    </w:p>
    <w:p w14:paraId="7F8B1F2E" w14:textId="77777777" w:rsidR="00DB2B86" w:rsidRPr="00ED6485" w:rsidRDefault="00DB2B86" w:rsidP="00DB2B86">
      <w:pPr>
        <w:spacing w:after="0" w:line="276" w:lineRule="auto"/>
        <w:jc w:val="both"/>
        <w:rPr>
          <w:rFonts w:ascii="Verdana" w:hAnsi="Verdana"/>
          <w:lang w:val="es-ES"/>
        </w:rPr>
      </w:pPr>
    </w:p>
    <w:p w14:paraId="17382751"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 xml:space="preserve">Por último, lo invitamos a seguirnos en las redes sociales en las cuales se difunde información institucional: </w:t>
      </w:r>
    </w:p>
    <w:p w14:paraId="60490ECA" w14:textId="77777777" w:rsidR="00DB2B86" w:rsidRPr="00ED6485" w:rsidRDefault="00DB2B86" w:rsidP="00DB2B86">
      <w:pPr>
        <w:spacing w:after="0" w:line="276" w:lineRule="auto"/>
        <w:jc w:val="both"/>
        <w:rPr>
          <w:rFonts w:ascii="Verdana" w:hAnsi="Verdana"/>
          <w:lang w:val="es-ES"/>
        </w:rPr>
      </w:pPr>
    </w:p>
    <w:p w14:paraId="6DC93658"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 xml:space="preserve">Twitter: </w:t>
      </w:r>
      <w:r w:rsidRPr="00ED6485">
        <w:rPr>
          <w:rStyle w:val="Hipervnculo"/>
          <w:rFonts w:ascii="Verdana" w:hAnsi="Verdana" w:cs="Arial"/>
          <w:shd w:val="clear" w:color="auto" w:fill="FFFFFF"/>
          <w:lang w:val="es-ES"/>
        </w:rPr>
        <w:t>@colombiacompra</w:t>
      </w:r>
      <w:r w:rsidRPr="00ED6485">
        <w:rPr>
          <w:rFonts w:ascii="Verdana" w:hAnsi="Verdana"/>
          <w:color w:val="4472C4" w:themeColor="accent1"/>
          <w:lang w:val="es-ES"/>
        </w:rPr>
        <w:t xml:space="preserve"> </w:t>
      </w:r>
    </w:p>
    <w:p w14:paraId="5B36BB70"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 xml:space="preserve">Facebook: </w:t>
      </w:r>
      <w:proofErr w:type="spellStart"/>
      <w:r w:rsidRPr="00ED6485">
        <w:rPr>
          <w:rStyle w:val="Hipervnculo"/>
          <w:rFonts w:ascii="Verdana" w:hAnsi="Verdana" w:cs="Arial"/>
          <w:shd w:val="clear" w:color="auto" w:fill="FFFFFF"/>
          <w:lang w:val="es-ES"/>
        </w:rPr>
        <w:t>ColombiaCompraEficiente</w:t>
      </w:r>
      <w:proofErr w:type="spellEnd"/>
    </w:p>
    <w:p w14:paraId="5DC1A010" w14:textId="77777777" w:rsidR="00DB2B86" w:rsidRPr="00ED6485" w:rsidRDefault="00DB2B86" w:rsidP="00DB2B86">
      <w:pPr>
        <w:spacing w:after="0" w:line="276" w:lineRule="auto"/>
        <w:jc w:val="both"/>
        <w:rPr>
          <w:rFonts w:ascii="Verdana" w:hAnsi="Verdana"/>
          <w:lang w:val="es-ES"/>
        </w:rPr>
      </w:pPr>
      <w:r w:rsidRPr="00ED6485">
        <w:rPr>
          <w:rFonts w:ascii="Verdana" w:hAnsi="Verdana"/>
          <w:lang w:val="es-ES"/>
        </w:rPr>
        <w:t xml:space="preserve">LinkedIn: </w:t>
      </w:r>
      <w:r w:rsidRPr="00ED6485">
        <w:rPr>
          <w:rStyle w:val="Hipervnculo"/>
          <w:rFonts w:ascii="Verdana" w:hAnsi="Verdana" w:cs="Arial"/>
          <w:shd w:val="clear" w:color="auto" w:fill="FFFFFF"/>
          <w:lang w:val="es-ES"/>
        </w:rPr>
        <w:t xml:space="preserve">Agencia Nacional de Contratación Pública - Colombia Compra Eficiente </w:t>
      </w:r>
      <w:r w:rsidRPr="00ED6485">
        <w:rPr>
          <w:rFonts w:ascii="Verdana" w:hAnsi="Verdana"/>
          <w:lang w:val="es-ES"/>
        </w:rPr>
        <w:t xml:space="preserve">Instagram: </w:t>
      </w:r>
      <w:r w:rsidRPr="00ED6485">
        <w:rPr>
          <w:rStyle w:val="Hipervnculo"/>
          <w:rFonts w:ascii="Verdana" w:hAnsi="Verdana" w:cs="Arial"/>
          <w:shd w:val="clear" w:color="auto" w:fill="FFFFFF"/>
          <w:lang w:val="es-ES"/>
        </w:rPr>
        <w:t>@colombiacompraeficiente_cce</w:t>
      </w:r>
    </w:p>
    <w:p w14:paraId="682660A0" w14:textId="77777777" w:rsidR="00DB2B86" w:rsidRPr="00ED6485" w:rsidRDefault="00DB2B86" w:rsidP="00DB2B86">
      <w:pPr>
        <w:widowControl w:val="0"/>
        <w:autoSpaceDE w:val="0"/>
        <w:autoSpaceDN w:val="0"/>
        <w:spacing w:after="0" w:line="276" w:lineRule="auto"/>
        <w:jc w:val="both"/>
        <w:rPr>
          <w:rFonts w:ascii="Verdana" w:hAnsi="Verdana" w:cs="Arial"/>
          <w:color w:val="000000" w:themeColor="text1"/>
          <w:lang w:val="es-ES"/>
        </w:rPr>
      </w:pPr>
    </w:p>
    <w:p w14:paraId="2355B9A9" w14:textId="77777777" w:rsidR="00DB2B86" w:rsidRPr="00ED6485" w:rsidRDefault="00DB2B86" w:rsidP="00DB2B86">
      <w:pPr>
        <w:widowControl w:val="0"/>
        <w:autoSpaceDE w:val="0"/>
        <w:autoSpaceDN w:val="0"/>
        <w:spacing w:after="0" w:line="276" w:lineRule="auto"/>
        <w:jc w:val="both"/>
        <w:rPr>
          <w:rFonts w:ascii="Verdana" w:hAnsi="Verdana" w:cs="Arial"/>
          <w:color w:val="000000" w:themeColor="text1"/>
          <w:lang w:val="es-ES"/>
        </w:rPr>
      </w:pPr>
      <w:r w:rsidRPr="00ED6485">
        <w:rPr>
          <w:rFonts w:ascii="Verdana" w:hAnsi="Verdana" w:cs="Arial"/>
          <w:color w:val="000000" w:themeColor="text1"/>
          <w:lang w:val="es-ES"/>
        </w:rPr>
        <w:t xml:space="preserve">Este concepto tiene el alcance previsto en el artículo 28 del Código de Procedimiento Administrativo y de lo Contencioso Administrativo y las </w:t>
      </w:r>
      <w:r w:rsidRPr="00ED6485">
        <w:rPr>
          <w:rFonts w:ascii="Verdana" w:hAnsi="Verdana" w:cs="Arial"/>
          <w:color w:val="000000" w:themeColor="text1"/>
          <w:lang w:val="es-ES"/>
        </w:rPr>
        <w:lastRenderedPageBreak/>
        <w:t>expresiones aquí utilizadas con mayúscula inicial deben ser entendidas con el significado que les otorga el artículo 2.2.1.1.1.3.1. del Decreto 1082 de 2015.</w:t>
      </w:r>
    </w:p>
    <w:p w14:paraId="2AC05293" w14:textId="77777777" w:rsidR="00DB2B86" w:rsidRPr="00ED6485" w:rsidRDefault="00DB2B86" w:rsidP="00DB2B86">
      <w:pPr>
        <w:widowControl w:val="0"/>
        <w:autoSpaceDE w:val="0"/>
        <w:autoSpaceDN w:val="0"/>
        <w:spacing w:after="0" w:line="276" w:lineRule="auto"/>
        <w:jc w:val="both"/>
        <w:rPr>
          <w:rFonts w:ascii="Verdana" w:hAnsi="Verdana" w:cs="Arial"/>
          <w:color w:val="000000" w:themeColor="text1"/>
          <w:lang w:val="es-ES"/>
        </w:rPr>
      </w:pPr>
    </w:p>
    <w:p w14:paraId="2F2CA480" w14:textId="35AF0D26" w:rsidR="00DB2B86" w:rsidRPr="00ED6485" w:rsidRDefault="00752587" w:rsidP="00DB2B86">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59264" behindDoc="0" locked="0" layoutInCell="1" allowOverlap="1" wp14:anchorId="248D3EAD" wp14:editId="32BA4213">
            <wp:simplePos x="0" y="0"/>
            <wp:positionH relativeFrom="column">
              <wp:posOffset>1154624</wp:posOffset>
            </wp:positionH>
            <wp:positionV relativeFrom="page">
              <wp:posOffset>2266735</wp:posOffset>
            </wp:positionV>
            <wp:extent cx="3602990" cy="1337310"/>
            <wp:effectExtent l="0" t="0" r="381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3602990" cy="1337310"/>
                    </a:xfrm>
                    <a:prstGeom prst="rect">
                      <a:avLst/>
                    </a:prstGeom>
                  </pic:spPr>
                </pic:pic>
              </a:graphicData>
            </a:graphic>
            <wp14:sizeRelH relativeFrom="page">
              <wp14:pctWidth>0</wp14:pctWidth>
            </wp14:sizeRelH>
            <wp14:sizeRelV relativeFrom="page">
              <wp14:pctHeight>0</wp14:pctHeight>
            </wp14:sizeRelV>
          </wp:anchor>
        </w:drawing>
      </w:r>
      <w:r w:rsidR="00DB2B86" w:rsidRPr="00ED6485">
        <w:rPr>
          <w:rFonts w:ascii="Verdana" w:eastAsia="Times New Roman" w:hAnsi="Verdana" w:cs="Arial"/>
          <w:color w:val="000000" w:themeColor="text1"/>
          <w:lang w:val="es-ES" w:eastAsia="es-CO"/>
        </w:rPr>
        <w:t>Atentamente,</w:t>
      </w:r>
      <w:r w:rsidR="00DB2B86" w:rsidRPr="00ED6485">
        <w:rPr>
          <w:rFonts w:ascii="Verdana" w:hAnsi="Verdana" w:cs="Arial"/>
          <w:color w:val="000000" w:themeColor="text1"/>
          <w:lang w:val="es-ES" w:eastAsia="es-CO"/>
        </w:rPr>
        <w:t xml:space="preserve"> </w:t>
      </w:r>
    </w:p>
    <w:p w14:paraId="5EAF86D5" w14:textId="3BDA02ED" w:rsidR="00DB2B86" w:rsidRPr="00ED6485" w:rsidRDefault="00DB2B86" w:rsidP="00DB2B86">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B2B86" w:rsidRPr="00ED6485" w14:paraId="05A87FD4" w14:textId="77777777" w:rsidTr="00B23CA7">
        <w:trPr>
          <w:trHeight w:val="315"/>
        </w:trPr>
        <w:tc>
          <w:tcPr>
            <w:tcW w:w="893" w:type="dxa"/>
            <w:vAlign w:val="center"/>
            <w:hideMark/>
          </w:tcPr>
          <w:p w14:paraId="0ED48C66" w14:textId="77777777" w:rsidR="00DB2B86" w:rsidRPr="00ED6485" w:rsidRDefault="00DB2B86" w:rsidP="00B23CA7">
            <w:pPr>
              <w:contextualSpacing/>
              <w:rPr>
                <w:rFonts w:ascii="Verdana" w:hAnsi="Verdana" w:cs="Arial"/>
                <w:sz w:val="15"/>
                <w:szCs w:val="15"/>
                <w:lang w:val="es-ES" w:eastAsia="es-ES"/>
              </w:rPr>
            </w:pPr>
            <w:r w:rsidRPr="00ED6485">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0B1AD191" w14:textId="77777777" w:rsidR="00DB2B86" w:rsidRPr="00903432" w:rsidRDefault="00DB2B86" w:rsidP="00B23CA7">
            <w:pPr>
              <w:contextualSpacing/>
              <w:rPr>
                <w:rFonts w:ascii="Verdana" w:eastAsia="Arial" w:hAnsi="Verdana" w:cs="Arial"/>
                <w:color w:val="000000" w:themeColor="text1"/>
                <w:sz w:val="16"/>
                <w:szCs w:val="16"/>
                <w:lang w:val="es-ES"/>
              </w:rPr>
            </w:pPr>
            <w:r w:rsidRPr="00903432">
              <w:rPr>
                <w:rFonts w:ascii="Verdana" w:eastAsia="Arial" w:hAnsi="Verdana" w:cs="Arial"/>
                <w:color w:val="000000" w:themeColor="text1"/>
                <w:sz w:val="16"/>
                <w:szCs w:val="16"/>
                <w:lang w:val="es-ES"/>
              </w:rPr>
              <w:t>Anamaría Bonilla Prieto</w:t>
            </w:r>
          </w:p>
          <w:p w14:paraId="1EE6571C" w14:textId="77777777" w:rsidR="00DB2B86" w:rsidRPr="00903432" w:rsidRDefault="00DB2B86" w:rsidP="00B23CA7">
            <w:pPr>
              <w:contextualSpacing/>
              <w:rPr>
                <w:rFonts w:ascii="Verdana" w:eastAsia="Arial" w:hAnsi="Verdana" w:cs="Arial"/>
                <w:sz w:val="16"/>
                <w:szCs w:val="16"/>
                <w:lang w:val="es-ES"/>
              </w:rPr>
            </w:pPr>
            <w:r w:rsidRPr="00903432">
              <w:rPr>
                <w:rStyle w:val="normaltextrun"/>
                <w:rFonts w:ascii="Verdana" w:eastAsia="Arial" w:hAnsi="Verdana" w:cs="Arial"/>
                <w:color w:val="000000" w:themeColor="text1"/>
                <w:sz w:val="16"/>
                <w:szCs w:val="16"/>
                <w:lang w:val="es-ES"/>
              </w:rPr>
              <w:t xml:space="preserve">Contratista de la Subdirección </w:t>
            </w:r>
            <w:r w:rsidRPr="00903432">
              <w:rPr>
                <w:rStyle w:val="normaltextrun"/>
                <w:rFonts w:ascii="Verdana" w:eastAsia="Arial" w:hAnsi="Verdana" w:cs="Arial"/>
                <w:sz w:val="16"/>
                <w:szCs w:val="16"/>
                <w:lang w:val="es-ES"/>
              </w:rPr>
              <w:t>de Gestión Contractual</w:t>
            </w:r>
          </w:p>
        </w:tc>
      </w:tr>
      <w:tr w:rsidR="00DB2B86" w:rsidRPr="00ED6485" w14:paraId="534416B6" w14:textId="77777777" w:rsidTr="00B23CA7">
        <w:trPr>
          <w:trHeight w:val="330"/>
        </w:trPr>
        <w:tc>
          <w:tcPr>
            <w:tcW w:w="893" w:type="dxa"/>
            <w:vAlign w:val="center"/>
            <w:hideMark/>
          </w:tcPr>
          <w:p w14:paraId="2C3C9367" w14:textId="77777777" w:rsidR="00DB2B86" w:rsidRPr="00ED6485" w:rsidRDefault="00DB2B86" w:rsidP="00B23CA7">
            <w:pPr>
              <w:contextualSpacing/>
              <w:rPr>
                <w:rFonts w:ascii="Verdana" w:hAnsi="Verdana" w:cs="Arial"/>
                <w:sz w:val="15"/>
                <w:szCs w:val="15"/>
                <w:lang w:val="es-ES" w:eastAsia="es-ES"/>
              </w:rPr>
            </w:pPr>
            <w:r w:rsidRPr="00ED6485">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AEF906A" w14:textId="77777777" w:rsidR="00DB2B86" w:rsidRPr="00903432" w:rsidRDefault="00DB2B86" w:rsidP="00B23CA7">
            <w:pPr>
              <w:contextualSpacing/>
              <w:rPr>
                <w:rFonts w:ascii="Verdana" w:eastAsia="Arial" w:hAnsi="Verdana" w:cs="Arial"/>
                <w:color w:val="000000" w:themeColor="text1"/>
                <w:sz w:val="16"/>
                <w:szCs w:val="16"/>
                <w:lang w:val="es-ES"/>
              </w:rPr>
            </w:pPr>
            <w:r w:rsidRPr="00903432">
              <w:rPr>
                <w:rFonts w:ascii="Verdana" w:eastAsia="Arial" w:hAnsi="Verdana" w:cs="Arial"/>
                <w:color w:val="000000" w:themeColor="text1"/>
                <w:sz w:val="16"/>
                <w:szCs w:val="16"/>
                <w:lang w:val="es-ES"/>
              </w:rPr>
              <w:t>Alejandro Sarmiento Cantillo</w:t>
            </w:r>
          </w:p>
          <w:p w14:paraId="4383FC9D" w14:textId="77777777" w:rsidR="00DB2B86" w:rsidRPr="00903432" w:rsidRDefault="00DB2B86" w:rsidP="00B23CA7">
            <w:pPr>
              <w:pStyle w:val="paragraph"/>
              <w:spacing w:before="0" w:beforeAutospacing="0" w:after="0" w:afterAutospacing="0"/>
              <w:contextualSpacing/>
              <w:textAlignment w:val="baseline"/>
              <w:rPr>
                <w:rFonts w:ascii="Verdana" w:hAnsi="Verdana" w:cs="Segoe UI"/>
                <w:sz w:val="16"/>
                <w:szCs w:val="16"/>
                <w:lang w:val="es-ES"/>
              </w:rPr>
            </w:pPr>
            <w:r w:rsidRPr="00903432">
              <w:rPr>
                <w:rFonts w:ascii="Verdana" w:eastAsia="Arial" w:hAnsi="Verdana" w:cs="Arial"/>
                <w:color w:val="000000" w:themeColor="text1"/>
                <w:sz w:val="16"/>
                <w:szCs w:val="16"/>
                <w:lang w:val="es-ES"/>
              </w:rPr>
              <w:t>Gestor T1 – 15 de la Subdirección de Gestión Contractual</w:t>
            </w:r>
            <w:r w:rsidRPr="00903432">
              <w:rPr>
                <w:rFonts w:ascii="Verdana" w:hAnsi="Verdana" w:cs="Segoe UI"/>
                <w:sz w:val="16"/>
                <w:szCs w:val="16"/>
                <w:lang w:val="es-ES"/>
              </w:rPr>
              <w:t> </w:t>
            </w:r>
          </w:p>
          <w:p w14:paraId="397EDF2A" w14:textId="77777777" w:rsidR="00DB2B86" w:rsidRPr="00903432" w:rsidRDefault="00DB2B86" w:rsidP="00B23CA7">
            <w:pPr>
              <w:pStyle w:val="paragraph"/>
              <w:spacing w:before="0" w:beforeAutospacing="0" w:after="0" w:afterAutospacing="0"/>
              <w:contextualSpacing/>
              <w:textAlignment w:val="baseline"/>
              <w:rPr>
                <w:rFonts w:ascii="Verdana" w:hAnsi="Verdana" w:cs="Segoe UI"/>
                <w:sz w:val="16"/>
                <w:szCs w:val="16"/>
                <w:lang w:val="es-ES"/>
              </w:rPr>
            </w:pPr>
          </w:p>
        </w:tc>
      </w:tr>
      <w:tr w:rsidR="00DB2B86" w:rsidRPr="00ED6485" w14:paraId="6CFACC72" w14:textId="77777777" w:rsidTr="00B23CA7">
        <w:trPr>
          <w:trHeight w:val="300"/>
        </w:trPr>
        <w:tc>
          <w:tcPr>
            <w:tcW w:w="893" w:type="dxa"/>
            <w:vAlign w:val="center"/>
          </w:tcPr>
          <w:p w14:paraId="762836C1" w14:textId="77777777" w:rsidR="00DB2B86" w:rsidRPr="00ED6485" w:rsidRDefault="00DB2B86" w:rsidP="00B23CA7">
            <w:pPr>
              <w:contextualSpacing/>
              <w:rPr>
                <w:rFonts w:ascii="Verdana" w:hAnsi="Verdana" w:cs="Arial"/>
                <w:sz w:val="15"/>
                <w:szCs w:val="15"/>
                <w:lang w:val="es-ES" w:eastAsia="es-ES"/>
              </w:rPr>
            </w:pPr>
            <w:r w:rsidRPr="00ED6485">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FC986DE" w14:textId="77777777" w:rsidR="00DB2B86" w:rsidRPr="00903432" w:rsidRDefault="00DB2B86" w:rsidP="00B23CA7">
            <w:pPr>
              <w:contextualSpacing/>
              <w:rPr>
                <w:rFonts w:ascii="Verdana" w:eastAsia="Calibri" w:hAnsi="Verdana" w:cs="Arial"/>
                <w:sz w:val="16"/>
                <w:szCs w:val="16"/>
                <w:lang w:val="es-ES" w:eastAsia="es-ES"/>
              </w:rPr>
            </w:pPr>
            <w:r w:rsidRPr="00903432">
              <w:rPr>
                <w:rFonts w:ascii="Verdana" w:eastAsia="Calibri" w:hAnsi="Verdana" w:cs="Arial"/>
                <w:sz w:val="16"/>
                <w:szCs w:val="16"/>
                <w:lang w:val="es-ES" w:eastAsia="es-ES"/>
              </w:rPr>
              <w:t>Carolina Quintero Gacharná</w:t>
            </w:r>
          </w:p>
          <w:p w14:paraId="7147DD1E" w14:textId="77777777" w:rsidR="00DB2B86" w:rsidRPr="00903432" w:rsidRDefault="00DB2B86" w:rsidP="00B23CA7">
            <w:pPr>
              <w:contextualSpacing/>
              <w:rPr>
                <w:rFonts w:ascii="Verdana" w:eastAsia="Calibri" w:hAnsi="Verdana" w:cs="Arial"/>
                <w:sz w:val="16"/>
                <w:szCs w:val="16"/>
                <w:lang w:val="es-ES" w:eastAsia="es-ES"/>
              </w:rPr>
            </w:pPr>
            <w:r w:rsidRPr="00903432">
              <w:rPr>
                <w:rFonts w:ascii="Verdana" w:eastAsia="Calibri" w:hAnsi="Verdana" w:cs="Arial"/>
                <w:sz w:val="16"/>
                <w:szCs w:val="16"/>
                <w:lang w:val="es-ES" w:eastAsia="es-ES"/>
              </w:rPr>
              <w:t>Subdirectora de Gestión Contractual ANCP – CCE</w:t>
            </w:r>
          </w:p>
        </w:tc>
      </w:tr>
      <w:bookmarkEnd w:id="0"/>
    </w:tbl>
    <w:p w14:paraId="6C8217B0" w14:textId="267D0045" w:rsidR="00DB2B86" w:rsidRPr="00ED6485" w:rsidRDefault="00DB2B86" w:rsidP="00DB2B86">
      <w:pPr>
        <w:rPr>
          <w:lang w:val="es-ES"/>
        </w:rPr>
      </w:pPr>
    </w:p>
    <w:p w14:paraId="55D3B8E4" w14:textId="77777777" w:rsidR="00DB2B86" w:rsidRPr="00ED6485" w:rsidRDefault="00DB2B86" w:rsidP="00DB2B86">
      <w:pPr>
        <w:rPr>
          <w:lang w:val="es-ES"/>
        </w:rPr>
      </w:pPr>
    </w:p>
    <w:p w14:paraId="0F293BF4" w14:textId="54DA4878" w:rsidR="00127233" w:rsidRPr="00DB2B86" w:rsidRDefault="00127233" w:rsidP="00DB2B86"/>
    <w:sectPr w:rsidR="00127233" w:rsidRPr="00DB2B86"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D566" w14:textId="77777777" w:rsidR="0063090D" w:rsidRDefault="0063090D" w:rsidP="004A1847">
      <w:pPr>
        <w:spacing w:after="0" w:line="240" w:lineRule="auto"/>
      </w:pPr>
      <w:r>
        <w:separator/>
      </w:r>
    </w:p>
  </w:endnote>
  <w:endnote w:type="continuationSeparator" w:id="0">
    <w:p w14:paraId="17C698D5" w14:textId="77777777" w:rsidR="0063090D" w:rsidRDefault="0063090D" w:rsidP="004A1847">
      <w:pPr>
        <w:spacing w:after="0" w:line="240" w:lineRule="auto"/>
      </w:pPr>
      <w:r>
        <w:continuationSeparator/>
      </w:r>
    </w:p>
  </w:endnote>
  <w:endnote w:type="continuationNotice" w:id="1">
    <w:p w14:paraId="4ED654DF" w14:textId="77777777" w:rsidR="0063090D" w:rsidRDefault="006309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9E20" w14:textId="77777777" w:rsidR="0063090D" w:rsidRDefault="0063090D" w:rsidP="004A1847">
      <w:pPr>
        <w:spacing w:after="0" w:line="240" w:lineRule="auto"/>
      </w:pPr>
      <w:r>
        <w:separator/>
      </w:r>
    </w:p>
  </w:footnote>
  <w:footnote w:type="continuationSeparator" w:id="0">
    <w:p w14:paraId="680E1F62" w14:textId="77777777" w:rsidR="0063090D" w:rsidRDefault="0063090D" w:rsidP="004A1847">
      <w:pPr>
        <w:spacing w:after="0" w:line="240" w:lineRule="auto"/>
      </w:pPr>
      <w:r>
        <w:continuationSeparator/>
      </w:r>
    </w:p>
  </w:footnote>
  <w:footnote w:type="continuationNotice" w:id="1">
    <w:p w14:paraId="4CC3ED55" w14:textId="77777777" w:rsidR="0063090D" w:rsidRDefault="0063090D">
      <w:pPr>
        <w:spacing w:after="0" w:line="240" w:lineRule="auto"/>
      </w:pPr>
    </w:p>
  </w:footnote>
  <w:footnote w:id="2">
    <w:p w14:paraId="08E087E0" w14:textId="77777777" w:rsidR="00804E89" w:rsidRPr="00ED6485" w:rsidRDefault="00804E89" w:rsidP="00804E89">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DOMAT, Jean. Las leyes civiles en su orden natural. Tomo II. Barcelona: Imprenta de José Taulo, 1841. p. 267.</w:t>
      </w:r>
    </w:p>
  </w:footnote>
  <w:footnote w:id="3">
    <w:p w14:paraId="28C953C0" w14:textId="77777777" w:rsidR="00804E89" w:rsidRPr="00ED6485" w:rsidRDefault="00804E89" w:rsidP="00804E89">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POTHIER, Robert J. Tratado de las obligaciones. Santiago: Ediciones Olejnik, 2020. p. 309.</w:t>
      </w:r>
    </w:p>
  </w:footnote>
  <w:footnote w:id="4">
    <w:p w14:paraId="02862AB4" w14:textId="77777777" w:rsidR="00804E89" w:rsidRPr="00ED6485" w:rsidRDefault="00804E89" w:rsidP="00804E89">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Cfr. AMUNÁTEGUI PERELLÓ, Carlos. De la compensación. En: Comentario histórico-dogmático al Libro IV del Código Civil de Chile. Tomo I. Valencia: Tirant lo Blanch, 2023. p. 647.</w:t>
      </w:r>
    </w:p>
  </w:footnote>
  <w:footnote w:id="5">
    <w:p w14:paraId="30EE8561" w14:textId="77777777" w:rsidR="00DB2B86" w:rsidRPr="00ED6485" w:rsidRDefault="00DB2B86" w:rsidP="00DB2B86">
      <w:pPr>
        <w:pStyle w:val="Textonotapie"/>
        <w:ind w:firstLine="708"/>
        <w:jc w:val="both"/>
        <w:rPr>
          <w:rFonts w:ascii="Verdana" w:hAnsi="Verdana" w:cs="Arial"/>
          <w:sz w:val="16"/>
          <w:szCs w:val="16"/>
          <w:lang w:val="es-E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Ver enlace</w:t>
      </w:r>
      <w:r>
        <w:rPr>
          <w:rFonts w:ascii="Verdana" w:hAnsi="Verdana" w:cs="Arial"/>
          <w:sz w:val="16"/>
          <w:szCs w:val="16"/>
          <w:lang w:val="es-ES"/>
        </w:rPr>
        <w:t>:</w:t>
      </w:r>
      <w:r w:rsidRPr="00ED6485">
        <w:rPr>
          <w:rFonts w:ascii="Verdana" w:hAnsi="Verdana" w:cs="Arial"/>
          <w:sz w:val="16"/>
          <w:szCs w:val="16"/>
          <w:lang w:val="es-ES"/>
        </w:rPr>
        <w:t xml:space="preserve"> </w:t>
      </w:r>
      <w:hyperlink r:id="rId1" w:history="1">
        <w:r w:rsidRPr="00ED6485">
          <w:rPr>
            <w:rStyle w:val="Hipervnculo"/>
            <w:rFonts w:ascii="Verdana" w:hAnsi="Verdana" w:cs="Arial"/>
            <w:sz w:val="16"/>
            <w:szCs w:val="16"/>
            <w:lang w:val="es-ES"/>
          </w:rPr>
          <w:t>https://web.archive.org/web/20021014234501/http://www.sla-zone.co.uk/index.htm</w:t>
        </w:r>
      </w:hyperlink>
      <w:r w:rsidRPr="00ED6485">
        <w:rPr>
          <w:rFonts w:ascii="Verdana" w:hAnsi="Verdana" w:cs="Arial"/>
          <w:sz w:val="16"/>
          <w:szCs w:val="16"/>
          <w:lang w:val="es-ES"/>
        </w:rPr>
        <w:t xml:space="preserve"> </w:t>
      </w:r>
    </w:p>
    <w:p w14:paraId="497FB713" w14:textId="77777777" w:rsidR="00DB2B86" w:rsidRPr="00ED6485" w:rsidRDefault="00DB2B86" w:rsidP="00DB2B86">
      <w:pPr>
        <w:pStyle w:val="Textonotapie"/>
        <w:ind w:firstLine="708"/>
        <w:jc w:val="both"/>
        <w:rPr>
          <w:rFonts w:ascii="Verdana" w:hAnsi="Verdana" w:cs="Arial"/>
          <w:sz w:val="16"/>
          <w:szCs w:val="16"/>
          <w:lang w:val="es-ES"/>
        </w:rPr>
      </w:pPr>
    </w:p>
  </w:footnote>
  <w:footnote w:id="6">
    <w:p w14:paraId="439F2FC4" w14:textId="77777777" w:rsidR="00DB2B86" w:rsidRPr="00661CEE" w:rsidRDefault="00DB2B86" w:rsidP="00DB2B86">
      <w:pPr>
        <w:pStyle w:val="Textonotapie"/>
        <w:ind w:firstLine="708"/>
        <w:jc w:val="both"/>
        <w:rPr>
          <w:rFonts w:ascii="Verdana" w:hAnsi="Verdana" w:cs="Arial"/>
          <w:sz w:val="16"/>
          <w:szCs w:val="16"/>
          <w:lang w:val="en-U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VELTANI, J. </w:t>
      </w:r>
      <w:r w:rsidRPr="00ED6485">
        <w:rPr>
          <w:rFonts w:ascii="Verdana" w:eastAsia="Calibri" w:hAnsi="Verdana" w:cs="Arial"/>
          <w:color w:val="000000" w:themeColor="text1"/>
          <w:sz w:val="16"/>
          <w:szCs w:val="16"/>
          <w:lang w:val="es-ES"/>
        </w:rPr>
        <w:t xml:space="preserve">El acuerdo de niveles de servicio “SLA”. </w:t>
      </w:r>
      <w:r w:rsidRPr="00ED6485">
        <w:rPr>
          <w:rFonts w:ascii="Verdana" w:hAnsi="Verdana" w:cs="Arial"/>
          <w:sz w:val="16"/>
          <w:szCs w:val="16"/>
          <w:lang w:val="es-ES"/>
        </w:rPr>
        <w:t xml:space="preserve">La Ley, Suplemento Actualidad, publicado el 5 de agosto de 2014. </w:t>
      </w:r>
      <w:r w:rsidRPr="00661CEE">
        <w:rPr>
          <w:rFonts w:ascii="Verdana" w:hAnsi="Verdana" w:cs="Arial"/>
          <w:sz w:val="16"/>
          <w:szCs w:val="16"/>
          <w:lang w:val="en-US"/>
        </w:rPr>
        <w:t>Argentina.</w:t>
      </w:r>
    </w:p>
  </w:footnote>
  <w:footnote w:id="7">
    <w:p w14:paraId="4CF84034" w14:textId="77777777" w:rsidR="00DB2B86" w:rsidRPr="00661CEE" w:rsidRDefault="00DB2B86" w:rsidP="00DB2B86">
      <w:pPr>
        <w:spacing w:after="0" w:line="240" w:lineRule="auto"/>
        <w:ind w:firstLine="708"/>
        <w:jc w:val="both"/>
        <w:rPr>
          <w:rFonts w:ascii="Verdana" w:hAnsi="Verdana" w:cs="Arial"/>
          <w:sz w:val="16"/>
          <w:szCs w:val="16"/>
          <w:lang w:val="en-US"/>
        </w:rPr>
      </w:pPr>
    </w:p>
    <w:p w14:paraId="6AC3E819" w14:textId="77777777" w:rsidR="00DB2B86" w:rsidRPr="00ED6485" w:rsidRDefault="00DB2B86" w:rsidP="00DB2B86">
      <w:pPr>
        <w:spacing w:after="0" w:line="240" w:lineRule="auto"/>
        <w:ind w:firstLine="708"/>
        <w:jc w:val="both"/>
        <w:rPr>
          <w:rFonts w:ascii="Verdana" w:hAnsi="Verdana" w:cs="Arial"/>
          <w:sz w:val="16"/>
          <w:szCs w:val="16"/>
          <w:lang w:val="es-ES"/>
        </w:rPr>
      </w:pPr>
      <w:r w:rsidRPr="00ED6485">
        <w:rPr>
          <w:rStyle w:val="Refdenotaalpie"/>
          <w:rFonts w:ascii="Verdana" w:hAnsi="Verdana" w:cs="Arial"/>
          <w:sz w:val="16"/>
          <w:szCs w:val="16"/>
          <w:lang w:val="es-ES"/>
        </w:rPr>
        <w:footnoteRef/>
      </w:r>
      <w:r w:rsidRPr="00661CEE">
        <w:rPr>
          <w:rFonts w:ascii="Verdana" w:hAnsi="Verdana" w:cs="Arial"/>
          <w:sz w:val="16"/>
          <w:szCs w:val="16"/>
          <w:lang w:val="en-US"/>
        </w:rPr>
        <w:t xml:space="preserve">GALLIZO, G.; KUEBERT, R.; OBERLE, K.; MENYCHTAS, A. &amp; KONSTANTELI, K. (2009). </w:t>
      </w:r>
      <w:r w:rsidRPr="00661CEE">
        <w:rPr>
          <w:rFonts w:ascii="Verdana" w:eastAsia="Calibri" w:hAnsi="Verdana" w:cs="Arial"/>
          <w:color w:val="000000" w:themeColor="text1"/>
          <w:sz w:val="16"/>
          <w:szCs w:val="16"/>
          <w:lang w:val="en-US"/>
        </w:rPr>
        <w:t>«</w:t>
      </w:r>
      <w:r w:rsidRPr="00661CEE">
        <w:rPr>
          <w:rFonts w:ascii="Verdana" w:hAnsi="Verdana" w:cs="Arial"/>
          <w:sz w:val="16"/>
          <w:szCs w:val="16"/>
          <w:lang w:val="en-US"/>
        </w:rPr>
        <w:t>Service level agreements in virtualised service platforms [</w:t>
      </w:r>
      <w:proofErr w:type="gramStart"/>
      <w:r w:rsidRPr="00661CEE">
        <w:rPr>
          <w:rFonts w:ascii="Verdana" w:hAnsi="Verdana" w:cs="Arial"/>
          <w:sz w:val="16"/>
          <w:szCs w:val="16"/>
          <w:lang w:val="en-US"/>
        </w:rPr>
        <w:t>ponencia]</w:t>
      </w:r>
      <w:r w:rsidRPr="00661CEE">
        <w:rPr>
          <w:rFonts w:ascii="Verdana" w:eastAsia="Calibri" w:hAnsi="Verdana" w:cs="Arial"/>
          <w:color w:val="000000" w:themeColor="text1"/>
          <w:sz w:val="16"/>
          <w:szCs w:val="16"/>
          <w:lang w:val="en-US"/>
        </w:rPr>
        <w:t>»</w:t>
      </w:r>
      <w:proofErr w:type="gramEnd"/>
      <w:r w:rsidRPr="00661CEE">
        <w:rPr>
          <w:rFonts w:ascii="Verdana" w:hAnsi="Verdana" w:cs="Arial"/>
          <w:sz w:val="16"/>
          <w:szCs w:val="16"/>
          <w:lang w:val="en-US"/>
        </w:rPr>
        <w:t xml:space="preserve">. eChallenges e-2009 Conference Proceedings. </w:t>
      </w:r>
      <w:r w:rsidRPr="00ED6485">
        <w:rPr>
          <w:rFonts w:ascii="Verdana" w:hAnsi="Verdana" w:cs="Arial"/>
          <w:sz w:val="16"/>
          <w:szCs w:val="16"/>
          <w:lang w:val="es-ES"/>
        </w:rPr>
        <w:t xml:space="preserve">Ver en el siguiente </w:t>
      </w:r>
      <w:proofErr w:type="gramStart"/>
      <w:r w:rsidRPr="00ED6485">
        <w:rPr>
          <w:rFonts w:ascii="Verdana" w:hAnsi="Verdana" w:cs="Arial"/>
          <w:sz w:val="16"/>
          <w:szCs w:val="16"/>
          <w:lang w:val="es-ES"/>
        </w:rPr>
        <w:t>Link</w:t>
      </w:r>
      <w:proofErr w:type="gramEnd"/>
      <w:r w:rsidRPr="00ED6485">
        <w:rPr>
          <w:rFonts w:ascii="Verdana" w:hAnsi="Verdana" w:cs="Arial"/>
          <w:sz w:val="16"/>
          <w:szCs w:val="16"/>
          <w:lang w:val="es-ES"/>
        </w:rPr>
        <w:t xml:space="preserve">: </w:t>
      </w:r>
      <w:hyperlink r:id="rId2" w:history="1">
        <w:r w:rsidRPr="00ED6485">
          <w:rPr>
            <w:rStyle w:val="Hipervnculo"/>
            <w:rFonts w:ascii="Verdana" w:hAnsi="Verdana" w:cs="Arial"/>
            <w:sz w:val="16"/>
            <w:szCs w:val="16"/>
            <w:lang w:val="es-ES"/>
          </w:rPr>
          <w:t>https://doi.org/10.13140/2.1.1541.4723</w:t>
        </w:r>
      </w:hyperlink>
      <w:r w:rsidRPr="00ED6485">
        <w:rPr>
          <w:rFonts w:ascii="Verdana" w:hAnsi="Verdana" w:cs="Arial"/>
          <w:sz w:val="16"/>
          <w:szCs w:val="16"/>
          <w:lang w:val="es-ES"/>
        </w:rPr>
        <w:t xml:space="preserve"> </w:t>
      </w:r>
    </w:p>
  </w:footnote>
  <w:footnote w:id="8">
    <w:p w14:paraId="78AC05C8" w14:textId="77777777" w:rsidR="00DB2B86" w:rsidRPr="00ED6485" w:rsidRDefault="00DB2B86" w:rsidP="00DB2B86">
      <w:pPr>
        <w:spacing w:after="0" w:line="240" w:lineRule="auto"/>
        <w:ind w:firstLine="708"/>
        <w:jc w:val="both"/>
        <w:rPr>
          <w:rFonts w:ascii="Verdana" w:eastAsia="Calibri" w:hAnsi="Verdana" w:cs="Arial"/>
          <w:color w:val="000000" w:themeColor="text1"/>
          <w:sz w:val="16"/>
          <w:szCs w:val="16"/>
          <w:lang w:val="es-E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SHACKLETT, </w:t>
      </w:r>
      <w:proofErr w:type="gramStart"/>
      <w:r w:rsidRPr="00ED6485">
        <w:rPr>
          <w:rFonts w:ascii="Verdana" w:hAnsi="Verdana" w:cs="Arial"/>
          <w:sz w:val="16"/>
          <w:szCs w:val="16"/>
          <w:lang w:val="es-ES"/>
        </w:rPr>
        <w:t>M.E..</w:t>
      </w:r>
      <w:proofErr w:type="gramEnd"/>
      <w:r w:rsidRPr="00ED6485">
        <w:rPr>
          <w:rFonts w:ascii="Verdana" w:hAnsi="Verdana" w:cs="Arial"/>
          <w:sz w:val="16"/>
          <w:szCs w:val="16"/>
          <w:lang w:val="es-ES"/>
        </w:rPr>
        <w:t xml:space="preserve"> </w:t>
      </w:r>
      <w:r w:rsidRPr="00661CEE">
        <w:rPr>
          <w:rFonts w:ascii="Verdana" w:eastAsia="Calibri" w:hAnsi="Verdana" w:cs="Arial"/>
          <w:color w:val="000000" w:themeColor="text1"/>
          <w:sz w:val="16"/>
          <w:szCs w:val="16"/>
          <w:lang w:val="en-US"/>
        </w:rPr>
        <w:t>«</w:t>
      </w:r>
      <w:r w:rsidRPr="00661CEE">
        <w:rPr>
          <w:rFonts w:ascii="Verdana" w:hAnsi="Verdana" w:cs="Arial"/>
          <w:sz w:val="16"/>
          <w:szCs w:val="16"/>
          <w:lang w:val="en-US"/>
        </w:rPr>
        <w:t xml:space="preserve">Five Key Points for Every </w:t>
      </w:r>
      <w:proofErr w:type="gramStart"/>
      <w:r w:rsidRPr="00661CEE">
        <w:rPr>
          <w:rFonts w:ascii="Verdana" w:hAnsi="Verdana" w:cs="Arial"/>
          <w:sz w:val="16"/>
          <w:szCs w:val="16"/>
          <w:lang w:val="en-US"/>
        </w:rPr>
        <w:t>SLA</w:t>
      </w:r>
      <w:r w:rsidRPr="00661CEE">
        <w:rPr>
          <w:rFonts w:ascii="Verdana" w:eastAsia="Calibri" w:hAnsi="Verdana" w:cs="Arial"/>
          <w:color w:val="000000" w:themeColor="text1"/>
          <w:sz w:val="16"/>
          <w:szCs w:val="16"/>
          <w:lang w:val="en-US"/>
        </w:rPr>
        <w:t>»</w:t>
      </w:r>
      <w:r w:rsidRPr="00661CEE">
        <w:rPr>
          <w:rFonts w:ascii="Verdana" w:hAnsi="Verdana" w:cs="Arial"/>
          <w:sz w:val="16"/>
          <w:szCs w:val="16"/>
          <w:lang w:val="en-US"/>
        </w:rPr>
        <w:t>.</w:t>
      </w:r>
      <w:proofErr w:type="gramEnd"/>
      <w:r w:rsidRPr="00661CEE">
        <w:rPr>
          <w:rFonts w:ascii="Verdana" w:hAnsi="Verdana" w:cs="Arial"/>
          <w:sz w:val="16"/>
          <w:szCs w:val="16"/>
          <w:lang w:val="en-US"/>
        </w:rPr>
        <w:t xml:space="preserve"> </w:t>
      </w:r>
      <w:r w:rsidRPr="00ED6485">
        <w:rPr>
          <w:rFonts w:ascii="Verdana" w:hAnsi="Verdana" w:cs="Arial"/>
          <w:sz w:val="16"/>
          <w:szCs w:val="16"/>
          <w:lang w:val="es-ES"/>
        </w:rPr>
        <w:t xml:space="preserve">Dell. Publicado el 1 de diciembre de 2011 en Línea: </w:t>
      </w:r>
      <w:hyperlink r:id="rId3" w:anchor="selection-1429.1-1429.29" w:history="1">
        <w:r w:rsidRPr="00ED6485">
          <w:rPr>
            <w:rStyle w:val="Hipervnculo"/>
            <w:rFonts w:ascii="Verdana" w:hAnsi="Verdana" w:cs="Arial"/>
            <w:sz w:val="16"/>
            <w:szCs w:val="16"/>
            <w:lang w:val="es-ES"/>
          </w:rPr>
          <w:t>http://archive.is/mtN2O#selection-1429.1-1429.29</w:t>
        </w:r>
      </w:hyperlink>
      <w:r w:rsidRPr="00ED6485">
        <w:rPr>
          <w:rFonts w:ascii="Verdana" w:hAnsi="Verdana" w:cs="Arial"/>
          <w:sz w:val="16"/>
          <w:szCs w:val="16"/>
          <w:lang w:val="es-ES"/>
        </w:rPr>
        <w:t>. Ver también: N. Rodríguez</w:t>
      </w:r>
      <w:r w:rsidRPr="00ED6485">
        <w:rPr>
          <w:rFonts w:ascii="Verdana" w:eastAsia="Calibri" w:hAnsi="Verdana" w:cs="Arial"/>
          <w:color w:val="000000" w:themeColor="text1"/>
          <w:sz w:val="16"/>
          <w:szCs w:val="16"/>
          <w:lang w:val="es-ES"/>
        </w:rPr>
        <w:t xml:space="preserve"> en «</w:t>
      </w:r>
      <w:r w:rsidRPr="00ED6485">
        <w:rPr>
          <w:rFonts w:ascii="Verdana" w:hAnsi="Verdana" w:cs="Arial"/>
          <w:sz w:val="16"/>
          <w:szCs w:val="16"/>
          <w:lang w:val="es-ES"/>
        </w:rPr>
        <w:t>La bolsa de valores de Colombia, su naturaleza y su posición sobre las sociedades comisionistas de bolsa: el planteamiento del Service Level Agreement (SLA) como posible forma de mitigación.</w:t>
      </w:r>
      <w:r w:rsidRPr="00ED6485">
        <w:rPr>
          <w:rFonts w:ascii="Verdana" w:eastAsia="Calibri" w:hAnsi="Verdana" w:cs="Arial"/>
          <w:color w:val="000000" w:themeColor="text1"/>
          <w:sz w:val="16"/>
          <w:szCs w:val="16"/>
          <w:lang w:val="es-ES"/>
        </w:rPr>
        <w:t>»</w:t>
      </w:r>
      <w:r w:rsidRPr="00ED6485">
        <w:rPr>
          <w:rFonts w:ascii="Verdana" w:hAnsi="Verdana" w:cs="Arial"/>
          <w:sz w:val="16"/>
          <w:szCs w:val="16"/>
          <w:lang w:val="es-ES"/>
        </w:rPr>
        <w:t xml:space="preserve"> publicado en Línea: </w:t>
      </w:r>
      <w:hyperlink r:id="rId4" w:history="1">
        <w:r w:rsidRPr="00ED6485">
          <w:rPr>
            <w:rStyle w:val="Hipervnculo"/>
            <w:rFonts w:ascii="Verdana" w:hAnsi="Verdana" w:cs="Arial"/>
            <w:sz w:val="16"/>
            <w:szCs w:val="16"/>
            <w:lang w:val="es-ES"/>
          </w:rPr>
          <w:t>https://doi.org/10.18800/derechopucp.201802.009</w:t>
        </w:r>
      </w:hyperlink>
      <w:r w:rsidRPr="00ED6485">
        <w:rPr>
          <w:rFonts w:ascii="Verdana" w:eastAsia="Calibri" w:hAnsi="Verdana" w:cs="Arial"/>
          <w:color w:val="000000"/>
          <w:sz w:val="16"/>
          <w:szCs w:val="16"/>
          <w:lang w:val="es-ES" w:eastAsia="es-ES_tradnl"/>
        </w:rPr>
        <w:t>, indica que las cuatro características primordiales que debe tener un ANS son las siguiente</w:t>
      </w:r>
      <w:r>
        <w:rPr>
          <w:rFonts w:ascii="Verdana" w:eastAsia="Calibri" w:hAnsi="Verdana" w:cs="Arial"/>
          <w:color w:val="000000"/>
          <w:sz w:val="16"/>
          <w:szCs w:val="16"/>
          <w:lang w:val="es-ES" w:eastAsia="es-ES_tradnl"/>
        </w:rPr>
        <w:t>s</w:t>
      </w:r>
      <w:r w:rsidRPr="00ED6485">
        <w:rPr>
          <w:rFonts w:ascii="Verdana" w:eastAsia="Calibri" w:hAnsi="Verdana" w:cs="Arial"/>
          <w:color w:val="000000"/>
          <w:sz w:val="16"/>
          <w:szCs w:val="16"/>
          <w:lang w:val="es-ES" w:eastAsia="es-ES_tradnl"/>
        </w:rPr>
        <w:t xml:space="preserve">: </w:t>
      </w:r>
      <w:r w:rsidRPr="00ED6485">
        <w:rPr>
          <w:rFonts w:ascii="Verdana" w:eastAsia="Calibri" w:hAnsi="Verdana" w:cs="Arial"/>
          <w:color w:val="000000" w:themeColor="text1"/>
          <w:sz w:val="16"/>
          <w:szCs w:val="16"/>
          <w:lang w:val="es-ES"/>
        </w:rPr>
        <w:t>«</w:t>
      </w:r>
      <w:r w:rsidRPr="00ED6485">
        <w:rPr>
          <w:rFonts w:ascii="Verdana" w:eastAsia="Calibri" w:hAnsi="Verdana" w:cs="Arial"/>
          <w:color w:val="000000"/>
          <w:sz w:val="16"/>
          <w:szCs w:val="16"/>
          <w:lang w:val="es-ES" w:eastAsia="es-ES_tradnl"/>
        </w:rPr>
        <w:t>1. Líneas claras de demarcación. Establecer entre las partes hasta dónde van las obligaciones de cada uno. 2. Comunicación regular. Deben existir reuniones independientemente de si el sistema funciona sin problemas. 3. Revisiones «annual tune-ups». El SLA debe permitir su revisión anual. 4. Vinculatoriedad contractual. Debe incluir premios y multas por el cumplimiento o incumplimiento de las obligaciones y de la calidad del servicio.</w:t>
      </w:r>
      <w:r w:rsidRPr="00ED6485">
        <w:rPr>
          <w:rFonts w:ascii="Verdana" w:eastAsia="Calibri" w:hAnsi="Verdana" w:cs="Arial"/>
          <w:color w:val="000000" w:themeColor="text1"/>
          <w:sz w:val="16"/>
          <w:szCs w:val="16"/>
          <w:lang w:val="es-ES"/>
        </w:rPr>
        <w:t>»</w:t>
      </w:r>
    </w:p>
    <w:p w14:paraId="7A66CFC6" w14:textId="77777777" w:rsidR="00DB2B86" w:rsidRPr="00ED6485" w:rsidRDefault="00DB2B86" w:rsidP="00DB2B86">
      <w:pPr>
        <w:spacing w:after="0" w:line="240" w:lineRule="auto"/>
        <w:ind w:firstLine="708"/>
        <w:jc w:val="both"/>
        <w:rPr>
          <w:rFonts w:ascii="Verdana" w:hAnsi="Verdana" w:cs="Arial"/>
          <w:sz w:val="16"/>
          <w:szCs w:val="16"/>
          <w:lang w:val="es-ES"/>
        </w:rPr>
      </w:pPr>
    </w:p>
  </w:footnote>
  <w:footnote w:id="9">
    <w:p w14:paraId="553DE487"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En efecto, el primer inciso del artículo 5 de la Ley 1508 de 2012 establece que “</w:t>
      </w:r>
      <w:r w:rsidRPr="00ED6485">
        <w:rPr>
          <w:rFonts w:ascii="Verdana" w:hAnsi="Verdana" w:cs="Arial"/>
          <w:color w:val="000000" w:themeColor="text1"/>
          <w:sz w:val="16"/>
          <w:szCs w:val="16"/>
          <w:shd w:val="clear" w:color="auto" w:fill="FFFFFF"/>
          <w:lang w:val="es-ES"/>
        </w:rPr>
        <w:t>El derecho al recaudo de recursos por la explotación económica del proyecto, a recibir desembolsos de recursos públicos o a cualquier otra retribución, en proyectos de asociación público-privada, estará condicionado a la disponibilidad de la infraestructura, al cumplimiento de niveles de servicio, y estándares de calidad en las distintas unidades funcionales o etapas del proyecto, y los demás requisitos que determine el reglamento”.</w:t>
      </w:r>
    </w:p>
  </w:footnote>
  <w:footnote w:id="10">
    <w:p w14:paraId="4274E3C9" w14:textId="77777777" w:rsidR="00DB2B86" w:rsidRPr="00ED6485" w:rsidRDefault="00DB2B86" w:rsidP="00DB2B86">
      <w:pPr>
        <w:pStyle w:val="Textonotapie"/>
        <w:ind w:firstLine="709"/>
        <w:jc w:val="both"/>
        <w:rPr>
          <w:rFonts w:ascii="Verdana" w:hAnsi="Verdana" w:cs="Arial"/>
          <w:sz w:val="16"/>
          <w:szCs w:val="16"/>
          <w:lang w:val="es-E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Al respecto, el artículo 2.2.2.1.2.5. del Decreto 1082 de 2015 dispone: “Mecanismos de deducciones graduales por Niveles de Servicio y Estándares de Calidad. Los Niveles de Servicio y los Estándares de Calidad, estarán expresamente establecidos en el contrato, y podrán contemplar un esquema de gradualidad, en virtud del cual se efectuarán deducciones proporcionales sobre las retribuciones previstas.</w:t>
      </w:r>
    </w:p>
    <w:p w14:paraId="19538092" w14:textId="77777777" w:rsidR="00DB2B86" w:rsidRPr="00ED6485" w:rsidRDefault="00DB2B86" w:rsidP="00DB2B86">
      <w:pPr>
        <w:pStyle w:val="Textonotapie"/>
        <w:ind w:firstLine="709"/>
        <w:jc w:val="both"/>
        <w:rPr>
          <w:rFonts w:ascii="Verdana" w:hAnsi="Verdana" w:cs="Arial"/>
          <w:sz w:val="16"/>
          <w:szCs w:val="16"/>
          <w:lang w:val="es-ES"/>
        </w:rPr>
      </w:pPr>
      <w:r w:rsidRPr="00ED6485">
        <w:rPr>
          <w:rFonts w:ascii="Verdana" w:hAnsi="Verdana" w:cs="Arial"/>
          <w:sz w:val="16"/>
          <w:szCs w:val="16"/>
          <w:lang w:val="es-ES"/>
        </w:rPr>
        <w:t>En los contratos podrá establecerse la posibilidad de no aplicar las deducciones a las que hace referencia el presente artículo, cuando el Nivel de Servicio y Estándar de Calidad afectado fuere restablecido a los parámetros contemplados en el contrato en el plazo definido para dicho efecto.</w:t>
      </w:r>
    </w:p>
    <w:p w14:paraId="33781FC1" w14:textId="77777777" w:rsidR="00DB2B86" w:rsidRPr="00ED6485" w:rsidRDefault="00DB2B86" w:rsidP="00DB2B86">
      <w:pPr>
        <w:pStyle w:val="Textonotapie"/>
        <w:ind w:firstLine="709"/>
        <w:jc w:val="both"/>
        <w:rPr>
          <w:rFonts w:ascii="Verdana" w:hAnsi="Verdana" w:cs="Arial"/>
          <w:sz w:val="16"/>
          <w:szCs w:val="16"/>
          <w:lang w:val="es-ES"/>
        </w:rPr>
      </w:pPr>
      <w:proofErr w:type="gramStart"/>
      <w:r w:rsidRPr="00ED6485">
        <w:rPr>
          <w:rFonts w:ascii="Verdana" w:hAnsi="Verdana" w:cs="Arial"/>
          <w:sz w:val="16"/>
          <w:szCs w:val="16"/>
          <w:lang w:val="es-ES"/>
        </w:rPr>
        <w:t>Los valores a descontar</w:t>
      </w:r>
      <w:proofErr w:type="gramEnd"/>
      <w:r w:rsidRPr="00ED6485">
        <w:rPr>
          <w:rFonts w:ascii="Verdana" w:hAnsi="Verdana" w:cs="Arial"/>
          <w:sz w:val="16"/>
          <w:szCs w:val="16"/>
          <w:lang w:val="es-ES"/>
        </w:rPr>
        <w:t xml:space="preserve"> estarán sujetos a mecanismos de actualización de la retribución.</w:t>
      </w:r>
    </w:p>
    <w:p w14:paraId="22670A3A" w14:textId="77777777" w:rsidR="00DB2B86" w:rsidRPr="00ED6485" w:rsidRDefault="00DB2B86" w:rsidP="00DB2B86">
      <w:pPr>
        <w:pStyle w:val="Textonotapie"/>
        <w:ind w:firstLine="709"/>
        <w:jc w:val="both"/>
        <w:rPr>
          <w:rFonts w:ascii="Verdana" w:hAnsi="Verdana" w:cs="Arial"/>
          <w:sz w:val="16"/>
          <w:szCs w:val="16"/>
          <w:lang w:val="es-ES"/>
        </w:rPr>
      </w:pPr>
      <w:r w:rsidRPr="00ED6485">
        <w:rPr>
          <w:rFonts w:ascii="Verdana" w:hAnsi="Verdana" w:cs="Arial"/>
          <w:sz w:val="16"/>
          <w:szCs w:val="16"/>
          <w:lang w:val="es-ES"/>
        </w:rPr>
        <w:t>En todo caso, en el respectivo contrato deberá definirse claramente aquellos eventos constitutivos de incumplimiento del contrato como consecuencia de no alcanzar el Nivel de Servicio y Estándar de Calidad previsto para el efecto.</w:t>
      </w:r>
    </w:p>
    <w:p w14:paraId="6600281D" w14:textId="77777777" w:rsidR="00DB2B86" w:rsidRPr="00ED6485" w:rsidRDefault="00DB2B86" w:rsidP="00DB2B86">
      <w:pPr>
        <w:pStyle w:val="Textonotapie"/>
        <w:ind w:firstLine="709"/>
        <w:jc w:val="both"/>
        <w:rPr>
          <w:rFonts w:ascii="Verdana" w:hAnsi="Verdana" w:cs="Arial"/>
          <w:sz w:val="16"/>
          <w:szCs w:val="16"/>
          <w:lang w:val="es-ES"/>
        </w:rPr>
      </w:pPr>
      <w:r w:rsidRPr="00ED6485">
        <w:rPr>
          <w:rFonts w:ascii="Verdana" w:hAnsi="Verdana" w:cs="Arial"/>
          <w:sz w:val="16"/>
          <w:szCs w:val="16"/>
          <w:lang w:val="es-ES"/>
        </w:rPr>
        <w:t>En los contratos se establecerá expresamente el procedimiento para programar aquellas actividades o trabajos preventivos y rutinarios que sean contemplados previamente como necesarios para lograr un adecuado nivel de operación y mantenimiento de la infraestructura, que puedan alterar la prestación de servicios, sin que ello implique la realización de descuentos por no alcanzar Niveles de Servicio y Estándares de Calidad.</w:t>
      </w:r>
    </w:p>
    <w:p w14:paraId="2F0FC098" w14:textId="77777777" w:rsidR="00DB2B86" w:rsidRPr="00ED6485" w:rsidRDefault="00DB2B86" w:rsidP="00DB2B86">
      <w:pPr>
        <w:pStyle w:val="Textonotapie"/>
        <w:ind w:firstLine="709"/>
        <w:jc w:val="both"/>
        <w:rPr>
          <w:rFonts w:ascii="Verdana" w:hAnsi="Verdana" w:cs="Arial"/>
          <w:sz w:val="16"/>
          <w:szCs w:val="16"/>
          <w:lang w:val="es-ES"/>
        </w:rPr>
      </w:pPr>
      <w:r w:rsidRPr="00ED6485">
        <w:rPr>
          <w:rFonts w:ascii="Verdana" w:hAnsi="Verdana" w:cs="Arial"/>
          <w:sz w:val="16"/>
          <w:szCs w:val="16"/>
          <w:lang w:val="es-ES"/>
        </w:rPr>
        <w:t>La entidad estatal competente exigirá la adopción de medidas, por parte del contratista, para minimizar las interferencias en el funcionamiento normal del servicio».</w:t>
      </w:r>
    </w:p>
  </w:footnote>
  <w:footnote w:id="11">
    <w:p w14:paraId="0A5C5BD1"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Recuérdese que el artículo 44 de la Ley 80 de 1993 establece: «Los contratos del Estado son absolutamente nulos en los casos previstos en el derecho común y además cuando:</w:t>
      </w:r>
    </w:p>
    <w:p w14:paraId="143B172D"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Fonts w:ascii="Verdana" w:hAnsi="Verdana" w:cs="Arial"/>
          <w:color w:val="000000" w:themeColor="text1"/>
          <w:sz w:val="16"/>
          <w:szCs w:val="16"/>
          <w:lang w:val="es-ES"/>
        </w:rPr>
        <w:t xml:space="preserve">1o. Se celebren con personas </w:t>
      </w:r>
      <w:r>
        <w:rPr>
          <w:rFonts w:ascii="Verdana" w:hAnsi="Verdana" w:cs="Arial"/>
          <w:color w:val="000000" w:themeColor="text1"/>
          <w:sz w:val="16"/>
          <w:szCs w:val="16"/>
          <w:lang w:val="es-ES"/>
        </w:rPr>
        <w:t xml:space="preserve">incursas </w:t>
      </w:r>
      <w:r w:rsidRPr="00ED6485">
        <w:rPr>
          <w:rFonts w:ascii="Verdana" w:hAnsi="Verdana" w:cs="Arial"/>
          <w:color w:val="000000" w:themeColor="text1"/>
          <w:sz w:val="16"/>
          <w:szCs w:val="16"/>
          <w:lang w:val="es-ES"/>
        </w:rPr>
        <w:t>en causales de inhabilidad o incompatibilidad previstas en la Constitución y la ley;</w:t>
      </w:r>
    </w:p>
    <w:p w14:paraId="39F4E04E"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Fonts w:ascii="Verdana" w:hAnsi="Verdana" w:cs="Arial"/>
          <w:color w:val="000000" w:themeColor="text1"/>
          <w:sz w:val="16"/>
          <w:szCs w:val="16"/>
          <w:lang w:val="es-ES"/>
        </w:rPr>
        <w:t>2o. Se celebren contra expresa prohibición constitucional o legal.</w:t>
      </w:r>
    </w:p>
    <w:p w14:paraId="024DEAB4"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Fonts w:ascii="Verdana" w:hAnsi="Verdana" w:cs="Arial"/>
          <w:color w:val="000000" w:themeColor="text1"/>
          <w:sz w:val="16"/>
          <w:szCs w:val="16"/>
          <w:lang w:val="es-ES"/>
        </w:rPr>
        <w:t>3o. Se celebren con abuso o desviación de poder.</w:t>
      </w:r>
    </w:p>
    <w:p w14:paraId="0231B11E"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Fonts w:ascii="Verdana" w:hAnsi="Verdana" w:cs="Arial"/>
          <w:color w:val="000000" w:themeColor="text1"/>
          <w:sz w:val="16"/>
          <w:szCs w:val="16"/>
          <w:lang w:val="es-ES"/>
        </w:rPr>
        <w:t>4o. Se declaren nulos los actos administrativos en que se fundamenten; y</w:t>
      </w:r>
    </w:p>
    <w:p w14:paraId="47648871" w14:textId="77777777" w:rsidR="00DB2B86" w:rsidRPr="00ED6485" w:rsidRDefault="00DB2B86" w:rsidP="00DB2B86">
      <w:pPr>
        <w:pStyle w:val="Textonotapie"/>
        <w:ind w:firstLine="709"/>
        <w:jc w:val="both"/>
        <w:rPr>
          <w:rFonts w:ascii="Verdana" w:hAnsi="Verdana" w:cs="Arial"/>
          <w:color w:val="000000" w:themeColor="text1"/>
          <w:sz w:val="16"/>
          <w:szCs w:val="16"/>
          <w:lang w:val="es-ES"/>
        </w:rPr>
      </w:pPr>
      <w:r w:rsidRPr="00ED6485">
        <w:rPr>
          <w:rFonts w:ascii="Verdana" w:hAnsi="Verdana" w:cs="Arial"/>
          <w:color w:val="000000" w:themeColor="text1"/>
          <w:sz w:val="16"/>
          <w:szCs w:val="16"/>
          <w:lang w:val="es-ES"/>
        </w:rPr>
        <w:t>5o. Se hubieren celebrado con desconocimiento de los criterios previstos en el artículo 21 sobre tratamiento de ofertas nacionales y extranjeras o con violación de la reciprocidad de que trata esta Ley”.</w:t>
      </w:r>
    </w:p>
  </w:footnote>
  <w:footnote w:id="12">
    <w:p w14:paraId="76D33EE5" w14:textId="77777777" w:rsidR="00DB2B86" w:rsidRPr="00ED6485" w:rsidRDefault="00DB2B86" w:rsidP="00DB2B86">
      <w:pPr>
        <w:spacing w:after="0" w:line="240" w:lineRule="auto"/>
        <w:ind w:firstLine="709"/>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El Departamento Administrativo de la Función Pública define los acuerdos de niveles de servicio de la siguiente manera: «Los Acuerdos de Niveles de Servicio (ANS), son parámetros, tiempos y requisitos establecidos para la entrega de productos o servicios de un proceso a los usuarios internos y externos, con los cuales se medirá la oportunidad </w:t>
      </w:r>
      <w:proofErr w:type="gramStart"/>
      <w:r w:rsidRPr="00ED6485">
        <w:rPr>
          <w:rFonts w:ascii="Verdana" w:hAnsi="Verdana" w:cs="Arial"/>
          <w:color w:val="000000" w:themeColor="text1"/>
          <w:sz w:val="16"/>
          <w:szCs w:val="16"/>
          <w:lang w:val="es-ES"/>
        </w:rPr>
        <w:t>del mismo</w:t>
      </w:r>
      <w:proofErr w:type="gramEnd"/>
      <w:r w:rsidRPr="00ED6485">
        <w:rPr>
          <w:rFonts w:ascii="Verdana" w:hAnsi="Verdana" w:cs="Arial"/>
          <w:color w:val="000000" w:themeColor="text1"/>
          <w:sz w:val="16"/>
          <w:szCs w:val="16"/>
          <w:lang w:val="es-ES"/>
        </w:rPr>
        <w:t xml:space="preserve">». En: </w:t>
      </w:r>
      <w:hyperlink r:id="rId5" w:history="1">
        <w:r w:rsidRPr="00ED6485">
          <w:rPr>
            <w:rStyle w:val="Hipervnculo"/>
            <w:rFonts w:ascii="Verdana" w:hAnsi="Verdana" w:cs="Arial"/>
            <w:sz w:val="16"/>
            <w:szCs w:val="16"/>
            <w:lang w:val="es-ES"/>
          </w:rPr>
          <w:t>https://www.funcionpublica.gov.co/glosario/-/wiki/26415658/Acuerdo%20de%20Nivel%20de%20Servicio%20(ANS)</w:t>
        </w:r>
      </w:hyperlink>
      <w:r w:rsidRPr="00ED6485">
        <w:rPr>
          <w:rFonts w:ascii="Verdana" w:hAnsi="Verdana" w:cs="Arial"/>
          <w:color w:val="000000" w:themeColor="text1"/>
          <w:sz w:val="16"/>
          <w:szCs w:val="16"/>
          <w:lang w:val="es-ES"/>
        </w:rPr>
        <w:t xml:space="preserve"> </w:t>
      </w:r>
    </w:p>
    <w:p w14:paraId="2120C650" w14:textId="77777777" w:rsidR="00DB2B86" w:rsidRPr="00ED6485" w:rsidRDefault="00DB2B86" w:rsidP="00DB2B86">
      <w:pPr>
        <w:spacing w:after="0" w:line="240" w:lineRule="auto"/>
        <w:ind w:firstLine="709"/>
        <w:jc w:val="both"/>
        <w:rPr>
          <w:rFonts w:ascii="Verdana" w:hAnsi="Verdana" w:cs="Arial"/>
          <w:color w:val="000000" w:themeColor="text1"/>
          <w:sz w:val="16"/>
          <w:szCs w:val="16"/>
          <w:lang w:val="es-ES"/>
        </w:rPr>
      </w:pPr>
    </w:p>
  </w:footnote>
  <w:footnote w:id="13">
    <w:p w14:paraId="0164ACEE" w14:textId="5DC19575" w:rsidR="00DB2B86" w:rsidRPr="00ED6485" w:rsidRDefault="00DB2B86" w:rsidP="00DB2B86">
      <w:pPr>
        <w:pStyle w:val="Textonotapie"/>
        <w:spacing w:after="120"/>
        <w:ind w:firstLine="708"/>
        <w:jc w:val="both"/>
        <w:rPr>
          <w:rFonts w:ascii="Verdana" w:hAnsi="Verdana" w:cs="Arial"/>
          <w:sz w:val="16"/>
          <w:szCs w:val="16"/>
          <w:lang w:val="es-E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w:t>
      </w:r>
      <w:r w:rsidR="008D76C4" w:rsidRPr="00ED6485">
        <w:rPr>
          <w:rFonts w:ascii="Verdana" w:hAnsi="Verdana" w:cs="Arial"/>
          <w:sz w:val="16"/>
          <w:szCs w:val="16"/>
          <w:lang w:val="es-ES"/>
        </w:rPr>
        <w:t>CONSEJO DE ESTADO.</w:t>
      </w:r>
      <w:r w:rsidRPr="00ED6485">
        <w:rPr>
          <w:rFonts w:ascii="Verdana" w:hAnsi="Verdana" w:cs="Arial"/>
          <w:sz w:val="16"/>
          <w:szCs w:val="16"/>
          <w:lang w:val="es-ES"/>
        </w:rPr>
        <w:t xml:space="preserve"> Sección Tercera. Subsección A. Sentencia del 18 de febrero de 2022. Expediente: 53.318. Consejero Ponente: José Roberto Sáchica Méndez.</w:t>
      </w:r>
    </w:p>
  </w:footnote>
  <w:footnote w:id="14">
    <w:p w14:paraId="2A39A28C" w14:textId="17BAC3D9" w:rsidR="0085198A" w:rsidRPr="00ED6485" w:rsidRDefault="0085198A" w:rsidP="00804E89">
      <w:pPr>
        <w:pStyle w:val="Textonotapie"/>
        <w:ind w:firstLine="709"/>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Al respecto, el Consejo de Estado ha señalado que este tipo de descuentos “no es contrario al artículo 17 de la Ley 1150 de 2007, porque esta disposición atribuye a las entidades públicas la potestad de imponer multas mediante acto administrativo, pero no proscribe que las partes del contrato estatal, en ejercicio de la autonomía de la voluntad, pacten esquemas negociales para hacer efectivas cláusulas penales de apremio sin que ello implique el ejercicio de prerrogativas de poder público. La atribución legal de tales prerrogativas en la ejecución del contrato no puede entenderse como un mandato que obligue a la Administración a huir del derecho privado contractual en la configuración de sus negocios, porque este integra el régimen jurídico aplicable al contrato estatal (…)”. </w:t>
      </w:r>
      <w:r w:rsidRPr="00ED6485">
        <w:rPr>
          <w:rFonts w:ascii="Verdana" w:hAnsi="Verdana" w:cs="Arial"/>
          <w:sz w:val="16"/>
          <w:szCs w:val="16"/>
          <w:lang w:val="es-ES"/>
        </w:rPr>
        <w:t>Consejo de Estado. Sección Tercera. Subsección A. Sentencia del 30 de enero de 2026. Expediente: 69090. Consejero Ponente: José Roberto Sáchica Méndez.</w:t>
      </w:r>
    </w:p>
    <w:p w14:paraId="001D95C1" w14:textId="77777777" w:rsidR="0085198A" w:rsidRPr="00ED6485" w:rsidRDefault="0085198A" w:rsidP="0085198A">
      <w:pPr>
        <w:pStyle w:val="Textonotapie"/>
        <w:jc w:val="both"/>
        <w:rPr>
          <w:rFonts w:ascii="Verdana" w:hAnsi="Verdana"/>
          <w:sz w:val="16"/>
          <w:szCs w:val="16"/>
          <w:lang w:val="es-ES"/>
        </w:rPr>
      </w:pPr>
    </w:p>
  </w:footnote>
  <w:footnote w:id="15">
    <w:p w14:paraId="3FDE0652" w14:textId="77777777" w:rsidR="00DB2B86" w:rsidRPr="00ED6485" w:rsidRDefault="00DB2B86" w:rsidP="00DB2B86">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DOMAT, Jean. Las leyes civiles en su orden natural. Tomo II. Barcelona: Imprenta de José Taulo, 1841. p. 267.</w:t>
      </w:r>
    </w:p>
  </w:footnote>
  <w:footnote w:id="16">
    <w:p w14:paraId="43A54F15" w14:textId="77777777" w:rsidR="00DB2B86" w:rsidRPr="00ED6485" w:rsidRDefault="00DB2B86" w:rsidP="00DB2B86">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POTHIER, Robert J. Tratado de las obligaciones. Santiago: Ediciones Olejnik, 2020. p. 309.</w:t>
      </w:r>
    </w:p>
  </w:footnote>
  <w:footnote w:id="17">
    <w:p w14:paraId="37D7A38F" w14:textId="77777777" w:rsidR="00DB2B86" w:rsidRPr="00ED6485" w:rsidRDefault="00DB2B86" w:rsidP="00DB2B86">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Cfr. AMUNÁTEGUI PERELLÓ, Carlos. De la compensación. En: Comentario histórico-dogmático al Libro IV del Código Civil de Chile. Tomo I. Valencia: Tirant lo Blanch, 2023. p. 647.</w:t>
      </w:r>
    </w:p>
  </w:footnote>
  <w:footnote w:id="18">
    <w:p w14:paraId="66AA7100" w14:textId="77777777" w:rsidR="00DB2B86" w:rsidRPr="00ED6485" w:rsidRDefault="00DB2B86" w:rsidP="00DB2B86">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SOLARTE RODRÍGUEZ, Arturo y BERNAL FANDIÑO, Mariana. La compensación de las obligaciones en el Derecho Privado. En: Derecho de las obligaciones con propuestas de modernización. Tomo IV. Segunda edición. Bogotá: Temis – Universidad de los Andes, 2021. p. 553. Su utilidad se fundamenta en razones de economía: “El uso de las compensaciones es necesario para evitar la incomodidad de dos pagos, lo cual sucedería si cada uno de los dos que compensan pagase primero y después volviese a cobrar lo mismo que hubiese satisfecho. Es pues natural que sin semejante rodeo retenga cada uno en pago lo que debiere equivalente a la cantidad que acreditare. Así es que por medio de la compensación se hacen siempre dos soluciones” (DOMAT, Ob. cit., p. 267).</w:t>
      </w:r>
    </w:p>
  </w:footnote>
  <w:footnote w:id="19">
    <w:p w14:paraId="33BDF4DA" w14:textId="77777777" w:rsidR="00DB2B86" w:rsidRPr="00ED6485" w:rsidRDefault="00DB2B86" w:rsidP="00DB2B86">
      <w:pPr>
        <w:pStyle w:val="Textonotapie"/>
        <w:ind w:firstLine="708"/>
        <w:jc w:val="both"/>
        <w:rPr>
          <w:rFonts w:ascii="Verdana" w:hAnsi="Verdana"/>
          <w:sz w:val="16"/>
          <w:szCs w:val="16"/>
          <w:lang w:val="es-ES"/>
        </w:rPr>
      </w:pPr>
      <w:r w:rsidRPr="00ED6485">
        <w:rPr>
          <w:rStyle w:val="Refdenotaalpie"/>
          <w:rFonts w:ascii="Verdana" w:hAnsi="Verdana"/>
          <w:sz w:val="16"/>
          <w:szCs w:val="16"/>
          <w:lang w:val="es-ES"/>
        </w:rPr>
        <w:footnoteRef/>
      </w:r>
      <w:r w:rsidRPr="00ED6485">
        <w:rPr>
          <w:rFonts w:ascii="Verdana" w:hAnsi="Verdana"/>
          <w:sz w:val="16"/>
          <w:szCs w:val="16"/>
          <w:lang w:val="es-ES"/>
        </w:rPr>
        <w:t xml:space="preserve"> Cfr. LAURENT, François. Principios de derecho civil francés. Tomo XVIII. México DF: Tribunal Superior de Justicia del Distrito Federal, 2010. p. 462.</w:t>
      </w:r>
    </w:p>
  </w:footnote>
  <w:footnote w:id="20">
    <w:p w14:paraId="19671F99" w14:textId="77777777" w:rsidR="00DB2B86" w:rsidRPr="00ED6485" w:rsidRDefault="00DB2B86" w:rsidP="00DB2B86">
      <w:pPr>
        <w:pStyle w:val="Textonotapie"/>
        <w:jc w:val="both"/>
        <w:rPr>
          <w:rFonts w:ascii="Verdana" w:hAnsi="Verdana" w:cs="Arial"/>
          <w:color w:val="000000" w:themeColor="text1"/>
          <w:sz w:val="16"/>
          <w:szCs w:val="16"/>
          <w:lang w:val="es-ES"/>
        </w:rPr>
      </w:pPr>
      <w:r w:rsidRPr="00ED6485">
        <w:rPr>
          <w:rFonts w:ascii="Verdana" w:hAnsi="Verdana" w:cs="Arial"/>
          <w:iCs/>
          <w:color w:val="000000" w:themeColor="text1"/>
          <w:sz w:val="16"/>
          <w:szCs w:val="16"/>
          <w:lang w:val="es-ES"/>
        </w:rPr>
        <w:tab/>
      </w:r>
      <w:r w:rsidRPr="00ED6485">
        <w:rPr>
          <w:rFonts w:ascii="Verdana" w:hAnsi="Verdana" w:cs="Arial"/>
          <w:iCs/>
          <w:color w:val="000000" w:themeColor="text1"/>
          <w:sz w:val="16"/>
          <w:szCs w:val="16"/>
          <w:vertAlign w:val="superscript"/>
          <w:lang w:val="es-ES"/>
        </w:rPr>
        <w:footnoteRef/>
      </w:r>
      <w:r w:rsidRPr="00ED6485">
        <w:rPr>
          <w:rFonts w:ascii="Verdana" w:hAnsi="Verdana" w:cs="Arial"/>
          <w:iCs/>
          <w:color w:val="000000" w:themeColor="text1"/>
          <w:sz w:val="16"/>
          <w:szCs w:val="16"/>
          <w:lang w:val="es-ES"/>
        </w:rPr>
        <w:t xml:space="preserve"> Motivo por el cual son típicas cláusulas accidentales dentro de los contratos estatales, en los términos del artículo 1501 del Código Civil.</w:t>
      </w:r>
    </w:p>
  </w:footnote>
  <w:footnote w:id="21">
    <w:p w14:paraId="2433E03D" w14:textId="77777777" w:rsidR="00DB2B86" w:rsidRPr="00ED6485" w:rsidRDefault="00DB2B86" w:rsidP="00DB2B86">
      <w:pPr>
        <w:pStyle w:val="Textonotapie"/>
        <w:ind w:firstLine="708"/>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CONSEJO DE ESTADO. Sección Tercera. </w:t>
      </w:r>
      <w:r w:rsidRPr="00ED6485">
        <w:rPr>
          <w:rFonts w:ascii="Verdana" w:hAnsi="Verdana" w:cs="Arial"/>
          <w:color w:val="000000" w:themeColor="text1"/>
          <w:sz w:val="16"/>
          <w:szCs w:val="16"/>
          <w:vertAlign w:val="superscript"/>
          <w:lang w:val="es-ES"/>
        </w:rPr>
        <w:t xml:space="preserve"> </w:t>
      </w:r>
      <w:r w:rsidRPr="00ED6485">
        <w:rPr>
          <w:rFonts w:ascii="Verdana" w:hAnsi="Verdana" w:cs="Arial"/>
          <w:color w:val="000000" w:themeColor="text1"/>
          <w:sz w:val="16"/>
          <w:szCs w:val="16"/>
          <w:lang w:val="es-ES"/>
        </w:rPr>
        <w:t>Sentencia del 13 de noviembre de 2008, expediente 17.009, C.P. Enrique Gil Botero.</w:t>
      </w:r>
    </w:p>
  </w:footnote>
  <w:footnote w:id="22">
    <w:p w14:paraId="752E4BB7" w14:textId="77777777" w:rsidR="00DB2B86" w:rsidRPr="00ED6485" w:rsidRDefault="00DB2B86" w:rsidP="00DB2B86">
      <w:pPr>
        <w:pStyle w:val="Textonotapie"/>
        <w:ind w:firstLine="708"/>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CORTE CONSTITUCIONAL. Sentencia C-827 de 2001. M.P. Álvaro Tafur Galvis.</w:t>
      </w:r>
    </w:p>
  </w:footnote>
  <w:footnote w:id="23">
    <w:p w14:paraId="0C1B973B" w14:textId="77777777" w:rsidR="00DB2B86" w:rsidRPr="00ED6485" w:rsidRDefault="00DB2B86" w:rsidP="00DB2B86">
      <w:pPr>
        <w:pStyle w:val="Textonotapie"/>
        <w:jc w:val="both"/>
        <w:rPr>
          <w:rFonts w:ascii="Verdana" w:hAnsi="Verdana" w:cs="Arial"/>
          <w:color w:val="000000" w:themeColor="text1"/>
          <w:sz w:val="16"/>
          <w:szCs w:val="16"/>
          <w:lang w:val="es-ES"/>
        </w:rPr>
      </w:pPr>
      <w:r w:rsidRPr="00ED6485">
        <w:rPr>
          <w:rFonts w:ascii="Verdana" w:hAnsi="Verdana" w:cs="Arial"/>
          <w:color w:val="000000" w:themeColor="text1"/>
          <w:sz w:val="16"/>
          <w:szCs w:val="16"/>
          <w:vertAlign w:val="superscript"/>
          <w:lang w:val="es-ES"/>
        </w:rPr>
        <w:tab/>
      </w:r>
      <w:r w:rsidRPr="00ED6485">
        <w:rPr>
          <w:rFonts w:ascii="Verdana" w:hAnsi="Verdana" w:cs="Arial"/>
          <w:color w:val="000000" w:themeColor="text1"/>
          <w:sz w:val="16"/>
          <w:szCs w:val="16"/>
          <w:vertAlign w:val="superscript"/>
          <w:lang w:val="es-ES"/>
        </w:rPr>
        <w:footnoteRef/>
      </w:r>
      <w:r w:rsidRPr="00ED6485">
        <w:rPr>
          <w:rFonts w:ascii="Verdana" w:hAnsi="Verdana" w:cs="Arial"/>
          <w:color w:val="000000" w:themeColor="text1"/>
          <w:sz w:val="16"/>
          <w:szCs w:val="16"/>
          <w:lang w:val="es-ES"/>
        </w:rPr>
        <w:t xml:space="preserve"> CONSEJO DE ESTADO. Sección Tercera. </w:t>
      </w:r>
      <w:r w:rsidRPr="00ED6485">
        <w:rPr>
          <w:rFonts w:ascii="Verdana" w:hAnsi="Verdana" w:cs="Arial"/>
          <w:color w:val="000000" w:themeColor="text1"/>
          <w:sz w:val="16"/>
          <w:szCs w:val="16"/>
          <w:vertAlign w:val="superscript"/>
          <w:lang w:val="es-ES"/>
        </w:rPr>
        <w:t xml:space="preserve"> </w:t>
      </w:r>
      <w:r w:rsidRPr="00ED6485">
        <w:rPr>
          <w:rFonts w:ascii="Verdana" w:hAnsi="Verdana" w:cs="Arial"/>
          <w:color w:val="000000" w:themeColor="text1"/>
          <w:sz w:val="16"/>
          <w:szCs w:val="16"/>
          <w:lang w:val="es-ES"/>
        </w:rPr>
        <w:t>Sentencia del 13 de noviembre de 2008, expediente 17.009, C.P. Enrique Gil Botero.</w:t>
      </w:r>
    </w:p>
  </w:footnote>
  <w:footnote w:id="24">
    <w:p w14:paraId="19856DB4" w14:textId="77777777" w:rsidR="00DB2B86" w:rsidRPr="00ED6485" w:rsidRDefault="00DB2B86" w:rsidP="00DB2B86">
      <w:pPr>
        <w:pStyle w:val="Textonotapie"/>
        <w:ind w:firstLine="708"/>
        <w:jc w:val="both"/>
        <w:rPr>
          <w:rFonts w:ascii="Verdana" w:hAnsi="Verdana" w:cs="Arial"/>
          <w:color w:val="000000" w:themeColor="text1"/>
          <w:sz w:val="16"/>
          <w:szCs w:val="16"/>
          <w:lang w:val="es-ES"/>
        </w:rPr>
      </w:pPr>
      <w:r w:rsidRPr="00ED6485">
        <w:rPr>
          <w:rStyle w:val="Refdenotaalpie"/>
          <w:rFonts w:ascii="Verdana" w:hAnsi="Verdana" w:cs="Arial"/>
          <w:color w:val="000000" w:themeColor="text1"/>
          <w:sz w:val="16"/>
          <w:szCs w:val="16"/>
          <w:lang w:val="es-ES"/>
        </w:rPr>
        <w:footnoteRef/>
      </w:r>
      <w:r w:rsidRPr="00ED6485">
        <w:rPr>
          <w:rFonts w:ascii="Verdana" w:hAnsi="Verdana" w:cs="Arial"/>
          <w:color w:val="000000" w:themeColor="text1"/>
          <w:sz w:val="16"/>
          <w:szCs w:val="16"/>
          <w:lang w:val="es-ES"/>
        </w:rPr>
        <w:t xml:space="preserve"> CORTE CONSTITUCIONAL. Sentencia C-499 de 2015. M.P. Mauricio González Cuervo.</w:t>
      </w:r>
    </w:p>
  </w:footnote>
  <w:footnote w:id="25">
    <w:p w14:paraId="2ECE5FDE" w14:textId="77777777" w:rsidR="00DB2B86" w:rsidRPr="00ED6485" w:rsidRDefault="00DB2B86" w:rsidP="00DB2B86">
      <w:pPr>
        <w:pStyle w:val="Textonotapie"/>
        <w:ind w:firstLine="708"/>
        <w:jc w:val="both"/>
        <w:rPr>
          <w:rFonts w:ascii="Verdana" w:hAnsi="Verdana" w:cs="Arial"/>
          <w:sz w:val="16"/>
          <w:szCs w:val="16"/>
          <w:lang w:val="es-ES"/>
        </w:rPr>
      </w:pPr>
      <w:r w:rsidRPr="00ED6485">
        <w:rPr>
          <w:rStyle w:val="Refdenotaalpie"/>
          <w:rFonts w:ascii="Verdana" w:hAnsi="Verdana" w:cs="Arial"/>
          <w:sz w:val="16"/>
          <w:szCs w:val="16"/>
          <w:lang w:val="es-ES"/>
        </w:rPr>
        <w:footnoteRef/>
      </w:r>
      <w:r w:rsidRPr="00ED6485">
        <w:rPr>
          <w:rFonts w:ascii="Verdana" w:hAnsi="Verdana" w:cs="Arial"/>
          <w:sz w:val="16"/>
          <w:szCs w:val="16"/>
          <w:lang w:val="es-ES"/>
        </w:rPr>
        <w:t xml:space="preserve"> Consejo de Estado. Sección Tercera. Subsección A. Sentencia del 18 de febrero de 2022. Expediente: 53.318. Consejero Ponente: José Roberto Sáchica Méndez.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29113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4AE"/>
    <w:rsid w:val="00016F78"/>
    <w:rsid w:val="00024A94"/>
    <w:rsid w:val="00046945"/>
    <w:rsid w:val="00061B2A"/>
    <w:rsid w:val="00082362"/>
    <w:rsid w:val="000A683E"/>
    <w:rsid w:val="000B19B9"/>
    <w:rsid w:val="000D0334"/>
    <w:rsid w:val="000D5DA7"/>
    <w:rsid w:val="000E5F62"/>
    <w:rsid w:val="000F6486"/>
    <w:rsid w:val="00116940"/>
    <w:rsid w:val="00125105"/>
    <w:rsid w:val="00127233"/>
    <w:rsid w:val="0015699B"/>
    <w:rsid w:val="001A33BF"/>
    <w:rsid w:val="001C335F"/>
    <w:rsid w:val="001C6D15"/>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412"/>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13FE"/>
    <w:rsid w:val="00466E39"/>
    <w:rsid w:val="004A1847"/>
    <w:rsid w:val="004A305D"/>
    <w:rsid w:val="004E376C"/>
    <w:rsid w:val="004F21C4"/>
    <w:rsid w:val="004F685F"/>
    <w:rsid w:val="00501FAB"/>
    <w:rsid w:val="005025E1"/>
    <w:rsid w:val="00505274"/>
    <w:rsid w:val="005566E8"/>
    <w:rsid w:val="00574867"/>
    <w:rsid w:val="00591460"/>
    <w:rsid w:val="005963AE"/>
    <w:rsid w:val="005A65E0"/>
    <w:rsid w:val="005C3777"/>
    <w:rsid w:val="005C5CDC"/>
    <w:rsid w:val="005D476C"/>
    <w:rsid w:val="006200BF"/>
    <w:rsid w:val="006219F8"/>
    <w:rsid w:val="006302F7"/>
    <w:rsid w:val="0063090D"/>
    <w:rsid w:val="00633352"/>
    <w:rsid w:val="00646B9F"/>
    <w:rsid w:val="0065199F"/>
    <w:rsid w:val="00661CEE"/>
    <w:rsid w:val="00665D70"/>
    <w:rsid w:val="006900D9"/>
    <w:rsid w:val="006B3612"/>
    <w:rsid w:val="00706C16"/>
    <w:rsid w:val="007340C3"/>
    <w:rsid w:val="00735367"/>
    <w:rsid w:val="00746E1D"/>
    <w:rsid w:val="0075235A"/>
    <w:rsid w:val="00752587"/>
    <w:rsid w:val="00756841"/>
    <w:rsid w:val="007649AB"/>
    <w:rsid w:val="00771D0C"/>
    <w:rsid w:val="007833AC"/>
    <w:rsid w:val="007B268C"/>
    <w:rsid w:val="007B7171"/>
    <w:rsid w:val="007C0C0F"/>
    <w:rsid w:val="007C3DC2"/>
    <w:rsid w:val="007E5497"/>
    <w:rsid w:val="00804E89"/>
    <w:rsid w:val="00806F5F"/>
    <w:rsid w:val="00813275"/>
    <w:rsid w:val="00820278"/>
    <w:rsid w:val="0082455C"/>
    <w:rsid w:val="008258C9"/>
    <w:rsid w:val="00844AE9"/>
    <w:rsid w:val="00846C90"/>
    <w:rsid w:val="0085198A"/>
    <w:rsid w:val="00867F95"/>
    <w:rsid w:val="008843B6"/>
    <w:rsid w:val="00891928"/>
    <w:rsid w:val="008A446D"/>
    <w:rsid w:val="008B25F1"/>
    <w:rsid w:val="008D180B"/>
    <w:rsid w:val="008D76C4"/>
    <w:rsid w:val="008E1602"/>
    <w:rsid w:val="008F0EA7"/>
    <w:rsid w:val="00903432"/>
    <w:rsid w:val="00910645"/>
    <w:rsid w:val="00923EEF"/>
    <w:rsid w:val="009419F9"/>
    <w:rsid w:val="0095685E"/>
    <w:rsid w:val="00961B09"/>
    <w:rsid w:val="00965334"/>
    <w:rsid w:val="0097093E"/>
    <w:rsid w:val="009A0DFA"/>
    <w:rsid w:val="009A1C6F"/>
    <w:rsid w:val="009B2D26"/>
    <w:rsid w:val="009C71FA"/>
    <w:rsid w:val="009C72E7"/>
    <w:rsid w:val="009C7F7E"/>
    <w:rsid w:val="009D3058"/>
    <w:rsid w:val="009D7677"/>
    <w:rsid w:val="009E3AF9"/>
    <w:rsid w:val="009E5BC7"/>
    <w:rsid w:val="009F3A13"/>
    <w:rsid w:val="00A122D3"/>
    <w:rsid w:val="00A14468"/>
    <w:rsid w:val="00A17F13"/>
    <w:rsid w:val="00A20739"/>
    <w:rsid w:val="00A23AF9"/>
    <w:rsid w:val="00A33C78"/>
    <w:rsid w:val="00A35CAF"/>
    <w:rsid w:val="00A615F5"/>
    <w:rsid w:val="00A96B04"/>
    <w:rsid w:val="00AA48DC"/>
    <w:rsid w:val="00AB0ADB"/>
    <w:rsid w:val="00AB3A36"/>
    <w:rsid w:val="00AC5BD9"/>
    <w:rsid w:val="00B00C0E"/>
    <w:rsid w:val="00B01B1A"/>
    <w:rsid w:val="00B0381D"/>
    <w:rsid w:val="00B155BD"/>
    <w:rsid w:val="00B44A47"/>
    <w:rsid w:val="00B72CD3"/>
    <w:rsid w:val="00B72FFF"/>
    <w:rsid w:val="00B9643F"/>
    <w:rsid w:val="00BA3D20"/>
    <w:rsid w:val="00BC3D36"/>
    <w:rsid w:val="00BD54A6"/>
    <w:rsid w:val="00BD56F5"/>
    <w:rsid w:val="00BD7F72"/>
    <w:rsid w:val="00BF7425"/>
    <w:rsid w:val="00C04FB3"/>
    <w:rsid w:val="00C11B27"/>
    <w:rsid w:val="00C11D8B"/>
    <w:rsid w:val="00C15139"/>
    <w:rsid w:val="00C21D78"/>
    <w:rsid w:val="00C236CB"/>
    <w:rsid w:val="00C330EB"/>
    <w:rsid w:val="00C50D69"/>
    <w:rsid w:val="00C5365C"/>
    <w:rsid w:val="00C754BE"/>
    <w:rsid w:val="00C76B1C"/>
    <w:rsid w:val="00C925AC"/>
    <w:rsid w:val="00CB6357"/>
    <w:rsid w:val="00CC1B26"/>
    <w:rsid w:val="00D361FD"/>
    <w:rsid w:val="00D36D36"/>
    <w:rsid w:val="00D423A2"/>
    <w:rsid w:val="00D44E26"/>
    <w:rsid w:val="00D520D8"/>
    <w:rsid w:val="00D63AC2"/>
    <w:rsid w:val="00D7383B"/>
    <w:rsid w:val="00D760B9"/>
    <w:rsid w:val="00D7788A"/>
    <w:rsid w:val="00DA231B"/>
    <w:rsid w:val="00DB2B86"/>
    <w:rsid w:val="00DB7667"/>
    <w:rsid w:val="00DC39FC"/>
    <w:rsid w:val="00DF5254"/>
    <w:rsid w:val="00E02524"/>
    <w:rsid w:val="00E16408"/>
    <w:rsid w:val="00E20894"/>
    <w:rsid w:val="00E245AB"/>
    <w:rsid w:val="00E2764C"/>
    <w:rsid w:val="00E27F2E"/>
    <w:rsid w:val="00E37F5C"/>
    <w:rsid w:val="00E50AFE"/>
    <w:rsid w:val="00E70CF2"/>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773E3"/>
    <w:rsid w:val="00F96410"/>
    <w:rsid w:val="00FA47C0"/>
    <w:rsid w:val="00FB5DD1"/>
    <w:rsid w:val="00FC2B5D"/>
    <w:rsid w:val="00FF1449"/>
    <w:rsid w:val="00FF34C6"/>
    <w:rsid w:val="00FF3C8F"/>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8245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DB2B8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DB2B86"/>
    <w:rPr>
      <w:rFonts w:ascii="Geomanist Light" w:hAnsi="Geomanist Light"/>
      <w:lang w:val="es-ES"/>
    </w:rPr>
  </w:style>
  <w:style w:type="character" w:customStyle="1" w:styleId="Ttulo1Car">
    <w:name w:val="Título 1 Car"/>
    <w:basedOn w:val="Fuentedeprrafopredeter"/>
    <w:link w:val="Ttulo1"/>
    <w:uiPriority w:val="9"/>
    <w:rsid w:val="0082455C"/>
    <w:rPr>
      <w:rFonts w:asciiTheme="majorHAnsi" w:eastAsiaTheme="majorEastAsia" w:hAnsiTheme="majorHAnsi" w:cstheme="majorBidi"/>
      <w:color w:val="2F5496" w:themeColor="accent1" w:themeShade="BF"/>
      <w:sz w:val="32"/>
      <w:szCs w:val="32"/>
    </w:rPr>
  </w:style>
  <w:style w:type="character" w:customStyle="1" w:styleId="s15">
    <w:name w:val="s15"/>
    <w:basedOn w:val="Fuentedeprrafopredeter"/>
    <w:rsid w:val="00752587"/>
  </w:style>
  <w:style w:type="paragraph" w:customStyle="1" w:styleId="s16">
    <w:name w:val="s16"/>
    <w:basedOn w:val="Normal"/>
    <w:rsid w:val="0075258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7">
    <w:name w:val="s17"/>
    <w:basedOn w:val="Normal"/>
    <w:rsid w:val="007525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8">
    <w:name w:val="s18"/>
    <w:basedOn w:val="Fuentedeprrafopredeter"/>
    <w:rsid w:val="0075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92683909">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790660884">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rchive.is/mtN2O" TargetMode="External"/><Relationship Id="rId2" Type="http://schemas.openxmlformats.org/officeDocument/2006/relationships/hyperlink" Target="https://doi.org/10.13140/2.1.1541.4723" TargetMode="External"/><Relationship Id="rId1" Type="http://schemas.openxmlformats.org/officeDocument/2006/relationships/hyperlink" Target="https://web.archive.org/web/20021014234501/http://www.sla-zone.co.uk/index.htm" TargetMode="External"/><Relationship Id="rId5" Type="http://schemas.openxmlformats.org/officeDocument/2006/relationships/hyperlink" Target="https://www.funcionpublica.gov.co/glosario/-/wiki/26415658/Acuerdo%20de%20Nivel%20de%20Servicio%20(ANS)" TargetMode="External"/><Relationship Id="rId4" Type="http://schemas.openxmlformats.org/officeDocument/2006/relationships/hyperlink" Target="https://doi.org/10.18800/derechopucp.201802.0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A112AE-017F-4103-9010-BF9F3FCAC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24</TotalTime>
  <Pages>31</Pages>
  <Words>10848</Words>
  <Characters>59665</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70373</CharactersWithSpaces>
  <SharedDoc>false</SharedDoc>
  <HLinks>
    <vt:vector size="60" baseType="variant">
      <vt:variant>
        <vt:i4>2424881</vt:i4>
      </vt:variant>
      <vt:variant>
        <vt:i4>12</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9</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6</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3</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5505106</vt:i4>
      </vt:variant>
      <vt:variant>
        <vt:i4>12</vt:i4>
      </vt:variant>
      <vt:variant>
        <vt:i4>0</vt:i4>
      </vt:variant>
      <vt:variant>
        <vt:i4>5</vt:i4>
      </vt:variant>
      <vt:variant>
        <vt:lpwstr>https://www.funcionpublica.gov.co/glosario/-/wiki/26415658/Acuerdo de Nivel de Servicio (ANS)</vt:lpwstr>
      </vt:variant>
      <vt:variant>
        <vt:lpwstr/>
      </vt:variant>
      <vt:variant>
        <vt:i4>3538978</vt:i4>
      </vt:variant>
      <vt:variant>
        <vt:i4>9</vt:i4>
      </vt:variant>
      <vt:variant>
        <vt:i4>0</vt:i4>
      </vt:variant>
      <vt:variant>
        <vt:i4>5</vt:i4>
      </vt:variant>
      <vt:variant>
        <vt:lpwstr>https://doi.org/10.18800/derechopucp.201802.009</vt:lpwstr>
      </vt:variant>
      <vt:variant>
        <vt:lpwstr/>
      </vt:variant>
      <vt:variant>
        <vt:i4>3866751</vt:i4>
      </vt:variant>
      <vt:variant>
        <vt:i4>6</vt:i4>
      </vt:variant>
      <vt:variant>
        <vt:i4>0</vt:i4>
      </vt:variant>
      <vt:variant>
        <vt:i4>5</vt:i4>
      </vt:variant>
      <vt:variant>
        <vt:lpwstr>http://archive.is/mtN2O</vt:lpwstr>
      </vt:variant>
      <vt:variant>
        <vt:lpwstr>selection-1429.1-1429.29</vt:lpwstr>
      </vt:variant>
      <vt:variant>
        <vt:i4>2162800</vt:i4>
      </vt:variant>
      <vt:variant>
        <vt:i4>3</vt:i4>
      </vt:variant>
      <vt:variant>
        <vt:i4>0</vt:i4>
      </vt:variant>
      <vt:variant>
        <vt:i4>5</vt:i4>
      </vt:variant>
      <vt:variant>
        <vt:lpwstr>https://doi.org/10.13140/2.1.1541.4723</vt:lpwstr>
      </vt:variant>
      <vt:variant>
        <vt:lpwstr/>
      </vt:variant>
      <vt:variant>
        <vt:i4>7536698</vt:i4>
      </vt:variant>
      <vt:variant>
        <vt:i4>0</vt:i4>
      </vt:variant>
      <vt:variant>
        <vt:i4>0</vt:i4>
      </vt:variant>
      <vt:variant>
        <vt:i4>5</vt:i4>
      </vt:variant>
      <vt:variant>
        <vt:lpwstr>https://web.archive.org/web/20021014234501/http://www.sla-zone.co.uk/index.htm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11</cp:revision>
  <cp:lastPrinted>2023-01-10T21:18:00Z</cp:lastPrinted>
  <dcterms:created xsi:type="dcterms:W3CDTF">2026-08-19T16:51:00Z</dcterms:created>
  <dcterms:modified xsi:type="dcterms:W3CDTF">2026-08-19T17:55:00Z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