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955478" w14:textId="77777777" w:rsidR="004E3903" w:rsidRPr="0047640A" w:rsidRDefault="004E3903" w:rsidP="004E3903">
      <w:pPr>
        <w:spacing w:after="0" w:line="240" w:lineRule="auto"/>
        <w:jc w:val="both"/>
        <w:rPr>
          <w:rFonts w:ascii="Verdana" w:hAnsi="Verdana" w:cs="Arial"/>
          <w:b/>
          <w:lang w:val="es-ES_tradnl" w:eastAsia="es-ES"/>
        </w:rPr>
      </w:pPr>
      <w:r w:rsidRPr="0047640A">
        <w:rPr>
          <w:rFonts w:ascii="Verdana" w:hAnsi="Verdana" w:cs="Arial"/>
          <w:b/>
          <w:lang w:val="es-ES_tradnl" w:eastAsia="es-ES"/>
        </w:rPr>
        <w:t xml:space="preserve">LIQUIDACIÓN DEL CONTRATO – Definición – Objetivo </w:t>
      </w:r>
    </w:p>
    <w:p w14:paraId="37D674DB" w14:textId="77777777" w:rsidR="004E3903" w:rsidRPr="0047640A" w:rsidRDefault="004E3903" w:rsidP="004E3903">
      <w:pPr>
        <w:spacing w:after="0" w:line="240" w:lineRule="auto"/>
        <w:jc w:val="both"/>
        <w:rPr>
          <w:rFonts w:ascii="Verdana" w:hAnsi="Verdana" w:cs="Arial"/>
          <w:b/>
          <w:sz w:val="16"/>
          <w:szCs w:val="16"/>
          <w:lang w:val="es-ES_tradnl" w:eastAsia="es-ES"/>
        </w:rPr>
      </w:pPr>
    </w:p>
    <w:p w14:paraId="394DD9BD" w14:textId="77777777" w:rsidR="004E3903" w:rsidRPr="00693380" w:rsidRDefault="004E3903" w:rsidP="004E3903">
      <w:pPr>
        <w:spacing w:after="0" w:line="240" w:lineRule="auto"/>
        <w:jc w:val="both"/>
        <w:rPr>
          <w:rFonts w:ascii="Verdana" w:hAnsi="Verdana" w:cs="Arial"/>
          <w:sz w:val="18"/>
          <w:szCs w:val="18"/>
          <w:lang w:val="es-ES"/>
        </w:rPr>
      </w:pPr>
      <w:r w:rsidRPr="00693380">
        <w:rPr>
          <w:rFonts w:ascii="Verdana" w:eastAsia="Calibri" w:hAnsi="Verdana" w:cs="Arial"/>
          <w:color w:val="000000"/>
          <w:sz w:val="20"/>
          <w:szCs w:val="20"/>
          <w:lang w:val="es-ES"/>
        </w:rPr>
        <w:t>La liquidación es el momento en el cual, una vez concluido el contrato estatal, las partes cruzan cuentas respecto de sus obligaciones. Por tanto, su objetivo es determinar si pueden declararse a paz y salvo mutuo o si, por el contrario, existen aún obligaciones por cumplir, para acordar la forma en que deben ser finalizadas</w:t>
      </w:r>
      <w:r w:rsidRPr="00693380">
        <w:rPr>
          <w:rFonts w:ascii="Verdana" w:hAnsi="Verdana" w:cs="Arial"/>
          <w:sz w:val="18"/>
          <w:szCs w:val="18"/>
          <w:lang w:val="es-ES"/>
        </w:rPr>
        <w:t>.</w:t>
      </w:r>
    </w:p>
    <w:p w14:paraId="7AA6FBE0" w14:textId="77777777" w:rsidR="004E3903" w:rsidRPr="0047640A" w:rsidRDefault="004E3903" w:rsidP="004E3903">
      <w:pPr>
        <w:spacing w:after="0" w:line="240" w:lineRule="auto"/>
        <w:jc w:val="both"/>
        <w:rPr>
          <w:rFonts w:ascii="Verdana" w:hAnsi="Verdana" w:cs="Arial"/>
          <w:sz w:val="20"/>
          <w:szCs w:val="20"/>
          <w:lang w:val="es-ES_tradnl" w:eastAsia="es-ES"/>
        </w:rPr>
      </w:pPr>
    </w:p>
    <w:p w14:paraId="7319C6DE" w14:textId="77777777" w:rsidR="004E3903" w:rsidRPr="0047640A" w:rsidRDefault="004E3903" w:rsidP="004E3903">
      <w:pPr>
        <w:spacing w:after="0" w:line="240" w:lineRule="auto"/>
        <w:jc w:val="both"/>
        <w:rPr>
          <w:rFonts w:ascii="Verdana" w:hAnsi="Verdana" w:cs="Arial"/>
          <w:b/>
          <w:lang w:val="es-ES_tradnl" w:eastAsia="es-ES"/>
        </w:rPr>
      </w:pPr>
      <w:r w:rsidRPr="0047640A">
        <w:rPr>
          <w:rFonts w:ascii="Verdana" w:hAnsi="Verdana" w:cs="Arial"/>
          <w:b/>
          <w:lang w:val="es-ES_tradnl" w:eastAsia="es-ES"/>
        </w:rPr>
        <w:t xml:space="preserve">LIQUIDACIÓN DEL CONTRATO – Normativa </w:t>
      </w:r>
    </w:p>
    <w:p w14:paraId="3EEF34A6" w14:textId="77777777" w:rsidR="004E3903" w:rsidRPr="0047640A" w:rsidRDefault="004E3903" w:rsidP="004E3903">
      <w:pPr>
        <w:spacing w:after="0" w:line="240" w:lineRule="auto"/>
        <w:jc w:val="both"/>
        <w:rPr>
          <w:rFonts w:ascii="Verdana" w:hAnsi="Verdana" w:cs="Arial"/>
          <w:sz w:val="20"/>
          <w:szCs w:val="20"/>
          <w:lang w:val="es-ES_tradnl" w:eastAsia="es-ES"/>
        </w:rPr>
      </w:pPr>
    </w:p>
    <w:p w14:paraId="79C3A3D6" w14:textId="77777777" w:rsidR="004E3903" w:rsidRPr="0047640A" w:rsidRDefault="004E3903" w:rsidP="004E3903">
      <w:pPr>
        <w:spacing w:after="0" w:line="240" w:lineRule="auto"/>
        <w:jc w:val="both"/>
        <w:rPr>
          <w:rFonts w:ascii="Verdana" w:hAnsi="Verdana" w:cs="Arial"/>
          <w:sz w:val="20"/>
          <w:szCs w:val="20"/>
          <w:lang w:val="es-ES" w:eastAsia="es-ES"/>
        </w:rPr>
      </w:pPr>
      <w:r w:rsidRPr="0047640A">
        <w:rPr>
          <w:rFonts w:ascii="Verdana" w:hAnsi="Verdana" w:cs="Arial"/>
          <w:sz w:val="20"/>
          <w:szCs w:val="20"/>
          <w:lang w:val="es-ES" w:eastAsia="es-ES"/>
        </w:rPr>
        <w:t>Las disposiciones legales que regulan la etapa de liquidación de los contratos estatales son: el artículo 60 de la Ley 80 de 1993, modificado por el artículo 217 del Decreto 019 de 2012, y el artículo 11 de la Ley 1150 de 2007. El primero de estos artículos se refiere al alcance sustantivo de la liquidación, mientras que el segundo contiene reglas procedimentales para su realización. De acuerdo con el artículo 60 de la Ley 80 de 1993, los contratos de tracto sucesivo, aquellos cuyo cumplimiento o ejecución se prolongue en el tiempo y los demás que lo requieran «serán objeto de liquidación». El mismo artículo prescribe que no será obligatoria la liquidación en los contratos de prestación de servicios profesionales y de apoyo a la gestión. El artículo 11 de la Ley 1150 de 2007 contiene las reglas de tipo procedimental para liquidar los contratos estatales, […].</w:t>
      </w:r>
    </w:p>
    <w:p w14:paraId="61713948" w14:textId="77777777" w:rsidR="004E3903" w:rsidRPr="0047640A" w:rsidRDefault="004E3903" w:rsidP="004E3903">
      <w:pPr>
        <w:spacing w:after="0" w:line="240" w:lineRule="auto"/>
        <w:jc w:val="both"/>
        <w:rPr>
          <w:rFonts w:ascii="Verdana" w:hAnsi="Verdana" w:cs="Arial"/>
          <w:b/>
          <w:lang w:val="es-ES_tradnl" w:eastAsia="es-ES"/>
        </w:rPr>
      </w:pPr>
    </w:p>
    <w:p w14:paraId="4FAF78C4" w14:textId="77777777" w:rsidR="004E3903" w:rsidRPr="0047640A" w:rsidRDefault="004E3903" w:rsidP="004E3903">
      <w:pPr>
        <w:spacing w:after="0" w:line="240" w:lineRule="auto"/>
        <w:jc w:val="both"/>
        <w:rPr>
          <w:rFonts w:ascii="Verdana" w:hAnsi="Verdana" w:cs="Arial"/>
          <w:b/>
          <w:lang w:val="es-ES_tradnl" w:eastAsia="es-ES"/>
        </w:rPr>
      </w:pPr>
      <w:r w:rsidRPr="0047640A">
        <w:rPr>
          <w:rFonts w:ascii="Verdana" w:hAnsi="Verdana" w:cs="Arial"/>
          <w:b/>
          <w:lang w:val="es-ES_tradnl" w:eastAsia="es-ES"/>
        </w:rPr>
        <w:t>LIQUIDACIÓN DEL CONTRATO – Tipos – Bilateral – Unilateral – Judicial</w:t>
      </w:r>
    </w:p>
    <w:p w14:paraId="19B8C97A" w14:textId="77777777" w:rsidR="004E3903" w:rsidRPr="0047640A" w:rsidRDefault="004E3903" w:rsidP="004E3903">
      <w:pPr>
        <w:spacing w:after="0" w:line="240" w:lineRule="auto"/>
        <w:jc w:val="both"/>
        <w:rPr>
          <w:rFonts w:ascii="Verdana" w:hAnsi="Verdana" w:cs="Arial"/>
          <w:b/>
          <w:lang w:val="es-ES_tradnl" w:eastAsia="es-ES"/>
        </w:rPr>
      </w:pPr>
    </w:p>
    <w:p w14:paraId="611611BA" w14:textId="77777777" w:rsidR="004E3903" w:rsidRPr="005F05A0" w:rsidRDefault="004E3903" w:rsidP="004E3903">
      <w:pPr>
        <w:spacing w:after="0" w:line="240" w:lineRule="auto"/>
        <w:jc w:val="both"/>
        <w:rPr>
          <w:rFonts w:ascii="Verdana" w:hAnsi="Verdana" w:cs="Arial"/>
          <w:sz w:val="20"/>
          <w:szCs w:val="20"/>
          <w:lang w:val="es-ES" w:eastAsia="es-ES"/>
        </w:rPr>
      </w:pPr>
      <w:r w:rsidRPr="0047640A">
        <w:rPr>
          <w:rFonts w:ascii="Verdana" w:hAnsi="Verdana" w:cs="Arial"/>
          <w:sz w:val="20"/>
          <w:szCs w:val="20"/>
          <w:lang w:val="es-ES" w:eastAsia="es-ES"/>
        </w:rPr>
        <w:t xml:space="preserve">En suma, de acuerdo con el artículo 11 de la Ley 1150 de 2007, existen tres tipos de liquidación: i) bilateral, </w:t>
      </w:r>
      <w:proofErr w:type="spellStart"/>
      <w:r w:rsidRPr="0047640A">
        <w:rPr>
          <w:rFonts w:ascii="Verdana" w:hAnsi="Verdana" w:cs="Arial"/>
          <w:sz w:val="20"/>
          <w:szCs w:val="20"/>
          <w:lang w:val="es-ES" w:eastAsia="es-ES"/>
        </w:rPr>
        <w:t>ii</w:t>
      </w:r>
      <w:proofErr w:type="spellEnd"/>
      <w:r w:rsidRPr="0047640A">
        <w:rPr>
          <w:rFonts w:ascii="Verdana" w:hAnsi="Verdana" w:cs="Arial"/>
          <w:sz w:val="20"/>
          <w:szCs w:val="20"/>
          <w:lang w:val="es-ES" w:eastAsia="es-ES"/>
        </w:rPr>
        <w:t xml:space="preserve">) unilateral y </w:t>
      </w:r>
      <w:proofErr w:type="spellStart"/>
      <w:r w:rsidRPr="0047640A">
        <w:rPr>
          <w:rFonts w:ascii="Verdana" w:hAnsi="Verdana" w:cs="Arial"/>
          <w:sz w:val="20"/>
          <w:szCs w:val="20"/>
          <w:lang w:val="es-ES" w:eastAsia="es-ES"/>
        </w:rPr>
        <w:t>iii</w:t>
      </w:r>
      <w:proofErr w:type="spellEnd"/>
      <w:r w:rsidRPr="0047640A">
        <w:rPr>
          <w:rFonts w:ascii="Verdana" w:hAnsi="Verdana" w:cs="Arial"/>
          <w:sz w:val="20"/>
          <w:szCs w:val="20"/>
          <w:lang w:val="es-ES" w:eastAsia="es-ES"/>
        </w:rPr>
        <w:t>) judicial. En términos generales, la primera, que puede ser total o parcial, debe hacerse en el término que estipulen las partes o, en su defecto, dentro del término supletivo de cuatro meses. La segunda se debe practicar dentro de los dos meses siguientes al vencimiento del término que acuerden las partes, o ante el silencio de estas, luego de los cuatro meses para realizar la liquidación bilateral, sin que esta se efectúe. Finalmente, la tercera la realiza la Jurisdicción de lo Contencioso Administrativo o un tribunal de arbitramento dentro de un proceso judicial de controversias contractuales, y puede darse con ocasión de una demanda del interesado solicitando dicha liquidación. Para ello, existe un plazo máximo de 2 años contados a partir de los dos meses establecidos en la Ley para realizar la liquidación unilateral, de conformidad con el citado auto de unificación jurisprudencial del Consejo de Estado.</w:t>
      </w:r>
    </w:p>
    <w:p w14:paraId="26B3068E" w14:textId="77777777" w:rsidR="004E3903" w:rsidRDefault="004E3903" w:rsidP="004E3903">
      <w:pPr>
        <w:spacing w:after="0" w:line="240" w:lineRule="auto"/>
        <w:rPr>
          <w:rFonts w:ascii="Verdana" w:hAnsi="Verdana"/>
          <w:lang w:val="es-ES"/>
        </w:rPr>
      </w:pPr>
    </w:p>
    <w:p w14:paraId="3D0F4456" w14:textId="77777777" w:rsidR="004E3903" w:rsidRPr="00C15A62" w:rsidRDefault="004E3903" w:rsidP="004E3903">
      <w:pPr>
        <w:spacing w:after="0" w:line="240" w:lineRule="auto"/>
        <w:jc w:val="both"/>
        <w:rPr>
          <w:rFonts w:ascii="Verdana" w:hAnsi="Verdana" w:cs="Arial"/>
          <w:b/>
          <w:bCs/>
          <w:color w:val="000000" w:themeColor="text1"/>
          <w:sz w:val="20"/>
          <w:szCs w:val="20"/>
          <w:lang w:val="es-ES"/>
        </w:rPr>
      </w:pPr>
      <w:r w:rsidRPr="00EA62AD">
        <w:rPr>
          <w:rFonts w:ascii="Verdana" w:hAnsi="Verdana" w:cs="Arial"/>
          <w:b/>
          <w:bCs/>
          <w:color w:val="000000" w:themeColor="text1"/>
          <w:lang w:val="es-ES"/>
        </w:rPr>
        <w:t xml:space="preserve">GARANTÍA DE ÚNICA DE CUMPLIMIENTO – Definición – Fundamento normativo </w:t>
      </w:r>
    </w:p>
    <w:p w14:paraId="0DBD6D6A" w14:textId="77777777" w:rsidR="004E3903" w:rsidRDefault="004E3903" w:rsidP="004E3903">
      <w:pPr>
        <w:spacing w:after="0" w:line="240" w:lineRule="auto"/>
        <w:jc w:val="both"/>
        <w:rPr>
          <w:rFonts w:ascii="Verdana" w:eastAsia="Times New Roman" w:hAnsi="Verdana" w:cs="Arial"/>
          <w:bCs/>
          <w:color w:val="000000"/>
          <w:sz w:val="20"/>
          <w:szCs w:val="20"/>
          <w:lang w:val="es-ES_tradnl" w:eastAsia="es-ES_tradnl"/>
        </w:rPr>
      </w:pPr>
    </w:p>
    <w:p w14:paraId="371B2AA3" w14:textId="77777777" w:rsidR="004E3903" w:rsidRPr="00344805" w:rsidRDefault="004E3903" w:rsidP="004E3903">
      <w:pPr>
        <w:spacing w:after="0" w:line="240" w:lineRule="auto"/>
        <w:jc w:val="both"/>
        <w:rPr>
          <w:rFonts w:ascii="Verdana" w:eastAsia="Times New Roman" w:hAnsi="Verdana" w:cs="Arial"/>
          <w:bCs/>
          <w:color w:val="000000"/>
          <w:sz w:val="20"/>
          <w:szCs w:val="20"/>
          <w:lang w:val="es-ES_tradnl" w:eastAsia="es-ES_tradnl"/>
        </w:rPr>
      </w:pPr>
      <w:r>
        <w:rPr>
          <w:rFonts w:ascii="Verdana" w:eastAsia="Times New Roman" w:hAnsi="Verdana" w:cs="Arial"/>
          <w:bCs/>
          <w:color w:val="000000"/>
          <w:sz w:val="20"/>
          <w:szCs w:val="20"/>
          <w:lang w:val="es-ES_tradnl" w:eastAsia="es-ES_tradnl"/>
        </w:rPr>
        <w:t xml:space="preserve">[…] </w:t>
      </w:r>
      <w:r w:rsidRPr="00344805">
        <w:rPr>
          <w:rFonts w:ascii="Verdana" w:eastAsia="Times New Roman" w:hAnsi="Verdana" w:cs="Arial"/>
          <w:bCs/>
          <w:color w:val="000000"/>
          <w:sz w:val="20"/>
          <w:szCs w:val="20"/>
          <w:lang w:val="es-ES_tradnl" w:eastAsia="es-ES_tradnl"/>
        </w:rPr>
        <w:t>según lo dispuesto en el artículo 2.2.1.2.3.1.7. del Decreto 1082 de 2015, la garantía única de cumplimiento cuenta con varios amparos, que incluyen el de buen manejo y correcta inversión del anticipo; la devolución del pago anticipado; el amparo de cumplimiento del contrato; la garantía de pago de salarios, prestaciones sociales legales e indemnizaciones laborales, entre otros.</w:t>
      </w:r>
    </w:p>
    <w:p w14:paraId="283F92B9" w14:textId="77777777" w:rsidR="004E3903" w:rsidRDefault="004E3903" w:rsidP="004E3903">
      <w:pPr>
        <w:spacing w:after="0" w:line="240" w:lineRule="auto"/>
        <w:jc w:val="both"/>
        <w:rPr>
          <w:rFonts w:ascii="Verdana" w:eastAsia="Times New Roman" w:hAnsi="Verdana" w:cs="Arial"/>
          <w:color w:val="000000" w:themeColor="text1"/>
          <w:sz w:val="20"/>
          <w:szCs w:val="20"/>
          <w:lang w:val="es-ES" w:eastAsia="es-ES"/>
        </w:rPr>
      </w:pPr>
    </w:p>
    <w:p w14:paraId="29EC7F14" w14:textId="77777777" w:rsidR="004E3903" w:rsidRPr="00344805" w:rsidRDefault="004E3903" w:rsidP="004E3903">
      <w:pPr>
        <w:spacing w:after="0" w:line="240" w:lineRule="auto"/>
        <w:jc w:val="both"/>
        <w:rPr>
          <w:rFonts w:ascii="Verdana" w:eastAsia="Times New Roman" w:hAnsi="Verdana" w:cs="Arial"/>
          <w:color w:val="000000"/>
          <w:sz w:val="20"/>
          <w:szCs w:val="20"/>
          <w:lang w:val="es-ES" w:eastAsia="es-ES"/>
        </w:rPr>
      </w:pPr>
      <w:r w:rsidRPr="00344805">
        <w:rPr>
          <w:rFonts w:ascii="Verdana" w:eastAsia="Times New Roman" w:hAnsi="Verdana" w:cs="Arial"/>
          <w:color w:val="000000" w:themeColor="text1"/>
          <w:sz w:val="20"/>
          <w:szCs w:val="20"/>
          <w:lang w:val="es-ES" w:eastAsia="es-ES"/>
        </w:rPr>
        <w:lastRenderedPageBreak/>
        <w:t xml:space="preserve">Por tanto, el amparo de cumplimiento es uno de los múltiples amparos que conforman la garantía única de cumplimiento. Al tenor de lo preceptuado en el artículo 2.2.1.2.3.1.7. </w:t>
      </w:r>
      <w:proofErr w:type="spellStart"/>
      <w:r w:rsidRPr="00344805">
        <w:rPr>
          <w:rFonts w:ascii="Verdana" w:eastAsia="Times New Roman" w:hAnsi="Verdana" w:cs="Arial"/>
          <w:i/>
          <w:iCs/>
          <w:color w:val="000000" w:themeColor="text1"/>
          <w:sz w:val="20"/>
          <w:szCs w:val="20"/>
          <w:lang w:val="es-ES" w:eastAsia="es-ES"/>
        </w:rPr>
        <w:t>ibídem</w:t>
      </w:r>
      <w:proofErr w:type="spellEnd"/>
      <w:r w:rsidRPr="00344805">
        <w:rPr>
          <w:rFonts w:ascii="Verdana" w:eastAsia="Times New Roman" w:hAnsi="Verdana" w:cs="Arial"/>
          <w:color w:val="000000" w:themeColor="text1"/>
          <w:sz w:val="20"/>
          <w:szCs w:val="20"/>
          <w:lang w:val="es-ES" w:eastAsia="es-ES"/>
        </w:rPr>
        <w:t xml:space="preserve"> la garantía de cumplimiento debe proteger a la entidad de los perjuicios que se puedan ocasionar con el incumplimiento, total o parcial del contrato, del cumplimiento tardío o defectuoso, de los daños por entregas parciales de la obra, cuando el contrato no prevé entregas parciales, y del valor de las multas y de la cláusula penal pecuniaria. De lo anterior se advierte que el amparo de cumplimiento tiene como objeto proteger a la entidad de los riesgos que puedan concretarse durante la etapa de ejecución del contrato y, más claramente, aquellos derivados de incumplimientos o conductas imputables al contratista. </w:t>
      </w:r>
    </w:p>
    <w:p w14:paraId="70D3DAC2" w14:textId="77777777" w:rsidR="004E3903" w:rsidRPr="00344805" w:rsidRDefault="004E3903" w:rsidP="004E3903">
      <w:pPr>
        <w:spacing w:after="0" w:line="240" w:lineRule="auto"/>
        <w:jc w:val="both"/>
        <w:rPr>
          <w:rFonts w:ascii="Verdana" w:hAnsi="Verdana" w:cs="Arial"/>
          <w:b/>
          <w:bCs/>
          <w:color w:val="000000" w:themeColor="text1"/>
          <w:sz w:val="20"/>
          <w:szCs w:val="20"/>
          <w:lang w:val="es-ES"/>
        </w:rPr>
      </w:pPr>
    </w:p>
    <w:p w14:paraId="0A7C4309" w14:textId="77777777" w:rsidR="004E3903" w:rsidRDefault="004E3903" w:rsidP="004E3903">
      <w:pPr>
        <w:jc w:val="both"/>
        <w:rPr>
          <w:rFonts w:ascii="Verdana" w:hAnsi="Verdana" w:cs="Arial"/>
          <w:b/>
          <w:bCs/>
          <w:color w:val="000000" w:themeColor="text1"/>
          <w:lang w:val="es-ES"/>
        </w:rPr>
      </w:pPr>
      <w:r w:rsidRPr="00EA62AD">
        <w:rPr>
          <w:rFonts w:ascii="Verdana" w:hAnsi="Verdana" w:cs="Arial"/>
          <w:b/>
          <w:bCs/>
          <w:color w:val="000000" w:themeColor="text1"/>
          <w:lang w:val="es-ES"/>
        </w:rPr>
        <w:t xml:space="preserve">GARANTÍA ÚNICA DE CUMPLIMIENTO – Vigencia – Obligación del contratista mantener vigente garantía de cumplimiento </w:t>
      </w:r>
    </w:p>
    <w:p w14:paraId="5C245BCD" w14:textId="77777777" w:rsidR="004E3903" w:rsidRDefault="004E3903" w:rsidP="004E3903">
      <w:pPr>
        <w:jc w:val="both"/>
        <w:rPr>
          <w:rFonts w:ascii="Verdana" w:eastAsia="Times New Roman" w:hAnsi="Verdana" w:cs="Arial"/>
          <w:bCs/>
          <w:i/>
          <w:iCs/>
          <w:color w:val="000000"/>
          <w:sz w:val="20"/>
          <w:szCs w:val="20"/>
          <w:lang w:val="es-ES_tradnl" w:eastAsia="es-ES_tradnl"/>
        </w:rPr>
      </w:pPr>
      <w:r w:rsidRPr="005E4CBD">
        <w:rPr>
          <w:rFonts w:ascii="Verdana" w:eastAsia="Times New Roman" w:hAnsi="Verdana" w:cs="Arial"/>
          <w:bCs/>
          <w:color w:val="000000"/>
          <w:sz w:val="20"/>
          <w:szCs w:val="20"/>
          <w:lang w:val="es-ES_tradnl" w:eastAsia="es-ES_tradnl"/>
        </w:rPr>
        <w:t xml:space="preserve">De otra parte, en relación con la vigencia de las garantías, el artículo 2.2.1.2.3.1.12. del citado Decreto señala expresamente que </w:t>
      </w:r>
      <w:r w:rsidRPr="005E4CBD">
        <w:rPr>
          <w:rFonts w:ascii="Verdana" w:eastAsia="Times New Roman" w:hAnsi="Verdana" w:cs="Arial"/>
          <w:bCs/>
          <w:i/>
          <w:iCs/>
          <w:color w:val="000000"/>
          <w:sz w:val="20"/>
          <w:szCs w:val="20"/>
          <w:lang w:val="es-ES_tradnl" w:eastAsia="es-ES_tradnl"/>
        </w:rPr>
        <w:t>“[l]a garantía de cumplimiento del contrato debe tener una vigencia mínima hasta la liquidación del contrato</w:t>
      </w:r>
      <w:r>
        <w:rPr>
          <w:rFonts w:ascii="Verdana" w:eastAsia="Times New Roman" w:hAnsi="Verdana" w:cs="Arial"/>
          <w:bCs/>
          <w:i/>
          <w:iCs/>
          <w:color w:val="000000"/>
          <w:sz w:val="20"/>
          <w:szCs w:val="20"/>
          <w:lang w:val="es-ES_tradnl" w:eastAsia="es-ES_tradnl"/>
        </w:rPr>
        <w:t>”.</w:t>
      </w:r>
    </w:p>
    <w:p w14:paraId="79E2B5C4" w14:textId="77777777" w:rsidR="004E3903" w:rsidRDefault="004E3903" w:rsidP="004E3903">
      <w:pPr>
        <w:jc w:val="both"/>
        <w:rPr>
          <w:rFonts w:ascii="Verdana" w:eastAsia="Times New Roman" w:hAnsi="Verdana" w:cs="Arial"/>
          <w:bCs/>
          <w:color w:val="000000"/>
          <w:sz w:val="20"/>
          <w:szCs w:val="20"/>
          <w:lang w:val="es-ES_tradnl" w:eastAsia="es-ES_tradnl"/>
        </w:rPr>
      </w:pPr>
      <w:r>
        <w:rPr>
          <w:rFonts w:ascii="Verdana" w:eastAsia="Times New Roman" w:hAnsi="Verdana" w:cs="Arial"/>
          <w:bCs/>
          <w:color w:val="000000"/>
          <w:sz w:val="20"/>
          <w:szCs w:val="20"/>
          <w:lang w:val="es-ES_tradnl" w:eastAsia="es-ES_tradnl"/>
        </w:rPr>
        <w:t xml:space="preserve">[…] </w:t>
      </w:r>
    </w:p>
    <w:p w14:paraId="0964086F" w14:textId="77777777" w:rsidR="004E3903" w:rsidRPr="005E4CBD" w:rsidRDefault="004E3903" w:rsidP="004E3903">
      <w:pPr>
        <w:spacing w:after="0" w:line="240" w:lineRule="auto"/>
        <w:jc w:val="both"/>
        <w:rPr>
          <w:rFonts w:ascii="Verdana" w:eastAsia="Times New Roman" w:hAnsi="Verdana" w:cs="Arial"/>
          <w:bCs/>
          <w:color w:val="000000"/>
          <w:sz w:val="20"/>
          <w:szCs w:val="20"/>
          <w:lang w:val="es-ES_tradnl" w:eastAsia="es-ES_tradnl"/>
        </w:rPr>
      </w:pPr>
      <w:r w:rsidRPr="005E4CBD">
        <w:rPr>
          <w:rFonts w:ascii="Verdana" w:eastAsia="Times New Roman" w:hAnsi="Verdana" w:cs="Arial"/>
          <w:bCs/>
          <w:color w:val="000000"/>
          <w:sz w:val="20"/>
          <w:szCs w:val="20"/>
          <w:lang w:val="es-ES_tradnl" w:eastAsia="es-ES_tradnl"/>
        </w:rPr>
        <w:t xml:space="preserve">[…] la vigencia de la garantía de cumplimiento, en cuanto al amparo de cumplimiento del contrato, la norma reglamentaria citada con anterioridad es clara y exige que la garantía permanezca vigente hasta la liquidación del contrato, esto es, más allá del plazo de ejecución y de vigencia del contrato estatal. Por tanto, en virtud de dicha disposición, el contratista debe cumplir con la obligación consistente en mantener la vigencia mínima del amparo de cumplimiento hasta la liquidación del contrato. </w:t>
      </w:r>
    </w:p>
    <w:p w14:paraId="5DA430E9" w14:textId="77777777" w:rsidR="004E3903" w:rsidRDefault="004E3903" w:rsidP="004E3903">
      <w:pPr>
        <w:spacing w:after="0" w:line="240" w:lineRule="auto"/>
        <w:rPr>
          <w:rFonts w:ascii="Verdana" w:hAnsi="Verdana"/>
        </w:rPr>
      </w:pPr>
    </w:p>
    <w:p w14:paraId="7EF54963" w14:textId="77777777" w:rsidR="004E3903" w:rsidRDefault="004E3903" w:rsidP="004E3903">
      <w:pPr>
        <w:spacing w:after="0" w:line="240" w:lineRule="auto"/>
        <w:rPr>
          <w:rFonts w:ascii="Verdana" w:hAnsi="Verdana"/>
        </w:rPr>
      </w:pPr>
    </w:p>
    <w:p w14:paraId="230D46A4" w14:textId="77777777" w:rsidR="004E3903" w:rsidRDefault="004E3903" w:rsidP="004E3903">
      <w:pPr>
        <w:spacing w:after="0" w:line="240" w:lineRule="auto"/>
        <w:rPr>
          <w:rFonts w:ascii="Verdana" w:hAnsi="Verdana"/>
        </w:rPr>
      </w:pPr>
    </w:p>
    <w:p w14:paraId="4F5BB5CD" w14:textId="77777777" w:rsidR="004E3903" w:rsidRDefault="004E3903" w:rsidP="004E3903">
      <w:pPr>
        <w:spacing w:after="0" w:line="240" w:lineRule="auto"/>
        <w:rPr>
          <w:rFonts w:ascii="Verdana" w:hAnsi="Verdana"/>
        </w:rPr>
      </w:pPr>
    </w:p>
    <w:p w14:paraId="0C5A6A78" w14:textId="77777777" w:rsidR="004E3903" w:rsidRDefault="004E3903" w:rsidP="004E3903">
      <w:pPr>
        <w:spacing w:after="0" w:line="240" w:lineRule="auto"/>
        <w:rPr>
          <w:rFonts w:ascii="Verdana" w:hAnsi="Verdana"/>
        </w:rPr>
      </w:pPr>
    </w:p>
    <w:p w14:paraId="03B32DC7" w14:textId="77777777" w:rsidR="004E3903" w:rsidRDefault="004E3903" w:rsidP="004E3903">
      <w:pPr>
        <w:spacing w:after="0" w:line="240" w:lineRule="auto"/>
        <w:rPr>
          <w:rFonts w:ascii="Verdana" w:hAnsi="Verdana"/>
        </w:rPr>
      </w:pPr>
    </w:p>
    <w:p w14:paraId="0BEFD6E8" w14:textId="77777777" w:rsidR="004E3903" w:rsidRDefault="004E3903" w:rsidP="004E3903">
      <w:pPr>
        <w:spacing w:after="0" w:line="240" w:lineRule="auto"/>
        <w:rPr>
          <w:rFonts w:ascii="Verdana" w:hAnsi="Verdana"/>
        </w:rPr>
      </w:pPr>
    </w:p>
    <w:p w14:paraId="0B142AD2" w14:textId="77777777" w:rsidR="004E3903" w:rsidRDefault="004E3903" w:rsidP="004E3903">
      <w:pPr>
        <w:spacing w:after="0" w:line="240" w:lineRule="auto"/>
        <w:rPr>
          <w:rFonts w:ascii="Verdana" w:hAnsi="Verdana"/>
        </w:rPr>
      </w:pPr>
    </w:p>
    <w:p w14:paraId="1FBB7808" w14:textId="77777777" w:rsidR="004E3903" w:rsidRDefault="004E3903" w:rsidP="004E3903">
      <w:pPr>
        <w:spacing w:after="0" w:line="240" w:lineRule="auto"/>
        <w:rPr>
          <w:rFonts w:ascii="Verdana" w:hAnsi="Verdana"/>
        </w:rPr>
      </w:pPr>
    </w:p>
    <w:p w14:paraId="75F89828" w14:textId="77777777" w:rsidR="004E3903" w:rsidRDefault="004E3903" w:rsidP="004E3903">
      <w:pPr>
        <w:spacing w:after="0" w:line="240" w:lineRule="auto"/>
        <w:rPr>
          <w:rFonts w:ascii="Verdana" w:hAnsi="Verdana"/>
        </w:rPr>
      </w:pPr>
    </w:p>
    <w:p w14:paraId="5CF21AC9" w14:textId="77777777" w:rsidR="004E3903" w:rsidRDefault="004E3903" w:rsidP="004E3903">
      <w:pPr>
        <w:spacing w:after="0" w:line="240" w:lineRule="auto"/>
        <w:rPr>
          <w:rFonts w:ascii="Verdana" w:hAnsi="Verdana"/>
        </w:rPr>
      </w:pPr>
    </w:p>
    <w:p w14:paraId="4EFA6C5B" w14:textId="77777777" w:rsidR="004E3903" w:rsidRDefault="004E3903" w:rsidP="004E3903">
      <w:pPr>
        <w:spacing w:after="0" w:line="240" w:lineRule="auto"/>
        <w:rPr>
          <w:rFonts w:ascii="Verdana" w:hAnsi="Verdana"/>
        </w:rPr>
      </w:pPr>
    </w:p>
    <w:p w14:paraId="781BC901" w14:textId="77777777" w:rsidR="004E3903" w:rsidRDefault="004E3903" w:rsidP="004E3903">
      <w:pPr>
        <w:spacing w:after="0" w:line="240" w:lineRule="auto"/>
        <w:rPr>
          <w:rFonts w:ascii="Verdana" w:hAnsi="Verdana"/>
        </w:rPr>
      </w:pPr>
    </w:p>
    <w:p w14:paraId="5CFB256C" w14:textId="77777777" w:rsidR="004E3903" w:rsidRDefault="004E3903" w:rsidP="004E3903">
      <w:pPr>
        <w:spacing w:after="0" w:line="240" w:lineRule="auto"/>
        <w:rPr>
          <w:rFonts w:ascii="Verdana" w:hAnsi="Verdana"/>
        </w:rPr>
      </w:pPr>
    </w:p>
    <w:p w14:paraId="29D77607" w14:textId="77777777" w:rsidR="004E3903" w:rsidRDefault="004E3903" w:rsidP="004E3903">
      <w:pPr>
        <w:spacing w:after="0" w:line="240" w:lineRule="auto"/>
        <w:rPr>
          <w:rFonts w:ascii="Verdana" w:hAnsi="Verdana"/>
        </w:rPr>
      </w:pPr>
    </w:p>
    <w:p w14:paraId="49D7C38F" w14:textId="77777777" w:rsidR="004E3903" w:rsidRDefault="004E3903" w:rsidP="004E3903">
      <w:pPr>
        <w:spacing w:after="0" w:line="240" w:lineRule="auto"/>
        <w:rPr>
          <w:rFonts w:ascii="Verdana" w:hAnsi="Verdana"/>
        </w:rPr>
      </w:pPr>
    </w:p>
    <w:p w14:paraId="757616B1" w14:textId="77777777" w:rsidR="004E3903" w:rsidRDefault="004E3903" w:rsidP="004E3903">
      <w:pPr>
        <w:spacing w:after="0" w:line="240" w:lineRule="auto"/>
        <w:rPr>
          <w:rFonts w:ascii="Verdana" w:hAnsi="Verdana"/>
        </w:rPr>
      </w:pPr>
    </w:p>
    <w:p w14:paraId="4E518B05" w14:textId="77777777" w:rsidR="004E3903" w:rsidRDefault="004E3903" w:rsidP="004E3903">
      <w:pPr>
        <w:spacing w:after="0" w:line="240" w:lineRule="auto"/>
        <w:rPr>
          <w:rFonts w:ascii="Verdana" w:hAnsi="Verdana"/>
        </w:rPr>
      </w:pPr>
    </w:p>
    <w:p w14:paraId="2069C1F6" w14:textId="77777777" w:rsidR="0047203D" w:rsidRDefault="0047203D" w:rsidP="004E3903">
      <w:pPr>
        <w:spacing w:after="0" w:line="240" w:lineRule="auto"/>
        <w:rPr>
          <w:rFonts w:ascii="Verdana" w:hAnsi="Verdana"/>
        </w:rPr>
      </w:pPr>
    </w:p>
    <w:p w14:paraId="294F2F6F" w14:textId="3C9AF9B1" w:rsidR="004E3903" w:rsidRDefault="004E3903" w:rsidP="004E3903">
      <w:pPr>
        <w:spacing w:after="0" w:line="240" w:lineRule="auto"/>
        <w:rPr>
          <w:rFonts w:ascii="Verdana" w:hAnsi="Verdana"/>
        </w:rPr>
      </w:pPr>
      <w:r w:rsidRPr="005C5519">
        <w:rPr>
          <w:rFonts w:ascii="Verdana" w:hAnsi="Verdana"/>
        </w:rPr>
        <w:t xml:space="preserve">Bogotá D.C., </w:t>
      </w:r>
      <w:r w:rsidR="00D807D5">
        <w:rPr>
          <w:rFonts w:ascii="Verdana" w:hAnsi="Verdana"/>
        </w:rPr>
        <w:t>5 agosto 2026</w:t>
      </w:r>
    </w:p>
    <w:p w14:paraId="5DDB8F63" w14:textId="77777777" w:rsidR="004E3903" w:rsidRPr="005C5519" w:rsidRDefault="004E3903" w:rsidP="004E3903">
      <w:pPr>
        <w:spacing w:after="0" w:line="240" w:lineRule="auto"/>
        <w:rPr>
          <w:rFonts w:ascii="Verdana" w:hAnsi="Verdana"/>
        </w:rPr>
      </w:pPr>
    </w:p>
    <w:p w14:paraId="4B18AF8B" w14:textId="77777777" w:rsidR="004E3903" w:rsidRPr="005C5519" w:rsidRDefault="004E3903" w:rsidP="004E3903">
      <w:pPr>
        <w:spacing w:after="0" w:line="240" w:lineRule="auto"/>
        <w:jc w:val="right"/>
        <w:rPr>
          <w:rFonts w:ascii="Verdana" w:eastAsia="Times New Roman" w:hAnsi="Verdana" w:cs="Arial"/>
          <w:lang w:eastAsia="es-ES_tradnl"/>
        </w:rPr>
      </w:pPr>
    </w:p>
    <w:p w14:paraId="5EBA9621" w14:textId="77777777" w:rsidR="0047203D" w:rsidRDefault="0047203D" w:rsidP="004E3903">
      <w:pPr>
        <w:spacing w:after="0" w:line="240" w:lineRule="auto"/>
        <w:jc w:val="both"/>
        <w:rPr>
          <w:rFonts w:ascii="Verdana" w:eastAsia="Calibri" w:hAnsi="Verdana" w:cs="Arial"/>
          <w:lang w:eastAsia="es-ES_tradnl"/>
        </w:rPr>
      </w:pPr>
    </w:p>
    <w:p w14:paraId="0D133487" w14:textId="1442B8DC" w:rsidR="004E3903" w:rsidRPr="005C5519" w:rsidRDefault="00914E97" w:rsidP="004E3903">
      <w:pPr>
        <w:spacing w:after="0" w:line="240" w:lineRule="auto"/>
        <w:jc w:val="both"/>
        <w:rPr>
          <w:rFonts w:ascii="Verdana" w:eastAsia="Calibri" w:hAnsi="Verdana" w:cs="Arial"/>
          <w:lang w:eastAsia="es-ES_tradnl"/>
        </w:rPr>
      </w:pPr>
      <w:r w:rsidRPr="00914E97">
        <w:rPr>
          <w:rFonts w:ascii="Verdana" w:eastAsia="Calibri" w:hAnsi="Verdana" w:cs="Arial"/>
          <w:b/>
          <w:bCs/>
          <w:noProof/>
          <w:lang w:eastAsia="es-ES_tradnl"/>
        </w:rPr>
        <w:drawing>
          <wp:anchor distT="0" distB="0" distL="114300" distR="114300" simplePos="0" relativeHeight="251658240" behindDoc="1" locked="0" layoutInCell="1" allowOverlap="1" wp14:anchorId="342E1D69" wp14:editId="2EE36705">
            <wp:simplePos x="0" y="0"/>
            <wp:positionH relativeFrom="margin">
              <wp:posOffset>3488787</wp:posOffset>
            </wp:positionH>
            <wp:positionV relativeFrom="paragraph">
              <wp:posOffset>6595</wp:posOffset>
            </wp:positionV>
            <wp:extent cx="2053590" cy="569595"/>
            <wp:effectExtent l="0" t="0" r="3810" b="1905"/>
            <wp:wrapTight wrapText="bothSides">
              <wp:wrapPolygon edited="0">
                <wp:start x="0" y="0"/>
                <wp:lineTo x="0" y="20950"/>
                <wp:lineTo x="21440" y="20950"/>
                <wp:lineTo x="21440" y="0"/>
                <wp:lineTo x="0" y="0"/>
              </wp:wrapPolygon>
            </wp:wrapTight>
            <wp:docPr id="142050209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3590" cy="5695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E3903" w:rsidRPr="005C5519">
        <w:rPr>
          <w:rFonts w:ascii="Verdana" w:eastAsia="Calibri" w:hAnsi="Verdana" w:cs="Arial"/>
          <w:lang w:eastAsia="es-ES_tradnl"/>
        </w:rPr>
        <w:t>Señora</w:t>
      </w:r>
    </w:p>
    <w:p w14:paraId="34D2C808" w14:textId="61E6DC6C" w:rsidR="004E3903" w:rsidRPr="00620814" w:rsidRDefault="004E3903" w:rsidP="004E3903">
      <w:pPr>
        <w:spacing w:after="0" w:line="240" w:lineRule="auto"/>
        <w:rPr>
          <w:rFonts w:ascii="Verdana" w:eastAsia="Calibri" w:hAnsi="Verdana" w:cs="Arial"/>
          <w:b/>
          <w:bCs/>
          <w:lang w:eastAsia="es-ES_tradnl"/>
        </w:rPr>
      </w:pPr>
      <w:proofErr w:type="spellStart"/>
      <w:r>
        <w:rPr>
          <w:rFonts w:ascii="Verdana" w:eastAsia="Calibri" w:hAnsi="Verdana" w:cs="Arial"/>
          <w:b/>
          <w:bCs/>
          <w:lang w:eastAsia="es-ES_tradnl"/>
        </w:rPr>
        <w:t>Jeniffer</w:t>
      </w:r>
      <w:proofErr w:type="spellEnd"/>
      <w:r>
        <w:rPr>
          <w:rFonts w:ascii="Verdana" w:eastAsia="Calibri" w:hAnsi="Verdana" w:cs="Arial"/>
          <w:b/>
          <w:bCs/>
          <w:lang w:eastAsia="es-ES_tradnl"/>
        </w:rPr>
        <w:t xml:space="preserve"> Vanessa Briñez Remisio</w:t>
      </w:r>
      <w:r w:rsidR="00914E97" w:rsidRPr="00914E97">
        <w:rPr>
          <w:rFonts w:ascii="Verdana" w:eastAsia="Calibri" w:hAnsi="Verdana" w:cs="Arial"/>
          <w:b/>
          <w:bCs/>
          <w:lang w:eastAsia="es-ES_tradnl"/>
        </w:rPr>
        <w:t xml:space="preserve"> </w:t>
      </w:r>
    </w:p>
    <w:p w14:paraId="15509C19" w14:textId="0F73AA6F" w:rsidR="004E3903" w:rsidRPr="00620814" w:rsidRDefault="004E3903" w:rsidP="004E3903">
      <w:pPr>
        <w:spacing w:after="0" w:line="240" w:lineRule="auto"/>
        <w:rPr>
          <w:rFonts w:ascii="Verdana" w:hAnsi="Verdana"/>
        </w:rPr>
      </w:pPr>
      <w:hyperlink r:id="rId8" w:history="1">
        <w:r>
          <w:rPr>
            <w:rStyle w:val="Hipervnculo"/>
            <w:rFonts w:ascii="Verdana" w:hAnsi="Verdana"/>
          </w:rPr>
          <w:t>jbrinez@bomberosbogota.gov.co</w:t>
        </w:r>
      </w:hyperlink>
    </w:p>
    <w:p w14:paraId="50811F9B" w14:textId="6EA99A42" w:rsidR="004E3903" w:rsidRPr="005C5519" w:rsidRDefault="004E3903" w:rsidP="004E3903">
      <w:pPr>
        <w:spacing w:after="0" w:line="240" w:lineRule="auto"/>
        <w:rPr>
          <w:rFonts w:ascii="Verdana" w:eastAsia="Calibri" w:hAnsi="Verdana" w:cs="Arial"/>
          <w:lang w:eastAsia="es-ES_tradnl"/>
        </w:rPr>
      </w:pPr>
      <w:r>
        <w:rPr>
          <w:rFonts w:ascii="Verdana" w:eastAsia="Calibri" w:hAnsi="Verdana" w:cs="Arial"/>
          <w:lang w:eastAsia="es-ES_tradnl"/>
        </w:rPr>
        <w:t>Bogotá, DC.</w:t>
      </w:r>
    </w:p>
    <w:p w14:paraId="04A663D0" w14:textId="77777777" w:rsidR="004E3903" w:rsidRDefault="004E3903" w:rsidP="004E3903">
      <w:pPr>
        <w:spacing w:after="0" w:line="240" w:lineRule="auto"/>
        <w:rPr>
          <w:rFonts w:ascii="Verdana" w:eastAsia="Calibri" w:hAnsi="Verdana" w:cs="Arial"/>
          <w:lang w:eastAsia="es-ES_tradnl"/>
        </w:rPr>
      </w:pPr>
    </w:p>
    <w:p w14:paraId="7E4FE89E" w14:textId="77777777" w:rsidR="004E3903" w:rsidRDefault="004E3903" w:rsidP="004E3903">
      <w:pPr>
        <w:spacing w:after="0" w:line="240" w:lineRule="auto"/>
        <w:rPr>
          <w:rFonts w:ascii="Verdana" w:eastAsia="Calibri" w:hAnsi="Verdana" w:cs="Arial"/>
          <w:lang w:eastAsia="es-ES_tradnl"/>
        </w:rPr>
      </w:pPr>
    </w:p>
    <w:p w14:paraId="21256EA1" w14:textId="77777777" w:rsidR="0047203D" w:rsidRDefault="0047203D" w:rsidP="004E3903">
      <w:pPr>
        <w:spacing w:after="0" w:line="240" w:lineRule="auto"/>
        <w:rPr>
          <w:rFonts w:ascii="Verdana" w:eastAsia="Calibri" w:hAnsi="Verdana" w:cs="Arial"/>
          <w:lang w:eastAsia="es-ES_tradnl"/>
        </w:rPr>
      </w:pPr>
    </w:p>
    <w:p w14:paraId="2A49F139" w14:textId="77777777" w:rsidR="0047203D" w:rsidRPr="005C5519" w:rsidRDefault="0047203D" w:rsidP="004E3903">
      <w:pPr>
        <w:spacing w:after="0" w:line="240" w:lineRule="auto"/>
        <w:rPr>
          <w:rFonts w:ascii="Verdana" w:eastAsia="Calibri" w:hAnsi="Verdana" w:cs="Arial"/>
          <w:lang w:eastAsia="es-ES_tradnl"/>
        </w:rPr>
      </w:pPr>
    </w:p>
    <w:p w14:paraId="5A9BEF3B" w14:textId="77777777" w:rsidR="004E3903" w:rsidRDefault="004E3903" w:rsidP="004E3903">
      <w:pPr>
        <w:spacing w:after="0" w:line="240" w:lineRule="auto"/>
        <w:ind w:left="2694"/>
        <w:rPr>
          <w:rFonts w:ascii="Verdana" w:eastAsia="Calibri" w:hAnsi="Verdana" w:cs="Arial"/>
          <w:b/>
          <w:bCs/>
          <w:lang w:eastAsia="es-ES_tradnl"/>
        </w:rPr>
      </w:pPr>
    </w:p>
    <w:p w14:paraId="2B3591C3" w14:textId="77777777" w:rsidR="004E3903" w:rsidRDefault="004E3903" w:rsidP="004E3903">
      <w:pPr>
        <w:spacing w:after="0" w:line="240" w:lineRule="auto"/>
        <w:ind w:left="2694"/>
        <w:rPr>
          <w:rFonts w:ascii="Verdana" w:eastAsia="Calibri" w:hAnsi="Verdana" w:cs="Arial"/>
          <w:b/>
          <w:bCs/>
          <w:lang w:eastAsia="es-ES_tradnl"/>
        </w:rPr>
      </w:pPr>
      <w:r w:rsidRPr="005C5519">
        <w:rPr>
          <w:rFonts w:ascii="Verdana" w:eastAsia="Calibri" w:hAnsi="Verdana" w:cs="Arial"/>
          <w:b/>
          <w:bCs/>
          <w:lang w:eastAsia="es-ES_tradnl"/>
        </w:rPr>
        <w:t>Concepto C-</w:t>
      </w:r>
      <w:r>
        <w:rPr>
          <w:rFonts w:ascii="Verdana" w:eastAsia="Calibri" w:hAnsi="Verdana" w:cs="Arial"/>
          <w:b/>
          <w:bCs/>
          <w:lang w:eastAsia="es-ES_tradnl"/>
        </w:rPr>
        <w:t>1079</w:t>
      </w:r>
      <w:r w:rsidRPr="005C5519">
        <w:rPr>
          <w:rFonts w:ascii="Verdana" w:eastAsia="Calibri" w:hAnsi="Verdana" w:cs="Arial"/>
          <w:b/>
          <w:bCs/>
          <w:lang w:eastAsia="es-ES_tradnl"/>
        </w:rPr>
        <w:t xml:space="preserve"> de 202</w:t>
      </w:r>
      <w:r>
        <w:rPr>
          <w:rFonts w:ascii="Verdana" w:eastAsia="Calibri" w:hAnsi="Verdana" w:cs="Arial"/>
          <w:b/>
          <w:bCs/>
          <w:lang w:eastAsia="es-ES_tradnl"/>
        </w:rPr>
        <w:t>6</w:t>
      </w:r>
    </w:p>
    <w:p w14:paraId="350E63D2" w14:textId="77777777" w:rsidR="0047203D" w:rsidRDefault="0047203D" w:rsidP="004E3903">
      <w:pPr>
        <w:spacing w:after="0" w:line="240" w:lineRule="auto"/>
        <w:ind w:left="2694"/>
        <w:rPr>
          <w:rFonts w:ascii="Verdana" w:eastAsia="Calibri" w:hAnsi="Verdana" w:cs="Arial"/>
          <w:b/>
          <w:bCs/>
          <w:lang w:eastAsia="es-ES_tradnl"/>
        </w:rPr>
      </w:pPr>
    </w:p>
    <w:p w14:paraId="5D3D8A27" w14:textId="77777777" w:rsidR="004E3903" w:rsidRPr="005C5519" w:rsidRDefault="004E3903" w:rsidP="004E3903">
      <w:pPr>
        <w:spacing w:after="0" w:line="240" w:lineRule="auto"/>
        <w:jc w:val="both"/>
        <w:rPr>
          <w:rFonts w:ascii="Verdana" w:eastAsia="Calibri" w:hAnsi="Verdana" w:cs="Arial"/>
          <w:lang w:eastAsia="es-ES_tradnl"/>
        </w:rPr>
      </w:pPr>
    </w:p>
    <w:tbl>
      <w:tblPr>
        <w:tblStyle w:val="Tablaconcuadrcula"/>
        <w:tblW w:w="8926"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237"/>
      </w:tblGrid>
      <w:tr w:rsidR="004E3903" w:rsidRPr="005C5519" w14:paraId="6A7AEEE2" w14:textId="77777777" w:rsidTr="00FD0DA0">
        <w:trPr>
          <w:jc w:val="right"/>
        </w:trPr>
        <w:tc>
          <w:tcPr>
            <w:tcW w:w="2689" w:type="dxa"/>
          </w:tcPr>
          <w:p w14:paraId="1CE9E578" w14:textId="77777777" w:rsidR="004E3903" w:rsidRPr="005C5519" w:rsidRDefault="004E3903" w:rsidP="00FD0DA0">
            <w:pPr>
              <w:rPr>
                <w:rFonts w:ascii="Verdana" w:eastAsia="Calibri" w:hAnsi="Verdana" w:cs="Arial"/>
                <w:lang w:eastAsia="es-ES_tradnl"/>
              </w:rPr>
            </w:pPr>
            <w:r w:rsidRPr="005C5519">
              <w:rPr>
                <w:rFonts w:ascii="Verdana" w:eastAsia="Calibri" w:hAnsi="Verdana" w:cs="Arial"/>
                <w:b/>
                <w:lang w:eastAsia="es-ES_tradnl"/>
              </w:rPr>
              <w:t>Temas:</w:t>
            </w:r>
          </w:p>
        </w:tc>
        <w:tc>
          <w:tcPr>
            <w:tcW w:w="6237" w:type="dxa"/>
          </w:tcPr>
          <w:p w14:paraId="5414E444" w14:textId="77777777" w:rsidR="004E3903" w:rsidRPr="005C5519" w:rsidRDefault="004E3903" w:rsidP="00FD0DA0">
            <w:pPr>
              <w:jc w:val="both"/>
              <w:textAlignment w:val="baseline"/>
              <w:rPr>
                <w:rFonts w:ascii="Verdana" w:eastAsia="Times New Roman" w:hAnsi="Verdana" w:cs="Arial"/>
                <w:lang w:eastAsia="es-ES"/>
              </w:rPr>
            </w:pPr>
            <w:r w:rsidRPr="2993F789">
              <w:rPr>
                <w:rFonts w:ascii="Verdana" w:eastAsia="Times New Roman" w:hAnsi="Verdana" w:cs="Arial"/>
                <w:lang w:eastAsia="es-ES"/>
              </w:rPr>
              <w:t>LIQUIDACIÓN DEL CONTRATO – Definición – Objetivo /</w:t>
            </w:r>
            <w:r w:rsidRPr="2993F789">
              <w:rPr>
                <w:rFonts w:ascii="Verdana" w:hAnsi="Verdana"/>
              </w:rPr>
              <w:t xml:space="preserve"> </w:t>
            </w:r>
            <w:r w:rsidRPr="2993F789">
              <w:rPr>
                <w:rFonts w:ascii="Verdana" w:eastAsia="Times New Roman" w:hAnsi="Verdana" w:cs="Arial"/>
                <w:lang w:eastAsia="es-ES"/>
              </w:rPr>
              <w:t xml:space="preserve">LIQUIDACIÓN DEL CONTRATO – Normativa / LIQUIDACIÓN DEL CONTRATO – Tipos – Bilateral – Unilateral – Judicial / </w:t>
            </w:r>
            <w:r w:rsidRPr="00596806">
              <w:rPr>
                <w:rFonts w:ascii="Verdana" w:eastAsia="Times New Roman" w:hAnsi="Verdana" w:cs="Arial"/>
                <w:lang w:eastAsia="es-ES"/>
              </w:rPr>
              <w:t xml:space="preserve">GARANTÍA DE ÚNICA DE CUMPLIMIENTO – Definición – Fundamento normativo </w:t>
            </w:r>
            <w:r>
              <w:rPr>
                <w:rFonts w:ascii="Verdana" w:eastAsia="Times New Roman" w:hAnsi="Verdana" w:cs="Arial"/>
                <w:lang w:eastAsia="es-ES"/>
              </w:rPr>
              <w:t xml:space="preserve">/ </w:t>
            </w:r>
            <w:r w:rsidRPr="00596806">
              <w:rPr>
                <w:rFonts w:ascii="Verdana" w:eastAsia="Times New Roman" w:hAnsi="Verdana" w:cs="Arial"/>
                <w:lang w:eastAsia="es-ES"/>
              </w:rPr>
              <w:t>GARANTÍA ÚNICA DE CUMPLIMIENTO – Vigencia – Obligación del contratista mantener vigente garantía de cumplimiento</w:t>
            </w:r>
          </w:p>
          <w:p w14:paraId="3366C0E7" w14:textId="77777777" w:rsidR="004E3903" w:rsidRDefault="004E3903" w:rsidP="00FD0DA0">
            <w:pPr>
              <w:jc w:val="both"/>
              <w:textAlignment w:val="baseline"/>
              <w:rPr>
                <w:rFonts w:ascii="Verdana" w:eastAsia="Times New Roman" w:hAnsi="Verdana" w:cs="Arial"/>
                <w:lang w:eastAsia="es-ES_tradnl"/>
              </w:rPr>
            </w:pPr>
          </w:p>
          <w:p w14:paraId="4085DCF8" w14:textId="77777777" w:rsidR="0047203D" w:rsidRPr="005C5519" w:rsidRDefault="0047203D" w:rsidP="00FD0DA0">
            <w:pPr>
              <w:jc w:val="both"/>
              <w:textAlignment w:val="baseline"/>
              <w:rPr>
                <w:rFonts w:ascii="Verdana" w:eastAsia="Times New Roman" w:hAnsi="Verdana" w:cs="Arial"/>
                <w:lang w:eastAsia="es-ES_tradnl"/>
              </w:rPr>
            </w:pPr>
          </w:p>
        </w:tc>
      </w:tr>
      <w:tr w:rsidR="004E3903" w:rsidRPr="005C5519" w14:paraId="3DD7406E" w14:textId="77777777" w:rsidTr="00FD0DA0">
        <w:trPr>
          <w:trHeight w:val="444"/>
          <w:jc w:val="right"/>
        </w:trPr>
        <w:tc>
          <w:tcPr>
            <w:tcW w:w="2689" w:type="dxa"/>
          </w:tcPr>
          <w:p w14:paraId="092B374F" w14:textId="77777777" w:rsidR="004E3903" w:rsidRPr="005C5519" w:rsidRDefault="004E3903" w:rsidP="00FD0DA0">
            <w:pPr>
              <w:rPr>
                <w:rFonts w:ascii="Verdana" w:eastAsia="Calibri" w:hAnsi="Verdana" w:cs="Arial"/>
                <w:b/>
                <w:lang w:eastAsia="es-ES_tradnl"/>
              </w:rPr>
            </w:pPr>
            <w:r w:rsidRPr="005C5519">
              <w:rPr>
                <w:rFonts w:ascii="Verdana" w:eastAsia="Calibri" w:hAnsi="Verdana" w:cs="Arial"/>
                <w:b/>
                <w:lang w:eastAsia="es-ES_tradnl"/>
              </w:rPr>
              <w:t>Radicación:</w:t>
            </w:r>
          </w:p>
        </w:tc>
        <w:tc>
          <w:tcPr>
            <w:tcW w:w="6237" w:type="dxa"/>
          </w:tcPr>
          <w:p w14:paraId="59F5980E" w14:textId="77777777" w:rsidR="004E3903" w:rsidRPr="005C5519" w:rsidRDefault="004E3903" w:rsidP="00FD0DA0">
            <w:pPr>
              <w:jc w:val="both"/>
              <w:rPr>
                <w:rFonts w:ascii="Verdana" w:eastAsia="Calibri" w:hAnsi="Verdana" w:cs="Arial"/>
                <w:lang w:eastAsia="es-ES_tradnl"/>
              </w:rPr>
            </w:pPr>
            <w:r w:rsidRPr="005C5519">
              <w:rPr>
                <w:rFonts w:ascii="Verdana" w:eastAsia="Calibri" w:hAnsi="Verdana" w:cs="Arial"/>
                <w:lang w:eastAsia="es-ES_tradnl"/>
              </w:rPr>
              <w:t xml:space="preserve">Respuesta a consulta radicado No. </w:t>
            </w:r>
            <w:r w:rsidRPr="00A1614C">
              <w:rPr>
                <w:rFonts w:ascii="Verdana" w:eastAsia="Calibri" w:hAnsi="Verdana" w:cs="Arial"/>
                <w:lang w:eastAsia="es-ES_tradnl"/>
              </w:rPr>
              <w:t>1_2026_07_06_008960</w:t>
            </w:r>
          </w:p>
        </w:tc>
      </w:tr>
    </w:tbl>
    <w:p w14:paraId="05CF92A8" w14:textId="77777777" w:rsidR="004E3903" w:rsidRDefault="004E3903" w:rsidP="004E3903">
      <w:pPr>
        <w:spacing w:after="0" w:line="276" w:lineRule="auto"/>
        <w:jc w:val="both"/>
        <w:rPr>
          <w:rFonts w:ascii="Verdana" w:eastAsia="Calibri" w:hAnsi="Verdana" w:cs="Arial"/>
          <w:lang w:eastAsia="es-ES_tradnl"/>
        </w:rPr>
      </w:pPr>
    </w:p>
    <w:p w14:paraId="7BDE3D68" w14:textId="77777777" w:rsidR="0047203D" w:rsidRDefault="0047203D" w:rsidP="004E3903">
      <w:pPr>
        <w:spacing w:after="0" w:line="276" w:lineRule="auto"/>
        <w:jc w:val="both"/>
        <w:rPr>
          <w:rFonts w:ascii="Verdana" w:eastAsia="Calibri" w:hAnsi="Verdana" w:cs="Arial"/>
          <w:lang w:eastAsia="es-ES_tradnl"/>
        </w:rPr>
      </w:pPr>
    </w:p>
    <w:p w14:paraId="0AF19305" w14:textId="77777777" w:rsidR="0047203D" w:rsidRPr="00BE151B" w:rsidRDefault="0047203D" w:rsidP="004E3903">
      <w:pPr>
        <w:spacing w:after="0" w:line="276" w:lineRule="auto"/>
        <w:jc w:val="both"/>
        <w:rPr>
          <w:rFonts w:ascii="Verdana" w:eastAsia="Calibri" w:hAnsi="Verdana" w:cs="Arial"/>
          <w:lang w:eastAsia="es-ES_tradnl"/>
        </w:rPr>
      </w:pPr>
    </w:p>
    <w:p w14:paraId="29B52817" w14:textId="77777777" w:rsidR="004E3903" w:rsidRDefault="004E3903" w:rsidP="004E3903">
      <w:pPr>
        <w:spacing w:after="0" w:line="276" w:lineRule="auto"/>
        <w:jc w:val="both"/>
        <w:rPr>
          <w:rFonts w:ascii="Verdana" w:eastAsia="Calibri" w:hAnsi="Verdana" w:cs="Arial"/>
          <w:bCs/>
          <w:lang w:eastAsia="es-ES_tradnl"/>
        </w:rPr>
      </w:pPr>
      <w:r w:rsidRPr="00BE151B">
        <w:rPr>
          <w:rFonts w:ascii="Verdana" w:eastAsia="Calibri" w:hAnsi="Verdana" w:cs="Arial"/>
          <w:lang w:eastAsia="es-ES_tradnl"/>
        </w:rPr>
        <w:t>Estimad</w:t>
      </w:r>
      <w:r>
        <w:rPr>
          <w:rFonts w:ascii="Verdana" w:eastAsia="Calibri" w:hAnsi="Verdana" w:cs="Arial"/>
          <w:lang w:eastAsia="es-ES_tradnl"/>
        </w:rPr>
        <w:t xml:space="preserve">a señora </w:t>
      </w:r>
      <w:proofErr w:type="spellStart"/>
      <w:r>
        <w:rPr>
          <w:rFonts w:ascii="Verdana" w:eastAsia="Calibri" w:hAnsi="Verdana" w:cs="Arial"/>
          <w:lang w:eastAsia="es-ES_tradnl"/>
        </w:rPr>
        <w:t>Jeniffer</w:t>
      </w:r>
      <w:proofErr w:type="spellEnd"/>
      <w:r>
        <w:rPr>
          <w:rFonts w:ascii="Verdana" w:eastAsia="Calibri" w:hAnsi="Verdana" w:cs="Arial"/>
          <w:bCs/>
          <w:lang w:eastAsia="es-ES_tradnl"/>
        </w:rPr>
        <w:t>,</w:t>
      </w:r>
    </w:p>
    <w:p w14:paraId="25CFC091" w14:textId="77777777" w:rsidR="004E3903" w:rsidRPr="00BE151B" w:rsidRDefault="004E3903" w:rsidP="004E3903">
      <w:pPr>
        <w:spacing w:after="0" w:line="276" w:lineRule="auto"/>
        <w:jc w:val="both"/>
        <w:rPr>
          <w:rFonts w:ascii="Verdana" w:eastAsia="Calibri" w:hAnsi="Verdana" w:cs="Arial"/>
          <w:bCs/>
          <w:lang w:eastAsia="es-ES_tradnl"/>
        </w:rPr>
      </w:pPr>
    </w:p>
    <w:p w14:paraId="2E1B35B8" w14:textId="77777777" w:rsidR="004E3903" w:rsidRDefault="004E3903" w:rsidP="004E3903">
      <w:pPr>
        <w:spacing w:after="0" w:line="276" w:lineRule="auto"/>
        <w:jc w:val="both"/>
        <w:rPr>
          <w:rFonts w:ascii="Verdana" w:eastAsia="Calibri" w:hAnsi="Verdana" w:cs="Arial"/>
          <w:lang w:eastAsia="es-ES_tradnl"/>
        </w:rPr>
      </w:pPr>
      <w:r w:rsidRPr="00BE151B">
        <w:rPr>
          <w:rFonts w:ascii="Verdana" w:eastAsia="Calibri" w:hAnsi="Verdana" w:cs="Arial"/>
          <w:lang w:eastAsia="es-ES_tradnl"/>
        </w:rPr>
        <w:t xml:space="preserve">En ejercicio de la competencia otorgada por los artículos 3, numeral 5º, y 11, numeral 8º, del Decreto Ley 4170 de 2011, así como lo establecido en el artículo 4 de la Resolución </w:t>
      </w:r>
      <w:r>
        <w:rPr>
          <w:rFonts w:ascii="Verdana" w:eastAsia="Calibri" w:hAnsi="Verdana" w:cs="Arial"/>
          <w:lang w:eastAsia="es-ES_tradnl"/>
        </w:rPr>
        <w:t>469</w:t>
      </w:r>
      <w:r w:rsidRPr="00BE151B">
        <w:rPr>
          <w:rFonts w:ascii="Verdana" w:eastAsia="Calibri" w:hAnsi="Verdana" w:cs="Arial"/>
          <w:lang w:eastAsia="es-ES_tradnl"/>
        </w:rPr>
        <w:t xml:space="preserve"> de 20</w:t>
      </w:r>
      <w:r>
        <w:rPr>
          <w:rFonts w:ascii="Verdana" w:eastAsia="Calibri" w:hAnsi="Verdana" w:cs="Arial"/>
          <w:lang w:eastAsia="es-ES_tradnl"/>
        </w:rPr>
        <w:t>25</w:t>
      </w:r>
      <w:r w:rsidRPr="00BE151B">
        <w:rPr>
          <w:rFonts w:ascii="Verdana" w:eastAsia="Calibri" w:hAnsi="Verdana" w:cs="Arial"/>
          <w:lang w:eastAsia="es-ES_tradnl"/>
        </w:rPr>
        <w:t xml:space="preserve"> expedida por esta Entidad, la Agencia Nacional de Contratación Pública – Colombia Compra Eficiente– responde su solicitud de consulta de fecha </w:t>
      </w:r>
      <w:r>
        <w:rPr>
          <w:rFonts w:ascii="Verdana" w:eastAsia="Calibri" w:hAnsi="Verdana" w:cs="Arial"/>
          <w:lang w:eastAsia="es-ES_tradnl"/>
        </w:rPr>
        <w:t>6 de julio de 2026</w:t>
      </w:r>
      <w:r w:rsidRPr="00BE151B">
        <w:rPr>
          <w:rFonts w:ascii="Verdana" w:eastAsia="Calibri" w:hAnsi="Verdana" w:cs="Arial"/>
          <w:lang w:eastAsia="es-ES_tradnl"/>
        </w:rPr>
        <w:t xml:space="preserve">, en la cual </w:t>
      </w:r>
      <w:r>
        <w:rPr>
          <w:rFonts w:ascii="Verdana" w:eastAsia="Calibri" w:hAnsi="Verdana" w:cs="Arial"/>
          <w:lang w:eastAsia="es-ES_tradnl"/>
        </w:rPr>
        <w:t>consulta</w:t>
      </w:r>
      <w:r w:rsidRPr="00BE151B">
        <w:rPr>
          <w:rFonts w:ascii="Verdana" w:eastAsia="Calibri" w:hAnsi="Verdana" w:cs="Arial"/>
          <w:lang w:eastAsia="es-ES_tradnl"/>
        </w:rPr>
        <w:t xml:space="preserve"> lo siguiente: </w:t>
      </w:r>
    </w:p>
    <w:p w14:paraId="64E8B2C7" w14:textId="77777777" w:rsidR="004E3903" w:rsidRPr="00BE151B" w:rsidRDefault="004E3903" w:rsidP="004E3903">
      <w:pPr>
        <w:spacing w:after="0" w:line="276" w:lineRule="auto"/>
        <w:jc w:val="both"/>
        <w:rPr>
          <w:rFonts w:ascii="Verdana" w:eastAsia="Calibri" w:hAnsi="Verdana" w:cs="Arial"/>
          <w:lang w:eastAsia="es-ES_tradnl"/>
        </w:rPr>
      </w:pPr>
    </w:p>
    <w:p w14:paraId="4E1F5B74" w14:textId="77777777" w:rsidR="004E3903" w:rsidRPr="00305A4B" w:rsidRDefault="004E3903" w:rsidP="004E3903">
      <w:pPr>
        <w:spacing w:after="0" w:line="240" w:lineRule="auto"/>
        <w:ind w:left="720" w:right="709"/>
        <w:jc w:val="both"/>
        <w:rPr>
          <w:rFonts w:ascii="Verdana" w:eastAsia="Times New Roman" w:hAnsi="Verdana" w:cs="Arial"/>
          <w:sz w:val="20"/>
          <w:szCs w:val="20"/>
          <w:lang w:eastAsia="es-ES_tradnl"/>
        </w:rPr>
      </w:pPr>
      <w:r w:rsidRPr="00E00E44">
        <w:rPr>
          <w:rFonts w:ascii="Verdana" w:eastAsia="Times New Roman" w:hAnsi="Verdana" w:cs="Arial"/>
          <w:sz w:val="20"/>
          <w:szCs w:val="20"/>
          <w:lang w:eastAsia="es-ES_tradnl"/>
        </w:rPr>
        <w:t>“</w:t>
      </w:r>
      <w:r>
        <w:rPr>
          <w:rFonts w:ascii="Verdana" w:eastAsia="Times New Roman" w:hAnsi="Verdana" w:cs="Arial"/>
          <w:sz w:val="20"/>
          <w:szCs w:val="20"/>
          <w:lang w:eastAsia="es-ES_tradnl"/>
        </w:rPr>
        <w:t xml:space="preserve">(…) 1. </w:t>
      </w:r>
      <w:r w:rsidRPr="00305A4B">
        <w:rPr>
          <w:rFonts w:ascii="Verdana" w:eastAsia="Times New Roman" w:hAnsi="Verdana" w:cs="Arial"/>
          <w:sz w:val="20"/>
          <w:szCs w:val="20"/>
          <w:lang w:eastAsia="es-ES_tradnl"/>
        </w:rPr>
        <w:t>¿Cuáles son los términos legales y contractuales aplicables para la liquidación de los contratos estatales?</w:t>
      </w:r>
    </w:p>
    <w:p w14:paraId="24043ED8" w14:textId="77777777" w:rsidR="004E3903" w:rsidRDefault="004E3903" w:rsidP="004E3903">
      <w:pPr>
        <w:spacing w:after="0" w:line="240" w:lineRule="auto"/>
        <w:ind w:left="720" w:right="709"/>
        <w:jc w:val="both"/>
        <w:rPr>
          <w:rFonts w:ascii="Verdana" w:eastAsia="Times New Roman" w:hAnsi="Verdana" w:cs="Arial"/>
          <w:sz w:val="20"/>
          <w:szCs w:val="20"/>
          <w:lang w:eastAsia="es-ES_tradnl"/>
        </w:rPr>
      </w:pPr>
      <w:r>
        <w:rPr>
          <w:rFonts w:ascii="Verdana" w:eastAsia="Times New Roman" w:hAnsi="Verdana" w:cs="Arial"/>
          <w:sz w:val="20"/>
          <w:szCs w:val="20"/>
          <w:lang w:eastAsia="es-ES_tradnl"/>
        </w:rPr>
        <w:t xml:space="preserve">2. </w:t>
      </w:r>
      <w:r w:rsidRPr="00305A4B">
        <w:rPr>
          <w:rFonts w:ascii="Verdana" w:eastAsia="Times New Roman" w:hAnsi="Verdana" w:cs="Arial"/>
          <w:sz w:val="20"/>
          <w:szCs w:val="20"/>
          <w:lang w:eastAsia="es-ES_tradnl"/>
        </w:rPr>
        <w:t>¿Qué tipos de contratos requieren liquidación y en qué casos es obligatoria? En particular, ¿los contratos de prestación de servicios profesionales y de apoyo a la gestión deben liquidarse en todos los casos o únicamente cuando concurren determinadas circunstancias previstas en la ley o en el contrato?</w:t>
      </w:r>
    </w:p>
    <w:p w14:paraId="51EBA5CE" w14:textId="77777777" w:rsidR="004E3903" w:rsidRDefault="004E3903" w:rsidP="004E3903">
      <w:pPr>
        <w:spacing w:after="0" w:line="240" w:lineRule="auto"/>
        <w:ind w:left="720" w:right="709"/>
        <w:jc w:val="both"/>
        <w:rPr>
          <w:rFonts w:ascii="Verdana" w:eastAsia="Times New Roman" w:hAnsi="Verdana" w:cs="Arial"/>
          <w:sz w:val="20"/>
          <w:szCs w:val="20"/>
          <w:lang w:eastAsia="es-ES_tradnl"/>
        </w:rPr>
      </w:pPr>
      <w:r>
        <w:rPr>
          <w:rFonts w:ascii="Verdana" w:eastAsia="Times New Roman" w:hAnsi="Verdana" w:cs="Arial"/>
          <w:sz w:val="20"/>
          <w:szCs w:val="20"/>
          <w:lang w:eastAsia="es-ES_tradnl"/>
        </w:rPr>
        <w:t xml:space="preserve">3. </w:t>
      </w:r>
      <w:r w:rsidRPr="00305A4B">
        <w:rPr>
          <w:rFonts w:ascii="Verdana" w:eastAsia="Times New Roman" w:hAnsi="Verdana" w:cs="Arial"/>
          <w:sz w:val="20"/>
          <w:szCs w:val="20"/>
          <w:lang w:eastAsia="es-ES_tradnl"/>
        </w:rPr>
        <w:t>Respecto de los documentos asociados con la liquidación, tales como la solicitud de ampliación de la garantía de cumplimiento, las certificaciones o cartas de no siniestro y demás documentos relacionados con la liquidación, ¿es obligatoria su suscripción por parte del supervisor del contrato, o dicha función puede ser ejercida por el apoyo a la supervisión cuando este corresponde a un contratista?</w:t>
      </w:r>
    </w:p>
    <w:p w14:paraId="5844B8A9" w14:textId="77777777" w:rsidR="004E3903" w:rsidRDefault="004E3903" w:rsidP="004E3903">
      <w:pPr>
        <w:spacing w:after="0" w:line="240" w:lineRule="auto"/>
        <w:ind w:left="720" w:right="709"/>
        <w:jc w:val="both"/>
        <w:rPr>
          <w:rFonts w:ascii="Verdana" w:eastAsia="Times New Roman" w:hAnsi="Verdana" w:cs="Arial"/>
          <w:sz w:val="20"/>
          <w:szCs w:val="20"/>
          <w:lang w:eastAsia="es-ES_tradnl"/>
        </w:rPr>
      </w:pPr>
      <w:r>
        <w:rPr>
          <w:rFonts w:ascii="Verdana" w:eastAsia="Times New Roman" w:hAnsi="Verdana" w:cs="Arial"/>
          <w:sz w:val="20"/>
          <w:szCs w:val="20"/>
          <w:lang w:eastAsia="es-ES_tradnl"/>
        </w:rPr>
        <w:t xml:space="preserve">4. </w:t>
      </w:r>
      <w:r w:rsidRPr="00305A4B">
        <w:rPr>
          <w:rFonts w:ascii="Verdana" w:eastAsia="Times New Roman" w:hAnsi="Verdana" w:cs="Arial"/>
          <w:sz w:val="20"/>
          <w:szCs w:val="20"/>
          <w:lang w:eastAsia="es-ES_tradnl"/>
        </w:rPr>
        <w:t>¿Cuál es el fundamento jurídico y la finalidad de exigir la ampliación de la garantía de cumplimiento hasta la liquidación del contrato? Asimismo, ¿en qué eventos resulta procedente dicha ampliación?</w:t>
      </w:r>
    </w:p>
    <w:p w14:paraId="5F6D09A7" w14:textId="77777777" w:rsidR="004E3903" w:rsidRPr="00E00E44" w:rsidRDefault="004E3903" w:rsidP="004E3903">
      <w:pPr>
        <w:spacing w:after="0" w:line="240" w:lineRule="auto"/>
        <w:ind w:left="720" w:right="709"/>
        <w:jc w:val="both"/>
        <w:rPr>
          <w:rFonts w:ascii="Verdana" w:eastAsia="Times New Roman" w:hAnsi="Verdana" w:cs="Arial"/>
          <w:sz w:val="20"/>
          <w:szCs w:val="20"/>
          <w:lang w:eastAsia="es-ES_tradnl"/>
        </w:rPr>
      </w:pPr>
      <w:r>
        <w:rPr>
          <w:rFonts w:ascii="Verdana" w:eastAsia="Times New Roman" w:hAnsi="Verdana" w:cs="Arial"/>
          <w:sz w:val="20"/>
          <w:szCs w:val="20"/>
          <w:lang w:eastAsia="es-ES_tradnl"/>
        </w:rPr>
        <w:t xml:space="preserve">5. </w:t>
      </w:r>
      <w:r w:rsidRPr="00305A4B">
        <w:rPr>
          <w:rFonts w:ascii="Verdana" w:eastAsia="Times New Roman" w:hAnsi="Verdana" w:cs="Arial"/>
          <w:sz w:val="20"/>
          <w:szCs w:val="20"/>
          <w:lang w:eastAsia="es-ES_tradnl"/>
        </w:rPr>
        <w:t>¿Cuáles son las consecuencias jurídicas y disciplinarias derivadas de la omisión o de la liquidación extemporánea de un contrato estatal por parte de la entidad o de los servidores responsables?</w:t>
      </w:r>
      <w:r>
        <w:rPr>
          <w:rFonts w:ascii="Verdana" w:eastAsia="Times New Roman" w:hAnsi="Verdana" w:cs="Arial"/>
          <w:sz w:val="20"/>
          <w:szCs w:val="20"/>
          <w:lang w:eastAsia="es-ES_tradnl"/>
        </w:rPr>
        <w:t xml:space="preserve"> (…)</w:t>
      </w:r>
      <w:r w:rsidRPr="00E00E44">
        <w:rPr>
          <w:rFonts w:ascii="Verdana" w:eastAsia="Times New Roman" w:hAnsi="Verdana" w:cs="Arial"/>
          <w:iCs/>
          <w:sz w:val="20"/>
          <w:szCs w:val="20"/>
          <w:lang w:eastAsia="es-ES_tradnl"/>
        </w:rPr>
        <w:t>”.</w:t>
      </w:r>
    </w:p>
    <w:p w14:paraId="751838D6" w14:textId="77777777" w:rsidR="004E3903" w:rsidRPr="00BE151B" w:rsidRDefault="004E3903" w:rsidP="004E3903">
      <w:pPr>
        <w:spacing w:after="0" w:line="276" w:lineRule="auto"/>
        <w:ind w:left="709" w:right="709"/>
        <w:jc w:val="both"/>
        <w:rPr>
          <w:rFonts w:ascii="Verdana" w:eastAsia="Times New Roman" w:hAnsi="Verdana" w:cs="Arial"/>
          <w:i/>
          <w:lang w:eastAsia="es-ES_tradnl"/>
        </w:rPr>
      </w:pPr>
    </w:p>
    <w:p w14:paraId="3D495C88" w14:textId="77777777" w:rsidR="004E3903" w:rsidRDefault="004E3903" w:rsidP="004E3903">
      <w:pPr>
        <w:spacing w:after="120" w:line="276" w:lineRule="auto"/>
        <w:ind w:firstLine="709"/>
        <w:jc w:val="both"/>
        <w:rPr>
          <w:rFonts w:ascii="Verdana" w:eastAsia="Calibri" w:hAnsi="Verdana" w:cs="Arial"/>
          <w:color w:val="000000"/>
          <w:szCs w:val="24"/>
          <w:lang w:val="es-ES_tradnl" w:eastAsia="es-ES_tradnl"/>
        </w:rPr>
      </w:pPr>
      <w:r w:rsidRPr="00593A5F">
        <w:rPr>
          <w:rFonts w:ascii="Verdana" w:eastAsia="Calibri" w:hAnsi="Verdana" w:cs="Arial"/>
          <w:color w:val="000000"/>
          <w:lang w:val="es-ES"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593A5F">
        <w:rPr>
          <w:rFonts w:ascii="Verdana" w:eastAsia="Calibri" w:hAnsi="Verdana" w:cs="Arial"/>
          <w:color w:val="000000"/>
          <w:szCs w:val="24"/>
          <w:lang w:val="es-ES_tradnl" w:eastAsia="es-ES_tradnl"/>
        </w:rPr>
        <w:tab/>
      </w:r>
    </w:p>
    <w:p w14:paraId="426FB1BC" w14:textId="77777777" w:rsidR="004E3903" w:rsidRPr="00BE151B" w:rsidRDefault="004E3903" w:rsidP="004E3903">
      <w:pPr>
        <w:spacing w:after="0" w:line="276" w:lineRule="auto"/>
        <w:ind w:firstLine="709"/>
        <w:jc w:val="both"/>
        <w:rPr>
          <w:rFonts w:ascii="Verdana" w:eastAsia="Calibri" w:hAnsi="Verdana" w:cs="Arial"/>
          <w:lang w:eastAsia="es-ES"/>
        </w:rPr>
      </w:pPr>
      <w:r w:rsidRPr="00593A5F">
        <w:rPr>
          <w:rFonts w:ascii="Verdana" w:eastAsia="Calibri" w:hAnsi="Verdana" w:cs="Arial"/>
          <w:color w:val="000000"/>
          <w:lang w:val="es-ES" w:eastAsia="es-ES"/>
        </w:rPr>
        <w:t>Conforme lo expuesto, en aras de satisfacer el derecho fundamental de petición se resolverá su consulta dentro de los límites de la referida competencia consultiva, esto es, haciendo abstracción de la</w:t>
      </w:r>
      <w:r>
        <w:rPr>
          <w:rFonts w:ascii="Verdana" w:eastAsia="Calibri" w:hAnsi="Verdana" w:cs="Arial"/>
          <w:color w:val="000000"/>
          <w:lang w:val="es-ES" w:eastAsia="es-ES"/>
        </w:rPr>
        <w:t>s circunstancias</w:t>
      </w:r>
      <w:r w:rsidRPr="00593A5F">
        <w:rPr>
          <w:rFonts w:ascii="Verdana" w:eastAsia="Calibri" w:hAnsi="Verdana" w:cs="Arial"/>
          <w:color w:val="000000"/>
          <w:lang w:val="es-ES" w:eastAsia="es-ES"/>
        </w:rPr>
        <w:t xml:space="preserve"> particular</w:t>
      </w:r>
      <w:r>
        <w:rPr>
          <w:rFonts w:ascii="Verdana" w:eastAsia="Calibri" w:hAnsi="Verdana" w:cs="Arial"/>
          <w:color w:val="000000"/>
          <w:lang w:val="es-ES" w:eastAsia="es-ES"/>
        </w:rPr>
        <w:t>es</w:t>
      </w:r>
      <w:r w:rsidRPr="00593A5F">
        <w:rPr>
          <w:rFonts w:ascii="Verdana" w:eastAsia="Calibri" w:hAnsi="Verdana" w:cs="Arial"/>
          <w:color w:val="000000"/>
          <w:lang w:val="es-ES" w:eastAsia="es-ES"/>
        </w:rPr>
        <w:t xml:space="preserve"> y concreta</w:t>
      </w:r>
      <w:r>
        <w:rPr>
          <w:rFonts w:ascii="Verdana" w:eastAsia="Calibri" w:hAnsi="Verdana" w:cs="Arial"/>
          <w:color w:val="000000"/>
          <w:lang w:val="es-ES" w:eastAsia="es-ES"/>
        </w:rPr>
        <w:t>s</w:t>
      </w:r>
      <w:r w:rsidRPr="00593A5F">
        <w:rPr>
          <w:rFonts w:ascii="Verdana" w:eastAsia="Calibri" w:hAnsi="Verdana" w:cs="Arial"/>
          <w:color w:val="000000"/>
          <w:lang w:val="es-ES" w:eastAsia="es-ES"/>
        </w:rPr>
        <w:t xml:space="preserve"> mencionada</w:t>
      </w:r>
      <w:r>
        <w:rPr>
          <w:rFonts w:ascii="Verdana" w:eastAsia="Calibri" w:hAnsi="Verdana" w:cs="Arial"/>
          <w:color w:val="000000"/>
          <w:lang w:val="es-ES" w:eastAsia="es-ES"/>
        </w:rPr>
        <w:t>s</w:t>
      </w:r>
      <w:r w:rsidRPr="00593A5F">
        <w:rPr>
          <w:rFonts w:ascii="Verdana" w:eastAsia="Calibri" w:hAnsi="Verdana" w:cs="Arial"/>
          <w:color w:val="000000"/>
          <w:lang w:val="es-ES" w:eastAsia="es-ES"/>
        </w:rPr>
        <w:t xml:space="preserve"> en su petición, </w:t>
      </w:r>
      <w:r>
        <w:rPr>
          <w:rFonts w:ascii="Verdana" w:eastAsia="Calibri" w:hAnsi="Verdana" w:cs="Arial"/>
          <w:color w:val="000000"/>
          <w:lang w:val="es-ES" w:eastAsia="es-ES"/>
        </w:rPr>
        <w:t xml:space="preserve">pero </w:t>
      </w:r>
      <w:r w:rsidRPr="00BE151B">
        <w:rPr>
          <w:rFonts w:ascii="Verdana" w:eastAsia="Calibri" w:hAnsi="Verdana" w:cs="Arial"/>
          <w:lang w:eastAsia="es-ES"/>
        </w:rPr>
        <w:t xml:space="preserve">haciendo unas consideraciones sobre las normas generales relacionadas con los problemas jurídicos de su consulta. </w:t>
      </w:r>
    </w:p>
    <w:p w14:paraId="52025B74" w14:textId="77777777" w:rsidR="004E3903" w:rsidRPr="00BE151B" w:rsidRDefault="004E3903" w:rsidP="004E3903">
      <w:pPr>
        <w:spacing w:after="0" w:line="276" w:lineRule="auto"/>
        <w:jc w:val="both"/>
        <w:rPr>
          <w:rFonts w:ascii="Verdana" w:eastAsia="Times New Roman" w:hAnsi="Verdana" w:cs="Arial"/>
          <w:szCs w:val="24"/>
          <w:lang w:eastAsia="es-ES_tradnl"/>
        </w:rPr>
      </w:pPr>
    </w:p>
    <w:p w14:paraId="3F7B4908" w14:textId="77777777" w:rsidR="004E3903" w:rsidRPr="00BE151B" w:rsidRDefault="004E3903" w:rsidP="004E3903">
      <w:pPr>
        <w:tabs>
          <w:tab w:val="left" w:pos="0"/>
          <w:tab w:val="left" w:pos="284"/>
        </w:tabs>
        <w:spacing w:after="0" w:line="276" w:lineRule="auto"/>
        <w:jc w:val="both"/>
        <w:rPr>
          <w:rFonts w:ascii="Verdana" w:eastAsia="Calibri" w:hAnsi="Verdana" w:cs="Arial"/>
          <w:b/>
        </w:rPr>
      </w:pPr>
      <w:r w:rsidRPr="00BE151B">
        <w:rPr>
          <w:rFonts w:ascii="Verdana" w:eastAsia="Calibri" w:hAnsi="Verdana" w:cs="Arial"/>
          <w:b/>
        </w:rPr>
        <w:lastRenderedPageBreak/>
        <w:t>1. Problema planteado:</w:t>
      </w:r>
    </w:p>
    <w:p w14:paraId="77AD9437" w14:textId="77777777" w:rsidR="004E3903" w:rsidRPr="00BE151B" w:rsidRDefault="004E3903" w:rsidP="004E3903">
      <w:pPr>
        <w:tabs>
          <w:tab w:val="left" w:pos="0"/>
          <w:tab w:val="left" w:pos="284"/>
        </w:tabs>
        <w:spacing w:after="0" w:line="276" w:lineRule="auto"/>
        <w:jc w:val="both"/>
        <w:rPr>
          <w:rFonts w:ascii="Verdana" w:eastAsia="Calibri" w:hAnsi="Verdana" w:cs="Arial"/>
          <w:b/>
        </w:rPr>
      </w:pPr>
    </w:p>
    <w:p w14:paraId="591BF9CA" w14:textId="77777777" w:rsidR="004E3903" w:rsidRDefault="004E3903" w:rsidP="004E3903">
      <w:pPr>
        <w:spacing w:after="0" w:line="276" w:lineRule="auto"/>
        <w:jc w:val="both"/>
        <w:rPr>
          <w:rFonts w:ascii="Verdana" w:eastAsia="Calibri" w:hAnsi="Verdana" w:cs="Arial"/>
          <w:color w:val="000000"/>
          <w:lang w:eastAsia="es-ES"/>
        </w:rPr>
      </w:pPr>
      <w:r w:rsidRPr="2993F789">
        <w:rPr>
          <w:rFonts w:ascii="Verdana" w:eastAsia="Century Gothic" w:hAnsi="Verdana" w:cs="Century Gothic"/>
        </w:rPr>
        <w:t xml:space="preserve">De acuerdo con el contenido de su solicitud, esta Agencia resolverá </w:t>
      </w:r>
      <w:r>
        <w:rPr>
          <w:rFonts w:ascii="Verdana" w:eastAsia="Century Gothic" w:hAnsi="Verdana" w:cs="Century Gothic"/>
        </w:rPr>
        <w:t xml:space="preserve">los </w:t>
      </w:r>
      <w:r w:rsidRPr="2993F789">
        <w:rPr>
          <w:rFonts w:ascii="Verdana" w:eastAsia="Century Gothic" w:hAnsi="Verdana" w:cs="Century Gothic"/>
        </w:rPr>
        <w:t>siguiente</w:t>
      </w:r>
      <w:r>
        <w:rPr>
          <w:rFonts w:ascii="Verdana" w:eastAsia="Century Gothic" w:hAnsi="Verdana" w:cs="Century Gothic"/>
        </w:rPr>
        <w:t>s</w:t>
      </w:r>
      <w:r w:rsidRPr="2993F789">
        <w:rPr>
          <w:rFonts w:ascii="Verdana" w:eastAsia="Century Gothic" w:hAnsi="Verdana" w:cs="Century Gothic"/>
        </w:rPr>
        <w:t xml:space="preserve"> problema</w:t>
      </w:r>
      <w:r>
        <w:rPr>
          <w:rFonts w:ascii="Verdana" w:eastAsia="Century Gothic" w:hAnsi="Verdana" w:cs="Century Gothic"/>
        </w:rPr>
        <w:t>s</w:t>
      </w:r>
      <w:r w:rsidRPr="2993F789">
        <w:rPr>
          <w:rFonts w:ascii="Verdana" w:eastAsia="Century Gothic" w:hAnsi="Verdana" w:cs="Century Gothic"/>
        </w:rPr>
        <w:t xml:space="preserve"> jurídico</w:t>
      </w:r>
      <w:r>
        <w:rPr>
          <w:rFonts w:ascii="Verdana" w:eastAsia="Century Gothic" w:hAnsi="Verdana" w:cs="Century Gothic"/>
        </w:rPr>
        <w:t>s</w:t>
      </w:r>
      <w:r w:rsidRPr="2993F789">
        <w:rPr>
          <w:rFonts w:ascii="Verdana" w:eastAsia="Century Gothic" w:hAnsi="Verdana" w:cs="Century Gothic"/>
        </w:rPr>
        <w:t>: ¿</w:t>
      </w:r>
      <w:r>
        <w:rPr>
          <w:rFonts w:ascii="Verdana" w:eastAsia="Century Gothic" w:hAnsi="Verdana" w:cs="Century Gothic"/>
        </w:rPr>
        <w:t>Cuál es el régimen jurídico de la liquidación en los contratos estatales</w:t>
      </w:r>
      <w:r w:rsidRPr="2993F789">
        <w:rPr>
          <w:rFonts w:ascii="Verdana" w:eastAsia="Century Gothic" w:hAnsi="Verdana" w:cs="Century Gothic"/>
        </w:rPr>
        <w:t>?</w:t>
      </w:r>
      <w:r>
        <w:rPr>
          <w:rFonts w:ascii="Verdana" w:eastAsia="Century Gothic" w:hAnsi="Verdana" w:cs="Century Gothic"/>
        </w:rPr>
        <w:t xml:space="preserve"> y </w:t>
      </w:r>
      <w:r w:rsidRPr="00FB586C">
        <w:rPr>
          <w:rFonts w:ascii="Verdana" w:eastAsia="Calibri" w:hAnsi="Verdana" w:cs="Arial"/>
          <w:color w:val="000000"/>
          <w:lang w:eastAsia="es-ES"/>
        </w:rPr>
        <w:t>¿</w:t>
      </w:r>
      <w:r>
        <w:rPr>
          <w:rFonts w:ascii="Verdana" w:eastAsia="Calibri" w:hAnsi="Verdana" w:cs="Arial"/>
          <w:color w:val="000000"/>
          <w:lang w:eastAsia="es-ES"/>
        </w:rPr>
        <w:t>Es obligación por parte del contratista del Estado ampliar la garantía de cumplimiento hasta la liquidación del contrato estatal?</w:t>
      </w:r>
    </w:p>
    <w:p w14:paraId="0DF24D65" w14:textId="77777777" w:rsidR="0047203D" w:rsidRDefault="0047203D" w:rsidP="004E3903">
      <w:pPr>
        <w:spacing w:after="0" w:line="276" w:lineRule="auto"/>
        <w:jc w:val="both"/>
        <w:rPr>
          <w:rFonts w:ascii="Verdana" w:eastAsia="Calibri" w:hAnsi="Verdana" w:cs="Arial"/>
          <w:color w:val="000000"/>
          <w:lang w:eastAsia="es-ES"/>
        </w:rPr>
      </w:pPr>
    </w:p>
    <w:p w14:paraId="730E51B2" w14:textId="77777777" w:rsidR="004E3903" w:rsidRPr="00694106" w:rsidRDefault="004E3903" w:rsidP="004E3903">
      <w:pPr>
        <w:tabs>
          <w:tab w:val="left" w:pos="0"/>
          <w:tab w:val="left" w:pos="284"/>
        </w:tabs>
        <w:spacing w:after="0" w:line="276" w:lineRule="auto"/>
        <w:jc w:val="both"/>
        <w:rPr>
          <w:rFonts w:ascii="Verdana" w:eastAsia="Calibri" w:hAnsi="Verdana" w:cs="Arial"/>
          <w:b/>
        </w:rPr>
      </w:pPr>
      <w:r w:rsidRPr="00694106">
        <w:rPr>
          <w:rFonts w:ascii="Verdana" w:eastAsia="Calibri" w:hAnsi="Verdana" w:cs="Arial"/>
          <w:b/>
        </w:rPr>
        <w:t>2. Respuesta:</w:t>
      </w:r>
    </w:p>
    <w:p w14:paraId="076116F3" w14:textId="77777777" w:rsidR="004E3903" w:rsidRPr="00BE151B" w:rsidRDefault="004E3903" w:rsidP="004E3903">
      <w:pPr>
        <w:tabs>
          <w:tab w:val="left" w:pos="142"/>
          <w:tab w:val="left" w:pos="284"/>
        </w:tabs>
        <w:spacing w:after="0" w:line="276" w:lineRule="auto"/>
        <w:jc w:val="both"/>
        <w:rPr>
          <w:rFonts w:ascii="Verdana" w:eastAsia="Century Gothic" w:hAnsi="Verdana" w:cs="Century Gothic"/>
          <w:b/>
          <w:bCs/>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4E3903" w:rsidRPr="00BE151B" w14:paraId="2AA071CD" w14:textId="77777777" w:rsidTr="00FD0DA0">
        <w:tc>
          <w:tcPr>
            <w:tcW w:w="8828" w:type="dxa"/>
          </w:tcPr>
          <w:p w14:paraId="32BA105D" w14:textId="77777777" w:rsidR="004E3903" w:rsidRDefault="004E3903" w:rsidP="00FD0DA0">
            <w:pPr>
              <w:spacing w:after="120" w:line="276" w:lineRule="auto"/>
              <w:jc w:val="both"/>
              <w:rPr>
                <w:rFonts w:ascii="Verdana" w:hAnsi="Verdana" w:cs="Arial"/>
                <w:lang w:val="es-ES"/>
              </w:rPr>
            </w:pPr>
            <w:r w:rsidRPr="2993F789">
              <w:rPr>
                <w:rFonts w:ascii="Verdana" w:hAnsi="Verdana" w:cs="Arial"/>
                <w:lang w:val="es-ES"/>
              </w:rPr>
              <w:t xml:space="preserve">De acuerdo con </w:t>
            </w:r>
            <w:r>
              <w:rPr>
                <w:rFonts w:ascii="Verdana" w:hAnsi="Verdana" w:cs="Arial"/>
                <w:lang w:val="es-ES"/>
              </w:rPr>
              <w:t xml:space="preserve">lo establecido por </w:t>
            </w:r>
            <w:r w:rsidRPr="2993F789">
              <w:rPr>
                <w:rFonts w:ascii="Verdana" w:hAnsi="Verdana" w:cs="Arial"/>
                <w:lang w:val="es-ES"/>
              </w:rPr>
              <w:t>el artículo 11 de la Ley 1150 de 2007, existen tres (3) tipos de liquidación</w:t>
            </w:r>
            <w:r>
              <w:rPr>
                <w:rFonts w:ascii="Verdana" w:hAnsi="Verdana" w:cs="Arial"/>
                <w:lang w:val="es-ES"/>
              </w:rPr>
              <w:t xml:space="preserve"> del contrato</w:t>
            </w:r>
            <w:r w:rsidRPr="2993F789">
              <w:rPr>
                <w:rFonts w:ascii="Verdana" w:hAnsi="Verdana" w:cs="Arial"/>
                <w:lang w:val="es-ES"/>
              </w:rPr>
              <w:t xml:space="preserve">: i) bilateral, </w:t>
            </w:r>
            <w:proofErr w:type="spellStart"/>
            <w:r w:rsidRPr="2993F789">
              <w:rPr>
                <w:rFonts w:ascii="Verdana" w:hAnsi="Verdana" w:cs="Arial"/>
                <w:lang w:val="es-ES"/>
              </w:rPr>
              <w:t>ii</w:t>
            </w:r>
            <w:proofErr w:type="spellEnd"/>
            <w:r w:rsidRPr="2993F789">
              <w:rPr>
                <w:rFonts w:ascii="Verdana" w:hAnsi="Verdana" w:cs="Arial"/>
                <w:lang w:val="es-ES"/>
              </w:rPr>
              <w:t xml:space="preserve">) unilateral y </w:t>
            </w:r>
            <w:proofErr w:type="spellStart"/>
            <w:r w:rsidRPr="2993F789">
              <w:rPr>
                <w:rFonts w:ascii="Verdana" w:hAnsi="Verdana" w:cs="Arial"/>
                <w:lang w:val="es-ES"/>
              </w:rPr>
              <w:t>iii</w:t>
            </w:r>
            <w:proofErr w:type="spellEnd"/>
            <w:r w:rsidRPr="2993F789">
              <w:rPr>
                <w:rFonts w:ascii="Verdana" w:hAnsi="Verdana" w:cs="Arial"/>
                <w:lang w:val="es-ES"/>
              </w:rPr>
              <w:t>) judicial. En términos generales, la primera, que puede ser total o parcial, debe hacerse en el término que estipulen las partes o, en su defecto, dentro del término supletivo de cuatro (4) meses. La segunda se debe practicar dentro de los dos (2) meses siguientes al vencimiento del término que acuerden las partes, o ante el silencio de estas</w:t>
            </w:r>
            <w:r>
              <w:rPr>
                <w:rFonts w:ascii="Verdana" w:hAnsi="Verdana" w:cs="Arial"/>
                <w:lang w:val="es-ES"/>
              </w:rPr>
              <w:t>;</w:t>
            </w:r>
            <w:r w:rsidRPr="2993F789">
              <w:rPr>
                <w:rFonts w:ascii="Verdana" w:hAnsi="Verdana" w:cs="Arial"/>
                <w:lang w:val="es-ES"/>
              </w:rPr>
              <w:t xml:space="preserve"> luego de los cuatro (4) meses para realizar la liquidación bilateral, sin que esta se efectúe. Finalmente, la tercera la realiza la Jurisdicción de lo Contencioso Administrativo o un tribunal de arbitramento dentro de un proceso judicial de controversias contractuales, y puede darse con ocasión de una demanda del interesado solicitando dicha liquidación. Para ello, existe un plazo máximo de dos (2) años contados a partir de los dos meses establecidos en la Ley para realizar la liquidación unilateral, de conformidad con el citado auto de unificación jurisprudencial del Consejo de Estado.</w:t>
            </w:r>
          </w:p>
          <w:p w14:paraId="2712A072" w14:textId="77777777" w:rsidR="004E3903" w:rsidRPr="00AF268A" w:rsidRDefault="004E3903" w:rsidP="00FD0DA0">
            <w:pPr>
              <w:spacing w:after="120" w:line="276" w:lineRule="auto"/>
              <w:ind w:firstLine="709"/>
              <w:jc w:val="both"/>
              <w:rPr>
                <w:rFonts w:ascii="Verdana" w:eastAsia="Arial MT" w:hAnsi="Verdana" w:cs="Arial"/>
                <w:lang w:eastAsia="es-ES" w:bidi="es-ES"/>
              </w:rPr>
            </w:pPr>
            <w:r w:rsidRPr="2993F789">
              <w:rPr>
                <w:rFonts w:ascii="Verdana" w:eastAsia="Times New Roman" w:hAnsi="Verdana" w:cs="Calibri"/>
                <w:lang w:val="es-ES"/>
              </w:rPr>
              <w:t>Así las cosas, c</w:t>
            </w:r>
            <w:proofErr w:type="spellStart"/>
            <w:r w:rsidRPr="2993F789">
              <w:rPr>
                <w:rFonts w:ascii="Verdana" w:eastAsia="Arial MT" w:hAnsi="Verdana" w:cs="Arial"/>
                <w:lang w:eastAsia="es-ES" w:bidi="es-ES"/>
              </w:rPr>
              <w:t>onforme</w:t>
            </w:r>
            <w:proofErr w:type="spellEnd"/>
            <w:r w:rsidRPr="2993F789">
              <w:rPr>
                <w:rFonts w:ascii="Verdana" w:eastAsia="Arial MT" w:hAnsi="Verdana" w:cs="Arial"/>
                <w:lang w:eastAsia="es-ES" w:bidi="es-ES"/>
              </w:rPr>
              <w:t xml:space="preserve"> al marco jurídico expuesto, la entidad estatal solo pierde competencia para efectuar la liquidación del contrato una vez opera la caducidad del medio de control de controversias contractuales</w:t>
            </w:r>
            <w:r>
              <w:rPr>
                <w:rFonts w:ascii="Verdana" w:eastAsia="Arial MT" w:hAnsi="Verdana" w:cs="Arial"/>
                <w:lang w:eastAsia="es-ES" w:bidi="es-ES"/>
              </w:rPr>
              <w:t>;</w:t>
            </w:r>
            <w:r w:rsidRPr="2993F789">
              <w:rPr>
                <w:rFonts w:ascii="Verdana" w:eastAsia="Arial MT" w:hAnsi="Verdana" w:cs="Arial"/>
                <w:lang w:eastAsia="es-ES" w:bidi="es-ES"/>
              </w:rPr>
              <w:t xml:space="preserve"> </w:t>
            </w:r>
            <w:r>
              <w:rPr>
                <w:rFonts w:ascii="Verdana" w:eastAsia="Arial MT" w:hAnsi="Verdana" w:cs="Arial"/>
                <w:lang w:eastAsia="es-ES" w:bidi="es-ES"/>
              </w:rPr>
              <w:t>e</w:t>
            </w:r>
            <w:r w:rsidRPr="2993F789">
              <w:rPr>
                <w:rFonts w:ascii="Verdana" w:eastAsia="Arial MT" w:hAnsi="Verdana" w:cs="Arial"/>
                <w:lang w:eastAsia="es-ES" w:bidi="es-ES"/>
              </w:rPr>
              <w:t xml:space="preserve">s decir, existe un plazo máximo </w:t>
            </w:r>
            <w:proofErr w:type="gramStart"/>
            <w:r w:rsidRPr="2993F789">
              <w:rPr>
                <w:rFonts w:ascii="Verdana" w:eastAsia="Arial MT" w:hAnsi="Verdana" w:cs="Arial"/>
                <w:lang w:eastAsia="es-ES" w:bidi="es-ES"/>
              </w:rPr>
              <w:t>de</w:t>
            </w:r>
            <w:r w:rsidRPr="759A4761">
              <w:rPr>
                <w:rFonts w:ascii="Verdana" w:eastAsia="Arial MT" w:hAnsi="Verdana" w:cs="Arial"/>
                <w:lang w:eastAsia="es-ES" w:bidi="es-ES"/>
              </w:rPr>
              <w:t xml:space="preserve"> </w:t>
            </w:r>
            <w:r w:rsidRPr="2993F789">
              <w:rPr>
                <w:rFonts w:ascii="Verdana" w:eastAsia="Arial MT" w:hAnsi="Verdana" w:cs="Arial"/>
                <w:lang w:eastAsia="es-ES" w:bidi="es-ES"/>
              </w:rPr>
              <w:t> dos</w:t>
            </w:r>
            <w:proofErr w:type="gramEnd"/>
            <w:r w:rsidRPr="2993F789">
              <w:rPr>
                <w:rFonts w:ascii="Verdana" w:eastAsia="Arial MT" w:hAnsi="Verdana" w:cs="Arial"/>
                <w:lang w:eastAsia="es-ES" w:bidi="es-ES"/>
              </w:rPr>
              <w:t xml:space="preserve"> (2) años, contados a partir de los dos (2) meses establecidos en la ley para realizar la liquidación unilateral, dentro del cual la entidad puede liquidar el contrato de manera bilateral o unilateral</w:t>
            </w:r>
            <w:r>
              <w:rPr>
                <w:rFonts w:ascii="Verdana" w:eastAsia="Arial MT" w:hAnsi="Verdana" w:cs="Arial"/>
                <w:lang w:eastAsia="es-ES" w:bidi="es-ES"/>
              </w:rPr>
              <w:t>.</w:t>
            </w:r>
            <w:r w:rsidRPr="2993F789">
              <w:rPr>
                <w:rFonts w:ascii="Verdana" w:eastAsia="Arial MT" w:hAnsi="Verdana" w:cs="Arial"/>
                <w:lang w:eastAsia="es-ES" w:bidi="es-ES"/>
              </w:rPr>
              <w:t> </w:t>
            </w:r>
          </w:p>
          <w:p w14:paraId="10A1F508" w14:textId="77777777" w:rsidR="004E3903" w:rsidRDefault="004E3903" w:rsidP="00FD0DA0">
            <w:pPr>
              <w:spacing w:after="120" w:line="276" w:lineRule="auto"/>
              <w:ind w:firstLine="709"/>
              <w:jc w:val="both"/>
              <w:rPr>
                <w:rFonts w:ascii="Verdana" w:eastAsia="Arial MT" w:hAnsi="Verdana" w:cs="Arial"/>
                <w:lang w:eastAsia="es-ES" w:bidi="es-ES"/>
              </w:rPr>
            </w:pPr>
            <w:r>
              <w:rPr>
                <w:rFonts w:ascii="Verdana" w:eastAsia="Arial MT" w:hAnsi="Verdana" w:cs="Arial"/>
                <w:lang w:eastAsia="es-ES" w:bidi="es-ES"/>
              </w:rPr>
              <w:t>Bajo ese contexto, l</w:t>
            </w:r>
            <w:r w:rsidRPr="2993F789">
              <w:rPr>
                <w:rFonts w:ascii="Verdana" w:eastAsia="Arial MT" w:hAnsi="Verdana" w:cs="Arial"/>
                <w:lang w:eastAsia="es-ES" w:bidi="es-ES"/>
              </w:rPr>
              <w:t xml:space="preserve">a caducidad constituye un límite procesal que extingue la posibilidad de reclamar judicialmente obligaciones derivadas del contrato, y con ello, la competencia de la entidad para efectuar la liquidación. Una vez vencido este término, las obligaciones pendientes se convierten </w:t>
            </w:r>
            <w:r w:rsidRPr="2993F789">
              <w:rPr>
                <w:rFonts w:ascii="Verdana" w:eastAsia="Arial MT" w:hAnsi="Verdana" w:cs="Arial"/>
                <w:lang w:eastAsia="es-ES" w:bidi="es-ES"/>
              </w:rPr>
              <w:lastRenderedPageBreak/>
              <w:t xml:space="preserve">en obligaciones naturales, que no son exigibles ni pueden ser objeto de pago por parte de la administración pública. </w:t>
            </w:r>
          </w:p>
          <w:p w14:paraId="3041EF8D" w14:textId="77777777" w:rsidR="004E3903" w:rsidRDefault="004E3903" w:rsidP="00FD0DA0">
            <w:pPr>
              <w:spacing w:after="120" w:line="276" w:lineRule="auto"/>
              <w:ind w:firstLine="709"/>
              <w:jc w:val="both"/>
              <w:rPr>
                <w:rFonts w:ascii="Verdana" w:eastAsia="Arial MT" w:hAnsi="Verdana" w:cs="Arial"/>
                <w:lang w:eastAsia="es-ES" w:bidi="es-ES"/>
              </w:rPr>
            </w:pPr>
            <w:r w:rsidRPr="2993F789">
              <w:rPr>
                <w:rFonts w:ascii="Verdana" w:eastAsia="Arial MT" w:hAnsi="Verdana" w:cs="Arial"/>
                <w:lang w:eastAsia="es-ES" w:bidi="es-ES"/>
              </w:rPr>
              <w:t>Por otro lado, la normativa vigente no contempla la pérdida de competencia para efectuar la liquidación en el evento en que se encuentre pendiente de decisión un proceso sancionatorio contra el contratista. En tal caso, la entidad puede proceder con la liquidación del contrato, sin que el trámite sancionatorio constituya un impedimento legal para ello.</w:t>
            </w:r>
          </w:p>
          <w:p w14:paraId="617FA8E6" w14:textId="77777777" w:rsidR="004E3903" w:rsidRPr="006144D7" w:rsidRDefault="004E3903" w:rsidP="00A56FE0">
            <w:pPr>
              <w:spacing w:after="120" w:line="276" w:lineRule="auto"/>
              <w:ind w:firstLine="740"/>
              <w:jc w:val="both"/>
              <w:rPr>
                <w:rFonts w:ascii="Verdana" w:eastAsia="Times New Roman" w:hAnsi="Verdana" w:cs="Arial"/>
                <w:bCs/>
                <w:color w:val="000000"/>
                <w:szCs w:val="24"/>
                <w:lang w:val="es-ES_tradnl" w:eastAsia="es-ES_tradnl"/>
              </w:rPr>
            </w:pPr>
            <w:r>
              <w:rPr>
                <w:rFonts w:ascii="Verdana" w:eastAsia="Arial MT" w:hAnsi="Verdana" w:cs="Arial"/>
                <w:lang w:eastAsia="es-ES" w:bidi="es-ES"/>
              </w:rPr>
              <w:t xml:space="preserve">Ahora bien, en relación con la vigencia de las garantías, </w:t>
            </w:r>
            <w:r w:rsidRPr="00221F65">
              <w:rPr>
                <w:rFonts w:ascii="Verdana" w:eastAsia="Times New Roman" w:hAnsi="Verdana" w:cs="Arial"/>
                <w:bCs/>
                <w:color w:val="000000"/>
                <w:szCs w:val="24"/>
                <w:lang w:val="es-ES_tradnl" w:eastAsia="es-ES_tradnl"/>
              </w:rPr>
              <w:t xml:space="preserve">el artículo 2.2.1.2.3.1.12. </w:t>
            </w:r>
            <w:r>
              <w:rPr>
                <w:rFonts w:ascii="Verdana" w:eastAsia="Times New Roman" w:hAnsi="Verdana" w:cs="Arial"/>
                <w:bCs/>
                <w:color w:val="000000"/>
                <w:szCs w:val="24"/>
                <w:lang w:val="es-ES_tradnl" w:eastAsia="es-ES_tradnl"/>
              </w:rPr>
              <w:t>del</w:t>
            </w:r>
            <w:r w:rsidRPr="00221F65">
              <w:rPr>
                <w:rFonts w:ascii="Verdana" w:eastAsia="Times New Roman" w:hAnsi="Verdana" w:cs="Arial"/>
                <w:bCs/>
                <w:color w:val="000000"/>
                <w:szCs w:val="24"/>
                <w:lang w:val="es-ES_tradnl" w:eastAsia="es-ES_tradnl"/>
              </w:rPr>
              <w:t xml:space="preserve"> Decreto</w:t>
            </w:r>
            <w:r>
              <w:rPr>
                <w:rFonts w:ascii="Verdana" w:eastAsia="Times New Roman" w:hAnsi="Verdana" w:cs="Arial"/>
                <w:bCs/>
                <w:color w:val="000000"/>
                <w:szCs w:val="24"/>
                <w:lang w:val="es-ES_tradnl" w:eastAsia="es-ES_tradnl"/>
              </w:rPr>
              <w:t xml:space="preserve"> 1082 de 2015</w:t>
            </w:r>
            <w:r w:rsidRPr="00221F65">
              <w:rPr>
                <w:rFonts w:ascii="Verdana" w:eastAsia="Times New Roman" w:hAnsi="Verdana" w:cs="Arial"/>
                <w:bCs/>
                <w:color w:val="000000"/>
                <w:szCs w:val="24"/>
                <w:lang w:val="es-ES_tradnl" w:eastAsia="es-ES_tradnl"/>
              </w:rPr>
              <w:t xml:space="preserve"> señala expresamente que </w:t>
            </w:r>
            <w:r w:rsidRPr="00221F65">
              <w:rPr>
                <w:rFonts w:ascii="Verdana" w:eastAsia="Times New Roman" w:hAnsi="Verdana" w:cs="Arial"/>
                <w:bCs/>
                <w:i/>
                <w:iCs/>
                <w:color w:val="000000"/>
                <w:szCs w:val="24"/>
                <w:lang w:val="es-ES_tradnl" w:eastAsia="es-ES_tradnl"/>
              </w:rPr>
              <w:t>“[l]a garantía de cumplimiento del contrato debe tener una vigencia mínima hasta la liquidación del contrato”.</w:t>
            </w:r>
            <w:r w:rsidRPr="00221F65">
              <w:rPr>
                <w:rFonts w:ascii="Verdana" w:eastAsia="Times New Roman" w:hAnsi="Verdana" w:cs="Arial"/>
                <w:bCs/>
                <w:color w:val="000000"/>
                <w:szCs w:val="24"/>
                <w:lang w:val="es-ES_tradnl" w:eastAsia="es-ES_tradnl"/>
              </w:rPr>
              <w:t xml:space="preserve"> </w:t>
            </w:r>
            <w:r>
              <w:rPr>
                <w:rFonts w:ascii="Verdana" w:eastAsia="Times New Roman" w:hAnsi="Verdana" w:cs="Arial"/>
                <w:bCs/>
                <w:color w:val="000000"/>
                <w:szCs w:val="24"/>
                <w:lang w:val="es-ES_tradnl" w:eastAsia="es-ES_tradnl"/>
              </w:rPr>
              <w:t>S</w:t>
            </w:r>
            <w:r w:rsidRPr="006144D7">
              <w:rPr>
                <w:rFonts w:ascii="Verdana" w:eastAsia="Times New Roman" w:hAnsi="Verdana" w:cs="Arial"/>
                <w:bCs/>
                <w:color w:val="000000"/>
                <w:szCs w:val="24"/>
                <w:lang w:val="es-ES_tradnl" w:eastAsia="es-ES_tradnl"/>
              </w:rPr>
              <w:t>egún lo dispuesto en el artículo 2.2.1.2.3.1.7. del</w:t>
            </w:r>
            <w:r>
              <w:rPr>
                <w:rFonts w:ascii="Verdana" w:eastAsia="Times New Roman" w:hAnsi="Verdana" w:cs="Arial"/>
                <w:bCs/>
                <w:color w:val="000000"/>
                <w:szCs w:val="24"/>
                <w:lang w:val="es-ES_tradnl" w:eastAsia="es-ES_tradnl"/>
              </w:rPr>
              <w:t xml:space="preserve"> mencionado</w:t>
            </w:r>
            <w:r w:rsidRPr="006144D7">
              <w:rPr>
                <w:rFonts w:ascii="Verdana" w:eastAsia="Times New Roman" w:hAnsi="Verdana" w:cs="Arial"/>
                <w:bCs/>
                <w:color w:val="000000"/>
                <w:szCs w:val="24"/>
                <w:lang w:val="es-ES_tradnl" w:eastAsia="es-ES_tradnl"/>
              </w:rPr>
              <w:t xml:space="preserve"> Decreto, la garantía única de cumplimiento cuenta con varios amparos, que incluyen el de buen manejo y correcta inversión del anticipo; la devolución del pago anticipado; el amparo de cumplimiento del contrato; la garantía de pago de salarios, prestaciones sociales legales e indemnizaciones laborales, entre otros.</w:t>
            </w:r>
          </w:p>
          <w:p w14:paraId="797F76C3" w14:textId="77777777" w:rsidR="004E3903" w:rsidRDefault="004E3903" w:rsidP="00FD0DA0">
            <w:pPr>
              <w:spacing w:after="120" w:line="276" w:lineRule="auto"/>
              <w:ind w:firstLine="709"/>
              <w:jc w:val="both"/>
              <w:rPr>
                <w:rFonts w:ascii="Verdana" w:eastAsia="Arial MT" w:hAnsi="Verdana" w:cs="Arial"/>
                <w:lang w:eastAsia="es-ES" w:bidi="es-ES"/>
              </w:rPr>
            </w:pPr>
            <w:r w:rsidRPr="0C90A87E">
              <w:rPr>
                <w:rFonts w:ascii="Verdana" w:eastAsia="Times New Roman" w:hAnsi="Verdana" w:cs="Arial"/>
                <w:color w:val="000000" w:themeColor="text1"/>
                <w:lang w:val="es-ES" w:eastAsia="es-ES"/>
              </w:rPr>
              <w:t>Por tanto, el amparo de cumplimiento es uno de los múltiples amparos que conforman la garantía única de cumplimiento.</w:t>
            </w:r>
          </w:p>
          <w:p w14:paraId="29FC16AB" w14:textId="77777777" w:rsidR="004E3903" w:rsidRDefault="004E3903" w:rsidP="00FD0DA0">
            <w:pPr>
              <w:spacing w:before="120" w:line="276" w:lineRule="auto"/>
              <w:ind w:firstLine="709"/>
              <w:jc w:val="both"/>
              <w:rPr>
                <w:rFonts w:ascii="Verdana" w:hAnsi="Verdana" w:cs="Arial"/>
                <w:lang w:eastAsia="es-ES"/>
              </w:rPr>
            </w:pPr>
            <w:r>
              <w:rPr>
                <w:rFonts w:ascii="Verdana" w:hAnsi="Verdana" w:cs="Arial"/>
                <w:lang w:eastAsia="es-ES"/>
              </w:rPr>
              <w:t xml:space="preserve">Finalmente, se advierte </w:t>
            </w:r>
            <w:proofErr w:type="gramStart"/>
            <w:r>
              <w:rPr>
                <w:rFonts w:ascii="Verdana" w:hAnsi="Verdana" w:cs="Arial"/>
                <w:lang w:eastAsia="es-ES"/>
              </w:rPr>
              <w:t>que</w:t>
            </w:r>
            <w:proofErr w:type="gramEnd"/>
            <w:r>
              <w:rPr>
                <w:rFonts w:ascii="Verdana" w:hAnsi="Verdana" w:cs="Arial"/>
                <w:lang w:eastAsia="es-ES"/>
              </w:rPr>
              <w:t xml:space="preserve"> d</w:t>
            </w:r>
            <w:r w:rsidRPr="00B83801">
              <w:rPr>
                <w:rFonts w:ascii="Verdana" w:hAnsi="Verdana" w:cs="Arial"/>
                <w:lang w:eastAsia="es-ES"/>
              </w:rPr>
              <w:t>entro de este marco</w:t>
            </w:r>
            <w:r>
              <w:rPr>
                <w:rFonts w:ascii="Verdana" w:hAnsi="Verdana" w:cs="Arial"/>
                <w:lang w:eastAsia="es-ES"/>
              </w:rPr>
              <w:t xml:space="preserve"> jurídico expuesto</w:t>
            </w:r>
            <w:r w:rsidRPr="00B83801">
              <w:rPr>
                <w:rFonts w:ascii="Verdana" w:hAnsi="Verdana" w:cs="Arial"/>
                <w:lang w:eastAsia="es-ES"/>
              </w:rPr>
              <w:t>,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De esta manera, cada entidad definirá la forma de adelantar su gestión contractual, sin que sea atribución de Colombia Compra Eficiente validar sus actuaciones.</w:t>
            </w:r>
          </w:p>
          <w:p w14:paraId="46FE7377" w14:textId="77777777" w:rsidR="004E3903" w:rsidRPr="00D03768" w:rsidRDefault="004E3903" w:rsidP="00FD0DA0">
            <w:pPr>
              <w:spacing w:line="276" w:lineRule="auto"/>
              <w:ind w:firstLine="709"/>
              <w:jc w:val="both"/>
              <w:rPr>
                <w:rFonts w:ascii="Verdana" w:eastAsia="Arial MT" w:hAnsi="Verdana" w:cs="Arial"/>
                <w:lang w:eastAsia="es-ES" w:bidi="es-ES"/>
              </w:rPr>
            </w:pPr>
          </w:p>
        </w:tc>
      </w:tr>
    </w:tbl>
    <w:p w14:paraId="683A8995" w14:textId="77777777" w:rsidR="004E3903" w:rsidRDefault="004E3903" w:rsidP="004E3903">
      <w:pPr>
        <w:spacing w:after="0" w:line="276" w:lineRule="auto"/>
        <w:jc w:val="both"/>
        <w:rPr>
          <w:rFonts w:ascii="Verdana" w:eastAsia="Times New Roman" w:hAnsi="Verdana" w:cs="Arial"/>
          <w:lang w:eastAsia="es-ES_tradnl"/>
        </w:rPr>
      </w:pPr>
    </w:p>
    <w:p w14:paraId="5DB8458D" w14:textId="77777777" w:rsidR="0047203D" w:rsidRDefault="0047203D" w:rsidP="004E3903">
      <w:pPr>
        <w:spacing w:after="0" w:line="276" w:lineRule="auto"/>
        <w:jc w:val="both"/>
        <w:rPr>
          <w:rFonts w:ascii="Verdana" w:eastAsia="Times New Roman" w:hAnsi="Verdana" w:cs="Arial"/>
          <w:lang w:eastAsia="es-ES_tradnl"/>
        </w:rPr>
      </w:pPr>
    </w:p>
    <w:p w14:paraId="7465BE64" w14:textId="77777777" w:rsidR="004E3903" w:rsidRPr="00BE151B" w:rsidRDefault="004E3903" w:rsidP="004E3903">
      <w:pPr>
        <w:pStyle w:val="Prrafodelista"/>
        <w:tabs>
          <w:tab w:val="left" w:pos="142"/>
          <w:tab w:val="left" w:pos="284"/>
        </w:tabs>
        <w:spacing w:after="0" w:line="276" w:lineRule="auto"/>
        <w:ind w:left="0"/>
        <w:contextualSpacing w:val="0"/>
        <w:jc w:val="both"/>
        <w:rPr>
          <w:rFonts w:ascii="Verdana" w:eastAsia="Century Gothic" w:hAnsi="Verdana" w:cs="Century Gothic"/>
          <w:b/>
          <w:bCs/>
        </w:rPr>
      </w:pPr>
      <w:r w:rsidRPr="00BE151B">
        <w:rPr>
          <w:rFonts w:ascii="Verdana" w:eastAsia="Century Gothic" w:hAnsi="Verdana" w:cs="Century Gothic"/>
          <w:b/>
          <w:bCs/>
        </w:rPr>
        <w:t>3. Razones de la respuesta:</w:t>
      </w:r>
    </w:p>
    <w:p w14:paraId="7E45FD5B" w14:textId="77777777" w:rsidR="004E3903" w:rsidRPr="00BE151B" w:rsidRDefault="004E3903" w:rsidP="004E3903">
      <w:pPr>
        <w:spacing w:after="0" w:line="276" w:lineRule="auto"/>
        <w:jc w:val="both"/>
        <w:rPr>
          <w:rFonts w:ascii="Verdana" w:eastAsia="Calibri" w:hAnsi="Verdana" w:cs="Arial"/>
          <w:color w:val="7030A0"/>
        </w:rPr>
      </w:pPr>
    </w:p>
    <w:p w14:paraId="5E159626" w14:textId="77777777" w:rsidR="004E3903" w:rsidRPr="00BE151B" w:rsidRDefault="004E3903" w:rsidP="004E3903">
      <w:pPr>
        <w:spacing w:after="0" w:line="276" w:lineRule="auto"/>
        <w:jc w:val="both"/>
        <w:rPr>
          <w:rFonts w:ascii="Verdana" w:eastAsia="Calibri" w:hAnsi="Verdana" w:cs="Arial"/>
        </w:rPr>
      </w:pPr>
      <w:r w:rsidRPr="00BE151B">
        <w:rPr>
          <w:rFonts w:ascii="Verdana" w:eastAsia="Calibri" w:hAnsi="Verdana" w:cs="Arial"/>
        </w:rPr>
        <w:t xml:space="preserve">Lo anterior se sustenta en las siguientes consideraciones: </w:t>
      </w:r>
    </w:p>
    <w:p w14:paraId="7D2E2703" w14:textId="77777777" w:rsidR="004E3903" w:rsidRDefault="004E3903" w:rsidP="004E3903">
      <w:pPr>
        <w:spacing w:after="0" w:line="276" w:lineRule="auto"/>
        <w:ind w:firstLine="709"/>
        <w:jc w:val="both"/>
        <w:rPr>
          <w:rFonts w:ascii="Verdana" w:eastAsia="Calibri" w:hAnsi="Verdana" w:cs="Arial"/>
        </w:rPr>
      </w:pPr>
    </w:p>
    <w:p w14:paraId="6E9B9DEA" w14:textId="77777777" w:rsidR="004E3903" w:rsidRPr="00FB5FC4" w:rsidRDefault="004E3903" w:rsidP="004E3903">
      <w:pPr>
        <w:spacing w:after="0" w:line="276" w:lineRule="auto"/>
        <w:jc w:val="both"/>
        <w:rPr>
          <w:rFonts w:ascii="Verdana" w:eastAsia="Calibri" w:hAnsi="Verdana" w:cs="Arial"/>
          <w:color w:val="000000"/>
          <w:lang w:val="es-ES"/>
        </w:rPr>
      </w:pPr>
      <w:r w:rsidRPr="2993F789">
        <w:rPr>
          <w:rFonts w:ascii="Verdana" w:eastAsia="Calibri" w:hAnsi="Verdana" w:cs="Arial"/>
          <w:color w:val="000000"/>
          <w:lang w:val="es-ES"/>
        </w:rPr>
        <w:lastRenderedPageBreak/>
        <w:t>La liquidación es el momento en el cual, una vez concluido el contrato estatal, las partes cruzan cuentas respecto de sus obligaciones. Por tanto, su objetivo es determinar si pueden declararse a paz y salvo mutuo o si, por el contrario, existen aún obligaciones por cumplir, para acordar la forma en que deben ser finalizadas</w:t>
      </w:r>
      <w:r w:rsidRPr="2993F789">
        <w:rPr>
          <w:rFonts w:ascii="Verdana" w:eastAsia="Calibri" w:hAnsi="Verdana" w:cs="Arial"/>
          <w:color w:val="000000"/>
          <w:vertAlign w:val="superscript"/>
          <w:lang w:val="es-ES"/>
        </w:rPr>
        <w:footnoteReference w:id="1"/>
      </w:r>
      <w:r w:rsidRPr="2993F789">
        <w:rPr>
          <w:rFonts w:ascii="Verdana" w:eastAsia="Calibri" w:hAnsi="Verdana" w:cs="Arial"/>
          <w:color w:val="000000"/>
          <w:lang w:val="es-ES"/>
        </w:rPr>
        <w:t>. La doctrina ha definido la liquidación de la siguiente manera:</w:t>
      </w:r>
    </w:p>
    <w:p w14:paraId="630615B6" w14:textId="77777777" w:rsidR="004E3903" w:rsidRPr="00FB5FC4" w:rsidRDefault="004E3903" w:rsidP="004E3903">
      <w:pPr>
        <w:spacing w:after="0" w:line="276" w:lineRule="auto"/>
        <w:jc w:val="both"/>
        <w:rPr>
          <w:rFonts w:ascii="Verdana" w:eastAsia="Calibri" w:hAnsi="Verdana" w:cs="Arial"/>
          <w:color w:val="000000"/>
          <w:lang w:val="es-ES_tradnl"/>
        </w:rPr>
      </w:pPr>
    </w:p>
    <w:p w14:paraId="7B7BE31F" w14:textId="77777777" w:rsidR="004E3903" w:rsidRPr="00650923" w:rsidRDefault="004E3903" w:rsidP="004E3903">
      <w:pPr>
        <w:spacing w:after="0" w:line="240" w:lineRule="auto"/>
        <w:ind w:left="709" w:right="709"/>
        <w:jc w:val="both"/>
        <w:rPr>
          <w:rFonts w:ascii="Verdana" w:eastAsia="Calibri" w:hAnsi="Verdana" w:cs="Arial"/>
          <w:sz w:val="20"/>
          <w:szCs w:val="20"/>
          <w:lang w:val="es-MX"/>
        </w:rPr>
      </w:pPr>
      <w:r w:rsidRPr="2993F789">
        <w:rPr>
          <w:rFonts w:ascii="Verdana" w:eastAsia="Calibri" w:hAnsi="Verdana" w:cs="Arial"/>
          <w:i/>
          <w:iCs/>
          <w:color w:val="000000"/>
          <w:sz w:val="20"/>
          <w:szCs w:val="20"/>
          <w:lang w:val="es-ES"/>
        </w:rPr>
        <w:t>“</w:t>
      </w:r>
      <w:r w:rsidRPr="00650923">
        <w:rPr>
          <w:rFonts w:ascii="Verdana" w:eastAsia="Calibri" w:hAnsi="Verdana" w:cs="Arial"/>
          <w:sz w:val="20"/>
          <w:szCs w:val="20"/>
          <w:lang w:val="es-MX"/>
        </w:rPr>
        <w:t xml:space="preserve">[…] la liquidación del contrato estatal corresponde al arreglo o ajuste económico, técnico y jurídico al que se llega de forma bilateral (por las partes del negocio), unilateralmente (por la administración), por el juez o por el árbitro, según el caso, para determinar el estado final de la relación contractual, no solo en cuento al cumplimiento del objeto acordado y al recibo a satisfacción de los productos contratados (bienes y servicios), sino, además, para definir la situación en la que quedan los contratantes, luego de la ejecución del contrato, en el sentido de disponer cuánto se adeudan, de qué manera y en qué plazos se han de efectuar los pagos pendientes y las condiciones para el establecimiento del respectivo paz y salvo. En otras palabras, la liquidación es el acto jurídico bilateral, administrativo o judicial, en el que se plasma y formaliza la situación financiera y jurídica de las partes, al término de la relación contractual (aspecto subjetivo) y el grado de cumplimiento del objeto contratado (aspecto objetivo); de ahí que pueda hablarse, en términos amplios, de un doble contenido, que debe estar presente en toda liquidación. En efecto, el corte de cuentas realizado en ella tiene un doble alcance: (i) hacer un balance definitivo del negocio, en sus aspectos técnicos, financieros y jurídicos (aspecto objetivo o material) y </w:t>
      </w:r>
      <w:proofErr w:type="spellStart"/>
      <w:r w:rsidRPr="00650923">
        <w:rPr>
          <w:rFonts w:ascii="Verdana" w:eastAsia="Calibri" w:hAnsi="Verdana" w:cs="Arial"/>
          <w:sz w:val="20"/>
          <w:szCs w:val="20"/>
          <w:lang w:val="es-MX"/>
        </w:rPr>
        <w:t>ii</w:t>
      </w:r>
      <w:proofErr w:type="spellEnd"/>
      <w:r w:rsidRPr="00650923">
        <w:rPr>
          <w:rFonts w:ascii="Verdana" w:eastAsia="Calibri" w:hAnsi="Verdana" w:cs="Arial"/>
          <w:sz w:val="20"/>
          <w:szCs w:val="20"/>
          <w:lang w:val="es-MX"/>
        </w:rPr>
        <w:t>) definir la situación jurídica de las partes, estableciendo si pueden constituirse o no a paz y salvo; lo que exige, en la práctica, que los negociantes dialoguen e intenten ponerse de acuerdo (aspecto subjetivo)”</w:t>
      </w:r>
      <w:r w:rsidRPr="00650923">
        <w:rPr>
          <w:rFonts w:ascii="Verdana" w:eastAsia="Calibri" w:hAnsi="Verdana" w:cs="Arial"/>
          <w:sz w:val="20"/>
          <w:szCs w:val="20"/>
          <w:vertAlign w:val="superscript"/>
          <w:lang w:val="es-MX"/>
        </w:rPr>
        <w:footnoteReference w:id="2"/>
      </w:r>
      <w:r w:rsidRPr="00650923">
        <w:rPr>
          <w:rFonts w:ascii="Verdana" w:eastAsia="Calibri" w:hAnsi="Verdana" w:cs="Arial"/>
          <w:sz w:val="20"/>
          <w:szCs w:val="20"/>
          <w:lang w:val="es-MX"/>
        </w:rPr>
        <w:t>.</w:t>
      </w:r>
    </w:p>
    <w:p w14:paraId="5AC50DB4" w14:textId="77777777" w:rsidR="004E3903" w:rsidRPr="005C4A0F" w:rsidRDefault="004E3903" w:rsidP="004E3903">
      <w:pPr>
        <w:spacing w:after="0" w:line="276" w:lineRule="auto"/>
        <w:jc w:val="both"/>
        <w:rPr>
          <w:rFonts w:ascii="Verdana" w:eastAsia="Calibri" w:hAnsi="Verdana" w:cs="Arial"/>
          <w:lang w:val="es-ES_tradnl"/>
        </w:rPr>
      </w:pPr>
    </w:p>
    <w:p w14:paraId="54AB8C87" w14:textId="77777777" w:rsidR="004E3903" w:rsidRDefault="004E3903" w:rsidP="004E3903">
      <w:pPr>
        <w:spacing w:after="120" w:line="276" w:lineRule="auto"/>
        <w:ind w:firstLine="709"/>
        <w:jc w:val="both"/>
        <w:rPr>
          <w:rFonts w:ascii="Verdana" w:eastAsia="Times New Roman" w:hAnsi="Verdana" w:cs="Arial"/>
          <w:color w:val="000000"/>
          <w:lang w:val="es-ES" w:eastAsia="es-ES"/>
        </w:rPr>
      </w:pPr>
      <w:r w:rsidRPr="2993F789">
        <w:rPr>
          <w:rFonts w:ascii="Verdana" w:eastAsia="Times New Roman" w:hAnsi="Verdana" w:cs="Arial"/>
          <w:color w:val="000000"/>
          <w:lang w:val="es-ES" w:eastAsia="es-ES"/>
        </w:rPr>
        <w:t xml:space="preserve">Según la jurisprudencia, la liquidación es el ajuste de cuentas donde las partes hacen un balance económico, técnico y jurídico del cumplimiento de las obligaciones que tienen a su cargo. Así lo manifestó el Consejo de Estado, en la Sentencia del 20 de octubre de 2014, en la que consideró, por un lado, que </w:t>
      </w:r>
      <w:r w:rsidRPr="2993F789">
        <w:rPr>
          <w:rFonts w:ascii="Verdana" w:eastAsia="Times New Roman" w:hAnsi="Verdana" w:cs="Arial"/>
          <w:i/>
          <w:iCs/>
          <w:color w:val="000000"/>
          <w:lang w:val="es-ES" w:eastAsia="es-ES"/>
        </w:rPr>
        <w:t>liquidar</w:t>
      </w:r>
      <w:r w:rsidRPr="2993F789">
        <w:rPr>
          <w:rFonts w:ascii="Verdana" w:eastAsia="Times New Roman" w:hAnsi="Verdana" w:cs="Arial"/>
          <w:color w:val="000000"/>
          <w:lang w:val="es-ES" w:eastAsia="es-ES"/>
        </w:rPr>
        <w:t xml:space="preserve"> supone un ajuste en relación con las cuentas y el estado de cumplimiento del contrato estatal y, por el otro, que la </w:t>
      </w:r>
      <w:r w:rsidRPr="2993F789">
        <w:rPr>
          <w:rFonts w:ascii="Verdana" w:eastAsia="Times New Roman" w:hAnsi="Verdana" w:cs="Arial"/>
          <w:i/>
          <w:iCs/>
          <w:color w:val="000000"/>
          <w:lang w:val="es-ES" w:eastAsia="es-ES"/>
        </w:rPr>
        <w:t>liquidación</w:t>
      </w:r>
      <w:r w:rsidRPr="2993F789">
        <w:rPr>
          <w:rFonts w:ascii="Verdana" w:eastAsia="Times New Roman" w:hAnsi="Verdana" w:cs="Arial"/>
          <w:color w:val="000000"/>
          <w:lang w:val="es-ES" w:eastAsia="es-ES"/>
        </w:rPr>
        <w:t xml:space="preserve"> debe incluir el análisis de </w:t>
      </w:r>
      <w:r w:rsidRPr="2993F789">
        <w:rPr>
          <w:rFonts w:ascii="Verdana" w:eastAsia="Times New Roman" w:hAnsi="Verdana" w:cs="Arial"/>
          <w:color w:val="000000"/>
          <w:lang w:val="es-ES" w:eastAsia="es-ES"/>
        </w:rPr>
        <w:lastRenderedPageBreak/>
        <w:t>las condiciones de calidad y oportunidad en la entrega de los bienes, obras o servicios, así como el balance económico y el comportamiento financiero del negocio</w:t>
      </w:r>
      <w:r w:rsidRPr="2993F789">
        <w:rPr>
          <w:rFonts w:ascii="Verdana" w:eastAsia="Times New Roman" w:hAnsi="Verdana" w:cs="Arial"/>
          <w:color w:val="000000"/>
          <w:vertAlign w:val="superscript"/>
          <w:lang w:val="es-ES" w:eastAsia="es-ES"/>
        </w:rPr>
        <w:footnoteReference w:id="3"/>
      </w:r>
      <w:r w:rsidRPr="2993F789">
        <w:rPr>
          <w:rFonts w:ascii="Verdana" w:eastAsia="Times New Roman" w:hAnsi="Verdana" w:cs="Arial"/>
          <w:color w:val="000000"/>
          <w:lang w:val="es-ES" w:eastAsia="es-ES"/>
        </w:rPr>
        <w:t xml:space="preserve">. </w:t>
      </w:r>
    </w:p>
    <w:p w14:paraId="543B0496" w14:textId="77777777" w:rsidR="004E3903" w:rsidRPr="00463386" w:rsidRDefault="004E3903" w:rsidP="004E3903">
      <w:pPr>
        <w:pStyle w:val="Sinespaciado"/>
        <w:spacing w:after="120" w:line="276" w:lineRule="auto"/>
        <w:ind w:firstLine="709"/>
        <w:jc w:val="both"/>
        <w:rPr>
          <w:rFonts w:ascii="Verdana" w:hAnsi="Verdana" w:cs="Arial"/>
          <w:sz w:val="22"/>
          <w:lang w:val="es-ES"/>
        </w:rPr>
      </w:pPr>
      <w:r w:rsidRPr="2993F789">
        <w:rPr>
          <w:rFonts w:ascii="Verdana" w:hAnsi="Verdana" w:cs="Arial"/>
          <w:sz w:val="22"/>
          <w:lang w:val="es-ES"/>
        </w:rPr>
        <w:t xml:space="preserve">Las disposiciones </w:t>
      </w:r>
      <w:r>
        <w:rPr>
          <w:rFonts w:ascii="Verdana" w:hAnsi="Verdana" w:cs="Arial"/>
          <w:sz w:val="22"/>
          <w:lang w:val="es-ES"/>
        </w:rPr>
        <w:t>legales</w:t>
      </w:r>
      <w:r w:rsidRPr="2993F789">
        <w:rPr>
          <w:rFonts w:ascii="Verdana" w:hAnsi="Verdana" w:cs="Arial"/>
          <w:sz w:val="22"/>
          <w:lang w:val="es-ES"/>
        </w:rPr>
        <w:t xml:space="preserve"> que regulan la etapa de liquidación de los contratos estatales son: el artículo 60 de la Ley 80 de 1993, modificado por el artículo 217 del Decreto 019 de 2012, y el artículo 11 de la Ley 1150 de 2007. El primero de estos artículos se refiere al alcance sustantivo de la liquidación, mientras que el segundo contiene reglas procedimentales para su realización. De acuerdo con el artículo 60 de la Ley 80 de 1993, los contratos de tracto sucesivo, aquellos cuyo cumplimiento o ejecución se prolongue en el tiempo y los demás que lo requieran “serán objeto de liquidación”. El mismo artículo prescribe que no será obligatoria la liquidación en los contratos de prestación de servicios profesionales y de apoyo a la gestión. El artículo 11 de la Ley 1150 de 2007</w:t>
      </w:r>
      <w:r w:rsidRPr="2993F789">
        <w:rPr>
          <w:rStyle w:val="Refdenotaalpie"/>
          <w:rFonts w:ascii="Verdana" w:hAnsi="Verdana" w:cs="Arial"/>
          <w:sz w:val="22"/>
          <w:lang w:val="es-ES"/>
        </w:rPr>
        <w:footnoteReference w:id="4"/>
      </w:r>
      <w:r w:rsidRPr="2993F789">
        <w:rPr>
          <w:rFonts w:ascii="Verdana" w:hAnsi="Verdana" w:cs="Arial"/>
          <w:sz w:val="22"/>
          <w:lang w:val="es-ES"/>
        </w:rPr>
        <w:t xml:space="preserve"> contiene las reglas de tipo procedimental para liquidar los contratos estatales, las cuales se pasan a explicar. </w:t>
      </w:r>
    </w:p>
    <w:p w14:paraId="772BDDC2" w14:textId="77777777" w:rsidR="004E3903" w:rsidRPr="00463386" w:rsidRDefault="004E3903" w:rsidP="004E3903">
      <w:pPr>
        <w:spacing w:after="120" w:line="276" w:lineRule="auto"/>
        <w:ind w:firstLine="709"/>
        <w:jc w:val="both"/>
        <w:rPr>
          <w:rFonts w:ascii="Verdana" w:hAnsi="Verdana" w:cs="Arial"/>
          <w:lang w:val="es-ES"/>
        </w:rPr>
      </w:pPr>
      <w:r w:rsidRPr="2993F789">
        <w:rPr>
          <w:rFonts w:ascii="Verdana" w:hAnsi="Verdana" w:cs="Arial"/>
          <w:lang w:val="es-ES"/>
        </w:rPr>
        <w:t xml:space="preserve">En primer lugar, en ejercicio de la autonomía de la voluntad y de conformidad con la naturaleza, el objeto y el plazo del contrato, la entidad estatal puede definir en el pliego de condiciones o el documento equivalente el plazo para efectuar la liquidación de mutuo acuerdo. Al respecto, el artículo 11 de la Ley 1150 de 2007 señala que la liquidación de mutuo acuerdo se deberá realizar dentro del plazo previsto en “los pliegos de condiciones o sus equivalentes, o dentro del que acuerden las partes para el efecto”. De otro lado, cuando el artículo 11 </w:t>
      </w:r>
      <w:r w:rsidRPr="2993F789">
        <w:rPr>
          <w:rFonts w:ascii="Verdana" w:hAnsi="Verdana" w:cs="Arial"/>
          <w:i/>
          <w:iCs/>
          <w:lang w:val="es-ES"/>
        </w:rPr>
        <w:t>ibidem</w:t>
      </w:r>
      <w:r w:rsidRPr="2993F789">
        <w:rPr>
          <w:rFonts w:ascii="Verdana" w:hAnsi="Verdana" w:cs="Arial"/>
          <w:lang w:val="es-ES"/>
        </w:rPr>
        <w:t xml:space="preserve"> hace referencia al término que “acuerden las partes” para la </w:t>
      </w:r>
      <w:r w:rsidRPr="2993F789">
        <w:rPr>
          <w:rFonts w:ascii="Verdana" w:hAnsi="Verdana" w:cs="Arial"/>
          <w:lang w:val="es-ES"/>
        </w:rPr>
        <w:lastRenderedPageBreak/>
        <w:t xml:space="preserve">liquidación de mutuo acuerdo, claramente está habilitando a las partes para que, en ejercicio de la autonomía de la voluntad que les asiste, prevean de común acuerdo un plazo para la liquidación bilateral. Este plazo, en principio, debe estar consignado en el contrato, al ser este el acto jurídico bilateral en el que se consigna originalmente la voluntad de las partes. </w:t>
      </w:r>
    </w:p>
    <w:p w14:paraId="68E75190" w14:textId="77777777" w:rsidR="004E3903" w:rsidRDefault="004E3903" w:rsidP="004E3903">
      <w:pPr>
        <w:spacing w:after="120" w:line="276" w:lineRule="auto"/>
        <w:ind w:firstLine="709"/>
        <w:jc w:val="both"/>
        <w:rPr>
          <w:rFonts w:ascii="Verdana" w:hAnsi="Verdana" w:cs="Arial"/>
          <w:lang w:val="es-ES"/>
        </w:rPr>
      </w:pPr>
      <w:r w:rsidRPr="2993F789">
        <w:rPr>
          <w:rFonts w:ascii="Verdana" w:hAnsi="Verdana" w:cs="Arial"/>
          <w:lang w:val="es-ES"/>
        </w:rPr>
        <w:t xml:space="preserve">En segundo lugar, en ausencia de pacto, el artículo 11 de la Ley 1150 de 2007 dispone un término supletivo de cuatro (4) meses contados desde: i) el vencimiento del plazo previsto para la ejecución del contrato, </w:t>
      </w:r>
      <w:proofErr w:type="spellStart"/>
      <w:r w:rsidRPr="2993F789">
        <w:rPr>
          <w:rFonts w:ascii="Verdana" w:hAnsi="Verdana" w:cs="Arial"/>
          <w:lang w:val="es-ES"/>
        </w:rPr>
        <w:t>ii</w:t>
      </w:r>
      <w:proofErr w:type="spellEnd"/>
      <w:r w:rsidRPr="2993F789">
        <w:rPr>
          <w:rFonts w:ascii="Verdana" w:hAnsi="Verdana" w:cs="Arial"/>
          <w:lang w:val="es-ES"/>
        </w:rPr>
        <w:t xml:space="preserve">) la expedición del acto administrativo que ordene la terminación del contrato, o </w:t>
      </w:r>
      <w:proofErr w:type="spellStart"/>
      <w:r w:rsidRPr="2993F789">
        <w:rPr>
          <w:rFonts w:ascii="Verdana" w:hAnsi="Verdana" w:cs="Arial"/>
          <w:lang w:val="es-ES"/>
        </w:rPr>
        <w:t>iii</w:t>
      </w:r>
      <w:proofErr w:type="spellEnd"/>
      <w:r w:rsidRPr="2993F789">
        <w:rPr>
          <w:rFonts w:ascii="Verdana" w:hAnsi="Verdana" w:cs="Arial"/>
          <w:lang w:val="es-ES"/>
        </w:rPr>
        <w:t xml:space="preserve">) la fecha del acuerdo que disponga la terminación del contrato. Ahora bien, el término supletivo de cuatro (4) meses previstos en el artículo 11 de la Ley 1150 de 2007 solo resulta aplicable ante la ausencia de regulación </w:t>
      </w:r>
      <w:proofErr w:type="gramStart"/>
      <w:r w:rsidRPr="2993F789">
        <w:rPr>
          <w:rFonts w:ascii="Verdana" w:hAnsi="Verdana" w:cs="Arial"/>
          <w:lang w:val="es-ES"/>
        </w:rPr>
        <w:t>del mismo</w:t>
      </w:r>
      <w:proofErr w:type="gramEnd"/>
      <w:r w:rsidRPr="2993F789">
        <w:rPr>
          <w:rFonts w:ascii="Verdana" w:hAnsi="Verdana" w:cs="Arial"/>
          <w:lang w:val="es-ES"/>
        </w:rPr>
        <w:t xml:space="preserve"> en el pliego de condiciones –documento equivalente– y ante la falta de acuerdo entre las partes en torno al plazo de liquidación bilateral. </w:t>
      </w:r>
    </w:p>
    <w:p w14:paraId="0D30E558" w14:textId="77777777" w:rsidR="004E3903" w:rsidRDefault="004E3903" w:rsidP="004E3903">
      <w:pPr>
        <w:spacing w:after="120" w:line="276" w:lineRule="auto"/>
        <w:ind w:firstLine="709"/>
        <w:jc w:val="both"/>
        <w:rPr>
          <w:rFonts w:ascii="Verdana" w:hAnsi="Verdana" w:cs="Arial"/>
          <w:lang w:val="es-ES"/>
        </w:rPr>
      </w:pPr>
      <w:r w:rsidRPr="00463386">
        <w:rPr>
          <w:rFonts w:ascii="Verdana" w:hAnsi="Verdana" w:cs="Arial"/>
          <w:lang w:val="es-ES"/>
        </w:rPr>
        <w:t>Durante este término</w:t>
      </w:r>
      <w:r>
        <w:rPr>
          <w:rFonts w:ascii="Verdana" w:hAnsi="Verdana" w:cs="Arial"/>
          <w:lang w:val="es-ES"/>
        </w:rPr>
        <w:t xml:space="preserve"> de cuatro (4) meses,</w:t>
      </w:r>
      <w:r w:rsidRPr="00463386">
        <w:rPr>
          <w:rFonts w:ascii="Verdana" w:hAnsi="Verdana" w:cs="Arial"/>
          <w:lang w:val="es-ES"/>
        </w:rPr>
        <w:t xml:space="preserve"> el contratista puede solicitar que se adelante el trámite de liquidación. Sin embargo, es responsabilidad de la entidad estatal convocarlo para adelantar la liquidación de común acuerdo o notificarlo para que se presente a la liquidación, de manera que el contrato pueda ser liquidado bilateralmente, bien sea en el plazo previsto en el pliego de condiciones, el acordado por las partes, o en los cuatro</w:t>
      </w:r>
      <w:r>
        <w:rPr>
          <w:rFonts w:ascii="Verdana" w:hAnsi="Verdana" w:cs="Arial"/>
          <w:lang w:val="es-ES"/>
        </w:rPr>
        <w:t xml:space="preserve"> (4)</w:t>
      </w:r>
      <w:r w:rsidRPr="00463386">
        <w:rPr>
          <w:rFonts w:ascii="Verdana" w:hAnsi="Verdana" w:cs="Arial"/>
          <w:lang w:val="es-ES"/>
        </w:rPr>
        <w:t xml:space="preserve"> meses señalados en la Ley, según corresponda. Esta liquidación bilateral puede ser total o parcial</w:t>
      </w:r>
      <w:r w:rsidRPr="00463386">
        <w:rPr>
          <w:rStyle w:val="Refdenotaalpie"/>
          <w:rFonts w:ascii="Verdana" w:hAnsi="Verdana" w:cs="Arial"/>
          <w:lang w:val="es-ES"/>
        </w:rPr>
        <w:footnoteReference w:id="5"/>
      </w:r>
      <w:r w:rsidRPr="00463386">
        <w:rPr>
          <w:rFonts w:ascii="Verdana" w:hAnsi="Verdana" w:cs="Arial"/>
          <w:lang w:val="es-ES"/>
        </w:rPr>
        <w:t xml:space="preserve">. </w:t>
      </w:r>
    </w:p>
    <w:p w14:paraId="27DB2741" w14:textId="77777777" w:rsidR="004E3903" w:rsidRPr="00463386" w:rsidRDefault="004E3903" w:rsidP="004E3903">
      <w:pPr>
        <w:spacing w:after="0" w:line="276" w:lineRule="auto"/>
        <w:ind w:firstLine="709"/>
        <w:jc w:val="both"/>
        <w:rPr>
          <w:rFonts w:ascii="Verdana" w:hAnsi="Verdana" w:cs="Arial"/>
          <w:lang w:val="es-ES"/>
        </w:rPr>
      </w:pPr>
      <w:r w:rsidRPr="2993F789">
        <w:rPr>
          <w:rFonts w:ascii="Verdana" w:hAnsi="Verdana" w:cs="Arial"/>
          <w:lang w:val="es-ES"/>
        </w:rPr>
        <w:t>Si no es posible efectuar la liquidación de manera bilateral en los términos anteriormente explicados, el ordenamiento jurídico prevé una habilitación competencial, de carácter subsidiario, para que la entidad estatal realice la liquidación unilateralmente. Sobre este punto, el Consejo de Estado ha señalado:</w:t>
      </w:r>
    </w:p>
    <w:p w14:paraId="1D7DAAA1" w14:textId="77777777" w:rsidR="004E3903" w:rsidRPr="00D03768" w:rsidRDefault="004E3903" w:rsidP="004E3903">
      <w:pPr>
        <w:pStyle w:val="Sinespaciado"/>
        <w:spacing w:line="276" w:lineRule="auto"/>
        <w:ind w:left="709" w:right="760"/>
        <w:jc w:val="both"/>
        <w:rPr>
          <w:rFonts w:ascii="Verdana" w:hAnsi="Verdana" w:cs="Arial"/>
          <w:sz w:val="22"/>
          <w:lang w:val="es-ES"/>
        </w:rPr>
      </w:pPr>
    </w:p>
    <w:p w14:paraId="790796EF" w14:textId="77777777" w:rsidR="004E3903" w:rsidRDefault="004E3903" w:rsidP="004E3903">
      <w:pPr>
        <w:pStyle w:val="Sinespaciado"/>
        <w:ind w:left="709" w:right="709"/>
        <w:jc w:val="both"/>
        <w:rPr>
          <w:rFonts w:ascii="Verdana" w:hAnsi="Verdana" w:cs="Arial"/>
          <w:sz w:val="20"/>
          <w:szCs w:val="20"/>
          <w:lang w:val="es-ES"/>
        </w:rPr>
      </w:pPr>
      <w:r w:rsidRPr="2993F789">
        <w:rPr>
          <w:rFonts w:ascii="Verdana" w:hAnsi="Verdana" w:cs="Arial"/>
          <w:sz w:val="20"/>
          <w:szCs w:val="20"/>
          <w:lang w:val="es-ES"/>
        </w:rPr>
        <w:t xml:space="preserve">“Al respecto se debe tener en cuenta que la liquidación unilateral es subsidiaria o supletoria frente a la bilateral, dado que el contratista tiene derecho a acordar la liquidación, debidamente reconocido por el ordenamiento jurídico. Para tal efecto, el contratista debe ser convocado o citado por la entidad contratante con el fin de intentar la liquidación bilateral, puesto que en el supuesto caso de que no sea así, la liquidación unilateral posterior que llegase a practicar la administración resultaría inválida, dado que no tendría competencia material para hacerla y por </w:t>
      </w:r>
      <w:r w:rsidRPr="2993F789">
        <w:rPr>
          <w:rFonts w:ascii="Verdana" w:hAnsi="Verdana" w:cs="Arial"/>
          <w:sz w:val="20"/>
          <w:szCs w:val="20"/>
          <w:lang w:val="es-ES"/>
        </w:rPr>
        <w:lastRenderedPageBreak/>
        <w:t>cuanto su adopción con tal omisión vulneraría el derecho del contratista al debido proceso y sus corolarios de defensa y contradicción y, además, configuraría un abuso de poder”</w:t>
      </w:r>
      <w:r w:rsidRPr="2993F789">
        <w:rPr>
          <w:rStyle w:val="Refdenotaalpie"/>
          <w:rFonts w:ascii="Verdana" w:hAnsi="Verdana" w:cs="Arial"/>
          <w:sz w:val="20"/>
          <w:szCs w:val="20"/>
          <w:lang w:val="es-ES"/>
        </w:rPr>
        <w:footnoteReference w:id="6"/>
      </w:r>
      <w:r w:rsidRPr="2993F789">
        <w:rPr>
          <w:rFonts w:ascii="Verdana" w:hAnsi="Verdana" w:cs="Arial"/>
          <w:sz w:val="20"/>
          <w:szCs w:val="20"/>
          <w:lang w:val="es-ES"/>
        </w:rPr>
        <w:t xml:space="preserve">. </w:t>
      </w:r>
    </w:p>
    <w:p w14:paraId="333654B9" w14:textId="77777777" w:rsidR="004E3903" w:rsidRPr="00D03768" w:rsidRDefault="004E3903" w:rsidP="004E3903">
      <w:pPr>
        <w:pStyle w:val="Sinespaciado"/>
        <w:spacing w:line="276" w:lineRule="auto"/>
        <w:ind w:left="709" w:right="709"/>
        <w:jc w:val="both"/>
        <w:rPr>
          <w:rFonts w:ascii="Verdana" w:hAnsi="Verdana" w:cs="Arial"/>
          <w:sz w:val="22"/>
          <w:lang w:val="es-ES"/>
        </w:rPr>
      </w:pPr>
    </w:p>
    <w:p w14:paraId="465D0776" w14:textId="77777777" w:rsidR="004E3903" w:rsidRDefault="004E3903" w:rsidP="004E3903">
      <w:pPr>
        <w:pStyle w:val="Sinespaciado"/>
        <w:spacing w:line="276" w:lineRule="auto"/>
        <w:ind w:firstLine="708"/>
        <w:jc w:val="both"/>
        <w:rPr>
          <w:rFonts w:ascii="Verdana" w:hAnsi="Verdana" w:cs="Arial"/>
          <w:sz w:val="22"/>
          <w:lang w:val="es-ES"/>
        </w:rPr>
      </w:pPr>
      <w:r w:rsidRPr="2993F789">
        <w:rPr>
          <w:rFonts w:ascii="Verdana" w:hAnsi="Verdana" w:cs="Arial"/>
          <w:sz w:val="22"/>
          <w:lang w:val="es-ES"/>
        </w:rPr>
        <w:t>Por lo tanto, si no se logra la liquidación bilateral del contrato en el término convencional o subsidiario, la entidad estatal tiene la facultad de liquidarlo unilateralmente durante el término de dos (2) meses contados a partir del vencimiento del plazo que acuerden las partes para liquidar bilateralmente, o ante el silencio de estas, del vencimiento de los cuatro (4) meses establecidos por la ley</w:t>
      </w:r>
      <w:r w:rsidRPr="2993F789">
        <w:rPr>
          <w:rStyle w:val="Refdenotaalpie"/>
          <w:rFonts w:ascii="Verdana" w:hAnsi="Verdana" w:cs="Arial"/>
          <w:sz w:val="22"/>
          <w:lang w:val="es-ES"/>
        </w:rPr>
        <w:footnoteReference w:id="7"/>
      </w:r>
      <w:r w:rsidRPr="2993F789">
        <w:rPr>
          <w:rFonts w:ascii="Verdana" w:hAnsi="Verdana" w:cs="Arial"/>
          <w:sz w:val="22"/>
          <w:lang w:val="es-ES"/>
        </w:rPr>
        <w:t xml:space="preserve">. Finalmente, transcurridos estos dos (2) meses, sin que se haya efectuado, la liquidación podrá realizarse en cualquier tiempo dentro de los dos (2) años siguientes al vencimiento del término legal para la liquidación unilateral. Durante estos dos (2) años la liquidación podrá hacerse de mutuo acuerdo, unilateralmente por la entidad, o podrá ser solicitada judicialmente. En este sentido, en decisión de unificación, el Consejo de Estado dijo: </w:t>
      </w:r>
    </w:p>
    <w:p w14:paraId="79F413EE" w14:textId="77777777" w:rsidR="004E3903" w:rsidRPr="00463386" w:rsidRDefault="004E3903" w:rsidP="004E3903">
      <w:pPr>
        <w:pStyle w:val="Sinespaciado"/>
        <w:spacing w:line="276" w:lineRule="auto"/>
        <w:ind w:firstLine="708"/>
        <w:jc w:val="both"/>
        <w:rPr>
          <w:rFonts w:ascii="Verdana" w:hAnsi="Verdana" w:cs="Arial"/>
          <w:sz w:val="22"/>
          <w:lang w:val="es-ES"/>
        </w:rPr>
      </w:pPr>
    </w:p>
    <w:p w14:paraId="23AD780A" w14:textId="77777777" w:rsidR="004E3903" w:rsidRPr="00DF38E2" w:rsidRDefault="004E3903" w:rsidP="004E3903">
      <w:pPr>
        <w:pStyle w:val="Sinespaciado"/>
        <w:ind w:left="709" w:right="709"/>
        <w:jc w:val="both"/>
        <w:rPr>
          <w:rFonts w:ascii="Verdana" w:hAnsi="Verdana" w:cs="Arial"/>
          <w:sz w:val="20"/>
          <w:szCs w:val="20"/>
          <w:lang w:val="es-ES"/>
        </w:rPr>
      </w:pPr>
      <w:r w:rsidRPr="00DF38E2">
        <w:rPr>
          <w:rFonts w:ascii="Verdana" w:hAnsi="Verdana" w:cs="Arial"/>
          <w:sz w:val="20"/>
          <w:szCs w:val="20"/>
          <w:lang w:val="es-ES"/>
        </w:rPr>
        <w:t xml:space="preserve">Como pudo apreciarse, este precepto legal permite que la liquidación bilateral se acuerde después del vencimiento del término pactado en el contrato o previsto en los documentos antepuestos, o, del término supletorio que para la concertación de la liquidación establece la ley, e  incluso, después de haber pasado los dos meses subsiguientes a dicho vencimiento sin que la administración lo hubiera liquidado unilateralmente, bajo condición de que el acuerdo </w:t>
      </w:r>
      <w:proofErr w:type="spellStart"/>
      <w:r w:rsidRPr="00DF38E2">
        <w:rPr>
          <w:rFonts w:ascii="Verdana" w:hAnsi="Verdana" w:cs="Arial"/>
          <w:sz w:val="20"/>
          <w:szCs w:val="20"/>
          <w:lang w:val="es-ES"/>
        </w:rPr>
        <w:t>liquidatorio</w:t>
      </w:r>
      <w:proofErr w:type="spellEnd"/>
      <w:r w:rsidRPr="00DF38E2">
        <w:rPr>
          <w:rFonts w:ascii="Verdana" w:hAnsi="Verdana" w:cs="Arial"/>
          <w:sz w:val="20"/>
          <w:szCs w:val="20"/>
          <w:lang w:val="es-ES"/>
        </w:rPr>
        <w:t xml:space="preserve"> se logre dentro del lapso de dos años contados a partir del vencimiento del término legalmente conocido para la liquidación unilateral, pues ese es el lapso que el ordenamiento ha fijado para el ejercicio oportuno de la acción</w:t>
      </w:r>
      <w:r w:rsidRPr="00DF38E2">
        <w:rPr>
          <w:rStyle w:val="Refdenotaalpie"/>
          <w:rFonts w:ascii="Verdana" w:hAnsi="Verdana" w:cs="Arial"/>
          <w:sz w:val="20"/>
          <w:szCs w:val="20"/>
          <w:lang w:val="es-ES"/>
        </w:rPr>
        <w:footnoteReference w:id="8"/>
      </w:r>
      <w:r w:rsidRPr="00DF38E2">
        <w:rPr>
          <w:rFonts w:ascii="Verdana" w:hAnsi="Verdana" w:cs="Arial"/>
          <w:sz w:val="20"/>
          <w:szCs w:val="20"/>
          <w:lang w:val="es-ES"/>
        </w:rPr>
        <w:t>.</w:t>
      </w:r>
    </w:p>
    <w:p w14:paraId="50E2E4BC" w14:textId="77777777" w:rsidR="004E3903" w:rsidRPr="00D03768" w:rsidRDefault="004E3903" w:rsidP="004E3903">
      <w:pPr>
        <w:pStyle w:val="Sinespaciado"/>
        <w:ind w:right="709" w:firstLine="709"/>
        <w:jc w:val="both"/>
        <w:rPr>
          <w:rFonts w:ascii="Verdana" w:hAnsi="Verdana" w:cs="Arial"/>
          <w:sz w:val="22"/>
          <w:lang w:val="es-ES"/>
        </w:rPr>
      </w:pPr>
    </w:p>
    <w:p w14:paraId="2B6DD69E" w14:textId="77777777" w:rsidR="004E3903" w:rsidRPr="005C4A0F" w:rsidRDefault="004E3903" w:rsidP="004E3903">
      <w:pPr>
        <w:tabs>
          <w:tab w:val="left" w:pos="709"/>
        </w:tabs>
        <w:spacing w:after="120" w:line="276" w:lineRule="auto"/>
        <w:ind w:firstLine="709"/>
        <w:jc w:val="both"/>
        <w:rPr>
          <w:rFonts w:ascii="Verdana" w:eastAsia="Calibri" w:hAnsi="Verdana" w:cs="Arial"/>
        </w:rPr>
      </w:pPr>
      <w:r w:rsidRPr="4A3FD318">
        <w:rPr>
          <w:rFonts w:ascii="Verdana" w:eastAsia="Calibri" w:hAnsi="Verdana" w:cs="Arial"/>
        </w:rPr>
        <w:t xml:space="preserve">En armonía con lo anterior, se podrá interponer una demanda ante la jurisdicción de lo contencioso administrativo solicitando la liquidación judicial del contrato, mediante el medio de control de controversias contractuales, en los términos del artículo 141 del Código de Procedimiento Administrativo y de lo Contencioso Administrativo –CPACA–. La demanda debe ser presentada dentro del término que establece el artículo 164 del CPACA, pues de lo contrario operará </w:t>
      </w:r>
      <w:r w:rsidRPr="4A3FD318">
        <w:rPr>
          <w:rFonts w:ascii="Verdana" w:eastAsia="Calibri" w:hAnsi="Verdana" w:cs="Arial"/>
        </w:rPr>
        <w:lastRenderedPageBreak/>
        <w:t>el fenómeno de la caducidad, por lo cual no sería posible realizar la liquidación del contrato por ningún medio.</w:t>
      </w:r>
    </w:p>
    <w:p w14:paraId="2FCF2877" w14:textId="77777777" w:rsidR="004E3903" w:rsidRPr="006D2030" w:rsidRDefault="004E3903" w:rsidP="004E3903">
      <w:pPr>
        <w:spacing w:after="120" w:line="276" w:lineRule="auto"/>
        <w:ind w:firstLine="709"/>
        <w:jc w:val="both"/>
        <w:rPr>
          <w:rFonts w:ascii="Verdana" w:eastAsia="Calibri" w:hAnsi="Verdana" w:cs="Arial"/>
          <w:lang w:val="es-ES"/>
        </w:rPr>
      </w:pPr>
      <w:r w:rsidRPr="4A3FD318">
        <w:rPr>
          <w:rFonts w:ascii="Verdana" w:eastAsia="Calibri" w:hAnsi="Verdana" w:cs="Arial"/>
          <w:lang w:val="es-ES"/>
        </w:rPr>
        <w:t>En este punto, es pertinente aclarar que, en relación con el término de caducidad para demandar en aquellos contratos que requieran liquidación, la jurisprudencia unificada del Consejo de Estado ha determinado que, en virtud del artículo 164 de la Ley 1437 de 2011 -CPACA-, la regla general es que los dos (2) años comiencen a correr a partir de la fecha de expedición del acta de liquidación, bien sea unilateral o de mutuo acuerdo. Solo en caso de que no exista liquidación de ningún tipo, el término de dos (2) años comienza a contar a partir de la suma de los seis (6) meses de que trata el artículo 11 de la Ley 1150 de 2011.</w:t>
      </w:r>
    </w:p>
    <w:p w14:paraId="3950387E" w14:textId="77777777" w:rsidR="004E3903" w:rsidRPr="006D2030" w:rsidRDefault="004E3903" w:rsidP="004E3903">
      <w:pPr>
        <w:spacing w:after="120" w:line="276" w:lineRule="auto"/>
        <w:ind w:firstLine="709"/>
        <w:jc w:val="both"/>
        <w:rPr>
          <w:rFonts w:ascii="Verdana" w:eastAsia="Calibri" w:hAnsi="Verdana" w:cs="Arial"/>
          <w:lang w:val="es-ES"/>
        </w:rPr>
      </w:pPr>
      <w:r w:rsidRPr="4A3FD318">
        <w:rPr>
          <w:rFonts w:ascii="Verdana" w:eastAsia="Calibri" w:hAnsi="Verdana" w:cs="Arial"/>
          <w:lang w:val="es-ES"/>
        </w:rPr>
        <w:t xml:space="preserve">Así las cosas, es claro que el ordenamiento jurídico vigente permite la liquidación unilateral, bilateral e incluso judicial una vez vencido el plazo establecido por el artículo 11 de la Ley 1150 de 2007. En otras palabras, la liquidación final de los contratos estatales tiene un ámbito temporal que empieza con la terminación del contrato y comprende: i) el periodo contractual pactado por las partes o supletivo legal –de cuatro (4) meses– para la liquidación bilateral; </w:t>
      </w:r>
      <w:proofErr w:type="spellStart"/>
      <w:r w:rsidRPr="4A3FD318">
        <w:rPr>
          <w:rFonts w:ascii="Verdana" w:eastAsia="Calibri" w:hAnsi="Verdana" w:cs="Arial"/>
          <w:lang w:val="es-ES"/>
        </w:rPr>
        <w:t>ii</w:t>
      </w:r>
      <w:proofErr w:type="spellEnd"/>
      <w:r w:rsidRPr="4A3FD318">
        <w:rPr>
          <w:rFonts w:ascii="Verdana" w:eastAsia="Calibri" w:hAnsi="Verdana" w:cs="Arial"/>
          <w:lang w:val="es-ES"/>
        </w:rPr>
        <w:t xml:space="preserve">) más el período legal para la liquidación unilateral –de dos (2) meses–; </w:t>
      </w:r>
      <w:proofErr w:type="spellStart"/>
      <w:r w:rsidRPr="4A3FD318">
        <w:rPr>
          <w:rFonts w:ascii="Verdana" w:eastAsia="Calibri" w:hAnsi="Verdana" w:cs="Arial"/>
          <w:lang w:val="es-ES"/>
        </w:rPr>
        <w:t>iii</w:t>
      </w:r>
      <w:proofErr w:type="spellEnd"/>
      <w:r w:rsidRPr="4A3FD318">
        <w:rPr>
          <w:rFonts w:ascii="Verdana" w:eastAsia="Calibri" w:hAnsi="Verdana" w:cs="Arial"/>
          <w:lang w:val="es-ES"/>
        </w:rPr>
        <w:t>) más el plazo de dos (2) años para hacerlo de mutuo acuerdo o unilateralmente, sin perjuicio de que se solicite la liquidación judicial.</w:t>
      </w:r>
    </w:p>
    <w:p w14:paraId="55941CC1" w14:textId="77777777" w:rsidR="004E3903" w:rsidRDefault="004E3903" w:rsidP="004E3903">
      <w:pPr>
        <w:spacing w:after="120" w:line="276" w:lineRule="auto"/>
        <w:ind w:firstLine="709"/>
        <w:jc w:val="both"/>
        <w:rPr>
          <w:rFonts w:ascii="Verdana" w:hAnsi="Verdana" w:cs="Arial"/>
          <w:lang w:val="es-ES"/>
        </w:rPr>
      </w:pPr>
      <w:r w:rsidRPr="4A3FD318">
        <w:rPr>
          <w:rFonts w:ascii="Verdana" w:hAnsi="Verdana" w:cs="Arial"/>
          <w:color w:val="000000" w:themeColor="text1"/>
          <w:lang w:val="es-ES"/>
        </w:rPr>
        <w:t xml:space="preserve">En ese orden de ideas, si se trata de un contrato en el cual no existe pacto sobre el término para la liquidación bilateral, el término supletivo aplicaría, y se podría liquidar el contrato dentro de los cuatro (4) meses siguientes a su terminación de manera bilateral, dentro de los dos (2) meses siguientes a ellos de manera unilateral por la entidad, más un plazo de dos (2) años para la liquidación unilateral, bilateral o judicial. Esto, para un total de dos (2) años y seis (6) meses.  Estos términos pueden verse modificados si las partes acuerdan un plazo mayor o menor para realizar la liquidación de mutuo acuerdo, con lo cual dejaría de estar incluido el término supletivo de la Ley 1150 de 2007. </w:t>
      </w:r>
      <w:r w:rsidRPr="4A3FD318">
        <w:rPr>
          <w:rFonts w:ascii="Verdana" w:hAnsi="Verdana" w:cs="Arial"/>
          <w:lang w:val="es-ES"/>
        </w:rPr>
        <w:t xml:space="preserve"> </w:t>
      </w:r>
    </w:p>
    <w:p w14:paraId="2E1FEFEE" w14:textId="77777777" w:rsidR="004E3903" w:rsidRDefault="004E3903" w:rsidP="004E3903">
      <w:pPr>
        <w:spacing w:after="120" w:line="276" w:lineRule="auto"/>
        <w:ind w:firstLine="709"/>
        <w:jc w:val="both"/>
        <w:rPr>
          <w:rFonts w:ascii="Verdana" w:hAnsi="Verdana" w:cs="Arial"/>
          <w:lang w:val="es-ES"/>
        </w:rPr>
      </w:pPr>
      <w:r w:rsidRPr="2993F789">
        <w:rPr>
          <w:rFonts w:ascii="Verdana" w:hAnsi="Verdana" w:cs="Arial"/>
          <w:lang w:val="es-ES"/>
        </w:rPr>
        <w:t xml:space="preserve">En suma, de acuerdo con el artículo 11 de la Ley 1150 de 2007, existen tres tipos de liquidación: </w:t>
      </w:r>
    </w:p>
    <w:p w14:paraId="1A4452CF" w14:textId="77777777" w:rsidR="004E3903" w:rsidRPr="00D260F1" w:rsidRDefault="004E3903" w:rsidP="004E3903">
      <w:pPr>
        <w:numPr>
          <w:ilvl w:val="0"/>
          <w:numId w:val="3"/>
        </w:numPr>
        <w:spacing w:after="120" w:line="276" w:lineRule="auto"/>
        <w:ind w:left="360"/>
        <w:jc w:val="both"/>
        <w:rPr>
          <w:rFonts w:ascii="Verdana" w:hAnsi="Verdana" w:cs="Arial"/>
        </w:rPr>
      </w:pPr>
      <w:r w:rsidRPr="2993F789">
        <w:rPr>
          <w:rFonts w:ascii="Verdana" w:hAnsi="Verdana" w:cs="Arial"/>
          <w:i/>
          <w:iCs/>
        </w:rPr>
        <w:t>Bilateral:</w:t>
      </w:r>
      <w:r w:rsidRPr="2993F789">
        <w:rPr>
          <w:rFonts w:ascii="Verdana" w:hAnsi="Verdana" w:cs="Arial"/>
        </w:rPr>
        <w:t xml:space="preserve"> Puede ser total o parcial, y debe realizarse dentro del término pactado por las partes o, en su defecto, dentro del término supletivo de cuatro (4) meses.</w:t>
      </w:r>
    </w:p>
    <w:p w14:paraId="4A297E67" w14:textId="77777777" w:rsidR="004E3903" w:rsidRPr="00D260F1" w:rsidRDefault="004E3903" w:rsidP="004E3903">
      <w:pPr>
        <w:numPr>
          <w:ilvl w:val="0"/>
          <w:numId w:val="3"/>
        </w:numPr>
        <w:spacing w:after="120" w:line="276" w:lineRule="auto"/>
        <w:ind w:left="360"/>
        <w:jc w:val="both"/>
        <w:rPr>
          <w:rFonts w:ascii="Verdana" w:hAnsi="Verdana" w:cs="Arial"/>
        </w:rPr>
      </w:pPr>
      <w:r w:rsidRPr="2993F789">
        <w:rPr>
          <w:rFonts w:ascii="Verdana" w:hAnsi="Verdana" w:cs="Arial"/>
          <w:i/>
          <w:iCs/>
        </w:rPr>
        <w:lastRenderedPageBreak/>
        <w:t>Unilateral:</w:t>
      </w:r>
      <w:r w:rsidRPr="2993F789">
        <w:rPr>
          <w:rFonts w:ascii="Verdana" w:hAnsi="Verdana" w:cs="Arial"/>
        </w:rPr>
        <w:t xml:space="preserve"> Procede dentro de los dos (2) meses siguientes al vencimiento del término pactado o del término supletivo, si no se logró la liquidación bilateral.</w:t>
      </w:r>
    </w:p>
    <w:p w14:paraId="34E31FE4" w14:textId="77777777" w:rsidR="004E3903" w:rsidRPr="00D260F1" w:rsidRDefault="004E3903" w:rsidP="004E3903">
      <w:pPr>
        <w:numPr>
          <w:ilvl w:val="0"/>
          <w:numId w:val="3"/>
        </w:numPr>
        <w:spacing w:after="0" w:line="276" w:lineRule="auto"/>
        <w:ind w:left="360"/>
        <w:jc w:val="both"/>
        <w:rPr>
          <w:rFonts w:ascii="Verdana" w:hAnsi="Verdana" w:cs="Arial"/>
        </w:rPr>
      </w:pPr>
      <w:r w:rsidRPr="2993F789">
        <w:rPr>
          <w:rFonts w:ascii="Verdana" w:hAnsi="Verdana" w:cs="Arial"/>
          <w:i/>
          <w:iCs/>
        </w:rPr>
        <w:t>Judicial:</w:t>
      </w:r>
      <w:r w:rsidRPr="2993F789">
        <w:rPr>
          <w:rFonts w:ascii="Verdana" w:hAnsi="Verdana" w:cs="Arial"/>
        </w:rPr>
        <w:t xml:space="preserve"> Puede ser solicitada ante la Jurisdicción de lo Contencioso Administrativo o un tribunal de arbitramento, mediante el medio de control de controversias contractuales. Esta debe interponerse dentro de los dos (2) años siguientes al vencimiento del término para la liquidación unilateral, conforme a la jurisprudencia unificada del Consejo de Estado</w:t>
      </w:r>
    </w:p>
    <w:p w14:paraId="084B4BF1" w14:textId="77777777" w:rsidR="004E3903" w:rsidRPr="00D03768" w:rsidRDefault="004E3903" w:rsidP="004E3903">
      <w:pPr>
        <w:spacing w:after="0" w:line="276" w:lineRule="auto"/>
        <w:ind w:firstLine="709"/>
        <w:jc w:val="both"/>
        <w:rPr>
          <w:rFonts w:ascii="Verdana" w:hAnsi="Verdana" w:cs="Arial"/>
          <w:lang w:val="es-ES"/>
        </w:rPr>
      </w:pPr>
    </w:p>
    <w:p w14:paraId="4BAD156C" w14:textId="77777777" w:rsidR="004E3903" w:rsidRDefault="004E3903" w:rsidP="004E3903">
      <w:pPr>
        <w:spacing w:after="120" w:line="276" w:lineRule="auto"/>
        <w:ind w:firstLine="708"/>
        <w:jc w:val="both"/>
        <w:rPr>
          <w:rFonts w:ascii="Verdana" w:eastAsia="Times New Roman" w:hAnsi="Verdana" w:cs="Arial"/>
          <w:color w:val="000000" w:themeColor="text1"/>
          <w:lang w:eastAsia="es-CO"/>
        </w:rPr>
      </w:pPr>
      <w:r w:rsidRPr="00B64A74">
        <w:rPr>
          <w:rFonts w:ascii="Verdana" w:eastAsia="Times New Roman" w:hAnsi="Verdana" w:cs="Arial"/>
          <w:color w:val="000000" w:themeColor="text1"/>
          <w:lang w:eastAsia="es-CO"/>
        </w:rPr>
        <w:t xml:space="preserve">Así las cosas, posterior a los términos referenciados en el párrafo precedente sin que se hubiese liquidado el contrato, ésta no podrá adelantarse dado que los plazos referidos son perentorios. Esto significa que con su vencimiento fenece la oportunidad de efectuarla ante la pérdida de competencia de la entidad para realizar el balance final del acuerdo de voluntades pactado. </w:t>
      </w:r>
    </w:p>
    <w:p w14:paraId="4A1BA4E7" w14:textId="77777777" w:rsidR="004E3903" w:rsidRPr="00B64A74" w:rsidRDefault="004E3903" w:rsidP="004E3903">
      <w:pPr>
        <w:spacing w:after="120" w:line="276" w:lineRule="auto"/>
        <w:ind w:firstLine="708"/>
        <w:jc w:val="both"/>
        <w:rPr>
          <w:rFonts w:ascii="Verdana" w:eastAsia="Times New Roman" w:hAnsi="Verdana" w:cs="Arial"/>
          <w:color w:val="000000" w:themeColor="text1"/>
          <w:lang w:eastAsia="es-CO"/>
        </w:rPr>
      </w:pPr>
      <w:r w:rsidRPr="00B64A74">
        <w:rPr>
          <w:rFonts w:ascii="Verdana" w:eastAsia="Times New Roman" w:hAnsi="Verdana" w:cs="Arial"/>
          <w:color w:val="000000" w:themeColor="text1"/>
          <w:lang w:eastAsia="es-CO"/>
        </w:rPr>
        <w:t>Esta Subdirección, en el Concepto 4201913000006142 de 7 de octubre de 2019, señaló que con la caducidad del medio de control de controversias contractuales las entidades pierden la competencia para liquidar el contrato, ya que el fenómeno procesal constituía la preclusión de la oportunidad para reclamar las sumas de dinero adeudadas por las partes. Asimismo, la doctrina señala que:</w:t>
      </w:r>
    </w:p>
    <w:p w14:paraId="21921580" w14:textId="77777777" w:rsidR="004E3903" w:rsidRPr="00B64A74" w:rsidRDefault="004E3903" w:rsidP="004E3903">
      <w:pPr>
        <w:spacing w:after="0" w:line="240" w:lineRule="auto"/>
        <w:ind w:left="709" w:right="709"/>
        <w:jc w:val="both"/>
        <w:rPr>
          <w:rFonts w:ascii="Verdana" w:eastAsia="Times New Roman" w:hAnsi="Verdana" w:cs="Arial"/>
          <w:color w:val="000000" w:themeColor="text1"/>
          <w:sz w:val="20"/>
          <w:szCs w:val="20"/>
          <w:lang w:eastAsia="es-CO"/>
        </w:rPr>
      </w:pPr>
      <w:r w:rsidRPr="00B64A74">
        <w:rPr>
          <w:rFonts w:ascii="Verdana" w:eastAsia="Times New Roman" w:hAnsi="Verdana" w:cs="Arial"/>
          <w:color w:val="000000" w:themeColor="text1"/>
          <w:sz w:val="20"/>
          <w:szCs w:val="20"/>
          <w:lang w:eastAsia="es-CO"/>
        </w:rPr>
        <w:t>“Suele argüirse, en la práctica, que es factible efectuar la liquidación del contrato, así haya operado la caducidad de la acción, con base en la existencia de una obligación natural, que fundamentaría pagarle al contratista lo que se le debe. Sin embargo, se trata de una posición equivocada, pues si bien el artículo 1527 del Código Civil establece que las obligaciones naturales son ‘las que no confieren derecho para exigir su cumplimiento, pero que cumplidas autorizan para retener lo que se ha dado o pagado, en razón de ellas’, los servidores públicos no puede reconocer acreencias inexigibles, sino cuentan con la competencia expresa para hacerlo, pues estaría desbordando el marco de sus atribuciones constitucionales, legales y reglamentarias. Además, del concepto mismo de obligación natural no se deduce la consagración de la competencia para liquidar el contrato estatal, luego de expirado el término de caducidad del medio de control de controversias contractuales”</w:t>
      </w:r>
      <w:r w:rsidRPr="00B64A74">
        <w:rPr>
          <w:rStyle w:val="Refdenotaalpie"/>
          <w:rFonts w:ascii="Verdana" w:eastAsia="Times New Roman" w:hAnsi="Verdana" w:cs="Arial"/>
          <w:color w:val="000000" w:themeColor="text1"/>
          <w:sz w:val="20"/>
          <w:szCs w:val="20"/>
          <w:lang w:eastAsia="es-CO"/>
        </w:rPr>
        <w:footnoteReference w:id="9"/>
      </w:r>
      <w:r w:rsidRPr="00B64A74">
        <w:rPr>
          <w:rFonts w:ascii="Verdana" w:eastAsia="Times New Roman" w:hAnsi="Verdana" w:cs="Arial"/>
          <w:color w:val="000000" w:themeColor="text1"/>
          <w:sz w:val="20"/>
          <w:szCs w:val="20"/>
          <w:lang w:eastAsia="es-CO"/>
        </w:rPr>
        <w:t xml:space="preserve">.   </w:t>
      </w:r>
    </w:p>
    <w:p w14:paraId="7C4F9255" w14:textId="77777777" w:rsidR="004E3903" w:rsidRPr="00B64A74" w:rsidRDefault="004E3903" w:rsidP="004E3903">
      <w:pPr>
        <w:tabs>
          <w:tab w:val="left" w:pos="709"/>
        </w:tabs>
        <w:spacing w:after="0" w:line="240" w:lineRule="auto"/>
        <w:jc w:val="both"/>
        <w:rPr>
          <w:rFonts w:ascii="Verdana" w:eastAsia="Times New Roman" w:hAnsi="Verdana" w:cs="Arial"/>
          <w:color w:val="000000"/>
          <w:bdr w:val="none" w:sz="0" w:space="0" w:color="auto" w:frame="1"/>
          <w:shd w:val="clear" w:color="auto" w:fill="FFFFFF"/>
          <w:lang w:eastAsia="es-ES_tradnl"/>
        </w:rPr>
      </w:pPr>
    </w:p>
    <w:p w14:paraId="13ADC7FC" w14:textId="77777777" w:rsidR="004E3903" w:rsidRDefault="004E3903" w:rsidP="004E3903">
      <w:pPr>
        <w:tabs>
          <w:tab w:val="left" w:pos="709"/>
        </w:tabs>
        <w:spacing w:after="120" w:line="276" w:lineRule="auto"/>
        <w:jc w:val="both"/>
        <w:rPr>
          <w:rFonts w:ascii="Verdana" w:eastAsia="Calibri" w:hAnsi="Verdana" w:cs="Arial"/>
          <w:color w:val="000000"/>
          <w:lang w:eastAsia="es-ES"/>
        </w:rPr>
      </w:pPr>
      <w:r w:rsidRPr="00B64A74">
        <w:rPr>
          <w:rFonts w:ascii="Verdana" w:eastAsia="Times New Roman" w:hAnsi="Verdana" w:cs="Arial"/>
          <w:color w:val="000000"/>
          <w:bdr w:val="none" w:sz="0" w:space="0" w:color="auto" w:frame="1"/>
          <w:shd w:val="clear" w:color="auto" w:fill="FFFFFF"/>
          <w:lang w:eastAsia="es-ES_tradnl"/>
        </w:rPr>
        <w:tab/>
      </w:r>
      <w:r w:rsidRPr="00B64A74">
        <w:rPr>
          <w:rFonts w:ascii="Verdana" w:eastAsia="Calibri" w:hAnsi="Verdana" w:cs="Arial"/>
          <w:color w:val="000000"/>
          <w:lang w:eastAsia="es-ES"/>
        </w:rPr>
        <w:t xml:space="preserve">En consecuencia, dentro de los límites previstos en el literal j) del artículo 164 numeral 2 de la Ley 1437 de 2011, es posible liquidar bilateral o </w:t>
      </w:r>
      <w:r w:rsidRPr="00B64A74">
        <w:rPr>
          <w:rFonts w:ascii="Verdana" w:eastAsia="Calibri" w:hAnsi="Verdana" w:cs="Arial"/>
          <w:color w:val="000000"/>
          <w:lang w:eastAsia="es-ES"/>
        </w:rPr>
        <w:lastRenderedPageBreak/>
        <w:t xml:space="preserve">unilateralmente siempre que no haya caducado el medio de control de controversias contractuales. Lo anterior, aunque haya pasado el término previsto en los documentos del proceso o el supletivo de cuatro (4) meses –tratándose de la liquidación bilateral–, así como el plazo de dos (2) meses –tratándose de la liquidación unilateral–. Cualquier liquidación efectuada después de la caducidad del medio de control implica la pérdida de competencia temporal, por lo que está viciada de nulidad. </w:t>
      </w:r>
    </w:p>
    <w:p w14:paraId="0CDDC0D4" w14:textId="77777777" w:rsidR="004E3903" w:rsidRDefault="004E3903" w:rsidP="004E3903">
      <w:pPr>
        <w:spacing w:after="120" w:line="276" w:lineRule="auto"/>
        <w:ind w:firstLine="708"/>
        <w:jc w:val="both"/>
        <w:rPr>
          <w:rFonts w:ascii="Verdana" w:hAnsi="Verdana" w:cs="Arial"/>
          <w:lang w:eastAsia="es-MX"/>
        </w:rPr>
      </w:pPr>
      <w:r w:rsidRPr="2993F789">
        <w:rPr>
          <w:rFonts w:ascii="Verdana" w:hAnsi="Verdana" w:cs="Arial"/>
          <w:lang w:eastAsia="es-MX"/>
        </w:rPr>
        <w:t>Conforme al marco jurídico expuesto, se concluye que la entidad estatal solo pierde competencia para efectuar la liquidación del contrato una vez opera la caducidad del medio de control de controversias contractuales. Es decir, existe un plazo máximo de dos (2) años, contados a partir de los dos (2) meses establecidos en la ley para realizar la liquidación unilateral, dentro del cual la entidad puede liquidar el contrato de manera bilateral o unilateral. La normativa vigente no contempla la pérdida de competencia para efectuar la liquidación en el evento en que se encuentre pendiente de decisión un proceso sancionatorio contra el contratista. En tal caso, la entidad puede proceder con la liquidación del contrato, sin que el trámite sancionatorio constituya un impedimento legal para ello.</w:t>
      </w:r>
    </w:p>
    <w:p w14:paraId="323B33EC" w14:textId="77777777" w:rsidR="004E3903" w:rsidRPr="006144D7" w:rsidRDefault="004E3903" w:rsidP="004E3903">
      <w:pPr>
        <w:spacing w:after="120" w:line="276" w:lineRule="auto"/>
        <w:ind w:firstLine="709"/>
        <w:jc w:val="both"/>
        <w:rPr>
          <w:rFonts w:ascii="Arial" w:eastAsia="Times New Roman" w:hAnsi="Arial" w:cs="Arial"/>
          <w:bCs/>
          <w:color w:val="000000"/>
          <w:szCs w:val="24"/>
          <w:lang w:val="es-ES_tradnl" w:eastAsia="es-ES_tradnl"/>
        </w:rPr>
      </w:pPr>
      <w:r>
        <w:rPr>
          <w:rFonts w:ascii="Verdana" w:hAnsi="Verdana" w:cs="Arial"/>
          <w:lang w:eastAsia="es-MX"/>
        </w:rPr>
        <w:t xml:space="preserve">Ahora bien, respecto al marco de la garantía de cumplimiento del contrato, se tiene que está concebida para </w:t>
      </w:r>
      <w:r w:rsidRPr="008706D6">
        <w:rPr>
          <w:rFonts w:ascii="Verdana" w:eastAsia="Calibri" w:hAnsi="Verdana" w:cs="Arial"/>
          <w:color w:val="000000" w:themeColor="text1"/>
          <w:lang w:val="es-ES"/>
        </w:rPr>
        <w:t>ampara</w:t>
      </w:r>
      <w:r>
        <w:rPr>
          <w:rFonts w:ascii="Verdana" w:eastAsia="Calibri" w:hAnsi="Verdana" w:cs="Arial"/>
          <w:color w:val="000000" w:themeColor="text1"/>
          <w:lang w:val="es-ES"/>
        </w:rPr>
        <w:t>r</w:t>
      </w:r>
      <w:r w:rsidRPr="008706D6">
        <w:rPr>
          <w:rFonts w:ascii="Verdana" w:eastAsia="Calibri" w:hAnsi="Verdana" w:cs="Arial"/>
          <w:color w:val="000000" w:themeColor="text1"/>
          <w:lang w:val="es-ES"/>
        </w:rPr>
        <w:t xml:space="preserve"> los perjuicios que le pueda generar a la entidad el incumplimiento de las obligaciones derivadas del contrato</w:t>
      </w:r>
      <w:r>
        <w:rPr>
          <w:rFonts w:ascii="Verdana" w:eastAsia="Calibri" w:hAnsi="Verdana" w:cs="Arial"/>
          <w:color w:val="000000" w:themeColor="text1"/>
          <w:lang w:val="es-ES"/>
        </w:rPr>
        <w:t xml:space="preserve">. Esta medida tiene </w:t>
      </w:r>
      <w:r w:rsidRPr="008706D6">
        <w:rPr>
          <w:rFonts w:ascii="Verdana" w:eastAsia="Calibri" w:hAnsi="Verdana" w:cs="Arial"/>
          <w:color w:val="000000" w:themeColor="text1"/>
          <w:lang w:val="es-ES"/>
        </w:rPr>
        <w:t xml:space="preserve">como objetivo </w:t>
      </w:r>
      <w:r w:rsidRPr="006144D7">
        <w:rPr>
          <w:rFonts w:ascii="Verdana" w:eastAsia="Times New Roman" w:hAnsi="Verdana" w:cs="Arial"/>
          <w:bCs/>
          <w:color w:val="000000"/>
          <w:szCs w:val="24"/>
          <w:lang w:val="es-ES_tradnl" w:eastAsia="es-ES_tradnl"/>
        </w:rPr>
        <w:t>proteger el patrimonio de la entidad de los potenciales riesgos y efectos derivados de un incumplimiento del contratista</w:t>
      </w:r>
      <w:r>
        <w:rPr>
          <w:rFonts w:ascii="Verdana" w:hAnsi="Verdana" w:cs="Arial"/>
          <w:color w:val="000000" w:themeColor="text1"/>
        </w:rPr>
        <w:t xml:space="preserve">. </w:t>
      </w:r>
      <w:r w:rsidRPr="006144D7">
        <w:rPr>
          <w:rFonts w:ascii="Verdana" w:eastAsia="Times New Roman" w:hAnsi="Verdana" w:cs="Arial"/>
          <w:bCs/>
          <w:color w:val="000000"/>
          <w:szCs w:val="24"/>
          <w:lang w:val="es-ES_tradnl" w:eastAsia="es-ES_tradnl"/>
        </w:rPr>
        <w:t xml:space="preserve">Esta función, se advierte, debe irradiar la comprensión de las normas sobre garantías en general y sobre su vigencia en particular. </w:t>
      </w:r>
    </w:p>
    <w:p w14:paraId="2443B356" w14:textId="77777777" w:rsidR="004E3903" w:rsidRPr="006144D7" w:rsidRDefault="004E3903" w:rsidP="004E3903">
      <w:pPr>
        <w:spacing w:after="120" w:line="276" w:lineRule="auto"/>
        <w:ind w:firstLine="709"/>
        <w:jc w:val="both"/>
        <w:rPr>
          <w:rFonts w:ascii="Verdana" w:eastAsia="Times New Roman" w:hAnsi="Verdana" w:cs="Arial"/>
          <w:bCs/>
          <w:color w:val="000000"/>
          <w:szCs w:val="24"/>
          <w:lang w:val="es-ES_tradnl" w:eastAsia="es-ES_tradnl"/>
        </w:rPr>
      </w:pPr>
      <w:r w:rsidRPr="006144D7">
        <w:rPr>
          <w:rFonts w:ascii="Verdana" w:eastAsia="Times New Roman" w:hAnsi="Verdana" w:cs="Arial"/>
          <w:bCs/>
          <w:color w:val="000000"/>
          <w:szCs w:val="24"/>
          <w:lang w:val="es-ES_tradnl" w:eastAsia="es-ES_tradnl"/>
        </w:rPr>
        <w:t>En efecto, según lo dispuesto en el artículo 2.2.1.2.3.1.7. del Decreto 1082 de 2015</w:t>
      </w:r>
      <w:r w:rsidRPr="006144D7">
        <w:rPr>
          <w:rFonts w:ascii="Verdana" w:eastAsia="Times New Roman" w:hAnsi="Verdana" w:cs="Arial"/>
          <w:bCs/>
          <w:color w:val="000000"/>
          <w:szCs w:val="24"/>
          <w:vertAlign w:val="superscript"/>
          <w:lang w:val="es-ES_tradnl" w:eastAsia="es-ES_tradnl"/>
        </w:rPr>
        <w:footnoteReference w:id="10"/>
      </w:r>
      <w:r w:rsidRPr="006144D7">
        <w:rPr>
          <w:rFonts w:ascii="Verdana" w:eastAsia="Times New Roman" w:hAnsi="Verdana" w:cs="Arial"/>
          <w:bCs/>
          <w:color w:val="000000"/>
          <w:szCs w:val="24"/>
          <w:lang w:val="es-ES_tradnl" w:eastAsia="es-ES_tradnl"/>
        </w:rPr>
        <w:t xml:space="preserve">, la garantía única de cumplimiento cuenta con varios amparos, </w:t>
      </w:r>
      <w:r w:rsidRPr="006144D7">
        <w:rPr>
          <w:rFonts w:ascii="Verdana" w:eastAsia="Times New Roman" w:hAnsi="Verdana" w:cs="Arial"/>
          <w:bCs/>
          <w:color w:val="000000"/>
          <w:szCs w:val="24"/>
          <w:lang w:val="es-ES_tradnl" w:eastAsia="es-ES_tradnl"/>
        </w:rPr>
        <w:lastRenderedPageBreak/>
        <w:t>que incluyen el de buen manejo y correcta inversión del anticipo; la devolución del pago anticipado; el amparo de cumplimiento del contrato; la garantía de pago de salarios, prestaciones sociales legales e indemnizaciones laborales, entre otros.</w:t>
      </w:r>
      <w:bookmarkStart w:id="0" w:name="_Hlk127975343"/>
    </w:p>
    <w:p w14:paraId="5443B279" w14:textId="77777777" w:rsidR="004E3903" w:rsidRDefault="004E3903" w:rsidP="004E3903">
      <w:pPr>
        <w:spacing w:after="120" w:line="276" w:lineRule="auto"/>
        <w:ind w:firstLine="709"/>
        <w:jc w:val="both"/>
        <w:rPr>
          <w:rFonts w:ascii="Verdana" w:eastAsia="Times New Roman" w:hAnsi="Verdana" w:cs="Arial"/>
          <w:color w:val="000000" w:themeColor="text1"/>
          <w:lang w:val="es-ES" w:eastAsia="es-ES"/>
        </w:rPr>
      </w:pPr>
      <w:r w:rsidRPr="0C90A87E">
        <w:rPr>
          <w:rFonts w:ascii="Verdana" w:eastAsia="Times New Roman" w:hAnsi="Verdana" w:cs="Arial"/>
          <w:color w:val="000000" w:themeColor="text1"/>
          <w:lang w:val="es-ES" w:eastAsia="es-ES"/>
        </w:rPr>
        <w:t xml:space="preserve">Por tanto, el amparo de cumplimiento es uno de los múltiples amparos que conforman la garantía única de cumplimiento. Al tenor de lo preceptuado en el artículo 2.2.1.2.3.1.7. </w:t>
      </w:r>
      <w:proofErr w:type="spellStart"/>
      <w:r w:rsidRPr="0C90A87E">
        <w:rPr>
          <w:rFonts w:ascii="Verdana" w:eastAsia="Times New Roman" w:hAnsi="Verdana" w:cs="Arial"/>
          <w:i/>
          <w:iCs/>
          <w:color w:val="000000" w:themeColor="text1"/>
          <w:lang w:val="es-ES" w:eastAsia="es-ES"/>
        </w:rPr>
        <w:t>ibídem</w:t>
      </w:r>
      <w:proofErr w:type="spellEnd"/>
      <w:r w:rsidRPr="0C90A87E">
        <w:rPr>
          <w:rFonts w:ascii="Verdana" w:eastAsia="Times New Roman" w:hAnsi="Verdana" w:cs="Arial"/>
          <w:color w:val="000000" w:themeColor="text1"/>
          <w:lang w:val="es-ES" w:eastAsia="es-ES"/>
        </w:rPr>
        <w:t xml:space="preserve"> la garantía de cumplimiento debe proteger a la entidad de los perjuicios que se puedan ocasionar con el incumplimiento, total o parcial del contrato, del cumplimiento tardío o defectuoso, de los daños por entregas parciales de la obra, cuando el contrato no prevé entregas parciales, y del valor de las multas y de la cláusula penal pecuniaria. De lo anterior se advierte que el amparo de cumplimiento tiene como objeto proteger a la entidad de los riesgos que puedan concretarse durante la etapa de ejecución del contrato y, más claramente, aquellos derivados de incumplimientos o conductas imputables al contratista. </w:t>
      </w:r>
      <w:bookmarkEnd w:id="0"/>
    </w:p>
    <w:p w14:paraId="4422A9B1" w14:textId="77777777" w:rsidR="004E3903" w:rsidRPr="00221F65" w:rsidRDefault="004E3903" w:rsidP="004E3903">
      <w:pPr>
        <w:spacing w:after="120" w:line="276" w:lineRule="auto"/>
        <w:ind w:firstLine="709"/>
        <w:jc w:val="both"/>
        <w:rPr>
          <w:rFonts w:ascii="Verdana" w:eastAsia="Times New Roman" w:hAnsi="Verdana" w:cs="Arial"/>
          <w:bCs/>
          <w:color w:val="000000"/>
          <w:szCs w:val="24"/>
          <w:lang w:val="es-ES_tradnl" w:eastAsia="es-ES_tradnl"/>
        </w:rPr>
      </w:pPr>
      <w:r w:rsidRPr="006144D7">
        <w:rPr>
          <w:rFonts w:ascii="Verdana" w:eastAsia="Times New Roman" w:hAnsi="Verdana" w:cs="Arial"/>
          <w:bCs/>
          <w:color w:val="000000"/>
          <w:szCs w:val="24"/>
          <w:lang w:val="es-ES_tradnl" w:eastAsia="es-ES_tradnl"/>
        </w:rPr>
        <w:t>De otra parte, en relación con la</w:t>
      </w:r>
      <w:r w:rsidRPr="00221F65">
        <w:rPr>
          <w:rFonts w:ascii="Verdana" w:eastAsia="Times New Roman" w:hAnsi="Verdana" w:cs="Arial"/>
          <w:bCs/>
          <w:color w:val="000000"/>
          <w:szCs w:val="24"/>
          <w:lang w:val="es-ES_tradnl" w:eastAsia="es-ES_tradnl"/>
        </w:rPr>
        <w:t xml:space="preserve"> vigencia de las garantías, el artículo 2.2.1.2.3.1.12. del citado Decreto señala expresamente que </w:t>
      </w:r>
      <w:r w:rsidRPr="00221F65">
        <w:rPr>
          <w:rFonts w:ascii="Verdana" w:eastAsia="Times New Roman" w:hAnsi="Verdana" w:cs="Arial"/>
          <w:bCs/>
          <w:i/>
          <w:iCs/>
          <w:color w:val="000000"/>
          <w:szCs w:val="24"/>
          <w:lang w:val="es-ES_tradnl" w:eastAsia="es-ES_tradnl"/>
        </w:rPr>
        <w:t>“[l]a garantía de cumplimiento del contrato debe tener una vigencia mínima hasta la liquidación del contrato”.</w:t>
      </w:r>
      <w:r w:rsidRPr="00221F65">
        <w:rPr>
          <w:rFonts w:ascii="Verdana" w:eastAsia="Times New Roman" w:hAnsi="Verdana" w:cs="Arial"/>
          <w:bCs/>
          <w:color w:val="000000"/>
          <w:szCs w:val="24"/>
          <w:lang w:val="es-ES_tradnl" w:eastAsia="es-ES_tradnl"/>
        </w:rPr>
        <w:t xml:space="preserve"> </w:t>
      </w:r>
    </w:p>
    <w:p w14:paraId="00D4CE0F" w14:textId="77777777" w:rsidR="004E3903" w:rsidRDefault="004E3903" w:rsidP="004E3903">
      <w:pPr>
        <w:spacing w:after="120" w:line="276" w:lineRule="auto"/>
        <w:ind w:firstLine="709"/>
        <w:jc w:val="both"/>
        <w:rPr>
          <w:rFonts w:ascii="Verdana" w:eastAsia="Times New Roman" w:hAnsi="Verdana" w:cs="Arial"/>
          <w:color w:val="000000" w:themeColor="text1"/>
          <w:lang w:val="es-ES" w:eastAsia="es-ES"/>
        </w:rPr>
      </w:pPr>
      <w:r w:rsidRPr="0C90A87E">
        <w:rPr>
          <w:rFonts w:ascii="Verdana" w:eastAsia="Times New Roman" w:hAnsi="Verdana" w:cs="Arial"/>
          <w:color w:val="000000" w:themeColor="text1"/>
          <w:lang w:val="es-ES" w:eastAsia="es-ES"/>
        </w:rPr>
        <w:t xml:space="preserve">Lo primero que debe ponerse de presente es que esta disposición no se refiere a la garantía única de cumplimiento en su totalidad, sino exclusivamente </w:t>
      </w:r>
      <w:r w:rsidRPr="0C90A87E">
        <w:rPr>
          <w:rFonts w:ascii="Verdana" w:eastAsia="Times New Roman" w:hAnsi="Verdana" w:cs="Arial"/>
          <w:color w:val="000000" w:themeColor="text1"/>
          <w:lang w:val="es-ES" w:eastAsia="es-ES"/>
        </w:rPr>
        <w:lastRenderedPageBreak/>
        <w:t>al amparo de cumplimiento, al que se viene haciendo referencia, lo cual explica que los artículos anteriores y subsiguientes establezcan términos diferentes para los demás amparos que conforman la garantía única de cumplimiento.</w:t>
      </w:r>
    </w:p>
    <w:p w14:paraId="7EF1D85B" w14:textId="77777777" w:rsidR="004E3903" w:rsidRPr="00221F65" w:rsidRDefault="004E3903" w:rsidP="004E3903">
      <w:pPr>
        <w:spacing w:after="120" w:line="276" w:lineRule="auto"/>
        <w:ind w:firstLine="709"/>
        <w:jc w:val="both"/>
        <w:rPr>
          <w:rFonts w:ascii="Verdana" w:eastAsia="Times New Roman" w:hAnsi="Verdana" w:cs="Arial"/>
          <w:color w:val="000000"/>
          <w:lang w:val="es-ES" w:eastAsia="es-ES"/>
        </w:rPr>
      </w:pPr>
      <w:r w:rsidRPr="759A4761">
        <w:rPr>
          <w:rFonts w:ascii="Verdana" w:eastAsia="Times New Roman" w:hAnsi="Verdana" w:cs="Arial"/>
          <w:color w:val="000000" w:themeColor="text1"/>
          <w:lang w:val="es-ES" w:eastAsia="es-ES"/>
        </w:rPr>
        <w:t>Al respecto, en Concepto C-479 de esta Agencia, se precisó que hay dos conceptos jurídicos relevantes para comprender el alcance del artículo 2.2.1.2.3.1.12 del Decreto 1082 de 2015., esto es, de un lado, la vigencia de la garantía y, de otro, el plazo para su reclamación. Esta distinción es importante, pues para hacer una reclamación válida al garante no es indispensable que la garantía se encuentre vigente, sino que lo haya estado en el momento de la concreción de riesgo, como se pasa a explicar.</w:t>
      </w:r>
    </w:p>
    <w:p w14:paraId="1F062322" w14:textId="77777777" w:rsidR="004E3903" w:rsidRPr="00221F65" w:rsidRDefault="004E3903" w:rsidP="004E3903">
      <w:pPr>
        <w:spacing w:after="0" w:line="276" w:lineRule="auto"/>
        <w:ind w:firstLine="709"/>
        <w:jc w:val="both"/>
        <w:rPr>
          <w:rFonts w:ascii="Verdana" w:eastAsia="Times New Roman" w:hAnsi="Verdana" w:cs="Arial"/>
          <w:color w:val="000000"/>
          <w:lang w:val="es-ES" w:eastAsia="es-ES"/>
        </w:rPr>
      </w:pPr>
      <w:r w:rsidRPr="0C90A87E">
        <w:rPr>
          <w:rFonts w:ascii="Verdana" w:eastAsia="Times New Roman" w:hAnsi="Verdana" w:cs="Arial"/>
          <w:color w:val="000000" w:themeColor="text1"/>
          <w:lang w:val="es-ES" w:eastAsia="es-ES"/>
        </w:rPr>
        <w:t xml:space="preserve">En relación con este aspecto, el artículo 1047 del Código de Comercio establece que la póliza debe expresar, entre otros, </w:t>
      </w:r>
      <w:r w:rsidRPr="0C90A87E">
        <w:rPr>
          <w:rFonts w:ascii="Verdana" w:eastAsia="Times New Roman" w:hAnsi="Verdana" w:cs="Arial"/>
          <w:i/>
          <w:iCs/>
          <w:color w:val="000000" w:themeColor="text1"/>
          <w:lang w:val="es-ES" w:eastAsia="es-ES"/>
        </w:rPr>
        <w:t>“</w:t>
      </w:r>
      <w:proofErr w:type="spellStart"/>
      <w:r w:rsidRPr="0C90A87E">
        <w:rPr>
          <w:rFonts w:ascii="Verdana" w:eastAsia="Times New Roman" w:hAnsi="Verdana" w:cs="Arial"/>
          <w:i/>
          <w:iCs/>
          <w:color w:val="000000" w:themeColor="text1"/>
          <w:lang w:val="es-ES" w:eastAsia="es-ES"/>
        </w:rPr>
        <w:t>ii</w:t>
      </w:r>
      <w:proofErr w:type="spellEnd"/>
      <w:r w:rsidRPr="0C90A87E">
        <w:rPr>
          <w:rFonts w:ascii="Verdana" w:eastAsia="Times New Roman" w:hAnsi="Verdana" w:cs="Arial"/>
          <w:i/>
          <w:iCs/>
          <w:color w:val="000000" w:themeColor="text1"/>
          <w:lang w:val="es-ES" w:eastAsia="es-ES"/>
        </w:rPr>
        <w:t>) la vigencia del contrato, con indicación de las fechas y horas de iniciación y vencimiento, o el modo de determinar unas y otras”.</w:t>
      </w:r>
      <w:r w:rsidRPr="0C90A87E">
        <w:rPr>
          <w:rFonts w:ascii="Verdana" w:eastAsia="Times New Roman" w:hAnsi="Verdana" w:cs="Arial"/>
          <w:color w:val="000000" w:themeColor="text1"/>
          <w:lang w:val="es-ES" w:eastAsia="es-ES"/>
        </w:rPr>
        <w:t xml:space="preserve"> El Consejo de Estado se pronunció sobre esta disposición en los siguientes términos: </w:t>
      </w:r>
    </w:p>
    <w:p w14:paraId="497E88F9" w14:textId="77777777" w:rsidR="004E3903" w:rsidRPr="00221F65" w:rsidRDefault="004E3903" w:rsidP="004E3903">
      <w:pPr>
        <w:spacing w:after="0" w:line="240" w:lineRule="auto"/>
        <w:ind w:left="709" w:right="758"/>
        <w:jc w:val="both"/>
        <w:rPr>
          <w:rFonts w:ascii="Verdana" w:eastAsia="Times New Roman" w:hAnsi="Verdana" w:cs="Arial"/>
          <w:bCs/>
          <w:color w:val="000000"/>
          <w:sz w:val="21"/>
          <w:szCs w:val="21"/>
          <w:lang w:val="es-ES_tradnl" w:eastAsia="es-ES_tradnl"/>
        </w:rPr>
      </w:pPr>
    </w:p>
    <w:p w14:paraId="16598616" w14:textId="77777777" w:rsidR="004E3903" w:rsidRPr="00221F65" w:rsidRDefault="004E3903" w:rsidP="004E3903">
      <w:pPr>
        <w:spacing w:after="0" w:line="240" w:lineRule="auto"/>
        <w:ind w:left="709" w:right="616"/>
        <w:jc w:val="both"/>
        <w:rPr>
          <w:rFonts w:ascii="Verdana" w:eastAsia="Times New Roman" w:hAnsi="Verdana" w:cs="Arial"/>
          <w:bCs/>
          <w:color w:val="000000"/>
          <w:sz w:val="20"/>
          <w:szCs w:val="20"/>
          <w:lang w:val="es-ES_tradnl" w:eastAsia="es-ES_tradnl"/>
        </w:rPr>
      </w:pPr>
      <w:r w:rsidRPr="00221F65">
        <w:rPr>
          <w:rFonts w:ascii="Verdana" w:eastAsia="Times New Roman" w:hAnsi="Verdana" w:cs="Arial"/>
          <w:bCs/>
          <w:color w:val="000000"/>
          <w:sz w:val="20"/>
          <w:szCs w:val="20"/>
          <w:lang w:val="es-ES_tradnl" w:eastAsia="es-ES_tradnl"/>
        </w:rPr>
        <w:t>“Dada la naturaleza de la obligación que contrae el asegurador, resulta de la mayor importancia la determinación del momento exacto a partir del cual aquel asume el riesgo que le es trasladado y así mismo, la hora y el día hasta los cuales va tal asunción, puesto que únicamente estará obligado a ejecutar la prestación a su cargo cuando el riesgo se realice dentro de ese lapso, es decir si el siniestro se presenta dentro de esos límites temporales</w:t>
      </w:r>
      <w:r>
        <w:rPr>
          <w:rFonts w:ascii="Verdana" w:eastAsia="Times New Roman" w:hAnsi="Verdana" w:cs="Arial"/>
          <w:bCs/>
          <w:color w:val="000000"/>
          <w:sz w:val="20"/>
          <w:szCs w:val="20"/>
          <w:lang w:val="es-ES_tradnl" w:eastAsia="es-ES_tradnl"/>
        </w:rPr>
        <w:t>”</w:t>
      </w:r>
      <w:r w:rsidRPr="00221F65">
        <w:rPr>
          <w:rFonts w:ascii="Verdana" w:eastAsia="Times New Roman" w:hAnsi="Verdana" w:cs="Arial"/>
          <w:bCs/>
          <w:color w:val="000000"/>
          <w:sz w:val="20"/>
          <w:szCs w:val="20"/>
          <w:vertAlign w:val="superscript"/>
          <w:lang w:val="es-ES_tradnl" w:eastAsia="es-ES_tradnl"/>
        </w:rPr>
        <w:footnoteReference w:id="11"/>
      </w:r>
      <w:r w:rsidRPr="00221F65">
        <w:rPr>
          <w:rFonts w:ascii="Verdana" w:eastAsia="Times New Roman" w:hAnsi="Verdana" w:cs="Arial"/>
          <w:bCs/>
          <w:color w:val="000000"/>
          <w:sz w:val="20"/>
          <w:szCs w:val="20"/>
          <w:lang w:val="es-ES_tradnl" w:eastAsia="es-ES_tradnl"/>
        </w:rPr>
        <w:t xml:space="preserve">. </w:t>
      </w:r>
    </w:p>
    <w:p w14:paraId="0379B45E" w14:textId="77777777" w:rsidR="004E3903" w:rsidRPr="00221F65" w:rsidRDefault="004E3903" w:rsidP="004E3903">
      <w:pPr>
        <w:spacing w:after="0" w:line="240" w:lineRule="auto"/>
        <w:ind w:left="709" w:right="760"/>
        <w:jc w:val="both"/>
        <w:rPr>
          <w:rFonts w:ascii="Verdana" w:eastAsia="Times New Roman" w:hAnsi="Verdana" w:cs="Arial"/>
          <w:bCs/>
          <w:color w:val="000000"/>
          <w:sz w:val="21"/>
          <w:szCs w:val="21"/>
          <w:lang w:val="es-ES_tradnl" w:eastAsia="es-ES_tradnl"/>
        </w:rPr>
      </w:pPr>
    </w:p>
    <w:p w14:paraId="6F091A5D" w14:textId="77777777" w:rsidR="004E3903" w:rsidRPr="00221F65" w:rsidRDefault="004E3903" w:rsidP="004E3903">
      <w:pPr>
        <w:spacing w:after="120" w:line="276" w:lineRule="auto"/>
        <w:ind w:firstLine="709"/>
        <w:jc w:val="both"/>
        <w:rPr>
          <w:rFonts w:ascii="Verdana" w:eastAsia="Times New Roman" w:hAnsi="Verdana" w:cs="Arial"/>
          <w:color w:val="000000"/>
          <w:lang w:val="es-ES" w:eastAsia="es-ES"/>
        </w:rPr>
      </w:pPr>
      <w:r w:rsidRPr="0C90A87E">
        <w:rPr>
          <w:rFonts w:ascii="Verdana" w:eastAsia="Times New Roman" w:hAnsi="Verdana" w:cs="Arial"/>
          <w:color w:val="000000" w:themeColor="text1"/>
          <w:lang w:val="es-ES" w:eastAsia="es-ES"/>
        </w:rPr>
        <w:t xml:space="preserve">Resulta claro que el riesgo que se traslada al garante solamente será aquel que se realice dentro del plazo de vigencia de la garantía, es decir, si el siniestro se presenta dentro de esos límites temporales el garante deberá asumir sus consecuencias. Sin embargo, ello no puede confundirse con el término para hacer la reclamación de un riesgo ocurrido durante el término de vigencia de la garantía, pues para ello resulta necesario recurrir a las normas sobre prescripción de las acciones. </w:t>
      </w:r>
    </w:p>
    <w:p w14:paraId="2119E784" w14:textId="77777777" w:rsidR="0047203D" w:rsidRDefault="004E3903" w:rsidP="004E3903">
      <w:pPr>
        <w:spacing w:after="120" w:line="276" w:lineRule="auto"/>
        <w:ind w:firstLine="709"/>
        <w:jc w:val="both"/>
        <w:rPr>
          <w:rFonts w:ascii="Verdana" w:eastAsia="Times New Roman" w:hAnsi="Verdana" w:cs="Arial"/>
          <w:bCs/>
          <w:color w:val="000000"/>
          <w:szCs w:val="24"/>
          <w:lang w:val="es-ES_tradnl" w:eastAsia="es-ES_tradnl"/>
        </w:rPr>
      </w:pPr>
      <w:r w:rsidRPr="00221F65">
        <w:rPr>
          <w:rFonts w:ascii="Verdana" w:eastAsia="Times New Roman" w:hAnsi="Verdana" w:cs="Arial"/>
          <w:bCs/>
          <w:color w:val="000000"/>
          <w:szCs w:val="24"/>
          <w:lang w:val="es-ES_tradnl" w:eastAsia="es-ES_tradnl"/>
        </w:rPr>
        <w:t xml:space="preserve">De otro lado, puede afirmarse que, en términos ideales, una vez culmina el plazo de ejecución, deja de existir también, en gran medida, el riesgo de </w:t>
      </w:r>
      <w:r w:rsidRPr="00221F65">
        <w:rPr>
          <w:rFonts w:ascii="Verdana" w:eastAsia="Times New Roman" w:hAnsi="Verdana" w:cs="Arial"/>
          <w:bCs/>
          <w:color w:val="000000"/>
          <w:szCs w:val="24"/>
          <w:lang w:val="es-ES_tradnl" w:eastAsia="es-ES_tradnl"/>
        </w:rPr>
        <w:lastRenderedPageBreak/>
        <w:t xml:space="preserve">incumplimiento por parte del contratista, pues los incumplimientos del contrato suelen ocurrir durante la etapa de cumplimiento, o ejecución de las obligaciones. </w:t>
      </w:r>
    </w:p>
    <w:p w14:paraId="4B456609" w14:textId="0151258B" w:rsidR="004E3903" w:rsidRPr="00221F65" w:rsidRDefault="004E3903" w:rsidP="004E3903">
      <w:pPr>
        <w:spacing w:after="120" w:line="276" w:lineRule="auto"/>
        <w:ind w:firstLine="709"/>
        <w:jc w:val="both"/>
        <w:rPr>
          <w:rFonts w:ascii="Verdana" w:eastAsia="Times New Roman" w:hAnsi="Verdana" w:cs="Arial"/>
          <w:bCs/>
          <w:color w:val="000000"/>
          <w:szCs w:val="24"/>
          <w:lang w:val="es-ES_tradnl" w:eastAsia="es-ES_tradnl"/>
        </w:rPr>
      </w:pPr>
      <w:r w:rsidRPr="00221F65">
        <w:rPr>
          <w:rFonts w:ascii="Verdana" w:eastAsia="Times New Roman" w:hAnsi="Verdana" w:cs="Arial"/>
          <w:bCs/>
          <w:color w:val="000000"/>
          <w:szCs w:val="24"/>
          <w:lang w:val="es-ES_tradnl" w:eastAsia="es-ES_tradnl"/>
        </w:rPr>
        <w:t>Lo anterior no pretende desconocer que para ciertos contratos algunas obligaciones y su exigibilidad subsisten más allá del plazo acordado para la ejecución del objeto principal, tal puede ser el caso de los aportes a la seguridad social de los trabajadores vinculados a la ejecución del objeto del contrato. Sin perjuicio de lo anterior, el vencimiento del plazo de ejecución del contrato, cuando es suspensivo, sin que el contratista haya ejecutado sus obligaciones, también es determinante para constatar el incumplimiento del contratista. La apreciación general anterior, según lo explicado, indica que muchos de los incumplimientos pueden darse durante la ejecución del contrato, pero es posible que este también ocurra una vez vencido el plazo de ejecución.</w:t>
      </w:r>
    </w:p>
    <w:p w14:paraId="406831AC" w14:textId="77777777" w:rsidR="004E3903" w:rsidRPr="00221F65" w:rsidRDefault="004E3903" w:rsidP="004E3903">
      <w:pPr>
        <w:spacing w:after="120" w:line="276" w:lineRule="auto"/>
        <w:ind w:firstLine="709"/>
        <w:jc w:val="both"/>
        <w:rPr>
          <w:rFonts w:ascii="Verdana" w:eastAsia="Times New Roman" w:hAnsi="Verdana" w:cs="Arial"/>
          <w:bCs/>
          <w:color w:val="000000"/>
          <w:szCs w:val="24"/>
          <w:lang w:val="es-ES_tradnl" w:eastAsia="es-ES_tradnl"/>
        </w:rPr>
      </w:pPr>
      <w:r w:rsidRPr="00221F65">
        <w:rPr>
          <w:rFonts w:ascii="Verdana" w:eastAsia="Times New Roman" w:hAnsi="Verdana" w:cs="Arial"/>
          <w:bCs/>
          <w:color w:val="000000"/>
          <w:szCs w:val="24"/>
          <w:lang w:val="es-ES_tradnl" w:eastAsia="es-ES_tradnl"/>
        </w:rPr>
        <w:t xml:space="preserve">Ahora bien, volviendo sobre la vigencia de la garantía de cumplimiento, en cuanto al amparo de cumplimiento del contrato, la norma reglamentaria citada con anterioridad es clara y exige que la garantía permanezca vigente hasta la liquidación del contrato, esto es, más allá del plazo de ejecución y de vigencia del contrato estatal. Por tanto, en virtud de dicha disposición, el contratista debe cumplir con la obligación consistente en mantener la vigencia mínima del amparo de cumplimiento hasta la liquidación del contrato. </w:t>
      </w:r>
    </w:p>
    <w:p w14:paraId="78467B7B" w14:textId="77777777" w:rsidR="004E3903" w:rsidRPr="000948A2" w:rsidRDefault="004E3903" w:rsidP="004E3903">
      <w:pPr>
        <w:spacing w:after="120" w:line="276" w:lineRule="auto"/>
        <w:ind w:firstLine="709"/>
        <w:jc w:val="both"/>
        <w:rPr>
          <w:rFonts w:ascii="Verdana" w:eastAsia="Times New Roman" w:hAnsi="Verdana" w:cs="Arial"/>
          <w:color w:val="000000"/>
          <w:lang w:val="es-ES" w:eastAsia="es-ES"/>
        </w:rPr>
      </w:pPr>
      <w:r w:rsidRPr="0C90A87E">
        <w:rPr>
          <w:rFonts w:ascii="Verdana" w:eastAsia="Times New Roman" w:hAnsi="Verdana" w:cs="Arial"/>
          <w:color w:val="000000" w:themeColor="text1"/>
          <w:lang w:val="es-ES" w:eastAsia="es-ES"/>
        </w:rPr>
        <w:t>Bajo estas consideraciones, existe la obligación por parte del contratista de mantener la vigencia de la garantía de cumplimiento, en cuanto al amparo de cumplimiento del contrato, hasta la liquidación del contrato, para lo cual se deberá tener en cuenta lo dispuesto por el artículo 11 de la Ley 1150 de 2007, según el cual la liquidación de los contratos se hará de mutuo acuerdo dentro del término fijado en los pliegos de condiciones o sus equivalentes o dentro del que acuerden las partes para el efecto o en su ausencia, el término supletivo establecido para la liquidación bilateral de 4 meses a partir de la terminación del contrato, o los 2 meses siguientes para realizar la liquidación de forma unilateral. En este sentido, ante la falta de liquidación bilateral o unilateral del contrato en dichos plazos, el contratista debe cumplir con la previsión normativa referida, en el sentido de mantener la vigencia de la garantía de cumplimiento hasta la liquidación efectiva del contrato, sin perjuicio de interponer la demanda con la pretensión de liquidarlo judicialmente.</w:t>
      </w:r>
    </w:p>
    <w:p w14:paraId="42FC2262" w14:textId="77777777" w:rsidR="004E3903" w:rsidRDefault="004E3903" w:rsidP="004E3903">
      <w:pPr>
        <w:spacing w:after="120" w:line="276" w:lineRule="auto"/>
        <w:ind w:firstLine="709"/>
        <w:jc w:val="both"/>
        <w:rPr>
          <w:rFonts w:ascii="Verdana" w:eastAsia="Times New Roman" w:hAnsi="Verdana" w:cs="Arial"/>
          <w:bCs/>
          <w:color w:val="000000"/>
          <w:szCs w:val="24"/>
          <w:lang w:val="es-ES_tradnl" w:eastAsia="es-ES_tradnl"/>
        </w:rPr>
      </w:pPr>
      <w:r w:rsidRPr="000948A2">
        <w:rPr>
          <w:rFonts w:ascii="Verdana" w:eastAsia="Times New Roman" w:hAnsi="Verdana" w:cs="Arial"/>
          <w:bCs/>
          <w:color w:val="000000"/>
          <w:szCs w:val="24"/>
          <w:lang w:val="es-ES_tradnl" w:eastAsia="es-ES_tradnl"/>
        </w:rPr>
        <w:t xml:space="preserve">De esta manera, si el contrato establece un plazo de liquidación de mutuo acuerdo de conformidad con lo señalado por el artículo 2.2.1.2.3.1.12. del </w:t>
      </w:r>
      <w:r w:rsidRPr="000948A2">
        <w:rPr>
          <w:rFonts w:ascii="Verdana" w:eastAsia="Times New Roman" w:hAnsi="Verdana" w:cs="Arial"/>
          <w:bCs/>
          <w:color w:val="000000"/>
          <w:szCs w:val="24"/>
          <w:lang w:val="es-ES_tradnl" w:eastAsia="es-ES_tradnl"/>
        </w:rPr>
        <w:lastRenderedPageBreak/>
        <w:t>Decreto 1082 de 2015, la entidad deberá verificar que la garantía se encuentre vigente, por lo menos, hasta dicho plazo. Si no se pacta un plazo de liquidación, se deberá tener en cuenta los términos supletivos de la liquidación bilateral y unilateral del artículo 11 de la ley 1150 de 2007. En todo caso, s</w:t>
      </w:r>
      <w:r w:rsidRPr="00BB0A3F">
        <w:rPr>
          <w:rFonts w:ascii="Verdana" w:eastAsia="Times New Roman" w:hAnsi="Verdana" w:cs="Arial"/>
          <w:bCs/>
          <w:color w:val="000000"/>
          <w:szCs w:val="24"/>
          <w:lang w:val="es-ES_tradnl" w:eastAsia="es-ES_tradnl"/>
        </w:rPr>
        <w:t xml:space="preserve">i por alguna razón no se logra liquidar el contrato dentro de dicho plazo, el contratista tiene el deber de mantener vigente la garantía hasta la liquidación efectiva del contrato, pues el artículo 2.2.1.2.3.1.12 del Decreto 1082 de 2015 lo dispone expresamente. </w:t>
      </w:r>
    </w:p>
    <w:p w14:paraId="5DBFD773" w14:textId="77777777" w:rsidR="004E3903" w:rsidRPr="00726C0F" w:rsidRDefault="004E3903" w:rsidP="004E3903">
      <w:pPr>
        <w:spacing w:after="0" w:line="276" w:lineRule="auto"/>
        <w:ind w:firstLine="709"/>
        <w:jc w:val="both"/>
        <w:rPr>
          <w:rFonts w:ascii="Verdana" w:eastAsia="Times New Roman" w:hAnsi="Verdana" w:cs="Arial"/>
          <w:bCs/>
          <w:color w:val="000000"/>
          <w:szCs w:val="24"/>
          <w:lang w:val="es-ES_tradnl" w:eastAsia="es-ES_tradnl"/>
        </w:rPr>
      </w:pPr>
      <w:r w:rsidRPr="00726C0F">
        <w:rPr>
          <w:rFonts w:ascii="Verdana" w:eastAsia="Times New Roman" w:hAnsi="Verdana" w:cs="Arial"/>
          <w:bCs/>
          <w:color w:val="000000"/>
          <w:szCs w:val="24"/>
          <w:lang w:eastAsia="es-ES_tradnl"/>
        </w:rPr>
        <w:t>Por último, si el contratista obligado a ampliar la garantía de cumplimiento una vez finalizado el contrato estatal y bajo el inicio de la etapa de liquidación se abstiene de su actuar, la entidad estatal, de acuerdo con lo pactado dentro del contrato estatal, y si así se contempló, podrá iniciar un proceso sancionatorio administrativo de carácter contractual contemplado en el artículo 86 de la Ley 1474 de 2011 y el artículo 17 de la Ley 1150 de 2007. Aunado a lo anterior, deberá analizar si la garantía de cumplimiento tiene vigente el amparo relativo a cumplimiento del contrato, que de conformidad con lo dispuesto en el artículo 2.2.1.2.3.1.7</w:t>
      </w:r>
      <w:r>
        <w:rPr>
          <w:rFonts w:ascii="Verdana" w:eastAsia="Times New Roman" w:hAnsi="Verdana" w:cs="Arial"/>
          <w:bCs/>
          <w:color w:val="000000"/>
          <w:szCs w:val="24"/>
          <w:lang w:eastAsia="es-ES_tradnl"/>
        </w:rPr>
        <w:t xml:space="preserve"> </w:t>
      </w:r>
      <w:r w:rsidRPr="00726C0F">
        <w:rPr>
          <w:rFonts w:ascii="Verdana" w:eastAsia="Times New Roman" w:hAnsi="Verdana" w:cs="Arial"/>
          <w:bCs/>
          <w:color w:val="000000"/>
          <w:szCs w:val="24"/>
          <w:lang w:eastAsia="es-ES_tradnl"/>
        </w:rPr>
        <w:t xml:space="preserve">el </w:t>
      </w:r>
      <w:r>
        <w:rPr>
          <w:rFonts w:ascii="Verdana" w:eastAsia="Times New Roman" w:hAnsi="Verdana" w:cs="Arial"/>
          <w:bCs/>
          <w:color w:val="000000"/>
          <w:szCs w:val="24"/>
          <w:lang w:eastAsia="es-ES_tradnl"/>
        </w:rPr>
        <w:t>amparo de c</w:t>
      </w:r>
      <w:r w:rsidRPr="00726C0F">
        <w:rPr>
          <w:rFonts w:ascii="Verdana" w:eastAsia="Times New Roman" w:hAnsi="Verdana" w:cs="Arial"/>
          <w:bCs/>
          <w:color w:val="000000"/>
          <w:szCs w:val="24"/>
          <w:lang w:eastAsia="es-ES_tradnl"/>
        </w:rPr>
        <w:t>umplimiento del contrato</w:t>
      </w:r>
      <w:r>
        <w:rPr>
          <w:rFonts w:ascii="Verdana" w:eastAsia="Times New Roman" w:hAnsi="Verdana" w:cs="Arial"/>
          <w:bCs/>
          <w:color w:val="000000"/>
          <w:szCs w:val="24"/>
          <w:lang w:eastAsia="es-ES_tradnl"/>
        </w:rPr>
        <w:t xml:space="preserve"> cubrirá a </w:t>
      </w:r>
      <w:r w:rsidRPr="00726C0F">
        <w:rPr>
          <w:rFonts w:ascii="Verdana" w:eastAsia="Times New Roman" w:hAnsi="Verdana" w:cs="Arial"/>
          <w:bCs/>
          <w:color w:val="000000"/>
          <w:szCs w:val="24"/>
          <w:lang w:eastAsia="es-ES_tradnl"/>
        </w:rPr>
        <w:t>la Entidad Estatal de los perjuicios derivado</w:t>
      </w:r>
      <w:r>
        <w:rPr>
          <w:rFonts w:ascii="Verdana" w:eastAsia="Times New Roman" w:hAnsi="Verdana" w:cs="Arial"/>
          <w:bCs/>
          <w:color w:val="000000"/>
          <w:szCs w:val="24"/>
          <w:lang w:eastAsia="es-ES_tradnl"/>
        </w:rPr>
        <w:t>s</w:t>
      </w:r>
      <w:r w:rsidRPr="00726C0F">
        <w:rPr>
          <w:rFonts w:ascii="Verdana" w:eastAsia="Times New Roman" w:hAnsi="Verdana" w:cs="Arial"/>
          <w:bCs/>
          <w:color w:val="000000"/>
          <w:szCs w:val="24"/>
          <w:lang w:eastAsia="es-ES_tradnl"/>
        </w:rPr>
        <w:t xml:space="preserve"> del incumplimiento total o parcial del contrato, cuando el incumplimiento es imputable al contratista; el cumplimiento tardío o defectuoso del contrato, cuando el incumplimiento es imputable al contratista; los daños imputables al contratista por entregas parciales de la obra, cuando el contrato no prevé entregas parciales; y </w:t>
      </w:r>
      <w:r>
        <w:rPr>
          <w:rFonts w:ascii="Verdana" w:eastAsia="Times New Roman" w:hAnsi="Verdana" w:cs="Arial"/>
          <w:bCs/>
          <w:color w:val="000000"/>
          <w:szCs w:val="24"/>
          <w:lang w:eastAsia="es-ES_tradnl"/>
        </w:rPr>
        <w:t>e</w:t>
      </w:r>
      <w:r w:rsidRPr="00726C0F">
        <w:rPr>
          <w:rFonts w:ascii="Verdana" w:eastAsia="Times New Roman" w:hAnsi="Verdana" w:cs="Arial"/>
          <w:bCs/>
          <w:color w:val="000000"/>
          <w:szCs w:val="24"/>
          <w:lang w:eastAsia="es-ES_tradnl"/>
        </w:rPr>
        <w:t>l pago del valor de las multas y de la cláusula penal pecuniaria.</w:t>
      </w:r>
    </w:p>
    <w:p w14:paraId="23B94C6B" w14:textId="77777777" w:rsidR="004E3903" w:rsidRDefault="004E3903" w:rsidP="004E3903">
      <w:pPr>
        <w:spacing w:after="0" w:line="276" w:lineRule="auto"/>
        <w:ind w:firstLine="708"/>
        <w:jc w:val="both"/>
        <w:rPr>
          <w:rFonts w:ascii="Verdana" w:hAnsi="Verdana" w:cs="Arial"/>
          <w:color w:val="000000" w:themeColor="text1"/>
        </w:rPr>
      </w:pPr>
    </w:p>
    <w:p w14:paraId="16B55F18" w14:textId="77777777" w:rsidR="004E3903" w:rsidRDefault="004E3903" w:rsidP="004E3903">
      <w:pPr>
        <w:spacing w:after="120" w:line="276" w:lineRule="auto"/>
        <w:ind w:firstLine="708"/>
        <w:jc w:val="both"/>
        <w:rPr>
          <w:rFonts w:ascii="Verdana" w:hAnsi="Verdana" w:cs="Arial"/>
        </w:rPr>
      </w:pPr>
      <w:r w:rsidRPr="4A3FD318">
        <w:rPr>
          <w:rFonts w:ascii="Verdana" w:hAnsi="Verdana" w:cs="Arial"/>
          <w:color w:val="000000" w:themeColor="text1"/>
        </w:rPr>
        <w:t xml:space="preserve">Finalmente, </w:t>
      </w:r>
      <w:r w:rsidRPr="4A3FD318">
        <w:rPr>
          <w:rFonts w:ascii="Verdana" w:hAnsi="Verdana" w:cs="Arial"/>
        </w:rPr>
        <w:t xml:space="preserve">debe advertirse que el análisis requerido para “[…] tomar decisiones de fondo […]” debe ser realizado por quienes tengan interés en ello, de acuerdo con lo explicado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  </w:t>
      </w:r>
    </w:p>
    <w:p w14:paraId="470DD45D" w14:textId="77777777" w:rsidR="004E3903" w:rsidRPr="008A4AEC" w:rsidRDefault="004E3903" w:rsidP="004E3903">
      <w:pPr>
        <w:widowControl w:val="0"/>
        <w:autoSpaceDE w:val="0"/>
        <w:autoSpaceDN w:val="0"/>
        <w:spacing w:after="0" w:line="276" w:lineRule="auto"/>
        <w:ind w:firstLine="709"/>
        <w:jc w:val="both"/>
        <w:rPr>
          <w:rFonts w:ascii="Verdana" w:hAnsi="Verdana" w:cs="Arial"/>
        </w:rPr>
      </w:pPr>
      <w:r w:rsidRPr="2993F789">
        <w:rPr>
          <w:rFonts w:ascii="Verdana" w:hAnsi="Verdana" w:cs="Arial"/>
        </w:rPr>
        <w:t xml:space="preserve">Dentro de este marco, la entidad contratante definirá en cada caso concreto lo relacionado con el tema objeto de consulta. Al tratarse de un análisis que debe realizarse en el procedimiento contractual específico, la Agencia sólo </w:t>
      </w:r>
      <w:r w:rsidRPr="2993F789">
        <w:rPr>
          <w:rFonts w:ascii="Verdana" w:hAnsi="Verdana" w:cs="Arial"/>
        </w:rPr>
        <w:lastRenderedPageBreak/>
        <w:t>brinda elementos de carácter general para que los partícipes del sistema de compras y contratación pública adopten la decisión que corresponda, lo cual es acorde con el principio de juridicidad. De esta manera, cada entidad definirá la forma de adelantar su gestión contractual, sin que sea atribución de Colombia Compra Eficiente validar sus actuaciones.</w:t>
      </w:r>
    </w:p>
    <w:p w14:paraId="7898D9E9" w14:textId="77777777" w:rsidR="004E3903" w:rsidRPr="00AF7840" w:rsidRDefault="004E3903" w:rsidP="004E3903">
      <w:pPr>
        <w:spacing w:after="0" w:line="276" w:lineRule="auto"/>
        <w:ind w:firstLine="709"/>
        <w:jc w:val="both"/>
        <w:rPr>
          <w:rFonts w:ascii="Verdana" w:eastAsia="Calibri" w:hAnsi="Verdana" w:cs="Arial"/>
          <w:sz w:val="21"/>
          <w:szCs w:val="21"/>
        </w:rPr>
      </w:pPr>
    </w:p>
    <w:p w14:paraId="1AECAF97" w14:textId="77777777" w:rsidR="004E3903" w:rsidRPr="00AF7840" w:rsidRDefault="004E3903" w:rsidP="004E3903">
      <w:pPr>
        <w:tabs>
          <w:tab w:val="left" w:pos="142"/>
          <w:tab w:val="left" w:pos="284"/>
        </w:tabs>
        <w:spacing w:after="0" w:line="276" w:lineRule="auto"/>
        <w:jc w:val="both"/>
        <w:rPr>
          <w:rFonts w:ascii="Verdana" w:eastAsia="Century Gothic" w:hAnsi="Verdana" w:cs="Century Gothic"/>
          <w:b/>
          <w:bCs/>
        </w:rPr>
      </w:pPr>
      <w:r w:rsidRPr="00AF7840">
        <w:rPr>
          <w:rFonts w:ascii="Verdana" w:eastAsia="Century Gothic" w:hAnsi="Verdana" w:cs="Century Gothic"/>
          <w:b/>
          <w:bCs/>
        </w:rPr>
        <w:t>4. Referencias normativas, jurisprudenciales y otras fuentes:</w:t>
      </w:r>
    </w:p>
    <w:p w14:paraId="0518F5B9" w14:textId="77777777" w:rsidR="004E3903" w:rsidRPr="00AF7840" w:rsidRDefault="004E3903" w:rsidP="004E3903">
      <w:pPr>
        <w:widowControl w:val="0"/>
        <w:autoSpaceDE w:val="0"/>
        <w:autoSpaceDN w:val="0"/>
        <w:spacing w:after="0" w:line="276" w:lineRule="auto"/>
        <w:jc w:val="both"/>
        <w:rPr>
          <w:rFonts w:ascii="Verdana" w:hAnsi="Verdana" w:cs="Arial"/>
        </w:rPr>
      </w:pPr>
    </w:p>
    <w:tbl>
      <w:tblPr>
        <w:tblStyle w:val="Tablaconcuadrcula"/>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4E3903" w:rsidRPr="00AF7840" w14:paraId="1EB6ED16" w14:textId="77777777" w:rsidTr="00FD0DA0">
        <w:trPr>
          <w:trHeight w:val="870"/>
        </w:trPr>
        <w:tc>
          <w:tcPr>
            <w:tcW w:w="8647" w:type="dxa"/>
          </w:tcPr>
          <w:p w14:paraId="299760B9" w14:textId="77777777" w:rsidR="004E3903" w:rsidRPr="00AF7840" w:rsidRDefault="004E3903" w:rsidP="004E3903">
            <w:pPr>
              <w:pStyle w:val="Prrafodelista"/>
              <w:widowControl w:val="0"/>
              <w:numPr>
                <w:ilvl w:val="0"/>
                <w:numId w:val="2"/>
              </w:numPr>
              <w:tabs>
                <w:tab w:val="left" w:pos="8419"/>
              </w:tabs>
              <w:autoSpaceDE w:val="0"/>
              <w:autoSpaceDN w:val="0"/>
              <w:spacing w:line="276" w:lineRule="auto"/>
              <w:jc w:val="both"/>
              <w:rPr>
                <w:rFonts w:ascii="Verdana" w:hAnsi="Verdana" w:cs="Arial"/>
              </w:rPr>
            </w:pPr>
            <w:r w:rsidRPr="2993F789">
              <w:rPr>
                <w:rFonts w:ascii="Verdana" w:hAnsi="Verdana" w:cs="Arial"/>
              </w:rPr>
              <w:t>Ley 80 de 1993, artículo 60.</w:t>
            </w:r>
          </w:p>
          <w:p w14:paraId="2F665A9F" w14:textId="77777777" w:rsidR="004E3903" w:rsidRPr="00AF7840" w:rsidRDefault="004E3903" w:rsidP="004E3903">
            <w:pPr>
              <w:pStyle w:val="Prrafodelista"/>
              <w:widowControl w:val="0"/>
              <w:numPr>
                <w:ilvl w:val="0"/>
                <w:numId w:val="2"/>
              </w:numPr>
              <w:tabs>
                <w:tab w:val="left" w:pos="8419"/>
              </w:tabs>
              <w:autoSpaceDE w:val="0"/>
              <w:autoSpaceDN w:val="0"/>
              <w:spacing w:line="276" w:lineRule="auto"/>
              <w:jc w:val="both"/>
              <w:rPr>
                <w:rFonts w:ascii="Verdana" w:hAnsi="Verdana" w:cs="Arial"/>
              </w:rPr>
            </w:pPr>
            <w:r w:rsidRPr="2993F789">
              <w:rPr>
                <w:rFonts w:ascii="Verdana" w:hAnsi="Verdana" w:cs="Arial"/>
              </w:rPr>
              <w:t xml:space="preserve">Ley 1150 de 2007, </w:t>
            </w:r>
            <w:r w:rsidRPr="2993F789">
              <w:rPr>
                <w:rFonts w:ascii="Verdana" w:eastAsia="Calibri" w:hAnsi="Verdana" w:cs="Arial"/>
                <w:color w:val="000000" w:themeColor="text1"/>
              </w:rPr>
              <w:t>artículo 2, numeral 4, literal c), artículo 11.</w:t>
            </w:r>
          </w:p>
          <w:p w14:paraId="04AF4F32" w14:textId="77777777" w:rsidR="004E3903" w:rsidRPr="00AF7840" w:rsidRDefault="004E3903" w:rsidP="004E3903">
            <w:pPr>
              <w:pStyle w:val="Prrafodelista"/>
              <w:widowControl w:val="0"/>
              <w:numPr>
                <w:ilvl w:val="0"/>
                <w:numId w:val="2"/>
              </w:numPr>
              <w:tabs>
                <w:tab w:val="left" w:pos="8419"/>
              </w:tabs>
              <w:autoSpaceDE w:val="0"/>
              <w:autoSpaceDN w:val="0"/>
              <w:spacing w:line="276" w:lineRule="auto"/>
              <w:jc w:val="both"/>
              <w:rPr>
                <w:rFonts w:ascii="Verdana" w:hAnsi="Verdana" w:cs="Times New Roman"/>
                <w:color w:val="000000"/>
              </w:rPr>
            </w:pPr>
            <w:r w:rsidRPr="2993F789">
              <w:rPr>
                <w:rFonts w:ascii="Verdana" w:hAnsi="Verdana" w:cs="Times New Roman"/>
                <w:color w:val="000000" w:themeColor="text1"/>
              </w:rPr>
              <w:t>Decreto 1082 de 2015, artículo 2.2.1.1.1.3.1.; artículo 2.2.1.1.2.4.3.</w:t>
            </w:r>
          </w:p>
          <w:p w14:paraId="547DE4F0" w14:textId="77777777" w:rsidR="004E3903" w:rsidRPr="00AF7840" w:rsidRDefault="004E3903" w:rsidP="004E3903">
            <w:pPr>
              <w:pStyle w:val="Prrafodelista"/>
              <w:widowControl w:val="0"/>
              <w:numPr>
                <w:ilvl w:val="0"/>
                <w:numId w:val="2"/>
              </w:numPr>
              <w:tabs>
                <w:tab w:val="left" w:pos="8419"/>
              </w:tabs>
              <w:autoSpaceDE w:val="0"/>
              <w:autoSpaceDN w:val="0"/>
              <w:spacing w:line="276" w:lineRule="auto"/>
              <w:jc w:val="both"/>
              <w:rPr>
                <w:rFonts w:ascii="Verdana" w:hAnsi="Verdana" w:cs="Arial"/>
              </w:rPr>
            </w:pPr>
            <w:r w:rsidRPr="2993F789">
              <w:rPr>
                <w:rFonts w:ascii="Verdana" w:hAnsi="Verdana" w:cs="Arial"/>
              </w:rPr>
              <w:t>Consejo de Estado. Sección Tercera. Subsección “C”. Radicado No. 05001-23-31-000-1998-00038-01. Número Interno 27.777. M.P. Enrique Gil Botero.</w:t>
            </w:r>
          </w:p>
          <w:p w14:paraId="7CC4B8BB" w14:textId="77777777" w:rsidR="004E3903" w:rsidRPr="00AF7840" w:rsidRDefault="004E3903" w:rsidP="004E3903">
            <w:pPr>
              <w:pStyle w:val="Prrafodelista"/>
              <w:widowControl w:val="0"/>
              <w:numPr>
                <w:ilvl w:val="0"/>
                <w:numId w:val="2"/>
              </w:numPr>
              <w:tabs>
                <w:tab w:val="left" w:pos="8419"/>
              </w:tabs>
              <w:autoSpaceDE w:val="0"/>
              <w:autoSpaceDN w:val="0"/>
              <w:spacing w:line="276" w:lineRule="auto"/>
              <w:jc w:val="both"/>
              <w:rPr>
                <w:rFonts w:ascii="Verdana" w:hAnsi="Verdana" w:cs="Arial"/>
              </w:rPr>
            </w:pPr>
            <w:r w:rsidRPr="2993F789">
              <w:rPr>
                <w:rFonts w:ascii="Verdana" w:hAnsi="Verdana" w:cs="Arial"/>
              </w:rPr>
              <w:t xml:space="preserve">Consejo de Estado. Sala de Consulta y Servicio Civil. Concepto de 28 de </w:t>
            </w:r>
            <w:proofErr w:type="gramStart"/>
            <w:r w:rsidRPr="2993F789">
              <w:rPr>
                <w:rFonts w:ascii="Verdana" w:hAnsi="Verdana" w:cs="Arial"/>
              </w:rPr>
              <w:t>Junio</w:t>
            </w:r>
            <w:proofErr w:type="gramEnd"/>
            <w:r w:rsidRPr="2993F789">
              <w:rPr>
                <w:rFonts w:ascii="Verdana" w:hAnsi="Verdana" w:cs="Arial"/>
              </w:rPr>
              <w:t xml:space="preserve"> de 2016. Radicación: 2253. C.P. Álvaro Namén Vargas.</w:t>
            </w:r>
          </w:p>
          <w:p w14:paraId="21EFCD34" w14:textId="77777777" w:rsidR="004E3903" w:rsidRPr="00AF7840" w:rsidRDefault="004E3903" w:rsidP="004E3903">
            <w:pPr>
              <w:pStyle w:val="Prrafodelista"/>
              <w:widowControl w:val="0"/>
              <w:numPr>
                <w:ilvl w:val="0"/>
                <w:numId w:val="2"/>
              </w:numPr>
              <w:tabs>
                <w:tab w:val="left" w:pos="8419"/>
              </w:tabs>
              <w:autoSpaceDE w:val="0"/>
              <w:autoSpaceDN w:val="0"/>
              <w:spacing w:line="276" w:lineRule="auto"/>
              <w:jc w:val="both"/>
              <w:rPr>
                <w:rFonts w:ascii="Verdana" w:hAnsi="Verdana" w:cs="Arial"/>
              </w:rPr>
            </w:pPr>
            <w:r w:rsidRPr="2993F789">
              <w:rPr>
                <w:rFonts w:ascii="Verdana" w:hAnsi="Verdana" w:cs="Arial"/>
              </w:rPr>
              <w:t>Consejo de Estado. Sección Tercera. Subsección “C”. Radicado No. 11001-03-26-000-2015-00165-00. Número interno 55.813. M.P. Jaime Orlando Santofimio Gamboa. Sentencia del 10 de octubre de 2016.</w:t>
            </w:r>
          </w:p>
          <w:p w14:paraId="07A013B1" w14:textId="77777777" w:rsidR="004E3903" w:rsidRPr="00AF7840" w:rsidRDefault="004E3903" w:rsidP="004E3903">
            <w:pPr>
              <w:pStyle w:val="Prrafodelista"/>
              <w:widowControl w:val="0"/>
              <w:numPr>
                <w:ilvl w:val="0"/>
                <w:numId w:val="2"/>
              </w:numPr>
              <w:tabs>
                <w:tab w:val="left" w:pos="8419"/>
              </w:tabs>
              <w:autoSpaceDE w:val="0"/>
              <w:autoSpaceDN w:val="0"/>
              <w:spacing w:line="276" w:lineRule="auto"/>
              <w:jc w:val="both"/>
              <w:rPr>
                <w:rFonts w:ascii="Verdana" w:hAnsi="Verdana" w:cs="Arial"/>
              </w:rPr>
            </w:pPr>
            <w:r w:rsidRPr="2993F789">
              <w:rPr>
                <w:rFonts w:ascii="Verdana" w:hAnsi="Verdana" w:cs="Arial"/>
              </w:rPr>
              <w:t xml:space="preserve">Consejo de Estado, Sala de Consulta y Servicio Civil. Concepto del 8 de marzo de 2017, radicado No. 2298, y con ponencia del </w:t>
            </w:r>
            <w:proofErr w:type="gramStart"/>
            <w:r w:rsidRPr="2993F789">
              <w:rPr>
                <w:rFonts w:ascii="Verdana" w:hAnsi="Verdana" w:cs="Arial"/>
              </w:rPr>
              <w:t>Consejero</w:t>
            </w:r>
            <w:proofErr w:type="gramEnd"/>
            <w:r w:rsidRPr="2993F789">
              <w:rPr>
                <w:rFonts w:ascii="Verdana" w:hAnsi="Verdana" w:cs="Arial"/>
              </w:rPr>
              <w:t xml:space="preserve"> Édgar González.</w:t>
            </w:r>
          </w:p>
          <w:p w14:paraId="232031F0" w14:textId="77777777" w:rsidR="004E3903" w:rsidRPr="00AF7840" w:rsidRDefault="004E3903" w:rsidP="004E3903">
            <w:pPr>
              <w:pStyle w:val="Prrafodelista"/>
              <w:widowControl w:val="0"/>
              <w:numPr>
                <w:ilvl w:val="0"/>
                <w:numId w:val="2"/>
              </w:numPr>
              <w:tabs>
                <w:tab w:val="left" w:pos="8419"/>
              </w:tabs>
              <w:autoSpaceDE w:val="0"/>
              <w:autoSpaceDN w:val="0"/>
              <w:spacing w:line="276" w:lineRule="auto"/>
              <w:jc w:val="both"/>
              <w:rPr>
                <w:rFonts w:ascii="Verdana" w:hAnsi="Verdana" w:cs="Arial"/>
              </w:rPr>
            </w:pPr>
            <w:r w:rsidRPr="2993F789">
              <w:rPr>
                <w:rFonts w:ascii="Verdana" w:hAnsi="Verdana" w:cs="Arial"/>
              </w:rPr>
              <w:t xml:space="preserve">Consejo de Estado. Sección Tercera. </w:t>
            </w:r>
            <w:r w:rsidRPr="2993F789">
              <w:rPr>
                <w:rFonts w:ascii="Verdana" w:hAnsi="Verdana" w:cs="Arial"/>
                <w:lang w:val="pt-BR"/>
              </w:rPr>
              <w:t xml:space="preserve">Sala Plena. Auto de 1 de agosto de 2019. </w:t>
            </w:r>
            <w:proofErr w:type="spellStart"/>
            <w:r w:rsidRPr="2993F789">
              <w:rPr>
                <w:rFonts w:ascii="Verdana" w:hAnsi="Verdana" w:cs="Arial"/>
              </w:rPr>
              <w:t>Exp</w:t>
            </w:r>
            <w:proofErr w:type="spellEnd"/>
            <w:r w:rsidRPr="2993F789">
              <w:rPr>
                <w:rFonts w:ascii="Verdana" w:hAnsi="Verdana" w:cs="Arial"/>
              </w:rPr>
              <w:t>. 62009. C.P. Jaime Enrique Rodríguez Navas.</w:t>
            </w:r>
          </w:p>
          <w:p w14:paraId="2528865A" w14:textId="77777777" w:rsidR="004E3903" w:rsidRPr="00E11977" w:rsidRDefault="004E3903" w:rsidP="004E3903">
            <w:pPr>
              <w:pStyle w:val="Prrafodelista"/>
              <w:widowControl w:val="0"/>
              <w:numPr>
                <w:ilvl w:val="0"/>
                <w:numId w:val="2"/>
              </w:numPr>
              <w:tabs>
                <w:tab w:val="left" w:pos="8419"/>
              </w:tabs>
              <w:autoSpaceDE w:val="0"/>
              <w:autoSpaceDN w:val="0"/>
              <w:spacing w:line="276" w:lineRule="auto"/>
              <w:jc w:val="both"/>
              <w:rPr>
                <w:rFonts w:ascii="Verdana" w:hAnsi="Verdana" w:cs="Arial"/>
              </w:rPr>
            </w:pPr>
            <w:r w:rsidRPr="2993F789">
              <w:rPr>
                <w:rFonts w:ascii="Verdana" w:hAnsi="Verdana" w:cs="Arial"/>
              </w:rPr>
              <w:t>Consejo de Estado. Sección Tercera. Subsección A. Sentencia del 5 de febrero de 2021. Magistrada Ponente: María Adriana Marín. Expediente: 49.792.</w:t>
            </w:r>
          </w:p>
        </w:tc>
      </w:tr>
    </w:tbl>
    <w:p w14:paraId="6AB215EB" w14:textId="77777777" w:rsidR="004E3903" w:rsidRPr="00AF7840" w:rsidRDefault="004E3903" w:rsidP="004E3903">
      <w:pPr>
        <w:pStyle w:val="Prrafodelista"/>
        <w:tabs>
          <w:tab w:val="left" w:pos="142"/>
          <w:tab w:val="left" w:pos="284"/>
        </w:tabs>
        <w:spacing w:after="0" w:line="276" w:lineRule="auto"/>
        <w:ind w:left="0"/>
        <w:contextualSpacing w:val="0"/>
        <w:jc w:val="both"/>
        <w:rPr>
          <w:rFonts w:ascii="Verdana" w:eastAsia="Century Gothic" w:hAnsi="Verdana" w:cs="Century Gothic"/>
          <w:b/>
          <w:bCs/>
        </w:rPr>
      </w:pPr>
    </w:p>
    <w:p w14:paraId="4CFFC9AA" w14:textId="77777777" w:rsidR="004E3903" w:rsidRPr="00AF7840" w:rsidRDefault="004E3903" w:rsidP="004E3903">
      <w:pPr>
        <w:pStyle w:val="Prrafodelista"/>
        <w:tabs>
          <w:tab w:val="left" w:pos="142"/>
          <w:tab w:val="left" w:pos="284"/>
        </w:tabs>
        <w:spacing w:after="0" w:line="276" w:lineRule="auto"/>
        <w:ind w:left="0"/>
        <w:contextualSpacing w:val="0"/>
        <w:jc w:val="both"/>
        <w:rPr>
          <w:rFonts w:ascii="Verdana" w:eastAsia="Century Gothic" w:hAnsi="Verdana" w:cs="Century Gothic"/>
          <w:b/>
          <w:bCs/>
        </w:rPr>
      </w:pPr>
      <w:r w:rsidRPr="00AF7840">
        <w:rPr>
          <w:rFonts w:ascii="Verdana" w:eastAsia="Century Gothic" w:hAnsi="Verdana" w:cs="Century Gothic"/>
          <w:b/>
          <w:bCs/>
        </w:rPr>
        <w:t>5. Doctrina de la Agencia Nacional de Contratación Pública:</w:t>
      </w:r>
    </w:p>
    <w:p w14:paraId="0BE84AD0" w14:textId="77777777" w:rsidR="004E3903" w:rsidRPr="00AF7840" w:rsidRDefault="004E3903" w:rsidP="004E3903">
      <w:pPr>
        <w:spacing w:after="0" w:line="276" w:lineRule="auto"/>
        <w:ind w:firstLine="709"/>
        <w:jc w:val="both"/>
        <w:rPr>
          <w:rFonts w:ascii="Verdana" w:eastAsia="Times New Roman" w:hAnsi="Verdana" w:cs="Arial"/>
          <w:szCs w:val="24"/>
          <w:lang w:eastAsia="es-ES_tradnl"/>
        </w:rPr>
      </w:pPr>
    </w:p>
    <w:p w14:paraId="698ACF0C" w14:textId="77777777" w:rsidR="004E3903" w:rsidRPr="00AF7840" w:rsidRDefault="004E3903" w:rsidP="004E3903">
      <w:pPr>
        <w:widowControl w:val="0"/>
        <w:autoSpaceDE w:val="0"/>
        <w:autoSpaceDN w:val="0"/>
        <w:spacing w:after="0" w:line="276" w:lineRule="auto"/>
        <w:jc w:val="both"/>
        <w:rPr>
          <w:rFonts w:ascii="Verdana" w:eastAsia="Calibri" w:hAnsi="Verdana" w:cs="Arial"/>
          <w:lang w:eastAsia="es-ES_tradnl"/>
        </w:rPr>
      </w:pPr>
      <w:r w:rsidRPr="4A3FD318">
        <w:rPr>
          <w:rStyle w:val="normaltextrun"/>
          <w:rFonts w:ascii="Verdana" w:hAnsi="Verdana"/>
          <w:color w:val="000000" w:themeColor="text1"/>
        </w:rPr>
        <w:t>Además de los conceptos citados en el texto de la presente respuesta, esta Subdirección se ha pronunciado sobre la liquidación</w:t>
      </w:r>
      <w:r>
        <w:rPr>
          <w:rStyle w:val="normaltextrun"/>
          <w:rFonts w:ascii="Verdana" w:hAnsi="Verdana"/>
          <w:color w:val="000000" w:themeColor="text1"/>
        </w:rPr>
        <w:t xml:space="preserve"> y garantías</w:t>
      </w:r>
      <w:r w:rsidRPr="4A3FD318">
        <w:rPr>
          <w:rStyle w:val="normaltextrun"/>
          <w:rFonts w:ascii="Verdana" w:hAnsi="Verdana"/>
          <w:color w:val="000000" w:themeColor="text1"/>
        </w:rPr>
        <w:t xml:space="preserve"> </w:t>
      </w:r>
      <w:r>
        <w:rPr>
          <w:rStyle w:val="normaltextrun"/>
          <w:rFonts w:ascii="Verdana" w:hAnsi="Verdana"/>
          <w:color w:val="000000" w:themeColor="text1"/>
        </w:rPr>
        <w:t xml:space="preserve">de los contratos estatales </w:t>
      </w:r>
      <w:r w:rsidRPr="4A3FD318">
        <w:rPr>
          <w:rStyle w:val="normaltextrun"/>
          <w:rFonts w:ascii="Verdana" w:hAnsi="Verdana"/>
          <w:color w:val="000000" w:themeColor="text1"/>
        </w:rPr>
        <w:t xml:space="preserve">en los </w:t>
      </w:r>
      <w:r>
        <w:rPr>
          <w:rStyle w:val="normaltextrun"/>
          <w:rFonts w:ascii="Verdana" w:hAnsi="Verdana"/>
          <w:color w:val="000000" w:themeColor="text1"/>
        </w:rPr>
        <w:t>c</w:t>
      </w:r>
      <w:r w:rsidRPr="4A3FD318">
        <w:rPr>
          <w:rStyle w:val="normaltextrun"/>
          <w:rFonts w:ascii="Verdana" w:hAnsi="Verdana"/>
          <w:color w:val="000000" w:themeColor="text1"/>
        </w:rPr>
        <w:t xml:space="preserve">onceptos 4201912000004908 del 27 de septiembre de 2019, CU-028 de 25 de febrero de 2020, C-221 de 21 de abril de 2020, C-078 del 17 de marzo de 2021, C-220 del 18 de mayo de 2021, C-444 del 23 de julio de 2021, C-747 del 8 de noviembre de 2022, C-739 de del 29 de noviembre de </w:t>
      </w:r>
      <w:r w:rsidRPr="4A3FD318">
        <w:rPr>
          <w:rStyle w:val="normaltextrun"/>
          <w:rFonts w:ascii="Verdana" w:hAnsi="Verdana"/>
          <w:color w:val="000000" w:themeColor="text1"/>
        </w:rPr>
        <w:lastRenderedPageBreak/>
        <w:t>2022, C- 176 de 3 de mayo de 2023, C-158 del 6 de junio de 2023, C-326 del 15 de agosto de 2024, C-568 del 18 de octubre de 2024,  C-708 del 21 de noviembre de 2024</w:t>
      </w:r>
      <w:r>
        <w:rPr>
          <w:rStyle w:val="normaltextrun"/>
          <w:rFonts w:ascii="Verdana" w:hAnsi="Verdana"/>
          <w:color w:val="000000" w:themeColor="text1"/>
        </w:rPr>
        <w:t>,</w:t>
      </w:r>
      <w:r w:rsidRPr="4A3FD318">
        <w:rPr>
          <w:rStyle w:val="normaltextrun"/>
          <w:rFonts w:ascii="Verdana" w:hAnsi="Verdana"/>
          <w:color w:val="000000" w:themeColor="text1"/>
        </w:rPr>
        <w:t xml:space="preserve"> C-510 del 4 de junio de 2025</w:t>
      </w:r>
      <w:r>
        <w:rPr>
          <w:rStyle w:val="normaltextrun"/>
          <w:rFonts w:ascii="Verdana" w:hAnsi="Verdana"/>
          <w:color w:val="000000" w:themeColor="text1"/>
        </w:rPr>
        <w:t>, C- 1243 del 4 de octubre de 2025, C-198 del 19 de marzo de 2026, entre otros.</w:t>
      </w:r>
      <w:r w:rsidRPr="4A3FD318">
        <w:rPr>
          <w:rStyle w:val="normaltextrun"/>
          <w:rFonts w:ascii="Verdana" w:hAnsi="Verdana"/>
          <w:color w:val="000000" w:themeColor="text1"/>
        </w:rPr>
        <w:t xml:space="preserve"> Estos y otros </w:t>
      </w:r>
      <w:r>
        <w:rPr>
          <w:rStyle w:val="normaltextrun"/>
          <w:rFonts w:ascii="Verdana" w:hAnsi="Verdana"/>
          <w:color w:val="000000" w:themeColor="text1"/>
        </w:rPr>
        <w:t xml:space="preserve">conceptos </w:t>
      </w:r>
      <w:r w:rsidRPr="4A3FD318">
        <w:rPr>
          <w:rStyle w:val="normaltextrun"/>
          <w:rFonts w:ascii="Verdana" w:hAnsi="Verdana"/>
          <w:color w:val="000000" w:themeColor="text1"/>
        </w:rPr>
        <w:t>se encuentran disponibles para consulta en el Sistema de relatoría de la Agencia, al cual puede accederse a través del siguiente enlac</w:t>
      </w:r>
      <w:r>
        <w:rPr>
          <w:rStyle w:val="normaltextrun"/>
          <w:rFonts w:ascii="Verdana" w:hAnsi="Verdana"/>
          <w:color w:val="000000" w:themeColor="text1"/>
        </w:rPr>
        <w:t xml:space="preserve">e </w:t>
      </w:r>
      <w:hyperlink r:id="rId9" w:tooltip="Dirección URL original: https://relatoria.colombiacompra.gov.co/. Haga clic o pulse si confía en este vínculo." w:history="1">
        <w:r w:rsidRPr="00AF7840">
          <w:rPr>
            <w:rStyle w:val="Hipervnculo"/>
            <w:rFonts w:ascii="Verdana" w:eastAsia="Calibri" w:hAnsi="Verdana" w:cs="Arial"/>
            <w:lang w:eastAsia="es-ES_tradnl"/>
          </w:rPr>
          <w:t>https://relatoria.colombiacompra.gov.co/</w:t>
        </w:r>
      </w:hyperlink>
      <w:r w:rsidRPr="00AF7840">
        <w:rPr>
          <w:rFonts w:ascii="Verdana" w:eastAsia="Calibri" w:hAnsi="Verdana" w:cs="Arial"/>
          <w:lang w:eastAsia="es-ES_tradnl"/>
        </w:rPr>
        <w:t> </w:t>
      </w:r>
    </w:p>
    <w:p w14:paraId="0D35F620" w14:textId="77777777" w:rsidR="004E3903" w:rsidRPr="00AF7840" w:rsidRDefault="004E3903" w:rsidP="004E3903">
      <w:pPr>
        <w:widowControl w:val="0"/>
        <w:autoSpaceDE w:val="0"/>
        <w:autoSpaceDN w:val="0"/>
        <w:spacing w:after="0" w:line="276" w:lineRule="auto"/>
        <w:jc w:val="both"/>
        <w:rPr>
          <w:rFonts w:ascii="Verdana" w:eastAsia="Calibri" w:hAnsi="Verdana" w:cs="Arial"/>
          <w:lang w:eastAsia="es-ES_tradnl"/>
        </w:rPr>
      </w:pPr>
    </w:p>
    <w:p w14:paraId="6A2FD947" w14:textId="77777777" w:rsidR="004E3903" w:rsidRPr="00BE121F" w:rsidRDefault="004E3903" w:rsidP="004E3903">
      <w:pPr>
        <w:widowControl w:val="0"/>
        <w:autoSpaceDE w:val="0"/>
        <w:autoSpaceDN w:val="0"/>
        <w:spacing w:after="120" w:line="276" w:lineRule="auto"/>
        <w:jc w:val="both"/>
        <w:rPr>
          <w:rFonts w:ascii="Verdana" w:hAnsi="Verdana"/>
        </w:rPr>
      </w:pPr>
      <w:r w:rsidRPr="00BE121F">
        <w:rPr>
          <w:rFonts w:ascii="Verdana" w:hAnsi="Verdana"/>
        </w:rPr>
        <w:t>Las garantías no son un requisito formal: son el instrumento con el que se protege el patrimonio público frente a los riesgos del contrato. Por ello, la Agencia Nacional de Contratación Pública –Colombia Compra Eficiente– te invita a consultar la nueva versión de la </w:t>
      </w:r>
      <w:r w:rsidRPr="00BE121F">
        <w:rPr>
          <w:rFonts w:ascii="Verdana" w:hAnsi="Verdana"/>
          <w:b/>
          <w:bCs/>
        </w:rPr>
        <w:t>Guía para la Exigencia y Constitución de Garantías en los Procesos de Contratación</w:t>
      </w:r>
      <w:r w:rsidRPr="00BE121F">
        <w:rPr>
          <w:rFonts w:ascii="Verdana" w:hAnsi="Verdana"/>
        </w:rPr>
        <w:t>, dirigida a las entidades sometidas al EGCAP y a las de regímenes exceptuados, así como a proveedores y órganos de control. Encontrarás orientaciones sobre las clases de garantías admisibles, la correspondencia entre riesgos asignados y amparos exigidos, su suficiencia y vigencia, y el procedimiento para hacerlas efectivas. Consúltala aquí: </w:t>
      </w:r>
      <w:hyperlink r:id="rId10" w:tooltip="Dirección URL original: https://www.colombiacompra.gov.co/archivos/manual/guia-de-garantias-en-procesos-de-contratacion. Haga clic o pulse si confía en este vínculo." w:history="1">
        <w:r w:rsidRPr="00BE121F">
          <w:rPr>
            <w:rStyle w:val="Hipervnculo"/>
            <w:rFonts w:ascii="Verdana" w:hAnsi="Verdana"/>
          </w:rPr>
          <w:t>https://www.colombiacompra.gov.co/archivos/manual/guia-de-garantias-en-procesos-de-contratacion</w:t>
        </w:r>
      </w:hyperlink>
    </w:p>
    <w:p w14:paraId="48AF66B6" w14:textId="77777777" w:rsidR="004E3903" w:rsidRPr="00BE121F" w:rsidRDefault="004E3903" w:rsidP="004E3903">
      <w:pPr>
        <w:widowControl w:val="0"/>
        <w:autoSpaceDE w:val="0"/>
        <w:autoSpaceDN w:val="0"/>
        <w:spacing w:after="120" w:line="276" w:lineRule="auto"/>
        <w:jc w:val="both"/>
        <w:rPr>
          <w:rFonts w:ascii="Verdana" w:hAnsi="Verdana"/>
        </w:rPr>
      </w:pPr>
      <w:r w:rsidRPr="00BE121F">
        <w:rPr>
          <w:rFonts w:ascii="Verdana" w:hAnsi="Verdana"/>
        </w:rPr>
        <w:t>De otro lado, te contamos que el Decreto 287 del 19 de marzo de 2026 sustituyó los artículos 2.2.1.2.4.2.6., 2.2.1.2.4.2.7. y 2.2.1.2.4.2.8. del Decreto 1082 de 2015 y estructuró el </w:t>
      </w:r>
      <w:r w:rsidRPr="00BE121F">
        <w:rPr>
          <w:rFonts w:ascii="Verdana" w:hAnsi="Verdana"/>
          <w:b/>
          <w:bCs/>
        </w:rPr>
        <w:t>Sistema Integral de Preferencias en favor de las personas con discapacidad</w:t>
      </w:r>
      <w:r w:rsidRPr="00BE121F">
        <w:rPr>
          <w:rFonts w:ascii="Verdana" w:hAnsi="Verdana"/>
        </w:rPr>
        <w:t>, en cumplimiento del artículo 13 de la Ley Estatutaria 1618 de 2013. Para orientar su aplicación, esta Agencia expidió la </w:t>
      </w:r>
      <w:r w:rsidRPr="00BE121F">
        <w:rPr>
          <w:rFonts w:ascii="Verdana" w:hAnsi="Verdana"/>
          <w:b/>
          <w:bCs/>
        </w:rPr>
        <w:t>Circular Externa 003 del 12 de mayo de 2026, </w:t>
      </w:r>
      <w:r w:rsidRPr="00BE121F">
        <w:rPr>
          <w:rFonts w:ascii="Verdana" w:hAnsi="Verdana"/>
        </w:rPr>
        <w:t>en la que precisa quiénes son los beneficiarios, las cinco medidas que integran el sistema y su obligatoriedad según la modalidad de selección, y el régimen de transición aplicable a los procesos en curso. Consúltala aquí: </w:t>
      </w:r>
      <w:hyperlink r:id="rId11" w:tooltip="Dirección URL original: https://www.colombiacompra.gov.co/archivos/circular/circular-externa-003-de-2026. Haga clic o pulse si confía en este vínculo." w:history="1">
        <w:r w:rsidRPr="00BE121F">
          <w:rPr>
            <w:rStyle w:val="Hipervnculo"/>
            <w:rFonts w:ascii="Verdana" w:hAnsi="Verdana"/>
          </w:rPr>
          <w:t>https://www.colombiacompra.gov.co/archivos/circular/circular-externa-003-de-2026</w:t>
        </w:r>
      </w:hyperlink>
    </w:p>
    <w:p w14:paraId="0C043FDE" w14:textId="77777777" w:rsidR="004E3903" w:rsidRPr="00BE121F" w:rsidRDefault="004E3903" w:rsidP="004E3903">
      <w:pPr>
        <w:widowControl w:val="0"/>
        <w:autoSpaceDE w:val="0"/>
        <w:autoSpaceDN w:val="0"/>
        <w:spacing w:after="120" w:line="276" w:lineRule="auto"/>
        <w:jc w:val="both"/>
        <w:rPr>
          <w:rFonts w:ascii="Verdana" w:hAnsi="Verdana"/>
        </w:rPr>
      </w:pPr>
      <w:r w:rsidRPr="00BE121F">
        <w:rPr>
          <w:rFonts w:ascii="Verdana" w:hAnsi="Verdana"/>
        </w:rPr>
        <w:t>Recuerda también que la</w:t>
      </w:r>
      <w:r w:rsidRPr="00BE121F">
        <w:rPr>
          <w:rFonts w:ascii="Verdana" w:hAnsi="Verdana"/>
          <w:b/>
          <w:bCs/>
        </w:rPr>
        <w:t> información sobre sanciones e inhabilidades </w:t>
      </w:r>
      <w:r w:rsidRPr="00BE121F">
        <w:rPr>
          <w:rFonts w:ascii="Verdana" w:hAnsi="Verdana"/>
        </w:rPr>
        <w:t>solo cumple su función preventiva si llega oportunamente a los registros públicos. Sobre este deber, esta Agencia expidió la </w:t>
      </w:r>
      <w:r w:rsidRPr="00BE121F">
        <w:rPr>
          <w:rFonts w:ascii="Verdana" w:hAnsi="Verdana"/>
          <w:b/>
          <w:bCs/>
        </w:rPr>
        <w:t>Circular Externa 002 del 5 de mayo de 2026,</w:t>
      </w:r>
      <w:r w:rsidRPr="00BE121F">
        <w:rPr>
          <w:rFonts w:ascii="Verdana" w:hAnsi="Verdana"/>
        </w:rPr>
        <w:t xml:space="preserve"> dirigida a todas las entidades del Estado sin distinción de su régimen contractual, en la que reitera la obligatoriedad de reportar caducidades, multas, sanciones, declaratorias de incumplimiento e inhabilidades ante las Cámaras de </w:t>
      </w:r>
      <w:r w:rsidRPr="00BE121F">
        <w:rPr>
          <w:rFonts w:ascii="Verdana" w:hAnsi="Verdana"/>
        </w:rPr>
        <w:lastRenderedPageBreak/>
        <w:t>Comercio, la Procuraduría General de la Nación y el SECOP, e indica los responsables, los portales dispuestos para el efecto y las consecuencias disciplinarias de omitir este deber. Consúltala aquí: </w:t>
      </w:r>
      <w:hyperlink r:id="rId12" w:tooltip="Dirección URL original: https://www.colombiacompra.gov.co/archivos/circular/circular-externa-002-de-2026. Haga clic o pulse si confía en este vínculo." w:history="1">
        <w:r w:rsidRPr="00BE121F">
          <w:rPr>
            <w:rStyle w:val="Hipervnculo"/>
            <w:rFonts w:ascii="Verdana" w:hAnsi="Verdana"/>
          </w:rPr>
          <w:t>https://www.colombiacompra.gov.co/archivos/circular/circular-externa-002-de-2026</w:t>
        </w:r>
      </w:hyperlink>
    </w:p>
    <w:p w14:paraId="1A12E2C5" w14:textId="77777777" w:rsidR="004E3903" w:rsidRPr="00BE121F" w:rsidRDefault="004E3903" w:rsidP="004E3903">
      <w:pPr>
        <w:widowControl w:val="0"/>
        <w:autoSpaceDE w:val="0"/>
        <w:autoSpaceDN w:val="0"/>
        <w:spacing w:after="120" w:line="276" w:lineRule="auto"/>
        <w:jc w:val="both"/>
        <w:rPr>
          <w:rFonts w:ascii="Verdana" w:hAnsi="Verdana"/>
        </w:rPr>
      </w:pPr>
      <w:r w:rsidRPr="00BE121F">
        <w:rPr>
          <w:rFonts w:ascii="Verdana" w:hAnsi="Verdana"/>
        </w:rPr>
        <w:t>Finalmente, si quieres seguir de cerca la actividad de la Agencia, la tercera edición de 2026 del</w:t>
      </w:r>
      <w:r w:rsidRPr="00BE121F">
        <w:rPr>
          <w:rFonts w:ascii="Verdana" w:hAnsi="Verdana"/>
          <w:b/>
          <w:bCs/>
        </w:rPr>
        <w:t> Radar de la Compra Pública</w:t>
      </w:r>
      <w:r w:rsidRPr="00BE121F">
        <w:rPr>
          <w:rFonts w:ascii="Verdana" w:hAnsi="Verdana"/>
        </w:rPr>
        <w:t> 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Descárgalo aquí: </w:t>
      </w:r>
      <w:hyperlink r:id="rId13" w:tooltip="Dirección URL original: https://www.colombiacompra.gov.co/archivos/boletin/boletin-edicion-n-3-de-2026-radar-de-la-compra-publica. Haga clic o pulse si confía en este vínculo." w:history="1">
        <w:r w:rsidRPr="00BE121F">
          <w:rPr>
            <w:rStyle w:val="Hipervnculo"/>
            <w:rFonts w:ascii="Verdana" w:hAnsi="Verdana"/>
          </w:rPr>
          <w:t>https://www.colombiacompra.gov.co/archivos/boletin/boletin-edicion-n-3-de-2026-radar-de-la-compra-publica</w:t>
        </w:r>
      </w:hyperlink>
    </w:p>
    <w:p w14:paraId="61925F1B" w14:textId="77777777" w:rsidR="004E3903" w:rsidRPr="00B64A74" w:rsidRDefault="004E3903" w:rsidP="004E3903">
      <w:pPr>
        <w:widowControl w:val="0"/>
        <w:autoSpaceDE w:val="0"/>
        <w:autoSpaceDN w:val="0"/>
        <w:spacing w:after="120" w:line="276" w:lineRule="auto"/>
        <w:jc w:val="both"/>
        <w:rPr>
          <w:rFonts w:ascii="Verdana" w:hAnsi="Verdana" w:cs="Arial"/>
          <w:highlight w:val="yellow"/>
          <w:shd w:val="clear" w:color="auto" w:fill="FFFFFF"/>
        </w:rPr>
      </w:pPr>
      <w:r w:rsidRPr="00B64A74">
        <w:rPr>
          <w:rFonts w:ascii="Verdana" w:hAnsi="Verdana"/>
        </w:rPr>
        <w:t xml:space="preserve">Por último, aprovechamos la oportunidad de manifestar la entera disposición de la Agencia Nacional de Contratación Pública –Colombia Compra Eficiente– para atender las peticiones o solicitudes, así como para brindar el apoyo que se requiera en el marco de nuestras funciones a través de nuestros diferentes canales de atención: </w:t>
      </w:r>
    </w:p>
    <w:p w14:paraId="475769D9" w14:textId="77777777" w:rsidR="004E3903" w:rsidRPr="00B64A74" w:rsidRDefault="004E3903" w:rsidP="004E3903">
      <w:pPr>
        <w:pStyle w:val="Prrafodelista"/>
        <w:numPr>
          <w:ilvl w:val="0"/>
          <w:numId w:val="1"/>
        </w:numPr>
        <w:spacing w:after="0" w:line="276" w:lineRule="auto"/>
        <w:jc w:val="both"/>
        <w:rPr>
          <w:rFonts w:ascii="Verdana" w:eastAsia="Verdana" w:hAnsi="Verdana" w:cs="Verdana"/>
          <w:color w:val="156082" w:themeColor="accent1"/>
          <w:u w:val="single"/>
        </w:rPr>
      </w:pPr>
      <w:r w:rsidRPr="00B64A74">
        <w:rPr>
          <w:rFonts w:ascii="Verdana" w:eastAsia="Verdana" w:hAnsi="Verdana" w:cs="Verdana"/>
        </w:rPr>
        <w:t xml:space="preserve">Línea nacional gratuita o servicio a la ciudadanía (Mesa de servicio): </w:t>
      </w:r>
      <w:r w:rsidRPr="00B64A74">
        <w:rPr>
          <w:rStyle w:val="Hipervnculo"/>
          <w:rFonts w:ascii="Verdana" w:hAnsi="Verdana"/>
        </w:rPr>
        <w:t>01800 0520808</w:t>
      </w:r>
    </w:p>
    <w:p w14:paraId="7F8477E7" w14:textId="77777777" w:rsidR="004E3903" w:rsidRPr="00B64A74" w:rsidRDefault="004E3903" w:rsidP="004E3903">
      <w:pPr>
        <w:pStyle w:val="Prrafodelista"/>
        <w:numPr>
          <w:ilvl w:val="0"/>
          <w:numId w:val="1"/>
        </w:numPr>
        <w:spacing w:after="0" w:line="276" w:lineRule="auto"/>
        <w:rPr>
          <w:rFonts w:ascii="Verdana" w:eastAsia="Verdana" w:hAnsi="Verdana" w:cs="Verdana"/>
          <w:color w:val="156082" w:themeColor="accent1"/>
          <w:u w:val="single"/>
        </w:rPr>
      </w:pPr>
      <w:r w:rsidRPr="00B64A74">
        <w:rPr>
          <w:rFonts w:ascii="Verdana" w:eastAsia="Verdana" w:hAnsi="Verdana" w:cs="Verdana"/>
        </w:rPr>
        <w:t>Línea en Bogotá (Mesa de servicio</w:t>
      </w:r>
      <w:proofErr w:type="gramStart"/>
      <w:r w:rsidRPr="00B64A74">
        <w:rPr>
          <w:rFonts w:ascii="Verdana" w:eastAsia="Verdana" w:hAnsi="Verdana" w:cs="Verdana"/>
        </w:rPr>
        <w:t>):</w:t>
      </w:r>
      <w:r w:rsidRPr="00B64A74">
        <w:rPr>
          <w:rStyle w:val="Hipervnculo"/>
          <w:rFonts w:ascii="Verdana" w:hAnsi="Verdana"/>
        </w:rPr>
        <w:t>+</w:t>
      </w:r>
      <w:proofErr w:type="gramEnd"/>
      <w:r w:rsidRPr="00B64A74">
        <w:rPr>
          <w:rStyle w:val="Hipervnculo"/>
          <w:rFonts w:ascii="Verdana" w:hAnsi="Verdana"/>
        </w:rPr>
        <w:t>57 601 7456788</w:t>
      </w:r>
    </w:p>
    <w:p w14:paraId="17F8E377" w14:textId="77777777" w:rsidR="004E3903" w:rsidRPr="00B64A74" w:rsidRDefault="004E3903" w:rsidP="004E3903">
      <w:pPr>
        <w:pStyle w:val="Prrafodelista"/>
        <w:numPr>
          <w:ilvl w:val="0"/>
          <w:numId w:val="1"/>
        </w:numPr>
        <w:spacing w:after="0" w:line="276" w:lineRule="auto"/>
        <w:rPr>
          <w:rFonts w:ascii="Verdana" w:eastAsia="Verdana" w:hAnsi="Verdana" w:cs="Verdana"/>
          <w:color w:val="0000FF"/>
          <w:u w:val="single"/>
        </w:rPr>
      </w:pPr>
      <w:r w:rsidRPr="00B64A74">
        <w:rPr>
          <w:rFonts w:ascii="Verdana" w:eastAsia="Verdana" w:hAnsi="Verdana" w:cs="Verdana"/>
        </w:rPr>
        <w:t xml:space="preserve">Correo de radicación de correspondencia: </w:t>
      </w:r>
      <w:hyperlink r:id="rId14">
        <w:r w:rsidRPr="00B64A74">
          <w:rPr>
            <w:rStyle w:val="Hipervnculo"/>
            <w:rFonts w:ascii="Verdana" w:eastAsia="Verdana" w:hAnsi="Verdana" w:cs="Verdana"/>
          </w:rPr>
          <w:t>ventanilladeradicacion@colombiacompra.gov.co</w:t>
        </w:r>
      </w:hyperlink>
    </w:p>
    <w:p w14:paraId="423AFA29" w14:textId="77777777" w:rsidR="004E3903" w:rsidRPr="00B64A74" w:rsidRDefault="004E3903" w:rsidP="004E3903">
      <w:pPr>
        <w:pStyle w:val="Prrafodelista"/>
        <w:numPr>
          <w:ilvl w:val="0"/>
          <w:numId w:val="1"/>
        </w:numPr>
        <w:spacing w:after="0" w:line="276" w:lineRule="auto"/>
        <w:rPr>
          <w:rFonts w:ascii="Verdana" w:eastAsia="Verdana" w:hAnsi="Verdana" w:cs="Verdana"/>
          <w:color w:val="0000FF"/>
          <w:u w:val="single"/>
        </w:rPr>
      </w:pPr>
      <w:r w:rsidRPr="00B64A74">
        <w:rPr>
          <w:rFonts w:ascii="Verdana" w:eastAsia="Verdana" w:hAnsi="Verdana" w:cs="Verdana"/>
        </w:rPr>
        <w:t xml:space="preserve">Formulario web para PQRSD: </w:t>
      </w:r>
      <w:hyperlink r:id="rId15">
        <w:r w:rsidRPr="00B64A74">
          <w:rPr>
            <w:rStyle w:val="Hipervnculo"/>
            <w:rFonts w:ascii="Verdana" w:eastAsia="Verdana" w:hAnsi="Verdana" w:cs="Verdana"/>
          </w:rPr>
          <w:t>https://www.colombiacompra.gov.co/pqrsd/informacion-importante-antes-de-formular-una-pqrsd</w:t>
        </w:r>
      </w:hyperlink>
    </w:p>
    <w:p w14:paraId="6B9BDDFE" w14:textId="77777777" w:rsidR="004E3903" w:rsidRPr="00B64A74" w:rsidRDefault="004E3903" w:rsidP="004E3903">
      <w:pPr>
        <w:spacing w:after="0" w:line="276" w:lineRule="auto"/>
        <w:ind w:left="720"/>
        <w:jc w:val="both"/>
        <w:rPr>
          <w:rFonts w:ascii="Verdana" w:hAnsi="Verdana"/>
        </w:rPr>
      </w:pPr>
    </w:p>
    <w:p w14:paraId="55A05714" w14:textId="77777777" w:rsidR="004E3903" w:rsidRPr="00B64A74" w:rsidRDefault="004E3903" w:rsidP="004E3903">
      <w:pPr>
        <w:spacing w:after="120" w:line="276" w:lineRule="auto"/>
        <w:jc w:val="both"/>
        <w:rPr>
          <w:rFonts w:ascii="Verdana" w:hAnsi="Verdana"/>
        </w:rPr>
      </w:pPr>
      <w:r w:rsidRPr="00B64A74">
        <w:rPr>
          <w:rFonts w:ascii="Verdana" w:hAnsi="Verdana"/>
        </w:rPr>
        <w:t xml:space="preserve">Evalúa el servicio que ofrece la Agencia por el canal de atención de PQRSD en el siguiente enlace: </w:t>
      </w:r>
      <w:hyperlink r:id="rId16" w:history="1">
        <w:r w:rsidRPr="00B64A74">
          <w:rPr>
            <w:rStyle w:val="Hipervnculo"/>
            <w:rFonts w:ascii="Verdana" w:eastAsia="Verdana" w:hAnsi="Verdana" w:cs="Verdana"/>
          </w:rPr>
          <w:t>https://forms.office.com/r/pPHyWVs2SZ</w:t>
        </w:r>
      </w:hyperlink>
      <w:r w:rsidRPr="00B64A74">
        <w:rPr>
          <w:rStyle w:val="Hipervnculo"/>
          <w:rFonts w:ascii="Verdana" w:eastAsia="Verdana" w:hAnsi="Verdana" w:cs="Verdana"/>
        </w:rPr>
        <w:t>.</w:t>
      </w:r>
      <w:r w:rsidRPr="00B64A74">
        <w:rPr>
          <w:rFonts w:ascii="Verdana" w:hAnsi="Verdana"/>
        </w:rPr>
        <w:t xml:space="preserve"> ¡Ayúdanos a mejorar porque el compromiso es de todos!</w:t>
      </w:r>
    </w:p>
    <w:p w14:paraId="03397336" w14:textId="77777777" w:rsidR="004E3903" w:rsidRPr="00B64A74" w:rsidRDefault="004E3903" w:rsidP="004E3903">
      <w:pPr>
        <w:spacing w:after="120" w:line="276" w:lineRule="auto"/>
        <w:jc w:val="both"/>
        <w:rPr>
          <w:rFonts w:ascii="Verdana" w:hAnsi="Verdana"/>
        </w:rPr>
      </w:pPr>
      <w:r w:rsidRPr="00B64A74">
        <w:rPr>
          <w:rFonts w:ascii="Verdana" w:hAnsi="Verdana"/>
        </w:rPr>
        <w:t xml:space="preserve">Por último, lo invitamos a seguirnos en las redes sociales en las cuales se difunde información institucional: </w:t>
      </w:r>
    </w:p>
    <w:p w14:paraId="4E058308" w14:textId="77777777" w:rsidR="004E3903" w:rsidRPr="00B64A74" w:rsidRDefault="004E3903" w:rsidP="004E3903">
      <w:pPr>
        <w:spacing w:after="0" w:line="276" w:lineRule="auto"/>
        <w:jc w:val="both"/>
        <w:rPr>
          <w:rFonts w:ascii="Verdana" w:hAnsi="Verdana"/>
        </w:rPr>
      </w:pPr>
      <w:r w:rsidRPr="00B64A74">
        <w:rPr>
          <w:rFonts w:ascii="Verdana" w:hAnsi="Verdana"/>
        </w:rPr>
        <w:t xml:space="preserve">Twitter: </w:t>
      </w:r>
      <w:r w:rsidRPr="00B64A74">
        <w:rPr>
          <w:rStyle w:val="Hipervnculo"/>
          <w:rFonts w:ascii="Verdana" w:hAnsi="Verdana"/>
        </w:rPr>
        <w:t>@colombiacompra</w:t>
      </w:r>
      <w:r w:rsidRPr="00B64A74">
        <w:rPr>
          <w:rFonts w:ascii="Verdana" w:hAnsi="Verdana"/>
        </w:rPr>
        <w:t xml:space="preserve"> </w:t>
      </w:r>
    </w:p>
    <w:p w14:paraId="4480AE63" w14:textId="77777777" w:rsidR="004E3903" w:rsidRPr="00B64A74" w:rsidRDefault="004E3903" w:rsidP="004E3903">
      <w:pPr>
        <w:spacing w:after="0" w:line="276" w:lineRule="auto"/>
        <w:jc w:val="both"/>
        <w:rPr>
          <w:rFonts w:ascii="Verdana" w:hAnsi="Verdana"/>
        </w:rPr>
      </w:pPr>
      <w:r w:rsidRPr="00B64A74">
        <w:rPr>
          <w:rFonts w:ascii="Verdana" w:hAnsi="Verdana"/>
        </w:rPr>
        <w:t xml:space="preserve">Facebook: </w:t>
      </w:r>
      <w:proofErr w:type="spellStart"/>
      <w:r w:rsidRPr="00B64A74">
        <w:rPr>
          <w:rStyle w:val="Hipervnculo"/>
          <w:rFonts w:ascii="Verdana" w:hAnsi="Verdana"/>
        </w:rPr>
        <w:t>ColombiaCompraEficiente</w:t>
      </w:r>
      <w:proofErr w:type="spellEnd"/>
    </w:p>
    <w:p w14:paraId="17AEECB3" w14:textId="77777777" w:rsidR="004E3903" w:rsidRPr="00B64A74" w:rsidRDefault="004E3903" w:rsidP="004E3903">
      <w:pPr>
        <w:spacing w:after="0" w:line="276" w:lineRule="auto"/>
        <w:jc w:val="both"/>
        <w:rPr>
          <w:rFonts w:ascii="Verdana" w:hAnsi="Verdana"/>
        </w:rPr>
      </w:pPr>
      <w:r w:rsidRPr="00B64A74">
        <w:rPr>
          <w:rFonts w:ascii="Verdana" w:hAnsi="Verdana"/>
        </w:rPr>
        <w:lastRenderedPageBreak/>
        <w:t xml:space="preserve">LinkedIn: </w:t>
      </w:r>
      <w:r w:rsidRPr="00B64A74">
        <w:rPr>
          <w:rStyle w:val="Hipervnculo"/>
          <w:rFonts w:ascii="Verdana" w:hAnsi="Verdana"/>
        </w:rPr>
        <w:t>Agencia Nacional de Contratación Pública - Colombia Compra Eficiente</w:t>
      </w:r>
      <w:r w:rsidRPr="00B64A74">
        <w:rPr>
          <w:rFonts w:ascii="Verdana" w:hAnsi="Verdana"/>
        </w:rPr>
        <w:t xml:space="preserve"> Instagram: </w:t>
      </w:r>
      <w:r w:rsidRPr="00B64A74">
        <w:rPr>
          <w:rStyle w:val="Hipervnculo"/>
          <w:rFonts w:ascii="Verdana" w:hAnsi="Verdana"/>
        </w:rPr>
        <w:t>@colombiacompraeficiente_cce</w:t>
      </w:r>
    </w:p>
    <w:p w14:paraId="2CBB559C" w14:textId="77777777" w:rsidR="004E3903" w:rsidRPr="00B64A74" w:rsidRDefault="004E3903" w:rsidP="004E3903">
      <w:pPr>
        <w:spacing w:after="0" w:line="276" w:lineRule="auto"/>
        <w:jc w:val="both"/>
        <w:rPr>
          <w:rFonts w:ascii="Verdana" w:hAnsi="Verdana"/>
        </w:rPr>
      </w:pPr>
    </w:p>
    <w:p w14:paraId="29D01F8F" w14:textId="77777777" w:rsidR="004E3903" w:rsidRPr="00B64A74" w:rsidRDefault="004E3903" w:rsidP="004E3903">
      <w:pPr>
        <w:spacing w:after="0" w:line="276" w:lineRule="auto"/>
        <w:jc w:val="both"/>
        <w:rPr>
          <w:rFonts w:ascii="Verdana" w:hAnsi="Verdana"/>
        </w:rPr>
      </w:pPr>
      <w:r w:rsidRPr="00B64A74">
        <w:rPr>
          <w:rFonts w:ascii="Verdana" w:hAnsi="Verdana"/>
        </w:rPr>
        <w:t>Cordialmente,</w:t>
      </w:r>
    </w:p>
    <w:p w14:paraId="70B5B599" w14:textId="30602E9D" w:rsidR="0047203D" w:rsidRPr="0047203D" w:rsidRDefault="0047203D" w:rsidP="0047203D">
      <w:pPr>
        <w:pStyle w:val="Sinespaciado"/>
        <w:jc w:val="center"/>
        <w:rPr>
          <w:rFonts w:ascii="Verdana" w:hAnsi="Verdana"/>
          <w:lang w:val="es-CO"/>
        </w:rPr>
      </w:pPr>
      <w:r w:rsidRPr="0047203D">
        <w:rPr>
          <w:rFonts w:ascii="Verdana" w:hAnsi="Verdana"/>
          <w:lang w:val="es-CO"/>
        </w:rPr>
        <w:drawing>
          <wp:inline distT="0" distB="0" distL="0" distR="0" wp14:anchorId="5299C8B5" wp14:editId="765B873D">
            <wp:extent cx="3771900" cy="1403350"/>
            <wp:effectExtent l="0" t="0" r="0" b="6350"/>
            <wp:docPr id="182687380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71900" cy="1403350"/>
                    </a:xfrm>
                    <a:prstGeom prst="rect">
                      <a:avLst/>
                    </a:prstGeom>
                    <a:noFill/>
                    <a:ln>
                      <a:noFill/>
                    </a:ln>
                  </pic:spPr>
                </pic:pic>
              </a:graphicData>
            </a:graphic>
          </wp:inline>
        </w:drawing>
      </w:r>
    </w:p>
    <w:p w14:paraId="272133D4" w14:textId="77777777" w:rsidR="004E3903" w:rsidRPr="0072692B" w:rsidRDefault="004E3903" w:rsidP="004E3903">
      <w:pPr>
        <w:pStyle w:val="Sinespaciado"/>
        <w:jc w:val="center"/>
        <w:rPr>
          <w:rFonts w:ascii="Verdana" w:hAnsi="Verdana"/>
          <w:lang w:val="es-CO"/>
        </w:rPr>
      </w:pPr>
    </w:p>
    <w:p w14:paraId="3FCE081C" w14:textId="77777777" w:rsidR="004E3903" w:rsidRPr="00056D26" w:rsidRDefault="004E3903" w:rsidP="004E3903">
      <w:pPr>
        <w:pStyle w:val="Sinespaciado"/>
        <w:jc w:val="center"/>
        <w:rPr>
          <w:rFonts w:ascii="Verdana" w:hAnsi="Verdana"/>
          <w:sz w:val="22"/>
        </w:rPr>
      </w:pP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4E3903" w:rsidRPr="007A0E81" w14:paraId="124E5601" w14:textId="77777777" w:rsidTr="00FD0DA0">
        <w:trPr>
          <w:trHeight w:val="315"/>
        </w:trPr>
        <w:tc>
          <w:tcPr>
            <w:tcW w:w="893" w:type="dxa"/>
            <w:vAlign w:val="center"/>
            <w:hideMark/>
          </w:tcPr>
          <w:p w14:paraId="5E19E792" w14:textId="77777777" w:rsidR="004E3903" w:rsidRPr="007A0E81" w:rsidRDefault="004E3903" w:rsidP="00FD0DA0">
            <w:pPr>
              <w:spacing w:line="276" w:lineRule="auto"/>
              <w:rPr>
                <w:rFonts w:ascii="Verdana" w:eastAsia="Times New Roman" w:hAnsi="Verdana" w:cs="Arial"/>
                <w:color w:val="000000"/>
                <w:sz w:val="16"/>
                <w:szCs w:val="16"/>
                <w:lang w:val="es-ES" w:eastAsia="es-ES"/>
              </w:rPr>
            </w:pPr>
            <w:r w:rsidRPr="007A0E81">
              <w:rPr>
                <w:rFonts w:ascii="Verdana" w:eastAsia="Times New Roman" w:hAnsi="Verdana" w:cs="Arial"/>
                <w:color w:val="000000"/>
                <w:sz w:val="16"/>
                <w:szCs w:val="16"/>
                <w:lang w:val="es-ES" w:eastAsia="es-ES"/>
              </w:rPr>
              <w:t>Elaboró:</w:t>
            </w:r>
          </w:p>
        </w:tc>
        <w:tc>
          <w:tcPr>
            <w:tcW w:w="5628" w:type="dxa"/>
            <w:tcBorders>
              <w:top w:val="nil"/>
              <w:left w:val="nil"/>
              <w:bottom w:val="dotted" w:sz="4" w:space="0" w:color="7F7F7F"/>
              <w:right w:val="nil"/>
            </w:tcBorders>
            <w:vAlign w:val="center"/>
            <w:hideMark/>
          </w:tcPr>
          <w:p w14:paraId="22D5BE3B" w14:textId="77777777" w:rsidR="004E3903" w:rsidRPr="0072692B" w:rsidRDefault="004E3903" w:rsidP="00FD0DA0">
            <w:pPr>
              <w:spacing w:line="276" w:lineRule="auto"/>
              <w:rPr>
                <w:rFonts w:ascii="Verdana" w:eastAsia="Arial" w:hAnsi="Verdana" w:cs="Arial"/>
                <w:color w:val="000000"/>
                <w:sz w:val="16"/>
                <w:szCs w:val="16"/>
              </w:rPr>
            </w:pPr>
            <w:r w:rsidRPr="0072692B">
              <w:rPr>
                <w:rFonts w:ascii="Verdana" w:eastAsia="Times New Roman" w:hAnsi="Verdana" w:cs="Arial"/>
                <w:color w:val="000000"/>
                <w:sz w:val="16"/>
                <w:szCs w:val="16"/>
              </w:rPr>
              <w:t>Natalia Montoya Jiménez</w:t>
            </w:r>
          </w:p>
          <w:p w14:paraId="7CEFB060" w14:textId="77777777" w:rsidR="004E3903" w:rsidRPr="007A0E81" w:rsidRDefault="004E3903" w:rsidP="00FD0DA0">
            <w:pPr>
              <w:spacing w:line="276" w:lineRule="auto"/>
              <w:rPr>
                <w:rFonts w:ascii="Verdana" w:eastAsia="Arial" w:hAnsi="Verdana" w:cs="Arial"/>
                <w:color w:val="000000"/>
                <w:sz w:val="16"/>
                <w:szCs w:val="16"/>
              </w:rPr>
            </w:pPr>
            <w:r>
              <w:rPr>
                <w:rFonts w:ascii="Verdana" w:eastAsia="Arial" w:hAnsi="Verdana" w:cs="Arial"/>
                <w:color w:val="000000"/>
                <w:sz w:val="16"/>
                <w:szCs w:val="16"/>
              </w:rPr>
              <w:t xml:space="preserve">Gestor T1 15 </w:t>
            </w:r>
            <w:r w:rsidRPr="007A0E81">
              <w:rPr>
                <w:rFonts w:ascii="Verdana" w:eastAsia="Arial" w:hAnsi="Verdana" w:cs="Arial"/>
                <w:color w:val="000000"/>
                <w:sz w:val="16"/>
                <w:szCs w:val="16"/>
              </w:rPr>
              <w:t>de la Subdirección de Gestión Contractual</w:t>
            </w:r>
          </w:p>
        </w:tc>
      </w:tr>
      <w:tr w:rsidR="004E3903" w:rsidRPr="007A0E81" w14:paraId="6B4C9DD2" w14:textId="77777777" w:rsidTr="00FD0DA0">
        <w:trPr>
          <w:trHeight w:val="330"/>
        </w:trPr>
        <w:tc>
          <w:tcPr>
            <w:tcW w:w="893" w:type="dxa"/>
            <w:vAlign w:val="center"/>
            <w:hideMark/>
          </w:tcPr>
          <w:p w14:paraId="6246130B" w14:textId="77777777" w:rsidR="004E3903" w:rsidRPr="007A0E81" w:rsidRDefault="004E3903" w:rsidP="00FD0DA0">
            <w:pPr>
              <w:spacing w:line="276" w:lineRule="auto"/>
              <w:rPr>
                <w:rFonts w:ascii="Verdana" w:eastAsia="Times New Roman" w:hAnsi="Verdana" w:cs="Arial"/>
                <w:color w:val="000000"/>
                <w:sz w:val="16"/>
                <w:szCs w:val="16"/>
                <w:lang w:val="es-ES" w:eastAsia="es-ES"/>
              </w:rPr>
            </w:pPr>
            <w:r w:rsidRPr="007A0E81">
              <w:rPr>
                <w:rFonts w:ascii="Verdana" w:eastAsia="Times New Roman" w:hAnsi="Verdana" w:cs="Arial"/>
                <w:color w:val="000000"/>
                <w:sz w:val="16"/>
                <w:szCs w:val="16"/>
                <w:lang w:val="es-ES" w:eastAsia="es-ES"/>
              </w:rPr>
              <w:t>Revisó:</w:t>
            </w:r>
          </w:p>
        </w:tc>
        <w:tc>
          <w:tcPr>
            <w:tcW w:w="5628" w:type="dxa"/>
            <w:tcBorders>
              <w:top w:val="dotted" w:sz="4" w:space="0" w:color="7F7F7F"/>
              <w:left w:val="nil"/>
              <w:bottom w:val="dotted" w:sz="4" w:space="0" w:color="7F7F7F"/>
              <w:right w:val="nil"/>
            </w:tcBorders>
            <w:vAlign w:val="center"/>
            <w:hideMark/>
          </w:tcPr>
          <w:p w14:paraId="35556D0E" w14:textId="77777777" w:rsidR="004E3903" w:rsidRPr="007A0E81" w:rsidRDefault="004E3903" w:rsidP="00FD0DA0">
            <w:pPr>
              <w:spacing w:line="276" w:lineRule="auto"/>
              <w:rPr>
                <w:rFonts w:ascii="Verdana" w:eastAsia="Times New Roman" w:hAnsi="Verdana" w:cs="Arial"/>
                <w:color w:val="000000"/>
                <w:sz w:val="16"/>
                <w:szCs w:val="16"/>
              </w:rPr>
            </w:pPr>
            <w:r>
              <w:rPr>
                <w:rFonts w:ascii="Verdana" w:eastAsia="Times New Roman" w:hAnsi="Verdana" w:cs="Arial"/>
                <w:color w:val="000000"/>
                <w:sz w:val="16"/>
                <w:szCs w:val="16"/>
              </w:rPr>
              <w:t>Adriana Katherine López Rodriguez</w:t>
            </w:r>
          </w:p>
          <w:p w14:paraId="294586AF" w14:textId="77777777" w:rsidR="004E3903" w:rsidRPr="007A0E81" w:rsidRDefault="004E3903" w:rsidP="00FD0DA0">
            <w:pPr>
              <w:spacing w:line="276" w:lineRule="auto"/>
              <w:textAlignment w:val="baseline"/>
              <w:rPr>
                <w:rFonts w:ascii="Verdana" w:eastAsia="Times New Roman" w:hAnsi="Verdana" w:cs="Arial"/>
                <w:color w:val="000000"/>
                <w:sz w:val="16"/>
                <w:szCs w:val="16"/>
              </w:rPr>
            </w:pPr>
            <w:r w:rsidRPr="007A0E81">
              <w:rPr>
                <w:rFonts w:ascii="Verdana" w:eastAsia="Times New Roman" w:hAnsi="Verdana" w:cs="Arial"/>
                <w:color w:val="000000"/>
                <w:sz w:val="16"/>
                <w:szCs w:val="16"/>
              </w:rPr>
              <w:t>Contratista de la Subdirección de Gestión Contractual</w:t>
            </w:r>
          </w:p>
        </w:tc>
      </w:tr>
      <w:tr w:rsidR="004E3903" w:rsidRPr="007A0E81" w14:paraId="0FE989BB" w14:textId="77777777" w:rsidTr="00FD0DA0">
        <w:trPr>
          <w:trHeight w:val="300"/>
        </w:trPr>
        <w:tc>
          <w:tcPr>
            <w:tcW w:w="893" w:type="dxa"/>
            <w:vAlign w:val="center"/>
          </w:tcPr>
          <w:p w14:paraId="754F6E9B" w14:textId="77777777" w:rsidR="004E3903" w:rsidRPr="007A0E81" w:rsidRDefault="004E3903" w:rsidP="00FD0DA0">
            <w:pPr>
              <w:spacing w:line="276" w:lineRule="auto"/>
              <w:rPr>
                <w:rFonts w:ascii="Verdana" w:eastAsia="Times New Roman" w:hAnsi="Verdana" w:cs="Arial"/>
                <w:color w:val="000000"/>
                <w:sz w:val="16"/>
                <w:szCs w:val="16"/>
                <w:lang w:val="es-ES" w:eastAsia="es-ES"/>
              </w:rPr>
            </w:pPr>
            <w:r w:rsidRPr="007A0E81">
              <w:rPr>
                <w:rFonts w:ascii="Verdana" w:eastAsia="Times New Roman" w:hAnsi="Verdana" w:cs="Arial"/>
                <w:color w:val="000000"/>
                <w:sz w:val="16"/>
                <w:szCs w:val="16"/>
                <w:lang w:val="es-ES" w:eastAsia="es-ES"/>
              </w:rPr>
              <w:t>Aprobó:</w:t>
            </w:r>
          </w:p>
        </w:tc>
        <w:tc>
          <w:tcPr>
            <w:tcW w:w="5628" w:type="dxa"/>
            <w:tcBorders>
              <w:top w:val="dotted" w:sz="4" w:space="0" w:color="7F7F7F"/>
              <w:left w:val="nil"/>
              <w:bottom w:val="dotted" w:sz="4" w:space="0" w:color="7F7F7F"/>
              <w:right w:val="nil"/>
            </w:tcBorders>
            <w:vAlign w:val="center"/>
          </w:tcPr>
          <w:p w14:paraId="0353311D" w14:textId="77777777" w:rsidR="004E3903" w:rsidRPr="0074571F" w:rsidRDefault="004E3903" w:rsidP="00FD0DA0">
            <w:pPr>
              <w:pStyle w:val="Sinespaciado"/>
              <w:rPr>
                <w:rFonts w:ascii="Verdana" w:eastAsia="Times New Roman" w:hAnsi="Verdana" w:cs="Arial"/>
                <w:color w:val="000000"/>
                <w:sz w:val="16"/>
                <w:szCs w:val="16"/>
                <w:lang w:val="es-CO"/>
              </w:rPr>
            </w:pPr>
            <w:r>
              <w:rPr>
                <w:rFonts w:ascii="Verdana" w:eastAsia="Times New Roman" w:hAnsi="Verdana" w:cs="Arial"/>
                <w:color w:val="000000"/>
                <w:sz w:val="16"/>
                <w:szCs w:val="16"/>
                <w:lang w:val="es-CO"/>
              </w:rPr>
              <w:t>Carolina Quintero Gacharná</w:t>
            </w:r>
          </w:p>
          <w:p w14:paraId="298FE24E" w14:textId="77777777" w:rsidR="004E3903" w:rsidRPr="007A0E81" w:rsidRDefault="004E3903" w:rsidP="00FD0DA0">
            <w:pPr>
              <w:spacing w:line="276" w:lineRule="auto"/>
              <w:rPr>
                <w:rFonts w:ascii="Verdana" w:eastAsia="Times New Roman" w:hAnsi="Verdana" w:cs="Arial"/>
                <w:color w:val="000000"/>
                <w:sz w:val="16"/>
                <w:szCs w:val="16"/>
              </w:rPr>
            </w:pPr>
            <w:r w:rsidRPr="0074571F">
              <w:rPr>
                <w:rFonts w:ascii="Verdana" w:eastAsia="Times New Roman" w:hAnsi="Verdana" w:cs="Arial"/>
                <w:color w:val="000000"/>
                <w:sz w:val="16"/>
                <w:szCs w:val="16"/>
              </w:rPr>
              <w:t>Subdirectora de Gestión Contractual</w:t>
            </w:r>
            <w:r w:rsidRPr="00E60303">
              <w:rPr>
                <w:rFonts w:ascii="Verdana" w:hAnsi="Verdana"/>
                <w:sz w:val="14"/>
                <w:szCs w:val="14"/>
                <w:lang w:eastAsia="es-ES"/>
              </w:rPr>
              <w:t> </w:t>
            </w:r>
          </w:p>
        </w:tc>
      </w:tr>
    </w:tbl>
    <w:p w14:paraId="0D5588AE" w14:textId="77777777" w:rsidR="004E3903" w:rsidRPr="0044528D" w:rsidRDefault="004E3903" w:rsidP="004E3903">
      <w:pPr>
        <w:spacing w:after="0" w:line="276" w:lineRule="auto"/>
        <w:rPr>
          <w:rFonts w:ascii="Verdana" w:eastAsia="Times New Roman" w:hAnsi="Verdana" w:cs="Segoe UI"/>
          <w:b/>
          <w:bCs/>
          <w:color w:val="46589C"/>
          <w:lang w:eastAsia="es-CO"/>
        </w:rPr>
      </w:pPr>
    </w:p>
    <w:p w14:paraId="2569221A" w14:textId="6849E4E1" w:rsidR="004E3903" w:rsidRPr="00334C87" w:rsidRDefault="004E3903" w:rsidP="004E3903"/>
    <w:p w14:paraId="4D4DFD56" w14:textId="77777777" w:rsidR="004E3903" w:rsidRDefault="004E3903" w:rsidP="004E3903"/>
    <w:p w14:paraId="43FCA76E" w14:textId="77777777" w:rsidR="004E3903" w:rsidRDefault="004E3903" w:rsidP="004E3903"/>
    <w:p w14:paraId="4EB002F9" w14:textId="77777777" w:rsidR="004E3903" w:rsidRPr="003E713A" w:rsidRDefault="004E3903" w:rsidP="004E3903"/>
    <w:p w14:paraId="6C44FB07" w14:textId="77777777" w:rsidR="002D6822" w:rsidRDefault="002D6822"/>
    <w:sectPr w:rsidR="002D6822" w:rsidSect="004E3903">
      <w:headerReference w:type="default" r:id="rId18"/>
      <w:footerReference w:type="default" r:id="rId19"/>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B4C5C2" w14:textId="77777777" w:rsidR="000404A9" w:rsidRDefault="000404A9" w:rsidP="004E3903">
      <w:pPr>
        <w:spacing w:after="0" w:line="240" w:lineRule="auto"/>
      </w:pPr>
      <w:r>
        <w:separator/>
      </w:r>
    </w:p>
  </w:endnote>
  <w:endnote w:type="continuationSeparator" w:id="0">
    <w:p w14:paraId="272A73FF" w14:textId="77777777" w:rsidR="000404A9" w:rsidRDefault="000404A9" w:rsidP="004E39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38A38" w14:textId="77777777" w:rsidR="004E3903" w:rsidRDefault="004E3903">
    <w:pPr>
      <w:pStyle w:val="Piedepgina"/>
    </w:pPr>
  </w:p>
  <w:p w14:paraId="4D4A6DAB" w14:textId="77777777" w:rsidR="004E3903" w:rsidRPr="00174B77" w:rsidRDefault="004E3903"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Pr="07C73DD1">
      <w:rPr>
        <w:rFonts w:ascii="Verdana" w:eastAsia="Verdana" w:hAnsi="Verdana" w:cs="Verdana"/>
        <w:b/>
        <w:bCs/>
        <w:sz w:val="18"/>
        <w:szCs w:val="18"/>
      </w:rPr>
      <w:fldChar w:fldCharType="begin"/>
    </w:r>
    <w:r w:rsidRPr="07C73DD1">
      <w:rPr>
        <w:rFonts w:ascii="Verdana" w:hAnsi="Verdana"/>
        <w:b/>
        <w:bCs/>
        <w:sz w:val="16"/>
        <w:szCs w:val="16"/>
      </w:rPr>
      <w:instrText>PAGE    \* MERGEFORMAT</w:instrText>
    </w:r>
    <w:r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3B5E2578" w14:textId="77777777" w:rsidR="004E3903" w:rsidRDefault="004E3903"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25D03919" w14:textId="77777777" w:rsidR="004E3903" w:rsidRPr="00E41027" w:rsidRDefault="004E3903"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402B3904" w14:textId="77777777" w:rsidR="004E3903" w:rsidRDefault="004E3903"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A58122" w14:textId="77777777" w:rsidR="000404A9" w:rsidRDefault="000404A9" w:rsidP="004E3903">
      <w:pPr>
        <w:spacing w:after="0" w:line="240" w:lineRule="auto"/>
      </w:pPr>
      <w:r>
        <w:separator/>
      </w:r>
    </w:p>
  </w:footnote>
  <w:footnote w:type="continuationSeparator" w:id="0">
    <w:p w14:paraId="3879830E" w14:textId="77777777" w:rsidR="000404A9" w:rsidRDefault="000404A9" w:rsidP="004E3903">
      <w:pPr>
        <w:spacing w:after="0" w:line="240" w:lineRule="auto"/>
      </w:pPr>
      <w:r>
        <w:continuationSeparator/>
      </w:r>
    </w:p>
  </w:footnote>
  <w:footnote w:id="1">
    <w:p w14:paraId="42CED314" w14:textId="77777777" w:rsidR="004E3903" w:rsidRPr="00D03768" w:rsidRDefault="004E3903" w:rsidP="004E3903">
      <w:pPr>
        <w:pStyle w:val="Textonotapie"/>
        <w:ind w:firstLine="709"/>
        <w:jc w:val="both"/>
        <w:rPr>
          <w:rFonts w:ascii="Verdana" w:hAnsi="Verdana" w:cs="Arial"/>
          <w:color w:val="000000"/>
          <w:sz w:val="14"/>
          <w:szCs w:val="14"/>
        </w:rPr>
      </w:pPr>
      <w:r w:rsidRPr="009F2629">
        <w:rPr>
          <w:rStyle w:val="Refdenotaalpie"/>
          <w:rFonts w:ascii="Verdana" w:hAnsi="Verdana" w:cs="Arial"/>
          <w:color w:val="000000"/>
          <w:sz w:val="14"/>
          <w:szCs w:val="14"/>
        </w:rPr>
        <w:footnoteRef/>
      </w:r>
      <w:r w:rsidRPr="009F2629">
        <w:rPr>
          <w:rFonts w:ascii="Verdana" w:hAnsi="Verdana" w:cs="Arial"/>
          <w:color w:val="000000"/>
          <w:sz w:val="14"/>
          <w:szCs w:val="14"/>
        </w:rPr>
        <w:t xml:space="preserve"> “La última formalidad que deben cumplir los contratos de la Administración dentro del marco jurídico de la contratación estatal se refiere a la liquidación, definida, en principio, como un negocio jurídico bilateral cuyo objeto es la realización del corte de cuentas entre las partes contratantes, en el cual queda establecida la relación directa entre las prestaciones ejecutaras, el valor cobrado por las mismas y su cancelación por parte del deudor de estas, sin perjuicio de los descuentos económicos a que haya lugar con motivo de la aplicación de estipulaciones contractuales específicas</w:t>
      </w:r>
      <w:r w:rsidRPr="009F2629">
        <w:rPr>
          <w:rFonts w:ascii="Verdana" w:hAnsi="Verdana" w:cs="Arial"/>
          <w:color w:val="000000"/>
          <w:sz w:val="14"/>
          <w:szCs w:val="14"/>
          <w:shd w:val="clear" w:color="auto" w:fill="FFFFFF"/>
        </w:rPr>
        <w:t>” (</w:t>
      </w:r>
      <w:r w:rsidRPr="009F2629">
        <w:rPr>
          <w:rFonts w:ascii="Verdana" w:hAnsi="Verdana" w:cs="Arial"/>
          <w:color w:val="000000"/>
          <w:sz w:val="14"/>
          <w:szCs w:val="14"/>
        </w:rPr>
        <w:t>EXPOSITO, Juan Carlos. Forma y contenido del contrato estatal. Bogotá: Universidad Externado de Colombia, p. 89 y 90).</w:t>
      </w:r>
    </w:p>
  </w:footnote>
  <w:footnote w:id="2">
    <w:p w14:paraId="138470BF" w14:textId="77777777" w:rsidR="004E3903" w:rsidRPr="00D03768" w:rsidRDefault="004E3903" w:rsidP="004E3903">
      <w:pPr>
        <w:pStyle w:val="Textonotapie"/>
        <w:ind w:firstLine="709"/>
        <w:jc w:val="both"/>
        <w:rPr>
          <w:rFonts w:ascii="Verdana" w:hAnsi="Verdana" w:cs="Arial"/>
          <w:color w:val="000000"/>
          <w:sz w:val="14"/>
          <w:szCs w:val="14"/>
          <w:lang w:val="es-CO"/>
        </w:rPr>
      </w:pPr>
      <w:r w:rsidRPr="009F2629">
        <w:rPr>
          <w:rStyle w:val="Refdenotaalpie"/>
          <w:rFonts w:ascii="Verdana" w:hAnsi="Verdana" w:cs="Arial"/>
          <w:color w:val="000000"/>
          <w:sz w:val="14"/>
          <w:szCs w:val="14"/>
        </w:rPr>
        <w:footnoteRef/>
      </w:r>
      <w:r w:rsidRPr="009F2629">
        <w:rPr>
          <w:rFonts w:ascii="Verdana" w:hAnsi="Verdana" w:cs="Arial"/>
          <w:color w:val="000000"/>
          <w:sz w:val="14"/>
          <w:szCs w:val="14"/>
        </w:rPr>
        <w:t xml:space="preserve"> DÍAZ DÍEZ, Cristian Andrés. La liquidación. Serie: Las Cláusulas del Contrato Estatal. Medellín: Librería Jurídica Sánchez y Centro de Estudios de Derecho Administrativo –CEDA–, 2013, pp. 53-54.</w:t>
      </w:r>
    </w:p>
  </w:footnote>
  <w:footnote w:id="3">
    <w:p w14:paraId="5AE617FE" w14:textId="77777777" w:rsidR="004E3903" w:rsidRPr="00D03768" w:rsidRDefault="004E3903" w:rsidP="004E3903">
      <w:pPr>
        <w:spacing w:after="0" w:line="240" w:lineRule="auto"/>
        <w:ind w:firstLine="709"/>
        <w:jc w:val="both"/>
        <w:rPr>
          <w:rFonts w:ascii="Verdana" w:hAnsi="Verdana" w:cs="Arial"/>
          <w:color w:val="000000"/>
          <w:sz w:val="14"/>
          <w:szCs w:val="14"/>
          <w:lang w:val="es-ES"/>
        </w:rPr>
      </w:pPr>
      <w:r w:rsidRPr="009F2629">
        <w:rPr>
          <w:rStyle w:val="Refdenotaalpie"/>
          <w:rFonts w:ascii="Verdana" w:hAnsi="Verdana" w:cs="Arial"/>
          <w:color w:val="000000"/>
          <w:sz w:val="14"/>
          <w:szCs w:val="14"/>
        </w:rPr>
        <w:footnoteRef/>
      </w:r>
      <w:r w:rsidRPr="009F2629">
        <w:rPr>
          <w:rFonts w:ascii="Verdana" w:hAnsi="Verdana" w:cs="Arial"/>
          <w:color w:val="000000"/>
          <w:sz w:val="14"/>
          <w:szCs w:val="14"/>
        </w:rPr>
        <w:t xml:space="preserve"> Consejo de Estado. Sección Tercera. Subsección C. 20 de octubre de 2014, M.P: Enrique Gil Botero. Exp. 27.777. Allí se dijo: “[…] liquidar supone un ajuste expreso y claro sobre las cuentas y el estado de cumplimiento de un contrato, de tal manera que conste el balance tanto técnico como económico de las obligaciones que estuvieron a cargo de las partes. En cuanto a lo primero, la liquidación debe incluir un análisis detallado de las condiciones de calidad y oportunidad en la entrega de los bienes, obras o servicios, y el balance económico dará cuenta del comportamiento financiero del negocio: recursos recibidos, pagos efectuados, estado del crédito o de la deuda de cada parte, entre otros detalles mínimos y necesarios para finiquitar una relación jurídica contractual”.</w:t>
      </w:r>
    </w:p>
  </w:footnote>
  <w:footnote w:id="4">
    <w:p w14:paraId="4833457D" w14:textId="77777777" w:rsidR="004E3903" w:rsidRPr="009F2629" w:rsidRDefault="004E3903" w:rsidP="004E3903">
      <w:pPr>
        <w:pStyle w:val="Textonotapie"/>
        <w:ind w:firstLine="709"/>
        <w:jc w:val="both"/>
        <w:rPr>
          <w:rFonts w:ascii="Verdana" w:hAnsi="Verdana" w:cs="Arial"/>
          <w:color w:val="000000" w:themeColor="text1"/>
          <w:sz w:val="14"/>
          <w:szCs w:val="14"/>
          <w:lang w:val="es-ES"/>
        </w:rPr>
      </w:pPr>
      <w:r w:rsidRPr="009F2629">
        <w:rPr>
          <w:rStyle w:val="Refdenotaalpie"/>
          <w:rFonts w:ascii="Verdana" w:hAnsi="Verdana" w:cs="Arial"/>
          <w:color w:val="000000" w:themeColor="text1"/>
          <w:sz w:val="14"/>
          <w:szCs w:val="14"/>
        </w:rPr>
        <w:footnoteRef/>
      </w:r>
      <w:r w:rsidRPr="009F2629">
        <w:rPr>
          <w:rFonts w:ascii="Verdana" w:hAnsi="Verdana" w:cs="Arial"/>
          <w:color w:val="000000" w:themeColor="text1"/>
          <w:sz w:val="14"/>
          <w:szCs w:val="14"/>
        </w:rPr>
        <w:t xml:space="preserve"> </w:t>
      </w:r>
      <w:r w:rsidRPr="009F2629">
        <w:rPr>
          <w:rFonts w:ascii="Verdana" w:hAnsi="Verdana" w:cs="Arial"/>
          <w:color w:val="000000" w:themeColor="text1"/>
          <w:sz w:val="14"/>
          <w:szCs w:val="14"/>
          <w:lang w:val="es-ES"/>
        </w:rPr>
        <w:t>El artículo 11 de la Ley 1150 de 2007 prescribe: “Artículo 11. Del plazo para la liquidación de los contratos. La liquidación de los contratos se hará de mutuo acuerdo dentro del término fijado en los pliegos de condiciones o sus equivalentes, o dentro del que acuerden las partes para el efecto. De no existir tal término, la liquidación se realizará dentro de los cuatro (4) meses siguientes a la expiración del término previsto para la ejecución del contrato o a la expedición del acto administrativo que ordene la terminación, o a la fecha del acuerdo que la disponga.</w:t>
      </w:r>
    </w:p>
    <w:p w14:paraId="71FD9A8F" w14:textId="77777777" w:rsidR="004E3903" w:rsidRPr="009F2629" w:rsidRDefault="004E3903" w:rsidP="004E3903">
      <w:pPr>
        <w:pStyle w:val="Textonotapie"/>
        <w:ind w:firstLine="709"/>
        <w:jc w:val="both"/>
        <w:rPr>
          <w:rFonts w:ascii="Verdana" w:hAnsi="Verdana" w:cs="Arial"/>
          <w:color w:val="000000" w:themeColor="text1"/>
          <w:sz w:val="14"/>
          <w:szCs w:val="14"/>
          <w:lang w:val="es-ES"/>
        </w:rPr>
      </w:pPr>
      <w:r w:rsidRPr="009F2629">
        <w:rPr>
          <w:rFonts w:ascii="Verdana" w:hAnsi="Verdana" w:cs="Arial"/>
          <w:color w:val="000000" w:themeColor="text1"/>
          <w:sz w:val="14"/>
          <w:szCs w:val="14"/>
          <w:lang w:val="es-ES"/>
        </w:rPr>
        <w:t>En aquellos casos en que el contratista no se presente a la liquidación previa notificación o convocatoria que le haga la entidad, o las partes no lleguen a un acuerdo sobre su contenido, la entidad tendrá la facultad de liquidar en forma unilateral dentro de los dos (2) meses siguientes, de conformidad con lo dispuesto en el artículo 136 del C. C. A.</w:t>
      </w:r>
    </w:p>
    <w:p w14:paraId="291F4B19" w14:textId="77777777" w:rsidR="004E3903" w:rsidRPr="009F2629" w:rsidRDefault="004E3903" w:rsidP="004E3903">
      <w:pPr>
        <w:pStyle w:val="Textonotapie"/>
        <w:ind w:firstLine="709"/>
        <w:jc w:val="both"/>
        <w:rPr>
          <w:rFonts w:ascii="Verdana" w:hAnsi="Verdana" w:cs="Arial"/>
          <w:color w:val="000000" w:themeColor="text1"/>
          <w:sz w:val="14"/>
          <w:szCs w:val="14"/>
          <w:lang w:val="es-ES"/>
        </w:rPr>
      </w:pPr>
      <w:r w:rsidRPr="009F2629">
        <w:rPr>
          <w:rFonts w:ascii="Verdana" w:hAnsi="Verdana" w:cs="Arial"/>
          <w:color w:val="000000" w:themeColor="text1"/>
          <w:sz w:val="14"/>
          <w:szCs w:val="14"/>
          <w:lang w:val="es-ES"/>
        </w:rPr>
        <w:t>Si vencido el plazo anteriormente establecido no se ha realizado la liquidación, la misma podrá ser realizada en cualquier tiempo dentro de los dos años siguientes al vencimiento del término a que se refieren los incisos anteriores, de mutuo acuerdo o unilateralmente, sin perjuicio de lo previsto en el artículo 136 del C. C. A.</w:t>
      </w:r>
    </w:p>
    <w:p w14:paraId="3090CE55" w14:textId="77777777" w:rsidR="004E3903" w:rsidRPr="009F2629" w:rsidRDefault="004E3903" w:rsidP="004E3903">
      <w:pPr>
        <w:pStyle w:val="Textonotapie"/>
        <w:ind w:firstLine="709"/>
        <w:jc w:val="both"/>
        <w:rPr>
          <w:rFonts w:ascii="Verdana" w:hAnsi="Verdana" w:cs="Arial"/>
          <w:color w:val="000000" w:themeColor="text1"/>
          <w:sz w:val="14"/>
          <w:szCs w:val="14"/>
          <w:lang w:val="es-ES"/>
        </w:rPr>
      </w:pPr>
      <w:r w:rsidRPr="2993F789">
        <w:rPr>
          <w:rFonts w:ascii="Verdana" w:hAnsi="Verdana" w:cs="Arial"/>
          <w:color w:val="000000" w:themeColor="text1"/>
          <w:sz w:val="14"/>
          <w:szCs w:val="14"/>
          <w:lang w:val="es-ES"/>
        </w:rPr>
        <w:t>Los contratistas tendrán derecho a efectuar salvedades a la liquidación por mutuo acuerdo, y en este evento la liquidación unilateral solo procederá en relación con los aspectos que no hayan sido objeto de acuerdo”</w:t>
      </w:r>
    </w:p>
  </w:footnote>
  <w:footnote w:id="5">
    <w:p w14:paraId="3E485AF6" w14:textId="77777777" w:rsidR="004E3903" w:rsidRPr="009F2629" w:rsidDel="009F2629" w:rsidRDefault="004E3903" w:rsidP="004E3903">
      <w:pPr>
        <w:pStyle w:val="Textonotapie"/>
        <w:ind w:firstLine="709"/>
        <w:jc w:val="both"/>
        <w:rPr>
          <w:rFonts w:ascii="Verdana" w:hAnsi="Verdana" w:cs="Arial"/>
          <w:color w:val="000000" w:themeColor="text1"/>
          <w:sz w:val="14"/>
          <w:szCs w:val="14"/>
          <w:lang w:val="es-ES"/>
        </w:rPr>
      </w:pPr>
      <w:r w:rsidRPr="009F2629">
        <w:rPr>
          <w:rStyle w:val="Refdenotaalpie"/>
          <w:rFonts w:ascii="Verdana" w:hAnsi="Verdana" w:cs="Arial"/>
          <w:color w:val="000000" w:themeColor="text1"/>
          <w:sz w:val="14"/>
          <w:szCs w:val="14"/>
        </w:rPr>
        <w:footnoteRef/>
      </w:r>
      <w:r w:rsidRPr="009F2629">
        <w:rPr>
          <w:rFonts w:ascii="Verdana" w:hAnsi="Verdana" w:cs="Arial"/>
          <w:color w:val="000000" w:themeColor="text1"/>
          <w:sz w:val="14"/>
          <w:szCs w:val="14"/>
        </w:rPr>
        <w:t xml:space="preserve"> Conviene recordar que es válida la liquidación bilateral parcial, debido a que las partes no logran ponerse de acuerdo en todos los asuntos referentes al contrato. En este evento, se debe hacer uso de las glosas o salvedades, y únicamente sobre tal glosa o salvedad girará el debate judicial que se da con ocasión de la demanda en ejercicio del medio de control de controversias contractuales.</w:t>
      </w:r>
    </w:p>
  </w:footnote>
  <w:footnote w:id="6">
    <w:p w14:paraId="78D65F2A" w14:textId="77777777" w:rsidR="004E3903" w:rsidRPr="009F2629" w:rsidDel="009F2629" w:rsidRDefault="004E3903" w:rsidP="004E3903">
      <w:pPr>
        <w:pStyle w:val="Textonotapie"/>
        <w:ind w:firstLine="709"/>
        <w:jc w:val="both"/>
        <w:rPr>
          <w:rFonts w:ascii="Verdana" w:hAnsi="Verdana" w:cs="Arial"/>
          <w:color w:val="000000" w:themeColor="text1"/>
          <w:sz w:val="14"/>
          <w:szCs w:val="14"/>
          <w:lang w:val="es-ES"/>
        </w:rPr>
      </w:pPr>
      <w:r w:rsidRPr="009F2629">
        <w:rPr>
          <w:rStyle w:val="Refdenotaalpie"/>
          <w:rFonts w:ascii="Verdana" w:hAnsi="Verdana" w:cs="Arial"/>
          <w:color w:val="000000" w:themeColor="text1"/>
          <w:sz w:val="14"/>
          <w:szCs w:val="14"/>
        </w:rPr>
        <w:footnoteRef/>
      </w:r>
      <w:r w:rsidRPr="009F2629">
        <w:rPr>
          <w:rFonts w:ascii="Verdana" w:hAnsi="Verdana" w:cs="Arial"/>
          <w:color w:val="000000" w:themeColor="text1"/>
          <w:sz w:val="14"/>
          <w:szCs w:val="14"/>
        </w:rPr>
        <w:t xml:space="preserve"> Consejo de Estado. Sala de Consulta y Servicio Civil. Concepto de 28 de Junio de 2016. Radicación: 2253. C.P. Álvaro Namén Vargas. </w:t>
      </w:r>
    </w:p>
  </w:footnote>
  <w:footnote w:id="7">
    <w:p w14:paraId="530DB941" w14:textId="77777777" w:rsidR="004E3903" w:rsidRPr="009F2629" w:rsidDel="009F2629" w:rsidRDefault="004E3903" w:rsidP="004E3903">
      <w:pPr>
        <w:pStyle w:val="Textonotapie"/>
        <w:ind w:firstLine="709"/>
        <w:jc w:val="both"/>
        <w:rPr>
          <w:rFonts w:ascii="Verdana" w:hAnsi="Verdana" w:cs="Arial"/>
          <w:color w:val="000000" w:themeColor="text1"/>
          <w:sz w:val="14"/>
          <w:szCs w:val="14"/>
          <w:lang w:val="es-ES"/>
        </w:rPr>
      </w:pPr>
      <w:r w:rsidRPr="009F2629">
        <w:rPr>
          <w:rStyle w:val="Refdenotaalpie"/>
          <w:rFonts w:ascii="Verdana" w:hAnsi="Verdana" w:cs="Arial"/>
          <w:color w:val="000000" w:themeColor="text1"/>
          <w:sz w:val="14"/>
          <w:szCs w:val="14"/>
        </w:rPr>
        <w:footnoteRef/>
      </w:r>
      <w:r w:rsidRPr="009F2629">
        <w:rPr>
          <w:rFonts w:ascii="Verdana" w:hAnsi="Verdana" w:cs="Arial"/>
          <w:color w:val="000000" w:themeColor="text1"/>
          <w:sz w:val="14"/>
          <w:szCs w:val="14"/>
        </w:rPr>
        <w:t xml:space="preserve"> Es importante advertir que también durante estos dos meses se podrá realizar una liquidación bilateral, esto es, de mutuo acuerdo, lo cual significa que el plazo para hacer la liquidación bilateral no es un término perentorio, sino sencillamente indicativo.</w:t>
      </w:r>
    </w:p>
  </w:footnote>
  <w:footnote w:id="8">
    <w:p w14:paraId="5088DB23" w14:textId="77777777" w:rsidR="004E3903" w:rsidRPr="009F2629" w:rsidRDefault="004E3903" w:rsidP="004E3903">
      <w:pPr>
        <w:pStyle w:val="Textonotapie"/>
        <w:ind w:firstLine="709"/>
        <w:jc w:val="both"/>
        <w:rPr>
          <w:rFonts w:ascii="Verdana" w:hAnsi="Verdana" w:cs="Arial"/>
          <w:color w:val="000000" w:themeColor="text1"/>
          <w:sz w:val="14"/>
          <w:szCs w:val="14"/>
          <w:lang w:val="pt-BR"/>
        </w:rPr>
      </w:pPr>
      <w:r w:rsidRPr="009F2629">
        <w:rPr>
          <w:rStyle w:val="Refdenotaalpie"/>
          <w:rFonts w:ascii="Verdana" w:hAnsi="Verdana" w:cs="Arial"/>
          <w:color w:val="000000" w:themeColor="text1"/>
          <w:sz w:val="14"/>
          <w:szCs w:val="14"/>
        </w:rPr>
        <w:footnoteRef/>
      </w:r>
      <w:r w:rsidRPr="009F2629">
        <w:rPr>
          <w:rFonts w:ascii="Verdana" w:hAnsi="Verdana" w:cs="Arial"/>
          <w:color w:val="000000" w:themeColor="text1"/>
          <w:sz w:val="14"/>
          <w:szCs w:val="14"/>
        </w:rPr>
        <w:t xml:space="preserve"> Consejo de Estado. Sección Tercera. </w:t>
      </w:r>
      <w:r w:rsidRPr="009F2629">
        <w:rPr>
          <w:rFonts w:ascii="Verdana" w:hAnsi="Verdana" w:cs="Arial"/>
          <w:color w:val="000000" w:themeColor="text1"/>
          <w:sz w:val="14"/>
          <w:szCs w:val="14"/>
          <w:lang w:val="pt-BR"/>
        </w:rPr>
        <w:t xml:space="preserve">Sala Plena. Auto de 1 de agosto de 2019. Exp. 62009. C.P. Jaime Enrique Rodríguez Navas. </w:t>
      </w:r>
    </w:p>
  </w:footnote>
  <w:footnote w:id="9">
    <w:p w14:paraId="2D4BB677" w14:textId="77777777" w:rsidR="004E3903" w:rsidRPr="00B64A74" w:rsidRDefault="004E3903" w:rsidP="004E3903">
      <w:pPr>
        <w:pStyle w:val="Textonotapie"/>
        <w:ind w:firstLine="708"/>
        <w:jc w:val="both"/>
        <w:rPr>
          <w:rFonts w:ascii="Verdana" w:hAnsi="Verdana" w:cs="Arial"/>
          <w:sz w:val="14"/>
          <w:szCs w:val="14"/>
        </w:rPr>
      </w:pPr>
      <w:r w:rsidRPr="00B64A74">
        <w:rPr>
          <w:rStyle w:val="Refdenotaalpie"/>
          <w:rFonts w:ascii="Verdana" w:hAnsi="Verdana" w:cs="Arial"/>
          <w:sz w:val="14"/>
          <w:szCs w:val="14"/>
          <w:lang w:val="es-CO"/>
        </w:rPr>
        <w:footnoteRef/>
      </w:r>
      <w:r w:rsidRPr="00B64A74">
        <w:rPr>
          <w:rFonts w:ascii="Verdana" w:hAnsi="Verdana" w:cs="Arial"/>
          <w:sz w:val="14"/>
          <w:szCs w:val="14"/>
          <w:lang w:val="es-CO"/>
        </w:rPr>
        <w:t xml:space="preserve"> </w:t>
      </w:r>
      <w:r w:rsidRPr="00B64A74">
        <w:rPr>
          <w:rFonts w:ascii="Verdana" w:hAnsi="Verdana" w:cs="Arial"/>
          <w:color w:val="000000"/>
          <w:sz w:val="14"/>
          <w:szCs w:val="14"/>
          <w:lang w:val="es-CO"/>
        </w:rPr>
        <w:t>DÍAZ DÍEZ, Cristian Andrés. La liquidación. Serie: Las Cláusulas del Contrato Estatal. Medellín: Librería Jurídica Sánchez y Centro de Estudios de Derecho Administrativo –CEDA–, 2013.</w:t>
      </w:r>
      <w:r w:rsidRPr="00B64A74">
        <w:rPr>
          <w:rFonts w:ascii="Verdana" w:hAnsi="Verdana" w:cs="Arial"/>
          <w:sz w:val="14"/>
          <w:szCs w:val="14"/>
          <w:lang w:val="es-CO"/>
        </w:rPr>
        <w:t xml:space="preserve"> pp. 255-256.</w:t>
      </w:r>
    </w:p>
  </w:footnote>
  <w:footnote w:id="10">
    <w:p w14:paraId="4CA3CA85" w14:textId="77777777" w:rsidR="004E3903" w:rsidRPr="00FF20DB" w:rsidRDefault="004E3903" w:rsidP="004E3903">
      <w:pPr>
        <w:pStyle w:val="Textonotapie"/>
        <w:ind w:firstLine="709"/>
        <w:jc w:val="both"/>
        <w:rPr>
          <w:rFonts w:ascii="Verdana" w:hAnsi="Verdana" w:cs="Arial"/>
          <w:color w:val="000000"/>
          <w:sz w:val="16"/>
          <w:szCs w:val="16"/>
        </w:rPr>
      </w:pPr>
      <w:r w:rsidRPr="00FF20DB">
        <w:rPr>
          <w:rStyle w:val="Refdenotaalpie"/>
          <w:rFonts w:ascii="Verdana" w:hAnsi="Verdana" w:cs="Arial"/>
          <w:color w:val="000000"/>
          <w:sz w:val="16"/>
          <w:szCs w:val="16"/>
        </w:rPr>
        <w:footnoteRef/>
      </w:r>
      <w:r w:rsidRPr="00FF20DB">
        <w:rPr>
          <w:rFonts w:ascii="Verdana" w:hAnsi="Verdana" w:cs="Arial"/>
          <w:color w:val="000000"/>
          <w:sz w:val="16"/>
          <w:szCs w:val="16"/>
        </w:rPr>
        <w:t xml:space="preserve"> La norma citada dispone: “Artículo 2.2.1.2.3.1.7. Garantía de cumplimiento. La garantía de cumplimiento del contrato debe cubrir:</w:t>
      </w:r>
    </w:p>
    <w:p w14:paraId="429D419C" w14:textId="77777777" w:rsidR="004E3903" w:rsidRPr="00FF20DB" w:rsidRDefault="004E3903" w:rsidP="004E3903">
      <w:pPr>
        <w:pStyle w:val="Textonotapie"/>
        <w:ind w:firstLine="709"/>
        <w:jc w:val="both"/>
        <w:rPr>
          <w:rFonts w:ascii="Verdana" w:hAnsi="Verdana" w:cs="Arial"/>
          <w:color w:val="000000"/>
          <w:sz w:val="16"/>
          <w:szCs w:val="16"/>
        </w:rPr>
      </w:pPr>
      <w:r w:rsidRPr="00FF20DB">
        <w:rPr>
          <w:rFonts w:ascii="Verdana" w:hAnsi="Verdana" w:cs="Arial"/>
          <w:color w:val="000000"/>
          <w:sz w:val="16"/>
          <w:szCs w:val="16"/>
        </w:rPr>
        <w:t>“1.    Buen manejo y correcta inversión del anticipo. Este amparo cubre los perjuicios sufridos por la Entidad Estatal con ocasión de: (i) la no inversión del anticipo; (ii) el uso indebido del anticipo; y (iii) la apropiación indebida de los recursos recibidos en calidad de anticipo.</w:t>
      </w:r>
    </w:p>
    <w:p w14:paraId="25EAC9BA" w14:textId="77777777" w:rsidR="004E3903" w:rsidRPr="00FF20DB" w:rsidRDefault="004E3903" w:rsidP="004E3903">
      <w:pPr>
        <w:pStyle w:val="Textonotapie"/>
        <w:ind w:firstLine="709"/>
        <w:jc w:val="both"/>
        <w:rPr>
          <w:rFonts w:ascii="Verdana" w:hAnsi="Verdana" w:cs="Arial"/>
          <w:color w:val="000000"/>
          <w:sz w:val="16"/>
          <w:szCs w:val="16"/>
        </w:rPr>
      </w:pPr>
      <w:r w:rsidRPr="00FF20DB">
        <w:rPr>
          <w:rFonts w:ascii="Verdana" w:hAnsi="Verdana" w:cs="Arial"/>
          <w:color w:val="000000"/>
          <w:sz w:val="16"/>
          <w:szCs w:val="16"/>
        </w:rPr>
        <w:t>“2.    Devolución del pago anticipado. Este amparo cubre los perjuicios sufridos por la Entidad Estatal por la no devolución total o parcial del dinero entregado al contratista a título de pago anticipado, cuando a ello hubiere lugar.</w:t>
      </w:r>
    </w:p>
    <w:p w14:paraId="3B49A60F" w14:textId="77777777" w:rsidR="004E3903" w:rsidRPr="00FF20DB" w:rsidRDefault="004E3903" w:rsidP="004E3903">
      <w:pPr>
        <w:pStyle w:val="Textonotapie"/>
        <w:ind w:firstLine="709"/>
        <w:jc w:val="both"/>
        <w:rPr>
          <w:rFonts w:ascii="Verdana" w:hAnsi="Verdana" w:cs="Arial"/>
          <w:color w:val="000000"/>
          <w:sz w:val="16"/>
          <w:szCs w:val="16"/>
        </w:rPr>
      </w:pPr>
      <w:r w:rsidRPr="00FF20DB">
        <w:rPr>
          <w:rFonts w:ascii="Verdana" w:hAnsi="Verdana" w:cs="Arial"/>
          <w:color w:val="000000"/>
          <w:sz w:val="16"/>
          <w:szCs w:val="16"/>
        </w:rPr>
        <w:t>“3.    Cumplimiento del contrato. Este amparo cubre a la Entidad Estatal de los perjuicios derivados de:</w:t>
      </w:r>
    </w:p>
    <w:p w14:paraId="13745DDA" w14:textId="77777777" w:rsidR="004E3903" w:rsidRPr="00FF20DB" w:rsidRDefault="004E3903" w:rsidP="004E3903">
      <w:pPr>
        <w:pStyle w:val="Textonotapie"/>
        <w:ind w:firstLine="709"/>
        <w:jc w:val="both"/>
        <w:rPr>
          <w:rFonts w:ascii="Verdana" w:hAnsi="Verdana" w:cs="Arial"/>
          <w:color w:val="000000"/>
          <w:sz w:val="16"/>
          <w:szCs w:val="16"/>
        </w:rPr>
      </w:pPr>
      <w:r w:rsidRPr="00FF20DB">
        <w:rPr>
          <w:rFonts w:ascii="Verdana" w:hAnsi="Verdana" w:cs="Arial"/>
          <w:color w:val="000000"/>
          <w:sz w:val="16"/>
          <w:szCs w:val="16"/>
        </w:rPr>
        <w:t>“3.1.   El incumplimiento total o parcial del contrato, cuando el incumplimiento es imputable al contratista;</w:t>
      </w:r>
    </w:p>
    <w:p w14:paraId="724123D9" w14:textId="77777777" w:rsidR="004E3903" w:rsidRPr="00FF20DB" w:rsidRDefault="004E3903" w:rsidP="004E3903">
      <w:pPr>
        <w:pStyle w:val="Textonotapie"/>
        <w:ind w:firstLine="709"/>
        <w:jc w:val="both"/>
        <w:rPr>
          <w:rFonts w:ascii="Verdana" w:hAnsi="Verdana" w:cs="Arial"/>
          <w:color w:val="000000"/>
          <w:sz w:val="16"/>
          <w:szCs w:val="16"/>
        </w:rPr>
      </w:pPr>
      <w:r w:rsidRPr="00FF20DB">
        <w:rPr>
          <w:rFonts w:ascii="Verdana" w:hAnsi="Verdana" w:cs="Arial"/>
          <w:color w:val="000000"/>
          <w:sz w:val="16"/>
          <w:szCs w:val="16"/>
        </w:rPr>
        <w:t>“3.2.   El cumplimiento tardío o defectuoso del contrato, cuando el incumplimiento es imputable al contratista;</w:t>
      </w:r>
    </w:p>
    <w:p w14:paraId="480929C0" w14:textId="77777777" w:rsidR="004E3903" w:rsidRPr="00FF20DB" w:rsidRDefault="004E3903" w:rsidP="004E3903">
      <w:pPr>
        <w:pStyle w:val="Textonotapie"/>
        <w:ind w:firstLine="709"/>
        <w:jc w:val="both"/>
        <w:rPr>
          <w:rFonts w:ascii="Verdana" w:hAnsi="Verdana" w:cs="Arial"/>
          <w:color w:val="000000"/>
          <w:sz w:val="16"/>
          <w:szCs w:val="16"/>
        </w:rPr>
      </w:pPr>
      <w:r w:rsidRPr="00FF20DB">
        <w:rPr>
          <w:rFonts w:ascii="Verdana" w:hAnsi="Verdana" w:cs="Arial"/>
          <w:color w:val="000000"/>
          <w:sz w:val="16"/>
          <w:szCs w:val="16"/>
        </w:rPr>
        <w:t>“3.3.   Los daños imputables al contratista por entregas parciales de la obra, cuando el contrato no prevé entregas parciales; y</w:t>
      </w:r>
    </w:p>
    <w:p w14:paraId="22939693" w14:textId="77777777" w:rsidR="004E3903" w:rsidRPr="00FF20DB" w:rsidRDefault="004E3903" w:rsidP="004E3903">
      <w:pPr>
        <w:pStyle w:val="Textonotapie"/>
        <w:ind w:firstLine="709"/>
        <w:jc w:val="both"/>
        <w:rPr>
          <w:rFonts w:ascii="Verdana" w:hAnsi="Verdana" w:cs="Arial"/>
          <w:color w:val="000000"/>
          <w:sz w:val="16"/>
          <w:szCs w:val="16"/>
        </w:rPr>
      </w:pPr>
      <w:r w:rsidRPr="00FF20DB">
        <w:rPr>
          <w:rFonts w:ascii="Verdana" w:hAnsi="Verdana" w:cs="Arial"/>
          <w:color w:val="000000"/>
          <w:sz w:val="16"/>
          <w:szCs w:val="16"/>
        </w:rPr>
        <w:t>“3.4.   El pago del valor de las multas y de la cláusula penal pecuniaria.</w:t>
      </w:r>
    </w:p>
    <w:p w14:paraId="1304477E" w14:textId="77777777" w:rsidR="004E3903" w:rsidRPr="00FF20DB" w:rsidRDefault="004E3903" w:rsidP="004E3903">
      <w:pPr>
        <w:pStyle w:val="Textonotapie"/>
        <w:ind w:firstLine="709"/>
        <w:jc w:val="both"/>
        <w:rPr>
          <w:rFonts w:ascii="Verdana" w:hAnsi="Verdana" w:cs="Arial"/>
          <w:color w:val="000000"/>
          <w:sz w:val="16"/>
          <w:szCs w:val="16"/>
        </w:rPr>
      </w:pPr>
      <w:r w:rsidRPr="00FF20DB">
        <w:rPr>
          <w:rFonts w:ascii="Verdana" w:hAnsi="Verdana" w:cs="Arial"/>
          <w:color w:val="000000"/>
          <w:sz w:val="16"/>
          <w:szCs w:val="16"/>
        </w:rPr>
        <w:t>“4.    Pago de salarios, prestaciones sociales legales e indemnizaciones laborales. Este amparo debe cubrir a la Entidad Estatal de los perjuicios ocasionados por el incumplimiento de las obligaciones laborales del contratista derivadas de la contratación del personal utilizado en el territorio nacional para la ejecución del contrato amparado.</w:t>
      </w:r>
    </w:p>
    <w:p w14:paraId="26376832" w14:textId="77777777" w:rsidR="004E3903" w:rsidRPr="00FF20DB" w:rsidRDefault="004E3903" w:rsidP="004E3903">
      <w:pPr>
        <w:pStyle w:val="Textonotapie"/>
        <w:ind w:firstLine="709"/>
        <w:jc w:val="both"/>
        <w:rPr>
          <w:rFonts w:ascii="Verdana" w:hAnsi="Verdana" w:cs="Arial"/>
          <w:color w:val="000000"/>
          <w:sz w:val="16"/>
          <w:szCs w:val="16"/>
        </w:rPr>
      </w:pPr>
      <w:r w:rsidRPr="00FF20DB">
        <w:rPr>
          <w:rFonts w:ascii="Verdana" w:hAnsi="Verdana" w:cs="Arial"/>
          <w:color w:val="000000"/>
          <w:sz w:val="16"/>
          <w:szCs w:val="16"/>
        </w:rPr>
        <w:t>“La Entidad Estatal no debe exigir una garantía para cubrir este Riesgo en los contratos que se ejecuten fuera del territorio nacional con personal contratado bajo un régimen jurídico distinto al colombiano.</w:t>
      </w:r>
    </w:p>
    <w:p w14:paraId="36A4FB37" w14:textId="77777777" w:rsidR="004E3903" w:rsidRPr="00FF20DB" w:rsidRDefault="004E3903" w:rsidP="004E3903">
      <w:pPr>
        <w:pStyle w:val="Textonotapie"/>
        <w:ind w:firstLine="709"/>
        <w:jc w:val="both"/>
        <w:rPr>
          <w:rFonts w:ascii="Verdana" w:hAnsi="Verdana" w:cs="Arial"/>
          <w:color w:val="000000"/>
          <w:sz w:val="16"/>
          <w:szCs w:val="16"/>
        </w:rPr>
      </w:pPr>
      <w:r w:rsidRPr="00FF20DB">
        <w:rPr>
          <w:rFonts w:ascii="Verdana" w:hAnsi="Verdana" w:cs="Arial"/>
          <w:color w:val="000000"/>
          <w:sz w:val="16"/>
          <w:szCs w:val="16"/>
        </w:rPr>
        <w:t>“5.    Estabilidad y calidad de la obra. Este amparo cubre a la Entidad Estatal de los perjuicios ocasionados por cualquier tipo de daño o deterioro, imputable al contratista, sufrido por la obra entregada a satisfacción.</w:t>
      </w:r>
    </w:p>
    <w:p w14:paraId="72463788" w14:textId="77777777" w:rsidR="004E3903" w:rsidRPr="00FF20DB" w:rsidRDefault="004E3903" w:rsidP="004E3903">
      <w:pPr>
        <w:pStyle w:val="Textonotapie"/>
        <w:ind w:firstLine="709"/>
        <w:jc w:val="both"/>
        <w:rPr>
          <w:rFonts w:ascii="Verdana" w:hAnsi="Verdana" w:cs="Arial"/>
          <w:color w:val="000000"/>
          <w:sz w:val="16"/>
          <w:szCs w:val="16"/>
        </w:rPr>
      </w:pPr>
      <w:r w:rsidRPr="00FF20DB">
        <w:rPr>
          <w:rFonts w:ascii="Verdana" w:hAnsi="Verdana" w:cs="Arial"/>
          <w:color w:val="000000"/>
          <w:sz w:val="16"/>
          <w:szCs w:val="16"/>
        </w:rPr>
        <w:t>“6.    Calidad del servicio. Este amparo cubre a la Entidad Estatal por los perjuicios deri­vados de la deficiente calidad del servicio prestado.</w:t>
      </w:r>
    </w:p>
    <w:p w14:paraId="0ACD5259" w14:textId="77777777" w:rsidR="004E3903" w:rsidRPr="00FF20DB" w:rsidRDefault="004E3903" w:rsidP="004E3903">
      <w:pPr>
        <w:pStyle w:val="Textonotapie"/>
        <w:ind w:firstLine="709"/>
        <w:jc w:val="both"/>
        <w:rPr>
          <w:rFonts w:ascii="Verdana" w:hAnsi="Verdana" w:cs="Arial"/>
          <w:color w:val="000000"/>
          <w:sz w:val="16"/>
          <w:szCs w:val="16"/>
        </w:rPr>
      </w:pPr>
      <w:r w:rsidRPr="00FF20DB">
        <w:rPr>
          <w:rFonts w:ascii="Verdana" w:hAnsi="Verdana" w:cs="Arial"/>
          <w:color w:val="000000"/>
          <w:sz w:val="16"/>
          <w:szCs w:val="16"/>
        </w:rPr>
        <w:t>“7.    Calidad y correcto funcionamiento de los bienes. Este amparo debe cubrir la calidad y el correcto funcionamiento de los bienes que recibe la Entidad Estatal en cumplimiento de un contrato.</w:t>
      </w:r>
    </w:p>
    <w:p w14:paraId="01DCD037" w14:textId="77777777" w:rsidR="004E3903" w:rsidRPr="00FF20DB" w:rsidRDefault="004E3903" w:rsidP="004E3903">
      <w:pPr>
        <w:pStyle w:val="Textonotapie"/>
        <w:ind w:firstLine="709"/>
        <w:jc w:val="both"/>
        <w:rPr>
          <w:rFonts w:ascii="Verdana" w:hAnsi="Verdana" w:cs="Arial"/>
          <w:color w:val="000000"/>
          <w:sz w:val="16"/>
          <w:szCs w:val="16"/>
        </w:rPr>
      </w:pPr>
      <w:r w:rsidRPr="00FF20DB">
        <w:rPr>
          <w:rFonts w:ascii="Verdana" w:hAnsi="Verdana" w:cs="Arial"/>
          <w:color w:val="000000"/>
          <w:sz w:val="16"/>
          <w:szCs w:val="16"/>
        </w:rPr>
        <w:t>“8.    Los demás incumplimientos de obligaciones que la Entidad Estatal considere deben ser amparados de manera proporcional y acorde a la naturaleza del contrato”.</w:t>
      </w:r>
    </w:p>
    <w:p w14:paraId="0F2C8415" w14:textId="77777777" w:rsidR="004E3903" w:rsidRPr="00FF20DB" w:rsidRDefault="004E3903" w:rsidP="004E3903">
      <w:pPr>
        <w:pStyle w:val="Textonotapie"/>
        <w:ind w:firstLine="709"/>
        <w:jc w:val="both"/>
        <w:rPr>
          <w:rFonts w:ascii="Verdana" w:hAnsi="Verdana" w:cs="Arial"/>
          <w:color w:val="000000"/>
          <w:sz w:val="16"/>
          <w:szCs w:val="16"/>
        </w:rPr>
      </w:pPr>
    </w:p>
  </w:footnote>
  <w:footnote w:id="11">
    <w:p w14:paraId="39D3D2A7" w14:textId="77777777" w:rsidR="004E3903" w:rsidRPr="006A7ECF" w:rsidRDefault="004E3903" w:rsidP="004E3903">
      <w:pPr>
        <w:pStyle w:val="Textonotapie"/>
        <w:ind w:firstLine="709"/>
        <w:jc w:val="both"/>
        <w:rPr>
          <w:rFonts w:ascii="Verdana" w:hAnsi="Verdana" w:cs="Arial"/>
          <w:color w:val="000000"/>
          <w:sz w:val="16"/>
          <w:szCs w:val="16"/>
        </w:rPr>
      </w:pPr>
      <w:r w:rsidRPr="006A7ECF">
        <w:rPr>
          <w:rStyle w:val="Refdenotaalpie"/>
          <w:rFonts w:ascii="Verdana" w:hAnsi="Verdana" w:cs="Arial"/>
          <w:color w:val="000000"/>
          <w:sz w:val="16"/>
          <w:szCs w:val="16"/>
        </w:rPr>
        <w:footnoteRef/>
      </w:r>
      <w:r w:rsidRPr="006A7ECF">
        <w:rPr>
          <w:rFonts w:ascii="Verdana" w:hAnsi="Verdana" w:cs="Arial"/>
          <w:color w:val="000000"/>
          <w:sz w:val="16"/>
          <w:szCs w:val="16"/>
        </w:rPr>
        <w:t xml:space="preserve"> Consejo de Estado. Sala de lo Contenciosos Administrativo. Sección Tercera. Subsección B. Sentencia de 19 de junio de 2013. Radicado: </w:t>
      </w:r>
      <w:r w:rsidRPr="006A7ECF">
        <w:rPr>
          <w:rFonts w:ascii="Verdana" w:hAnsi="Verdana" w:cs="Arial"/>
          <w:color w:val="000000"/>
          <w:sz w:val="16"/>
          <w:szCs w:val="16"/>
          <w:lang w:val="es-CO"/>
        </w:rPr>
        <w:t>25000-23-26-000-2000-02019-01</w:t>
      </w:r>
      <w:r w:rsidRPr="006A7ECF">
        <w:rPr>
          <w:rFonts w:ascii="Verdana" w:hAnsi="Verdana" w:cs="Arial"/>
          <w:color w:val="000000"/>
          <w:sz w:val="16"/>
          <w:szCs w:val="16"/>
        </w:rPr>
        <w:t xml:space="preserve"> (25472). C.P: Danilo Rojas Betancourth.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523EB" w14:textId="77777777" w:rsidR="004E3903" w:rsidRDefault="004E3903"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60288" behindDoc="1" locked="0" layoutInCell="1" allowOverlap="1" wp14:anchorId="235756D7" wp14:editId="68AB31F9">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Pr>
        <w:rFonts w:ascii="Geomanist Bold" w:hAnsi="Geomanist Bold"/>
        <w:b/>
        <w:bCs/>
        <w:noProof/>
        <w:color w:val="002060"/>
        <w:sz w:val="24"/>
        <w:szCs w:val="24"/>
      </w:rPr>
      <w:drawing>
        <wp:anchor distT="0" distB="0" distL="114300" distR="114300" simplePos="0" relativeHeight="251659264" behindDoc="0" locked="0" layoutInCell="1" allowOverlap="1" wp14:anchorId="0AA8FC52" wp14:editId="0FE4879F">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0D7F9A48" w14:textId="77777777" w:rsidR="004E3903" w:rsidRDefault="004E3903">
    <w:pPr>
      <w:pStyle w:val="Encabezado"/>
    </w:pPr>
  </w:p>
  <w:p w14:paraId="734E8090" w14:textId="77777777" w:rsidR="004E3903" w:rsidRPr="004A305D" w:rsidRDefault="004E3903" w:rsidP="00B01B1A">
    <w:pPr>
      <w:spacing w:after="0" w:line="120" w:lineRule="auto"/>
      <w:rPr>
        <w:rFonts w:ascii="Century Gothic" w:eastAsia="Geo" w:hAnsi="Century Gothic" w:cs="Geo"/>
        <w:sz w:val="16"/>
        <w:szCs w:val="16"/>
        <w:lang w:eastAsia="es-CO"/>
      </w:rPr>
    </w:pPr>
  </w:p>
  <w:p w14:paraId="25A70E4C" w14:textId="77777777" w:rsidR="004E3903" w:rsidRDefault="004E3903" w:rsidP="00844AE9">
    <w:pPr>
      <w:spacing w:after="0" w:line="240" w:lineRule="auto"/>
      <w:rPr>
        <w:rFonts w:ascii="Verdana" w:hAnsi="Verdana"/>
        <w:sz w:val="24"/>
        <w:szCs w:val="24"/>
      </w:rPr>
    </w:pPr>
  </w:p>
  <w:p w14:paraId="14DC485D" w14:textId="77777777" w:rsidR="004E3903" w:rsidRPr="00C925AC" w:rsidRDefault="004E3903" w:rsidP="00844AE9">
    <w:pPr>
      <w:spacing w:after="0" w:line="240" w:lineRule="auto"/>
      <w:rPr>
        <w:rFonts w:ascii="Verdana" w:hAnsi="Verdana"/>
        <w:sz w:val="24"/>
        <w:szCs w:val="24"/>
      </w:rPr>
    </w:pPr>
  </w:p>
  <w:p w14:paraId="61D0C796" w14:textId="77777777" w:rsidR="004E3903" w:rsidRPr="00C925AC" w:rsidRDefault="004E3903" w:rsidP="000D5DA7">
    <w:pPr>
      <w:spacing w:after="0" w:line="480" w:lineRule="auto"/>
      <w:rPr>
        <w:rFonts w:ascii="Verdana" w:hAnsi="Verdana"/>
        <w:b/>
        <w:bCs/>
        <w:sz w:val="24"/>
        <w:szCs w:val="24"/>
      </w:rPr>
    </w:pPr>
    <w:r w:rsidRPr="00C925AC">
      <w:rPr>
        <w:rFonts w:ascii="Verdana" w:hAnsi="Verdana"/>
        <w:b/>
        <w:bCs/>
        <w:sz w:val="24"/>
        <w:szCs w:val="24"/>
      </w:rPr>
      <w:t>FORMATO</w:t>
    </w:r>
    <w:r>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511A02"/>
    <w:multiLevelType w:val="multilevel"/>
    <w:tmpl w:val="DD5CD0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9D726F5"/>
    <w:multiLevelType w:val="hybridMultilevel"/>
    <w:tmpl w:val="A77E2442"/>
    <w:lvl w:ilvl="0" w:tplc="040A0001">
      <w:start w:val="1"/>
      <w:numFmt w:val="bullet"/>
      <w:lvlText w:val=""/>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2"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num w:numId="1" w16cid:durableId="390349800">
    <w:abstractNumId w:val="2"/>
  </w:num>
  <w:num w:numId="2" w16cid:durableId="1788624516">
    <w:abstractNumId w:val="1"/>
  </w:num>
  <w:num w:numId="3" w16cid:durableId="10916622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903"/>
    <w:rsid w:val="000404A9"/>
    <w:rsid w:val="002D6822"/>
    <w:rsid w:val="0047203D"/>
    <w:rsid w:val="004E3903"/>
    <w:rsid w:val="00541287"/>
    <w:rsid w:val="007A436C"/>
    <w:rsid w:val="00850726"/>
    <w:rsid w:val="008D0AD2"/>
    <w:rsid w:val="00914E97"/>
    <w:rsid w:val="009B4EF6"/>
    <w:rsid w:val="00A56FE0"/>
    <w:rsid w:val="00D807D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262A6"/>
  <w15:chartTrackingRefBased/>
  <w15:docId w15:val="{EEA73BFA-0107-42AF-A13D-CD29B05C0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3903"/>
    <w:pPr>
      <w:spacing w:line="259" w:lineRule="auto"/>
    </w:pPr>
    <w:rPr>
      <w:kern w:val="0"/>
      <w:sz w:val="22"/>
      <w:szCs w:val="22"/>
      <w14:ligatures w14:val="none"/>
    </w:rPr>
  </w:style>
  <w:style w:type="paragraph" w:styleId="Ttulo1">
    <w:name w:val="heading 1"/>
    <w:basedOn w:val="Normal"/>
    <w:next w:val="Normal"/>
    <w:link w:val="Ttulo1Car"/>
    <w:uiPriority w:val="9"/>
    <w:qFormat/>
    <w:rsid w:val="004E39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4E39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4E3903"/>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4E3903"/>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4E3903"/>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4E390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E390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E390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E3903"/>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E3903"/>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4E3903"/>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4E3903"/>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4E3903"/>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4E3903"/>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4E390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E390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E390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E3903"/>
    <w:rPr>
      <w:rFonts w:eastAsiaTheme="majorEastAsia" w:cstheme="majorBidi"/>
      <w:color w:val="272727" w:themeColor="text1" w:themeTint="D8"/>
    </w:rPr>
  </w:style>
  <w:style w:type="paragraph" w:styleId="Ttulo">
    <w:name w:val="Title"/>
    <w:basedOn w:val="Normal"/>
    <w:next w:val="Normal"/>
    <w:link w:val="TtuloCar"/>
    <w:uiPriority w:val="10"/>
    <w:qFormat/>
    <w:rsid w:val="004E39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E390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E390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E390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E3903"/>
    <w:pPr>
      <w:spacing w:before="160"/>
      <w:jc w:val="center"/>
    </w:pPr>
    <w:rPr>
      <w:i/>
      <w:iCs/>
      <w:color w:val="404040" w:themeColor="text1" w:themeTint="BF"/>
    </w:rPr>
  </w:style>
  <w:style w:type="character" w:customStyle="1" w:styleId="CitaCar">
    <w:name w:val="Cita Car"/>
    <w:basedOn w:val="Fuentedeprrafopredeter"/>
    <w:link w:val="Cita"/>
    <w:uiPriority w:val="29"/>
    <w:rsid w:val="004E3903"/>
    <w:rPr>
      <w:i/>
      <w:iCs/>
      <w:color w:val="404040" w:themeColor="text1" w:themeTint="BF"/>
    </w:r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List Paragraph"/>
    <w:basedOn w:val="Normal"/>
    <w:link w:val="PrrafodelistaCar"/>
    <w:uiPriority w:val="1"/>
    <w:qFormat/>
    <w:rsid w:val="004E3903"/>
    <w:pPr>
      <w:ind w:left="720"/>
      <w:contextualSpacing/>
    </w:pPr>
  </w:style>
  <w:style w:type="character" w:styleId="nfasisintenso">
    <w:name w:val="Intense Emphasis"/>
    <w:basedOn w:val="Fuentedeprrafopredeter"/>
    <w:uiPriority w:val="21"/>
    <w:qFormat/>
    <w:rsid w:val="004E3903"/>
    <w:rPr>
      <w:i/>
      <w:iCs/>
      <w:color w:val="0F4761" w:themeColor="accent1" w:themeShade="BF"/>
    </w:rPr>
  </w:style>
  <w:style w:type="paragraph" w:styleId="Citadestacada">
    <w:name w:val="Intense Quote"/>
    <w:basedOn w:val="Normal"/>
    <w:next w:val="Normal"/>
    <w:link w:val="CitadestacadaCar"/>
    <w:uiPriority w:val="30"/>
    <w:qFormat/>
    <w:rsid w:val="004E39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4E3903"/>
    <w:rPr>
      <w:i/>
      <w:iCs/>
      <w:color w:val="0F4761" w:themeColor="accent1" w:themeShade="BF"/>
    </w:rPr>
  </w:style>
  <w:style w:type="character" w:styleId="Referenciaintensa">
    <w:name w:val="Intense Reference"/>
    <w:basedOn w:val="Fuentedeprrafopredeter"/>
    <w:uiPriority w:val="32"/>
    <w:qFormat/>
    <w:rsid w:val="004E3903"/>
    <w:rPr>
      <w:b/>
      <w:bCs/>
      <w:smallCaps/>
      <w:color w:val="0F4761" w:themeColor="accent1" w:themeShade="BF"/>
      <w:spacing w:val="5"/>
    </w:rPr>
  </w:style>
  <w:style w:type="paragraph" w:styleId="Encabezado">
    <w:name w:val="header"/>
    <w:basedOn w:val="Normal"/>
    <w:link w:val="EncabezadoCar"/>
    <w:uiPriority w:val="99"/>
    <w:unhideWhenUsed/>
    <w:rsid w:val="004E390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E3903"/>
    <w:rPr>
      <w:kern w:val="0"/>
      <w:sz w:val="22"/>
      <w:szCs w:val="22"/>
      <w14:ligatures w14:val="none"/>
    </w:rPr>
  </w:style>
  <w:style w:type="paragraph" w:styleId="Piedepgina">
    <w:name w:val="footer"/>
    <w:basedOn w:val="Normal"/>
    <w:link w:val="PiedepginaCar"/>
    <w:uiPriority w:val="99"/>
    <w:unhideWhenUsed/>
    <w:rsid w:val="004E390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E3903"/>
    <w:rPr>
      <w:kern w:val="0"/>
      <w:sz w:val="22"/>
      <w:szCs w:val="22"/>
      <w14:ligatures w14:val="none"/>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4E3903"/>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4E3903"/>
    <w:pPr>
      <w:spacing w:after="0" w:line="240" w:lineRule="auto"/>
    </w:pPr>
    <w:rPr>
      <w:kern w:val="2"/>
      <w:sz w:val="20"/>
      <w:szCs w:val="20"/>
      <w:lang w:val="es-MX"/>
      <w14:ligatures w14:val="standardContextual"/>
    </w:rPr>
  </w:style>
  <w:style w:type="character" w:customStyle="1" w:styleId="TextonotapieCar1">
    <w:name w:val="Texto nota pie Car1"/>
    <w:basedOn w:val="Fuentedeprrafopredeter"/>
    <w:uiPriority w:val="99"/>
    <w:semiHidden/>
    <w:rsid w:val="004E3903"/>
    <w:rPr>
      <w:kern w:val="0"/>
      <w:sz w:val="20"/>
      <w:szCs w:val="20"/>
      <w14:ligatures w14:val="none"/>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4E3903"/>
    <w:rPr>
      <w:vertAlign w:val="superscript"/>
    </w:rPr>
  </w:style>
  <w:style w:type="character" w:customStyle="1" w:styleId="normaltextrun">
    <w:name w:val="normaltextrun"/>
    <w:basedOn w:val="Fuentedeprrafopredeter"/>
    <w:rsid w:val="004E3903"/>
  </w:style>
  <w:style w:type="table" w:styleId="Tablaconcuadrcula">
    <w:name w:val="Table Grid"/>
    <w:basedOn w:val="Tablanormal"/>
    <w:uiPriority w:val="39"/>
    <w:qFormat/>
    <w:rsid w:val="004E3903"/>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4E3903"/>
    <w:rPr>
      <w:color w:val="0000FF"/>
      <w:u w:val="single"/>
    </w:rPr>
  </w:style>
  <w:style w:type="paragraph" w:customStyle="1" w:styleId="Appelnotedebasde">
    <w:name w:val="Appel note de bas de..."/>
    <w:basedOn w:val="Normal"/>
    <w:link w:val="Refdenotaalpie"/>
    <w:uiPriority w:val="99"/>
    <w:rsid w:val="004E3903"/>
    <w:pPr>
      <w:spacing w:line="240" w:lineRule="exact"/>
    </w:pPr>
    <w:rPr>
      <w:kern w:val="2"/>
      <w:sz w:val="24"/>
      <w:szCs w:val="24"/>
      <w:vertAlign w:val="superscript"/>
      <w14:ligatures w14:val="standardContextual"/>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1"/>
    <w:qFormat/>
    <w:locked/>
    <w:rsid w:val="004E3903"/>
  </w:style>
  <w:style w:type="paragraph" w:styleId="Sinespaciado">
    <w:name w:val="No Spacing"/>
    <w:aliases w:val="No Indent"/>
    <w:uiPriority w:val="3"/>
    <w:qFormat/>
    <w:rsid w:val="004E3903"/>
    <w:pPr>
      <w:spacing w:after="0" w:line="240" w:lineRule="auto"/>
    </w:pPr>
    <w:rPr>
      <w:kern w:val="0"/>
      <w:szCs w:val="22"/>
      <w:lang w:val="es-MX"/>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lentinapaezborrero@gmail.com" TargetMode="External"/><Relationship Id="rId13" Type="http://schemas.openxmlformats.org/officeDocument/2006/relationships/hyperlink" Target="https://nam02.safelinks.protection.outlook.com/?url=https%3A%2F%2Fwww.colombiacompra.gov.co%2Farchivos%2Fboletin%2Fboletin-edicion-n-3-de-2026-radar-de-la-compra-publica&amp;data=05%7C02%7Cnatalia.montoya%40colombiacompra.gov.co%7C7128555136e04fa6887d08dee99e1b50%7C7b09041e245149d08cb179d5e3d8c1be%7C0%7C0%7C639205062450108660%7CUnknown%7CTWFpbGZsb3d8eyJFbXB0eU1hcGkiOnRydWUsIlYiOiIwLjAuMDAwMCIsIlAiOiJXaW4zMiIsIkFOIjoiTWFpbCIsIldUIjoyfQ%3D%3D%7C0%7C%7C%7C&amp;sdata=JBPtG%2Bonp%2BY8lDrsLvADikytZuNpMBUEkglaHvtgJUQ%3D&amp;reserved=0"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emf"/><Relationship Id="rId12" Type="http://schemas.openxmlformats.org/officeDocument/2006/relationships/hyperlink" Target="https://nam02.safelinks.protection.outlook.com/?url=https%3A%2F%2Fwww.colombiacompra.gov.co%2Farchivos%2Fcircular%2Fcircular-externa-002-de-2026&amp;data=05%7C02%7Cnatalia.montoya%40colombiacompra.gov.co%7C7128555136e04fa6887d08dee99e1b50%7C7b09041e245149d08cb179d5e3d8c1be%7C0%7C0%7C639205062450088410%7CUnknown%7CTWFpbGZsb3d8eyJFbXB0eU1hcGkiOnRydWUsIlYiOiIwLjAuMDAwMCIsIlAiOiJXaW4zMiIsIkFOIjoiTWFpbCIsIldUIjoyfQ%3D%3D%7C0%7C%7C%7C&amp;sdata=t17%2FyzBHZ1WQJYV5XXw0A6fP6%2Fg5R%2FUHx2U6ykKcctg%3D&amp;reserved=0" TargetMode="External"/><Relationship Id="rId1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hyperlink" Target="https://forms.office.com/r/pPHyWVs2SZ"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nam02.safelinks.protection.outlook.com/?url=https%3A%2F%2Fwww.colombiacompra.gov.co%2Farchivos%2Fcircular%2Fcircular-externa-003-de-2026&amp;data=05%7C02%7Cnatalia.montoya%40colombiacompra.gov.co%7C7128555136e04fa6887d08dee99e1b50%7C7b09041e245149d08cb179d5e3d8c1be%7C0%7C0%7C639205062450067561%7CUnknown%7CTWFpbGZsb3d8eyJFbXB0eU1hcGkiOnRydWUsIlYiOiIwLjAuMDAwMCIsIlAiOiJXaW4zMiIsIkFOIjoiTWFpbCIsIldUIjoyfQ%3D%3D%7C0%7C%7C%7C&amp;sdata=1KwAou0EiQlV8YOL9Bhd0Pc%2Fq1j%2FK5U%2FZlwtuu9D2pA%3D&amp;reserved=0" TargetMode="External"/><Relationship Id="rId24" Type="http://schemas.openxmlformats.org/officeDocument/2006/relationships/customXml" Target="../customXml/item3.xml"/><Relationship Id="rId5" Type="http://schemas.openxmlformats.org/officeDocument/2006/relationships/footnotes" Target="footnotes.xml"/><Relationship Id="rId15" Type="http://schemas.openxmlformats.org/officeDocument/2006/relationships/hyperlink" Target="https://www.colombiacompra.gov.co/pqrsd/informacion-importante-antes-de-formular-una-pqrsd" TargetMode="External"/><Relationship Id="rId23" Type="http://schemas.openxmlformats.org/officeDocument/2006/relationships/customXml" Target="../customXml/item2.xml"/><Relationship Id="rId10" Type="http://schemas.openxmlformats.org/officeDocument/2006/relationships/hyperlink" Target="https://nam02.safelinks.protection.outlook.com/?url=https%3A%2F%2Fwww.colombiacompra.gov.co%2Farchivos%2Fmanual%2Fguia-de-garantias-en-procesos-de-contratacion&amp;data=05%7C02%7Cnatalia.montoya%40colombiacompra.gov.co%7C7128555136e04fa6887d08dee99e1b50%7C7b09041e245149d08cb179d5e3d8c1be%7C0%7C0%7C639205062450037018%7CUnknown%7CTWFpbGZsb3d8eyJFbXB0eU1hcGkiOnRydWUsIlYiOiIwLjAuMDAwMCIsIlAiOiJXaW4zMiIsIkFOIjoiTWFpbCIsIldUIjoyfQ%3D%3D%7C0%7C%7C%7C&amp;sdata=EAy8r5R98IFHp6RcTtQi8sFe%2BELt0mtEmpdWnOPnlKM%3D&amp;reserved=0"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nam02.safelinks.protection.outlook.com/?url=https%3A%2F%2Frelatoria.colombiacompra.gov.co%2F&amp;data=05%7C02%7Csergio.caballero%40colombiacompra.gov.co%7C5aad36a736844ec87b2108dcc1fa4639%7C7b09041e245149d08cb179d5e3d8c1be%7C0%7C0%7C638598527918222614%7CUnknown%7CTWFpbGZsb3d8eyJWIjoiMC4wLjAwMDAiLCJQIjoiV2luMzIiLCJBTiI6Ik1haWwiLCJXVCI6Mn0%3D%7C0%7C%7C%7C&amp;sdata=h8WOGB2loApehe%2F7QeGo2PCeSePiffWRTR4AMN1Rht0%3D&amp;reserved=0" TargetMode="External"/><Relationship Id="rId14" Type="http://schemas.openxmlformats.org/officeDocument/2006/relationships/hyperlink" Target="mailto:ventanilladeradicacion@colombiacompra.gov.co" TargetMode="External"/><Relationship Id="rId22" Type="http://schemas.openxmlformats.org/officeDocument/2006/relationships/customXml" Target="../customXml/item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66C2206-BE84-4B9A-906A-7A631066D306}"/>
</file>

<file path=customXml/itemProps2.xml><?xml version="1.0" encoding="utf-8"?>
<ds:datastoreItem xmlns:ds="http://schemas.openxmlformats.org/officeDocument/2006/customXml" ds:itemID="{96C63FE2-0F4D-4CC7-B8B9-5EF869814F61}"/>
</file>

<file path=customXml/itemProps3.xml><?xml version="1.0" encoding="utf-8"?>
<ds:datastoreItem xmlns:ds="http://schemas.openxmlformats.org/officeDocument/2006/customXml" ds:itemID="{F33A99EE-71B3-43A4-950B-ABC96E7D8477}"/>
</file>

<file path=docProps/app.xml><?xml version="1.0" encoding="utf-8"?>
<Properties xmlns="http://schemas.openxmlformats.org/officeDocument/2006/extended-properties" xmlns:vt="http://schemas.openxmlformats.org/officeDocument/2006/docPropsVTypes">
  <Template>Normal</Template>
  <TotalTime>8</TotalTime>
  <Pages>21</Pages>
  <Words>7250</Words>
  <Characters>39876</Characters>
  <Application>Microsoft Office Word</Application>
  <DocSecurity>0</DocSecurity>
  <Lines>332</Lines>
  <Paragraphs>94</Paragraphs>
  <ScaleCrop>false</ScaleCrop>
  <Company/>
  <LinksUpToDate>false</LinksUpToDate>
  <CharactersWithSpaces>47032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Montoya Jiménez</dc:creator>
  <cp:keywords/>
  <dc:description/>
  <cp:lastModifiedBy>Natalia Montoya Jiménez</cp:lastModifiedBy>
  <cp:revision>6</cp:revision>
  <dcterms:created xsi:type="dcterms:W3CDTF">2026-08-05T19:13:00Z</dcterms:created>
  <dcterms:modified xsi:type="dcterms:W3CDTF">2026-08-05T21:50:00Z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ies>
</file>