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B7ACA" w14:textId="77777777" w:rsidR="00FE5AEE" w:rsidRDefault="00FE5AEE" w:rsidP="000155DD">
      <w:pPr>
        <w:spacing w:after="0" w:line="240" w:lineRule="auto"/>
        <w:jc w:val="both"/>
        <w:rPr>
          <w:rFonts w:ascii="Verdana" w:hAnsi="Verdana" w:cs="Arial"/>
          <w:b/>
          <w:lang w:val="es-ES_tradnl" w:eastAsia="es-ES"/>
        </w:rPr>
      </w:pPr>
      <w:bookmarkStart w:id="0" w:name="_Hlk143780582"/>
    </w:p>
    <w:p w14:paraId="4C46611A" w14:textId="166B70DA" w:rsidR="00FE5AEE" w:rsidRDefault="00FE5AEE" w:rsidP="000155DD">
      <w:pPr>
        <w:spacing w:after="0" w:line="240" w:lineRule="auto"/>
        <w:jc w:val="both"/>
        <w:rPr>
          <w:rFonts w:ascii="Verdana" w:eastAsia="Calibri" w:hAnsi="Verdana" w:cs="Arial"/>
          <w:b/>
          <w:bCs/>
          <w:lang w:val="es-ES_tradnl" w:eastAsia="es-ES"/>
        </w:rPr>
      </w:pPr>
      <w:r w:rsidRPr="00FE5AEE">
        <w:rPr>
          <w:rFonts w:ascii="Verdana" w:eastAsia="Calibri" w:hAnsi="Verdana" w:cs="Arial"/>
          <w:b/>
          <w:bCs/>
          <w:lang w:val="es-ES_tradnl" w:eastAsia="es-ES"/>
        </w:rPr>
        <w:t>EGCAP – Ámbito de aplicación – Entidades estatales</w:t>
      </w:r>
    </w:p>
    <w:p w14:paraId="3736580F" w14:textId="77777777" w:rsidR="00FE5AEE" w:rsidRDefault="00FE5AEE" w:rsidP="000155DD">
      <w:pPr>
        <w:spacing w:after="0" w:line="240" w:lineRule="auto"/>
        <w:jc w:val="both"/>
        <w:rPr>
          <w:rFonts w:ascii="Verdana" w:eastAsia="Calibri" w:hAnsi="Verdana" w:cs="Arial"/>
          <w:b/>
          <w:bCs/>
          <w:lang w:val="es-ES_tradnl" w:eastAsia="es-ES"/>
        </w:rPr>
      </w:pPr>
    </w:p>
    <w:p w14:paraId="56162D7A" w14:textId="77777777" w:rsidR="003871E9" w:rsidRPr="003E466F" w:rsidRDefault="003871E9" w:rsidP="003871E9">
      <w:pPr>
        <w:spacing w:after="0" w:line="240" w:lineRule="auto"/>
        <w:jc w:val="both"/>
        <w:rPr>
          <w:rFonts w:ascii="Verdana" w:hAnsi="Verdana" w:cs="Arial"/>
          <w:bCs/>
          <w:color w:val="000000" w:themeColor="text1"/>
          <w:sz w:val="20"/>
          <w:szCs w:val="20"/>
          <w:lang w:eastAsia="es-ES_tradnl"/>
        </w:rPr>
      </w:pPr>
      <w:r w:rsidRPr="003E466F">
        <w:rPr>
          <w:rFonts w:ascii="Verdana" w:hAnsi="Verdana" w:cs="Arial"/>
          <w:bCs/>
          <w:color w:val="000000" w:themeColor="text1"/>
          <w:sz w:val="20"/>
          <w:szCs w:val="20"/>
          <w:lang w:eastAsia="es-ES_tradnl"/>
        </w:rPr>
        <w:t>El ordenamiento jurídico colombiano contempla como categoría única la noción de “contratos estatales”, pero acepta la posibilidad de que dichos contratos tengan regímenes jurídicos diferenciados. En virtud de ello se afirma que hay contratos estatales sometidos al EGCAP (Leyes 80 de 1993, 1150 de 2007 y disposiciones complementarias) y contratos estatales sometidos a reglas especiales, usualmente al derecho privado.</w:t>
      </w:r>
    </w:p>
    <w:p w14:paraId="49D104E3" w14:textId="77777777" w:rsidR="00FE5AEE" w:rsidRPr="003871E9" w:rsidRDefault="00FE5AEE" w:rsidP="000155DD">
      <w:pPr>
        <w:spacing w:after="0" w:line="240" w:lineRule="auto"/>
        <w:jc w:val="both"/>
        <w:rPr>
          <w:rFonts w:ascii="Verdana" w:hAnsi="Verdana" w:cs="Arial"/>
          <w:b/>
          <w:bCs/>
          <w:lang w:eastAsia="es-ES"/>
        </w:rPr>
      </w:pPr>
    </w:p>
    <w:p w14:paraId="250D06B1" w14:textId="77777777" w:rsidR="00FE5AEE" w:rsidRPr="0057712B" w:rsidRDefault="00FE5AEE" w:rsidP="000155DD">
      <w:pPr>
        <w:spacing w:after="0" w:line="240" w:lineRule="auto"/>
        <w:jc w:val="both"/>
        <w:rPr>
          <w:rFonts w:ascii="Verdana" w:hAnsi="Verdana" w:cs="Arial"/>
          <w:b/>
          <w:bCs/>
          <w:lang w:val="es-ES_tradnl" w:eastAsia="es-ES"/>
        </w:rPr>
      </w:pPr>
    </w:p>
    <w:p w14:paraId="7DE35CC8" w14:textId="445281EC" w:rsidR="00FE5AEE" w:rsidRDefault="0057712B" w:rsidP="000155DD">
      <w:pPr>
        <w:spacing w:after="0" w:line="240" w:lineRule="auto"/>
        <w:jc w:val="both"/>
        <w:rPr>
          <w:rFonts w:ascii="Verdana" w:eastAsia="Calibri" w:hAnsi="Verdana" w:cs="Arial"/>
          <w:b/>
          <w:bCs/>
          <w:lang w:val="es-ES_tradnl" w:eastAsia="es-ES"/>
        </w:rPr>
      </w:pPr>
      <w:r w:rsidRPr="0057712B">
        <w:rPr>
          <w:rFonts w:ascii="Verdana" w:eastAsia="Calibri" w:hAnsi="Verdana" w:cs="Arial"/>
          <w:b/>
          <w:bCs/>
          <w:lang w:val="es-ES_tradnl" w:eastAsia="es-ES"/>
        </w:rPr>
        <w:t>ENTIDADES EXCEPTÚADAS – Aplicación de normas de derecho público</w:t>
      </w:r>
    </w:p>
    <w:p w14:paraId="58EC6407" w14:textId="77777777" w:rsidR="0057712B" w:rsidRDefault="0057712B" w:rsidP="000155DD">
      <w:pPr>
        <w:spacing w:after="0" w:line="240" w:lineRule="auto"/>
        <w:jc w:val="both"/>
        <w:rPr>
          <w:rFonts w:ascii="Verdana" w:eastAsia="Calibri" w:hAnsi="Verdana" w:cs="Arial"/>
          <w:b/>
          <w:bCs/>
          <w:lang w:val="es-ES_tradnl" w:eastAsia="es-ES"/>
        </w:rPr>
      </w:pPr>
    </w:p>
    <w:p w14:paraId="318158A9" w14:textId="77777777" w:rsidR="00C804D9" w:rsidRPr="003E466F" w:rsidRDefault="00C804D9" w:rsidP="00C804D9">
      <w:pPr>
        <w:spacing w:after="0" w:line="240" w:lineRule="auto"/>
        <w:jc w:val="both"/>
        <w:rPr>
          <w:rFonts w:ascii="Verdana" w:hAnsi="Verdana" w:cs="Arial"/>
          <w:bCs/>
          <w:sz w:val="20"/>
          <w:szCs w:val="20"/>
          <w:lang w:val="es-ES_tradnl"/>
        </w:rPr>
      </w:pPr>
      <w:r w:rsidRPr="003E466F">
        <w:rPr>
          <w:rFonts w:ascii="Verdana" w:hAnsi="Verdana" w:cs="Arial"/>
          <w:bCs/>
          <w:sz w:val="20"/>
          <w:szCs w:val="20"/>
          <w:lang w:val="es-ES_tradnl"/>
        </w:rPr>
        <w:t>El régimen de derecho privado que, por regla general, caracteriza a los regímenes especiales no significa que no existan “dosis” de derecho público administrativo que tienen como fin último garantizar que los regímenes especiales de contratación también se ordenen hacia la consecución de los fines del Estado. Estas “dosis” de derecho administrativo encuentran su manifestación tanto en forma de reglas como de principios.</w:t>
      </w:r>
    </w:p>
    <w:p w14:paraId="4A332AEE" w14:textId="77777777" w:rsidR="00C804D9" w:rsidRPr="003E466F" w:rsidRDefault="00C804D9" w:rsidP="00C804D9">
      <w:pPr>
        <w:spacing w:after="0" w:line="240" w:lineRule="auto"/>
        <w:jc w:val="both"/>
        <w:rPr>
          <w:rFonts w:ascii="Verdana" w:hAnsi="Verdana" w:cs="Arial"/>
          <w:color w:val="000000" w:themeColor="text1"/>
          <w:sz w:val="21"/>
          <w:szCs w:val="21"/>
          <w:lang w:val="es-ES_tradnl"/>
        </w:rPr>
      </w:pPr>
    </w:p>
    <w:p w14:paraId="7560F4C0" w14:textId="77777777" w:rsidR="0057712B" w:rsidRPr="0057712B" w:rsidRDefault="0057712B" w:rsidP="000155DD">
      <w:pPr>
        <w:spacing w:after="0" w:line="240" w:lineRule="auto"/>
        <w:jc w:val="both"/>
        <w:rPr>
          <w:rFonts w:ascii="Verdana" w:eastAsia="Calibri" w:hAnsi="Verdana" w:cs="Arial"/>
          <w:b/>
          <w:bCs/>
          <w:lang w:val="es-ES_tradnl" w:eastAsia="es-ES"/>
        </w:rPr>
      </w:pPr>
    </w:p>
    <w:p w14:paraId="062133C1" w14:textId="6C0F9C0F" w:rsidR="0057712B" w:rsidRPr="00C804D9" w:rsidRDefault="00C804D9" w:rsidP="000155DD">
      <w:pPr>
        <w:spacing w:after="0" w:line="240" w:lineRule="auto"/>
        <w:jc w:val="both"/>
        <w:rPr>
          <w:rFonts w:ascii="Verdana" w:eastAsia="Calibri" w:hAnsi="Verdana" w:cs="Arial"/>
          <w:b/>
          <w:bCs/>
          <w:lang w:val="es-ES_tradnl" w:eastAsia="es-ES"/>
        </w:rPr>
      </w:pPr>
      <w:r w:rsidRPr="00C804D9">
        <w:rPr>
          <w:rFonts w:ascii="Verdana" w:eastAsia="Calibri" w:hAnsi="Verdana" w:cs="Arial"/>
          <w:b/>
          <w:bCs/>
          <w:lang w:val="es-ES" w:eastAsia="es-ES"/>
        </w:rPr>
        <w:t>LIQUIDACIÓN DEL CONTRATO – Definición – Objetivo</w:t>
      </w:r>
    </w:p>
    <w:p w14:paraId="052730F5" w14:textId="77777777" w:rsidR="0057712B" w:rsidRDefault="0057712B" w:rsidP="000155DD">
      <w:pPr>
        <w:spacing w:after="0" w:line="240" w:lineRule="auto"/>
        <w:jc w:val="both"/>
        <w:rPr>
          <w:rFonts w:ascii="Verdana" w:eastAsia="Calibri" w:hAnsi="Verdana" w:cs="Arial"/>
          <w:lang w:val="es-ES_tradnl" w:eastAsia="es-ES"/>
        </w:rPr>
      </w:pPr>
    </w:p>
    <w:p w14:paraId="020F13C1" w14:textId="77777777" w:rsidR="00D3400E" w:rsidRDefault="00D3400E" w:rsidP="00D3400E">
      <w:pPr>
        <w:spacing w:line="240" w:lineRule="auto"/>
        <w:jc w:val="both"/>
        <w:rPr>
          <w:rFonts w:ascii="Verdana" w:hAnsi="Verdana" w:cs="Arial"/>
          <w:sz w:val="20"/>
          <w:szCs w:val="20"/>
          <w:lang w:val="es-ES_tradnl" w:eastAsia="es-ES"/>
        </w:rPr>
      </w:pPr>
      <w:r w:rsidRPr="00C31131">
        <w:rPr>
          <w:rFonts w:ascii="Verdana" w:hAnsi="Verdana" w:cs="Arial"/>
          <w:sz w:val="20"/>
          <w:szCs w:val="20"/>
          <w:lang w:val="es-ES_tradnl" w:eastAsia="es-ES"/>
        </w:rPr>
        <w:t xml:space="preserve">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C31131">
        <w:rPr>
          <w:rFonts w:ascii="Verdana" w:hAnsi="Verdana" w:cs="Arial"/>
          <w:i/>
          <w:iCs/>
          <w:sz w:val="20"/>
          <w:szCs w:val="20"/>
          <w:lang w:val="es-ES_tradnl" w:eastAsia="es-ES"/>
        </w:rPr>
        <w:t>liquidar</w:t>
      </w:r>
      <w:r w:rsidRPr="00C31131">
        <w:rPr>
          <w:rFonts w:ascii="Verdana" w:hAnsi="Verdana" w:cs="Arial"/>
          <w:sz w:val="20"/>
          <w:szCs w:val="20"/>
          <w:lang w:val="es-ES_tradnl" w:eastAsia="es-ES"/>
        </w:rPr>
        <w:t xml:space="preserve"> supone un ajuste en relación con las cuentas y el estado de cumplimiento del contrato estatal y, por el otro, que la </w:t>
      </w:r>
      <w:r w:rsidRPr="00C31131">
        <w:rPr>
          <w:rFonts w:ascii="Verdana" w:hAnsi="Verdana" w:cs="Arial"/>
          <w:i/>
          <w:iCs/>
          <w:sz w:val="20"/>
          <w:szCs w:val="20"/>
          <w:lang w:val="es-ES_tradnl" w:eastAsia="es-ES"/>
        </w:rPr>
        <w:t>liquidación</w:t>
      </w:r>
      <w:r w:rsidRPr="00C31131">
        <w:rPr>
          <w:rFonts w:ascii="Verdana" w:hAnsi="Verdana" w:cs="Arial"/>
          <w:sz w:val="20"/>
          <w:szCs w:val="20"/>
          <w:lang w:val="es-ES_tradnl" w:eastAsia="es-ES"/>
        </w:rPr>
        <w:t xml:space="preserve"> debe incluir el análisis de las condiciones de calidad y oportunidad en la entrega de los bienes, obras o servicios, así como el balance económico y el comportamiento financiero del negocio. </w:t>
      </w:r>
    </w:p>
    <w:p w14:paraId="0AAC61AF" w14:textId="77777777" w:rsidR="0057712B" w:rsidRPr="00D3400E" w:rsidRDefault="0057712B" w:rsidP="000155DD">
      <w:pPr>
        <w:spacing w:after="0" w:line="240" w:lineRule="auto"/>
        <w:jc w:val="both"/>
        <w:rPr>
          <w:rFonts w:ascii="Verdana" w:eastAsia="Calibri" w:hAnsi="Verdana" w:cs="Arial"/>
          <w:b/>
          <w:bCs/>
          <w:lang w:val="es-ES_tradnl" w:eastAsia="es-ES"/>
        </w:rPr>
      </w:pPr>
    </w:p>
    <w:p w14:paraId="7ED84915" w14:textId="5CFBCC31" w:rsidR="00D3400E" w:rsidRDefault="00D3400E" w:rsidP="000155DD">
      <w:pPr>
        <w:spacing w:after="0" w:line="240" w:lineRule="auto"/>
        <w:jc w:val="both"/>
        <w:rPr>
          <w:rFonts w:ascii="Verdana" w:eastAsia="Calibri" w:hAnsi="Verdana" w:cs="Arial"/>
          <w:b/>
          <w:bCs/>
          <w:lang w:val="es-ES" w:eastAsia="es-ES"/>
        </w:rPr>
      </w:pPr>
      <w:r w:rsidRPr="00D3400E">
        <w:rPr>
          <w:rFonts w:ascii="Verdana" w:eastAsia="Calibri" w:hAnsi="Verdana" w:cs="Arial"/>
          <w:b/>
          <w:bCs/>
          <w:lang w:val="es-ES" w:eastAsia="es-ES"/>
        </w:rPr>
        <w:t>LIQUIDACIÓN BILATERAL – Naturaleza</w:t>
      </w:r>
    </w:p>
    <w:p w14:paraId="3E196E96" w14:textId="77777777" w:rsidR="00D3400E" w:rsidRDefault="00D3400E" w:rsidP="000155DD">
      <w:pPr>
        <w:spacing w:after="0" w:line="240" w:lineRule="auto"/>
        <w:jc w:val="both"/>
        <w:rPr>
          <w:rFonts w:ascii="Verdana" w:eastAsia="Calibri" w:hAnsi="Verdana" w:cs="Arial"/>
          <w:b/>
          <w:bCs/>
          <w:lang w:val="es-ES" w:eastAsia="es-ES"/>
        </w:rPr>
      </w:pPr>
    </w:p>
    <w:p w14:paraId="7A5518C9" w14:textId="77777777" w:rsidR="000F5105" w:rsidRPr="00C31131" w:rsidRDefault="000F5105" w:rsidP="000F5105">
      <w:pPr>
        <w:spacing w:line="240" w:lineRule="auto"/>
        <w:jc w:val="both"/>
        <w:rPr>
          <w:rFonts w:ascii="Verdana" w:hAnsi="Verdana" w:cs="Arial"/>
          <w:sz w:val="20"/>
          <w:szCs w:val="20"/>
          <w:lang w:eastAsia="es-ES"/>
        </w:rPr>
      </w:pPr>
      <w:r>
        <w:rPr>
          <w:rFonts w:ascii="Verdana" w:hAnsi="Verdana" w:cs="Arial"/>
          <w:sz w:val="20"/>
          <w:szCs w:val="20"/>
          <w:lang w:val="es-ES" w:eastAsia="es-ES" w:bidi="es-ES"/>
        </w:rPr>
        <w:t>L</w:t>
      </w:r>
      <w:r w:rsidRPr="00C31131">
        <w:rPr>
          <w:rFonts w:ascii="Verdana" w:hAnsi="Verdana" w:cs="Arial"/>
          <w:sz w:val="20"/>
          <w:szCs w:val="20"/>
          <w:lang w:val="es-ES" w:eastAsia="es-ES" w:bidi="es-ES"/>
        </w:rPr>
        <w:t>a liquidación bilateral se trata de un negocio jurídico, en el que las partes del contrato estatal, en ejercicio de la autonomía de la voluntad, regulan la finalización de su relación y disponen de los intereses que emanan de ella.</w:t>
      </w:r>
      <w:r w:rsidRPr="00C31131">
        <w:rPr>
          <w:rFonts w:ascii="Verdana" w:hAnsi="Verdana" w:cs="Arial"/>
          <w:sz w:val="20"/>
          <w:szCs w:val="20"/>
          <w:lang w:eastAsia="es-ES"/>
        </w:rPr>
        <w:t xml:space="preserve"> Dicho acuerdo reviste un carácter negocial, en la medida en que implica manifestaciones recíprocas dirigidas a producir efectos jurídicos concretos frente a las prestaciones mutuas de la relación contractual. </w:t>
      </w:r>
    </w:p>
    <w:p w14:paraId="2DA4CFF5" w14:textId="77777777" w:rsidR="000F5105" w:rsidRPr="00C31131" w:rsidRDefault="000F5105" w:rsidP="000F5105">
      <w:pPr>
        <w:spacing w:line="240" w:lineRule="auto"/>
        <w:jc w:val="both"/>
        <w:rPr>
          <w:rFonts w:ascii="Verdana" w:hAnsi="Verdana" w:cs="Arial"/>
          <w:sz w:val="20"/>
          <w:szCs w:val="20"/>
          <w:lang w:val="es-ES" w:eastAsia="es-ES" w:bidi="es-ES"/>
        </w:rPr>
      </w:pPr>
      <w:r w:rsidRPr="00C31131">
        <w:rPr>
          <w:rFonts w:ascii="Verdana" w:hAnsi="Verdana" w:cs="Arial"/>
          <w:sz w:val="20"/>
          <w:szCs w:val="20"/>
          <w:lang w:eastAsia="es-ES"/>
        </w:rPr>
        <w:t xml:space="preserve">Sobre el particular, el Consejo de Estado ha manifestado de manera reiterada que “Cuando dicha liquidación se lleva a cabo de manera bilateral, configura </w:t>
      </w:r>
      <w:r w:rsidRPr="00C31131">
        <w:rPr>
          <w:rFonts w:ascii="Verdana" w:hAnsi="Verdana" w:cs="Arial"/>
          <w:i/>
          <w:iCs/>
          <w:sz w:val="20"/>
          <w:szCs w:val="20"/>
          <w:lang w:eastAsia="es-ES"/>
        </w:rPr>
        <w:t>un negocio jurídico</w:t>
      </w:r>
      <w:r w:rsidRPr="00C31131">
        <w:rPr>
          <w:rFonts w:ascii="Verdana" w:hAnsi="Verdana" w:cs="Arial"/>
          <w:sz w:val="20"/>
          <w:szCs w:val="20"/>
          <w:lang w:eastAsia="es-ES"/>
        </w:rPr>
        <w:t xml:space="preserve"> que surge de la manifestación de voluntad de las partes, quienes al suscribir la respectiva acta consienten en que ese corte de cuentas corresponde a la realidad de la ejecución contractual y, por ello, se pueden declarar a paz y salvo una vez satisfechas las obligaciones que se deriven directamente de ese trabajo conjunto de liquidación”. </w:t>
      </w:r>
      <w:r w:rsidRPr="00C31131">
        <w:rPr>
          <w:rFonts w:ascii="Verdana" w:hAnsi="Verdana" w:cs="Arial"/>
          <w:sz w:val="20"/>
          <w:szCs w:val="20"/>
          <w:lang w:val="es-ES" w:eastAsia="es-ES" w:bidi="es-ES"/>
        </w:rPr>
        <w:t xml:space="preserve"> </w:t>
      </w:r>
    </w:p>
    <w:p w14:paraId="09FE5853" w14:textId="769F5B99" w:rsidR="000853E1" w:rsidRDefault="000F5105" w:rsidP="000155DD">
      <w:pPr>
        <w:spacing w:after="0" w:line="240" w:lineRule="auto"/>
        <w:jc w:val="both"/>
        <w:rPr>
          <w:rFonts w:ascii="Verdana" w:eastAsia="Calibri" w:hAnsi="Verdana" w:cs="Arial"/>
          <w:b/>
          <w:bCs/>
          <w:lang w:val="es-ES" w:eastAsia="es-ES"/>
        </w:rPr>
      </w:pPr>
      <w:r w:rsidRPr="000F5105">
        <w:rPr>
          <w:rFonts w:ascii="Verdana" w:eastAsia="Calibri" w:hAnsi="Verdana" w:cs="Arial"/>
          <w:b/>
          <w:bCs/>
          <w:lang w:val="es-ES" w:eastAsia="es-ES"/>
        </w:rPr>
        <w:lastRenderedPageBreak/>
        <w:t xml:space="preserve">ENTIDADES DE RÉGIMEN ESPECIAL – Liquidación – Liquidación bilateral – Unilateral – Judicial </w:t>
      </w:r>
      <w:r w:rsidR="000853E1">
        <w:rPr>
          <w:rFonts w:ascii="Verdana" w:eastAsia="Calibri" w:hAnsi="Verdana" w:cs="Arial"/>
          <w:b/>
          <w:bCs/>
          <w:lang w:val="es-ES" w:eastAsia="es-ES"/>
        </w:rPr>
        <w:t>–</w:t>
      </w:r>
      <w:r w:rsidRPr="000F5105">
        <w:rPr>
          <w:rFonts w:ascii="Verdana" w:eastAsia="Calibri" w:hAnsi="Verdana" w:cs="Arial"/>
          <w:b/>
          <w:bCs/>
          <w:lang w:val="es-ES" w:eastAsia="es-ES"/>
        </w:rPr>
        <w:t xml:space="preserve"> </w:t>
      </w:r>
    </w:p>
    <w:p w14:paraId="7715E668" w14:textId="77777777" w:rsidR="000853E1" w:rsidRDefault="000853E1" w:rsidP="000155DD">
      <w:pPr>
        <w:spacing w:after="0" w:line="240" w:lineRule="auto"/>
        <w:jc w:val="both"/>
        <w:rPr>
          <w:rFonts w:ascii="Verdana" w:eastAsia="Calibri" w:hAnsi="Verdana" w:cs="Arial"/>
          <w:b/>
          <w:bCs/>
          <w:lang w:val="es-ES" w:eastAsia="es-ES"/>
        </w:rPr>
      </w:pPr>
    </w:p>
    <w:p w14:paraId="57DBA674" w14:textId="77777777" w:rsidR="00EB1A73" w:rsidRDefault="00EB1A73" w:rsidP="00EB1A73">
      <w:pPr>
        <w:spacing w:line="240" w:lineRule="auto"/>
        <w:jc w:val="both"/>
        <w:rPr>
          <w:rFonts w:ascii="Verdana" w:eastAsia="Times New Roman" w:hAnsi="Verdana" w:cs="Arial"/>
          <w:sz w:val="20"/>
          <w:szCs w:val="20"/>
          <w:lang w:val="es-ES"/>
        </w:rPr>
      </w:pPr>
      <w:r>
        <w:rPr>
          <w:rFonts w:ascii="Verdana" w:eastAsia="Times New Roman" w:hAnsi="Verdana" w:cs="Arial"/>
          <w:color w:val="000000"/>
          <w:sz w:val="20"/>
          <w:szCs w:val="20"/>
          <w:lang w:val="es-ES" w:eastAsia="es-ES_tradnl"/>
        </w:rPr>
        <w:t>L</w:t>
      </w:r>
      <w:r w:rsidRPr="00660822">
        <w:rPr>
          <w:rFonts w:ascii="Verdana" w:eastAsia="Times New Roman" w:hAnsi="Verdana" w:cs="Arial"/>
          <w:color w:val="000000"/>
          <w:sz w:val="20"/>
          <w:szCs w:val="20"/>
          <w:lang w:val="es-ES" w:eastAsia="es-ES_tradnl"/>
        </w:rPr>
        <w:t xml:space="preserve">a liquidación bilateral de las entidades de régimen especial </w:t>
      </w:r>
      <w:r w:rsidRPr="00660822">
        <w:rPr>
          <w:rFonts w:ascii="Verdana" w:eastAsia="Times New Roman" w:hAnsi="Verdana" w:cs="Arial"/>
          <w:sz w:val="20"/>
          <w:szCs w:val="20"/>
          <w:lang w:val="es-ES_tradnl" w:eastAsia="es-ES_tradnl"/>
        </w:rPr>
        <w:t xml:space="preserve">deberá realizarse dentro del plazo previsto </w:t>
      </w:r>
      <w:r w:rsidRPr="00660822">
        <w:rPr>
          <w:rFonts w:ascii="Verdana" w:eastAsia="Times New Roman" w:hAnsi="Verdana" w:cs="Arial"/>
          <w:sz w:val="20"/>
          <w:szCs w:val="20"/>
          <w:lang w:val="es-ES" w:eastAsia="es-ES"/>
        </w:rPr>
        <w:t xml:space="preserve">que “acuerden las partes”, el cual, en principio, debe estar recogido en el contrato, al ser este el acto jurídico bilateral en el que se consigna originalmente la voluntad de las partes. </w:t>
      </w:r>
      <w:r w:rsidRPr="00660822">
        <w:rPr>
          <w:rFonts w:ascii="Verdana" w:eastAsia="Times New Roman" w:hAnsi="Verdana" w:cs="Arial"/>
          <w:sz w:val="20"/>
          <w:szCs w:val="20"/>
          <w:lang w:val="es-ES"/>
        </w:rPr>
        <w:t xml:space="preserve">Por lo tanto, las partes, en desarrollo de la autonomía de la voluntad que les asiste, están habilitadas para pactar el término, o en su defecto, acudir al plazo que se estableció en el Manual de Contratación de la Entidad. </w:t>
      </w:r>
    </w:p>
    <w:p w14:paraId="208D869C" w14:textId="77777777" w:rsidR="00EB1A73" w:rsidRPr="00660822" w:rsidRDefault="00EB1A73" w:rsidP="00EB1A73">
      <w:pPr>
        <w:spacing w:after="0" w:line="240" w:lineRule="auto"/>
        <w:jc w:val="both"/>
        <w:rPr>
          <w:rFonts w:ascii="Verdana" w:eastAsia="Times New Roman" w:hAnsi="Verdana" w:cs="Arial"/>
          <w:sz w:val="20"/>
          <w:szCs w:val="20"/>
          <w:lang w:val="es-ES"/>
        </w:rPr>
      </w:pPr>
      <w:r w:rsidRPr="00660822">
        <w:rPr>
          <w:rFonts w:ascii="Verdana" w:eastAsia="Times New Roman" w:hAnsi="Verdana" w:cs="Arial"/>
          <w:color w:val="000000"/>
          <w:sz w:val="20"/>
          <w:szCs w:val="20"/>
          <w:bdr w:val="none" w:sz="0" w:space="0" w:color="auto" w:frame="1"/>
          <w:shd w:val="clear" w:color="auto" w:fill="FFFFFF"/>
          <w:lang w:val="es-ES" w:eastAsia="es-ES_tradnl"/>
        </w:rPr>
        <w:t xml:space="preserve">En todo caso, </w:t>
      </w:r>
      <w:r w:rsidRPr="00660822">
        <w:rPr>
          <w:rFonts w:ascii="Verdana" w:eastAsia="Times New Roman" w:hAnsi="Verdana" w:cs="Arial"/>
          <w:color w:val="000000"/>
          <w:sz w:val="20"/>
          <w:szCs w:val="20"/>
          <w:bdr w:val="none" w:sz="0" w:space="0" w:color="auto" w:frame="1"/>
          <w:shd w:val="clear" w:color="auto" w:fill="FFFFFF"/>
          <w:lang w:eastAsia="es-ES_tradnl"/>
        </w:rPr>
        <w:t>si la liquidación bilateral no se realizó dentro del plazo establecido en el contrato, las partes, en ejercicio de la autonomía de la voluntad y considerando que la liquidación bilateral constituye un negocio jurídico, podrán efectuarla en cualquier momento, siempre que se encuentren dentro del término de caducidad del medio de control de controversias contractuales y no se contraríe lo dispuesto en el Manual de Contratación de la entidad.</w:t>
      </w:r>
    </w:p>
    <w:p w14:paraId="7071D9AC" w14:textId="77777777" w:rsidR="00EB1A73" w:rsidRDefault="00EB1A73" w:rsidP="00EB1A73">
      <w:pPr>
        <w:tabs>
          <w:tab w:val="left" w:pos="709"/>
        </w:tabs>
        <w:spacing w:after="0" w:line="240" w:lineRule="auto"/>
        <w:jc w:val="both"/>
        <w:rPr>
          <w:rFonts w:ascii="Verdana" w:eastAsia="Times New Roman" w:hAnsi="Verdana" w:cs="Arial"/>
          <w:sz w:val="20"/>
          <w:szCs w:val="20"/>
          <w:lang w:val="es-ES"/>
        </w:rPr>
      </w:pPr>
    </w:p>
    <w:p w14:paraId="5AB894DE" w14:textId="77777777" w:rsidR="00EB1A73" w:rsidRPr="00660822" w:rsidRDefault="00EB1A73" w:rsidP="00EB1A73">
      <w:pPr>
        <w:tabs>
          <w:tab w:val="left" w:pos="709"/>
        </w:tabs>
        <w:spacing w:line="240" w:lineRule="auto"/>
        <w:jc w:val="both"/>
        <w:rPr>
          <w:rFonts w:ascii="Verdana" w:hAnsi="Verdana" w:cs="Arial"/>
          <w:color w:val="000000"/>
          <w:sz w:val="20"/>
          <w:szCs w:val="20"/>
          <w:lang w:val="es-ES_tradnl"/>
        </w:rPr>
      </w:pPr>
      <w:r w:rsidRPr="00660822">
        <w:rPr>
          <w:rFonts w:ascii="Verdana" w:eastAsia="Times New Roman" w:hAnsi="Verdana" w:cs="Arial"/>
          <w:color w:val="000000"/>
          <w:sz w:val="20"/>
          <w:szCs w:val="20"/>
          <w:bdr w:val="none" w:sz="0" w:space="0" w:color="auto" w:frame="1"/>
          <w:shd w:val="clear" w:color="auto" w:fill="FFFFFF"/>
          <w:lang w:eastAsia="es-ES_tradnl"/>
        </w:rPr>
        <w:t xml:space="preserve">Por su parte, es pertinente señalar que aunque las </w:t>
      </w:r>
      <w:r w:rsidRPr="00660822">
        <w:rPr>
          <w:rFonts w:ascii="Verdana" w:eastAsia="Times New Roman" w:hAnsi="Verdana" w:cs="Arial"/>
          <w:i/>
          <w:iCs/>
          <w:color w:val="000000"/>
          <w:sz w:val="20"/>
          <w:szCs w:val="20"/>
          <w:bdr w:val="none" w:sz="0" w:space="0" w:color="auto" w:frame="1"/>
          <w:shd w:val="clear" w:color="auto" w:fill="FFFFFF"/>
          <w:lang w:eastAsia="es-ES_tradnl"/>
        </w:rPr>
        <w:t>entidades de régimen exceptuado</w:t>
      </w:r>
      <w:r w:rsidRPr="00660822">
        <w:rPr>
          <w:rFonts w:ascii="Verdana" w:eastAsia="Times New Roman" w:hAnsi="Verdana" w:cs="Arial"/>
          <w:color w:val="000000"/>
          <w:sz w:val="20"/>
          <w:szCs w:val="20"/>
          <w:bdr w:val="none" w:sz="0" w:space="0" w:color="auto" w:frame="1"/>
          <w:shd w:val="clear" w:color="auto" w:fill="FFFFFF"/>
          <w:lang w:eastAsia="es-ES_tradnl"/>
        </w:rPr>
        <w:t xml:space="preserve"> no están obligadas a aplicar el artículo 60 de la Ley 80 de 1993 ni </w:t>
      </w:r>
      <w:r w:rsidRPr="00660822">
        <w:rPr>
          <w:rFonts w:ascii="Verdana" w:hAnsi="Verdana" w:cs="Arial"/>
          <w:color w:val="000000"/>
          <w:sz w:val="20"/>
          <w:szCs w:val="20"/>
          <w:lang w:val="es-ES_tradnl"/>
        </w:rPr>
        <w:t xml:space="preserve">el artículo 11 de la Ley 1150 de 2007, el término de caducidad del medio de control de controversias contractuales tiene carácter transversal y, por tanto, aplica a todas las entidades al margen de que estén o no sometidas al Estatuto General de Contratación de la Administración Pública. </w:t>
      </w:r>
    </w:p>
    <w:p w14:paraId="40069700" w14:textId="2DF2E53E" w:rsidR="00EB1A73" w:rsidRDefault="00EB1A73" w:rsidP="000155DD">
      <w:pPr>
        <w:spacing w:after="0" w:line="240" w:lineRule="auto"/>
        <w:jc w:val="both"/>
        <w:rPr>
          <w:rFonts w:ascii="Verdana" w:eastAsia="Geomanist Light" w:hAnsi="Verdana" w:cs="Arial"/>
          <w:color w:val="000000" w:themeColor="text1"/>
          <w:sz w:val="20"/>
          <w:szCs w:val="20"/>
          <w:lang w:val="es-ES_tradnl"/>
        </w:rPr>
      </w:pPr>
      <w:r w:rsidRPr="00660822">
        <w:rPr>
          <w:rFonts w:ascii="Verdana" w:hAnsi="Verdana" w:cs="Arial"/>
          <w:color w:val="000000"/>
          <w:sz w:val="20"/>
          <w:szCs w:val="20"/>
          <w:lang w:val="es-ES_tradnl"/>
        </w:rPr>
        <w:t xml:space="preserve">De esta manera, si en un </w:t>
      </w:r>
      <w:r w:rsidRPr="00660822">
        <w:rPr>
          <w:rFonts w:ascii="Verdana" w:hAnsi="Verdana" w:cs="Arial"/>
          <w:i/>
          <w:iCs/>
          <w:color w:val="000000"/>
          <w:sz w:val="20"/>
          <w:szCs w:val="20"/>
          <w:lang w:val="es-ES_tradnl"/>
        </w:rPr>
        <w:t>contrato de régimen exceptuado</w:t>
      </w:r>
      <w:r w:rsidRPr="00660822">
        <w:rPr>
          <w:rFonts w:ascii="Verdana" w:hAnsi="Verdana" w:cs="Arial"/>
          <w:color w:val="000000"/>
          <w:sz w:val="20"/>
          <w:szCs w:val="20"/>
          <w:lang w:val="es-ES_tradnl"/>
        </w:rPr>
        <w:t xml:space="preserve"> se pacta la liquidación de mutuo acuerdo, la caducidad se computará conforme al numeral iii) d</w:t>
      </w:r>
      <w:r w:rsidRPr="00660822">
        <w:rPr>
          <w:rFonts w:ascii="Verdana" w:eastAsia="Times New Roman" w:hAnsi="Verdana" w:cs="Arial"/>
          <w:color w:val="000000"/>
          <w:sz w:val="20"/>
          <w:szCs w:val="20"/>
          <w:bdr w:val="none" w:sz="0" w:space="0" w:color="auto" w:frame="1"/>
          <w:shd w:val="clear" w:color="auto" w:fill="FFFFFF"/>
          <w:lang w:eastAsia="es-ES_tradnl"/>
        </w:rPr>
        <w:t>el literal j) del artículo 164.2 del Código de Procedimiento Administrativo y Contencioso Administrativo. Dado que la oportunidad para demandar corresponde a un aspecto procesal del derecho de acción, es independiente de que el régimen sustantivo de la liquidación derive o no del EGCAP.</w:t>
      </w:r>
      <w:r w:rsidRPr="00660822">
        <w:rPr>
          <w:rFonts w:ascii="Verdana" w:hAnsi="Verdana" w:cs="Arial"/>
          <w:color w:val="000000"/>
          <w:sz w:val="20"/>
          <w:szCs w:val="20"/>
          <w:lang w:val="es-ES_tradnl"/>
        </w:rPr>
        <w:t xml:space="preserve"> Así, </w:t>
      </w:r>
      <w:r w:rsidRPr="00660822">
        <w:rPr>
          <w:rFonts w:ascii="Verdana" w:eastAsia="Times New Roman" w:hAnsi="Verdana" w:cs="Arial"/>
          <w:color w:val="000000"/>
          <w:sz w:val="20"/>
          <w:szCs w:val="20"/>
          <w:bdr w:val="none" w:sz="0" w:space="0" w:color="auto" w:frame="1"/>
          <w:shd w:val="clear" w:color="auto" w:fill="FFFFFF"/>
          <w:lang w:val="es-ES" w:eastAsia="es-ES_tradnl"/>
        </w:rPr>
        <w:t>en caso controversia en relación con la liquidación del contrato deberá dirimirse ante la jurisdicción contenciosa administrativa, salvo los casos establecidos en la Ley.</w:t>
      </w:r>
      <w:r w:rsidRPr="00660822">
        <w:rPr>
          <w:rFonts w:ascii="Verdana" w:hAnsi="Verdana" w:cs="Arial"/>
          <w:color w:val="000000"/>
          <w:sz w:val="20"/>
          <w:szCs w:val="20"/>
          <w:lang w:val="es-ES_tradnl"/>
        </w:rPr>
        <w:t xml:space="preserve">       </w:t>
      </w:r>
      <w:r w:rsidRPr="00660822">
        <w:rPr>
          <w:rFonts w:ascii="Verdana" w:eastAsia="Times New Roman" w:hAnsi="Verdana" w:cs="Arial"/>
          <w:color w:val="000000"/>
          <w:sz w:val="20"/>
          <w:szCs w:val="20"/>
          <w:bdr w:val="none" w:sz="0" w:space="0" w:color="auto" w:frame="1"/>
          <w:shd w:val="clear" w:color="auto" w:fill="FFFFFF"/>
          <w:lang w:eastAsia="es-ES_tradnl"/>
        </w:rPr>
        <w:t xml:space="preserve"> </w:t>
      </w:r>
    </w:p>
    <w:p w14:paraId="7CA3A9B2" w14:textId="77777777" w:rsidR="00EB1A73" w:rsidRPr="00EB1A73" w:rsidRDefault="00EB1A73" w:rsidP="000155DD">
      <w:pPr>
        <w:spacing w:after="0" w:line="240" w:lineRule="auto"/>
        <w:jc w:val="both"/>
        <w:rPr>
          <w:rFonts w:ascii="Verdana" w:eastAsia="Geomanist Light" w:hAnsi="Verdana" w:cs="Arial"/>
          <w:color w:val="000000" w:themeColor="text1"/>
          <w:sz w:val="20"/>
          <w:szCs w:val="20"/>
          <w:lang w:val="es-ES_tradnl"/>
        </w:rPr>
      </w:pPr>
    </w:p>
    <w:p w14:paraId="7650BC1F" w14:textId="77777777" w:rsidR="000853E1" w:rsidRDefault="000853E1" w:rsidP="000155DD">
      <w:pPr>
        <w:spacing w:after="0" w:line="240" w:lineRule="auto"/>
        <w:jc w:val="both"/>
        <w:rPr>
          <w:rFonts w:ascii="Verdana" w:eastAsia="Calibri" w:hAnsi="Verdana" w:cs="Arial"/>
          <w:b/>
          <w:bCs/>
          <w:lang w:val="es-ES" w:eastAsia="es-ES"/>
        </w:rPr>
      </w:pPr>
    </w:p>
    <w:p w14:paraId="4F18D61C" w14:textId="2C86975C" w:rsidR="00D3400E" w:rsidRPr="000F5105" w:rsidRDefault="000853E1" w:rsidP="000155DD">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 xml:space="preserve">LIQUIDACIÓN DEL CONTRATO - </w:t>
      </w:r>
      <w:r w:rsidR="000F5105" w:rsidRPr="000F5105">
        <w:rPr>
          <w:rFonts w:ascii="Verdana" w:eastAsia="Calibri" w:hAnsi="Verdana" w:cs="Arial"/>
          <w:b/>
          <w:bCs/>
          <w:lang w:val="es-ES" w:eastAsia="es-ES"/>
        </w:rPr>
        <w:t>Pérdida de competencia – Proceso sancionatorio</w:t>
      </w:r>
    </w:p>
    <w:p w14:paraId="78B28CAB" w14:textId="77777777" w:rsidR="000155DD" w:rsidRDefault="000155DD" w:rsidP="000155DD">
      <w:pPr>
        <w:spacing w:after="0" w:line="240" w:lineRule="auto"/>
        <w:jc w:val="both"/>
        <w:rPr>
          <w:rFonts w:ascii="Verdana" w:hAnsi="Verdana" w:cs="Arial"/>
          <w:b/>
          <w:lang w:val="es-ES_tradnl" w:eastAsia="es-ES"/>
        </w:rPr>
      </w:pPr>
    </w:p>
    <w:p w14:paraId="2DCB1638" w14:textId="77777777" w:rsidR="000853E1" w:rsidRDefault="000853E1" w:rsidP="000155DD">
      <w:pPr>
        <w:spacing w:after="0" w:line="240" w:lineRule="auto"/>
        <w:jc w:val="both"/>
        <w:rPr>
          <w:rFonts w:ascii="Verdana" w:hAnsi="Verdana" w:cs="Arial"/>
          <w:b/>
          <w:lang w:val="es-ES_tradnl" w:eastAsia="es-ES"/>
        </w:rPr>
      </w:pPr>
    </w:p>
    <w:p w14:paraId="74CB80D1" w14:textId="77777777" w:rsidR="000155DD" w:rsidRPr="005F05A0" w:rsidRDefault="000155DD" w:rsidP="000155DD">
      <w:pPr>
        <w:spacing w:after="120" w:line="276" w:lineRule="auto"/>
        <w:jc w:val="both"/>
        <w:rPr>
          <w:rFonts w:ascii="Verdana" w:hAnsi="Verdana" w:cs="Arial"/>
          <w:sz w:val="20"/>
          <w:szCs w:val="20"/>
          <w:lang w:eastAsia="es-MX"/>
        </w:rPr>
      </w:pPr>
      <w:r w:rsidRPr="005F05A0">
        <w:rPr>
          <w:rFonts w:ascii="Verdana" w:hAnsi="Verdana" w:cs="Arial"/>
          <w:sz w:val="18"/>
          <w:szCs w:val="18"/>
          <w:lang w:val="es-ES" w:eastAsia="es-ES"/>
        </w:rPr>
        <w:t xml:space="preserve">[…] </w:t>
      </w:r>
      <w:r w:rsidRPr="005F05A0">
        <w:rPr>
          <w:rFonts w:ascii="Verdana" w:hAnsi="Verdana" w:cs="Arial"/>
          <w:sz w:val="20"/>
          <w:szCs w:val="20"/>
          <w:lang w:eastAsia="es-MX"/>
        </w:rPr>
        <w:t>la entidad estatal solo pierde competencia para efectuar la liquidación del contrato una vez opera la caducidad del medio de control de controversias contractuales. Es decir, existe un plazo máximo de dos (2) años, contados a partir de los dos (2) meses establecidos en la ley para realizar la liquidación unilateral, dentro del cual la entidad puede liquidar el contrato de manera bilateral o unilateral. La normativa vigente no contempla la pérdida de competencia para efectuar la liquidación en el evento en que se encuentre pendiente de decisión un proceso sancionatorio contra el contratista. En tal caso, la entidad puede proceder con la liquidación del contrato, sin que el trámite sancionatorio constituya un impedimento legal para ello.</w:t>
      </w:r>
    </w:p>
    <w:p w14:paraId="293E12CD" w14:textId="0FAD992B" w:rsidR="000155DD" w:rsidRPr="000155DD" w:rsidRDefault="00B065CD" w:rsidP="000155DD">
      <w:r>
        <w:br w:type="page"/>
      </w:r>
      <w:r w:rsidR="000155DD" w:rsidRPr="30821638">
        <w:rPr>
          <w:rFonts w:ascii="Verdana" w:eastAsia="Verdana" w:hAnsi="Verdana" w:cs="Verdana"/>
        </w:rPr>
        <w:t xml:space="preserve">Bogotá D.C., </w:t>
      </w:r>
      <w:r w:rsidR="008907EB">
        <w:rPr>
          <w:rFonts w:ascii="Verdana" w:eastAsia="Verdana" w:hAnsi="Verdana" w:cs="Verdana"/>
        </w:rPr>
        <w:t>20 agosto 2026</w:t>
      </w:r>
    </w:p>
    <w:p w14:paraId="02A2230C" w14:textId="4F6BAD95" w:rsidR="00E87F39" w:rsidRPr="00B065CD" w:rsidRDefault="008907EB" w:rsidP="30821638">
      <w:pPr>
        <w:spacing w:after="0"/>
      </w:pPr>
      <w:r w:rsidRPr="008907EB">
        <w:rPr>
          <w:rFonts w:ascii="Verdana" w:eastAsia="Verdana" w:hAnsi="Verdana" w:cs="Verdana"/>
          <w:noProof/>
        </w:rPr>
        <w:drawing>
          <wp:anchor distT="0" distB="0" distL="114300" distR="114300" simplePos="0" relativeHeight="251659264" behindDoc="1" locked="0" layoutInCell="1" allowOverlap="1" wp14:anchorId="425F3070" wp14:editId="38C42DF2">
            <wp:simplePos x="0" y="0"/>
            <wp:positionH relativeFrom="column">
              <wp:posOffset>3267813</wp:posOffset>
            </wp:positionH>
            <wp:positionV relativeFrom="paragraph">
              <wp:posOffset>6441</wp:posOffset>
            </wp:positionV>
            <wp:extent cx="2402205" cy="820420"/>
            <wp:effectExtent l="0" t="0" r="0" b="0"/>
            <wp:wrapTight wrapText="bothSides">
              <wp:wrapPolygon edited="0">
                <wp:start x="0" y="0"/>
                <wp:lineTo x="0" y="21065"/>
                <wp:lineTo x="21412" y="21065"/>
                <wp:lineTo x="21412" y="0"/>
                <wp:lineTo x="0" y="0"/>
              </wp:wrapPolygon>
            </wp:wrapTight>
            <wp:docPr id="2205548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2205" cy="820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7F39">
        <w:rPr>
          <w:rFonts w:ascii="Verdana" w:hAnsi="Verdana"/>
        </w:rPr>
        <w:t>Señor</w:t>
      </w:r>
      <w:r w:rsidR="001C1214">
        <w:rPr>
          <w:rFonts w:ascii="Verdana" w:hAnsi="Verdana"/>
        </w:rPr>
        <w:t>a</w:t>
      </w:r>
    </w:p>
    <w:p w14:paraId="05975B8B" w14:textId="178CED24" w:rsidR="006E7285" w:rsidRPr="00752234" w:rsidRDefault="006E7285" w:rsidP="30821638">
      <w:pPr>
        <w:spacing w:after="0"/>
        <w:rPr>
          <w:rFonts w:ascii="Verdana" w:hAnsi="Verdana"/>
          <w:b/>
          <w:bCs/>
        </w:rPr>
      </w:pPr>
      <w:r w:rsidRPr="00752234">
        <w:rPr>
          <w:rFonts w:ascii="Verdana" w:hAnsi="Verdana"/>
          <w:b/>
          <w:bCs/>
        </w:rPr>
        <w:t>Darcy Daniela Martínez Rodríguez</w:t>
      </w:r>
    </w:p>
    <w:p w14:paraId="7E81A81F" w14:textId="71292445" w:rsidR="006E7285" w:rsidRDefault="00752234" w:rsidP="30821638">
      <w:pPr>
        <w:spacing w:after="0"/>
        <w:rPr>
          <w:rFonts w:ascii="Verdana" w:hAnsi="Verdana"/>
        </w:rPr>
      </w:pPr>
      <w:hyperlink r:id="rId12" w:history="1">
        <w:r w:rsidRPr="00AD6BA9">
          <w:rPr>
            <w:rStyle w:val="Hipervnculo"/>
            <w:rFonts w:ascii="Verdana" w:hAnsi="Verdana"/>
          </w:rPr>
          <w:t>Darcymr.1129@gmail.com</w:t>
        </w:r>
      </w:hyperlink>
    </w:p>
    <w:p w14:paraId="7E58F2B2" w14:textId="0BEAE638" w:rsidR="00752234" w:rsidRDefault="00752234" w:rsidP="30821638">
      <w:pPr>
        <w:spacing w:after="0"/>
        <w:rPr>
          <w:rFonts w:ascii="Verdana" w:hAnsi="Verdana"/>
        </w:rPr>
      </w:pPr>
      <w:r>
        <w:rPr>
          <w:rFonts w:ascii="Verdana" w:hAnsi="Verdana"/>
        </w:rPr>
        <w:t xml:space="preserve">Tunja, Colombia </w:t>
      </w:r>
    </w:p>
    <w:p w14:paraId="0C247B86" w14:textId="77777777" w:rsidR="001424B4" w:rsidRDefault="001424B4" w:rsidP="30821638">
      <w:pPr>
        <w:spacing w:after="0"/>
        <w:rPr>
          <w:rFonts w:ascii="Verdana" w:hAnsi="Verdana"/>
        </w:rPr>
      </w:pPr>
    </w:p>
    <w:p w14:paraId="1B69FB19" w14:textId="77777777" w:rsidR="008907EB" w:rsidRDefault="008907EB" w:rsidP="30821638">
      <w:pPr>
        <w:spacing w:after="0"/>
        <w:rPr>
          <w:rFonts w:ascii="Verdana" w:hAnsi="Verdana"/>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D7C81" w:rsidRPr="00F71A6A" w14:paraId="75322CB5" w14:textId="77777777" w:rsidTr="00C5397F">
        <w:trPr>
          <w:trHeight w:val="431"/>
        </w:trPr>
        <w:tc>
          <w:tcPr>
            <w:tcW w:w="2689" w:type="dxa"/>
          </w:tcPr>
          <w:p w14:paraId="16B250F4" w14:textId="77777777" w:rsidR="009D7C81" w:rsidRPr="00F71A6A" w:rsidRDefault="009D7C81" w:rsidP="00C5397F">
            <w:pPr>
              <w:jc w:val="both"/>
              <w:rPr>
                <w:rFonts w:ascii="Verdana" w:eastAsia="Calibri" w:hAnsi="Verdana" w:cs="Arial"/>
                <w:b/>
                <w:color w:val="000000"/>
                <w:lang w:val="es-ES_tradnl" w:eastAsia="es-ES_tradnl"/>
              </w:rPr>
            </w:pPr>
          </w:p>
        </w:tc>
        <w:tc>
          <w:tcPr>
            <w:tcW w:w="6100" w:type="dxa"/>
          </w:tcPr>
          <w:p w14:paraId="51D861F1" w14:textId="6F50BA9A" w:rsidR="009D7C81" w:rsidRPr="00E222FB" w:rsidRDefault="009D7C81" w:rsidP="00C5397F">
            <w:pPr>
              <w:tabs>
                <w:tab w:val="left" w:pos="1315"/>
              </w:tabs>
              <w:spacing w:line="276" w:lineRule="auto"/>
              <w:jc w:val="both"/>
              <w:rPr>
                <w:rFonts w:ascii="Verdana" w:eastAsia="Calibri" w:hAnsi="Verdana" w:cs="Arial"/>
                <w:b/>
                <w:bCs/>
                <w:lang w:eastAsia="es-ES"/>
              </w:rPr>
            </w:pPr>
            <w:r w:rsidRPr="00E222FB">
              <w:rPr>
                <w:rFonts w:ascii="Verdana" w:eastAsia="Calibri" w:hAnsi="Verdana" w:cs="Arial"/>
                <w:b/>
                <w:bCs/>
                <w:lang w:eastAsia="es-ES"/>
              </w:rPr>
              <w:t>Concepto C-</w:t>
            </w:r>
            <w:r w:rsidR="00D97D1F">
              <w:rPr>
                <w:rFonts w:ascii="Verdana" w:eastAsia="Calibri" w:hAnsi="Verdana" w:cs="Arial"/>
                <w:b/>
                <w:bCs/>
                <w:lang w:eastAsia="es-ES"/>
              </w:rPr>
              <w:t>1081</w:t>
            </w:r>
            <w:r w:rsidRPr="00E222FB">
              <w:rPr>
                <w:rFonts w:ascii="Verdana" w:eastAsia="Calibri" w:hAnsi="Verdana" w:cs="Arial"/>
                <w:b/>
                <w:bCs/>
                <w:lang w:eastAsia="es-ES"/>
              </w:rPr>
              <w:t xml:space="preserve"> de 202</w:t>
            </w:r>
            <w:r w:rsidR="00D97D1F">
              <w:rPr>
                <w:rFonts w:ascii="Verdana" w:eastAsia="Calibri" w:hAnsi="Verdana" w:cs="Arial"/>
                <w:b/>
                <w:bCs/>
                <w:lang w:eastAsia="es-ES"/>
              </w:rPr>
              <w:t>6</w:t>
            </w:r>
          </w:p>
        </w:tc>
      </w:tr>
      <w:tr w:rsidR="009D7C81" w:rsidRPr="00F71A6A" w14:paraId="16B210E7" w14:textId="77777777" w:rsidTr="00C5397F">
        <w:trPr>
          <w:trHeight w:val="884"/>
        </w:trPr>
        <w:tc>
          <w:tcPr>
            <w:tcW w:w="2689" w:type="dxa"/>
          </w:tcPr>
          <w:p w14:paraId="20EA0F4C" w14:textId="77777777" w:rsidR="009D7C81" w:rsidRPr="00F71A6A" w:rsidRDefault="009D7C81" w:rsidP="00C5397F">
            <w:pPr>
              <w:jc w:val="both"/>
              <w:rPr>
                <w:rFonts w:ascii="Verdana" w:eastAsia="Calibri" w:hAnsi="Verdana" w:cs="Arial"/>
                <w:color w:val="000000"/>
                <w:lang w:val="es-ES_tradnl" w:eastAsia="es-ES_tradnl"/>
              </w:rPr>
            </w:pPr>
            <w:r w:rsidRPr="00F71A6A">
              <w:rPr>
                <w:rFonts w:ascii="Verdana" w:eastAsia="Calibri" w:hAnsi="Verdana" w:cs="Arial"/>
                <w:b/>
                <w:color w:val="000000"/>
                <w:lang w:val="es-ES_tradnl" w:eastAsia="es-ES_tradnl"/>
              </w:rPr>
              <w:t>Temas:</w:t>
            </w:r>
            <w:r w:rsidRPr="00F71A6A">
              <w:rPr>
                <w:rFonts w:ascii="Verdana" w:eastAsia="Calibri" w:hAnsi="Verdana" w:cs="Arial"/>
                <w:color w:val="000000"/>
                <w:lang w:val="es-ES_tradnl" w:eastAsia="es-ES_tradnl"/>
              </w:rPr>
              <w:t xml:space="preserve">                   </w:t>
            </w:r>
          </w:p>
        </w:tc>
        <w:tc>
          <w:tcPr>
            <w:tcW w:w="6100" w:type="dxa"/>
          </w:tcPr>
          <w:p w14:paraId="5C9D3974" w14:textId="4ACA7452" w:rsidR="009D7C81" w:rsidRPr="005122D5" w:rsidRDefault="001624A9" w:rsidP="00A473BD">
            <w:pPr>
              <w:spacing w:line="276" w:lineRule="auto"/>
              <w:jc w:val="both"/>
              <w:rPr>
                <w:rFonts w:ascii="Verdana" w:eastAsia="Calibri" w:hAnsi="Verdana" w:cs="Arial"/>
                <w:lang w:val="es-ES" w:eastAsia="es-ES"/>
              </w:rPr>
            </w:pPr>
            <w:r>
              <w:rPr>
                <w:rFonts w:ascii="Verdana" w:eastAsia="Calibri" w:hAnsi="Verdana" w:cs="Arial"/>
                <w:lang w:val="es-ES_tradnl" w:eastAsia="es-ES"/>
              </w:rPr>
              <w:t xml:space="preserve">EGCAP – Ámbito de aplicación – Entidades estatales / </w:t>
            </w:r>
            <w:r w:rsidR="0085404D">
              <w:rPr>
                <w:rFonts w:ascii="Verdana" w:eastAsia="Calibri" w:hAnsi="Verdana" w:cs="Arial"/>
                <w:lang w:val="es-ES_tradnl" w:eastAsia="es-ES"/>
              </w:rPr>
              <w:t xml:space="preserve">ENTIDADES EXCEPTÚADAS – Aplicación de normas de derecho público </w:t>
            </w:r>
            <w:r w:rsidR="009B6E52">
              <w:rPr>
                <w:rFonts w:ascii="Verdana" w:eastAsia="Calibri" w:hAnsi="Verdana" w:cs="Arial"/>
                <w:lang w:val="es-ES" w:eastAsia="es-ES"/>
              </w:rPr>
              <w:t xml:space="preserve">/ LIQUIDACIÓN DEL CONTRATO – </w:t>
            </w:r>
            <w:r w:rsidR="00111AC6">
              <w:rPr>
                <w:rFonts w:ascii="Verdana" w:eastAsia="Calibri" w:hAnsi="Verdana" w:cs="Arial"/>
                <w:lang w:val="es-ES" w:eastAsia="es-ES"/>
              </w:rPr>
              <w:t xml:space="preserve">Definición </w:t>
            </w:r>
            <w:r w:rsidR="00605137">
              <w:rPr>
                <w:rFonts w:ascii="Verdana" w:eastAsia="Calibri" w:hAnsi="Verdana" w:cs="Arial"/>
                <w:lang w:val="es-ES" w:eastAsia="es-ES"/>
              </w:rPr>
              <w:t>– Objetivo /</w:t>
            </w:r>
            <w:r w:rsidR="008216ED">
              <w:rPr>
                <w:rFonts w:ascii="Verdana" w:eastAsia="Calibri" w:hAnsi="Verdana" w:cs="Arial"/>
                <w:lang w:val="es-ES" w:eastAsia="es-ES"/>
              </w:rPr>
              <w:t xml:space="preserve"> LIQUIDACIÓN BILATERAL </w:t>
            </w:r>
            <w:r w:rsidR="00243BB6">
              <w:rPr>
                <w:rFonts w:ascii="Verdana" w:eastAsia="Calibri" w:hAnsi="Verdana" w:cs="Arial"/>
                <w:lang w:val="es-ES" w:eastAsia="es-ES"/>
              </w:rPr>
              <w:t xml:space="preserve">– Naturaleza / ENTIDADES DE RÉGIMEN ESPECIAL </w:t>
            </w:r>
            <w:r w:rsidR="001A0F8B">
              <w:rPr>
                <w:rFonts w:ascii="Verdana" w:eastAsia="Calibri" w:hAnsi="Verdana" w:cs="Arial"/>
                <w:lang w:val="es-ES" w:eastAsia="es-ES"/>
              </w:rPr>
              <w:t xml:space="preserve">– Liquidación – Liquidación </w:t>
            </w:r>
            <w:r w:rsidR="00237D87">
              <w:rPr>
                <w:rFonts w:ascii="Verdana" w:eastAsia="Calibri" w:hAnsi="Verdana" w:cs="Arial"/>
                <w:lang w:val="es-ES" w:eastAsia="es-ES"/>
              </w:rPr>
              <w:t xml:space="preserve">bilateral – Unilateral – Judicial </w:t>
            </w:r>
            <w:r w:rsidR="00EB1A73">
              <w:rPr>
                <w:rFonts w:ascii="Verdana" w:eastAsia="Calibri" w:hAnsi="Verdana" w:cs="Arial"/>
                <w:lang w:val="es-ES" w:eastAsia="es-ES"/>
              </w:rPr>
              <w:t xml:space="preserve">/ </w:t>
            </w:r>
            <w:r w:rsidR="00643796">
              <w:rPr>
                <w:rFonts w:ascii="Verdana" w:eastAsia="Calibri" w:hAnsi="Verdana" w:cs="Arial"/>
                <w:lang w:val="es-ES" w:eastAsia="es-ES"/>
              </w:rPr>
              <w:t xml:space="preserve">LIQUIDACIÓN DEL CONTRATO - </w:t>
            </w:r>
            <w:r w:rsidR="009B6E52">
              <w:rPr>
                <w:rFonts w:ascii="Verdana" w:eastAsia="Calibri" w:hAnsi="Verdana" w:cs="Arial"/>
                <w:lang w:val="es-ES" w:eastAsia="es-ES"/>
              </w:rPr>
              <w:t>Pérdida de competencia – Proceso sancionatorio</w:t>
            </w:r>
          </w:p>
        </w:tc>
      </w:tr>
      <w:tr w:rsidR="009D7C81" w:rsidRPr="00F71A6A" w14:paraId="6C156BCE" w14:textId="77777777" w:rsidTr="00C5397F">
        <w:tc>
          <w:tcPr>
            <w:tcW w:w="2689" w:type="dxa"/>
          </w:tcPr>
          <w:p w14:paraId="483F27C3" w14:textId="77777777" w:rsidR="009D7C81" w:rsidRPr="00F71A6A" w:rsidRDefault="009D7C81" w:rsidP="00C5397F">
            <w:pPr>
              <w:jc w:val="both"/>
              <w:rPr>
                <w:rFonts w:ascii="Verdana" w:eastAsia="Calibri" w:hAnsi="Verdana" w:cs="Arial"/>
                <w:b/>
                <w:lang w:val="es-ES_tradnl" w:eastAsia="es-ES_tradnl"/>
              </w:rPr>
            </w:pPr>
            <w:r w:rsidRPr="00F71A6A">
              <w:rPr>
                <w:rFonts w:ascii="Verdana" w:eastAsia="Calibri" w:hAnsi="Verdana" w:cs="Arial"/>
                <w:b/>
                <w:lang w:val="es-ES_tradnl" w:eastAsia="es-ES_tradnl"/>
              </w:rPr>
              <w:t>Radicación:</w:t>
            </w:r>
            <w:r w:rsidRPr="00F71A6A">
              <w:rPr>
                <w:rFonts w:ascii="Verdana" w:eastAsia="Calibri" w:hAnsi="Verdana" w:cs="Arial"/>
                <w:lang w:val="es-ES_tradnl" w:eastAsia="es-ES_tradnl"/>
              </w:rPr>
              <w:t xml:space="preserve">               </w:t>
            </w:r>
          </w:p>
        </w:tc>
        <w:tc>
          <w:tcPr>
            <w:tcW w:w="6100" w:type="dxa"/>
          </w:tcPr>
          <w:p w14:paraId="6442F38F" w14:textId="374EE423" w:rsidR="00D97D1F" w:rsidRPr="00D97D1F" w:rsidRDefault="009D7C81" w:rsidP="00D97D1F">
            <w:pPr>
              <w:jc w:val="both"/>
              <w:rPr>
                <w:rFonts w:ascii="Verdana" w:eastAsia="Calibri" w:hAnsi="Verdana" w:cs="Arial"/>
                <w:lang w:val="es-ES_tradnl" w:eastAsia="es-ES_tradnl"/>
              </w:rPr>
            </w:pPr>
            <w:r w:rsidRPr="00581526">
              <w:rPr>
                <w:rFonts w:ascii="Verdana" w:eastAsia="Calibri" w:hAnsi="Verdana" w:cs="Arial"/>
                <w:lang w:val="es-ES_tradnl" w:eastAsia="es-ES_tradnl"/>
              </w:rPr>
              <w:t xml:space="preserve">Respuesta a consulta con radicado No. </w:t>
            </w:r>
            <w:r w:rsidR="00D97D1F">
              <w:rPr>
                <w:rFonts w:ascii="Verdana" w:hAnsi="Verdana" w:cs="Calibri"/>
              </w:rPr>
              <w:t>1_2026_07_07_008984</w:t>
            </w:r>
          </w:p>
          <w:p w14:paraId="2BC97EE2" w14:textId="182EDA01" w:rsidR="009D7C81" w:rsidRPr="00D97D1F" w:rsidRDefault="009D7C81" w:rsidP="00C5397F">
            <w:pPr>
              <w:jc w:val="both"/>
              <w:rPr>
                <w:rFonts w:ascii="Verdana" w:eastAsia="Calibri" w:hAnsi="Verdana" w:cs="Arial"/>
                <w:lang w:val="es-ES_tradnl" w:eastAsia="es-ES_tradnl"/>
              </w:rPr>
            </w:pPr>
          </w:p>
        </w:tc>
      </w:tr>
    </w:tbl>
    <w:p w14:paraId="0CD5B786" w14:textId="77777777" w:rsidR="009D7C81" w:rsidRPr="00F71A6A" w:rsidRDefault="009D7C81" w:rsidP="009D7C81">
      <w:pPr>
        <w:spacing w:after="0" w:line="276" w:lineRule="auto"/>
        <w:jc w:val="both"/>
        <w:rPr>
          <w:rFonts w:ascii="Verdana" w:eastAsia="Calibri" w:hAnsi="Verdana" w:cs="Arial"/>
          <w:lang w:val="es-ES_tradnl" w:eastAsia="es-ES_tradnl"/>
        </w:rPr>
      </w:pPr>
    </w:p>
    <w:p w14:paraId="7DEE428D" w14:textId="2C3D0A94" w:rsidR="009D7C81" w:rsidRPr="00F71A6A" w:rsidRDefault="009D7C81" w:rsidP="009D7C81">
      <w:pPr>
        <w:spacing w:after="0" w:line="276" w:lineRule="auto"/>
        <w:jc w:val="both"/>
        <w:rPr>
          <w:rFonts w:ascii="Verdana" w:eastAsia="Calibri" w:hAnsi="Verdana" w:cs="Arial"/>
          <w:lang w:val="es-ES" w:eastAsia="es-ES"/>
        </w:rPr>
      </w:pPr>
      <w:r w:rsidRPr="00F71A6A">
        <w:rPr>
          <w:rFonts w:ascii="Verdana" w:eastAsia="Calibri" w:hAnsi="Verdana" w:cs="Arial"/>
          <w:lang w:val="es-ES" w:eastAsia="es-ES"/>
        </w:rPr>
        <w:t>Estimad</w:t>
      </w:r>
      <w:r>
        <w:rPr>
          <w:rFonts w:ascii="Verdana" w:eastAsia="Calibri" w:hAnsi="Verdana" w:cs="Arial"/>
          <w:lang w:val="es-ES" w:eastAsia="es-ES"/>
        </w:rPr>
        <w:t xml:space="preserve">a señora </w:t>
      </w:r>
      <w:r w:rsidR="00D97D1F">
        <w:rPr>
          <w:rFonts w:ascii="Verdana" w:eastAsia="Calibri" w:hAnsi="Verdana" w:cs="Arial"/>
          <w:lang w:val="es-ES" w:eastAsia="es-ES"/>
        </w:rPr>
        <w:t>Martínez Rodríguez</w:t>
      </w:r>
      <w:r>
        <w:rPr>
          <w:rFonts w:ascii="Verdana" w:eastAsia="Calibri" w:hAnsi="Verdana" w:cs="Arial"/>
          <w:lang w:val="es-ES" w:eastAsia="es-ES"/>
        </w:rPr>
        <w:t>:</w:t>
      </w:r>
      <w:r w:rsidRPr="00F71A6A">
        <w:rPr>
          <w:rFonts w:ascii="Verdana" w:eastAsia="Calibri" w:hAnsi="Verdana" w:cs="Arial"/>
          <w:lang w:val="es-ES" w:eastAsia="es-ES"/>
        </w:rPr>
        <w:t xml:space="preserve"> </w:t>
      </w:r>
    </w:p>
    <w:p w14:paraId="387C283D" w14:textId="77777777" w:rsidR="009D7C81" w:rsidRPr="00F71A6A" w:rsidRDefault="009D7C81" w:rsidP="009D7C81">
      <w:pPr>
        <w:tabs>
          <w:tab w:val="left" w:pos="3768"/>
        </w:tabs>
        <w:spacing w:after="0" w:line="276" w:lineRule="auto"/>
        <w:jc w:val="both"/>
        <w:rPr>
          <w:rFonts w:ascii="Verdana" w:eastAsia="Calibri" w:hAnsi="Verdana" w:cs="Arial"/>
          <w:lang w:val="es-ES" w:eastAsia="es-ES"/>
        </w:rPr>
      </w:pPr>
      <w:r w:rsidRPr="00F71A6A">
        <w:rPr>
          <w:rFonts w:ascii="Verdana" w:eastAsia="Calibri" w:hAnsi="Verdana" w:cs="Arial"/>
          <w:lang w:val="es-ES" w:eastAsia="es-ES"/>
        </w:rPr>
        <w:tab/>
      </w:r>
    </w:p>
    <w:p w14:paraId="0E20804F" w14:textId="01F51B3B" w:rsidR="009D7C81" w:rsidRPr="00F71A6A" w:rsidRDefault="009D7C81" w:rsidP="009D7C81">
      <w:pPr>
        <w:spacing w:after="0" w:line="276" w:lineRule="auto"/>
        <w:jc w:val="both"/>
        <w:rPr>
          <w:rFonts w:ascii="Verdana" w:eastAsia="Calibri" w:hAnsi="Verdana" w:cs="Arial"/>
          <w:lang w:val="es-ES" w:eastAsia="es-ES"/>
        </w:rPr>
      </w:pPr>
      <w:r w:rsidRPr="00F71A6A">
        <w:rPr>
          <w:rFonts w:ascii="Verdana" w:eastAsia="Calibri" w:hAnsi="Verdana" w:cs="Arial"/>
          <w:color w:val="000000" w:themeColor="text1"/>
          <w:lang w:val="es-ES" w:eastAsia="es-ES"/>
        </w:rPr>
        <w:t>En ejercicio de la competencia otorgada por los artículos 3, numeral 5º, y 11, numeral 8º, del Decreto Ley 4170 de 2011,</w:t>
      </w:r>
      <w:r w:rsidRPr="00F71A6A">
        <w:rPr>
          <w:rFonts w:ascii="Verdana" w:eastAsia="Arial MT" w:hAnsi="Verdana" w:cs="Arial MT"/>
          <w:lang w:val="es-ES" w:eastAsia="es-ES"/>
        </w:rPr>
        <w:t xml:space="preserve"> </w:t>
      </w:r>
      <w:r w:rsidRPr="00F71A6A">
        <w:rPr>
          <w:rFonts w:ascii="Verdana" w:hAnsi="Verdana" w:cs="Arial"/>
        </w:rPr>
        <w:t xml:space="preserve">así como lo establecido en el artículo 4 de la Resolución 1707 de 2018 expedida por esta Entidad, </w:t>
      </w:r>
      <w:r w:rsidRPr="00F71A6A">
        <w:rPr>
          <w:rFonts w:ascii="Verdana" w:eastAsia="Calibri" w:hAnsi="Verdana" w:cs="Arial"/>
          <w:lang w:val="es-ES" w:eastAsia="es-ES"/>
        </w:rPr>
        <w:t xml:space="preserve">responde su solicitud </w:t>
      </w:r>
      <w:r w:rsidR="00B725C9">
        <w:rPr>
          <w:rFonts w:ascii="Verdana" w:eastAsia="Calibri" w:hAnsi="Verdana" w:cs="Arial"/>
          <w:lang w:val="es-ES" w:eastAsia="es-ES"/>
        </w:rPr>
        <w:t xml:space="preserve">bajo radicado No. </w:t>
      </w:r>
      <w:r w:rsidR="00B725C9">
        <w:rPr>
          <w:rFonts w:ascii="Verdana" w:hAnsi="Verdana" w:cs="Calibri"/>
        </w:rPr>
        <w:t>1_2026_07_07_008984 del 7 de julio de 2026,</w:t>
      </w:r>
      <w:r w:rsidR="00B725C9">
        <w:rPr>
          <w:rFonts w:ascii="Verdana" w:eastAsia="Calibri" w:hAnsi="Verdana" w:cs="Arial"/>
          <w:lang w:val="es-ES" w:eastAsia="es-ES"/>
        </w:rPr>
        <w:t xml:space="preserve"> </w:t>
      </w:r>
      <w:r w:rsidRPr="00F71A6A">
        <w:rPr>
          <w:rFonts w:ascii="Verdana" w:eastAsia="Calibri" w:hAnsi="Verdana" w:cs="Arial"/>
          <w:lang w:val="es-ES" w:eastAsia="es-ES"/>
        </w:rPr>
        <w:t>en la cual manifiesta lo siguiente:</w:t>
      </w:r>
    </w:p>
    <w:p w14:paraId="0FE70981" w14:textId="77777777" w:rsidR="009D7C81" w:rsidRPr="000643DA" w:rsidRDefault="009D7C81" w:rsidP="009D7C81">
      <w:pPr>
        <w:pStyle w:val="Prrafodelista"/>
        <w:tabs>
          <w:tab w:val="left" w:pos="142"/>
          <w:tab w:val="left" w:pos="284"/>
        </w:tabs>
        <w:spacing w:after="0" w:line="276" w:lineRule="auto"/>
        <w:ind w:left="142"/>
        <w:contextualSpacing w:val="0"/>
        <w:jc w:val="both"/>
        <w:rPr>
          <w:rFonts w:ascii="Verdana" w:eastAsia="Century Gothic" w:hAnsi="Verdana" w:cs="Century Gothic"/>
          <w:b/>
          <w:bCs/>
          <w:i/>
          <w:iCs/>
          <w:sz w:val="20"/>
          <w:szCs w:val="20"/>
        </w:rPr>
      </w:pPr>
    </w:p>
    <w:p w14:paraId="35AB68A3" w14:textId="45038D59" w:rsidR="009D7C81" w:rsidRPr="001E1AE6" w:rsidRDefault="009D7C81" w:rsidP="00B66105">
      <w:pPr>
        <w:spacing w:after="0" w:line="240" w:lineRule="auto"/>
        <w:ind w:left="709" w:right="902"/>
        <w:jc w:val="both"/>
        <w:rPr>
          <w:rFonts w:ascii="Verdana" w:eastAsia="Century Gothic" w:hAnsi="Verdana" w:cs="Century Gothic"/>
          <w:sz w:val="21"/>
          <w:szCs w:val="21"/>
        </w:rPr>
      </w:pPr>
      <w:bookmarkStart w:id="1" w:name="_Hlk192699624"/>
      <w:r w:rsidRPr="001E1AE6">
        <w:rPr>
          <w:rFonts w:ascii="Verdana" w:eastAsia="Century Gothic" w:hAnsi="Verdana" w:cs="Century Gothic"/>
          <w:sz w:val="21"/>
          <w:szCs w:val="21"/>
        </w:rPr>
        <w:t>“</w:t>
      </w:r>
      <w:r w:rsidR="00E8403C" w:rsidRPr="001E1AE6">
        <w:rPr>
          <w:rFonts w:ascii="Verdana" w:eastAsia="Century Gothic" w:hAnsi="Verdana" w:cs="Century Gothic"/>
          <w:sz w:val="21"/>
          <w:szCs w:val="21"/>
        </w:rPr>
        <w:t>PRIMERO: LAS ENTIDADES PÚBLICAS QUE CUENTAN CON REGIMEN ESPECIAL DE CONTRATACIÓN Y, NO ESTÁN SOMETIDAS AL ESTATUTO GENEAL DE CONTRATACIÓN</w:t>
      </w:r>
      <w:r w:rsidR="007524BF" w:rsidRPr="001E1AE6">
        <w:rPr>
          <w:rFonts w:ascii="Verdana" w:eastAsia="Century Gothic" w:hAnsi="Verdana" w:cs="Century Gothic"/>
          <w:sz w:val="21"/>
          <w:szCs w:val="21"/>
        </w:rPr>
        <w:t>, ¿PUEDEN DECLARAR LA PERDIDA DE LA COMPETENCIA PARA LIQUIDAR UN CONTRATO?</w:t>
      </w:r>
    </w:p>
    <w:p w14:paraId="59E13FE9" w14:textId="77777777" w:rsidR="007524BF" w:rsidRPr="001E1AE6" w:rsidRDefault="007524BF" w:rsidP="00B66105">
      <w:pPr>
        <w:spacing w:after="0" w:line="240" w:lineRule="auto"/>
        <w:ind w:left="709" w:right="902"/>
        <w:jc w:val="both"/>
        <w:rPr>
          <w:rFonts w:ascii="Verdana" w:eastAsia="Century Gothic" w:hAnsi="Verdana" w:cs="Century Gothic"/>
          <w:sz w:val="21"/>
          <w:szCs w:val="21"/>
        </w:rPr>
      </w:pPr>
    </w:p>
    <w:p w14:paraId="04F70109" w14:textId="1DAB5607" w:rsidR="007524BF" w:rsidRPr="001E1AE6" w:rsidRDefault="007524BF" w:rsidP="00B66105">
      <w:pPr>
        <w:spacing w:after="0" w:line="240" w:lineRule="auto"/>
        <w:ind w:left="709" w:right="902"/>
        <w:jc w:val="both"/>
        <w:rPr>
          <w:rFonts w:ascii="Verdana" w:eastAsia="Century Gothic" w:hAnsi="Verdana" w:cs="Century Gothic"/>
          <w:sz w:val="21"/>
          <w:szCs w:val="21"/>
        </w:rPr>
      </w:pPr>
      <w:r w:rsidRPr="001E1AE6">
        <w:rPr>
          <w:rFonts w:ascii="Verdana" w:eastAsia="Century Gothic" w:hAnsi="Verdana" w:cs="Century Gothic"/>
          <w:sz w:val="21"/>
          <w:szCs w:val="21"/>
        </w:rPr>
        <w:t>SEGUNDO: DE SER AFIRMATIVA</w:t>
      </w:r>
      <w:r w:rsidR="00FD1AEC" w:rsidRPr="001E1AE6">
        <w:rPr>
          <w:rFonts w:ascii="Verdana" w:eastAsia="Century Gothic" w:hAnsi="Verdana" w:cs="Century Gothic"/>
          <w:sz w:val="21"/>
          <w:szCs w:val="21"/>
        </w:rPr>
        <w:t xml:space="preserve"> LA PREGUNTA ANTERIOR ¿</w:t>
      </w:r>
      <w:r w:rsidR="00EE2A59" w:rsidRPr="001E1AE6">
        <w:rPr>
          <w:rFonts w:ascii="Verdana" w:eastAsia="Century Gothic" w:hAnsi="Verdana" w:cs="Century Gothic"/>
          <w:sz w:val="21"/>
          <w:szCs w:val="21"/>
        </w:rPr>
        <w:t>CUÁNDO</w:t>
      </w:r>
      <w:r w:rsidR="00FD1AEC" w:rsidRPr="001E1AE6">
        <w:rPr>
          <w:rFonts w:ascii="Verdana" w:eastAsia="Century Gothic" w:hAnsi="Verdana" w:cs="Century Gothic"/>
          <w:sz w:val="21"/>
          <w:szCs w:val="21"/>
        </w:rPr>
        <w:t xml:space="preserve"> DEBEN DECLARAR LA PÉRDIDA</w:t>
      </w:r>
      <w:r w:rsidR="00EE2A59" w:rsidRPr="001E1AE6">
        <w:rPr>
          <w:rFonts w:ascii="Verdana" w:eastAsia="Century Gothic" w:hAnsi="Verdana" w:cs="Century Gothic"/>
          <w:sz w:val="21"/>
          <w:szCs w:val="21"/>
        </w:rPr>
        <w:t xml:space="preserve"> DE COMPETENCIA PARA LIQUIDAR EL CONTRATO?</w:t>
      </w:r>
    </w:p>
    <w:p w14:paraId="39C21334" w14:textId="77777777" w:rsidR="00EE2A59" w:rsidRPr="001E1AE6" w:rsidRDefault="00EE2A59" w:rsidP="00B66105">
      <w:pPr>
        <w:spacing w:after="0" w:line="240" w:lineRule="auto"/>
        <w:ind w:left="709" w:right="902"/>
        <w:jc w:val="both"/>
        <w:rPr>
          <w:rFonts w:ascii="Verdana" w:eastAsia="Century Gothic" w:hAnsi="Verdana" w:cs="Century Gothic"/>
          <w:sz w:val="21"/>
          <w:szCs w:val="21"/>
        </w:rPr>
      </w:pPr>
    </w:p>
    <w:p w14:paraId="58578750" w14:textId="3F73D599" w:rsidR="00EE2A59" w:rsidRPr="001E1AE6" w:rsidRDefault="00EE2A59" w:rsidP="00B66105">
      <w:pPr>
        <w:spacing w:after="0" w:line="240" w:lineRule="auto"/>
        <w:ind w:left="709" w:right="902"/>
        <w:jc w:val="both"/>
        <w:rPr>
          <w:rFonts w:ascii="Verdana" w:hAnsi="Verdana"/>
          <w:sz w:val="21"/>
          <w:szCs w:val="21"/>
        </w:rPr>
      </w:pPr>
      <w:r w:rsidRPr="001E1AE6">
        <w:rPr>
          <w:rFonts w:ascii="Verdana" w:eastAsia="Century Gothic" w:hAnsi="Verdana" w:cs="Century Gothic"/>
          <w:sz w:val="21"/>
          <w:szCs w:val="21"/>
        </w:rPr>
        <w:t>TERCERO: ¿DEBEN</w:t>
      </w:r>
      <w:r w:rsidR="001E1AE6" w:rsidRPr="001E1AE6">
        <w:rPr>
          <w:rFonts w:ascii="Verdana" w:eastAsia="Century Gothic" w:hAnsi="Verdana" w:cs="Century Gothic"/>
          <w:sz w:val="21"/>
          <w:szCs w:val="21"/>
        </w:rPr>
        <w:t xml:space="preserve"> DECLARAR LA PÉRDIDA DE COMPETENCIA PARA LIQUIDAR EL CONTRATO A TRAVÉS DE ACTO ADMINISTRATIVO O ACTO CONTRACTUAL?” (SIC).</w:t>
      </w:r>
    </w:p>
    <w:bookmarkEnd w:id="1"/>
    <w:p w14:paraId="0BDA10C8" w14:textId="77777777" w:rsidR="009D7C81" w:rsidRPr="00F71A6A" w:rsidRDefault="009D7C81" w:rsidP="009D7C81">
      <w:pPr>
        <w:pStyle w:val="Prrafodelista"/>
        <w:tabs>
          <w:tab w:val="left" w:pos="142"/>
          <w:tab w:val="left" w:pos="284"/>
        </w:tabs>
        <w:spacing w:after="0" w:line="240" w:lineRule="auto"/>
        <w:ind w:left="0"/>
        <w:jc w:val="both"/>
        <w:rPr>
          <w:rFonts w:ascii="Verdana" w:eastAsia="Century Gothic" w:hAnsi="Verdana" w:cs="Century Gothic"/>
          <w:b/>
          <w:bCs/>
        </w:rPr>
      </w:pPr>
    </w:p>
    <w:p w14:paraId="47C27AC8" w14:textId="77777777" w:rsidR="009D7C81" w:rsidRPr="00995CAD" w:rsidRDefault="009D7C81" w:rsidP="009D7C81">
      <w:pPr>
        <w:spacing w:after="120" w:line="276" w:lineRule="auto"/>
        <w:ind w:firstLine="709"/>
        <w:jc w:val="both"/>
        <w:rPr>
          <w:rFonts w:ascii="Verdana" w:eastAsia="Calibri" w:hAnsi="Verdana" w:cs="Arial"/>
          <w:color w:val="000000"/>
          <w:szCs w:val="24"/>
          <w:lang w:val="es-ES_tradnl" w:eastAsia="es-ES_tradnl"/>
        </w:rPr>
      </w:pPr>
      <w:r w:rsidRPr="00995CAD">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995CAD">
        <w:rPr>
          <w:rFonts w:ascii="Verdana" w:eastAsia="Calibri" w:hAnsi="Verdana" w:cs="Arial"/>
          <w:color w:val="000000"/>
          <w:szCs w:val="24"/>
          <w:lang w:val="es-ES_tradnl" w:eastAsia="es-ES_tradnl"/>
        </w:rPr>
        <w:tab/>
      </w:r>
    </w:p>
    <w:p w14:paraId="0AED385B" w14:textId="77777777" w:rsidR="009D7C81" w:rsidRPr="00995CAD" w:rsidRDefault="009D7C81" w:rsidP="009D7C81">
      <w:pPr>
        <w:spacing w:after="0" w:line="276" w:lineRule="auto"/>
        <w:ind w:firstLine="709"/>
        <w:jc w:val="both"/>
        <w:rPr>
          <w:rFonts w:ascii="Verdana" w:eastAsia="Calibri" w:hAnsi="Verdana" w:cs="Arial"/>
          <w:color w:val="000000"/>
          <w:lang w:val="es-ES" w:eastAsia="es-ES"/>
        </w:rPr>
      </w:pPr>
      <w:r w:rsidRPr="00995CAD">
        <w:rPr>
          <w:rFonts w:ascii="Verdana" w:eastAsia="Calibri" w:hAnsi="Verdana" w:cs="Arial"/>
          <w:color w:val="000000"/>
          <w:lang w:val="es-ES" w:eastAsia="es-ES"/>
        </w:rPr>
        <w:t xml:space="preserve">Conforme lo expuesto, en aras de garantizar el derecho fundamental de petición, se resolverá su petición dentro de los límites de la referida competencia consultiva, esto es, haciendo </w:t>
      </w:r>
      <w:r>
        <w:rPr>
          <w:rFonts w:ascii="Verdana" w:eastAsia="Calibri" w:hAnsi="Verdana" w:cs="Arial"/>
          <w:color w:val="000000"/>
          <w:lang w:val="es-ES" w:eastAsia="es-ES"/>
        </w:rPr>
        <w:t>abstracción del caso particular y concreto señalado en su petición, pero señalando</w:t>
      </w:r>
      <w:r w:rsidRPr="00995CAD">
        <w:rPr>
          <w:rFonts w:ascii="Verdana" w:eastAsia="Calibri" w:hAnsi="Verdana" w:cs="Arial"/>
          <w:color w:val="000000"/>
          <w:lang w:val="es-ES" w:eastAsia="es-ES"/>
        </w:rPr>
        <w:t xml:space="preserve"> </w:t>
      </w:r>
      <w:r>
        <w:rPr>
          <w:rFonts w:ascii="Verdana" w:eastAsia="Calibri" w:hAnsi="Verdana" w:cs="Arial"/>
          <w:color w:val="000000"/>
          <w:lang w:val="es-ES" w:eastAsia="es-ES"/>
        </w:rPr>
        <w:t>alg</w:t>
      </w:r>
      <w:r w:rsidRPr="00995CAD">
        <w:rPr>
          <w:rFonts w:ascii="Verdana" w:eastAsia="Calibri" w:hAnsi="Verdana" w:cs="Arial"/>
          <w:color w:val="000000"/>
          <w:lang w:val="es-ES" w:eastAsia="es-ES"/>
        </w:rPr>
        <w:t>unas consideraciones sobre las normas generales relacionadas con el</w:t>
      </w:r>
      <w:r w:rsidRPr="00995CAD">
        <w:rPr>
          <w:rFonts w:ascii="Verdana" w:eastAsia="Calibri" w:hAnsi="Verdana" w:cs="Arial"/>
          <w:color w:val="7030A0"/>
          <w:lang w:val="es-ES" w:eastAsia="es-ES"/>
        </w:rPr>
        <w:t xml:space="preserve"> </w:t>
      </w:r>
      <w:r w:rsidRPr="00995CAD">
        <w:rPr>
          <w:rFonts w:ascii="Verdana" w:eastAsia="Calibri" w:hAnsi="Verdana" w:cs="Arial"/>
          <w:color w:val="000000"/>
          <w:lang w:val="es-ES" w:eastAsia="es-ES"/>
        </w:rPr>
        <w:t>problema</w:t>
      </w:r>
      <w:r w:rsidRPr="00995CAD">
        <w:rPr>
          <w:rFonts w:ascii="Verdana" w:eastAsia="Calibri" w:hAnsi="Verdana" w:cs="Arial"/>
          <w:color w:val="7030A0"/>
          <w:lang w:val="es-ES" w:eastAsia="es-ES"/>
        </w:rPr>
        <w:t xml:space="preserve"> </w:t>
      </w:r>
      <w:r w:rsidRPr="00995CAD">
        <w:rPr>
          <w:rFonts w:ascii="Verdana" w:eastAsia="Calibri" w:hAnsi="Verdana" w:cs="Arial"/>
          <w:color w:val="000000"/>
          <w:lang w:val="es-ES" w:eastAsia="es-ES"/>
        </w:rPr>
        <w:t>jurídico</w:t>
      </w:r>
      <w:r w:rsidRPr="00995CAD">
        <w:rPr>
          <w:rFonts w:ascii="Verdana" w:eastAsia="Calibri" w:hAnsi="Verdana" w:cs="Arial"/>
          <w:color w:val="7030A0"/>
          <w:lang w:val="es-ES" w:eastAsia="es-ES"/>
        </w:rPr>
        <w:t xml:space="preserve"> </w:t>
      </w:r>
      <w:r w:rsidRPr="00995CAD">
        <w:rPr>
          <w:rFonts w:ascii="Verdana" w:eastAsia="Calibri" w:hAnsi="Verdana" w:cs="Arial"/>
          <w:color w:val="000000"/>
          <w:lang w:val="es-ES" w:eastAsia="es-ES"/>
        </w:rPr>
        <w:t xml:space="preserve">de su consulta.  </w:t>
      </w:r>
    </w:p>
    <w:p w14:paraId="4997AB89" w14:textId="77777777" w:rsidR="009D7C81" w:rsidRPr="00F71A6A" w:rsidRDefault="009D7C81" w:rsidP="009D7C81">
      <w:pPr>
        <w:spacing w:after="0" w:line="276" w:lineRule="auto"/>
        <w:jc w:val="both"/>
        <w:rPr>
          <w:rFonts w:ascii="Verdana" w:eastAsia="Calibri" w:hAnsi="Verdana" w:cs="Arial"/>
          <w:color w:val="000000"/>
          <w:lang w:val="es-ES" w:eastAsia="es-ES"/>
        </w:rPr>
      </w:pPr>
    </w:p>
    <w:p w14:paraId="5A9C949D" w14:textId="77777777" w:rsidR="009D7C81" w:rsidRPr="00FA78D7" w:rsidRDefault="009D7C81" w:rsidP="009D7C81">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FA78D7">
        <w:rPr>
          <w:rFonts w:ascii="Verdana" w:eastAsia="Century Gothic" w:hAnsi="Verdana" w:cs="Century Gothic"/>
          <w:b/>
          <w:bCs/>
        </w:rPr>
        <w:t>Problemas planteados:</w:t>
      </w:r>
    </w:p>
    <w:p w14:paraId="43FE2FD0" w14:textId="77777777" w:rsidR="009D7C81" w:rsidRPr="002A589A" w:rsidRDefault="009D7C81" w:rsidP="009D7C81">
      <w:pPr>
        <w:tabs>
          <w:tab w:val="left" w:pos="426"/>
        </w:tabs>
        <w:spacing w:after="0" w:line="276" w:lineRule="auto"/>
        <w:jc w:val="both"/>
        <w:rPr>
          <w:rFonts w:ascii="Verdana" w:eastAsia="Century Gothic" w:hAnsi="Verdana" w:cs="Century Gothic"/>
          <w:highlight w:val="yellow"/>
          <w:lang w:val="es-ES"/>
        </w:rPr>
      </w:pPr>
    </w:p>
    <w:p w14:paraId="1858A22F" w14:textId="6147F85F" w:rsidR="00E41923" w:rsidRDefault="009D7C81" w:rsidP="00576F78">
      <w:pPr>
        <w:spacing w:after="0" w:line="276" w:lineRule="auto"/>
        <w:ind w:firstLine="709"/>
        <w:jc w:val="both"/>
        <w:rPr>
          <w:rFonts w:ascii="Verdana" w:hAnsi="Verdana"/>
        </w:rPr>
      </w:pPr>
      <w:r w:rsidRPr="4D901E5E">
        <w:rPr>
          <w:rFonts w:ascii="Verdana" w:eastAsia="Century Gothic" w:hAnsi="Verdana" w:cs="Century Gothic"/>
        </w:rPr>
        <w:t xml:space="preserve">De acuerdo con el contenido de su solicitud, esta Agencia resolverá los siguientes problemas jurídicos: </w:t>
      </w:r>
      <w:r w:rsidR="00A023E7" w:rsidRPr="4D901E5E">
        <w:rPr>
          <w:rFonts w:ascii="Verdana" w:eastAsia="Century Gothic" w:hAnsi="Verdana" w:cs="Century Gothic"/>
        </w:rPr>
        <w:t xml:space="preserve">i) </w:t>
      </w:r>
      <w:r w:rsidR="000B17DB" w:rsidRPr="4D901E5E">
        <w:rPr>
          <w:rFonts w:ascii="Verdana" w:eastAsia="Century Gothic" w:hAnsi="Verdana" w:cs="Century Gothic"/>
        </w:rPr>
        <w:t xml:space="preserve">¿Cuándo pierde la competencia la </w:t>
      </w:r>
      <w:r w:rsidR="00AA29BC" w:rsidRPr="4D901E5E">
        <w:rPr>
          <w:rFonts w:ascii="Verdana" w:eastAsia="Century Gothic" w:hAnsi="Verdana" w:cs="Century Gothic"/>
        </w:rPr>
        <w:t>entidad estatal para liquidar un contrato estatal?</w:t>
      </w:r>
    </w:p>
    <w:p w14:paraId="27D3188B" w14:textId="7A3D2F9D" w:rsidR="009D7C81" w:rsidRPr="00073C17" w:rsidRDefault="00576F78" w:rsidP="00576F78">
      <w:pPr>
        <w:spacing w:after="0" w:line="276" w:lineRule="auto"/>
        <w:ind w:firstLine="709"/>
        <w:jc w:val="both"/>
        <w:rPr>
          <w:rFonts w:ascii="Verdana" w:hAnsi="Verdana"/>
        </w:rPr>
      </w:pPr>
      <w:r>
        <w:rPr>
          <w:rFonts w:ascii="Verdana" w:hAnsi="Verdana"/>
        </w:rPr>
        <w:t xml:space="preserve"> </w:t>
      </w:r>
    </w:p>
    <w:p w14:paraId="68615C71" w14:textId="77777777" w:rsidR="009D7C81" w:rsidRDefault="009D7C81" w:rsidP="009D7C8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DC1BDA">
        <w:rPr>
          <w:rFonts w:ascii="Verdana" w:eastAsia="Century Gothic" w:hAnsi="Verdana" w:cs="Century Gothic"/>
          <w:b/>
          <w:bCs/>
        </w:rPr>
        <w:t>Respuesta:</w:t>
      </w:r>
    </w:p>
    <w:p w14:paraId="3CC7C5FE" w14:textId="77777777" w:rsidR="00E82861" w:rsidRDefault="00E82861" w:rsidP="00E82861">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3DE27F2D" w14:textId="120CA256" w:rsidR="00E4612B" w:rsidRDefault="003E6E7B" w:rsidP="00BB1DA2">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La liquidación del contrato es una institución regulada en el Estatuto General </w:t>
      </w:r>
      <w:r w:rsidR="0082619A">
        <w:rPr>
          <w:rFonts w:ascii="Verdana" w:eastAsia="Century Gothic" w:hAnsi="Verdana" w:cs="Century Gothic"/>
        </w:rPr>
        <w:t>de Contratación de la Administración Pública</w:t>
      </w:r>
      <w:r w:rsidR="00FE1799">
        <w:rPr>
          <w:rFonts w:ascii="Verdana" w:eastAsia="Century Gothic" w:hAnsi="Verdana" w:cs="Century Gothic"/>
        </w:rPr>
        <w:t xml:space="preserve">, pero no significa que no pueda estipularse por parte de las entidades de régimen especial, pues el principio de la autonomía de la voluntad posibilita que se pacte la liquidación de los contratos. En efecto, </w:t>
      </w:r>
      <w:r w:rsidR="009F1DCD">
        <w:rPr>
          <w:rFonts w:ascii="Verdana" w:eastAsia="Century Gothic" w:hAnsi="Verdana" w:cs="Century Gothic"/>
        </w:rPr>
        <w:t xml:space="preserve">esta Agencia ha señalado que la liquidación </w:t>
      </w:r>
      <w:r w:rsidR="004808E1">
        <w:rPr>
          <w:rFonts w:ascii="Verdana" w:eastAsia="Century Gothic" w:hAnsi="Verdana" w:cs="Century Gothic"/>
        </w:rPr>
        <w:t xml:space="preserve">bilateral se trata de un negocio jurídico, en el que las partes del contrato estatal, en ejercicio de la autonomía de la voluntad, regulan la finalización de su relación y disponen de los intereses que emanan de ella. Dicho acuerdo reviste un carácter </w:t>
      </w:r>
      <w:r w:rsidR="007747C9">
        <w:rPr>
          <w:rFonts w:ascii="Verdana" w:eastAsia="Century Gothic" w:hAnsi="Verdana" w:cs="Century Gothic"/>
        </w:rPr>
        <w:t>negocial, en la medida en que implica manifestaciones rec</w:t>
      </w:r>
      <w:r w:rsidR="007B01DC">
        <w:rPr>
          <w:rFonts w:ascii="Verdana" w:eastAsia="Century Gothic" w:hAnsi="Verdana" w:cs="Century Gothic"/>
        </w:rPr>
        <w:t>í</w:t>
      </w:r>
      <w:r w:rsidR="007747C9">
        <w:rPr>
          <w:rFonts w:ascii="Verdana" w:eastAsia="Century Gothic" w:hAnsi="Verdana" w:cs="Century Gothic"/>
        </w:rPr>
        <w:t xml:space="preserve">procas </w:t>
      </w:r>
      <w:r w:rsidR="007B01DC">
        <w:rPr>
          <w:rFonts w:ascii="Verdana" w:eastAsia="Century Gothic" w:hAnsi="Verdana" w:cs="Century Gothic"/>
        </w:rPr>
        <w:t xml:space="preserve">dirigidas a producir efectos jurídicos </w:t>
      </w:r>
      <w:r w:rsidR="00F41A74">
        <w:rPr>
          <w:rFonts w:ascii="Verdana" w:eastAsia="Century Gothic" w:hAnsi="Verdana" w:cs="Century Gothic"/>
        </w:rPr>
        <w:t>concretos</w:t>
      </w:r>
      <w:r w:rsidR="00BD77CE">
        <w:rPr>
          <w:rFonts w:ascii="Verdana" w:eastAsia="Century Gothic" w:hAnsi="Verdana" w:cs="Century Gothic"/>
        </w:rPr>
        <w:t xml:space="preserve"> frente a las prestaciones mutuas de la relación contractual. </w:t>
      </w:r>
    </w:p>
    <w:p w14:paraId="2A0AE36C" w14:textId="77777777" w:rsidR="00653613" w:rsidRDefault="00BD77CE" w:rsidP="00653613">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En este contexto, la liquidación bilateral de las entidades de régimen especial </w:t>
      </w:r>
      <w:r w:rsidR="00BC0CC6">
        <w:rPr>
          <w:rFonts w:ascii="Verdana" w:eastAsia="Century Gothic" w:hAnsi="Verdana" w:cs="Century Gothic"/>
        </w:rPr>
        <w:t>deberá realizarse dentro del plazo que “acuerden las partes”, el cual, en principio, debe estar recogido dentro</w:t>
      </w:r>
      <w:r w:rsidR="00DB28B7">
        <w:rPr>
          <w:rFonts w:ascii="Verdana" w:eastAsia="Century Gothic" w:hAnsi="Verdana" w:cs="Century Gothic"/>
        </w:rPr>
        <w:t xml:space="preserve"> en el contrato, al ser este el acto jurídico bilateral en el que se consigna originalmente la voluntad de las partes. Por lo tanto, las partes, en desarrollo de la autonomía de la volu</w:t>
      </w:r>
      <w:r w:rsidR="00837972">
        <w:rPr>
          <w:rFonts w:ascii="Verdana" w:eastAsia="Century Gothic" w:hAnsi="Verdana" w:cs="Century Gothic"/>
        </w:rPr>
        <w:t xml:space="preserve">ntad que les asiste, están habilitadas para pactar el término, o en us defecto, acudir al plazo </w:t>
      </w:r>
      <w:r w:rsidR="002811EE">
        <w:rPr>
          <w:rFonts w:ascii="Verdana" w:eastAsia="Century Gothic" w:hAnsi="Verdana" w:cs="Century Gothic"/>
        </w:rPr>
        <w:t xml:space="preserve">que se estableció en el Manual de Contratación de la Entidad. </w:t>
      </w:r>
    </w:p>
    <w:p w14:paraId="5F77D9CA" w14:textId="3584284D" w:rsidR="003977AF" w:rsidRDefault="00653613" w:rsidP="00653613">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Por otra parte, d</w:t>
      </w:r>
      <w:r w:rsidR="00E82861" w:rsidRPr="00E82861">
        <w:rPr>
          <w:rFonts w:ascii="Verdana" w:eastAsia="Century Gothic" w:hAnsi="Verdana" w:cs="Century Gothic"/>
        </w:rPr>
        <w:t>e acuerdo con el artículo 11 de la Ley 1150 de 2007,</w:t>
      </w:r>
      <w:r w:rsidR="00E82861">
        <w:rPr>
          <w:rFonts w:ascii="Verdana" w:eastAsia="Century Gothic" w:hAnsi="Verdana" w:cs="Century Gothic"/>
        </w:rPr>
        <w:t xml:space="preserve"> existen tres (3) tipos de liquidación: </w:t>
      </w:r>
      <w:r w:rsidR="00BE2647">
        <w:rPr>
          <w:rFonts w:ascii="Verdana" w:eastAsia="Century Gothic" w:hAnsi="Verdana" w:cs="Century Gothic"/>
        </w:rPr>
        <w:t>i) bilateral, ii) unilateral y iii) judicial</w:t>
      </w:r>
      <w:r w:rsidR="00AF5C3D">
        <w:rPr>
          <w:rFonts w:ascii="Verdana" w:eastAsia="Century Gothic" w:hAnsi="Verdana" w:cs="Century Gothic"/>
        </w:rPr>
        <w:t>. En términos generales</w:t>
      </w:r>
      <w:r w:rsidR="003D1D77">
        <w:rPr>
          <w:rFonts w:ascii="Verdana" w:eastAsia="Century Gothic" w:hAnsi="Verdana" w:cs="Century Gothic"/>
        </w:rPr>
        <w:t xml:space="preserve">, la primera, que puede ser total o parcial, debe hacerse en el termino que estipulen las partes o, en su defecto, dentro del término supletivo de cuatro (4) meses. La segunda </w:t>
      </w:r>
      <w:r w:rsidR="001664A8">
        <w:rPr>
          <w:rFonts w:ascii="Verdana" w:eastAsia="Century Gothic" w:hAnsi="Verdana" w:cs="Century Gothic"/>
        </w:rPr>
        <w:t>se debe practi</w:t>
      </w:r>
      <w:r w:rsidR="00DC6D84">
        <w:rPr>
          <w:rFonts w:ascii="Verdana" w:eastAsia="Century Gothic" w:hAnsi="Verdana" w:cs="Century Gothic"/>
        </w:rPr>
        <w:t xml:space="preserve">car dentro de los dos (2) meses siguientes al vencimiento del termino que acuerden las partes, o ante el </w:t>
      </w:r>
      <w:r w:rsidR="00CD20A5">
        <w:rPr>
          <w:rFonts w:ascii="Verdana" w:eastAsia="Century Gothic" w:hAnsi="Verdana" w:cs="Century Gothic"/>
        </w:rPr>
        <w:t>silencio de estas, luego</w:t>
      </w:r>
      <w:r w:rsidR="00F914F7">
        <w:rPr>
          <w:rFonts w:ascii="Verdana" w:eastAsia="Century Gothic" w:hAnsi="Verdana" w:cs="Century Gothic"/>
        </w:rPr>
        <w:t xml:space="preserve"> de los cuatro (4) meses para realizar la liquidación bilateral, sin que esta se efectúe</w:t>
      </w:r>
      <w:r w:rsidR="00461BA0">
        <w:rPr>
          <w:rFonts w:ascii="Verdana" w:eastAsia="Century Gothic" w:hAnsi="Verdana" w:cs="Century Gothic"/>
        </w:rPr>
        <w:t>. Finalmente, la tercera la realiza la Jurisdicción de lo Contencioso Administrativo o un tribunal de arbitramento dentro de un proceso judicial</w:t>
      </w:r>
      <w:r w:rsidR="00870D94">
        <w:rPr>
          <w:rFonts w:ascii="Verdana" w:eastAsia="Century Gothic" w:hAnsi="Verdana" w:cs="Century Gothic"/>
        </w:rPr>
        <w:t xml:space="preserve"> de controversias contractuales, y puede darse con ocasión de una demanda del interesado solicitando dicha liquidación. Para ello, existe un plazo máximo de dos (2) </w:t>
      </w:r>
      <w:r w:rsidR="00384F74">
        <w:rPr>
          <w:rFonts w:ascii="Verdana" w:eastAsia="Century Gothic" w:hAnsi="Verdana" w:cs="Century Gothic"/>
        </w:rPr>
        <w:t xml:space="preserve">años contados a partir de los dos meses establecidos en la Ley para realizar la </w:t>
      </w:r>
      <w:r w:rsidR="00BB1DA2">
        <w:rPr>
          <w:rFonts w:ascii="Verdana" w:eastAsia="Century Gothic" w:hAnsi="Verdana" w:cs="Century Gothic"/>
        </w:rPr>
        <w:t xml:space="preserve">liquidación unilateral, de conformidad con el citado auto de unificación del Consejo de Estado. </w:t>
      </w:r>
    </w:p>
    <w:p w14:paraId="3474CBEE" w14:textId="77777777" w:rsidR="003C3EF0" w:rsidRDefault="002C7C02" w:rsidP="003C3EF0">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 </w:t>
      </w:r>
      <w:r w:rsidR="00461EAB">
        <w:rPr>
          <w:rFonts w:ascii="Verdana" w:eastAsia="Century Gothic" w:hAnsi="Verdana" w:cs="Century Gothic"/>
        </w:rPr>
        <w:t>Así las cosas, conforme al marco jurídico expuesto, la entidad</w:t>
      </w:r>
      <w:r w:rsidR="000F77B8">
        <w:rPr>
          <w:rFonts w:ascii="Verdana" w:eastAsia="Century Gothic" w:hAnsi="Verdana" w:cs="Century Gothic"/>
        </w:rPr>
        <w:t xml:space="preserve"> estatal solo pierde competencia para efectuar la liquidación del contrato</w:t>
      </w:r>
      <w:r w:rsidR="00C51EC4">
        <w:rPr>
          <w:rFonts w:ascii="Verdana" w:eastAsia="Century Gothic" w:hAnsi="Verdana" w:cs="Century Gothic"/>
        </w:rPr>
        <w:t xml:space="preserve"> una vez opera la caducidad del medio de control de controversias contractuales. Es decir, existe un plazo máximo de dos (2) años, contados a partir de los dos (2) meses</w:t>
      </w:r>
      <w:r w:rsidR="00BB1E35">
        <w:rPr>
          <w:rFonts w:ascii="Verdana" w:eastAsia="Century Gothic" w:hAnsi="Verdana" w:cs="Century Gothic"/>
        </w:rPr>
        <w:t xml:space="preserve"> establecidos </w:t>
      </w:r>
      <w:r w:rsidR="000021DC">
        <w:rPr>
          <w:rFonts w:ascii="Verdana" w:eastAsia="Century Gothic" w:hAnsi="Verdana" w:cs="Century Gothic"/>
        </w:rPr>
        <w:t xml:space="preserve">en la ley para realizar la liquidación unilateral, dentro del cual la entidad puede liquidar el contrato de maneral bilateral o unilateral. </w:t>
      </w:r>
    </w:p>
    <w:p w14:paraId="0D6341D4" w14:textId="5EA6C4EF" w:rsidR="00965E35" w:rsidRDefault="00965E35" w:rsidP="00965E35">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Por su parte, es pertinente señalar que aunque las entidades de régimen exceptuado no están obligadas a aplicar el artículo 60 de la Ley 80 de 1993 ni el artículo 11 de la Ley 1150 de 2007, el </w:t>
      </w:r>
      <w:r w:rsidR="002A2ADB">
        <w:rPr>
          <w:rFonts w:ascii="Verdana" w:eastAsia="Century Gothic" w:hAnsi="Verdana" w:cs="Century Gothic"/>
        </w:rPr>
        <w:t xml:space="preserve">término de caducidad del medio de control de controversias contractuales tiene carácter transversal y, por tanto, aplica a todas las entidades al margen de que estén </w:t>
      </w:r>
      <w:r w:rsidR="00A809C5">
        <w:rPr>
          <w:rFonts w:ascii="Verdana" w:eastAsia="Century Gothic" w:hAnsi="Verdana" w:cs="Century Gothic"/>
        </w:rPr>
        <w:t xml:space="preserve">o no sometidas al Estatuto General de Contratación de la Administración Pública. </w:t>
      </w:r>
    </w:p>
    <w:p w14:paraId="57E1D2DD" w14:textId="77777777" w:rsidR="00965E35" w:rsidRDefault="00965E35" w:rsidP="003C3EF0">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p>
    <w:p w14:paraId="59D3533B" w14:textId="2EBBDBAD" w:rsidR="003C3EF0" w:rsidRPr="003C3EF0" w:rsidRDefault="00A82179" w:rsidP="003C3EF0">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Así, l</w:t>
      </w:r>
      <w:r w:rsidR="000021DC">
        <w:rPr>
          <w:rFonts w:ascii="Verdana" w:eastAsia="Century Gothic" w:hAnsi="Verdana" w:cs="Century Gothic"/>
        </w:rPr>
        <w:t xml:space="preserve">a </w:t>
      </w:r>
      <w:r w:rsidR="003C3EF0" w:rsidRPr="2993F789">
        <w:rPr>
          <w:rFonts w:ascii="Verdana" w:eastAsia="Arial MT" w:hAnsi="Verdana" w:cs="Arial"/>
          <w:lang w:eastAsia="es-ES" w:bidi="es-ES"/>
        </w:rPr>
        <w:t xml:space="preserve">caducidad constituye un límite procesal que extingue la posibilidad de reclamar judicialmente obligaciones derivadas del contrato, y con ello, la competencia de la entidad para efectuar la liquidación. Una vez vencido este término, las obligaciones pendientes se convierten en obligaciones naturales, que no son exigibles ni pueden ser objeto de pago por parte de la administración pública. </w:t>
      </w:r>
    </w:p>
    <w:p w14:paraId="0E6A1EDD" w14:textId="7FE9C7D8" w:rsidR="001424B4" w:rsidRPr="003C3EF0" w:rsidRDefault="003C3EF0" w:rsidP="003C3EF0">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sidRPr="2993F789">
        <w:rPr>
          <w:rFonts w:ascii="Verdana" w:eastAsia="Arial MT" w:hAnsi="Verdana" w:cs="Arial"/>
          <w:lang w:eastAsia="es-ES" w:bidi="es-ES"/>
        </w:rPr>
        <w:t>Por otro lado, la normativa vigente no contempla la pérdida de competencia para efectuar la liquidación en el evento en que se encuentre pendiente de decisión un proceso sancionatorio contra el contratista. En tal caso, la entidad puede proceder con la liquidación del contrato, sin que el trámite sancionatorio constituya un impedimento legal para ello.</w:t>
      </w:r>
    </w:p>
    <w:p w14:paraId="7650C5E1" w14:textId="77777777" w:rsidR="00752234" w:rsidRPr="008563AC" w:rsidRDefault="00752234" w:rsidP="30821638">
      <w:pPr>
        <w:spacing w:after="0"/>
        <w:rPr>
          <w:rFonts w:ascii="Verdana" w:hAnsi="Verdana"/>
          <w:b/>
          <w:bCs/>
        </w:rPr>
      </w:pPr>
    </w:p>
    <w:p w14:paraId="7216287A" w14:textId="41B7FE06" w:rsidR="00E87F39" w:rsidRPr="008563AC" w:rsidRDefault="008563AC" w:rsidP="30821638">
      <w:pPr>
        <w:spacing w:after="0"/>
        <w:rPr>
          <w:rFonts w:ascii="Verdana" w:hAnsi="Verdana"/>
          <w:b/>
          <w:bCs/>
        </w:rPr>
      </w:pPr>
      <w:r w:rsidRPr="008563AC">
        <w:rPr>
          <w:rFonts w:ascii="Verdana" w:hAnsi="Verdana"/>
          <w:b/>
          <w:bCs/>
        </w:rPr>
        <w:t xml:space="preserve">3. Razones de la respuesta: </w:t>
      </w:r>
    </w:p>
    <w:p w14:paraId="6A60ACCE" w14:textId="77777777" w:rsidR="008563AC" w:rsidRDefault="008563AC" w:rsidP="30821638">
      <w:pPr>
        <w:spacing w:after="0"/>
        <w:rPr>
          <w:rFonts w:ascii="Verdana" w:hAnsi="Verdana"/>
        </w:rPr>
      </w:pPr>
    </w:p>
    <w:p w14:paraId="3648FCD0" w14:textId="6199A463" w:rsidR="008563AC" w:rsidRDefault="008563AC" w:rsidP="30821638">
      <w:pPr>
        <w:spacing w:after="0"/>
        <w:rPr>
          <w:rFonts w:ascii="Verdana" w:hAnsi="Verdana"/>
        </w:rPr>
      </w:pPr>
      <w:r>
        <w:rPr>
          <w:rFonts w:ascii="Verdana" w:hAnsi="Verdana"/>
        </w:rPr>
        <w:t xml:space="preserve">Lo anterior se sustenta en las siguientes consideraciones: </w:t>
      </w:r>
    </w:p>
    <w:p w14:paraId="3038067E" w14:textId="77777777" w:rsidR="008563AC" w:rsidRDefault="008563AC" w:rsidP="002948B2">
      <w:pPr>
        <w:spacing w:after="120" w:line="276" w:lineRule="auto"/>
        <w:rPr>
          <w:rFonts w:ascii="Verdana" w:hAnsi="Verdana"/>
        </w:rPr>
      </w:pPr>
    </w:p>
    <w:p w14:paraId="6380316C" w14:textId="14AA1004" w:rsidR="008F15CF" w:rsidRDefault="008F15CF" w:rsidP="003C5667">
      <w:pPr>
        <w:spacing w:after="120" w:line="276" w:lineRule="auto"/>
        <w:ind w:firstLine="709"/>
        <w:jc w:val="both"/>
        <w:rPr>
          <w:rFonts w:ascii="Verdana" w:eastAsia="Calibri" w:hAnsi="Verdana" w:cs="Arial"/>
          <w:color w:val="000000"/>
          <w:lang w:val="es-ES"/>
        </w:rPr>
      </w:pPr>
      <w:r>
        <w:rPr>
          <w:rFonts w:ascii="Verdana" w:eastAsia="Calibri" w:hAnsi="Verdana" w:cs="Arial"/>
          <w:color w:val="000000"/>
          <w:lang w:val="es-ES"/>
        </w:rPr>
        <w:t xml:space="preserve">El ordenamiento jurídico colombiano contempla como categoría única la noción de “contratos estatales”, pero acepta la posibilidad de que dichos contratos </w:t>
      </w:r>
      <w:r w:rsidR="005606E6">
        <w:rPr>
          <w:rFonts w:ascii="Verdana" w:eastAsia="Calibri" w:hAnsi="Verdana" w:cs="Arial"/>
          <w:color w:val="000000"/>
          <w:lang w:val="es-ES"/>
        </w:rPr>
        <w:t xml:space="preserve">tengan regímenes jurídicos diferenciados, en virtud de ellos se afirma que hay contratos estatales sometidos </w:t>
      </w:r>
      <w:r w:rsidR="00791AB3">
        <w:rPr>
          <w:rFonts w:ascii="Verdana" w:eastAsia="Calibri" w:hAnsi="Verdana" w:cs="Arial"/>
          <w:color w:val="000000"/>
          <w:lang w:val="es-ES"/>
        </w:rPr>
        <w:t>al EGCAP (</w:t>
      </w:r>
      <w:r w:rsidR="003C5667">
        <w:rPr>
          <w:rFonts w:ascii="Verdana" w:eastAsia="Calibri" w:hAnsi="Verdana" w:cs="Arial"/>
          <w:color w:val="000000"/>
          <w:lang w:val="es-ES"/>
        </w:rPr>
        <w:t xml:space="preserve">Leyes 80 de 1993, 1150 de 2007 y disposiciones complementarias) y contratos sometidos a reglas especiales, usualmente al derecho privado. </w:t>
      </w:r>
    </w:p>
    <w:p w14:paraId="1F13EE9A" w14:textId="39E20F3B" w:rsidR="003C5667" w:rsidRDefault="003C5667" w:rsidP="003C5667">
      <w:pPr>
        <w:spacing w:after="120" w:line="276" w:lineRule="auto"/>
        <w:ind w:firstLine="709"/>
        <w:jc w:val="both"/>
        <w:rPr>
          <w:rFonts w:ascii="Verdana" w:eastAsia="Calibri" w:hAnsi="Verdana" w:cs="Arial"/>
          <w:color w:val="000000"/>
          <w:lang w:val="es-ES"/>
        </w:rPr>
      </w:pPr>
      <w:r>
        <w:rPr>
          <w:rFonts w:ascii="Verdana" w:eastAsia="Calibri" w:hAnsi="Verdana" w:cs="Arial"/>
          <w:color w:val="000000"/>
          <w:lang w:val="es-ES"/>
        </w:rPr>
        <w:t xml:space="preserve">La </w:t>
      </w:r>
      <w:r w:rsidR="009569D7">
        <w:rPr>
          <w:rFonts w:ascii="Verdana" w:eastAsia="Calibri" w:hAnsi="Verdana" w:cs="Arial"/>
          <w:color w:val="000000"/>
          <w:lang w:val="es-ES"/>
        </w:rPr>
        <w:t>decisión hito-fundadora</w:t>
      </w:r>
      <w:r w:rsidR="009569D7">
        <w:rPr>
          <w:rStyle w:val="Refdenotaalpie"/>
          <w:rFonts w:ascii="Verdana" w:eastAsia="Calibri" w:hAnsi="Verdana" w:cs="Arial"/>
          <w:color w:val="000000"/>
          <w:lang w:val="es-ES"/>
        </w:rPr>
        <w:footnoteReference w:id="1"/>
      </w:r>
      <w:r w:rsidR="009D1ABC">
        <w:rPr>
          <w:rFonts w:ascii="Verdana" w:eastAsia="Calibri" w:hAnsi="Verdana" w:cs="Arial"/>
          <w:color w:val="000000"/>
          <w:lang w:val="es-ES"/>
        </w:rPr>
        <w:t xml:space="preserve"> en este sentido, de acuerdo con o señalado por la doctrina</w:t>
      </w:r>
      <w:r w:rsidR="009D1ABC">
        <w:rPr>
          <w:rStyle w:val="Refdenotaalpie"/>
          <w:rFonts w:ascii="Verdana" w:eastAsia="Calibri" w:hAnsi="Verdana" w:cs="Arial"/>
          <w:color w:val="000000"/>
          <w:lang w:val="es-ES"/>
        </w:rPr>
        <w:footnoteReference w:id="2"/>
      </w:r>
      <w:r w:rsidR="00F56205">
        <w:rPr>
          <w:rFonts w:ascii="Verdana" w:eastAsia="Calibri" w:hAnsi="Verdana" w:cs="Arial"/>
          <w:color w:val="000000"/>
          <w:lang w:val="es-ES"/>
        </w:rPr>
        <w:t>, es un auto del 20 de agosto de 1998 del Consejo de Estado donde señaló</w:t>
      </w:r>
      <w:r w:rsidR="00AF7113">
        <w:rPr>
          <w:rStyle w:val="Refdenotaalpie"/>
          <w:rFonts w:ascii="Verdana" w:eastAsia="Calibri" w:hAnsi="Verdana" w:cs="Arial"/>
          <w:color w:val="000000"/>
          <w:lang w:val="es-ES"/>
        </w:rPr>
        <w:footnoteReference w:id="3"/>
      </w:r>
      <w:r w:rsidR="00F56205">
        <w:rPr>
          <w:rFonts w:ascii="Verdana" w:eastAsia="Calibri" w:hAnsi="Verdana" w:cs="Arial"/>
          <w:color w:val="000000"/>
          <w:lang w:val="es-ES"/>
        </w:rPr>
        <w:t xml:space="preserve">: </w:t>
      </w:r>
    </w:p>
    <w:p w14:paraId="400FC825" w14:textId="77777777" w:rsidR="00522F39" w:rsidRPr="0073474A" w:rsidRDefault="00522F39" w:rsidP="0073474A">
      <w:pPr>
        <w:spacing w:after="0" w:line="240" w:lineRule="auto"/>
        <w:ind w:left="709" w:right="709"/>
        <w:jc w:val="both"/>
        <w:rPr>
          <w:rFonts w:ascii="Verdana" w:eastAsia="Calibri" w:hAnsi="Verdana" w:cs="Arial"/>
          <w:color w:val="000000"/>
          <w:sz w:val="21"/>
          <w:szCs w:val="21"/>
          <w:lang w:val="es-ES"/>
        </w:rPr>
      </w:pPr>
    </w:p>
    <w:p w14:paraId="0DEA4162" w14:textId="77777777" w:rsidR="006C1D05" w:rsidRPr="0073474A" w:rsidRDefault="006C1D05" w:rsidP="0073474A">
      <w:pPr>
        <w:spacing w:after="0" w:line="240" w:lineRule="auto"/>
        <w:ind w:left="709" w:right="709"/>
        <w:jc w:val="both"/>
        <w:rPr>
          <w:rFonts w:ascii="Verdana" w:hAnsi="Verdana" w:cs="Arial"/>
          <w:sz w:val="21"/>
          <w:szCs w:val="21"/>
          <w:lang w:val="es-ES"/>
        </w:rPr>
      </w:pPr>
      <w:r w:rsidRPr="0073474A">
        <w:rPr>
          <w:rFonts w:ascii="Verdana" w:hAnsi="Verdana" w:cs="Arial"/>
          <w:sz w:val="21"/>
          <w:szCs w:val="21"/>
          <w:lang w:val="es-ES"/>
        </w:rPr>
        <w:t>“A juicio de la Sala es preciso reconocer que, en las diversas regulaciones normativas sobre contratación de la administración pública, es posible identificar dos grandes categorías de actos contractuales:</w:t>
      </w:r>
    </w:p>
    <w:p w14:paraId="6EDB0EFC" w14:textId="77777777" w:rsidR="006C1D05" w:rsidRPr="0073474A" w:rsidRDefault="006C1D05" w:rsidP="0073474A">
      <w:pPr>
        <w:spacing w:after="0" w:line="240" w:lineRule="auto"/>
        <w:ind w:left="709" w:right="709"/>
        <w:jc w:val="both"/>
        <w:rPr>
          <w:rFonts w:ascii="Verdana" w:hAnsi="Verdana" w:cs="Arial"/>
          <w:bCs/>
          <w:sz w:val="21"/>
          <w:szCs w:val="21"/>
          <w:lang w:val="es-ES_tradnl"/>
        </w:rPr>
      </w:pPr>
    </w:p>
    <w:p w14:paraId="64DAD733" w14:textId="77777777" w:rsidR="006C1D05" w:rsidRPr="0073474A" w:rsidRDefault="006C1D05" w:rsidP="0073474A">
      <w:pPr>
        <w:spacing w:after="0" w:line="240" w:lineRule="auto"/>
        <w:ind w:left="709" w:right="709"/>
        <w:jc w:val="both"/>
        <w:rPr>
          <w:rFonts w:ascii="Verdana" w:hAnsi="Verdana" w:cs="Arial"/>
          <w:sz w:val="21"/>
          <w:szCs w:val="21"/>
          <w:lang w:val="es-ES"/>
        </w:rPr>
      </w:pPr>
      <w:r w:rsidRPr="0073474A">
        <w:rPr>
          <w:rFonts w:ascii="Verdana" w:hAnsi="Verdana" w:cs="Arial"/>
          <w:sz w:val="21"/>
          <w:szCs w:val="21"/>
          <w:lang w:val="es-ES"/>
        </w:rPr>
        <w:t>1ª Contratos estatales, propiamente dichos, que son aquellos que celebran las entidades públicas a que se refiere la ley 80 de 1993, y que por ende se regulan íntegramente por el régimen establecido en esta ley.  Por regla general, adquieren este carácter en razón del ente público contratante, es decir, se definen desde el punto de vista orgánico. Las controversias que se deriven de este tipo de contratos y de los procesos de ejecución o cumplimiento serán de conocimiento de la jurisdicción contenciosa administrativa.</w:t>
      </w:r>
    </w:p>
    <w:p w14:paraId="3A7EB0E5" w14:textId="77777777" w:rsidR="006C1D05" w:rsidRPr="0073474A" w:rsidRDefault="006C1D05" w:rsidP="0073474A">
      <w:pPr>
        <w:spacing w:after="0" w:line="240" w:lineRule="auto"/>
        <w:ind w:left="709" w:right="709"/>
        <w:jc w:val="both"/>
        <w:rPr>
          <w:rFonts w:ascii="Verdana" w:hAnsi="Verdana" w:cs="Arial"/>
          <w:bCs/>
          <w:sz w:val="21"/>
          <w:szCs w:val="21"/>
          <w:lang w:val="es-ES_tradnl"/>
        </w:rPr>
      </w:pPr>
    </w:p>
    <w:p w14:paraId="29551437" w14:textId="77777777" w:rsidR="006C1D05" w:rsidRPr="0073474A" w:rsidRDefault="006C1D05" w:rsidP="0073474A">
      <w:pPr>
        <w:spacing w:after="0" w:line="240" w:lineRule="auto"/>
        <w:ind w:left="709" w:right="709"/>
        <w:jc w:val="both"/>
        <w:rPr>
          <w:rFonts w:ascii="Verdana" w:hAnsi="Verdana" w:cs="Arial"/>
          <w:sz w:val="21"/>
          <w:szCs w:val="21"/>
          <w:lang w:val="es-ES"/>
        </w:rPr>
      </w:pPr>
      <w:r w:rsidRPr="0073474A">
        <w:rPr>
          <w:rFonts w:ascii="Verdana" w:hAnsi="Verdana" w:cs="Arial"/>
          <w:sz w:val="21"/>
          <w:szCs w:val="21"/>
          <w:lang w:val="es-ES"/>
        </w:rPr>
        <w:t>2ª Contratos especiales sujetos a un régimen legal propio. Por regla general, el juez a quien compete conocer de sus controversias es el juez administrativo, en razón de que su celebración y ejecución constituye una actividad reglada, es decir, es el ejercicio pleno de una función administrativa, de conformidad con el art. 82 del C.C.A. antes referido”.</w:t>
      </w:r>
    </w:p>
    <w:p w14:paraId="3FF53F59" w14:textId="77777777" w:rsidR="006C1D05" w:rsidRPr="002A38E9" w:rsidRDefault="006C1D05" w:rsidP="006C1D05">
      <w:pPr>
        <w:spacing w:after="0"/>
        <w:ind w:left="709" w:right="709"/>
        <w:jc w:val="both"/>
        <w:rPr>
          <w:rFonts w:ascii="Verdana" w:hAnsi="Verdana" w:cs="Arial"/>
          <w:sz w:val="21"/>
          <w:szCs w:val="21"/>
          <w:lang w:val="es-ES"/>
        </w:rPr>
      </w:pPr>
    </w:p>
    <w:p w14:paraId="3E8C0A1B" w14:textId="77777777" w:rsidR="006C1D05" w:rsidRPr="002A38E9" w:rsidRDefault="006C1D05" w:rsidP="0073474A">
      <w:pPr>
        <w:spacing w:after="120" w:line="276" w:lineRule="auto"/>
        <w:ind w:firstLine="709"/>
        <w:jc w:val="both"/>
        <w:rPr>
          <w:rFonts w:ascii="Verdana" w:hAnsi="Verdana" w:cs="Arial"/>
          <w:bCs/>
          <w:lang w:val="es-ES"/>
        </w:rPr>
      </w:pPr>
      <w:r w:rsidRPr="002A38E9">
        <w:rPr>
          <w:rFonts w:ascii="Verdana" w:hAnsi="Verdana" w:cs="Arial"/>
          <w:bCs/>
          <w:lang w:val="es-ES"/>
        </w:rPr>
        <w:t>El Consejo de Estado identificó la existencia de un único tipo de contrato: el contrato estatal; pero dos grandes categorías que responden a su régimen jurídico: contrato estatal con un régimen jurídico de derecho público-administrativo y contrato estatal con un régimen jurídico especial, por regla general de derecho privado.</w:t>
      </w:r>
    </w:p>
    <w:p w14:paraId="1D6C804F" w14:textId="77777777" w:rsidR="006C1D05" w:rsidRPr="002A38E9" w:rsidRDefault="006C1D05" w:rsidP="0073474A">
      <w:pPr>
        <w:spacing w:after="120" w:line="276" w:lineRule="auto"/>
        <w:ind w:firstLine="709"/>
        <w:jc w:val="both"/>
        <w:rPr>
          <w:rFonts w:ascii="Verdana" w:hAnsi="Verdana" w:cs="Arial"/>
          <w:bCs/>
          <w:lang w:val="es-ES"/>
        </w:rPr>
      </w:pPr>
      <w:r w:rsidRPr="002A38E9">
        <w:rPr>
          <w:rFonts w:ascii="Verdana" w:hAnsi="Verdana" w:cs="Arial"/>
          <w:bCs/>
          <w:lang w:val="es-ES"/>
        </w:rPr>
        <w:t xml:space="preserve">En este punto vale la pena resaltar que, en el ordenamiento jurídico colombiano, cuando se piensa en los regímenes especiales de contratación, se suele hacer referencia al régimen de determinadas entidades estatales. Tal sería el caso de las empresas de servicios públicos domiciliarios, de conformidad con el artículo 31 de la Ley 142 de 1994, de las entidades indicadas en el artículo 14 de la Ley 1150 de 2007, de las universidades estatales u oficiales, según el artículo 93 de la Ley 30 de 1993, etc. Esta afirmación, sin embargo, no pretende desconocer que dicho régimen especial se otorga justamente en consideración al especial tipo de actividades desplegadas por estas entidades. </w:t>
      </w:r>
    </w:p>
    <w:p w14:paraId="668309A6" w14:textId="77777777" w:rsidR="006C1D05" w:rsidRPr="002A38E9" w:rsidRDefault="006C1D05" w:rsidP="0073474A">
      <w:pPr>
        <w:spacing w:after="120" w:line="276" w:lineRule="auto"/>
        <w:ind w:firstLine="709"/>
        <w:jc w:val="both"/>
        <w:rPr>
          <w:rFonts w:ascii="Verdana" w:hAnsi="Verdana" w:cs="Arial"/>
          <w:bCs/>
          <w:lang w:val="es-ES"/>
        </w:rPr>
      </w:pPr>
      <w:r w:rsidRPr="002A38E9">
        <w:rPr>
          <w:rFonts w:ascii="Verdana" w:hAnsi="Verdana" w:cs="Arial"/>
          <w:bCs/>
          <w:lang w:val="es-ES"/>
        </w:rPr>
        <w:t>Ahora bien, los regímenes especiales de contratación en el ordenamiento colombiano no se dan exclusivamente en atención a cierto tipo de sujetos –empresas industriales y comerciales del Estado (EICE), sociedades de economía mixta (SEM), empresas de servicios públicos domiciliarios (ESP), empresas sociales del estado (ESE), etc.–, sino también para cierto tipo de objetos contractuales. Este es el caso del régimen jurídico establecido en el artículo 66 de la Ley 1523 de 2012</w:t>
      </w:r>
      <w:r w:rsidRPr="002A38E9">
        <w:rPr>
          <w:rFonts w:ascii="Verdana" w:hAnsi="Verdana" w:cs="Arial"/>
          <w:bCs/>
          <w:vertAlign w:val="superscript"/>
          <w:lang w:val="es-ES"/>
        </w:rPr>
        <w:footnoteReference w:id="4"/>
      </w:r>
      <w:r w:rsidRPr="002A38E9">
        <w:rPr>
          <w:rFonts w:ascii="Verdana" w:hAnsi="Verdana" w:cs="Arial"/>
          <w:bCs/>
          <w:lang w:val="es-ES"/>
        </w:rPr>
        <w:t xml:space="preserve">, que establece un régimen especial de derecho privado debido a la consideración que merece el objeto a contratar. </w:t>
      </w:r>
    </w:p>
    <w:p w14:paraId="4C1612ED" w14:textId="77777777" w:rsidR="006C1D05" w:rsidRPr="002A38E9" w:rsidRDefault="006C1D05" w:rsidP="0073474A">
      <w:pPr>
        <w:spacing w:after="120" w:line="276" w:lineRule="auto"/>
        <w:ind w:firstLine="709"/>
        <w:jc w:val="both"/>
        <w:rPr>
          <w:rFonts w:ascii="Verdana" w:hAnsi="Verdana" w:cs="Arial"/>
          <w:bCs/>
          <w:lang w:val="es-ES"/>
        </w:rPr>
      </w:pPr>
      <w:r w:rsidRPr="002A38E9">
        <w:rPr>
          <w:rFonts w:ascii="Verdana" w:hAnsi="Verdana" w:cs="Arial"/>
          <w:bCs/>
          <w:lang w:val="es-ES"/>
        </w:rPr>
        <w:t xml:space="preserve">Con base en lo indicado, se podría hacer una clasificación general entre regímenes especiales que atienden principalmente al sujeto, y regímenes especiales que atienden principalmente al objeto. Esta clasificación conceptual tiene como efecto práctico resaltar que unos y otros son regímenes especiales. Así, por ejemplo, tanto el régimen jurídico de las empresas industriales y comerciales del Estado en competencia o mercados regulados, como el régimen del artículo 66 de la Ley 1523 de 2012, son regímenes especiales a la luz del derecho de la contratación estatal. Por lo mismo, tanto uno como otro régimen están sometidos, en principio, al derecho privado, pero con algunas particularidades propias del derecho público. </w:t>
      </w:r>
    </w:p>
    <w:p w14:paraId="05E0DDFA" w14:textId="77777777" w:rsidR="006C1D05" w:rsidRPr="002A38E9" w:rsidRDefault="006C1D05" w:rsidP="0073474A">
      <w:pPr>
        <w:spacing w:after="120" w:line="276" w:lineRule="auto"/>
        <w:ind w:firstLine="709"/>
        <w:jc w:val="both"/>
        <w:rPr>
          <w:rFonts w:ascii="Verdana" w:hAnsi="Verdana" w:cs="Arial"/>
          <w:bCs/>
          <w:lang w:val="es-ES"/>
        </w:rPr>
      </w:pPr>
      <w:r w:rsidRPr="002A38E9">
        <w:rPr>
          <w:rFonts w:ascii="Verdana" w:hAnsi="Verdana" w:cs="Arial"/>
          <w:bCs/>
          <w:lang w:val="es-ES"/>
        </w:rPr>
        <w:t>El régimen de derecho privado que, por regla general, caracteriza a los regímenes especiales no significa que no existan “dosis” de derecho público administrativo que tienen como fin último garantizar que los regímenes especiales de contratación también se ordenen hacia la consecución de los fines del Estado. Estas “dosis” de derecho administrativo encuentran su manifestación tanto en forma de reglas como de principios. En relación con este segundo tipo, esto es, principios de derecho público aplicables a regímenes especiales de contratación, la norma por antonomasia es el artículo 13 de la Ley 1150 de 2007, que preceptúa lo siguiente:</w:t>
      </w:r>
    </w:p>
    <w:p w14:paraId="1EB06510" w14:textId="77777777" w:rsidR="006C1D05" w:rsidRPr="002A38E9" w:rsidRDefault="006C1D05" w:rsidP="006C1D05">
      <w:pPr>
        <w:spacing w:after="0" w:line="276" w:lineRule="auto"/>
        <w:ind w:firstLine="709"/>
        <w:jc w:val="both"/>
        <w:rPr>
          <w:rFonts w:ascii="Verdana" w:hAnsi="Verdana" w:cs="Arial"/>
          <w:bCs/>
          <w:lang w:val="es-ES"/>
        </w:rPr>
      </w:pPr>
      <w:r w:rsidRPr="002A38E9">
        <w:rPr>
          <w:rFonts w:ascii="Verdana" w:hAnsi="Verdana" w:cs="Arial"/>
          <w:bCs/>
          <w:lang w:val="es-ES"/>
        </w:rPr>
        <w:t xml:space="preserve"> </w:t>
      </w:r>
    </w:p>
    <w:p w14:paraId="7021D4DA" w14:textId="77777777" w:rsidR="006C1D05" w:rsidRPr="006C1D05" w:rsidRDefault="006C1D05" w:rsidP="006C1D05">
      <w:pPr>
        <w:spacing w:after="0" w:line="240" w:lineRule="auto"/>
        <w:ind w:left="709" w:right="709"/>
        <w:jc w:val="both"/>
        <w:rPr>
          <w:rFonts w:ascii="Verdana" w:hAnsi="Verdana" w:cs="Arial"/>
          <w:bCs/>
          <w:sz w:val="21"/>
          <w:szCs w:val="21"/>
          <w:lang w:val="es-ES"/>
        </w:rPr>
      </w:pPr>
      <w:r w:rsidRPr="006C1D05">
        <w:rPr>
          <w:rFonts w:ascii="Verdana" w:hAnsi="Verdana" w:cs="Arial"/>
          <w:bCs/>
          <w:sz w:val="21"/>
          <w:szCs w:val="21"/>
          <w:lang w:val="es-ES"/>
        </w:rPr>
        <w:t>“Artículo 13. Principios generales de la actividad contractual para entidades no sometidas al estatuto general de contratación de la administración pública.</w:t>
      </w:r>
      <w:r w:rsidRPr="006C1D05">
        <w:rPr>
          <w:rFonts w:ascii="Verdana" w:hAnsi="Verdana" w:cs="Arial"/>
          <w:b/>
          <w:sz w:val="21"/>
          <w:szCs w:val="21"/>
          <w:lang w:val="es-ES"/>
        </w:rPr>
        <w:t xml:space="preserve"> </w:t>
      </w:r>
      <w:r w:rsidRPr="006C1D05">
        <w:rPr>
          <w:rFonts w:ascii="Verdana" w:hAnsi="Verdana" w:cs="Arial"/>
          <w:bCs/>
          <w:sz w:val="21"/>
          <w:szCs w:val="21"/>
          <w:lang w:val="es-ES"/>
        </w:rPr>
        <w:t xml:space="preserve">Las entidades estatales que por disposición legal cuenten con un régimen contractual excepcional al del Estatuto General de Contratación de la Administración Pública, aplicarán en desarrollo de su actividad contractual, acorde con su régimen legal especial, los </w:t>
      </w:r>
      <w:r w:rsidRPr="006C1D05">
        <w:rPr>
          <w:rFonts w:ascii="Verdana" w:hAnsi="Verdana" w:cs="Arial"/>
          <w:bCs/>
          <w:color w:val="000000" w:themeColor="text1"/>
          <w:sz w:val="21"/>
          <w:szCs w:val="21"/>
          <w:lang w:val="es-ES"/>
        </w:rPr>
        <w:t>principios de la función administrativa y de la gestión fiscal de que tratan los artículos </w:t>
      </w:r>
      <w:hyperlink r:id="rId13" w:anchor="209" w:history="1">
        <w:r w:rsidRPr="006C1D05">
          <w:rPr>
            <w:rFonts w:ascii="Verdana" w:hAnsi="Verdana" w:cs="Arial"/>
            <w:bCs/>
            <w:color w:val="000000" w:themeColor="text1"/>
            <w:sz w:val="21"/>
            <w:szCs w:val="21"/>
            <w:lang w:val="es-ES"/>
          </w:rPr>
          <w:t>209</w:t>
        </w:r>
      </w:hyperlink>
      <w:r w:rsidRPr="006C1D05">
        <w:rPr>
          <w:rFonts w:ascii="Verdana" w:hAnsi="Verdana" w:cs="Arial"/>
          <w:bCs/>
          <w:color w:val="000000" w:themeColor="text1"/>
          <w:sz w:val="21"/>
          <w:szCs w:val="21"/>
          <w:lang w:val="es-ES"/>
        </w:rPr>
        <w:t> y </w:t>
      </w:r>
      <w:hyperlink r:id="rId14" w:anchor="267" w:history="1">
        <w:r w:rsidRPr="006C1D05">
          <w:rPr>
            <w:rFonts w:ascii="Verdana" w:hAnsi="Verdana" w:cs="Arial"/>
            <w:bCs/>
            <w:color w:val="000000" w:themeColor="text1"/>
            <w:sz w:val="21"/>
            <w:szCs w:val="21"/>
            <w:lang w:val="es-ES"/>
          </w:rPr>
          <w:t>267</w:t>
        </w:r>
      </w:hyperlink>
      <w:r w:rsidRPr="006C1D05">
        <w:rPr>
          <w:rFonts w:ascii="Verdana" w:hAnsi="Verdana" w:cs="Arial"/>
          <w:bCs/>
          <w:color w:val="000000" w:themeColor="text1"/>
          <w:sz w:val="21"/>
          <w:szCs w:val="21"/>
          <w:lang w:val="es-ES"/>
        </w:rPr>
        <w:t xml:space="preserve"> de la Constitución Política, respectivamente según sea el caso y estarán sometidas al régimen de inhabilidades e incompatibilidades previsto legalmente </w:t>
      </w:r>
      <w:r w:rsidRPr="006C1D05">
        <w:rPr>
          <w:rFonts w:ascii="Verdana" w:hAnsi="Verdana" w:cs="Arial"/>
          <w:bCs/>
          <w:sz w:val="21"/>
          <w:szCs w:val="21"/>
          <w:lang w:val="es-ES"/>
        </w:rPr>
        <w:t>para la contratación estatal”.</w:t>
      </w:r>
    </w:p>
    <w:p w14:paraId="5CEF9851" w14:textId="77777777" w:rsidR="006C1D05" w:rsidRPr="002A38E9" w:rsidRDefault="006C1D05" w:rsidP="006C1D05">
      <w:pPr>
        <w:spacing w:after="0"/>
        <w:ind w:left="708" w:right="758"/>
        <w:jc w:val="both"/>
        <w:rPr>
          <w:rFonts w:ascii="Verdana" w:hAnsi="Verdana" w:cs="Arial"/>
          <w:bCs/>
          <w:lang w:val="es-ES"/>
        </w:rPr>
      </w:pPr>
    </w:p>
    <w:p w14:paraId="6EB355A2" w14:textId="77777777" w:rsidR="006C1D05" w:rsidRPr="002A38E9" w:rsidRDefault="006C1D05" w:rsidP="006C1D05">
      <w:pPr>
        <w:spacing w:after="120" w:line="276" w:lineRule="auto"/>
        <w:jc w:val="both"/>
        <w:rPr>
          <w:rFonts w:ascii="Verdana" w:hAnsi="Verdana" w:cs="Arial"/>
          <w:bCs/>
          <w:lang w:val="es-ES"/>
        </w:rPr>
      </w:pPr>
      <w:r w:rsidRPr="002A38E9">
        <w:rPr>
          <w:rFonts w:ascii="Verdana" w:hAnsi="Verdana" w:cs="Arial"/>
          <w:bCs/>
          <w:lang w:val="es-ES"/>
        </w:rPr>
        <w:tab/>
        <w:t xml:space="preserve">De conformidad con lo establecido en este artículo, las entidades estatales que cuenten con un régimen contractual excepcional al del EGCAP, esto es, regímenes especiales, “aplicarán en desarrollo de su actividad contractual […] los principios de la función administrativa y de la gestión fiscal […] y estarán sometidas al régimen de inhabilidades e incompatibilidades previsto legalmente para la contratación estatal”. La interpretación más adecuada de esta disposición implica admitir que su ámbito de aplicación ampara los supuestos de las entidades que tienen, como regla general, un régimen especial de contratación. </w:t>
      </w:r>
    </w:p>
    <w:p w14:paraId="70E90B81" w14:textId="77777777" w:rsidR="006C1D05" w:rsidRPr="002A38E9" w:rsidRDefault="006C1D05" w:rsidP="006C1D05">
      <w:pPr>
        <w:spacing w:after="120" w:line="276" w:lineRule="auto"/>
        <w:ind w:firstLine="709"/>
        <w:jc w:val="both"/>
        <w:rPr>
          <w:rFonts w:ascii="Verdana" w:hAnsi="Verdana" w:cs="Arial"/>
          <w:color w:val="000000" w:themeColor="text1"/>
        </w:rPr>
      </w:pPr>
      <w:r w:rsidRPr="002A38E9">
        <w:rPr>
          <w:rFonts w:ascii="Verdana" w:hAnsi="Verdana" w:cs="Arial"/>
          <w:color w:val="000000" w:themeColor="text1"/>
        </w:rPr>
        <w:t>Puede decirse que una de las reglas derivada de las normas de derecho público que irradian el régimen jurídico de las entidades exceptuadas del EGCAP, consiste en el deber de expedir un manual de contratación. En este documento deben concretarse los principios de la función administrativa y de la gestión fiscal, así como determinarse la manera concreta como dichos principios orientarán el derecho privado en el ejercicio de la actividad contractual. De esta manera, los potenciales oferentes podrán identificar las reglas que aplica la entidad en sus procesos contractuales.</w:t>
      </w:r>
    </w:p>
    <w:p w14:paraId="376B442F" w14:textId="77777777" w:rsidR="006C1D05" w:rsidRDefault="006C1D05" w:rsidP="006C1D05">
      <w:pPr>
        <w:spacing w:after="120" w:line="276" w:lineRule="auto"/>
        <w:ind w:firstLine="709"/>
        <w:jc w:val="both"/>
        <w:rPr>
          <w:rFonts w:ascii="Verdana" w:hAnsi="Verdana" w:cs="Arial"/>
          <w:color w:val="000000" w:themeColor="text1"/>
          <w:lang w:val="es-ES"/>
        </w:rPr>
      </w:pPr>
      <w:r w:rsidRPr="002A38E9">
        <w:rPr>
          <w:rFonts w:ascii="Verdana" w:hAnsi="Verdana" w:cs="Arial"/>
          <w:color w:val="000000" w:themeColor="text1"/>
          <w:lang w:val="es-ES"/>
        </w:rPr>
        <w:t>Sobre este punto particular es preciso destacar que, las entidades estatales sometidas a regímenes especiales de derecho privado tienen una amplia libertad de configuración del contenido del manual de contratación. Esta libertad se deriva del principio de autonomía de la voluntad reconocida a estas entidades, que les permite establecer la manera en que adelantarán sus procesos de contratación</w:t>
      </w:r>
      <w:r w:rsidRPr="002A38E9">
        <w:rPr>
          <w:rFonts w:ascii="Verdana" w:hAnsi="Verdana" w:cs="Arial"/>
          <w:color w:val="000000" w:themeColor="text1"/>
          <w:vertAlign w:val="superscript"/>
          <w:lang w:val="es-ES"/>
        </w:rPr>
        <w:footnoteReference w:id="5"/>
      </w:r>
      <w:r w:rsidRPr="002A38E9">
        <w:rPr>
          <w:rFonts w:ascii="Verdana" w:hAnsi="Verdana" w:cs="Arial"/>
          <w:color w:val="000000" w:themeColor="text1"/>
          <w:lang w:val="es-ES"/>
        </w:rPr>
        <w:t>. Ahora bien, dicha libertad es similar a la reconocida a los particulares por el derecho privado, pero no es idéntica a aquella, en la medida en que encuentra importantes limitantes.</w:t>
      </w:r>
    </w:p>
    <w:p w14:paraId="67A4586C" w14:textId="77777777" w:rsidR="008F368A" w:rsidRPr="002A38E9" w:rsidRDefault="008F368A" w:rsidP="008F368A">
      <w:pPr>
        <w:spacing w:after="120" w:line="276" w:lineRule="auto"/>
        <w:ind w:firstLine="709"/>
        <w:jc w:val="both"/>
        <w:rPr>
          <w:rFonts w:ascii="Verdana" w:hAnsi="Verdana" w:cs="Arial"/>
          <w:color w:val="000000" w:themeColor="text1"/>
          <w:lang w:val="es-ES"/>
        </w:rPr>
      </w:pPr>
      <w:r w:rsidRPr="002A38E9">
        <w:rPr>
          <w:rFonts w:ascii="Verdana" w:hAnsi="Verdana" w:cs="Arial"/>
          <w:color w:val="000000" w:themeColor="text1"/>
          <w:lang w:val="es-ES"/>
        </w:rPr>
        <w:t>La elaboración de esos manuales debe contemplar procedimientos de selección públicos, en los cuales se garantice la imparcialidad de la entidad contratante, la igualdad entre los oferentes, y en los cuales se respeten los principios constitucionales relevantes, como la eficacia, economía, celeridad, moralidad, entre otros. Es decir, deben reflejar los principios de la función administrativa y, también, los de la gestión fiscal. La forma precisa en que se concretan estos principios, así como la manera como se armonizan con su régimen de derecho privado, es un asunto que debe decidir la entidad en el ejercicio de la discrecionalidad concedida por el ordenamiento jurídico. No obstante, se considera que, como mínimo, los manuales diseñados por la entidad se deben indicar cuáles son sus procedimientos de selección y una descripción de cada uno de ellos, al igual que las etapas que los componen, los cuales deben estar alineados con la garantía de los principios de la función administrativa</w:t>
      </w:r>
      <w:r w:rsidRPr="002A38E9">
        <w:rPr>
          <w:rFonts w:ascii="Verdana" w:hAnsi="Verdana" w:cs="Arial"/>
          <w:color w:val="000000" w:themeColor="text1"/>
          <w:vertAlign w:val="superscript"/>
          <w:lang w:val="es-ES"/>
        </w:rPr>
        <w:footnoteReference w:id="6"/>
      </w:r>
      <w:r w:rsidRPr="002A38E9">
        <w:rPr>
          <w:rFonts w:ascii="Verdana" w:hAnsi="Verdana" w:cs="Arial"/>
          <w:color w:val="000000" w:themeColor="text1"/>
          <w:lang w:val="es-ES"/>
        </w:rPr>
        <w:t xml:space="preserve">. </w:t>
      </w:r>
    </w:p>
    <w:p w14:paraId="26E12531" w14:textId="77777777" w:rsidR="008F368A" w:rsidRPr="002A38E9" w:rsidRDefault="008F368A" w:rsidP="008F368A">
      <w:pPr>
        <w:spacing w:after="120" w:line="276" w:lineRule="auto"/>
        <w:ind w:firstLine="709"/>
        <w:jc w:val="both"/>
        <w:rPr>
          <w:rFonts w:ascii="Verdana" w:hAnsi="Verdana" w:cs="Arial"/>
          <w:color w:val="000000" w:themeColor="text1"/>
          <w:lang w:val="es-ES"/>
        </w:rPr>
      </w:pPr>
      <w:r w:rsidRPr="002A38E9">
        <w:rPr>
          <w:rFonts w:ascii="Verdana" w:hAnsi="Verdana" w:cs="Arial"/>
          <w:color w:val="000000" w:themeColor="text1"/>
          <w:lang w:val="es-ES"/>
        </w:rPr>
        <w:t xml:space="preserve">De esta forma, las reglas establecidas en los manuales o reglamentos internos de contratación son muy importantes, toda vez que las entidades se obligan a cumplir su contenido. Además, tratándose de un acto administrativo, concretamente de un reglamento, le aplican los atributos propios de estos tipos de actos, entre otras cosas, la presunción de legalidad y la regla de </w:t>
      </w:r>
      <w:r w:rsidRPr="002A38E9">
        <w:rPr>
          <w:rFonts w:ascii="Verdana" w:hAnsi="Verdana" w:cs="Arial"/>
          <w:i/>
          <w:color w:val="000000" w:themeColor="text1"/>
          <w:lang w:val="es-ES"/>
        </w:rPr>
        <w:t>inderogabilidad singular del reglamento</w:t>
      </w:r>
      <w:r w:rsidRPr="002A38E9">
        <w:rPr>
          <w:rFonts w:ascii="Verdana" w:hAnsi="Verdana" w:cs="Arial"/>
          <w:i/>
          <w:color w:val="000000" w:themeColor="text1"/>
          <w:vertAlign w:val="superscript"/>
          <w:lang w:val="es-ES"/>
        </w:rPr>
        <w:footnoteReference w:id="7"/>
      </w:r>
      <w:r w:rsidRPr="002A38E9">
        <w:rPr>
          <w:rFonts w:ascii="Verdana" w:hAnsi="Verdana" w:cs="Arial"/>
          <w:color w:val="000000" w:themeColor="text1"/>
          <w:lang w:val="es-ES"/>
        </w:rPr>
        <w:t>. En tal sentido, su contenido vincula a la propia entidad que lo expidió y no puede desconocerlo a su capricho en casos específicos; sin perjuicio de la posibilidad de expedir un nuevo manual o de modificar el existente.</w:t>
      </w:r>
    </w:p>
    <w:p w14:paraId="265C893E" w14:textId="77777777" w:rsidR="008F368A" w:rsidRPr="002A38E9" w:rsidRDefault="008F368A" w:rsidP="008F368A">
      <w:pPr>
        <w:spacing w:after="120" w:line="276" w:lineRule="auto"/>
        <w:ind w:firstLine="709"/>
        <w:jc w:val="both"/>
        <w:rPr>
          <w:rFonts w:ascii="Verdana" w:hAnsi="Verdana" w:cs="Arial"/>
          <w:color w:val="000000" w:themeColor="text1"/>
          <w:lang w:val="es-ES"/>
        </w:rPr>
      </w:pPr>
      <w:r w:rsidRPr="002A38E9">
        <w:rPr>
          <w:rFonts w:ascii="Verdana" w:hAnsi="Verdana" w:cs="Arial"/>
          <w:color w:val="000000" w:themeColor="text1"/>
          <w:lang w:val="es-ES"/>
        </w:rPr>
        <w:t>Así mismo, los procedimientos de selección que creen las entidades de régimen especial en sus manuales de contratación deben estar acordes, en cuanto a sus etapas, publicidad, duración, requisitos y demás aspectos con los acuerdos comerciales suscritos por Colombia, en caso de que la entidad se encuentre dentro del ámbito de cobertura de algún acuerdo comercial.</w:t>
      </w:r>
    </w:p>
    <w:p w14:paraId="4709CB17" w14:textId="77777777" w:rsidR="008F368A" w:rsidRPr="002A38E9" w:rsidRDefault="008F368A" w:rsidP="008F368A">
      <w:pPr>
        <w:spacing w:after="120" w:line="276" w:lineRule="auto"/>
        <w:ind w:firstLine="709"/>
        <w:jc w:val="both"/>
        <w:rPr>
          <w:rFonts w:ascii="Verdana" w:hAnsi="Verdana" w:cs="Arial"/>
          <w:color w:val="000000" w:themeColor="text1"/>
          <w:lang w:val="es-ES"/>
        </w:rPr>
      </w:pPr>
      <w:r w:rsidRPr="002A38E9">
        <w:rPr>
          <w:rFonts w:ascii="Verdana" w:hAnsi="Verdana" w:cs="Arial"/>
          <w:color w:val="000000" w:themeColor="text1"/>
          <w:lang w:val="es-ES"/>
        </w:rPr>
        <w:t>Además, existen ciertos contenidos determinados por el ordenamiento jurídico que no pueden ser modificados por los manuales internos, por tratarse de asuntos con reserva de ley. En este sentido, estos reglamentos internos de las entidades con régimen especial no pueden crear causales de inhabilidad o incompatibilidad, crear nuevos supuestos de conflictos de interés, prescribir requisitos de perfeccionamiento, tipologías contractuales, limitar la capacidad contractual establecida en la ley. En efecto, estos contenidos no pueden ser regulados o modificados por los manuales de contratación, ya que se trata de aspectos con reserva de ley o con congelación en el rango de nivel legal, por lo que un acto administrativo no podría alterarlos</w:t>
      </w:r>
      <w:r w:rsidRPr="002A38E9">
        <w:rPr>
          <w:rFonts w:ascii="Verdana" w:hAnsi="Verdana" w:cs="Arial"/>
          <w:color w:val="000000" w:themeColor="text1"/>
          <w:vertAlign w:val="superscript"/>
          <w:lang w:val="es-ES_tradnl"/>
        </w:rPr>
        <w:footnoteReference w:id="8"/>
      </w:r>
      <w:r w:rsidRPr="002A38E9">
        <w:rPr>
          <w:rFonts w:ascii="Verdana" w:hAnsi="Verdana" w:cs="Arial"/>
          <w:color w:val="000000" w:themeColor="text1"/>
          <w:lang w:val="es-ES"/>
        </w:rPr>
        <w:t>.</w:t>
      </w:r>
    </w:p>
    <w:p w14:paraId="7FCA11B6" w14:textId="77777777" w:rsidR="00800339" w:rsidRDefault="008F368A" w:rsidP="00800339">
      <w:pPr>
        <w:spacing w:after="120" w:line="276" w:lineRule="auto"/>
        <w:ind w:firstLine="709"/>
        <w:jc w:val="both"/>
        <w:rPr>
          <w:rFonts w:ascii="Verdana" w:hAnsi="Verdana" w:cs="Arial"/>
          <w:color w:val="000000" w:themeColor="text1"/>
        </w:rPr>
      </w:pPr>
      <w:r w:rsidRPr="002A38E9">
        <w:rPr>
          <w:rFonts w:ascii="Verdana" w:hAnsi="Verdana" w:cs="Arial"/>
          <w:color w:val="000000" w:themeColor="text1"/>
          <w:lang w:val="es-ES"/>
        </w:rPr>
        <w:t>Sin perjuicio de lo anterior, existen múltiples contenidos que pueden ser objeto de regulación en el manual de contratación, por hacer parte del ámbito de configuración en desarrollo de su autonomía contractual, siempre que no contravengan la Constitución ni la ley. Por ejemplo, la definición de algunos requisitos de ejecución del contrato, con excepción de los que la ley imponga, la definición de si cierta actuación de la actividad contractual la debe realizar cierta dependencia de la entidad, establecer límites en cuanto a posibilidad de realizar adiciones, detallar los trámites internos que se surten al interior de la entidad y demás aspectos que hagan parte de su ámbito de configuración</w:t>
      </w:r>
      <w:r w:rsidRPr="002A38E9">
        <w:rPr>
          <w:rFonts w:ascii="Verdana" w:hAnsi="Verdana" w:cs="Arial"/>
          <w:color w:val="000000" w:themeColor="text1"/>
        </w:rPr>
        <w:t xml:space="preserve">. </w:t>
      </w:r>
    </w:p>
    <w:p w14:paraId="1C2EB053" w14:textId="64C9212D" w:rsidR="00242182" w:rsidRPr="00800339" w:rsidRDefault="00FE5AEE" w:rsidP="00800339">
      <w:pPr>
        <w:spacing w:after="120" w:line="276" w:lineRule="auto"/>
        <w:ind w:firstLine="709"/>
        <w:jc w:val="both"/>
        <w:rPr>
          <w:rFonts w:ascii="Verdana" w:hAnsi="Verdana" w:cs="Arial"/>
          <w:color w:val="000000" w:themeColor="text1"/>
        </w:rPr>
      </w:pPr>
      <w:r>
        <w:rPr>
          <w:rFonts w:ascii="Verdana" w:eastAsia="Calibri" w:hAnsi="Verdana" w:cs="Arial"/>
          <w:color w:val="000000"/>
          <w:lang w:val="es-ES"/>
        </w:rPr>
        <w:t>Por otra parte, l</w:t>
      </w:r>
      <w:r w:rsidR="00242182" w:rsidRPr="2993F789">
        <w:rPr>
          <w:rFonts w:ascii="Verdana" w:eastAsia="Calibri" w:hAnsi="Verdana" w:cs="Arial"/>
          <w:color w:val="000000"/>
          <w:lang w:val="es-ES"/>
        </w:rPr>
        <w:t>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r w:rsidR="00242182" w:rsidRPr="2993F789">
        <w:rPr>
          <w:rFonts w:ascii="Verdana" w:eastAsia="Calibri" w:hAnsi="Verdana" w:cs="Arial"/>
          <w:color w:val="000000"/>
          <w:vertAlign w:val="superscript"/>
          <w:lang w:val="es-ES"/>
        </w:rPr>
        <w:footnoteReference w:id="9"/>
      </w:r>
      <w:r w:rsidR="00242182" w:rsidRPr="2993F789">
        <w:rPr>
          <w:rFonts w:ascii="Verdana" w:eastAsia="Calibri" w:hAnsi="Verdana" w:cs="Arial"/>
          <w:color w:val="000000"/>
          <w:lang w:val="es-ES"/>
        </w:rPr>
        <w:t>. La doctrina ha definido la liquidación de la siguiente manera:</w:t>
      </w:r>
    </w:p>
    <w:p w14:paraId="462F2948" w14:textId="77777777" w:rsidR="00242182" w:rsidRPr="00FB5FC4" w:rsidRDefault="00242182" w:rsidP="00242182">
      <w:pPr>
        <w:spacing w:after="0" w:line="276" w:lineRule="auto"/>
        <w:jc w:val="both"/>
        <w:rPr>
          <w:rFonts w:ascii="Verdana" w:eastAsia="Calibri" w:hAnsi="Verdana" w:cs="Arial"/>
          <w:color w:val="000000"/>
          <w:lang w:val="es-ES_tradnl"/>
        </w:rPr>
      </w:pPr>
    </w:p>
    <w:p w14:paraId="1A4F93CA" w14:textId="77777777" w:rsidR="00242182" w:rsidRPr="002948B2" w:rsidRDefault="00242182" w:rsidP="00242182">
      <w:pPr>
        <w:spacing w:after="0" w:line="240" w:lineRule="auto"/>
        <w:ind w:left="709" w:right="709"/>
        <w:jc w:val="both"/>
        <w:rPr>
          <w:rFonts w:ascii="Verdana" w:eastAsia="Calibri" w:hAnsi="Verdana" w:cs="Arial"/>
          <w:sz w:val="21"/>
          <w:szCs w:val="21"/>
          <w:lang w:val="es-MX"/>
        </w:rPr>
      </w:pPr>
      <w:r w:rsidRPr="002948B2">
        <w:rPr>
          <w:rFonts w:ascii="Verdana" w:eastAsia="Calibri" w:hAnsi="Verdana" w:cs="Arial"/>
          <w:i/>
          <w:iCs/>
          <w:color w:val="000000"/>
          <w:sz w:val="21"/>
          <w:szCs w:val="21"/>
          <w:lang w:val="es-ES"/>
        </w:rPr>
        <w:t>“</w:t>
      </w:r>
      <w:r w:rsidRPr="002948B2">
        <w:rPr>
          <w:rFonts w:ascii="Verdana" w:eastAsia="Calibri" w:hAnsi="Verdana" w:cs="Arial"/>
          <w:sz w:val="21"/>
          <w:szCs w:val="21"/>
          <w:lang w:val="es-MX"/>
        </w:rPr>
        <w:t>[…]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ii) definir la situación jurídica de las partes, estableciendo si pueden constituirse o no a paz y salvo; lo que exige, en la práctica, que los negociantes dialoguen e intenten ponerse de acuerdo (aspecto subjetivo)”</w:t>
      </w:r>
      <w:r w:rsidRPr="002948B2">
        <w:rPr>
          <w:rFonts w:ascii="Verdana" w:eastAsia="Calibri" w:hAnsi="Verdana" w:cs="Arial"/>
          <w:sz w:val="21"/>
          <w:szCs w:val="21"/>
          <w:vertAlign w:val="superscript"/>
          <w:lang w:val="es-MX"/>
        </w:rPr>
        <w:footnoteReference w:id="10"/>
      </w:r>
      <w:r w:rsidRPr="002948B2">
        <w:rPr>
          <w:rFonts w:ascii="Verdana" w:eastAsia="Calibri" w:hAnsi="Verdana" w:cs="Arial"/>
          <w:sz w:val="21"/>
          <w:szCs w:val="21"/>
          <w:lang w:val="es-MX"/>
        </w:rPr>
        <w:t>.</w:t>
      </w:r>
    </w:p>
    <w:p w14:paraId="79E55DAF" w14:textId="77777777" w:rsidR="00242182" w:rsidRPr="005C4A0F" w:rsidRDefault="00242182" w:rsidP="00242182">
      <w:pPr>
        <w:spacing w:after="0" w:line="276" w:lineRule="auto"/>
        <w:jc w:val="both"/>
        <w:rPr>
          <w:rFonts w:ascii="Verdana" w:eastAsia="Calibri" w:hAnsi="Verdana" w:cs="Arial"/>
          <w:lang w:val="es-ES_tradnl"/>
        </w:rPr>
      </w:pPr>
    </w:p>
    <w:p w14:paraId="6F47F057" w14:textId="77777777" w:rsidR="00242182" w:rsidRDefault="00242182" w:rsidP="002948B2">
      <w:pPr>
        <w:spacing w:after="120" w:line="276" w:lineRule="auto"/>
        <w:ind w:firstLine="709"/>
        <w:jc w:val="both"/>
        <w:rPr>
          <w:rFonts w:ascii="Verdana" w:eastAsia="Times New Roman" w:hAnsi="Verdana" w:cs="Arial"/>
          <w:color w:val="000000"/>
          <w:lang w:val="es-ES" w:eastAsia="es-ES"/>
        </w:rPr>
      </w:pPr>
      <w:r w:rsidRPr="2993F789">
        <w:rPr>
          <w:rFonts w:ascii="Verdana" w:eastAsia="Times New Roman" w:hAnsi="Verdana" w:cs="Arial"/>
          <w:color w:val="000000"/>
          <w:lang w:val="es-ES" w:eastAsia="es-ES"/>
        </w:rPr>
        <w:t xml:space="preserve">Según la jurisprudencia,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2993F789">
        <w:rPr>
          <w:rFonts w:ascii="Verdana" w:eastAsia="Times New Roman" w:hAnsi="Verdana" w:cs="Arial"/>
          <w:i/>
          <w:iCs/>
          <w:color w:val="000000"/>
          <w:lang w:val="es-ES" w:eastAsia="es-ES"/>
        </w:rPr>
        <w:t>liquidar</w:t>
      </w:r>
      <w:r w:rsidRPr="2993F789">
        <w:rPr>
          <w:rFonts w:ascii="Verdana" w:eastAsia="Times New Roman" w:hAnsi="Verdana" w:cs="Arial"/>
          <w:color w:val="000000"/>
          <w:lang w:val="es-ES" w:eastAsia="es-ES"/>
        </w:rPr>
        <w:t xml:space="preserve"> supone un ajuste en relación con las cuentas y el estado de cumplimiento del contrato estatal y, por el otro, que la </w:t>
      </w:r>
      <w:r w:rsidRPr="2993F789">
        <w:rPr>
          <w:rFonts w:ascii="Verdana" w:eastAsia="Times New Roman" w:hAnsi="Verdana" w:cs="Arial"/>
          <w:i/>
          <w:iCs/>
          <w:color w:val="000000"/>
          <w:lang w:val="es-ES" w:eastAsia="es-ES"/>
        </w:rPr>
        <w:t>liquidación</w:t>
      </w:r>
      <w:r w:rsidRPr="2993F789">
        <w:rPr>
          <w:rFonts w:ascii="Verdana" w:eastAsia="Times New Roman" w:hAnsi="Verdana" w:cs="Arial"/>
          <w:color w:val="000000"/>
          <w:lang w:val="es-ES" w:eastAsia="es-ES"/>
        </w:rPr>
        <w:t xml:space="preserve"> debe incluir el análisis de las condiciones de calidad y oportunidad en la entrega de los bienes, obras o servicios, así como el balance económico y el comportamiento financiero del negocio</w:t>
      </w:r>
      <w:r w:rsidRPr="2993F789">
        <w:rPr>
          <w:rFonts w:ascii="Verdana" w:eastAsia="Times New Roman" w:hAnsi="Verdana" w:cs="Arial"/>
          <w:color w:val="000000"/>
          <w:vertAlign w:val="superscript"/>
          <w:lang w:val="es-ES" w:eastAsia="es-ES"/>
        </w:rPr>
        <w:footnoteReference w:id="11"/>
      </w:r>
      <w:r w:rsidRPr="2993F789">
        <w:rPr>
          <w:rFonts w:ascii="Verdana" w:eastAsia="Times New Roman" w:hAnsi="Verdana" w:cs="Arial"/>
          <w:color w:val="000000"/>
          <w:lang w:val="es-ES" w:eastAsia="es-ES"/>
        </w:rPr>
        <w:t xml:space="preserve">. </w:t>
      </w:r>
    </w:p>
    <w:p w14:paraId="35DC3DDB" w14:textId="77777777" w:rsidR="00242182" w:rsidRPr="00463386" w:rsidRDefault="00242182" w:rsidP="002948B2">
      <w:pPr>
        <w:pStyle w:val="Sinespaciado"/>
        <w:spacing w:after="120" w:line="276" w:lineRule="auto"/>
        <w:ind w:firstLine="709"/>
        <w:jc w:val="both"/>
        <w:rPr>
          <w:rFonts w:ascii="Verdana" w:hAnsi="Verdana" w:cs="Arial"/>
          <w:sz w:val="22"/>
          <w:lang w:val="es-ES"/>
        </w:rPr>
      </w:pPr>
      <w:r w:rsidRPr="2993F789">
        <w:rPr>
          <w:rFonts w:ascii="Verdana" w:hAnsi="Verdana" w:cs="Arial"/>
          <w:sz w:val="22"/>
          <w:lang w:val="es-ES"/>
        </w:rPr>
        <w:t>Las disposiciones normativas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mientras que el segundo contiene reglas procedimentales para su realización. De 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El artículo 11 de la Ley 1150 de 2007</w:t>
      </w:r>
      <w:r w:rsidRPr="2993F789">
        <w:rPr>
          <w:rStyle w:val="Refdenotaalpie"/>
          <w:rFonts w:ascii="Verdana" w:hAnsi="Verdana" w:cs="Arial"/>
          <w:sz w:val="22"/>
          <w:lang w:val="es-ES"/>
        </w:rPr>
        <w:footnoteReference w:id="12"/>
      </w:r>
      <w:r w:rsidRPr="2993F789">
        <w:rPr>
          <w:rFonts w:ascii="Verdana" w:hAnsi="Verdana" w:cs="Arial"/>
          <w:sz w:val="22"/>
          <w:lang w:val="es-ES"/>
        </w:rPr>
        <w:t xml:space="preserve"> contiene las reglas de tipo procedimental para liquidar los contratos estatales, las cuales se pasan a explicar. </w:t>
      </w:r>
    </w:p>
    <w:p w14:paraId="5D3DC4F6" w14:textId="77777777" w:rsidR="00242182" w:rsidRPr="00463386" w:rsidRDefault="00242182" w:rsidP="002948B2">
      <w:pPr>
        <w:spacing w:after="120" w:line="276" w:lineRule="auto"/>
        <w:ind w:firstLine="709"/>
        <w:jc w:val="both"/>
        <w:rPr>
          <w:rFonts w:ascii="Verdana" w:hAnsi="Verdana" w:cs="Arial"/>
          <w:lang w:val="es-ES"/>
        </w:rPr>
      </w:pPr>
      <w:r w:rsidRPr="2993F789">
        <w:rPr>
          <w:rFonts w:ascii="Verdana" w:hAnsi="Verdana" w:cs="Arial"/>
          <w:lang w:val="es-ES"/>
        </w:rPr>
        <w:t xml:space="preserve">En primer lugar, en ejercicio de la autonomía de la voluntad y de conformidad con la naturaleza, el objeto y el plazo del contrato, la entidad estatal puede definir en el pliego de condiciones o el documento equivalente el plazo para efectuar la liquidación de mutuo acuerdo. Al respecto, el artículo 11 de la Ley 1150 de 2007 señala que la liquidación de mutuo acuerdo se deberá realizar dentro del plazo previsto en “los pliegos de condiciones o sus equivalentes, o dentro del que acuerden las partes para el efecto”. De otro lado, cuando el artículo 11 </w:t>
      </w:r>
      <w:r w:rsidRPr="2993F789">
        <w:rPr>
          <w:rFonts w:ascii="Verdana" w:hAnsi="Verdana" w:cs="Arial"/>
          <w:i/>
          <w:iCs/>
          <w:lang w:val="es-ES"/>
        </w:rPr>
        <w:t>ibidem</w:t>
      </w:r>
      <w:r w:rsidRPr="2993F789">
        <w:rPr>
          <w:rFonts w:ascii="Verdana" w:hAnsi="Verdana" w:cs="Arial"/>
          <w:lang w:val="es-ES"/>
        </w:rPr>
        <w:t xml:space="preserve"> hace referencia al término que “acuerden las partes” para la liquidación de mutuo acuerdo, claramente está habilitando a las partes para que, en ejercicio de la autonomía de la voluntad que les asiste, prevean de común acuerdo un plazo para la liquidación bilateral. Este plazo, en principio, debe estar consignado en el contrato, al ser este el acto jurídico bilateral en el que se consigna originalmente la voluntad de las partes. </w:t>
      </w:r>
    </w:p>
    <w:p w14:paraId="25B9F95F" w14:textId="77777777" w:rsidR="00242182" w:rsidRDefault="00242182" w:rsidP="002948B2">
      <w:pPr>
        <w:spacing w:after="120" w:line="276" w:lineRule="auto"/>
        <w:ind w:firstLine="709"/>
        <w:jc w:val="both"/>
        <w:rPr>
          <w:rFonts w:ascii="Verdana" w:hAnsi="Verdana" w:cs="Arial"/>
          <w:lang w:val="es-ES"/>
        </w:rPr>
      </w:pPr>
      <w:r w:rsidRPr="2993F789">
        <w:rPr>
          <w:rFonts w:ascii="Verdana" w:hAnsi="Verdana" w:cs="Arial"/>
          <w:lang w:val="es-ES"/>
        </w:rPr>
        <w:t xml:space="preserve">En segundo lugar, en ausencia de pacto, el artículo 11 de la Ley 1150 de 2007 dispone un término supletivo de cuatro (4) meses contados desde: i) el vencimiento del plazo previsto para la ejecución del contrato, ii) la expedición del acto administrativo que ordene la terminación del contrato, o iii) la fecha del acuerdo que disponga la terminación del contrato. Ahora bien, el término supletivo de cuatro (4) meses previstos en el artículo 11 de la Ley 1150 de 2007 solo resulta aplicable ante la ausencia de regulación del mismo en el pliego de condiciones –documento equivalente– y ante la falta de acuerdo entre las partes en torno al plazo de liquidación bilateral. </w:t>
      </w:r>
    </w:p>
    <w:p w14:paraId="6AA0697B" w14:textId="77777777" w:rsidR="00242182" w:rsidRDefault="00242182" w:rsidP="002948B2">
      <w:pPr>
        <w:spacing w:after="120" w:line="276" w:lineRule="auto"/>
        <w:ind w:firstLine="709"/>
        <w:jc w:val="both"/>
        <w:rPr>
          <w:rFonts w:ascii="Verdana" w:hAnsi="Verdana" w:cs="Arial"/>
          <w:lang w:val="es-ES"/>
        </w:rPr>
      </w:pPr>
      <w:r w:rsidRPr="00463386">
        <w:rPr>
          <w:rFonts w:ascii="Verdana" w:hAnsi="Verdana" w:cs="Arial"/>
          <w:lang w:val="es-ES"/>
        </w:rPr>
        <w:t>Durante este término</w:t>
      </w:r>
      <w:r>
        <w:rPr>
          <w:rFonts w:ascii="Verdana" w:hAnsi="Verdana" w:cs="Arial"/>
          <w:lang w:val="es-ES"/>
        </w:rPr>
        <w:t xml:space="preserve"> de cuatro (4) meses,</w:t>
      </w:r>
      <w:r w:rsidRPr="00463386">
        <w:rPr>
          <w:rFonts w:ascii="Verdana" w:hAnsi="Verdana" w:cs="Arial"/>
          <w:lang w:val="es-ES"/>
        </w:rPr>
        <w:t xml:space="preserve"> el contratista puede solicitar que se adelante el trámite de liquidación. Sin embargo, es responsabilidad de la entidad estatal convocarlo para adelantar la liquidación de común acuerdo o notificarlo para que se presente a la liquidación</w:t>
      </w:r>
      <w:r w:rsidRPr="00463386">
        <w:rPr>
          <w:rStyle w:val="Refdenotaalpie"/>
          <w:rFonts w:ascii="Verdana" w:hAnsi="Verdana" w:cs="Arial"/>
          <w:lang w:val="es-ES"/>
        </w:rPr>
        <w:footnoteReference w:id="13"/>
      </w:r>
      <w:r w:rsidRPr="00463386">
        <w:rPr>
          <w:rFonts w:ascii="Verdana" w:hAnsi="Verdana" w:cs="Arial"/>
          <w:lang w:val="es-ES"/>
        </w:rPr>
        <w:t>, de manera que el contrato pueda ser liquidado bilateralmente, bien sea en el plazo previsto en el pliego de condiciones, el acordado por las partes, o en los cuatro</w:t>
      </w:r>
      <w:r>
        <w:rPr>
          <w:rFonts w:ascii="Verdana" w:hAnsi="Verdana" w:cs="Arial"/>
          <w:lang w:val="es-ES"/>
        </w:rPr>
        <w:t xml:space="preserve"> (4)</w:t>
      </w:r>
      <w:r w:rsidRPr="00463386">
        <w:rPr>
          <w:rFonts w:ascii="Verdana" w:hAnsi="Verdana" w:cs="Arial"/>
          <w:lang w:val="es-ES"/>
        </w:rPr>
        <w:t xml:space="preserve"> meses señalados en la Ley, según corresponda. Esta liquidación bilateral puede ser total o parcial</w:t>
      </w:r>
      <w:r w:rsidRPr="00463386">
        <w:rPr>
          <w:rStyle w:val="Refdenotaalpie"/>
          <w:rFonts w:ascii="Verdana" w:hAnsi="Verdana" w:cs="Arial"/>
          <w:lang w:val="es-ES"/>
        </w:rPr>
        <w:footnoteReference w:id="14"/>
      </w:r>
      <w:r w:rsidRPr="00463386">
        <w:rPr>
          <w:rFonts w:ascii="Verdana" w:hAnsi="Verdana" w:cs="Arial"/>
          <w:lang w:val="es-ES"/>
        </w:rPr>
        <w:t xml:space="preserve">. </w:t>
      </w:r>
    </w:p>
    <w:p w14:paraId="26FB87D3" w14:textId="77777777" w:rsidR="00242182" w:rsidRPr="00463386" w:rsidRDefault="00242182" w:rsidP="002948B2">
      <w:pPr>
        <w:spacing w:after="120" w:line="276" w:lineRule="auto"/>
        <w:ind w:firstLine="709"/>
        <w:jc w:val="both"/>
        <w:rPr>
          <w:rFonts w:ascii="Verdana" w:hAnsi="Verdana" w:cs="Arial"/>
          <w:lang w:val="es-ES"/>
        </w:rPr>
      </w:pPr>
      <w:r w:rsidRPr="2993F789">
        <w:rPr>
          <w:rFonts w:ascii="Verdana" w:hAnsi="Verdana" w:cs="Arial"/>
          <w:lang w:val="es-ES"/>
        </w:rPr>
        <w:t>Si no es posible efectuar la liquidación de manera bilateral en los términos anteriormente explicados, el ordenamiento jurídico prevé una habilitación competencial, de carácter subsidiario, para que la entidad estatal realice la liquidación unilateralmente. Sobre este punto, el Consejo de Estado ha señalado:</w:t>
      </w:r>
    </w:p>
    <w:p w14:paraId="1A9671F6" w14:textId="77777777" w:rsidR="00242182" w:rsidRPr="00D03768" w:rsidRDefault="00242182" w:rsidP="00242182">
      <w:pPr>
        <w:pStyle w:val="Sinespaciado"/>
        <w:spacing w:line="276" w:lineRule="auto"/>
        <w:ind w:left="709" w:right="760"/>
        <w:jc w:val="both"/>
        <w:rPr>
          <w:rFonts w:ascii="Verdana" w:hAnsi="Verdana" w:cs="Arial"/>
          <w:sz w:val="22"/>
          <w:lang w:val="es-ES"/>
        </w:rPr>
      </w:pPr>
    </w:p>
    <w:p w14:paraId="189EA8B6" w14:textId="77777777" w:rsidR="00242182" w:rsidRPr="002948B2" w:rsidRDefault="00242182" w:rsidP="00242182">
      <w:pPr>
        <w:pStyle w:val="Sinespaciado"/>
        <w:ind w:left="709" w:right="709"/>
        <w:jc w:val="both"/>
        <w:rPr>
          <w:rFonts w:ascii="Verdana" w:hAnsi="Verdana" w:cs="Arial"/>
          <w:sz w:val="21"/>
          <w:szCs w:val="21"/>
          <w:lang w:val="es-ES"/>
        </w:rPr>
      </w:pPr>
      <w:r w:rsidRPr="002948B2">
        <w:rPr>
          <w:rFonts w:ascii="Verdana" w:hAnsi="Verdana" w:cs="Arial"/>
          <w:sz w:val="21"/>
          <w:szCs w:val="21"/>
          <w:lang w:val="es-ES"/>
        </w:rPr>
        <w:t>“Al respecto se debe tener en cuenta que la liquidación unilateral es subsidiaria o supletoria frente a la bilateral, dado que el contratista tiene derecho a acordar la liquidación, debidamente reconocido por el ordenamiento jurídico. Para tal efecto, el contratista debe ser convocado o citado por la entidad contratante con el fin de intentar la liquidación bilateral, puesto que en el supuesto caso de que no sea así, la liquidación unilateral posterior que llegase a practicar la administración resultaría inválida, dado que no tendría competencia material para hacerla y por cuanto su adopción con tal omisión vulneraría el derecho del contratista al debido proceso y sus corolarios de defensa y contradicción y, además, configuraría un abuso de poder”</w:t>
      </w:r>
      <w:r w:rsidRPr="002948B2">
        <w:rPr>
          <w:rStyle w:val="Refdenotaalpie"/>
          <w:rFonts w:ascii="Verdana" w:hAnsi="Verdana" w:cs="Arial"/>
          <w:sz w:val="21"/>
          <w:szCs w:val="21"/>
          <w:lang w:val="es-ES"/>
        </w:rPr>
        <w:footnoteReference w:id="15"/>
      </w:r>
      <w:r w:rsidRPr="002948B2">
        <w:rPr>
          <w:rFonts w:ascii="Verdana" w:hAnsi="Verdana" w:cs="Arial"/>
          <w:sz w:val="21"/>
          <w:szCs w:val="21"/>
          <w:lang w:val="es-ES"/>
        </w:rPr>
        <w:t xml:space="preserve">. </w:t>
      </w:r>
    </w:p>
    <w:p w14:paraId="19BB0664" w14:textId="77777777" w:rsidR="00242182" w:rsidRPr="00D03768" w:rsidRDefault="00242182" w:rsidP="00242182">
      <w:pPr>
        <w:pStyle w:val="Sinespaciado"/>
        <w:spacing w:line="276" w:lineRule="auto"/>
        <w:ind w:left="709" w:right="709"/>
        <w:jc w:val="both"/>
        <w:rPr>
          <w:rFonts w:ascii="Verdana" w:hAnsi="Verdana" w:cs="Arial"/>
          <w:sz w:val="22"/>
          <w:lang w:val="es-ES"/>
        </w:rPr>
      </w:pPr>
    </w:p>
    <w:p w14:paraId="36F0ED9D" w14:textId="77777777" w:rsidR="00242182" w:rsidRDefault="00242182" w:rsidP="002948B2">
      <w:pPr>
        <w:pStyle w:val="Sinespaciado"/>
        <w:spacing w:after="240" w:line="276" w:lineRule="auto"/>
        <w:ind w:firstLine="709"/>
        <w:jc w:val="both"/>
        <w:rPr>
          <w:rFonts w:ascii="Verdana" w:hAnsi="Verdana" w:cs="Arial"/>
          <w:sz w:val="22"/>
          <w:lang w:val="es-ES"/>
        </w:rPr>
      </w:pPr>
      <w:r w:rsidRPr="2993F789">
        <w:rPr>
          <w:rFonts w:ascii="Verdana" w:hAnsi="Verdana" w:cs="Arial"/>
          <w:sz w:val="22"/>
          <w:lang w:val="es-ES"/>
        </w:rPr>
        <w:t>Por lo tanto, si no se logra la liquidación bilateral del contrato en el término convencional o subsidiario, la entidad estatal tiene la facultad de liquidarlo unilateralmente durante el término de dos (2) meses contados a partir del vencimiento del plazo que acuerden las partes para liquidar bilateralmente, o ante el silencio de estas, del vencimiento de los cuatro (4) meses establecidos por la ley</w:t>
      </w:r>
      <w:r w:rsidRPr="2993F789">
        <w:rPr>
          <w:rStyle w:val="Refdenotaalpie"/>
          <w:rFonts w:ascii="Verdana" w:hAnsi="Verdana" w:cs="Arial"/>
          <w:sz w:val="22"/>
          <w:lang w:val="es-ES"/>
        </w:rPr>
        <w:footnoteReference w:id="16"/>
      </w:r>
      <w:r w:rsidRPr="2993F789">
        <w:rPr>
          <w:rFonts w:ascii="Verdana" w:hAnsi="Verdana" w:cs="Arial"/>
          <w:sz w:val="22"/>
          <w:lang w:val="es-ES"/>
        </w:rPr>
        <w:t xml:space="preserve">. Finalmente, transcurridos estos dos (2) meses, sin que se haya efectuado, la liquidación podrá realizarse en cualquier tiempo dentro de los dos (2) años siguientes al vencimiento del término legal para la liquidación unilateral. Durante estos dos (2) años la liquidación podrá hacerse de mutuo acuerdo, unilateralmente por la entidad, o podrá ser solicitada judicialmente. En este sentido, en decisión de unificación, el Consejo de Estado dijo: </w:t>
      </w:r>
    </w:p>
    <w:p w14:paraId="53D87E38" w14:textId="77777777" w:rsidR="00242182" w:rsidRPr="00463386" w:rsidRDefault="00242182" w:rsidP="00242182">
      <w:pPr>
        <w:pStyle w:val="Sinespaciado"/>
        <w:spacing w:line="276" w:lineRule="auto"/>
        <w:ind w:firstLine="708"/>
        <w:jc w:val="both"/>
        <w:rPr>
          <w:rFonts w:ascii="Verdana" w:hAnsi="Verdana" w:cs="Arial"/>
          <w:sz w:val="22"/>
          <w:lang w:val="es-ES"/>
        </w:rPr>
      </w:pPr>
    </w:p>
    <w:p w14:paraId="336F108C" w14:textId="77777777" w:rsidR="00242182" w:rsidRPr="00C95894" w:rsidRDefault="00242182" w:rsidP="002948B2">
      <w:pPr>
        <w:pStyle w:val="Sinespaciado"/>
        <w:ind w:left="709" w:right="709"/>
        <w:jc w:val="both"/>
        <w:rPr>
          <w:rFonts w:ascii="Verdana" w:hAnsi="Verdana" w:cs="Arial"/>
          <w:sz w:val="21"/>
          <w:szCs w:val="21"/>
          <w:lang w:val="es-ES"/>
        </w:rPr>
      </w:pPr>
      <w:r w:rsidRPr="00C95894">
        <w:rPr>
          <w:rFonts w:ascii="Verdana" w:hAnsi="Verdana" w:cs="Arial"/>
          <w:sz w:val="21"/>
          <w:szCs w:val="21"/>
          <w:lang w:val="es-ES"/>
        </w:rPr>
        <w:t>Como pudo apreciarse, este precepto legal permite que la liquidación bilateral se acuerde después del vencimiento del término pactado en el contrato o previsto en los documentos antepuestos, o, del término supletorio que para la concertación de la liquidación establece la ley, e  incluso, después de haber pasado los dos meses subsiguientes a dicho vencimiento sin que la administración lo hubiera liquidado unilateralmente, bajo condición de que el acuerdo liquidatorio se logre dentro del lapso de dos años contados a partir del vencimiento del término legalmente conocido para la liquidación unilateral, pues ese es el lapso que el ordenamiento ha fijado para el ejercicio oportuno de la acción</w:t>
      </w:r>
      <w:r w:rsidRPr="00C95894">
        <w:rPr>
          <w:rStyle w:val="Refdenotaalpie"/>
          <w:rFonts w:ascii="Verdana" w:hAnsi="Verdana" w:cs="Arial"/>
          <w:sz w:val="21"/>
          <w:szCs w:val="21"/>
          <w:lang w:val="es-ES"/>
        </w:rPr>
        <w:footnoteReference w:id="17"/>
      </w:r>
      <w:r w:rsidRPr="00C95894">
        <w:rPr>
          <w:rFonts w:ascii="Verdana" w:hAnsi="Verdana" w:cs="Arial"/>
          <w:sz w:val="21"/>
          <w:szCs w:val="21"/>
          <w:lang w:val="es-ES"/>
        </w:rPr>
        <w:t>.</w:t>
      </w:r>
    </w:p>
    <w:p w14:paraId="46DA9B68" w14:textId="77777777" w:rsidR="00242182" w:rsidRPr="00D03768" w:rsidRDefault="00242182" w:rsidP="00242182">
      <w:pPr>
        <w:pStyle w:val="Sinespaciado"/>
        <w:ind w:right="709" w:firstLine="709"/>
        <w:jc w:val="both"/>
        <w:rPr>
          <w:rFonts w:ascii="Verdana" w:hAnsi="Verdana" w:cs="Arial"/>
          <w:sz w:val="22"/>
          <w:lang w:val="es-ES"/>
        </w:rPr>
      </w:pPr>
    </w:p>
    <w:p w14:paraId="4B88C8BC" w14:textId="77777777" w:rsidR="00242182" w:rsidRPr="005C4A0F" w:rsidRDefault="00242182" w:rsidP="00C95894">
      <w:pPr>
        <w:tabs>
          <w:tab w:val="left" w:pos="709"/>
        </w:tabs>
        <w:spacing w:after="120" w:line="276" w:lineRule="auto"/>
        <w:ind w:firstLine="709"/>
        <w:jc w:val="both"/>
        <w:rPr>
          <w:rFonts w:ascii="Verdana" w:eastAsia="Calibri" w:hAnsi="Verdana" w:cs="Arial"/>
        </w:rPr>
      </w:pPr>
      <w:r w:rsidRPr="4A3FD318">
        <w:rPr>
          <w:rFonts w:ascii="Verdana" w:eastAsia="Calibri" w:hAnsi="Verdana" w:cs="Arial"/>
        </w:rPr>
        <w:t>En armonía con lo anterior, se podrá interponer una demanda ante la jurisdicción de lo contencioso administrativo solicitando la liquidación judicial del contrato, mediante el medio de control de controversias contractuales, en los términos del artículo 141 del Código de Procedimiento Administrativo y de lo Contencioso Administrativo –CPACA–. La demanda debe ser presentada dentro del término que establece el artículo 164 del CPACA, pues de lo contrario operará el fenómeno de la caducidad, por lo cual no sería posible realizar la liquidación del contrato por ningún medio.</w:t>
      </w:r>
    </w:p>
    <w:p w14:paraId="5989B9F9" w14:textId="77777777" w:rsidR="00242182" w:rsidRPr="006D2030" w:rsidRDefault="00242182" w:rsidP="00C95894">
      <w:pPr>
        <w:spacing w:after="120" w:line="276" w:lineRule="auto"/>
        <w:ind w:firstLine="709"/>
        <w:jc w:val="both"/>
        <w:rPr>
          <w:rFonts w:ascii="Verdana" w:eastAsia="Calibri" w:hAnsi="Verdana" w:cs="Arial"/>
          <w:lang w:val="es-ES"/>
        </w:rPr>
      </w:pPr>
      <w:r w:rsidRPr="4A3FD318">
        <w:rPr>
          <w:rFonts w:ascii="Verdana" w:eastAsia="Calibri" w:hAnsi="Verdana" w:cs="Arial"/>
          <w:lang w:val="es-ES"/>
        </w:rPr>
        <w:t>En este punto, es pertinente aclarar que, en relación con el término de caducidad para demandar en aquellos contratos que requieran liquidación, la jurisprudencia unificada del Consejo de Estado ha determinado que, en virtud del artículo 164 de la Ley 1437 de 2011 -CPACA-, la regla general es que los dos (2) años comiencen a correr a partir de la fecha de expedición del acta de liquidación, bien sea unilateral o de mutuo acuerdo. Solo en caso de que no exista liquidación de ningún tipo, el término de dos (2) años comienza a contar a partir de la suma de los seis (6) meses de que trata el artículo 11 de la Ley 1150 de 2011.</w:t>
      </w:r>
    </w:p>
    <w:p w14:paraId="13B071F5" w14:textId="77777777" w:rsidR="00242182" w:rsidRPr="006D2030" w:rsidRDefault="00242182" w:rsidP="00C95894">
      <w:pPr>
        <w:spacing w:after="120" w:line="276" w:lineRule="auto"/>
        <w:ind w:firstLine="709"/>
        <w:jc w:val="both"/>
        <w:rPr>
          <w:rFonts w:ascii="Verdana" w:eastAsia="Calibri" w:hAnsi="Verdana" w:cs="Arial"/>
          <w:lang w:val="es-ES"/>
        </w:rPr>
      </w:pPr>
      <w:r w:rsidRPr="4A3FD318">
        <w:rPr>
          <w:rFonts w:ascii="Verdana" w:eastAsia="Calibri" w:hAnsi="Verdana" w:cs="Arial"/>
          <w:lang w:val="es-ES"/>
        </w:rPr>
        <w:t>Así las cosas, es claro que el ordenamiento jurídico vigente permite la liquidación unilateral, bilateral e incluso judicial una vez vencido el plazo establecido por el artículo 11 de la Ley 1150 de 2007. En otras palabras, la liquidación final de los contratos estatales tiene un ámbito temporal que empieza con la terminación del contrato y comprende: i) el periodo contractual pactado por las partes o supletivo legal –de cuatro (4) meses– para la liquidación bilateral; ii) más el período legal para la liquidación unilateral –de dos (2) meses–; iii) más el plazo de dos (2) años para hacerlo de mutuo acuerdo o unilateralmente, sin perjuicio de que se solicite la liquidación judicial.</w:t>
      </w:r>
    </w:p>
    <w:p w14:paraId="73107814" w14:textId="77777777" w:rsidR="00242182" w:rsidRDefault="00242182" w:rsidP="00C95894">
      <w:pPr>
        <w:spacing w:after="120" w:line="276" w:lineRule="auto"/>
        <w:ind w:firstLine="709"/>
        <w:jc w:val="both"/>
        <w:rPr>
          <w:rFonts w:ascii="Verdana" w:hAnsi="Verdana" w:cs="Arial"/>
          <w:lang w:val="es-ES"/>
        </w:rPr>
      </w:pPr>
      <w:r w:rsidRPr="4A3FD318">
        <w:rPr>
          <w:rFonts w:ascii="Verdana" w:hAnsi="Verdana" w:cs="Arial"/>
          <w:color w:val="000000" w:themeColor="text1"/>
          <w:lang w:val="es-ES"/>
        </w:rPr>
        <w:t xml:space="preserve">En ese orden de ideas, si se trata de un contrato en el cual no existe pacto sobre el término para la liquidación bilateral, el término supletivo aplicaría, y se podría liquidar el contrato dentro de los cuatro (4) meses siguientes a su terminación de manera bilateral, dentro de los dos (2) meses siguientes a ellos de manera unilateral por la entidad, más un plazo de dos (2) años para la liquidación unilateral, bilateral o judicial. Esto, para un total de dos (2) años y seis (6) meses.  Estos términos pueden verse modificados si las partes acuerdan un plazo mayor o menor para realizar la liquidación de mutuo acuerdo, con lo cual dejaría de estar incluido el término supletivo de la Ley 1150 de 2007. </w:t>
      </w:r>
      <w:r w:rsidRPr="4A3FD318">
        <w:rPr>
          <w:rFonts w:ascii="Verdana" w:hAnsi="Verdana" w:cs="Arial"/>
          <w:lang w:val="es-ES"/>
        </w:rPr>
        <w:t xml:space="preserve"> </w:t>
      </w:r>
    </w:p>
    <w:p w14:paraId="59DB7A52" w14:textId="77777777" w:rsidR="00242182" w:rsidRDefault="00242182" w:rsidP="00C95894">
      <w:pPr>
        <w:spacing w:after="120" w:line="276" w:lineRule="auto"/>
        <w:ind w:firstLine="709"/>
        <w:jc w:val="both"/>
        <w:rPr>
          <w:rFonts w:ascii="Verdana" w:hAnsi="Verdana" w:cs="Arial"/>
          <w:lang w:val="es-ES"/>
        </w:rPr>
      </w:pPr>
      <w:r w:rsidRPr="2993F789">
        <w:rPr>
          <w:rFonts w:ascii="Verdana" w:hAnsi="Verdana" w:cs="Arial"/>
          <w:lang w:val="es-ES"/>
        </w:rPr>
        <w:t xml:space="preserve">En suma, de acuerdo con el artículo 11 de la Ley 1150 de 2007, existen tres (3) tipos de liquidación: </w:t>
      </w:r>
    </w:p>
    <w:p w14:paraId="53F07AB9" w14:textId="77777777" w:rsidR="00242182" w:rsidRPr="00D260F1" w:rsidRDefault="00242182" w:rsidP="00242182">
      <w:pPr>
        <w:numPr>
          <w:ilvl w:val="0"/>
          <w:numId w:val="20"/>
        </w:numPr>
        <w:spacing w:after="120" w:line="276" w:lineRule="auto"/>
        <w:ind w:left="360"/>
        <w:jc w:val="both"/>
        <w:rPr>
          <w:rFonts w:ascii="Verdana" w:hAnsi="Verdana" w:cs="Arial"/>
        </w:rPr>
      </w:pPr>
      <w:r w:rsidRPr="2993F789">
        <w:rPr>
          <w:rFonts w:ascii="Verdana" w:hAnsi="Verdana" w:cs="Arial"/>
          <w:i/>
          <w:iCs/>
        </w:rPr>
        <w:t>Bilateral:</w:t>
      </w:r>
      <w:r w:rsidRPr="2993F789">
        <w:rPr>
          <w:rFonts w:ascii="Verdana" w:hAnsi="Verdana" w:cs="Arial"/>
        </w:rPr>
        <w:t xml:space="preserve"> Puede ser total o parcial, y debe realizarse dentro del término pactado por las partes o, en su defecto, dentro del término supletivo de cuatro (4) meses.</w:t>
      </w:r>
    </w:p>
    <w:p w14:paraId="4BA0EA5E" w14:textId="77777777" w:rsidR="00242182" w:rsidRPr="00D260F1" w:rsidRDefault="00242182" w:rsidP="00242182">
      <w:pPr>
        <w:numPr>
          <w:ilvl w:val="0"/>
          <w:numId w:val="20"/>
        </w:numPr>
        <w:spacing w:after="120" w:line="276" w:lineRule="auto"/>
        <w:ind w:left="360"/>
        <w:jc w:val="both"/>
        <w:rPr>
          <w:rFonts w:ascii="Verdana" w:hAnsi="Verdana" w:cs="Arial"/>
        </w:rPr>
      </w:pPr>
      <w:r w:rsidRPr="2993F789">
        <w:rPr>
          <w:rFonts w:ascii="Verdana" w:hAnsi="Verdana" w:cs="Arial"/>
          <w:i/>
          <w:iCs/>
        </w:rPr>
        <w:t>Unilateral:</w:t>
      </w:r>
      <w:r w:rsidRPr="2993F789">
        <w:rPr>
          <w:rFonts w:ascii="Verdana" w:hAnsi="Verdana" w:cs="Arial"/>
        </w:rPr>
        <w:t xml:space="preserve"> Procede dentro de los dos (2) meses siguientes al vencimiento del término pactado o del término supletivo, si no se logró la liquidación bilateral.</w:t>
      </w:r>
    </w:p>
    <w:p w14:paraId="774BE5D9" w14:textId="77777777" w:rsidR="00242182" w:rsidRPr="00D260F1" w:rsidRDefault="00242182" w:rsidP="00242182">
      <w:pPr>
        <w:numPr>
          <w:ilvl w:val="0"/>
          <w:numId w:val="20"/>
        </w:numPr>
        <w:spacing w:after="0" w:line="276" w:lineRule="auto"/>
        <w:ind w:left="360"/>
        <w:jc w:val="both"/>
        <w:rPr>
          <w:rFonts w:ascii="Verdana" w:hAnsi="Verdana" w:cs="Arial"/>
        </w:rPr>
      </w:pPr>
      <w:r w:rsidRPr="2993F789">
        <w:rPr>
          <w:rFonts w:ascii="Verdana" w:hAnsi="Verdana" w:cs="Arial"/>
          <w:i/>
          <w:iCs/>
        </w:rPr>
        <w:t>Judicial:</w:t>
      </w:r>
      <w:r w:rsidRPr="2993F789">
        <w:rPr>
          <w:rFonts w:ascii="Verdana" w:hAnsi="Verdana" w:cs="Arial"/>
        </w:rPr>
        <w:t xml:space="preserve"> Puede ser solicitada ante la Jurisdicción de lo Contencioso Administrativo o un tribunal de arbitramento, mediante el medio de control de controversias contractuales. Esta debe interponerse dentro de los dos (2) años siguientes al vencimiento del término para la liquidación unilateral, conforme a la jurisprudencia unificada del Consejo de Estado</w:t>
      </w:r>
    </w:p>
    <w:p w14:paraId="35BD9D89" w14:textId="77777777" w:rsidR="00242182" w:rsidRPr="00D03768" w:rsidRDefault="00242182" w:rsidP="00242182">
      <w:pPr>
        <w:spacing w:after="0" w:line="276" w:lineRule="auto"/>
        <w:ind w:firstLine="709"/>
        <w:jc w:val="both"/>
        <w:rPr>
          <w:rFonts w:ascii="Verdana" w:hAnsi="Verdana" w:cs="Arial"/>
          <w:lang w:val="es-ES"/>
        </w:rPr>
      </w:pPr>
    </w:p>
    <w:p w14:paraId="4651533B" w14:textId="76163696" w:rsidR="00242182" w:rsidRDefault="00242182" w:rsidP="00196354">
      <w:pPr>
        <w:spacing w:after="120" w:line="276" w:lineRule="auto"/>
        <w:ind w:firstLine="360"/>
        <w:jc w:val="both"/>
        <w:rPr>
          <w:rFonts w:ascii="Verdana" w:hAnsi="Verdana" w:cs="Arial"/>
          <w:lang w:val="es-ES"/>
        </w:rPr>
      </w:pPr>
      <w:r w:rsidRPr="2993F789">
        <w:rPr>
          <w:rFonts w:ascii="Verdana" w:eastAsia="Times New Roman" w:hAnsi="Verdana" w:cs="Calibri"/>
          <w:lang w:val="es-ES"/>
        </w:rPr>
        <w:t>Ahora bien, en atención a</w:t>
      </w:r>
      <w:r w:rsidR="005342D7">
        <w:rPr>
          <w:rFonts w:ascii="Verdana" w:eastAsia="Times New Roman" w:hAnsi="Verdana" w:cs="Calibri"/>
          <w:lang w:val="es-ES"/>
        </w:rPr>
        <w:t xml:space="preserve">l </w:t>
      </w:r>
      <w:r w:rsidRPr="2993F789">
        <w:rPr>
          <w:rFonts w:ascii="Verdana" w:eastAsia="Times New Roman" w:hAnsi="Verdana" w:cs="Calibri"/>
          <w:lang w:val="es-ES"/>
        </w:rPr>
        <w:t>interrogante</w:t>
      </w:r>
      <w:r w:rsidR="00C95894">
        <w:rPr>
          <w:rFonts w:ascii="Verdana" w:eastAsia="Times New Roman" w:hAnsi="Verdana" w:cs="Calibri"/>
          <w:lang w:val="es-ES"/>
        </w:rPr>
        <w:t xml:space="preserve">, </w:t>
      </w:r>
      <w:r w:rsidRPr="2993F789">
        <w:rPr>
          <w:rFonts w:ascii="Verdana" w:eastAsia="Times New Roman" w:hAnsi="Verdana" w:cs="Calibri"/>
          <w:lang w:val="es-ES"/>
        </w:rPr>
        <w:t xml:space="preserve">es importante reiterar que, de acuerdo con </w:t>
      </w:r>
      <w:r w:rsidRPr="2993F789">
        <w:rPr>
          <w:rFonts w:ascii="Verdana" w:hAnsi="Verdana" w:cs="Arial"/>
          <w:lang w:val="es-ES"/>
        </w:rPr>
        <w:t>el artículo 60 de la Ley 80 de 1993 y el artículo 11 de la Ley 1150 de 2007, la liquidación es obligatoria en los siguientes casos:</w:t>
      </w:r>
    </w:p>
    <w:p w14:paraId="38F2DCB2" w14:textId="77777777" w:rsidR="00242182" w:rsidRPr="00EC038F" w:rsidRDefault="00242182" w:rsidP="00242182">
      <w:pPr>
        <w:numPr>
          <w:ilvl w:val="0"/>
          <w:numId w:val="19"/>
        </w:numPr>
        <w:spacing w:after="120" w:line="276" w:lineRule="auto"/>
        <w:jc w:val="both"/>
        <w:rPr>
          <w:rFonts w:ascii="Verdana" w:eastAsia="Calibri" w:hAnsi="Verdana" w:cs="Arial"/>
        </w:rPr>
      </w:pPr>
      <w:r w:rsidRPr="4A3FD318">
        <w:rPr>
          <w:rFonts w:ascii="Verdana" w:eastAsia="Calibri" w:hAnsi="Verdana" w:cs="Arial"/>
        </w:rPr>
        <w:t xml:space="preserve">Los </w:t>
      </w:r>
      <w:r w:rsidRPr="4A3FD318">
        <w:rPr>
          <w:rFonts w:ascii="Verdana" w:eastAsia="Calibri" w:hAnsi="Verdana" w:cs="Arial"/>
          <w:i/>
          <w:iCs/>
        </w:rPr>
        <w:t>contratos de tracto sucesivo</w:t>
      </w:r>
      <w:r w:rsidRPr="4A3FD318">
        <w:rPr>
          <w:rFonts w:ascii="Verdana" w:eastAsia="Calibri" w:hAnsi="Verdana" w:cs="Arial"/>
        </w:rPr>
        <w:t>, esto es, aquellos cuyas obligaciones se ejecutan de manera periódica o difieren en el tiempo o sucesivamente a medida que se van causando;</w:t>
      </w:r>
    </w:p>
    <w:p w14:paraId="58095F78" w14:textId="77777777" w:rsidR="00242182" w:rsidRPr="00EC038F" w:rsidRDefault="00242182" w:rsidP="00242182">
      <w:pPr>
        <w:numPr>
          <w:ilvl w:val="0"/>
          <w:numId w:val="19"/>
        </w:numPr>
        <w:spacing w:after="120" w:line="276" w:lineRule="auto"/>
        <w:jc w:val="both"/>
        <w:rPr>
          <w:rFonts w:ascii="Verdana" w:eastAsia="Calibri" w:hAnsi="Verdana" w:cs="Arial"/>
        </w:rPr>
      </w:pPr>
      <w:r w:rsidRPr="2993F789">
        <w:rPr>
          <w:rFonts w:ascii="Verdana" w:eastAsia="Calibri" w:hAnsi="Verdana" w:cs="Arial"/>
        </w:rPr>
        <w:t xml:space="preserve">Aquellos </w:t>
      </w:r>
      <w:r w:rsidRPr="2993F789">
        <w:rPr>
          <w:rFonts w:ascii="Verdana" w:eastAsia="Calibri" w:hAnsi="Verdana" w:cs="Arial"/>
          <w:i/>
          <w:iCs/>
        </w:rPr>
        <w:t>cuya ejecución o cumplimiento se prolongue en el tiempo</w:t>
      </w:r>
      <w:r w:rsidRPr="2993F789">
        <w:rPr>
          <w:rFonts w:ascii="Verdana" w:eastAsia="Calibri" w:hAnsi="Verdana" w:cs="Arial"/>
        </w:rPr>
        <w:t>, ya sea por la naturaleza periódica de las prestaciones o por las vicisitudes que se presenten en su ejecución que lo dilaten o prorroguen y</w:t>
      </w:r>
    </w:p>
    <w:p w14:paraId="7AA07161" w14:textId="77777777" w:rsidR="00242182" w:rsidRPr="005C4A0F" w:rsidRDefault="00242182" w:rsidP="00242182">
      <w:pPr>
        <w:numPr>
          <w:ilvl w:val="0"/>
          <w:numId w:val="19"/>
        </w:numPr>
        <w:spacing w:after="120" w:line="276" w:lineRule="auto"/>
        <w:jc w:val="both"/>
        <w:rPr>
          <w:rFonts w:ascii="Verdana" w:eastAsia="Times New Roman" w:hAnsi="Verdana" w:cs="Calibri"/>
          <w:lang w:val="es-ES"/>
        </w:rPr>
      </w:pPr>
      <w:r w:rsidRPr="00F37468">
        <w:rPr>
          <w:rFonts w:ascii="Verdana" w:eastAsia="Calibri" w:hAnsi="Verdana" w:cs="Arial"/>
        </w:rPr>
        <w:t xml:space="preserve">Los </w:t>
      </w:r>
      <w:r w:rsidRPr="2993F789">
        <w:rPr>
          <w:rFonts w:ascii="Verdana" w:eastAsia="Calibri" w:hAnsi="Verdana" w:cs="Arial"/>
          <w:i/>
          <w:iCs/>
        </w:rPr>
        <w:t>demás que lo requieran</w:t>
      </w:r>
      <w:r w:rsidRPr="00F37468">
        <w:rPr>
          <w:rFonts w:ascii="Verdana" w:eastAsia="Calibri" w:hAnsi="Verdana" w:cs="Arial"/>
        </w:rPr>
        <w:t>, con fundamento a su naturaleza, objeto y plazo, así como a su importancia o relevancia o por la eventualidad de discrepancias y controversias en torno a su ejecución.</w:t>
      </w:r>
      <w:r w:rsidRPr="00F37468">
        <w:rPr>
          <w:rStyle w:val="Refdenotaalpie"/>
          <w:rFonts w:ascii="Verdana" w:eastAsia="Calibri" w:hAnsi="Verdana"/>
        </w:rPr>
        <w:footnoteReference w:id="18"/>
      </w:r>
    </w:p>
    <w:p w14:paraId="782AA0ED" w14:textId="77777777" w:rsidR="00242182" w:rsidRPr="00F37468" w:rsidRDefault="00242182" w:rsidP="00242182">
      <w:pPr>
        <w:numPr>
          <w:ilvl w:val="0"/>
          <w:numId w:val="19"/>
        </w:numPr>
        <w:spacing w:after="120" w:line="276" w:lineRule="auto"/>
        <w:jc w:val="both"/>
        <w:rPr>
          <w:rFonts w:ascii="Verdana" w:eastAsia="Times New Roman" w:hAnsi="Verdana" w:cs="Calibri"/>
          <w:lang w:val="es-ES"/>
        </w:rPr>
      </w:pPr>
      <w:r w:rsidRPr="2993F789">
        <w:rPr>
          <w:rFonts w:ascii="Verdana" w:eastAsia="Times New Roman" w:hAnsi="Verdana" w:cs="Calibri"/>
          <w:i/>
          <w:iCs/>
        </w:rPr>
        <w:t>No será obligatori</w:t>
      </w:r>
      <w:r w:rsidRPr="2993F789">
        <w:rPr>
          <w:rFonts w:ascii="Verdana" w:eastAsia="Times New Roman" w:hAnsi="Verdana" w:cs="Calibri"/>
        </w:rPr>
        <w:t>a en los contratos de prestación de servicios profesionales y de apoyo a la gestión.</w:t>
      </w:r>
    </w:p>
    <w:p w14:paraId="166CACB2" w14:textId="77777777" w:rsidR="00242182" w:rsidRDefault="00242182" w:rsidP="005342D7">
      <w:pPr>
        <w:spacing w:after="120" w:line="276" w:lineRule="auto"/>
        <w:ind w:firstLine="709"/>
        <w:jc w:val="both"/>
        <w:rPr>
          <w:rFonts w:ascii="Verdana" w:eastAsia="Times New Roman" w:hAnsi="Verdana" w:cs="Calibri"/>
          <w:lang w:val="es-ES"/>
        </w:rPr>
      </w:pPr>
      <w:r w:rsidRPr="4A3FD318">
        <w:rPr>
          <w:rFonts w:ascii="Verdana" w:eastAsia="Times New Roman" w:hAnsi="Verdana" w:cs="Calibri"/>
          <w:lang w:val="es-ES"/>
        </w:rPr>
        <w:t>En consecuencia, en principio, en los contratos de prestación de servicios no será obligatoria la liquidación. No obstante, puede establecerse en los documentos del proceso o en el contrato la necesidad de efectuarla, caso en el cual deberá realizarse dentro de los plazos establecidos convencional o legalmente, so pena de que se extinga la competencia de la entidad para realizarla.</w:t>
      </w:r>
    </w:p>
    <w:p w14:paraId="6229E13C" w14:textId="77777777" w:rsidR="00242182" w:rsidRDefault="00242182" w:rsidP="005342D7">
      <w:pPr>
        <w:spacing w:after="120" w:line="276" w:lineRule="auto"/>
        <w:ind w:firstLine="709"/>
        <w:jc w:val="both"/>
        <w:rPr>
          <w:rFonts w:ascii="Verdana" w:hAnsi="Verdana" w:cs="Arial"/>
          <w:lang w:eastAsia="es-MX"/>
        </w:rPr>
      </w:pPr>
      <w:r w:rsidRPr="2993F789">
        <w:rPr>
          <w:rFonts w:ascii="Verdana" w:eastAsia="Times New Roman" w:hAnsi="Verdana" w:cs="Calibri"/>
          <w:lang w:val="es-ES"/>
        </w:rPr>
        <w:t xml:space="preserve">Precisamente, frente problema jurídico planteado, relacionado con la perdida de competencia para efectuar la liquidación de un contrato de prestación de servicios profesionales, </w:t>
      </w:r>
      <w:r w:rsidRPr="00B775DD">
        <w:rPr>
          <w:rFonts w:ascii="Verdana" w:hAnsi="Verdana" w:cs="Arial"/>
          <w:lang w:eastAsia="es-MX"/>
        </w:rPr>
        <w:t xml:space="preserve">en </w:t>
      </w:r>
      <w:r>
        <w:rPr>
          <w:rFonts w:ascii="Verdana" w:hAnsi="Verdana" w:cs="Arial"/>
          <w:lang w:eastAsia="es-MX"/>
        </w:rPr>
        <w:t xml:space="preserve">el </w:t>
      </w:r>
      <w:r w:rsidRPr="00B775DD">
        <w:rPr>
          <w:rFonts w:ascii="Verdana" w:hAnsi="Verdana" w:cs="Arial"/>
          <w:lang w:eastAsia="es-MX"/>
        </w:rPr>
        <w:t xml:space="preserve">Concepto identificado con radicación de salida No. 4201913000006142 de 7 de octubre de 2019, </w:t>
      </w:r>
      <w:r>
        <w:rPr>
          <w:rFonts w:ascii="Verdana" w:hAnsi="Verdana" w:cs="Arial"/>
          <w:lang w:eastAsia="es-MX"/>
        </w:rPr>
        <w:t>e</w:t>
      </w:r>
      <w:r w:rsidRPr="00B775DD">
        <w:rPr>
          <w:rFonts w:ascii="Verdana" w:hAnsi="Verdana" w:cs="Arial"/>
          <w:lang w:eastAsia="es-MX"/>
        </w:rPr>
        <w:t>sta Subdirección</w:t>
      </w:r>
      <w:r>
        <w:rPr>
          <w:rFonts w:ascii="Verdana" w:hAnsi="Verdana" w:cs="Arial"/>
          <w:lang w:eastAsia="es-MX"/>
        </w:rPr>
        <w:t xml:space="preserve"> </w:t>
      </w:r>
      <w:r w:rsidRPr="00B775DD" w:rsidDel="00D00DB5">
        <w:rPr>
          <w:rFonts w:ascii="Verdana" w:hAnsi="Verdana" w:cs="Arial"/>
          <w:lang w:eastAsia="es-MX"/>
        </w:rPr>
        <w:t>señaló que</w:t>
      </w:r>
      <w:r w:rsidRPr="00B775DD">
        <w:rPr>
          <w:rFonts w:ascii="Verdana" w:hAnsi="Verdana" w:cs="Arial"/>
          <w:lang w:eastAsia="es-MX"/>
        </w:rPr>
        <w:t xml:space="preserve">, una vez </w:t>
      </w:r>
      <w:r>
        <w:rPr>
          <w:rFonts w:ascii="Verdana" w:hAnsi="Verdana" w:cs="Arial"/>
          <w:lang w:eastAsia="es-MX"/>
        </w:rPr>
        <w:t>opere la caducidad del medio de control de controversias contractuales</w:t>
      </w:r>
      <w:r w:rsidRPr="00B775DD" w:rsidDel="00D00DB5">
        <w:rPr>
          <w:rFonts w:ascii="Verdana" w:hAnsi="Verdana" w:cs="Arial"/>
          <w:lang w:eastAsia="es-MX"/>
        </w:rPr>
        <w:t>,</w:t>
      </w:r>
      <w:r>
        <w:rPr>
          <w:rFonts w:ascii="Verdana" w:hAnsi="Verdana" w:cs="Arial"/>
          <w:lang w:eastAsia="es-MX"/>
        </w:rPr>
        <w:t xml:space="preserve"> las entidades pierden la competencia para liquidar el contrato</w:t>
      </w:r>
      <w:r w:rsidRPr="00B775DD">
        <w:rPr>
          <w:rFonts w:ascii="Verdana" w:hAnsi="Verdana" w:cs="Arial"/>
          <w:lang w:eastAsia="es-MX"/>
        </w:rPr>
        <w:t xml:space="preserve">. Esto se debe a </w:t>
      </w:r>
      <w:r w:rsidRPr="00B775DD" w:rsidDel="00533825">
        <w:rPr>
          <w:rFonts w:ascii="Verdana" w:hAnsi="Verdana" w:cs="Arial"/>
          <w:lang w:eastAsia="es-MX"/>
        </w:rPr>
        <w:t>que el fenómeno procesal</w:t>
      </w:r>
      <w:r>
        <w:rPr>
          <w:rFonts w:ascii="Verdana" w:hAnsi="Verdana" w:cs="Arial"/>
          <w:lang w:eastAsia="es-MX"/>
        </w:rPr>
        <w:t xml:space="preserve"> de la caducidad</w:t>
      </w:r>
      <w:r w:rsidRPr="00B775DD">
        <w:rPr>
          <w:rFonts w:ascii="Verdana" w:hAnsi="Verdana" w:cs="Arial"/>
          <w:lang w:eastAsia="es-MX"/>
        </w:rPr>
        <w:t xml:space="preserve"> implica </w:t>
      </w:r>
      <w:r w:rsidRPr="00B775DD">
        <w:rPr>
          <w:rStyle w:val="Refdenotaalpie"/>
          <w:rFonts w:ascii="Verdana" w:hAnsi="Verdana" w:cs="Arial"/>
          <w:lang w:eastAsia="es-MX"/>
        </w:rPr>
        <w:footnoteReference w:id="19"/>
      </w:r>
      <w:r>
        <w:rPr>
          <w:rFonts w:ascii="Verdana" w:hAnsi="Verdana" w:cs="Arial"/>
          <w:lang w:eastAsia="es-MX"/>
        </w:rPr>
        <w:t>el Consejo de Estado</w:t>
      </w:r>
      <w:r w:rsidRPr="2993F789">
        <w:rPr>
          <w:lang w:eastAsia="es-MX"/>
        </w:rPr>
        <w:t>￼</w:t>
      </w:r>
      <w:r>
        <w:rPr>
          <w:rFonts w:ascii="Verdana" w:hAnsi="Verdana" w:cs="Arial"/>
          <w:lang w:eastAsia="es-MX"/>
        </w:rPr>
        <w:t xml:space="preserve"> </w:t>
      </w:r>
      <w:r w:rsidRPr="00B775DD" w:rsidDel="00B040ED">
        <w:rPr>
          <w:rFonts w:ascii="Verdana" w:hAnsi="Verdana" w:cs="Arial"/>
          <w:lang w:eastAsia="es-MX"/>
        </w:rPr>
        <w:t xml:space="preserve">ha </w:t>
      </w:r>
      <w:r w:rsidRPr="00B775DD">
        <w:rPr>
          <w:rFonts w:ascii="Verdana" w:hAnsi="Verdana" w:cs="Arial"/>
          <w:lang w:eastAsia="es-MX"/>
        </w:rPr>
        <w:t>precis</w:t>
      </w:r>
      <w:r w:rsidRPr="2993F789">
        <w:rPr>
          <w:rFonts w:ascii="Verdana" w:hAnsi="Verdana" w:cs="Arial"/>
          <w:lang w:eastAsia="es-MX"/>
        </w:rPr>
        <w:t xml:space="preserve">ado lo siguiente: </w:t>
      </w:r>
    </w:p>
    <w:p w14:paraId="7BB299F4" w14:textId="77777777" w:rsidR="00242182" w:rsidRPr="00B775DD" w:rsidRDefault="00242182" w:rsidP="00242182">
      <w:pPr>
        <w:spacing w:after="0"/>
        <w:ind w:firstLine="708"/>
        <w:jc w:val="both"/>
        <w:rPr>
          <w:rFonts w:ascii="Verdana" w:hAnsi="Verdana" w:cs="Arial"/>
          <w:lang w:eastAsia="es-MX"/>
        </w:rPr>
      </w:pPr>
    </w:p>
    <w:p w14:paraId="0DC919B5" w14:textId="77777777" w:rsidR="00242182" w:rsidRPr="005342D7" w:rsidRDefault="00242182" w:rsidP="005342D7">
      <w:pPr>
        <w:spacing w:after="0" w:line="240" w:lineRule="auto"/>
        <w:ind w:left="709" w:right="709"/>
        <w:jc w:val="both"/>
        <w:rPr>
          <w:rFonts w:ascii="Verdana" w:hAnsi="Verdana" w:cs="Arial"/>
          <w:sz w:val="21"/>
          <w:szCs w:val="21"/>
          <w:lang w:eastAsia="es-MX"/>
        </w:rPr>
      </w:pPr>
      <w:r w:rsidRPr="005342D7">
        <w:rPr>
          <w:rFonts w:ascii="Verdana" w:hAnsi="Verdana" w:cs="Arial"/>
          <w:sz w:val="21"/>
          <w:szCs w:val="21"/>
          <w:lang w:eastAsia="es-MX"/>
        </w:rPr>
        <w:t>“la protección al interés general y el patrimonio público confiado al manejo de los agentes del Estado, así como el principio de legalidad que gobierna las actuaciones de todas las autoridades públicas, permiten inferir la inviabilidad del pago de este tipo de obligaciones naturales, limitación con la cual se evita que a su amparo se puedan cubrir donaciones o pagos irregulares a particulares cuando ya ha operado la caducidad y se ha cerrado la posibilidad de juicio para demandar una situación u obligación que se ha estabilizado jurídicamente en virtud de este instituto procesal. Las autoridades no tienen plena libertad para disponer intereses del Estado, que son los mismos intereses generales y en los que se involucran recursos públicos, cuya disposición se encuentra seriamente limitada”.</w:t>
      </w:r>
    </w:p>
    <w:p w14:paraId="76EBF62A" w14:textId="77777777" w:rsidR="00242182" w:rsidRPr="00D03768" w:rsidRDefault="00242182" w:rsidP="00242182">
      <w:pPr>
        <w:spacing w:after="0" w:line="276" w:lineRule="auto"/>
        <w:ind w:left="709" w:right="709"/>
        <w:jc w:val="both"/>
        <w:rPr>
          <w:rFonts w:ascii="Verdana" w:hAnsi="Verdana" w:cs="Arial"/>
          <w:lang w:eastAsia="es-MX"/>
        </w:rPr>
      </w:pPr>
    </w:p>
    <w:p w14:paraId="554F990D" w14:textId="77777777" w:rsidR="00242182" w:rsidRDefault="00242182" w:rsidP="005342D7">
      <w:pPr>
        <w:spacing w:after="120" w:line="276" w:lineRule="auto"/>
        <w:ind w:firstLine="709"/>
        <w:jc w:val="both"/>
        <w:rPr>
          <w:rFonts w:ascii="Verdana" w:hAnsi="Verdana" w:cs="Arial"/>
          <w:lang w:eastAsia="es-MX"/>
        </w:rPr>
      </w:pPr>
      <w:r w:rsidRPr="4A3FD318">
        <w:rPr>
          <w:rFonts w:ascii="Verdana" w:hAnsi="Verdana" w:cs="Arial"/>
          <w:lang w:eastAsia="es-MX"/>
        </w:rPr>
        <w:t>En conclusión, los plazos legales para la liquidación son perentorios y, por lo tanto, una vez vencidos por el transcurso del tiempo, ya no es posible ejercer la facultad correspondiente. En ese sentido, si la liquidación del contrato no se realiza dentro de los términos establecidos, se pierde la competencia para hacerlo. Cabe advertir que este plazo no se interrumpe ni se suspende, aun cuando queden actividades u obligaciones pendientes de cumplimiento, muchos menos por existir un proceso sancionatorio en curso pendiente de decidir.</w:t>
      </w:r>
    </w:p>
    <w:p w14:paraId="69AF61DC" w14:textId="77777777" w:rsidR="00242182" w:rsidRPr="00B97F23" w:rsidRDefault="00242182" w:rsidP="005342D7">
      <w:pPr>
        <w:spacing w:after="120" w:line="276" w:lineRule="auto"/>
        <w:ind w:firstLine="709"/>
        <w:jc w:val="both"/>
        <w:rPr>
          <w:rFonts w:ascii="Verdana" w:hAnsi="Verdana" w:cs="Arial"/>
          <w:lang w:eastAsia="es-MX"/>
        </w:rPr>
      </w:pPr>
      <w:r w:rsidRPr="2993F789">
        <w:rPr>
          <w:rFonts w:ascii="Verdana" w:hAnsi="Verdana" w:cs="Arial"/>
          <w:lang w:eastAsia="es-MX"/>
        </w:rPr>
        <w:t>Conforme al marco jurídico expuesto, se concluye que la entidad estatal solo pierde competencia para efectuar la liquidación del contrato una vez opera la caducidad del medio de control de controversias contractuales. Es decir, existe un plazo máximo de dos (2) años, contados a partir de los dos (2) meses establecidos en la ley para realizar la liquidación unilateral, dentro del cual la entidad puede liquidar el contrato de manera bilateral o unilateral. La normativa vigente no contempla la pérdida de competencia para efectuar la liquidación en el evento en que se encuentre pendiente de decisión un proceso sancionatorio contra el contratista. En tal caso, la entidad puede proceder con la liquidación del contrato, sin que el trámite sancionatorio constituya un impedimento legal para ello.</w:t>
      </w:r>
    </w:p>
    <w:p w14:paraId="084A2279" w14:textId="77777777" w:rsidR="00242182" w:rsidRDefault="00242182" w:rsidP="005342D7">
      <w:pPr>
        <w:widowControl w:val="0"/>
        <w:autoSpaceDE w:val="0"/>
        <w:autoSpaceDN w:val="0"/>
        <w:spacing w:after="120" w:line="276" w:lineRule="auto"/>
        <w:ind w:firstLine="709"/>
        <w:jc w:val="both"/>
        <w:rPr>
          <w:rFonts w:ascii="Verdana" w:hAnsi="Verdana" w:cs="Arial"/>
        </w:rPr>
      </w:pPr>
      <w:r w:rsidRPr="4A3FD318">
        <w:rPr>
          <w:rFonts w:ascii="Verdana" w:hAnsi="Verdana" w:cs="Arial"/>
          <w:color w:val="000000" w:themeColor="text1"/>
        </w:rPr>
        <w:t xml:space="preserve">Finalmente, </w:t>
      </w:r>
      <w:r w:rsidRPr="4A3FD318">
        <w:rPr>
          <w:rFonts w:ascii="Verdana" w:hAnsi="Verdana" w:cs="Arial"/>
        </w:rPr>
        <w:t xml:space="preserve">debe advertirse que el análisis requerido para “[…] tomar decisiones de fondo […]”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1F191E80" w14:textId="77777777" w:rsidR="00242182" w:rsidRPr="008A4AEC" w:rsidRDefault="00242182" w:rsidP="005342D7">
      <w:pPr>
        <w:widowControl w:val="0"/>
        <w:autoSpaceDE w:val="0"/>
        <w:autoSpaceDN w:val="0"/>
        <w:spacing w:after="120" w:line="276" w:lineRule="auto"/>
        <w:ind w:firstLine="709"/>
        <w:jc w:val="both"/>
        <w:rPr>
          <w:rFonts w:ascii="Verdana" w:hAnsi="Verdana" w:cs="Arial"/>
        </w:rPr>
      </w:pPr>
      <w:r w:rsidRPr="2993F789">
        <w:rPr>
          <w:rFonts w:ascii="Verdana" w:hAnsi="Verdana" w:cs="Arial"/>
        </w:rPr>
        <w:t>Dentro de este marco, la entidad contratante definirá en cada caso concreto lo relacionado con el tema objeto de consulta. Al tratarse de un análisis que debe realizarse en el procedimiento contractual específico, la Agencia sólo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21B3E43A" w14:textId="77777777" w:rsidR="00242182" w:rsidRPr="00AF7840" w:rsidRDefault="00242182" w:rsidP="00242182">
      <w:pPr>
        <w:spacing w:after="0" w:line="276" w:lineRule="auto"/>
        <w:ind w:firstLine="709"/>
        <w:jc w:val="both"/>
        <w:rPr>
          <w:rFonts w:ascii="Verdana" w:eastAsia="Calibri" w:hAnsi="Verdana" w:cs="Arial"/>
          <w:sz w:val="21"/>
          <w:szCs w:val="21"/>
        </w:rPr>
      </w:pPr>
    </w:p>
    <w:p w14:paraId="0D4742BD" w14:textId="77777777" w:rsidR="00242182" w:rsidRPr="00AF7840" w:rsidRDefault="00242182" w:rsidP="00242182">
      <w:pPr>
        <w:tabs>
          <w:tab w:val="left" w:pos="142"/>
          <w:tab w:val="left" w:pos="284"/>
        </w:tabs>
        <w:spacing w:after="0" w:line="276" w:lineRule="auto"/>
        <w:jc w:val="both"/>
        <w:rPr>
          <w:rFonts w:ascii="Verdana" w:eastAsia="Century Gothic" w:hAnsi="Verdana" w:cs="Century Gothic"/>
          <w:b/>
          <w:bCs/>
        </w:rPr>
      </w:pPr>
      <w:r w:rsidRPr="00AF7840">
        <w:rPr>
          <w:rFonts w:ascii="Verdana" w:eastAsia="Century Gothic" w:hAnsi="Verdana" w:cs="Century Gothic"/>
          <w:b/>
          <w:bCs/>
        </w:rPr>
        <w:t>4. Referencias normativas, jurisprudenciales y otras fuentes:</w:t>
      </w:r>
    </w:p>
    <w:p w14:paraId="01D812F2" w14:textId="77777777" w:rsidR="00242182" w:rsidRPr="00AF7840" w:rsidRDefault="00242182" w:rsidP="00242182">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42182" w:rsidRPr="00AF7840" w14:paraId="2146F076" w14:textId="77777777" w:rsidTr="00F12578">
        <w:trPr>
          <w:trHeight w:val="870"/>
        </w:trPr>
        <w:tc>
          <w:tcPr>
            <w:tcW w:w="8647" w:type="dxa"/>
          </w:tcPr>
          <w:p w14:paraId="595B8FED" w14:textId="77777777" w:rsidR="00242182" w:rsidRPr="00AF7840" w:rsidRDefault="00242182" w:rsidP="00242182">
            <w:pPr>
              <w:pStyle w:val="Prrafodelista"/>
              <w:widowControl w:val="0"/>
              <w:numPr>
                <w:ilvl w:val="0"/>
                <w:numId w:val="18"/>
              </w:numPr>
              <w:tabs>
                <w:tab w:val="left" w:pos="8419"/>
              </w:tabs>
              <w:autoSpaceDE w:val="0"/>
              <w:autoSpaceDN w:val="0"/>
              <w:spacing w:line="276" w:lineRule="auto"/>
              <w:jc w:val="both"/>
              <w:rPr>
                <w:rFonts w:ascii="Verdana" w:hAnsi="Verdana" w:cs="Arial"/>
              </w:rPr>
            </w:pPr>
            <w:r w:rsidRPr="2993F789">
              <w:rPr>
                <w:rFonts w:ascii="Verdana" w:hAnsi="Verdana" w:cs="Arial"/>
              </w:rPr>
              <w:t>Ley 80 de 1993, artículo 60.</w:t>
            </w:r>
          </w:p>
          <w:p w14:paraId="28AD51EA" w14:textId="77777777" w:rsidR="00242182" w:rsidRPr="00AF7840" w:rsidRDefault="00242182" w:rsidP="00242182">
            <w:pPr>
              <w:pStyle w:val="Prrafodelista"/>
              <w:widowControl w:val="0"/>
              <w:numPr>
                <w:ilvl w:val="0"/>
                <w:numId w:val="18"/>
              </w:numPr>
              <w:tabs>
                <w:tab w:val="left" w:pos="8419"/>
              </w:tabs>
              <w:autoSpaceDE w:val="0"/>
              <w:autoSpaceDN w:val="0"/>
              <w:spacing w:line="276" w:lineRule="auto"/>
              <w:jc w:val="both"/>
              <w:rPr>
                <w:rFonts w:ascii="Verdana" w:hAnsi="Verdana" w:cs="Arial"/>
              </w:rPr>
            </w:pPr>
            <w:r w:rsidRPr="2993F789">
              <w:rPr>
                <w:rFonts w:ascii="Verdana" w:hAnsi="Verdana" w:cs="Arial"/>
              </w:rPr>
              <w:t xml:space="preserve">Ley 1150 de 2007, </w:t>
            </w:r>
            <w:r w:rsidRPr="2993F789">
              <w:rPr>
                <w:rFonts w:ascii="Verdana" w:eastAsia="Calibri" w:hAnsi="Verdana" w:cs="Arial"/>
                <w:color w:val="000000" w:themeColor="text1"/>
              </w:rPr>
              <w:t>artículo 2, numeral 4, literal c), artículo 11.</w:t>
            </w:r>
          </w:p>
          <w:p w14:paraId="1C2C4E2F" w14:textId="77777777" w:rsidR="00242182" w:rsidRPr="00AF7840" w:rsidRDefault="00242182" w:rsidP="00242182">
            <w:pPr>
              <w:pStyle w:val="Prrafodelista"/>
              <w:widowControl w:val="0"/>
              <w:numPr>
                <w:ilvl w:val="0"/>
                <w:numId w:val="18"/>
              </w:numPr>
              <w:tabs>
                <w:tab w:val="left" w:pos="8419"/>
              </w:tabs>
              <w:autoSpaceDE w:val="0"/>
              <w:autoSpaceDN w:val="0"/>
              <w:spacing w:line="276" w:lineRule="auto"/>
              <w:jc w:val="both"/>
              <w:rPr>
                <w:rFonts w:ascii="Verdana" w:hAnsi="Verdana" w:cs="Times New Roman"/>
                <w:color w:val="000000"/>
              </w:rPr>
            </w:pPr>
            <w:r w:rsidRPr="2993F789">
              <w:rPr>
                <w:rFonts w:ascii="Verdana" w:hAnsi="Verdana" w:cs="Times New Roman"/>
                <w:color w:val="000000" w:themeColor="text1"/>
              </w:rPr>
              <w:t>Decreto 1082 de 2015, artículo 2.2.1.1.1.3.1.; artículo 2.2.1.1.2.4.3.</w:t>
            </w:r>
          </w:p>
          <w:p w14:paraId="6AC0222F" w14:textId="77777777" w:rsidR="00242182" w:rsidRPr="00AF7840" w:rsidRDefault="00242182" w:rsidP="00242182">
            <w:pPr>
              <w:pStyle w:val="Prrafodelista"/>
              <w:widowControl w:val="0"/>
              <w:numPr>
                <w:ilvl w:val="0"/>
                <w:numId w:val="18"/>
              </w:numPr>
              <w:tabs>
                <w:tab w:val="left" w:pos="8419"/>
              </w:tabs>
              <w:autoSpaceDE w:val="0"/>
              <w:autoSpaceDN w:val="0"/>
              <w:spacing w:line="276" w:lineRule="auto"/>
              <w:jc w:val="both"/>
              <w:rPr>
                <w:rFonts w:ascii="Verdana" w:hAnsi="Verdana" w:cs="Arial"/>
              </w:rPr>
            </w:pPr>
            <w:r w:rsidRPr="2993F789">
              <w:rPr>
                <w:rFonts w:ascii="Verdana" w:hAnsi="Verdana" w:cs="Arial"/>
              </w:rPr>
              <w:t>Consejo de Estado. Sección Tercera. Subsección “C”. Radicado No. 05001-23-31-000-1998-00038-01. Número Interno 27.777. M.P. Enrique Gil Botero.</w:t>
            </w:r>
          </w:p>
          <w:p w14:paraId="67EC5F5B" w14:textId="77777777" w:rsidR="00242182" w:rsidRPr="00AF7840" w:rsidRDefault="00242182" w:rsidP="00242182">
            <w:pPr>
              <w:pStyle w:val="Prrafodelista"/>
              <w:widowControl w:val="0"/>
              <w:numPr>
                <w:ilvl w:val="0"/>
                <w:numId w:val="18"/>
              </w:numPr>
              <w:tabs>
                <w:tab w:val="left" w:pos="8419"/>
              </w:tabs>
              <w:autoSpaceDE w:val="0"/>
              <w:autoSpaceDN w:val="0"/>
              <w:spacing w:line="276" w:lineRule="auto"/>
              <w:jc w:val="both"/>
              <w:rPr>
                <w:rFonts w:ascii="Verdana" w:hAnsi="Verdana" w:cs="Arial"/>
              </w:rPr>
            </w:pPr>
            <w:r w:rsidRPr="2993F789">
              <w:rPr>
                <w:rFonts w:ascii="Verdana" w:hAnsi="Verdana" w:cs="Arial"/>
              </w:rPr>
              <w:t>Consejo de Estado. Sala de Consulta y Servicio Civil. Concepto de 28 de Junio de 2016. Radicación: 2253. C.P. Álvaro Namén Vargas.</w:t>
            </w:r>
          </w:p>
          <w:p w14:paraId="721310AE" w14:textId="77777777" w:rsidR="00242182" w:rsidRPr="00AF7840" w:rsidRDefault="00242182" w:rsidP="00242182">
            <w:pPr>
              <w:pStyle w:val="Prrafodelista"/>
              <w:widowControl w:val="0"/>
              <w:numPr>
                <w:ilvl w:val="0"/>
                <w:numId w:val="18"/>
              </w:numPr>
              <w:tabs>
                <w:tab w:val="left" w:pos="8419"/>
              </w:tabs>
              <w:autoSpaceDE w:val="0"/>
              <w:autoSpaceDN w:val="0"/>
              <w:spacing w:line="276" w:lineRule="auto"/>
              <w:jc w:val="both"/>
              <w:rPr>
                <w:rFonts w:ascii="Verdana" w:hAnsi="Verdana" w:cs="Arial"/>
              </w:rPr>
            </w:pPr>
            <w:r w:rsidRPr="2993F789">
              <w:rPr>
                <w:rFonts w:ascii="Verdana" w:hAnsi="Verdana" w:cs="Arial"/>
              </w:rPr>
              <w:t>Consejo de Estado. Sección Tercera. Subsección “C”. Radicado No. 11001-03-26-000-2015-00165-00. Número interno 55.813. M.P. Jaime Orlando Santofimio Gamboa. Sentencia del 10 de octubre de 2016.</w:t>
            </w:r>
          </w:p>
          <w:p w14:paraId="6073CF42" w14:textId="77777777" w:rsidR="00242182" w:rsidRPr="00AF7840" w:rsidRDefault="00242182" w:rsidP="00242182">
            <w:pPr>
              <w:pStyle w:val="Prrafodelista"/>
              <w:widowControl w:val="0"/>
              <w:numPr>
                <w:ilvl w:val="0"/>
                <w:numId w:val="18"/>
              </w:numPr>
              <w:tabs>
                <w:tab w:val="left" w:pos="8419"/>
              </w:tabs>
              <w:autoSpaceDE w:val="0"/>
              <w:autoSpaceDN w:val="0"/>
              <w:spacing w:line="276" w:lineRule="auto"/>
              <w:jc w:val="both"/>
              <w:rPr>
                <w:rFonts w:ascii="Verdana" w:hAnsi="Verdana" w:cs="Arial"/>
              </w:rPr>
            </w:pPr>
            <w:r w:rsidRPr="2993F789">
              <w:rPr>
                <w:rFonts w:ascii="Verdana" w:hAnsi="Verdana" w:cs="Arial"/>
              </w:rPr>
              <w:t>Consejo de Estado, Sala de Consulta y Servicio Civil. Concepto del 8 de marzo de 2017, radicado No. 2298, y con ponencia del Consejero Édgar González.</w:t>
            </w:r>
          </w:p>
          <w:p w14:paraId="55E2EE1E" w14:textId="77777777" w:rsidR="00242182" w:rsidRPr="00AF7840" w:rsidRDefault="00242182" w:rsidP="00242182">
            <w:pPr>
              <w:pStyle w:val="Prrafodelista"/>
              <w:widowControl w:val="0"/>
              <w:numPr>
                <w:ilvl w:val="0"/>
                <w:numId w:val="18"/>
              </w:numPr>
              <w:tabs>
                <w:tab w:val="left" w:pos="8419"/>
              </w:tabs>
              <w:autoSpaceDE w:val="0"/>
              <w:autoSpaceDN w:val="0"/>
              <w:spacing w:line="276" w:lineRule="auto"/>
              <w:jc w:val="both"/>
              <w:rPr>
                <w:rFonts w:ascii="Verdana" w:hAnsi="Verdana" w:cs="Arial"/>
              </w:rPr>
            </w:pPr>
            <w:r w:rsidRPr="2993F789">
              <w:rPr>
                <w:rFonts w:ascii="Verdana" w:hAnsi="Verdana" w:cs="Arial"/>
              </w:rPr>
              <w:t xml:space="preserve">Consejo de Estado. Sección Tercera. </w:t>
            </w:r>
            <w:r w:rsidRPr="2993F789">
              <w:rPr>
                <w:rFonts w:ascii="Verdana" w:hAnsi="Verdana" w:cs="Arial"/>
                <w:lang w:val="pt-BR"/>
              </w:rPr>
              <w:t xml:space="preserve">Sala Plena. Auto de 1 de agosto de 2019. </w:t>
            </w:r>
            <w:r w:rsidRPr="2993F789">
              <w:rPr>
                <w:rFonts w:ascii="Verdana" w:hAnsi="Verdana" w:cs="Arial"/>
              </w:rPr>
              <w:t>Exp. 62009. C.P. Jaime Enrique Rodríguez Navas.</w:t>
            </w:r>
          </w:p>
          <w:p w14:paraId="7DD5D840" w14:textId="77777777" w:rsidR="00242182" w:rsidRPr="00AF7840" w:rsidRDefault="00242182" w:rsidP="00242182">
            <w:pPr>
              <w:pStyle w:val="Prrafodelista"/>
              <w:widowControl w:val="0"/>
              <w:numPr>
                <w:ilvl w:val="0"/>
                <w:numId w:val="18"/>
              </w:numPr>
              <w:tabs>
                <w:tab w:val="left" w:pos="8419"/>
              </w:tabs>
              <w:autoSpaceDE w:val="0"/>
              <w:autoSpaceDN w:val="0"/>
              <w:spacing w:line="276" w:lineRule="auto"/>
              <w:jc w:val="both"/>
              <w:rPr>
                <w:rFonts w:ascii="Verdana" w:hAnsi="Verdana" w:cs="Arial"/>
              </w:rPr>
            </w:pPr>
            <w:r w:rsidRPr="2993F789">
              <w:rPr>
                <w:rFonts w:ascii="Verdana" w:hAnsi="Verdana" w:cs="Arial"/>
              </w:rPr>
              <w:t>Consejo de Estado. Sección Tercera. Subsección A. Sentencia del 5 de febrero de 2021. Magistrada Ponente: María Adriana Marín. Expediente: 49.792.</w:t>
            </w:r>
          </w:p>
          <w:p w14:paraId="0FD609E9" w14:textId="77777777" w:rsidR="00242182" w:rsidRPr="009F2629" w:rsidRDefault="00242182" w:rsidP="00242182">
            <w:pPr>
              <w:pStyle w:val="Prrafodelista"/>
              <w:widowControl w:val="0"/>
              <w:numPr>
                <w:ilvl w:val="0"/>
                <w:numId w:val="18"/>
              </w:numPr>
              <w:tabs>
                <w:tab w:val="left" w:pos="8419"/>
              </w:tabs>
              <w:autoSpaceDE w:val="0"/>
              <w:autoSpaceDN w:val="0"/>
              <w:spacing w:line="276" w:lineRule="auto"/>
              <w:jc w:val="both"/>
              <w:rPr>
                <w:rFonts w:ascii="Verdana" w:hAnsi="Verdana"/>
              </w:rPr>
            </w:pPr>
            <w:r w:rsidRPr="2993F789">
              <w:rPr>
                <w:rFonts w:ascii="Verdana" w:hAnsi="Verdana" w:cs="Arial"/>
              </w:rPr>
              <w:t xml:space="preserve">Agencia Nacional de Contratación Pública - </w:t>
            </w:r>
            <w:r w:rsidRPr="2993F789">
              <w:rPr>
                <w:rFonts w:ascii="Verdana" w:hAnsi="Verdana"/>
              </w:rPr>
              <w:t xml:space="preserve">Colombia Compra Eficiente. Guía para la Liquidación de los Procesos de Contratación. Disponible en: </w:t>
            </w:r>
            <w:hyperlink r:id="rId15" w:history="1">
              <w:r w:rsidRPr="2993F789">
                <w:rPr>
                  <w:rStyle w:val="Hipervnculo"/>
                  <w:rFonts w:ascii="Verdana" w:hAnsi="Verdana" w:cs="Arial"/>
                </w:rPr>
                <w:t>https://operaciones.colombiacompra.gov.co/sites/cce_public/files/cce_documents/cce_guia_liquidacion_procesos.pdf</w:t>
              </w:r>
            </w:hyperlink>
          </w:p>
        </w:tc>
      </w:tr>
    </w:tbl>
    <w:p w14:paraId="398396EA" w14:textId="77777777" w:rsidR="00242182" w:rsidRPr="00AF7840" w:rsidRDefault="00242182" w:rsidP="00242182">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084163C1" w14:textId="77777777" w:rsidR="00242182" w:rsidRPr="00AF7840" w:rsidRDefault="00242182" w:rsidP="00242182">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r w:rsidRPr="00AF7840">
        <w:rPr>
          <w:rFonts w:ascii="Verdana" w:eastAsia="Century Gothic" w:hAnsi="Verdana" w:cs="Century Gothic"/>
          <w:b/>
          <w:bCs/>
        </w:rPr>
        <w:t>5. Doctrina de la Agencia Nacional de Contratación Pública:</w:t>
      </w:r>
    </w:p>
    <w:p w14:paraId="4F9CA74C" w14:textId="77777777" w:rsidR="00242182" w:rsidRPr="00AF7840" w:rsidRDefault="00242182" w:rsidP="00242182">
      <w:pPr>
        <w:spacing w:after="0" w:line="276" w:lineRule="auto"/>
        <w:ind w:firstLine="709"/>
        <w:jc w:val="both"/>
        <w:rPr>
          <w:rFonts w:ascii="Verdana" w:eastAsia="Times New Roman" w:hAnsi="Verdana" w:cs="Arial"/>
          <w:szCs w:val="24"/>
          <w:lang w:eastAsia="es-ES_tradnl"/>
        </w:rPr>
      </w:pPr>
    </w:p>
    <w:p w14:paraId="4BD101C4" w14:textId="3FEE106C" w:rsidR="00242182" w:rsidRPr="005342D7" w:rsidRDefault="00242182" w:rsidP="00242182">
      <w:pPr>
        <w:widowControl w:val="0"/>
        <w:autoSpaceDE w:val="0"/>
        <w:autoSpaceDN w:val="0"/>
        <w:spacing w:after="0" w:line="276" w:lineRule="auto"/>
        <w:jc w:val="both"/>
        <w:rPr>
          <w:rFonts w:ascii="Verdana" w:hAnsi="Verdana"/>
          <w:color w:val="000000"/>
        </w:rPr>
      </w:pPr>
      <w:r w:rsidRPr="4A3FD318">
        <w:rPr>
          <w:rStyle w:val="normaltextrun"/>
          <w:rFonts w:ascii="Verdana" w:hAnsi="Verdana"/>
          <w:color w:val="000000" w:themeColor="text1"/>
        </w:rPr>
        <w:t>Además de los conceptos citados en el texto de la presente respuesta, esta Subdirección se ha pronunciado sobre la liquidación en los Conceptos 4201912000004908 del 27 de septiembre de 2019, CU-028 de 25 de febrero de 2020, C-221 de 21 de abril de 2020, C-078 del 17 de marzo de 2021, C-220 del 18 de mayo de 2021, C-444 del 23 de julio de 2021, C-747 del 8 de noviembre de 2022, C-739 de del 29 de noviembre de 2022, C- 176 de 3 de mayo de 2023, C-158 del 6 de junio de 2023, C-326 del 15 de agosto de 2024, C-568 del 18 de octubre de 2024,  C-708 del 21 de noviembre de 2024 y C-510 del 4 de junio de 2025. Estos y otros se encuentran disponibles para consulta en el Sistema de relatoría de la Agencia, al cual puede accederse a través del siguiente enlace:</w:t>
      </w:r>
      <w:r w:rsidR="005342D7">
        <w:rPr>
          <w:rStyle w:val="normaltextrun"/>
          <w:rFonts w:ascii="Verdana" w:hAnsi="Verdana"/>
          <w:color w:val="000000"/>
        </w:rPr>
        <w:t xml:space="preserve"> </w:t>
      </w:r>
      <w:hyperlink r:id="rId16" w:history="1">
        <w:r w:rsidR="005342D7" w:rsidRPr="006A3BFF">
          <w:rPr>
            <w:rStyle w:val="Hipervnculo"/>
            <w:rFonts w:ascii="Verdana" w:eastAsia="Calibri" w:hAnsi="Verdana" w:cs="Arial"/>
            <w:lang w:eastAsia="es-ES_tradnl"/>
          </w:rPr>
          <w:t>https://relatoria.colombiacompra.gov.co/</w:t>
        </w:r>
      </w:hyperlink>
      <w:r w:rsidRPr="00AF7840">
        <w:rPr>
          <w:rFonts w:ascii="Verdana" w:eastAsia="Calibri" w:hAnsi="Verdana" w:cs="Arial"/>
          <w:lang w:eastAsia="es-ES_tradnl"/>
        </w:rPr>
        <w:t> </w:t>
      </w:r>
    </w:p>
    <w:p w14:paraId="594EB1F4" w14:textId="77777777" w:rsidR="008563AC" w:rsidRDefault="008563AC" w:rsidP="30821638">
      <w:pPr>
        <w:spacing w:after="0"/>
        <w:rPr>
          <w:rFonts w:ascii="Verdana" w:hAnsi="Verdana"/>
        </w:rPr>
      </w:pPr>
    </w:p>
    <w:p w14:paraId="49617004" w14:textId="77777777" w:rsidR="006E33CF" w:rsidRPr="00324CBA" w:rsidRDefault="006E33CF" w:rsidP="006E33CF">
      <w:pPr>
        <w:jc w:val="both"/>
        <w:rPr>
          <w:rFonts w:ascii="Verdana" w:hAnsi="Verdana"/>
        </w:rPr>
      </w:pPr>
      <w:r w:rsidRPr="00324CBA">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24CBA">
        <w:rPr>
          <w:rFonts w:ascii="Verdana" w:hAnsi="Verdana"/>
          <w:b/>
          <w:bCs/>
        </w:rPr>
        <w:t>Guía para la Exigencia y Constitución de Garantías en los Procesos de Contratación</w:t>
      </w:r>
      <w:r w:rsidRPr="00324CBA">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w:t>
      </w:r>
      <w:r w:rsidRPr="00324CBA">
        <w:rPr>
          <w:rFonts w:ascii="Verdana" w:hAnsi="Verdana"/>
          <w:color w:val="0070C0"/>
        </w:rPr>
        <w:t> </w:t>
      </w:r>
      <w:hyperlink r:id="rId17" w:tgtFrame="_blank" w:tooltip="Dirección URL original: https://www.colombiacompra.gov.co/archivos/manual/guia-de-garantias-en-procesos-de-contratacion. Haga clic o pulse si confía en este vínculo." w:history="1">
        <w:r w:rsidRPr="00324CBA">
          <w:rPr>
            <w:rStyle w:val="Hipervnculo"/>
            <w:rFonts w:ascii="Verdana" w:hAnsi="Verdana"/>
            <w:color w:val="0070C0"/>
          </w:rPr>
          <w:t>https://www.colombiacompra.gov.co/archivos/manual/guia-de-garantias-en-procesos-de-contratacion</w:t>
        </w:r>
      </w:hyperlink>
    </w:p>
    <w:p w14:paraId="3A132444" w14:textId="77777777" w:rsidR="006E33CF" w:rsidRPr="00324CBA" w:rsidRDefault="006E33CF" w:rsidP="006E33CF">
      <w:pPr>
        <w:jc w:val="both"/>
        <w:rPr>
          <w:rFonts w:ascii="Verdana" w:hAnsi="Verdana"/>
        </w:rPr>
      </w:pPr>
      <w:r w:rsidRPr="00324CBA">
        <w:rPr>
          <w:rFonts w:ascii="Verdana" w:hAnsi="Verdana"/>
        </w:rPr>
        <w:t>De otro lado, te contamos que el Decreto 287 del 19 de marzo de 2026 sustituyó los artículos 2.2.1.2.4.2.6., 2.2.1.2.4.2.7. y 2.2.1.2.4.2.8. del Decreto 1082 de 2015 y estructuró el </w:t>
      </w:r>
      <w:r w:rsidRPr="00324CBA">
        <w:rPr>
          <w:rFonts w:ascii="Verdana" w:hAnsi="Verdana"/>
          <w:b/>
          <w:bCs/>
        </w:rPr>
        <w:t>Sistema Integral de Preferencias en favor de las personas con discapacidad</w:t>
      </w:r>
      <w:r w:rsidRPr="00324CBA">
        <w:rPr>
          <w:rFonts w:ascii="Verdana" w:hAnsi="Verdana"/>
        </w:rPr>
        <w:t>, en cumplimiento del artículo 13 de la Ley Estatutaria 1618 de 2013. Para orientar su aplicación, esta Agencia expidió la </w:t>
      </w:r>
      <w:r w:rsidRPr="00324CBA">
        <w:rPr>
          <w:rFonts w:ascii="Verdana" w:hAnsi="Verdana"/>
          <w:b/>
          <w:bCs/>
        </w:rPr>
        <w:t>Circular Externa 003 del 12 de mayo de 2026, </w:t>
      </w:r>
      <w:r w:rsidRPr="00324CBA">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8" w:tgtFrame="_blank" w:tooltip="Dirección URL original: https://www.colombiacompra.gov.co/archivos/circular/circular-externa-003-de-2026. Haga clic o pulse si confía en este vínculo." w:history="1">
        <w:r w:rsidRPr="00324CBA">
          <w:rPr>
            <w:rStyle w:val="Hipervnculo"/>
            <w:rFonts w:ascii="Verdana" w:hAnsi="Verdana"/>
            <w:color w:val="0070C0"/>
          </w:rPr>
          <w:t>https://www.colombiacompra.gov.co/archivos/circular/circular-externa-003-de-2026</w:t>
        </w:r>
      </w:hyperlink>
    </w:p>
    <w:p w14:paraId="0B63243D" w14:textId="77777777" w:rsidR="006E33CF" w:rsidRPr="00324CBA" w:rsidRDefault="006E33CF" w:rsidP="006E33CF">
      <w:pPr>
        <w:jc w:val="both"/>
        <w:rPr>
          <w:rFonts w:ascii="Verdana" w:hAnsi="Verdana"/>
        </w:rPr>
      </w:pPr>
      <w:r w:rsidRPr="00324CBA">
        <w:rPr>
          <w:rFonts w:ascii="Verdana" w:hAnsi="Verdana"/>
        </w:rPr>
        <w:t>Recuerda también que la</w:t>
      </w:r>
      <w:r w:rsidRPr="00324CBA">
        <w:rPr>
          <w:rFonts w:ascii="Verdana" w:hAnsi="Verdana"/>
          <w:b/>
          <w:bCs/>
        </w:rPr>
        <w:t> información sobre sanciones e inhabilidades </w:t>
      </w:r>
      <w:r w:rsidRPr="00324CBA">
        <w:rPr>
          <w:rFonts w:ascii="Verdana" w:hAnsi="Verdana"/>
        </w:rPr>
        <w:t>solo cumple su función preventiva si llega oportunamente a los registros públicos. Sobre este deber, esta Agencia expidió la </w:t>
      </w:r>
      <w:r w:rsidRPr="00324CBA">
        <w:rPr>
          <w:rFonts w:ascii="Verdana" w:hAnsi="Verdana"/>
          <w:b/>
          <w:bCs/>
        </w:rPr>
        <w:t>Circular Externa 002 del 5 de mayo de 2026,</w:t>
      </w:r>
      <w:r w:rsidRPr="00324CBA">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9" w:tgtFrame="_blank" w:tooltip="Dirección URL original: https://www.colombiacompra.gov.co/archivos/circular/circular-externa-002-de-2026. Haga clic o pulse si confía en este vínculo." w:history="1">
        <w:r w:rsidRPr="00324CBA">
          <w:rPr>
            <w:rStyle w:val="Hipervnculo"/>
            <w:rFonts w:ascii="Verdana" w:hAnsi="Verdana"/>
            <w:color w:val="0070C0"/>
          </w:rPr>
          <w:t>https://www.colombiacompra.gov.co/archivos/circular/circular-externa-002-de-2026</w:t>
        </w:r>
      </w:hyperlink>
    </w:p>
    <w:p w14:paraId="75720256" w14:textId="77777777" w:rsidR="006E33CF" w:rsidRPr="00324CBA" w:rsidRDefault="006E33CF" w:rsidP="006E33CF">
      <w:pPr>
        <w:jc w:val="both"/>
        <w:rPr>
          <w:rFonts w:ascii="Verdana" w:hAnsi="Verdana"/>
        </w:rPr>
      </w:pPr>
      <w:r w:rsidRPr="00324CBA">
        <w:rPr>
          <w:rFonts w:ascii="Verdana" w:hAnsi="Verdana"/>
        </w:rPr>
        <w:t>Finalmente, si quieres seguir de cerca la actividad de la Agencia, la tercera edición de 2026 del</w:t>
      </w:r>
      <w:r w:rsidRPr="00324CBA">
        <w:rPr>
          <w:rFonts w:ascii="Verdana" w:hAnsi="Verdana"/>
          <w:b/>
          <w:bCs/>
        </w:rPr>
        <w:t> Radar de la Compra Pública</w:t>
      </w:r>
      <w:r w:rsidRPr="00324CBA">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w:t>
      </w:r>
      <w:r w:rsidRPr="00324CBA">
        <w:rPr>
          <w:rFonts w:ascii="Verdana" w:hAnsi="Verdana"/>
          <w:color w:val="0070C0"/>
        </w:rPr>
        <w:t> </w:t>
      </w:r>
      <w:hyperlink r:id="rId20" w:tgtFrame="_blank" w:tooltip="Dirección URL original: https://www.colombiacompra.gov.co/archivos/boletin/boletin-edicion-n-3-de-2026-radar-de-la-compra-publica. Haga clic o pulse si confía en este vínculo." w:history="1">
        <w:r w:rsidRPr="00324CBA">
          <w:rPr>
            <w:rStyle w:val="Hipervnculo"/>
            <w:rFonts w:ascii="Verdana" w:hAnsi="Verdana"/>
            <w:color w:val="0070C0"/>
          </w:rPr>
          <w:t>https://www.colombiacompra.gov.co/archivos/boletin/boletin-edicion-n-3-de-2026-radar-de-la-compra-publica</w:t>
        </w:r>
      </w:hyperlink>
      <w:r w:rsidRPr="00324CBA">
        <w:rPr>
          <w:rFonts w:ascii="Verdana" w:hAnsi="Verdana"/>
        </w:rPr>
        <w:t>"</w:t>
      </w:r>
    </w:p>
    <w:p w14:paraId="7CA1FF3A" w14:textId="77777777" w:rsidR="008563AC" w:rsidRDefault="008563AC" w:rsidP="30821638">
      <w:pPr>
        <w:spacing w:after="0"/>
      </w:pPr>
    </w:p>
    <w:p w14:paraId="2273C17F" w14:textId="77777777" w:rsidR="00A252A9" w:rsidRPr="00605E0D" w:rsidRDefault="00A252A9" w:rsidP="00A252A9">
      <w:pPr>
        <w:spacing w:after="0" w:line="276" w:lineRule="auto"/>
        <w:jc w:val="both"/>
        <w:rPr>
          <w:rFonts w:ascii="Verdana" w:hAnsi="Verdana"/>
        </w:rPr>
      </w:pPr>
      <w:r w:rsidRPr="00284526">
        <w:rPr>
          <w:rFonts w:ascii="Verdana" w:hAnsi="Verdana" w:cs="Arial"/>
          <w:shd w:val="clear" w:color="auto" w:fill="FFFFFF"/>
        </w:rPr>
        <w:t xml:space="preserve">Por último, lo invitamos a seguirnos en las redes sociales en las cuales se difunde información institucional: </w:t>
      </w:r>
    </w:p>
    <w:p w14:paraId="4DD2F396" w14:textId="77777777" w:rsidR="00A252A9" w:rsidRPr="00284526" w:rsidRDefault="00A252A9" w:rsidP="00A252A9">
      <w:pPr>
        <w:spacing w:after="0" w:line="276" w:lineRule="auto"/>
        <w:jc w:val="both"/>
        <w:rPr>
          <w:rFonts w:ascii="Verdana" w:hAnsi="Verdana" w:cs="Arial"/>
          <w:shd w:val="clear" w:color="auto" w:fill="FFFFFF"/>
        </w:rPr>
      </w:pPr>
    </w:p>
    <w:p w14:paraId="30D7A227" w14:textId="77777777" w:rsidR="00A252A9" w:rsidRPr="00284526" w:rsidRDefault="00A252A9" w:rsidP="00A252A9">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Twitter: </w:t>
      </w:r>
      <w:r w:rsidRPr="00284526">
        <w:rPr>
          <w:rStyle w:val="Hipervnculo"/>
          <w:rFonts w:ascii="Verdana" w:hAnsi="Verdana"/>
          <w:lang w:val="es-ES"/>
        </w:rPr>
        <w:t xml:space="preserve">@colombiacompra </w:t>
      </w:r>
    </w:p>
    <w:p w14:paraId="5B7471C8" w14:textId="77777777" w:rsidR="00A252A9" w:rsidRPr="00284526" w:rsidRDefault="00A252A9" w:rsidP="00A252A9">
      <w:pPr>
        <w:spacing w:after="0" w:line="276" w:lineRule="auto"/>
        <w:jc w:val="both"/>
        <w:rPr>
          <w:rFonts w:ascii="Verdana" w:hAnsi="Verdana" w:cs="Arial"/>
          <w:shd w:val="clear" w:color="auto" w:fill="FFFFFF"/>
        </w:rPr>
      </w:pPr>
      <w:r w:rsidRPr="00284526">
        <w:rPr>
          <w:rFonts w:ascii="Verdana" w:hAnsi="Verdana" w:cs="Arial"/>
          <w:shd w:val="clear" w:color="auto" w:fill="FFFFFF"/>
        </w:rPr>
        <w:t>Facebook:</w:t>
      </w:r>
      <w:r w:rsidRPr="00284526">
        <w:rPr>
          <w:rStyle w:val="Hipervnculo"/>
          <w:rFonts w:ascii="Verdana" w:hAnsi="Verdana"/>
          <w:color w:val="auto"/>
          <w:lang w:val="es-ES"/>
        </w:rPr>
        <w:t xml:space="preserve"> </w:t>
      </w:r>
      <w:proofErr w:type="spellStart"/>
      <w:r w:rsidRPr="00284526">
        <w:rPr>
          <w:rStyle w:val="Hipervnculo"/>
          <w:rFonts w:ascii="Verdana" w:hAnsi="Verdana"/>
          <w:lang w:val="es-ES"/>
        </w:rPr>
        <w:t>ColombiaCompraEficiente</w:t>
      </w:r>
      <w:proofErr w:type="spellEnd"/>
    </w:p>
    <w:p w14:paraId="1D3DE7AA" w14:textId="77777777" w:rsidR="00A252A9" w:rsidRPr="00284526" w:rsidRDefault="00A252A9" w:rsidP="00A252A9">
      <w:pPr>
        <w:spacing w:after="0" w:line="276" w:lineRule="auto"/>
        <w:jc w:val="both"/>
        <w:rPr>
          <w:rFonts w:ascii="Verdana" w:hAnsi="Verdana" w:cs="Arial"/>
          <w:color w:val="0000FF"/>
          <w:shd w:val="clear" w:color="auto" w:fill="FFFFFF"/>
        </w:rPr>
      </w:pPr>
      <w:r w:rsidRPr="00284526">
        <w:rPr>
          <w:rFonts w:ascii="Verdana" w:hAnsi="Verdana" w:cs="Arial"/>
          <w:shd w:val="clear" w:color="auto" w:fill="FFFFFF"/>
        </w:rPr>
        <w:t xml:space="preserve">LinkedIn: </w:t>
      </w:r>
      <w:r w:rsidRPr="00284526">
        <w:rPr>
          <w:rStyle w:val="Hipervnculo"/>
          <w:rFonts w:ascii="Verdana" w:hAnsi="Verdana"/>
          <w:lang w:val="es-ES"/>
        </w:rPr>
        <w:t>Agencia Nacional de Contratación Pública - Colombia Compra Eficiente</w:t>
      </w:r>
      <w:r w:rsidRPr="00284526">
        <w:rPr>
          <w:rFonts w:ascii="Verdana" w:hAnsi="Verdana" w:cs="Arial"/>
          <w:color w:val="0000FF"/>
          <w:shd w:val="clear" w:color="auto" w:fill="FFFFFF"/>
        </w:rPr>
        <w:t xml:space="preserve"> </w:t>
      </w:r>
    </w:p>
    <w:p w14:paraId="6AED2EB6" w14:textId="77777777" w:rsidR="00A252A9" w:rsidRPr="00284526" w:rsidRDefault="00A252A9" w:rsidP="00A252A9">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Instagram: </w:t>
      </w:r>
      <w:r w:rsidRPr="00284526">
        <w:rPr>
          <w:rStyle w:val="Hipervnculo"/>
          <w:rFonts w:ascii="Verdana" w:hAnsi="Verdana"/>
          <w:lang w:val="es-ES"/>
        </w:rPr>
        <w:t>@colombiacompraeficiente_cce</w:t>
      </w:r>
    </w:p>
    <w:p w14:paraId="2825E0AC" w14:textId="77777777" w:rsidR="00A252A9" w:rsidRPr="00284526" w:rsidRDefault="00A252A9" w:rsidP="00A252A9">
      <w:pPr>
        <w:widowControl w:val="0"/>
        <w:autoSpaceDE w:val="0"/>
        <w:autoSpaceDN w:val="0"/>
        <w:spacing w:after="0" w:line="276" w:lineRule="auto"/>
        <w:jc w:val="both"/>
        <w:rPr>
          <w:rFonts w:ascii="Verdana" w:hAnsi="Verdana" w:cs="Arial"/>
          <w:lang w:val="es-ES"/>
        </w:rPr>
      </w:pPr>
    </w:p>
    <w:p w14:paraId="5028F755" w14:textId="77777777" w:rsidR="00A252A9" w:rsidRPr="00284526" w:rsidRDefault="00A252A9" w:rsidP="00A252A9">
      <w:pPr>
        <w:widowControl w:val="0"/>
        <w:autoSpaceDE w:val="0"/>
        <w:autoSpaceDN w:val="0"/>
        <w:spacing w:after="0" w:line="276" w:lineRule="auto"/>
        <w:jc w:val="both"/>
        <w:rPr>
          <w:rFonts w:ascii="Verdana" w:hAnsi="Verdana" w:cs="Arial"/>
          <w:lang w:val="es-ES"/>
        </w:rPr>
      </w:pPr>
      <w:r w:rsidRPr="0028452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EA55158" w14:textId="77777777" w:rsidR="00A252A9" w:rsidRPr="00116940" w:rsidRDefault="00A252A9" w:rsidP="00A252A9">
      <w:pPr>
        <w:spacing w:after="0" w:line="276" w:lineRule="auto"/>
        <w:jc w:val="both"/>
        <w:rPr>
          <w:rFonts w:ascii="Verdana" w:eastAsia="Verdana" w:hAnsi="Verdana" w:cs="Verdana"/>
        </w:rPr>
      </w:pPr>
    </w:p>
    <w:p w14:paraId="372E722A" w14:textId="77777777" w:rsidR="00A252A9" w:rsidRPr="00116940" w:rsidRDefault="00A252A9" w:rsidP="00A252A9">
      <w:pPr>
        <w:spacing w:after="0" w:line="276" w:lineRule="auto"/>
        <w:rPr>
          <w:rFonts w:ascii="Verdana" w:eastAsia="Verdana" w:hAnsi="Verdana" w:cs="Verdana"/>
        </w:rPr>
      </w:pPr>
      <w:r w:rsidRPr="30821638">
        <w:rPr>
          <w:rFonts w:ascii="Verdana" w:eastAsia="Verdana" w:hAnsi="Verdana" w:cs="Verdana"/>
        </w:rPr>
        <w:t>Evalúa el servicio que ofrece la Agencia por el canal de atención de PQRSD en el siguiente enlace</w:t>
      </w:r>
      <w:r w:rsidRPr="00C25CDD">
        <w:rPr>
          <w:rFonts w:ascii="Verdana" w:eastAsia="Verdana" w:hAnsi="Verdana" w:cs="Verdana"/>
        </w:rPr>
        <w:t>:</w:t>
      </w:r>
      <w:r>
        <w:rPr>
          <w:rFonts w:ascii="Verdana" w:eastAsia="Verdana" w:hAnsi="Verdana" w:cs="Verdana"/>
        </w:rPr>
        <w:t xml:space="preserve"> </w:t>
      </w:r>
      <w:hyperlink r:id="rId21" w:history="1">
        <w:r w:rsidRPr="00C25CDD">
          <w:rPr>
            <w:rStyle w:val="Hipervnculo"/>
            <w:rFonts w:ascii="Verdana" w:eastAsia="Verdana" w:hAnsi="Verdana" w:cs="Verdana"/>
          </w:rPr>
          <w:t>https://forms.office.com/r/pPHyWVs2SZ</w:t>
        </w:r>
      </w:hyperlink>
      <w:r w:rsidRPr="30821638">
        <w:rPr>
          <w:rFonts w:ascii="Verdana" w:eastAsia="Verdana" w:hAnsi="Verdana" w:cs="Verdana"/>
        </w:rPr>
        <w:t xml:space="preserve"> .¡Ayúdanos a mejorar porque el compromiso es de todos!</w:t>
      </w:r>
    </w:p>
    <w:p w14:paraId="0BDE7CE5" w14:textId="77777777" w:rsidR="00A252A9" w:rsidRDefault="00A252A9" w:rsidP="00A252A9">
      <w:pPr>
        <w:widowControl w:val="0"/>
        <w:autoSpaceDE w:val="0"/>
        <w:autoSpaceDN w:val="0"/>
        <w:spacing w:after="120" w:line="276" w:lineRule="auto"/>
        <w:ind w:firstLine="709"/>
        <w:jc w:val="both"/>
        <w:rPr>
          <w:rFonts w:ascii="Verdana" w:eastAsia="Aptos" w:hAnsi="Verdana" w:cs="Times New Roman"/>
          <w:color w:val="000000" w:themeColor="text1"/>
          <w:kern w:val="2"/>
          <w14:ligatures w14:val="standardContextual"/>
        </w:rPr>
      </w:pPr>
    </w:p>
    <w:p w14:paraId="716A032D" w14:textId="77777777" w:rsidR="00A252A9" w:rsidRPr="00C42171" w:rsidRDefault="00A252A9" w:rsidP="00A252A9">
      <w:pPr>
        <w:widowControl w:val="0"/>
        <w:autoSpaceDE w:val="0"/>
        <w:autoSpaceDN w:val="0"/>
        <w:spacing w:after="120" w:line="276" w:lineRule="auto"/>
        <w:jc w:val="both"/>
        <w:rPr>
          <w:rFonts w:ascii="Verdana" w:eastAsia="Aptos" w:hAnsi="Verdana" w:cs="Times New Roman"/>
          <w:color w:val="000000" w:themeColor="text1"/>
          <w:kern w:val="2"/>
          <w14:ligatures w14:val="standardContextual"/>
        </w:rPr>
      </w:pPr>
      <w:r>
        <w:rPr>
          <w:rFonts w:ascii="Verdana" w:hAnsi="Verdana" w:cs="Arial"/>
          <w:shd w:val="clear" w:color="auto" w:fill="FFFFFF"/>
        </w:rPr>
        <w:t xml:space="preserve">Cordialmente, </w:t>
      </w:r>
    </w:p>
    <w:p w14:paraId="0B08D913" w14:textId="77777777" w:rsidR="00A252A9" w:rsidRDefault="00A252A9" w:rsidP="00A252A9">
      <w:pPr>
        <w:spacing w:after="0" w:line="276" w:lineRule="auto"/>
        <w:ind w:firstLine="709"/>
        <w:jc w:val="both"/>
        <w:rPr>
          <w:rFonts w:ascii="Verdana" w:eastAsia="Verdana" w:hAnsi="Verdana" w:cs="Verdana"/>
          <w:lang w:val="es-MX"/>
        </w:rPr>
      </w:pPr>
    </w:p>
    <w:p w14:paraId="6D7C6DF7" w14:textId="7D6C0831" w:rsidR="00A252A9" w:rsidRDefault="008907EB" w:rsidP="00A252A9">
      <w:pPr>
        <w:spacing w:after="0" w:line="276" w:lineRule="auto"/>
        <w:jc w:val="both"/>
        <w:rPr>
          <w:rFonts w:ascii="Verdana" w:eastAsia="Century Gothic" w:hAnsi="Verdana" w:cs="Century Gothic"/>
        </w:rPr>
      </w:pPr>
      <w:r w:rsidRPr="004D5C25">
        <w:rPr>
          <w:rFonts w:ascii="Century Gothic" w:hAnsi="Century Gothic"/>
          <w:noProof/>
        </w:rPr>
        <w:drawing>
          <wp:anchor distT="0" distB="0" distL="114300" distR="114300" simplePos="0" relativeHeight="251660288" behindDoc="1" locked="0" layoutInCell="1" allowOverlap="1" wp14:anchorId="34834B3E" wp14:editId="059544EE">
            <wp:simplePos x="0" y="0"/>
            <wp:positionH relativeFrom="column">
              <wp:posOffset>1327150</wp:posOffset>
            </wp:positionH>
            <wp:positionV relativeFrom="paragraph">
              <wp:posOffset>1905</wp:posOffset>
            </wp:positionV>
            <wp:extent cx="3312160" cy="1388745"/>
            <wp:effectExtent l="0" t="0" r="2540" b="1905"/>
            <wp:wrapTight wrapText="bothSides">
              <wp:wrapPolygon edited="0">
                <wp:start x="0" y="0"/>
                <wp:lineTo x="0" y="21333"/>
                <wp:lineTo x="21492" y="21333"/>
                <wp:lineTo x="21492" y="0"/>
                <wp:lineTo x="0" y="0"/>
              </wp:wrapPolygon>
            </wp:wrapTight>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3312160" cy="1388745"/>
                    </a:xfrm>
                    <a:prstGeom prst="rect">
                      <a:avLst/>
                    </a:prstGeom>
                  </pic:spPr>
                </pic:pic>
              </a:graphicData>
            </a:graphic>
            <wp14:sizeRelH relativeFrom="margin">
              <wp14:pctWidth>0</wp14:pctWidth>
            </wp14:sizeRelH>
            <wp14:sizeRelV relativeFrom="margin">
              <wp14:pctHeight>0</wp14:pctHeight>
            </wp14:sizeRelV>
          </wp:anchor>
        </w:drawing>
      </w:r>
    </w:p>
    <w:p w14:paraId="5993822F" w14:textId="77777777" w:rsidR="00A252A9" w:rsidRDefault="00A252A9" w:rsidP="00A252A9">
      <w:pPr>
        <w:spacing w:after="0" w:line="276" w:lineRule="auto"/>
        <w:jc w:val="both"/>
        <w:rPr>
          <w:rFonts w:ascii="Verdana" w:eastAsia="Century Gothic" w:hAnsi="Verdana" w:cs="Century Gothic"/>
        </w:rPr>
      </w:pPr>
    </w:p>
    <w:p w14:paraId="0AF61CD2" w14:textId="77777777" w:rsidR="00A252A9" w:rsidRDefault="00A252A9" w:rsidP="00A252A9">
      <w:pPr>
        <w:spacing w:after="0" w:line="276" w:lineRule="auto"/>
        <w:jc w:val="both"/>
        <w:rPr>
          <w:rFonts w:ascii="Verdana" w:eastAsia="Century Gothic" w:hAnsi="Verdana" w:cs="Century Gothic"/>
        </w:rPr>
      </w:pPr>
    </w:p>
    <w:p w14:paraId="1EBC4C4E" w14:textId="77777777" w:rsidR="00A252A9" w:rsidRDefault="00A252A9" w:rsidP="00A252A9">
      <w:pPr>
        <w:spacing w:after="0" w:line="276" w:lineRule="auto"/>
        <w:jc w:val="both"/>
        <w:rPr>
          <w:rFonts w:ascii="Verdana" w:eastAsia="Century Gothic" w:hAnsi="Verdana" w:cs="Century Gothic"/>
        </w:rPr>
      </w:pPr>
    </w:p>
    <w:p w14:paraId="38C7FFAA" w14:textId="77777777" w:rsidR="00A252A9" w:rsidRDefault="00A252A9" w:rsidP="00A252A9">
      <w:pPr>
        <w:spacing w:after="120" w:line="276" w:lineRule="auto"/>
        <w:contextualSpacing/>
        <w:jc w:val="both"/>
        <w:rPr>
          <w:rFonts w:ascii="Verdana" w:eastAsia="Aptos" w:hAnsi="Verdana" w:cs="Arial"/>
          <w:shd w:val="clear" w:color="auto" w:fill="FFFFFF"/>
          <w:lang w:val="es-ES"/>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A252A9" w:rsidRPr="004C0111" w14:paraId="6B66D373" w14:textId="77777777" w:rsidTr="00F12578">
        <w:trPr>
          <w:trHeight w:val="622"/>
        </w:trPr>
        <w:tc>
          <w:tcPr>
            <w:tcW w:w="893" w:type="dxa"/>
            <w:vAlign w:val="center"/>
            <w:hideMark/>
          </w:tcPr>
          <w:p w14:paraId="6BA7E07E" w14:textId="77777777" w:rsidR="00A252A9" w:rsidRPr="004C0111" w:rsidRDefault="00A252A9" w:rsidP="00F12578">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A252A9" w:rsidRPr="004C0111" w14:paraId="484A08A5" w14:textId="77777777" w:rsidTr="00F12578">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225C2368" w14:textId="77777777" w:rsidR="00A252A9" w:rsidRPr="004C0111" w:rsidRDefault="00A252A9" w:rsidP="00F12578">
                  <w:pPr>
                    <w:spacing w:after="0" w:line="240" w:lineRule="auto"/>
                    <w:rPr>
                      <w:rFonts w:ascii="Verdana" w:eastAsia="Times New Roman" w:hAnsi="Verdana" w:cs="Arial"/>
                      <w:sz w:val="16"/>
                      <w:szCs w:val="16"/>
                      <w:lang w:val="es-ES" w:eastAsia="es-ES"/>
                    </w:rPr>
                  </w:pPr>
                  <w:r w:rsidRPr="731A4B47">
                    <w:rPr>
                      <w:rFonts w:ascii="Verdana" w:eastAsia="Times New Roman" w:hAnsi="Verdana" w:cs="Arial"/>
                      <w:sz w:val="16"/>
                      <w:szCs w:val="16"/>
                      <w:lang w:val="es-ES" w:eastAsia="es-ES"/>
                    </w:rPr>
                    <w:t>Kelmis Yirama Brugés Alvarado</w:t>
                  </w:r>
                </w:p>
                <w:p w14:paraId="43C71A55" w14:textId="77777777" w:rsidR="00A252A9" w:rsidRPr="004C0111" w:rsidRDefault="00A252A9" w:rsidP="00F12578">
                  <w:pPr>
                    <w:spacing w:after="0" w:line="240" w:lineRule="auto"/>
                    <w:rPr>
                      <w:rFonts w:ascii="Verdana" w:eastAsia="Times New Roman" w:hAnsi="Verdana" w:cs="Arial"/>
                      <w:sz w:val="16"/>
                      <w:szCs w:val="16"/>
                      <w:lang w:val="es-MX" w:eastAsia="es-CO"/>
                    </w:rPr>
                  </w:pPr>
                  <w:r w:rsidRPr="004C0111">
                    <w:rPr>
                      <w:rFonts w:ascii="Verdana" w:eastAsia="Times New Roman" w:hAnsi="Verdana" w:cs="Arial"/>
                      <w:sz w:val="16"/>
                      <w:szCs w:val="16"/>
                      <w:lang w:eastAsia="es-ES"/>
                    </w:rPr>
                    <w:t>Analista T2-</w:t>
                  </w:r>
                  <w:r>
                    <w:rPr>
                      <w:rFonts w:ascii="Verdana" w:eastAsia="Times New Roman" w:hAnsi="Verdana" w:cs="Arial"/>
                      <w:sz w:val="16"/>
                      <w:szCs w:val="16"/>
                      <w:lang w:eastAsia="es-ES"/>
                    </w:rPr>
                    <w:t>04</w:t>
                  </w:r>
                  <w:r w:rsidRPr="004C0111">
                    <w:rPr>
                      <w:rFonts w:ascii="Verdana" w:eastAsia="Times New Roman" w:hAnsi="Verdana" w:cs="Arial"/>
                      <w:sz w:val="16"/>
                      <w:szCs w:val="16"/>
                      <w:lang w:eastAsia="es-ES"/>
                    </w:rPr>
                    <w:t xml:space="preserve"> de la Subdirección de Gestión Contractual</w:t>
                  </w:r>
                </w:p>
              </w:tc>
            </w:tr>
          </w:tbl>
          <w:p w14:paraId="5B3A6CA5" w14:textId="77777777" w:rsidR="00A252A9" w:rsidRPr="004C0111" w:rsidRDefault="00A252A9" w:rsidP="00F12578">
            <w:pPr>
              <w:rPr>
                <w:rFonts w:ascii="Verdana" w:eastAsia="Calibri" w:hAnsi="Verdana" w:cs="Arial"/>
                <w:sz w:val="16"/>
                <w:szCs w:val="16"/>
                <w:lang w:val="es-MX"/>
              </w:rPr>
            </w:pPr>
          </w:p>
        </w:tc>
      </w:tr>
      <w:tr w:rsidR="00A252A9" w:rsidRPr="004C0111" w14:paraId="7CED0BF2" w14:textId="77777777" w:rsidTr="00F12578">
        <w:trPr>
          <w:trHeight w:val="330"/>
        </w:trPr>
        <w:tc>
          <w:tcPr>
            <w:tcW w:w="893" w:type="dxa"/>
            <w:vAlign w:val="center"/>
            <w:hideMark/>
          </w:tcPr>
          <w:p w14:paraId="62CAD6FD" w14:textId="77777777" w:rsidR="00A252A9" w:rsidRPr="004C0111" w:rsidRDefault="00A252A9" w:rsidP="00F12578">
            <w:pPr>
              <w:rPr>
                <w:rFonts w:ascii="Verdana" w:eastAsia="Calibri" w:hAnsi="Verdana" w:cs="Arial"/>
                <w:sz w:val="16"/>
                <w:szCs w:val="16"/>
                <w:lang w:val="es-ES_tradnl"/>
              </w:rPr>
            </w:pPr>
            <w:r w:rsidRPr="004C0111">
              <w:rPr>
                <w:rFonts w:ascii="Verdana" w:eastAsia="Calibri" w:hAnsi="Verdana" w:cs="Arial"/>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1AA69DA0" w14:textId="073B5E70" w:rsidR="00A252A9" w:rsidRPr="004C0111" w:rsidRDefault="00A252A9" w:rsidP="00F12578">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Adriana López Rodríguez</w:t>
            </w:r>
          </w:p>
          <w:p w14:paraId="04F9C451" w14:textId="77777777" w:rsidR="00A252A9" w:rsidRPr="004C0111" w:rsidRDefault="00A252A9" w:rsidP="00F12578">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A252A9" w:rsidRPr="004C0111" w14:paraId="5268ED74" w14:textId="77777777" w:rsidTr="00F12578">
        <w:trPr>
          <w:trHeight w:val="77"/>
        </w:trPr>
        <w:tc>
          <w:tcPr>
            <w:tcW w:w="893" w:type="dxa"/>
            <w:vAlign w:val="center"/>
          </w:tcPr>
          <w:p w14:paraId="2CF04FC8" w14:textId="77777777" w:rsidR="00A252A9" w:rsidRPr="004C0111" w:rsidRDefault="00A252A9" w:rsidP="00F12578">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1A3171B8" w14:textId="77777777" w:rsidR="00A252A9" w:rsidRPr="002F2853" w:rsidRDefault="00A252A9" w:rsidP="00F12578">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75E44CF3" w14:textId="77777777" w:rsidR="00A252A9" w:rsidRPr="004C0111" w:rsidRDefault="00A252A9" w:rsidP="00F12578">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0D271A06"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23"/>
      <w:footerReference w:type="default" r:id="rId2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6CECB" w14:textId="77777777" w:rsidR="00183C1C" w:rsidRDefault="00183C1C" w:rsidP="004A1847">
      <w:pPr>
        <w:spacing w:after="0" w:line="240" w:lineRule="auto"/>
      </w:pPr>
      <w:r>
        <w:separator/>
      </w:r>
    </w:p>
  </w:endnote>
  <w:endnote w:type="continuationSeparator" w:id="0">
    <w:p w14:paraId="6C342496" w14:textId="77777777" w:rsidR="00183C1C" w:rsidRDefault="00183C1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D8B59" w14:textId="77777777" w:rsidR="00183C1C" w:rsidRDefault="00183C1C" w:rsidP="004A1847">
      <w:pPr>
        <w:spacing w:after="0" w:line="240" w:lineRule="auto"/>
      </w:pPr>
      <w:r>
        <w:separator/>
      </w:r>
    </w:p>
  </w:footnote>
  <w:footnote w:type="continuationSeparator" w:id="0">
    <w:p w14:paraId="0EB5A392" w14:textId="77777777" w:rsidR="00183C1C" w:rsidRDefault="00183C1C" w:rsidP="004A1847">
      <w:pPr>
        <w:spacing w:after="0" w:line="240" w:lineRule="auto"/>
      </w:pPr>
      <w:r>
        <w:continuationSeparator/>
      </w:r>
    </w:p>
  </w:footnote>
  <w:footnote w:id="1">
    <w:p w14:paraId="577ACA8C" w14:textId="77777777" w:rsidR="009D1ABC" w:rsidRPr="009D1ABC" w:rsidRDefault="009569D7" w:rsidP="009D1ABC">
      <w:pPr>
        <w:pStyle w:val="Textonotapie"/>
        <w:ind w:firstLine="709"/>
        <w:jc w:val="both"/>
        <w:rPr>
          <w:rFonts w:ascii="Verdana" w:hAnsi="Verdana" w:cs="Arial"/>
          <w:color w:val="000000" w:themeColor="text1"/>
          <w:sz w:val="16"/>
          <w:szCs w:val="16"/>
        </w:rPr>
      </w:pPr>
      <w:r w:rsidRPr="009D1ABC">
        <w:rPr>
          <w:rStyle w:val="Refdenotaalpie"/>
          <w:rFonts w:ascii="Verdana" w:hAnsi="Verdana"/>
          <w:sz w:val="16"/>
          <w:szCs w:val="16"/>
        </w:rPr>
        <w:footnoteRef/>
      </w:r>
      <w:r w:rsidRPr="009D1ABC">
        <w:rPr>
          <w:rFonts w:ascii="Verdana" w:hAnsi="Verdana"/>
          <w:sz w:val="16"/>
          <w:szCs w:val="16"/>
        </w:rPr>
        <w:t xml:space="preserve"> </w:t>
      </w:r>
      <w:r w:rsidR="009D1ABC" w:rsidRPr="009D1ABC">
        <w:rPr>
          <w:rFonts w:ascii="Verdana" w:hAnsi="Verdana" w:cs="Arial"/>
          <w:color w:val="000000" w:themeColor="text1"/>
          <w:sz w:val="16"/>
          <w:szCs w:val="16"/>
        </w:rPr>
        <w:t>MEDINA LÓPEZ, Diego Eduardo. El derecho de los jueces: obligatoriedad del precedente constitucional, análisis de sentencias y líneas jurisprudenciales y teoría del derecho judicial. Bogotá: Legis, 2006.</w:t>
      </w:r>
    </w:p>
    <w:p w14:paraId="7CC33E32" w14:textId="1CB9453D" w:rsidR="009569D7" w:rsidRPr="009569D7" w:rsidRDefault="009569D7">
      <w:pPr>
        <w:pStyle w:val="Textonotapie"/>
      </w:pPr>
    </w:p>
  </w:footnote>
  <w:footnote w:id="2">
    <w:p w14:paraId="16001BFE" w14:textId="77777777" w:rsidR="00F56205" w:rsidRPr="00F56205" w:rsidRDefault="009D1ABC" w:rsidP="00F56205">
      <w:pPr>
        <w:pStyle w:val="Textonotapie"/>
        <w:ind w:firstLine="709"/>
        <w:jc w:val="both"/>
        <w:rPr>
          <w:rFonts w:ascii="Verdana" w:hAnsi="Verdana" w:cs="Arial"/>
          <w:color w:val="000000" w:themeColor="text1"/>
          <w:sz w:val="16"/>
          <w:szCs w:val="16"/>
        </w:rPr>
      </w:pPr>
      <w:r w:rsidRPr="00F56205">
        <w:rPr>
          <w:rStyle w:val="Refdenotaalpie"/>
          <w:rFonts w:ascii="Verdana" w:hAnsi="Verdana"/>
          <w:sz w:val="16"/>
          <w:szCs w:val="16"/>
        </w:rPr>
        <w:footnoteRef/>
      </w:r>
      <w:r w:rsidRPr="00F56205">
        <w:rPr>
          <w:rFonts w:ascii="Verdana" w:hAnsi="Verdana"/>
          <w:sz w:val="16"/>
          <w:szCs w:val="16"/>
        </w:rPr>
        <w:t xml:space="preserve"> </w:t>
      </w:r>
      <w:r w:rsidR="00F56205" w:rsidRPr="00F56205">
        <w:rPr>
          <w:rFonts w:ascii="Verdana" w:hAnsi="Verdana" w:cs="Arial"/>
          <w:color w:val="000000" w:themeColor="text1"/>
          <w:sz w:val="16"/>
          <w:szCs w:val="16"/>
        </w:rPr>
        <w:t xml:space="preserve">EXPÓSITO VÉLEZ, Juan Carlos. Definición de los «Contratos Estatales». Contratos Estatales propiamente dichos y Contratos Estatales Especiales. Regulación del Contrato suscrito con entidades estatales. Jurisdicción Competente. En: Andrés Fernando Ospina Garzón. Los Grandes Fallos de la Jurisprudencia Administrativa Colombiana. Universidad Externado de Colombia, 2013. </w:t>
      </w:r>
    </w:p>
    <w:p w14:paraId="40EFCB04" w14:textId="1D3EA82E" w:rsidR="009D1ABC" w:rsidRPr="00F56205" w:rsidRDefault="009D1ABC">
      <w:pPr>
        <w:pStyle w:val="Textonotapie"/>
        <w:rPr>
          <w:rFonts w:ascii="Verdana" w:hAnsi="Verdana"/>
          <w:sz w:val="16"/>
          <w:szCs w:val="16"/>
        </w:rPr>
      </w:pPr>
    </w:p>
  </w:footnote>
  <w:footnote w:id="3">
    <w:p w14:paraId="68448504" w14:textId="77777777" w:rsidR="00522F39" w:rsidRPr="00522F39" w:rsidRDefault="00AF7113" w:rsidP="00522F39">
      <w:pPr>
        <w:pStyle w:val="Textonotapie"/>
        <w:ind w:firstLine="709"/>
        <w:jc w:val="both"/>
        <w:rPr>
          <w:rFonts w:ascii="Verdana" w:hAnsi="Verdana" w:cs="Arial"/>
          <w:color w:val="000000" w:themeColor="text1"/>
          <w:sz w:val="16"/>
          <w:szCs w:val="16"/>
        </w:rPr>
      </w:pPr>
      <w:r w:rsidRPr="00522F39">
        <w:rPr>
          <w:rStyle w:val="Refdenotaalpie"/>
          <w:rFonts w:ascii="Verdana" w:hAnsi="Verdana"/>
          <w:sz w:val="16"/>
          <w:szCs w:val="16"/>
        </w:rPr>
        <w:footnoteRef/>
      </w:r>
      <w:r w:rsidRPr="00522F39">
        <w:rPr>
          <w:rFonts w:ascii="Verdana" w:hAnsi="Verdana"/>
          <w:sz w:val="16"/>
          <w:szCs w:val="16"/>
        </w:rPr>
        <w:t xml:space="preserve"> </w:t>
      </w:r>
      <w:r w:rsidR="00522F39" w:rsidRPr="00522F39">
        <w:rPr>
          <w:rFonts w:ascii="Verdana" w:hAnsi="Verdana" w:cs="Arial"/>
          <w:color w:val="000000" w:themeColor="text1"/>
          <w:sz w:val="16"/>
          <w:szCs w:val="16"/>
        </w:rPr>
        <w:t xml:space="preserve">CONSEJO DE ESTADO. Sección Tercera. Auto del 20 de agosto de 1998. Exp. 14.202.  C.P. Juan de Dios Montes Bermúdez. </w:t>
      </w:r>
    </w:p>
    <w:p w14:paraId="306F1AD5" w14:textId="27AFE93C" w:rsidR="00AF7113" w:rsidRPr="00AF7113" w:rsidRDefault="00AF7113">
      <w:pPr>
        <w:pStyle w:val="Textonotapie"/>
      </w:pPr>
    </w:p>
  </w:footnote>
  <w:footnote w:id="4">
    <w:p w14:paraId="29237D57" w14:textId="77777777" w:rsidR="006C1D05" w:rsidRPr="006C1D05" w:rsidRDefault="006C1D05" w:rsidP="006C1D05">
      <w:pPr>
        <w:pStyle w:val="Textonotapie"/>
        <w:ind w:firstLine="709"/>
        <w:jc w:val="both"/>
        <w:rPr>
          <w:rFonts w:ascii="Verdana" w:hAnsi="Verdana" w:cs="Arial"/>
          <w:color w:val="000000" w:themeColor="text1"/>
          <w:sz w:val="16"/>
          <w:szCs w:val="16"/>
        </w:rPr>
      </w:pPr>
      <w:r w:rsidRPr="006C1D05">
        <w:rPr>
          <w:rStyle w:val="Refdenotaalpie"/>
          <w:rFonts w:ascii="Verdana" w:hAnsi="Verdana" w:cs="Arial"/>
          <w:color w:val="000000" w:themeColor="text1"/>
          <w:sz w:val="16"/>
          <w:szCs w:val="16"/>
        </w:rPr>
        <w:footnoteRef/>
      </w:r>
      <w:r w:rsidRPr="006C1D05">
        <w:rPr>
          <w:rFonts w:ascii="Verdana" w:hAnsi="Verdana" w:cs="Arial"/>
          <w:color w:val="000000" w:themeColor="text1"/>
          <w:sz w:val="16"/>
          <w:szCs w:val="16"/>
        </w:rPr>
        <w:t xml:space="preserve"> </w:t>
      </w:r>
      <w:bookmarkStart w:id="2" w:name="66"/>
      <w:r w:rsidRPr="006C1D05">
        <w:rPr>
          <w:rFonts w:ascii="Verdana" w:hAnsi="Verdana" w:cs="Arial"/>
          <w:color w:val="000000" w:themeColor="text1"/>
          <w:sz w:val="16"/>
          <w:szCs w:val="16"/>
        </w:rPr>
        <w:t>“Artículo 66. Medidas especiales de contratación.</w:t>
      </w:r>
      <w:bookmarkEnd w:id="2"/>
      <w:r w:rsidRPr="006C1D05">
        <w:rPr>
          <w:rFonts w:ascii="Verdana" w:hAnsi="Verdana" w:cs="Arial"/>
          <w:color w:val="000000" w:themeColor="text1"/>
          <w:sz w:val="16"/>
          <w:szCs w:val="16"/>
        </w:rPr>
        <w:t> Salvo lo dispuesto para los contratos de empréstito interno y externo, los contratos que celebre la sociedad fiduciaria para la ejecución de los bienes, derechos e intereses del Fondo Nacional de Gestión del Riesgo o los celebrados por las entidades ejecutoras que reciban recursos provenientes de este fondo o los celebrados por las entidades territoriales y sus fondos de gestión del riesgo, relacionados directamente con las actividades de respuesta, de rehabilitación y reconstrucción de las zonas declaradas en situación de desastre o calamidad pública, se someterán a los requisitos y formalidades que exige la ley para la contratación entre particulares, con sujeción al régimen especial dispuesto en el artículo </w:t>
      </w:r>
      <w:hyperlink r:id="rId1" w:anchor="13" w:history="1">
        <w:r w:rsidRPr="006C1D05">
          <w:rPr>
            <w:rStyle w:val="Hipervnculo"/>
            <w:rFonts w:ascii="Verdana" w:hAnsi="Verdana" w:cs="Arial"/>
            <w:color w:val="000000" w:themeColor="text1"/>
            <w:sz w:val="16"/>
            <w:szCs w:val="16"/>
          </w:rPr>
          <w:t>13</w:t>
        </w:r>
      </w:hyperlink>
      <w:r w:rsidRPr="006C1D05">
        <w:rPr>
          <w:rFonts w:ascii="Verdana" w:hAnsi="Verdana" w:cs="Arial"/>
          <w:color w:val="000000" w:themeColor="text1"/>
          <w:sz w:val="16"/>
          <w:szCs w:val="16"/>
        </w:rPr>
        <w:t> de la Ley 1150 de 2007, y podrán contemplar cláusulas excepcionales de conformidad con lo dispuesto en los artículos </w:t>
      </w:r>
      <w:hyperlink r:id="rId2" w:anchor="14" w:history="1">
        <w:r w:rsidRPr="006C1D05">
          <w:rPr>
            <w:rStyle w:val="Hipervnculo"/>
            <w:rFonts w:ascii="Verdana" w:hAnsi="Verdana" w:cs="Arial"/>
            <w:color w:val="000000" w:themeColor="text1"/>
            <w:sz w:val="16"/>
            <w:szCs w:val="16"/>
          </w:rPr>
          <w:t>14</w:t>
        </w:r>
      </w:hyperlink>
      <w:r w:rsidRPr="006C1D05">
        <w:rPr>
          <w:rFonts w:ascii="Verdana" w:hAnsi="Verdana" w:cs="Arial"/>
          <w:color w:val="000000" w:themeColor="text1"/>
          <w:sz w:val="16"/>
          <w:szCs w:val="16"/>
        </w:rPr>
        <w:t> a </w:t>
      </w:r>
      <w:hyperlink r:id="rId3" w:anchor="18" w:history="1">
        <w:r w:rsidRPr="006C1D05">
          <w:rPr>
            <w:rStyle w:val="Hipervnculo"/>
            <w:rFonts w:ascii="Verdana" w:hAnsi="Verdana" w:cs="Arial"/>
            <w:color w:val="000000" w:themeColor="text1"/>
            <w:sz w:val="16"/>
            <w:szCs w:val="16"/>
          </w:rPr>
          <w:t>18</w:t>
        </w:r>
      </w:hyperlink>
      <w:r w:rsidRPr="006C1D05">
        <w:rPr>
          <w:rFonts w:ascii="Verdana" w:hAnsi="Verdana" w:cs="Arial"/>
          <w:color w:val="000000" w:themeColor="text1"/>
          <w:sz w:val="16"/>
          <w:szCs w:val="16"/>
        </w:rPr>
        <w:t> de la Ley 80 de 1993.</w:t>
      </w:r>
      <w:r w:rsidRPr="006C1D05">
        <w:rPr>
          <w:rStyle w:val="baj"/>
          <w:rFonts w:ascii="Verdana" w:hAnsi="Verdana" w:cs="Arial"/>
          <w:color w:val="000000" w:themeColor="text1"/>
          <w:sz w:val="16"/>
          <w:szCs w:val="16"/>
        </w:rPr>
        <w:t>» PARÁGRAFO.</w:t>
      </w:r>
      <w:r w:rsidRPr="006C1D05">
        <w:rPr>
          <w:rFonts w:ascii="Verdana" w:hAnsi="Verdana" w:cs="Arial"/>
          <w:color w:val="000000" w:themeColor="text1"/>
          <w:sz w:val="16"/>
          <w:szCs w:val="16"/>
        </w:rPr>
        <w:t> Los contratos celebrados por las entidades territoriales en virtud del artículo anterior se someterán al control fiscal dispuesto para los celebrados en el marco de la declaratoria de urgencia manifiesta contemplada en los artículos </w:t>
      </w:r>
      <w:hyperlink r:id="rId4" w:anchor="42" w:history="1">
        <w:r w:rsidRPr="006C1D05">
          <w:rPr>
            <w:rStyle w:val="Hipervnculo"/>
            <w:rFonts w:ascii="Verdana" w:hAnsi="Verdana" w:cs="Arial"/>
            <w:color w:val="000000" w:themeColor="text1"/>
            <w:sz w:val="16"/>
            <w:szCs w:val="16"/>
          </w:rPr>
          <w:t>42</w:t>
        </w:r>
      </w:hyperlink>
      <w:r w:rsidRPr="006C1D05">
        <w:rPr>
          <w:rFonts w:ascii="Verdana" w:hAnsi="Verdana" w:cs="Arial"/>
          <w:color w:val="000000" w:themeColor="text1"/>
          <w:sz w:val="16"/>
          <w:szCs w:val="16"/>
        </w:rPr>
        <w:t> y </w:t>
      </w:r>
      <w:hyperlink r:id="rId5" w:anchor="43" w:history="1">
        <w:r w:rsidRPr="006C1D05">
          <w:rPr>
            <w:rStyle w:val="Hipervnculo"/>
            <w:rFonts w:ascii="Verdana" w:hAnsi="Verdana" w:cs="Arial"/>
            <w:color w:val="000000" w:themeColor="text1"/>
            <w:sz w:val="16"/>
            <w:szCs w:val="16"/>
          </w:rPr>
          <w:t>43</w:t>
        </w:r>
      </w:hyperlink>
      <w:r w:rsidRPr="006C1D05">
        <w:rPr>
          <w:rFonts w:ascii="Verdana" w:hAnsi="Verdana" w:cs="Arial"/>
          <w:color w:val="000000" w:themeColor="text1"/>
          <w:sz w:val="16"/>
          <w:szCs w:val="16"/>
        </w:rPr>
        <w:t> de la Ley 80 de 1993 y demás normas que la modifiquen”.</w:t>
      </w:r>
    </w:p>
  </w:footnote>
  <w:footnote w:id="5">
    <w:p w14:paraId="518C4A45" w14:textId="77777777" w:rsidR="006C1D05" w:rsidRPr="00AD7D22" w:rsidRDefault="006C1D05" w:rsidP="006C1D05">
      <w:pPr>
        <w:pStyle w:val="Textonotapie"/>
        <w:ind w:firstLine="708"/>
        <w:jc w:val="both"/>
        <w:rPr>
          <w:rFonts w:ascii="Verdana" w:hAnsi="Verdana" w:cs="Arial"/>
          <w:color w:val="000000" w:themeColor="text1"/>
          <w:sz w:val="16"/>
          <w:szCs w:val="16"/>
        </w:rPr>
      </w:pPr>
      <w:r w:rsidRPr="00AD7D22">
        <w:rPr>
          <w:rStyle w:val="Refdenotaalpie"/>
          <w:rFonts w:ascii="Verdana" w:hAnsi="Verdana" w:cs="Arial"/>
          <w:color w:val="000000" w:themeColor="text1"/>
          <w:sz w:val="16"/>
          <w:szCs w:val="16"/>
        </w:rPr>
        <w:footnoteRef/>
      </w:r>
      <w:r w:rsidRPr="00AD7D22">
        <w:rPr>
          <w:rFonts w:ascii="Verdana" w:hAnsi="Verdana" w:cs="Arial"/>
          <w:color w:val="000000" w:themeColor="text1"/>
          <w:sz w:val="16"/>
          <w:szCs w:val="16"/>
        </w:rPr>
        <w:t xml:space="preserve"> HINESTROSA FORERO, Fernando. Tratado de las Obligaciones II. De las fuentes de las obligaciones: el negocio jurídico. Volumen I. Bogotá: Universidad Externado de Colombia, 2015. p. 116.  </w:t>
      </w:r>
    </w:p>
    <w:p w14:paraId="0E0A26D7" w14:textId="77777777" w:rsidR="006C1D05" w:rsidRPr="00AD7D22" w:rsidRDefault="006C1D05" w:rsidP="006C1D05">
      <w:pPr>
        <w:pStyle w:val="Textonotapie"/>
        <w:ind w:firstLine="708"/>
        <w:jc w:val="both"/>
        <w:rPr>
          <w:rFonts w:ascii="Verdana" w:hAnsi="Verdana" w:cs="Arial"/>
          <w:color w:val="000000" w:themeColor="text1"/>
          <w:sz w:val="16"/>
          <w:szCs w:val="16"/>
        </w:rPr>
      </w:pPr>
    </w:p>
  </w:footnote>
  <w:footnote w:id="6">
    <w:p w14:paraId="542A5411" w14:textId="77777777" w:rsidR="008F368A" w:rsidRPr="00AD7D22" w:rsidRDefault="008F368A" w:rsidP="008F368A">
      <w:pPr>
        <w:pStyle w:val="Textonotapie"/>
        <w:ind w:firstLine="708"/>
        <w:jc w:val="both"/>
        <w:rPr>
          <w:rFonts w:ascii="Verdana" w:hAnsi="Verdana" w:cs="Arial"/>
          <w:sz w:val="16"/>
          <w:szCs w:val="16"/>
        </w:rPr>
      </w:pPr>
      <w:r w:rsidRPr="00AD7D22">
        <w:rPr>
          <w:rStyle w:val="Refdenotaalpie"/>
          <w:rFonts w:ascii="Verdana" w:hAnsi="Verdana" w:cs="Arial"/>
          <w:sz w:val="16"/>
          <w:szCs w:val="16"/>
        </w:rPr>
        <w:footnoteRef/>
      </w:r>
      <w:r w:rsidRPr="00AD7D22">
        <w:rPr>
          <w:rFonts w:ascii="Verdana" w:hAnsi="Verdana" w:cs="Arial"/>
          <w:sz w:val="16"/>
          <w:szCs w:val="16"/>
        </w:rPr>
        <w:t xml:space="preserve"> Cfr. Colombia Compra Eficiente. Subdirección de Gestión Contractual. Concepto C-362 del 3 de julio de 2020. Pág. 9.</w:t>
      </w:r>
    </w:p>
    <w:p w14:paraId="76E7E07F" w14:textId="77777777" w:rsidR="008F368A" w:rsidRPr="00AD7D22" w:rsidRDefault="008F368A" w:rsidP="008F368A">
      <w:pPr>
        <w:pStyle w:val="Textonotapie"/>
        <w:ind w:firstLine="708"/>
        <w:jc w:val="both"/>
        <w:rPr>
          <w:rFonts w:ascii="Verdana" w:hAnsi="Verdana" w:cs="Arial"/>
          <w:sz w:val="16"/>
          <w:szCs w:val="16"/>
        </w:rPr>
      </w:pPr>
    </w:p>
  </w:footnote>
  <w:footnote w:id="7">
    <w:p w14:paraId="389C5D8D" w14:textId="77777777" w:rsidR="008F368A" w:rsidRPr="00AD7D22" w:rsidRDefault="008F368A" w:rsidP="008F368A">
      <w:pPr>
        <w:spacing w:after="0" w:line="240" w:lineRule="auto"/>
        <w:ind w:firstLine="708"/>
        <w:jc w:val="both"/>
        <w:rPr>
          <w:rFonts w:ascii="Verdana" w:hAnsi="Verdana" w:cs="Arial"/>
          <w:sz w:val="16"/>
          <w:szCs w:val="16"/>
        </w:rPr>
      </w:pPr>
      <w:r w:rsidRPr="00AD7D22">
        <w:rPr>
          <w:rStyle w:val="Refdenotaalpie"/>
          <w:rFonts w:ascii="Verdana" w:hAnsi="Verdana" w:cs="Arial"/>
          <w:sz w:val="16"/>
          <w:szCs w:val="16"/>
        </w:rPr>
        <w:footnoteRef/>
      </w:r>
      <w:r w:rsidRPr="00AD7D22">
        <w:rPr>
          <w:rFonts w:ascii="Verdana" w:hAnsi="Verdana" w:cs="Arial"/>
          <w:sz w:val="16"/>
          <w:szCs w:val="16"/>
        </w:rPr>
        <w:t xml:space="preserve"> “La</w:t>
      </w:r>
      <w:r w:rsidRPr="00AD7D22">
        <w:rPr>
          <w:rFonts w:ascii="Verdana" w:hAnsi="Verdana" w:cs="Arial"/>
          <w:spacing w:val="-12"/>
          <w:sz w:val="16"/>
          <w:szCs w:val="16"/>
        </w:rPr>
        <w:t xml:space="preserve"> </w:t>
      </w:r>
      <w:r w:rsidRPr="00AD7D22">
        <w:rPr>
          <w:rFonts w:ascii="Verdana" w:hAnsi="Verdana" w:cs="Arial"/>
          <w:sz w:val="16"/>
          <w:szCs w:val="16"/>
        </w:rPr>
        <w:t>fuerza</w:t>
      </w:r>
      <w:r w:rsidRPr="00AD7D22">
        <w:rPr>
          <w:rFonts w:ascii="Verdana" w:hAnsi="Verdana" w:cs="Arial"/>
          <w:spacing w:val="-12"/>
          <w:sz w:val="16"/>
          <w:szCs w:val="16"/>
        </w:rPr>
        <w:t xml:space="preserve"> </w:t>
      </w:r>
      <w:r w:rsidRPr="00AD7D22">
        <w:rPr>
          <w:rFonts w:ascii="Verdana" w:hAnsi="Verdana" w:cs="Arial"/>
          <w:sz w:val="16"/>
          <w:szCs w:val="16"/>
        </w:rPr>
        <w:t>vinculante</w:t>
      </w:r>
      <w:r w:rsidRPr="00AD7D22">
        <w:rPr>
          <w:rFonts w:ascii="Verdana" w:hAnsi="Verdana" w:cs="Arial"/>
          <w:spacing w:val="-12"/>
          <w:sz w:val="16"/>
          <w:szCs w:val="16"/>
        </w:rPr>
        <w:t xml:space="preserve"> </w:t>
      </w:r>
      <w:r w:rsidRPr="00AD7D22">
        <w:rPr>
          <w:rFonts w:ascii="Verdana" w:hAnsi="Verdana" w:cs="Arial"/>
          <w:sz w:val="16"/>
          <w:szCs w:val="16"/>
        </w:rPr>
        <w:t>de</w:t>
      </w:r>
      <w:r w:rsidRPr="00AD7D22">
        <w:rPr>
          <w:rFonts w:ascii="Verdana" w:hAnsi="Verdana" w:cs="Arial"/>
          <w:spacing w:val="-11"/>
          <w:sz w:val="16"/>
          <w:szCs w:val="16"/>
        </w:rPr>
        <w:t xml:space="preserve"> </w:t>
      </w:r>
      <w:r w:rsidRPr="00AD7D22">
        <w:rPr>
          <w:rFonts w:ascii="Verdana" w:hAnsi="Verdana" w:cs="Arial"/>
          <w:sz w:val="16"/>
          <w:szCs w:val="16"/>
        </w:rPr>
        <w:t>los</w:t>
      </w:r>
      <w:r w:rsidRPr="00AD7D22">
        <w:rPr>
          <w:rFonts w:ascii="Verdana" w:hAnsi="Verdana" w:cs="Arial"/>
          <w:spacing w:val="-12"/>
          <w:sz w:val="16"/>
          <w:szCs w:val="16"/>
        </w:rPr>
        <w:t xml:space="preserve"> </w:t>
      </w:r>
      <w:r w:rsidRPr="00AD7D22">
        <w:rPr>
          <w:rFonts w:ascii="Verdana" w:hAnsi="Verdana" w:cs="Arial"/>
          <w:sz w:val="16"/>
          <w:szCs w:val="16"/>
        </w:rPr>
        <w:t>reglamentos</w:t>
      </w:r>
      <w:r w:rsidRPr="00AD7D22">
        <w:rPr>
          <w:rFonts w:ascii="Verdana" w:hAnsi="Verdana" w:cs="Arial"/>
          <w:spacing w:val="-12"/>
          <w:sz w:val="16"/>
          <w:szCs w:val="16"/>
        </w:rPr>
        <w:t xml:space="preserve"> </w:t>
      </w:r>
      <w:r w:rsidRPr="00AD7D22">
        <w:rPr>
          <w:rFonts w:ascii="Verdana" w:hAnsi="Verdana" w:cs="Arial"/>
          <w:sz w:val="16"/>
          <w:szCs w:val="16"/>
        </w:rPr>
        <w:t>–tanto</w:t>
      </w:r>
      <w:r w:rsidRPr="00AD7D22">
        <w:rPr>
          <w:rFonts w:ascii="Verdana" w:hAnsi="Verdana" w:cs="Arial"/>
          <w:spacing w:val="-12"/>
          <w:sz w:val="16"/>
          <w:szCs w:val="16"/>
        </w:rPr>
        <w:t xml:space="preserve"> </w:t>
      </w:r>
      <w:r w:rsidRPr="00AD7D22">
        <w:rPr>
          <w:rFonts w:ascii="Verdana" w:hAnsi="Verdana" w:cs="Arial"/>
          <w:sz w:val="16"/>
          <w:szCs w:val="16"/>
        </w:rPr>
        <w:t>para</w:t>
      </w:r>
      <w:r w:rsidRPr="00AD7D22">
        <w:rPr>
          <w:rFonts w:ascii="Verdana" w:hAnsi="Verdana" w:cs="Arial"/>
          <w:spacing w:val="-12"/>
          <w:sz w:val="16"/>
          <w:szCs w:val="16"/>
        </w:rPr>
        <w:t xml:space="preserve"> </w:t>
      </w:r>
      <w:r w:rsidRPr="00AD7D22">
        <w:rPr>
          <w:rFonts w:ascii="Verdana" w:hAnsi="Verdana" w:cs="Arial"/>
          <w:sz w:val="16"/>
          <w:szCs w:val="16"/>
        </w:rPr>
        <w:t>los</w:t>
      </w:r>
      <w:r w:rsidRPr="00AD7D22">
        <w:rPr>
          <w:rFonts w:ascii="Verdana" w:hAnsi="Verdana" w:cs="Arial"/>
          <w:spacing w:val="-11"/>
          <w:sz w:val="16"/>
          <w:szCs w:val="16"/>
        </w:rPr>
        <w:t xml:space="preserve"> </w:t>
      </w:r>
      <w:r w:rsidRPr="00AD7D22">
        <w:rPr>
          <w:rFonts w:ascii="Verdana" w:hAnsi="Verdana" w:cs="Arial"/>
          <w:sz w:val="16"/>
          <w:szCs w:val="16"/>
        </w:rPr>
        <w:t>administrados</w:t>
      </w:r>
      <w:r w:rsidRPr="00AD7D22">
        <w:rPr>
          <w:rFonts w:ascii="Verdana" w:hAnsi="Verdana" w:cs="Arial"/>
          <w:spacing w:val="-12"/>
          <w:sz w:val="16"/>
          <w:szCs w:val="16"/>
        </w:rPr>
        <w:t xml:space="preserve"> </w:t>
      </w:r>
      <w:r w:rsidRPr="00AD7D22">
        <w:rPr>
          <w:rFonts w:ascii="Verdana" w:hAnsi="Verdana" w:cs="Arial"/>
          <w:sz w:val="16"/>
          <w:szCs w:val="16"/>
        </w:rPr>
        <w:t>como</w:t>
      </w:r>
      <w:r w:rsidRPr="00AD7D22">
        <w:rPr>
          <w:rFonts w:ascii="Verdana" w:hAnsi="Verdana" w:cs="Arial"/>
          <w:spacing w:val="-12"/>
          <w:sz w:val="16"/>
          <w:szCs w:val="16"/>
        </w:rPr>
        <w:t xml:space="preserve"> </w:t>
      </w:r>
      <w:r w:rsidRPr="00AD7D22">
        <w:rPr>
          <w:rFonts w:ascii="Verdana" w:hAnsi="Verdana" w:cs="Arial"/>
          <w:sz w:val="16"/>
          <w:szCs w:val="16"/>
        </w:rPr>
        <w:t>para</w:t>
      </w:r>
      <w:r w:rsidRPr="00AD7D22">
        <w:rPr>
          <w:rFonts w:ascii="Verdana" w:hAnsi="Verdana" w:cs="Arial"/>
          <w:spacing w:val="-12"/>
          <w:sz w:val="16"/>
          <w:szCs w:val="16"/>
        </w:rPr>
        <w:t xml:space="preserve"> </w:t>
      </w:r>
      <w:r w:rsidRPr="00AD7D22">
        <w:rPr>
          <w:rFonts w:ascii="Verdana" w:hAnsi="Verdana" w:cs="Arial"/>
          <w:sz w:val="16"/>
          <w:szCs w:val="16"/>
        </w:rPr>
        <w:t>la</w:t>
      </w:r>
      <w:r w:rsidRPr="00AD7D22">
        <w:rPr>
          <w:rFonts w:ascii="Verdana" w:hAnsi="Verdana" w:cs="Arial"/>
          <w:spacing w:val="-12"/>
          <w:sz w:val="16"/>
          <w:szCs w:val="16"/>
        </w:rPr>
        <w:t xml:space="preserve"> </w:t>
      </w:r>
      <w:r w:rsidRPr="00AD7D22">
        <w:rPr>
          <w:rFonts w:ascii="Verdana" w:hAnsi="Verdana" w:cs="Arial"/>
          <w:sz w:val="16"/>
          <w:szCs w:val="16"/>
        </w:rPr>
        <w:t>propia</w:t>
      </w:r>
      <w:r w:rsidRPr="00AD7D22">
        <w:rPr>
          <w:rFonts w:ascii="Verdana" w:hAnsi="Verdana" w:cs="Arial"/>
          <w:spacing w:val="-50"/>
          <w:sz w:val="16"/>
          <w:szCs w:val="16"/>
        </w:rPr>
        <w:t xml:space="preserve"> </w:t>
      </w:r>
      <w:r w:rsidRPr="00AD7D22">
        <w:rPr>
          <w:rFonts w:ascii="Verdana" w:hAnsi="Verdana" w:cs="Arial"/>
          <w:sz w:val="16"/>
          <w:szCs w:val="16"/>
        </w:rPr>
        <w:t>administración– surge del hecho de ser una norma jurídica, y de compartir la naturaleza del acto</w:t>
      </w:r>
      <w:r w:rsidRPr="00AD7D22">
        <w:rPr>
          <w:rFonts w:ascii="Verdana" w:hAnsi="Verdana" w:cs="Arial"/>
          <w:spacing w:val="1"/>
          <w:sz w:val="16"/>
          <w:szCs w:val="16"/>
        </w:rPr>
        <w:t xml:space="preserve"> </w:t>
      </w:r>
      <w:r w:rsidRPr="00AD7D22">
        <w:rPr>
          <w:rFonts w:ascii="Verdana" w:hAnsi="Verdana" w:cs="Arial"/>
          <w:sz w:val="16"/>
          <w:szCs w:val="16"/>
        </w:rPr>
        <w:t>administrativo,</w:t>
      </w:r>
      <w:r w:rsidRPr="00AD7D22">
        <w:rPr>
          <w:rFonts w:ascii="Verdana" w:hAnsi="Verdana" w:cs="Arial"/>
          <w:spacing w:val="-4"/>
          <w:sz w:val="16"/>
          <w:szCs w:val="16"/>
        </w:rPr>
        <w:t xml:space="preserve"> </w:t>
      </w:r>
      <w:r w:rsidRPr="00AD7D22">
        <w:rPr>
          <w:rFonts w:ascii="Verdana" w:hAnsi="Verdana" w:cs="Arial"/>
          <w:sz w:val="16"/>
          <w:szCs w:val="16"/>
        </w:rPr>
        <w:t>luego,</w:t>
      </w:r>
      <w:r w:rsidRPr="00AD7D22">
        <w:rPr>
          <w:rFonts w:ascii="Verdana" w:hAnsi="Verdana" w:cs="Arial"/>
          <w:spacing w:val="-4"/>
          <w:sz w:val="16"/>
          <w:szCs w:val="16"/>
        </w:rPr>
        <w:t xml:space="preserve"> </w:t>
      </w:r>
      <w:r w:rsidRPr="00AD7D22">
        <w:rPr>
          <w:rFonts w:ascii="Verdana" w:hAnsi="Verdana" w:cs="Arial"/>
          <w:sz w:val="16"/>
          <w:szCs w:val="16"/>
        </w:rPr>
        <w:t>de</w:t>
      </w:r>
      <w:r w:rsidRPr="00AD7D22">
        <w:rPr>
          <w:rFonts w:ascii="Verdana" w:hAnsi="Verdana" w:cs="Arial"/>
          <w:spacing w:val="-4"/>
          <w:sz w:val="16"/>
          <w:szCs w:val="16"/>
        </w:rPr>
        <w:t xml:space="preserve"> </w:t>
      </w:r>
      <w:r w:rsidRPr="00AD7D22">
        <w:rPr>
          <w:rFonts w:ascii="Verdana" w:hAnsi="Verdana" w:cs="Arial"/>
          <w:sz w:val="16"/>
          <w:szCs w:val="16"/>
        </w:rPr>
        <w:t>allí</w:t>
      </w:r>
      <w:r w:rsidRPr="00AD7D22">
        <w:rPr>
          <w:rFonts w:ascii="Verdana" w:hAnsi="Verdana" w:cs="Arial"/>
          <w:spacing w:val="-4"/>
          <w:sz w:val="16"/>
          <w:szCs w:val="16"/>
        </w:rPr>
        <w:t xml:space="preserve"> </w:t>
      </w:r>
      <w:r w:rsidRPr="00AD7D22">
        <w:rPr>
          <w:rFonts w:ascii="Verdana" w:hAnsi="Verdana" w:cs="Arial"/>
          <w:sz w:val="16"/>
          <w:szCs w:val="16"/>
        </w:rPr>
        <w:t>también</w:t>
      </w:r>
      <w:r w:rsidRPr="00AD7D22">
        <w:rPr>
          <w:rFonts w:ascii="Verdana" w:hAnsi="Verdana" w:cs="Arial"/>
          <w:spacing w:val="-4"/>
          <w:sz w:val="16"/>
          <w:szCs w:val="16"/>
        </w:rPr>
        <w:t xml:space="preserve"> </w:t>
      </w:r>
      <w:r w:rsidRPr="00AD7D22">
        <w:rPr>
          <w:rFonts w:ascii="Verdana" w:hAnsi="Verdana" w:cs="Arial"/>
          <w:sz w:val="16"/>
          <w:szCs w:val="16"/>
        </w:rPr>
        <w:t>se</w:t>
      </w:r>
      <w:r w:rsidRPr="00AD7D22">
        <w:rPr>
          <w:rFonts w:ascii="Verdana" w:hAnsi="Verdana" w:cs="Arial"/>
          <w:spacing w:val="-4"/>
          <w:sz w:val="16"/>
          <w:szCs w:val="16"/>
        </w:rPr>
        <w:t xml:space="preserve"> </w:t>
      </w:r>
      <w:r w:rsidRPr="00AD7D22">
        <w:rPr>
          <w:rFonts w:ascii="Verdana" w:hAnsi="Verdana" w:cs="Arial"/>
          <w:sz w:val="16"/>
          <w:szCs w:val="16"/>
        </w:rPr>
        <w:t>desprende</w:t>
      </w:r>
      <w:r w:rsidRPr="00AD7D22">
        <w:rPr>
          <w:rFonts w:ascii="Verdana" w:hAnsi="Verdana" w:cs="Arial"/>
          <w:spacing w:val="-4"/>
          <w:sz w:val="16"/>
          <w:szCs w:val="16"/>
        </w:rPr>
        <w:t xml:space="preserve"> </w:t>
      </w:r>
      <w:r w:rsidRPr="00AD7D22">
        <w:rPr>
          <w:rFonts w:ascii="Verdana" w:hAnsi="Verdana" w:cs="Arial"/>
          <w:sz w:val="16"/>
          <w:szCs w:val="16"/>
        </w:rPr>
        <w:t>que</w:t>
      </w:r>
      <w:r w:rsidRPr="00AD7D22">
        <w:rPr>
          <w:rFonts w:ascii="Verdana" w:hAnsi="Verdana" w:cs="Arial"/>
          <w:spacing w:val="-3"/>
          <w:sz w:val="16"/>
          <w:szCs w:val="16"/>
        </w:rPr>
        <w:t xml:space="preserve"> </w:t>
      </w:r>
      <w:r w:rsidRPr="00AD7D22">
        <w:rPr>
          <w:rFonts w:ascii="Verdana" w:hAnsi="Verdana" w:cs="Arial"/>
          <w:sz w:val="16"/>
          <w:szCs w:val="16"/>
        </w:rPr>
        <w:t>se</w:t>
      </w:r>
      <w:r w:rsidRPr="00AD7D22">
        <w:rPr>
          <w:rFonts w:ascii="Verdana" w:hAnsi="Verdana" w:cs="Arial"/>
          <w:spacing w:val="-4"/>
          <w:sz w:val="16"/>
          <w:szCs w:val="16"/>
        </w:rPr>
        <w:t xml:space="preserve"> </w:t>
      </w:r>
      <w:r w:rsidRPr="00AD7D22">
        <w:rPr>
          <w:rFonts w:ascii="Verdana" w:hAnsi="Verdana" w:cs="Arial"/>
          <w:sz w:val="16"/>
          <w:szCs w:val="16"/>
        </w:rPr>
        <w:t>presuman</w:t>
      </w:r>
      <w:r w:rsidRPr="00AD7D22">
        <w:rPr>
          <w:rFonts w:ascii="Verdana" w:hAnsi="Verdana" w:cs="Arial"/>
          <w:spacing w:val="-4"/>
          <w:sz w:val="16"/>
          <w:szCs w:val="16"/>
        </w:rPr>
        <w:t xml:space="preserve"> </w:t>
      </w:r>
      <w:r w:rsidRPr="00AD7D22">
        <w:rPr>
          <w:rFonts w:ascii="Verdana" w:hAnsi="Verdana" w:cs="Arial"/>
          <w:sz w:val="16"/>
          <w:szCs w:val="16"/>
        </w:rPr>
        <w:t>legales</w:t>
      </w:r>
      <w:r w:rsidRPr="00AD7D22">
        <w:rPr>
          <w:rFonts w:ascii="Verdana" w:hAnsi="Verdana" w:cs="Arial"/>
          <w:spacing w:val="-4"/>
          <w:sz w:val="16"/>
          <w:szCs w:val="16"/>
        </w:rPr>
        <w:t xml:space="preserve"> </w:t>
      </w:r>
      <w:r w:rsidRPr="00AD7D22">
        <w:rPr>
          <w:rFonts w:ascii="Verdana" w:hAnsi="Verdana" w:cs="Arial"/>
          <w:sz w:val="16"/>
          <w:szCs w:val="16"/>
        </w:rPr>
        <w:t>y</w:t>
      </w:r>
      <w:r w:rsidRPr="00AD7D22">
        <w:rPr>
          <w:rFonts w:ascii="Verdana" w:hAnsi="Verdana" w:cs="Arial"/>
          <w:spacing w:val="-4"/>
          <w:sz w:val="16"/>
          <w:szCs w:val="16"/>
        </w:rPr>
        <w:t xml:space="preserve"> </w:t>
      </w:r>
      <w:r w:rsidRPr="00AD7D22">
        <w:rPr>
          <w:rFonts w:ascii="Verdana" w:hAnsi="Verdana" w:cs="Arial"/>
          <w:sz w:val="16"/>
          <w:szCs w:val="16"/>
        </w:rPr>
        <w:t>sean</w:t>
      </w:r>
      <w:r w:rsidRPr="00AD7D22">
        <w:rPr>
          <w:rFonts w:ascii="Verdana" w:hAnsi="Verdana" w:cs="Arial"/>
          <w:spacing w:val="-4"/>
          <w:sz w:val="16"/>
          <w:szCs w:val="16"/>
        </w:rPr>
        <w:t xml:space="preserve"> </w:t>
      </w:r>
      <w:r w:rsidRPr="00AD7D22">
        <w:rPr>
          <w:rFonts w:ascii="Verdana" w:hAnsi="Verdana" w:cs="Arial"/>
          <w:sz w:val="16"/>
          <w:szCs w:val="16"/>
        </w:rPr>
        <w:t>ejecutorios.</w:t>
      </w:r>
    </w:p>
    <w:p w14:paraId="61BDB5F9" w14:textId="77777777" w:rsidR="008F368A" w:rsidRPr="00AD7D22" w:rsidRDefault="008F368A" w:rsidP="008F368A">
      <w:pPr>
        <w:spacing w:after="0" w:line="240" w:lineRule="auto"/>
        <w:ind w:firstLine="708"/>
        <w:jc w:val="both"/>
        <w:rPr>
          <w:rFonts w:ascii="Verdana" w:hAnsi="Verdana" w:cs="Arial"/>
          <w:sz w:val="16"/>
          <w:szCs w:val="16"/>
        </w:rPr>
      </w:pPr>
      <w:r w:rsidRPr="00AD7D22">
        <w:rPr>
          <w:rFonts w:ascii="Verdana" w:hAnsi="Verdana" w:cs="Arial"/>
          <w:sz w:val="16"/>
          <w:szCs w:val="16"/>
        </w:rPr>
        <w:t>Por esta misma razón, la doctrina española –con especial fuerza– ha señalado que su</w:t>
      </w:r>
      <w:r w:rsidRPr="00AD7D22">
        <w:rPr>
          <w:rFonts w:ascii="Verdana" w:hAnsi="Verdana" w:cs="Arial"/>
          <w:spacing w:val="1"/>
          <w:sz w:val="16"/>
          <w:szCs w:val="16"/>
        </w:rPr>
        <w:t xml:space="preserve"> </w:t>
      </w:r>
      <w:r w:rsidRPr="00AD7D22">
        <w:rPr>
          <w:rFonts w:ascii="Verdana" w:hAnsi="Verdana" w:cs="Arial"/>
          <w:sz w:val="16"/>
          <w:szCs w:val="16"/>
        </w:rPr>
        <w:t>observancia</w:t>
      </w:r>
      <w:r w:rsidRPr="00AD7D22">
        <w:rPr>
          <w:rFonts w:ascii="Verdana" w:hAnsi="Verdana" w:cs="Arial"/>
          <w:spacing w:val="-5"/>
          <w:sz w:val="16"/>
          <w:szCs w:val="16"/>
        </w:rPr>
        <w:t xml:space="preserve"> </w:t>
      </w:r>
      <w:r w:rsidRPr="00AD7D22">
        <w:rPr>
          <w:rFonts w:ascii="Verdana" w:hAnsi="Verdana" w:cs="Arial"/>
          <w:sz w:val="16"/>
          <w:szCs w:val="16"/>
        </w:rPr>
        <w:t>no</w:t>
      </w:r>
      <w:r w:rsidRPr="00AD7D22">
        <w:rPr>
          <w:rFonts w:ascii="Verdana" w:hAnsi="Verdana" w:cs="Arial"/>
          <w:spacing w:val="-4"/>
          <w:sz w:val="16"/>
          <w:szCs w:val="16"/>
        </w:rPr>
        <w:t xml:space="preserve"> </w:t>
      </w:r>
      <w:r w:rsidRPr="00AD7D22">
        <w:rPr>
          <w:rFonts w:ascii="Verdana" w:hAnsi="Verdana" w:cs="Arial"/>
          <w:sz w:val="16"/>
          <w:szCs w:val="16"/>
        </w:rPr>
        <w:t>queda</w:t>
      </w:r>
      <w:r w:rsidRPr="00AD7D22">
        <w:rPr>
          <w:rFonts w:ascii="Verdana" w:hAnsi="Verdana" w:cs="Arial"/>
          <w:spacing w:val="-5"/>
          <w:sz w:val="16"/>
          <w:szCs w:val="16"/>
        </w:rPr>
        <w:t xml:space="preserve"> </w:t>
      </w:r>
      <w:r w:rsidRPr="00AD7D22">
        <w:rPr>
          <w:rFonts w:ascii="Verdana" w:hAnsi="Verdana" w:cs="Arial"/>
          <w:sz w:val="16"/>
          <w:szCs w:val="16"/>
        </w:rPr>
        <w:t>al</w:t>
      </w:r>
      <w:r w:rsidRPr="00AD7D22">
        <w:rPr>
          <w:rFonts w:ascii="Verdana" w:hAnsi="Verdana" w:cs="Arial"/>
          <w:spacing w:val="-4"/>
          <w:sz w:val="16"/>
          <w:szCs w:val="16"/>
        </w:rPr>
        <w:t xml:space="preserve"> </w:t>
      </w:r>
      <w:r w:rsidRPr="00AD7D22">
        <w:rPr>
          <w:rFonts w:ascii="Verdana" w:hAnsi="Verdana" w:cs="Arial"/>
          <w:sz w:val="16"/>
          <w:szCs w:val="16"/>
        </w:rPr>
        <w:t>capricho</w:t>
      </w:r>
      <w:r w:rsidRPr="00AD7D22">
        <w:rPr>
          <w:rFonts w:ascii="Verdana" w:hAnsi="Verdana" w:cs="Arial"/>
          <w:spacing w:val="-5"/>
          <w:sz w:val="16"/>
          <w:szCs w:val="16"/>
        </w:rPr>
        <w:t xml:space="preserve"> </w:t>
      </w:r>
      <w:r w:rsidRPr="00AD7D22">
        <w:rPr>
          <w:rFonts w:ascii="Verdana" w:hAnsi="Verdana" w:cs="Arial"/>
          <w:sz w:val="16"/>
          <w:szCs w:val="16"/>
        </w:rPr>
        <w:t>del</w:t>
      </w:r>
      <w:r w:rsidRPr="00AD7D22">
        <w:rPr>
          <w:rFonts w:ascii="Verdana" w:hAnsi="Verdana" w:cs="Arial"/>
          <w:spacing w:val="-4"/>
          <w:sz w:val="16"/>
          <w:szCs w:val="16"/>
        </w:rPr>
        <w:t xml:space="preserve"> </w:t>
      </w:r>
      <w:r w:rsidRPr="00AD7D22">
        <w:rPr>
          <w:rFonts w:ascii="Verdana" w:hAnsi="Verdana" w:cs="Arial"/>
          <w:sz w:val="16"/>
          <w:szCs w:val="16"/>
        </w:rPr>
        <w:t>órgano</w:t>
      </w:r>
      <w:r w:rsidRPr="00AD7D22">
        <w:rPr>
          <w:rFonts w:ascii="Verdana" w:hAnsi="Verdana" w:cs="Arial"/>
          <w:spacing w:val="-5"/>
          <w:sz w:val="16"/>
          <w:szCs w:val="16"/>
        </w:rPr>
        <w:t xml:space="preserve"> </w:t>
      </w:r>
      <w:r w:rsidRPr="00AD7D22">
        <w:rPr>
          <w:rFonts w:ascii="Verdana" w:hAnsi="Verdana" w:cs="Arial"/>
          <w:sz w:val="16"/>
          <w:szCs w:val="16"/>
        </w:rPr>
        <w:t>que</w:t>
      </w:r>
      <w:r w:rsidRPr="00AD7D22">
        <w:rPr>
          <w:rFonts w:ascii="Verdana" w:hAnsi="Verdana" w:cs="Arial"/>
          <w:spacing w:val="-4"/>
          <w:sz w:val="16"/>
          <w:szCs w:val="16"/>
        </w:rPr>
        <w:t xml:space="preserve"> </w:t>
      </w:r>
      <w:r w:rsidRPr="00AD7D22">
        <w:rPr>
          <w:rFonts w:ascii="Verdana" w:hAnsi="Verdana" w:cs="Arial"/>
          <w:sz w:val="16"/>
          <w:szCs w:val="16"/>
        </w:rPr>
        <w:t>la</w:t>
      </w:r>
      <w:r w:rsidRPr="00AD7D22">
        <w:rPr>
          <w:rFonts w:ascii="Verdana" w:hAnsi="Verdana" w:cs="Arial"/>
          <w:spacing w:val="-5"/>
          <w:sz w:val="16"/>
          <w:szCs w:val="16"/>
        </w:rPr>
        <w:t xml:space="preserve"> </w:t>
      </w:r>
      <w:r w:rsidRPr="00AD7D22">
        <w:rPr>
          <w:rFonts w:ascii="Verdana" w:hAnsi="Verdana" w:cs="Arial"/>
          <w:sz w:val="16"/>
          <w:szCs w:val="16"/>
        </w:rPr>
        <w:t>expidió,</w:t>
      </w:r>
      <w:r w:rsidRPr="00AD7D22">
        <w:rPr>
          <w:rFonts w:ascii="Verdana" w:hAnsi="Verdana" w:cs="Arial"/>
          <w:spacing w:val="-4"/>
          <w:sz w:val="16"/>
          <w:szCs w:val="16"/>
        </w:rPr>
        <w:t xml:space="preserve"> </w:t>
      </w:r>
      <w:r w:rsidRPr="00AD7D22">
        <w:rPr>
          <w:rFonts w:ascii="Verdana" w:hAnsi="Verdana" w:cs="Arial"/>
          <w:sz w:val="16"/>
          <w:szCs w:val="16"/>
        </w:rPr>
        <w:t>pues</w:t>
      </w:r>
      <w:r w:rsidRPr="00AD7D22">
        <w:rPr>
          <w:rFonts w:ascii="Verdana" w:hAnsi="Verdana" w:cs="Arial"/>
          <w:spacing w:val="-5"/>
          <w:sz w:val="16"/>
          <w:szCs w:val="16"/>
        </w:rPr>
        <w:t xml:space="preserve"> </w:t>
      </w:r>
      <w:r w:rsidRPr="00AD7D22">
        <w:rPr>
          <w:rFonts w:ascii="Verdana" w:hAnsi="Verdana" w:cs="Arial"/>
          <w:sz w:val="16"/>
          <w:szCs w:val="16"/>
        </w:rPr>
        <w:t>si</w:t>
      </w:r>
      <w:r w:rsidRPr="00AD7D22">
        <w:rPr>
          <w:rFonts w:ascii="Verdana" w:hAnsi="Verdana" w:cs="Arial"/>
          <w:spacing w:val="-4"/>
          <w:sz w:val="16"/>
          <w:szCs w:val="16"/>
        </w:rPr>
        <w:t xml:space="preserve"> </w:t>
      </w:r>
      <w:r w:rsidRPr="00AD7D22">
        <w:rPr>
          <w:rFonts w:ascii="Verdana" w:hAnsi="Verdana" w:cs="Arial"/>
          <w:sz w:val="16"/>
          <w:szCs w:val="16"/>
        </w:rPr>
        <w:t>quisiera</w:t>
      </w:r>
      <w:r w:rsidRPr="00AD7D22">
        <w:rPr>
          <w:rFonts w:ascii="Verdana" w:hAnsi="Verdana" w:cs="Arial"/>
          <w:spacing w:val="-5"/>
          <w:sz w:val="16"/>
          <w:szCs w:val="16"/>
        </w:rPr>
        <w:t xml:space="preserve"> </w:t>
      </w:r>
      <w:r w:rsidRPr="00AD7D22">
        <w:rPr>
          <w:rFonts w:ascii="Verdana" w:hAnsi="Verdana" w:cs="Arial"/>
          <w:sz w:val="16"/>
          <w:szCs w:val="16"/>
        </w:rPr>
        <w:t>él</w:t>
      </w:r>
      <w:r w:rsidRPr="00AD7D22">
        <w:rPr>
          <w:rFonts w:ascii="Verdana" w:hAnsi="Verdana" w:cs="Arial"/>
          <w:spacing w:val="-4"/>
          <w:sz w:val="16"/>
          <w:szCs w:val="16"/>
        </w:rPr>
        <w:t xml:space="preserve"> </w:t>
      </w:r>
      <w:r w:rsidRPr="00AD7D22">
        <w:rPr>
          <w:rFonts w:ascii="Verdana" w:hAnsi="Verdana" w:cs="Arial"/>
          <w:sz w:val="16"/>
          <w:szCs w:val="16"/>
        </w:rPr>
        <w:t>lo</w:t>
      </w:r>
      <w:r w:rsidRPr="00AD7D22">
        <w:rPr>
          <w:rFonts w:ascii="Verdana" w:hAnsi="Verdana" w:cs="Arial"/>
          <w:spacing w:val="-4"/>
          <w:sz w:val="16"/>
          <w:szCs w:val="16"/>
        </w:rPr>
        <w:t xml:space="preserve"> </w:t>
      </w:r>
      <w:r w:rsidRPr="00AD7D22">
        <w:rPr>
          <w:rFonts w:ascii="Verdana" w:hAnsi="Verdana" w:cs="Arial"/>
          <w:sz w:val="16"/>
          <w:szCs w:val="16"/>
        </w:rPr>
        <w:t>puede</w:t>
      </w:r>
      <w:r w:rsidRPr="00AD7D22">
        <w:rPr>
          <w:rFonts w:ascii="Verdana" w:hAnsi="Verdana" w:cs="Arial"/>
          <w:spacing w:val="-5"/>
          <w:sz w:val="16"/>
          <w:szCs w:val="16"/>
        </w:rPr>
        <w:t xml:space="preserve"> </w:t>
      </w:r>
      <w:r w:rsidRPr="00AD7D22">
        <w:rPr>
          <w:rFonts w:ascii="Verdana" w:hAnsi="Verdana" w:cs="Arial"/>
          <w:sz w:val="16"/>
          <w:szCs w:val="16"/>
        </w:rPr>
        <w:t>desconocer.</w:t>
      </w:r>
      <w:r w:rsidRPr="00AD7D22">
        <w:rPr>
          <w:rFonts w:ascii="Verdana" w:hAnsi="Verdana" w:cs="Arial"/>
          <w:spacing w:val="1"/>
          <w:sz w:val="16"/>
          <w:szCs w:val="16"/>
        </w:rPr>
        <w:t xml:space="preserve"> </w:t>
      </w:r>
      <w:r w:rsidRPr="00AD7D22">
        <w:rPr>
          <w:rFonts w:ascii="Verdana" w:hAnsi="Verdana" w:cs="Arial"/>
          <w:sz w:val="16"/>
          <w:szCs w:val="16"/>
        </w:rPr>
        <w:t>De algún modo, como acontece con todo acto administrativo, el acto cobra vida propia, y autonomía</w:t>
      </w:r>
      <w:r w:rsidRPr="00AD7D22">
        <w:rPr>
          <w:rFonts w:ascii="Verdana" w:hAnsi="Verdana" w:cs="Arial"/>
          <w:spacing w:val="1"/>
          <w:sz w:val="16"/>
          <w:szCs w:val="16"/>
        </w:rPr>
        <w:t xml:space="preserve"> </w:t>
      </w:r>
      <w:r w:rsidRPr="00AD7D22">
        <w:rPr>
          <w:rFonts w:ascii="Verdana" w:hAnsi="Verdana" w:cs="Arial"/>
          <w:sz w:val="16"/>
          <w:szCs w:val="16"/>
        </w:rPr>
        <w:t>en</w:t>
      </w:r>
      <w:r w:rsidRPr="00AD7D22">
        <w:rPr>
          <w:rFonts w:ascii="Verdana" w:hAnsi="Verdana" w:cs="Arial"/>
          <w:spacing w:val="-7"/>
          <w:sz w:val="16"/>
          <w:szCs w:val="16"/>
        </w:rPr>
        <w:t xml:space="preserve"> </w:t>
      </w:r>
      <w:r w:rsidRPr="00AD7D22">
        <w:rPr>
          <w:rFonts w:ascii="Verdana" w:hAnsi="Verdana" w:cs="Arial"/>
          <w:sz w:val="16"/>
          <w:szCs w:val="16"/>
        </w:rPr>
        <w:t>relación</w:t>
      </w:r>
      <w:r w:rsidRPr="00AD7D22">
        <w:rPr>
          <w:rFonts w:ascii="Verdana" w:hAnsi="Verdana" w:cs="Arial"/>
          <w:spacing w:val="-7"/>
          <w:sz w:val="16"/>
          <w:szCs w:val="16"/>
        </w:rPr>
        <w:t xml:space="preserve"> </w:t>
      </w:r>
      <w:r w:rsidRPr="00AD7D22">
        <w:rPr>
          <w:rFonts w:ascii="Verdana" w:hAnsi="Verdana" w:cs="Arial"/>
          <w:sz w:val="16"/>
          <w:szCs w:val="16"/>
        </w:rPr>
        <w:t>con</w:t>
      </w:r>
      <w:r w:rsidRPr="00AD7D22">
        <w:rPr>
          <w:rFonts w:ascii="Verdana" w:hAnsi="Verdana" w:cs="Arial"/>
          <w:spacing w:val="-6"/>
          <w:sz w:val="16"/>
          <w:szCs w:val="16"/>
        </w:rPr>
        <w:t xml:space="preserve"> </w:t>
      </w:r>
      <w:r w:rsidRPr="00AD7D22">
        <w:rPr>
          <w:rFonts w:ascii="Verdana" w:hAnsi="Verdana" w:cs="Arial"/>
          <w:sz w:val="16"/>
          <w:szCs w:val="16"/>
        </w:rPr>
        <w:t>su</w:t>
      </w:r>
      <w:r w:rsidRPr="00AD7D22">
        <w:rPr>
          <w:rFonts w:ascii="Verdana" w:hAnsi="Verdana" w:cs="Arial"/>
          <w:spacing w:val="-7"/>
          <w:sz w:val="16"/>
          <w:szCs w:val="16"/>
        </w:rPr>
        <w:t xml:space="preserve"> </w:t>
      </w:r>
      <w:r w:rsidRPr="00AD7D22">
        <w:rPr>
          <w:rFonts w:ascii="Verdana" w:hAnsi="Verdana" w:cs="Arial"/>
          <w:sz w:val="16"/>
          <w:szCs w:val="16"/>
        </w:rPr>
        <w:t>propio</w:t>
      </w:r>
      <w:r w:rsidRPr="00AD7D22">
        <w:rPr>
          <w:rFonts w:ascii="Verdana" w:hAnsi="Verdana" w:cs="Arial"/>
          <w:spacing w:val="-7"/>
          <w:sz w:val="16"/>
          <w:szCs w:val="16"/>
        </w:rPr>
        <w:t xml:space="preserve"> </w:t>
      </w:r>
      <w:r w:rsidRPr="00AD7D22">
        <w:rPr>
          <w:rFonts w:ascii="Verdana" w:hAnsi="Verdana" w:cs="Arial"/>
          <w:sz w:val="16"/>
          <w:szCs w:val="16"/>
        </w:rPr>
        <w:t>creador.</w:t>
      </w:r>
      <w:r w:rsidRPr="00AD7D22">
        <w:rPr>
          <w:rFonts w:ascii="Verdana" w:hAnsi="Verdana" w:cs="Arial"/>
          <w:spacing w:val="-6"/>
          <w:sz w:val="16"/>
          <w:szCs w:val="16"/>
        </w:rPr>
        <w:t xml:space="preserve"> </w:t>
      </w:r>
      <w:r w:rsidRPr="00AD7D22">
        <w:rPr>
          <w:rFonts w:ascii="Verdana" w:hAnsi="Verdana" w:cs="Arial"/>
          <w:sz w:val="16"/>
          <w:szCs w:val="16"/>
        </w:rPr>
        <w:t>A</w:t>
      </w:r>
      <w:r w:rsidRPr="00AD7D22">
        <w:rPr>
          <w:rFonts w:ascii="Verdana" w:hAnsi="Verdana" w:cs="Arial"/>
          <w:spacing w:val="-7"/>
          <w:sz w:val="16"/>
          <w:szCs w:val="16"/>
        </w:rPr>
        <w:t xml:space="preserve"> </w:t>
      </w:r>
      <w:r w:rsidRPr="00AD7D22">
        <w:rPr>
          <w:rFonts w:ascii="Verdana" w:hAnsi="Verdana" w:cs="Arial"/>
          <w:sz w:val="16"/>
          <w:szCs w:val="16"/>
        </w:rPr>
        <w:t>este</w:t>
      </w:r>
      <w:r w:rsidRPr="00AD7D22">
        <w:rPr>
          <w:rFonts w:ascii="Verdana" w:hAnsi="Verdana" w:cs="Arial"/>
          <w:spacing w:val="-6"/>
          <w:sz w:val="16"/>
          <w:szCs w:val="16"/>
        </w:rPr>
        <w:t xml:space="preserve"> </w:t>
      </w:r>
      <w:r w:rsidRPr="00AD7D22">
        <w:rPr>
          <w:rFonts w:ascii="Verdana" w:hAnsi="Verdana" w:cs="Arial"/>
          <w:sz w:val="16"/>
          <w:szCs w:val="16"/>
        </w:rPr>
        <w:t>último</w:t>
      </w:r>
      <w:r w:rsidRPr="00AD7D22">
        <w:rPr>
          <w:rFonts w:ascii="Verdana" w:hAnsi="Verdana" w:cs="Arial"/>
          <w:spacing w:val="-7"/>
          <w:sz w:val="16"/>
          <w:szCs w:val="16"/>
        </w:rPr>
        <w:t xml:space="preserve"> </w:t>
      </w:r>
      <w:r w:rsidRPr="00AD7D22">
        <w:rPr>
          <w:rFonts w:ascii="Verdana" w:hAnsi="Verdana" w:cs="Arial"/>
          <w:sz w:val="16"/>
          <w:szCs w:val="16"/>
        </w:rPr>
        <w:t>evento</w:t>
      </w:r>
      <w:r w:rsidRPr="00AD7D22">
        <w:rPr>
          <w:rFonts w:ascii="Verdana" w:hAnsi="Verdana" w:cs="Arial"/>
          <w:spacing w:val="-7"/>
          <w:sz w:val="16"/>
          <w:szCs w:val="16"/>
        </w:rPr>
        <w:t xml:space="preserve"> </w:t>
      </w:r>
      <w:r w:rsidRPr="00AD7D22">
        <w:rPr>
          <w:rFonts w:ascii="Verdana" w:hAnsi="Verdana" w:cs="Arial"/>
          <w:sz w:val="16"/>
          <w:szCs w:val="16"/>
        </w:rPr>
        <w:t>se</w:t>
      </w:r>
      <w:r w:rsidRPr="00AD7D22">
        <w:rPr>
          <w:rFonts w:ascii="Verdana" w:hAnsi="Verdana" w:cs="Arial"/>
          <w:spacing w:val="-6"/>
          <w:sz w:val="16"/>
          <w:szCs w:val="16"/>
        </w:rPr>
        <w:t xml:space="preserve"> </w:t>
      </w:r>
      <w:r w:rsidRPr="00AD7D22">
        <w:rPr>
          <w:rFonts w:ascii="Verdana" w:hAnsi="Verdana" w:cs="Arial"/>
          <w:sz w:val="16"/>
          <w:szCs w:val="16"/>
        </w:rPr>
        <w:t>le</w:t>
      </w:r>
      <w:r w:rsidRPr="00AD7D22">
        <w:rPr>
          <w:rFonts w:ascii="Verdana" w:hAnsi="Verdana" w:cs="Arial"/>
          <w:spacing w:val="-7"/>
          <w:sz w:val="16"/>
          <w:szCs w:val="16"/>
        </w:rPr>
        <w:t xml:space="preserve"> </w:t>
      </w:r>
      <w:r w:rsidRPr="00AD7D22">
        <w:rPr>
          <w:rFonts w:ascii="Verdana" w:hAnsi="Verdana" w:cs="Arial"/>
          <w:sz w:val="16"/>
          <w:szCs w:val="16"/>
        </w:rPr>
        <w:t>denomina</w:t>
      </w:r>
      <w:r w:rsidRPr="00AD7D22">
        <w:rPr>
          <w:rFonts w:ascii="Verdana" w:hAnsi="Verdana" w:cs="Arial"/>
          <w:spacing w:val="-6"/>
          <w:sz w:val="16"/>
          <w:szCs w:val="16"/>
        </w:rPr>
        <w:t xml:space="preserve"> </w:t>
      </w:r>
      <w:r w:rsidRPr="00AD7D22">
        <w:rPr>
          <w:rFonts w:ascii="Verdana" w:hAnsi="Verdana" w:cs="Arial"/>
          <w:sz w:val="16"/>
          <w:szCs w:val="16"/>
        </w:rPr>
        <w:t>la</w:t>
      </w:r>
      <w:r w:rsidRPr="00AD7D22">
        <w:rPr>
          <w:rFonts w:ascii="Verdana" w:hAnsi="Verdana" w:cs="Arial"/>
          <w:spacing w:val="-6"/>
          <w:sz w:val="16"/>
          <w:szCs w:val="16"/>
        </w:rPr>
        <w:t xml:space="preserve"> </w:t>
      </w:r>
      <w:r w:rsidRPr="00AD7D22">
        <w:rPr>
          <w:rFonts w:ascii="Verdana" w:hAnsi="Verdana" w:cs="Arial"/>
          <w:sz w:val="16"/>
          <w:szCs w:val="16"/>
        </w:rPr>
        <w:t>inderogabilidad</w:t>
      </w:r>
      <w:r w:rsidRPr="00AD7D22">
        <w:rPr>
          <w:rFonts w:ascii="Verdana" w:hAnsi="Verdana" w:cs="Arial"/>
          <w:spacing w:val="-6"/>
          <w:sz w:val="16"/>
          <w:szCs w:val="16"/>
        </w:rPr>
        <w:t xml:space="preserve"> </w:t>
      </w:r>
      <w:r w:rsidRPr="00AD7D22">
        <w:rPr>
          <w:rFonts w:ascii="Verdana" w:hAnsi="Verdana" w:cs="Arial"/>
          <w:sz w:val="16"/>
          <w:szCs w:val="16"/>
        </w:rPr>
        <w:t>singular</w:t>
      </w:r>
      <w:r w:rsidRPr="00AD7D22">
        <w:rPr>
          <w:rFonts w:ascii="Verdana" w:hAnsi="Verdana" w:cs="Arial"/>
          <w:spacing w:val="-6"/>
          <w:sz w:val="16"/>
          <w:szCs w:val="16"/>
        </w:rPr>
        <w:t xml:space="preserve"> </w:t>
      </w:r>
      <w:r w:rsidRPr="00AD7D22">
        <w:rPr>
          <w:rFonts w:ascii="Verdana" w:hAnsi="Verdana" w:cs="Arial"/>
          <w:sz w:val="16"/>
          <w:szCs w:val="16"/>
        </w:rPr>
        <w:t>del</w:t>
      </w:r>
      <w:r w:rsidRPr="00AD7D22">
        <w:rPr>
          <w:rFonts w:ascii="Verdana" w:hAnsi="Verdana" w:cs="Arial"/>
          <w:spacing w:val="1"/>
          <w:sz w:val="16"/>
          <w:szCs w:val="16"/>
        </w:rPr>
        <w:t xml:space="preserve"> </w:t>
      </w:r>
      <w:r w:rsidRPr="00AD7D22">
        <w:rPr>
          <w:rFonts w:ascii="Verdana" w:hAnsi="Verdana" w:cs="Arial"/>
          <w:sz w:val="16"/>
          <w:szCs w:val="16"/>
        </w:rPr>
        <w:t>reglamento,</w:t>
      </w:r>
      <w:r w:rsidRPr="00AD7D22">
        <w:rPr>
          <w:rFonts w:ascii="Verdana" w:hAnsi="Verdana" w:cs="Arial"/>
          <w:spacing w:val="-3"/>
          <w:sz w:val="16"/>
          <w:szCs w:val="16"/>
        </w:rPr>
        <w:t xml:space="preserve"> </w:t>
      </w:r>
      <w:r w:rsidRPr="00AD7D22">
        <w:rPr>
          <w:rFonts w:ascii="Verdana" w:hAnsi="Verdana" w:cs="Arial"/>
          <w:sz w:val="16"/>
          <w:szCs w:val="16"/>
        </w:rPr>
        <w:t>que</w:t>
      </w:r>
      <w:r w:rsidRPr="00AD7D22">
        <w:rPr>
          <w:rFonts w:ascii="Verdana" w:hAnsi="Verdana" w:cs="Arial"/>
          <w:spacing w:val="-2"/>
          <w:sz w:val="16"/>
          <w:szCs w:val="16"/>
        </w:rPr>
        <w:t xml:space="preserve"> </w:t>
      </w:r>
      <w:r w:rsidRPr="00AD7D22">
        <w:rPr>
          <w:rFonts w:ascii="Verdana" w:hAnsi="Verdana" w:cs="Arial"/>
          <w:sz w:val="16"/>
          <w:szCs w:val="16"/>
        </w:rPr>
        <w:t>no</w:t>
      </w:r>
      <w:r w:rsidRPr="00AD7D22">
        <w:rPr>
          <w:rFonts w:ascii="Verdana" w:hAnsi="Verdana" w:cs="Arial"/>
          <w:spacing w:val="-2"/>
          <w:sz w:val="16"/>
          <w:szCs w:val="16"/>
        </w:rPr>
        <w:t xml:space="preserve"> </w:t>
      </w:r>
      <w:r w:rsidRPr="00AD7D22">
        <w:rPr>
          <w:rFonts w:ascii="Verdana" w:hAnsi="Verdana" w:cs="Arial"/>
          <w:sz w:val="16"/>
          <w:szCs w:val="16"/>
        </w:rPr>
        <w:t>es</w:t>
      </w:r>
      <w:r w:rsidRPr="00AD7D22">
        <w:rPr>
          <w:rFonts w:ascii="Verdana" w:hAnsi="Verdana" w:cs="Arial"/>
          <w:spacing w:val="-2"/>
          <w:sz w:val="16"/>
          <w:szCs w:val="16"/>
        </w:rPr>
        <w:t xml:space="preserve"> </w:t>
      </w:r>
      <w:r w:rsidRPr="00AD7D22">
        <w:rPr>
          <w:rFonts w:ascii="Verdana" w:hAnsi="Verdana" w:cs="Arial"/>
          <w:sz w:val="16"/>
          <w:szCs w:val="16"/>
        </w:rPr>
        <w:t>otra</w:t>
      </w:r>
      <w:r w:rsidRPr="00AD7D22">
        <w:rPr>
          <w:rFonts w:ascii="Verdana" w:hAnsi="Verdana" w:cs="Arial"/>
          <w:spacing w:val="-2"/>
          <w:sz w:val="16"/>
          <w:szCs w:val="16"/>
        </w:rPr>
        <w:t xml:space="preserve"> </w:t>
      </w:r>
      <w:r w:rsidRPr="00AD7D22">
        <w:rPr>
          <w:rFonts w:ascii="Verdana" w:hAnsi="Verdana" w:cs="Arial"/>
          <w:sz w:val="16"/>
          <w:szCs w:val="16"/>
        </w:rPr>
        <w:t>cosa</w:t>
      </w:r>
      <w:r w:rsidRPr="00AD7D22">
        <w:rPr>
          <w:rFonts w:ascii="Verdana" w:hAnsi="Verdana" w:cs="Arial"/>
          <w:spacing w:val="-2"/>
          <w:sz w:val="16"/>
          <w:szCs w:val="16"/>
        </w:rPr>
        <w:t xml:space="preserve"> </w:t>
      </w:r>
      <w:r w:rsidRPr="00AD7D22">
        <w:rPr>
          <w:rFonts w:ascii="Verdana" w:hAnsi="Verdana" w:cs="Arial"/>
          <w:sz w:val="16"/>
          <w:szCs w:val="16"/>
        </w:rPr>
        <w:t>que</w:t>
      </w:r>
      <w:r w:rsidRPr="00AD7D22">
        <w:rPr>
          <w:rFonts w:ascii="Verdana" w:hAnsi="Verdana" w:cs="Arial"/>
          <w:spacing w:val="-2"/>
          <w:sz w:val="16"/>
          <w:szCs w:val="16"/>
        </w:rPr>
        <w:t xml:space="preserve"> </w:t>
      </w:r>
      <w:r w:rsidRPr="00AD7D22">
        <w:rPr>
          <w:rFonts w:ascii="Verdana" w:hAnsi="Verdana" w:cs="Arial"/>
          <w:sz w:val="16"/>
          <w:szCs w:val="16"/>
        </w:rPr>
        <w:t>la</w:t>
      </w:r>
      <w:r w:rsidRPr="00AD7D22">
        <w:rPr>
          <w:rFonts w:ascii="Verdana" w:hAnsi="Verdana" w:cs="Arial"/>
          <w:spacing w:val="-2"/>
          <w:sz w:val="16"/>
          <w:szCs w:val="16"/>
        </w:rPr>
        <w:t xml:space="preserve"> </w:t>
      </w:r>
      <w:r w:rsidRPr="00AD7D22">
        <w:rPr>
          <w:rFonts w:ascii="Verdana" w:hAnsi="Verdana" w:cs="Arial"/>
          <w:sz w:val="16"/>
          <w:szCs w:val="16"/>
        </w:rPr>
        <w:t>prohibición</w:t>
      </w:r>
      <w:r w:rsidRPr="00AD7D22">
        <w:rPr>
          <w:rFonts w:ascii="Verdana" w:hAnsi="Verdana" w:cs="Arial"/>
          <w:spacing w:val="-2"/>
          <w:sz w:val="16"/>
          <w:szCs w:val="16"/>
        </w:rPr>
        <w:t xml:space="preserve"> </w:t>
      </w:r>
      <w:r w:rsidRPr="00AD7D22">
        <w:rPr>
          <w:rFonts w:ascii="Verdana" w:hAnsi="Verdana" w:cs="Arial"/>
          <w:sz w:val="16"/>
          <w:szCs w:val="16"/>
        </w:rPr>
        <w:t>de</w:t>
      </w:r>
      <w:r w:rsidRPr="00AD7D22">
        <w:rPr>
          <w:rFonts w:ascii="Verdana" w:hAnsi="Verdana" w:cs="Arial"/>
          <w:spacing w:val="-2"/>
          <w:sz w:val="16"/>
          <w:szCs w:val="16"/>
        </w:rPr>
        <w:t xml:space="preserve"> </w:t>
      </w:r>
      <w:r w:rsidRPr="00AD7D22">
        <w:rPr>
          <w:rFonts w:ascii="Verdana" w:hAnsi="Verdana" w:cs="Arial"/>
          <w:sz w:val="16"/>
          <w:szCs w:val="16"/>
        </w:rPr>
        <w:t>insertarlo</w:t>
      </w:r>
      <w:r w:rsidRPr="00AD7D22">
        <w:rPr>
          <w:rFonts w:ascii="Verdana" w:hAnsi="Verdana" w:cs="Arial"/>
          <w:spacing w:val="-2"/>
          <w:sz w:val="16"/>
          <w:szCs w:val="16"/>
        </w:rPr>
        <w:t xml:space="preserve"> </w:t>
      </w:r>
      <w:r w:rsidRPr="00AD7D22">
        <w:rPr>
          <w:rFonts w:ascii="Verdana" w:hAnsi="Verdana" w:cs="Arial"/>
          <w:sz w:val="16"/>
          <w:szCs w:val="16"/>
        </w:rPr>
        <w:t>en</w:t>
      </w:r>
      <w:r w:rsidRPr="00AD7D22">
        <w:rPr>
          <w:rFonts w:ascii="Verdana" w:hAnsi="Verdana" w:cs="Arial"/>
          <w:spacing w:val="-3"/>
          <w:sz w:val="16"/>
          <w:szCs w:val="16"/>
        </w:rPr>
        <w:t xml:space="preserve"> </w:t>
      </w:r>
      <w:r w:rsidRPr="00AD7D22">
        <w:rPr>
          <w:rFonts w:ascii="Verdana" w:hAnsi="Verdana" w:cs="Arial"/>
          <w:sz w:val="16"/>
          <w:szCs w:val="16"/>
        </w:rPr>
        <w:t>un</w:t>
      </w:r>
      <w:r w:rsidRPr="00AD7D22">
        <w:rPr>
          <w:rFonts w:ascii="Verdana" w:hAnsi="Verdana" w:cs="Arial"/>
          <w:spacing w:val="-2"/>
          <w:sz w:val="16"/>
          <w:szCs w:val="16"/>
        </w:rPr>
        <w:t xml:space="preserve"> </w:t>
      </w:r>
      <w:r w:rsidRPr="00AD7D22">
        <w:rPr>
          <w:rFonts w:ascii="Verdana" w:hAnsi="Verdana" w:cs="Arial"/>
          <w:sz w:val="16"/>
          <w:szCs w:val="16"/>
        </w:rPr>
        <w:t>caso</w:t>
      </w:r>
      <w:r w:rsidRPr="00AD7D22">
        <w:rPr>
          <w:rFonts w:ascii="Verdana" w:hAnsi="Verdana" w:cs="Arial"/>
          <w:spacing w:val="-2"/>
          <w:sz w:val="16"/>
          <w:szCs w:val="16"/>
        </w:rPr>
        <w:t xml:space="preserve"> </w:t>
      </w:r>
      <w:r w:rsidRPr="00AD7D22">
        <w:rPr>
          <w:rFonts w:ascii="Verdana" w:hAnsi="Verdana" w:cs="Arial"/>
          <w:sz w:val="16"/>
          <w:szCs w:val="16"/>
        </w:rPr>
        <w:t>particular.</w:t>
      </w:r>
    </w:p>
    <w:p w14:paraId="45FB03CC" w14:textId="77777777" w:rsidR="008F368A" w:rsidRPr="00AD7D22" w:rsidRDefault="008F368A" w:rsidP="008F368A">
      <w:pPr>
        <w:spacing w:after="0" w:line="240" w:lineRule="auto"/>
        <w:ind w:firstLine="708"/>
        <w:jc w:val="both"/>
        <w:rPr>
          <w:rFonts w:ascii="Verdana" w:hAnsi="Verdana" w:cs="Arial"/>
          <w:sz w:val="16"/>
          <w:szCs w:val="16"/>
        </w:rPr>
      </w:pPr>
      <w:r w:rsidRPr="00AD7D22">
        <w:rPr>
          <w:rFonts w:ascii="Verdana" w:hAnsi="Verdana" w:cs="Arial"/>
          <w:sz w:val="16"/>
          <w:szCs w:val="16"/>
        </w:rPr>
        <w:t>Esta tesis –de absoluta razonabilidad–, protege tanto al ciudadano como al ordenamiento</w:t>
      </w:r>
      <w:r w:rsidRPr="00AD7D22">
        <w:rPr>
          <w:rFonts w:ascii="Verdana" w:hAnsi="Verdana" w:cs="Arial"/>
          <w:spacing w:val="1"/>
          <w:sz w:val="16"/>
          <w:szCs w:val="16"/>
        </w:rPr>
        <w:t xml:space="preserve"> </w:t>
      </w:r>
      <w:r w:rsidRPr="00AD7D22">
        <w:rPr>
          <w:rFonts w:ascii="Verdana" w:hAnsi="Verdana" w:cs="Arial"/>
          <w:sz w:val="16"/>
          <w:szCs w:val="16"/>
        </w:rPr>
        <w:t>jurídico en general, de la arbitrariedad de la administración, pues si se admitiera que pese a estar en</w:t>
      </w:r>
      <w:r w:rsidRPr="00AD7D22">
        <w:rPr>
          <w:rFonts w:ascii="Verdana" w:hAnsi="Verdana" w:cs="Arial"/>
          <w:spacing w:val="-50"/>
          <w:sz w:val="16"/>
          <w:szCs w:val="16"/>
        </w:rPr>
        <w:t xml:space="preserve"> </w:t>
      </w:r>
      <w:r w:rsidRPr="00AD7D22">
        <w:rPr>
          <w:rFonts w:ascii="Verdana" w:hAnsi="Verdana" w:cs="Arial"/>
          <w:sz w:val="16"/>
          <w:szCs w:val="16"/>
        </w:rPr>
        <w:t>vigencia</w:t>
      </w:r>
      <w:r w:rsidRPr="00AD7D22">
        <w:rPr>
          <w:rFonts w:ascii="Verdana" w:hAnsi="Verdana" w:cs="Arial"/>
          <w:spacing w:val="-10"/>
          <w:sz w:val="16"/>
          <w:szCs w:val="16"/>
        </w:rPr>
        <w:t xml:space="preserve"> </w:t>
      </w:r>
      <w:r w:rsidRPr="00AD7D22">
        <w:rPr>
          <w:rFonts w:ascii="Verdana" w:hAnsi="Verdana" w:cs="Arial"/>
          <w:sz w:val="16"/>
          <w:szCs w:val="16"/>
        </w:rPr>
        <w:t>un</w:t>
      </w:r>
      <w:r w:rsidRPr="00AD7D22">
        <w:rPr>
          <w:rFonts w:ascii="Verdana" w:hAnsi="Verdana" w:cs="Arial"/>
          <w:spacing w:val="-9"/>
          <w:sz w:val="16"/>
          <w:szCs w:val="16"/>
        </w:rPr>
        <w:t xml:space="preserve"> </w:t>
      </w:r>
      <w:r w:rsidRPr="00AD7D22">
        <w:rPr>
          <w:rFonts w:ascii="Verdana" w:hAnsi="Verdana" w:cs="Arial"/>
          <w:sz w:val="16"/>
          <w:szCs w:val="16"/>
        </w:rPr>
        <w:t>reglamento</w:t>
      </w:r>
      <w:r w:rsidRPr="00AD7D22">
        <w:rPr>
          <w:rFonts w:ascii="Verdana" w:hAnsi="Verdana" w:cs="Arial"/>
          <w:spacing w:val="-10"/>
          <w:sz w:val="16"/>
          <w:szCs w:val="16"/>
        </w:rPr>
        <w:t xml:space="preserve"> </w:t>
      </w:r>
      <w:r w:rsidRPr="00AD7D22">
        <w:rPr>
          <w:rFonts w:ascii="Verdana" w:hAnsi="Verdana" w:cs="Arial"/>
          <w:sz w:val="16"/>
          <w:szCs w:val="16"/>
        </w:rPr>
        <w:t>la</w:t>
      </w:r>
      <w:r w:rsidRPr="00AD7D22">
        <w:rPr>
          <w:rFonts w:ascii="Verdana" w:hAnsi="Verdana" w:cs="Arial"/>
          <w:spacing w:val="-9"/>
          <w:sz w:val="16"/>
          <w:szCs w:val="16"/>
        </w:rPr>
        <w:t xml:space="preserve"> </w:t>
      </w:r>
      <w:r w:rsidRPr="00AD7D22">
        <w:rPr>
          <w:rFonts w:ascii="Verdana" w:hAnsi="Verdana" w:cs="Arial"/>
          <w:sz w:val="16"/>
          <w:szCs w:val="16"/>
        </w:rPr>
        <w:t>propia</w:t>
      </w:r>
      <w:r w:rsidRPr="00AD7D22">
        <w:rPr>
          <w:rFonts w:ascii="Verdana" w:hAnsi="Verdana" w:cs="Arial"/>
          <w:spacing w:val="-10"/>
          <w:sz w:val="16"/>
          <w:szCs w:val="16"/>
        </w:rPr>
        <w:t xml:space="preserve"> </w:t>
      </w:r>
      <w:r w:rsidRPr="00AD7D22">
        <w:rPr>
          <w:rFonts w:ascii="Verdana" w:hAnsi="Verdana" w:cs="Arial"/>
          <w:sz w:val="16"/>
          <w:szCs w:val="16"/>
        </w:rPr>
        <w:t>administración</w:t>
      </w:r>
      <w:r w:rsidRPr="00AD7D22">
        <w:rPr>
          <w:rFonts w:ascii="Verdana" w:hAnsi="Verdana" w:cs="Arial"/>
          <w:spacing w:val="-9"/>
          <w:sz w:val="16"/>
          <w:szCs w:val="16"/>
        </w:rPr>
        <w:t xml:space="preserve"> </w:t>
      </w:r>
      <w:r w:rsidRPr="00AD7D22">
        <w:rPr>
          <w:rFonts w:ascii="Verdana" w:hAnsi="Verdana" w:cs="Arial"/>
          <w:sz w:val="16"/>
          <w:szCs w:val="16"/>
        </w:rPr>
        <w:t>que</w:t>
      </w:r>
      <w:r w:rsidRPr="00AD7D22">
        <w:rPr>
          <w:rFonts w:ascii="Verdana" w:hAnsi="Verdana" w:cs="Arial"/>
          <w:spacing w:val="-10"/>
          <w:sz w:val="16"/>
          <w:szCs w:val="16"/>
        </w:rPr>
        <w:t xml:space="preserve"> </w:t>
      </w:r>
      <w:r w:rsidRPr="00AD7D22">
        <w:rPr>
          <w:rFonts w:ascii="Verdana" w:hAnsi="Verdana" w:cs="Arial"/>
          <w:sz w:val="16"/>
          <w:szCs w:val="16"/>
        </w:rPr>
        <w:t>lo</w:t>
      </w:r>
      <w:r w:rsidRPr="00AD7D22">
        <w:rPr>
          <w:rFonts w:ascii="Verdana" w:hAnsi="Verdana" w:cs="Arial"/>
          <w:spacing w:val="-9"/>
          <w:sz w:val="16"/>
          <w:szCs w:val="16"/>
        </w:rPr>
        <w:t xml:space="preserve"> </w:t>
      </w:r>
      <w:r w:rsidRPr="00AD7D22">
        <w:rPr>
          <w:rFonts w:ascii="Verdana" w:hAnsi="Verdana" w:cs="Arial"/>
          <w:sz w:val="16"/>
          <w:szCs w:val="16"/>
        </w:rPr>
        <w:t>dictó</w:t>
      </w:r>
      <w:r w:rsidRPr="00AD7D22">
        <w:rPr>
          <w:rFonts w:ascii="Verdana" w:hAnsi="Verdana" w:cs="Arial"/>
          <w:spacing w:val="-10"/>
          <w:sz w:val="16"/>
          <w:szCs w:val="16"/>
        </w:rPr>
        <w:t xml:space="preserve"> </w:t>
      </w:r>
      <w:r w:rsidRPr="00AD7D22">
        <w:rPr>
          <w:rFonts w:ascii="Verdana" w:hAnsi="Verdana" w:cs="Arial"/>
          <w:sz w:val="16"/>
          <w:szCs w:val="16"/>
        </w:rPr>
        <w:t>lo</w:t>
      </w:r>
      <w:r w:rsidRPr="00AD7D22">
        <w:rPr>
          <w:rFonts w:ascii="Verdana" w:hAnsi="Verdana" w:cs="Arial"/>
          <w:spacing w:val="-9"/>
          <w:sz w:val="16"/>
          <w:szCs w:val="16"/>
        </w:rPr>
        <w:t xml:space="preserve"> </w:t>
      </w:r>
      <w:r w:rsidRPr="00AD7D22">
        <w:rPr>
          <w:rFonts w:ascii="Verdana" w:hAnsi="Verdana" w:cs="Arial"/>
          <w:sz w:val="16"/>
          <w:szCs w:val="16"/>
        </w:rPr>
        <w:t>pudiera</w:t>
      </w:r>
      <w:r w:rsidRPr="00AD7D22">
        <w:rPr>
          <w:rFonts w:ascii="Verdana" w:hAnsi="Verdana" w:cs="Arial"/>
          <w:spacing w:val="-10"/>
          <w:sz w:val="16"/>
          <w:szCs w:val="16"/>
        </w:rPr>
        <w:t xml:space="preserve"> </w:t>
      </w:r>
      <w:r w:rsidRPr="00AD7D22">
        <w:rPr>
          <w:rFonts w:ascii="Verdana" w:hAnsi="Verdana" w:cs="Arial"/>
          <w:sz w:val="16"/>
          <w:szCs w:val="16"/>
        </w:rPr>
        <w:t>inaplicar,</w:t>
      </w:r>
      <w:r w:rsidRPr="00AD7D22">
        <w:rPr>
          <w:rFonts w:ascii="Verdana" w:hAnsi="Verdana" w:cs="Arial"/>
          <w:spacing w:val="-9"/>
          <w:sz w:val="16"/>
          <w:szCs w:val="16"/>
        </w:rPr>
        <w:t xml:space="preserve"> </w:t>
      </w:r>
      <w:r w:rsidRPr="00AD7D22">
        <w:rPr>
          <w:rFonts w:ascii="Verdana" w:hAnsi="Verdana" w:cs="Arial"/>
          <w:sz w:val="16"/>
          <w:szCs w:val="16"/>
        </w:rPr>
        <w:t>aduciendo</w:t>
      </w:r>
      <w:r w:rsidRPr="00AD7D22">
        <w:rPr>
          <w:rFonts w:ascii="Verdana" w:hAnsi="Verdana" w:cs="Arial"/>
          <w:spacing w:val="-10"/>
          <w:sz w:val="16"/>
          <w:szCs w:val="16"/>
        </w:rPr>
        <w:t xml:space="preserve"> </w:t>
      </w:r>
      <w:r w:rsidRPr="00AD7D22">
        <w:rPr>
          <w:rFonts w:ascii="Verdana" w:hAnsi="Verdana" w:cs="Arial"/>
          <w:sz w:val="16"/>
          <w:szCs w:val="16"/>
        </w:rPr>
        <w:t>que</w:t>
      </w:r>
      <w:r w:rsidRPr="00AD7D22">
        <w:rPr>
          <w:rFonts w:ascii="Verdana" w:hAnsi="Verdana" w:cs="Arial"/>
          <w:spacing w:val="-9"/>
          <w:sz w:val="16"/>
          <w:szCs w:val="16"/>
        </w:rPr>
        <w:t xml:space="preserve"> </w:t>
      </w:r>
      <w:r w:rsidRPr="00AD7D22">
        <w:rPr>
          <w:rFonts w:ascii="Verdana" w:hAnsi="Verdana" w:cs="Arial"/>
          <w:sz w:val="16"/>
          <w:szCs w:val="16"/>
        </w:rPr>
        <w:t>si</w:t>
      </w:r>
      <w:r w:rsidRPr="00AD7D22">
        <w:rPr>
          <w:rFonts w:ascii="Verdana" w:hAnsi="Verdana" w:cs="Arial"/>
          <w:spacing w:val="-10"/>
          <w:sz w:val="16"/>
          <w:szCs w:val="16"/>
        </w:rPr>
        <w:t xml:space="preserve"> </w:t>
      </w:r>
      <w:r w:rsidRPr="00AD7D22">
        <w:rPr>
          <w:rFonts w:ascii="Verdana" w:hAnsi="Verdana" w:cs="Arial"/>
          <w:sz w:val="16"/>
          <w:szCs w:val="16"/>
        </w:rPr>
        <w:t>ella</w:t>
      </w:r>
      <w:r w:rsidRPr="00AD7D22">
        <w:rPr>
          <w:rFonts w:ascii="Verdana" w:hAnsi="Verdana" w:cs="Arial"/>
          <w:spacing w:val="1"/>
          <w:sz w:val="16"/>
          <w:szCs w:val="16"/>
        </w:rPr>
        <w:t xml:space="preserve"> </w:t>
      </w:r>
      <w:r w:rsidRPr="00AD7D22">
        <w:rPr>
          <w:rFonts w:ascii="Verdana" w:hAnsi="Verdana" w:cs="Arial"/>
          <w:sz w:val="16"/>
          <w:szCs w:val="16"/>
        </w:rPr>
        <w:t>lo</w:t>
      </w:r>
      <w:r w:rsidRPr="00AD7D22">
        <w:rPr>
          <w:rFonts w:ascii="Verdana" w:hAnsi="Verdana" w:cs="Arial"/>
          <w:spacing w:val="-13"/>
          <w:sz w:val="16"/>
          <w:szCs w:val="16"/>
        </w:rPr>
        <w:t xml:space="preserve"> </w:t>
      </w:r>
      <w:r w:rsidRPr="00AD7D22">
        <w:rPr>
          <w:rFonts w:ascii="Verdana" w:hAnsi="Verdana" w:cs="Arial"/>
          <w:sz w:val="16"/>
          <w:szCs w:val="16"/>
        </w:rPr>
        <w:t>produjo</w:t>
      </w:r>
      <w:r w:rsidRPr="00AD7D22">
        <w:rPr>
          <w:rFonts w:ascii="Verdana" w:hAnsi="Verdana" w:cs="Arial"/>
          <w:spacing w:val="-12"/>
          <w:sz w:val="16"/>
          <w:szCs w:val="16"/>
        </w:rPr>
        <w:t xml:space="preserve"> </w:t>
      </w:r>
      <w:r w:rsidRPr="00AD7D22">
        <w:rPr>
          <w:rFonts w:ascii="Verdana" w:hAnsi="Verdana" w:cs="Arial"/>
          <w:sz w:val="16"/>
          <w:szCs w:val="16"/>
        </w:rPr>
        <w:t>entonces</w:t>
      </w:r>
      <w:r w:rsidRPr="00AD7D22">
        <w:rPr>
          <w:rFonts w:ascii="Verdana" w:hAnsi="Verdana" w:cs="Arial"/>
          <w:spacing w:val="-12"/>
          <w:sz w:val="16"/>
          <w:szCs w:val="16"/>
        </w:rPr>
        <w:t xml:space="preserve"> </w:t>
      </w:r>
      <w:r w:rsidRPr="00AD7D22">
        <w:rPr>
          <w:rFonts w:ascii="Verdana" w:hAnsi="Verdana" w:cs="Arial"/>
          <w:sz w:val="16"/>
          <w:szCs w:val="16"/>
        </w:rPr>
        <w:t>cuenta</w:t>
      </w:r>
      <w:r w:rsidRPr="00AD7D22">
        <w:rPr>
          <w:rFonts w:ascii="Verdana" w:hAnsi="Verdana" w:cs="Arial"/>
          <w:spacing w:val="-12"/>
          <w:sz w:val="16"/>
          <w:szCs w:val="16"/>
        </w:rPr>
        <w:t xml:space="preserve"> </w:t>
      </w:r>
      <w:r w:rsidRPr="00AD7D22">
        <w:rPr>
          <w:rFonts w:ascii="Verdana" w:hAnsi="Verdana" w:cs="Arial"/>
          <w:sz w:val="16"/>
          <w:szCs w:val="16"/>
        </w:rPr>
        <w:t>con</w:t>
      </w:r>
      <w:r w:rsidRPr="00AD7D22">
        <w:rPr>
          <w:rFonts w:ascii="Verdana" w:hAnsi="Verdana" w:cs="Arial"/>
          <w:spacing w:val="-12"/>
          <w:sz w:val="16"/>
          <w:szCs w:val="16"/>
        </w:rPr>
        <w:t xml:space="preserve"> </w:t>
      </w:r>
      <w:r w:rsidRPr="00AD7D22">
        <w:rPr>
          <w:rFonts w:ascii="Verdana" w:hAnsi="Verdana" w:cs="Arial"/>
          <w:sz w:val="16"/>
          <w:szCs w:val="16"/>
        </w:rPr>
        <w:t>la</w:t>
      </w:r>
      <w:r w:rsidRPr="00AD7D22">
        <w:rPr>
          <w:rFonts w:ascii="Verdana" w:hAnsi="Verdana" w:cs="Arial"/>
          <w:spacing w:val="-12"/>
          <w:sz w:val="16"/>
          <w:szCs w:val="16"/>
        </w:rPr>
        <w:t xml:space="preserve"> </w:t>
      </w:r>
      <w:r w:rsidRPr="00AD7D22">
        <w:rPr>
          <w:rFonts w:ascii="Verdana" w:hAnsi="Verdana" w:cs="Arial"/>
          <w:sz w:val="16"/>
          <w:szCs w:val="16"/>
        </w:rPr>
        <w:t>autoridad</w:t>
      </w:r>
      <w:r w:rsidRPr="00AD7D22">
        <w:rPr>
          <w:rFonts w:ascii="Verdana" w:hAnsi="Verdana" w:cs="Arial"/>
          <w:spacing w:val="-12"/>
          <w:sz w:val="16"/>
          <w:szCs w:val="16"/>
        </w:rPr>
        <w:t xml:space="preserve"> </w:t>
      </w:r>
      <w:r w:rsidRPr="00AD7D22">
        <w:rPr>
          <w:rFonts w:ascii="Verdana" w:hAnsi="Verdana" w:cs="Arial"/>
          <w:sz w:val="16"/>
          <w:szCs w:val="16"/>
        </w:rPr>
        <w:t>para</w:t>
      </w:r>
      <w:r w:rsidRPr="00AD7D22">
        <w:rPr>
          <w:rFonts w:ascii="Verdana" w:hAnsi="Verdana" w:cs="Arial"/>
          <w:spacing w:val="-12"/>
          <w:sz w:val="16"/>
          <w:szCs w:val="16"/>
        </w:rPr>
        <w:t xml:space="preserve"> </w:t>
      </w:r>
      <w:r w:rsidRPr="00AD7D22">
        <w:rPr>
          <w:rFonts w:ascii="Verdana" w:hAnsi="Verdana" w:cs="Arial"/>
          <w:sz w:val="16"/>
          <w:szCs w:val="16"/>
        </w:rPr>
        <w:t>desconocerlo,</w:t>
      </w:r>
      <w:r w:rsidRPr="00AD7D22">
        <w:rPr>
          <w:rFonts w:ascii="Verdana" w:hAnsi="Verdana" w:cs="Arial"/>
          <w:spacing w:val="-12"/>
          <w:sz w:val="16"/>
          <w:szCs w:val="16"/>
        </w:rPr>
        <w:t xml:space="preserve"> </w:t>
      </w:r>
      <w:r w:rsidRPr="00AD7D22">
        <w:rPr>
          <w:rFonts w:ascii="Verdana" w:hAnsi="Verdana" w:cs="Arial"/>
          <w:sz w:val="16"/>
          <w:szCs w:val="16"/>
        </w:rPr>
        <w:t>los</w:t>
      </w:r>
      <w:r w:rsidRPr="00AD7D22">
        <w:rPr>
          <w:rFonts w:ascii="Verdana" w:hAnsi="Verdana" w:cs="Arial"/>
          <w:spacing w:val="-12"/>
          <w:sz w:val="16"/>
          <w:szCs w:val="16"/>
        </w:rPr>
        <w:t xml:space="preserve"> </w:t>
      </w:r>
      <w:r w:rsidRPr="00AD7D22">
        <w:rPr>
          <w:rFonts w:ascii="Verdana" w:hAnsi="Verdana" w:cs="Arial"/>
          <w:sz w:val="16"/>
          <w:szCs w:val="16"/>
        </w:rPr>
        <w:t>abusos</w:t>
      </w:r>
      <w:r w:rsidRPr="00AD7D22">
        <w:rPr>
          <w:rFonts w:ascii="Verdana" w:hAnsi="Verdana" w:cs="Arial"/>
          <w:spacing w:val="-12"/>
          <w:sz w:val="16"/>
          <w:szCs w:val="16"/>
        </w:rPr>
        <w:t xml:space="preserve"> </w:t>
      </w:r>
      <w:r w:rsidRPr="00AD7D22">
        <w:rPr>
          <w:rFonts w:ascii="Verdana" w:hAnsi="Verdana" w:cs="Arial"/>
          <w:sz w:val="16"/>
          <w:szCs w:val="16"/>
        </w:rPr>
        <w:t>y</w:t>
      </w:r>
      <w:r w:rsidRPr="00AD7D22">
        <w:rPr>
          <w:rFonts w:ascii="Verdana" w:hAnsi="Verdana" w:cs="Arial"/>
          <w:spacing w:val="-12"/>
          <w:sz w:val="16"/>
          <w:szCs w:val="16"/>
        </w:rPr>
        <w:t xml:space="preserve"> </w:t>
      </w:r>
      <w:r w:rsidRPr="00AD7D22">
        <w:rPr>
          <w:rFonts w:ascii="Verdana" w:hAnsi="Verdana" w:cs="Arial"/>
          <w:sz w:val="16"/>
          <w:szCs w:val="16"/>
        </w:rPr>
        <w:t>la</w:t>
      </w:r>
      <w:r w:rsidRPr="00AD7D22">
        <w:rPr>
          <w:rFonts w:ascii="Verdana" w:hAnsi="Verdana" w:cs="Arial"/>
          <w:spacing w:val="-12"/>
          <w:sz w:val="16"/>
          <w:szCs w:val="16"/>
        </w:rPr>
        <w:t xml:space="preserve"> </w:t>
      </w:r>
      <w:r w:rsidRPr="00AD7D22">
        <w:rPr>
          <w:rFonts w:ascii="Verdana" w:hAnsi="Verdana" w:cs="Arial"/>
          <w:sz w:val="16"/>
          <w:szCs w:val="16"/>
        </w:rPr>
        <w:t>violación</w:t>
      </w:r>
      <w:r w:rsidRPr="00AD7D22">
        <w:rPr>
          <w:rFonts w:ascii="Verdana" w:hAnsi="Verdana" w:cs="Arial"/>
          <w:spacing w:val="-12"/>
          <w:sz w:val="16"/>
          <w:szCs w:val="16"/>
        </w:rPr>
        <w:t xml:space="preserve"> </w:t>
      </w:r>
      <w:r w:rsidRPr="00AD7D22">
        <w:rPr>
          <w:rFonts w:ascii="Verdana" w:hAnsi="Verdana" w:cs="Arial"/>
          <w:sz w:val="16"/>
          <w:szCs w:val="16"/>
        </w:rPr>
        <w:t>a</w:t>
      </w:r>
      <w:r w:rsidRPr="00AD7D22">
        <w:rPr>
          <w:rFonts w:ascii="Verdana" w:hAnsi="Verdana" w:cs="Arial"/>
          <w:spacing w:val="-12"/>
          <w:sz w:val="16"/>
          <w:szCs w:val="16"/>
        </w:rPr>
        <w:t xml:space="preserve"> </w:t>
      </w:r>
      <w:r w:rsidRPr="00AD7D22">
        <w:rPr>
          <w:rFonts w:ascii="Verdana" w:hAnsi="Verdana" w:cs="Arial"/>
          <w:sz w:val="16"/>
          <w:szCs w:val="16"/>
        </w:rPr>
        <w:t>sus</w:t>
      </w:r>
      <w:r w:rsidRPr="00AD7D22">
        <w:rPr>
          <w:rFonts w:ascii="Verdana" w:hAnsi="Verdana" w:cs="Arial"/>
          <w:spacing w:val="-12"/>
          <w:sz w:val="16"/>
          <w:szCs w:val="16"/>
        </w:rPr>
        <w:t xml:space="preserve"> </w:t>
      </w:r>
      <w:r w:rsidRPr="00AD7D22">
        <w:rPr>
          <w:rFonts w:ascii="Verdana" w:hAnsi="Verdana" w:cs="Arial"/>
          <w:sz w:val="16"/>
          <w:szCs w:val="16"/>
        </w:rPr>
        <w:t>propias</w:t>
      </w:r>
      <w:r w:rsidRPr="00AD7D22">
        <w:rPr>
          <w:rFonts w:ascii="Verdana" w:hAnsi="Verdana" w:cs="Arial"/>
          <w:spacing w:val="1"/>
          <w:sz w:val="16"/>
          <w:szCs w:val="16"/>
        </w:rPr>
        <w:t xml:space="preserve"> </w:t>
      </w:r>
      <w:r w:rsidRPr="00AD7D22">
        <w:rPr>
          <w:rFonts w:ascii="Verdana" w:hAnsi="Verdana" w:cs="Arial"/>
          <w:sz w:val="16"/>
          <w:szCs w:val="16"/>
        </w:rPr>
        <w:t>reglas propiciaría el atropello y la corrupción”. (MARÍN CORTÉS, Fabián G. El reglamento como</w:t>
      </w:r>
      <w:r w:rsidRPr="00AD7D22">
        <w:rPr>
          <w:rFonts w:ascii="Verdana" w:hAnsi="Verdana" w:cs="Arial"/>
          <w:spacing w:val="1"/>
          <w:sz w:val="16"/>
          <w:szCs w:val="16"/>
        </w:rPr>
        <w:t xml:space="preserve"> </w:t>
      </w:r>
      <w:r w:rsidRPr="00AD7D22">
        <w:rPr>
          <w:rFonts w:ascii="Verdana" w:hAnsi="Verdana" w:cs="Arial"/>
          <w:sz w:val="16"/>
          <w:szCs w:val="16"/>
        </w:rPr>
        <w:t>fuente</w:t>
      </w:r>
      <w:r w:rsidRPr="00AD7D22">
        <w:rPr>
          <w:rFonts w:ascii="Verdana" w:hAnsi="Verdana" w:cs="Arial"/>
          <w:spacing w:val="-12"/>
          <w:sz w:val="16"/>
          <w:szCs w:val="16"/>
        </w:rPr>
        <w:t xml:space="preserve"> </w:t>
      </w:r>
      <w:r w:rsidRPr="00AD7D22">
        <w:rPr>
          <w:rFonts w:ascii="Verdana" w:hAnsi="Verdana" w:cs="Arial"/>
          <w:sz w:val="16"/>
          <w:szCs w:val="16"/>
        </w:rPr>
        <w:t>del</w:t>
      </w:r>
      <w:r w:rsidRPr="00AD7D22">
        <w:rPr>
          <w:rFonts w:ascii="Verdana" w:hAnsi="Verdana" w:cs="Arial"/>
          <w:spacing w:val="-12"/>
          <w:sz w:val="16"/>
          <w:szCs w:val="16"/>
        </w:rPr>
        <w:t xml:space="preserve"> </w:t>
      </w:r>
      <w:r w:rsidRPr="00AD7D22">
        <w:rPr>
          <w:rFonts w:ascii="Verdana" w:hAnsi="Verdana" w:cs="Arial"/>
          <w:sz w:val="16"/>
          <w:szCs w:val="16"/>
        </w:rPr>
        <w:t>derecho</w:t>
      </w:r>
      <w:r w:rsidRPr="00AD7D22">
        <w:rPr>
          <w:rFonts w:ascii="Verdana" w:hAnsi="Verdana" w:cs="Arial"/>
          <w:spacing w:val="-12"/>
          <w:sz w:val="16"/>
          <w:szCs w:val="16"/>
        </w:rPr>
        <w:t xml:space="preserve"> </w:t>
      </w:r>
      <w:r w:rsidRPr="00AD7D22">
        <w:rPr>
          <w:rFonts w:ascii="Verdana" w:hAnsi="Verdana" w:cs="Arial"/>
          <w:sz w:val="16"/>
          <w:szCs w:val="16"/>
        </w:rPr>
        <w:t>administrativo.</w:t>
      </w:r>
      <w:r w:rsidRPr="00AD7D22">
        <w:rPr>
          <w:rFonts w:ascii="Verdana" w:hAnsi="Verdana" w:cs="Arial"/>
          <w:spacing w:val="-11"/>
          <w:sz w:val="16"/>
          <w:szCs w:val="16"/>
        </w:rPr>
        <w:t xml:space="preserve"> </w:t>
      </w:r>
      <w:r w:rsidRPr="00AD7D22">
        <w:rPr>
          <w:rFonts w:ascii="Verdana" w:hAnsi="Verdana" w:cs="Arial"/>
          <w:sz w:val="16"/>
          <w:szCs w:val="16"/>
        </w:rPr>
        <w:t>En:</w:t>
      </w:r>
      <w:r w:rsidRPr="00AD7D22">
        <w:rPr>
          <w:rFonts w:ascii="Verdana" w:hAnsi="Verdana" w:cs="Arial"/>
          <w:spacing w:val="-12"/>
          <w:sz w:val="16"/>
          <w:szCs w:val="16"/>
        </w:rPr>
        <w:t xml:space="preserve"> </w:t>
      </w:r>
      <w:r w:rsidRPr="00AD7D22">
        <w:rPr>
          <w:rFonts w:ascii="Verdana" w:hAnsi="Verdana" w:cs="Arial"/>
          <w:sz w:val="16"/>
          <w:szCs w:val="16"/>
        </w:rPr>
        <w:t>Las</w:t>
      </w:r>
      <w:r w:rsidRPr="00AD7D22">
        <w:rPr>
          <w:rFonts w:ascii="Verdana" w:hAnsi="Verdana" w:cs="Arial"/>
          <w:spacing w:val="-12"/>
          <w:sz w:val="16"/>
          <w:szCs w:val="16"/>
        </w:rPr>
        <w:t xml:space="preserve"> </w:t>
      </w:r>
      <w:r w:rsidRPr="00AD7D22">
        <w:rPr>
          <w:rFonts w:ascii="Verdana" w:hAnsi="Verdana" w:cs="Arial"/>
          <w:sz w:val="16"/>
          <w:szCs w:val="16"/>
        </w:rPr>
        <w:t>fuentes</w:t>
      </w:r>
      <w:r w:rsidRPr="00AD7D22">
        <w:rPr>
          <w:rFonts w:ascii="Verdana" w:hAnsi="Verdana" w:cs="Arial"/>
          <w:spacing w:val="-11"/>
          <w:sz w:val="16"/>
          <w:szCs w:val="16"/>
        </w:rPr>
        <w:t xml:space="preserve"> </w:t>
      </w:r>
      <w:r w:rsidRPr="00AD7D22">
        <w:rPr>
          <w:rFonts w:ascii="Verdana" w:hAnsi="Verdana" w:cs="Arial"/>
          <w:sz w:val="16"/>
          <w:szCs w:val="16"/>
        </w:rPr>
        <w:t>del</w:t>
      </w:r>
      <w:r w:rsidRPr="00AD7D22">
        <w:rPr>
          <w:rFonts w:ascii="Verdana" w:hAnsi="Verdana" w:cs="Arial"/>
          <w:spacing w:val="-12"/>
          <w:sz w:val="16"/>
          <w:szCs w:val="16"/>
        </w:rPr>
        <w:t xml:space="preserve"> </w:t>
      </w:r>
      <w:r w:rsidRPr="00AD7D22">
        <w:rPr>
          <w:rFonts w:ascii="Verdana" w:hAnsi="Verdana" w:cs="Arial"/>
          <w:sz w:val="16"/>
          <w:szCs w:val="16"/>
        </w:rPr>
        <w:t>derecho</w:t>
      </w:r>
      <w:r w:rsidRPr="00AD7D22">
        <w:rPr>
          <w:rFonts w:ascii="Verdana" w:hAnsi="Verdana" w:cs="Arial"/>
          <w:spacing w:val="-12"/>
          <w:sz w:val="16"/>
          <w:szCs w:val="16"/>
        </w:rPr>
        <w:t xml:space="preserve"> </w:t>
      </w:r>
      <w:r w:rsidRPr="00AD7D22">
        <w:rPr>
          <w:rFonts w:ascii="Verdana" w:hAnsi="Verdana" w:cs="Arial"/>
          <w:sz w:val="16"/>
          <w:szCs w:val="16"/>
        </w:rPr>
        <w:t>administrativo.</w:t>
      </w:r>
      <w:r w:rsidRPr="00AD7D22">
        <w:rPr>
          <w:rFonts w:ascii="Verdana" w:hAnsi="Verdana" w:cs="Arial"/>
          <w:spacing w:val="-12"/>
          <w:sz w:val="16"/>
          <w:szCs w:val="16"/>
        </w:rPr>
        <w:t xml:space="preserve"> </w:t>
      </w:r>
      <w:r w:rsidRPr="00AD7D22">
        <w:rPr>
          <w:rFonts w:ascii="Verdana" w:hAnsi="Verdana" w:cs="Arial"/>
          <w:sz w:val="16"/>
          <w:szCs w:val="16"/>
        </w:rPr>
        <w:t>Texto</w:t>
      </w:r>
      <w:r w:rsidRPr="00AD7D22">
        <w:rPr>
          <w:rFonts w:ascii="Verdana" w:hAnsi="Verdana" w:cs="Arial"/>
          <w:spacing w:val="-11"/>
          <w:sz w:val="16"/>
          <w:szCs w:val="16"/>
        </w:rPr>
        <w:t xml:space="preserve"> </w:t>
      </w:r>
      <w:r w:rsidRPr="00AD7D22">
        <w:rPr>
          <w:rFonts w:ascii="Verdana" w:hAnsi="Verdana" w:cs="Arial"/>
          <w:sz w:val="16"/>
          <w:szCs w:val="16"/>
        </w:rPr>
        <w:t>inédito.</w:t>
      </w:r>
      <w:r w:rsidRPr="00AD7D22">
        <w:rPr>
          <w:rFonts w:ascii="Verdana" w:hAnsi="Verdana" w:cs="Arial"/>
          <w:spacing w:val="-12"/>
          <w:sz w:val="16"/>
          <w:szCs w:val="16"/>
        </w:rPr>
        <w:t xml:space="preserve"> </w:t>
      </w:r>
      <w:r w:rsidRPr="00AD7D22">
        <w:rPr>
          <w:rFonts w:ascii="Verdana" w:hAnsi="Verdana" w:cs="Arial"/>
          <w:sz w:val="16"/>
          <w:szCs w:val="16"/>
        </w:rPr>
        <w:t>2010.</w:t>
      </w:r>
      <w:r w:rsidRPr="00AD7D22">
        <w:rPr>
          <w:rFonts w:ascii="Verdana" w:hAnsi="Verdana" w:cs="Arial"/>
          <w:spacing w:val="-12"/>
          <w:sz w:val="16"/>
          <w:szCs w:val="16"/>
        </w:rPr>
        <w:t xml:space="preserve"> </w:t>
      </w:r>
      <w:r w:rsidRPr="00AD7D22">
        <w:rPr>
          <w:rFonts w:ascii="Verdana" w:hAnsi="Verdana" w:cs="Arial"/>
          <w:sz w:val="16"/>
          <w:szCs w:val="16"/>
        </w:rPr>
        <w:t>pp.</w:t>
      </w:r>
      <w:r w:rsidRPr="00AD7D22">
        <w:rPr>
          <w:rFonts w:ascii="Verdana" w:hAnsi="Verdana" w:cs="Arial"/>
          <w:spacing w:val="1"/>
          <w:sz w:val="16"/>
          <w:szCs w:val="16"/>
        </w:rPr>
        <w:t xml:space="preserve"> </w:t>
      </w:r>
      <w:r w:rsidRPr="00AD7D22">
        <w:rPr>
          <w:rFonts w:ascii="Verdana" w:hAnsi="Verdana" w:cs="Arial"/>
          <w:sz w:val="16"/>
          <w:szCs w:val="16"/>
        </w:rPr>
        <w:t>200-201).</w:t>
      </w:r>
    </w:p>
    <w:p w14:paraId="49CD89FE" w14:textId="77777777" w:rsidR="008F368A" w:rsidRPr="00AD7D22" w:rsidRDefault="008F368A" w:rsidP="008F368A">
      <w:pPr>
        <w:spacing w:after="0" w:line="240" w:lineRule="auto"/>
        <w:ind w:firstLine="708"/>
        <w:jc w:val="both"/>
        <w:rPr>
          <w:rFonts w:ascii="Verdana" w:hAnsi="Verdana" w:cs="Arial"/>
          <w:sz w:val="16"/>
          <w:szCs w:val="16"/>
        </w:rPr>
      </w:pPr>
    </w:p>
  </w:footnote>
  <w:footnote w:id="8">
    <w:p w14:paraId="6D33A9CA" w14:textId="77777777" w:rsidR="008F368A" w:rsidRPr="00AD7D22" w:rsidRDefault="008F368A" w:rsidP="008F368A">
      <w:pPr>
        <w:pStyle w:val="Textonotapie"/>
        <w:ind w:firstLine="708"/>
        <w:jc w:val="both"/>
        <w:rPr>
          <w:rFonts w:ascii="Verdana" w:hAnsi="Verdana" w:cs="Arial"/>
          <w:sz w:val="16"/>
          <w:szCs w:val="16"/>
        </w:rPr>
      </w:pPr>
      <w:r w:rsidRPr="00AD7D22">
        <w:rPr>
          <w:rStyle w:val="Refdenotaalpie"/>
          <w:rFonts w:ascii="Verdana" w:hAnsi="Verdana" w:cs="Arial"/>
          <w:sz w:val="16"/>
          <w:szCs w:val="16"/>
        </w:rPr>
        <w:footnoteRef/>
      </w:r>
      <w:r w:rsidRPr="00AD7D22">
        <w:rPr>
          <w:rFonts w:ascii="Verdana" w:hAnsi="Verdana" w:cs="Arial"/>
          <w:sz w:val="16"/>
          <w:szCs w:val="16"/>
        </w:rPr>
        <w:t xml:space="preserve"> </w:t>
      </w:r>
      <w:proofErr w:type="spellStart"/>
      <w:r w:rsidRPr="00AD7D22">
        <w:rPr>
          <w:rFonts w:ascii="Verdana" w:hAnsi="Verdana" w:cs="Arial"/>
          <w:sz w:val="16"/>
          <w:szCs w:val="16"/>
        </w:rPr>
        <w:t>Ibíd</w:t>
      </w:r>
      <w:proofErr w:type="spellEnd"/>
      <w:r w:rsidRPr="00AD7D22">
        <w:rPr>
          <w:rFonts w:ascii="Verdana" w:hAnsi="Verdana" w:cs="Arial"/>
          <w:sz w:val="16"/>
          <w:szCs w:val="16"/>
        </w:rPr>
        <w:t xml:space="preserve">. </w:t>
      </w:r>
    </w:p>
    <w:p w14:paraId="7205A663" w14:textId="77777777" w:rsidR="008F368A" w:rsidRPr="00AD7D22" w:rsidRDefault="008F368A" w:rsidP="008F368A">
      <w:pPr>
        <w:pStyle w:val="Textonotapie"/>
        <w:ind w:firstLine="708"/>
        <w:jc w:val="both"/>
        <w:rPr>
          <w:rFonts w:ascii="Verdana" w:hAnsi="Verdana" w:cs="Arial"/>
          <w:sz w:val="16"/>
          <w:szCs w:val="16"/>
        </w:rPr>
      </w:pPr>
    </w:p>
  </w:footnote>
  <w:footnote w:id="9">
    <w:p w14:paraId="2C3D9C43" w14:textId="77777777" w:rsidR="00242182" w:rsidRPr="00D03768" w:rsidRDefault="00242182" w:rsidP="00242182">
      <w:pPr>
        <w:pStyle w:val="Textonotapie"/>
        <w:ind w:firstLine="709"/>
        <w:jc w:val="both"/>
        <w:rPr>
          <w:rFonts w:ascii="Verdana" w:hAnsi="Verdana" w:cs="Arial"/>
          <w:color w:val="000000"/>
          <w:sz w:val="14"/>
          <w:szCs w:val="14"/>
        </w:rPr>
      </w:pPr>
      <w:r w:rsidRPr="009F2629">
        <w:rPr>
          <w:rStyle w:val="Refdenotaalpie"/>
          <w:rFonts w:ascii="Verdana" w:hAnsi="Verdana" w:cs="Arial"/>
          <w:color w:val="000000"/>
          <w:sz w:val="14"/>
          <w:szCs w:val="14"/>
        </w:rPr>
        <w:footnoteRef/>
      </w:r>
      <w:r w:rsidRPr="009F2629">
        <w:rPr>
          <w:rFonts w:ascii="Verdana" w:hAnsi="Verdana" w:cs="Arial"/>
          <w:color w:val="000000"/>
          <w:sz w:val="14"/>
          <w:szCs w:val="14"/>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9F2629">
        <w:rPr>
          <w:rFonts w:ascii="Verdana" w:hAnsi="Verdana" w:cs="Arial"/>
          <w:color w:val="000000"/>
          <w:sz w:val="14"/>
          <w:szCs w:val="14"/>
          <w:shd w:val="clear" w:color="auto" w:fill="FFFFFF"/>
        </w:rPr>
        <w:t>” (</w:t>
      </w:r>
      <w:r w:rsidRPr="009F2629">
        <w:rPr>
          <w:rFonts w:ascii="Verdana" w:hAnsi="Verdana" w:cs="Arial"/>
          <w:color w:val="000000"/>
          <w:sz w:val="14"/>
          <w:szCs w:val="14"/>
        </w:rPr>
        <w:t>EXPOSITO, Juan Carlos. Forma y contenido del contrato estatal. Bogotá: Universidad Externado de Colombia, p. 89 y 90).</w:t>
      </w:r>
    </w:p>
  </w:footnote>
  <w:footnote w:id="10">
    <w:p w14:paraId="52A08AEF" w14:textId="77777777" w:rsidR="00242182" w:rsidRPr="002948B2" w:rsidRDefault="00242182" w:rsidP="00242182">
      <w:pPr>
        <w:pStyle w:val="Textonotapie"/>
        <w:ind w:firstLine="709"/>
        <w:jc w:val="both"/>
        <w:rPr>
          <w:rFonts w:ascii="Verdana" w:hAnsi="Verdana" w:cs="Arial"/>
          <w:color w:val="000000"/>
          <w:sz w:val="16"/>
          <w:szCs w:val="16"/>
          <w:lang w:val="es-CO"/>
        </w:rPr>
      </w:pPr>
      <w:r w:rsidRPr="002948B2">
        <w:rPr>
          <w:rStyle w:val="Refdenotaalpie"/>
          <w:rFonts w:ascii="Verdana" w:hAnsi="Verdana" w:cs="Arial"/>
          <w:color w:val="000000"/>
          <w:sz w:val="16"/>
          <w:szCs w:val="16"/>
        </w:rPr>
        <w:footnoteRef/>
      </w:r>
      <w:r w:rsidRPr="002948B2">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footnote>
  <w:footnote w:id="11">
    <w:p w14:paraId="73FECF6F" w14:textId="77777777" w:rsidR="00242182" w:rsidRPr="002948B2" w:rsidRDefault="00242182" w:rsidP="00242182">
      <w:pPr>
        <w:spacing w:after="0" w:line="240" w:lineRule="auto"/>
        <w:ind w:firstLine="709"/>
        <w:jc w:val="both"/>
        <w:rPr>
          <w:rFonts w:ascii="Verdana" w:hAnsi="Verdana" w:cs="Arial"/>
          <w:color w:val="000000"/>
          <w:sz w:val="16"/>
          <w:szCs w:val="16"/>
          <w:lang w:val="es-ES"/>
        </w:rPr>
      </w:pPr>
      <w:r w:rsidRPr="002948B2">
        <w:rPr>
          <w:rStyle w:val="Refdenotaalpie"/>
          <w:rFonts w:ascii="Verdana" w:hAnsi="Verdana" w:cs="Arial"/>
          <w:color w:val="000000"/>
          <w:sz w:val="16"/>
          <w:szCs w:val="16"/>
        </w:rPr>
        <w:footnoteRef/>
      </w:r>
      <w:r w:rsidRPr="002948B2">
        <w:rPr>
          <w:rFonts w:ascii="Verdana" w:hAnsi="Verdana" w:cs="Arial"/>
          <w:color w:val="000000"/>
          <w:sz w:val="16"/>
          <w:szCs w:val="16"/>
        </w:rPr>
        <w:t xml:space="preserve"> Consejo de Estado. Sección Tercera. Subsección C. 20 de octubre de 2014, M.P: Enrique Gil Botero. Exp.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12">
    <w:p w14:paraId="1168C2A6" w14:textId="77777777" w:rsidR="00242182" w:rsidRPr="002948B2" w:rsidRDefault="00242182" w:rsidP="00242182">
      <w:pPr>
        <w:pStyle w:val="Textonotapie"/>
        <w:ind w:firstLine="709"/>
        <w:jc w:val="both"/>
        <w:rPr>
          <w:rFonts w:ascii="Verdana" w:hAnsi="Verdana" w:cs="Arial"/>
          <w:color w:val="000000" w:themeColor="text1"/>
          <w:sz w:val="16"/>
          <w:szCs w:val="16"/>
          <w:lang w:val="es-ES"/>
        </w:rPr>
      </w:pPr>
      <w:r w:rsidRPr="002948B2">
        <w:rPr>
          <w:rStyle w:val="Refdenotaalpie"/>
          <w:rFonts w:ascii="Verdana" w:hAnsi="Verdana" w:cs="Arial"/>
          <w:color w:val="000000" w:themeColor="text1"/>
          <w:sz w:val="16"/>
          <w:szCs w:val="16"/>
        </w:rPr>
        <w:footnoteRef/>
      </w:r>
      <w:r w:rsidRPr="002948B2">
        <w:rPr>
          <w:rFonts w:ascii="Verdana" w:hAnsi="Verdana" w:cs="Arial"/>
          <w:color w:val="000000" w:themeColor="text1"/>
          <w:sz w:val="16"/>
          <w:szCs w:val="16"/>
        </w:rPr>
        <w:t xml:space="preserve"> </w:t>
      </w:r>
      <w:r w:rsidRPr="002948B2">
        <w:rPr>
          <w:rFonts w:ascii="Verdana" w:hAnsi="Verdana" w:cs="Arial"/>
          <w:color w:val="000000" w:themeColor="text1"/>
          <w:sz w:val="16"/>
          <w:szCs w:val="16"/>
          <w:lang w:val="es-ES"/>
        </w:rPr>
        <w:t>El artículo 11 de la Ley 1150 de 2007 prescribe: “Artículo 11. 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14:paraId="7B000E60" w14:textId="77777777" w:rsidR="00242182" w:rsidRPr="002948B2" w:rsidRDefault="00242182" w:rsidP="00242182">
      <w:pPr>
        <w:pStyle w:val="Textonotapie"/>
        <w:ind w:firstLine="709"/>
        <w:jc w:val="both"/>
        <w:rPr>
          <w:rFonts w:ascii="Verdana" w:hAnsi="Verdana" w:cs="Arial"/>
          <w:color w:val="000000" w:themeColor="text1"/>
          <w:sz w:val="16"/>
          <w:szCs w:val="16"/>
          <w:lang w:val="es-ES"/>
        </w:rPr>
      </w:pPr>
      <w:r w:rsidRPr="002948B2">
        <w:rPr>
          <w:rFonts w:ascii="Verdana" w:hAnsi="Verdana" w:cs="Arial"/>
          <w:color w:val="000000" w:themeColor="text1"/>
          <w:sz w:val="16"/>
          <w:szCs w:val="16"/>
          <w:lang w:val="es-ES"/>
        </w:rPr>
        <w:t>En aquellos casos en que el contratista no se presente a la liquidación previa notificación o convocatoria que le haga la entidad, o las partes no lleguen a un acuerdo sobre su contenido, la entidad tendrá la facultad de liquidar en forma unilateral dentro de los dos (2) meses siguientes, de conformidad con lo dispuesto en el artículo 136 del C. C. A.</w:t>
      </w:r>
    </w:p>
    <w:p w14:paraId="4C34824B" w14:textId="77777777" w:rsidR="00242182" w:rsidRPr="002948B2" w:rsidRDefault="00242182" w:rsidP="00242182">
      <w:pPr>
        <w:pStyle w:val="Textonotapie"/>
        <w:ind w:firstLine="709"/>
        <w:jc w:val="both"/>
        <w:rPr>
          <w:rFonts w:ascii="Verdana" w:hAnsi="Verdana" w:cs="Arial"/>
          <w:color w:val="000000" w:themeColor="text1"/>
          <w:sz w:val="16"/>
          <w:szCs w:val="16"/>
          <w:lang w:val="es-ES"/>
        </w:rPr>
      </w:pPr>
      <w:r w:rsidRPr="002948B2">
        <w:rPr>
          <w:rFonts w:ascii="Verdana" w:hAnsi="Verdana" w:cs="Arial"/>
          <w:color w:val="000000" w:themeColor="text1"/>
          <w:sz w:val="16"/>
          <w:szCs w:val="16"/>
          <w:lang w:val="es-ES"/>
        </w:rPr>
        <w:t>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w:t>
      </w:r>
    </w:p>
    <w:p w14:paraId="1577562F" w14:textId="77777777" w:rsidR="00242182" w:rsidRPr="009F2629" w:rsidRDefault="00242182" w:rsidP="00242182">
      <w:pPr>
        <w:pStyle w:val="Textonotapie"/>
        <w:ind w:firstLine="709"/>
        <w:jc w:val="both"/>
        <w:rPr>
          <w:rFonts w:ascii="Verdana" w:hAnsi="Verdana" w:cs="Arial"/>
          <w:color w:val="000000" w:themeColor="text1"/>
          <w:sz w:val="14"/>
          <w:szCs w:val="14"/>
          <w:lang w:val="es-ES"/>
        </w:rPr>
      </w:pPr>
      <w:r w:rsidRPr="002948B2">
        <w:rPr>
          <w:rFonts w:ascii="Verdana" w:hAnsi="Verdana" w:cs="Arial"/>
          <w:color w:val="000000" w:themeColor="text1"/>
          <w:sz w:val="16"/>
          <w:szCs w:val="16"/>
          <w:lang w:val="es-ES"/>
        </w:rPr>
        <w:t>Los contratistas tendrán derecho a efectuar salvedades a la liquidación por mutuo acuerdo, y en este evento la liquidación unilateral solo procederá en relación con los aspectos que no hayan sido objeto de acuerdo”</w:t>
      </w:r>
    </w:p>
  </w:footnote>
  <w:footnote w:id="13">
    <w:p w14:paraId="1E3201DF" w14:textId="77777777" w:rsidR="00242182" w:rsidRPr="002948B2" w:rsidDel="009F2629" w:rsidRDefault="00242182" w:rsidP="00242182">
      <w:pPr>
        <w:pStyle w:val="Textonotapie"/>
        <w:ind w:firstLine="709"/>
        <w:jc w:val="both"/>
        <w:rPr>
          <w:rFonts w:ascii="Verdana" w:hAnsi="Verdana" w:cs="Arial"/>
          <w:color w:val="000000" w:themeColor="text1"/>
          <w:sz w:val="16"/>
          <w:szCs w:val="16"/>
        </w:rPr>
      </w:pPr>
      <w:r w:rsidRPr="002948B2">
        <w:rPr>
          <w:rStyle w:val="Refdenotaalpie"/>
          <w:rFonts w:ascii="Verdana" w:hAnsi="Verdana" w:cs="Arial"/>
          <w:color w:val="000000" w:themeColor="text1"/>
          <w:sz w:val="16"/>
          <w:szCs w:val="16"/>
        </w:rPr>
        <w:footnoteRef/>
      </w:r>
      <w:r w:rsidRPr="002948B2">
        <w:rPr>
          <w:rFonts w:ascii="Verdana" w:hAnsi="Verdana" w:cs="Arial"/>
          <w:color w:val="000000" w:themeColor="text1"/>
          <w:sz w:val="16"/>
          <w:szCs w:val="16"/>
        </w:rPr>
        <w:t xml:space="preserve"> Agencia Nacional de Contratación Pública - Colombia Compra Eficiente. Guía para la Liquidación de los Procesos de Contratación. Página 5, disponible en:</w:t>
      </w:r>
      <w:r w:rsidRPr="002948B2">
        <w:rPr>
          <w:rFonts w:ascii="Verdana" w:hAnsi="Verdana"/>
          <w:sz w:val="16"/>
          <w:szCs w:val="16"/>
        </w:rPr>
        <w:t xml:space="preserve"> </w:t>
      </w:r>
      <w:hyperlink r:id="rId6" w:history="1">
        <w:r w:rsidRPr="002948B2">
          <w:rPr>
            <w:rStyle w:val="Hipervnculo"/>
            <w:rFonts w:ascii="Verdana" w:hAnsi="Verdana" w:cs="Arial"/>
            <w:sz w:val="16"/>
            <w:szCs w:val="16"/>
          </w:rPr>
          <w:t>https://www.colombiacompra.gov.co/sites/cce_public/files/cce_documents/cce_guia_liquidacion_procesos.pdf</w:t>
        </w:r>
      </w:hyperlink>
      <w:r w:rsidRPr="002948B2">
        <w:rPr>
          <w:rFonts w:ascii="Verdana" w:hAnsi="Verdana" w:cs="Arial"/>
          <w:color w:val="000000" w:themeColor="text1"/>
          <w:sz w:val="16"/>
          <w:szCs w:val="16"/>
        </w:rPr>
        <w:t xml:space="preserve"> </w:t>
      </w:r>
    </w:p>
  </w:footnote>
  <w:footnote w:id="14">
    <w:p w14:paraId="7F7E95B5" w14:textId="77777777" w:rsidR="00242182" w:rsidRPr="002948B2" w:rsidDel="009F2629" w:rsidRDefault="00242182" w:rsidP="00242182">
      <w:pPr>
        <w:pStyle w:val="Textonotapie"/>
        <w:ind w:firstLine="709"/>
        <w:jc w:val="both"/>
        <w:rPr>
          <w:rFonts w:ascii="Verdana" w:hAnsi="Verdana" w:cs="Arial"/>
          <w:color w:val="000000" w:themeColor="text1"/>
          <w:sz w:val="16"/>
          <w:szCs w:val="16"/>
          <w:lang w:val="es-ES"/>
        </w:rPr>
      </w:pPr>
      <w:r w:rsidRPr="002948B2">
        <w:rPr>
          <w:rStyle w:val="Refdenotaalpie"/>
          <w:rFonts w:ascii="Verdana" w:hAnsi="Verdana" w:cs="Arial"/>
          <w:color w:val="000000" w:themeColor="text1"/>
          <w:sz w:val="16"/>
          <w:szCs w:val="16"/>
        </w:rPr>
        <w:footnoteRef/>
      </w:r>
      <w:r w:rsidRPr="002948B2">
        <w:rPr>
          <w:rFonts w:ascii="Verdana" w:hAnsi="Verdana" w:cs="Arial"/>
          <w:color w:val="000000" w:themeColor="text1"/>
          <w:sz w:val="16"/>
          <w:szCs w:val="16"/>
        </w:rPr>
        <w:t xml:space="preserve"> Conviene recordar que es válida la liquidación bilateral parcial, debido a que las partes no logran ponerse de acuerdo en todos los asuntos referentes al contrato. En este evento, se debe hacer uso de las glosas o salvedades, y únicamente sobre tal glosa o salvedad girará el debate judicial que se da con ocasión de la demanda en ejercicio del medio de control de controversias contractuales.</w:t>
      </w:r>
    </w:p>
  </w:footnote>
  <w:footnote w:id="15">
    <w:p w14:paraId="36424ED2" w14:textId="77777777" w:rsidR="00242182" w:rsidRPr="009F2629" w:rsidDel="009F2629" w:rsidRDefault="00242182" w:rsidP="00242182">
      <w:pPr>
        <w:pStyle w:val="Textonotapie"/>
        <w:ind w:firstLine="709"/>
        <w:jc w:val="both"/>
        <w:rPr>
          <w:rFonts w:ascii="Verdana" w:hAnsi="Verdana" w:cs="Arial"/>
          <w:color w:val="000000" w:themeColor="text1"/>
          <w:sz w:val="14"/>
          <w:szCs w:val="14"/>
          <w:lang w:val="es-ES"/>
        </w:rPr>
      </w:pPr>
      <w:r w:rsidRPr="002948B2">
        <w:rPr>
          <w:rStyle w:val="Refdenotaalpie"/>
          <w:rFonts w:ascii="Verdana" w:hAnsi="Verdana" w:cs="Arial"/>
          <w:color w:val="000000" w:themeColor="text1"/>
          <w:sz w:val="16"/>
          <w:szCs w:val="16"/>
        </w:rPr>
        <w:footnoteRef/>
      </w:r>
      <w:r w:rsidRPr="002948B2">
        <w:rPr>
          <w:rFonts w:ascii="Verdana" w:hAnsi="Verdana" w:cs="Arial"/>
          <w:color w:val="000000" w:themeColor="text1"/>
          <w:sz w:val="16"/>
          <w:szCs w:val="16"/>
        </w:rPr>
        <w:t xml:space="preserve"> Consejo de Estado. Sala de Consulta y Servicio Civil. Concepto de 28 de Junio de 2016. Radicación: 2253. C.P. Álvaro Namén Vargas.</w:t>
      </w:r>
      <w:r w:rsidRPr="009F2629">
        <w:rPr>
          <w:rFonts w:ascii="Verdana" w:hAnsi="Verdana" w:cs="Arial"/>
          <w:color w:val="000000" w:themeColor="text1"/>
          <w:sz w:val="14"/>
          <w:szCs w:val="14"/>
        </w:rPr>
        <w:t xml:space="preserve"> </w:t>
      </w:r>
    </w:p>
  </w:footnote>
  <w:footnote w:id="16">
    <w:p w14:paraId="28D690C1" w14:textId="77777777" w:rsidR="00242182" w:rsidRPr="00C95894" w:rsidDel="009F2629" w:rsidRDefault="00242182" w:rsidP="00242182">
      <w:pPr>
        <w:pStyle w:val="Textonotapie"/>
        <w:ind w:firstLine="709"/>
        <w:jc w:val="both"/>
        <w:rPr>
          <w:rFonts w:ascii="Verdana" w:hAnsi="Verdana" w:cs="Arial"/>
          <w:color w:val="000000" w:themeColor="text1"/>
          <w:sz w:val="16"/>
          <w:szCs w:val="16"/>
          <w:lang w:val="es-ES"/>
        </w:rPr>
      </w:pPr>
      <w:r w:rsidRPr="00C95894">
        <w:rPr>
          <w:rStyle w:val="Refdenotaalpie"/>
          <w:rFonts w:ascii="Verdana" w:hAnsi="Verdana" w:cs="Arial"/>
          <w:color w:val="000000" w:themeColor="text1"/>
          <w:sz w:val="16"/>
          <w:szCs w:val="16"/>
        </w:rPr>
        <w:footnoteRef/>
      </w:r>
      <w:r w:rsidRPr="00C95894">
        <w:rPr>
          <w:rFonts w:ascii="Verdana" w:hAnsi="Verdana" w:cs="Arial"/>
          <w:color w:val="000000" w:themeColor="text1"/>
          <w:sz w:val="16"/>
          <w:szCs w:val="16"/>
        </w:rPr>
        <w:t xml:space="preserve"> Es importante advertir que también durante estos dos meses se podrá realizar una liquidación bilateral, esto es, de mutuo acuerdo, lo cual significa que el plazo para hacer la liquidación bilateral no es un término perentorio, sino sencillamente indicativo.</w:t>
      </w:r>
    </w:p>
  </w:footnote>
  <w:footnote w:id="17">
    <w:p w14:paraId="4A7BF402" w14:textId="77777777" w:rsidR="00242182" w:rsidRPr="009F2629" w:rsidRDefault="00242182" w:rsidP="00242182">
      <w:pPr>
        <w:pStyle w:val="Textonotapie"/>
        <w:ind w:firstLine="709"/>
        <w:jc w:val="both"/>
        <w:rPr>
          <w:rFonts w:ascii="Verdana" w:hAnsi="Verdana" w:cs="Arial"/>
          <w:color w:val="000000" w:themeColor="text1"/>
          <w:sz w:val="14"/>
          <w:szCs w:val="14"/>
          <w:lang w:val="pt-BR"/>
        </w:rPr>
      </w:pPr>
      <w:r w:rsidRPr="00C95894">
        <w:rPr>
          <w:rStyle w:val="Refdenotaalpie"/>
          <w:rFonts w:ascii="Verdana" w:hAnsi="Verdana" w:cs="Arial"/>
          <w:color w:val="000000" w:themeColor="text1"/>
          <w:sz w:val="16"/>
          <w:szCs w:val="16"/>
        </w:rPr>
        <w:footnoteRef/>
      </w:r>
      <w:r w:rsidRPr="00C95894">
        <w:rPr>
          <w:rFonts w:ascii="Verdana" w:hAnsi="Verdana" w:cs="Arial"/>
          <w:color w:val="000000" w:themeColor="text1"/>
          <w:sz w:val="16"/>
          <w:szCs w:val="16"/>
        </w:rPr>
        <w:t xml:space="preserve"> Consejo de Estado. Sección Tercera. </w:t>
      </w:r>
      <w:r w:rsidRPr="00C95894">
        <w:rPr>
          <w:rFonts w:ascii="Verdana" w:hAnsi="Verdana" w:cs="Arial"/>
          <w:color w:val="000000" w:themeColor="text1"/>
          <w:sz w:val="16"/>
          <w:szCs w:val="16"/>
          <w:lang w:val="pt-BR"/>
        </w:rPr>
        <w:t>Sala Plena. Auto de 1 de agosto de 2019. Exp. 62009. C.P. Jaime Enrique Rodríguez Navas.</w:t>
      </w:r>
      <w:r w:rsidRPr="009F2629">
        <w:rPr>
          <w:rFonts w:ascii="Verdana" w:hAnsi="Verdana" w:cs="Arial"/>
          <w:color w:val="000000" w:themeColor="text1"/>
          <w:sz w:val="14"/>
          <w:szCs w:val="14"/>
          <w:lang w:val="pt-BR"/>
        </w:rPr>
        <w:t xml:space="preserve"> </w:t>
      </w:r>
    </w:p>
  </w:footnote>
  <w:footnote w:id="18">
    <w:p w14:paraId="104CDDE6" w14:textId="77777777" w:rsidR="00242182" w:rsidRPr="005342D7" w:rsidDel="00DA4E1A" w:rsidRDefault="00242182" w:rsidP="00242182">
      <w:pPr>
        <w:pStyle w:val="Textonotapie"/>
        <w:ind w:firstLine="709"/>
        <w:jc w:val="both"/>
        <w:rPr>
          <w:rFonts w:ascii="Verdana" w:hAnsi="Verdana" w:cs="Arial"/>
          <w:sz w:val="16"/>
          <w:szCs w:val="16"/>
          <w:lang w:val="pt-BR"/>
        </w:rPr>
      </w:pPr>
      <w:r w:rsidRPr="005342D7">
        <w:rPr>
          <w:rStyle w:val="Refdenotaalpie"/>
          <w:rFonts w:ascii="Verdana" w:hAnsi="Verdana" w:cs="Arial"/>
          <w:sz w:val="16"/>
          <w:szCs w:val="16"/>
          <w:lang w:val="es-CO"/>
        </w:rPr>
        <w:footnoteRef/>
      </w:r>
      <w:r w:rsidRPr="005342D7">
        <w:rPr>
          <w:rFonts w:ascii="Verdana" w:hAnsi="Verdana" w:cs="Arial"/>
          <w:sz w:val="16"/>
          <w:szCs w:val="16"/>
          <w:lang w:val="pt-BR"/>
        </w:rPr>
        <w:t xml:space="preserve"> </w:t>
      </w:r>
      <w:proofErr w:type="spellStart"/>
      <w:r w:rsidRPr="005342D7">
        <w:rPr>
          <w:rFonts w:ascii="Verdana" w:hAnsi="Verdana" w:cs="Arial"/>
          <w:sz w:val="16"/>
          <w:szCs w:val="16"/>
          <w:lang w:val="pt-BR"/>
        </w:rPr>
        <w:t>Consejo</w:t>
      </w:r>
      <w:proofErr w:type="spellEnd"/>
      <w:r w:rsidRPr="005342D7">
        <w:rPr>
          <w:rFonts w:ascii="Verdana" w:hAnsi="Verdana" w:cs="Arial"/>
          <w:sz w:val="16"/>
          <w:szCs w:val="16"/>
          <w:lang w:val="pt-BR"/>
        </w:rPr>
        <w:t xml:space="preserve"> de Estado, Sala de Consulta y Servicio Civil, Concepto de 6 de agosto de 2003, Radicación 1453</w:t>
      </w:r>
    </w:p>
  </w:footnote>
  <w:footnote w:id="19">
    <w:p w14:paraId="6FE98CFB" w14:textId="77777777" w:rsidR="00242182" w:rsidRPr="005342D7" w:rsidRDefault="00242182" w:rsidP="00242182">
      <w:pPr>
        <w:pStyle w:val="Textonotapie"/>
        <w:ind w:firstLine="709"/>
        <w:jc w:val="both"/>
        <w:rPr>
          <w:rFonts w:ascii="Verdana" w:hAnsi="Verdana"/>
          <w:sz w:val="16"/>
          <w:szCs w:val="16"/>
          <w:lang w:val="es-ES"/>
        </w:rPr>
      </w:pPr>
      <w:r w:rsidRPr="005342D7">
        <w:rPr>
          <w:rStyle w:val="Refdenotaalpie"/>
          <w:rFonts w:ascii="Verdana" w:hAnsi="Verdana"/>
          <w:sz w:val="16"/>
          <w:szCs w:val="16"/>
        </w:rPr>
        <w:footnoteRef/>
      </w:r>
      <w:r w:rsidRPr="005342D7">
        <w:rPr>
          <w:rFonts w:ascii="Verdana" w:hAnsi="Verdana"/>
          <w:sz w:val="16"/>
          <w:szCs w:val="16"/>
        </w:rPr>
        <w:t xml:space="preserve"> </w:t>
      </w:r>
      <w:r w:rsidRPr="005342D7">
        <w:rPr>
          <w:rFonts w:ascii="Verdana" w:hAnsi="Verdana" w:cs="Arial"/>
          <w:sz w:val="16"/>
          <w:szCs w:val="16"/>
          <w:lang w:val="es-ES"/>
        </w:rPr>
        <w:t xml:space="preserve">Consejo de Estado. Sala de Consulta y Servicio Civil. Concepto de 28 de junio de 2016. Rad: </w:t>
      </w:r>
      <w:r w:rsidRPr="005342D7">
        <w:rPr>
          <w:rFonts w:ascii="Verdana" w:hAnsi="Verdana" w:cs="Arial"/>
          <w:color w:val="333333"/>
          <w:sz w:val="16"/>
          <w:szCs w:val="16"/>
          <w:shd w:val="clear" w:color="auto" w:fill="FFFFFF"/>
        </w:rPr>
        <w:t>11001-03-06-000-2015-00067-00 (2253). C.P: Álvaro Namén Vargas.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1.7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4511A02"/>
    <w:multiLevelType w:val="multilevel"/>
    <w:tmpl w:val="DD5CD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A77E244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1" w15:restartNumberingAfterBreak="0">
    <w:nsid w:val="4A5D086A"/>
    <w:multiLevelType w:val="hybridMultilevel"/>
    <w:tmpl w:val="0A84C6B2"/>
    <w:lvl w:ilvl="0" w:tplc="4348B772">
      <w:start w:val="1"/>
      <w:numFmt w:val="low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5A5A775D"/>
    <w:multiLevelType w:val="hybridMultilevel"/>
    <w:tmpl w:val="0C30D0D8"/>
    <w:lvl w:ilvl="0" w:tplc="EB6072C6">
      <w:start w:val="1"/>
      <w:numFmt w:val="lowerRoman"/>
      <w:lvlText w:val="%1."/>
      <w:lvlJc w:val="righ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6"/>
  </w:num>
  <w:num w:numId="7" w16cid:durableId="1946422806">
    <w:abstractNumId w:val="6"/>
  </w:num>
  <w:num w:numId="8" w16cid:durableId="152644682">
    <w:abstractNumId w:val="15"/>
  </w:num>
  <w:num w:numId="9" w16cid:durableId="1317221377">
    <w:abstractNumId w:val="8"/>
  </w:num>
  <w:num w:numId="10" w16cid:durableId="1471245386">
    <w:abstractNumId w:val="14"/>
  </w:num>
  <w:num w:numId="11" w16cid:durableId="289172385">
    <w:abstractNumId w:val="9"/>
  </w:num>
  <w:num w:numId="12" w16cid:durableId="1470781324">
    <w:abstractNumId w:val="1"/>
  </w:num>
  <w:num w:numId="13" w16cid:durableId="1512908409">
    <w:abstractNumId w:val="4"/>
  </w:num>
  <w:num w:numId="14" w16cid:durableId="895897244">
    <w:abstractNumId w:val="17"/>
  </w:num>
  <w:num w:numId="15" w16cid:durableId="390349800">
    <w:abstractNumId w:val="13"/>
  </w:num>
  <w:num w:numId="16" w16cid:durableId="341274352">
    <w:abstractNumId w:val="0"/>
  </w:num>
  <w:num w:numId="17" w16cid:durableId="1872646036">
    <w:abstractNumId w:val="11"/>
  </w:num>
  <w:num w:numId="18" w16cid:durableId="679089576">
    <w:abstractNumId w:val="10"/>
  </w:num>
  <w:num w:numId="19" w16cid:durableId="1786977">
    <w:abstractNumId w:val="12"/>
  </w:num>
  <w:num w:numId="20" w16cid:durableId="440296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21DC"/>
    <w:rsid w:val="000155DD"/>
    <w:rsid w:val="00016F78"/>
    <w:rsid w:val="00046945"/>
    <w:rsid w:val="00061B2A"/>
    <w:rsid w:val="00082362"/>
    <w:rsid w:val="000853E1"/>
    <w:rsid w:val="000A683E"/>
    <w:rsid w:val="000B17DB"/>
    <w:rsid w:val="000B19B9"/>
    <w:rsid w:val="000D0334"/>
    <w:rsid w:val="000D5DA7"/>
    <w:rsid w:val="000E0D0B"/>
    <w:rsid w:val="000E378B"/>
    <w:rsid w:val="000F5105"/>
    <w:rsid w:val="000F6486"/>
    <w:rsid w:val="000F77B8"/>
    <w:rsid w:val="00111AC6"/>
    <w:rsid w:val="00116940"/>
    <w:rsid w:val="00125105"/>
    <w:rsid w:val="00127233"/>
    <w:rsid w:val="001424B4"/>
    <w:rsid w:val="0015699B"/>
    <w:rsid w:val="001624A9"/>
    <w:rsid w:val="001664A8"/>
    <w:rsid w:val="00183C1C"/>
    <w:rsid w:val="001852C0"/>
    <w:rsid w:val="00196354"/>
    <w:rsid w:val="001A0F8B"/>
    <w:rsid w:val="001A33BF"/>
    <w:rsid w:val="001C1214"/>
    <w:rsid w:val="001E1AE6"/>
    <w:rsid w:val="001E4177"/>
    <w:rsid w:val="001F0B24"/>
    <w:rsid w:val="001F7DC6"/>
    <w:rsid w:val="0022400B"/>
    <w:rsid w:val="00237D87"/>
    <w:rsid w:val="00242182"/>
    <w:rsid w:val="002421BB"/>
    <w:rsid w:val="00243BB6"/>
    <w:rsid w:val="0025796E"/>
    <w:rsid w:val="002707A2"/>
    <w:rsid w:val="002811EE"/>
    <w:rsid w:val="002948B2"/>
    <w:rsid w:val="002951A0"/>
    <w:rsid w:val="002962BC"/>
    <w:rsid w:val="00296322"/>
    <w:rsid w:val="002A093D"/>
    <w:rsid w:val="002A0DD0"/>
    <w:rsid w:val="002A2ADB"/>
    <w:rsid w:val="002A49AC"/>
    <w:rsid w:val="002A64FD"/>
    <w:rsid w:val="002C7A84"/>
    <w:rsid w:val="002C7C02"/>
    <w:rsid w:val="002E2BF8"/>
    <w:rsid w:val="002E4FD9"/>
    <w:rsid w:val="0030657A"/>
    <w:rsid w:val="00322A85"/>
    <w:rsid w:val="00324168"/>
    <w:rsid w:val="00330834"/>
    <w:rsid w:val="003448F4"/>
    <w:rsid w:val="00346466"/>
    <w:rsid w:val="00374F5E"/>
    <w:rsid w:val="00377E3E"/>
    <w:rsid w:val="00384F74"/>
    <w:rsid w:val="003871E9"/>
    <w:rsid w:val="003977AF"/>
    <w:rsid w:val="003A779E"/>
    <w:rsid w:val="003C0496"/>
    <w:rsid w:val="003C3EF0"/>
    <w:rsid w:val="003C5667"/>
    <w:rsid w:val="003D0F4D"/>
    <w:rsid w:val="003D1D77"/>
    <w:rsid w:val="003D5B0D"/>
    <w:rsid w:val="003E0499"/>
    <w:rsid w:val="003E4F80"/>
    <w:rsid w:val="003E6439"/>
    <w:rsid w:val="003E6E7B"/>
    <w:rsid w:val="003F3941"/>
    <w:rsid w:val="00406575"/>
    <w:rsid w:val="00414C74"/>
    <w:rsid w:val="00422199"/>
    <w:rsid w:val="0042722E"/>
    <w:rsid w:val="0044528D"/>
    <w:rsid w:val="00461BA0"/>
    <w:rsid w:val="00461EAB"/>
    <w:rsid w:val="00466E39"/>
    <w:rsid w:val="004808E1"/>
    <w:rsid w:val="004A1847"/>
    <w:rsid w:val="004A305D"/>
    <w:rsid w:val="004F21C4"/>
    <w:rsid w:val="004F685F"/>
    <w:rsid w:val="00522F39"/>
    <w:rsid w:val="005342D7"/>
    <w:rsid w:val="00541456"/>
    <w:rsid w:val="00554455"/>
    <w:rsid w:val="005566E8"/>
    <w:rsid w:val="005606E6"/>
    <w:rsid w:val="00574867"/>
    <w:rsid w:val="00576F78"/>
    <w:rsid w:val="0057712B"/>
    <w:rsid w:val="00584CE5"/>
    <w:rsid w:val="00591460"/>
    <w:rsid w:val="005A65E0"/>
    <w:rsid w:val="005C3777"/>
    <w:rsid w:val="005C5CDC"/>
    <w:rsid w:val="005C71E4"/>
    <w:rsid w:val="005D476C"/>
    <w:rsid w:val="00605137"/>
    <w:rsid w:val="006200BF"/>
    <w:rsid w:val="006219F8"/>
    <w:rsid w:val="006302F7"/>
    <w:rsid w:val="00643796"/>
    <w:rsid w:val="00646B9F"/>
    <w:rsid w:val="00653613"/>
    <w:rsid w:val="00662E5A"/>
    <w:rsid w:val="00665D70"/>
    <w:rsid w:val="0066700E"/>
    <w:rsid w:val="006900D9"/>
    <w:rsid w:val="006A220E"/>
    <w:rsid w:val="006C1D05"/>
    <w:rsid w:val="006C4C09"/>
    <w:rsid w:val="006E33CF"/>
    <w:rsid w:val="006E7285"/>
    <w:rsid w:val="00706C16"/>
    <w:rsid w:val="00731A89"/>
    <w:rsid w:val="007340C3"/>
    <w:rsid w:val="0073474A"/>
    <w:rsid w:val="00752234"/>
    <w:rsid w:val="0075235A"/>
    <w:rsid w:val="007524BF"/>
    <w:rsid w:val="00756841"/>
    <w:rsid w:val="007649AB"/>
    <w:rsid w:val="00771D0C"/>
    <w:rsid w:val="007747C9"/>
    <w:rsid w:val="007833AC"/>
    <w:rsid w:val="00791AB3"/>
    <w:rsid w:val="007B01DC"/>
    <w:rsid w:val="007B268C"/>
    <w:rsid w:val="007B7171"/>
    <w:rsid w:val="007C0C0F"/>
    <w:rsid w:val="007C3DC2"/>
    <w:rsid w:val="007E5497"/>
    <w:rsid w:val="00800339"/>
    <w:rsid w:val="00806F5F"/>
    <w:rsid w:val="00820278"/>
    <w:rsid w:val="008216ED"/>
    <w:rsid w:val="008258C9"/>
    <w:rsid w:val="0082619A"/>
    <w:rsid w:val="00837972"/>
    <w:rsid w:val="00844AE9"/>
    <w:rsid w:val="0085404D"/>
    <w:rsid w:val="008563AC"/>
    <w:rsid w:val="00867F95"/>
    <w:rsid w:val="00870D94"/>
    <w:rsid w:val="008843B6"/>
    <w:rsid w:val="008907EB"/>
    <w:rsid w:val="00891928"/>
    <w:rsid w:val="008A446D"/>
    <w:rsid w:val="008B25F1"/>
    <w:rsid w:val="008D180B"/>
    <w:rsid w:val="008F0EA7"/>
    <w:rsid w:val="008F15CF"/>
    <w:rsid w:val="008F368A"/>
    <w:rsid w:val="00923EEF"/>
    <w:rsid w:val="009419F9"/>
    <w:rsid w:val="0095685E"/>
    <w:rsid w:val="009569D7"/>
    <w:rsid w:val="00961B09"/>
    <w:rsid w:val="00965334"/>
    <w:rsid w:val="00965E35"/>
    <w:rsid w:val="0097093E"/>
    <w:rsid w:val="009A069F"/>
    <w:rsid w:val="009A0DFA"/>
    <w:rsid w:val="009A1C6F"/>
    <w:rsid w:val="009B2D26"/>
    <w:rsid w:val="009B6E52"/>
    <w:rsid w:val="009C71FA"/>
    <w:rsid w:val="009C72E7"/>
    <w:rsid w:val="009C7F7E"/>
    <w:rsid w:val="009D1ABC"/>
    <w:rsid w:val="009D3058"/>
    <w:rsid w:val="009D3AEC"/>
    <w:rsid w:val="009D7C81"/>
    <w:rsid w:val="009F1DCD"/>
    <w:rsid w:val="009F3A13"/>
    <w:rsid w:val="00A023E7"/>
    <w:rsid w:val="00A122D3"/>
    <w:rsid w:val="00A14468"/>
    <w:rsid w:val="00A17F13"/>
    <w:rsid w:val="00A20739"/>
    <w:rsid w:val="00A23AF9"/>
    <w:rsid w:val="00A252A9"/>
    <w:rsid w:val="00A33C78"/>
    <w:rsid w:val="00A473BD"/>
    <w:rsid w:val="00A809C5"/>
    <w:rsid w:val="00A82179"/>
    <w:rsid w:val="00AA29BC"/>
    <w:rsid w:val="00AB0ADB"/>
    <w:rsid w:val="00AF5C3D"/>
    <w:rsid w:val="00AF7113"/>
    <w:rsid w:val="00B00C0E"/>
    <w:rsid w:val="00B01B1A"/>
    <w:rsid w:val="00B0381D"/>
    <w:rsid w:val="00B065CD"/>
    <w:rsid w:val="00B44A47"/>
    <w:rsid w:val="00B66105"/>
    <w:rsid w:val="00B725C9"/>
    <w:rsid w:val="00B72CD3"/>
    <w:rsid w:val="00B72FFF"/>
    <w:rsid w:val="00B966EA"/>
    <w:rsid w:val="00BA7287"/>
    <w:rsid w:val="00BB1DA2"/>
    <w:rsid w:val="00BB1E35"/>
    <w:rsid w:val="00BC0CC6"/>
    <w:rsid w:val="00BC3D36"/>
    <w:rsid w:val="00BD54A6"/>
    <w:rsid w:val="00BD77CE"/>
    <w:rsid w:val="00BD7F72"/>
    <w:rsid w:val="00BE2647"/>
    <w:rsid w:val="00BF489B"/>
    <w:rsid w:val="00BF7425"/>
    <w:rsid w:val="00C04FB3"/>
    <w:rsid w:val="00C11D8B"/>
    <w:rsid w:val="00C15139"/>
    <w:rsid w:val="00C330EB"/>
    <w:rsid w:val="00C50D69"/>
    <w:rsid w:val="00C51EC4"/>
    <w:rsid w:val="00C5365C"/>
    <w:rsid w:val="00C718F1"/>
    <w:rsid w:val="00C754BE"/>
    <w:rsid w:val="00C76B1C"/>
    <w:rsid w:val="00C804D9"/>
    <w:rsid w:val="00C864EA"/>
    <w:rsid w:val="00C925AC"/>
    <w:rsid w:val="00C95894"/>
    <w:rsid w:val="00CB6357"/>
    <w:rsid w:val="00CC1B26"/>
    <w:rsid w:val="00CD20A5"/>
    <w:rsid w:val="00D3400E"/>
    <w:rsid w:val="00D361FD"/>
    <w:rsid w:val="00D423A2"/>
    <w:rsid w:val="00D44E26"/>
    <w:rsid w:val="00D520D8"/>
    <w:rsid w:val="00D53941"/>
    <w:rsid w:val="00D636EF"/>
    <w:rsid w:val="00D63AC2"/>
    <w:rsid w:val="00D7383B"/>
    <w:rsid w:val="00D7788A"/>
    <w:rsid w:val="00D97D1F"/>
    <w:rsid w:val="00DA231B"/>
    <w:rsid w:val="00DA56B3"/>
    <w:rsid w:val="00DA68A9"/>
    <w:rsid w:val="00DB28B7"/>
    <w:rsid w:val="00DC39FC"/>
    <w:rsid w:val="00DC6D84"/>
    <w:rsid w:val="00DF5254"/>
    <w:rsid w:val="00E02524"/>
    <w:rsid w:val="00E16408"/>
    <w:rsid w:val="00E20894"/>
    <w:rsid w:val="00E245AB"/>
    <w:rsid w:val="00E2764C"/>
    <w:rsid w:val="00E27F2E"/>
    <w:rsid w:val="00E305DF"/>
    <w:rsid w:val="00E41923"/>
    <w:rsid w:val="00E4612B"/>
    <w:rsid w:val="00E50AFE"/>
    <w:rsid w:val="00E61B95"/>
    <w:rsid w:val="00E647AD"/>
    <w:rsid w:val="00E75C92"/>
    <w:rsid w:val="00E771DC"/>
    <w:rsid w:val="00E82861"/>
    <w:rsid w:val="00E8403C"/>
    <w:rsid w:val="00E8772A"/>
    <w:rsid w:val="00E87F39"/>
    <w:rsid w:val="00E90F6B"/>
    <w:rsid w:val="00E92C27"/>
    <w:rsid w:val="00EA0E3D"/>
    <w:rsid w:val="00EB1A73"/>
    <w:rsid w:val="00EC38A7"/>
    <w:rsid w:val="00EE1AA8"/>
    <w:rsid w:val="00EE2A59"/>
    <w:rsid w:val="00F23FEA"/>
    <w:rsid w:val="00F31EDC"/>
    <w:rsid w:val="00F41A74"/>
    <w:rsid w:val="00F462B3"/>
    <w:rsid w:val="00F56205"/>
    <w:rsid w:val="00F5664F"/>
    <w:rsid w:val="00F666C4"/>
    <w:rsid w:val="00F76AFC"/>
    <w:rsid w:val="00F914F7"/>
    <w:rsid w:val="00FA47C0"/>
    <w:rsid w:val="00FB5DD1"/>
    <w:rsid w:val="00FC2B5D"/>
    <w:rsid w:val="00FD1AEC"/>
    <w:rsid w:val="00FE1799"/>
    <w:rsid w:val="00FE5AEE"/>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4D901E5E"/>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9D7C81"/>
    <w:rPr>
      <w:rFonts w:ascii="Geomanist Light" w:hAnsi="Geomanist Light"/>
      <w:lang w:val="es-ES"/>
    </w:rPr>
  </w:style>
  <w:style w:type="paragraph" w:customStyle="1" w:styleId="Appelnotedebasde">
    <w:name w:val="Appel note de bas de..."/>
    <w:basedOn w:val="Normal"/>
    <w:link w:val="Refdenotaalpie"/>
    <w:rsid w:val="00242182"/>
    <w:pPr>
      <w:spacing w:line="240" w:lineRule="exact"/>
    </w:pPr>
    <w:rPr>
      <w:vertAlign w:val="superscript"/>
    </w:rPr>
  </w:style>
  <w:style w:type="paragraph" w:styleId="Sinespaciado">
    <w:name w:val="No Spacing"/>
    <w:aliases w:val="No Indent"/>
    <w:uiPriority w:val="3"/>
    <w:qFormat/>
    <w:rsid w:val="00242182"/>
    <w:pPr>
      <w:spacing w:after="0" w:line="240" w:lineRule="auto"/>
    </w:pPr>
    <w:rPr>
      <w:sz w:val="24"/>
      <w:lang w:val="es-MX"/>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baj">
    <w:name w:val="b_aj"/>
    <w:basedOn w:val="Fuentedeprrafopredeter"/>
    <w:rsid w:val="006C1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36213057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https://nam02.safelinks.protection.outlook.com/?url=https%3A%2F%2Fwww.colombiacompra.gov.co%2Farchivos%2Fcircular%2Fcircular-externa-003-de-2026&amp;data=05%7C02%7Ckelmis.bruges%40colombiacompra.gov.co%7C7128555136e04fa6887d08dee99e1b50%7C7b09041e245149d08cb179d5e3d8c1be%7C0%7C0%7C639205062448374558%7CUnknown%7CTWFpbGZsb3d8eyJFbXB0eU1hcGkiOnRydWUsIlYiOiIwLjAuMDAwMCIsIlAiOiJXaW4zMiIsIkFOIjoiTWFpbCIsIldUIjoyfQ%3D%3D%7C0%7C%7C%7C&amp;sdata=r%2FZhRCHF9UzC0eh%2FV6T2oxgPtj8EHPV2B4oylbUVf%2BA%3D&amp;reserve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orms.office.com/r/pPHyWVs2SZ" TargetMode="External"/><Relationship Id="rId7" Type="http://schemas.openxmlformats.org/officeDocument/2006/relationships/settings" Target="settings.xml"/><Relationship Id="rId12" Type="http://schemas.openxmlformats.org/officeDocument/2006/relationships/hyperlink" Target="mailto:Darcymr.1129@gmail.com" TargetMode="External"/><Relationship Id="rId17" Type="http://schemas.openxmlformats.org/officeDocument/2006/relationships/hyperlink" Target="https://nam02.safelinks.protection.outlook.com/?url=https%3A%2F%2Fwww.colombiacompra.gov.co%2Farchivos%2Fmanual%2Fguia-de-garantias-en-procesos-de-contratacion&amp;data=05%7C02%7Ckelmis.bruges%40colombiacompra.gov.co%7C7128555136e04fa6887d08dee99e1b50%7C7b09041e245149d08cb179d5e3d8c1be%7C0%7C0%7C639205062448313260%7CUnknown%7CTWFpbGZsb3d8eyJFbXB0eU1hcGkiOnRydWUsIlYiOiIwLjAuMDAwMCIsIlAiOiJXaW4zMiIsIkFOIjoiTWFpbCIsIldUIjoyfQ%3D%3D%7C0%7C%7C%7C&amp;sdata=PWB8ysTfGANaKDXK6eWlLOU%2BBqiJe%2BINY2KXAKdmwC4%3D&amp;reserved=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latoria.colombiacompra.gov.co/" TargetMode="External"/><Relationship Id="rId20" Type="http://schemas.openxmlformats.org/officeDocument/2006/relationships/hyperlink" Target="https://nam02.safelinks.protection.outlook.com/?url=https%3A%2F%2Fwww.colombiacompra.gov.co%2Farchivos%2Fboletin%2Fboletin-edicion-n-3-de-2026-radar-de-la-compra-publica&amp;data=05%7C02%7Ckelmis.bruges%40colombiacompra.gov.co%7C7128555136e04fa6887d08dee99e1b50%7C7b09041e245149d08cb179d5e3d8c1be%7C0%7C0%7C639205062448449606%7CUnknown%7CTWFpbGZsb3d8eyJFbXB0eU1hcGkiOnRydWUsIlYiOiIwLjAuMDAwMCIsIlAiOiJXaW4zMiIsIkFOIjoiTWFpbCIsIldUIjoyfQ%3D%3D%7C0%7C%7C%7C&amp;sdata=T3S9FDtEoS67Wx8P%2FeZ4CtytwM37bW%2FCDD1BDi8JhU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peraciones.colombiacompra.gov.co/sites/cce_public/files/cce_documents/cce_guia_liquidacion_procesos.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nam02.safelinks.protection.outlook.com/?url=https%3A%2F%2Fwww.colombiacompra.gov.co%2Farchivos%2Fcircular%2Fcircular-externa-002-de-2026&amp;data=05%7C02%7Ckelmis.bruges%40colombiacompra.gov.co%7C7128555136e04fa6887d08dee99e1b50%7C7b09041e245149d08cb179d5e3d8c1be%7C0%7C0%7C639205062448418483%7CUnknown%7CTWFpbGZsb3d8eyJFbXB0eU1hcGkiOnRydWUsIlYiOiIwLjAuMDAwMCIsIlAiOiJXaW4zMiIsIkFOIjoiTWFpbCIsIldUIjoyfQ%3D%3D%7C0%7C%7C%7C&amp;sdata=Lw88GN50UcFim3kzSl9M8dlsx3kbnb54uQShTOIBvAw%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https://www.colombiacompra.gov.co/sites/cce_public/files/cce_documents/cce_guia_liquidacion_procesos.pdf"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F4705-0541-4DE8-9A7F-D13EEC30FCBC}"/>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A757F4-4992-4B52-B8F9-A14EA611D204}">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7632</Words>
  <Characters>41978</Characters>
  <Application>Microsoft Office Word</Application>
  <DocSecurity>0</DocSecurity>
  <Lines>349</Lines>
  <Paragraphs>99</Paragraphs>
  <ScaleCrop>false</ScaleCrop>
  <Company/>
  <LinksUpToDate>false</LinksUpToDate>
  <CharactersWithSpaces>49511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Kelmis Yimara Bruges Alvarado</cp:lastModifiedBy>
  <cp:revision>2</cp:revision>
  <cp:lastPrinted>2023-01-10T21:18:00Z</cp:lastPrinted>
  <dcterms:created xsi:type="dcterms:W3CDTF">2026-08-20T14:27:00Z</dcterms:created>
  <dcterms:modified xsi:type="dcterms:W3CDTF">2026-08-20T14:27:00Z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