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8E011" w14:textId="77777777" w:rsidR="00256FAC" w:rsidRDefault="00256FAC" w:rsidP="00256FAC">
      <w:pPr>
        <w:jc w:val="both"/>
        <w:rPr>
          <w:rFonts w:ascii="Verdana" w:eastAsia="Calibri" w:hAnsi="Verdana" w:cs="Arial"/>
          <w:b/>
          <w:bCs/>
          <w:lang w:val="es-ES" w:eastAsia="es-ES"/>
        </w:rPr>
      </w:pPr>
      <w:bookmarkStart w:id="0" w:name="_Hlk143780582"/>
      <w:r w:rsidRPr="00256FAC">
        <w:rPr>
          <w:rFonts w:ascii="Verdana" w:eastAsia="Calibri" w:hAnsi="Verdana" w:cs="Arial"/>
          <w:b/>
          <w:bCs/>
          <w:lang w:val="es-ES" w:eastAsia="es-ES"/>
        </w:rPr>
        <w:t xml:space="preserve">LIQUIDACIÓN DEL CONTRATO – Definición – Objetivo </w:t>
      </w:r>
    </w:p>
    <w:p w14:paraId="3D4B8837" w14:textId="77777777" w:rsidR="00256FAC" w:rsidRDefault="00256FAC" w:rsidP="00256FAC">
      <w:pPr>
        <w:spacing w:after="0" w:line="240" w:lineRule="auto"/>
        <w:jc w:val="both"/>
        <w:rPr>
          <w:rFonts w:ascii="Verdana" w:eastAsia="Calibri" w:hAnsi="Verdana" w:cs="Arial"/>
          <w:b/>
          <w:bCs/>
          <w:sz w:val="20"/>
          <w:szCs w:val="20"/>
          <w:lang w:val="es-ES" w:eastAsia="es-ES"/>
        </w:rPr>
      </w:pPr>
      <w:r w:rsidRPr="00256FAC">
        <w:rPr>
          <w:rFonts w:ascii="Verdana" w:eastAsia="Calibri" w:hAnsi="Verdana" w:cs="Arial"/>
          <w:color w:val="000000"/>
          <w:sz w:val="20"/>
          <w:szCs w:val="20"/>
          <w:lang w:val="es-ES_tradnl"/>
        </w:rPr>
        <w:t>La liquidación es una fase del proceso de contratación en que,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p>
    <w:p w14:paraId="19D337B1" w14:textId="77777777" w:rsidR="00256FAC" w:rsidRDefault="00256FAC" w:rsidP="00256FAC">
      <w:pPr>
        <w:spacing w:after="0" w:line="240" w:lineRule="auto"/>
        <w:jc w:val="both"/>
        <w:rPr>
          <w:rFonts w:ascii="Verdana" w:eastAsia="Calibri" w:hAnsi="Verdana" w:cs="Arial"/>
          <w:b/>
          <w:bCs/>
          <w:lang w:val="es-ES" w:eastAsia="es-ES"/>
        </w:rPr>
      </w:pPr>
    </w:p>
    <w:p w14:paraId="234AB095" w14:textId="5838E5C2" w:rsidR="00256FAC" w:rsidRDefault="00256FAC" w:rsidP="00256FAC">
      <w:pPr>
        <w:jc w:val="both"/>
        <w:rPr>
          <w:rFonts w:ascii="Verdana" w:eastAsia="Calibri" w:hAnsi="Verdana" w:cs="Arial"/>
          <w:b/>
          <w:bCs/>
          <w:lang w:val="es-ES" w:eastAsia="es-ES"/>
        </w:rPr>
      </w:pPr>
      <w:r w:rsidRPr="00256FAC">
        <w:rPr>
          <w:rFonts w:ascii="Verdana" w:eastAsia="Calibri" w:hAnsi="Verdana" w:cs="Arial"/>
          <w:b/>
          <w:bCs/>
          <w:lang w:val="es-ES" w:eastAsia="es-ES"/>
        </w:rPr>
        <w:t xml:space="preserve">LIQUIDACIÓN DEL CONTRATO – Normativa </w:t>
      </w:r>
    </w:p>
    <w:p w14:paraId="18A227D9" w14:textId="575EEA4D" w:rsidR="00256FAC" w:rsidRDefault="00256FAC" w:rsidP="00256FAC">
      <w:pPr>
        <w:spacing w:after="0" w:line="240" w:lineRule="auto"/>
        <w:jc w:val="both"/>
        <w:rPr>
          <w:rFonts w:ascii="Verdana" w:eastAsia="Calibri" w:hAnsi="Verdana" w:cs="Arial"/>
          <w:color w:val="000000"/>
          <w:sz w:val="20"/>
          <w:szCs w:val="20"/>
          <w:lang w:val="es-ES_tradnl"/>
        </w:rPr>
      </w:pPr>
      <w:r w:rsidRPr="00256FAC">
        <w:rPr>
          <w:rFonts w:ascii="Verdana" w:eastAsia="Calibri" w:hAnsi="Verdana" w:cs="Arial"/>
          <w:i/>
          <w:iCs/>
          <w:color w:val="000000"/>
          <w:sz w:val="20"/>
          <w:szCs w:val="20"/>
          <w:lang w:val="es-ES_tradnl"/>
        </w:rPr>
        <w:t>Para las entidades sometidas al EGCAP</w:t>
      </w:r>
      <w:r w:rsidRPr="00256FAC">
        <w:rPr>
          <w:rFonts w:ascii="Verdana" w:eastAsia="Calibri" w:hAnsi="Verdana" w:cs="Arial"/>
          <w:color w:val="000000"/>
          <w:sz w:val="20"/>
          <w:szCs w:val="20"/>
          <w:lang w:val="es-ES_tradnl"/>
        </w:rPr>
        <w:t>, las disposiciones legales que regulan la etapa de liquidación de los contratos estatales son el artículo 60 de la Ley 80 de 1993, modificado por el artículo 217 del Decreto Ley 019 de 2012, y el artículo 11 de la Ley 1150 de 2007. El primero de estos artículos se refiere al alcance sustantivo de la liquidación y los contratos en que procede, mientras que el segundo contiene reglas procedimentales para su realización.</w:t>
      </w:r>
    </w:p>
    <w:p w14:paraId="460A2226" w14:textId="77777777" w:rsidR="00256FAC" w:rsidRDefault="00256FAC" w:rsidP="00256FAC">
      <w:pPr>
        <w:spacing w:after="0" w:line="240" w:lineRule="auto"/>
        <w:jc w:val="both"/>
        <w:rPr>
          <w:rFonts w:ascii="Verdana" w:eastAsia="Calibri" w:hAnsi="Verdana" w:cs="Arial"/>
          <w:color w:val="000000"/>
          <w:sz w:val="20"/>
          <w:szCs w:val="20"/>
          <w:lang w:val="es-ES_tradnl"/>
        </w:rPr>
      </w:pPr>
    </w:p>
    <w:p w14:paraId="4E6076A4" w14:textId="77777777" w:rsidR="00256FAC" w:rsidRDefault="00256FAC" w:rsidP="00256FAC">
      <w:pPr>
        <w:spacing w:after="0" w:line="240" w:lineRule="auto"/>
        <w:jc w:val="both"/>
        <w:rPr>
          <w:rFonts w:ascii="Verdana" w:eastAsia="Calibri" w:hAnsi="Verdana" w:cs="Arial"/>
          <w:sz w:val="20"/>
          <w:szCs w:val="20"/>
          <w:lang w:val="es-ES_tradnl" w:eastAsia="es-ES"/>
        </w:rPr>
      </w:pPr>
      <w:r>
        <w:rPr>
          <w:rFonts w:ascii="Verdana" w:eastAsia="Calibri" w:hAnsi="Verdana" w:cs="Arial"/>
          <w:sz w:val="20"/>
          <w:szCs w:val="20"/>
          <w:lang w:val="es-ES_tradnl" w:eastAsia="es-ES"/>
        </w:rPr>
        <w:t xml:space="preserve">[…] </w:t>
      </w:r>
      <w:r w:rsidRPr="00256FAC">
        <w:rPr>
          <w:rFonts w:ascii="Verdana" w:eastAsia="Calibri" w:hAnsi="Verdana" w:cs="Arial"/>
          <w:sz w:val="20"/>
          <w:szCs w:val="20"/>
          <w:lang w:val="es-ES_tradnl" w:eastAsia="es-ES"/>
        </w:rPr>
        <w:t>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 así como la probabilidad de que puedan surgir diferencias durante la ejecución del contrato; sin perjuicio de que, como se indicó, todos los contratos estatales de tracto sucesivo o aquellos cuya ejecución se prolongue en el tiempo siempre deban liquidarse, convirtiéndose en estos contratos en una cláusula de la naturaleza, conforme a la clasificación prevista en el Código Civil.</w:t>
      </w:r>
    </w:p>
    <w:p w14:paraId="2169F742" w14:textId="77777777" w:rsidR="00256FAC" w:rsidRDefault="00256FAC" w:rsidP="00256FAC">
      <w:pPr>
        <w:spacing w:after="0" w:line="240" w:lineRule="auto"/>
        <w:jc w:val="both"/>
        <w:rPr>
          <w:rFonts w:ascii="Verdana" w:eastAsia="Calibri" w:hAnsi="Verdana" w:cs="Arial"/>
          <w:b/>
          <w:bCs/>
          <w:lang w:val="es-ES" w:eastAsia="es-ES"/>
        </w:rPr>
      </w:pPr>
    </w:p>
    <w:p w14:paraId="74E261EE" w14:textId="77777777" w:rsidR="00695C6D" w:rsidRDefault="00256FAC" w:rsidP="00256FAC">
      <w:pPr>
        <w:jc w:val="both"/>
        <w:rPr>
          <w:rFonts w:ascii="Verdana" w:eastAsia="Calibri" w:hAnsi="Verdana" w:cs="Arial"/>
          <w:sz w:val="20"/>
          <w:szCs w:val="20"/>
          <w:lang w:val="es-ES_tradnl" w:eastAsia="es-ES"/>
        </w:rPr>
      </w:pPr>
      <w:r w:rsidRPr="00256FAC">
        <w:rPr>
          <w:rFonts w:ascii="Verdana" w:eastAsia="Calibri" w:hAnsi="Verdana" w:cs="Arial"/>
          <w:b/>
          <w:bCs/>
          <w:lang w:val="es-ES" w:eastAsia="es-ES"/>
        </w:rPr>
        <w:t xml:space="preserve">LIQUIDACIÓN DEL CONTRATO – Tipos – Bilateral – Unilateral – Judicial </w:t>
      </w:r>
    </w:p>
    <w:p w14:paraId="54CA6EB0" w14:textId="77777777" w:rsidR="00695C6D" w:rsidRDefault="00695C6D" w:rsidP="00695C6D">
      <w:pPr>
        <w:tabs>
          <w:tab w:val="left" w:pos="709"/>
        </w:tabs>
        <w:spacing w:after="0" w:line="240" w:lineRule="auto"/>
        <w:jc w:val="both"/>
        <w:rPr>
          <w:rFonts w:ascii="Verdana" w:eastAsia="Times New Roman" w:hAnsi="Verdana" w:cs="Arial"/>
          <w:color w:val="000000"/>
          <w:sz w:val="20"/>
          <w:szCs w:val="20"/>
          <w:bdr w:val="none" w:sz="0" w:space="0" w:color="auto" w:frame="1"/>
          <w:shd w:val="clear" w:color="auto" w:fill="FFFFFF"/>
          <w:lang w:val="es-ES" w:eastAsia="es-ES"/>
        </w:rPr>
      </w:pPr>
      <w:r w:rsidRPr="00695C6D">
        <w:rPr>
          <w:rFonts w:ascii="Verdana" w:eastAsia="Times New Roman" w:hAnsi="Verdana" w:cs="Arial"/>
          <w:color w:val="000000"/>
          <w:sz w:val="20"/>
          <w:szCs w:val="20"/>
          <w:bdr w:val="none" w:sz="0" w:space="0" w:color="auto" w:frame="1"/>
          <w:shd w:val="clear" w:color="auto" w:fill="FFFFFF"/>
          <w:lang w:val="es-ES" w:eastAsia="es-ES"/>
        </w:rPr>
        <w:t xml:space="preserve">de acuerdo con el artículo 11 de la Ley 1150 de 2007, existen tres (3) tipos de liquidación: i) bilateral, </w:t>
      </w:r>
      <w:proofErr w:type="spellStart"/>
      <w:r w:rsidRPr="00695C6D">
        <w:rPr>
          <w:rFonts w:ascii="Verdana" w:eastAsia="Times New Roman" w:hAnsi="Verdana" w:cs="Arial"/>
          <w:color w:val="000000"/>
          <w:sz w:val="20"/>
          <w:szCs w:val="20"/>
          <w:bdr w:val="none" w:sz="0" w:space="0" w:color="auto" w:frame="1"/>
          <w:shd w:val="clear" w:color="auto" w:fill="FFFFFF"/>
          <w:lang w:val="es-ES" w:eastAsia="es-ES"/>
        </w:rPr>
        <w:t>ii</w:t>
      </w:r>
      <w:proofErr w:type="spellEnd"/>
      <w:r w:rsidRPr="00695C6D">
        <w:rPr>
          <w:rFonts w:ascii="Verdana" w:eastAsia="Times New Roman" w:hAnsi="Verdana" w:cs="Arial"/>
          <w:color w:val="000000"/>
          <w:sz w:val="20"/>
          <w:szCs w:val="20"/>
          <w:bdr w:val="none" w:sz="0" w:space="0" w:color="auto" w:frame="1"/>
          <w:shd w:val="clear" w:color="auto" w:fill="FFFFFF"/>
          <w:lang w:val="es-ES" w:eastAsia="es-ES"/>
        </w:rPr>
        <w:t xml:space="preserve">) unilateral y </w:t>
      </w:r>
      <w:proofErr w:type="spellStart"/>
      <w:r w:rsidRPr="00695C6D">
        <w:rPr>
          <w:rFonts w:ascii="Verdana" w:eastAsia="Times New Roman" w:hAnsi="Verdana" w:cs="Arial"/>
          <w:color w:val="000000"/>
          <w:sz w:val="20"/>
          <w:szCs w:val="20"/>
          <w:bdr w:val="none" w:sz="0" w:space="0" w:color="auto" w:frame="1"/>
          <w:shd w:val="clear" w:color="auto" w:fill="FFFFFF"/>
          <w:lang w:val="es-ES" w:eastAsia="es-ES"/>
        </w:rPr>
        <w:t>iii</w:t>
      </w:r>
      <w:proofErr w:type="spellEnd"/>
      <w:r w:rsidRPr="00695C6D">
        <w:rPr>
          <w:rFonts w:ascii="Verdana" w:eastAsia="Times New Roman" w:hAnsi="Verdana" w:cs="Arial"/>
          <w:color w:val="000000"/>
          <w:sz w:val="20"/>
          <w:szCs w:val="20"/>
          <w:bdr w:val="none" w:sz="0" w:space="0" w:color="auto" w:frame="1"/>
          <w:shd w:val="clear" w:color="auto" w:fill="FFFFFF"/>
          <w:lang w:val="es-ES" w:eastAsia="es-ES"/>
        </w:rPr>
        <w:t>)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dos (2) años contados a partir de los dos meses establecidos en la Ley para realizar la liquidación unilateral.</w:t>
      </w:r>
    </w:p>
    <w:p w14:paraId="65D276C3" w14:textId="77777777" w:rsidR="00695C6D" w:rsidRDefault="00695C6D" w:rsidP="00695C6D">
      <w:pPr>
        <w:tabs>
          <w:tab w:val="left" w:pos="709"/>
        </w:tabs>
        <w:spacing w:after="0" w:line="240" w:lineRule="auto"/>
        <w:jc w:val="both"/>
        <w:rPr>
          <w:rFonts w:ascii="Verdana" w:eastAsia="Times New Roman" w:hAnsi="Verdana" w:cs="Arial"/>
          <w:color w:val="000000"/>
          <w:sz w:val="20"/>
          <w:szCs w:val="20"/>
          <w:bdr w:val="none" w:sz="0" w:space="0" w:color="auto" w:frame="1"/>
          <w:shd w:val="clear" w:color="auto" w:fill="FFFFFF"/>
          <w:lang w:val="es-ES" w:eastAsia="es-ES"/>
        </w:rPr>
      </w:pPr>
    </w:p>
    <w:p w14:paraId="0F195B69" w14:textId="7505426E" w:rsidR="00695C6D" w:rsidRDefault="00695C6D" w:rsidP="00695C6D">
      <w:pPr>
        <w:tabs>
          <w:tab w:val="left" w:pos="709"/>
        </w:tabs>
        <w:spacing w:after="0" w:line="240" w:lineRule="auto"/>
        <w:jc w:val="both"/>
        <w:rPr>
          <w:rFonts w:ascii="Verdana" w:eastAsia="Times New Roman" w:hAnsi="Verdana" w:cs="Arial"/>
          <w:color w:val="000000" w:themeColor="text1"/>
          <w:sz w:val="20"/>
          <w:szCs w:val="20"/>
          <w:lang w:eastAsia="es-CO"/>
        </w:rPr>
      </w:pPr>
      <w:r w:rsidRPr="00695C6D">
        <w:rPr>
          <w:rFonts w:ascii="Verdana" w:eastAsia="Times New Roman" w:hAnsi="Verdana" w:cs="Arial"/>
          <w:color w:val="000000" w:themeColor="text1"/>
          <w:sz w:val="20"/>
          <w:szCs w:val="20"/>
          <w:lang w:eastAsia="es-CO"/>
        </w:rPr>
        <w:t xml:space="preserve">Así las cosas, posterior a los términos referenciados en el párrafo precedente sin que se hubiese liquidado el contrato, ésta no podrá adelantarse dado que los plazos referidos </w:t>
      </w:r>
      <w:r w:rsidRPr="00695C6D">
        <w:rPr>
          <w:rFonts w:ascii="Verdana" w:eastAsia="Times New Roman" w:hAnsi="Verdana" w:cs="Arial"/>
          <w:color w:val="000000" w:themeColor="text1"/>
          <w:sz w:val="20"/>
          <w:szCs w:val="20"/>
          <w:lang w:eastAsia="es-CO"/>
        </w:rPr>
        <w:lastRenderedPageBreak/>
        <w:t xml:space="preserve">son perentorios. Esto significa que con su vencimiento fenece la oportunidad de efectuarla ante la pérdida de competencia de la entidad para realizar el balance final del acuerdo de voluntades pactado. </w:t>
      </w:r>
    </w:p>
    <w:p w14:paraId="11B645F3" w14:textId="77777777" w:rsidR="00695C6D" w:rsidRDefault="00695C6D" w:rsidP="00695C6D">
      <w:pPr>
        <w:tabs>
          <w:tab w:val="left" w:pos="709"/>
        </w:tabs>
        <w:spacing w:after="0" w:line="240" w:lineRule="auto"/>
        <w:jc w:val="both"/>
        <w:rPr>
          <w:rFonts w:ascii="Verdana" w:eastAsia="Times New Roman" w:hAnsi="Verdana" w:cs="Arial"/>
          <w:color w:val="000000" w:themeColor="text1"/>
          <w:sz w:val="20"/>
          <w:szCs w:val="20"/>
          <w:lang w:eastAsia="es-CO"/>
        </w:rPr>
      </w:pPr>
    </w:p>
    <w:p w14:paraId="3CC677FB" w14:textId="0931F257" w:rsidR="00695C6D" w:rsidRDefault="00695C6D" w:rsidP="00695C6D">
      <w:pPr>
        <w:tabs>
          <w:tab w:val="left" w:pos="709"/>
        </w:tabs>
        <w:spacing w:after="0" w:line="240" w:lineRule="auto"/>
        <w:jc w:val="both"/>
        <w:rPr>
          <w:rFonts w:ascii="Verdana" w:eastAsia="Times New Roman" w:hAnsi="Verdana" w:cs="Arial"/>
          <w:color w:val="000000" w:themeColor="text1"/>
          <w:sz w:val="20"/>
          <w:szCs w:val="20"/>
          <w:lang w:eastAsia="es-CO"/>
        </w:rPr>
      </w:pPr>
      <w:r>
        <w:rPr>
          <w:rFonts w:ascii="Verdana" w:eastAsia="Times New Roman" w:hAnsi="Verdana" w:cs="Arial"/>
          <w:color w:val="000000" w:themeColor="text1"/>
          <w:sz w:val="20"/>
          <w:szCs w:val="20"/>
          <w:lang w:eastAsia="es-CO"/>
        </w:rPr>
        <w:t xml:space="preserve">[…] </w:t>
      </w:r>
    </w:p>
    <w:p w14:paraId="6BB1BE4A" w14:textId="77777777" w:rsidR="00695C6D" w:rsidRDefault="00695C6D" w:rsidP="00695C6D">
      <w:pPr>
        <w:tabs>
          <w:tab w:val="left" w:pos="709"/>
        </w:tabs>
        <w:spacing w:after="0" w:line="240" w:lineRule="auto"/>
        <w:jc w:val="both"/>
        <w:rPr>
          <w:rFonts w:ascii="Verdana" w:eastAsia="Times New Roman" w:hAnsi="Verdana" w:cs="Arial"/>
          <w:color w:val="000000" w:themeColor="text1"/>
          <w:sz w:val="20"/>
          <w:szCs w:val="20"/>
          <w:lang w:eastAsia="es-CO"/>
        </w:rPr>
      </w:pPr>
    </w:p>
    <w:p w14:paraId="0E179D4D" w14:textId="3C5C65BA" w:rsidR="00695C6D" w:rsidRPr="00695C6D" w:rsidRDefault="00695C6D" w:rsidP="00695C6D">
      <w:pPr>
        <w:tabs>
          <w:tab w:val="left" w:pos="709"/>
        </w:tabs>
        <w:spacing w:after="0" w:line="240" w:lineRule="auto"/>
        <w:jc w:val="both"/>
        <w:rPr>
          <w:rFonts w:ascii="Verdana" w:eastAsia="Times New Roman" w:hAnsi="Verdana" w:cs="Arial"/>
          <w:color w:val="000000"/>
          <w:sz w:val="20"/>
          <w:szCs w:val="20"/>
          <w:bdr w:val="none" w:sz="0" w:space="0" w:color="auto" w:frame="1"/>
          <w:shd w:val="clear" w:color="auto" w:fill="FFFFFF"/>
          <w:lang w:val="es-ES" w:eastAsia="es-ES"/>
        </w:rPr>
      </w:pPr>
      <w:r w:rsidRPr="00695C6D">
        <w:rPr>
          <w:rFonts w:ascii="Verdana" w:eastAsia="Times New Roman" w:hAnsi="Verdana" w:cs="Arial"/>
          <w:color w:val="000000"/>
          <w:sz w:val="20"/>
          <w:szCs w:val="20"/>
          <w:bdr w:val="none" w:sz="0" w:space="0" w:color="auto" w:frame="1"/>
          <w:shd w:val="clear" w:color="auto" w:fill="FFFFFF"/>
          <w:lang w:val="es-ES" w:eastAsia="es-ES"/>
        </w:rPr>
        <w:t>Cualquier liquidación efectuada después de la caducidad del medio de control implica la pérdida de competencia temporal, por lo que está viciada de nulidad. En este caso, el plazo correspondiente se rige por el apartado v del literal j) del numeral 2 del artículo 164 del CPACA, de manera que en los contratos que requieran de liquidación y esta no se logre por mutuo acuerdo o no se practique por la administración unilateralmente, la caducidad se presenta dentro de los dos (2) años siguientes al vencimiento de ambos.</w:t>
      </w:r>
    </w:p>
    <w:p w14:paraId="5AD47806" w14:textId="77777777" w:rsidR="00695C6D" w:rsidRDefault="00695C6D" w:rsidP="00695C6D">
      <w:pPr>
        <w:spacing w:after="0" w:line="276" w:lineRule="auto"/>
        <w:ind w:firstLine="708"/>
        <w:jc w:val="both"/>
        <w:rPr>
          <w:rFonts w:ascii="Verdana" w:eastAsia="Times New Roman" w:hAnsi="Verdana" w:cs="Arial"/>
          <w:color w:val="000000" w:themeColor="text1"/>
          <w:lang w:eastAsia="es-CO"/>
        </w:rPr>
      </w:pPr>
    </w:p>
    <w:p w14:paraId="276CED3E" w14:textId="2BD3E784" w:rsidR="00256FAC" w:rsidRDefault="00256FAC" w:rsidP="005521F9">
      <w:pPr>
        <w:jc w:val="both"/>
        <w:rPr>
          <w:rFonts w:ascii="Verdana" w:eastAsia="Calibri" w:hAnsi="Verdana" w:cs="Arial"/>
          <w:b/>
          <w:bCs/>
          <w:lang w:val="es-ES" w:eastAsia="es-ES"/>
        </w:rPr>
      </w:pPr>
      <w:r w:rsidRPr="00256FAC">
        <w:rPr>
          <w:rFonts w:ascii="Verdana" w:eastAsia="Calibri" w:hAnsi="Verdana" w:cs="Arial"/>
          <w:b/>
          <w:bCs/>
          <w:lang w:val="es-ES" w:eastAsia="es-ES"/>
        </w:rPr>
        <w:t xml:space="preserve">EJECUCIÓN DEL CONTRATO ‒ Contrato estatal – Cierre del expediente contractual – Acto de trámite – Constancia </w:t>
      </w:r>
    </w:p>
    <w:p w14:paraId="347B246F" w14:textId="0A75C206" w:rsidR="005521F9" w:rsidRDefault="005521F9" w:rsidP="005521F9">
      <w:pPr>
        <w:spacing w:after="0" w:line="240" w:lineRule="auto"/>
        <w:jc w:val="both"/>
        <w:rPr>
          <w:rFonts w:ascii="Verdana" w:hAnsi="Verdana" w:cs="Arial"/>
          <w:sz w:val="20"/>
          <w:szCs w:val="20"/>
        </w:rPr>
      </w:pPr>
      <w:r>
        <w:rPr>
          <w:rFonts w:ascii="Verdana" w:eastAsia="Calibri" w:hAnsi="Verdana" w:cs="Arial"/>
          <w:color w:val="000000"/>
          <w:sz w:val="20"/>
          <w:szCs w:val="20"/>
          <w:lang w:val="es-ES" w:eastAsia="es-ES"/>
        </w:rPr>
        <w:t xml:space="preserve">[…] </w:t>
      </w:r>
      <w:r w:rsidRPr="005521F9">
        <w:rPr>
          <w:rFonts w:ascii="Verdana" w:eastAsia="Calibri" w:hAnsi="Verdana" w:cs="Arial"/>
          <w:color w:val="000000"/>
          <w:sz w:val="20"/>
          <w:szCs w:val="20"/>
          <w:lang w:val="es-ES" w:eastAsia="es-ES"/>
        </w:rPr>
        <w:t xml:space="preserve">el artículo 2.2.1.1.2.4.3 del Decreto 1082 de 2015 establece la obligación constancia del cierre del proceso de contratación. Éste corresponde a un </w:t>
      </w:r>
      <w:r w:rsidRPr="005521F9">
        <w:rPr>
          <w:rFonts w:ascii="Verdana" w:hAnsi="Verdana" w:cs="Arial"/>
          <w:i/>
          <w:iCs/>
          <w:sz w:val="20"/>
          <w:szCs w:val="20"/>
        </w:rPr>
        <w:t>acto de trámite</w:t>
      </w:r>
      <w:r w:rsidRPr="005521F9">
        <w:rPr>
          <w:rFonts w:ascii="Verdana" w:hAnsi="Verdana" w:cs="Arial"/>
          <w:sz w:val="20"/>
          <w:szCs w:val="20"/>
        </w:rPr>
        <w:t xml:space="preserv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 Al negar una demanda de nulidad interpuesta contra dicha norma, la Sección Tercera del Consejo de Estado resaltó que “una norma como la demandada, que impone el deber de dejar constancia del cierre de un expediente contractual, constituye una disposición de correcta y debida organización y administración de una carpeta de la Entidad pública en la esfera </w:t>
      </w:r>
      <w:proofErr w:type="spellStart"/>
      <w:r w:rsidRPr="005521F9">
        <w:rPr>
          <w:rFonts w:ascii="Verdana" w:hAnsi="Verdana" w:cs="Arial"/>
          <w:sz w:val="20"/>
          <w:szCs w:val="20"/>
        </w:rPr>
        <w:t>intraorgánica</w:t>
      </w:r>
      <w:proofErr w:type="spellEnd"/>
      <w:r w:rsidRPr="005521F9">
        <w:rPr>
          <w:rFonts w:ascii="Verdana" w:hAnsi="Verdana" w:cs="Arial"/>
          <w:sz w:val="20"/>
          <w:szCs w:val="20"/>
        </w:rPr>
        <w:t xml:space="preserve"> –pues opera al interior de la Administración, sin imponer obligaciones o cargas a particulares o contratistas–”. </w:t>
      </w:r>
    </w:p>
    <w:p w14:paraId="5A956D85" w14:textId="77777777" w:rsidR="005521F9" w:rsidRDefault="005521F9" w:rsidP="005521F9">
      <w:pPr>
        <w:spacing w:after="0" w:line="240" w:lineRule="auto"/>
        <w:jc w:val="both"/>
        <w:rPr>
          <w:rFonts w:ascii="Verdana" w:hAnsi="Verdana" w:cs="Arial"/>
          <w:sz w:val="20"/>
          <w:szCs w:val="20"/>
        </w:rPr>
      </w:pPr>
    </w:p>
    <w:p w14:paraId="79CA83FC" w14:textId="77777777" w:rsidR="00256FAC" w:rsidRDefault="00256FAC" w:rsidP="00256FAC">
      <w:pPr>
        <w:jc w:val="both"/>
        <w:rPr>
          <w:rFonts w:ascii="Verdana" w:eastAsia="Calibri" w:hAnsi="Verdana" w:cs="Arial"/>
          <w:b/>
          <w:bCs/>
          <w:lang w:val="es-ES" w:eastAsia="es-ES"/>
        </w:rPr>
      </w:pPr>
      <w:r w:rsidRPr="00256FAC">
        <w:rPr>
          <w:rFonts w:ascii="Verdana" w:eastAsia="Calibri" w:hAnsi="Verdana" w:cs="Arial"/>
          <w:b/>
          <w:bCs/>
          <w:lang w:val="es-ES" w:eastAsia="es-ES"/>
        </w:rPr>
        <w:t xml:space="preserve">CIERRE DEL EXPEDIENTE CONTRACTUAL – Requisitos – Procedencia </w:t>
      </w:r>
    </w:p>
    <w:p w14:paraId="6847F877" w14:textId="77777777" w:rsidR="005521F9" w:rsidRPr="005521F9" w:rsidRDefault="005521F9" w:rsidP="000B6BDE">
      <w:pPr>
        <w:spacing w:after="0" w:line="240" w:lineRule="auto"/>
        <w:jc w:val="both"/>
        <w:rPr>
          <w:rFonts w:ascii="Verdana" w:hAnsi="Verdana" w:cs="Arial"/>
          <w:sz w:val="20"/>
          <w:szCs w:val="20"/>
        </w:rPr>
      </w:pPr>
      <w:r w:rsidRPr="005521F9">
        <w:rPr>
          <w:rFonts w:ascii="Verdana" w:hAnsi="Verdana" w:cs="Arial"/>
          <w:sz w:val="20"/>
          <w:szCs w:val="20"/>
        </w:rPr>
        <w:t>Es cierto que la disposición se refiere genéricamente al “debe dejar constancia del cierre del expediente del Proceso de Contratación Proceso de Contratación”. Sin embargo, también lo es que, según las definiciones contenidas en el artículo 2.2.1.1.1.3.1 del Decreto 1082 de 2015, el Proceso de Contratación es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el enunciado tampoco hace referencia a las modalidades de selección de contratistas en que resulta aplicable. Incluso, se menciona la fase de planeación contractual, etapa relevante en todas las modalidades de selección. Del ámbito de aplicación del artículo referido tampoco es posible concluir que el deber de cerrar el expediente se circunscriba a alguna modalidad o tipología contractual concreta.</w:t>
      </w:r>
    </w:p>
    <w:p w14:paraId="0541EF23" w14:textId="77777777" w:rsidR="000B6BDE" w:rsidRDefault="000B6BDE" w:rsidP="000B6BDE">
      <w:pPr>
        <w:spacing w:after="0" w:line="240" w:lineRule="auto"/>
        <w:jc w:val="both"/>
        <w:rPr>
          <w:rFonts w:ascii="Verdana" w:hAnsi="Verdana" w:cs="Arial"/>
          <w:sz w:val="20"/>
          <w:szCs w:val="20"/>
        </w:rPr>
      </w:pPr>
    </w:p>
    <w:p w14:paraId="2C13EE42" w14:textId="001A1FC8" w:rsidR="005521F9" w:rsidRPr="005521F9" w:rsidRDefault="005521F9" w:rsidP="000B6BDE">
      <w:pPr>
        <w:spacing w:after="0" w:line="240" w:lineRule="auto"/>
        <w:jc w:val="both"/>
        <w:rPr>
          <w:rFonts w:ascii="Verdana" w:hAnsi="Verdana" w:cs="Arial"/>
          <w:sz w:val="20"/>
          <w:szCs w:val="20"/>
        </w:rPr>
      </w:pPr>
      <w:r w:rsidRPr="005521F9">
        <w:rPr>
          <w:rFonts w:ascii="Verdana" w:hAnsi="Verdana" w:cs="Arial"/>
          <w:sz w:val="20"/>
          <w:szCs w:val="20"/>
        </w:rPr>
        <w:t>En consecuencia, lo que resulta relevante para determinar si a la entidad le asiste o no el deber de hacer el cierre del expediente contractual, de acuerdo con la norma citada, consiste en determinar si se exigieron o no garantías de calidad, estabilidad o mantenimiento, o si la entidad estableció condiciones de disposición final o recuperación de las obras o bienes objeto del contrato. De no ser así, no es obligatorio que la entidad haga un cierre del expediente contractual.</w:t>
      </w:r>
    </w:p>
    <w:p w14:paraId="388376F1" w14:textId="77777777" w:rsidR="000B6BDE" w:rsidRDefault="000B6BDE" w:rsidP="000B6BDE">
      <w:pPr>
        <w:spacing w:after="0" w:line="240" w:lineRule="auto"/>
        <w:jc w:val="both"/>
        <w:rPr>
          <w:rFonts w:ascii="Verdana" w:hAnsi="Verdana" w:cs="Arial"/>
          <w:sz w:val="20"/>
          <w:szCs w:val="20"/>
        </w:rPr>
      </w:pPr>
    </w:p>
    <w:p w14:paraId="13A82B94" w14:textId="4D7FBD06" w:rsidR="005521F9" w:rsidRPr="005521F9" w:rsidRDefault="005521F9" w:rsidP="000B6BDE">
      <w:pPr>
        <w:spacing w:after="0" w:line="240" w:lineRule="auto"/>
        <w:jc w:val="both"/>
        <w:rPr>
          <w:rFonts w:ascii="Verdana" w:hAnsi="Verdana" w:cs="Arial"/>
          <w:sz w:val="20"/>
          <w:szCs w:val="20"/>
        </w:rPr>
      </w:pPr>
      <w:r w:rsidRPr="005521F9">
        <w:rPr>
          <w:rFonts w:ascii="Verdana" w:hAnsi="Verdana" w:cs="Arial"/>
          <w:sz w:val="20"/>
          <w:szCs w:val="20"/>
        </w:rPr>
        <w:t xml:space="preserve">La norma, como se dijo previamente, establece que el cierre del expediente debe llevarse a cabo únicamente en dos eventos: i) cuando la administración establece condiciones de disposición final o recuperación ambiental de las obras o bienes; o </w:t>
      </w:r>
      <w:proofErr w:type="spellStart"/>
      <w:r w:rsidRPr="005521F9">
        <w:rPr>
          <w:rFonts w:ascii="Verdana" w:hAnsi="Verdana" w:cs="Arial"/>
          <w:sz w:val="20"/>
          <w:szCs w:val="20"/>
        </w:rPr>
        <w:t>ii</w:t>
      </w:r>
      <w:proofErr w:type="spellEnd"/>
      <w:r w:rsidRPr="005521F9">
        <w:rPr>
          <w:rFonts w:ascii="Verdana" w:hAnsi="Verdana" w:cs="Arial"/>
          <w:sz w:val="20"/>
          <w:szCs w:val="20"/>
        </w:rPr>
        <w:t>) una vez vencidos los términos de las garantías de calidad, estabilidad y mantenimiento. En consecuencia, resulta irrelevante que el contrato tenga garantías diferentes a las previstas en el artículo 2.2.1.1.2.4.3 del Decreto 1082 de 2015, así las mismas se encuentren vigentes, pues, se insiste, la entidad únicamente deberá hacer el cierre del expediente cuando se vencen los términos de las garantías referidas en el mencionado artículo 2.2.1.1.2.4.3.</w:t>
      </w:r>
    </w:p>
    <w:p w14:paraId="4629A8E9" w14:textId="77777777" w:rsidR="000B6BDE" w:rsidRDefault="000B6BDE" w:rsidP="000B6BDE">
      <w:pPr>
        <w:spacing w:after="0" w:line="240" w:lineRule="auto"/>
        <w:jc w:val="both"/>
        <w:rPr>
          <w:rFonts w:ascii="Verdana" w:hAnsi="Verdana" w:cs="Arial"/>
          <w:sz w:val="20"/>
          <w:szCs w:val="20"/>
        </w:rPr>
      </w:pPr>
    </w:p>
    <w:p w14:paraId="2EF9D109" w14:textId="77777777" w:rsidR="000B6BDE" w:rsidRDefault="000B6BDE" w:rsidP="000B6BDE">
      <w:pPr>
        <w:spacing w:after="0" w:line="240" w:lineRule="auto"/>
        <w:jc w:val="both"/>
        <w:rPr>
          <w:rFonts w:ascii="Verdana" w:hAnsi="Verdana" w:cs="Arial"/>
          <w:sz w:val="20"/>
          <w:szCs w:val="20"/>
        </w:rPr>
      </w:pPr>
      <w:r>
        <w:rPr>
          <w:rFonts w:ascii="Verdana" w:hAnsi="Verdana" w:cs="Arial"/>
          <w:sz w:val="20"/>
          <w:szCs w:val="20"/>
        </w:rPr>
        <w:t xml:space="preserve">[…] </w:t>
      </w:r>
      <w:r w:rsidR="005521F9" w:rsidRPr="005521F9">
        <w:rPr>
          <w:rFonts w:ascii="Verdana" w:hAnsi="Verdana" w:cs="Arial"/>
          <w:sz w:val="20"/>
          <w:szCs w:val="20"/>
        </w:rPr>
        <w:t>si el contrato no incluye ninguna de las garantías referidas en el artículo 2.2.1.1.2.4.3 del Decreto 1082 de 2015, o no se establecieron condiciones de disposición final o recuperación ambiental de las obras o bienes, la entidad no tiene la obligación de dejar constancia del cierre del expediente contractual. En armonía con lo anterior, si el contrato incluye varias garantías, el deber solo surgirá ante el vencimiento de las que se refiere el artículo 2.2.1.1.2.4.3, con independencia del término de vigencia de las demás. En ese sentido, vencidas las garantías de calidad, estabilidad y mantenimiento, deberá realizarse el cierre del expediente, aunque sigan vigentes otras garantías como, por ejemplo, la de pago de salarios, prestaciones sociales legales e indemnizaciones laborales.</w:t>
      </w:r>
    </w:p>
    <w:p w14:paraId="4AE487DA" w14:textId="77777777" w:rsidR="000B6BDE" w:rsidRDefault="000B6BDE" w:rsidP="000B6BDE">
      <w:pPr>
        <w:spacing w:after="0" w:line="240" w:lineRule="auto"/>
        <w:jc w:val="both"/>
        <w:rPr>
          <w:rFonts w:ascii="Verdana" w:hAnsi="Verdana" w:cs="Arial"/>
          <w:sz w:val="20"/>
          <w:szCs w:val="20"/>
        </w:rPr>
      </w:pPr>
    </w:p>
    <w:p w14:paraId="018DB171" w14:textId="77777777" w:rsidR="000B6BDE" w:rsidRDefault="00256FAC" w:rsidP="00256FAC">
      <w:pPr>
        <w:jc w:val="both"/>
        <w:rPr>
          <w:rFonts w:ascii="Verdana" w:eastAsia="Calibri" w:hAnsi="Verdana" w:cs="Arial"/>
          <w:b/>
          <w:bCs/>
          <w:lang w:val="es-ES" w:eastAsia="es-ES"/>
        </w:rPr>
      </w:pPr>
      <w:r w:rsidRPr="00256FAC">
        <w:rPr>
          <w:rFonts w:ascii="Verdana" w:eastAsia="Calibri" w:hAnsi="Verdana" w:cs="Arial"/>
          <w:b/>
          <w:bCs/>
          <w:lang w:val="es-ES" w:eastAsia="es-ES"/>
        </w:rPr>
        <w:t xml:space="preserve">CIERRE DEL EXPEDIENTE CONTRACTUAL – Obligatoriedad – Liquidación – Garantías – Buena práctica contractual              </w:t>
      </w:r>
    </w:p>
    <w:p w14:paraId="07FAAA54" w14:textId="77777777" w:rsidR="000B6BDE" w:rsidRDefault="000B6BDE" w:rsidP="000B6BDE">
      <w:pPr>
        <w:spacing w:after="0" w:line="240" w:lineRule="auto"/>
        <w:jc w:val="both"/>
        <w:rPr>
          <w:rFonts w:ascii="Verdana" w:hAnsi="Verdana" w:cs="Arial"/>
          <w:sz w:val="20"/>
          <w:szCs w:val="20"/>
        </w:rPr>
      </w:pPr>
      <w:r w:rsidRPr="005521F9">
        <w:rPr>
          <w:rFonts w:ascii="Verdana" w:hAnsi="Verdana" w:cs="Arial"/>
          <w:sz w:val="20"/>
          <w:szCs w:val="20"/>
        </w:rPr>
        <w:t>De otra parte, en el referido concepto de unificación también se aclaró que “no existe norma que prohíba que la entidad haga el cierre del expediente contractual en aquellos eventos en los que no esté obligada”. En ese sentido, además de dar cuenta de una correcta y debida organización y administración, puede considerarse útil para dejar constancia del vencimiento de las garantías del contrato y la condición de los bienes y obras desde la perspectiva ambiental, o del punto final de la actuación contractual, dependiendo esto último de si el contrato fue liquidado o no en el momento de dejar la constancia de cierre del expediente. En este sentido, la constancia del cierre del expediente, también es posible realizarla en eventos distintos a los establecidos en el artículo 2.2.1.1.2.4.3 del Decreto 1082 de 2015, pese a que no sea obligatoria.</w:t>
      </w:r>
    </w:p>
    <w:p w14:paraId="6097BDC4" w14:textId="77777777" w:rsidR="000B6BDE" w:rsidRDefault="000B6BDE" w:rsidP="000B6BDE">
      <w:pPr>
        <w:spacing w:after="0" w:line="240" w:lineRule="auto"/>
        <w:jc w:val="both"/>
        <w:rPr>
          <w:rFonts w:ascii="Verdana" w:hAnsi="Verdana" w:cs="Arial"/>
          <w:sz w:val="20"/>
          <w:szCs w:val="20"/>
        </w:rPr>
      </w:pPr>
    </w:p>
    <w:p w14:paraId="6C954666" w14:textId="788AEB5C" w:rsidR="000B6BDE" w:rsidRDefault="000B6BDE" w:rsidP="000B6BDE">
      <w:pPr>
        <w:spacing w:after="0" w:line="240" w:lineRule="auto"/>
        <w:jc w:val="both"/>
        <w:rPr>
          <w:rFonts w:ascii="Verdana" w:hAnsi="Verdana" w:cs="Times New Roman"/>
          <w:sz w:val="20"/>
          <w:szCs w:val="20"/>
          <w:lang w:eastAsia="es-CO"/>
        </w:rPr>
      </w:pPr>
      <w:r w:rsidRPr="005521F9">
        <w:rPr>
          <w:rFonts w:ascii="Verdana" w:hAnsi="Verdana" w:cs="Arial"/>
          <w:sz w:val="20"/>
          <w:szCs w:val="20"/>
        </w:rPr>
        <w:t>En el Concepto CU-028 de 2020, esta Agencia también se manifestó respecto de la obligación de realizar el cierre del expediente contractual, en relación con el estado del contrato en cuanto a su liquidación. Sobre el particular se determinó, de acuerdo con los Conceptos de 28 de junio de 2016 y de 8 de marzo de 2017</w:t>
      </w:r>
      <w:r w:rsidRPr="005521F9">
        <w:rPr>
          <w:rFonts w:ascii="Verdana" w:hAnsi="Verdana" w:cs="Times New Roman"/>
          <w:sz w:val="20"/>
          <w:szCs w:val="20"/>
          <w:lang w:eastAsia="es-CO"/>
        </w:rPr>
        <w:t xml:space="preserve"> </w:t>
      </w:r>
      <w:r w:rsidRPr="005521F9">
        <w:rPr>
          <w:rFonts w:ascii="Verdana" w:hAnsi="Verdana" w:cs="Arial"/>
          <w:sz w:val="20"/>
          <w:szCs w:val="20"/>
        </w:rPr>
        <w:t xml:space="preserve">expedidos por la Sala de Consulta y Servicio Civil del Consejo de Estado, que la obligación del cierre del expediente contractual no está condicionada al hecho de que el contrato se hubiere liquidado o no, ya que si bien ello es una información que debería constar en dicho documento, ocurrido el vencimiento de las garantías aludidas por el artículo 2.2.1.1.2.4.3 del Decreto 1082 de 2015, o las condiciones de disposición final o recuperación ambiental de las obras o bienes, surge el deber de cerrar el expediente, independientemente de si para ese entonces el contrato se encuentra o no liquidado. </w:t>
      </w:r>
    </w:p>
    <w:p w14:paraId="54D08AD9" w14:textId="77777777" w:rsidR="000B6BDE" w:rsidRDefault="000B6BDE" w:rsidP="000B6BDE">
      <w:pPr>
        <w:spacing w:after="0" w:line="240" w:lineRule="auto"/>
        <w:jc w:val="both"/>
        <w:rPr>
          <w:rFonts w:ascii="Verdana" w:hAnsi="Verdana" w:cs="Times New Roman"/>
          <w:sz w:val="20"/>
          <w:szCs w:val="20"/>
          <w:lang w:eastAsia="es-CO"/>
        </w:rPr>
      </w:pPr>
    </w:p>
    <w:p w14:paraId="397380D2" w14:textId="0BDFC4D0" w:rsidR="000B6BDE" w:rsidRDefault="000B6BDE" w:rsidP="000B6BDE">
      <w:pPr>
        <w:spacing w:after="0" w:line="240" w:lineRule="auto"/>
        <w:jc w:val="both"/>
        <w:rPr>
          <w:rFonts w:ascii="Verdana" w:hAnsi="Verdana" w:cs="Times New Roman"/>
          <w:sz w:val="20"/>
          <w:szCs w:val="20"/>
          <w:lang w:eastAsia="es-CO"/>
        </w:rPr>
      </w:pPr>
      <w:r>
        <w:rPr>
          <w:rFonts w:ascii="Verdana" w:hAnsi="Verdana" w:cs="Times New Roman"/>
          <w:sz w:val="20"/>
          <w:szCs w:val="20"/>
          <w:lang w:eastAsia="es-CO"/>
        </w:rPr>
        <w:t xml:space="preserve">[…] </w:t>
      </w:r>
    </w:p>
    <w:p w14:paraId="3E2167F4" w14:textId="77777777" w:rsidR="000B6BDE" w:rsidRDefault="000B6BDE" w:rsidP="000B6BDE">
      <w:pPr>
        <w:spacing w:after="0" w:line="240" w:lineRule="auto"/>
        <w:jc w:val="both"/>
        <w:rPr>
          <w:rFonts w:ascii="Verdana" w:hAnsi="Verdana" w:cs="Times New Roman"/>
          <w:sz w:val="20"/>
          <w:szCs w:val="20"/>
          <w:lang w:eastAsia="es-CO"/>
        </w:rPr>
      </w:pPr>
    </w:p>
    <w:p w14:paraId="77C773BB" w14:textId="5F6B7BA6" w:rsidR="000B6BDE" w:rsidRPr="000B6BDE" w:rsidRDefault="000B6BDE" w:rsidP="000B6BDE">
      <w:pPr>
        <w:spacing w:after="0" w:line="240" w:lineRule="auto"/>
        <w:jc w:val="both"/>
        <w:rPr>
          <w:rFonts w:ascii="Verdana" w:hAnsi="Verdana" w:cs="Times New Roman"/>
          <w:sz w:val="20"/>
          <w:szCs w:val="20"/>
          <w:lang w:eastAsia="es-CO"/>
        </w:rPr>
      </w:pPr>
      <w:r w:rsidRPr="005521F9">
        <w:rPr>
          <w:rFonts w:ascii="Verdana" w:hAnsi="Verdana" w:cs="Arial"/>
          <w:sz w:val="20"/>
          <w:szCs w:val="20"/>
        </w:rPr>
        <w:t xml:space="preserve">En conclusión, el cierre del expediente del proceso de contratación es obligatorio cuando el contrato estatal exige las garantías de calidad, estabilidad o mantenimiento, o cuando la entidad establezca condiciones de disposición final o recuperación ambiental de las obras o bienes contratados. Una vez cumplidas tales condiciones surge el deber de dejar constancia del correspondiente acto de cierre del expediente contractual, ya sea que el contrato se hubiere liquidado o no. </w:t>
      </w:r>
      <w:r w:rsidRPr="005521F9">
        <w:rPr>
          <w:rFonts w:ascii="Verdana" w:eastAsia="Calibri" w:hAnsi="Verdana" w:cs="Arial"/>
          <w:bCs/>
          <w:color w:val="000000" w:themeColor="text1"/>
          <w:sz w:val="20"/>
          <w:szCs w:val="20"/>
          <w:lang w:val="es-ES_tradnl"/>
        </w:rPr>
        <w:t>Para la acreditación de las circunstancias mencionadas en el Decreto Único Reglamentario del Sector Administrativo de Planeación Nacional, las actuaciones y soportes documentales necesarios para el cierre serán las que se definan en los instructivos internos de las entidades estatales de acuerdo con su manual de contratación.</w:t>
      </w:r>
    </w:p>
    <w:p w14:paraId="35C5E64A" w14:textId="07BD3B04" w:rsidR="00256FAC" w:rsidRPr="00256FAC" w:rsidRDefault="00256FAC" w:rsidP="00256FAC">
      <w:pPr>
        <w:spacing w:after="0" w:line="240" w:lineRule="auto"/>
        <w:jc w:val="both"/>
        <w:rPr>
          <w:rFonts w:ascii="Verdana" w:eastAsia="Calibri" w:hAnsi="Verdana" w:cs="Arial"/>
          <w:b/>
          <w:bCs/>
          <w:lang w:val="es-ES" w:eastAsia="es-ES"/>
        </w:rPr>
      </w:pPr>
      <w:r w:rsidRPr="00256FAC">
        <w:rPr>
          <w:rFonts w:ascii="Verdana" w:eastAsia="Calibri" w:hAnsi="Verdana" w:cs="Arial"/>
          <w:b/>
          <w:bCs/>
          <w:lang w:val="es-ES" w:eastAsia="es-ES"/>
        </w:rPr>
        <w:t xml:space="preserve">     </w:t>
      </w:r>
    </w:p>
    <w:p w14:paraId="19AA4FD9" w14:textId="77777777" w:rsidR="00256FAC" w:rsidRDefault="00256FAC" w:rsidP="00DA32FF">
      <w:pPr>
        <w:spacing w:after="0" w:line="240" w:lineRule="auto"/>
        <w:rPr>
          <w:rFonts w:ascii="Verdana" w:eastAsia="Verdana" w:hAnsi="Verdana" w:cs="Verdana"/>
          <w:lang w:val="es-ES"/>
        </w:rPr>
      </w:pPr>
    </w:p>
    <w:p w14:paraId="1BFF8243" w14:textId="77777777" w:rsidR="000B6BDE" w:rsidRDefault="000B6BDE" w:rsidP="00DA32FF">
      <w:pPr>
        <w:spacing w:after="0" w:line="240" w:lineRule="auto"/>
        <w:rPr>
          <w:rFonts w:ascii="Verdana" w:eastAsia="Verdana" w:hAnsi="Verdana" w:cs="Verdana"/>
          <w:lang w:val="es-ES"/>
        </w:rPr>
      </w:pPr>
    </w:p>
    <w:p w14:paraId="73554D95" w14:textId="77777777" w:rsidR="000B6BDE" w:rsidRDefault="000B6BDE" w:rsidP="00DA32FF">
      <w:pPr>
        <w:spacing w:after="0" w:line="240" w:lineRule="auto"/>
        <w:rPr>
          <w:rFonts w:ascii="Verdana" w:eastAsia="Verdana" w:hAnsi="Verdana" w:cs="Verdana"/>
          <w:lang w:val="es-ES"/>
        </w:rPr>
      </w:pPr>
    </w:p>
    <w:p w14:paraId="2C0F1788" w14:textId="77777777" w:rsidR="000B6BDE" w:rsidRDefault="000B6BDE" w:rsidP="00DA32FF">
      <w:pPr>
        <w:spacing w:after="0" w:line="240" w:lineRule="auto"/>
        <w:rPr>
          <w:rFonts w:ascii="Verdana" w:eastAsia="Verdana" w:hAnsi="Verdana" w:cs="Verdana"/>
          <w:lang w:val="es-ES"/>
        </w:rPr>
      </w:pPr>
    </w:p>
    <w:p w14:paraId="48D5EB09" w14:textId="77777777" w:rsidR="000B6BDE" w:rsidRDefault="000B6BDE" w:rsidP="00DA32FF">
      <w:pPr>
        <w:spacing w:after="0" w:line="240" w:lineRule="auto"/>
        <w:rPr>
          <w:rFonts w:ascii="Verdana" w:eastAsia="Verdana" w:hAnsi="Verdana" w:cs="Verdana"/>
          <w:lang w:val="es-ES"/>
        </w:rPr>
      </w:pPr>
    </w:p>
    <w:p w14:paraId="7C770267" w14:textId="77777777" w:rsidR="000B6BDE" w:rsidRDefault="000B6BDE" w:rsidP="00DA32FF">
      <w:pPr>
        <w:spacing w:after="0" w:line="240" w:lineRule="auto"/>
        <w:rPr>
          <w:rFonts w:ascii="Verdana" w:eastAsia="Verdana" w:hAnsi="Verdana" w:cs="Verdana"/>
          <w:lang w:val="es-ES"/>
        </w:rPr>
      </w:pPr>
    </w:p>
    <w:p w14:paraId="4142260F" w14:textId="77777777" w:rsidR="000B6BDE" w:rsidRDefault="000B6BDE" w:rsidP="00DA32FF">
      <w:pPr>
        <w:spacing w:after="0" w:line="240" w:lineRule="auto"/>
        <w:rPr>
          <w:rFonts w:ascii="Verdana" w:eastAsia="Verdana" w:hAnsi="Verdana" w:cs="Verdana"/>
          <w:lang w:val="es-ES"/>
        </w:rPr>
      </w:pPr>
    </w:p>
    <w:p w14:paraId="17F1EE75" w14:textId="77777777" w:rsidR="000B6BDE" w:rsidRDefault="000B6BDE" w:rsidP="00DA32FF">
      <w:pPr>
        <w:spacing w:after="0" w:line="240" w:lineRule="auto"/>
        <w:rPr>
          <w:rFonts w:ascii="Verdana" w:eastAsia="Verdana" w:hAnsi="Verdana" w:cs="Verdana"/>
          <w:lang w:val="es-ES"/>
        </w:rPr>
      </w:pPr>
    </w:p>
    <w:p w14:paraId="58B4B809" w14:textId="77777777" w:rsidR="000B6BDE" w:rsidRDefault="000B6BDE" w:rsidP="00DA32FF">
      <w:pPr>
        <w:spacing w:after="0" w:line="240" w:lineRule="auto"/>
        <w:rPr>
          <w:rFonts w:ascii="Verdana" w:eastAsia="Verdana" w:hAnsi="Verdana" w:cs="Verdana"/>
          <w:lang w:val="es-ES"/>
        </w:rPr>
      </w:pPr>
    </w:p>
    <w:p w14:paraId="6839B84B" w14:textId="77777777" w:rsidR="000B6BDE" w:rsidRDefault="000B6BDE" w:rsidP="00DA32FF">
      <w:pPr>
        <w:spacing w:after="0" w:line="240" w:lineRule="auto"/>
        <w:rPr>
          <w:rFonts w:ascii="Verdana" w:eastAsia="Verdana" w:hAnsi="Verdana" w:cs="Verdana"/>
          <w:lang w:val="es-ES"/>
        </w:rPr>
      </w:pPr>
    </w:p>
    <w:p w14:paraId="441B65DB" w14:textId="77777777" w:rsidR="000B6BDE" w:rsidRDefault="000B6BDE" w:rsidP="00DA32FF">
      <w:pPr>
        <w:spacing w:after="0" w:line="240" w:lineRule="auto"/>
        <w:rPr>
          <w:rFonts w:ascii="Verdana" w:eastAsia="Verdana" w:hAnsi="Verdana" w:cs="Verdana"/>
          <w:lang w:val="es-ES"/>
        </w:rPr>
      </w:pPr>
    </w:p>
    <w:p w14:paraId="52A3CA25" w14:textId="77777777" w:rsidR="000B6BDE" w:rsidRDefault="000B6BDE" w:rsidP="00DA32FF">
      <w:pPr>
        <w:spacing w:after="0" w:line="240" w:lineRule="auto"/>
        <w:rPr>
          <w:rFonts w:ascii="Verdana" w:eastAsia="Verdana" w:hAnsi="Verdana" w:cs="Verdana"/>
          <w:lang w:val="es-ES"/>
        </w:rPr>
      </w:pPr>
    </w:p>
    <w:p w14:paraId="31ECF668" w14:textId="77777777" w:rsidR="000B6BDE" w:rsidRDefault="000B6BDE" w:rsidP="00DA32FF">
      <w:pPr>
        <w:spacing w:after="0" w:line="240" w:lineRule="auto"/>
        <w:rPr>
          <w:rFonts w:ascii="Verdana" w:eastAsia="Verdana" w:hAnsi="Verdana" w:cs="Verdana"/>
          <w:lang w:val="es-ES"/>
        </w:rPr>
      </w:pPr>
    </w:p>
    <w:p w14:paraId="57DE09A1" w14:textId="77777777" w:rsidR="000B6BDE" w:rsidRDefault="000B6BDE" w:rsidP="00DA32FF">
      <w:pPr>
        <w:spacing w:after="0" w:line="240" w:lineRule="auto"/>
        <w:rPr>
          <w:rFonts w:ascii="Verdana" w:eastAsia="Verdana" w:hAnsi="Verdana" w:cs="Verdana"/>
          <w:lang w:val="es-ES"/>
        </w:rPr>
      </w:pPr>
    </w:p>
    <w:p w14:paraId="14DAD3FC" w14:textId="77777777" w:rsidR="000B6BDE" w:rsidRDefault="000B6BDE" w:rsidP="00DA32FF">
      <w:pPr>
        <w:spacing w:after="0" w:line="240" w:lineRule="auto"/>
        <w:rPr>
          <w:rFonts w:ascii="Verdana" w:eastAsia="Verdana" w:hAnsi="Verdana" w:cs="Verdana"/>
          <w:lang w:val="es-ES"/>
        </w:rPr>
      </w:pPr>
    </w:p>
    <w:p w14:paraId="56588A31" w14:textId="77777777" w:rsidR="000B6BDE" w:rsidRDefault="000B6BDE" w:rsidP="00DA32FF">
      <w:pPr>
        <w:spacing w:after="0" w:line="240" w:lineRule="auto"/>
        <w:rPr>
          <w:rFonts w:ascii="Verdana" w:eastAsia="Verdana" w:hAnsi="Verdana" w:cs="Verdana"/>
          <w:lang w:val="es-ES"/>
        </w:rPr>
      </w:pPr>
    </w:p>
    <w:p w14:paraId="13F3208A" w14:textId="77777777" w:rsidR="000B6BDE" w:rsidRDefault="000B6BDE" w:rsidP="00DA32FF">
      <w:pPr>
        <w:spacing w:after="0" w:line="240" w:lineRule="auto"/>
        <w:rPr>
          <w:rFonts w:ascii="Verdana" w:eastAsia="Verdana" w:hAnsi="Verdana" w:cs="Verdana"/>
          <w:lang w:val="es-ES"/>
        </w:rPr>
      </w:pPr>
    </w:p>
    <w:p w14:paraId="7716E256" w14:textId="77777777" w:rsidR="000B6BDE" w:rsidRDefault="000B6BDE" w:rsidP="00DA32FF">
      <w:pPr>
        <w:spacing w:after="0" w:line="240" w:lineRule="auto"/>
        <w:rPr>
          <w:rFonts w:ascii="Verdana" w:eastAsia="Verdana" w:hAnsi="Verdana" w:cs="Verdana"/>
          <w:lang w:val="es-ES"/>
        </w:rPr>
      </w:pPr>
    </w:p>
    <w:p w14:paraId="4CC9EA07" w14:textId="77777777" w:rsidR="000B6BDE" w:rsidRDefault="000B6BDE" w:rsidP="00DA32FF">
      <w:pPr>
        <w:spacing w:after="0" w:line="240" w:lineRule="auto"/>
        <w:rPr>
          <w:rFonts w:ascii="Verdana" w:eastAsia="Verdana" w:hAnsi="Verdana" w:cs="Verdana"/>
          <w:lang w:val="es-ES"/>
        </w:rPr>
      </w:pPr>
    </w:p>
    <w:p w14:paraId="6F9A0029" w14:textId="77777777" w:rsidR="000B6BDE" w:rsidRDefault="000B6BDE" w:rsidP="00DA32FF">
      <w:pPr>
        <w:spacing w:after="0" w:line="240" w:lineRule="auto"/>
        <w:rPr>
          <w:rFonts w:ascii="Verdana" w:eastAsia="Verdana" w:hAnsi="Verdana" w:cs="Verdana"/>
          <w:lang w:val="es-ES"/>
        </w:rPr>
      </w:pPr>
    </w:p>
    <w:p w14:paraId="1A72C193" w14:textId="77777777" w:rsidR="000B6BDE" w:rsidRDefault="000B6BDE" w:rsidP="00DA32FF">
      <w:pPr>
        <w:spacing w:after="0" w:line="240" w:lineRule="auto"/>
        <w:rPr>
          <w:rFonts w:ascii="Verdana" w:eastAsia="Verdana" w:hAnsi="Verdana" w:cs="Verdana"/>
          <w:lang w:val="es-ES"/>
        </w:rPr>
      </w:pPr>
    </w:p>
    <w:p w14:paraId="19BC9E64" w14:textId="77777777" w:rsidR="000B6BDE" w:rsidRDefault="000B6BDE" w:rsidP="00DA32FF">
      <w:pPr>
        <w:spacing w:after="0" w:line="240" w:lineRule="auto"/>
        <w:rPr>
          <w:rFonts w:ascii="Verdana" w:eastAsia="Verdana" w:hAnsi="Verdana" w:cs="Verdana"/>
          <w:lang w:val="es-ES"/>
        </w:rPr>
      </w:pPr>
    </w:p>
    <w:p w14:paraId="6F8265DE" w14:textId="77777777" w:rsidR="000B6BDE" w:rsidRPr="00256FAC" w:rsidRDefault="000B6BDE" w:rsidP="00DA32FF">
      <w:pPr>
        <w:spacing w:after="0" w:line="240" w:lineRule="auto"/>
        <w:rPr>
          <w:rFonts w:ascii="Verdana" w:eastAsia="Verdana" w:hAnsi="Verdana" w:cs="Verdana"/>
          <w:lang w:val="es-ES"/>
        </w:rPr>
      </w:pPr>
    </w:p>
    <w:p w14:paraId="77C38C55" w14:textId="6A53532A" w:rsidR="00256FAC" w:rsidRDefault="00351B00" w:rsidP="00DA32FF">
      <w:pPr>
        <w:spacing w:after="0" w:line="240" w:lineRule="auto"/>
        <w:rPr>
          <w:rFonts w:ascii="Verdana" w:eastAsia="Verdana" w:hAnsi="Verdana" w:cs="Verdana"/>
        </w:rPr>
      </w:pPr>
      <w:r w:rsidRPr="30821638">
        <w:rPr>
          <w:rFonts w:ascii="Verdana" w:eastAsia="Verdana" w:hAnsi="Verdana" w:cs="Verdana"/>
        </w:rPr>
        <w:t xml:space="preserve">Bogotá D.C., </w:t>
      </w:r>
      <w:r w:rsidR="00256FAC">
        <w:rPr>
          <w:rFonts w:ascii="Verdana" w:eastAsia="Verdana" w:hAnsi="Verdana" w:cs="Verdana"/>
        </w:rPr>
        <w:t xml:space="preserve">13 </w:t>
      </w:r>
      <w:proofErr w:type="gramStart"/>
      <w:r w:rsidR="00256FAC">
        <w:rPr>
          <w:rFonts w:ascii="Verdana" w:eastAsia="Verdana" w:hAnsi="Verdana" w:cs="Verdana"/>
        </w:rPr>
        <w:t>Agosto</w:t>
      </w:r>
      <w:proofErr w:type="gramEnd"/>
      <w:r w:rsidR="00256FAC">
        <w:rPr>
          <w:rFonts w:ascii="Verdana" w:eastAsia="Verdana" w:hAnsi="Verdana" w:cs="Verdana"/>
        </w:rPr>
        <w:t xml:space="preserve"> 2026</w:t>
      </w:r>
    </w:p>
    <w:p w14:paraId="2E6539A3" w14:textId="3A96EDD4" w:rsidR="00351B00" w:rsidRPr="00DA32FF" w:rsidRDefault="00256FAC" w:rsidP="00256FAC">
      <w:pPr>
        <w:spacing w:after="0" w:line="240" w:lineRule="auto"/>
        <w:jc w:val="right"/>
        <w:rPr>
          <w:rFonts w:ascii="Verdana" w:hAnsi="Verdana"/>
        </w:rPr>
      </w:pPr>
      <w:r w:rsidRPr="00256FAC">
        <w:rPr>
          <w:rFonts w:ascii="Verdana" w:hAnsi="Verdana"/>
        </w:rPr>
        <w:drawing>
          <wp:inline distT="0" distB="0" distL="0" distR="0" wp14:anchorId="2EA6C712" wp14:editId="7D90E465">
            <wp:extent cx="1871812" cy="441325"/>
            <wp:effectExtent l="0" t="0" r="0" b="0"/>
            <wp:docPr id="801944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44970" name=""/>
                    <pic:cNvPicPr/>
                  </pic:nvPicPr>
                  <pic:blipFill>
                    <a:blip r:embed="rId10"/>
                    <a:stretch>
                      <a:fillRect/>
                    </a:stretch>
                  </pic:blipFill>
                  <pic:spPr>
                    <a:xfrm>
                      <a:off x="0" y="0"/>
                      <a:ext cx="1880440" cy="443359"/>
                    </a:xfrm>
                    <a:prstGeom prst="rect">
                      <a:avLst/>
                    </a:prstGeom>
                  </pic:spPr>
                </pic:pic>
              </a:graphicData>
            </a:graphic>
          </wp:inline>
        </w:drawing>
      </w:r>
      <w:r w:rsidR="00351B00" w:rsidRPr="00DA32FF">
        <w:rPr>
          <w:rFonts w:ascii="Verdana" w:hAnsi="Verdana"/>
        </w:rPr>
        <w:tab/>
      </w:r>
      <w:bookmarkEnd w:id="0"/>
      <w:r w:rsidR="00351B00" w:rsidRPr="00DA32FF">
        <w:rPr>
          <w:rFonts w:ascii="Verdana" w:hAnsi="Verdana"/>
        </w:rPr>
        <w:tab/>
      </w:r>
    </w:p>
    <w:p w14:paraId="7C60FF92" w14:textId="77777777" w:rsidR="00351B00" w:rsidRPr="00DA32FF" w:rsidRDefault="00351B00" w:rsidP="00351B00">
      <w:pPr>
        <w:spacing w:after="0" w:line="240" w:lineRule="auto"/>
        <w:jc w:val="both"/>
        <w:rPr>
          <w:rFonts w:ascii="Verdana" w:eastAsia="Calibri" w:hAnsi="Verdana" w:cs="Arial"/>
          <w:lang w:eastAsia="es-ES"/>
        </w:rPr>
      </w:pPr>
      <w:bookmarkStart w:id="1" w:name="_Hlk214366482"/>
      <w:r w:rsidRPr="00DA32FF">
        <w:rPr>
          <w:rFonts w:ascii="Verdana" w:eastAsia="Calibri" w:hAnsi="Verdana" w:cs="Arial"/>
          <w:lang w:eastAsia="es-ES"/>
        </w:rPr>
        <w:t xml:space="preserve">Señor </w:t>
      </w:r>
    </w:p>
    <w:p w14:paraId="303990AE" w14:textId="77777777" w:rsidR="00351B00" w:rsidRPr="004F667B" w:rsidRDefault="00351B00" w:rsidP="00351B00">
      <w:pPr>
        <w:spacing w:after="0" w:line="240" w:lineRule="auto"/>
        <w:jc w:val="both"/>
        <w:rPr>
          <w:rFonts w:ascii="Verdana" w:eastAsia="Calibri" w:hAnsi="Verdana" w:cs="Arial"/>
          <w:b/>
          <w:bCs/>
          <w:lang w:eastAsia="es-ES"/>
        </w:rPr>
      </w:pPr>
      <w:proofErr w:type="spellStart"/>
      <w:r w:rsidRPr="004F667B">
        <w:rPr>
          <w:rFonts w:ascii="Verdana" w:eastAsia="Calibri" w:hAnsi="Verdana" w:cs="Arial"/>
          <w:b/>
          <w:bCs/>
          <w:lang w:eastAsia="es-ES"/>
        </w:rPr>
        <w:t>Dawer</w:t>
      </w:r>
      <w:proofErr w:type="spellEnd"/>
      <w:r w:rsidRPr="004F667B">
        <w:rPr>
          <w:rFonts w:ascii="Verdana" w:eastAsia="Calibri" w:hAnsi="Verdana" w:cs="Arial"/>
          <w:b/>
          <w:bCs/>
          <w:lang w:eastAsia="es-ES"/>
        </w:rPr>
        <w:t xml:space="preserve"> Rivera Zamudio</w:t>
      </w:r>
    </w:p>
    <w:p w14:paraId="2B703ACE" w14:textId="282AB216" w:rsidR="00351B00" w:rsidRPr="00256FAC" w:rsidRDefault="00351B00" w:rsidP="00351B00">
      <w:pPr>
        <w:spacing w:after="0" w:line="240" w:lineRule="auto"/>
        <w:jc w:val="both"/>
        <w:rPr>
          <w:rFonts w:ascii="Verdana" w:hAnsi="Verdana"/>
          <w:b/>
          <w:bCs/>
          <w:lang w:val="en-US"/>
        </w:rPr>
      </w:pPr>
      <w:hyperlink r:id="rId11" w:history="1">
        <w:r w:rsidRPr="00256FAC">
          <w:rPr>
            <w:rStyle w:val="Hipervnculo"/>
            <w:rFonts w:ascii="Verdana" w:hAnsi="Verdana"/>
            <w:b/>
            <w:bCs/>
            <w:lang w:val="en-US"/>
          </w:rPr>
          <w:t>dawer.rivera@gmail.com</w:t>
        </w:r>
      </w:hyperlink>
    </w:p>
    <w:p w14:paraId="0B8CB147" w14:textId="77777777" w:rsidR="00351B00" w:rsidRPr="00256FAC" w:rsidRDefault="00351B00" w:rsidP="00351B00">
      <w:pPr>
        <w:spacing w:after="0" w:line="240" w:lineRule="auto"/>
        <w:jc w:val="both"/>
        <w:rPr>
          <w:rFonts w:ascii="Verdana" w:hAnsi="Verdana"/>
          <w:lang w:val="en-US"/>
        </w:rPr>
      </w:pPr>
      <w:proofErr w:type="spellStart"/>
      <w:r w:rsidRPr="00256FAC">
        <w:rPr>
          <w:rFonts w:ascii="Verdana" w:hAnsi="Verdana"/>
          <w:lang w:val="en-US"/>
        </w:rPr>
        <w:t>Garagoa</w:t>
      </w:r>
      <w:proofErr w:type="spellEnd"/>
      <w:r w:rsidRPr="00256FAC">
        <w:rPr>
          <w:rFonts w:ascii="Verdana" w:hAnsi="Verdana"/>
          <w:lang w:val="en-US"/>
        </w:rPr>
        <w:t xml:space="preserve"> – Boyacá </w:t>
      </w:r>
    </w:p>
    <w:p w14:paraId="2F79AC5D" w14:textId="77777777" w:rsidR="00351B00" w:rsidRPr="00256FAC" w:rsidRDefault="00351B00" w:rsidP="00351B00">
      <w:pPr>
        <w:spacing w:after="0" w:line="240" w:lineRule="auto"/>
        <w:jc w:val="both"/>
        <w:rPr>
          <w:rFonts w:ascii="Verdana" w:hAnsi="Verdana"/>
          <w:lang w:val="en-US"/>
        </w:rPr>
      </w:pPr>
    </w:p>
    <w:p w14:paraId="69D62EC5" w14:textId="77777777" w:rsidR="00351B00" w:rsidRPr="00256FAC" w:rsidRDefault="00351B00" w:rsidP="00351B00">
      <w:pPr>
        <w:spacing w:after="0" w:line="240" w:lineRule="auto"/>
        <w:jc w:val="both"/>
        <w:rPr>
          <w:rFonts w:ascii="Verdana" w:eastAsia="Calibri" w:hAnsi="Verdana" w:cs="Arial"/>
          <w:b/>
          <w:bCs/>
          <w:color w:val="000000"/>
          <w:lang w:val="en-US"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351B00" w:rsidRPr="005644FE" w14:paraId="5CA5EEC7" w14:textId="77777777" w:rsidTr="00C74AA7">
        <w:trPr>
          <w:trHeight w:val="162"/>
        </w:trPr>
        <w:tc>
          <w:tcPr>
            <w:tcW w:w="3119" w:type="dxa"/>
          </w:tcPr>
          <w:p w14:paraId="58CD243D" w14:textId="77777777" w:rsidR="00351B00" w:rsidRPr="00256FAC" w:rsidRDefault="00351B00" w:rsidP="00C74AA7">
            <w:pPr>
              <w:jc w:val="both"/>
              <w:rPr>
                <w:rFonts w:ascii="Verdana" w:eastAsia="Calibri" w:hAnsi="Verdana" w:cs="Arial"/>
                <w:b/>
                <w:bCs/>
                <w:color w:val="7030A0"/>
                <w:lang w:val="en-US" w:eastAsia="es-ES_tradnl"/>
              </w:rPr>
            </w:pPr>
          </w:p>
        </w:tc>
        <w:tc>
          <w:tcPr>
            <w:tcW w:w="5670" w:type="dxa"/>
          </w:tcPr>
          <w:p w14:paraId="50F42ED9" w14:textId="77777777" w:rsidR="00351B00" w:rsidRPr="005644FE" w:rsidRDefault="00351B00" w:rsidP="00C74AA7">
            <w:pPr>
              <w:jc w:val="both"/>
              <w:rPr>
                <w:rFonts w:ascii="Verdana" w:eastAsia="Calibri" w:hAnsi="Verdana" w:cs="Arial"/>
                <w:b/>
                <w:bCs/>
                <w:lang w:eastAsia="es-ES"/>
              </w:rPr>
            </w:pPr>
            <w:r w:rsidRPr="005644FE">
              <w:rPr>
                <w:rFonts w:ascii="Verdana" w:eastAsia="Calibri" w:hAnsi="Verdana" w:cs="Arial"/>
                <w:b/>
                <w:bCs/>
                <w:lang w:eastAsia="es-ES"/>
              </w:rPr>
              <w:t>Concepto C</w:t>
            </w:r>
            <w:r w:rsidRPr="00D260F1">
              <w:rPr>
                <w:rFonts w:ascii="Verdana" w:eastAsia="Calibri" w:hAnsi="Verdana" w:cs="Arial"/>
                <w:b/>
                <w:bCs/>
                <w:lang w:eastAsia="es-ES"/>
              </w:rPr>
              <w:t>-</w:t>
            </w:r>
            <w:r>
              <w:rPr>
                <w:rFonts w:ascii="Verdana" w:eastAsia="Calibri" w:hAnsi="Verdana" w:cs="Arial"/>
                <w:b/>
                <w:bCs/>
                <w:lang w:eastAsia="es-ES"/>
              </w:rPr>
              <w:t xml:space="preserve"> 1082 de 2026</w:t>
            </w:r>
          </w:p>
          <w:p w14:paraId="42B609E2" w14:textId="77777777" w:rsidR="00351B00" w:rsidRPr="005644FE" w:rsidRDefault="00351B00" w:rsidP="00C74AA7">
            <w:pPr>
              <w:jc w:val="both"/>
              <w:rPr>
                <w:rFonts w:ascii="Verdana" w:eastAsia="Calibri" w:hAnsi="Verdana" w:cs="Arial"/>
                <w:b/>
                <w:bCs/>
                <w:color w:val="7030A0"/>
                <w:lang w:eastAsia="es-ES"/>
              </w:rPr>
            </w:pPr>
          </w:p>
        </w:tc>
      </w:tr>
      <w:tr w:rsidR="00351B00" w:rsidRPr="005644FE" w14:paraId="567DC5B6" w14:textId="77777777" w:rsidTr="00C74AA7">
        <w:trPr>
          <w:trHeight w:val="884"/>
        </w:trPr>
        <w:tc>
          <w:tcPr>
            <w:tcW w:w="3119" w:type="dxa"/>
          </w:tcPr>
          <w:p w14:paraId="64C633AA" w14:textId="77777777" w:rsidR="00351B00" w:rsidRPr="005644FE" w:rsidRDefault="00351B00" w:rsidP="00C74AA7">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22B8E5C3" w14:textId="77777777" w:rsidR="00351B00" w:rsidRPr="00A11406" w:rsidRDefault="00351B00" w:rsidP="00DA32FF">
            <w:pPr>
              <w:jc w:val="both"/>
              <w:rPr>
                <w:rFonts w:ascii="Verdana" w:eastAsia="Calibri" w:hAnsi="Verdana" w:cs="Arial"/>
                <w:lang w:val="es-ES" w:eastAsia="es-ES"/>
              </w:rPr>
            </w:pPr>
            <w:r w:rsidRPr="00AB1FEA">
              <w:rPr>
                <w:rFonts w:ascii="Verdana" w:eastAsia="Calibri" w:hAnsi="Verdana" w:cs="Arial"/>
                <w:lang w:val="es-ES" w:eastAsia="es-ES"/>
              </w:rPr>
              <w:t>LIQUIDACIÓN DEL CONTRATO – Definición – Objetivo / LIQUIDACIÓN DEL CONTRATO – Normativa / LIQUIDACIÓN DEL CONTRATO – Tipos – Bilateral – Unilateral – Judicial</w:t>
            </w:r>
            <w:r>
              <w:rPr>
                <w:rFonts w:ascii="Verdana" w:eastAsia="Calibri" w:hAnsi="Verdana" w:cs="Arial"/>
                <w:lang w:val="es-ES" w:eastAsia="es-ES"/>
              </w:rPr>
              <w:t xml:space="preserve"> / </w:t>
            </w:r>
            <w:r w:rsidRPr="004A23CD">
              <w:rPr>
                <w:rFonts w:ascii="Verdana" w:eastAsia="Calibri" w:hAnsi="Verdana" w:cs="Arial"/>
                <w:lang w:val="es-ES" w:eastAsia="es-ES"/>
              </w:rPr>
              <w:t>EJECUCIÓN DEL CONTRATO ‒ Contrato estatal – Cierre del expediente contractual – Acto de trámite – Constancia / CIERRE DEL EXPEDIENTE CONTRACTUAL – Requisitos – Procedencia / CIERRE DEL EXPEDIENTE CONTRACTUAL – Obligatoriedad – Liquidación – Garantías – Buena práctica contractual</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2A533DFC" w14:textId="77777777" w:rsidR="00351B00" w:rsidRPr="001F2F6D" w:rsidRDefault="00351B00" w:rsidP="00DA32FF">
            <w:pPr>
              <w:jc w:val="both"/>
              <w:rPr>
                <w:rFonts w:ascii="Verdana" w:hAnsi="Verdana" w:cs="Arial"/>
                <w:bCs/>
                <w:lang w:val="es-ES" w:eastAsia="es-ES" w:bidi="es-ES"/>
              </w:rPr>
            </w:pPr>
          </w:p>
        </w:tc>
      </w:tr>
      <w:tr w:rsidR="00351B00" w:rsidRPr="005644FE" w14:paraId="5389A1B5" w14:textId="77777777" w:rsidTr="00C74AA7">
        <w:tc>
          <w:tcPr>
            <w:tcW w:w="3119" w:type="dxa"/>
          </w:tcPr>
          <w:p w14:paraId="3216B6CD" w14:textId="77777777" w:rsidR="00351B00" w:rsidRPr="005644FE" w:rsidRDefault="00351B00" w:rsidP="00C74AA7">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2C6FAE97" w14:textId="77777777" w:rsidR="00351B00" w:rsidRPr="00F04657" w:rsidRDefault="00351B00" w:rsidP="00DA32FF">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6D3FD5">
              <w:rPr>
                <w:rFonts w:ascii="Verdana" w:eastAsia="Calibri" w:hAnsi="Verdana" w:cs="Arial"/>
                <w:lang w:eastAsia="es-ES"/>
              </w:rPr>
              <w:t>1_2026_07_07_008994</w:t>
            </w:r>
          </w:p>
        </w:tc>
      </w:tr>
    </w:tbl>
    <w:p w14:paraId="620D8833" w14:textId="77777777" w:rsidR="00351B00" w:rsidRPr="005644FE" w:rsidRDefault="00351B00" w:rsidP="00351B00">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3C2EF880" w14:textId="77777777" w:rsidR="00351B00" w:rsidRPr="005644FE" w:rsidRDefault="00351B00" w:rsidP="00351B00">
      <w:pPr>
        <w:spacing w:after="0" w:line="276" w:lineRule="auto"/>
        <w:jc w:val="both"/>
        <w:rPr>
          <w:rFonts w:ascii="Verdana" w:eastAsia="Calibri" w:hAnsi="Verdana" w:cs="Arial"/>
          <w:lang w:eastAsia="es-ES"/>
        </w:rPr>
      </w:pPr>
      <w:r>
        <w:rPr>
          <w:rFonts w:ascii="Verdana" w:eastAsia="Calibri" w:hAnsi="Verdana" w:cs="Arial"/>
          <w:lang w:eastAsia="es-ES"/>
        </w:rPr>
        <w:t>Estimado señor Rivera:</w:t>
      </w:r>
    </w:p>
    <w:p w14:paraId="71001685" w14:textId="77777777" w:rsidR="00351B00" w:rsidRPr="00E02524" w:rsidRDefault="00351B00" w:rsidP="00DA32FF">
      <w:pPr>
        <w:spacing w:after="0" w:line="276" w:lineRule="auto"/>
        <w:jc w:val="both"/>
        <w:rPr>
          <w:rFonts w:ascii="Verdana" w:hAnsi="Verdana"/>
          <w:lang w:val="es-MX"/>
        </w:rPr>
      </w:pPr>
    </w:p>
    <w:p w14:paraId="2B6CEC38" w14:textId="0ED02DC4" w:rsidR="00351B00" w:rsidRPr="0084712D" w:rsidRDefault="00351B00" w:rsidP="00670238">
      <w:pPr>
        <w:spacing w:after="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w:t>
      </w:r>
      <w:r>
        <w:rPr>
          <w:rFonts w:ascii="Verdana" w:hAnsi="Verdana"/>
        </w:rPr>
        <w:t xml:space="preserve">su </w:t>
      </w:r>
      <w:r w:rsidRPr="0084712D">
        <w:rPr>
          <w:rFonts w:ascii="Verdana" w:hAnsi="Verdana"/>
        </w:rPr>
        <w:t>solicitud de consulta</w:t>
      </w:r>
      <w:r>
        <w:rPr>
          <w:rFonts w:ascii="Verdana" w:hAnsi="Verdana"/>
        </w:rPr>
        <w:t xml:space="preserve"> de 7 de julio de 2026 </w:t>
      </w:r>
      <w:r w:rsidRPr="0084712D">
        <w:rPr>
          <w:rFonts w:ascii="Verdana" w:hAnsi="Verdana"/>
        </w:rPr>
        <w:t>en la cual manifiesta lo siguiente:</w:t>
      </w:r>
    </w:p>
    <w:p w14:paraId="6378769E" w14:textId="77777777" w:rsidR="00670238" w:rsidRPr="0084712D" w:rsidRDefault="00670238" w:rsidP="00DA32FF">
      <w:pPr>
        <w:spacing w:after="0" w:line="276" w:lineRule="auto"/>
        <w:jc w:val="both"/>
        <w:rPr>
          <w:rFonts w:ascii="Verdana" w:hAnsi="Verdana"/>
        </w:rPr>
      </w:pPr>
    </w:p>
    <w:p w14:paraId="0CAEFC95" w14:textId="77777777" w:rsidR="00351B00" w:rsidRDefault="00351B00" w:rsidP="00DA32FF">
      <w:pPr>
        <w:spacing w:after="0" w:line="276" w:lineRule="auto"/>
        <w:jc w:val="both"/>
        <w:rPr>
          <w:rFonts w:ascii="Verdana" w:hAnsi="Verdana"/>
        </w:rPr>
      </w:pPr>
      <w:r w:rsidRPr="00E02524">
        <w:rPr>
          <w:rFonts w:ascii="Verdana" w:hAnsi="Verdana"/>
        </w:rPr>
        <w:t xml:space="preserve">PETICIÓN REALIZADA </w:t>
      </w:r>
    </w:p>
    <w:p w14:paraId="77DAF286" w14:textId="77777777" w:rsidR="00670238" w:rsidRDefault="00670238" w:rsidP="00351B00">
      <w:pPr>
        <w:spacing w:after="0" w:line="240" w:lineRule="auto"/>
        <w:ind w:left="851" w:right="758"/>
        <w:jc w:val="both"/>
        <w:rPr>
          <w:rFonts w:ascii="Verdana" w:hAnsi="Verdana"/>
          <w:sz w:val="20"/>
          <w:szCs w:val="20"/>
        </w:rPr>
      </w:pPr>
    </w:p>
    <w:p w14:paraId="301CAA9C" w14:textId="1F6B7101" w:rsidR="00351B00" w:rsidRDefault="00351B00" w:rsidP="00DA32FF">
      <w:pPr>
        <w:spacing w:after="0" w:line="240" w:lineRule="auto"/>
        <w:ind w:left="709" w:right="709"/>
        <w:jc w:val="both"/>
        <w:rPr>
          <w:rFonts w:ascii="Verdana" w:hAnsi="Verdana"/>
          <w:sz w:val="20"/>
          <w:szCs w:val="20"/>
        </w:rPr>
      </w:pPr>
      <w:r>
        <w:rPr>
          <w:rFonts w:ascii="Verdana" w:hAnsi="Verdana"/>
          <w:sz w:val="20"/>
          <w:szCs w:val="20"/>
        </w:rPr>
        <w:t xml:space="preserve">“(…) </w:t>
      </w:r>
      <w:r w:rsidRPr="006D3FD5">
        <w:rPr>
          <w:rFonts w:ascii="Verdana" w:hAnsi="Verdana"/>
          <w:sz w:val="20"/>
          <w:szCs w:val="20"/>
        </w:rPr>
        <w:t>En el Concepto No. 2253 del 28 de junio de 2016, la Sala de Consulta y Servicio Civil del Consejo de Estado concluyó que, vencidos los términos para la liquidación bilateral, unilateral y la caducidad del medio de control de controversias contractuales, la entidad pierde competencia para liquidar el contrato.</w:t>
      </w:r>
    </w:p>
    <w:p w14:paraId="56C9EB47" w14:textId="77777777" w:rsidR="00351B00" w:rsidRDefault="00351B00" w:rsidP="00DA32FF">
      <w:pPr>
        <w:spacing w:after="0" w:line="240" w:lineRule="auto"/>
        <w:ind w:left="709" w:right="709"/>
        <w:jc w:val="both"/>
        <w:rPr>
          <w:rFonts w:ascii="Verdana" w:hAnsi="Verdana"/>
          <w:sz w:val="20"/>
          <w:szCs w:val="20"/>
        </w:rPr>
      </w:pPr>
      <w:r w:rsidRPr="006D3FD5">
        <w:rPr>
          <w:rFonts w:ascii="Verdana" w:hAnsi="Verdana"/>
          <w:sz w:val="20"/>
          <w:szCs w:val="20"/>
        </w:rPr>
        <w:br/>
        <w:t>Con fundamento en dicho criterio, les solicito su apoyo para emitir concepto sobre:</w:t>
      </w:r>
    </w:p>
    <w:p w14:paraId="1B53DD02" w14:textId="77777777" w:rsidR="00351B00" w:rsidRDefault="00351B00" w:rsidP="00DA32FF">
      <w:pPr>
        <w:spacing w:after="0" w:line="240" w:lineRule="auto"/>
        <w:ind w:left="709" w:right="709"/>
        <w:jc w:val="both"/>
        <w:rPr>
          <w:rFonts w:ascii="Verdana" w:hAnsi="Verdana"/>
          <w:sz w:val="20"/>
          <w:szCs w:val="20"/>
        </w:rPr>
      </w:pPr>
      <w:r w:rsidRPr="006D3FD5">
        <w:rPr>
          <w:rFonts w:ascii="Verdana" w:hAnsi="Verdana"/>
          <w:sz w:val="20"/>
          <w:szCs w:val="20"/>
        </w:rPr>
        <w:br/>
        <w:t>¿CCE comparte esa interpretación respecto de la pérdida de competencia para liquidar un contrato estatal una vez vencidos los términos legales?</w:t>
      </w:r>
      <w:r w:rsidRPr="006D3FD5">
        <w:rPr>
          <w:rFonts w:ascii="Verdana" w:hAnsi="Verdana"/>
          <w:sz w:val="20"/>
          <w:szCs w:val="20"/>
        </w:rPr>
        <w:br/>
        <w:t>Si la respuesta es afirmativa, ¿el cierre administrativo del expediente es la actuación procedente cuando ya no es posible liquidar el contrato y constituye una actuación de gestión administrativa, mas no un acto administrativo sujeto a recursos?</w:t>
      </w:r>
    </w:p>
    <w:p w14:paraId="1ADB1414" w14:textId="77777777" w:rsidR="00D7073B" w:rsidRDefault="00D7073B" w:rsidP="00DA32FF">
      <w:pPr>
        <w:spacing w:after="0" w:line="240" w:lineRule="auto"/>
        <w:ind w:left="709" w:right="709"/>
        <w:jc w:val="both"/>
        <w:rPr>
          <w:rFonts w:ascii="Verdana" w:hAnsi="Verdana"/>
          <w:sz w:val="20"/>
          <w:szCs w:val="20"/>
        </w:rPr>
      </w:pPr>
    </w:p>
    <w:p w14:paraId="7B5263E0" w14:textId="0C00EEF0" w:rsidR="00351B00" w:rsidRPr="0022356D" w:rsidRDefault="00351B00" w:rsidP="00DA32FF">
      <w:pPr>
        <w:spacing w:after="0" w:line="240" w:lineRule="auto"/>
        <w:ind w:left="709" w:right="709"/>
        <w:jc w:val="both"/>
        <w:rPr>
          <w:rFonts w:ascii="Verdana" w:hAnsi="Verdana"/>
          <w:sz w:val="20"/>
          <w:szCs w:val="20"/>
        </w:rPr>
      </w:pPr>
      <w:r w:rsidRPr="006D3FD5">
        <w:rPr>
          <w:rFonts w:ascii="Verdana" w:hAnsi="Verdana"/>
          <w:sz w:val="20"/>
          <w:szCs w:val="20"/>
        </w:rPr>
        <w:t>Efectuado dicho cierre y los saneamientos contables y presupuestales, ¿puede la entidad liberar o disponer de los saldos no ejecutados sin que ello constituya una liquidación extemporánea?</w:t>
      </w:r>
      <w:r>
        <w:rPr>
          <w:rFonts w:ascii="Verdana" w:hAnsi="Verdana"/>
          <w:sz w:val="20"/>
          <w:szCs w:val="20"/>
        </w:rPr>
        <w:t xml:space="preserve"> </w:t>
      </w:r>
      <w:r w:rsidRPr="0022356D">
        <w:rPr>
          <w:rFonts w:ascii="Verdana" w:hAnsi="Verdana"/>
          <w:sz w:val="20"/>
          <w:szCs w:val="20"/>
        </w:rPr>
        <w:t>(…)”.</w:t>
      </w:r>
    </w:p>
    <w:p w14:paraId="22CE7386" w14:textId="77777777" w:rsidR="00351B00" w:rsidRPr="00647D77" w:rsidRDefault="00351B00" w:rsidP="00351B00">
      <w:pPr>
        <w:spacing w:after="0" w:line="240" w:lineRule="auto"/>
        <w:ind w:right="709"/>
        <w:jc w:val="both"/>
        <w:rPr>
          <w:rFonts w:ascii="Verdana" w:hAnsi="Verdana"/>
        </w:rPr>
      </w:pPr>
    </w:p>
    <w:p w14:paraId="6532ABED" w14:textId="77777777" w:rsidR="00351B00" w:rsidRDefault="00351B00" w:rsidP="00351B00">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w:t>
      </w:r>
      <w:r w:rsidRPr="00990488">
        <w:rPr>
          <w:rFonts w:ascii="Verdana" w:eastAsia="Calibri" w:hAnsi="Verdana" w:cs="Arial"/>
          <w:color w:val="000000"/>
          <w:lang w:eastAsia="es-ES"/>
        </w:rPr>
        <w:t xml:space="preserve">pública. Esta competencia de interpretación de normas generales, por definición, no puede extenderse a la resolución de controversias, ni a brindar asesorías sobre casos puntuales. </w:t>
      </w:r>
    </w:p>
    <w:p w14:paraId="63FA918A" w14:textId="77777777" w:rsidR="00351B00" w:rsidRPr="00C55831" w:rsidRDefault="00351B00" w:rsidP="00DA32FF">
      <w:pPr>
        <w:spacing w:after="0" w:line="276" w:lineRule="auto"/>
        <w:ind w:firstLine="709"/>
        <w:jc w:val="both"/>
        <w:rPr>
          <w:rFonts w:ascii="Verdana" w:eastAsia="Calibri" w:hAnsi="Verdana" w:cs="Arial"/>
          <w:lang w:eastAsia="es-ES"/>
        </w:rPr>
      </w:pPr>
      <w:r w:rsidRPr="005B0F95">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w:t>
      </w:r>
      <w:r w:rsidRPr="00C55831">
        <w:rPr>
          <w:rFonts w:ascii="Verdana" w:eastAsia="Calibri" w:hAnsi="Verdana" w:cs="Arial"/>
          <w:color w:val="000000"/>
          <w:lang w:eastAsia="es-ES"/>
        </w:rPr>
        <w:t>pero señalando algunas consideraciones sobre las normas generales relacionadas a los problemas jurídicos de su consulta.</w:t>
      </w:r>
      <w:r w:rsidRPr="00C55831">
        <w:rPr>
          <w:rFonts w:ascii="Verdana" w:eastAsia="Calibri" w:hAnsi="Verdana" w:cs="Arial"/>
          <w:lang w:eastAsia="es-ES"/>
        </w:rPr>
        <w:t xml:space="preserve"> </w:t>
      </w:r>
    </w:p>
    <w:p w14:paraId="1EAE514C" w14:textId="77777777" w:rsidR="00351B00" w:rsidRPr="00C55831" w:rsidRDefault="00351B00" w:rsidP="00DA32FF">
      <w:pPr>
        <w:spacing w:after="0" w:line="276" w:lineRule="auto"/>
        <w:ind w:firstLine="709"/>
        <w:jc w:val="both"/>
        <w:rPr>
          <w:rFonts w:ascii="Verdana" w:eastAsia="Calibri" w:hAnsi="Verdana" w:cs="Arial"/>
          <w:color w:val="000000"/>
          <w:szCs w:val="24"/>
          <w:lang w:eastAsia="es-ES_tradnl"/>
        </w:rPr>
      </w:pPr>
    </w:p>
    <w:p w14:paraId="2071953F" w14:textId="77777777" w:rsidR="00351B00" w:rsidRPr="00C55831" w:rsidRDefault="00351B00" w:rsidP="00351B00">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C55831">
        <w:rPr>
          <w:rFonts w:ascii="Verdana" w:eastAsia="Century Gothic" w:hAnsi="Verdana" w:cs="Century Gothic"/>
          <w:b/>
          <w:bCs/>
        </w:rPr>
        <w:t>Problema planteado:</w:t>
      </w:r>
    </w:p>
    <w:p w14:paraId="4077540C" w14:textId="77777777" w:rsidR="00351B00" w:rsidRPr="00C55831" w:rsidRDefault="00351B00" w:rsidP="00DA32FF">
      <w:pPr>
        <w:spacing w:after="0" w:line="276" w:lineRule="auto"/>
        <w:jc w:val="both"/>
        <w:rPr>
          <w:rFonts w:ascii="Verdana" w:eastAsia="Calibri" w:hAnsi="Verdana" w:cs="Arial"/>
          <w:color w:val="000000"/>
          <w:lang w:eastAsia="es-ES"/>
        </w:rPr>
      </w:pPr>
    </w:p>
    <w:p w14:paraId="5988CE8E" w14:textId="77777777" w:rsidR="000C215B" w:rsidRDefault="00351B00" w:rsidP="000C215B">
      <w:pPr>
        <w:spacing w:after="0" w:line="276" w:lineRule="auto"/>
        <w:jc w:val="both"/>
        <w:rPr>
          <w:rFonts w:ascii="Verdana" w:eastAsia="Century Gothic" w:hAnsi="Verdana" w:cs="Century Gothic"/>
        </w:rPr>
      </w:pPr>
      <w:r w:rsidRPr="00C55831">
        <w:rPr>
          <w:rFonts w:ascii="Verdana" w:eastAsia="Calibri" w:hAnsi="Verdana" w:cs="Arial"/>
          <w:color w:val="000000"/>
          <w:lang w:eastAsia="es-ES"/>
        </w:rPr>
        <w:t>De acuerdo con el contenido de su solicitud, esta Agencia resolverá los siguientes problemas jurídicos: i) ¿Cuál es el alcance y competencia en la liquidación de los contratos estatales</w:t>
      </w:r>
      <w:r>
        <w:rPr>
          <w:rFonts w:ascii="Verdana" w:eastAsia="Calibri" w:hAnsi="Verdana" w:cs="Arial"/>
          <w:color w:val="000000"/>
          <w:lang w:eastAsia="es-ES"/>
        </w:rPr>
        <w:t xml:space="preserve"> vencidos los plazos acordados y aquellos dispuestos en la ley? </w:t>
      </w:r>
      <w:proofErr w:type="spellStart"/>
      <w:r>
        <w:rPr>
          <w:rFonts w:ascii="Verdana" w:eastAsia="Calibri" w:hAnsi="Verdana" w:cs="Arial"/>
          <w:color w:val="000000"/>
          <w:lang w:eastAsia="es-ES"/>
        </w:rPr>
        <w:t>ii</w:t>
      </w:r>
      <w:proofErr w:type="spellEnd"/>
      <w:r>
        <w:rPr>
          <w:rFonts w:ascii="Verdana" w:eastAsia="Calibri" w:hAnsi="Verdana" w:cs="Arial"/>
          <w:color w:val="000000"/>
          <w:lang w:eastAsia="es-ES"/>
        </w:rPr>
        <w:t>) ¿</w:t>
      </w:r>
      <w:r>
        <w:rPr>
          <w:rFonts w:ascii="Verdana" w:eastAsia="Century Gothic" w:hAnsi="Verdana" w:cs="Century Gothic"/>
        </w:rPr>
        <w:t xml:space="preserve">El cierre del expediente del proceso de contratación está condicionado por la liquidación oportuna de los contratos estatales? </w:t>
      </w:r>
      <w:proofErr w:type="spellStart"/>
      <w:r>
        <w:rPr>
          <w:rFonts w:ascii="Verdana" w:eastAsia="Century Gothic" w:hAnsi="Verdana" w:cs="Century Gothic"/>
        </w:rPr>
        <w:t>iii</w:t>
      </w:r>
      <w:proofErr w:type="spellEnd"/>
      <w:r>
        <w:rPr>
          <w:rFonts w:ascii="Verdana" w:eastAsia="Century Gothic" w:hAnsi="Verdana" w:cs="Century Gothic"/>
        </w:rPr>
        <w:t xml:space="preserve">) ¿La entidad debe liberar los recursos presupuestales sin que sea considerada una liquidación? </w:t>
      </w:r>
    </w:p>
    <w:p w14:paraId="3CE0391C" w14:textId="58A1FD8C" w:rsidR="00351B00" w:rsidRDefault="00351B00" w:rsidP="004B005B">
      <w:pPr>
        <w:spacing w:after="0" w:line="276" w:lineRule="auto"/>
        <w:jc w:val="both"/>
        <w:rPr>
          <w:rFonts w:ascii="Verdana" w:eastAsia="Century Gothic" w:hAnsi="Verdana" w:cs="Century Gothic"/>
        </w:rPr>
      </w:pPr>
      <w:r>
        <w:rPr>
          <w:rFonts w:ascii="Verdana" w:eastAsia="Century Gothic" w:hAnsi="Verdana" w:cs="Century Gothic"/>
        </w:rPr>
        <w:t xml:space="preserve">  </w:t>
      </w:r>
    </w:p>
    <w:p w14:paraId="00FBBE78" w14:textId="77777777" w:rsidR="00351B00" w:rsidRPr="00321DC0" w:rsidRDefault="00351B00" w:rsidP="004B005B">
      <w:pPr>
        <w:spacing w:after="0" w:line="276" w:lineRule="auto"/>
        <w:jc w:val="both"/>
        <w:rPr>
          <w:rFonts w:ascii="Verdana" w:eastAsia="Century Gothic" w:hAnsi="Verdana" w:cs="Century Gothic"/>
        </w:rPr>
      </w:pPr>
      <w:r w:rsidRPr="00B33011">
        <w:rPr>
          <w:rFonts w:ascii="Verdana" w:eastAsia="Century Gothic" w:hAnsi="Verdana" w:cs="Century Gothic"/>
          <w:b/>
          <w:bCs/>
        </w:rPr>
        <w:t>2. Respuesta:</w:t>
      </w:r>
    </w:p>
    <w:p w14:paraId="54C6A628" w14:textId="77777777" w:rsidR="00351B00" w:rsidRPr="00185290" w:rsidRDefault="00351B00" w:rsidP="00351B00">
      <w:pPr>
        <w:spacing w:after="0" w:line="276" w:lineRule="auto"/>
        <w:jc w:val="both"/>
        <w:rPr>
          <w:rFonts w:ascii="Verdana" w:eastAsia="Century Gothic" w:hAnsi="Verdana" w:cs="Century Gothic"/>
        </w:rPr>
      </w:pPr>
    </w:p>
    <w:tbl>
      <w:tblPr>
        <w:tblStyle w:val="Tablaconcuadrcula"/>
        <w:tblW w:w="0" w:type="auto"/>
        <w:tblLook w:val="04A0" w:firstRow="1" w:lastRow="0" w:firstColumn="1" w:lastColumn="0" w:noHBand="0" w:noVBand="1"/>
      </w:tblPr>
      <w:tblGrid>
        <w:gridCol w:w="8828"/>
      </w:tblGrid>
      <w:tr w:rsidR="00351B00" w:rsidRPr="005644FE" w14:paraId="283C0A9C" w14:textId="77777777" w:rsidTr="00C74AA7">
        <w:tc>
          <w:tcPr>
            <w:tcW w:w="8828" w:type="dxa"/>
          </w:tcPr>
          <w:p w14:paraId="63E13EF2" w14:textId="77777777" w:rsidR="00351B00" w:rsidRDefault="00351B00" w:rsidP="00C74AA7">
            <w:pPr>
              <w:spacing w:after="120" w:line="276" w:lineRule="auto"/>
              <w:jc w:val="both"/>
              <w:rPr>
                <w:rFonts w:ascii="Verdana" w:eastAsia="Calibri" w:hAnsi="Verdana" w:cs="Arial"/>
                <w:color w:val="000000"/>
                <w:lang w:val="es-ES" w:eastAsia="es-ES"/>
              </w:rPr>
            </w:pPr>
            <w:r>
              <w:rPr>
                <w:rFonts w:ascii="Verdana" w:eastAsia="Calibri" w:hAnsi="Verdana" w:cs="Arial"/>
                <w:bCs/>
                <w:color w:val="000000" w:themeColor="text1"/>
              </w:rPr>
              <w:t>i</w:t>
            </w:r>
            <w:r>
              <w:rPr>
                <w:rFonts w:eastAsia="Calibri"/>
                <w:bCs/>
                <w:color w:val="000000" w:themeColor="text1"/>
              </w:rPr>
              <w:t xml:space="preserve">) </w:t>
            </w:r>
            <w:r>
              <w:rPr>
                <w:rFonts w:ascii="Verdana" w:eastAsia="Calibri" w:hAnsi="Verdana" w:cs="Arial"/>
                <w:bCs/>
                <w:color w:val="000000" w:themeColor="text1"/>
              </w:rPr>
              <w:t>C</w:t>
            </w:r>
            <w:r w:rsidRPr="000955E3">
              <w:rPr>
                <w:rFonts w:ascii="Verdana" w:eastAsia="Calibri" w:hAnsi="Verdana" w:cs="Arial"/>
                <w:bCs/>
                <w:color w:val="000000" w:themeColor="text1"/>
              </w:rPr>
              <w:t>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sidRPr="00851576">
              <w:rPr>
                <w:rFonts w:ascii="Verdana" w:eastAsia="Calibri" w:hAnsi="Verdana" w:cs="Arial"/>
                <w:color w:val="000000"/>
                <w:lang w:val="es-ES" w:eastAsia="es-ES"/>
              </w:rPr>
              <w:t xml:space="preserve">dentro de los límites previstos en el </w:t>
            </w:r>
            <w:r>
              <w:rPr>
                <w:rFonts w:ascii="Verdana" w:eastAsia="Calibri" w:hAnsi="Verdana" w:cs="Arial"/>
                <w:color w:val="000000"/>
                <w:lang w:val="es-ES" w:eastAsia="es-ES"/>
              </w:rPr>
              <w:t xml:space="preserve">literal j) del </w:t>
            </w:r>
            <w:r w:rsidRPr="00851576">
              <w:rPr>
                <w:rFonts w:ascii="Verdana" w:eastAsia="Calibri" w:hAnsi="Verdana" w:cs="Arial"/>
                <w:color w:val="000000"/>
                <w:lang w:val="es-ES" w:eastAsia="es-ES"/>
              </w:rPr>
              <w:t>artículo 164</w:t>
            </w:r>
            <w:r>
              <w:rPr>
                <w:rFonts w:ascii="Verdana" w:eastAsia="Calibri" w:hAnsi="Verdana" w:cs="Arial"/>
                <w:color w:val="000000"/>
                <w:lang w:val="es-ES" w:eastAsia="es-ES"/>
              </w:rPr>
              <w:t>.2</w:t>
            </w:r>
            <w:r w:rsidRPr="00851576">
              <w:rPr>
                <w:rFonts w:ascii="Verdana" w:eastAsia="Calibri" w:hAnsi="Verdana" w:cs="Arial"/>
                <w:color w:val="000000"/>
                <w:lang w:val="es-ES" w:eastAsia="es-ES"/>
              </w:rPr>
              <w:t xml:space="preserve"> de la Ley 1437 de 2011</w:t>
            </w:r>
            <w:r>
              <w:rPr>
                <w:rFonts w:ascii="Verdana" w:eastAsia="Calibri" w:hAnsi="Verdana" w:cs="Arial"/>
                <w:color w:val="000000"/>
                <w:lang w:val="es-ES" w:eastAsia="es-ES"/>
              </w:rPr>
              <w:t xml:space="preserve">, es posible liquidar bilateral o unilateralmente siempre que no haya caducado medio de control de controversias contractuales. Lo anterior, aunque haya pasado el término previsto en los documentos del proceso o el supletivo de cuatro (4) meses –tratándose de la liquidación bilateral–, así como el plazo de dos (2) meses –tratándose de la liquidación unilateral–. </w:t>
            </w:r>
          </w:p>
          <w:p w14:paraId="5338BD3A" w14:textId="77777777" w:rsidR="00351B00" w:rsidRDefault="00351B00" w:rsidP="00C74AA7">
            <w:pPr>
              <w:spacing w:after="120" w:line="276" w:lineRule="auto"/>
              <w:ind w:firstLine="733"/>
              <w:jc w:val="both"/>
              <w:rPr>
                <w:rFonts w:ascii="Verdana" w:eastAsia="Calibri" w:hAnsi="Verdana" w:cs="Arial"/>
                <w:color w:val="000000"/>
                <w:lang w:val="es-ES" w:eastAsia="es-ES"/>
              </w:rPr>
            </w:pPr>
            <w:r>
              <w:rPr>
                <w:rFonts w:ascii="Verdana" w:eastAsia="Calibri" w:hAnsi="Verdana" w:cs="Arial"/>
                <w:color w:val="000000"/>
                <w:lang w:val="es-ES" w:eastAsia="es-ES"/>
              </w:rPr>
              <w:t xml:space="preserve">Cualquier liquidación efectuada después de la caducidad del medio de control implica la pérdida de competencia temporal, por lo que está viciada de nulidad. En este caso, el plazo correspondiente se rige por el </w:t>
            </w:r>
            <w:r w:rsidRPr="00E8503C">
              <w:rPr>
                <w:rFonts w:ascii="Verdana" w:eastAsia="Calibri" w:hAnsi="Verdana" w:cs="Arial"/>
                <w:color w:val="000000"/>
                <w:lang w:val="es-ES" w:eastAsia="es-ES"/>
              </w:rPr>
              <w:t>ap</w:t>
            </w:r>
            <w:r>
              <w:rPr>
                <w:rFonts w:ascii="Verdana" w:eastAsia="Calibri" w:hAnsi="Verdana" w:cs="Arial"/>
                <w:color w:val="000000"/>
                <w:lang w:val="es-ES" w:eastAsia="es-ES"/>
              </w:rPr>
              <w:t>artado</w:t>
            </w:r>
            <w:r w:rsidRPr="00E8503C">
              <w:rPr>
                <w:rFonts w:ascii="Verdana" w:eastAsia="Calibri" w:hAnsi="Verdana" w:cs="Arial"/>
                <w:color w:val="000000"/>
                <w:lang w:val="es-ES" w:eastAsia="es-ES"/>
              </w:rPr>
              <w:t xml:space="preserve"> </w:t>
            </w:r>
            <w:r>
              <w:rPr>
                <w:rFonts w:ascii="Verdana" w:eastAsia="Calibri" w:hAnsi="Verdana" w:cs="Arial"/>
                <w:color w:val="000000"/>
                <w:lang w:val="es-ES" w:eastAsia="es-ES"/>
              </w:rPr>
              <w:t xml:space="preserve">v </w:t>
            </w:r>
            <w:r w:rsidRPr="00E8503C">
              <w:rPr>
                <w:rFonts w:ascii="Verdana" w:eastAsia="Calibri" w:hAnsi="Verdana" w:cs="Arial"/>
                <w:color w:val="000000"/>
                <w:lang w:val="es-ES" w:eastAsia="es-ES"/>
              </w:rPr>
              <w:t xml:space="preserve">del literal </w:t>
            </w:r>
            <w:r>
              <w:rPr>
                <w:rFonts w:ascii="Verdana" w:eastAsia="Calibri" w:hAnsi="Verdana" w:cs="Arial"/>
                <w:color w:val="000000"/>
                <w:lang w:val="es-ES" w:eastAsia="es-ES"/>
              </w:rPr>
              <w:t>j)</w:t>
            </w:r>
            <w:r w:rsidRPr="00E8503C">
              <w:rPr>
                <w:rFonts w:ascii="Verdana" w:eastAsia="Calibri" w:hAnsi="Verdana" w:cs="Arial"/>
                <w:color w:val="000000"/>
                <w:lang w:val="es-ES" w:eastAsia="es-ES"/>
              </w:rPr>
              <w:t xml:space="preserve"> del numeral 2 del artículo 164 del CPACA</w:t>
            </w:r>
            <w:r>
              <w:rPr>
                <w:rFonts w:ascii="Verdana" w:eastAsia="Calibri" w:hAnsi="Verdana" w:cs="Arial"/>
                <w:color w:val="000000"/>
                <w:lang w:val="es-ES" w:eastAsia="es-ES"/>
              </w:rPr>
              <w:t>, de manera que e</w:t>
            </w:r>
            <w:r w:rsidRPr="00E8503C">
              <w:rPr>
                <w:rFonts w:ascii="Verdana" w:eastAsia="Calibri" w:hAnsi="Verdana" w:cs="Arial"/>
                <w:color w:val="000000"/>
                <w:lang w:val="es-ES" w:eastAsia="es-ES"/>
              </w:rPr>
              <w:t>n los</w:t>
            </w:r>
            <w:r>
              <w:rPr>
                <w:rFonts w:ascii="Verdana" w:eastAsia="Calibri" w:hAnsi="Verdana" w:cs="Arial"/>
                <w:color w:val="000000"/>
                <w:lang w:val="es-ES" w:eastAsia="es-ES"/>
              </w:rPr>
              <w:t xml:space="preserve"> contratos</w:t>
            </w:r>
            <w:r w:rsidRPr="00E8503C">
              <w:rPr>
                <w:rFonts w:ascii="Verdana" w:eastAsia="Calibri" w:hAnsi="Verdana" w:cs="Arial"/>
                <w:color w:val="000000"/>
                <w:lang w:val="es-ES" w:eastAsia="es-ES"/>
              </w:rPr>
              <w:t xml:space="preserve"> que requieran de liquidación y esta no se logre por mutuo acuerdo o no se practique por la administración unilateralmente</w:t>
            </w:r>
            <w:r>
              <w:rPr>
                <w:rFonts w:ascii="Verdana" w:eastAsia="Calibri" w:hAnsi="Verdana" w:cs="Arial"/>
                <w:color w:val="000000"/>
                <w:lang w:val="es-ES" w:eastAsia="es-ES"/>
              </w:rPr>
              <w:t>, la caducidad se presenta dentro de los dos (2) años siguientes al vencimiento de ambos.</w:t>
            </w:r>
          </w:p>
          <w:p w14:paraId="42C048D1" w14:textId="0D5AA974" w:rsidR="00351B00" w:rsidRPr="00E8503C" w:rsidRDefault="00351B00" w:rsidP="00A8688C">
            <w:pPr>
              <w:spacing w:line="276" w:lineRule="auto"/>
              <w:ind w:firstLine="733"/>
              <w:jc w:val="both"/>
              <w:rPr>
                <w:rFonts w:ascii="Verdana" w:eastAsia="Calibri" w:hAnsi="Verdana" w:cs="Arial"/>
                <w:color w:val="000000"/>
                <w:lang w:val="es-ES" w:eastAsia="es-ES"/>
              </w:rPr>
            </w:pPr>
            <w:r>
              <w:rPr>
                <w:rFonts w:ascii="Verdana" w:eastAsia="Calibri" w:hAnsi="Verdana" w:cs="Arial"/>
                <w:color w:val="000000"/>
                <w:lang w:val="es-ES" w:eastAsia="es-ES"/>
              </w:rPr>
              <w:t xml:space="preserve">Es decir, no aplica el término de caducidad del apartado </w:t>
            </w:r>
            <w:proofErr w:type="spellStart"/>
            <w:r>
              <w:rPr>
                <w:rFonts w:ascii="Verdana" w:eastAsia="Calibri" w:hAnsi="Verdana" w:cs="Arial"/>
                <w:color w:val="000000"/>
                <w:lang w:val="es-ES" w:eastAsia="es-ES"/>
              </w:rPr>
              <w:t>iii</w:t>
            </w:r>
            <w:proofErr w:type="spellEnd"/>
            <w:r>
              <w:rPr>
                <w:rFonts w:ascii="Verdana" w:eastAsia="Calibri" w:hAnsi="Verdana" w:cs="Arial"/>
                <w:color w:val="000000"/>
                <w:lang w:val="es-ES" w:eastAsia="es-ES"/>
              </w:rPr>
              <w:t xml:space="preserve"> </w:t>
            </w:r>
            <w:r w:rsidRPr="00735716">
              <w:rPr>
                <w:rFonts w:ascii="Verdana" w:eastAsia="Calibri" w:hAnsi="Verdana" w:cs="Arial"/>
                <w:i/>
                <w:iCs/>
                <w:color w:val="000000"/>
                <w:lang w:val="es-ES" w:eastAsia="es-ES"/>
              </w:rPr>
              <w:t>ibidem</w:t>
            </w:r>
            <w:r>
              <w:rPr>
                <w:rFonts w:ascii="Verdana" w:eastAsia="Calibri" w:hAnsi="Verdana" w:cs="Arial"/>
                <w:color w:val="000000"/>
                <w:lang w:val="es-ES" w:eastAsia="es-ES"/>
              </w:rPr>
              <w:t xml:space="preserve">. Lo anterior en la medida que, conforme al Auto de Unificación del 1˚ de agosto de 2019, rad. 62009, con ponencia del </w:t>
            </w:r>
            <w:proofErr w:type="gramStart"/>
            <w:r>
              <w:rPr>
                <w:rFonts w:ascii="Verdana" w:eastAsia="Calibri" w:hAnsi="Verdana" w:cs="Arial"/>
                <w:color w:val="000000"/>
                <w:lang w:val="es-ES" w:eastAsia="es-ES"/>
              </w:rPr>
              <w:t>Consejero</w:t>
            </w:r>
            <w:proofErr w:type="gramEnd"/>
            <w:r>
              <w:rPr>
                <w:rFonts w:ascii="Verdana" w:eastAsia="Calibri" w:hAnsi="Verdana" w:cs="Arial"/>
                <w:color w:val="000000"/>
                <w:lang w:val="es-ES" w:eastAsia="es-ES"/>
              </w:rPr>
              <w:t xml:space="preserve"> J</w:t>
            </w:r>
            <w:r w:rsidRPr="00735716">
              <w:rPr>
                <w:rFonts w:ascii="Verdana" w:eastAsia="Calibri" w:hAnsi="Verdana" w:cs="Arial"/>
                <w:color w:val="000000"/>
                <w:lang w:val="es-ES" w:eastAsia="es-ES"/>
              </w:rPr>
              <w:t>aime Enrique Rodríguez Navas</w:t>
            </w:r>
            <w:r>
              <w:rPr>
                <w:rFonts w:ascii="Verdana" w:eastAsia="Calibri" w:hAnsi="Verdana" w:cs="Arial"/>
                <w:color w:val="000000"/>
                <w:lang w:val="es-ES" w:eastAsia="es-ES"/>
              </w:rPr>
              <w:t>, se decidió lo siguiente: “</w:t>
            </w:r>
            <w:r w:rsidRPr="00735716">
              <w:rPr>
                <w:rFonts w:ascii="Verdana" w:eastAsia="Calibri" w:hAnsi="Verdana" w:cs="Arial"/>
                <w:color w:val="000000"/>
                <w:lang w:val="es-ES" w:eastAsia="es-ES"/>
              </w:rPr>
              <w:t xml:space="preserve">UNIFÍCASE la jurisprudencia de la Sección Tercera del Consejo de Estado, en relación con el término de caducidad del medio de control de controversias contractuales de contratos que han sido liquidados después de haber vencido el término convencional y-o legalmente dispuesto para su liquidación, pero dentro de los dos años posteriores al vencimiento de este último. </w:t>
            </w:r>
            <w:r w:rsidRPr="00735716">
              <w:rPr>
                <w:rFonts w:ascii="Verdana" w:eastAsia="Calibri" w:hAnsi="Verdana" w:cs="Arial"/>
                <w:i/>
                <w:iCs/>
                <w:color w:val="000000"/>
                <w:lang w:val="es-ES" w:eastAsia="es-ES"/>
              </w:rPr>
              <w:t xml:space="preserve">La Sala unifica el criterio que ha de ser observado para  el conteo del término de caducidad del medio de control de controversias contractuales en tales casos, para indicar que éste debe iniciar a partir del día siguiente al de la firma del acta o de la ejecutoria del acto de liquidación del contrato, conforme al ap. </w:t>
            </w:r>
            <w:proofErr w:type="spellStart"/>
            <w:r w:rsidRPr="00735716">
              <w:rPr>
                <w:rFonts w:ascii="Verdana" w:eastAsia="Calibri" w:hAnsi="Verdana" w:cs="Arial"/>
                <w:i/>
                <w:iCs/>
                <w:color w:val="000000"/>
                <w:lang w:val="es-ES" w:eastAsia="es-ES"/>
              </w:rPr>
              <w:t>iii</w:t>
            </w:r>
            <w:proofErr w:type="spellEnd"/>
            <w:r w:rsidRPr="00735716">
              <w:rPr>
                <w:rFonts w:ascii="Verdana" w:eastAsia="Calibri" w:hAnsi="Verdana" w:cs="Arial"/>
                <w:i/>
                <w:iCs/>
                <w:color w:val="000000"/>
                <w:lang w:val="es-ES" w:eastAsia="es-ES"/>
              </w:rPr>
              <w:t xml:space="preserve"> del literal j. del numeral 2 del artículo 164 del CPACA; y de precisar que, en consecuencia, el apartado v) del literal j del mismo numeral solo se deberá aplicar cuando al momento de interponerse la demanda, el operador judicial encuentre que no hubo liquidación contractual alguna</w:t>
            </w:r>
            <w:r>
              <w:rPr>
                <w:rFonts w:ascii="Verdana" w:eastAsia="Calibri" w:hAnsi="Verdana" w:cs="Arial"/>
                <w:color w:val="000000"/>
                <w:lang w:val="es-ES" w:eastAsia="es-ES"/>
              </w:rPr>
              <w:t xml:space="preserve">” (Énfasis fuera de texto). </w:t>
            </w:r>
          </w:p>
          <w:p w14:paraId="6A2381E2" w14:textId="77777777" w:rsidR="00A8688C" w:rsidRPr="00E8503C" w:rsidRDefault="00A8688C" w:rsidP="004B005B">
            <w:pPr>
              <w:spacing w:line="276" w:lineRule="auto"/>
              <w:ind w:firstLine="733"/>
              <w:jc w:val="both"/>
              <w:rPr>
                <w:rFonts w:ascii="Verdana" w:eastAsia="Calibri" w:hAnsi="Verdana" w:cs="Arial"/>
                <w:color w:val="000000"/>
                <w:lang w:val="es-ES" w:eastAsia="es-ES"/>
              </w:rPr>
            </w:pPr>
          </w:p>
          <w:p w14:paraId="65B63F3C" w14:textId="6F3AA486" w:rsidR="00351B00" w:rsidRDefault="00351B00" w:rsidP="00A8688C">
            <w:pPr>
              <w:spacing w:line="276" w:lineRule="auto"/>
              <w:jc w:val="both"/>
              <w:rPr>
                <w:rFonts w:ascii="Verdana" w:eastAsia="Calibri" w:hAnsi="Verdana" w:cs="Arial"/>
                <w:bCs/>
                <w:color w:val="000000" w:themeColor="text1"/>
                <w:lang w:val="es-ES_tradnl"/>
              </w:rPr>
            </w:pPr>
            <w:proofErr w:type="spellStart"/>
            <w:r>
              <w:rPr>
                <w:rFonts w:ascii="Verdana" w:eastAsia="Calibri" w:hAnsi="Verdana" w:cs="Arial"/>
                <w:lang w:val="es-ES"/>
              </w:rPr>
              <w:t>ii</w:t>
            </w:r>
            <w:proofErr w:type="spellEnd"/>
            <w:r>
              <w:rPr>
                <w:rFonts w:ascii="Verdana" w:eastAsia="Calibri" w:hAnsi="Verdana" w:cs="Arial"/>
                <w:lang w:val="es-ES"/>
              </w:rPr>
              <w:t xml:space="preserve">) Por lo demás, de conformidad con el artículo </w:t>
            </w:r>
            <w:r w:rsidRPr="004A403F">
              <w:rPr>
                <w:rFonts w:ascii="Verdana" w:eastAsia="Calibri" w:hAnsi="Verdana" w:cs="Arial"/>
                <w:lang w:val="es-ES"/>
              </w:rPr>
              <w:t>2.2.1.1.2.4.3</w:t>
            </w:r>
            <w:r>
              <w:rPr>
                <w:rFonts w:ascii="Verdana" w:eastAsia="Calibri" w:hAnsi="Verdana" w:cs="Arial"/>
                <w:lang w:val="es-ES"/>
              </w:rPr>
              <w:t xml:space="preserve"> del Decreto 1082 de 2015, </w:t>
            </w:r>
            <w:r w:rsidRPr="009A60F7">
              <w:rPr>
                <w:rFonts w:ascii="Verdana" w:hAnsi="Verdana" w:cs="Arial"/>
              </w:rPr>
              <w:t>el cierre del expediente del proceso de contratación es obligatorio cuando el contrato estatal exige las garantías de calidad, estabilidad o mantenimiento, o cuando la entidad establezca condiciones de disposición final o recuperación ambiental de las obras o bienes contratados. Una vez cumplidas tales condiciones surge el deber de dejar constancia del correspondiente acto de cierre del expediente contractual, ya sea que el contrato se hubiere liquidado o no.</w:t>
            </w:r>
            <w:r>
              <w:rPr>
                <w:rFonts w:ascii="Verdana" w:eastAsia="Calibri" w:hAnsi="Verdana" w:cs="Arial"/>
                <w:bCs/>
                <w:color w:val="000000" w:themeColor="text1"/>
                <w:lang w:val="es-ES_tradnl"/>
              </w:rPr>
              <w:t xml:space="preserve"> Para la acreditación de las circunstancias mencionadas en el Decreto Único Reglamentario del Sector Administrativo de Planeación Nacional, las actuaciones y soportes documentales necesarios para el cierre serán las que se definan en los instructivos internos de las entidades estatales de acuerdo con su manual de contratación. </w:t>
            </w:r>
          </w:p>
          <w:p w14:paraId="37C69853" w14:textId="77777777" w:rsidR="00A8688C" w:rsidRDefault="00A8688C" w:rsidP="004B005B">
            <w:pPr>
              <w:spacing w:line="276" w:lineRule="auto"/>
              <w:jc w:val="both"/>
              <w:rPr>
                <w:rFonts w:ascii="Verdana" w:eastAsia="Calibri" w:hAnsi="Verdana" w:cs="Arial"/>
                <w:bCs/>
                <w:color w:val="000000" w:themeColor="text1"/>
                <w:lang w:val="es-ES_tradnl"/>
              </w:rPr>
            </w:pPr>
          </w:p>
          <w:p w14:paraId="1BA4BB50" w14:textId="77777777" w:rsidR="00351B00" w:rsidRDefault="00351B00" w:rsidP="004B005B">
            <w:pPr>
              <w:tabs>
                <w:tab w:val="left" w:pos="142"/>
                <w:tab w:val="left" w:pos="284"/>
                <w:tab w:val="left" w:pos="6975"/>
              </w:tabs>
              <w:spacing w:after="120" w:line="276" w:lineRule="auto"/>
              <w:jc w:val="both"/>
              <w:rPr>
                <w:rFonts w:ascii="Verdana" w:eastAsia="Calibri" w:hAnsi="Verdana" w:cs="Arial"/>
              </w:rPr>
            </w:pPr>
            <w:proofErr w:type="spellStart"/>
            <w:r>
              <w:rPr>
                <w:rFonts w:ascii="Verdana" w:eastAsia="Calibri" w:hAnsi="Verdana" w:cs="Arial"/>
              </w:rPr>
              <w:t>iii</w:t>
            </w:r>
            <w:proofErr w:type="spellEnd"/>
            <w:r>
              <w:rPr>
                <w:rFonts w:ascii="Verdana" w:eastAsia="Calibri" w:hAnsi="Verdana" w:cs="Arial"/>
              </w:rPr>
              <w:t xml:space="preserve">) En cuanto al tercer problema jurídico, la entidad deberá analizar en cada caso en concreto según determine sus manuales internos el procedimiento para liberar los saldos teniendo en consideración las normas presupuestales al respecto. Lo anterior no implicaría una liquidación sino por el contrario un trámite interno que la entidad estatal efectuará para efectos presupuestales.  </w:t>
            </w:r>
          </w:p>
          <w:p w14:paraId="770C26DE" w14:textId="77777777" w:rsidR="00351B00" w:rsidRPr="001F2F6D" w:rsidRDefault="00351B00" w:rsidP="004B005B">
            <w:pPr>
              <w:tabs>
                <w:tab w:val="left" w:pos="142"/>
                <w:tab w:val="left" w:pos="284"/>
                <w:tab w:val="left" w:pos="6975"/>
              </w:tabs>
              <w:spacing w:line="276" w:lineRule="auto"/>
              <w:ind w:firstLine="709"/>
              <w:jc w:val="both"/>
              <w:rPr>
                <w:rFonts w:ascii="Verdana" w:eastAsia="Calibri" w:hAnsi="Verdana" w:cs="Arial"/>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226FD52C" w14:textId="77777777" w:rsidR="00351B00" w:rsidRDefault="00351B00" w:rsidP="00351B00">
      <w:pPr>
        <w:tabs>
          <w:tab w:val="left" w:pos="142"/>
          <w:tab w:val="left" w:pos="284"/>
        </w:tabs>
        <w:spacing w:after="0" w:line="276" w:lineRule="auto"/>
        <w:jc w:val="both"/>
        <w:rPr>
          <w:rFonts w:ascii="Verdana" w:eastAsia="Century Gothic" w:hAnsi="Verdana" w:cs="Century Gothic"/>
          <w:b/>
          <w:bCs/>
        </w:rPr>
      </w:pPr>
    </w:p>
    <w:p w14:paraId="3751ABF0" w14:textId="77777777" w:rsidR="00351B00" w:rsidRDefault="00351B00" w:rsidP="00351B00">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07652E4B" w14:textId="37370A9A" w:rsidR="00351B00" w:rsidRDefault="00351B00" w:rsidP="00351B00">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559E8897" w14:textId="77777777" w:rsidR="008377A8" w:rsidRDefault="008377A8" w:rsidP="00D2142E">
      <w:pPr>
        <w:tabs>
          <w:tab w:val="left" w:pos="142"/>
          <w:tab w:val="left" w:pos="284"/>
          <w:tab w:val="left" w:pos="6975"/>
        </w:tabs>
        <w:spacing w:after="0" w:line="276" w:lineRule="auto"/>
        <w:jc w:val="both"/>
        <w:rPr>
          <w:rFonts w:ascii="Verdana" w:eastAsia="Calibri" w:hAnsi="Verdana" w:cs="Arial"/>
        </w:rPr>
      </w:pPr>
    </w:p>
    <w:p w14:paraId="51BFB173" w14:textId="77777777" w:rsidR="00351B00" w:rsidRPr="00FB5FC4" w:rsidRDefault="00351B00" w:rsidP="00351B00">
      <w:pPr>
        <w:spacing w:after="0" w:line="276" w:lineRule="auto"/>
        <w:jc w:val="both"/>
        <w:rPr>
          <w:rFonts w:ascii="Verdana" w:eastAsia="Calibri" w:hAnsi="Verdana" w:cs="Arial"/>
          <w:color w:val="000000"/>
          <w:lang w:val="es-ES_tradnl"/>
        </w:rPr>
      </w:pPr>
      <w:r>
        <w:rPr>
          <w:rFonts w:ascii="Verdana" w:eastAsia="Calibri" w:hAnsi="Verdana" w:cs="Arial"/>
          <w:color w:val="000000"/>
          <w:lang w:val="es-ES_tradnl"/>
        </w:rPr>
        <w:t xml:space="preserve">i) </w:t>
      </w:r>
      <w:r w:rsidRPr="00FB5FC4">
        <w:rPr>
          <w:rFonts w:ascii="Verdana" w:eastAsia="Calibri" w:hAnsi="Verdana" w:cs="Arial"/>
          <w:color w:val="000000"/>
          <w:lang w:val="es-ES_tradnl"/>
        </w:rPr>
        <w:t>La liquidación es</w:t>
      </w:r>
      <w:r>
        <w:rPr>
          <w:rFonts w:ascii="Verdana" w:eastAsia="Calibri" w:hAnsi="Verdana" w:cs="Arial"/>
          <w:color w:val="000000"/>
          <w:lang w:val="es-ES_tradnl"/>
        </w:rPr>
        <w:t xml:space="preserve"> una fase del proceso de contratación en que,</w:t>
      </w:r>
      <w:r w:rsidRPr="00FB5FC4">
        <w:rPr>
          <w:rFonts w:ascii="Verdana" w:eastAsia="Calibri" w:hAnsi="Verdana" w:cs="Arial"/>
          <w:color w:val="000000"/>
          <w:lang w:val="es-ES_tradnl"/>
        </w:rPr>
        <w:t xml:space="preserve"> una vez concluido el contrato estatal, las partes cruzan cuentas respecto de sus obligaciones</w:t>
      </w:r>
      <w:r>
        <w:rPr>
          <w:rFonts w:ascii="Verdana" w:eastAsia="Calibri" w:hAnsi="Verdana" w:cs="Arial"/>
          <w:color w:val="000000"/>
          <w:lang w:val="es-ES_tradnl"/>
        </w:rPr>
        <w:t>.</w:t>
      </w:r>
      <w:r w:rsidRPr="00FB5FC4">
        <w:rPr>
          <w:rFonts w:ascii="Verdana" w:eastAsia="Calibri" w:hAnsi="Verdana" w:cs="Arial"/>
          <w:color w:val="000000"/>
          <w:lang w:val="es-ES_tradnl"/>
        </w:rPr>
        <w:t xml:space="preserve"> </w:t>
      </w:r>
      <w:r>
        <w:rPr>
          <w:rFonts w:ascii="Verdana" w:eastAsia="Calibri" w:hAnsi="Verdana" w:cs="Arial"/>
          <w:color w:val="000000"/>
          <w:lang w:val="es-ES_tradnl"/>
        </w:rPr>
        <w:t>P</w:t>
      </w:r>
      <w:r w:rsidRPr="00FB5FC4">
        <w:rPr>
          <w:rFonts w:ascii="Verdana" w:eastAsia="Calibri" w:hAnsi="Verdana" w:cs="Arial"/>
          <w:color w:val="000000"/>
          <w:lang w:val="es-ES_tradnl"/>
        </w:rPr>
        <w:t xml:space="preserve">or tanto, su objetivo es determinar si pueden declararse a paz y salvo mutuo o si, por el contrario, existen aún obligaciones por cumplir, para acordar la forma en que deben ser </w:t>
      </w:r>
      <w:r>
        <w:rPr>
          <w:rFonts w:ascii="Verdana" w:eastAsia="Calibri" w:hAnsi="Verdana" w:cs="Arial"/>
          <w:color w:val="000000"/>
          <w:lang w:val="es-ES_tradnl"/>
        </w:rPr>
        <w:t>finalizadas</w:t>
      </w:r>
      <w:r w:rsidRPr="00FB5FC4">
        <w:rPr>
          <w:rFonts w:ascii="Verdana" w:eastAsia="Calibri" w:hAnsi="Verdana" w:cs="Arial"/>
          <w:color w:val="000000"/>
          <w:vertAlign w:val="superscript"/>
          <w:lang w:val="es-ES_tradnl"/>
        </w:rPr>
        <w:footnoteReference w:id="1"/>
      </w:r>
      <w:r w:rsidRPr="00FB5FC4">
        <w:rPr>
          <w:rFonts w:ascii="Verdana" w:eastAsia="Calibri" w:hAnsi="Verdana" w:cs="Arial"/>
          <w:color w:val="000000"/>
          <w:lang w:val="es-ES_tradnl"/>
        </w:rPr>
        <w:t>. En armonía con lo anterior, la doctrina ha definido la liquidación de la siguiente manera:</w:t>
      </w:r>
    </w:p>
    <w:p w14:paraId="420771E7" w14:textId="77777777" w:rsidR="00351B00" w:rsidRPr="00FB5FC4" w:rsidRDefault="00351B00" w:rsidP="00351B00">
      <w:pPr>
        <w:spacing w:after="0" w:line="276" w:lineRule="auto"/>
        <w:jc w:val="both"/>
        <w:rPr>
          <w:rFonts w:ascii="Verdana" w:eastAsia="Calibri" w:hAnsi="Verdana" w:cs="Arial"/>
          <w:color w:val="000000"/>
          <w:lang w:val="es-ES_tradnl"/>
        </w:rPr>
      </w:pPr>
    </w:p>
    <w:p w14:paraId="32A97EB0" w14:textId="77777777" w:rsidR="00351B00" w:rsidRDefault="00351B00" w:rsidP="00351B00">
      <w:pPr>
        <w:spacing w:after="0" w:line="240" w:lineRule="auto"/>
        <w:ind w:left="709" w:right="709"/>
        <w:jc w:val="both"/>
        <w:rPr>
          <w:rFonts w:ascii="Verdana" w:eastAsia="Calibri" w:hAnsi="Verdana" w:cs="Arial"/>
          <w:sz w:val="20"/>
          <w:szCs w:val="20"/>
          <w:lang w:val="es-MX"/>
        </w:rPr>
      </w:pPr>
      <w:r w:rsidRPr="00A71E32">
        <w:rPr>
          <w:rFonts w:ascii="Verdana" w:eastAsia="Calibri" w:hAnsi="Verdana" w:cs="Arial"/>
          <w:i/>
          <w:iCs/>
          <w:color w:val="000000"/>
          <w:sz w:val="20"/>
          <w:szCs w:val="20"/>
          <w:lang w:val="es-ES_tradnl"/>
        </w:rPr>
        <w:t>“</w:t>
      </w:r>
      <w:r w:rsidRPr="00A71E32">
        <w:rPr>
          <w:rFonts w:ascii="Verdana" w:eastAsia="Calibri" w:hAnsi="Verdana" w:cs="Arial"/>
          <w:sz w:val="20"/>
          <w:szCs w:val="20"/>
          <w:lang w:val="es-MX"/>
        </w:rPr>
        <w:t xml:space="preserve">[…]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w:t>
      </w:r>
      <w:proofErr w:type="spellStart"/>
      <w:r w:rsidRPr="00A71E32">
        <w:rPr>
          <w:rFonts w:ascii="Verdana" w:eastAsia="Calibri" w:hAnsi="Verdana" w:cs="Arial"/>
          <w:sz w:val="20"/>
          <w:szCs w:val="20"/>
          <w:lang w:val="es-MX"/>
        </w:rPr>
        <w:t>ii</w:t>
      </w:r>
      <w:proofErr w:type="spellEnd"/>
      <w:r w:rsidRPr="00A71E32">
        <w:rPr>
          <w:rFonts w:ascii="Verdana" w:eastAsia="Calibri" w:hAnsi="Verdana" w:cs="Arial"/>
          <w:sz w:val="20"/>
          <w:szCs w:val="20"/>
          <w:lang w:val="es-MX"/>
        </w:rPr>
        <w:t>) definir la situación jurídica de las partes, estableciendo si pueden constituirse o no a paz y salvo; lo que exige, en la práctica, que los negociantes dialoguen e intenten ponerse de acuerdo (aspecto subjetivo)”</w:t>
      </w:r>
      <w:r w:rsidRPr="00A71E32">
        <w:rPr>
          <w:rFonts w:ascii="Verdana" w:eastAsia="Calibri" w:hAnsi="Verdana" w:cs="Arial"/>
          <w:sz w:val="20"/>
          <w:szCs w:val="20"/>
          <w:vertAlign w:val="superscript"/>
          <w:lang w:val="es-MX"/>
        </w:rPr>
        <w:footnoteReference w:id="2"/>
      </w:r>
      <w:r w:rsidRPr="00A71E32">
        <w:rPr>
          <w:rFonts w:ascii="Verdana" w:eastAsia="Calibri" w:hAnsi="Verdana" w:cs="Arial"/>
          <w:sz w:val="20"/>
          <w:szCs w:val="20"/>
          <w:lang w:val="es-MX"/>
        </w:rPr>
        <w:t>.</w:t>
      </w:r>
    </w:p>
    <w:p w14:paraId="2B6E02A0" w14:textId="77777777" w:rsidR="00351B00" w:rsidRPr="004B005B" w:rsidRDefault="00351B00" w:rsidP="00351B00">
      <w:pPr>
        <w:spacing w:after="0" w:line="240" w:lineRule="auto"/>
        <w:ind w:left="709" w:right="709"/>
        <w:jc w:val="both"/>
        <w:rPr>
          <w:rFonts w:ascii="Verdana" w:eastAsia="Calibri" w:hAnsi="Verdana" w:cs="Arial"/>
          <w:lang w:val="es-MX"/>
        </w:rPr>
      </w:pPr>
    </w:p>
    <w:p w14:paraId="3667820D" w14:textId="77777777" w:rsidR="00351B00" w:rsidRPr="00FB5FC4" w:rsidRDefault="00351B00" w:rsidP="00351B00">
      <w:pPr>
        <w:spacing w:after="120" w:line="276" w:lineRule="auto"/>
        <w:ind w:firstLine="709"/>
        <w:jc w:val="both"/>
        <w:rPr>
          <w:rFonts w:ascii="Verdana" w:eastAsia="Times New Roman" w:hAnsi="Verdana" w:cs="Arial"/>
          <w:color w:val="000000"/>
          <w:sz w:val="21"/>
          <w:szCs w:val="21"/>
          <w:lang w:val="es-ES_tradnl" w:eastAsia="es-ES_tradnl"/>
        </w:rPr>
      </w:pP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egún la jurisprudencia, la liquidación es el ajuste de cuentas donde las partes hacen un balance económico, técnico y jurídico del cumplimiento de las obligaciones que tienen a su cargo. Así lo manifestó el Consejo de Estado en la </w:t>
      </w: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entencia del 20 de octubre de 2014, en la que consideró, por un lado, que </w:t>
      </w:r>
      <w:r w:rsidRPr="00FB5FC4">
        <w:rPr>
          <w:rFonts w:ascii="Verdana" w:eastAsia="Times New Roman" w:hAnsi="Verdana" w:cs="Arial"/>
          <w:i/>
          <w:iCs/>
          <w:color w:val="000000"/>
          <w:szCs w:val="24"/>
          <w:lang w:val="es-ES_tradnl" w:eastAsia="es-ES_tradnl"/>
        </w:rPr>
        <w:t>liquidar</w:t>
      </w:r>
      <w:r w:rsidRPr="00FB5FC4">
        <w:rPr>
          <w:rFonts w:ascii="Verdana" w:eastAsia="Times New Roman" w:hAnsi="Verdana" w:cs="Arial"/>
          <w:color w:val="000000"/>
          <w:szCs w:val="24"/>
          <w:lang w:val="es-ES_tradnl" w:eastAsia="es-ES_tradnl"/>
        </w:rPr>
        <w:t xml:space="preserve"> supone un ajuste en relación con las cuentas y el estado de cumplimiento del contrato estatal y, por el otro, que la </w:t>
      </w:r>
      <w:r w:rsidRPr="00FB5FC4">
        <w:rPr>
          <w:rFonts w:ascii="Verdana" w:eastAsia="Times New Roman" w:hAnsi="Verdana" w:cs="Arial"/>
          <w:i/>
          <w:iCs/>
          <w:color w:val="000000"/>
          <w:szCs w:val="24"/>
          <w:lang w:val="es-ES_tradnl" w:eastAsia="es-ES_tradnl"/>
        </w:rPr>
        <w:t>liquidación</w:t>
      </w:r>
      <w:r w:rsidRPr="00FB5FC4">
        <w:rPr>
          <w:rFonts w:ascii="Verdana" w:eastAsia="Times New Roman" w:hAnsi="Verdana" w:cs="Arial"/>
          <w:color w:val="000000"/>
          <w:szCs w:val="24"/>
          <w:lang w:val="es-ES_tradnl" w:eastAsia="es-ES_tradnl"/>
        </w:rPr>
        <w:t xml:space="preserve"> debe incluir el análisis de las condiciones de calidad y oportunidad en la entrega de los bienes, obras o servicios, así como el balance económico y el comportamiento financiero del negocio</w:t>
      </w:r>
      <w:r w:rsidRPr="00FB5FC4">
        <w:rPr>
          <w:rFonts w:ascii="Verdana" w:eastAsia="Times New Roman" w:hAnsi="Verdana" w:cs="Arial"/>
          <w:color w:val="000000"/>
          <w:szCs w:val="24"/>
          <w:vertAlign w:val="superscript"/>
          <w:lang w:val="es-ES_tradnl" w:eastAsia="es-ES_tradnl"/>
        </w:rPr>
        <w:footnoteReference w:id="3"/>
      </w:r>
      <w:r w:rsidRPr="00FB5FC4">
        <w:rPr>
          <w:rFonts w:ascii="Verdana" w:eastAsia="Times New Roman" w:hAnsi="Verdana" w:cs="Arial"/>
          <w:color w:val="000000"/>
          <w:szCs w:val="24"/>
          <w:lang w:val="es-ES_tradnl" w:eastAsia="es-ES_tradnl"/>
        </w:rPr>
        <w:t xml:space="preserve">. </w:t>
      </w:r>
    </w:p>
    <w:p w14:paraId="3BF502F7" w14:textId="77777777" w:rsidR="00351B00" w:rsidRPr="00FB5FC4" w:rsidRDefault="00351B00" w:rsidP="00351B00">
      <w:pPr>
        <w:spacing w:after="0" w:line="276" w:lineRule="auto"/>
        <w:ind w:firstLine="709"/>
        <w:jc w:val="both"/>
        <w:rPr>
          <w:rFonts w:ascii="Verdana" w:eastAsia="Calibri" w:hAnsi="Verdana" w:cs="Arial"/>
          <w:color w:val="000000"/>
          <w:lang w:val="es-ES_tradnl"/>
        </w:rPr>
      </w:pPr>
      <w:r w:rsidRPr="00570C1A">
        <w:rPr>
          <w:rFonts w:ascii="Verdana" w:eastAsia="Calibri" w:hAnsi="Verdana" w:cs="Arial"/>
          <w:i/>
          <w:iCs/>
          <w:color w:val="000000"/>
          <w:lang w:val="es-ES_tradnl"/>
        </w:rPr>
        <w:t>Para las entidades sometidas al EGCAP</w:t>
      </w:r>
      <w:r>
        <w:rPr>
          <w:rFonts w:ascii="Verdana" w:eastAsia="Calibri" w:hAnsi="Verdana" w:cs="Arial"/>
          <w:color w:val="000000"/>
          <w:lang w:val="es-ES_tradnl"/>
        </w:rPr>
        <w:t>, l</w:t>
      </w:r>
      <w:r w:rsidRPr="00FB5FC4">
        <w:rPr>
          <w:rFonts w:ascii="Verdana" w:eastAsia="Calibri" w:hAnsi="Verdana" w:cs="Arial"/>
          <w:color w:val="000000"/>
          <w:lang w:val="es-ES_tradnl"/>
        </w:rPr>
        <w:t xml:space="preserve">as disposiciones legales que regulan la etapa de liquidación de los contratos estatales son el artículo 60 de la Ley 80 de 1993, modificado por el artículo 217 del Decreto </w:t>
      </w:r>
      <w:r>
        <w:rPr>
          <w:rFonts w:ascii="Verdana" w:eastAsia="Calibri" w:hAnsi="Verdana" w:cs="Arial"/>
          <w:color w:val="000000"/>
          <w:lang w:val="es-ES_tradnl"/>
        </w:rPr>
        <w:t xml:space="preserve">Ley </w:t>
      </w:r>
      <w:r w:rsidRPr="00FB5FC4">
        <w:rPr>
          <w:rFonts w:ascii="Verdana" w:eastAsia="Calibri" w:hAnsi="Verdana" w:cs="Arial"/>
          <w:color w:val="000000"/>
          <w:lang w:val="es-ES_tradnl"/>
        </w:rPr>
        <w:t>019 de 2012, y el artículo 11 de la Ley 1150 de 2007. El primero de estos artículos se refiere al alcance sustantivo de la liquidación y los contratos en que procede, mientras que el segundo contiene reglas procedimentales para su realización. En relación con el artículo 60 referido, la doctrina ha indicado que:</w:t>
      </w:r>
    </w:p>
    <w:p w14:paraId="417F9A31" w14:textId="77777777" w:rsidR="00351B00" w:rsidRPr="00D71733" w:rsidRDefault="00351B00" w:rsidP="00351B00">
      <w:pPr>
        <w:spacing w:after="0" w:line="276" w:lineRule="auto"/>
        <w:ind w:firstLine="708"/>
        <w:jc w:val="both"/>
        <w:rPr>
          <w:rFonts w:ascii="Verdana" w:eastAsia="Calibri" w:hAnsi="Verdana" w:cs="Arial"/>
          <w:lang w:val="es-ES"/>
        </w:rPr>
      </w:pPr>
    </w:p>
    <w:p w14:paraId="574B292F" w14:textId="77777777" w:rsidR="00351B00" w:rsidRPr="00A71E32" w:rsidRDefault="00351B00" w:rsidP="00351B00">
      <w:pPr>
        <w:spacing w:after="0" w:line="240" w:lineRule="auto"/>
        <w:ind w:left="709" w:right="758"/>
        <w:jc w:val="both"/>
        <w:rPr>
          <w:rFonts w:ascii="Verdana" w:eastAsia="Calibri" w:hAnsi="Verdana" w:cs="Arial"/>
          <w:sz w:val="20"/>
          <w:szCs w:val="20"/>
          <w:lang w:val="es-MX"/>
        </w:rPr>
      </w:pPr>
      <w:r w:rsidRPr="00A71E32">
        <w:rPr>
          <w:rFonts w:ascii="Verdana" w:eastAsia="Calibri" w:hAnsi="Verdana" w:cs="Arial"/>
          <w:sz w:val="20"/>
          <w:szCs w:val="20"/>
          <w:lang w:val="es-ES"/>
        </w:rPr>
        <w:t>“</w:t>
      </w:r>
      <w:r w:rsidRPr="00A71E32">
        <w:rPr>
          <w:rFonts w:ascii="Verdana" w:eastAsia="Calibri" w:hAnsi="Verdana" w:cs="Arial"/>
          <w:sz w:val="20"/>
          <w:szCs w:val="20"/>
          <w:lang w:val="es-MX"/>
        </w:rPr>
        <w:t xml:space="preserve">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w:t>
      </w:r>
      <w:r>
        <w:rPr>
          <w:rFonts w:ascii="Verdana" w:eastAsia="Calibri" w:hAnsi="Verdana" w:cs="Arial"/>
          <w:sz w:val="20"/>
          <w:szCs w:val="20"/>
          <w:lang w:val="es-MX"/>
        </w:rPr>
        <w:t>‘</w:t>
      </w:r>
      <w:r w:rsidRPr="00A71E32">
        <w:rPr>
          <w:rFonts w:ascii="Verdana" w:eastAsia="Calibri" w:hAnsi="Verdana" w:cs="Arial"/>
          <w:sz w:val="20"/>
          <w:szCs w:val="20"/>
          <w:lang w:val="es-MX"/>
        </w:rPr>
        <w:t>los acuerdos, conciliaciones y transacciones a que llegaren las partes para poner fin a las divergencias presentadas y poder declararse a paz y salvo</w:t>
      </w:r>
      <w:r>
        <w:rPr>
          <w:rFonts w:ascii="Verdana" w:eastAsia="Calibri" w:hAnsi="Verdana" w:cs="Arial"/>
          <w:sz w:val="20"/>
          <w:szCs w:val="20"/>
          <w:lang w:val="es-MX"/>
        </w:rPr>
        <w:t>’</w:t>
      </w:r>
      <w:r w:rsidRPr="00A71E32">
        <w:rPr>
          <w:rFonts w:ascii="Verdana" w:eastAsia="Calibri" w:hAnsi="Verdana" w:cs="Arial"/>
          <w:sz w:val="20"/>
          <w:szCs w:val="20"/>
          <w:lang w:val="es-MX"/>
        </w:rPr>
        <w:t>”</w:t>
      </w:r>
      <w:r w:rsidRPr="00A71E32">
        <w:rPr>
          <w:rFonts w:ascii="Verdana" w:eastAsia="Calibri" w:hAnsi="Verdana" w:cs="Arial"/>
          <w:sz w:val="20"/>
          <w:szCs w:val="20"/>
          <w:vertAlign w:val="superscript"/>
          <w:lang w:val="es-MX"/>
        </w:rPr>
        <w:footnoteReference w:id="4"/>
      </w:r>
      <w:r w:rsidRPr="00A71E32">
        <w:rPr>
          <w:rFonts w:ascii="Verdana" w:eastAsia="Calibri" w:hAnsi="Verdana" w:cs="Arial"/>
          <w:sz w:val="20"/>
          <w:szCs w:val="20"/>
          <w:lang w:val="es-MX"/>
        </w:rPr>
        <w:t>.</w:t>
      </w:r>
    </w:p>
    <w:p w14:paraId="7977D2AD" w14:textId="77777777" w:rsidR="00351B00" w:rsidRPr="00D71733" w:rsidRDefault="00351B00" w:rsidP="00351B00">
      <w:pPr>
        <w:spacing w:after="0" w:line="276" w:lineRule="auto"/>
        <w:ind w:left="709" w:right="758"/>
        <w:jc w:val="both"/>
        <w:rPr>
          <w:rFonts w:ascii="Verdana" w:eastAsia="Calibri" w:hAnsi="Verdana" w:cs="Arial"/>
          <w:lang w:val="es-ES"/>
        </w:rPr>
      </w:pPr>
    </w:p>
    <w:p w14:paraId="04DA388D" w14:textId="77777777" w:rsidR="00351B00" w:rsidRPr="00FB5FC4" w:rsidRDefault="00351B00" w:rsidP="00351B00">
      <w:pPr>
        <w:spacing w:after="120" w:line="276" w:lineRule="auto"/>
        <w:ind w:firstLine="708"/>
        <w:jc w:val="both"/>
        <w:rPr>
          <w:rFonts w:ascii="Verdana" w:eastAsia="Calibri" w:hAnsi="Verdana" w:cs="Arial"/>
          <w:color w:val="000000"/>
          <w:lang w:val="es-ES_tradnl"/>
        </w:rPr>
      </w:pPr>
      <w:r w:rsidRPr="00FB5FC4">
        <w:rPr>
          <w:rFonts w:ascii="Verdana" w:eastAsia="Calibri" w:hAnsi="Verdana" w:cs="Arial"/>
          <w:color w:val="000000"/>
          <w:lang w:val="es-ES_tradnl"/>
        </w:rPr>
        <w:t>Así las cosas, de acuerdo con el artículo 60 de la Ley 80 de 1993, los contratos de tracto sucesivo, aquellos cuyo cumplimiento o ejecución se prolongue en el tiempo y los demás que lo requieran “</w:t>
      </w:r>
      <w:r w:rsidRPr="00D71733">
        <w:rPr>
          <w:rFonts w:ascii="Verdana" w:eastAsia="Calibri" w:hAnsi="Verdana" w:cs="Arial"/>
          <w:color w:val="000000"/>
          <w:lang w:val="es-ES_tradnl"/>
        </w:rPr>
        <w:t>serán objeto de liquidación</w:t>
      </w:r>
      <w:r w:rsidRPr="00FB5FC4">
        <w:rPr>
          <w:rFonts w:ascii="Verdana" w:eastAsia="Calibri" w:hAnsi="Verdana" w:cs="Arial"/>
          <w:color w:val="000000"/>
          <w:lang w:val="es-ES_tradnl"/>
        </w:rPr>
        <w:t>”.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w:t>
      </w:r>
      <w:r w:rsidRPr="00FB5FC4">
        <w:rPr>
          <w:rFonts w:ascii="Verdana" w:eastAsia="Calibri" w:hAnsi="Verdana" w:cs="Arial"/>
          <w:color w:val="000000"/>
          <w:vertAlign w:val="superscript"/>
          <w:lang w:val="es-ES_tradnl"/>
        </w:rPr>
        <w:footnoteReference w:id="5"/>
      </w:r>
      <w:r w:rsidRPr="00FB5FC4">
        <w:rPr>
          <w:rFonts w:ascii="Verdana" w:eastAsia="Calibri" w:hAnsi="Verdana" w:cs="Arial"/>
          <w:color w:val="000000"/>
          <w:lang w:val="es-ES_tradnl"/>
        </w:rPr>
        <w:t xml:space="preserve">, así como la probabilidad de que puedan surgir diferencias durante la ejecución del contrato; sin perjuicio de que, como se indicó, todos los contratos estatales de </w:t>
      </w:r>
      <w:r w:rsidRPr="00FB5FC4">
        <w:rPr>
          <w:rFonts w:ascii="Verdana" w:eastAsia="Calibri" w:hAnsi="Verdana" w:cs="Arial"/>
          <w:i/>
          <w:iCs/>
          <w:color w:val="000000"/>
          <w:lang w:val="es-ES_tradnl"/>
        </w:rPr>
        <w:t>tracto sucesivo</w:t>
      </w:r>
      <w:r w:rsidRPr="00FB5FC4">
        <w:rPr>
          <w:rFonts w:ascii="Verdana" w:eastAsia="Calibri" w:hAnsi="Verdana" w:cs="Arial"/>
          <w:color w:val="000000"/>
          <w:lang w:val="es-ES_tradnl"/>
        </w:rPr>
        <w:t xml:space="preserve"> o aquellos cuya ejecución se prolongue en el tiempo siempre deban liquidarse, convirtiéndose en estos contratos en una cláusula de la naturaleza, conforme a la clasificación prevista en el Código Civil.</w:t>
      </w:r>
    </w:p>
    <w:p w14:paraId="42B83CE2" w14:textId="77777777" w:rsidR="00351B00" w:rsidRPr="00FB5FC4" w:rsidRDefault="00351B00" w:rsidP="00351B00">
      <w:pPr>
        <w:spacing w:after="120" w:line="276" w:lineRule="auto"/>
        <w:ind w:firstLine="708"/>
        <w:jc w:val="both"/>
        <w:rPr>
          <w:rFonts w:ascii="Verdana" w:eastAsia="Calibri" w:hAnsi="Verdana" w:cs="Arial"/>
          <w:color w:val="000000"/>
          <w:lang w:val="es-ES"/>
        </w:rPr>
      </w:pPr>
      <w:r w:rsidRPr="64F094BD">
        <w:rPr>
          <w:rFonts w:ascii="Verdana" w:eastAsia="Calibri" w:hAnsi="Verdana" w:cs="Arial"/>
          <w:color w:val="000000"/>
          <w:lang w:val="es-ES"/>
        </w:rPr>
        <w:t>Por su parte, el artículo 11 de la Ley 1150 de 2007 contiene las reglas de tipo procedimental para liquidar los contratos estatales, las cuales se pasan a explicar</w:t>
      </w:r>
      <w:r w:rsidRPr="64F094BD">
        <w:rPr>
          <w:rFonts w:ascii="Verdana" w:eastAsia="Calibri" w:hAnsi="Verdana" w:cs="Arial"/>
          <w:color w:val="000000" w:themeColor="text1"/>
          <w:vertAlign w:val="superscript"/>
          <w:lang w:val="es-ES"/>
        </w:rPr>
        <w:footnoteReference w:id="6"/>
      </w:r>
      <w:r w:rsidRPr="64F094BD">
        <w:rPr>
          <w:rFonts w:ascii="Verdana" w:eastAsia="Calibri" w:hAnsi="Verdana" w:cs="Arial"/>
          <w:color w:val="000000"/>
          <w:lang w:val="es-ES"/>
        </w:rPr>
        <w:t xml:space="preserve">. En primer lugar, en ejercicio de la autonomía de la voluntad y de conformidad con los criterios de la naturaleza, objeto y plazo del contrato, la entidad puede definir en el pliego de condiciones o en el contrato el plazo para efectuar la liquidación de mutuo acuerdo. En ausencia de pacto contractual, el artículo 11 de la Ley 1150 de 2007 prevé un término supletivo de 4 meses contados desde: i) el vencimiento del plazo previsto para la ejecución del contrato; </w:t>
      </w:r>
      <w:proofErr w:type="spellStart"/>
      <w:r w:rsidRPr="64F094BD">
        <w:rPr>
          <w:rFonts w:ascii="Verdana" w:eastAsia="Calibri" w:hAnsi="Verdana" w:cs="Arial"/>
          <w:color w:val="000000"/>
          <w:lang w:val="es-ES"/>
        </w:rPr>
        <w:t>ii</w:t>
      </w:r>
      <w:proofErr w:type="spellEnd"/>
      <w:r w:rsidRPr="64F094BD">
        <w:rPr>
          <w:rFonts w:ascii="Verdana" w:eastAsia="Calibri" w:hAnsi="Verdana" w:cs="Arial"/>
          <w:color w:val="000000"/>
          <w:lang w:val="es-ES"/>
        </w:rPr>
        <w:t xml:space="preserve">) la expedición del acto administrativo que ordene la terminación del contrato; o, </w:t>
      </w:r>
      <w:proofErr w:type="spellStart"/>
      <w:r w:rsidRPr="64F094BD">
        <w:rPr>
          <w:rFonts w:ascii="Verdana" w:eastAsia="Calibri" w:hAnsi="Verdana" w:cs="Arial"/>
          <w:color w:val="000000"/>
          <w:lang w:val="es-ES"/>
        </w:rPr>
        <w:t>iii</w:t>
      </w:r>
      <w:proofErr w:type="spellEnd"/>
      <w:r w:rsidRPr="64F094BD">
        <w:rPr>
          <w:rFonts w:ascii="Verdana" w:eastAsia="Calibri" w:hAnsi="Verdana" w:cs="Arial"/>
          <w:color w:val="000000"/>
          <w:lang w:val="es-ES"/>
        </w:rPr>
        <w:t>) la fecha del acuerdo que disponga la terminación del contrato.</w:t>
      </w:r>
    </w:p>
    <w:p w14:paraId="310484C4" w14:textId="77777777" w:rsidR="00351B00" w:rsidRPr="004B5D6E" w:rsidRDefault="00351B00" w:rsidP="00351B00">
      <w:pPr>
        <w:spacing w:after="120" w:line="276" w:lineRule="auto"/>
        <w:ind w:firstLine="709"/>
        <w:jc w:val="both"/>
        <w:rPr>
          <w:rFonts w:ascii="Verdana" w:eastAsia="Times New Roman" w:hAnsi="Verdana" w:cs="Arial"/>
          <w:lang w:val="es-ES_tradnl" w:eastAsia="es-ES_tradnl"/>
        </w:rPr>
      </w:pPr>
      <w:r w:rsidRPr="00FB5FC4">
        <w:rPr>
          <w:rFonts w:ascii="Verdana" w:eastAsia="Times New Roman" w:hAnsi="Verdana" w:cs="Arial"/>
          <w:szCs w:val="24"/>
          <w:lang w:val="es-ES_tradnl" w:eastAsia="es-ES_tradnl"/>
        </w:rPr>
        <w:t xml:space="preserve">El </w:t>
      </w:r>
      <w:r w:rsidRPr="004B5D6E">
        <w:rPr>
          <w:rFonts w:ascii="Verdana" w:eastAsia="Times New Roman" w:hAnsi="Verdana" w:cs="Arial"/>
          <w:szCs w:val="24"/>
          <w:lang w:val="es-ES_tradnl" w:eastAsia="es-ES_tradnl"/>
        </w:rPr>
        <w:t>artículo 11 de la Ley 1150 de 2007 señala que la liquidación de mutuo acuerdo deberá realizar dentro del plazo previsto en “</w:t>
      </w:r>
      <w:r w:rsidRPr="004B5D6E">
        <w:rPr>
          <w:rFonts w:ascii="Verdana" w:eastAsia="Times New Roman" w:hAnsi="Verdana" w:cs="Arial"/>
          <w:lang w:val="es-ES_tradnl" w:eastAsia="es-ES_tradnl"/>
        </w:rPr>
        <w:t>los pliegos de condiciones o sus equivalentes, o dentro del que acuerden las partes para el efecto”. Para dilucidar a qué se refiere la norma con “equivalentes” resulta necesario tener presente que el pliego de condiciones es un documento contentivo de las reglas aplicables a un determinado proceso de selección, que “</w:t>
      </w:r>
      <w:r w:rsidRPr="004B5D6E">
        <w:rPr>
          <w:rFonts w:ascii="Verdana" w:eastAsia="Times New Roman" w:hAnsi="Verdana" w:cs="Arial"/>
          <w:szCs w:val="24"/>
          <w:lang w:val="es-ES_tradnl" w:eastAsia="es-ES_tradnl"/>
        </w:rPr>
        <w:t>materializa los principios de planeación contractual y de trasparencia, comoquiera que su adecuada formulación permite o garantiza la selección objetiva del contratista de acuerdo con los parámetros de calificación correspondientes para cada tipo de procedimiento [y que</w:t>
      </w:r>
      <w:r w:rsidRPr="004B5D6E">
        <w:rPr>
          <w:rFonts w:ascii="Verdana" w:eastAsia="Times New Roman" w:hAnsi="Verdana" w:cs="Arial"/>
          <w:lang w:val="es-ES_tradnl" w:eastAsia="es-ES_tradnl"/>
        </w:rPr>
        <w:t>] constituye la ley tanto del procedimiento administrativo de selección del contratista, como del contrato a</w:t>
      </w:r>
      <w:r w:rsidRPr="004B5D6E">
        <w:rPr>
          <w:rFonts w:ascii="Verdana" w:eastAsia="Times New Roman" w:hAnsi="Verdana" w:cs="Arial"/>
          <w:spacing w:val="-7"/>
          <w:lang w:val="es-ES_tradnl" w:eastAsia="es-ES_tradnl"/>
        </w:rPr>
        <w:t xml:space="preserve"> </w:t>
      </w:r>
      <w:r w:rsidRPr="004B5D6E">
        <w:rPr>
          <w:rFonts w:ascii="Verdana" w:eastAsia="Times New Roman" w:hAnsi="Verdana" w:cs="Arial"/>
          <w:lang w:val="es-ES_tradnl" w:eastAsia="es-ES_tradnl"/>
        </w:rPr>
        <w:t>celebrar”</w:t>
      </w:r>
      <w:r w:rsidRPr="004B5D6E">
        <w:rPr>
          <w:rFonts w:ascii="Verdana" w:eastAsia="Times New Roman" w:hAnsi="Verdana" w:cs="Arial"/>
          <w:vertAlign w:val="superscript"/>
          <w:lang w:val="es-ES_tradnl" w:eastAsia="es-ES_tradnl"/>
        </w:rPr>
        <w:footnoteReference w:id="7"/>
      </w:r>
      <w:r w:rsidRPr="004B5D6E">
        <w:rPr>
          <w:rFonts w:ascii="Verdana" w:eastAsia="Times New Roman" w:hAnsi="Verdana" w:cs="Arial"/>
          <w:lang w:val="es-ES_tradnl" w:eastAsia="es-ES_tradnl"/>
        </w:rPr>
        <w:t>. A partir de tales características debe determinarse la equivalencia de un documento con un pliego de condiciones, la cual se puede ejemplificar claramente con la invitación a participar en los procesos de mínima cuantía</w:t>
      </w:r>
      <w:r w:rsidRPr="004B5D6E">
        <w:rPr>
          <w:rFonts w:ascii="Verdana" w:eastAsia="Times New Roman" w:hAnsi="Verdana" w:cs="Arial"/>
          <w:vertAlign w:val="superscript"/>
          <w:lang w:val="es-ES_tradnl" w:eastAsia="es-ES_tradnl"/>
        </w:rPr>
        <w:footnoteReference w:id="8"/>
      </w:r>
      <w:r w:rsidRPr="004B5D6E">
        <w:rPr>
          <w:rFonts w:ascii="Verdana" w:eastAsia="Times New Roman" w:hAnsi="Verdana" w:cs="Arial"/>
          <w:lang w:val="es-ES_tradnl" w:eastAsia="es-ES_tradnl"/>
        </w:rPr>
        <w:t xml:space="preserve">, documento dentro del cual la entidad contratante debe fijar las reglas aplicables al procedimiento de selección, cumpliendo con la función del pliego de condiciones. En tal sentido, es un documento “equivalente” del mismo en los términos del artículo 11 </w:t>
      </w:r>
      <w:r w:rsidRPr="00A71E32">
        <w:rPr>
          <w:rFonts w:ascii="Verdana" w:eastAsia="Times New Roman" w:hAnsi="Verdana" w:cs="Arial"/>
          <w:i/>
          <w:iCs/>
          <w:lang w:val="es-ES_tradnl" w:eastAsia="es-ES_tradnl"/>
        </w:rPr>
        <w:t>ibidem</w:t>
      </w:r>
      <w:r w:rsidRPr="004B5D6E">
        <w:rPr>
          <w:rFonts w:ascii="Verdana" w:eastAsia="Times New Roman" w:hAnsi="Verdana" w:cs="Arial"/>
          <w:lang w:val="es-ES_tradnl" w:eastAsia="es-ES_tradnl"/>
        </w:rPr>
        <w:t xml:space="preserve">, dentro del cual es viable establecer el plazo para la liquidación de mutuo acuerdo. </w:t>
      </w:r>
    </w:p>
    <w:p w14:paraId="156624CE" w14:textId="77777777" w:rsidR="00351B00" w:rsidRPr="00FB5FC4" w:rsidRDefault="00351B00" w:rsidP="00351B00">
      <w:pPr>
        <w:spacing w:after="120" w:line="276" w:lineRule="auto"/>
        <w:ind w:firstLine="709"/>
        <w:jc w:val="both"/>
        <w:rPr>
          <w:rFonts w:ascii="Verdana" w:eastAsia="Times New Roman" w:hAnsi="Verdana" w:cs="Arial"/>
          <w:lang w:val="es-ES_tradnl" w:eastAsia="es-ES_tradnl"/>
        </w:rPr>
      </w:pPr>
      <w:r w:rsidRPr="00FB5FC4">
        <w:rPr>
          <w:rFonts w:ascii="Verdana" w:eastAsia="Times New Roman" w:hAnsi="Verdana" w:cs="Arial"/>
          <w:lang w:val="es-ES_tradnl" w:eastAsia="es-ES_tradnl"/>
        </w:rPr>
        <w:t>De otra parte, cuando el artículo 11 de la Ley 1150 de 2007 hace referencia al término que “</w:t>
      </w:r>
      <w:r w:rsidRPr="004B5D6E">
        <w:rPr>
          <w:rFonts w:ascii="Verdana" w:eastAsia="Times New Roman" w:hAnsi="Verdana" w:cs="Arial"/>
          <w:lang w:val="es-ES_tradnl" w:eastAsia="es-ES_tradnl"/>
        </w:rPr>
        <w:t>acuerden las partes</w:t>
      </w:r>
      <w:r w:rsidRPr="00FB5FC4">
        <w:rPr>
          <w:rFonts w:ascii="Verdana" w:eastAsia="Times New Roman" w:hAnsi="Verdana" w:cs="Arial"/>
          <w:lang w:val="es-ES_tradnl" w:eastAsia="es-ES_tradnl"/>
        </w:rPr>
        <w:t xml:space="preserve">” para efectos de la liquidación de mutuo acuerdo, claramente, está habilitando a las partes para que, en ejercicio de la autonomía de la voluntad que les asiste, prevean, de común acuerdo, un plazo para la liquidación bilateral, el cual, en principio, debe estar recogido en el contrato, al ser este el acto jurídico bilateral en el que se consigna originalmente la voluntad de las partes. Sin embargo, cabe la posibilidad de que en el contrato inicialmente suscrito no se haya previsto un acuerdo para la liquidación bilateral. Este hecho no impide que, en el marco de la ejecución del contrato, las partes acuerden fijar el referido plazo; acuerdo que, en tanto significa una alteración de las reglas que orientan la relación contractual, </w:t>
      </w:r>
      <w:r>
        <w:rPr>
          <w:rFonts w:ascii="Verdana" w:eastAsia="Times New Roman" w:hAnsi="Verdana" w:cs="Arial"/>
          <w:lang w:val="es-ES_tradnl" w:eastAsia="es-ES_tradnl"/>
        </w:rPr>
        <w:t>implica</w:t>
      </w:r>
      <w:r w:rsidRPr="00FB5FC4">
        <w:rPr>
          <w:rFonts w:ascii="Verdana" w:eastAsia="Times New Roman" w:hAnsi="Verdana" w:cs="Arial"/>
          <w:lang w:val="es-ES_tradnl" w:eastAsia="es-ES_tradnl"/>
        </w:rPr>
        <w:t xml:space="preserve"> una modificación del contrato. Por tal razón, su celebración debe cumplir con los requisitos del negocio jurídico, ameritando la concurrencia de capacidad jurídica de los agentes, un consentimiento libre de vicios, un objeto y causa lícita, así como la </w:t>
      </w:r>
      <w:r>
        <w:rPr>
          <w:rFonts w:ascii="Verdana" w:eastAsia="Times New Roman" w:hAnsi="Verdana" w:cs="Arial"/>
          <w:lang w:val="es-ES_tradnl" w:eastAsia="es-ES_tradnl"/>
        </w:rPr>
        <w:t>formalidad escrita</w:t>
      </w:r>
      <w:r w:rsidRPr="00FB5FC4">
        <w:rPr>
          <w:rFonts w:ascii="Verdana" w:eastAsia="Times New Roman" w:hAnsi="Verdana" w:cs="Arial"/>
          <w:lang w:val="es-ES_tradnl" w:eastAsia="es-ES_tradnl"/>
        </w:rPr>
        <w:t xml:space="preserve"> requerida en materia de contratación estatal</w:t>
      </w:r>
      <w:r w:rsidRPr="00FB5FC4">
        <w:rPr>
          <w:rFonts w:ascii="Verdana" w:eastAsia="Times New Roman" w:hAnsi="Verdana" w:cs="Arial"/>
          <w:vertAlign w:val="superscript"/>
          <w:lang w:val="es-ES_tradnl" w:eastAsia="es-ES_tradnl"/>
        </w:rPr>
        <w:footnoteReference w:id="9"/>
      </w:r>
      <w:r w:rsidRPr="00FB5FC4">
        <w:rPr>
          <w:rFonts w:ascii="Verdana" w:eastAsia="Times New Roman" w:hAnsi="Verdana" w:cs="Arial"/>
          <w:lang w:val="es-ES_tradnl" w:eastAsia="es-ES_tradnl"/>
        </w:rPr>
        <w:t xml:space="preserve">. </w:t>
      </w:r>
    </w:p>
    <w:p w14:paraId="0A9E9EE6" w14:textId="77777777" w:rsidR="00351B00" w:rsidRPr="00FB5FC4" w:rsidRDefault="00351B00" w:rsidP="00351B00">
      <w:pPr>
        <w:spacing w:after="120" w:line="276" w:lineRule="auto"/>
        <w:ind w:firstLine="709"/>
        <w:jc w:val="both"/>
        <w:rPr>
          <w:rFonts w:ascii="Verdana" w:eastAsia="Calibri" w:hAnsi="Verdana" w:cs="Arial"/>
          <w:lang w:val="es-ES_tradnl"/>
        </w:rPr>
      </w:pPr>
      <w:r w:rsidRPr="00FB5FC4">
        <w:rPr>
          <w:rFonts w:ascii="Verdana" w:eastAsia="Calibri" w:hAnsi="Verdana" w:cs="Arial"/>
          <w:lang w:val="es-ES_tradnl"/>
        </w:rPr>
        <w:t>Ahora bien, el término de 4 meses previsto en el artículo 11 de la Ley 1150 de 2007, dado su carácter supletivo, solo resulta aplicable ante la ausencia de regulación de este en el pliego de condiciones –documento equivalente– o acuerdo entre las partes en torno al plazo de liquidación bilateral. Por lo tanto, las partes, en desarrollo de la autonomía de la voluntad que les asiste, están habilitadas para pactar un término diferente, el cual puede ser inferior o incluso superior al plazo supletivo, ante la ausencia de una prohibición normativa al respecto, y ante la existencia, en cambio, de habilitación legal. Sobre este punto, no debe perderse de vista que las actuaciones contractuales regidas por el Estatuto General de Contratación de la Administración pública se encuentran sometidas a los principios de la función administrativa</w:t>
      </w:r>
      <w:r w:rsidRPr="00FB5FC4">
        <w:rPr>
          <w:rFonts w:ascii="Verdana" w:eastAsia="Calibri" w:hAnsi="Verdana" w:cs="Arial"/>
          <w:vertAlign w:val="superscript"/>
          <w:lang w:val="es-ES_tradnl"/>
        </w:rPr>
        <w:footnoteReference w:id="10"/>
      </w:r>
      <w:r w:rsidRPr="00FB5FC4">
        <w:rPr>
          <w:rFonts w:ascii="Verdana" w:eastAsia="Calibri" w:hAnsi="Verdana" w:cs="Arial"/>
          <w:lang w:val="es-ES_tradnl"/>
        </w:rPr>
        <w:t>, lo cual implica que las mismas se desarrollen en procura de la economía y la celeridad</w:t>
      </w:r>
      <w:r w:rsidRPr="00FB5FC4">
        <w:rPr>
          <w:rFonts w:ascii="Verdana" w:eastAsia="Calibri" w:hAnsi="Verdana" w:cs="Arial"/>
          <w:vertAlign w:val="superscript"/>
          <w:lang w:val="es-ES_tradnl"/>
        </w:rPr>
        <w:footnoteReference w:id="11"/>
      </w:r>
      <w:r w:rsidRPr="00FB5FC4">
        <w:rPr>
          <w:rFonts w:ascii="Verdana" w:eastAsia="Calibri" w:hAnsi="Verdana" w:cs="Arial"/>
          <w:lang w:val="es-ES_tradnl"/>
        </w:rPr>
        <w:t>. Esto significa que, en ejercicio de la facultad que les asiste para fijar el plazo para la liquidación bilateral, las partes deben actuar en garantía de estos principios, por lo que el término que se acuerde debe fija</w:t>
      </w:r>
      <w:r>
        <w:rPr>
          <w:rFonts w:ascii="Verdana" w:eastAsia="Calibri" w:hAnsi="Verdana" w:cs="Arial"/>
          <w:lang w:val="es-ES_tradnl"/>
        </w:rPr>
        <w:t>rse</w:t>
      </w:r>
      <w:r w:rsidRPr="00FB5FC4">
        <w:rPr>
          <w:rFonts w:ascii="Verdana" w:eastAsia="Calibri" w:hAnsi="Verdana" w:cs="Arial"/>
          <w:lang w:val="es-ES_tradnl"/>
        </w:rPr>
        <w:t xml:space="preserve"> de manera razonable.</w:t>
      </w:r>
    </w:p>
    <w:p w14:paraId="0242898B" w14:textId="77777777" w:rsidR="00351B00" w:rsidRPr="00FB5FC4" w:rsidRDefault="00351B00" w:rsidP="00351B00">
      <w:pPr>
        <w:spacing w:after="120" w:line="276" w:lineRule="auto"/>
        <w:ind w:firstLine="709"/>
        <w:jc w:val="both"/>
        <w:rPr>
          <w:rFonts w:ascii="Verdana" w:eastAsia="Calibri" w:hAnsi="Verdana" w:cs="Arial"/>
          <w:color w:val="000000"/>
          <w:lang w:val="es-ES_tradnl"/>
        </w:rPr>
      </w:pPr>
      <w:r w:rsidRPr="00FB5FC4">
        <w:rPr>
          <w:rFonts w:ascii="Verdana" w:eastAsia="Calibri" w:hAnsi="Verdana" w:cs="Arial"/>
          <w:color w:val="000000"/>
          <w:lang w:val="es-ES_tradnl"/>
        </w:rPr>
        <w:t>Durante este término, el contratista puede solicitar que se adelante el trámite de liquidación. Sin embargo, es responsabilidad de la entidad estatal convocarlo para adelantar la liquidación de común acuerdo o notificarlo para que se presente a realizarla</w:t>
      </w:r>
      <w:r w:rsidRPr="00FB5FC4">
        <w:rPr>
          <w:rFonts w:ascii="Verdana" w:eastAsia="Calibri" w:hAnsi="Verdana" w:cs="Arial"/>
          <w:color w:val="000000"/>
          <w:vertAlign w:val="superscript"/>
          <w:lang w:val="es-ES_tradnl"/>
        </w:rPr>
        <w:footnoteReference w:id="12"/>
      </w:r>
      <w:r w:rsidRPr="00FB5FC4">
        <w:rPr>
          <w:rFonts w:ascii="Verdana" w:eastAsia="Calibri" w:hAnsi="Verdana" w:cs="Arial"/>
          <w:color w:val="000000"/>
          <w:lang w:val="es-ES_tradnl"/>
        </w:rPr>
        <w:t>, de manera que el contrato pueda ser liquidado bilateralmente, bien sea en el plazo previsto en el pliego de condiciones, el acordado por las partes, o el supletivo de cuatro meses señalado en la ley, según corresponda. Esta liquidación bilateral puede ser total o parcial</w:t>
      </w:r>
      <w:r w:rsidRPr="00FB5FC4">
        <w:rPr>
          <w:rFonts w:ascii="Verdana" w:eastAsia="Calibri" w:hAnsi="Verdana" w:cs="Arial"/>
          <w:iCs/>
          <w:color w:val="000000"/>
          <w:vertAlign w:val="superscript"/>
          <w:lang w:val="es-ES_tradnl"/>
        </w:rPr>
        <w:footnoteReference w:id="13"/>
      </w:r>
      <w:r w:rsidRPr="00FB5FC4">
        <w:rPr>
          <w:rFonts w:ascii="Verdana" w:eastAsia="Calibri" w:hAnsi="Verdana" w:cs="Arial"/>
          <w:color w:val="000000"/>
          <w:lang w:val="es-ES_tradnl"/>
        </w:rPr>
        <w:t xml:space="preserve">, y </w:t>
      </w:r>
      <w:r w:rsidRPr="00FB5FC4">
        <w:rPr>
          <w:rFonts w:ascii="Verdana" w:eastAsia="Calibri" w:hAnsi="Verdana" w:cs="Arial"/>
          <w:iCs/>
          <w:color w:val="000000"/>
          <w:lang w:val="es-ES_tradnl"/>
        </w:rPr>
        <w:t>el documento que la contiene presta mérito ejecutivo, siempre que se satisfagan los elementos para considerarlo como tal</w:t>
      </w:r>
      <w:r w:rsidRPr="00FB5FC4">
        <w:rPr>
          <w:rFonts w:ascii="Verdana" w:eastAsia="Calibri" w:hAnsi="Verdana" w:cs="Arial"/>
          <w:color w:val="000000"/>
          <w:lang w:val="es-ES_tradnl"/>
        </w:rPr>
        <w:t>.</w:t>
      </w:r>
    </w:p>
    <w:p w14:paraId="4DA33E83" w14:textId="77777777" w:rsidR="00351B00" w:rsidRPr="00FB5FC4" w:rsidRDefault="00351B00" w:rsidP="00351B00">
      <w:pPr>
        <w:spacing w:after="0" w:line="276" w:lineRule="auto"/>
        <w:ind w:firstLine="705"/>
        <w:jc w:val="both"/>
        <w:rPr>
          <w:rFonts w:ascii="Verdana" w:eastAsia="Times New Roman" w:hAnsi="Verdana" w:cs="Arial"/>
          <w:color w:val="000000"/>
          <w:lang w:eastAsia="es-ES_tradnl"/>
        </w:rPr>
      </w:pPr>
      <w:r w:rsidRPr="00FB5FC4">
        <w:rPr>
          <w:rFonts w:ascii="Verdana" w:eastAsia="Times New Roman" w:hAnsi="Verdana" w:cs="Arial"/>
          <w:color w:val="000000"/>
          <w:bdr w:val="none" w:sz="0" w:space="0" w:color="auto" w:frame="1"/>
          <w:shd w:val="clear" w:color="auto" w:fill="FFFFFF"/>
          <w:lang w:val="es-ES" w:eastAsia="es-ES_tradnl"/>
        </w:rPr>
        <w:t xml:space="preserve">Si no es posible efectuar la liquidación de manera bilateral, el ordenamiento jurídico prevé una facultad, de carácter subsidiario, para que la Entidad Estatal realice la liquidación unilateralmente. En relación con este aspecto, la </w:t>
      </w:r>
      <w:r w:rsidRPr="00FB5FC4">
        <w:rPr>
          <w:rFonts w:ascii="Verdana" w:eastAsia="Times New Roman" w:hAnsi="Verdana" w:cs="Arial"/>
          <w:color w:val="000000"/>
          <w:bdr w:val="none" w:sz="0" w:space="0" w:color="auto" w:frame="1"/>
          <w:shd w:val="clear" w:color="auto" w:fill="FFFFFF"/>
          <w:lang w:val="es-MX" w:eastAsia="es-ES_tradnl"/>
        </w:rPr>
        <w:t xml:space="preserve">Sala de Consulta y Servicio Civil del </w:t>
      </w:r>
      <w:r w:rsidRPr="00FB5FC4">
        <w:rPr>
          <w:rFonts w:ascii="Verdana" w:eastAsia="Times New Roman" w:hAnsi="Verdana" w:cs="Arial"/>
          <w:color w:val="000000"/>
          <w:bdr w:val="none" w:sz="0" w:space="0" w:color="auto" w:frame="1"/>
          <w:shd w:val="clear" w:color="auto" w:fill="FFFFFF"/>
          <w:lang w:val="es-ES" w:eastAsia="es-ES_tradnl"/>
        </w:rPr>
        <w:t>Consejo de Estado</w:t>
      </w:r>
      <w:r w:rsidRPr="00FB5FC4">
        <w:rPr>
          <w:rFonts w:ascii="Verdana" w:eastAsia="Times New Roman" w:hAnsi="Verdana" w:cs="Arial"/>
          <w:color w:val="000000"/>
          <w:bdr w:val="none" w:sz="0" w:space="0" w:color="auto" w:frame="1"/>
          <w:shd w:val="clear" w:color="auto" w:fill="FFFFFF"/>
          <w:lang w:val="es-MX" w:eastAsia="es-ES_tradnl"/>
        </w:rPr>
        <w:t>, en concepto del 28 de junio de 2016, manifestó que:  </w:t>
      </w:r>
    </w:p>
    <w:p w14:paraId="0AA1F718" w14:textId="77777777" w:rsidR="00351B00" w:rsidRPr="00FB5FC4" w:rsidRDefault="00351B00" w:rsidP="00351B00">
      <w:pPr>
        <w:spacing w:after="0" w:line="276" w:lineRule="auto"/>
        <w:ind w:left="705" w:right="750"/>
        <w:jc w:val="both"/>
        <w:rPr>
          <w:rFonts w:ascii="Verdana" w:eastAsia="Times New Roman" w:hAnsi="Verdana" w:cs="Arial"/>
          <w:color w:val="000000"/>
          <w:lang w:eastAsia="es-ES_tradnl"/>
        </w:rPr>
      </w:pPr>
    </w:p>
    <w:p w14:paraId="0291137D" w14:textId="77777777" w:rsidR="00351B00" w:rsidRPr="00A71E32" w:rsidRDefault="00351B00" w:rsidP="00351B00">
      <w:pPr>
        <w:spacing w:after="0" w:line="240" w:lineRule="auto"/>
        <w:ind w:left="705" w:right="750"/>
        <w:jc w:val="both"/>
        <w:rPr>
          <w:rFonts w:ascii="Verdana" w:eastAsia="Times New Roman" w:hAnsi="Verdana" w:cs="Arial"/>
          <w:color w:val="000000"/>
          <w:sz w:val="20"/>
          <w:szCs w:val="20"/>
          <w:lang w:eastAsia="es-ES_tradnl"/>
        </w:rPr>
      </w:pPr>
      <w:r w:rsidRPr="00A71E32">
        <w:rPr>
          <w:rFonts w:ascii="Verdana" w:eastAsia="Times New Roman" w:hAnsi="Verdana" w:cs="Arial"/>
          <w:i/>
          <w:iCs/>
          <w:sz w:val="20"/>
          <w:szCs w:val="20"/>
          <w:lang w:val="es-ES_tradnl" w:eastAsia="es-ES_tradnl"/>
        </w:rPr>
        <w:t>“</w:t>
      </w:r>
      <w:r w:rsidRPr="00A71E32">
        <w:rPr>
          <w:rFonts w:ascii="Verdana" w:eastAsia="Calibri" w:hAnsi="Verdana" w:cs="Arial"/>
          <w:color w:val="000000"/>
          <w:sz w:val="20"/>
          <w:szCs w:val="20"/>
          <w:lang w:val="es-ES" w:eastAsia="es-ES_tradnl"/>
        </w:rPr>
        <w:t>[</w:t>
      </w:r>
      <w:r w:rsidRPr="00A71E32">
        <w:rPr>
          <w:rFonts w:ascii="Verdana" w:eastAsia="Times New Roman" w:hAnsi="Verdana" w:cs="Arial"/>
          <w:color w:val="000000"/>
          <w:sz w:val="20"/>
          <w:szCs w:val="20"/>
          <w:bdr w:val="none" w:sz="0" w:space="0" w:color="auto" w:frame="1"/>
          <w:shd w:val="clear" w:color="auto" w:fill="FFFFFF"/>
          <w:lang w:eastAsia="es-ES_tradnl"/>
        </w:rPr>
        <w:t xml:space="preserve">…] </w:t>
      </w:r>
      <w:r w:rsidRPr="00A71E32">
        <w:rPr>
          <w:rFonts w:ascii="Verdana" w:eastAsia="Times New Roman" w:hAnsi="Verdana" w:cs="Arial"/>
          <w:color w:val="000000"/>
          <w:sz w:val="20"/>
          <w:szCs w:val="20"/>
          <w:bdr w:val="none" w:sz="0" w:space="0" w:color="auto" w:frame="1"/>
          <w:shd w:val="clear" w:color="auto" w:fill="FFFFFF"/>
          <w:lang w:val="es-ES" w:eastAsia="es-ES_tradnl"/>
        </w:rPr>
        <w:t>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cuanto su adopción con tal omisión vulneraría el derecho del contratista al debido proceso y sus corolarios de defensa y contradicción y, además, configuraría un abuso de poder”</w:t>
      </w:r>
      <w:r w:rsidRPr="00A71E32">
        <w:rPr>
          <w:rFonts w:ascii="Verdana" w:eastAsia="Times New Roman" w:hAnsi="Verdana" w:cs="Arial"/>
          <w:color w:val="000000"/>
          <w:sz w:val="20"/>
          <w:szCs w:val="20"/>
          <w:bdr w:val="none" w:sz="0" w:space="0" w:color="auto" w:frame="1"/>
          <w:shd w:val="clear" w:color="auto" w:fill="FFFFFF"/>
          <w:vertAlign w:val="superscript"/>
          <w:lang w:val="es-MX" w:eastAsia="es-ES_tradnl"/>
        </w:rPr>
        <w:footnoteReference w:id="14"/>
      </w:r>
      <w:r w:rsidRPr="00A71E32">
        <w:rPr>
          <w:rFonts w:ascii="Verdana" w:eastAsia="Times New Roman" w:hAnsi="Verdana" w:cs="Arial"/>
          <w:color w:val="000000"/>
          <w:sz w:val="20"/>
          <w:szCs w:val="20"/>
          <w:bdr w:val="none" w:sz="0" w:space="0" w:color="auto" w:frame="1"/>
          <w:shd w:val="clear" w:color="auto" w:fill="FFFFFF"/>
          <w:lang w:val="es-ES" w:eastAsia="es-ES_tradnl"/>
        </w:rPr>
        <w:t>. </w:t>
      </w:r>
      <w:r w:rsidRPr="00A71E32">
        <w:rPr>
          <w:rFonts w:ascii="Verdana" w:eastAsia="Times New Roman" w:hAnsi="Verdana" w:cs="Arial"/>
          <w:color w:val="000000"/>
          <w:sz w:val="20"/>
          <w:szCs w:val="20"/>
          <w:bdr w:val="none" w:sz="0" w:space="0" w:color="auto" w:frame="1"/>
          <w:shd w:val="clear" w:color="auto" w:fill="FFFFFF"/>
          <w:lang w:eastAsia="es-ES_tradnl"/>
        </w:rPr>
        <w:t>  </w:t>
      </w:r>
    </w:p>
    <w:p w14:paraId="12A545A1" w14:textId="77777777" w:rsidR="00351B00" w:rsidRPr="00FB5FC4" w:rsidRDefault="00351B00" w:rsidP="00351B00">
      <w:pPr>
        <w:spacing w:after="0" w:line="276" w:lineRule="auto"/>
        <w:ind w:left="705" w:right="750"/>
        <w:jc w:val="both"/>
        <w:rPr>
          <w:rFonts w:ascii="Verdana" w:eastAsia="Times New Roman" w:hAnsi="Verdana" w:cs="Arial"/>
          <w:color w:val="000000"/>
          <w:lang w:eastAsia="es-ES_tradnl"/>
        </w:rPr>
      </w:pPr>
    </w:p>
    <w:p w14:paraId="696CF333" w14:textId="77777777" w:rsidR="00351B00" w:rsidRPr="00FB5FC4" w:rsidRDefault="00351B00" w:rsidP="00351B00">
      <w:pPr>
        <w:spacing w:after="120" w:line="276" w:lineRule="auto"/>
        <w:ind w:firstLine="705"/>
        <w:jc w:val="both"/>
        <w:rPr>
          <w:rFonts w:ascii="Verdana" w:eastAsia="Times New Roman" w:hAnsi="Verdana" w:cs="Arial"/>
          <w:color w:val="000000"/>
          <w:lang w:eastAsia="es-ES_tradnl"/>
        </w:rPr>
      </w:pPr>
      <w:bookmarkStart w:id="9" w:name="_Hlk141851266"/>
      <w:r w:rsidRPr="00FB5FC4">
        <w:rPr>
          <w:rFonts w:ascii="Verdana" w:eastAsia="Times New Roman" w:hAnsi="Verdana" w:cs="Arial"/>
          <w:color w:val="000000"/>
          <w:bdr w:val="none" w:sz="0" w:space="0" w:color="auto" w:frame="1"/>
          <w:shd w:val="clear" w:color="auto" w:fill="FFFFFF"/>
          <w:lang w:val="es-ES" w:eastAsia="es-ES_tradnl"/>
        </w:rPr>
        <w:t>Si no se logra la liquidación bilateral del contrato, la entidad estatal tiene la facultad de liquidarlo unilateralmente dentro del término de 2 meses contados a partir del vencimiento del plazo que acuerden las partes para liquidar bilateralmente o, ante el silencio de estas, del vencimiento de los 4 meses supletivo establecido por la ley. </w:t>
      </w:r>
    </w:p>
    <w:p w14:paraId="13BAE7D6" w14:textId="77777777" w:rsidR="00351B00" w:rsidRPr="00FB5FC4" w:rsidRDefault="00351B00" w:rsidP="00351B00">
      <w:pPr>
        <w:spacing w:after="0" w:line="276" w:lineRule="auto"/>
        <w:ind w:firstLine="705"/>
        <w:jc w:val="both"/>
        <w:rPr>
          <w:rFonts w:ascii="Verdana" w:eastAsia="Times New Roman" w:hAnsi="Verdana" w:cs="Arial"/>
          <w:color w:val="000000"/>
          <w:bdr w:val="none" w:sz="0" w:space="0" w:color="auto" w:frame="1"/>
          <w:shd w:val="clear" w:color="auto" w:fill="FFFFFF"/>
          <w:lang w:eastAsia="es-ES_tradnl"/>
        </w:rPr>
      </w:pPr>
      <w:r w:rsidRPr="00FB5FC4">
        <w:rPr>
          <w:rFonts w:ascii="Verdana" w:eastAsia="Times New Roman" w:hAnsi="Verdana" w:cs="Arial"/>
          <w:color w:val="000000"/>
          <w:bdr w:val="none" w:sz="0" w:space="0" w:color="auto" w:frame="1"/>
          <w:shd w:val="clear" w:color="auto" w:fill="FFFFFF"/>
          <w:lang w:val="es-ES" w:eastAsia="es-ES_tradnl"/>
        </w:rPr>
        <w:t>Finalmente, transcurridos estos meses, la liquidación podrá ser realizada en cualquier tiempo dentro de los dos años siguientes al vencimiento del término referido, de mutuo acuerdo o unilateralmente, salvo que el contratista haya presentado la demanda con la cual pretenda la liquidación judicial del contrato</w:t>
      </w:r>
      <w:r>
        <w:rPr>
          <w:rFonts w:ascii="Verdana" w:eastAsia="Times New Roman" w:hAnsi="Verdana" w:cs="Arial"/>
          <w:color w:val="000000"/>
          <w:bdr w:val="none" w:sz="0" w:space="0" w:color="auto" w:frame="1"/>
          <w:shd w:val="clear" w:color="auto" w:fill="FFFFFF"/>
          <w:lang w:val="es-ES" w:eastAsia="es-ES_tradnl"/>
        </w:rPr>
        <w:t xml:space="preserve"> y haya sido admitida la misma</w:t>
      </w:r>
      <w:r>
        <w:rPr>
          <w:rStyle w:val="Refdenotaalpie"/>
          <w:rFonts w:ascii="Verdana" w:eastAsia="Times New Roman" w:hAnsi="Verdana" w:cs="Arial"/>
          <w:color w:val="000000"/>
          <w:bdr w:val="none" w:sz="0" w:space="0" w:color="auto" w:frame="1"/>
          <w:shd w:val="clear" w:color="auto" w:fill="FFFFFF"/>
          <w:lang w:val="es-ES" w:eastAsia="es-ES_tradnl"/>
        </w:rPr>
        <w:footnoteReference w:id="15"/>
      </w:r>
      <w:r w:rsidRPr="00FB5FC4">
        <w:rPr>
          <w:rFonts w:ascii="Verdana" w:eastAsia="Times New Roman" w:hAnsi="Verdana" w:cs="Arial"/>
          <w:color w:val="000000"/>
          <w:bdr w:val="none" w:sz="0" w:space="0" w:color="auto" w:frame="1"/>
          <w:shd w:val="clear" w:color="auto" w:fill="FFFFFF"/>
          <w:lang w:val="es-ES" w:eastAsia="es-ES_tradnl"/>
        </w:rPr>
        <w:t xml:space="preserve">. De esta manera, durante estos dos años la liquidación podrá hacerse de mutuo acuerdo, unilateralmente por la entidad, o podrá ser solicitada judicialmente por el interesado. </w:t>
      </w:r>
      <w:bookmarkEnd w:id="9"/>
      <w:r w:rsidRPr="00FB5FC4">
        <w:rPr>
          <w:rFonts w:ascii="Verdana" w:eastAsia="Times New Roman" w:hAnsi="Verdana" w:cs="Arial"/>
          <w:color w:val="000000"/>
          <w:bdr w:val="none" w:sz="0" w:space="0" w:color="auto" w:frame="1"/>
          <w:shd w:val="clear" w:color="auto" w:fill="FFFFFF"/>
          <w:lang w:val="es-ES" w:eastAsia="es-ES_tradnl"/>
        </w:rPr>
        <w:t xml:space="preserve">En este sentido, en decisión de unificación de la </w:t>
      </w:r>
      <w:r w:rsidRPr="00FB5FC4">
        <w:rPr>
          <w:rFonts w:ascii="Verdana" w:eastAsia="Times New Roman" w:hAnsi="Verdana" w:cs="Arial"/>
          <w:color w:val="000000"/>
          <w:bdr w:val="none" w:sz="0" w:space="0" w:color="auto" w:frame="1"/>
          <w:shd w:val="clear" w:color="auto" w:fill="FFFFFF"/>
          <w:lang w:val="es-MX" w:eastAsia="es-ES_tradnl"/>
        </w:rPr>
        <w:t>Sección Tercera</w:t>
      </w:r>
      <w:r w:rsidRPr="00FB5FC4">
        <w:rPr>
          <w:rFonts w:ascii="Verdana" w:eastAsia="Times New Roman" w:hAnsi="Verdana" w:cs="Arial"/>
          <w:color w:val="000000"/>
          <w:bdr w:val="none" w:sz="0" w:space="0" w:color="auto" w:frame="1"/>
          <w:shd w:val="clear" w:color="auto" w:fill="FFFFFF"/>
          <w:lang w:val="es-ES" w:eastAsia="es-ES_tradnl"/>
        </w:rPr>
        <w:t xml:space="preserve"> del Consejo de Estado del</w:t>
      </w:r>
      <w:r w:rsidRPr="00FB5FC4">
        <w:rPr>
          <w:rFonts w:ascii="Verdana" w:eastAsia="Times New Roman" w:hAnsi="Verdana" w:cs="Arial"/>
          <w:color w:val="000000"/>
          <w:bdr w:val="none" w:sz="0" w:space="0" w:color="auto" w:frame="1"/>
          <w:shd w:val="clear" w:color="auto" w:fill="FFFFFF"/>
          <w:lang w:val="es-MX" w:eastAsia="es-ES_tradnl"/>
        </w:rPr>
        <w:t> </w:t>
      </w:r>
      <w:r w:rsidRPr="00FB5FC4">
        <w:rPr>
          <w:rFonts w:ascii="Verdana" w:eastAsia="Times New Roman" w:hAnsi="Verdana" w:cs="Arial"/>
          <w:color w:val="000000"/>
          <w:bdr w:val="none" w:sz="0" w:space="0" w:color="auto" w:frame="1"/>
          <w:shd w:val="clear" w:color="auto" w:fill="FFFFFF"/>
          <w:lang w:eastAsia="es-ES_tradnl"/>
        </w:rPr>
        <w:t>1 de agosto de 2019, se expresó: </w:t>
      </w:r>
    </w:p>
    <w:p w14:paraId="045CBD56" w14:textId="77777777" w:rsidR="00351B00" w:rsidRPr="00FB5FC4" w:rsidRDefault="00351B00" w:rsidP="00351B00">
      <w:pPr>
        <w:spacing w:after="0" w:line="276" w:lineRule="auto"/>
        <w:ind w:firstLine="705"/>
        <w:jc w:val="both"/>
        <w:rPr>
          <w:rFonts w:ascii="Verdana" w:eastAsia="Times New Roman" w:hAnsi="Verdana" w:cs="Arial"/>
          <w:color w:val="000000"/>
          <w:lang w:eastAsia="es-ES_tradnl"/>
        </w:rPr>
      </w:pPr>
    </w:p>
    <w:p w14:paraId="74D82F61" w14:textId="77777777" w:rsidR="00351B00" w:rsidRPr="00A71E32" w:rsidRDefault="00351B00" w:rsidP="00351B00">
      <w:pPr>
        <w:spacing w:after="0" w:line="240" w:lineRule="auto"/>
        <w:ind w:left="705" w:right="750"/>
        <w:jc w:val="both"/>
        <w:rPr>
          <w:rFonts w:ascii="Verdana" w:eastAsia="Times New Roman" w:hAnsi="Verdana" w:cs="Arial"/>
          <w:color w:val="000000"/>
          <w:sz w:val="20"/>
          <w:szCs w:val="20"/>
          <w:lang w:eastAsia="es-ES_tradnl"/>
        </w:rPr>
      </w:pPr>
      <w:r w:rsidRPr="00A71E32">
        <w:rPr>
          <w:rFonts w:ascii="Verdana" w:eastAsia="Times New Roman" w:hAnsi="Verdana" w:cs="Arial"/>
          <w:sz w:val="20"/>
          <w:szCs w:val="20"/>
          <w:lang w:val="es-ES_tradnl" w:eastAsia="es-ES_tradnl"/>
        </w:rPr>
        <w:t>“</w:t>
      </w:r>
      <w:r w:rsidRPr="00A71E32">
        <w:rPr>
          <w:rFonts w:ascii="Verdana" w:eastAsia="Times New Roman" w:hAnsi="Verdana" w:cs="Arial"/>
          <w:color w:val="000000"/>
          <w:sz w:val="20"/>
          <w:szCs w:val="20"/>
          <w:bdr w:val="none" w:sz="0" w:space="0" w:color="auto" w:frame="1"/>
          <w:shd w:val="clear" w:color="auto" w:fill="FFFFFF"/>
          <w:lang w:val="es-ES" w:eastAsia="es-ES_tradnl"/>
        </w:rPr>
        <w:t>Como pudo apreciarse, este precepto legal permite que la liquidación bilateral se acuerde después del vencimiento del término pactado en el contrato o previsto en los documentos antepuestos, o, del término supletorio que para la concertación de la liquidación establece la ley, e  incluso, después de haber pasado los dos meses subsiguientes a dicho vencimiento sin que la administración lo hubiera liquidado unilateralmente, bajo condición de que el acuerdo </w:t>
      </w:r>
      <w:proofErr w:type="spellStart"/>
      <w:r w:rsidRPr="00A71E32">
        <w:rPr>
          <w:rFonts w:ascii="Verdana" w:eastAsia="Times New Roman" w:hAnsi="Verdana" w:cs="Arial"/>
          <w:color w:val="000000"/>
          <w:sz w:val="20"/>
          <w:szCs w:val="20"/>
          <w:bdr w:val="none" w:sz="0" w:space="0" w:color="auto" w:frame="1"/>
          <w:shd w:val="clear" w:color="auto" w:fill="FFFFFF"/>
          <w:lang w:val="es-ES" w:eastAsia="es-ES_tradnl"/>
        </w:rPr>
        <w:t>liquidatorio</w:t>
      </w:r>
      <w:proofErr w:type="spellEnd"/>
      <w:r w:rsidRPr="00A71E32">
        <w:rPr>
          <w:rFonts w:ascii="Verdana" w:eastAsia="Times New Roman" w:hAnsi="Verdana" w:cs="Arial"/>
          <w:color w:val="000000"/>
          <w:sz w:val="20"/>
          <w:szCs w:val="20"/>
          <w:bdr w:val="none" w:sz="0" w:space="0" w:color="auto" w:frame="1"/>
          <w:shd w:val="clear" w:color="auto" w:fill="FFFFFF"/>
          <w:lang w:val="es-ES" w:eastAsia="es-ES_tradnl"/>
        </w:rPr>
        <w:t> se logre dentro del lapso de dos años contados a partir del vencimiento del término legalmente conocido para la liquidación unilateral, pues ese es el lapso que el ordenamiento ha fijado para el ejercicio oportuno de la acción</w:t>
      </w:r>
      <w:r w:rsidRPr="00A71E32">
        <w:rPr>
          <w:rFonts w:ascii="Verdana" w:eastAsia="Times New Roman" w:hAnsi="Verdana" w:cs="Arial"/>
          <w:sz w:val="20"/>
          <w:szCs w:val="20"/>
          <w:lang w:val="es-ES_tradnl" w:eastAsia="es-ES_tradnl"/>
        </w:rPr>
        <w:t>”</w:t>
      </w:r>
      <w:r w:rsidRPr="00A71E32">
        <w:rPr>
          <w:rFonts w:ascii="Verdana" w:eastAsia="Times New Roman" w:hAnsi="Verdana" w:cs="Arial"/>
          <w:color w:val="000000"/>
          <w:sz w:val="20"/>
          <w:szCs w:val="20"/>
          <w:bdr w:val="none" w:sz="0" w:space="0" w:color="auto" w:frame="1"/>
          <w:shd w:val="clear" w:color="auto" w:fill="FFFFFF"/>
          <w:vertAlign w:val="superscript"/>
          <w:lang w:eastAsia="es-ES_tradnl"/>
        </w:rPr>
        <w:t xml:space="preserve"> </w:t>
      </w:r>
      <w:r w:rsidRPr="00A71E32">
        <w:rPr>
          <w:rFonts w:ascii="Verdana" w:eastAsia="Times New Roman" w:hAnsi="Verdana" w:cs="Arial"/>
          <w:color w:val="000000"/>
          <w:sz w:val="20"/>
          <w:szCs w:val="20"/>
          <w:bdr w:val="none" w:sz="0" w:space="0" w:color="auto" w:frame="1"/>
          <w:shd w:val="clear" w:color="auto" w:fill="FFFFFF"/>
          <w:vertAlign w:val="superscript"/>
          <w:lang w:eastAsia="es-ES_tradnl"/>
        </w:rPr>
        <w:footnoteReference w:id="16"/>
      </w:r>
      <w:r w:rsidRPr="00A71E32">
        <w:rPr>
          <w:rFonts w:ascii="Verdana" w:eastAsia="Times New Roman" w:hAnsi="Verdana" w:cs="Arial"/>
          <w:sz w:val="20"/>
          <w:szCs w:val="20"/>
          <w:lang w:val="es-ES_tradnl" w:eastAsia="es-ES_tradnl"/>
        </w:rPr>
        <w:t>.</w:t>
      </w:r>
      <w:r w:rsidRPr="00A71E32">
        <w:rPr>
          <w:rFonts w:ascii="Verdana" w:eastAsia="Times New Roman" w:hAnsi="Verdana" w:cs="Arial"/>
          <w:color w:val="000000"/>
          <w:sz w:val="20"/>
          <w:szCs w:val="20"/>
          <w:bdr w:val="none" w:sz="0" w:space="0" w:color="auto" w:frame="1"/>
          <w:shd w:val="clear" w:color="auto" w:fill="FFFFFF"/>
          <w:lang w:val="es-ES" w:eastAsia="es-ES_tradnl"/>
        </w:rPr>
        <w:t> </w:t>
      </w:r>
    </w:p>
    <w:p w14:paraId="249EA3B6" w14:textId="77777777" w:rsidR="00351B00" w:rsidRPr="00FB5FC4" w:rsidRDefault="00351B00" w:rsidP="00351B00">
      <w:pPr>
        <w:spacing w:after="0" w:line="276" w:lineRule="auto"/>
        <w:ind w:firstLine="708"/>
        <w:jc w:val="both"/>
        <w:rPr>
          <w:rFonts w:ascii="Verdana" w:eastAsia="Times New Roman" w:hAnsi="Verdana" w:cs="Arial"/>
          <w:color w:val="000000"/>
          <w:lang w:eastAsia="es-ES_tradnl"/>
        </w:rPr>
      </w:pPr>
    </w:p>
    <w:p w14:paraId="74FB402D" w14:textId="77777777" w:rsidR="00351B00" w:rsidRDefault="00351B00" w:rsidP="00351B00">
      <w:pPr>
        <w:tabs>
          <w:tab w:val="left" w:pos="709"/>
        </w:tabs>
        <w:spacing w:after="120" w:line="276" w:lineRule="auto"/>
        <w:jc w:val="both"/>
        <w:rPr>
          <w:rFonts w:ascii="Verdana" w:eastAsia="Times New Roman" w:hAnsi="Verdana" w:cs="Arial"/>
          <w:color w:val="000000"/>
          <w:bdr w:val="none" w:sz="0" w:space="0" w:color="auto" w:frame="1"/>
          <w:shd w:val="clear" w:color="auto" w:fill="FFFFFF"/>
          <w:lang w:eastAsia="es-ES_tradnl"/>
        </w:rPr>
      </w:pPr>
      <w:r>
        <w:rPr>
          <w:rFonts w:ascii="Verdana" w:eastAsia="Times New Roman" w:hAnsi="Verdana" w:cs="Arial"/>
          <w:color w:val="000000"/>
          <w:bdr w:val="none" w:sz="0" w:space="0" w:color="auto" w:frame="1"/>
          <w:shd w:val="clear" w:color="auto" w:fill="FFFFFF"/>
          <w:lang w:eastAsia="es-ES_tradnl"/>
        </w:rPr>
        <w:tab/>
      </w:r>
      <w:r w:rsidRPr="00FB5FC4">
        <w:rPr>
          <w:rFonts w:ascii="Verdana" w:eastAsia="Times New Roman" w:hAnsi="Verdana" w:cs="Arial"/>
          <w:color w:val="000000"/>
          <w:bdr w:val="none" w:sz="0" w:space="0" w:color="auto" w:frame="1"/>
          <w:shd w:val="clear" w:color="auto" w:fill="FFFFFF"/>
          <w:lang w:eastAsia="es-ES_tradnl"/>
        </w:rPr>
        <w:t>A su turno</w:t>
      </w:r>
      <w:r>
        <w:rPr>
          <w:rFonts w:ascii="Verdana" w:eastAsia="Times New Roman" w:hAnsi="Verdana" w:cs="Arial"/>
          <w:color w:val="000000"/>
          <w:bdr w:val="none" w:sz="0" w:space="0" w:color="auto" w:frame="1"/>
          <w:shd w:val="clear" w:color="auto" w:fill="FFFFFF"/>
          <w:lang w:eastAsia="es-ES_tradnl"/>
        </w:rPr>
        <w:t xml:space="preserve">, la liquidación judicial hace parte de una de las pretensiones que admite el medio de control de controversias contractuales. Al respecto, el artículo 141 de la Ley 1437 de 2011 dispone que “[…] </w:t>
      </w:r>
      <w:r w:rsidRPr="00F915F3">
        <w:rPr>
          <w:rFonts w:ascii="Verdana" w:eastAsia="Times New Roman" w:hAnsi="Verdana" w:cs="Arial"/>
          <w:color w:val="000000"/>
          <w:bdr w:val="none" w:sz="0" w:space="0" w:color="auto" w:frame="1"/>
          <w:shd w:val="clear" w:color="auto" w:fill="FFFFFF"/>
          <w:lang w:eastAsia="es-ES_tradnl"/>
        </w:rPr>
        <w:t xml:space="preserve">el interesado podrá </w:t>
      </w:r>
      <w:bookmarkStart w:id="10" w:name="_Hlk172560769"/>
      <w:r w:rsidRPr="00F915F3">
        <w:rPr>
          <w:rFonts w:ascii="Verdana" w:eastAsia="Times New Roman" w:hAnsi="Verdana" w:cs="Arial"/>
          <w:color w:val="000000"/>
          <w:bdr w:val="none" w:sz="0" w:space="0" w:color="auto" w:frame="1"/>
          <w:shd w:val="clear" w:color="auto" w:fill="FFFFFF"/>
          <w:lang w:eastAsia="es-ES_tradnl"/>
        </w:rPr>
        <w:t>solicitar la liquidación judicial</w:t>
      </w:r>
      <w:bookmarkEnd w:id="10"/>
      <w:r w:rsidRPr="00F915F3">
        <w:rPr>
          <w:rFonts w:ascii="Verdana" w:eastAsia="Times New Roman" w:hAnsi="Verdana" w:cs="Arial"/>
          <w:color w:val="000000"/>
          <w:bdr w:val="none" w:sz="0" w:space="0" w:color="auto" w:frame="1"/>
          <w:shd w:val="clear" w:color="auto" w:fill="FFFFFF"/>
          <w:lang w:eastAsia="es-ES_tradnl"/>
        </w:rPr>
        <w:t xml:space="preserve"> del contrato cuando esta no se haya logrado de mutuo acuerdo y la entidad estatal no lo haya liquidado unilateralmente dentro de los dos (2) meses siguientes al vencimiento del plazo convenido para liquidar de mutuo acuerdo o, en su defecto, del término establecido por la ley</w:t>
      </w:r>
      <w:r>
        <w:rPr>
          <w:rFonts w:ascii="Verdana" w:eastAsia="Times New Roman" w:hAnsi="Verdana" w:cs="Arial"/>
          <w:color w:val="000000"/>
          <w:bdr w:val="none" w:sz="0" w:space="0" w:color="auto" w:frame="1"/>
          <w:shd w:val="clear" w:color="auto" w:fill="FFFFFF"/>
          <w:lang w:eastAsia="es-ES_tradnl"/>
        </w:rPr>
        <w:t>”</w:t>
      </w:r>
      <w:r w:rsidRPr="00F915F3">
        <w:rPr>
          <w:rFonts w:ascii="Verdana" w:eastAsia="Times New Roman" w:hAnsi="Verdana" w:cs="Arial"/>
          <w:color w:val="000000"/>
          <w:bdr w:val="none" w:sz="0" w:space="0" w:color="auto" w:frame="1"/>
          <w:shd w:val="clear" w:color="auto" w:fill="FFFFFF"/>
          <w:lang w:eastAsia="es-ES_tradnl"/>
        </w:rPr>
        <w:t>.</w:t>
      </w:r>
      <w:r>
        <w:rPr>
          <w:rFonts w:ascii="Verdana" w:eastAsia="Times New Roman" w:hAnsi="Verdana" w:cs="Arial"/>
          <w:color w:val="000000"/>
          <w:bdr w:val="none" w:sz="0" w:space="0" w:color="auto" w:frame="1"/>
          <w:shd w:val="clear" w:color="auto" w:fill="FFFFFF"/>
          <w:lang w:eastAsia="es-ES_tradnl"/>
        </w:rPr>
        <w:t xml:space="preserve"> Bajo esta perspectiva, para la entidad cesa la facultad de liquidar bilateral o unilateralmente, ya que el tema pasa de la administración a la jurisdicción.</w:t>
      </w:r>
    </w:p>
    <w:p w14:paraId="65D9EDFD" w14:textId="77777777" w:rsidR="00351B00" w:rsidRDefault="00351B00" w:rsidP="00351B00">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
        </w:rPr>
      </w:pPr>
      <w:r>
        <w:rPr>
          <w:rFonts w:ascii="Verdana" w:eastAsia="Times New Roman" w:hAnsi="Verdana" w:cs="Arial"/>
          <w:color w:val="000000"/>
          <w:bdr w:val="none" w:sz="0" w:space="0" w:color="auto" w:frame="1"/>
          <w:shd w:val="clear" w:color="auto" w:fill="FFFFFF"/>
          <w:lang w:eastAsia="es-ES_tradnl"/>
        </w:rPr>
        <w:tab/>
      </w:r>
      <w:r w:rsidRPr="64F094BD">
        <w:rPr>
          <w:rFonts w:ascii="Verdana" w:eastAsia="Times New Roman" w:hAnsi="Verdana" w:cs="Arial"/>
          <w:color w:val="000000"/>
          <w:bdr w:val="none" w:sz="0" w:space="0" w:color="auto" w:frame="1"/>
          <w:shd w:val="clear" w:color="auto" w:fill="FFFFFF"/>
          <w:lang w:val="es-ES" w:eastAsia="es-ES"/>
        </w:rPr>
        <w:t xml:space="preserve">En suma, de acuerdo con el artículo 11 de la Ley 1150 de 2007, existen tres (3) tipos de liquidación: i) bilateral, </w:t>
      </w:r>
      <w:proofErr w:type="spellStart"/>
      <w:r w:rsidRPr="64F094BD">
        <w:rPr>
          <w:rFonts w:ascii="Verdana" w:eastAsia="Times New Roman" w:hAnsi="Verdana" w:cs="Arial"/>
          <w:color w:val="000000"/>
          <w:bdr w:val="none" w:sz="0" w:space="0" w:color="auto" w:frame="1"/>
          <w:shd w:val="clear" w:color="auto" w:fill="FFFFFF"/>
          <w:lang w:val="es-ES" w:eastAsia="es-ES"/>
        </w:rPr>
        <w:t>ii</w:t>
      </w:r>
      <w:proofErr w:type="spellEnd"/>
      <w:r w:rsidRPr="64F094BD">
        <w:rPr>
          <w:rFonts w:ascii="Verdana" w:eastAsia="Times New Roman" w:hAnsi="Verdana" w:cs="Arial"/>
          <w:color w:val="000000"/>
          <w:bdr w:val="none" w:sz="0" w:space="0" w:color="auto" w:frame="1"/>
          <w:shd w:val="clear" w:color="auto" w:fill="FFFFFF"/>
          <w:lang w:val="es-ES" w:eastAsia="es-ES"/>
        </w:rPr>
        <w:t xml:space="preserve">) unilateral y </w:t>
      </w:r>
      <w:proofErr w:type="spellStart"/>
      <w:r w:rsidRPr="64F094BD">
        <w:rPr>
          <w:rFonts w:ascii="Verdana" w:eastAsia="Times New Roman" w:hAnsi="Verdana" w:cs="Arial"/>
          <w:color w:val="000000"/>
          <w:bdr w:val="none" w:sz="0" w:space="0" w:color="auto" w:frame="1"/>
          <w:shd w:val="clear" w:color="auto" w:fill="FFFFFF"/>
          <w:lang w:val="es-ES" w:eastAsia="es-ES"/>
        </w:rPr>
        <w:t>iii</w:t>
      </w:r>
      <w:proofErr w:type="spellEnd"/>
      <w:r w:rsidRPr="64F094BD">
        <w:rPr>
          <w:rFonts w:ascii="Verdana" w:eastAsia="Times New Roman" w:hAnsi="Verdana" w:cs="Arial"/>
          <w:color w:val="000000"/>
          <w:bdr w:val="none" w:sz="0" w:space="0" w:color="auto" w:frame="1"/>
          <w:shd w:val="clear" w:color="auto" w:fill="FFFFFF"/>
          <w:lang w:val="es-ES" w:eastAsia="es-ES"/>
        </w:rPr>
        <w:t>)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dos (2) años contados a partir de los dos meses establecidos en la Ley para realizar la liquidación unilateral.</w:t>
      </w:r>
    </w:p>
    <w:p w14:paraId="748BF59F" w14:textId="77777777" w:rsidR="00351B00" w:rsidRDefault="00351B00" w:rsidP="00351B00">
      <w:pPr>
        <w:spacing w:after="0" w:line="276" w:lineRule="auto"/>
        <w:ind w:firstLine="708"/>
        <w:jc w:val="both"/>
        <w:rPr>
          <w:rFonts w:ascii="Verdana" w:eastAsia="Times New Roman" w:hAnsi="Verdana" w:cs="Arial"/>
          <w:color w:val="000000" w:themeColor="text1"/>
          <w:lang w:eastAsia="es-CO"/>
        </w:rPr>
      </w:pPr>
      <w:r w:rsidRPr="00882C9A">
        <w:rPr>
          <w:rFonts w:ascii="Verdana" w:eastAsia="Times New Roman" w:hAnsi="Verdana" w:cs="Arial"/>
          <w:color w:val="000000" w:themeColor="text1"/>
          <w:lang w:eastAsia="es-CO"/>
        </w:rPr>
        <w:t xml:space="preserve">Así las cosas, posterior a los términos referenciados en el párrafo precedente sin que se hubiese liquidado el contrato, ésta no podrá adelantarse dado que los plazos referidos son perentorios. Esto significa que con su vencimiento fenece la oportunidad de efectuarla ante la pérdida de competencia de la entidad para realizar el balance final del acuerdo de voluntades pactado. </w:t>
      </w:r>
    </w:p>
    <w:p w14:paraId="385AD87D" w14:textId="77777777" w:rsidR="00351B00" w:rsidRDefault="00351B00" w:rsidP="00351B00">
      <w:pPr>
        <w:spacing w:after="0" w:line="276" w:lineRule="auto"/>
        <w:ind w:firstLine="708"/>
        <w:jc w:val="both"/>
        <w:rPr>
          <w:rFonts w:ascii="Verdana" w:eastAsia="Times New Roman" w:hAnsi="Verdana" w:cs="Arial"/>
          <w:color w:val="000000" w:themeColor="text1"/>
          <w:lang w:eastAsia="es-CO"/>
        </w:rPr>
      </w:pPr>
    </w:p>
    <w:p w14:paraId="102FF37A" w14:textId="77777777" w:rsidR="00351B00" w:rsidRDefault="00351B00" w:rsidP="00351B00">
      <w:pPr>
        <w:pStyle w:val="Textonotapie"/>
        <w:spacing w:after="120" w:line="276" w:lineRule="auto"/>
        <w:ind w:firstLine="709"/>
        <w:jc w:val="both"/>
        <w:rPr>
          <w:rFonts w:ascii="Verdana" w:hAnsi="Verdana" w:cs="Arial"/>
          <w:color w:val="000000"/>
          <w:sz w:val="22"/>
          <w:szCs w:val="22"/>
        </w:rPr>
      </w:pPr>
      <w:r w:rsidRPr="002B78DF">
        <w:rPr>
          <w:rFonts w:ascii="Verdana" w:eastAsia="Times New Roman" w:hAnsi="Verdana" w:cs="Arial"/>
          <w:color w:val="000000" w:themeColor="text1"/>
          <w:sz w:val="22"/>
          <w:szCs w:val="22"/>
          <w:lang w:eastAsia="es-CO"/>
        </w:rPr>
        <w:t xml:space="preserve">El concepto proferido por la Sala de Consulta y Servicio Civil </w:t>
      </w:r>
      <w:r w:rsidRPr="002B78DF">
        <w:rPr>
          <w:rFonts w:ascii="Verdana" w:hAnsi="Verdana" w:cs="Arial"/>
          <w:color w:val="000000"/>
          <w:sz w:val="22"/>
          <w:szCs w:val="22"/>
        </w:rPr>
        <w:t>del 28 de junio de 2016</w:t>
      </w:r>
      <w:r w:rsidRPr="002B78DF">
        <w:rPr>
          <w:rStyle w:val="Refdenotaalpie"/>
          <w:rFonts w:ascii="Verdana" w:hAnsi="Verdana" w:cs="Arial"/>
          <w:color w:val="000000"/>
          <w:sz w:val="22"/>
          <w:szCs w:val="22"/>
        </w:rPr>
        <w:footnoteReference w:id="17"/>
      </w:r>
      <w:r>
        <w:rPr>
          <w:rFonts w:ascii="Verdana" w:hAnsi="Verdana" w:cs="Arial"/>
          <w:color w:val="000000"/>
          <w:sz w:val="22"/>
          <w:szCs w:val="22"/>
        </w:rPr>
        <w:t xml:space="preserve"> reitera la postura que la Sección Tercera tiene al respecto, esto es, </w:t>
      </w:r>
      <w:proofErr w:type="gramStart"/>
      <w:r>
        <w:rPr>
          <w:rFonts w:ascii="Verdana" w:hAnsi="Verdana" w:cs="Arial"/>
          <w:color w:val="000000"/>
          <w:sz w:val="22"/>
          <w:szCs w:val="22"/>
        </w:rPr>
        <w:t>que</w:t>
      </w:r>
      <w:proofErr w:type="gramEnd"/>
      <w:r>
        <w:rPr>
          <w:rFonts w:ascii="Verdana" w:hAnsi="Verdana" w:cs="Arial"/>
          <w:color w:val="000000"/>
          <w:sz w:val="22"/>
          <w:szCs w:val="22"/>
        </w:rPr>
        <w:t xml:space="preserve"> con posterioridad al vencimiento de los plazos para la liquidación bilateral, unilateral o judicial, las partes y en especial, la administración, pierden competencia para efectuarla, al sostener</w:t>
      </w:r>
    </w:p>
    <w:p w14:paraId="1A9C4E6A" w14:textId="77777777" w:rsidR="00351B00" w:rsidRPr="009B0608" w:rsidRDefault="00351B00" w:rsidP="00351B00">
      <w:pPr>
        <w:pStyle w:val="Textonotapie"/>
        <w:ind w:left="851" w:right="760"/>
        <w:jc w:val="both"/>
        <w:rPr>
          <w:rFonts w:ascii="Verdana" w:eastAsia="Times New Roman" w:hAnsi="Verdana" w:cs="Arial"/>
          <w:color w:val="000000"/>
          <w:bdr w:val="none" w:sz="0" w:space="0" w:color="auto" w:frame="1"/>
          <w:shd w:val="clear" w:color="auto" w:fill="FFFFFF"/>
          <w:lang w:val="es-ES" w:eastAsia="es-ES_tradnl"/>
        </w:rPr>
      </w:pPr>
      <w:r w:rsidRPr="009B0608">
        <w:rPr>
          <w:rFonts w:ascii="Verdana" w:eastAsia="Times New Roman" w:hAnsi="Verdana" w:cs="Arial"/>
          <w:color w:val="000000"/>
          <w:bdr w:val="none" w:sz="0" w:space="0" w:color="auto" w:frame="1"/>
          <w:shd w:val="clear" w:color="auto" w:fill="FFFFFF"/>
          <w:lang w:val="es-ES" w:eastAsia="es-ES_tradnl"/>
        </w:rPr>
        <w:t xml:space="preserve">“Si las partes suscriben la liquidación bilateral del contrato cuando expiró el término de caducidad del medio de control de controversias contractuales, el negocio jurídico queda viciado de nulidad absoluta, por falta de competencia de la entidad, pues este elemento del acto jurídico no es requisito exclusivo de los actos administrativos, sino que se exige para cualquier actuación de las </w:t>
      </w:r>
      <w:proofErr w:type="gramStart"/>
      <w:r w:rsidRPr="009B0608">
        <w:rPr>
          <w:rFonts w:ascii="Verdana" w:eastAsia="Times New Roman" w:hAnsi="Verdana" w:cs="Arial"/>
          <w:color w:val="000000"/>
          <w:bdr w:val="none" w:sz="0" w:space="0" w:color="auto" w:frame="1"/>
          <w:shd w:val="clear" w:color="auto" w:fill="FFFFFF"/>
          <w:lang w:val="es-ES" w:eastAsia="es-ES_tradnl"/>
        </w:rPr>
        <w:t>autoridades públicas</w:t>
      </w:r>
      <w:proofErr w:type="gramEnd"/>
      <w:r w:rsidRPr="009B0608">
        <w:rPr>
          <w:rFonts w:ascii="Verdana" w:eastAsia="Times New Roman" w:hAnsi="Verdana" w:cs="Arial"/>
          <w:color w:val="000000"/>
          <w:bdr w:val="none" w:sz="0" w:space="0" w:color="auto" w:frame="1"/>
          <w:shd w:val="clear" w:color="auto" w:fill="FFFFFF"/>
          <w:lang w:val="es-ES" w:eastAsia="es-ES_tradnl"/>
        </w:rPr>
        <w:t>, de conformidad con los artículos 6 y 121 de la Constitución Política. En tal supuesto, la liquidación bilateral extemporánea también se encuentra viciada de nulidad, por objeto ilícito del negocio, por contrariar la competencia temporal prevista en el artículo 11 de la Ley 1150 de 2007 y por desconocimiento de las normas de orden público que establecen el término de caducidad del medio de control de controversias contractuales (art. 164, Ley 1437 de 2011), pues la</w:t>
      </w:r>
      <w:r>
        <w:rPr>
          <w:rFonts w:ascii="Verdana" w:eastAsia="Times New Roman" w:hAnsi="Verdana" w:cs="Arial"/>
          <w:color w:val="000000"/>
          <w:bdr w:val="none" w:sz="0" w:space="0" w:color="auto" w:frame="1"/>
          <w:shd w:val="clear" w:color="auto" w:fill="FFFFFF"/>
          <w:lang w:val="es-ES" w:eastAsia="es-ES_tradnl"/>
        </w:rPr>
        <w:t xml:space="preserve"> </w:t>
      </w:r>
      <w:r w:rsidRPr="009B0608">
        <w:rPr>
          <w:rFonts w:ascii="Verdana" w:eastAsia="Times New Roman" w:hAnsi="Verdana" w:cs="Arial"/>
          <w:color w:val="000000"/>
          <w:bdr w:val="none" w:sz="0" w:space="0" w:color="auto" w:frame="1"/>
          <w:shd w:val="clear" w:color="auto" w:fill="FFFFFF"/>
          <w:lang w:val="es-CO" w:eastAsia="es-ES_tradnl"/>
        </w:rPr>
        <w:t>liquidación por fuera de estos plazos implicaría revivir el cómputo de la caducidad.”</w:t>
      </w:r>
      <w:r>
        <w:rPr>
          <w:rStyle w:val="Refdenotaalpie"/>
          <w:rFonts w:ascii="Verdana" w:eastAsia="Times New Roman" w:hAnsi="Verdana" w:cs="Arial"/>
          <w:color w:val="000000"/>
          <w:bdr w:val="none" w:sz="0" w:space="0" w:color="auto" w:frame="1"/>
          <w:shd w:val="clear" w:color="auto" w:fill="FFFFFF"/>
          <w:lang w:val="es-CO" w:eastAsia="es-ES_tradnl"/>
        </w:rPr>
        <w:footnoteReference w:id="18"/>
      </w:r>
    </w:p>
    <w:p w14:paraId="7978E9BC" w14:textId="77777777" w:rsidR="00351B00" w:rsidRDefault="00351B00" w:rsidP="00351B00">
      <w:pPr>
        <w:pStyle w:val="Textonotapie"/>
        <w:spacing w:after="120" w:line="276" w:lineRule="auto"/>
        <w:jc w:val="both"/>
        <w:rPr>
          <w:rFonts w:ascii="Verdana" w:hAnsi="Verdana" w:cs="Arial"/>
          <w:color w:val="000000"/>
          <w:sz w:val="22"/>
          <w:szCs w:val="22"/>
        </w:rPr>
      </w:pPr>
    </w:p>
    <w:p w14:paraId="2EABB81A" w14:textId="77777777" w:rsidR="00351B00" w:rsidRDefault="00351B00" w:rsidP="00351B00">
      <w:pPr>
        <w:pStyle w:val="Textonotapie"/>
        <w:spacing w:after="120" w:line="276" w:lineRule="auto"/>
        <w:jc w:val="both"/>
        <w:rPr>
          <w:rFonts w:ascii="Verdana" w:hAnsi="Verdana" w:cs="Arial"/>
          <w:color w:val="000000"/>
          <w:sz w:val="22"/>
          <w:szCs w:val="22"/>
          <w:lang w:val="es-CO"/>
        </w:rPr>
      </w:pPr>
      <w:r w:rsidRPr="009B0608">
        <w:rPr>
          <w:rFonts w:ascii="Verdana" w:hAnsi="Verdana" w:cs="Arial"/>
          <w:color w:val="000000"/>
          <w:sz w:val="22"/>
          <w:szCs w:val="22"/>
          <w:lang w:val="es-CO"/>
        </w:rPr>
        <w:t xml:space="preserve">Y </w:t>
      </w:r>
      <w:r>
        <w:rPr>
          <w:rFonts w:ascii="Verdana" w:hAnsi="Verdana" w:cs="Arial"/>
          <w:color w:val="000000"/>
          <w:sz w:val="22"/>
          <w:szCs w:val="22"/>
          <w:lang w:val="es-CO"/>
        </w:rPr>
        <w:t>respecto a</w:t>
      </w:r>
      <w:r w:rsidRPr="009B0608">
        <w:rPr>
          <w:rFonts w:ascii="Verdana" w:hAnsi="Verdana" w:cs="Arial"/>
          <w:color w:val="000000"/>
          <w:sz w:val="22"/>
          <w:szCs w:val="22"/>
          <w:lang w:val="es-CO"/>
        </w:rPr>
        <w:t xml:space="preserve"> eventuales actuaciones de la entidad estatal dirigidas a liquidar unilateralmente el contrato, por fuera de la competencia temporal que las normas le han asignado, la jurisprudencia indica:</w:t>
      </w:r>
    </w:p>
    <w:p w14:paraId="0CC27904" w14:textId="77777777" w:rsidR="00351B00" w:rsidRDefault="00351B00" w:rsidP="00351B00">
      <w:pPr>
        <w:pStyle w:val="Textonotapie"/>
        <w:ind w:left="851" w:right="760"/>
        <w:jc w:val="both"/>
        <w:rPr>
          <w:rFonts w:ascii="Verdana" w:hAnsi="Verdana" w:cs="Arial"/>
          <w:color w:val="000000"/>
          <w:lang w:val="es-CO"/>
        </w:rPr>
      </w:pPr>
      <w:r>
        <w:rPr>
          <w:rFonts w:ascii="Verdana" w:hAnsi="Verdana" w:cs="Arial"/>
          <w:color w:val="000000"/>
          <w:lang w:val="es-CO"/>
        </w:rPr>
        <w:t>“</w:t>
      </w:r>
      <w:r w:rsidRPr="009B0608">
        <w:rPr>
          <w:rFonts w:ascii="Verdana" w:hAnsi="Verdana" w:cs="Arial"/>
          <w:color w:val="000000"/>
          <w:lang w:val="es-CO"/>
        </w:rPr>
        <w:t xml:space="preserve">… es necesario advertir </w:t>
      </w:r>
      <w:proofErr w:type="gramStart"/>
      <w:r w:rsidRPr="009B0608">
        <w:rPr>
          <w:rFonts w:ascii="Verdana" w:hAnsi="Verdana" w:cs="Arial"/>
          <w:color w:val="000000"/>
          <w:lang w:val="es-CO"/>
        </w:rPr>
        <w:t>que</w:t>
      </w:r>
      <w:proofErr w:type="gramEnd"/>
      <w:r w:rsidRPr="009B0608">
        <w:rPr>
          <w:rFonts w:ascii="Verdana" w:hAnsi="Verdana" w:cs="Arial"/>
          <w:color w:val="000000"/>
          <w:lang w:val="es-CO"/>
        </w:rPr>
        <w:t xml:space="preserve"> en materia de contratación, las entidades estatales también se hallan limitadas en su actuación por las normas de competencia, de tal manera que sólo pueden hacer aquello para lo cual están expresamente autorizadas por la Constitución y la ley y deben hacerlo en los términos de tal autorización, por cuanto de lo contrario, el funcionario en cuestión deberá responder por extralimitación de funciones (arts. 6, 121 y 122, C.P.). </w:t>
      </w:r>
    </w:p>
    <w:p w14:paraId="1BA95171" w14:textId="77777777" w:rsidR="00351B00" w:rsidRDefault="00351B00" w:rsidP="00351B00">
      <w:pPr>
        <w:pStyle w:val="Textonotapie"/>
        <w:ind w:left="851" w:right="760"/>
        <w:jc w:val="both"/>
        <w:rPr>
          <w:rFonts w:ascii="Verdana" w:hAnsi="Verdana" w:cs="Arial"/>
          <w:color w:val="000000"/>
          <w:lang w:val="es-CO"/>
        </w:rPr>
      </w:pPr>
    </w:p>
    <w:p w14:paraId="49A61E5D" w14:textId="77777777" w:rsidR="00351B00" w:rsidRDefault="00351B00" w:rsidP="00351B00">
      <w:pPr>
        <w:pStyle w:val="Textonotapie"/>
        <w:ind w:left="851" w:right="760"/>
        <w:jc w:val="both"/>
        <w:rPr>
          <w:rFonts w:ascii="Verdana" w:hAnsi="Verdana" w:cs="Arial"/>
          <w:color w:val="000000"/>
        </w:rPr>
      </w:pPr>
      <w:r w:rsidRPr="009B0608">
        <w:rPr>
          <w:rFonts w:ascii="Verdana" w:hAnsi="Verdana" w:cs="Arial"/>
          <w:color w:val="000000"/>
          <w:lang w:val="es-CO"/>
        </w:rPr>
        <w:t xml:space="preserve">En materia de liquidación de contratos, como ya se vio, la Administración puede </w:t>
      </w:r>
      <w:proofErr w:type="gramStart"/>
      <w:r w:rsidRPr="009B0608">
        <w:rPr>
          <w:rFonts w:ascii="Verdana" w:hAnsi="Verdana" w:cs="Arial"/>
          <w:color w:val="000000"/>
          <w:lang w:val="es-CO"/>
        </w:rPr>
        <w:t>proceder a efectuarla</w:t>
      </w:r>
      <w:proofErr w:type="gramEnd"/>
      <w:r w:rsidRPr="009B0608">
        <w:rPr>
          <w:rFonts w:ascii="Verdana" w:hAnsi="Verdana" w:cs="Arial"/>
          <w:color w:val="000000"/>
          <w:lang w:val="es-CO"/>
        </w:rPr>
        <w:t xml:space="preserve"> de manera unilateral, pero sólo si se dan las circunstancias que la ley contempla para ello, pues de lo contrario, estará actuando por fuera del ámbito de su competencia”</w:t>
      </w:r>
      <w:r>
        <w:rPr>
          <w:rStyle w:val="Refdenotaalpie"/>
          <w:rFonts w:ascii="Verdana" w:hAnsi="Verdana" w:cs="Arial"/>
          <w:color w:val="000000"/>
          <w:lang w:val="es-CO"/>
        </w:rPr>
        <w:footnoteReference w:id="19"/>
      </w:r>
      <w:r w:rsidRPr="009B0608">
        <w:rPr>
          <w:rFonts w:ascii="Verdana" w:hAnsi="Verdana" w:cs="Arial"/>
          <w:color w:val="000000"/>
          <w:lang w:val="es-CO"/>
        </w:rPr>
        <w:t>.</w:t>
      </w:r>
    </w:p>
    <w:p w14:paraId="04E7A61D" w14:textId="77777777" w:rsidR="00351B00" w:rsidRPr="009B0608" w:rsidRDefault="00351B00" w:rsidP="00351B00">
      <w:pPr>
        <w:pStyle w:val="Textonotapie"/>
        <w:ind w:left="851" w:right="760"/>
        <w:jc w:val="both"/>
        <w:rPr>
          <w:rFonts w:ascii="Verdana" w:hAnsi="Verdana" w:cs="Arial"/>
          <w:color w:val="000000"/>
        </w:rPr>
      </w:pPr>
    </w:p>
    <w:p w14:paraId="45DC4F39" w14:textId="77777777" w:rsidR="00351B00" w:rsidRPr="00882C9A" w:rsidRDefault="00351B00" w:rsidP="00351B00">
      <w:pPr>
        <w:spacing w:after="0" w:line="276" w:lineRule="auto"/>
        <w:ind w:firstLine="708"/>
        <w:jc w:val="both"/>
        <w:rPr>
          <w:rFonts w:ascii="Verdana" w:eastAsia="Times New Roman" w:hAnsi="Verdana" w:cs="Arial"/>
          <w:color w:val="000000" w:themeColor="text1"/>
          <w:lang w:eastAsia="es-CO"/>
        </w:rPr>
      </w:pPr>
      <w:r w:rsidRPr="00882C9A">
        <w:rPr>
          <w:rFonts w:ascii="Verdana" w:eastAsia="Times New Roman" w:hAnsi="Verdana" w:cs="Arial"/>
          <w:color w:val="000000" w:themeColor="text1"/>
          <w:lang w:eastAsia="es-CO"/>
        </w:rPr>
        <w:t>Esta Subdirección, en el Concepto 4201913000006142 de 7 de octubre de 2019, señaló que con la caducidad del medio de control de controversias contractuales las entidades pierden la competencia para liquidar el contrato, ya que el fenómeno procesal constituía la preclusión de la oportunidad para reclamar las sumas de dinero adeudadas por las partes. Asimismo, la doctrina señala que:</w:t>
      </w:r>
    </w:p>
    <w:p w14:paraId="2FD80963" w14:textId="77777777" w:rsidR="00351B00" w:rsidRPr="00882C9A" w:rsidRDefault="00351B00" w:rsidP="00351B00">
      <w:pPr>
        <w:spacing w:after="0" w:line="276" w:lineRule="auto"/>
        <w:jc w:val="both"/>
        <w:rPr>
          <w:rFonts w:ascii="Verdana" w:eastAsia="Times New Roman" w:hAnsi="Verdana" w:cs="Arial"/>
          <w:color w:val="000000" w:themeColor="text1"/>
          <w:lang w:eastAsia="es-CO"/>
        </w:rPr>
      </w:pPr>
    </w:p>
    <w:p w14:paraId="0DECDFFA" w14:textId="77777777" w:rsidR="00351B00" w:rsidRPr="00882C9A" w:rsidRDefault="00351B00" w:rsidP="00351B00">
      <w:pPr>
        <w:spacing w:after="0" w:line="240" w:lineRule="auto"/>
        <w:ind w:left="709" w:right="709"/>
        <w:jc w:val="both"/>
        <w:rPr>
          <w:rFonts w:ascii="Verdana" w:eastAsia="Times New Roman" w:hAnsi="Verdana" w:cs="Arial"/>
          <w:color w:val="000000" w:themeColor="text1"/>
          <w:sz w:val="20"/>
          <w:szCs w:val="20"/>
          <w:lang w:eastAsia="es-CO"/>
        </w:rPr>
      </w:pPr>
      <w:r w:rsidRPr="00882C9A">
        <w:rPr>
          <w:rFonts w:ascii="Verdana" w:eastAsia="Times New Roman" w:hAnsi="Verdana" w:cs="Arial"/>
          <w:color w:val="000000" w:themeColor="text1"/>
          <w:sz w:val="20"/>
          <w:szCs w:val="20"/>
          <w:lang w:eastAsia="es-CO"/>
        </w:rPr>
        <w:t>“Suele argüirse, en la práctica, que es factible efectuar la liquidación del contrato, así haya operado la caducidad de la acción, con base en la existencia de una obligación natural, que fundamentaría pagarle al contratista lo que se le debe. Sin embargo, se trata de una posición equivocada, pues si bien el artículo 1527 del Código Civil establece que las obligaciones naturales son ‘las que no confieren derecho para exigir su cumplimiento, pero que cumplidas autorizan para retener lo que se ha dado o pagado, en razón de ellas’, los servidores públicos no puede reconocer acreencias inexigibles, sino cuentan con la competencia expresa para hacerlo, pues estaría desbordando el marco de sus atribuciones constitucionales, legales y reglamentarias. Además, del concepto mismo de obligación natural no se deduce la consagración de la competencia para liquidar el contrato estatal, luego de expirado el término de caducidad del medio de control de controversias contractuales”</w:t>
      </w:r>
      <w:r w:rsidRPr="00882C9A">
        <w:rPr>
          <w:rStyle w:val="Refdenotaalpie"/>
          <w:rFonts w:ascii="Verdana" w:eastAsia="Times New Roman" w:hAnsi="Verdana" w:cs="Arial"/>
          <w:color w:val="000000" w:themeColor="text1"/>
          <w:sz w:val="20"/>
          <w:szCs w:val="20"/>
          <w:lang w:eastAsia="es-CO"/>
        </w:rPr>
        <w:footnoteReference w:id="20"/>
      </w:r>
      <w:r w:rsidRPr="00882C9A">
        <w:rPr>
          <w:rFonts w:ascii="Verdana" w:eastAsia="Times New Roman" w:hAnsi="Verdana" w:cs="Arial"/>
          <w:color w:val="000000" w:themeColor="text1"/>
          <w:sz w:val="20"/>
          <w:szCs w:val="20"/>
          <w:lang w:eastAsia="es-CO"/>
        </w:rPr>
        <w:t xml:space="preserve">.   </w:t>
      </w:r>
    </w:p>
    <w:p w14:paraId="53593876" w14:textId="77777777" w:rsidR="00351B00" w:rsidRPr="00882C9A" w:rsidRDefault="00351B00" w:rsidP="00351B00">
      <w:pPr>
        <w:tabs>
          <w:tab w:val="left" w:pos="709"/>
        </w:tabs>
        <w:spacing w:after="0" w:line="276" w:lineRule="auto"/>
        <w:jc w:val="both"/>
        <w:rPr>
          <w:rFonts w:ascii="Verdana" w:eastAsia="Times New Roman" w:hAnsi="Verdana" w:cs="Arial"/>
          <w:color w:val="000000"/>
          <w:bdr w:val="none" w:sz="0" w:space="0" w:color="auto" w:frame="1"/>
          <w:shd w:val="clear" w:color="auto" w:fill="FFFFFF"/>
          <w:lang w:eastAsia="es-ES_tradnl"/>
        </w:rPr>
      </w:pPr>
    </w:p>
    <w:p w14:paraId="20D7DB04" w14:textId="77777777" w:rsidR="00351B00" w:rsidRDefault="00351B00" w:rsidP="00351B00">
      <w:pPr>
        <w:tabs>
          <w:tab w:val="left" w:pos="709"/>
        </w:tabs>
        <w:spacing w:after="120" w:line="276" w:lineRule="auto"/>
        <w:jc w:val="both"/>
        <w:rPr>
          <w:rFonts w:ascii="Verdana" w:eastAsia="Calibri" w:hAnsi="Verdana" w:cs="Arial"/>
          <w:color w:val="000000"/>
          <w:lang w:val="es-ES" w:eastAsia="es-ES"/>
        </w:rPr>
      </w:pPr>
      <w:r>
        <w:rPr>
          <w:rFonts w:ascii="Verdana" w:eastAsia="Times New Roman" w:hAnsi="Verdana" w:cs="Arial"/>
          <w:color w:val="000000"/>
          <w:bdr w:val="none" w:sz="0" w:space="0" w:color="auto" w:frame="1"/>
          <w:shd w:val="clear" w:color="auto" w:fill="FFFFFF"/>
          <w:lang w:eastAsia="es-ES_tradnl"/>
        </w:rPr>
        <w:tab/>
      </w:r>
      <w:r>
        <w:rPr>
          <w:rFonts w:ascii="Verdana" w:eastAsia="Calibri" w:hAnsi="Verdana" w:cs="Arial"/>
          <w:color w:val="000000"/>
          <w:lang w:val="es-ES" w:eastAsia="es-ES"/>
        </w:rPr>
        <w:t xml:space="preserve">En consecuencia, </w:t>
      </w:r>
      <w:r w:rsidRPr="00851576">
        <w:rPr>
          <w:rFonts w:ascii="Verdana" w:eastAsia="Calibri" w:hAnsi="Verdana" w:cs="Arial"/>
          <w:color w:val="000000"/>
          <w:lang w:val="es-ES" w:eastAsia="es-ES"/>
        </w:rPr>
        <w:t xml:space="preserve">dentro de los límites previstos en el </w:t>
      </w:r>
      <w:r>
        <w:rPr>
          <w:rFonts w:ascii="Verdana" w:eastAsia="Calibri" w:hAnsi="Verdana" w:cs="Arial"/>
          <w:color w:val="000000"/>
          <w:lang w:val="es-ES" w:eastAsia="es-ES"/>
        </w:rPr>
        <w:t xml:space="preserve">literal j) del </w:t>
      </w:r>
      <w:r w:rsidRPr="00851576">
        <w:rPr>
          <w:rFonts w:ascii="Verdana" w:eastAsia="Calibri" w:hAnsi="Verdana" w:cs="Arial"/>
          <w:color w:val="000000"/>
          <w:lang w:val="es-ES" w:eastAsia="es-ES"/>
        </w:rPr>
        <w:t>artículo 164</w:t>
      </w:r>
      <w:r>
        <w:rPr>
          <w:rFonts w:ascii="Verdana" w:eastAsia="Calibri" w:hAnsi="Verdana" w:cs="Arial"/>
          <w:color w:val="000000"/>
          <w:lang w:val="es-ES" w:eastAsia="es-ES"/>
        </w:rPr>
        <w:t>.2</w:t>
      </w:r>
      <w:r w:rsidRPr="00851576">
        <w:rPr>
          <w:rFonts w:ascii="Verdana" w:eastAsia="Calibri" w:hAnsi="Verdana" w:cs="Arial"/>
          <w:color w:val="000000"/>
          <w:lang w:val="es-ES" w:eastAsia="es-ES"/>
        </w:rPr>
        <w:t xml:space="preserve"> de la Ley 1437 de 2011</w:t>
      </w:r>
      <w:r>
        <w:rPr>
          <w:rFonts w:ascii="Verdana" w:eastAsia="Calibri" w:hAnsi="Verdana" w:cs="Arial"/>
          <w:color w:val="000000"/>
          <w:lang w:val="es-ES" w:eastAsia="es-ES"/>
        </w:rPr>
        <w:t xml:space="preserve">, es posible liquidar bilateral o unilateralmente siempre que no haya caducado medio de control de controversias contractuales. Lo anterior, aunque haya pasado el término previsto en los documentos del proceso o el supletivo de cuatro (4) meses –tratándose de la liquidación bilateral–, así como el plazo de dos (2) meses –tratándose de la liquidación unilateral–. </w:t>
      </w:r>
    </w:p>
    <w:p w14:paraId="13F9DB42" w14:textId="77777777" w:rsidR="00351B00" w:rsidRDefault="00351B00" w:rsidP="00351B00">
      <w:pPr>
        <w:spacing w:after="120" w:line="276" w:lineRule="auto"/>
        <w:ind w:firstLine="733"/>
        <w:jc w:val="both"/>
        <w:rPr>
          <w:rFonts w:ascii="Verdana" w:eastAsia="Calibri" w:hAnsi="Verdana" w:cs="Arial"/>
          <w:color w:val="000000"/>
          <w:lang w:val="es-ES" w:eastAsia="es-ES"/>
        </w:rPr>
      </w:pPr>
      <w:r>
        <w:rPr>
          <w:rFonts w:ascii="Verdana" w:eastAsia="Calibri" w:hAnsi="Verdana" w:cs="Arial"/>
          <w:color w:val="000000"/>
          <w:lang w:val="es-ES" w:eastAsia="es-ES"/>
        </w:rPr>
        <w:t xml:space="preserve">Cualquier liquidación efectuada después de la caducidad del medio de control implica la pérdida de competencia temporal, por lo que está viciada de nulidad. En este caso, el plazo correspondiente se rige por el </w:t>
      </w:r>
      <w:r w:rsidRPr="00E8503C">
        <w:rPr>
          <w:rFonts w:ascii="Verdana" w:eastAsia="Calibri" w:hAnsi="Verdana" w:cs="Arial"/>
          <w:color w:val="000000"/>
          <w:lang w:val="es-ES" w:eastAsia="es-ES"/>
        </w:rPr>
        <w:t>ap</w:t>
      </w:r>
      <w:r>
        <w:rPr>
          <w:rFonts w:ascii="Verdana" w:eastAsia="Calibri" w:hAnsi="Verdana" w:cs="Arial"/>
          <w:color w:val="000000"/>
          <w:lang w:val="es-ES" w:eastAsia="es-ES"/>
        </w:rPr>
        <w:t>artado</w:t>
      </w:r>
      <w:r w:rsidRPr="00E8503C">
        <w:rPr>
          <w:rFonts w:ascii="Verdana" w:eastAsia="Calibri" w:hAnsi="Verdana" w:cs="Arial"/>
          <w:color w:val="000000"/>
          <w:lang w:val="es-ES" w:eastAsia="es-ES"/>
        </w:rPr>
        <w:t xml:space="preserve"> </w:t>
      </w:r>
      <w:r>
        <w:rPr>
          <w:rFonts w:ascii="Verdana" w:eastAsia="Calibri" w:hAnsi="Verdana" w:cs="Arial"/>
          <w:color w:val="000000"/>
          <w:lang w:val="es-ES" w:eastAsia="es-ES"/>
        </w:rPr>
        <w:t xml:space="preserve">v </w:t>
      </w:r>
      <w:r w:rsidRPr="00E8503C">
        <w:rPr>
          <w:rFonts w:ascii="Verdana" w:eastAsia="Calibri" w:hAnsi="Verdana" w:cs="Arial"/>
          <w:color w:val="000000"/>
          <w:lang w:val="es-ES" w:eastAsia="es-ES"/>
        </w:rPr>
        <w:t xml:space="preserve">del literal </w:t>
      </w:r>
      <w:r>
        <w:rPr>
          <w:rFonts w:ascii="Verdana" w:eastAsia="Calibri" w:hAnsi="Verdana" w:cs="Arial"/>
          <w:color w:val="000000"/>
          <w:lang w:val="es-ES" w:eastAsia="es-ES"/>
        </w:rPr>
        <w:t>j)</w:t>
      </w:r>
      <w:r w:rsidRPr="00E8503C">
        <w:rPr>
          <w:rFonts w:ascii="Verdana" w:eastAsia="Calibri" w:hAnsi="Verdana" w:cs="Arial"/>
          <w:color w:val="000000"/>
          <w:lang w:val="es-ES" w:eastAsia="es-ES"/>
        </w:rPr>
        <w:t xml:space="preserve"> del numeral 2 del artículo 164 del CPACA</w:t>
      </w:r>
      <w:r>
        <w:rPr>
          <w:rFonts w:ascii="Verdana" w:eastAsia="Calibri" w:hAnsi="Verdana" w:cs="Arial"/>
          <w:color w:val="000000"/>
          <w:lang w:val="es-ES" w:eastAsia="es-ES"/>
        </w:rPr>
        <w:t>, de manera que e</w:t>
      </w:r>
      <w:r w:rsidRPr="00E8503C">
        <w:rPr>
          <w:rFonts w:ascii="Verdana" w:eastAsia="Calibri" w:hAnsi="Verdana" w:cs="Arial"/>
          <w:color w:val="000000"/>
          <w:lang w:val="es-ES" w:eastAsia="es-ES"/>
        </w:rPr>
        <w:t>n los</w:t>
      </w:r>
      <w:r>
        <w:rPr>
          <w:rFonts w:ascii="Verdana" w:eastAsia="Calibri" w:hAnsi="Verdana" w:cs="Arial"/>
          <w:color w:val="000000"/>
          <w:lang w:val="es-ES" w:eastAsia="es-ES"/>
        </w:rPr>
        <w:t xml:space="preserve"> contratos</w:t>
      </w:r>
      <w:r w:rsidRPr="00E8503C">
        <w:rPr>
          <w:rFonts w:ascii="Verdana" w:eastAsia="Calibri" w:hAnsi="Verdana" w:cs="Arial"/>
          <w:color w:val="000000"/>
          <w:lang w:val="es-ES" w:eastAsia="es-ES"/>
        </w:rPr>
        <w:t xml:space="preserve"> que requieran de liquidación y esta no se logre por mutuo acuerdo o no se practique por la administración unilateralmente</w:t>
      </w:r>
      <w:r>
        <w:rPr>
          <w:rFonts w:ascii="Verdana" w:eastAsia="Calibri" w:hAnsi="Verdana" w:cs="Arial"/>
          <w:color w:val="000000"/>
          <w:lang w:val="es-ES" w:eastAsia="es-ES"/>
        </w:rPr>
        <w:t>, la caducidad se presenta dentro de los dos (2) años siguientes al vencimiento de ambos.</w:t>
      </w:r>
    </w:p>
    <w:p w14:paraId="735D2C4B" w14:textId="77777777" w:rsidR="00351B00" w:rsidRDefault="00351B00" w:rsidP="00351B00">
      <w:pPr>
        <w:spacing w:after="120" w:line="276" w:lineRule="auto"/>
        <w:ind w:firstLine="731"/>
        <w:jc w:val="both"/>
        <w:rPr>
          <w:rFonts w:ascii="Verdana" w:eastAsia="Calibri" w:hAnsi="Verdana" w:cs="Arial"/>
          <w:color w:val="000000"/>
          <w:lang w:val="es-ES" w:eastAsia="es-ES"/>
        </w:rPr>
      </w:pPr>
      <w:r>
        <w:rPr>
          <w:rFonts w:ascii="Verdana" w:eastAsia="Calibri" w:hAnsi="Verdana" w:cs="Arial"/>
          <w:color w:val="000000"/>
          <w:lang w:val="es-ES" w:eastAsia="es-ES"/>
        </w:rPr>
        <w:t xml:space="preserve">Es decir, no aplica el término de caducidad del apartado </w:t>
      </w:r>
      <w:proofErr w:type="spellStart"/>
      <w:r>
        <w:rPr>
          <w:rFonts w:ascii="Verdana" w:eastAsia="Calibri" w:hAnsi="Verdana" w:cs="Arial"/>
          <w:color w:val="000000"/>
          <w:lang w:val="es-ES" w:eastAsia="es-ES"/>
        </w:rPr>
        <w:t>iii</w:t>
      </w:r>
      <w:proofErr w:type="spellEnd"/>
      <w:r>
        <w:rPr>
          <w:rFonts w:ascii="Verdana" w:eastAsia="Calibri" w:hAnsi="Verdana" w:cs="Arial"/>
          <w:color w:val="000000"/>
          <w:lang w:val="es-ES" w:eastAsia="es-ES"/>
        </w:rPr>
        <w:t xml:space="preserve"> </w:t>
      </w:r>
      <w:r w:rsidRPr="00735716">
        <w:rPr>
          <w:rFonts w:ascii="Verdana" w:eastAsia="Calibri" w:hAnsi="Verdana" w:cs="Arial"/>
          <w:i/>
          <w:iCs/>
          <w:color w:val="000000"/>
          <w:lang w:val="es-ES" w:eastAsia="es-ES"/>
        </w:rPr>
        <w:t>ibidem</w:t>
      </w:r>
      <w:r>
        <w:rPr>
          <w:rFonts w:ascii="Verdana" w:eastAsia="Calibri" w:hAnsi="Verdana" w:cs="Arial"/>
          <w:color w:val="000000"/>
          <w:lang w:val="es-ES" w:eastAsia="es-ES"/>
        </w:rPr>
        <w:t xml:space="preserve">. Lo anterior en la medida que, conforme al Auto de Unificación del 1˚ de agosto de 2019, rad. 62009, con ponencia del </w:t>
      </w:r>
      <w:proofErr w:type="gramStart"/>
      <w:r>
        <w:rPr>
          <w:rFonts w:ascii="Verdana" w:eastAsia="Calibri" w:hAnsi="Verdana" w:cs="Arial"/>
          <w:color w:val="000000"/>
          <w:lang w:val="es-ES" w:eastAsia="es-ES"/>
        </w:rPr>
        <w:t>Consejero</w:t>
      </w:r>
      <w:proofErr w:type="gramEnd"/>
      <w:r>
        <w:rPr>
          <w:rFonts w:ascii="Verdana" w:eastAsia="Calibri" w:hAnsi="Verdana" w:cs="Arial"/>
          <w:color w:val="000000"/>
          <w:lang w:val="es-ES" w:eastAsia="es-ES"/>
        </w:rPr>
        <w:t xml:space="preserve"> J</w:t>
      </w:r>
      <w:r w:rsidRPr="00735716">
        <w:rPr>
          <w:rFonts w:ascii="Verdana" w:eastAsia="Calibri" w:hAnsi="Verdana" w:cs="Arial"/>
          <w:color w:val="000000"/>
          <w:lang w:val="es-ES" w:eastAsia="es-ES"/>
        </w:rPr>
        <w:t>aime Enrique Rodríguez Navas</w:t>
      </w:r>
      <w:r>
        <w:rPr>
          <w:rFonts w:ascii="Verdana" w:eastAsia="Calibri" w:hAnsi="Verdana" w:cs="Arial"/>
          <w:color w:val="000000"/>
          <w:lang w:val="es-ES" w:eastAsia="es-ES"/>
        </w:rPr>
        <w:t>, se decidió lo siguiente: “</w:t>
      </w:r>
      <w:r w:rsidRPr="00735716">
        <w:rPr>
          <w:rFonts w:ascii="Verdana" w:eastAsia="Calibri" w:hAnsi="Verdana" w:cs="Arial"/>
          <w:color w:val="000000"/>
          <w:lang w:val="es-ES" w:eastAsia="es-ES"/>
        </w:rPr>
        <w:t xml:space="preserve">UNIFÍCASE la jurisprudencia de la Sección Tercera del Consejo de Estado, en relación con el término de caducidad del medio de control de controversias contractuales de contratos que han sido liquidados después de haber vencido el término convencional y-o legalmente dispuesto para su liquidación, pero dentro de los dos años posteriores al vencimiento de este último. </w:t>
      </w:r>
      <w:r w:rsidRPr="00735716">
        <w:rPr>
          <w:rFonts w:ascii="Verdana" w:eastAsia="Calibri" w:hAnsi="Verdana" w:cs="Arial"/>
          <w:i/>
          <w:iCs/>
          <w:color w:val="000000"/>
          <w:lang w:val="es-ES" w:eastAsia="es-ES"/>
        </w:rPr>
        <w:t xml:space="preserve">La Sala unifica el criterio que ha de ser observado para el conteo del término de caducidad del medio de control de controversias contractuales en tales casos, para indicar que éste debe iniciar a partir del día siguiente al de la firma del acta o de la ejecutoria del acto de liquidación del contrato, conforme al ap. </w:t>
      </w:r>
      <w:proofErr w:type="spellStart"/>
      <w:r w:rsidRPr="00735716">
        <w:rPr>
          <w:rFonts w:ascii="Verdana" w:eastAsia="Calibri" w:hAnsi="Verdana" w:cs="Arial"/>
          <w:i/>
          <w:iCs/>
          <w:color w:val="000000"/>
          <w:lang w:val="es-ES" w:eastAsia="es-ES"/>
        </w:rPr>
        <w:t>iii</w:t>
      </w:r>
      <w:proofErr w:type="spellEnd"/>
      <w:r w:rsidRPr="00735716">
        <w:rPr>
          <w:rFonts w:ascii="Verdana" w:eastAsia="Calibri" w:hAnsi="Verdana" w:cs="Arial"/>
          <w:i/>
          <w:iCs/>
          <w:color w:val="000000"/>
          <w:lang w:val="es-ES" w:eastAsia="es-ES"/>
        </w:rPr>
        <w:t xml:space="preserve"> del literal j. del numeral 2 del artículo 164 del CPACA; y de precisar que, en consecuencia, el apartado v) del literal j del mismo numeral solo se deberá aplicar cuando al momento de interponerse la demanda, el operador judicial encuentre que no hubo liquidación contractual alguna</w:t>
      </w:r>
      <w:r>
        <w:rPr>
          <w:rFonts w:ascii="Verdana" w:eastAsia="Calibri" w:hAnsi="Verdana" w:cs="Arial"/>
          <w:color w:val="000000"/>
          <w:lang w:val="es-ES" w:eastAsia="es-ES"/>
        </w:rPr>
        <w:t xml:space="preserve">” (Énfasis fuera de texto). </w:t>
      </w:r>
    </w:p>
    <w:p w14:paraId="587937B9" w14:textId="77777777" w:rsidR="00351B00" w:rsidRPr="001D6F6E" w:rsidRDefault="00351B00" w:rsidP="00351B00">
      <w:pPr>
        <w:spacing w:after="120" w:line="276" w:lineRule="auto"/>
        <w:jc w:val="both"/>
        <w:rPr>
          <w:rFonts w:ascii="Verdana" w:hAnsi="Verdana" w:cs="Arial"/>
        </w:rPr>
      </w:pPr>
      <w:proofErr w:type="spellStart"/>
      <w:r>
        <w:rPr>
          <w:rFonts w:ascii="Verdana" w:eastAsia="Calibri" w:hAnsi="Verdana" w:cs="Arial"/>
          <w:color w:val="000000"/>
          <w:lang w:val="es-ES" w:eastAsia="es-ES"/>
        </w:rPr>
        <w:t>ii</w:t>
      </w:r>
      <w:proofErr w:type="spellEnd"/>
      <w:r>
        <w:rPr>
          <w:rFonts w:ascii="Verdana" w:eastAsia="Calibri" w:hAnsi="Verdana" w:cs="Arial"/>
          <w:color w:val="000000"/>
          <w:lang w:val="es-ES" w:eastAsia="es-ES"/>
        </w:rPr>
        <w:t xml:space="preserve">) </w:t>
      </w:r>
      <w:r w:rsidRPr="001D6F6E">
        <w:rPr>
          <w:rFonts w:ascii="Verdana" w:eastAsia="Calibri" w:hAnsi="Verdana" w:cs="Arial"/>
          <w:color w:val="000000"/>
          <w:lang w:val="es-ES" w:eastAsia="es-ES"/>
        </w:rPr>
        <w:t xml:space="preserve">En todo caso, el artículo 2.2.1.1.2.4.3 del Decreto 1082 de 2015 establece la obligación constancia del cierre del proceso de contratación. Éste corresponde a un </w:t>
      </w:r>
      <w:r w:rsidRPr="004F612A">
        <w:rPr>
          <w:rFonts w:ascii="Verdana" w:hAnsi="Verdana" w:cs="Arial"/>
          <w:i/>
          <w:iCs/>
        </w:rPr>
        <w:t>acto de trámite</w:t>
      </w:r>
      <w:r w:rsidRPr="001D6F6E">
        <w:rPr>
          <w:rFonts w:ascii="Verdana" w:hAnsi="Verdana" w:cs="Arial"/>
        </w:rPr>
        <w:t xml:space="preserv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w:t>
      </w:r>
      <w:r w:rsidRPr="001D6F6E">
        <w:rPr>
          <w:rStyle w:val="Refdenotaalpie"/>
          <w:rFonts w:ascii="Verdana" w:hAnsi="Verdana" w:cs="Arial"/>
        </w:rPr>
        <w:footnoteReference w:id="21"/>
      </w:r>
      <w:r w:rsidRPr="001D6F6E">
        <w:rPr>
          <w:rFonts w:ascii="Verdana" w:hAnsi="Verdana" w:cs="Arial"/>
        </w:rPr>
        <w:t>. Al negar una demanda de nulidad interpuesta contra dicha norma</w:t>
      </w:r>
      <w:r w:rsidRPr="001D6F6E">
        <w:rPr>
          <w:rStyle w:val="Refdenotaalpie"/>
          <w:rFonts w:ascii="Verdana" w:hAnsi="Verdana" w:cs="Arial"/>
        </w:rPr>
        <w:footnoteReference w:id="22"/>
      </w:r>
      <w:r w:rsidRPr="001D6F6E">
        <w:rPr>
          <w:rFonts w:ascii="Verdana" w:hAnsi="Verdana" w:cs="Arial"/>
        </w:rPr>
        <w:t xml:space="preserve">, la Sección Tercera del Consejo de Estado resaltó que </w:t>
      </w:r>
      <w:r>
        <w:rPr>
          <w:rFonts w:ascii="Verdana" w:hAnsi="Verdana" w:cs="Arial"/>
        </w:rPr>
        <w:t>“</w:t>
      </w:r>
      <w:r w:rsidRPr="001D6F6E">
        <w:rPr>
          <w:rFonts w:ascii="Verdana" w:hAnsi="Verdana" w:cs="Arial"/>
        </w:rPr>
        <w:t xml:space="preserve">una norma como la demandada, que impone el deber de dejar constancia del cierre de un expediente contractual, constituye una disposición de correcta y debida organización y administración de una carpeta de la Entidad pública en la esfera </w:t>
      </w:r>
      <w:proofErr w:type="spellStart"/>
      <w:r w:rsidRPr="001D6F6E">
        <w:rPr>
          <w:rFonts w:ascii="Verdana" w:hAnsi="Verdana" w:cs="Arial"/>
        </w:rPr>
        <w:t>intraorgánica</w:t>
      </w:r>
      <w:proofErr w:type="spellEnd"/>
      <w:r w:rsidRPr="001D6F6E">
        <w:rPr>
          <w:rFonts w:ascii="Verdana" w:hAnsi="Verdana" w:cs="Arial"/>
        </w:rPr>
        <w:t xml:space="preserve"> –pues opera al interior de la Administración, sin imponer obligaciones o cargas a particulares o contratistas–</w:t>
      </w:r>
      <w:r>
        <w:rPr>
          <w:rFonts w:ascii="Verdana" w:hAnsi="Verdana" w:cs="Arial"/>
        </w:rPr>
        <w:t>”</w:t>
      </w:r>
      <w:r w:rsidRPr="001D6F6E">
        <w:rPr>
          <w:rStyle w:val="Refdenotaalpie"/>
          <w:rFonts w:ascii="Verdana" w:hAnsi="Verdana" w:cs="Arial"/>
        </w:rPr>
        <w:footnoteReference w:id="23"/>
      </w:r>
      <w:r w:rsidRPr="001D6F6E">
        <w:rPr>
          <w:rFonts w:ascii="Verdana" w:hAnsi="Verdana" w:cs="Arial"/>
        </w:rPr>
        <w:t>. La norma objeto de análisis dispone lo siguiente:</w:t>
      </w:r>
    </w:p>
    <w:p w14:paraId="3D5BA56D" w14:textId="77777777" w:rsidR="00351B00" w:rsidRPr="001D6F6E" w:rsidRDefault="00351B00" w:rsidP="00351B00">
      <w:pPr>
        <w:spacing w:after="0" w:line="240" w:lineRule="auto"/>
        <w:ind w:left="709" w:right="709"/>
        <w:jc w:val="both"/>
        <w:rPr>
          <w:rFonts w:ascii="Verdana" w:hAnsi="Verdana" w:cs="Arial"/>
          <w:sz w:val="20"/>
          <w:szCs w:val="20"/>
        </w:rPr>
      </w:pPr>
      <w:r w:rsidRPr="001D6F6E">
        <w:rPr>
          <w:rFonts w:ascii="Verdana" w:hAnsi="Verdana" w:cs="Arial"/>
          <w:sz w:val="20"/>
          <w:szCs w:val="20"/>
        </w:rPr>
        <w:t>“Artículo 2.2.1.1.2.4.3. Obligaciones posteriores a la liquidación. Vencidos los términos de las garantías de calidad, estabilidad y mantenimiento, o las condiciones de disposición final o recuperación ambiental de las obras o bienes, la Entidad Estatal debe dejar constancia del cierre del expediente del Proceso de Contratación”.</w:t>
      </w:r>
    </w:p>
    <w:p w14:paraId="7FE60BAE" w14:textId="77777777" w:rsidR="00351B00" w:rsidRPr="001D6F6E" w:rsidRDefault="00351B00" w:rsidP="00351B00">
      <w:pPr>
        <w:spacing w:after="0" w:line="276" w:lineRule="auto"/>
        <w:ind w:firstLine="567"/>
        <w:jc w:val="both"/>
        <w:rPr>
          <w:rFonts w:ascii="Verdana" w:hAnsi="Verdana" w:cs="Arial"/>
        </w:rPr>
      </w:pPr>
    </w:p>
    <w:p w14:paraId="375AFE2F" w14:textId="77777777" w:rsidR="00351B00" w:rsidRPr="001D6F6E" w:rsidRDefault="00351B00" w:rsidP="00351B00">
      <w:pPr>
        <w:spacing w:after="120" w:line="276" w:lineRule="auto"/>
        <w:ind w:firstLine="708"/>
        <w:jc w:val="both"/>
        <w:rPr>
          <w:rFonts w:ascii="Verdana" w:hAnsi="Verdana" w:cs="Arial"/>
        </w:rPr>
      </w:pPr>
      <w:r w:rsidRPr="001D6F6E">
        <w:rPr>
          <w:rFonts w:ascii="Verdana" w:hAnsi="Verdana" w:cs="Arial"/>
        </w:rPr>
        <w:t xml:space="preserve">La norma transcrita no hace referencia a las modalidades de selección de contratistas. De forma general y abstracta establece las </w:t>
      </w:r>
      <w:r>
        <w:rPr>
          <w:rFonts w:ascii="Verdana" w:hAnsi="Verdana" w:cs="Arial"/>
        </w:rPr>
        <w:t>“</w:t>
      </w:r>
      <w:r w:rsidRPr="001D6F6E">
        <w:rPr>
          <w:rFonts w:ascii="Verdana" w:hAnsi="Verdana" w:cs="Arial"/>
        </w:rPr>
        <w:t>obligaciones posteriores a la liquidación</w:t>
      </w:r>
      <w:r>
        <w:rPr>
          <w:rFonts w:ascii="Verdana" w:hAnsi="Verdana" w:cs="Arial"/>
        </w:rPr>
        <w:t>”</w:t>
      </w:r>
      <w:r w:rsidRPr="001D6F6E">
        <w:rPr>
          <w:rFonts w:ascii="Verdana" w:hAnsi="Verdana" w:cs="Arial"/>
        </w:rPr>
        <w:t>, dentro del Título 1, sobre contratación estatal, Capítulo 1, relacionado con el Sistema de Compras y Contratación Pública, Sección 2, relativa a la Estructura y Documentos del Proceso de Contratación, Subsección 4, que regula únicamente lo atinente a la ejecución del contrato.</w:t>
      </w:r>
    </w:p>
    <w:p w14:paraId="38D6212C" w14:textId="77777777" w:rsidR="00351B00" w:rsidRPr="001D6F6E" w:rsidRDefault="00351B00" w:rsidP="00351B00">
      <w:pPr>
        <w:spacing w:after="120" w:line="276" w:lineRule="auto"/>
        <w:ind w:firstLine="708"/>
        <w:jc w:val="both"/>
        <w:rPr>
          <w:rFonts w:ascii="Verdana" w:hAnsi="Verdana" w:cs="Arial"/>
        </w:rPr>
      </w:pPr>
      <w:r w:rsidRPr="001D6F6E">
        <w:rPr>
          <w:rFonts w:ascii="Verdana" w:hAnsi="Verdana" w:cs="Arial"/>
        </w:rPr>
        <w:t xml:space="preserve">Es cierto que la disposición se refiere genéricamente al </w:t>
      </w:r>
      <w:r>
        <w:rPr>
          <w:rFonts w:ascii="Verdana" w:hAnsi="Verdana" w:cs="Arial"/>
        </w:rPr>
        <w:t>“</w:t>
      </w:r>
      <w:r w:rsidRPr="001D6F6E">
        <w:rPr>
          <w:rFonts w:ascii="Verdana" w:hAnsi="Verdana" w:cs="Arial"/>
        </w:rPr>
        <w:t>debe dejar constancia del cierre del expediente del Proceso de Contratación Proceso de Contratación</w:t>
      </w:r>
      <w:r>
        <w:rPr>
          <w:rFonts w:ascii="Verdana" w:hAnsi="Verdana" w:cs="Arial"/>
        </w:rPr>
        <w:t>”</w:t>
      </w:r>
      <w:r w:rsidRPr="001D6F6E">
        <w:rPr>
          <w:rFonts w:ascii="Verdana" w:hAnsi="Verdana" w:cs="Arial"/>
        </w:rPr>
        <w:t xml:space="preserve">. Sin embargo, también lo es que, según las definiciones contenidas en el artículo 2.2.1.1.1.3.1 del Decreto 1082 de 2015, el Proceso de Contratación es el </w:t>
      </w:r>
      <w:r>
        <w:rPr>
          <w:rFonts w:ascii="Verdana" w:hAnsi="Verdana" w:cs="Arial"/>
        </w:rPr>
        <w:t>“</w:t>
      </w:r>
      <w:r w:rsidRPr="001D6F6E">
        <w:rPr>
          <w:rFonts w:ascii="Verdana" w:hAnsi="Verdana" w:cs="Arial"/>
        </w:rPr>
        <w:t>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w:t>
      </w:r>
      <w:r>
        <w:rPr>
          <w:rFonts w:ascii="Verdana" w:hAnsi="Verdana" w:cs="Arial"/>
        </w:rPr>
        <w:t>”</w:t>
      </w:r>
      <w:r w:rsidRPr="001D6F6E">
        <w:rPr>
          <w:rFonts w:ascii="Verdana" w:hAnsi="Verdana" w:cs="Arial"/>
        </w:rPr>
        <w:t>. Nótese que el enunciado tampoco hace referencia a las modalidades de selección de contratistas en que resulta aplicable. Incluso, se menciona la fase de planeación contractual, etapa relevante en todas las modalidades de selección. Del ámbito de aplicación del artículo referido tampoco es posible concluir que el deber de cerrar el expediente se circunscriba a alguna modalidad o tipología contractual concreta.</w:t>
      </w:r>
    </w:p>
    <w:p w14:paraId="09C3757F" w14:textId="77777777" w:rsidR="00351B00" w:rsidRPr="001D6F6E" w:rsidRDefault="00351B00" w:rsidP="00351B00">
      <w:pPr>
        <w:spacing w:after="120" w:line="276" w:lineRule="auto"/>
        <w:ind w:firstLine="708"/>
        <w:jc w:val="both"/>
        <w:rPr>
          <w:rFonts w:ascii="Verdana" w:hAnsi="Verdana" w:cs="Arial"/>
        </w:rPr>
      </w:pPr>
      <w:r w:rsidRPr="001D6F6E">
        <w:rPr>
          <w:rFonts w:ascii="Verdana" w:hAnsi="Verdana" w:cs="Arial"/>
        </w:rPr>
        <w:t>En consecuencia, lo que resulta relevante para determinar si a la entidad le asiste o no el deber de hacer el cierre del expediente contractual, de acuerdo con la norma citada, consiste en determinar si se exigieron o no garantías de calidad, estabilidad o mantenimiento, o si la entidad estableció condiciones de disposición final o recuperación de las obras o bienes objeto del contrato. De no ser así, no es obligatorio que la entidad haga un cierre del expediente contractual.</w:t>
      </w:r>
    </w:p>
    <w:p w14:paraId="2A7F3AD1" w14:textId="77777777" w:rsidR="00351B00" w:rsidRPr="001D6F6E" w:rsidRDefault="00351B00" w:rsidP="00351B00">
      <w:pPr>
        <w:spacing w:after="120" w:line="276" w:lineRule="auto"/>
        <w:ind w:firstLine="708"/>
        <w:jc w:val="both"/>
        <w:rPr>
          <w:rFonts w:ascii="Verdana" w:hAnsi="Verdana" w:cs="Arial"/>
        </w:rPr>
      </w:pPr>
      <w:r w:rsidRPr="001D6F6E">
        <w:rPr>
          <w:rFonts w:ascii="Verdana" w:hAnsi="Verdana" w:cs="Arial"/>
        </w:rPr>
        <w:t xml:space="preserve">La norma, como se dijo previamente, establece que el cierre del expediente debe llevarse a cabo únicamente en dos eventos: i) cuando la administración establece condiciones de disposición final o recuperación ambiental de las obras o bienes; o </w:t>
      </w:r>
      <w:proofErr w:type="spellStart"/>
      <w:r w:rsidRPr="001D6F6E">
        <w:rPr>
          <w:rFonts w:ascii="Verdana" w:hAnsi="Verdana" w:cs="Arial"/>
        </w:rPr>
        <w:t>ii</w:t>
      </w:r>
      <w:proofErr w:type="spellEnd"/>
      <w:r w:rsidRPr="001D6F6E">
        <w:rPr>
          <w:rFonts w:ascii="Verdana" w:hAnsi="Verdana" w:cs="Arial"/>
        </w:rPr>
        <w:t>) una vez vencidos los términos de las garantías de calidad, estabilidad y mantenimiento. En consecuencia, resulta irrelevante que el contrato tenga garantías diferentes a las previstas en el artículo 2.2.1.1.2.4.3 del Decreto 1082 de 2015, así las mismas se encuentren vigentes, pues, se insiste, la entidad únicamente deberá hacer el cierre del expediente cuando se vencen los términos de las garantías referidas en el mencionado artículo 2.2.1.1.2.4.3.</w:t>
      </w:r>
    </w:p>
    <w:p w14:paraId="6E0027CF" w14:textId="77777777" w:rsidR="00351B00" w:rsidRDefault="00351B00" w:rsidP="00351B00">
      <w:pPr>
        <w:spacing w:after="120" w:line="276" w:lineRule="auto"/>
        <w:ind w:firstLine="709"/>
        <w:jc w:val="both"/>
        <w:rPr>
          <w:rFonts w:ascii="Verdana" w:hAnsi="Verdana" w:cs="Times New Roman"/>
          <w:szCs w:val="24"/>
          <w:lang w:eastAsia="es-CO"/>
        </w:rPr>
      </w:pPr>
      <w:r w:rsidRPr="001D6F6E">
        <w:rPr>
          <w:rFonts w:ascii="Verdana" w:hAnsi="Verdana" w:cs="Arial"/>
        </w:rPr>
        <w:t xml:space="preserve">Esta Subdirección había considerado que el deber de dejar constancia del cierre del expediente debía hacerse extensivo a los contratos en los que se pactaron las garantías que regula el artículo 2.2.1.2.3.1.7 y que no están referidas en el artículo </w:t>
      </w:r>
      <w:r w:rsidRPr="004F612A">
        <w:rPr>
          <w:rFonts w:ascii="Verdana" w:hAnsi="Verdana" w:cs="Arial"/>
          <w:i/>
          <w:iCs/>
        </w:rPr>
        <w:t>sub examine</w:t>
      </w:r>
      <w:r w:rsidRPr="001D6F6E">
        <w:rPr>
          <w:rFonts w:ascii="Verdana" w:hAnsi="Verdana" w:cs="Arial"/>
        </w:rPr>
        <w:t xml:space="preserve"> –2.2.1.1.2.4.3–, como es el caso de la que cubre el buen manejo y la correcta inversión del anticipo o la que ampara la devolución del pago anticipado. En su momento se entendió configurado un vacío normativo, y con fundamento en esto se dijo que el cierre del expediente contractual no podía realizarse sino estaban vencidas todas las garantías del contrato, en ese caso específico la garantía que amparaba el pago de salarios, prestaciones sociales legales e indemnizaciones laborales.</w:t>
      </w:r>
      <w:r w:rsidRPr="001D6F6E">
        <w:rPr>
          <w:rFonts w:ascii="Verdana" w:hAnsi="Verdana" w:cs="Times New Roman"/>
          <w:szCs w:val="24"/>
          <w:lang w:eastAsia="es-CO"/>
        </w:rPr>
        <w:t xml:space="preserve"> </w:t>
      </w:r>
    </w:p>
    <w:p w14:paraId="17041FC5" w14:textId="77777777" w:rsidR="00351B00" w:rsidRPr="001D6F6E" w:rsidRDefault="00351B00" w:rsidP="00351B00">
      <w:pPr>
        <w:spacing w:after="0" w:line="276" w:lineRule="auto"/>
        <w:ind w:firstLine="709"/>
        <w:jc w:val="both"/>
        <w:rPr>
          <w:rFonts w:ascii="Verdana" w:hAnsi="Verdana" w:cs="Arial"/>
        </w:rPr>
      </w:pPr>
      <w:r w:rsidRPr="001D6F6E">
        <w:rPr>
          <w:rFonts w:ascii="Verdana" w:hAnsi="Verdana" w:cs="Arial"/>
        </w:rPr>
        <w:t xml:space="preserve">Sin embargo, dicha tesis fue revaluada por esta Subdirección en el Concepto CU-028 del 25 de febrero de 2020, en la medida que la interpretación literal y sistemática de la norma descarta el vacío normativo aludido en dicha ocasión, </w:t>
      </w:r>
      <w:r>
        <w:rPr>
          <w:rFonts w:ascii="Verdana" w:hAnsi="Verdana" w:cs="Arial"/>
        </w:rPr>
        <w:t>ya que la disposición</w:t>
      </w:r>
      <w:r w:rsidRPr="001D6F6E">
        <w:rPr>
          <w:rFonts w:ascii="Verdana" w:hAnsi="Verdana" w:cs="Arial"/>
        </w:rPr>
        <w:t xml:space="preserve"> señala expresamente unas condiciones a las que está sometido el cierre del expediente. En efecto:</w:t>
      </w:r>
    </w:p>
    <w:p w14:paraId="14438DE1" w14:textId="77777777" w:rsidR="00351B00" w:rsidRPr="004A403F" w:rsidRDefault="00351B00" w:rsidP="00351B00">
      <w:pPr>
        <w:spacing w:after="0" w:line="276" w:lineRule="auto"/>
        <w:ind w:firstLine="709"/>
        <w:jc w:val="both"/>
        <w:rPr>
          <w:rFonts w:ascii="Verdana" w:hAnsi="Verdana" w:cs="Times New Roman"/>
          <w:lang w:eastAsia="es-CO"/>
        </w:rPr>
      </w:pPr>
    </w:p>
    <w:p w14:paraId="7EA6A4E3" w14:textId="77777777" w:rsidR="00351B00" w:rsidRPr="001D6F6E" w:rsidRDefault="00351B00" w:rsidP="00351B00">
      <w:pPr>
        <w:spacing w:after="120" w:line="240" w:lineRule="auto"/>
        <w:ind w:left="709" w:right="709"/>
        <w:jc w:val="both"/>
        <w:rPr>
          <w:rFonts w:ascii="Verdana" w:hAnsi="Verdana" w:cs="Arial"/>
          <w:sz w:val="20"/>
          <w:szCs w:val="20"/>
        </w:rPr>
      </w:pPr>
      <w:r w:rsidRPr="001D6F6E">
        <w:rPr>
          <w:rFonts w:ascii="Verdana" w:hAnsi="Verdana" w:cs="Arial"/>
          <w:sz w:val="20"/>
          <w:szCs w:val="20"/>
        </w:rPr>
        <w:t xml:space="preserve">“[…] una interpretación literal y sistemática de la disposición da cuenta de una tesis contraria a la que se expuso antes, esto es, que el cierre del expediente únicamente debe realizarse en dos eventos: i) cuando la administración establece condiciones de disposición final o recuperación ambiental de las obras o bienes; o </w:t>
      </w:r>
      <w:proofErr w:type="spellStart"/>
      <w:r w:rsidRPr="001D6F6E">
        <w:rPr>
          <w:rFonts w:ascii="Verdana" w:hAnsi="Verdana" w:cs="Arial"/>
          <w:sz w:val="20"/>
          <w:szCs w:val="20"/>
        </w:rPr>
        <w:t>ii</w:t>
      </w:r>
      <w:proofErr w:type="spellEnd"/>
      <w:r w:rsidRPr="001D6F6E">
        <w:rPr>
          <w:rFonts w:ascii="Verdana" w:hAnsi="Verdana" w:cs="Arial"/>
          <w:sz w:val="20"/>
          <w:szCs w:val="20"/>
        </w:rPr>
        <w:t xml:space="preserve">) una vez vencidos los términos de las garantías de calidad, estabilidad y </w:t>
      </w:r>
      <w:proofErr w:type="gramStart"/>
      <w:r w:rsidRPr="001D6F6E">
        <w:rPr>
          <w:rFonts w:ascii="Verdana" w:hAnsi="Verdana" w:cs="Arial"/>
          <w:sz w:val="20"/>
          <w:szCs w:val="20"/>
        </w:rPr>
        <w:t xml:space="preserve">mantenimiento  </w:t>
      </w:r>
      <w:r w:rsidRPr="001D6F6E">
        <w:rPr>
          <w:rFonts w:ascii="Arial" w:hAnsi="Arial" w:cs="Arial"/>
          <w:sz w:val="20"/>
          <w:szCs w:val="20"/>
        </w:rPr>
        <w:t>̶</w:t>
      </w:r>
      <w:proofErr w:type="gramEnd"/>
      <w:r w:rsidRPr="001D6F6E">
        <w:rPr>
          <w:rFonts w:ascii="Verdana" w:hAnsi="Verdana" w:cs="Arial"/>
          <w:sz w:val="20"/>
          <w:szCs w:val="20"/>
        </w:rPr>
        <w:t xml:space="preserve"> solo estas </w:t>
      </w:r>
      <w:proofErr w:type="gramStart"/>
      <w:r w:rsidRPr="001D6F6E">
        <w:rPr>
          <w:rFonts w:ascii="Arial" w:hAnsi="Arial" w:cs="Arial"/>
          <w:sz w:val="20"/>
          <w:szCs w:val="20"/>
        </w:rPr>
        <w:t>̶</w:t>
      </w:r>
      <w:r w:rsidRPr="001D6F6E">
        <w:rPr>
          <w:rFonts w:ascii="Verdana" w:hAnsi="Verdana" w:cs="Arial"/>
          <w:sz w:val="20"/>
          <w:szCs w:val="20"/>
        </w:rPr>
        <w:t xml:space="preserve"> .</w:t>
      </w:r>
      <w:proofErr w:type="gramEnd"/>
    </w:p>
    <w:p w14:paraId="5A10827D" w14:textId="77777777" w:rsidR="00351B00" w:rsidRPr="001D6F6E" w:rsidRDefault="00351B00" w:rsidP="00351B00">
      <w:pPr>
        <w:spacing w:after="120" w:line="240" w:lineRule="auto"/>
        <w:ind w:left="709" w:right="709"/>
        <w:jc w:val="both"/>
        <w:rPr>
          <w:rFonts w:ascii="Verdana" w:hAnsi="Verdana" w:cs="Arial"/>
          <w:sz w:val="20"/>
          <w:szCs w:val="20"/>
        </w:rPr>
      </w:pPr>
      <w:r w:rsidRPr="001D6F6E">
        <w:rPr>
          <w:rFonts w:ascii="Verdana" w:hAnsi="Verdana" w:cs="Arial"/>
          <w:sz w:val="20"/>
          <w:szCs w:val="20"/>
        </w:rPr>
        <w:t>La norma bajo estudio no tiene un vacío normativo. La decisión de limitar el deber de dejar constancia del cierre del expediente a unas garantías en concreto no puede ser asumida como una omisión, ya que se trata, precisamente, de eso: de una decisión de la autoridad competente para expedir la norma, en ejercicio de las competencias que le otorga el numeral 11 del artículo 189 de la Constitución.</w:t>
      </w:r>
    </w:p>
    <w:p w14:paraId="466AD026" w14:textId="77777777" w:rsidR="00351B00" w:rsidRPr="001D6F6E" w:rsidRDefault="00351B00" w:rsidP="00351B00">
      <w:pPr>
        <w:spacing w:after="120" w:line="240" w:lineRule="auto"/>
        <w:ind w:left="709" w:right="709"/>
        <w:jc w:val="both"/>
        <w:rPr>
          <w:rFonts w:ascii="Verdana" w:hAnsi="Verdana" w:cs="Arial"/>
          <w:sz w:val="20"/>
          <w:szCs w:val="20"/>
        </w:rPr>
      </w:pPr>
      <w:r w:rsidRPr="001D6F6E">
        <w:rPr>
          <w:rFonts w:ascii="Verdana" w:hAnsi="Verdana" w:cs="Arial"/>
          <w:sz w:val="20"/>
          <w:szCs w:val="20"/>
        </w:rPr>
        <w:t xml:space="preserve">Si la intención era que se aplicara a otros supuestos fácticos, la norma hubiera hecho la remisión expresa a las disposiciones que regulan las garantías contractuales, esto es, a la Sección 3 del Capítulo 2 del Decreto 1082 de 2015; hubiera remitido a uno o varios artículos de esa Sección 3; se hubiera redactado la norma de forma genérica y sin circunscribirla a unas garantías en específico; o simplemente se hubieran incorporado al texto expresiones como ‘entre otras’ o </w:t>
      </w:r>
      <w:r>
        <w:rPr>
          <w:rFonts w:ascii="Verdana" w:hAnsi="Verdana" w:cs="Arial"/>
          <w:sz w:val="20"/>
          <w:szCs w:val="20"/>
        </w:rPr>
        <w:t>“</w:t>
      </w:r>
      <w:r w:rsidRPr="001D6F6E">
        <w:rPr>
          <w:rFonts w:ascii="Verdana" w:hAnsi="Verdana" w:cs="Arial"/>
          <w:sz w:val="20"/>
          <w:szCs w:val="20"/>
        </w:rPr>
        <w:t>cualquier otra</w:t>
      </w:r>
      <w:r>
        <w:rPr>
          <w:rFonts w:ascii="Verdana" w:hAnsi="Verdana" w:cs="Arial"/>
          <w:sz w:val="20"/>
          <w:szCs w:val="20"/>
        </w:rPr>
        <w:t>”</w:t>
      </w:r>
      <w:r w:rsidRPr="001D6F6E">
        <w:rPr>
          <w:rFonts w:ascii="Verdana" w:hAnsi="Verdana" w:cs="Arial"/>
          <w:sz w:val="20"/>
          <w:szCs w:val="20"/>
        </w:rPr>
        <w:t>, haciendo referencia a las garantías contractuales frente a las que aplica el deber de dejar constancia del cierre del expediente contractual.</w:t>
      </w:r>
    </w:p>
    <w:p w14:paraId="0AC01A60" w14:textId="77777777" w:rsidR="00351B00" w:rsidRPr="001D6F6E" w:rsidRDefault="00351B00" w:rsidP="00351B00">
      <w:pPr>
        <w:spacing w:after="0" w:line="240" w:lineRule="auto"/>
        <w:ind w:left="709" w:right="709"/>
        <w:jc w:val="both"/>
        <w:rPr>
          <w:rFonts w:ascii="Verdana" w:hAnsi="Verdana" w:cs="Arial"/>
          <w:sz w:val="20"/>
          <w:szCs w:val="20"/>
        </w:rPr>
      </w:pPr>
      <w:r w:rsidRPr="001D6F6E">
        <w:rPr>
          <w:rFonts w:ascii="Verdana" w:hAnsi="Verdana" w:cs="Arial"/>
          <w:sz w:val="20"/>
          <w:szCs w:val="20"/>
        </w:rPr>
        <w:t>No puede perderse de vista que el artículo 2.2.1.1.2.4.3. regula una etapa del proceso contractual, es decir, se trata de una norma que, por su naturaleza procedimental, debe ser interpretada a la luz de los principios generales del derecho, particularmente del principio de legalidad, en virtud del cual son inalterables las formalidades establecidas en los procedimientos, en este caso, las formas establecidas para cada etapa del procedimiento contractual. No es posible extender el deber de dejar constancia en el expediente contractual a supuestos no contemplados en dicho artículo, sin modificar una etapa del proceso contractual y, con esto, fustigar el principio de legalidad”</w:t>
      </w:r>
      <w:r w:rsidRPr="001D6F6E">
        <w:rPr>
          <w:rStyle w:val="Refdenotaalpie"/>
          <w:rFonts w:ascii="Verdana" w:hAnsi="Verdana" w:cs="Arial"/>
          <w:sz w:val="20"/>
          <w:szCs w:val="20"/>
        </w:rPr>
        <w:footnoteReference w:id="24"/>
      </w:r>
      <w:r w:rsidRPr="001D6F6E">
        <w:rPr>
          <w:rFonts w:ascii="Verdana" w:hAnsi="Verdana" w:cs="Arial"/>
          <w:sz w:val="20"/>
          <w:szCs w:val="20"/>
        </w:rPr>
        <w:t>.</w:t>
      </w:r>
      <w:r w:rsidRPr="001D6F6E">
        <w:rPr>
          <w:rFonts w:ascii="Verdana" w:hAnsi="Verdana" w:cs="Times New Roman"/>
          <w:sz w:val="20"/>
          <w:szCs w:val="20"/>
          <w:lang w:eastAsia="es-CO"/>
        </w:rPr>
        <w:t xml:space="preserve"> </w:t>
      </w:r>
    </w:p>
    <w:p w14:paraId="06C07CD1" w14:textId="77777777" w:rsidR="00351B00" w:rsidRPr="004A403F" w:rsidRDefault="00351B00" w:rsidP="00351B00">
      <w:pPr>
        <w:spacing w:after="0" w:line="276" w:lineRule="auto"/>
        <w:ind w:firstLine="567"/>
        <w:jc w:val="both"/>
        <w:rPr>
          <w:rFonts w:ascii="Verdana" w:hAnsi="Verdana" w:cs="Arial"/>
        </w:rPr>
      </w:pPr>
      <w:r>
        <w:rPr>
          <w:rFonts w:ascii="Verdana" w:hAnsi="Verdana" w:cs="Arial"/>
          <w:sz w:val="20"/>
          <w:szCs w:val="20"/>
        </w:rPr>
        <w:tab/>
      </w:r>
    </w:p>
    <w:p w14:paraId="21810A49" w14:textId="77777777" w:rsidR="00351B00" w:rsidRPr="001D6F6E" w:rsidRDefault="00351B00" w:rsidP="00351B00">
      <w:pPr>
        <w:spacing w:after="120" w:line="276" w:lineRule="auto"/>
        <w:ind w:firstLine="708"/>
        <w:jc w:val="both"/>
        <w:rPr>
          <w:rFonts w:ascii="Verdana" w:hAnsi="Verdana" w:cs="Arial"/>
        </w:rPr>
      </w:pPr>
      <w:r w:rsidRPr="001D6F6E">
        <w:rPr>
          <w:rFonts w:ascii="Verdana" w:hAnsi="Verdana" w:cs="Arial"/>
        </w:rPr>
        <w:t xml:space="preserve">De acuerdo con </w:t>
      </w:r>
      <w:r>
        <w:rPr>
          <w:rFonts w:ascii="Verdana" w:hAnsi="Verdana" w:cs="Arial"/>
        </w:rPr>
        <w:t>esta explicación</w:t>
      </w:r>
      <w:r w:rsidRPr="001D6F6E">
        <w:rPr>
          <w:rFonts w:ascii="Verdana" w:hAnsi="Verdana" w:cs="Arial"/>
        </w:rPr>
        <w:t>, si el contrato no incluye ninguna de las garantías referidas en el artículo 2.2.1.1.2.4.3 del Decreto 1082 de 2015, o no se establecieron condiciones de disposición final o recuperación ambiental de las obras o bienes, la entidad no tiene la obligación de dejar constancia del cierre del expediente contractual. En armonía con lo anterior, si el contrato incluye varias garantías, el deber solo surgirá ante el vencimiento de las que se refiere el artículo 2.2.1.1.2.4.3, con independencia del término de vigencia de las demás. En ese sentido, vencidas las garantías de calidad, estabilidad y mantenimiento, deberá realizarse el cierre del expediente, aunque sigan vigentes otras garantías como, por ejemplo, la de pago de salarios, prestaciones sociales legales e indemnizaciones laborales.</w:t>
      </w:r>
    </w:p>
    <w:p w14:paraId="6E745A60" w14:textId="77777777" w:rsidR="00351B00" w:rsidRPr="001D6F6E" w:rsidRDefault="00351B00" w:rsidP="00351B00">
      <w:pPr>
        <w:spacing w:after="120" w:line="276" w:lineRule="auto"/>
        <w:ind w:firstLine="708"/>
        <w:jc w:val="both"/>
        <w:rPr>
          <w:rFonts w:ascii="Verdana" w:hAnsi="Verdana" w:cs="Arial"/>
        </w:rPr>
      </w:pPr>
      <w:r w:rsidRPr="001D6F6E">
        <w:rPr>
          <w:rFonts w:ascii="Verdana" w:hAnsi="Verdana" w:cs="Arial"/>
        </w:rPr>
        <w:t xml:space="preserve">De otra parte, en el referido concepto de unificación también se aclaró que </w:t>
      </w:r>
      <w:r>
        <w:rPr>
          <w:rFonts w:ascii="Verdana" w:hAnsi="Verdana" w:cs="Arial"/>
        </w:rPr>
        <w:t>“</w:t>
      </w:r>
      <w:r w:rsidRPr="001D6F6E">
        <w:rPr>
          <w:rFonts w:ascii="Verdana" w:hAnsi="Verdana" w:cs="Arial"/>
        </w:rPr>
        <w:t>no existe norma que prohíba que la entidad haga el cierre del expediente contractual en aquellos eventos en los que no esté obligada</w:t>
      </w:r>
      <w:r>
        <w:rPr>
          <w:rFonts w:ascii="Verdana" w:hAnsi="Verdana" w:cs="Arial"/>
        </w:rPr>
        <w:t>”</w:t>
      </w:r>
      <w:r w:rsidRPr="001D6F6E">
        <w:rPr>
          <w:rStyle w:val="Refdenotaalpie"/>
          <w:rFonts w:ascii="Verdana" w:hAnsi="Verdana" w:cs="Arial"/>
        </w:rPr>
        <w:footnoteReference w:id="25"/>
      </w:r>
      <w:r w:rsidRPr="001D6F6E">
        <w:rPr>
          <w:rFonts w:ascii="Verdana" w:hAnsi="Verdana" w:cs="Arial"/>
        </w:rPr>
        <w:t>. En ese sentido, además de dar cuenta de una correcta y debida organización y administración, puede considerarse útil para dejar constancia del vencimiento de las garantías del contrato y la condición de los bienes y obras desde la perspectiva ambiental, o del punto final de la actuación contractual, dependiendo esto último de si el contrato fue liquidado o no en el momento de dejar la constancia de cierre del expediente. En este sentido, la constancia del cierre del expediente, también es posible realizarla en eventos distintos a los establecidos en el artículo 2.2.1.1.2.4.3 del Decreto 1082 de 2015, pese a que no sea obligatoria.</w:t>
      </w:r>
    </w:p>
    <w:p w14:paraId="00BBF623" w14:textId="77777777" w:rsidR="00351B00" w:rsidRPr="009A60F7" w:rsidRDefault="00351B00" w:rsidP="00351B00">
      <w:pPr>
        <w:spacing w:after="0" w:line="276" w:lineRule="auto"/>
        <w:ind w:firstLine="708"/>
        <w:jc w:val="both"/>
        <w:rPr>
          <w:rFonts w:ascii="Verdana" w:hAnsi="Verdana" w:cs="Arial"/>
        </w:rPr>
      </w:pPr>
      <w:r w:rsidRPr="001D6F6E">
        <w:rPr>
          <w:rFonts w:ascii="Verdana" w:hAnsi="Verdana" w:cs="Arial"/>
        </w:rPr>
        <w:t>En el Concepto CU-028 de 2020, esta Agencia también se manifestó respecto de la obligación de realizar el cierre del expediente contractual, en relación con el estado del contrato en cuanto a su liquidación. Sobre el particular se determinó, de acuerdo con los Conceptos de 28 de junio de 2016</w:t>
      </w:r>
      <w:r w:rsidRPr="001D6F6E">
        <w:rPr>
          <w:rStyle w:val="Refdenotaalpie"/>
          <w:rFonts w:ascii="Verdana" w:hAnsi="Verdana" w:cs="Arial"/>
        </w:rPr>
        <w:footnoteReference w:id="26"/>
      </w:r>
      <w:r w:rsidRPr="001D6F6E">
        <w:rPr>
          <w:rFonts w:ascii="Verdana" w:hAnsi="Verdana" w:cs="Arial"/>
        </w:rPr>
        <w:t xml:space="preserve"> y de 8 de marzo de 2017</w:t>
      </w:r>
      <w:r w:rsidRPr="001D6F6E">
        <w:rPr>
          <w:rStyle w:val="Refdenotaalpie"/>
          <w:rFonts w:ascii="Verdana" w:hAnsi="Verdana" w:cs="Arial"/>
        </w:rPr>
        <w:footnoteReference w:id="27"/>
      </w:r>
      <w:r w:rsidRPr="001D6F6E">
        <w:rPr>
          <w:rFonts w:ascii="Verdana" w:hAnsi="Verdana" w:cs="Times New Roman"/>
          <w:szCs w:val="24"/>
          <w:lang w:eastAsia="es-CO"/>
        </w:rPr>
        <w:t xml:space="preserve"> </w:t>
      </w:r>
      <w:r w:rsidRPr="001D6F6E">
        <w:rPr>
          <w:rFonts w:ascii="Verdana" w:hAnsi="Verdana" w:cs="Arial"/>
        </w:rPr>
        <w:t xml:space="preserve">expedidos por la Sala de Consulta y Servicio Civil del Consejo de Estado, que la obligación del cierre del expediente contractual no está condicionada al hecho de que el contrato se hubiere liquidado o no, ya que si bien ello es una información que debería constar en dicho documento, ocurrido el vencimiento de las garantías aludidas por el artículo 2.2.1.1.2.4.3 del Decreto 1082 de 2015, o las condiciones de disposición final o recuperación ambiental de las obras o bienes, surge el deber de cerrar el expediente, </w:t>
      </w:r>
      <w:r w:rsidRPr="009A60F7">
        <w:rPr>
          <w:rFonts w:ascii="Verdana" w:hAnsi="Verdana" w:cs="Arial"/>
        </w:rPr>
        <w:t>independientemente de si para ese entonces el contrato se encuentra o no liquidado. Al respecto, en el Concepto de Unificación de esta Agencia se señaló:</w:t>
      </w:r>
    </w:p>
    <w:p w14:paraId="45DE4780" w14:textId="77777777" w:rsidR="00351B00" w:rsidRPr="009A60F7" w:rsidRDefault="00351B00" w:rsidP="00351B00">
      <w:pPr>
        <w:spacing w:after="0" w:line="276" w:lineRule="auto"/>
        <w:ind w:firstLine="567"/>
        <w:jc w:val="both"/>
        <w:rPr>
          <w:rFonts w:ascii="Verdana" w:hAnsi="Verdana" w:cs="Arial"/>
        </w:rPr>
      </w:pPr>
    </w:p>
    <w:p w14:paraId="7B69C879" w14:textId="77777777" w:rsidR="00351B00" w:rsidRPr="009A60F7" w:rsidRDefault="00351B00" w:rsidP="00351B00">
      <w:pPr>
        <w:tabs>
          <w:tab w:val="left" w:pos="8647"/>
        </w:tabs>
        <w:spacing w:after="120" w:line="240" w:lineRule="auto"/>
        <w:ind w:left="709" w:right="709"/>
        <w:jc w:val="both"/>
        <w:rPr>
          <w:rFonts w:ascii="Verdana" w:hAnsi="Verdana" w:cs="Arial"/>
          <w:sz w:val="20"/>
          <w:szCs w:val="20"/>
        </w:rPr>
      </w:pPr>
      <w:r w:rsidRPr="009A60F7">
        <w:rPr>
          <w:rFonts w:ascii="Verdana" w:hAnsi="Verdana" w:cs="Arial"/>
          <w:sz w:val="20"/>
          <w:szCs w:val="20"/>
        </w:rPr>
        <w:t xml:space="preserve">“Colombia Compra Eficiente comparte que el cierre del expediente contractual puede darse, incluso, si el contrato no ha sido liquidado, claro está, siempre que se hubiera configurado alguno de los supuestos del artículo 2.2.1.1.2.4.3. del Decreto 1082 de 2015, esto es: i) cuando la administración establece condiciones de disposición final o recuperación ambiental de las obras o bienes; o </w:t>
      </w:r>
      <w:proofErr w:type="spellStart"/>
      <w:r w:rsidRPr="009A60F7">
        <w:rPr>
          <w:rFonts w:ascii="Verdana" w:hAnsi="Verdana" w:cs="Arial"/>
          <w:sz w:val="20"/>
          <w:szCs w:val="20"/>
        </w:rPr>
        <w:t>ii</w:t>
      </w:r>
      <w:proofErr w:type="spellEnd"/>
      <w:r w:rsidRPr="009A60F7">
        <w:rPr>
          <w:rFonts w:ascii="Verdana" w:hAnsi="Verdana" w:cs="Arial"/>
          <w:sz w:val="20"/>
          <w:szCs w:val="20"/>
        </w:rPr>
        <w:t>) una vez vencidos los términos de las garantías de calidad, estabilidad y mantenimiento ─solo estas─. Sin embargo, considera que los argumentos transcritos le imponen el deber de hacer algunas precisiones sobre la liquidación del contrato y su relación con el artículo 2.2.1.1.2.4.3. del Decreto 1082 de 2015.</w:t>
      </w:r>
    </w:p>
    <w:p w14:paraId="243CC07F" w14:textId="77777777" w:rsidR="00351B00" w:rsidRPr="009A60F7" w:rsidRDefault="00351B00" w:rsidP="00351B00">
      <w:pPr>
        <w:tabs>
          <w:tab w:val="left" w:pos="8647"/>
        </w:tabs>
        <w:spacing w:after="0" w:line="240" w:lineRule="auto"/>
        <w:ind w:left="709" w:right="709"/>
        <w:jc w:val="both"/>
        <w:rPr>
          <w:rFonts w:ascii="Verdana" w:hAnsi="Verdana" w:cs="Times New Roman"/>
          <w:sz w:val="20"/>
          <w:szCs w:val="20"/>
          <w:lang w:eastAsia="es-CO"/>
        </w:rPr>
      </w:pPr>
      <w:r w:rsidRPr="009A60F7">
        <w:rPr>
          <w:rFonts w:ascii="Verdana" w:hAnsi="Verdana" w:cs="Arial"/>
          <w:sz w:val="20"/>
          <w:szCs w:val="20"/>
        </w:rPr>
        <w:t>En los conceptos citados no se distingue entre los contratos en los que las entidades están obligadas a dejar constancia del cierre del expediente contractual, y aquellos en los que no lo está. Por no distinguirse, se supone que la liquidación del contrato es el factor determinante para establecer el deber legal de hacer el cierre del contrato, cuando no es así, pues, se reitera, eso ocurre en los eventos referidos en la norma en estudio. El estado de la liquidación del contrato sólo es relevante para establecer el contenido de la constancia de cierre del expediente, de tal forma que si el contrato ya se liquidó se deberá dejar constancia del vencimiento de las garantías del contrato y la condición de los bienes y obras desde la perspectiva ambiental, pero si no se ha liquidado de lo que se debe dejar constancia es del punto final de la actuación contractual. Sin embargo, la liquidación no determina el deber de dejar constancia del cierre del expediente, como lo sugiere la Sala de Consulta y Servicio Civil del Consejo de Estado. Este deber, como se explicó, sólo depende de la configuración de los dos supuestos del artículo 2.2.1.1.2.4.3”</w:t>
      </w:r>
      <w:r w:rsidRPr="009A60F7">
        <w:rPr>
          <w:rStyle w:val="Refdenotaalpie"/>
          <w:rFonts w:ascii="Verdana" w:hAnsi="Verdana" w:cs="Arial"/>
          <w:sz w:val="20"/>
          <w:szCs w:val="20"/>
        </w:rPr>
        <w:footnoteReference w:id="28"/>
      </w:r>
      <w:r w:rsidRPr="009A60F7">
        <w:rPr>
          <w:rFonts w:ascii="Verdana" w:hAnsi="Verdana" w:cs="Arial"/>
          <w:sz w:val="20"/>
          <w:szCs w:val="20"/>
        </w:rPr>
        <w:t>.</w:t>
      </w:r>
      <w:r w:rsidRPr="009A60F7">
        <w:rPr>
          <w:rFonts w:ascii="Verdana" w:hAnsi="Verdana" w:cs="Times New Roman"/>
          <w:sz w:val="20"/>
          <w:szCs w:val="20"/>
          <w:lang w:eastAsia="es-CO"/>
        </w:rPr>
        <w:t xml:space="preserve"> </w:t>
      </w:r>
    </w:p>
    <w:p w14:paraId="49B18966" w14:textId="77777777" w:rsidR="00351B00" w:rsidRPr="009A60F7" w:rsidRDefault="00351B00" w:rsidP="00351B00">
      <w:pPr>
        <w:tabs>
          <w:tab w:val="left" w:pos="8647"/>
        </w:tabs>
        <w:spacing w:after="0" w:line="240" w:lineRule="auto"/>
        <w:ind w:left="709" w:right="851"/>
        <w:jc w:val="both"/>
        <w:rPr>
          <w:rFonts w:ascii="Verdana" w:hAnsi="Verdana" w:cs="Arial"/>
        </w:rPr>
      </w:pPr>
    </w:p>
    <w:p w14:paraId="3AF0EFE9" w14:textId="77777777" w:rsidR="00351B00" w:rsidRPr="009A60F7" w:rsidRDefault="00351B00" w:rsidP="00351B00">
      <w:pPr>
        <w:tabs>
          <w:tab w:val="left" w:pos="709"/>
        </w:tabs>
        <w:spacing w:after="0" w:line="276" w:lineRule="auto"/>
        <w:jc w:val="both"/>
        <w:rPr>
          <w:rFonts w:ascii="Verdana" w:eastAsia="Calibri" w:hAnsi="Verdana" w:cs="Arial"/>
          <w:color w:val="000000"/>
          <w:lang w:val="es-ES" w:eastAsia="es-ES"/>
        </w:rPr>
      </w:pPr>
      <w:r w:rsidRPr="009A60F7">
        <w:rPr>
          <w:rFonts w:ascii="Verdana" w:hAnsi="Verdana" w:cs="Arial"/>
        </w:rPr>
        <w:tab/>
        <w:t>En conclusión, el cierre del expediente del proceso de contratación es obligatorio cuando el contrato estatal exige las garantías de calidad, estabilidad o mantenimiento, o cuando la entidad establezca condiciones de disposición final o recuperación ambiental de las obras o bienes contratados. Una vez cumplidas tales condiciones surge el deber de dejar constancia del correspondiente acto de cierre del expediente contractual, ya sea que el contrato se hubiere liquidado o no.</w:t>
      </w:r>
      <w:r>
        <w:rPr>
          <w:rFonts w:ascii="Verdana" w:hAnsi="Verdana" w:cs="Arial"/>
        </w:rPr>
        <w:t xml:space="preserve"> </w:t>
      </w:r>
      <w:r>
        <w:rPr>
          <w:rFonts w:ascii="Verdana" w:eastAsia="Calibri" w:hAnsi="Verdana" w:cs="Arial"/>
          <w:bCs/>
          <w:color w:val="000000" w:themeColor="text1"/>
          <w:lang w:val="es-ES_tradnl"/>
        </w:rPr>
        <w:t>Para la acreditación de las circunstancias mencionadas en el Decreto Único Reglamentario del Sector Administrativo de Planeación Nacional, las actuaciones y soportes documentales necesarios para el cierre serán las que se definan en los instructivos internos de las entidades estatales de acuerdo con su manual de contratación</w:t>
      </w:r>
      <w:r>
        <w:rPr>
          <w:rStyle w:val="Refdenotaalpie"/>
          <w:rFonts w:ascii="Verdana" w:eastAsia="Calibri" w:hAnsi="Verdana" w:cs="Arial"/>
          <w:bCs/>
          <w:color w:val="000000" w:themeColor="text1"/>
          <w:lang w:val="es-ES_tradnl"/>
        </w:rPr>
        <w:footnoteReference w:id="29"/>
      </w:r>
      <w:r>
        <w:rPr>
          <w:rFonts w:ascii="Verdana" w:eastAsia="Calibri" w:hAnsi="Verdana" w:cs="Arial"/>
          <w:bCs/>
          <w:color w:val="000000" w:themeColor="text1"/>
          <w:lang w:val="es-ES_tradnl"/>
        </w:rPr>
        <w:t>.</w:t>
      </w:r>
    </w:p>
    <w:p w14:paraId="4830A006" w14:textId="77777777" w:rsidR="00351B00" w:rsidRPr="008D42D9" w:rsidRDefault="00351B00" w:rsidP="00351B00">
      <w:pPr>
        <w:tabs>
          <w:tab w:val="left" w:pos="142"/>
          <w:tab w:val="left" w:pos="284"/>
          <w:tab w:val="left" w:pos="6975"/>
        </w:tabs>
        <w:spacing w:after="0" w:line="276" w:lineRule="auto"/>
        <w:jc w:val="both"/>
        <w:rPr>
          <w:rFonts w:ascii="Verdana" w:eastAsia="Calibri" w:hAnsi="Verdana" w:cs="Arial"/>
          <w:lang w:val="es-ES"/>
        </w:rPr>
      </w:pPr>
    </w:p>
    <w:p w14:paraId="0C77F2FB" w14:textId="77777777" w:rsidR="00351B00" w:rsidRDefault="00351B00" w:rsidP="00351B00">
      <w:pPr>
        <w:tabs>
          <w:tab w:val="left" w:pos="142"/>
          <w:tab w:val="left" w:pos="284"/>
          <w:tab w:val="left" w:pos="6975"/>
        </w:tabs>
        <w:spacing w:after="0" w:line="276" w:lineRule="auto"/>
        <w:jc w:val="both"/>
        <w:rPr>
          <w:rFonts w:ascii="Verdana" w:eastAsia="Calibri" w:hAnsi="Verdana" w:cs="Arial"/>
        </w:rPr>
      </w:pPr>
      <w:proofErr w:type="spellStart"/>
      <w:r>
        <w:rPr>
          <w:rFonts w:ascii="Verdana" w:eastAsia="Calibri" w:hAnsi="Verdana" w:cs="Arial"/>
        </w:rPr>
        <w:t>iii</w:t>
      </w:r>
      <w:proofErr w:type="spellEnd"/>
      <w:r>
        <w:rPr>
          <w:rFonts w:ascii="Verdana" w:eastAsia="Calibri" w:hAnsi="Verdana" w:cs="Arial"/>
        </w:rPr>
        <w:t xml:space="preserve">) En cuanto al tercer problema jurídico, la entidad deberá analizar en cada caso en concreto según determine sus manuales internos el procedimiento para liberar los saldos teniendo en consideración las normas presupuestales al respecto. Lo anterior no implicaría una liquidación sino por el contrario un trámite interno que la entidad estatal efectuará para efectos presupuestales.  </w:t>
      </w:r>
    </w:p>
    <w:p w14:paraId="70B130C4" w14:textId="77777777" w:rsidR="00351B00" w:rsidRDefault="00351B00" w:rsidP="00351B00">
      <w:pPr>
        <w:tabs>
          <w:tab w:val="left" w:pos="142"/>
          <w:tab w:val="left" w:pos="284"/>
          <w:tab w:val="left" w:pos="6975"/>
        </w:tabs>
        <w:spacing w:after="0" w:line="276" w:lineRule="auto"/>
        <w:jc w:val="both"/>
        <w:rPr>
          <w:rFonts w:ascii="Verdana" w:eastAsia="Calibri" w:hAnsi="Verdana" w:cs="Arial"/>
        </w:rPr>
      </w:pPr>
    </w:p>
    <w:p w14:paraId="58A8C823" w14:textId="77777777" w:rsidR="00351B00" w:rsidRDefault="00351B00" w:rsidP="00351B00">
      <w:pPr>
        <w:spacing w:after="120" w:line="276" w:lineRule="auto"/>
        <w:ind w:firstLine="709"/>
        <w:jc w:val="both"/>
        <w:rPr>
          <w:rFonts w:ascii="Verdana" w:eastAsia="Times New Roman" w:hAnsi="Verdana" w:cs="Arial"/>
          <w:lang w:eastAsia="es-ES_tradnl"/>
        </w:rPr>
      </w:pPr>
      <w:r w:rsidRPr="00070EC3">
        <w:rPr>
          <w:rFonts w:ascii="Verdana" w:hAnsi="Verdana" w:cs="Arial"/>
          <w:lang w:eastAsia="es-ES"/>
        </w:rPr>
        <w:t xml:space="preserve">Al margen de la explicación precedente debe advertirse que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5E12C725" w14:textId="77777777" w:rsidR="00351B00" w:rsidRPr="00FA3156" w:rsidRDefault="00351B00" w:rsidP="00351B00">
      <w:pPr>
        <w:spacing w:after="120" w:line="276" w:lineRule="auto"/>
        <w:ind w:firstLine="709"/>
        <w:jc w:val="both"/>
        <w:rPr>
          <w:rFonts w:ascii="Verdana" w:eastAsia="Times New Roman" w:hAnsi="Verdana" w:cs="Arial"/>
          <w:lang w:eastAsia="es-ES_tradnl"/>
        </w:rPr>
      </w:pPr>
      <w:r w:rsidRPr="00070EC3">
        <w:rPr>
          <w:rFonts w:ascii="Verdana" w:hAnsi="Verdana" w:cs="Arial"/>
          <w:lang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116ECDE1" w14:textId="77777777" w:rsidR="00351B00" w:rsidRPr="009E51D7" w:rsidRDefault="00351B00" w:rsidP="00351B00">
      <w:pPr>
        <w:tabs>
          <w:tab w:val="left" w:pos="142"/>
          <w:tab w:val="left" w:pos="284"/>
        </w:tabs>
        <w:spacing w:after="0" w:line="276" w:lineRule="auto"/>
        <w:jc w:val="both"/>
        <w:rPr>
          <w:rFonts w:ascii="Verdana" w:eastAsia="Century Gothic" w:hAnsi="Verdana" w:cs="Century Gothic"/>
          <w:b/>
          <w:bCs/>
        </w:rPr>
      </w:pPr>
      <w:r w:rsidRPr="009E51D7">
        <w:rPr>
          <w:rFonts w:ascii="Verdana" w:eastAsia="Calibri" w:hAnsi="Verdana" w:cs="Arial"/>
          <w:b/>
          <w:color w:val="000000" w:themeColor="text1"/>
        </w:rPr>
        <w:t xml:space="preserve">4. </w:t>
      </w:r>
      <w:r w:rsidRPr="009E51D7">
        <w:rPr>
          <w:rFonts w:ascii="Verdana" w:eastAsia="Century Gothic" w:hAnsi="Verdana" w:cs="Century Gothic"/>
          <w:b/>
          <w:bCs/>
        </w:rPr>
        <w:t>Referencias normativas, jurisprudenciales y otras fuentes:</w:t>
      </w:r>
    </w:p>
    <w:p w14:paraId="62DCF8BE" w14:textId="77777777" w:rsidR="00351B00" w:rsidRPr="00E5656D" w:rsidRDefault="00351B00" w:rsidP="00351B00">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51B00" w:rsidRPr="002D2C18" w14:paraId="5B3A0B46" w14:textId="77777777" w:rsidTr="00C74AA7">
        <w:trPr>
          <w:trHeight w:val="56"/>
          <w:jc w:val="center"/>
        </w:trPr>
        <w:tc>
          <w:tcPr>
            <w:tcW w:w="8647" w:type="dxa"/>
          </w:tcPr>
          <w:p w14:paraId="523F8037"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Ley 80 de 1993. Artículo 60.</w:t>
            </w:r>
          </w:p>
          <w:p w14:paraId="6926AD19" w14:textId="77777777" w:rsidR="00351B00" w:rsidRPr="005970AF"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Ley 1150 de 2007. Artículo 11.</w:t>
            </w:r>
          </w:p>
          <w:p w14:paraId="0BCB803C"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Ley 1437 de 2011. Artículo 141.</w:t>
            </w:r>
          </w:p>
          <w:p w14:paraId="190343B5"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Decreto 019 de 2012 artículo 217.</w:t>
            </w:r>
          </w:p>
          <w:p w14:paraId="2D493C4A"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 xml:space="preserve">Decreto 1082 de 2015. Artículos </w:t>
            </w:r>
            <w:r w:rsidRPr="001D6F6E">
              <w:rPr>
                <w:rFonts w:ascii="Verdana" w:hAnsi="Verdana" w:cs="Arial"/>
              </w:rPr>
              <w:t>2.2.1.1.1.3.1</w:t>
            </w:r>
            <w:r>
              <w:rPr>
                <w:rFonts w:ascii="Verdana" w:hAnsi="Verdana" w:cs="Arial"/>
              </w:rPr>
              <w:t>,</w:t>
            </w:r>
            <w:r w:rsidRPr="001D6F6E">
              <w:rPr>
                <w:rFonts w:ascii="Verdana" w:hAnsi="Verdana" w:cs="Arial"/>
              </w:rPr>
              <w:t xml:space="preserve"> </w:t>
            </w:r>
            <w:r>
              <w:rPr>
                <w:rFonts w:ascii="Verdana" w:hAnsi="Verdana" w:cs="Arial"/>
                <w:lang w:eastAsia="es-ES"/>
              </w:rPr>
              <w:t>2.2.1.1.2.4.3.</w:t>
            </w:r>
          </w:p>
          <w:p w14:paraId="6D9AABEF"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1F2F6D">
              <w:rPr>
                <w:rFonts w:ascii="Verdana" w:hAnsi="Verdana" w:cs="Arial"/>
                <w:lang w:eastAsia="es-ES"/>
              </w:rPr>
              <w:t xml:space="preserve">Consejo de Estado. Sala de lo Contencioso Administrativo. Sección Tercera. Subsección C. 20 de octubre de 2014. </w:t>
            </w:r>
            <w:proofErr w:type="spellStart"/>
            <w:r w:rsidRPr="001F2F6D">
              <w:rPr>
                <w:rFonts w:ascii="Verdana" w:hAnsi="Verdana" w:cs="Arial"/>
                <w:lang w:eastAsia="es-ES"/>
              </w:rPr>
              <w:t>Exp</w:t>
            </w:r>
            <w:proofErr w:type="spellEnd"/>
            <w:r w:rsidRPr="001F2F6D">
              <w:rPr>
                <w:rFonts w:ascii="Verdana" w:hAnsi="Verdana" w:cs="Arial"/>
                <w:lang w:eastAsia="es-ES"/>
              </w:rPr>
              <w:t>. 27.777. C.P: Enrique Gil Botero.</w:t>
            </w:r>
          </w:p>
          <w:p w14:paraId="61C2F3D9"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1F2F6D">
              <w:rPr>
                <w:rFonts w:ascii="Verdana" w:hAnsi="Verdana" w:cs="Arial"/>
                <w:lang w:eastAsia="es-ES"/>
              </w:rPr>
              <w:t>Consejo de Estado. Sala de Consulta y Servicio Civil. Radicado No. 1453. Concepto de 6 de agosto de 2003. MP. Augusto Trejos.</w:t>
            </w:r>
          </w:p>
          <w:p w14:paraId="0F11A7C6"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1F2F6D">
              <w:rPr>
                <w:rFonts w:ascii="Verdana" w:hAnsi="Verdana" w:cs="Arial"/>
                <w:lang w:eastAsia="es-ES"/>
              </w:rPr>
              <w:t>Consejo de Estado. Sala de lo Contencioso Administrativo. Sección Tercera. Subsección C. Sentencia del 24 de julio de 2013. Radicado No. 25.642. C.P: Enrique Gil Botero.</w:t>
            </w:r>
          </w:p>
          <w:p w14:paraId="335E0589"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5970AF">
              <w:rPr>
                <w:rFonts w:ascii="Verdana" w:hAnsi="Verdana" w:cs="Arial"/>
                <w:lang w:eastAsia="es-ES"/>
              </w:rPr>
              <w:t>Consejo de Estado. Sala de Consulta y Servicio Civil. Concepto de 28 de junio de 2016. Radicación: 11001-03-06-000-2015-00067-00 (2253). C.P. Álvaro Namén Vargas.</w:t>
            </w:r>
          </w:p>
          <w:p w14:paraId="390731DC"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5970AF">
              <w:rPr>
                <w:rFonts w:ascii="Verdana" w:hAnsi="Verdana" w:cs="Arial"/>
                <w:lang w:eastAsia="es-ES"/>
              </w:rPr>
              <w:t>Consejo De Estado. Sala de lo Contencioso Administrativo. Sección Tercera. Subsección B. Auto del 27 de febrero de 2026. Radicado: 41001-23-33-000-2023-00088-01 (73035). C.P: Diego Enrique Franco Victoria</w:t>
            </w:r>
            <w:r>
              <w:rPr>
                <w:rFonts w:ascii="Verdana" w:hAnsi="Verdana" w:cs="Arial"/>
                <w:lang w:eastAsia="es-ES"/>
              </w:rPr>
              <w:t>.</w:t>
            </w:r>
          </w:p>
          <w:p w14:paraId="64109DA3"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5970AF">
              <w:rPr>
                <w:rFonts w:ascii="Verdana" w:hAnsi="Verdana" w:cs="Arial"/>
                <w:lang w:eastAsia="es-ES"/>
              </w:rPr>
              <w:t xml:space="preserve">Consejo De Estado. Sala De Lo Contencioso Administrativo. Sección Tercera. Sala Plena. Auto del 1 de agosto de 2019. </w:t>
            </w:r>
            <w:proofErr w:type="spellStart"/>
            <w:r w:rsidRPr="005970AF">
              <w:rPr>
                <w:rFonts w:ascii="Verdana" w:hAnsi="Verdana" w:cs="Arial"/>
                <w:lang w:eastAsia="es-ES"/>
              </w:rPr>
              <w:t>Exp</w:t>
            </w:r>
            <w:proofErr w:type="spellEnd"/>
            <w:r w:rsidRPr="005970AF">
              <w:rPr>
                <w:rFonts w:ascii="Verdana" w:hAnsi="Verdana" w:cs="Arial"/>
                <w:lang w:eastAsia="es-ES"/>
              </w:rPr>
              <w:t xml:space="preserve">. 62009. C.P. Jaime Enrique Rodríguez Navas.  </w:t>
            </w:r>
          </w:p>
          <w:p w14:paraId="6C7C5273"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5970AF">
              <w:rPr>
                <w:rFonts w:ascii="Verdana" w:hAnsi="Verdana" w:cs="Arial"/>
                <w:lang w:eastAsia="es-ES"/>
              </w:rPr>
              <w:t>Consejo de Estado, Sala de lo Contencioso Administrativo. Sección Tercera. Sentencia de 14 de mayo de 2014, Expediente: 23.788.</w:t>
            </w:r>
          </w:p>
          <w:p w14:paraId="7873F69E"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5970AF">
              <w:rPr>
                <w:rFonts w:ascii="Verdana" w:hAnsi="Verdana" w:cs="Arial"/>
                <w:lang w:eastAsia="es-ES"/>
              </w:rPr>
              <w:t>Consejo de Estado. Sala de lo Contencioso Administrativo. Sección Tercera. Sentencia de 10 de marzo de 2011, Expediente: 15.935.</w:t>
            </w:r>
          </w:p>
          <w:p w14:paraId="13C8FA85"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Consejo de Estado.</w:t>
            </w:r>
            <w:r w:rsidRPr="005970AF">
              <w:rPr>
                <w:rFonts w:ascii="Verdana" w:hAnsi="Verdana" w:cs="Arial"/>
                <w:lang w:eastAsia="es-ES"/>
              </w:rPr>
              <w:t xml:space="preserve"> Sala de Consulta y Servicio Civil</w:t>
            </w:r>
            <w:r>
              <w:rPr>
                <w:rFonts w:ascii="Verdana" w:hAnsi="Verdana" w:cs="Arial"/>
                <w:lang w:eastAsia="es-ES"/>
              </w:rPr>
              <w:t>. C</w:t>
            </w:r>
            <w:r w:rsidRPr="005970AF">
              <w:rPr>
                <w:rFonts w:ascii="Verdana" w:hAnsi="Verdana" w:cs="Arial"/>
                <w:lang w:eastAsia="es-ES"/>
              </w:rPr>
              <w:t>oncepto del 8 de marzo de 2017</w:t>
            </w:r>
            <w:r>
              <w:rPr>
                <w:rFonts w:ascii="Verdana" w:hAnsi="Verdana" w:cs="Arial"/>
                <w:lang w:eastAsia="es-ES"/>
              </w:rPr>
              <w:t xml:space="preserve">. Radicado: </w:t>
            </w:r>
            <w:r w:rsidRPr="005970AF">
              <w:rPr>
                <w:rFonts w:ascii="Verdana" w:hAnsi="Verdana" w:cs="Arial"/>
                <w:lang w:eastAsia="es-ES"/>
              </w:rPr>
              <w:t>2.298</w:t>
            </w:r>
            <w:r>
              <w:rPr>
                <w:rFonts w:ascii="Verdana" w:hAnsi="Verdana" w:cs="Arial"/>
                <w:lang w:eastAsia="es-ES"/>
              </w:rPr>
              <w:t xml:space="preserve">. C.P: </w:t>
            </w:r>
            <w:r w:rsidRPr="005970AF">
              <w:rPr>
                <w:rFonts w:ascii="Verdana" w:hAnsi="Verdana" w:cs="Arial"/>
                <w:lang w:eastAsia="es-ES"/>
              </w:rPr>
              <w:t>Édgar González</w:t>
            </w:r>
            <w:r>
              <w:rPr>
                <w:rFonts w:ascii="Verdana" w:hAnsi="Verdana" w:cs="Arial"/>
                <w:lang w:eastAsia="es-ES"/>
              </w:rPr>
              <w:t xml:space="preserve">. </w:t>
            </w:r>
          </w:p>
          <w:p w14:paraId="203F822E" w14:textId="77777777" w:rsidR="00351B00" w:rsidRPr="001F2F6D"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5970AF">
              <w:rPr>
                <w:rFonts w:ascii="Verdana" w:hAnsi="Verdana" w:cs="Arial"/>
                <w:lang w:eastAsia="es-ES"/>
              </w:rPr>
              <w:t>Consejo de Estado. Sala de lo Contencioso Administrativo. Sección Tercera. Subsección C. Sentencia del 10 de octubre de 2016. Radicado No. 11001-03-26-000-2015-00165-00 (55.813). C.P: Jaime Orlando Santofimio Gamboa.</w:t>
            </w:r>
          </w:p>
          <w:p w14:paraId="3F71EB96"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1F2F6D">
              <w:rPr>
                <w:rFonts w:ascii="Verdana" w:hAnsi="Verdana" w:cs="Arial"/>
                <w:lang w:eastAsia="es-ES"/>
              </w:rPr>
              <w:t>EXPOSITO, Juan Carlos. Forma y contenido del contrato estatal. Bogotá: Universidad Externado de Colombia</w:t>
            </w:r>
            <w:r>
              <w:rPr>
                <w:rFonts w:ascii="Verdana" w:hAnsi="Verdana" w:cs="Arial"/>
                <w:lang w:eastAsia="es-ES"/>
              </w:rPr>
              <w:t>.</w:t>
            </w:r>
          </w:p>
          <w:p w14:paraId="1067C145" w14:textId="77777777" w:rsidR="00351B00"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1F2F6D">
              <w:rPr>
                <w:rFonts w:ascii="Verdana" w:hAnsi="Verdana" w:cs="Arial"/>
                <w:lang w:eastAsia="es-ES"/>
              </w:rPr>
              <w:t>DÍAZ DÍEZ, Cristian Andrés. La liquidación. Serie: Las Cláusulas del Contrato Estatal. Medellín: Librería Jurídica Sánchez y Centro de Estudios de Derecho Administrativo –CEDA–, 2013.</w:t>
            </w:r>
          </w:p>
          <w:p w14:paraId="776E3D7E" w14:textId="77777777" w:rsidR="00351B00" w:rsidRPr="001F2F6D" w:rsidRDefault="00351B00" w:rsidP="00351B00">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1F2F6D">
              <w:rPr>
                <w:rFonts w:ascii="Verdana" w:hAnsi="Verdana" w:cs="Arial"/>
                <w:color w:val="000000"/>
              </w:rPr>
              <w:t xml:space="preserve">COLOMBIA COMPRA EFICIENTE. Guía para la Liquidación de los Procesos de Contratación. página 5, disponible en: </w:t>
            </w:r>
            <w:hyperlink r:id="rId12" w:history="1">
              <w:r w:rsidRPr="005970AF">
                <w:rPr>
                  <w:rStyle w:val="Hipervnculo"/>
                  <w:rFonts w:ascii="Verdana" w:hAnsi="Verdana"/>
                  <w:lang w:val="es-CO"/>
                </w:rPr>
                <w:t>cce_guia_liquidacion_procesos.pdf</w:t>
              </w:r>
            </w:hyperlink>
          </w:p>
        </w:tc>
      </w:tr>
    </w:tbl>
    <w:p w14:paraId="5CCF6A0C" w14:textId="77777777" w:rsidR="00351B00" w:rsidRDefault="00351B00" w:rsidP="00351B00">
      <w:pPr>
        <w:tabs>
          <w:tab w:val="left" w:pos="142"/>
          <w:tab w:val="left" w:pos="284"/>
          <w:tab w:val="left" w:pos="3828"/>
        </w:tabs>
        <w:spacing w:after="0" w:line="276" w:lineRule="auto"/>
        <w:jc w:val="both"/>
        <w:rPr>
          <w:rFonts w:ascii="Verdana" w:eastAsia="Century Gothic" w:hAnsi="Verdana" w:cs="Century Gothic"/>
          <w:b/>
          <w:bCs/>
        </w:rPr>
      </w:pPr>
    </w:p>
    <w:p w14:paraId="1C244499" w14:textId="77777777" w:rsidR="00351B00" w:rsidRPr="0091091D" w:rsidRDefault="00351B00" w:rsidP="00351B00">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36686D30" w14:textId="77777777" w:rsidR="00351B00" w:rsidRPr="007A3DD4" w:rsidRDefault="00351B00" w:rsidP="00351B00">
      <w:pPr>
        <w:widowControl w:val="0"/>
        <w:autoSpaceDE w:val="0"/>
        <w:autoSpaceDN w:val="0"/>
        <w:spacing w:after="0" w:line="240" w:lineRule="auto"/>
        <w:jc w:val="both"/>
        <w:rPr>
          <w:rStyle w:val="normaltextrun"/>
          <w:rFonts w:ascii="Verdana" w:hAnsi="Verdana" w:cs="Arial"/>
          <w:shd w:val="clear" w:color="auto" w:fill="FFFFFF"/>
        </w:rPr>
      </w:pPr>
    </w:p>
    <w:p w14:paraId="5F31887A" w14:textId="77777777" w:rsidR="00351B00" w:rsidRPr="00DC62E0" w:rsidRDefault="00351B00" w:rsidP="00351B00">
      <w:pPr>
        <w:spacing w:after="120" w:line="276" w:lineRule="auto"/>
        <w:jc w:val="both"/>
        <w:rPr>
          <w:rFonts w:ascii="Verdana" w:eastAsia="Calibri" w:hAnsi="Verdana" w:cs="Arial"/>
          <w:color w:val="000000" w:themeColor="text1"/>
          <w:lang w:eastAsia="es-ES_tradnl"/>
        </w:rPr>
      </w:pPr>
      <w:r w:rsidRPr="003B636A">
        <w:rPr>
          <w:rFonts w:ascii="Verdana" w:hAnsi="Verdana" w:cs="Arial"/>
          <w:bCs/>
          <w:shd w:val="clear" w:color="auto" w:fill="FFFFFF"/>
        </w:rPr>
        <w:t>La Agencia Nacional de Contratación Pública – Colombia Compra Eficiente se ha pronunciado sobre la</w:t>
      </w:r>
      <w:r>
        <w:rPr>
          <w:rFonts w:ascii="Verdana" w:hAnsi="Verdana" w:cs="Arial"/>
          <w:bCs/>
          <w:shd w:val="clear" w:color="auto" w:fill="FFFFFF"/>
        </w:rPr>
        <w:t xml:space="preserve"> liquidación del contrato estatal en los conceptos </w:t>
      </w:r>
      <w:r w:rsidRPr="000E4CD6">
        <w:rPr>
          <w:rStyle w:val="normaltextrun"/>
          <w:rFonts w:ascii="Verdana" w:hAnsi="Verdana" w:cs="Arial"/>
          <w:shd w:val="clear" w:color="auto" w:fill="FFFFFF"/>
          <w:lang w:val="es-ES_tradnl"/>
        </w:rPr>
        <w:t>4201912000004908 del 27 de septiembre de 2019, CU-028 de 25 de febrero de 2020, C-221 de 21 de abril de 2020, C-078 del 17 de marzo de 2021, C-220 del 18 de mayo de 2021, C-444 del 23 de julio de 2021, C-747 del 8 de noviembre de 2022, C-739 de del 29 de noviembre de 2022, C- 176 de 3 de mayo de 2023, C-158 del 6 de junio de 2023, C-326 del 15 de agosto de 2024</w:t>
      </w:r>
      <w:r>
        <w:rPr>
          <w:rStyle w:val="normaltextrun"/>
          <w:rFonts w:ascii="Verdana" w:hAnsi="Verdana" w:cs="Arial"/>
          <w:shd w:val="clear" w:color="auto" w:fill="FFFFFF"/>
          <w:lang w:val="es-ES_tradnl"/>
        </w:rPr>
        <w:t>,</w:t>
      </w:r>
      <w:r w:rsidRPr="000E4CD6">
        <w:rPr>
          <w:rStyle w:val="normaltextrun"/>
          <w:rFonts w:ascii="Verdana" w:hAnsi="Verdana" w:cs="Arial"/>
          <w:shd w:val="clear" w:color="auto" w:fill="FFFFFF"/>
          <w:lang w:val="es-ES_tradnl"/>
        </w:rPr>
        <w:t xml:space="preserve"> C-568 del 18 de octubre de 2024</w:t>
      </w:r>
      <w:r>
        <w:rPr>
          <w:rStyle w:val="normaltextrun"/>
          <w:rFonts w:ascii="Verdana" w:hAnsi="Verdana" w:cs="Arial"/>
          <w:shd w:val="clear" w:color="auto" w:fill="FFFFFF"/>
          <w:lang w:val="es-ES_tradnl"/>
        </w:rPr>
        <w:t xml:space="preserve">, C-968 del 16 de diciembre de 2024, C-1685 del 1˚ de </w:t>
      </w:r>
      <w:r w:rsidRPr="00DE0DC7">
        <w:rPr>
          <w:rStyle w:val="normaltextrun"/>
          <w:rFonts w:ascii="Verdana" w:hAnsi="Verdana" w:cs="Arial"/>
          <w:lang w:val="es-ES_tradnl"/>
        </w:rPr>
        <w:t>diciembre de 2025</w:t>
      </w:r>
      <w:r w:rsidRPr="00DE0DC7">
        <w:rPr>
          <w:rStyle w:val="normaltextrun"/>
          <w:rFonts w:ascii="Verdana" w:hAnsi="Verdana" w:cs="Arial"/>
          <w:lang w:val="es-ES"/>
        </w:rPr>
        <w:t xml:space="preserve">, C-1010 del 1 de julio de 2026, </w:t>
      </w:r>
      <w:r w:rsidRPr="00DE0DC7">
        <w:rPr>
          <w:rFonts w:ascii="Verdana" w:hAnsi="Verdana" w:cs="Arial"/>
        </w:rPr>
        <w:t>entre otros</w:t>
      </w:r>
      <w:r w:rsidRPr="00DE0DC7">
        <w:rPr>
          <w:rFonts w:ascii="Verdana" w:eastAsia="Calibri" w:hAnsi="Verdana" w:cs="Arial"/>
          <w:color w:val="000000" w:themeColor="text1"/>
          <w:lang w:eastAsia="es-ES_tradnl"/>
        </w:rPr>
        <w:t xml:space="preserve">. </w:t>
      </w:r>
      <w:r w:rsidRPr="00DE0DC7">
        <w:rPr>
          <w:rFonts w:ascii="Verdana" w:hAnsi="Verdana" w:cs="Arial"/>
        </w:rPr>
        <w:t xml:space="preserve">Estos y otros </w:t>
      </w:r>
      <w:r w:rsidRPr="00DE0DC7">
        <w:rPr>
          <w:rFonts w:ascii="Verdana" w:hAnsi="Verdana"/>
        </w:rPr>
        <w:t>conceptos se encuentran disponibles para consulta</w:t>
      </w:r>
      <w:r w:rsidRPr="00321DC0">
        <w:rPr>
          <w:rFonts w:ascii="Verdana" w:hAnsi="Verdana"/>
        </w:rPr>
        <w:t xml:space="preserve"> en el Sistema de relatoría de la Agencia, al cual se puede acceder a través del siguiente</w:t>
      </w:r>
      <w:r w:rsidRPr="00185290">
        <w:rPr>
          <w:rFonts w:ascii="Verdana" w:hAnsi="Verdana"/>
        </w:rPr>
        <w:t xml:space="preserve"> enlace:</w:t>
      </w:r>
      <w:r w:rsidRPr="00185290">
        <w:rPr>
          <w:rFonts w:ascii="Verdana" w:hAnsi="Verdana" w:cs="Arial"/>
          <w:shd w:val="clear" w:color="auto" w:fill="FFFFFF"/>
        </w:rPr>
        <w:t xml:space="preserve"> </w:t>
      </w:r>
      <w:hyperlink r:id="rId13" w:history="1">
        <w:r w:rsidRPr="00185290">
          <w:rPr>
            <w:rFonts w:ascii="Verdana" w:hAnsi="Verdana" w:cs="Arial"/>
            <w:color w:val="0563C1" w:themeColor="hyperlink"/>
            <w:u w:val="single"/>
            <w:shd w:val="clear" w:color="auto" w:fill="FFFFFF"/>
          </w:rPr>
          <w:t>https://relatoria.colombiacompra.gov.co/busqueda/conceptos</w:t>
        </w:r>
      </w:hyperlink>
      <w:r w:rsidRPr="00185290">
        <w:rPr>
          <w:rFonts w:ascii="Verdana" w:hAnsi="Verdana" w:cs="Arial"/>
          <w:shd w:val="clear" w:color="auto" w:fill="FFFFFF"/>
        </w:rPr>
        <w:t>.</w:t>
      </w:r>
      <w:r w:rsidRPr="00185290">
        <w:rPr>
          <w:rFonts w:ascii="Verdana" w:hAnsi="Verdana" w:cs="Arial"/>
          <w:color w:val="FF0000"/>
          <w:shd w:val="clear" w:color="auto" w:fill="FFFFFF"/>
        </w:rPr>
        <w:t xml:space="preserve"> </w:t>
      </w:r>
    </w:p>
    <w:p w14:paraId="0A4D9973" w14:textId="77777777" w:rsidR="00351B00" w:rsidRDefault="00351B00" w:rsidP="00351B00">
      <w:pPr>
        <w:spacing w:after="120" w:line="276" w:lineRule="auto"/>
        <w:jc w:val="both"/>
        <w:rPr>
          <w:rFonts w:ascii="Verdana" w:hAnsi="Verdana" w:cs="Arial"/>
          <w:bCs/>
          <w:shd w:val="clear" w:color="auto" w:fill="FFFFFF"/>
        </w:rPr>
      </w:pPr>
      <w:r w:rsidRPr="00986400">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986400">
        <w:rPr>
          <w:rFonts w:ascii="Verdana" w:hAnsi="Verdana"/>
          <w:b/>
          <w:bCs/>
        </w:rPr>
        <w:t>Guía para la Exigencia y Constitución de Garantías en los Procesos de Contratación</w:t>
      </w:r>
      <w:r w:rsidRPr="00986400">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986400">
          <w:rPr>
            <w:rStyle w:val="Hipervnculo"/>
            <w:rFonts w:ascii="Verdana" w:hAnsi="Verdana"/>
          </w:rPr>
          <w:t>https://www.colombiacompra.gov.co/archivos/manual/guia-de-garantias-en-procesos-de-contratacion</w:t>
        </w:r>
      </w:hyperlink>
    </w:p>
    <w:p w14:paraId="5E047E2F" w14:textId="77777777" w:rsidR="00351B00" w:rsidRDefault="00351B00" w:rsidP="00351B00">
      <w:pPr>
        <w:spacing w:after="0" w:line="240" w:lineRule="auto"/>
        <w:jc w:val="both"/>
        <w:rPr>
          <w:rFonts w:ascii="Verdana" w:hAnsi="Verdana" w:cs="Arial"/>
          <w:bCs/>
          <w:shd w:val="clear" w:color="auto" w:fill="FFFFFF"/>
        </w:rPr>
      </w:pPr>
    </w:p>
    <w:p w14:paraId="6D69ADC2" w14:textId="77777777" w:rsidR="00351B00" w:rsidRPr="00321DC0" w:rsidRDefault="00351B00" w:rsidP="00351B00">
      <w:pPr>
        <w:spacing w:after="120" w:line="276" w:lineRule="auto"/>
        <w:jc w:val="both"/>
        <w:rPr>
          <w:rFonts w:ascii="Verdana" w:hAnsi="Verdana" w:cs="Arial"/>
          <w:bCs/>
          <w:shd w:val="clear" w:color="auto" w:fill="FFFFFF"/>
        </w:rPr>
      </w:pPr>
      <w:r w:rsidRPr="00986400">
        <w:rPr>
          <w:rFonts w:ascii="Verdana" w:hAnsi="Verdana"/>
        </w:rPr>
        <w:t>De otro lado, te contamos que el Decreto 287 del 19 de marzo de 2026 sustituyó los artículos 2.2.1.2.4.2.6., 2.2.1.2.4.2.7. y 2.2.1.2.4.2.8. del Decreto 1082 de 2015 y estructuró el </w:t>
      </w:r>
      <w:r w:rsidRPr="00986400">
        <w:rPr>
          <w:rFonts w:ascii="Verdana" w:hAnsi="Verdana"/>
          <w:b/>
          <w:bCs/>
        </w:rPr>
        <w:t>Sistema Integral de Preferencias en favor de las personas con discapacidad</w:t>
      </w:r>
      <w:r w:rsidRPr="00986400">
        <w:rPr>
          <w:rFonts w:ascii="Verdana" w:hAnsi="Verdana"/>
        </w:rPr>
        <w:t>, en cumplimiento del artículo 13 de la Ley Estatutaria 1618 de 2013. Para orientar su aplicación, esta Agencia expidió la </w:t>
      </w:r>
      <w:r w:rsidRPr="00986400">
        <w:rPr>
          <w:rFonts w:ascii="Verdana" w:hAnsi="Verdana"/>
          <w:b/>
          <w:bCs/>
        </w:rPr>
        <w:t>Circular Externa 003 del 12 de mayo de 2026, </w:t>
      </w:r>
      <w:r w:rsidRPr="00986400">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986400">
          <w:rPr>
            <w:rStyle w:val="Hipervnculo"/>
            <w:rFonts w:ascii="Verdana" w:hAnsi="Verdana"/>
          </w:rPr>
          <w:t>https://www.colombiacompra.gov.co/archivos/circular/circular-externa-003-de-2026</w:t>
        </w:r>
      </w:hyperlink>
    </w:p>
    <w:p w14:paraId="0A3BDFC5" w14:textId="77777777" w:rsidR="00351B00" w:rsidRDefault="00351B00" w:rsidP="00351B00">
      <w:pPr>
        <w:widowControl w:val="0"/>
        <w:autoSpaceDE w:val="0"/>
        <w:autoSpaceDN w:val="0"/>
        <w:spacing w:after="0" w:line="240" w:lineRule="auto"/>
        <w:jc w:val="both"/>
        <w:rPr>
          <w:rFonts w:ascii="Verdana" w:hAnsi="Verdana"/>
        </w:rPr>
      </w:pPr>
    </w:p>
    <w:p w14:paraId="36043872" w14:textId="77777777" w:rsidR="00351B00" w:rsidRDefault="00351B00" w:rsidP="00351B00">
      <w:pPr>
        <w:widowControl w:val="0"/>
        <w:autoSpaceDE w:val="0"/>
        <w:autoSpaceDN w:val="0"/>
        <w:spacing w:after="120" w:line="276" w:lineRule="auto"/>
        <w:jc w:val="both"/>
        <w:rPr>
          <w:rFonts w:ascii="Verdana" w:hAnsi="Verdana"/>
        </w:rPr>
      </w:pPr>
      <w:r w:rsidRPr="00986400">
        <w:rPr>
          <w:rFonts w:ascii="Verdana" w:hAnsi="Verdana"/>
        </w:rPr>
        <w:t>Recuerda también que la</w:t>
      </w:r>
      <w:r w:rsidRPr="00986400">
        <w:rPr>
          <w:rFonts w:ascii="Verdana" w:hAnsi="Verdana"/>
          <w:b/>
          <w:bCs/>
        </w:rPr>
        <w:t> información sobre sanciones e inhabilidades </w:t>
      </w:r>
      <w:r w:rsidRPr="00986400">
        <w:rPr>
          <w:rFonts w:ascii="Verdana" w:hAnsi="Verdana"/>
        </w:rPr>
        <w:t>solo cumple su función preventiva si llega oportunamente a los registros públicos. Sobre este deber, esta Agencia expidió la </w:t>
      </w:r>
      <w:r w:rsidRPr="00986400">
        <w:rPr>
          <w:rFonts w:ascii="Verdana" w:hAnsi="Verdana"/>
          <w:b/>
          <w:bCs/>
        </w:rPr>
        <w:t>Circular Externa 002 del 5 de mayo de 2026,</w:t>
      </w:r>
      <w:r w:rsidRPr="00986400">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986400">
          <w:rPr>
            <w:rStyle w:val="Hipervnculo"/>
            <w:rFonts w:ascii="Verdana" w:hAnsi="Verdana"/>
          </w:rPr>
          <w:t>https://www.colombiacompra.gov.co/archivos/circular/circular-externa-002-de-2026</w:t>
        </w:r>
      </w:hyperlink>
    </w:p>
    <w:p w14:paraId="5AF649E0" w14:textId="77777777" w:rsidR="00351B00" w:rsidRDefault="00351B00" w:rsidP="00351B00">
      <w:pPr>
        <w:widowControl w:val="0"/>
        <w:autoSpaceDE w:val="0"/>
        <w:autoSpaceDN w:val="0"/>
        <w:spacing w:after="120" w:line="276" w:lineRule="auto"/>
        <w:jc w:val="both"/>
        <w:rPr>
          <w:rFonts w:ascii="Verdana" w:hAnsi="Verdana"/>
        </w:rPr>
      </w:pPr>
      <w:r w:rsidRPr="00986400">
        <w:rPr>
          <w:rFonts w:ascii="Verdana" w:hAnsi="Verdana"/>
        </w:rPr>
        <w:t>Finalmente, si quieres seguir de cerca la actividad de la Agencia, la tercera edición de 2026 del</w:t>
      </w:r>
      <w:r w:rsidRPr="00986400">
        <w:rPr>
          <w:rFonts w:ascii="Verdana" w:hAnsi="Verdana"/>
          <w:b/>
          <w:bCs/>
        </w:rPr>
        <w:t> Radar de la Compra Pública</w:t>
      </w:r>
      <w:r w:rsidRPr="00986400">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986400">
          <w:rPr>
            <w:rStyle w:val="Hipervnculo"/>
            <w:rFonts w:ascii="Verdana" w:hAnsi="Verdana"/>
          </w:rPr>
          <w:t>https://www.colombiacompra.gov.co/archivos/boletin/boletin-edicion-n-3-de-2026-radar-de-la-compra-publica</w:t>
        </w:r>
      </w:hyperlink>
      <w:r w:rsidRPr="00986400">
        <w:rPr>
          <w:rFonts w:ascii="Verdana" w:hAnsi="Verdana"/>
        </w:rPr>
        <w:t>"</w:t>
      </w:r>
    </w:p>
    <w:p w14:paraId="357CF5C2" w14:textId="77777777" w:rsidR="00351B00" w:rsidRDefault="00351B00" w:rsidP="00351B00">
      <w:pPr>
        <w:widowControl w:val="0"/>
        <w:autoSpaceDE w:val="0"/>
        <w:autoSpaceDN w:val="0"/>
        <w:spacing w:after="0" w:line="240" w:lineRule="auto"/>
        <w:jc w:val="both"/>
        <w:rPr>
          <w:rFonts w:ascii="Verdana" w:hAnsi="Verdana"/>
        </w:rPr>
      </w:pPr>
    </w:p>
    <w:p w14:paraId="15ECF616" w14:textId="77777777" w:rsidR="00351B00" w:rsidRPr="00986400" w:rsidRDefault="00351B00" w:rsidP="00351B00">
      <w:pPr>
        <w:widowControl w:val="0"/>
        <w:autoSpaceDE w:val="0"/>
        <w:autoSpaceDN w:val="0"/>
        <w:spacing w:after="120" w:line="276" w:lineRule="auto"/>
        <w:jc w:val="both"/>
        <w:rPr>
          <w:rFonts w:ascii="Verdana" w:hAnsi="Verdana"/>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3EA95EF8" w14:textId="77777777" w:rsidR="00351B00" w:rsidRPr="00116940" w:rsidRDefault="00351B00" w:rsidP="00351B00">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02AD13AF" w14:textId="77777777" w:rsidR="00351B00" w:rsidRPr="00116940" w:rsidRDefault="00351B00" w:rsidP="00351B00">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44D8CDE8" w14:textId="77777777" w:rsidR="00351B00" w:rsidRPr="00116940" w:rsidRDefault="00351B00" w:rsidP="00351B00">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4C601300" w14:textId="77777777" w:rsidR="00351B00" w:rsidRPr="00116940" w:rsidRDefault="00351B00" w:rsidP="00351B00">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1CC5D00D" w14:textId="77777777" w:rsidR="00351B00" w:rsidRDefault="00351B00" w:rsidP="00351B00">
      <w:pPr>
        <w:spacing w:after="0" w:line="276" w:lineRule="auto"/>
        <w:jc w:val="both"/>
        <w:rPr>
          <w:rFonts w:ascii="Verdana" w:hAnsi="Verdana"/>
        </w:rPr>
      </w:pPr>
    </w:p>
    <w:p w14:paraId="6BCB4F86" w14:textId="77777777" w:rsidR="00351B00" w:rsidRDefault="00351B00" w:rsidP="00351B00">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20"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71B6A87C" w14:textId="77777777" w:rsidR="00351B00" w:rsidRDefault="00351B00" w:rsidP="00351B00">
      <w:pPr>
        <w:spacing w:after="0" w:line="240" w:lineRule="auto"/>
        <w:jc w:val="both"/>
        <w:rPr>
          <w:rFonts w:ascii="Verdana" w:hAnsi="Verdana"/>
        </w:rPr>
      </w:pPr>
    </w:p>
    <w:p w14:paraId="076A90F7" w14:textId="77777777" w:rsidR="00351B00" w:rsidRPr="00116940" w:rsidRDefault="00351B00" w:rsidP="00351B00">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1E480735" w14:textId="77777777" w:rsidR="00351B00" w:rsidRPr="008746BD" w:rsidRDefault="00351B00" w:rsidP="00351B00">
      <w:pPr>
        <w:spacing w:after="0" w:line="240" w:lineRule="auto"/>
        <w:jc w:val="both"/>
        <w:rPr>
          <w:rFonts w:ascii="Verdana" w:hAnsi="Verdana"/>
        </w:rPr>
      </w:pPr>
    </w:p>
    <w:p w14:paraId="4C494DED" w14:textId="77777777" w:rsidR="00351B00" w:rsidRPr="00116940" w:rsidRDefault="00351B00" w:rsidP="00351B00">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33F567D" w14:textId="77777777" w:rsidR="00351B00" w:rsidRPr="00116940" w:rsidRDefault="00351B00" w:rsidP="00351B00">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1FE5C7A3" w14:textId="77777777" w:rsidR="00351B00" w:rsidRPr="00116940" w:rsidRDefault="00351B00" w:rsidP="00351B00">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4D2883F8" w14:textId="77777777" w:rsidR="00351B00" w:rsidRDefault="00351B00" w:rsidP="00351B00">
      <w:pPr>
        <w:spacing w:after="0" w:line="276" w:lineRule="auto"/>
        <w:jc w:val="both"/>
        <w:rPr>
          <w:rFonts w:ascii="Century Gothic" w:eastAsia="Century Gothic" w:hAnsi="Century Gothic" w:cs="Century Gothic"/>
          <w:lang w:val="es-ES" w:eastAsia="es-ES_tradnl"/>
        </w:rPr>
      </w:pPr>
    </w:p>
    <w:p w14:paraId="265B8D13" w14:textId="77777777" w:rsidR="00351B00" w:rsidRPr="00842775" w:rsidRDefault="00351B00" w:rsidP="00351B00">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213FCC6C" w14:textId="77777777" w:rsidR="00351B00" w:rsidRDefault="00351B00" w:rsidP="00351B00">
      <w:pPr>
        <w:spacing w:after="0" w:line="276" w:lineRule="auto"/>
        <w:jc w:val="both"/>
        <w:rPr>
          <w:rFonts w:ascii="Verdana" w:hAnsi="Verdana"/>
          <w:lang w:val="es-MX"/>
        </w:rPr>
      </w:pPr>
    </w:p>
    <w:p w14:paraId="27921FC1" w14:textId="77777777" w:rsidR="00351B00" w:rsidRPr="00330029" w:rsidRDefault="00351B00" w:rsidP="00351B00">
      <w:pPr>
        <w:spacing w:after="0" w:line="276" w:lineRule="auto"/>
        <w:jc w:val="both"/>
        <w:rPr>
          <w:rFonts w:ascii="Verdana" w:hAnsi="Verdana"/>
          <w:lang w:val="es-MX"/>
        </w:rPr>
      </w:pPr>
      <w:r w:rsidRPr="00E02524">
        <w:rPr>
          <w:rFonts w:ascii="Verdana" w:hAnsi="Verdana"/>
          <w:lang w:val="es-MX"/>
        </w:rPr>
        <w:t>Cordialmente,</w:t>
      </w:r>
    </w:p>
    <w:p w14:paraId="2BD904C2" w14:textId="4B2EB0A9" w:rsidR="00351B00" w:rsidRDefault="00351B00" w:rsidP="00351B00">
      <w:pPr>
        <w:spacing w:after="0" w:line="256" w:lineRule="auto"/>
        <w:jc w:val="center"/>
        <w:rPr>
          <w:rFonts w:ascii="Verdana" w:eastAsia="Calibri" w:hAnsi="Verdana" w:cs="Times New Roman"/>
        </w:rPr>
      </w:pPr>
    </w:p>
    <w:p w14:paraId="3F98518E" w14:textId="59C3DDCE" w:rsidR="00351B00" w:rsidRDefault="00256FAC" w:rsidP="00351B00">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4A20FEC1" wp14:editId="5456D1ED">
            <wp:extent cx="3382864" cy="1593850"/>
            <wp:effectExtent l="0" t="0" r="8255" b="635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1"/>
                    <a:stretch>
                      <a:fillRect/>
                    </a:stretch>
                  </pic:blipFill>
                  <pic:spPr>
                    <a:xfrm>
                      <a:off x="0" y="0"/>
                      <a:ext cx="3385568" cy="1595124"/>
                    </a:xfrm>
                    <a:prstGeom prst="rect">
                      <a:avLst/>
                    </a:prstGeom>
                  </pic:spPr>
                </pic:pic>
              </a:graphicData>
            </a:graphic>
          </wp:inline>
        </w:drawing>
      </w:r>
    </w:p>
    <w:p w14:paraId="1D60EF31" w14:textId="77777777" w:rsidR="00256FAC" w:rsidRDefault="00256FAC" w:rsidP="00351B00">
      <w:pPr>
        <w:spacing w:after="0" w:line="256" w:lineRule="auto"/>
        <w:jc w:val="center"/>
        <w:rPr>
          <w:rFonts w:ascii="Verdana" w:eastAsia="Calibri" w:hAnsi="Verdana" w:cs="Times New Roman"/>
        </w:rPr>
      </w:pPr>
    </w:p>
    <w:p w14:paraId="20F8D075" w14:textId="77777777" w:rsidR="00256FAC" w:rsidRDefault="00256FAC" w:rsidP="00351B00">
      <w:pPr>
        <w:spacing w:after="0" w:line="256" w:lineRule="auto"/>
        <w:jc w:val="center"/>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351B00" w:rsidRPr="00C9162A" w14:paraId="0B55CC23" w14:textId="77777777" w:rsidTr="00C74AA7">
        <w:trPr>
          <w:trHeight w:val="288"/>
        </w:trPr>
        <w:tc>
          <w:tcPr>
            <w:tcW w:w="893" w:type="dxa"/>
            <w:vAlign w:val="center"/>
            <w:hideMark/>
          </w:tcPr>
          <w:p w14:paraId="517D8E93" w14:textId="77777777" w:rsidR="00351B00" w:rsidRPr="00C9162A" w:rsidRDefault="00351B00" w:rsidP="00C74AA7">
            <w:pPr>
              <w:contextualSpacing/>
              <w:rPr>
                <w:rFonts w:ascii="Verdana" w:hAnsi="Verdana" w:cs="Arial"/>
                <w:sz w:val="14"/>
                <w:szCs w:val="14"/>
                <w:lang w:eastAsia="es-ES"/>
              </w:rPr>
            </w:pPr>
            <w:r w:rsidRPr="00C9162A">
              <w:rPr>
                <w:rFonts w:ascii="Verdana" w:hAnsi="Verdana" w:cs="Arial"/>
                <w:sz w:val="14"/>
                <w:szCs w:val="14"/>
                <w:lang w:eastAsia="es-ES"/>
              </w:rPr>
              <w:t>Elaboró:</w:t>
            </w:r>
          </w:p>
        </w:tc>
        <w:tc>
          <w:tcPr>
            <w:tcW w:w="5061" w:type="dxa"/>
            <w:tcBorders>
              <w:top w:val="nil"/>
              <w:left w:val="nil"/>
              <w:bottom w:val="dotted" w:sz="4" w:space="0" w:color="7F7F7F" w:themeColor="text1" w:themeTint="80"/>
              <w:right w:val="nil"/>
            </w:tcBorders>
            <w:vAlign w:val="center"/>
            <w:hideMark/>
          </w:tcPr>
          <w:p w14:paraId="58D37D02" w14:textId="77777777" w:rsidR="00351B00" w:rsidRPr="00C9162A" w:rsidRDefault="00351B00" w:rsidP="00C74AA7">
            <w:pPr>
              <w:contextualSpacing/>
              <w:rPr>
                <w:rStyle w:val="normaltextrun"/>
                <w:rFonts w:ascii="Verdana" w:hAnsi="Verdana"/>
                <w:sz w:val="14"/>
                <w:szCs w:val="14"/>
              </w:rPr>
            </w:pPr>
            <w:r w:rsidRPr="00C9162A">
              <w:rPr>
                <w:rStyle w:val="normaltextrun"/>
                <w:rFonts w:ascii="Verdana" w:hAnsi="Verdana"/>
                <w:sz w:val="14"/>
                <w:szCs w:val="14"/>
              </w:rPr>
              <w:t xml:space="preserve">Esperanza Contreras P </w:t>
            </w:r>
          </w:p>
          <w:p w14:paraId="446FAD3D" w14:textId="77777777" w:rsidR="00351B00" w:rsidRPr="00C9162A" w:rsidRDefault="00351B00" w:rsidP="00C74AA7">
            <w:pPr>
              <w:contextualSpacing/>
              <w:rPr>
                <w:rFonts w:ascii="Verdana" w:eastAsia="Arial" w:hAnsi="Verdana" w:cs="Arial"/>
                <w:sz w:val="14"/>
                <w:szCs w:val="14"/>
              </w:rPr>
            </w:pPr>
            <w:r w:rsidRPr="00C9162A">
              <w:rPr>
                <w:rStyle w:val="normaltextrun"/>
                <w:rFonts w:ascii="Verdana" w:hAnsi="Verdana" w:cs="Arial"/>
                <w:sz w:val="14"/>
                <w:szCs w:val="14"/>
              </w:rPr>
              <w:t>Contratista de la Subdirección de Gestión Contractual</w:t>
            </w:r>
            <w:r w:rsidRPr="00C9162A">
              <w:rPr>
                <w:rStyle w:val="eop"/>
                <w:rFonts w:ascii="Verdana" w:hAnsi="Verdana" w:cs="Arial"/>
                <w:sz w:val="14"/>
                <w:szCs w:val="14"/>
              </w:rPr>
              <w:t> </w:t>
            </w:r>
          </w:p>
        </w:tc>
      </w:tr>
      <w:tr w:rsidR="00351B00" w:rsidRPr="00C9162A" w14:paraId="09CFD932" w14:textId="77777777" w:rsidTr="00C74AA7">
        <w:trPr>
          <w:trHeight w:val="330"/>
        </w:trPr>
        <w:tc>
          <w:tcPr>
            <w:tcW w:w="893" w:type="dxa"/>
            <w:vAlign w:val="center"/>
            <w:hideMark/>
          </w:tcPr>
          <w:p w14:paraId="75851F6C" w14:textId="77777777" w:rsidR="00351B00" w:rsidRPr="00C9162A" w:rsidRDefault="00351B00" w:rsidP="00C74AA7">
            <w:pPr>
              <w:contextualSpacing/>
              <w:rPr>
                <w:rFonts w:ascii="Verdana" w:hAnsi="Verdana" w:cs="Arial"/>
                <w:sz w:val="14"/>
                <w:szCs w:val="14"/>
                <w:lang w:eastAsia="es-ES"/>
              </w:rPr>
            </w:pPr>
            <w:r w:rsidRPr="00C9162A">
              <w:rPr>
                <w:rFonts w:ascii="Verdana" w:hAnsi="Verdana" w:cs="Arial"/>
                <w:sz w:val="14"/>
                <w:szCs w:val="14"/>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0F1361BB" w14:textId="77777777" w:rsidR="00351B00" w:rsidRPr="00C9162A" w:rsidRDefault="00351B00" w:rsidP="00C74AA7">
            <w:pPr>
              <w:pStyle w:val="paragraph"/>
              <w:spacing w:before="0" w:beforeAutospacing="0" w:after="0" w:afterAutospacing="0"/>
              <w:contextualSpacing/>
              <w:textAlignment w:val="baseline"/>
              <w:rPr>
                <w:rStyle w:val="normaltextrun"/>
                <w:rFonts w:ascii="Verdana" w:hAnsi="Verdana"/>
                <w:sz w:val="14"/>
                <w:szCs w:val="14"/>
              </w:rPr>
            </w:pPr>
            <w:r w:rsidRPr="00C9162A">
              <w:rPr>
                <w:rStyle w:val="normaltextrun"/>
                <w:rFonts w:ascii="Verdana" w:hAnsi="Verdana"/>
                <w:sz w:val="14"/>
                <w:szCs w:val="14"/>
              </w:rPr>
              <w:t xml:space="preserve">Diana Lucía Saavedra Castañeda. </w:t>
            </w:r>
          </w:p>
          <w:p w14:paraId="75990132" w14:textId="77777777" w:rsidR="00351B00" w:rsidRPr="00C9162A" w:rsidRDefault="00351B00" w:rsidP="00C74AA7">
            <w:pPr>
              <w:pStyle w:val="paragraph"/>
              <w:spacing w:before="0" w:beforeAutospacing="0" w:after="0" w:afterAutospacing="0"/>
              <w:contextualSpacing/>
              <w:textAlignment w:val="baseline"/>
              <w:rPr>
                <w:rFonts w:ascii="Verdana" w:hAnsi="Verdana" w:cs="Segoe UI"/>
                <w:sz w:val="14"/>
                <w:szCs w:val="14"/>
              </w:rPr>
            </w:pPr>
            <w:r w:rsidRPr="00C9162A">
              <w:rPr>
                <w:rStyle w:val="normaltextrun"/>
                <w:rFonts w:ascii="Verdana" w:hAnsi="Verdana"/>
                <w:sz w:val="14"/>
                <w:szCs w:val="14"/>
              </w:rPr>
              <w:t xml:space="preserve">Contratista Subdirección Gestión Contractual  </w:t>
            </w:r>
          </w:p>
        </w:tc>
      </w:tr>
      <w:tr w:rsidR="00351B00" w:rsidRPr="00C9162A" w14:paraId="75697325" w14:textId="77777777" w:rsidTr="00C74AA7">
        <w:trPr>
          <w:trHeight w:val="300"/>
        </w:trPr>
        <w:tc>
          <w:tcPr>
            <w:tcW w:w="893" w:type="dxa"/>
            <w:vAlign w:val="center"/>
          </w:tcPr>
          <w:p w14:paraId="05CC1AB9" w14:textId="77777777" w:rsidR="00351B00" w:rsidRPr="00C9162A" w:rsidRDefault="00351B00" w:rsidP="00C74AA7">
            <w:pPr>
              <w:contextualSpacing/>
              <w:rPr>
                <w:rFonts w:ascii="Verdana" w:hAnsi="Verdana" w:cs="Arial"/>
                <w:sz w:val="14"/>
                <w:szCs w:val="14"/>
                <w:lang w:eastAsia="es-ES"/>
              </w:rPr>
            </w:pPr>
            <w:r w:rsidRPr="00C9162A">
              <w:rPr>
                <w:rFonts w:ascii="Verdana" w:hAnsi="Verdana" w:cs="Arial"/>
                <w:sz w:val="14"/>
                <w:szCs w:val="14"/>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0229F098" w14:textId="77777777" w:rsidR="00351B00" w:rsidRPr="00C9162A" w:rsidRDefault="00351B00" w:rsidP="00C74AA7">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Carolina Quintero Gacharná</w:t>
            </w:r>
          </w:p>
          <w:p w14:paraId="1DFFB257" w14:textId="77777777" w:rsidR="00351B00" w:rsidRPr="00C9162A" w:rsidRDefault="00351B00" w:rsidP="00C74AA7">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Subdirectora de Gestión Contractual ANCP – CCE</w:t>
            </w:r>
          </w:p>
        </w:tc>
      </w:tr>
      <w:bookmarkEnd w:id="1"/>
    </w:tbl>
    <w:p w14:paraId="6973447B" w14:textId="77777777" w:rsidR="00351B00" w:rsidRPr="00C9162A" w:rsidRDefault="00351B00" w:rsidP="00351B00">
      <w:pPr>
        <w:spacing w:after="0"/>
        <w:rPr>
          <w:rFonts w:ascii="Verdana" w:eastAsia="Verdana" w:hAnsi="Verdana" w:cs="Verdana"/>
          <w:sz w:val="14"/>
          <w:szCs w:val="14"/>
        </w:rPr>
      </w:pPr>
    </w:p>
    <w:p w14:paraId="06170E36" w14:textId="77777777" w:rsidR="00351B00" w:rsidRPr="00C9162A" w:rsidRDefault="00351B00" w:rsidP="00351B00">
      <w:pPr>
        <w:spacing w:after="0"/>
        <w:rPr>
          <w:rFonts w:ascii="Verdana" w:eastAsia="Verdana" w:hAnsi="Verdana" w:cs="Verdana"/>
          <w:sz w:val="14"/>
          <w:szCs w:val="14"/>
        </w:rPr>
      </w:pPr>
    </w:p>
    <w:p w14:paraId="0F293BF4" w14:textId="590D0F49" w:rsidR="00127233" w:rsidRPr="00B25EDA" w:rsidRDefault="00127233" w:rsidP="00B25EDA"/>
    <w:sectPr w:rsidR="00127233" w:rsidRPr="00B25EDA"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F12C0" w14:textId="77777777" w:rsidR="00D37928" w:rsidRDefault="00D37928" w:rsidP="004A1847">
      <w:pPr>
        <w:spacing w:after="0" w:line="240" w:lineRule="auto"/>
      </w:pPr>
      <w:r>
        <w:separator/>
      </w:r>
    </w:p>
  </w:endnote>
  <w:endnote w:type="continuationSeparator" w:id="0">
    <w:p w14:paraId="060C6615" w14:textId="77777777" w:rsidR="00D37928" w:rsidRDefault="00D3792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6ACE" w14:textId="77777777" w:rsidR="00D37928" w:rsidRDefault="00D37928" w:rsidP="004A1847">
      <w:pPr>
        <w:spacing w:after="0" w:line="240" w:lineRule="auto"/>
      </w:pPr>
      <w:r>
        <w:separator/>
      </w:r>
    </w:p>
  </w:footnote>
  <w:footnote w:type="continuationSeparator" w:id="0">
    <w:p w14:paraId="00D1F5E2" w14:textId="77777777" w:rsidR="00D37928" w:rsidRDefault="00D37928" w:rsidP="004A1847">
      <w:pPr>
        <w:spacing w:after="0" w:line="240" w:lineRule="auto"/>
      </w:pPr>
      <w:r>
        <w:continuationSeparator/>
      </w:r>
    </w:p>
  </w:footnote>
  <w:footnote w:id="1">
    <w:p w14:paraId="496FD2FB" w14:textId="77777777" w:rsidR="00351B00" w:rsidRDefault="00351B00" w:rsidP="004B005B">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224A89">
        <w:rPr>
          <w:rFonts w:ascii="Verdana" w:hAnsi="Verdana" w:cs="Arial"/>
          <w:color w:val="000000"/>
          <w:sz w:val="16"/>
          <w:szCs w:val="16"/>
          <w:shd w:val="clear" w:color="auto" w:fill="FFFFFF"/>
        </w:rPr>
        <w:t>” (</w:t>
      </w:r>
      <w:r w:rsidRPr="00224A89">
        <w:rPr>
          <w:rFonts w:ascii="Verdana" w:hAnsi="Verdana" w:cs="Arial"/>
          <w:color w:val="000000"/>
          <w:sz w:val="16"/>
          <w:szCs w:val="16"/>
        </w:rPr>
        <w:t>EXPOSITO, Juan Carlos. Forma y contenido del contrato estatal. Bogotá: Universidad Externado de Colombia, p. 89 y 90).</w:t>
      </w:r>
    </w:p>
    <w:p w14:paraId="61FDB5C8" w14:textId="77777777" w:rsidR="00351B00" w:rsidRPr="00224A89" w:rsidRDefault="00351B00" w:rsidP="004B005B">
      <w:pPr>
        <w:pStyle w:val="Textonotapie"/>
        <w:ind w:firstLine="709"/>
        <w:jc w:val="both"/>
        <w:rPr>
          <w:rFonts w:ascii="Verdana" w:hAnsi="Verdana" w:cs="Arial"/>
          <w:color w:val="000000"/>
          <w:sz w:val="16"/>
          <w:szCs w:val="16"/>
        </w:rPr>
      </w:pPr>
    </w:p>
  </w:footnote>
  <w:footnote w:id="2">
    <w:p w14:paraId="5D33A840" w14:textId="77777777" w:rsidR="00351B00" w:rsidRDefault="00351B00" w:rsidP="004B005B">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p w14:paraId="21CA7CFD" w14:textId="77777777" w:rsidR="00351B00" w:rsidRPr="00224A89" w:rsidRDefault="00351B00" w:rsidP="004B005B">
      <w:pPr>
        <w:pStyle w:val="Textonotapie"/>
        <w:ind w:firstLine="709"/>
        <w:jc w:val="both"/>
        <w:rPr>
          <w:rFonts w:ascii="Verdana" w:hAnsi="Verdana" w:cs="Arial"/>
          <w:color w:val="000000"/>
          <w:sz w:val="16"/>
          <w:szCs w:val="16"/>
          <w:lang w:val="es-CO"/>
        </w:rPr>
      </w:pPr>
    </w:p>
  </w:footnote>
  <w:footnote w:id="3">
    <w:p w14:paraId="7029B24D" w14:textId="77777777" w:rsidR="00351B00" w:rsidRDefault="00351B00" w:rsidP="004B005B">
      <w:pPr>
        <w:spacing w:after="0" w:line="240" w:lineRule="auto"/>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w:t>
      </w:r>
      <w:r>
        <w:rPr>
          <w:rFonts w:ascii="Verdana" w:hAnsi="Verdana" w:cs="Arial"/>
          <w:color w:val="000000"/>
          <w:sz w:val="16"/>
          <w:szCs w:val="16"/>
        </w:rPr>
        <w:t xml:space="preserve">Sala de lo Contencioso Administrativo. </w:t>
      </w:r>
      <w:r w:rsidRPr="00224A89">
        <w:rPr>
          <w:rFonts w:ascii="Verdana" w:hAnsi="Verdana" w:cs="Arial"/>
          <w:color w:val="000000"/>
          <w:sz w:val="16"/>
          <w:szCs w:val="16"/>
        </w:rPr>
        <w:t>Sección Tercera. Subsección C. 20 de octubre de 2014</w:t>
      </w:r>
      <w:r>
        <w:rPr>
          <w:rFonts w:ascii="Verdana" w:hAnsi="Verdana" w:cs="Arial"/>
          <w:color w:val="000000"/>
          <w:sz w:val="16"/>
          <w:szCs w:val="16"/>
        </w:rPr>
        <w:t xml:space="preserve">. </w:t>
      </w:r>
      <w:proofErr w:type="spellStart"/>
      <w:r w:rsidRPr="00224A89">
        <w:rPr>
          <w:rFonts w:ascii="Verdana" w:hAnsi="Verdana" w:cs="Arial"/>
          <w:color w:val="000000"/>
          <w:sz w:val="16"/>
          <w:szCs w:val="16"/>
        </w:rPr>
        <w:t>Exp</w:t>
      </w:r>
      <w:proofErr w:type="spellEnd"/>
      <w:r w:rsidRPr="00224A89">
        <w:rPr>
          <w:rFonts w:ascii="Verdana" w:hAnsi="Verdana" w:cs="Arial"/>
          <w:color w:val="000000"/>
          <w:sz w:val="16"/>
          <w:szCs w:val="16"/>
        </w:rPr>
        <w:t>. 27.777</w:t>
      </w:r>
      <w:r>
        <w:rPr>
          <w:rFonts w:ascii="Verdana" w:hAnsi="Verdana" w:cs="Arial"/>
          <w:color w:val="000000"/>
          <w:sz w:val="16"/>
          <w:szCs w:val="16"/>
        </w:rPr>
        <w:t>.</w:t>
      </w:r>
      <w:r w:rsidRPr="00224A89">
        <w:rPr>
          <w:rFonts w:ascii="Verdana" w:hAnsi="Verdana" w:cs="Arial"/>
          <w:color w:val="000000"/>
          <w:sz w:val="16"/>
          <w:szCs w:val="16"/>
        </w:rPr>
        <w:t xml:space="preserve"> </w:t>
      </w:r>
      <w:r>
        <w:rPr>
          <w:rFonts w:ascii="Verdana" w:hAnsi="Verdana" w:cs="Arial"/>
          <w:color w:val="000000"/>
          <w:sz w:val="16"/>
          <w:szCs w:val="16"/>
        </w:rPr>
        <w:t>C</w:t>
      </w:r>
      <w:r w:rsidRPr="00224A89">
        <w:rPr>
          <w:rFonts w:ascii="Verdana" w:hAnsi="Verdana" w:cs="Arial"/>
          <w:color w:val="000000"/>
          <w:sz w:val="16"/>
          <w:szCs w:val="16"/>
        </w:rPr>
        <w:t>.P: Enrique Gil Botero.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p w14:paraId="0AAA1D40" w14:textId="77777777" w:rsidR="00351B00" w:rsidRPr="00224A89" w:rsidRDefault="00351B00" w:rsidP="004B005B">
      <w:pPr>
        <w:spacing w:after="0" w:line="240" w:lineRule="auto"/>
        <w:ind w:firstLine="709"/>
        <w:jc w:val="both"/>
        <w:rPr>
          <w:rFonts w:ascii="Verdana" w:hAnsi="Verdana" w:cs="Arial"/>
          <w:color w:val="000000"/>
          <w:sz w:val="16"/>
          <w:szCs w:val="16"/>
          <w:lang w:val="es-ES"/>
        </w:rPr>
      </w:pPr>
    </w:p>
  </w:footnote>
  <w:footnote w:id="4">
    <w:p w14:paraId="3B30DBAB" w14:textId="77777777" w:rsidR="00351B00" w:rsidRPr="00224A89" w:rsidRDefault="00351B00" w:rsidP="00351B00">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EXPÓSITO VÉLEZ, Juan Carlos. Forma y contenido del contrato estatal, p. 90.</w:t>
      </w:r>
    </w:p>
  </w:footnote>
  <w:footnote w:id="5">
    <w:p w14:paraId="5C680A88" w14:textId="77777777" w:rsidR="00351B00" w:rsidRDefault="00351B00" w:rsidP="00351B00">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w:t>
      </w:r>
      <w:r>
        <w:rPr>
          <w:rFonts w:ascii="Verdana" w:hAnsi="Verdana" w:cs="Arial"/>
          <w:color w:val="000000"/>
          <w:sz w:val="16"/>
          <w:szCs w:val="16"/>
        </w:rPr>
        <w:t>Consejo de Estado.</w:t>
      </w:r>
      <w:r w:rsidRPr="00224A89">
        <w:rPr>
          <w:rFonts w:ascii="Verdana" w:hAnsi="Verdana" w:cs="Arial"/>
          <w:color w:val="000000"/>
          <w:sz w:val="16"/>
          <w:szCs w:val="16"/>
        </w:rPr>
        <w:t xml:space="preserve"> Sala de Consulta y Servicio Civil. Radicado No. 1453. Concepto de 6 de agosto de 2003. MP. Augusto Trejos.</w:t>
      </w:r>
    </w:p>
    <w:p w14:paraId="1E68F453" w14:textId="77777777" w:rsidR="00351B00" w:rsidRPr="00224A89" w:rsidRDefault="00351B00" w:rsidP="00351B00">
      <w:pPr>
        <w:pStyle w:val="Textonotapie"/>
        <w:ind w:firstLine="708"/>
        <w:jc w:val="both"/>
        <w:rPr>
          <w:rFonts w:ascii="Verdana" w:hAnsi="Verdana" w:cs="Arial"/>
          <w:color w:val="000000"/>
          <w:sz w:val="16"/>
          <w:szCs w:val="16"/>
        </w:rPr>
      </w:pPr>
    </w:p>
  </w:footnote>
  <w:footnote w:id="6">
    <w:p w14:paraId="3B71E3BA" w14:textId="77777777" w:rsidR="00351B00" w:rsidRPr="00224A89" w:rsidRDefault="00351B00" w:rsidP="00351B00">
      <w:pPr>
        <w:pStyle w:val="Textonotapie"/>
        <w:ind w:firstLine="708"/>
        <w:jc w:val="both"/>
        <w:rPr>
          <w:rFonts w:ascii="Verdana" w:hAnsi="Verdana" w:cs="Arial"/>
          <w:color w:val="000000"/>
          <w:sz w:val="16"/>
          <w:szCs w:val="16"/>
          <w:lang w:val="es-ES"/>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w:t>
      </w:r>
      <w:r w:rsidRPr="00224A89">
        <w:rPr>
          <w:rFonts w:ascii="Verdana" w:hAnsi="Verdana" w:cs="Arial"/>
          <w:color w:val="000000"/>
          <w:sz w:val="16"/>
          <w:szCs w:val="16"/>
          <w:lang w:val="es-ES"/>
        </w:rPr>
        <w:t>El artículo 11 de la Ley 1150 de 2007 prescribe: “Artículo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1B3A2CAA" w14:textId="77777777" w:rsidR="00351B00" w:rsidRPr="00224A89" w:rsidRDefault="00351B00" w:rsidP="00351B00">
      <w:pPr>
        <w:pStyle w:val="Textonotapie"/>
        <w:ind w:firstLine="708"/>
        <w:jc w:val="both"/>
        <w:rPr>
          <w:rFonts w:ascii="Verdana" w:hAnsi="Verdana" w:cs="Arial"/>
          <w:color w:val="000000"/>
          <w:sz w:val="16"/>
          <w:szCs w:val="16"/>
          <w:lang w:val="es-ES"/>
        </w:rPr>
      </w:pPr>
      <w:r w:rsidRPr="00224A89">
        <w:rPr>
          <w:rFonts w:ascii="Verdana" w:hAnsi="Verdana" w:cs="Arial"/>
          <w:color w:val="000000"/>
          <w:sz w:val="16"/>
          <w:szCs w:val="16"/>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14:paraId="21D04449" w14:textId="77777777" w:rsidR="00351B00" w:rsidRPr="00224A89" w:rsidRDefault="00351B00" w:rsidP="00351B00">
      <w:pPr>
        <w:pStyle w:val="Textonotapie"/>
        <w:ind w:firstLine="708"/>
        <w:jc w:val="both"/>
        <w:rPr>
          <w:rFonts w:ascii="Verdana" w:hAnsi="Verdana" w:cs="Arial"/>
          <w:color w:val="000000"/>
          <w:sz w:val="16"/>
          <w:szCs w:val="16"/>
          <w:lang w:val="es-ES"/>
        </w:rPr>
      </w:pPr>
      <w:r w:rsidRPr="00224A89">
        <w:rPr>
          <w:rFonts w:ascii="Verdana" w:hAnsi="Verdana" w:cs="Arial"/>
          <w:color w:val="000000"/>
          <w:sz w:val="16"/>
          <w:szCs w:val="16"/>
          <w:lang w:val="es-ES"/>
        </w:rPr>
        <w:t>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14:paraId="4DD865C8" w14:textId="77777777" w:rsidR="00351B00" w:rsidRPr="00224A89" w:rsidRDefault="00351B00" w:rsidP="00351B00">
      <w:pPr>
        <w:pStyle w:val="Textonotapie"/>
        <w:ind w:firstLine="708"/>
        <w:jc w:val="both"/>
        <w:rPr>
          <w:rFonts w:ascii="Verdana" w:hAnsi="Verdana" w:cs="Arial"/>
          <w:color w:val="000000"/>
          <w:sz w:val="16"/>
          <w:szCs w:val="16"/>
          <w:lang w:val="es-ES"/>
        </w:rPr>
      </w:pPr>
      <w:r w:rsidRPr="00224A89">
        <w:rPr>
          <w:rFonts w:ascii="Verdana" w:hAnsi="Verdana" w:cs="Arial"/>
          <w:color w:val="000000"/>
          <w:sz w:val="16"/>
          <w:szCs w:val="16"/>
          <w:lang w:val="es-ES"/>
        </w:rPr>
        <w:t>Los contratistas tendrán derecho a efectuar salvedades a la liquidación por mutuo acuerdo, y en este evento la liquidación unilateral solo procederá en relación con los aspectos que no hayan sido objeto de acuerdo”.</w:t>
      </w:r>
    </w:p>
  </w:footnote>
  <w:footnote w:id="7">
    <w:p w14:paraId="01C58B84" w14:textId="77777777" w:rsidR="00351B00" w:rsidRDefault="00351B00" w:rsidP="00351B00">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w:t>
      </w:r>
      <w:r>
        <w:rPr>
          <w:rFonts w:ascii="Verdana" w:hAnsi="Verdana" w:cs="Arial"/>
          <w:color w:val="000000"/>
          <w:sz w:val="16"/>
          <w:szCs w:val="16"/>
        </w:rPr>
        <w:t>d</w:t>
      </w:r>
      <w:r w:rsidRPr="00224A89">
        <w:rPr>
          <w:rFonts w:ascii="Verdana" w:hAnsi="Verdana" w:cs="Arial"/>
          <w:color w:val="000000"/>
          <w:sz w:val="16"/>
          <w:szCs w:val="16"/>
        </w:rPr>
        <w:t>e Estado</w:t>
      </w:r>
      <w:r>
        <w:rPr>
          <w:rFonts w:ascii="Verdana" w:hAnsi="Verdana" w:cs="Arial"/>
          <w:color w:val="000000"/>
          <w:sz w:val="16"/>
          <w:szCs w:val="16"/>
        </w:rPr>
        <w:t>. Sala de lo Contencioso Administrativo.</w:t>
      </w:r>
      <w:r w:rsidRPr="00224A89">
        <w:rPr>
          <w:rFonts w:ascii="Verdana" w:hAnsi="Verdana" w:cs="Arial"/>
          <w:color w:val="000000"/>
          <w:sz w:val="16"/>
          <w:szCs w:val="16"/>
        </w:rPr>
        <w:t xml:space="preserve"> Sección Tercera</w:t>
      </w:r>
      <w:r>
        <w:rPr>
          <w:rFonts w:ascii="Verdana" w:hAnsi="Verdana" w:cs="Arial"/>
          <w:color w:val="000000"/>
          <w:sz w:val="16"/>
          <w:szCs w:val="16"/>
        </w:rPr>
        <w:t>.</w:t>
      </w:r>
      <w:r w:rsidRPr="00224A89">
        <w:rPr>
          <w:rFonts w:ascii="Verdana" w:hAnsi="Verdana" w:cs="Arial"/>
          <w:color w:val="000000"/>
          <w:sz w:val="16"/>
          <w:szCs w:val="16"/>
        </w:rPr>
        <w:t xml:space="preserve"> Subsección C</w:t>
      </w:r>
      <w:r>
        <w:rPr>
          <w:rFonts w:ascii="Verdana" w:hAnsi="Verdana" w:cs="Arial"/>
          <w:color w:val="000000"/>
          <w:sz w:val="16"/>
          <w:szCs w:val="16"/>
        </w:rPr>
        <w:t>.</w:t>
      </w:r>
      <w:r w:rsidRPr="00224A89">
        <w:rPr>
          <w:rFonts w:ascii="Verdana" w:hAnsi="Verdana" w:cs="Arial"/>
          <w:color w:val="000000"/>
          <w:sz w:val="16"/>
          <w:szCs w:val="16"/>
        </w:rPr>
        <w:t xml:space="preserve"> Sentencia del 24 de julio de 2013</w:t>
      </w:r>
      <w:r>
        <w:rPr>
          <w:rFonts w:ascii="Verdana" w:hAnsi="Verdana" w:cs="Arial"/>
          <w:color w:val="000000"/>
          <w:sz w:val="16"/>
          <w:szCs w:val="16"/>
        </w:rPr>
        <w:t>. R</w:t>
      </w:r>
      <w:r w:rsidRPr="00224A89">
        <w:rPr>
          <w:rFonts w:ascii="Verdana" w:hAnsi="Verdana" w:cs="Arial"/>
          <w:color w:val="000000"/>
          <w:sz w:val="16"/>
          <w:szCs w:val="16"/>
        </w:rPr>
        <w:t>adicado No. 25.642</w:t>
      </w:r>
      <w:r>
        <w:rPr>
          <w:rFonts w:ascii="Verdana" w:hAnsi="Verdana" w:cs="Arial"/>
          <w:color w:val="000000"/>
          <w:sz w:val="16"/>
          <w:szCs w:val="16"/>
        </w:rPr>
        <w:t xml:space="preserve">. </w:t>
      </w:r>
      <w:r w:rsidRPr="00224A89">
        <w:rPr>
          <w:rFonts w:ascii="Verdana" w:hAnsi="Verdana" w:cs="Arial"/>
          <w:color w:val="000000"/>
          <w:sz w:val="16"/>
          <w:szCs w:val="16"/>
        </w:rPr>
        <w:t>C</w:t>
      </w:r>
      <w:r>
        <w:rPr>
          <w:rFonts w:ascii="Verdana" w:hAnsi="Verdana" w:cs="Arial"/>
          <w:color w:val="000000"/>
          <w:sz w:val="16"/>
          <w:szCs w:val="16"/>
        </w:rPr>
        <w:t>.</w:t>
      </w:r>
      <w:r w:rsidRPr="00224A89">
        <w:rPr>
          <w:rFonts w:ascii="Verdana" w:hAnsi="Verdana" w:cs="Arial"/>
          <w:color w:val="000000"/>
          <w:sz w:val="16"/>
          <w:szCs w:val="16"/>
        </w:rPr>
        <w:t>P</w:t>
      </w:r>
      <w:r>
        <w:rPr>
          <w:rFonts w:ascii="Verdana" w:hAnsi="Verdana" w:cs="Arial"/>
          <w:color w:val="000000"/>
          <w:sz w:val="16"/>
          <w:szCs w:val="16"/>
        </w:rPr>
        <w:t>:</w:t>
      </w:r>
      <w:r w:rsidRPr="00224A89">
        <w:rPr>
          <w:rFonts w:ascii="Verdana" w:hAnsi="Verdana" w:cs="Arial"/>
          <w:color w:val="000000"/>
          <w:sz w:val="16"/>
          <w:szCs w:val="16"/>
        </w:rPr>
        <w:t xml:space="preserve"> Enrique Gil Botero.</w:t>
      </w:r>
    </w:p>
    <w:p w14:paraId="128602F9" w14:textId="77777777" w:rsidR="00351B00" w:rsidRPr="00224A89" w:rsidRDefault="00351B00" w:rsidP="00351B00">
      <w:pPr>
        <w:pStyle w:val="Textonotapie"/>
        <w:ind w:firstLine="709"/>
        <w:jc w:val="both"/>
        <w:rPr>
          <w:rFonts w:ascii="Verdana" w:hAnsi="Verdana" w:cs="Arial"/>
          <w:color w:val="000000"/>
          <w:sz w:val="16"/>
          <w:szCs w:val="16"/>
          <w:lang w:val="es-CO"/>
        </w:rPr>
      </w:pPr>
    </w:p>
  </w:footnote>
  <w:footnote w:id="8">
    <w:p w14:paraId="3A2CD0E5" w14:textId="77777777" w:rsidR="00351B00" w:rsidRPr="00224A89" w:rsidRDefault="00351B00" w:rsidP="00351B00">
      <w:pPr>
        <w:pStyle w:val="NormalWeb"/>
        <w:spacing w:before="0" w:beforeAutospacing="0" w:after="0" w:afterAutospacing="0"/>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Decreto 1082 de 2015 “</w:t>
      </w:r>
      <w:r w:rsidRPr="00224A89">
        <w:rPr>
          <w:rStyle w:val="Fuerte"/>
          <w:rFonts w:ascii="Verdana" w:hAnsi="Verdana" w:cs="Arial"/>
          <w:b w:val="0"/>
          <w:bCs w:val="0"/>
          <w:color w:val="000000"/>
          <w:sz w:val="16"/>
          <w:szCs w:val="16"/>
        </w:rPr>
        <w:t>Artículo 2.2.1.2.1.5.2. </w:t>
      </w:r>
      <w:r w:rsidRPr="00224A89">
        <w:rPr>
          <w:rStyle w:val="nfasis"/>
          <w:rFonts w:ascii="Verdana" w:eastAsia="MS Mincho" w:hAnsi="Verdana" w:cs="Arial"/>
          <w:color w:val="000000"/>
          <w:sz w:val="16"/>
          <w:szCs w:val="16"/>
        </w:rPr>
        <w:t>Procedimiento para la contratación de mínima cuantía. </w:t>
      </w:r>
      <w:r w:rsidRPr="00224A89">
        <w:rPr>
          <w:rFonts w:ascii="Verdana" w:hAnsi="Verdana" w:cs="Arial"/>
          <w:color w:val="000000"/>
          <w:sz w:val="16"/>
          <w:szCs w:val="16"/>
        </w:rPr>
        <w:t>Las siguientes reglas son aplicables a la contratación cuyo valor no excede del 10% de la menor cuantía de la Entidad Estatal, independientemente de su objeto: </w:t>
      </w:r>
    </w:p>
    <w:p w14:paraId="6456A1C7" w14:textId="77777777" w:rsidR="00351B00" w:rsidRPr="00224A89" w:rsidRDefault="00351B00" w:rsidP="00351B00">
      <w:pPr>
        <w:pStyle w:val="NormalWeb"/>
        <w:spacing w:before="0" w:beforeAutospacing="0" w:after="0" w:afterAutospacing="0"/>
        <w:jc w:val="both"/>
        <w:rPr>
          <w:rFonts w:ascii="Verdana" w:hAnsi="Verdana" w:cs="Arial"/>
          <w:color w:val="000000"/>
          <w:sz w:val="16"/>
          <w:szCs w:val="16"/>
        </w:rPr>
      </w:pPr>
      <w:r w:rsidRPr="00224A89">
        <w:rPr>
          <w:rFonts w:ascii="Verdana" w:hAnsi="Verdana" w:cs="Arial"/>
          <w:color w:val="000000"/>
          <w:sz w:val="16"/>
          <w:szCs w:val="16"/>
        </w:rPr>
        <w:t>  </w:t>
      </w:r>
      <w:r w:rsidRPr="00224A89">
        <w:rPr>
          <w:rFonts w:ascii="Verdana" w:hAnsi="Verdana" w:cs="Arial"/>
          <w:color w:val="000000"/>
          <w:sz w:val="16"/>
          <w:szCs w:val="16"/>
        </w:rPr>
        <w:tab/>
        <w:t>1. La Entidad Estatal debe señalar en la invitación a participar en procesos de mínima cuantía la información a la que se refieren los numerales 2, 3 y 4 del artículo anterior, y la forma como el interesado debe acreditar su capacidad jurídica y la experiencia mínima, si se exige esta última, y el cumplimiento de las condiciones técnicas exigidas […]”. </w:t>
      </w:r>
    </w:p>
  </w:footnote>
  <w:footnote w:id="9">
    <w:p w14:paraId="6A893F29" w14:textId="77777777" w:rsidR="00351B00" w:rsidRPr="00224A89" w:rsidRDefault="00351B00" w:rsidP="00351B00">
      <w:pPr>
        <w:pStyle w:val="NormalWeb"/>
        <w:spacing w:before="0" w:beforeAutospacing="0" w:after="0" w:afterAutospacing="0"/>
        <w:ind w:firstLine="720"/>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Ley 80 de 1993 “</w:t>
      </w:r>
      <w:r w:rsidRPr="00224A89">
        <w:rPr>
          <w:rStyle w:val="Fuerte"/>
          <w:rFonts w:ascii="Verdana" w:hAnsi="Verdana" w:cs="Arial"/>
          <w:b w:val="0"/>
          <w:bCs w:val="0"/>
          <w:color w:val="000000"/>
          <w:sz w:val="16"/>
          <w:szCs w:val="16"/>
        </w:rPr>
        <w:t>Articulo 39. De la forma del contrato estatal. </w:t>
      </w:r>
      <w:r w:rsidRPr="00224A89">
        <w:rPr>
          <w:rFonts w:ascii="Verdana" w:hAnsi="Verdana" w:cs="Arial"/>
          <w:color w:val="000000"/>
          <w:sz w:val="16"/>
          <w:szCs w:val="16"/>
        </w:rPr>
        <w:t>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w:t>
      </w:r>
    </w:p>
    <w:p w14:paraId="2E48E901" w14:textId="77777777" w:rsidR="00351B00" w:rsidRPr="00224A89" w:rsidRDefault="00351B00" w:rsidP="00351B00">
      <w:pPr>
        <w:pStyle w:val="NormalWeb"/>
        <w:spacing w:before="0" w:beforeAutospacing="0" w:after="0" w:afterAutospacing="0"/>
        <w:jc w:val="both"/>
        <w:rPr>
          <w:rFonts w:ascii="Verdana" w:hAnsi="Verdana" w:cs="Arial"/>
          <w:color w:val="000000"/>
          <w:sz w:val="16"/>
          <w:szCs w:val="16"/>
        </w:rPr>
      </w:pPr>
      <w:r w:rsidRPr="00224A89">
        <w:rPr>
          <w:rFonts w:ascii="Verdana" w:hAnsi="Verdana" w:cs="Arial"/>
          <w:color w:val="000000"/>
          <w:sz w:val="16"/>
          <w:szCs w:val="16"/>
        </w:rPr>
        <w:t>  </w:t>
      </w:r>
      <w:r w:rsidRPr="00224A89">
        <w:rPr>
          <w:rFonts w:ascii="Verdana" w:hAnsi="Verdana" w:cs="Arial"/>
          <w:color w:val="000000"/>
          <w:sz w:val="16"/>
          <w:szCs w:val="16"/>
        </w:rPr>
        <w:tab/>
        <w:t>[…]</w:t>
      </w:r>
      <w:bookmarkStart w:id="2" w:name="ver_1790147"/>
      <w:bookmarkStart w:id="3" w:name="ver_30220791"/>
      <w:bookmarkStart w:id="4" w:name="ver_1790148"/>
      <w:bookmarkEnd w:id="2"/>
      <w:bookmarkEnd w:id="3"/>
    </w:p>
    <w:p w14:paraId="3E1F8E6D" w14:textId="77777777" w:rsidR="00351B00" w:rsidRPr="00224A89" w:rsidRDefault="00351B00" w:rsidP="00351B00">
      <w:pPr>
        <w:pStyle w:val="NormalWeb"/>
        <w:spacing w:before="0" w:beforeAutospacing="0" w:after="0" w:afterAutospacing="0"/>
        <w:ind w:firstLine="720"/>
        <w:jc w:val="both"/>
        <w:rPr>
          <w:rFonts w:ascii="Verdana" w:hAnsi="Verdana" w:cs="Arial"/>
          <w:color w:val="000000"/>
          <w:sz w:val="16"/>
          <w:szCs w:val="16"/>
        </w:rPr>
      </w:pPr>
      <w:r w:rsidRPr="00224A89">
        <w:rPr>
          <w:rStyle w:val="Fuerte"/>
          <w:rFonts w:ascii="Verdana" w:hAnsi="Verdana" w:cs="Arial"/>
          <w:b w:val="0"/>
          <w:bCs w:val="0"/>
          <w:color w:val="000000"/>
          <w:sz w:val="16"/>
          <w:szCs w:val="16"/>
        </w:rPr>
        <w:t>Artículo 40. Del contenido del contrato estatal.</w:t>
      </w:r>
      <w:r w:rsidRPr="00224A89">
        <w:rPr>
          <w:rFonts w:ascii="Verdana" w:hAnsi="Verdana" w:cs="Arial"/>
          <w:color w:val="000000"/>
          <w:sz w:val="16"/>
          <w:szCs w:val="16"/>
        </w:rPr>
        <w:t xml:space="preserve"> Las estipulaciones de los contratos serán las </w:t>
      </w:r>
      <w:proofErr w:type="gramStart"/>
      <w:r w:rsidRPr="00224A89">
        <w:rPr>
          <w:rFonts w:ascii="Verdana" w:hAnsi="Verdana" w:cs="Arial"/>
          <w:color w:val="000000"/>
          <w:sz w:val="16"/>
          <w:szCs w:val="16"/>
        </w:rPr>
        <w:t>que</w:t>
      </w:r>
      <w:proofErr w:type="gramEnd"/>
      <w:r w:rsidRPr="00224A89">
        <w:rPr>
          <w:rFonts w:ascii="Verdana" w:hAnsi="Verdana" w:cs="Arial"/>
          <w:color w:val="000000"/>
          <w:sz w:val="16"/>
          <w:szCs w:val="16"/>
        </w:rPr>
        <w:t xml:space="preserve"> de acuerdo con las normas civiles, comerciales y las previstas en esta ley, correspondan a su esencia y naturaleza. </w:t>
      </w:r>
    </w:p>
    <w:p w14:paraId="5BA7B4E0" w14:textId="77777777" w:rsidR="00351B00" w:rsidRPr="00224A89" w:rsidRDefault="00351B00" w:rsidP="00351B00">
      <w:pPr>
        <w:pStyle w:val="NormalWeb"/>
        <w:spacing w:before="0" w:beforeAutospacing="0" w:after="0" w:afterAutospacing="0"/>
        <w:ind w:firstLine="720"/>
        <w:jc w:val="both"/>
        <w:rPr>
          <w:rFonts w:ascii="Verdana" w:hAnsi="Verdana" w:cs="Arial"/>
          <w:color w:val="000000"/>
          <w:sz w:val="16"/>
          <w:szCs w:val="16"/>
        </w:rPr>
      </w:pPr>
      <w:r w:rsidRPr="00224A89">
        <w:rPr>
          <w:rFonts w:ascii="Verdana" w:hAnsi="Verdana" w:cs="Arial"/>
          <w:color w:val="000000"/>
          <w:sz w:val="16"/>
          <w:szCs w:val="16"/>
        </w:rPr>
        <w:t>Las entidades podrán celebrar los contratos y acuerdos que permitan la autonomía de la voluntad y requieran el cumplimiento de los fines estatales. </w:t>
      </w:r>
    </w:p>
    <w:p w14:paraId="4BD2E7F1" w14:textId="77777777" w:rsidR="00351B00" w:rsidRPr="00224A89" w:rsidRDefault="00351B00" w:rsidP="00351B00">
      <w:pPr>
        <w:pStyle w:val="NormalWeb"/>
        <w:spacing w:before="0" w:beforeAutospacing="0" w:after="0" w:afterAutospacing="0"/>
        <w:jc w:val="both"/>
        <w:rPr>
          <w:rFonts w:ascii="Verdana" w:hAnsi="Verdana" w:cs="Arial"/>
          <w:color w:val="000000"/>
          <w:sz w:val="16"/>
          <w:szCs w:val="16"/>
        </w:rPr>
      </w:pPr>
      <w:r w:rsidRPr="00224A89">
        <w:rPr>
          <w:rFonts w:ascii="Verdana" w:hAnsi="Verdana" w:cs="Arial"/>
          <w:color w:val="000000"/>
          <w:sz w:val="16"/>
          <w:szCs w:val="16"/>
        </w:rPr>
        <w:t>  </w:t>
      </w:r>
      <w:r w:rsidRPr="00224A89">
        <w:rPr>
          <w:rFonts w:ascii="Verdana" w:hAnsi="Verdana" w:cs="Arial"/>
          <w:color w:val="000000"/>
          <w:sz w:val="16"/>
          <w:szCs w:val="16"/>
        </w:rPr>
        <w:tab/>
        <w:t>[…]  </w:t>
      </w:r>
    </w:p>
    <w:p w14:paraId="7518D7F9" w14:textId="77777777" w:rsidR="00351B00" w:rsidRDefault="00351B00" w:rsidP="00351B00">
      <w:pPr>
        <w:pStyle w:val="NormalWeb"/>
        <w:spacing w:before="0" w:beforeAutospacing="0" w:after="0" w:afterAutospacing="0"/>
        <w:ind w:firstLine="720"/>
        <w:jc w:val="both"/>
        <w:rPr>
          <w:rFonts w:ascii="Verdana" w:hAnsi="Verdana" w:cs="Arial"/>
          <w:color w:val="000000"/>
          <w:sz w:val="16"/>
          <w:szCs w:val="16"/>
        </w:rPr>
      </w:pPr>
      <w:bookmarkStart w:id="5" w:name="ver_30161420"/>
      <w:bookmarkStart w:id="6" w:name="ver_1790149"/>
      <w:bookmarkStart w:id="7" w:name="ver_30161408"/>
      <w:bookmarkStart w:id="8" w:name="ver_30161443"/>
      <w:bookmarkEnd w:id="4"/>
      <w:bookmarkEnd w:id="5"/>
      <w:bookmarkEnd w:id="6"/>
      <w:bookmarkEnd w:id="7"/>
      <w:bookmarkEnd w:id="8"/>
      <w:r w:rsidRPr="00224A89">
        <w:rPr>
          <w:rStyle w:val="Fuerte"/>
          <w:rFonts w:ascii="Verdana" w:hAnsi="Verdana" w:cs="Arial"/>
          <w:b w:val="0"/>
          <w:bCs w:val="0"/>
          <w:color w:val="000000"/>
          <w:sz w:val="16"/>
          <w:szCs w:val="16"/>
        </w:rPr>
        <w:t>Artículo 41. Del perfeccionamiento del contrato.</w:t>
      </w:r>
      <w:r w:rsidRPr="00224A89">
        <w:rPr>
          <w:rFonts w:ascii="Verdana" w:hAnsi="Verdana" w:cs="Arial"/>
          <w:color w:val="000000"/>
          <w:sz w:val="16"/>
          <w:szCs w:val="16"/>
        </w:rPr>
        <w:t> Los contratos del Estado se perfeccionan cuando se logre acuerdo sobre el objeto y la contraprestación y éste se eleve a escrito […]”.</w:t>
      </w:r>
    </w:p>
    <w:p w14:paraId="552259FA" w14:textId="77777777" w:rsidR="00351B00" w:rsidRPr="00224A89" w:rsidRDefault="00351B00" w:rsidP="00351B00">
      <w:pPr>
        <w:pStyle w:val="NormalWeb"/>
        <w:spacing w:before="0" w:beforeAutospacing="0" w:after="0" w:afterAutospacing="0"/>
        <w:ind w:firstLine="720"/>
        <w:jc w:val="both"/>
        <w:rPr>
          <w:rFonts w:ascii="Verdana" w:hAnsi="Verdana" w:cs="Arial"/>
          <w:color w:val="000000"/>
          <w:sz w:val="16"/>
          <w:szCs w:val="16"/>
        </w:rPr>
      </w:pPr>
    </w:p>
  </w:footnote>
  <w:footnote w:id="10">
    <w:p w14:paraId="21E2A2AA" w14:textId="77777777" w:rsidR="00351B00" w:rsidRDefault="00351B00" w:rsidP="00351B00">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Ley 80 de 1993 “</w:t>
      </w:r>
      <w:r w:rsidRPr="00224A89">
        <w:rPr>
          <w:rStyle w:val="Fuerte"/>
          <w:rFonts w:ascii="Verdana" w:hAnsi="Verdana" w:cs="Arial"/>
          <w:b w:val="0"/>
          <w:bCs w:val="0"/>
          <w:color w:val="000000"/>
          <w:sz w:val="16"/>
          <w:szCs w:val="16"/>
        </w:rPr>
        <w:t>Artículo 77. De la normatividad aplicable en las actuaciones administrativas.</w:t>
      </w:r>
      <w:r w:rsidRPr="00224A89">
        <w:rPr>
          <w:rFonts w:ascii="Verdana" w:hAnsi="Verdana" w:cs="Arial"/>
          <w:color w:val="000000"/>
          <w:sz w:val="16"/>
          <w:szCs w:val="16"/>
        </w:rPr>
        <w:t xml:space="preserve"> En cuanto sean compatibles con la finalidad y los principios de esta ley, las normas que rigen los procedimientos y actuaciones en la función </w:t>
      </w:r>
      <w:proofErr w:type="gramStart"/>
      <w:r w:rsidRPr="00224A89">
        <w:rPr>
          <w:rFonts w:ascii="Verdana" w:hAnsi="Verdana" w:cs="Arial"/>
          <w:color w:val="000000"/>
          <w:sz w:val="16"/>
          <w:szCs w:val="16"/>
        </w:rPr>
        <w:t>administrativa,</w:t>
      </w:r>
      <w:proofErr w:type="gramEnd"/>
      <w:r w:rsidRPr="00224A89">
        <w:rPr>
          <w:rFonts w:ascii="Verdana" w:hAnsi="Verdana" w:cs="Arial"/>
          <w:color w:val="000000"/>
          <w:sz w:val="16"/>
          <w:szCs w:val="16"/>
        </w:rPr>
        <w:t xml:space="preserve"> serán aplicables en las actuaciones contractuales. A falta de estas, regirán las disposiciones del Código de Procedimiento Civil […]”. </w:t>
      </w:r>
    </w:p>
    <w:p w14:paraId="0E871B3E" w14:textId="77777777" w:rsidR="00351B00" w:rsidRPr="00224A89" w:rsidRDefault="00351B00" w:rsidP="00351B00">
      <w:pPr>
        <w:pStyle w:val="Textonotapie"/>
        <w:ind w:firstLine="709"/>
        <w:jc w:val="both"/>
        <w:rPr>
          <w:rFonts w:ascii="Verdana" w:hAnsi="Verdana" w:cs="Arial"/>
          <w:color w:val="000000"/>
          <w:sz w:val="16"/>
          <w:szCs w:val="16"/>
        </w:rPr>
      </w:pPr>
    </w:p>
  </w:footnote>
  <w:footnote w:id="11">
    <w:p w14:paraId="702CD7F0" w14:textId="77777777" w:rsidR="00351B00" w:rsidRPr="00224A89" w:rsidRDefault="00351B00" w:rsidP="00351B00">
      <w:pPr>
        <w:pStyle w:val="NormalWeb"/>
        <w:spacing w:before="0" w:beforeAutospacing="0" w:after="0" w:afterAutospacing="0"/>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Ley 80 de 1993 “</w:t>
      </w:r>
      <w:r w:rsidRPr="00224A89">
        <w:rPr>
          <w:rStyle w:val="Fuerte"/>
          <w:rFonts w:ascii="Verdana" w:hAnsi="Verdana" w:cs="Arial"/>
          <w:b w:val="0"/>
          <w:bCs w:val="0"/>
          <w:color w:val="000000"/>
          <w:sz w:val="16"/>
          <w:szCs w:val="16"/>
        </w:rPr>
        <w:t>Artículo 25. Del principio de economía.</w:t>
      </w:r>
      <w:r w:rsidRPr="00224A89">
        <w:rPr>
          <w:rFonts w:ascii="Verdana" w:hAnsi="Verdana" w:cs="Arial"/>
          <w:color w:val="000000"/>
          <w:sz w:val="16"/>
          <w:szCs w:val="16"/>
        </w:rPr>
        <w:t> En virtud de este principio: </w:t>
      </w:r>
    </w:p>
    <w:p w14:paraId="0364F7CB" w14:textId="77777777" w:rsidR="00351B00" w:rsidRPr="00224A89" w:rsidRDefault="00351B00" w:rsidP="00351B00">
      <w:pPr>
        <w:pStyle w:val="NormalWeb"/>
        <w:spacing w:before="0" w:beforeAutospacing="0" w:after="0" w:afterAutospacing="0"/>
        <w:ind w:firstLine="709"/>
        <w:jc w:val="both"/>
        <w:rPr>
          <w:rFonts w:ascii="Verdana" w:hAnsi="Verdana" w:cs="Arial"/>
          <w:color w:val="000000"/>
          <w:sz w:val="16"/>
          <w:szCs w:val="16"/>
        </w:rPr>
      </w:pPr>
      <w:r w:rsidRPr="00224A89">
        <w:rPr>
          <w:rFonts w:ascii="Verdana" w:hAnsi="Verdana" w:cs="Arial"/>
          <w:color w:val="000000"/>
          <w:sz w:val="16"/>
          <w:szCs w:val="16"/>
        </w:rPr>
        <w:t>[…]</w:t>
      </w:r>
    </w:p>
    <w:p w14:paraId="5382E5E9" w14:textId="77777777" w:rsidR="00351B00" w:rsidRPr="00224A89" w:rsidRDefault="00351B00" w:rsidP="00351B00">
      <w:pPr>
        <w:pStyle w:val="NormalWeb"/>
        <w:spacing w:before="0" w:beforeAutospacing="0" w:after="0" w:afterAutospacing="0"/>
        <w:ind w:firstLine="709"/>
        <w:jc w:val="both"/>
        <w:rPr>
          <w:rFonts w:ascii="Verdana" w:hAnsi="Verdana" w:cs="Arial"/>
          <w:color w:val="000000"/>
          <w:sz w:val="16"/>
          <w:szCs w:val="16"/>
        </w:rPr>
      </w:pPr>
      <w:r w:rsidRPr="00224A89">
        <w:rPr>
          <w:rFonts w:ascii="Verdana" w:hAnsi="Verdana" w:cs="Arial"/>
          <w:color w:val="000000"/>
          <w:sz w:val="16"/>
          <w:szCs w:val="16"/>
        </w:rPr>
        <w:t>4o. Los trámites se adelantarán con austeridad de tiempo, medios y gastos y se impedirán las dilaciones y los retardos en la ejecución del contrato. </w:t>
      </w:r>
    </w:p>
    <w:p w14:paraId="5FBAFA34" w14:textId="77777777" w:rsidR="00351B00" w:rsidRPr="00224A89" w:rsidRDefault="00351B00" w:rsidP="00351B00">
      <w:pPr>
        <w:pStyle w:val="NormalWeb"/>
        <w:spacing w:before="0" w:beforeAutospacing="0" w:after="0" w:afterAutospacing="0"/>
        <w:jc w:val="both"/>
        <w:rPr>
          <w:rFonts w:ascii="Verdana" w:hAnsi="Verdana" w:cs="Arial"/>
          <w:color w:val="000000"/>
          <w:sz w:val="16"/>
          <w:szCs w:val="16"/>
        </w:rPr>
      </w:pPr>
      <w:r w:rsidRPr="00224A89">
        <w:rPr>
          <w:rFonts w:ascii="Verdana" w:hAnsi="Verdana" w:cs="Arial"/>
          <w:color w:val="000000"/>
          <w:sz w:val="16"/>
          <w:szCs w:val="16"/>
        </w:rPr>
        <w:t>  </w:t>
      </w:r>
      <w:r w:rsidRPr="00224A89">
        <w:rPr>
          <w:rFonts w:ascii="Verdana" w:hAnsi="Verdana" w:cs="Arial"/>
          <w:color w:val="000000"/>
          <w:sz w:val="16"/>
          <w:szCs w:val="16"/>
        </w:rPr>
        <w:tab/>
        <w:t>5o. Se adoptarán procedimientos que garanticen la pronta solución de las diferencias y controversias que con motivo de la celebración y ejecución del contrato se presenten […]”.</w:t>
      </w:r>
    </w:p>
  </w:footnote>
  <w:footnote w:id="12">
    <w:p w14:paraId="231D7F93" w14:textId="77777777" w:rsidR="00351B00" w:rsidRDefault="00351B00" w:rsidP="00351B00">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COLOMBIA COMPRA EFICIENTE. Guía para la Liquidación de los Procesos de Contratación. página 5, disponible en: </w:t>
      </w:r>
      <w:hyperlink r:id="rId1" w:history="1">
        <w:r w:rsidRPr="005970AF">
          <w:rPr>
            <w:rStyle w:val="Hipervnculo"/>
            <w:rFonts w:ascii="Verdana" w:hAnsi="Verdana" w:cs="Arial"/>
            <w:sz w:val="16"/>
            <w:szCs w:val="16"/>
            <w:lang w:val="es-CO"/>
          </w:rPr>
          <w:t>cce_guia_liquidacion_procesos.pdf</w:t>
        </w:r>
      </w:hyperlink>
    </w:p>
    <w:p w14:paraId="3DB3E658" w14:textId="77777777" w:rsidR="00351B00" w:rsidRPr="00224A89" w:rsidRDefault="00351B00" w:rsidP="00351B00">
      <w:pPr>
        <w:pStyle w:val="Textonotapie"/>
        <w:ind w:firstLine="708"/>
        <w:jc w:val="both"/>
        <w:rPr>
          <w:rFonts w:ascii="Verdana" w:hAnsi="Verdana" w:cs="Arial"/>
          <w:color w:val="000000"/>
          <w:sz w:val="16"/>
          <w:szCs w:val="16"/>
          <w:lang w:val="es-ES"/>
        </w:rPr>
      </w:pPr>
    </w:p>
  </w:footnote>
  <w:footnote w:id="13">
    <w:p w14:paraId="3998A3CC" w14:textId="77777777" w:rsidR="00351B00" w:rsidRDefault="00351B00" w:rsidP="00351B00">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p w14:paraId="2FD09D2E" w14:textId="77777777" w:rsidR="00351B00" w:rsidRPr="00224A89" w:rsidRDefault="00351B00" w:rsidP="00351B00">
      <w:pPr>
        <w:pStyle w:val="Textonotapie"/>
        <w:ind w:firstLine="708"/>
        <w:jc w:val="both"/>
        <w:rPr>
          <w:rFonts w:ascii="Verdana" w:hAnsi="Verdana" w:cs="Arial"/>
          <w:color w:val="000000"/>
          <w:sz w:val="16"/>
          <w:szCs w:val="16"/>
        </w:rPr>
      </w:pPr>
    </w:p>
  </w:footnote>
  <w:footnote w:id="14">
    <w:p w14:paraId="712ABFE8" w14:textId="77777777" w:rsidR="00351B00" w:rsidRPr="00224A89" w:rsidRDefault="00351B00" w:rsidP="00351B00">
      <w:pPr>
        <w:pStyle w:val="Textonotapie"/>
        <w:ind w:firstLine="708"/>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w:t>
      </w:r>
      <w:r>
        <w:rPr>
          <w:rFonts w:ascii="Verdana" w:hAnsi="Verdana" w:cs="Arial"/>
          <w:color w:val="000000"/>
          <w:sz w:val="16"/>
          <w:szCs w:val="16"/>
        </w:rPr>
        <w:t>onsejo de Estado</w:t>
      </w:r>
      <w:r w:rsidRPr="00224A89">
        <w:rPr>
          <w:rFonts w:ascii="Verdana" w:hAnsi="Verdana" w:cs="Arial"/>
          <w:color w:val="000000"/>
          <w:sz w:val="16"/>
          <w:szCs w:val="16"/>
        </w:rPr>
        <w:t xml:space="preserve">. Sala de Consulta y Servicio Civil. Concepto de 28 de </w:t>
      </w:r>
      <w:r>
        <w:rPr>
          <w:rFonts w:ascii="Verdana" w:hAnsi="Verdana" w:cs="Arial"/>
          <w:color w:val="000000"/>
          <w:sz w:val="16"/>
          <w:szCs w:val="16"/>
        </w:rPr>
        <w:t>j</w:t>
      </w:r>
      <w:r w:rsidRPr="00224A89">
        <w:rPr>
          <w:rFonts w:ascii="Verdana" w:hAnsi="Verdana" w:cs="Arial"/>
          <w:color w:val="000000"/>
          <w:sz w:val="16"/>
          <w:szCs w:val="16"/>
        </w:rPr>
        <w:t xml:space="preserve">unio de 2016. Radicación: </w:t>
      </w:r>
      <w:r w:rsidRPr="001C273D">
        <w:rPr>
          <w:rFonts w:ascii="Verdana" w:hAnsi="Verdana" w:cs="Arial"/>
          <w:color w:val="000000"/>
          <w:sz w:val="16"/>
          <w:szCs w:val="16"/>
          <w:lang w:val="es-CO"/>
        </w:rPr>
        <w:t>11001-03-06-000-2015-00067-00</w:t>
      </w:r>
      <w:r>
        <w:rPr>
          <w:rFonts w:ascii="Verdana" w:hAnsi="Verdana" w:cs="Arial"/>
          <w:color w:val="000000"/>
          <w:sz w:val="16"/>
          <w:szCs w:val="16"/>
          <w:lang w:val="es-CO"/>
        </w:rPr>
        <w:t xml:space="preserve"> (</w:t>
      </w:r>
      <w:r w:rsidRPr="00224A89">
        <w:rPr>
          <w:rFonts w:ascii="Verdana" w:hAnsi="Verdana" w:cs="Arial"/>
          <w:color w:val="000000"/>
          <w:sz w:val="16"/>
          <w:szCs w:val="16"/>
        </w:rPr>
        <w:t>2253</w:t>
      </w:r>
      <w:r>
        <w:rPr>
          <w:rFonts w:ascii="Verdana" w:hAnsi="Verdana" w:cs="Arial"/>
          <w:color w:val="000000"/>
          <w:sz w:val="16"/>
          <w:szCs w:val="16"/>
        </w:rPr>
        <w:t>)</w:t>
      </w:r>
      <w:r w:rsidRPr="00224A89">
        <w:rPr>
          <w:rFonts w:ascii="Verdana" w:hAnsi="Verdana" w:cs="Arial"/>
          <w:color w:val="000000"/>
          <w:sz w:val="16"/>
          <w:szCs w:val="16"/>
        </w:rPr>
        <w:t xml:space="preserve">. C.P. Álvaro Namén Vargas. </w:t>
      </w:r>
    </w:p>
  </w:footnote>
  <w:footnote w:id="15">
    <w:p w14:paraId="10110B17" w14:textId="77777777" w:rsidR="00351B00" w:rsidRPr="00C06623" w:rsidRDefault="00351B00" w:rsidP="00351B00">
      <w:pPr>
        <w:pStyle w:val="Textonotapie"/>
        <w:ind w:firstLine="709"/>
        <w:jc w:val="both"/>
        <w:rPr>
          <w:rFonts w:ascii="Verdana" w:hAnsi="Verdana"/>
          <w:i/>
          <w:iCs/>
          <w:sz w:val="16"/>
          <w:szCs w:val="16"/>
          <w:lang w:val="es-CO"/>
        </w:rPr>
      </w:pPr>
      <w:r w:rsidRPr="00C06623">
        <w:rPr>
          <w:rStyle w:val="Refdenotaalpie"/>
          <w:rFonts w:ascii="Verdana" w:hAnsi="Verdana"/>
          <w:sz w:val="16"/>
          <w:szCs w:val="16"/>
        </w:rPr>
        <w:footnoteRef/>
      </w:r>
      <w:r w:rsidRPr="00C06623">
        <w:rPr>
          <w:rFonts w:ascii="Verdana" w:hAnsi="Verdana"/>
          <w:sz w:val="16"/>
          <w:szCs w:val="16"/>
        </w:rPr>
        <w:t xml:space="preserve"> Consejo De Estado. Sala </w:t>
      </w:r>
      <w:r>
        <w:rPr>
          <w:rFonts w:ascii="Verdana" w:hAnsi="Verdana"/>
          <w:sz w:val="16"/>
          <w:szCs w:val="16"/>
        </w:rPr>
        <w:t>d</w:t>
      </w:r>
      <w:r w:rsidRPr="00C06623">
        <w:rPr>
          <w:rFonts w:ascii="Verdana" w:hAnsi="Verdana"/>
          <w:sz w:val="16"/>
          <w:szCs w:val="16"/>
        </w:rPr>
        <w:t xml:space="preserve">e </w:t>
      </w:r>
      <w:r>
        <w:rPr>
          <w:rFonts w:ascii="Verdana" w:hAnsi="Verdana"/>
          <w:sz w:val="16"/>
          <w:szCs w:val="16"/>
        </w:rPr>
        <w:t>l</w:t>
      </w:r>
      <w:r w:rsidRPr="00C06623">
        <w:rPr>
          <w:rFonts w:ascii="Verdana" w:hAnsi="Verdana"/>
          <w:sz w:val="16"/>
          <w:szCs w:val="16"/>
        </w:rPr>
        <w:t xml:space="preserve">o Contencioso Administrativo. Sección Tercera. Subsección B. Auto </w:t>
      </w:r>
      <w:r>
        <w:rPr>
          <w:rFonts w:ascii="Verdana" w:hAnsi="Verdana"/>
          <w:sz w:val="16"/>
          <w:szCs w:val="16"/>
        </w:rPr>
        <w:t>d</w:t>
      </w:r>
      <w:r w:rsidRPr="00C06623">
        <w:rPr>
          <w:rFonts w:ascii="Verdana" w:hAnsi="Verdana"/>
          <w:sz w:val="16"/>
          <w:szCs w:val="16"/>
        </w:rPr>
        <w:t xml:space="preserve">el 27 </w:t>
      </w:r>
      <w:r>
        <w:rPr>
          <w:rFonts w:ascii="Verdana" w:hAnsi="Verdana"/>
          <w:sz w:val="16"/>
          <w:szCs w:val="16"/>
        </w:rPr>
        <w:t>d</w:t>
      </w:r>
      <w:r w:rsidRPr="00C06623">
        <w:rPr>
          <w:rFonts w:ascii="Verdana" w:hAnsi="Verdana"/>
          <w:sz w:val="16"/>
          <w:szCs w:val="16"/>
        </w:rPr>
        <w:t xml:space="preserve">e </w:t>
      </w:r>
      <w:r>
        <w:rPr>
          <w:rFonts w:ascii="Verdana" w:hAnsi="Verdana"/>
          <w:sz w:val="16"/>
          <w:szCs w:val="16"/>
        </w:rPr>
        <w:t>f</w:t>
      </w:r>
      <w:r w:rsidRPr="00C06623">
        <w:rPr>
          <w:rFonts w:ascii="Verdana" w:hAnsi="Verdana"/>
          <w:sz w:val="16"/>
          <w:szCs w:val="16"/>
        </w:rPr>
        <w:t xml:space="preserve">ebrero </w:t>
      </w:r>
      <w:r>
        <w:rPr>
          <w:rFonts w:ascii="Verdana" w:hAnsi="Verdana"/>
          <w:sz w:val="16"/>
          <w:szCs w:val="16"/>
        </w:rPr>
        <w:t>d</w:t>
      </w:r>
      <w:r w:rsidRPr="00C06623">
        <w:rPr>
          <w:rFonts w:ascii="Verdana" w:hAnsi="Verdana"/>
          <w:sz w:val="16"/>
          <w:szCs w:val="16"/>
        </w:rPr>
        <w:t>e 2026. Radicado: 41001-23-33-000-2023-00088-01 (73035). C.P: Diego Enrique Franco Victoria.</w:t>
      </w:r>
      <w:r>
        <w:rPr>
          <w:rFonts w:ascii="Verdana" w:hAnsi="Verdana"/>
          <w:sz w:val="16"/>
          <w:szCs w:val="16"/>
        </w:rPr>
        <w:t xml:space="preserve"> En dicho auto se indicó: </w:t>
      </w:r>
      <w:r w:rsidRPr="00C06623">
        <w:rPr>
          <w:rFonts w:ascii="Verdana" w:hAnsi="Verdana"/>
          <w:i/>
          <w:iCs/>
          <w:sz w:val="16"/>
          <w:szCs w:val="16"/>
          <w:lang w:val="es-CO"/>
        </w:rPr>
        <w:t>De acuerdo con lo establecido en los artículos 171, 170 y 169 del CPACA, presentada una demanda corresponde al juez determinar si la admite, la inadmite o la rechaza […]</w:t>
      </w:r>
    </w:p>
    <w:p w14:paraId="78E322BB" w14:textId="77777777" w:rsidR="00351B00" w:rsidRPr="00C06623" w:rsidRDefault="00351B00" w:rsidP="00351B00">
      <w:pPr>
        <w:pStyle w:val="Textonotapie"/>
        <w:ind w:firstLine="709"/>
        <w:jc w:val="both"/>
        <w:rPr>
          <w:rFonts w:ascii="Verdana" w:hAnsi="Verdana"/>
          <w:i/>
          <w:iCs/>
          <w:sz w:val="16"/>
          <w:szCs w:val="16"/>
          <w:lang w:val="es-CO"/>
        </w:rPr>
      </w:pPr>
      <w:r w:rsidRPr="00C06623">
        <w:rPr>
          <w:rFonts w:ascii="Verdana" w:hAnsi="Verdana"/>
          <w:i/>
          <w:iCs/>
          <w:sz w:val="16"/>
          <w:szCs w:val="16"/>
          <w:lang w:val="es-CO"/>
        </w:rPr>
        <w:t xml:space="preserve">Conforme a lo anterior, presentada una demanda puede suceder una de tres cosas: i) que el libelo reúna los requisitos legales, caso en el cual es admitido, y en el auto admisorio el juez ordenará su notificación personal a la parte demandada, a efectos de trabar la litis; </w:t>
      </w:r>
      <w:proofErr w:type="spellStart"/>
      <w:r w:rsidRPr="00C06623">
        <w:rPr>
          <w:rFonts w:ascii="Verdana" w:hAnsi="Verdana"/>
          <w:i/>
          <w:iCs/>
          <w:sz w:val="16"/>
          <w:szCs w:val="16"/>
          <w:lang w:val="es-CO"/>
        </w:rPr>
        <w:t>ii</w:t>
      </w:r>
      <w:proofErr w:type="spellEnd"/>
      <w:r w:rsidRPr="00C06623">
        <w:rPr>
          <w:rFonts w:ascii="Verdana" w:hAnsi="Verdana"/>
          <w:i/>
          <w:iCs/>
          <w:sz w:val="16"/>
          <w:szCs w:val="16"/>
          <w:lang w:val="es-CO"/>
        </w:rPr>
        <w:t xml:space="preserve">) que la demanda no cumpla con los requisitos previstos en la ley, hipótesis en la que se inadmite y al demandante se le concede el término de diez (10) días para que la subsane; o </w:t>
      </w:r>
      <w:proofErr w:type="spellStart"/>
      <w:r w:rsidRPr="00C06623">
        <w:rPr>
          <w:rFonts w:ascii="Verdana" w:hAnsi="Verdana"/>
          <w:i/>
          <w:iCs/>
          <w:sz w:val="16"/>
          <w:szCs w:val="16"/>
          <w:lang w:val="es-CO"/>
        </w:rPr>
        <w:t>iii</w:t>
      </w:r>
      <w:proofErr w:type="spellEnd"/>
      <w:r w:rsidRPr="00C06623">
        <w:rPr>
          <w:rFonts w:ascii="Verdana" w:hAnsi="Verdana"/>
          <w:i/>
          <w:iCs/>
          <w:sz w:val="16"/>
          <w:szCs w:val="16"/>
          <w:lang w:val="es-CO"/>
        </w:rPr>
        <w:t>) que en el caso concreto haya operado la caducidad, el asunto no sea susceptible de control judicial, o, a pesar de haberse inadmitido, la demanda no se subsane, eventos en los cuales se ordenará su rechazo.</w:t>
      </w:r>
    </w:p>
    <w:p w14:paraId="3CB854AC" w14:textId="77777777" w:rsidR="00351B00" w:rsidRPr="00C06623" w:rsidRDefault="00351B00" w:rsidP="00351B00">
      <w:pPr>
        <w:pStyle w:val="Textonotapie"/>
        <w:ind w:firstLine="709"/>
        <w:jc w:val="both"/>
        <w:rPr>
          <w:rFonts w:ascii="Verdana" w:hAnsi="Verdana"/>
          <w:i/>
          <w:iCs/>
          <w:sz w:val="16"/>
          <w:szCs w:val="16"/>
          <w:lang w:val="es-CO"/>
        </w:rPr>
      </w:pPr>
      <w:r w:rsidRPr="00C06623">
        <w:rPr>
          <w:rFonts w:ascii="Verdana" w:hAnsi="Verdana"/>
          <w:i/>
          <w:iCs/>
          <w:sz w:val="16"/>
          <w:szCs w:val="16"/>
          <w:lang w:val="es-CO"/>
        </w:rPr>
        <w:t>Cuando la demanda se inadmite o se rechaza no surge la relación procesal: cuando se inadmite, es necesario esperar a que se subsane para efectos de dictar el auto admisorio correspondiente; pero si se rechaza de plano o por no haberse subsanado, la relación procesal no nace a la vida jurídica.</w:t>
      </w:r>
    </w:p>
    <w:p w14:paraId="06952454" w14:textId="77777777" w:rsidR="00351B00" w:rsidRDefault="00351B00" w:rsidP="00351B00">
      <w:pPr>
        <w:pStyle w:val="Textonotapie"/>
        <w:ind w:firstLine="709"/>
        <w:jc w:val="both"/>
        <w:rPr>
          <w:rFonts w:ascii="Verdana" w:hAnsi="Verdana"/>
          <w:i/>
          <w:iCs/>
          <w:sz w:val="16"/>
          <w:szCs w:val="16"/>
          <w:lang w:val="es-CO"/>
        </w:rPr>
      </w:pPr>
      <w:r w:rsidRPr="00C06623">
        <w:rPr>
          <w:rFonts w:ascii="Verdana" w:hAnsi="Verdana"/>
          <w:i/>
          <w:iCs/>
          <w:sz w:val="16"/>
          <w:szCs w:val="16"/>
          <w:lang w:val="es-CO"/>
        </w:rPr>
        <w:t>Es claro que la sola presentación de la demanda no hace surgir la relación procesal que, conforme al artículo 174 del CPACA, una vez presentada una demanda, y antes de que se notifique a algún demandado o al Ministerio Público, es perfectamente posible retirarla, sin que dicha conducta implique la ocurrencia del fenómeno de la cosa juzgada.</w:t>
      </w:r>
    </w:p>
    <w:p w14:paraId="229F55D4" w14:textId="77777777" w:rsidR="00351B00" w:rsidRPr="001C273D" w:rsidRDefault="00351B00" w:rsidP="00351B00">
      <w:pPr>
        <w:pStyle w:val="Textonotapie"/>
        <w:ind w:firstLine="709"/>
        <w:jc w:val="both"/>
        <w:rPr>
          <w:rFonts w:ascii="Verdana" w:hAnsi="Verdana"/>
          <w:sz w:val="16"/>
          <w:szCs w:val="16"/>
          <w:lang w:val="es-CO"/>
        </w:rPr>
      </w:pPr>
      <w:r>
        <w:rPr>
          <w:rFonts w:ascii="Verdana" w:hAnsi="Verdana"/>
          <w:sz w:val="16"/>
          <w:szCs w:val="16"/>
          <w:lang w:val="es-CO"/>
        </w:rPr>
        <w:t xml:space="preserve">La misma posición se ha adoptado por parte del Consejo de Estado. Sala de lo Contencioso Administrativo. Sección Tercera. Subsección A. Sentencia del </w:t>
      </w:r>
      <w:r w:rsidRPr="001C273D">
        <w:rPr>
          <w:rFonts w:ascii="Verdana" w:hAnsi="Verdana"/>
          <w:sz w:val="16"/>
          <w:szCs w:val="16"/>
          <w:lang w:val="es-CO"/>
        </w:rPr>
        <w:t>5 de febrero de 2021, radicación 200012331000201100235 01 (49651)</w:t>
      </w:r>
      <w:r>
        <w:rPr>
          <w:rFonts w:ascii="Verdana" w:hAnsi="Verdana"/>
          <w:sz w:val="16"/>
          <w:szCs w:val="16"/>
          <w:lang w:val="es-CO"/>
        </w:rPr>
        <w:t xml:space="preserve"> y en sentencia del Consejo de Estado. Sala de lo Contencioso Administrativo. Sección Tercera. Subsección C. </w:t>
      </w:r>
      <w:r w:rsidRPr="002B78DF">
        <w:rPr>
          <w:rFonts w:ascii="Verdana" w:hAnsi="Verdana"/>
          <w:sz w:val="16"/>
          <w:szCs w:val="16"/>
          <w:lang w:val="es-CO"/>
        </w:rPr>
        <w:t>21 de octubre de 2025</w:t>
      </w:r>
      <w:r>
        <w:rPr>
          <w:rFonts w:ascii="Verdana" w:hAnsi="Verdana"/>
          <w:sz w:val="16"/>
          <w:szCs w:val="16"/>
          <w:lang w:val="es-CO"/>
        </w:rPr>
        <w:t xml:space="preserve">. Expediente: </w:t>
      </w:r>
      <w:r w:rsidRPr="002B78DF">
        <w:rPr>
          <w:rFonts w:ascii="Verdana" w:hAnsi="Verdana"/>
          <w:sz w:val="16"/>
          <w:szCs w:val="16"/>
          <w:lang w:val="es-CO"/>
        </w:rPr>
        <w:t>25000 23-36-000-2009-00933-02 (65636</w:t>
      </w:r>
      <w:r>
        <w:rPr>
          <w:rFonts w:ascii="Verdana" w:hAnsi="Verdana"/>
          <w:sz w:val="16"/>
          <w:szCs w:val="16"/>
          <w:lang w:val="es-CO"/>
        </w:rPr>
        <w:t>).</w:t>
      </w:r>
    </w:p>
    <w:p w14:paraId="55AC590A" w14:textId="77777777" w:rsidR="00351B00" w:rsidRPr="00C06623" w:rsidRDefault="00351B00" w:rsidP="00351B00">
      <w:pPr>
        <w:pStyle w:val="Textonotapie"/>
        <w:ind w:firstLine="709"/>
        <w:jc w:val="both"/>
        <w:rPr>
          <w:rFonts w:ascii="Verdana" w:hAnsi="Verdana"/>
          <w:sz w:val="16"/>
          <w:szCs w:val="16"/>
          <w:lang w:val="es-ES"/>
        </w:rPr>
      </w:pPr>
    </w:p>
  </w:footnote>
  <w:footnote w:id="16">
    <w:p w14:paraId="4FE0C938" w14:textId="77777777" w:rsidR="00351B00" w:rsidRPr="00224A89" w:rsidRDefault="00351B00" w:rsidP="00351B00">
      <w:pPr>
        <w:pStyle w:val="Textonotapie"/>
        <w:ind w:firstLine="708"/>
        <w:jc w:val="both"/>
        <w:rPr>
          <w:rFonts w:ascii="Verdana" w:hAnsi="Verdana"/>
          <w:color w:val="000000"/>
          <w:sz w:val="16"/>
          <w:szCs w:val="16"/>
          <w:lang w:val="es-ES"/>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w:t>
      </w:r>
      <w:r w:rsidRPr="00C06623">
        <w:rPr>
          <w:rFonts w:ascii="Verdana" w:hAnsi="Verdana"/>
          <w:sz w:val="16"/>
          <w:szCs w:val="16"/>
        </w:rPr>
        <w:t>Consejo De Estado. Sala De Lo Contencioso Administrativo</w:t>
      </w:r>
      <w:r w:rsidRPr="00224A89">
        <w:rPr>
          <w:rFonts w:ascii="Verdana" w:hAnsi="Verdana" w:cs="Arial"/>
          <w:color w:val="000000"/>
          <w:sz w:val="16"/>
          <w:szCs w:val="16"/>
        </w:rPr>
        <w:t xml:space="preserve">. Sección Tercera. </w:t>
      </w:r>
      <w:r w:rsidRPr="00224A89">
        <w:rPr>
          <w:rFonts w:ascii="Verdana" w:hAnsi="Verdana" w:cs="Arial"/>
          <w:color w:val="000000"/>
          <w:sz w:val="16"/>
          <w:szCs w:val="16"/>
          <w:lang w:val="es-CO"/>
        </w:rPr>
        <w:t xml:space="preserve">Sala Plena. Auto del 1 de agosto de 2019. </w:t>
      </w:r>
      <w:proofErr w:type="spellStart"/>
      <w:r w:rsidRPr="00224A89">
        <w:rPr>
          <w:rFonts w:ascii="Verdana" w:hAnsi="Verdana" w:cs="Arial"/>
          <w:color w:val="000000"/>
          <w:sz w:val="16"/>
          <w:szCs w:val="16"/>
        </w:rPr>
        <w:t>Exp</w:t>
      </w:r>
      <w:proofErr w:type="spellEnd"/>
      <w:r w:rsidRPr="00224A89">
        <w:rPr>
          <w:rFonts w:ascii="Verdana" w:hAnsi="Verdana" w:cs="Arial"/>
          <w:color w:val="000000"/>
          <w:sz w:val="16"/>
          <w:szCs w:val="16"/>
        </w:rPr>
        <w:t xml:space="preserve">. 62009. C.P. Jaime Enrique Rodríguez Navas. </w:t>
      </w:r>
      <w:r w:rsidRPr="00224A89">
        <w:rPr>
          <w:rFonts w:ascii="Verdana" w:hAnsi="Verdana"/>
          <w:color w:val="000000"/>
          <w:sz w:val="16"/>
          <w:szCs w:val="16"/>
          <w:lang w:val="es-ES"/>
        </w:rPr>
        <w:t xml:space="preserve"> </w:t>
      </w:r>
    </w:p>
  </w:footnote>
  <w:footnote w:id="17">
    <w:p w14:paraId="7D945B75" w14:textId="77777777" w:rsidR="00351B00" w:rsidRPr="00224A89" w:rsidRDefault="00351B00" w:rsidP="00351B00">
      <w:pPr>
        <w:pStyle w:val="Textonotapie"/>
        <w:ind w:firstLine="708"/>
        <w:jc w:val="both"/>
        <w:rPr>
          <w:rFonts w:ascii="Verdana" w:hAnsi="Verdana" w:cs="Arial"/>
          <w:color w:val="000000"/>
          <w:sz w:val="16"/>
          <w:szCs w:val="16"/>
        </w:rPr>
      </w:pPr>
      <w:r>
        <w:rPr>
          <w:rStyle w:val="Refdenotaalpie"/>
        </w:rPr>
        <w:footnoteRef/>
      </w:r>
      <w:r>
        <w:t xml:space="preserve"> Consejo de Estado. </w:t>
      </w:r>
      <w:r w:rsidRPr="00224A89">
        <w:rPr>
          <w:rFonts w:ascii="Verdana" w:hAnsi="Verdana" w:cs="Arial"/>
          <w:color w:val="000000"/>
          <w:sz w:val="16"/>
          <w:szCs w:val="16"/>
        </w:rPr>
        <w:t xml:space="preserve">Sala de Consulta y Servicio Civil. Concepto de 28 de </w:t>
      </w:r>
      <w:r>
        <w:rPr>
          <w:rFonts w:ascii="Verdana" w:hAnsi="Verdana" w:cs="Arial"/>
          <w:color w:val="000000"/>
          <w:sz w:val="16"/>
          <w:szCs w:val="16"/>
        </w:rPr>
        <w:t>j</w:t>
      </w:r>
      <w:r w:rsidRPr="00224A89">
        <w:rPr>
          <w:rFonts w:ascii="Verdana" w:hAnsi="Verdana" w:cs="Arial"/>
          <w:color w:val="000000"/>
          <w:sz w:val="16"/>
          <w:szCs w:val="16"/>
        </w:rPr>
        <w:t xml:space="preserve">unio de 2016. Radicación: </w:t>
      </w:r>
      <w:r w:rsidRPr="001C273D">
        <w:rPr>
          <w:rFonts w:ascii="Verdana" w:hAnsi="Verdana" w:cs="Arial"/>
          <w:color w:val="000000"/>
          <w:sz w:val="16"/>
          <w:szCs w:val="16"/>
          <w:lang w:val="es-CO"/>
        </w:rPr>
        <w:t>11001-03-06-000-2015-00067-00</w:t>
      </w:r>
      <w:r>
        <w:rPr>
          <w:rFonts w:ascii="Verdana" w:hAnsi="Verdana" w:cs="Arial"/>
          <w:color w:val="000000"/>
          <w:sz w:val="16"/>
          <w:szCs w:val="16"/>
          <w:lang w:val="es-CO"/>
        </w:rPr>
        <w:t xml:space="preserve"> (</w:t>
      </w:r>
      <w:r w:rsidRPr="00224A89">
        <w:rPr>
          <w:rFonts w:ascii="Verdana" w:hAnsi="Verdana" w:cs="Arial"/>
          <w:color w:val="000000"/>
          <w:sz w:val="16"/>
          <w:szCs w:val="16"/>
        </w:rPr>
        <w:t>2253</w:t>
      </w:r>
      <w:r>
        <w:rPr>
          <w:rFonts w:ascii="Verdana" w:hAnsi="Verdana" w:cs="Arial"/>
          <w:color w:val="000000"/>
          <w:sz w:val="16"/>
          <w:szCs w:val="16"/>
        </w:rPr>
        <w:t>)</w:t>
      </w:r>
      <w:r w:rsidRPr="00224A89">
        <w:rPr>
          <w:rFonts w:ascii="Verdana" w:hAnsi="Verdana" w:cs="Arial"/>
          <w:color w:val="000000"/>
          <w:sz w:val="16"/>
          <w:szCs w:val="16"/>
        </w:rPr>
        <w:t xml:space="preserve">. C.P. Álvaro Namén Vargas. </w:t>
      </w:r>
    </w:p>
    <w:p w14:paraId="3F8589D8" w14:textId="77777777" w:rsidR="00351B00" w:rsidRPr="002B78DF" w:rsidRDefault="00351B00" w:rsidP="00351B00">
      <w:pPr>
        <w:pStyle w:val="Textonotapie"/>
      </w:pPr>
    </w:p>
  </w:footnote>
  <w:footnote w:id="18">
    <w:p w14:paraId="01060481" w14:textId="77777777" w:rsidR="00351B00" w:rsidRDefault="00351B00" w:rsidP="00351B00">
      <w:pPr>
        <w:pStyle w:val="Textonotapie"/>
        <w:ind w:firstLine="709"/>
        <w:jc w:val="both"/>
        <w:rPr>
          <w:rFonts w:ascii="Verdana" w:hAnsi="Verdana"/>
          <w:sz w:val="16"/>
          <w:szCs w:val="16"/>
          <w:lang w:val="es-CO"/>
        </w:rPr>
      </w:pPr>
      <w:r w:rsidRPr="009B0608">
        <w:rPr>
          <w:rStyle w:val="Refdenotaalpie"/>
          <w:rFonts w:ascii="Verdana" w:hAnsi="Verdana"/>
          <w:sz w:val="16"/>
          <w:szCs w:val="16"/>
        </w:rPr>
        <w:footnoteRef/>
      </w:r>
      <w:r w:rsidRPr="009B0608">
        <w:rPr>
          <w:rFonts w:ascii="Verdana" w:hAnsi="Verdana"/>
          <w:sz w:val="16"/>
          <w:szCs w:val="16"/>
        </w:rPr>
        <w:t xml:space="preserve"> </w:t>
      </w:r>
      <w:r w:rsidRPr="009B0608">
        <w:rPr>
          <w:rFonts w:ascii="Verdana" w:hAnsi="Verdana"/>
          <w:sz w:val="16"/>
          <w:szCs w:val="16"/>
          <w:lang w:val="es-CO"/>
        </w:rPr>
        <w:t>Consejo de Estado, Sala de lo Contencioso Administrativo</w:t>
      </w:r>
      <w:r>
        <w:rPr>
          <w:rFonts w:ascii="Verdana" w:hAnsi="Verdana"/>
          <w:sz w:val="16"/>
          <w:szCs w:val="16"/>
          <w:lang w:val="es-CO"/>
        </w:rPr>
        <w:t>.</w:t>
      </w:r>
      <w:r w:rsidRPr="009B0608">
        <w:rPr>
          <w:rFonts w:ascii="Verdana" w:hAnsi="Verdana"/>
          <w:sz w:val="16"/>
          <w:szCs w:val="16"/>
          <w:lang w:val="es-CO"/>
        </w:rPr>
        <w:t xml:space="preserve"> Sección Tercera</w:t>
      </w:r>
      <w:r>
        <w:rPr>
          <w:rFonts w:ascii="Verdana" w:hAnsi="Verdana"/>
          <w:sz w:val="16"/>
          <w:szCs w:val="16"/>
          <w:lang w:val="es-CO"/>
        </w:rPr>
        <w:t>.</w:t>
      </w:r>
      <w:r w:rsidRPr="009B0608">
        <w:rPr>
          <w:rFonts w:ascii="Verdana" w:hAnsi="Verdana"/>
          <w:sz w:val="16"/>
          <w:szCs w:val="16"/>
          <w:lang w:val="es-CO"/>
        </w:rPr>
        <w:t xml:space="preserve"> Sentencia de 14 de mayo de 2014, Exp</w:t>
      </w:r>
      <w:r>
        <w:rPr>
          <w:rFonts w:ascii="Verdana" w:hAnsi="Verdana"/>
          <w:sz w:val="16"/>
          <w:szCs w:val="16"/>
          <w:lang w:val="es-CO"/>
        </w:rPr>
        <w:t>ediente:</w:t>
      </w:r>
      <w:r w:rsidRPr="009B0608">
        <w:rPr>
          <w:rFonts w:ascii="Verdana" w:hAnsi="Verdana"/>
          <w:sz w:val="16"/>
          <w:szCs w:val="16"/>
          <w:lang w:val="es-CO"/>
        </w:rPr>
        <w:t xml:space="preserve"> 23.788.</w:t>
      </w:r>
    </w:p>
    <w:p w14:paraId="5EE784F4" w14:textId="77777777" w:rsidR="00351B00" w:rsidRPr="009B0608" w:rsidRDefault="00351B00" w:rsidP="00351B00">
      <w:pPr>
        <w:pStyle w:val="Textonotapie"/>
        <w:ind w:firstLine="709"/>
        <w:jc w:val="both"/>
        <w:rPr>
          <w:rFonts w:ascii="Verdana" w:hAnsi="Verdana"/>
          <w:sz w:val="16"/>
          <w:szCs w:val="16"/>
        </w:rPr>
      </w:pPr>
    </w:p>
  </w:footnote>
  <w:footnote w:id="19">
    <w:p w14:paraId="72E47867" w14:textId="77777777" w:rsidR="00351B00" w:rsidRDefault="00351B00" w:rsidP="00351B00">
      <w:pPr>
        <w:pStyle w:val="Textonotapie"/>
        <w:ind w:firstLine="709"/>
        <w:jc w:val="both"/>
        <w:rPr>
          <w:rFonts w:ascii="Verdana" w:hAnsi="Verdana"/>
          <w:sz w:val="16"/>
          <w:szCs w:val="16"/>
          <w:lang w:val="es-CO"/>
        </w:rPr>
      </w:pPr>
      <w:r w:rsidRPr="009B0608">
        <w:rPr>
          <w:rStyle w:val="Refdenotaalpie"/>
          <w:rFonts w:ascii="Verdana" w:hAnsi="Verdana"/>
          <w:sz w:val="16"/>
          <w:szCs w:val="16"/>
        </w:rPr>
        <w:footnoteRef/>
      </w:r>
      <w:r w:rsidRPr="009B0608">
        <w:rPr>
          <w:rFonts w:ascii="Verdana" w:hAnsi="Verdana"/>
          <w:sz w:val="16"/>
          <w:szCs w:val="16"/>
        </w:rPr>
        <w:t xml:space="preserve"> </w:t>
      </w:r>
      <w:r w:rsidRPr="009B0608">
        <w:rPr>
          <w:rFonts w:ascii="Verdana" w:hAnsi="Verdana"/>
          <w:sz w:val="16"/>
          <w:szCs w:val="16"/>
          <w:lang w:val="es-CO"/>
        </w:rPr>
        <w:t>Consejo de Estado</w:t>
      </w:r>
      <w:r>
        <w:rPr>
          <w:rFonts w:ascii="Verdana" w:hAnsi="Verdana"/>
          <w:sz w:val="16"/>
          <w:szCs w:val="16"/>
          <w:lang w:val="es-CO"/>
        </w:rPr>
        <w:t>.</w:t>
      </w:r>
      <w:r w:rsidRPr="009B0608">
        <w:rPr>
          <w:rFonts w:ascii="Verdana" w:hAnsi="Verdana"/>
          <w:sz w:val="16"/>
          <w:szCs w:val="16"/>
          <w:lang w:val="es-CO"/>
        </w:rPr>
        <w:t xml:space="preserve"> Sala de lo Contencioso Administrativo</w:t>
      </w:r>
      <w:r>
        <w:rPr>
          <w:rFonts w:ascii="Verdana" w:hAnsi="Verdana"/>
          <w:sz w:val="16"/>
          <w:szCs w:val="16"/>
          <w:lang w:val="es-CO"/>
        </w:rPr>
        <w:t>.</w:t>
      </w:r>
      <w:r w:rsidRPr="009B0608">
        <w:rPr>
          <w:rFonts w:ascii="Verdana" w:hAnsi="Verdana"/>
          <w:sz w:val="16"/>
          <w:szCs w:val="16"/>
          <w:lang w:val="es-CO"/>
        </w:rPr>
        <w:t xml:space="preserve"> Sección Tercera</w:t>
      </w:r>
      <w:r>
        <w:rPr>
          <w:rFonts w:ascii="Verdana" w:hAnsi="Verdana"/>
          <w:sz w:val="16"/>
          <w:szCs w:val="16"/>
          <w:lang w:val="es-CO"/>
        </w:rPr>
        <w:t>.</w:t>
      </w:r>
      <w:r w:rsidRPr="009B0608">
        <w:rPr>
          <w:rFonts w:ascii="Verdana" w:hAnsi="Verdana"/>
          <w:sz w:val="16"/>
          <w:szCs w:val="16"/>
          <w:lang w:val="es-CO"/>
        </w:rPr>
        <w:t xml:space="preserve"> Sentencia de 10 de marzo de 2011, Exp</w:t>
      </w:r>
      <w:r>
        <w:rPr>
          <w:rFonts w:ascii="Verdana" w:hAnsi="Verdana"/>
          <w:sz w:val="16"/>
          <w:szCs w:val="16"/>
          <w:lang w:val="es-CO"/>
        </w:rPr>
        <w:t>ediente:</w:t>
      </w:r>
      <w:r w:rsidRPr="009B0608">
        <w:rPr>
          <w:rFonts w:ascii="Verdana" w:hAnsi="Verdana"/>
          <w:sz w:val="16"/>
          <w:szCs w:val="16"/>
          <w:lang w:val="es-CO"/>
        </w:rPr>
        <w:t xml:space="preserve"> 15.935.</w:t>
      </w:r>
    </w:p>
    <w:p w14:paraId="41EC0513" w14:textId="77777777" w:rsidR="00351B00" w:rsidRPr="009B0608" w:rsidRDefault="00351B00" w:rsidP="00351B00">
      <w:pPr>
        <w:pStyle w:val="Textonotapie"/>
        <w:ind w:firstLine="709"/>
        <w:jc w:val="both"/>
        <w:rPr>
          <w:rFonts w:ascii="Verdana" w:hAnsi="Verdana"/>
          <w:sz w:val="16"/>
          <w:szCs w:val="16"/>
        </w:rPr>
      </w:pPr>
    </w:p>
  </w:footnote>
  <w:footnote w:id="20">
    <w:p w14:paraId="168B74E9" w14:textId="77777777" w:rsidR="00351B00" w:rsidRPr="00224A89" w:rsidRDefault="00351B00" w:rsidP="00351B00">
      <w:pPr>
        <w:pStyle w:val="Textonotapie"/>
        <w:ind w:firstLine="708"/>
        <w:jc w:val="both"/>
        <w:rPr>
          <w:rFonts w:ascii="Verdana" w:hAnsi="Verdana" w:cs="Arial"/>
          <w:sz w:val="16"/>
          <w:szCs w:val="16"/>
        </w:rPr>
      </w:pPr>
      <w:r w:rsidRPr="00224A89">
        <w:rPr>
          <w:rStyle w:val="Refdenotaalpie"/>
          <w:rFonts w:ascii="Verdana" w:hAnsi="Verdana" w:cs="Arial"/>
          <w:sz w:val="16"/>
          <w:szCs w:val="16"/>
        </w:rPr>
        <w:footnoteRef/>
      </w:r>
      <w:r w:rsidRPr="00224A89">
        <w:rPr>
          <w:rFonts w:ascii="Verdana" w:hAnsi="Verdana" w:cs="Arial"/>
          <w:sz w:val="16"/>
          <w:szCs w:val="16"/>
        </w:rPr>
        <w:t xml:space="preserve"> DÍAZ DÍEZ, La liquidación… </w:t>
      </w:r>
      <w:proofErr w:type="spellStart"/>
      <w:r w:rsidRPr="00224A89">
        <w:rPr>
          <w:rFonts w:ascii="Verdana" w:hAnsi="Verdana" w:cs="Arial"/>
          <w:sz w:val="16"/>
          <w:szCs w:val="16"/>
        </w:rPr>
        <w:t>Op</w:t>
      </w:r>
      <w:proofErr w:type="spellEnd"/>
      <w:r w:rsidRPr="00224A89">
        <w:rPr>
          <w:rFonts w:ascii="Verdana" w:hAnsi="Verdana" w:cs="Arial"/>
          <w:sz w:val="16"/>
          <w:szCs w:val="16"/>
        </w:rPr>
        <w:t>. cit., pp. 255-256.</w:t>
      </w:r>
    </w:p>
  </w:footnote>
  <w:footnote w:id="21">
    <w:p w14:paraId="7F10BB4C" w14:textId="77777777" w:rsidR="00351B00" w:rsidRDefault="00351B00" w:rsidP="00351B00">
      <w:pPr>
        <w:spacing w:after="0"/>
        <w:ind w:firstLine="708"/>
        <w:jc w:val="both"/>
        <w:rPr>
          <w:rFonts w:ascii="Verdana" w:hAnsi="Verdana" w:cs="Arial"/>
          <w:color w:val="000000" w:themeColor="text1"/>
          <w:sz w:val="16"/>
          <w:szCs w:val="16"/>
        </w:rPr>
      </w:pPr>
      <w:r w:rsidRPr="00224A89">
        <w:rPr>
          <w:rFonts w:ascii="Verdana" w:hAnsi="Verdana" w:cs="Arial"/>
          <w:color w:val="000000" w:themeColor="text1"/>
          <w:sz w:val="16"/>
          <w:szCs w:val="16"/>
          <w:vertAlign w:val="superscript"/>
        </w:rPr>
        <w:footnoteRef/>
      </w:r>
      <w:r w:rsidRPr="00224A89">
        <w:rPr>
          <w:rFonts w:ascii="Verdana" w:hAnsi="Verdana" w:cs="Arial"/>
          <w:color w:val="000000" w:themeColor="text1"/>
          <w:sz w:val="16"/>
          <w:szCs w:val="16"/>
        </w:rPr>
        <w:t xml:space="preserve"> La Sala de Consulta y Servicio Civil del Consejo de Estado, en concepto del 8 de marzo de 2017, radicado No. 2.298, y con ponencia del Consejero Édgar González, manifestó respecto del trámite del cierre del expediente del Proceso de Contratación que: </w:t>
      </w:r>
      <w:r>
        <w:rPr>
          <w:rFonts w:ascii="Verdana" w:hAnsi="Verdana" w:cs="Arial"/>
          <w:color w:val="000000" w:themeColor="text1"/>
          <w:sz w:val="16"/>
          <w:szCs w:val="16"/>
        </w:rPr>
        <w:t>“</w:t>
      </w:r>
      <w:r w:rsidRPr="00224A89">
        <w:rPr>
          <w:rFonts w:ascii="Verdana" w:hAnsi="Verdana" w:cs="Arial"/>
          <w:color w:val="000000" w:themeColor="text1"/>
          <w:sz w:val="16"/>
          <w:szCs w:val="16"/>
        </w:rPr>
        <w:t>[…]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r>
        <w:rPr>
          <w:rFonts w:ascii="Verdana" w:hAnsi="Verdana" w:cs="Arial"/>
          <w:color w:val="000000" w:themeColor="text1"/>
          <w:sz w:val="16"/>
          <w:szCs w:val="16"/>
        </w:rPr>
        <w:t>”</w:t>
      </w:r>
      <w:r w:rsidRPr="00224A89">
        <w:rPr>
          <w:rFonts w:ascii="Verdana" w:hAnsi="Verdana" w:cs="Arial"/>
          <w:color w:val="000000" w:themeColor="text1"/>
          <w:sz w:val="16"/>
          <w:szCs w:val="16"/>
        </w:rPr>
        <w:t>.</w:t>
      </w:r>
    </w:p>
    <w:p w14:paraId="3FEE5CB4" w14:textId="77777777" w:rsidR="00351B00" w:rsidRPr="00224A89" w:rsidRDefault="00351B00" w:rsidP="00351B00">
      <w:pPr>
        <w:spacing w:after="0"/>
        <w:ind w:firstLine="708"/>
        <w:jc w:val="both"/>
        <w:rPr>
          <w:rFonts w:ascii="Verdana" w:hAnsi="Verdana" w:cs="Arial"/>
          <w:color w:val="000000" w:themeColor="text1"/>
          <w:sz w:val="16"/>
          <w:szCs w:val="16"/>
          <w:lang w:val="es-MX"/>
        </w:rPr>
      </w:pPr>
    </w:p>
  </w:footnote>
  <w:footnote w:id="22">
    <w:p w14:paraId="3667363D" w14:textId="77777777" w:rsidR="00351B00" w:rsidRPr="00224A89" w:rsidRDefault="00351B00" w:rsidP="00351B00">
      <w:pPr>
        <w:pStyle w:val="Textonotapie"/>
        <w:ind w:firstLine="708"/>
        <w:jc w:val="both"/>
        <w:rPr>
          <w:rFonts w:ascii="Verdana" w:hAnsi="Verdana" w:cs="Arial"/>
          <w:color w:val="000000" w:themeColor="text1"/>
          <w:sz w:val="16"/>
          <w:szCs w:val="16"/>
        </w:rPr>
      </w:pPr>
      <w:r w:rsidRPr="00224A89">
        <w:rPr>
          <w:rStyle w:val="Refdenotaalpie"/>
          <w:rFonts w:ascii="Verdana" w:hAnsi="Verdana" w:cs="Arial"/>
          <w:color w:val="000000" w:themeColor="text1"/>
          <w:sz w:val="16"/>
          <w:szCs w:val="16"/>
        </w:rPr>
        <w:footnoteRef/>
      </w:r>
      <w:r w:rsidRPr="00224A89">
        <w:rPr>
          <w:rFonts w:ascii="Verdana" w:hAnsi="Verdana" w:cs="Arial"/>
          <w:color w:val="000000" w:themeColor="text1"/>
          <w:sz w:val="16"/>
          <w:szCs w:val="16"/>
        </w:rPr>
        <w:t xml:space="preserve"> En términos generales, se concluyó: </w:t>
      </w:r>
      <w:r>
        <w:rPr>
          <w:rFonts w:ascii="Verdana" w:hAnsi="Verdana" w:cs="Arial"/>
          <w:color w:val="000000" w:themeColor="text1"/>
          <w:sz w:val="16"/>
          <w:szCs w:val="16"/>
        </w:rPr>
        <w:t>“</w:t>
      </w:r>
      <w:r w:rsidRPr="00224A89">
        <w:rPr>
          <w:rFonts w:ascii="Verdana" w:hAnsi="Verdana" w:cs="Arial"/>
          <w:color w:val="000000" w:themeColor="text1"/>
          <w:sz w:val="16"/>
          <w:szCs w:val="16"/>
        </w:rPr>
        <w:t>[…]</w:t>
      </w:r>
      <w:r>
        <w:rPr>
          <w:rFonts w:ascii="Verdana" w:hAnsi="Verdana" w:cs="Arial"/>
          <w:color w:val="000000" w:themeColor="text1"/>
          <w:sz w:val="16"/>
          <w:szCs w:val="16"/>
        </w:rPr>
        <w:t xml:space="preserve"> </w:t>
      </w:r>
      <w:r w:rsidRPr="00224A89">
        <w:rPr>
          <w:rFonts w:ascii="Verdana" w:hAnsi="Verdana" w:cs="Arial"/>
          <w:color w:val="000000" w:themeColor="text1"/>
          <w:sz w:val="16"/>
          <w:szCs w:val="16"/>
        </w:rPr>
        <w:t xml:space="preserve">8.4.- En el caso concreto se concluyó que el precepto reglamentario no desconocía, trasgredía o modificaba el inciso cuarto del artículo 60 de la Ley 80 de 1993. Se determinó que la exigencia establecida en el artículo demandado se dirige únicamente a la Administración, no compromete o afecta situaciones jurídicas de terceros ajenos a la Administración e implica el deber de dejar constancia o atestiguar una situación o estado de cosas ocurrido en el </w:t>
      </w:r>
      <w:proofErr w:type="spellStart"/>
      <w:r w:rsidRPr="00224A89">
        <w:rPr>
          <w:rFonts w:ascii="Verdana" w:hAnsi="Verdana" w:cs="Arial"/>
          <w:color w:val="000000" w:themeColor="text1"/>
          <w:sz w:val="16"/>
          <w:szCs w:val="16"/>
        </w:rPr>
        <w:t>iter</w:t>
      </w:r>
      <w:proofErr w:type="spellEnd"/>
      <w:r w:rsidRPr="00224A89">
        <w:rPr>
          <w:rFonts w:ascii="Verdana" w:hAnsi="Verdana" w:cs="Arial"/>
          <w:color w:val="000000" w:themeColor="text1"/>
          <w:sz w:val="16"/>
          <w:szCs w:val="16"/>
        </w:rPr>
        <w:t xml:space="preserve"> posterior a la liquidación.</w:t>
      </w:r>
    </w:p>
    <w:p w14:paraId="30989BA0" w14:textId="77777777" w:rsidR="00351B00" w:rsidRPr="00224A89" w:rsidRDefault="00351B00" w:rsidP="00351B00">
      <w:pPr>
        <w:pStyle w:val="Textonotapie"/>
        <w:ind w:firstLine="708"/>
        <w:jc w:val="both"/>
        <w:rPr>
          <w:rFonts w:ascii="Verdana" w:hAnsi="Verdana" w:cs="Arial"/>
          <w:color w:val="000000" w:themeColor="text1"/>
          <w:sz w:val="16"/>
          <w:szCs w:val="16"/>
        </w:rPr>
      </w:pPr>
      <w:r w:rsidRPr="00224A89">
        <w:rPr>
          <w:rFonts w:ascii="Verdana" w:hAnsi="Verdana" w:cs="Arial"/>
          <w:color w:val="000000" w:themeColor="text1"/>
          <w:sz w:val="16"/>
          <w:szCs w:val="16"/>
        </w:rPr>
        <w:t>[…]</w:t>
      </w:r>
    </w:p>
    <w:p w14:paraId="69971E51" w14:textId="77777777" w:rsidR="00351B00" w:rsidRDefault="00351B00" w:rsidP="00351B00">
      <w:pPr>
        <w:pStyle w:val="Textonotapie"/>
        <w:ind w:firstLine="708"/>
        <w:jc w:val="both"/>
        <w:rPr>
          <w:rFonts w:ascii="Verdana" w:hAnsi="Verdana" w:cs="Arial"/>
          <w:color w:val="000000" w:themeColor="text1"/>
          <w:sz w:val="16"/>
          <w:szCs w:val="16"/>
        </w:rPr>
      </w:pPr>
      <w:r w:rsidRPr="00224A89">
        <w:rPr>
          <w:rFonts w:ascii="Verdana" w:hAnsi="Verdana" w:cs="Arial"/>
          <w:color w:val="000000" w:themeColor="text1"/>
          <w:sz w:val="16"/>
          <w:szCs w:val="16"/>
        </w:rPr>
        <w:t xml:space="preserve">8.5.- Concluyó la Sala que la norma enjuiciada comprendía una regulación propia de la esfera </w:t>
      </w:r>
      <w:proofErr w:type="spellStart"/>
      <w:r w:rsidRPr="00224A89">
        <w:rPr>
          <w:rFonts w:ascii="Verdana" w:hAnsi="Verdana" w:cs="Arial"/>
          <w:color w:val="000000" w:themeColor="text1"/>
          <w:sz w:val="16"/>
          <w:szCs w:val="16"/>
        </w:rPr>
        <w:t>intraorgánica</w:t>
      </w:r>
      <w:proofErr w:type="spellEnd"/>
      <w:r w:rsidRPr="00224A89">
        <w:rPr>
          <w:rFonts w:ascii="Verdana" w:hAnsi="Verdana" w:cs="Arial"/>
          <w:color w:val="000000" w:themeColor="text1"/>
          <w:sz w:val="16"/>
          <w:szCs w:val="16"/>
        </w:rPr>
        <w:t xml:space="preserve"> que, inclusive, no demandaba regulación expresa, y no afectaba, alteraba o modificaba ninguna cuestión propia de la etapa </w:t>
      </w:r>
      <w:proofErr w:type="spellStart"/>
      <w:r w:rsidRPr="00224A89">
        <w:rPr>
          <w:rFonts w:ascii="Verdana" w:hAnsi="Verdana" w:cs="Arial"/>
          <w:color w:val="000000" w:themeColor="text1"/>
          <w:sz w:val="16"/>
          <w:szCs w:val="16"/>
        </w:rPr>
        <w:t>liquidatoria</w:t>
      </w:r>
      <w:proofErr w:type="spellEnd"/>
      <w:r w:rsidRPr="00224A89">
        <w:rPr>
          <w:rFonts w:ascii="Verdana" w:hAnsi="Verdana" w:cs="Arial"/>
          <w:color w:val="000000" w:themeColor="text1"/>
          <w:sz w:val="16"/>
          <w:szCs w:val="16"/>
        </w:rPr>
        <w:t>. En consecuencia, no se encontró probado un exceso de competencia del Gobierno Nacional en el sub judice</w:t>
      </w:r>
      <w:r>
        <w:rPr>
          <w:rFonts w:ascii="Verdana" w:hAnsi="Verdana" w:cs="Arial"/>
          <w:color w:val="000000" w:themeColor="text1"/>
          <w:sz w:val="16"/>
          <w:szCs w:val="16"/>
        </w:rPr>
        <w:t>”.</w:t>
      </w:r>
    </w:p>
    <w:p w14:paraId="6572F76B" w14:textId="77777777" w:rsidR="00351B00" w:rsidRPr="00224A89" w:rsidRDefault="00351B00" w:rsidP="00351B00">
      <w:pPr>
        <w:pStyle w:val="Textonotapie"/>
        <w:ind w:firstLine="708"/>
        <w:jc w:val="both"/>
        <w:rPr>
          <w:rFonts w:ascii="Verdana" w:hAnsi="Verdana" w:cs="Arial"/>
          <w:color w:val="000000" w:themeColor="text1"/>
          <w:sz w:val="16"/>
          <w:szCs w:val="16"/>
        </w:rPr>
      </w:pPr>
    </w:p>
  </w:footnote>
  <w:footnote w:id="23">
    <w:p w14:paraId="068AB697" w14:textId="77777777" w:rsidR="00351B00" w:rsidRPr="00224A89" w:rsidRDefault="00351B00" w:rsidP="00351B00">
      <w:pPr>
        <w:pStyle w:val="Textonotapie"/>
        <w:ind w:firstLine="708"/>
        <w:jc w:val="both"/>
        <w:rPr>
          <w:rFonts w:ascii="Verdana" w:hAnsi="Verdana" w:cs="Arial"/>
          <w:color w:val="000000" w:themeColor="text1"/>
          <w:sz w:val="16"/>
          <w:szCs w:val="16"/>
          <w:lang w:val="es-ES"/>
        </w:rPr>
      </w:pPr>
      <w:r w:rsidRPr="00224A89">
        <w:rPr>
          <w:rStyle w:val="Refdenotaalpie"/>
          <w:rFonts w:ascii="Verdana" w:hAnsi="Verdana" w:cs="Arial"/>
          <w:color w:val="000000" w:themeColor="text1"/>
          <w:sz w:val="16"/>
          <w:szCs w:val="16"/>
        </w:rPr>
        <w:footnoteRef/>
      </w:r>
      <w:r w:rsidRPr="00224A89">
        <w:rPr>
          <w:rFonts w:ascii="Verdana" w:hAnsi="Verdana" w:cs="Arial"/>
          <w:color w:val="000000" w:themeColor="text1"/>
          <w:sz w:val="16"/>
          <w:szCs w:val="16"/>
        </w:rPr>
        <w:t xml:space="preserve"> Consejo de Estado. </w:t>
      </w:r>
      <w:r>
        <w:rPr>
          <w:rFonts w:ascii="Verdana" w:hAnsi="Verdana" w:cs="Arial"/>
          <w:color w:val="000000" w:themeColor="text1"/>
          <w:sz w:val="16"/>
          <w:szCs w:val="16"/>
        </w:rPr>
        <w:t xml:space="preserve">Sala de lo Contencioso Administrativo. </w:t>
      </w:r>
      <w:r w:rsidRPr="00224A89">
        <w:rPr>
          <w:rFonts w:ascii="Verdana" w:hAnsi="Verdana" w:cs="Arial"/>
          <w:color w:val="000000" w:themeColor="text1"/>
          <w:sz w:val="16"/>
          <w:szCs w:val="16"/>
        </w:rPr>
        <w:t>Sección Tercera. Subsección C. Sentencia del 10 de octubre de 2016</w:t>
      </w:r>
      <w:r>
        <w:rPr>
          <w:rFonts w:ascii="Verdana" w:hAnsi="Verdana" w:cs="Arial"/>
          <w:color w:val="000000" w:themeColor="text1"/>
          <w:sz w:val="16"/>
          <w:szCs w:val="16"/>
        </w:rPr>
        <w:t xml:space="preserve">. </w:t>
      </w:r>
      <w:r w:rsidRPr="00224A89">
        <w:rPr>
          <w:rFonts w:ascii="Verdana" w:hAnsi="Verdana" w:cs="Arial"/>
          <w:color w:val="000000" w:themeColor="text1"/>
          <w:sz w:val="16"/>
          <w:szCs w:val="16"/>
        </w:rPr>
        <w:t>Radicado No. 11001-03-26-000-2015-00165-00</w:t>
      </w:r>
      <w:r>
        <w:rPr>
          <w:rFonts w:ascii="Verdana" w:hAnsi="Verdana" w:cs="Arial"/>
          <w:color w:val="000000" w:themeColor="text1"/>
          <w:sz w:val="16"/>
          <w:szCs w:val="16"/>
        </w:rPr>
        <w:t xml:space="preserve"> (</w:t>
      </w:r>
      <w:r w:rsidRPr="00224A89">
        <w:rPr>
          <w:rFonts w:ascii="Verdana" w:hAnsi="Verdana" w:cs="Arial"/>
          <w:color w:val="000000" w:themeColor="text1"/>
          <w:sz w:val="16"/>
          <w:szCs w:val="16"/>
        </w:rPr>
        <w:t>55.813</w:t>
      </w:r>
      <w:r>
        <w:rPr>
          <w:rFonts w:ascii="Verdana" w:hAnsi="Verdana" w:cs="Arial"/>
          <w:color w:val="000000" w:themeColor="text1"/>
          <w:sz w:val="16"/>
          <w:szCs w:val="16"/>
        </w:rPr>
        <w:t>)</w:t>
      </w:r>
      <w:r w:rsidRPr="00224A89">
        <w:rPr>
          <w:rFonts w:ascii="Verdana" w:hAnsi="Verdana" w:cs="Arial"/>
          <w:color w:val="000000" w:themeColor="text1"/>
          <w:sz w:val="16"/>
          <w:szCs w:val="16"/>
        </w:rPr>
        <w:t xml:space="preserve">. </w:t>
      </w:r>
      <w:r>
        <w:rPr>
          <w:rFonts w:ascii="Verdana" w:hAnsi="Verdana" w:cs="Arial"/>
          <w:color w:val="000000" w:themeColor="text1"/>
          <w:sz w:val="16"/>
          <w:szCs w:val="16"/>
        </w:rPr>
        <w:t>C</w:t>
      </w:r>
      <w:r w:rsidRPr="00224A89">
        <w:rPr>
          <w:rFonts w:ascii="Verdana" w:hAnsi="Verdana" w:cs="Arial"/>
          <w:color w:val="000000" w:themeColor="text1"/>
          <w:sz w:val="16"/>
          <w:szCs w:val="16"/>
        </w:rPr>
        <w:t>.P</w:t>
      </w:r>
      <w:r>
        <w:rPr>
          <w:rFonts w:ascii="Verdana" w:hAnsi="Verdana" w:cs="Arial"/>
          <w:color w:val="000000" w:themeColor="text1"/>
          <w:sz w:val="16"/>
          <w:szCs w:val="16"/>
        </w:rPr>
        <w:t>:</w:t>
      </w:r>
      <w:r w:rsidRPr="00224A89">
        <w:rPr>
          <w:rFonts w:ascii="Verdana" w:hAnsi="Verdana" w:cs="Arial"/>
          <w:color w:val="000000" w:themeColor="text1"/>
          <w:sz w:val="16"/>
          <w:szCs w:val="16"/>
        </w:rPr>
        <w:t xml:space="preserve"> Jaime Orlando Santofimio Gamboa.</w:t>
      </w:r>
    </w:p>
  </w:footnote>
  <w:footnote w:id="24">
    <w:p w14:paraId="128B75DB" w14:textId="77777777" w:rsidR="00351B00" w:rsidRPr="004F612A" w:rsidRDefault="00351B00" w:rsidP="00351B00">
      <w:pPr>
        <w:pStyle w:val="Textonotapie"/>
        <w:ind w:firstLine="708"/>
        <w:jc w:val="both"/>
        <w:rPr>
          <w:rFonts w:ascii="Verdana" w:hAnsi="Verdana" w:cs="Arial"/>
          <w:sz w:val="16"/>
          <w:szCs w:val="16"/>
        </w:rPr>
      </w:pPr>
      <w:r w:rsidRPr="00224A89">
        <w:rPr>
          <w:rStyle w:val="Refdenotaalpie"/>
          <w:rFonts w:ascii="Verdana" w:hAnsi="Verdana" w:cs="Arial"/>
          <w:sz w:val="16"/>
          <w:szCs w:val="16"/>
        </w:rPr>
        <w:footnoteRef/>
      </w:r>
      <w:r w:rsidRPr="00224A89">
        <w:rPr>
          <w:rFonts w:ascii="Verdana" w:hAnsi="Verdana" w:cs="Arial"/>
          <w:sz w:val="16"/>
          <w:szCs w:val="16"/>
        </w:rPr>
        <w:t xml:space="preserve"> Agencia Nacional de Contratación Pública – Colombia Compra Eficiente. Concepto CU-028 del 25 de febrero de 2020. Radicado de entrada No. 4202013000000460. Radicado de salida No. 2202013000001282.</w:t>
      </w:r>
    </w:p>
  </w:footnote>
  <w:footnote w:id="25">
    <w:p w14:paraId="0B35127A" w14:textId="77777777" w:rsidR="00351B00" w:rsidRDefault="00351B00" w:rsidP="00351B00">
      <w:pPr>
        <w:pStyle w:val="Textonotapie"/>
        <w:ind w:firstLine="708"/>
        <w:jc w:val="both"/>
        <w:rPr>
          <w:rFonts w:ascii="Verdana" w:hAnsi="Verdana" w:cs="Arial"/>
          <w:sz w:val="16"/>
          <w:szCs w:val="16"/>
        </w:rPr>
      </w:pPr>
      <w:r w:rsidRPr="00224A89">
        <w:rPr>
          <w:rStyle w:val="Refdenotaalpie"/>
          <w:rFonts w:ascii="Verdana" w:hAnsi="Verdana" w:cs="Arial"/>
          <w:sz w:val="16"/>
          <w:szCs w:val="16"/>
        </w:rPr>
        <w:footnoteRef/>
      </w:r>
      <w:r w:rsidRPr="00224A89">
        <w:rPr>
          <w:rFonts w:ascii="Verdana" w:hAnsi="Verdana" w:cs="Arial"/>
          <w:sz w:val="16"/>
          <w:szCs w:val="16"/>
        </w:rPr>
        <w:t xml:space="preserve"> </w:t>
      </w:r>
      <w:proofErr w:type="spellStart"/>
      <w:r w:rsidRPr="00224A89">
        <w:rPr>
          <w:rFonts w:ascii="Verdana" w:hAnsi="Verdana" w:cs="Arial"/>
          <w:i/>
          <w:iCs/>
          <w:sz w:val="16"/>
          <w:szCs w:val="16"/>
        </w:rPr>
        <w:t>Ibídem</w:t>
      </w:r>
      <w:proofErr w:type="spellEnd"/>
      <w:r w:rsidRPr="00224A89">
        <w:rPr>
          <w:rFonts w:ascii="Verdana" w:hAnsi="Verdana" w:cs="Arial"/>
          <w:sz w:val="16"/>
          <w:szCs w:val="16"/>
        </w:rPr>
        <w:t>.</w:t>
      </w:r>
    </w:p>
    <w:p w14:paraId="0E12837A" w14:textId="77777777" w:rsidR="00351B00" w:rsidRPr="001D6F6E" w:rsidRDefault="00351B00" w:rsidP="00351B00">
      <w:pPr>
        <w:pStyle w:val="Textonotapie"/>
        <w:ind w:firstLine="708"/>
        <w:jc w:val="both"/>
        <w:rPr>
          <w:rFonts w:ascii="Verdana" w:hAnsi="Verdana" w:cs="Arial"/>
          <w:sz w:val="16"/>
          <w:szCs w:val="16"/>
        </w:rPr>
      </w:pPr>
    </w:p>
  </w:footnote>
  <w:footnote w:id="26">
    <w:p w14:paraId="774A98CA" w14:textId="77777777" w:rsidR="00351B00" w:rsidRDefault="00351B00" w:rsidP="00351B00">
      <w:pPr>
        <w:pStyle w:val="Textonotapie"/>
        <w:ind w:firstLine="708"/>
        <w:jc w:val="both"/>
        <w:rPr>
          <w:rFonts w:ascii="Verdana" w:hAnsi="Verdana" w:cs="Arial"/>
          <w:bCs/>
          <w:sz w:val="16"/>
          <w:szCs w:val="16"/>
        </w:rPr>
      </w:pPr>
      <w:r w:rsidRPr="00224A89">
        <w:rPr>
          <w:rStyle w:val="Refdenotaalpie"/>
          <w:rFonts w:ascii="Verdana" w:hAnsi="Verdana" w:cs="Arial"/>
          <w:sz w:val="16"/>
          <w:szCs w:val="16"/>
        </w:rPr>
        <w:footnoteRef/>
      </w:r>
      <w:r w:rsidRPr="00224A89">
        <w:rPr>
          <w:rFonts w:ascii="Verdana" w:hAnsi="Verdana" w:cs="Arial"/>
          <w:sz w:val="16"/>
          <w:szCs w:val="16"/>
        </w:rPr>
        <w:t xml:space="preserve"> En este concepto se manifestó </w:t>
      </w:r>
      <w:r>
        <w:rPr>
          <w:rFonts w:ascii="Verdana" w:hAnsi="Verdana" w:cs="Arial"/>
          <w:sz w:val="16"/>
          <w:szCs w:val="16"/>
        </w:rPr>
        <w:t>“</w:t>
      </w:r>
      <w:r w:rsidRPr="00224A89">
        <w:rPr>
          <w:rFonts w:ascii="Verdana" w:hAnsi="Verdana" w:cs="Arial"/>
          <w:sz w:val="16"/>
          <w:szCs w:val="16"/>
        </w:rPr>
        <w:t xml:space="preserve">De acuerdo con los principios y disposiciones constitucionales, legales y reglamentarias citadas, la Sala considera que las entidades deben </w:t>
      </w:r>
      <w:proofErr w:type="gramStart"/>
      <w:r w:rsidRPr="00224A89">
        <w:rPr>
          <w:rFonts w:ascii="Verdana" w:hAnsi="Verdana" w:cs="Arial"/>
          <w:sz w:val="16"/>
          <w:szCs w:val="16"/>
        </w:rPr>
        <w:t>proceder a hacer</w:t>
      </w:r>
      <w:proofErr w:type="gramEnd"/>
      <w:r w:rsidRPr="00224A89">
        <w:rPr>
          <w:rFonts w:ascii="Verdana" w:hAnsi="Verdana" w:cs="Arial"/>
          <w:sz w:val="16"/>
          <w:szCs w:val="16"/>
        </w:rPr>
        <w:t xml:space="preserve"> el cierre del expediente del proceso de contratación incluso en aquellos casos en los cuales no se haya efectuado la liquidación del contrato, para efectos de establecer dentro de la entidad estatal el estado final de los contratos celebrados. Se trata de un trámite interno en el que, al menos, se haga un recuento del contenido del proceso de contratación surtido y que consta en el expediente, se relacione y compare lo ejecutado con lo pagado y se verifique el cumplimiento de las obligaciones posteriores a la finalización de la ejecución del contrato (garantías de estabilidad de la obra, calidad del bien o servicio suministrado, provisión de repuestos y accesorios, pago de salarios, prestaciones e indemnizaciones, a la responsabilidad civil o las condiciones de disposición final o recuperación ambiental de las obras o bienes), con el fin de proceder con el cierre y archivo del expediente y otros trámites a que haya lugar</w:t>
      </w:r>
      <w:r>
        <w:rPr>
          <w:rFonts w:ascii="Verdana" w:hAnsi="Verdana" w:cs="Arial"/>
          <w:sz w:val="16"/>
          <w:szCs w:val="16"/>
        </w:rPr>
        <w:t>”</w:t>
      </w:r>
      <w:r w:rsidRPr="00224A89">
        <w:rPr>
          <w:rFonts w:ascii="Verdana" w:hAnsi="Verdana" w:cs="Arial"/>
          <w:sz w:val="16"/>
          <w:szCs w:val="16"/>
        </w:rPr>
        <w:t xml:space="preserve"> (Consejo de Estado. Sala de Consulta y Servicio Civil. Concepto </w:t>
      </w:r>
      <w:r w:rsidRPr="00224A89">
        <w:rPr>
          <w:rFonts w:ascii="Verdana" w:hAnsi="Verdana" w:cs="Arial"/>
          <w:bCs/>
          <w:sz w:val="16"/>
          <w:szCs w:val="16"/>
        </w:rPr>
        <w:t xml:space="preserve">del 28 de junio de 2016. Radicado No. 2253. C.P. Álvaro Namén Vargas). </w:t>
      </w:r>
    </w:p>
    <w:p w14:paraId="03D46370" w14:textId="77777777" w:rsidR="00351B00" w:rsidRPr="001D6F6E" w:rsidRDefault="00351B00" w:rsidP="00351B00">
      <w:pPr>
        <w:pStyle w:val="Textonotapie"/>
        <w:ind w:firstLine="708"/>
        <w:jc w:val="both"/>
        <w:rPr>
          <w:rFonts w:ascii="Verdana" w:hAnsi="Verdana" w:cs="Arial"/>
          <w:bCs/>
          <w:sz w:val="16"/>
          <w:szCs w:val="16"/>
        </w:rPr>
      </w:pPr>
    </w:p>
  </w:footnote>
  <w:footnote w:id="27">
    <w:p w14:paraId="05F78274" w14:textId="77777777" w:rsidR="00351B00" w:rsidRPr="00224A89" w:rsidRDefault="00351B00" w:rsidP="00351B00">
      <w:pPr>
        <w:pStyle w:val="Textonotapie"/>
        <w:ind w:firstLine="708"/>
        <w:jc w:val="both"/>
        <w:rPr>
          <w:rFonts w:ascii="Verdana" w:hAnsi="Verdana" w:cs="Arial"/>
          <w:color w:val="000000" w:themeColor="text1"/>
          <w:sz w:val="16"/>
          <w:szCs w:val="16"/>
        </w:rPr>
      </w:pPr>
      <w:r w:rsidRPr="00224A89">
        <w:rPr>
          <w:rStyle w:val="Refdenotaalpie"/>
          <w:rFonts w:ascii="Verdana" w:hAnsi="Verdana" w:cs="Arial"/>
          <w:color w:val="000000" w:themeColor="text1"/>
          <w:sz w:val="16"/>
          <w:szCs w:val="16"/>
        </w:rPr>
        <w:footnoteRef/>
      </w:r>
      <w:r w:rsidRPr="00224A89">
        <w:rPr>
          <w:rFonts w:ascii="Verdana" w:hAnsi="Verdana" w:cs="Arial"/>
          <w:color w:val="000000" w:themeColor="text1"/>
          <w:sz w:val="16"/>
          <w:szCs w:val="16"/>
        </w:rPr>
        <w:t xml:space="preserve"> En esta ocasión, en relación el cierre del expediente contractual, la sala consultiva del Consejo de Estado expresó: </w:t>
      </w:r>
      <w:r>
        <w:rPr>
          <w:rFonts w:ascii="Verdana" w:hAnsi="Verdana" w:cs="Arial"/>
          <w:color w:val="000000" w:themeColor="text1"/>
          <w:sz w:val="16"/>
          <w:szCs w:val="16"/>
        </w:rPr>
        <w:t>“</w:t>
      </w:r>
      <w:r w:rsidRPr="00224A89">
        <w:rPr>
          <w:rFonts w:ascii="Verdana" w:hAnsi="Verdana" w:cs="Arial"/>
          <w:color w:val="000000" w:themeColor="text1"/>
          <w:sz w:val="16"/>
          <w:szCs w:val="16"/>
        </w:rPr>
        <w:t>Una interpretación sistemática y finalista de la norma, permite concluir que el trámite del cierre del expediente del proceso de contratación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p>
    <w:p w14:paraId="0354498D" w14:textId="77777777" w:rsidR="00351B00" w:rsidRPr="00224A89" w:rsidRDefault="00351B00" w:rsidP="00351B00">
      <w:pPr>
        <w:pStyle w:val="Textonotapie"/>
        <w:ind w:firstLine="708"/>
        <w:jc w:val="both"/>
        <w:rPr>
          <w:rFonts w:ascii="Verdana" w:hAnsi="Verdana" w:cs="Arial"/>
          <w:color w:val="000000" w:themeColor="text1"/>
          <w:sz w:val="16"/>
          <w:szCs w:val="16"/>
        </w:rPr>
      </w:pPr>
      <w:r>
        <w:rPr>
          <w:rFonts w:ascii="Verdana" w:hAnsi="Verdana" w:cs="Arial"/>
          <w:color w:val="000000" w:themeColor="text1"/>
          <w:sz w:val="16"/>
          <w:szCs w:val="16"/>
        </w:rPr>
        <w:t>L</w:t>
      </w:r>
      <w:r w:rsidRPr="00224A89">
        <w:rPr>
          <w:rFonts w:ascii="Verdana" w:hAnsi="Verdana" w:cs="Arial"/>
          <w:color w:val="000000" w:themeColor="text1"/>
          <w:sz w:val="16"/>
          <w:szCs w:val="16"/>
        </w:rPr>
        <w:t>as entidades pueden y deben proceder al cierre y archivo del expediente del proceso de contratación, en los términos citados, incluso en aquellos casos en los cuales no se haya efectuado la liquidación del contrato, como un tipo de constancia, que en forma alguna puede constituirse en una liquidación extemporánea del contrato o revivir términos que ya precluyeron, pues cualquier acto en este sentido estaría afectado de nulidad.</w:t>
      </w:r>
    </w:p>
    <w:p w14:paraId="53965C8B" w14:textId="77777777" w:rsidR="00351B00" w:rsidRPr="00224A89" w:rsidRDefault="00351B00" w:rsidP="00351B00">
      <w:pPr>
        <w:pStyle w:val="Textonotapie"/>
        <w:ind w:firstLine="708"/>
        <w:jc w:val="both"/>
        <w:rPr>
          <w:rFonts w:ascii="Verdana" w:hAnsi="Verdana" w:cs="Arial"/>
          <w:color w:val="000000" w:themeColor="text1"/>
          <w:sz w:val="16"/>
          <w:szCs w:val="16"/>
          <w:lang w:val="es-ES"/>
        </w:rPr>
      </w:pPr>
      <w:r w:rsidRPr="00224A89">
        <w:rPr>
          <w:rFonts w:ascii="Verdana" w:hAnsi="Verdana" w:cs="Arial"/>
          <w:color w:val="000000" w:themeColor="text1"/>
          <w:sz w:val="16"/>
          <w:szCs w:val="16"/>
        </w:rPr>
        <w:t>En efecto, el archivo del expediente debe entenderse como una actuación interna y de trámite, que no comporta la expedición de un acto administrativo de carácter contractual, en el que se puedan determinar las obligaciones a cargo de cada una de las partes; acto para cuya expedición no existiría competencia de la entidad dada su extemporaneidad</w:t>
      </w:r>
      <w:r>
        <w:rPr>
          <w:rFonts w:ascii="Verdana" w:hAnsi="Verdana" w:cs="Arial"/>
          <w:color w:val="000000" w:themeColor="text1"/>
          <w:sz w:val="16"/>
          <w:szCs w:val="16"/>
        </w:rPr>
        <w:t>”</w:t>
      </w:r>
      <w:r w:rsidRPr="00224A89">
        <w:rPr>
          <w:rFonts w:ascii="Verdana" w:hAnsi="Verdana" w:cs="Arial"/>
          <w:color w:val="000000" w:themeColor="text1"/>
          <w:sz w:val="16"/>
          <w:szCs w:val="16"/>
        </w:rPr>
        <w:t xml:space="preserve">. (Consejo de Estado. Sala de Consulta y Servicio Civil. Concepto del 8 de marzo de 2017. Radicado No. 2298. </w:t>
      </w:r>
      <w:r w:rsidRPr="00224A89">
        <w:rPr>
          <w:rFonts w:ascii="Verdana" w:hAnsi="Verdana" w:cs="Arial"/>
          <w:color w:val="000000" w:themeColor="text1"/>
          <w:sz w:val="16"/>
          <w:szCs w:val="16"/>
          <w:lang w:val="es-ES"/>
        </w:rPr>
        <w:t>C.P. Consejo de Estado. Sala de Consulta y Servicio Civil. M.P. Edgar González López).</w:t>
      </w:r>
    </w:p>
  </w:footnote>
  <w:footnote w:id="28">
    <w:p w14:paraId="4A6934C9" w14:textId="77777777" w:rsidR="00351B00" w:rsidRDefault="00351B00" w:rsidP="00351B00">
      <w:pPr>
        <w:pStyle w:val="Textonotapie"/>
        <w:ind w:firstLine="708"/>
        <w:jc w:val="both"/>
        <w:rPr>
          <w:rFonts w:ascii="Verdana" w:hAnsi="Verdana" w:cs="Arial"/>
          <w:sz w:val="16"/>
          <w:szCs w:val="16"/>
        </w:rPr>
      </w:pPr>
      <w:r w:rsidRPr="00224A89">
        <w:rPr>
          <w:rStyle w:val="Refdenotaalpie"/>
          <w:rFonts w:ascii="Verdana" w:hAnsi="Verdana" w:cs="Arial"/>
          <w:sz w:val="16"/>
          <w:szCs w:val="16"/>
        </w:rPr>
        <w:footnoteRef/>
      </w:r>
      <w:r w:rsidRPr="00224A89">
        <w:rPr>
          <w:rFonts w:ascii="Verdana" w:hAnsi="Verdana" w:cs="Arial"/>
          <w:sz w:val="16"/>
          <w:szCs w:val="16"/>
        </w:rPr>
        <w:t xml:space="preserve"> Agencia Nacional de Contratación Pública – Colombia Compra Eficiente. Concepto CU-028 del 25 de febrero de 2020. Radicado de entrada No. 4202013000000460. Radicado de salida No. 2202013000001282.</w:t>
      </w:r>
    </w:p>
    <w:p w14:paraId="411AF044" w14:textId="77777777" w:rsidR="00351B00" w:rsidRPr="00224A89" w:rsidRDefault="00351B00" w:rsidP="00351B00">
      <w:pPr>
        <w:pStyle w:val="Textonotapie"/>
        <w:ind w:firstLine="708"/>
        <w:jc w:val="both"/>
        <w:rPr>
          <w:rFonts w:ascii="Verdana" w:hAnsi="Verdana" w:cs="Arial"/>
          <w:sz w:val="16"/>
          <w:szCs w:val="16"/>
          <w:lang w:val="es-CO"/>
        </w:rPr>
      </w:pPr>
    </w:p>
  </w:footnote>
  <w:footnote w:id="29">
    <w:p w14:paraId="41803419" w14:textId="77777777" w:rsidR="00351B00" w:rsidRPr="00773856" w:rsidRDefault="00351B00" w:rsidP="00351B00">
      <w:pPr>
        <w:pStyle w:val="Textonotapie"/>
        <w:ind w:firstLine="708"/>
        <w:jc w:val="both"/>
        <w:rPr>
          <w:rFonts w:ascii="Verdana" w:hAnsi="Verdana"/>
          <w:bCs/>
          <w:sz w:val="16"/>
          <w:szCs w:val="16"/>
          <w:lang w:val="es-ES_tradnl"/>
        </w:rPr>
      </w:pPr>
      <w:r w:rsidRPr="00CE714B">
        <w:rPr>
          <w:rStyle w:val="Refdenotaalpie"/>
          <w:rFonts w:ascii="Verdana" w:hAnsi="Verdana"/>
          <w:sz w:val="16"/>
          <w:szCs w:val="16"/>
        </w:rPr>
        <w:footnoteRef/>
      </w:r>
      <w:r w:rsidRPr="00CE714B">
        <w:rPr>
          <w:rFonts w:ascii="Verdana" w:hAnsi="Verdana"/>
          <w:sz w:val="16"/>
          <w:szCs w:val="16"/>
        </w:rPr>
        <w:t xml:space="preserve"> </w:t>
      </w:r>
      <w:r>
        <w:rPr>
          <w:rFonts w:ascii="Verdana" w:hAnsi="Verdana"/>
          <w:sz w:val="16"/>
          <w:szCs w:val="16"/>
        </w:rPr>
        <w:t>Como se explicó en el Concepto C-1224 del 25 de septiembre de 2025, “</w:t>
      </w:r>
      <w:r w:rsidRPr="00773856">
        <w:rPr>
          <w:rFonts w:ascii="Verdana" w:hAnsi="Verdana"/>
          <w:bCs/>
          <w:sz w:val="16"/>
          <w:szCs w:val="16"/>
          <w:lang w:val="es-ES_tradnl"/>
        </w:rPr>
        <w:t xml:space="preserve">Si bien los manuales de contratación tienen una connotación especial en las </w:t>
      </w:r>
      <w:r w:rsidRPr="00773856">
        <w:rPr>
          <w:rFonts w:ascii="Verdana" w:hAnsi="Verdana"/>
          <w:bCs/>
          <w:i/>
          <w:iCs/>
          <w:sz w:val="16"/>
          <w:szCs w:val="16"/>
          <w:lang w:val="es-ES_tradnl"/>
        </w:rPr>
        <w:t>entidades de régimen exceptuado</w:t>
      </w:r>
      <w:r>
        <w:rPr>
          <w:rFonts w:ascii="Verdana" w:hAnsi="Verdana"/>
          <w:bCs/>
          <w:sz w:val="16"/>
          <w:szCs w:val="16"/>
          <w:lang w:val="es-ES_tradnl"/>
        </w:rPr>
        <w:t xml:space="preserve"> […]</w:t>
      </w:r>
      <w:r w:rsidRPr="00773856">
        <w:rPr>
          <w:rFonts w:ascii="Verdana" w:hAnsi="Verdana"/>
          <w:bCs/>
          <w:sz w:val="16"/>
          <w:szCs w:val="16"/>
          <w:lang w:val="es-ES_tradnl"/>
        </w:rPr>
        <w:t xml:space="preserve">, también juegan un rol relevante para las </w:t>
      </w:r>
      <w:r w:rsidRPr="00773856">
        <w:rPr>
          <w:rFonts w:ascii="Verdana" w:hAnsi="Verdana"/>
          <w:bCs/>
          <w:i/>
          <w:iCs/>
          <w:sz w:val="16"/>
          <w:szCs w:val="16"/>
          <w:lang w:val="es-ES_tradnl"/>
        </w:rPr>
        <w:t>entidades sometidas a la Ley 80 de 1993</w:t>
      </w:r>
      <w:r w:rsidRPr="00773856">
        <w:rPr>
          <w:rFonts w:ascii="Verdana" w:hAnsi="Verdana"/>
          <w:bCs/>
          <w:sz w:val="16"/>
          <w:szCs w:val="16"/>
          <w:lang w:val="es-ES_tradnl"/>
        </w:rPr>
        <w:t>. En este último caso, aunque gran parte de los aspectos relacionados con la gestión contractual se encuentran en el EGCAP y en decretos que lo desarrollan, dichos manuales establecen flujogramas en la estructuración de los procesos; asignan responsabilidades específicas en la proyección, revisión y aprobación de los documentos; unifican y estandarizan trámites internos; fijan directrices respecto a la gestión de los procesos y la ejecución de los contratos; entre otros.</w:t>
      </w:r>
    </w:p>
    <w:p w14:paraId="6E5B834A" w14:textId="77777777" w:rsidR="00351B00" w:rsidRPr="00773856" w:rsidRDefault="00351B00" w:rsidP="00351B00">
      <w:pPr>
        <w:pStyle w:val="Textonotapie"/>
        <w:ind w:firstLine="708"/>
        <w:jc w:val="both"/>
        <w:rPr>
          <w:rFonts w:ascii="Verdana" w:hAnsi="Verdana"/>
          <w:bCs/>
          <w:sz w:val="16"/>
          <w:szCs w:val="16"/>
          <w:lang w:val="es-ES_tradnl"/>
        </w:rPr>
      </w:pPr>
      <w:r w:rsidRPr="00773856">
        <w:rPr>
          <w:rFonts w:ascii="Verdana" w:hAnsi="Verdana"/>
          <w:bCs/>
          <w:sz w:val="16"/>
          <w:szCs w:val="16"/>
          <w:lang w:val="es-ES_tradnl"/>
        </w:rPr>
        <w:t xml:space="preserve">Al estar subordinados a la ley y al reglamento, los manuales de contratación de las </w:t>
      </w:r>
      <w:r w:rsidRPr="00773856">
        <w:rPr>
          <w:rFonts w:ascii="Verdana" w:hAnsi="Verdana"/>
          <w:bCs/>
          <w:i/>
          <w:iCs/>
          <w:sz w:val="16"/>
          <w:szCs w:val="16"/>
          <w:lang w:val="es-ES_tradnl"/>
        </w:rPr>
        <w:t>entidades sometidas a la Ley 80 de 1993</w:t>
      </w:r>
      <w:r w:rsidRPr="00773856">
        <w:rPr>
          <w:rFonts w:ascii="Verdana" w:hAnsi="Verdana"/>
          <w:bCs/>
          <w:sz w:val="16"/>
          <w:szCs w:val="16"/>
          <w:lang w:val="es-ES_tradnl"/>
        </w:rPr>
        <w:t xml:space="preserve"> no pueden modificar aspectos como </w:t>
      </w:r>
      <w:r w:rsidRPr="00773856">
        <w:rPr>
          <w:rFonts w:ascii="Verdana" w:hAnsi="Verdana"/>
          <w:sz w:val="16"/>
          <w:szCs w:val="16"/>
          <w:lang w:val="es-CO"/>
        </w:rPr>
        <w:t>la capacidad jurídica –inhabilidades, incompatibilidades, consorcios y uniones temporales y registro único de proponentes–, la competencia para contratar, las reglas de selección objetiva –procedimientos de selección–, el régimen de perfeccionamiento del contrato, así como algunos aspectos de ejecución contractual –manejo del riesgo, cláusulas exorbitantes, tipologías contractuales y garantías–. Sin embargo, siempre que estén en consonancia con las normas de carácter superior, pueden regular aspectos operativos de la gestión de procesos y contratos al interior de la entidad</w:t>
      </w:r>
      <w:r>
        <w:rPr>
          <w:rFonts w:ascii="Verdana" w:hAnsi="Verdana"/>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7642455"/>
    <w:multiLevelType w:val="hybridMultilevel"/>
    <w:tmpl w:val="F9CA7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9"/>
  </w:num>
  <w:num w:numId="16" w16cid:durableId="341274352">
    <w:abstractNumId w:val="0"/>
  </w:num>
  <w:num w:numId="17" w16cid:durableId="1033505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B6BDE"/>
    <w:rsid w:val="000C215B"/>
    <w:rsid w:val="000D0334"/>
    <w:rsid w:val="000D5DA7"/>
    <w:rsid w:val="000F6486"/>
    <w:rsid w:val="00116940"/>
    <w:rsid w:val="00125105"/>
    <w:rsid w:val="00127233"/>
    <w:rsid w:val="0015699B"/>
    <w:rsid w:val="001A33BF"/>
    <w:rsid w:val="001E4177"/>
    <w:rsid w:val="001F0B24"/>
    <w:rsid w:val="001F7DC6"/>
    <w:rsid w:val="0022400B"/>
    <w:rsid w:val="002421BB"/>
    <w:rsid w:val="00256FAC"/>
    <w:rsid w:val="0025796E"/>
    <w:rsid w:val="002707A2"/>
    <w:rsid w:val="002951A0"/>
    <w:rsid w:val="002962BC"/>
    <w:rsid w:val="002A093D"/>
    <w:rsid w:val="002A0DD0"/>
    <w:rsid w:val="002A49AC"/>
    <w:rsid w:val="002A64FD"/>
    <w:rsid w:val="002C7A84"/>
    <w:rsid w:val="002E2997"/>
    <w:rsid w:val="002E2BF8"/>
    <w:rsid w:val="002E4FD9"/>
    <w:rsid w:val="0030657A"/>
    <w:rsid w:val="00322A85"/>
    <w:rsid w:val="00324168"/>
    <w:rsid w:val="00330834"/>
    <w:rsid w:val="003448F4"/>
    <w:rsid w:val="00351B00"/>
    <w:rsid w:val="00374F5E"/>
    <w:rsid w:val="00377E3E"/>
    <w:rsid w:val="00380E0F"/>
    <w:rsid w:val="003A779E"/>
    <w:rsid w:val="003C3686"/>
    <w:rsid w:val="003D0F4D"/>
    <w:rsid w:val="003D5B0D"/>
    <w:rsid w:val="003E0499"/>
    <w:rsid w:val="003E4F80"/>
    <w:rsid w:val="003E6439"/>
    <w:rsid w:val="003F3941"/>
    <w:rsid w:val="00406575"/>
    <w:rsid w:val="00414C74"/>
    <w:rsid w:val="0042722E"/>
    <w:rsid w:val="0044528D"/>
    <w:rsid w:val="00466E39"/>
    <w:rsid w:val="004A1847"/>
    <w:rsid w:val="004A305D"/>
    <w:rsid w:val="004B005B"/>
    <w:rsid w:val="004F21C4"/>
    <w:rsid w:val="004F685F"/>
    <w:rsid w:val="005521F9"/>
    <w:rsid w:val="005566E8"/>
    <w:rsid w:val="00574867"/>
    <w:rsid w:val="00591460"/>
    <w:rsid w:val="005A65E0"/>
    <w:rsid w:val="005A7BF9"/>
    <w:rsid w:val="005C3777"/>
    <w:rsid w:val="005C5CDC"/>
    <w:rsid w:val="005D476C"/>
    <w:rsid w:val="006200BF"/>
    <w:rsid w:val="006219F8"/>
    <w:rsid w:val="00622AEC"/>
    <w:rsid w:val="006247E9"/>
    <w:rsid w:val="006302F7"/>
    <w:rsid w:val="00646B9F"/>
    <w:rsid w:val="00665D70"/>
    <w:rsid w:val="00670238"/>
    <w:rsid w:val="0068498E"/>
    <w:rsid w:val="006900D9"/>
    <w:rsid w:val="00695C6D"/>
    <w:rsid w:val="00706C16"/>
    <w:rsid w:val="007105AE"/>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377A8"/>
    <w:rsid w:val="00844AE9"/>
    <w:rsid w:val="00867F95"/>
    <w:rsid w:val="008843B6"/>
    <w:rsid w:val="00891928"/>
    <w:rsid w:val="008A2689"/>
    <w:rsid w:val="008A446D"/>
    <w:rsid w:val="008B25F1"/>
    <w:rsid w:val="008D180B"/>
    <w:rsid w:val="008F0EA7"/>
    <w:rsid w:val="00923EEF"/>
    <w:rsid w:val="009419F9"/>
    <w:rsid w:val="0095685E"/>
    <w:rsid w:val="00961B09"/>
    <w:rsid w:val="00965334"/>
    <w:rsid w:val="0097093E"/>
    <w:rsid w:val="009A0DFA"/>
    <w:rsid w:val="009A1C6F"/>
    <w:rsid w:val="009B2D26"/>
    <w:rsid w:val="009B45C3"/>
    <w:rsid w:val="009C71FA"/>
    <w:rsid w:val="009C72E7"/>
    <w:rsid w:val="009C7F7E"/>
    <w:rsid w:val="009D3058"/>
    <w:rsid w:val="009F3A13"/>
    <w:rsid w:val="00A122D3"/>
    <w:rsid w:val="00A14468"/>
    <w:rsid w:val="00A17F13"/>
    <w:rsid w:val="00A20739"/>
    <w:rsid w:val="00A23AF9"/>
    <w:rsid w:val="00A33C78"/>
    <w:rsid w:val="00A8688C"/>
    <w:rsid w:val="00AB0ADB"/>
    <w:rsid w:val="00B00C0E"/>
    <w:rsid w:val="00B01B1A"/>
    <w:rsid w:val="00B0381D"/>
    <w:rsid w:val="00B25EDA"/>
    <w:rsid w:val="00B44A47"/>
    <w:rsid w:val="00B72CD3"/>
    <w:rsid w:val="00B72FFF"/>
    <w:rsid w:val="00B81828"/>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2142E"/>
    <w:rsid w:val="00D361FD"/>
    <w:rsid w:val="00D37928"/>
    <w:rsid w:val="00D423A2"/>
    <w:rsid w:val="00D44E26"/>
    <w:rsid w:val="00D520D8"/>
    <w:rsid w:val="00D63AC2"/>
    <w:rsid w:val="00D7073B"/>
    <w:rsid w:val="00D7383B"/>
    <w:rsid w:val="00D7788A"/>
    <w:rsid w:val="00DA231B"/>
    <w:rsid w:val="00DA32FF"/>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93523"/>
    <w:rsid w:val="00E978D2"/>
    <w:rsid w:val="00EA0E3D"/>
    <w:rsid w:val="00EC38A7"/>
    <w:rsid w:val="00EE1AA8"/>
    <w:rsid w:val="00EE399D"/>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51B00"/>
    <w:rPr>
      <w:rFonts w:ascii="Geomanist Light" w:hAnsi="Geomanist Light"/>
      <w:lang w:val="es-ES"/>
    </w:rPr>
  </w:style>
  <w:style w:type="paragraph" w:customStyle="1" w:styleId="Appelnotedebasde">
    <w:name w:val="Appel note de bas de..."/>
    <w:basedOn w:val="Normal"/>
    <w:link w:val="Refdenotaalpie"/>
    <w:uiPriority w:val="99"/>
    <w:rsid w:val="00351B00"/>
    <w:pPr>
      <w:spacing w:line="240" w:lineRule="exact"/>
    </w:pPr>
    <w:rPr>
      <w:vertAlign w:val="superscript"/>
    </w:rPr>
  </w:style>
  <w:style w:type="character" w:styleId="nfasis">
    <w:name w:val="Emphasis"/>
    <w:basedOn w:val="Fuentedeprrafopredeter"/>
    <w:uiPriority w:val="20"/>
    <w:qFormat/>
    <w:rsid w:val="00351B00"/>
    <w:rPr>
      <w:i/>
      <w:iCs/>
    </w:rPr>
  </w:style>
  <w:style w:type="character" w:customStyle="1" w:styleId="s15">
    <w:name w:val="s15"/>
    <w:basedOn w:val="Fuentedeprrafopredeter"/>
    <w:rsid w:val="00351B00"/>
  </w:style>
  <w:style w:type="character" w:customStyle="1" w:styleId="NormalWebCar">
    <w:name w:val="Normal (Web) Car"/>
    <w:link w:val="NormalWeb"/>
    <w:uiPriority w:val="99"/>
    <w:locked/>
    <w:rsid w:val="00351B00"/>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351B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operaciones.colombiacompra.gov.co/sites/cce_public/files/cce_documents/cce_guia_liquidacion_procesos.pdf" TargetMode="External"/><Relationship Id="rId17" Type="http://schemas.openxmlformats.org/officeDocument/2006/relationships/hyperlink" Target="https://nam02.safelinks.protection.outlook.com/?url=https%3A%2F%2Fwww.colombiacompra.gov.co%2Farchivos%2Fboletin%2Fboletin-edicion-n-3-de-2026-radar-de-la-compra-publica&amp;data=05%7C02%7Cesperanza.contreras%40colombiacompra.gov.co%7C7128555136e04fa6887d08dee99e1b50%7C7b09041e245149d08cb179d5e3d8c1be%7C0%7C0%7C639205062485178807%7CUnknown%7CTWFpbGZsb3d8eyJFbXB0eU1hcGkiOnRydWUsIlYiOiIwLjAuMDAwMCIsIlAiOiJXaW4zMiIsIkFOIjoiTWFpbCIsIldUIjoyfQ%3D%3D%7C0%7C%7C%7C&amp;sdata=KExWmxKYC15dvy2jid%2B7icvX72jaaIwv%2FUvWJBWDhBM%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esperanza.contreras%40colombiacompra.gov.co%7C7128555136e04fa6887d08dee99e1b50%7C7b09041e245149d08cb179d5e3d8c1be%7C0%7C0%7C639205062485163401%7CUnknown%7CTWFpbGZsb3d8eyJFbXB0eU1hcGkiOnRydWUsIlYiOiIwLjAuMDAwMCIsIlAiOiJXaW4zMiIsIkFOIjoiTWFpbCIsIldUIjoyfQ%3D%3D%7C0%7C%7C%7C&amp;sdata=dPUVvFXdjvXbzKwhb4CxB8iVxGYr%2BrUIGKHRaYfEtmY%3D&amp;reserved=0"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wer.rivera@gmail.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esperanza.contreras%40colombiacompra.gov.co%7C7128555136e04fa6887d08dee99e1b50%7C7b09041e245149d08cb179d5e3d8c1be%7C0%7C0%7C639205062485135726%7CUnknown%7CTWFpbGZsb3d8eyJFbXB0eU1hcGkiOnRydWUsIlYiOiIwLjAuMDAwMCIsIlAiOiJXaW4zMiIsIkFOIjoiTWFpbCIsIldUIjoyfQ%3D%3D%7C0%7C%7C%7C&amp;sdata=4Es%2BEbneNUJS7UkXWiNoLQ4L8kTy804yLg5KKyYtV%2Fs%3D&amp;reserved=0"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esperanza.contreras%40colombiacompra.gov.co%7C7128555136e04fa6887d08dee99e1b50%7C7b09041e245149d08cb179d5e3d8c1be%7C0%7C0%7C639205062485036641%7CUnknown%7CTWFpbGZsb3d8eyJFbXB0eU1hcGkiOnRydWUsIlYiOiIwLjAuMDAwMCIsIlAiOiJXaW4zMiIsIkFOIjoiTWFpbCIsIldUIjoyfQ%3D%3D%7C0%7C%7C%7C&amp;sdata=AnypC5I3TGh%2BWml%2BUt7T2E%2FXP7eZzrcFMomcr6q4cfE%3D&amp;reserved=0"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operaciones.colombiacompra.gov.co/sites/cce_public/files/cce_documents/cce_guia_liquidacion_proceso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965DB1-B140-442C-AE0E-2D8D2A17B46E}"/>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38</TotalTime>
  <Pages>30</Pages>
  <Words>10040</Words>
  <Characters>55225</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3</cp:revision>
  <cp:lastPrinted>2023-01-10T21:18:00Z</cp:lastPrinted>
  <dcterms:created xsi:type="dcterms:W3CDTF">2026-08-13T16:27:00Z</dcterms:created>
  <dcterms:modified xsi:type="dcterms:W3CDTF">2026-08-14T02:54:00Z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