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A2ADB" w14:textId="77777777" w:rsidR="00614529" w:rsidRPr="000B1F14" w:rsidRDefault="00614529" w:rsidP="00614529">
      <w:pPr>
        <w:spacing w:line="240" w:lineRule="auto"/>
        <w:jc w:val="both"/>
        <w:rPr>
          <w:rFonts w:ascii="Verdana" w:eastAsia="Calibri" w:hAnsi="Verdana" w:cs="Arial"/>
          <w:b/>
          <w:bCs/>
          <w:color w:val="000000" w:themeColor="text1"/>
        </w:rPr>
      </w:pPr>
      <w:bookmarkStart w:id="0" w:name="_Hlk143780582"/>
      <w:r w:rsidRPr="000B1F14">
        <w:rPr>
          <w:rFonts w:ascii="Verdana" w:eastAsia="Calibri" w:hAnsi="Verdana" w:cs="Arial"/>
          <w:b/>
          <w:bCs/>
          <w:color w:val="000000" w:themeColor="text1"/>
        </w:rPr>
        <w:t>INTERVENTORÍA – Características</w:t>
      </w:r>
    </w:p>
    <w:p w14:paraId="111AE8FB" w14:textId="77777777" w:rsidR="00614529" w:rsidRPr="000B1F14" w:rsidRDefault="00614529" w:rsidP="00614529">
      <w:pPr>
        <w:spacing w:line="240" w:lineRule="auto"/>
        <w:jc w:val="both"/>
        <w:rPr>
          <w:rFonts w:ascii="Verdana" w:eastAsia="Calibri" w:hAnsi="Verdana" w:cs="Arial"/>
          <w:color w:val="000000" w:themeColor="text1"/>
          <w:sz w:val="20"/>
          <w:szCs w:val="20"/>
        </w:rPr>
      </w:pPr>
      <w:r w:rsidRPr="000B1F14">
        <w:rPr>
          <w:rFonts w:ascii="Verdana" w:eastAsia="Calibri" w:hAnsi="Verdana" w:cs="Arial"/>
          <w:color w:val="000000" w:themeColor="text1"/>
          <w:sz w:val="20"/>
          <w:szCs w:val="20"/>
        </w:rPr>
        <w:t>De este modo, la interventoría: i) será un mecanismo de vigilancia contingente en la medida que solo es obligatorio para el seguimiento de los contratos de obra adjudicados por licitación pública ‒art. 32, numeral 1, Ley 80 de 1993‒; en los demás casos se requerirá</w:t>
      </w:r>
      <w:r>
        <w:rPr>
          <w:rFonts w:ascii="Verdana" w:eastAsia="Calibri" w:hAnsi="Verdana" w:cs="Arial"/>
          <w:color w:val="000000" w:themeColor="text1"/>
          <w:sz w:val="20"/>
          <w:szCs w:val="20"/>
        </w:rPr>
        <w:t xml:space="preserve"> </w:t>
      </w:r>
      <w:r w:rsidRPr="000B1F14">
        <w:rPr>
          <w:rFonts w:ascii="Verdana" w:eastAsia="Calibri" w:hAnsi="Verdana" w:cs="Arial"/>
          <w:color w:val="000000" w:themeColor="text1"/>
          <w:sz w:val="20"/>
          <w:szCs w:val="20"/>
        </w:rPr>
        <w:t>cuando</w:t>
      </w:r>
      <w:r>
        <w:rPr>
          <w:rFonts w:ascii="Verdana" w:eastAsia="Calibri" w:hAnsi="Verdana" w:cs="Arial"/>
          <w:color w:val="000000" w:themeColor="text1"/>
          <w:sz w:val="20"/>
          <w:szCs w:val="20"/>
        </w:rPr>
        <w:t xml:space="preserve"> </w:t>
      </w:r>
      <w:r w:rsidRPr="000B1F14">
        <w:rPr>
          <w:rFonts w:ascii="Verdana" w:eastAsia="Calibri" w:hAnsi="Verdana" w:cs="Arial"/>
          <w:color w:val="000000" w:themeColor="text1"/>
          <w:sz w:val="20"/>
          <w:szCs w:val="20"/>
        </w:rPr>
        <w:t>“el</w:t>
      </w:r>
      <w:r w:rsidRPr="000B1F14">
        <w:rPr>
          <w:rFonts w:ascii="Verdana" w:eastAsia="Calibri" w:hAnsi="Verdana" w:cs="Arial"/>
          <w:color w:val="000000" w:themeColor="text1"/>
          <w:sz w:val="20"/>
          <w:szCs w:val="20"/>
        </w:rPr>
        <w:tab/>
        <w:t>seguimiento</w:t>
      </w:r>
      <w:r>
        <w:rPr>
          <w:rFonts w:ascii="Verdana" w:eastAsia="Calibri" w:hAnsi="Verdana" w:cs="Arial"/>
          <w:color w:val="000000" w:themeColor="text1"/>
          <w:sz w:val="20"/>
          <w:szCs w:val="20"/>
        </w:rPr>
        <w:t xml:space="preserve"> </w:t>
      </w:r>
      <w:r w:rsidRPr="000B1F14">
        <w:rPr>
          <w:rFonts w:ascii="Verdana" w:eastAsia="Calibri" w:hAnsi="Verdana" w:cs="Arial"/>
          <w:color w:val="000000" w:themeColor="text1"/>
          <w:sz w:val="20"/>
          <w:szCs w:val="20"/>
        </w:rPr>
        <w:t>del</w:t>
      </w:r>
      <w:r>
        <w:rPr>
          <w:rFonts w:ascii="Verdana" w:eastAsia="Calibri" w:hAnsi="Verdana" w:cs="Arial"/>
          <w:color w:val="000000" w:themeColor="text1"/>
          <w:sz w:val="20"/>
          <w:szCs w:val="20"/>
        </w:rPr>
        <w:t xml:space="preserve"> </w:t>
      </w:r>
      <w:r w:rsidRPr="000B1F14">
        <w:rPr>
          <w:rFonts w:ascii="Verdana" w:eastAsia="Calibri" w:hAnsi="Verdana" w:cs="Arial"/>
          <w:color w:val="000000" w:themeColor="text1"/>
          <w:sz w:val="20"/>
          <w:szCs w:val="20"/>
        </w:rPr>
        <w:t>contrato</w:t>
      </w:r>
      <w:r>
        <w:rPr>
          <w:rFonts w:ascii="Verdana" w:eastAsia="Calibri" w:hAnsi="Verdana" w:cs="Arial"/>
          <w:color w:val="000000" w:themeColor="text1"/>
          <w:sz w:val="20"/>
          <w:szCs w:val="20"/>
        </w:rPr>
        <w:t xml:space="preserve"> </w:t>
      </w:r>
      <w:r w:rsidRPr="000B1F14">
        <w:rPr>
          <w:rFonts w:ascii="Verdana" w:eastAsia="Calibri" w:hAnsi="Verdana" w:cs="Arial"/>
          <w:color w:val="000000" w:themeColor="text1"/>
          <w:sz w:val="20"/>
          <w:szCs w:val="20"/>
        </w:rPr>
        <w:t>suponga conocimiento especializado en la materia, o cuando la complejidad o la extensión de este lo justifiquen” ‒art. 83, Ley 1474 de 2011‒. ii) Este mecanismo de vigilancia exige, en su ejecución, la utilización de conocimientos especializados. iii) Por lo anterior, la entidad contrata un experto, en principio, a través de un concurso de méritos, al tratarse la interventoría de una especie del contrato de consultoría ‒art. 32, numeral 2, inciso 2, Ley 80 de 19931‒, de manera que la interventoría es realizada por una “persona natural o jurídica contratada para tal fin por la Entidad Estatal” ‒art. 83,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3‒. Finalmente, vi) el contrato de interventoría será supervisado directamente por la entidad ‒art. 83, inciso 4.</w:t>
      </w:r>
    </w:p>
    <w:p w14:paraId="50689B5B" w14:textId="77777777" w:rsidR="00614529" w:rsidRPr="000B1F14" w:rsidRDefault="00614529" w:rsidP="00614529">
      <w:pPr>
        <w:spacing w:line="240" w:lineRule="auto"/>
        <w:jc w:val="both"/>
        <w:rPr>
          <w:rFonts w:ascii="Verdana" w:eastAsia="Calibri" w:hAnsi="Verdana" w:cs="Arial"/>
          <w:color w:val="000000" w:themeColor="text1"/>
          <w:sz w:val="20"/>
          <w:szCs w:val="20"/>
        </w:rPr>
      </w:pPr>
      <w:r w:rsidRPr="000B1F14">
        <w:rPr>
          <w:rFonts w:ascii="Verdana" w:eastAsia="Calibri" w:hAnsi="Verdana" w:cs="Arial"/>
          <w:b/>
          <w:bCs/>
          <w:color w:val="000000" w:themeColor="text1"/>
        </w:rPr>
        <w:t>CONTRATOS DE INTERVENTORIA</w:t>
      </w:r>
      <w:r w:rsidRPr="000B1F14">
        <w:rPr>
          <w:rFonts w:ascii="Verdana" w:eastAsia="Calibri" w:hAnsi="Verdana" w:cs="Arial"/>
          <w:b/>
          <w:bCs/>
          <w:color w:val="000000" w:themeColor="text1"/>
          <w:sz w:val="20"/>
          <w:szCs w:val="20"/>
        </w:rPr>
        <w:t xml:space="preserve"> – Adición – Limite del parágrafo del artículo 40 de la Ley 80 de 1993 – Excepción articulo 85 Ley 1474 de 2011</w:t>
      </w:r>
    </w:p>
    <w:p w14:paraId="581CD869" w14:textId="77777777" w:rsidR="00614529" w:rsidRPr="000B1F14" w:rsidRDefault="00614529" w:rsidP="00614529">
      <w:pPr>
        <w:spacing w:line="240" w:lineRule="auto"/>
        <w:jc w:val="both"/>
        <w:rPr>
          <w:rFonts w:ascii="Verdana" w:eastAsia="Calibri" w:hAnsi="Verdana" w:cs="Arial"/>
          <w:color w:val="000000" w:themeColor="text1"/>
          <w:sz w:val="20"/>
          <w:szCs w:val="20"/>
        </w:rPr>
      </w:pPr>
      <w:r w:rsidRPr="000B1F14">
        <w:rPr>
          <w:rFonts w:ascii="Verdana" w:eastAsia="Calibri" w:hAnsi="Verdana" w:cs="Arial"/>
          <w:color w:val="000000" w:themeColor="text1"/>
          <w:sz w:val="20"/>
          <w:szCs w:val="20"/>
        </w:rPr>
        <w:t>Pero, el hecho de que el artículo 85 de la Ley 1474 de 2011 disponga que no aplica el límite previsto en el parágrafo del artículo 40 de la Ley 80 de 1993 respecto de los contratos que tengan por objeto la interventoría no significa que la posibilidad de incrementar su valor sea absoluta. Como lo señaló la Corte Constitucional en la Sentencia C-300 de 2012, las adiciones de los contratos estatales siempre deben respetar el principio de planeación. Adicionalmente, la entidad estatal debe garantizar los principios de la función administrativa y de la gestión fiscal al momento de autorizar las adiciones de los contratos de interventoría.</w:t>
      </w:r>
    </w:p>
    <w:p w14:paraId="65A712A1" w14:textId="77777777" w:rsidR="00614529" w:rsidRDefault="00614529" w:rsidP="00614529">
      <w:pPr>
        <w:spacing w:line="240" w:lineRule="auto"/>
        <w:jc w:val="both"/>
        <w:rPr>
          <w:rFonts w:ascii="Verdana" w:eastAsia="Calibri" w:hAnsi="Verdana" w:cs="Arial"/>
          <w:color w:val="000000" w:themeColor="text1"/>
          <w:sz w:val="20"/>
          <w:szCs w:val="20"/>
        </w:rPr>
      </w:pPr>
      <w:r w:rsidRPr="000B1F14">
        <w:rPr>
          <w:rFonts w:ascii="Verdana" w:eastAsia="Calibri" w:hAnsi="Verdana" w:cs="Arial"/>
          <w:color w:val="000000" w:themeColor="text1"/>
          <w:sz w:val="20"/>
          <w:szCs w:val="20"/>
        </w:rPr>
        <w:t>Con base en las anteriores consideraciones, es posible afirmar que la normativa aplicable</w:t>
      </w:r>
      <w:r>
        <w:rPr>
          <w:rFonts w:ascii="Verdana" w:eastAsia="Calibri" w:hAnsi="Verdana" w:cs="Arial"/>
          <w:color w:val="000000" w:themeColor="text1"/>
          <w:sz w:val="20"/>
          <w:szCs w:val="20"/>
        </w:rPr>
        <w:t xml:space="preserve"> </w:t>
      </w:r>
      <w:r w:rsidRPr="000B1F14">
        <w:rPr>
          <w:rFonts w:ascii="Verdana" w:eastAsia="Calibri" w:hAnsi="Verdana" w:cs="Arial"/>
          <w:color w:val="000000" w:themeColor="text1"/>
          <w:sz w:val="20"/>
          <w:szCs w:val="20"/>
        </w:rPr>
        <w:t xml:space="preserve">a la prórroga y adición de los contratos de interventoría prevé una clara y expresa excepción, contenida en el artículo 85 de la Ley 1474 de 2011, según la cual no es aplicable la regla que las limita a un tope máximo del 50% del valor inicial del contrato. En efecto, el supuesto normativo del artículo 85 materializa la “continuidad de la interventoría”, en virtud de la cual dichos contratos “podrán prorrogarse por el mismo plazo que se haya prorrogado el contrato objeto de vigilancia. En tal caso el valor podrá ajustarse en atención a las obligaciones del objeto de interventoría, sin que resulte aplicable lo dispuesto en el parágrafo del artículo 40 de la Ley 80 de 1993”. En tal sentido, siempre que el contrato a adicionar sea de interventoría, esto es, que tenga como objeto vigilar la adecuada ejecución de uno u otros contratos estatales, en los términos establecidos en el artículo 83 de la Ley 1474 de 2011, resulta aplicable </w:t>
      </w:r>
      <w:r w:rsidRPr="000B1F14">
        <w:rPr>
          <w:rFonts w:ascii="Verdana" w:eastAsia="Calibri" w:hAnsi="Verdana" w:cs="Arial"/>
          <w:color w:val="000000" w:themeColor="text1"/>
          <w:sz w:val="20"/>
          <w:szCs w:val="20"/>
        </w:rPr>
        <w:lastRenderedPageBreak/>
        <w:t>el artículo 85 de la Ley 1474 de 2011 y sería posible adicionar el contrato de interventoría en más del 50% de su valor inicial.</w:t>
      </w:r>
    </w:p>
    <w:p w14:paraId="55828633" w14:textId="77777777" w:rsidR="00614529" w:rsidRDefault="00614529" w:rsidP="00614529">
      <w:pPr>
        <w:spacing w:line="240" w:lineRule="auto"/>
        <w:jc w:val="both"/>
        <w:rPr>
          <w:rFonts w:ascii="Verdana" w:eastAsia="Calibri" w:hAnsi="Verdana" w:cs="Arial"/>
          <w:color w:val="000000" w:themeColor="text1"/>
          <w:sz w:val="20"/>
          <w:szCs w:val="20"/>
        </w:rPr>
      </w:pPr>
    </w:p>
    <w:p w14:paraId="0B6338F5" w14:textId="77777777" w:rsidR="00614529" w:rsidRDefault="00614529" w:rsidP="00614529">
      <w:pPr>
        <w:spacing w:line="240" w:lineRule="auto"/>
        <w:jc w:val="both"/>
        <w:rPr>
          <w:rFonts w:ascii="Verdana" w:eastAsia="Calibri" w:hAnsi="Verdana" w:cs="Arial"/>
          <w:color w:val="000000" w:themeColor="text1"/>
          <w:sz w:val="20"/>
          <w:szCs w:val="20"/>
        </w:rPr>
      </w:pPr>
    </w:p>
    <w:p w14:paraId="788CCE17" w14:textId="77777777" w:rsidR="00614529" w:rsidRDefault="00614529" w:rsidP="00614529">
      <w:pPr>
        <w:spacing w:line="240" w:lineRule="auto"/>
        <w:jc w:val="both"/>
        <w:rPr>
          <w:rFonts w:ascii="Verdana" w:eastAsia="Calibri" w:hAnsi="Verdana" w:cs="Arial"/>
          <w:color w:val="000000" w:themeColor="text1"/>
          <w:sz w:val="20"/>
          <w:szCs w:val="20"/>
        </w:rPr>
      </w:pPr>
    </w:p>
    <w:p w14:paraId="4CCB464F" w14:textId="77777777" w:rsidR="00614529" w:rsidRDefault="00614529" w:rsidP="00614529">
      <w:pPr>
        <w:spacing w:line="240" w:lineRule="auto"/>
        <w:jc w:val="both"/>
        <w:rPr>
          <w:rFonts w:ascii="Verdana" w:eastAsia="Calibri" w:hAnsi="Verdana" w:cs="Arial"/>
          <w:color w:val="000000" w:themeColor="text1"/>
          <w:sz w:val="20"/>
          <w:szCs w:val="20"/>
        </w:rPr>
      </w:pPr>
    </w:p>
    <w:p w14:paraId="2D552B94" w14:textId="77777777" w:rsidR="00614529" w:rsidRDefault="00614529" w:rsidP="00614529">
      <w:pPr>
        <w:spacing w:line="240" w:lineRule="auto"/>
        <w:jc w:val="both"/>
        <w:rPr>
          <w:rFonts w:ascii="Verdana" w:eastAsia="Calibri" w:hAnsi="Verdana" w:cs="Arial"/>
          <w:color w:val="000000" w:themeColor="text1"/>
          <w:sz w:val="20"/>
          <w:szCs w:val="20"/>
        </w:rPr>
      </w:pPr>
    </w:p>
    <w:p w14:paraId="37758F4E" w14:textId="77777777" w:rsidR="00614529" w:rsidRDefault="00614529" w:rsidP="00614529">
      <w:pPr>
        <w:spacing w:line="240" w:lineRule="auto"/>
        <w:jc w:val="both"/>
        <w:rPr>
          <w:rFonts w:ascii="Verdana" w:eastAsia="Calibri" w:hAnsi="Verdana" w:cs="Arial"/>
          <w:color w:val="000000" w:themeColor="text1"/>
          <w:sz w:val="20"/>
          <w:szCs w:val="20"/>
        </w:rPr>
      </w:pPr>
    </w:p>
    <w:p w14:paraId="34076234" w14:textId="77777777" w:rsidR="00614529" w:rsidRDefault="00614529" w:rsidP="00614529">
      <w:pPr>
        <w:spacing w:line="240" w:lineRule="auto"/>
        <w:jc w:val="both"/>
        <w:rPr>
          <w:rFonts w:ascii="Verdana" w:eastAsia="Calibri" w:hAnsi="Verdana" w:cs="Arial"/>
          <w:color w:val="000000" w:themeColor="text1"/>
          <w:sz w:val="20"/>
          <w:szCs w:val="20"/>
        </w:rPr>
      </w:pPr>
    </w:p>
    <w:p w14:paraId="1A4F2794" w14:textId="77777777" w:rsidR="00614529" w:rsidRPr="008254D8" w:rsidRDefault="00614529" w:rsidP="00614529">
      <w:pPr>
        <w:spacing w:line="240" w:lineRule="auto"/>
        <w:jc w:val="both"/>
        <w:rPr>
          <w:rFonts w:ascii="Verdana" w:eastAsia="Calibri" w:hAnsi="Verdana" w:cs="Arial"/>
          <w:color w:val="000000" w:themeColor="text1"/>
          <w:sz w:val="20"/>
          <w:szCs w:val="20"/>
        </w:rPr>
      </w:pPr>
    </w:p>
    <w:p w14:paraId="69AE2591" w14:textId="77777777" w:rsidR="00614529" w:rsidRPr="00265991" w:rsidRDefault="00614529" w:rsidP="00614529">
      <w:pPr>
        <w:contextualSpacing/>
        <w:jc w:val="both"/>
        <w:rPr>
          <w:rFonts w:ascii="Verdana" w:hAnsi="Verdana" w:cs="Arial"/>
          <w:b/>
          <w:lang w:eastAsia="es-ES" w:bidi="es-ES"/>
        </w:rPr>
      </w:pPr>
    </w:p>
    <w:p w14:paraId="58E40C7B" w14:textId="14525B6B" w:rsidR="00614529" w:rsidRPr="0015699B" w:rsidRDefault="00614529" w:rsidP="00614529">
      <w:pPr>
        <w:spacing w:line="240" w:lineRule="auto"/>
        <w:jc w:val="both"/>
        <w:rPr>
          <w:rFonts w:ascii="Verdana" w:eastAsia="Verdana" w:hAnsi="Verdana" w:cs="Verdana"/>
          <w:color w:val="000000" w:themeColor="text1"/>
          <w:lang w:val="es"/>
        </w:rPr>
      </w:pPr>
      <w:r>
        <w:rPr>
          <w:rFonts w:ascii="Verdana" w:eastAsia="Verdana" w:hAnsi="Verdana" w:cs="Verdana"/>
        </w:rPr>
        <w:br w:type="page"/>
      </w:r>
      <w:r w:rsidRPr="39124533">
        <w:rPr>
          <w:rFonts w:ascii="Verdana" w:eastAsia="Verdana" w:hAnsi="Verdana" w:cs="Verdana"/>
          <w:color w:val="000000" w:themeColor="text1"/>
          <w:lang w:val="es"/>
        </w:rPr>
        <w:lastRenderedPageBreak/>
        <w:t xml:space="preserve">Bogotá D.C., </w:t>
      </w:r>
      <w:r w:rsidR="00402F93">
        <w:rPr>
          <w:rFonts w:ascii="Verdana" w:eastAsia="Verdana" w:hAnsi="Verdana" w:cs="Verdana"/>
          <w:color w:val="000000" w:themeColor="text1"/>
          <w:lang w:val="es"/>
        </w:rPr>
        <w:t>20</w:t>
      </w:r>
      <w:r w:rsidRPr="39124533">
        <w:rPr>
          <w:rFonts w:ascii="Verdana" w:eastAsia="Verdana" w:hAnsi="Verdana" w:cs="Verdana"/>
          <w:color w:val="000000" w:themeColor="text1"/>
          <w:lang w:val="es"/>
        </w:rPr>
        <w:t xml:space="preserve"> de </w:t>
      </w:r>
      <w:r>
        <w:rPr>
          <w:rFonts w:ascii="Verdana" w:eastAsia="Verdana" w:hAnsi="Verdana" w:cs="Verdana"/>
          <w:color w:val="000000" w:themeColor="text1"/>
          <w:lang w:val="es"/>
        </w:rPr>
        <w:t>agosto</w:t>
      </w:r>
      <w:r w:rsidRPr="39124533">
        <w:rPr>
          <w:rFonts w:ascii="Verdana" w:eastAsia="Verdana" w:hAnsi="Verdana" w:cs="Verdana"/>
          <w:color w:val="000000" w:themeColor="text1"/>
          <w:lang w:val="es"/>
        </w:rPr>
        <w:t xml:space="preserve"> de 2026</w:t>
      </w:r>
    </w:p>
    <w:p w14:paraId="3FBFBE99" w14:textId="77777777" w:rsidR="00614529" w:rsidRDefault="00614529" w:rsidP="00614529">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1FB5600B" w14:textId="153E1700" w:rsidR="00402F93" w:rsidRDefault="00402F93" w:rsidP="00402F93">
      <w:pPr>
        <w:spacing w:after="0" w:line="240" w:lineRule="auto"/>
        <w:jc w:val="right"/>
        <w:textAlignment w:val="baseline"/>
        <w:rPr>
          <w:rFonts w:ascii="Verdana" w:eastAsia="Verdana" w:hAnsi="Verdana" w:cs="Verdana"/>
          <w:color w:val="000000" w:themeColor="text1"/>
          <w:lang w:val="es"/>
        </w:rPr>
      </w:pPr>
      <w:r>
        <w:rPr>
          <w:rFonts w:ascii="Verdana" w:eastAsia="Verdana" w:hAnsi="Verdana" w:cs="Verdana"/>
          <w:noProof/>
          <w:color w:val="000000" w:themeColor="text1"/>
          <w:lang w:val="es"/>
        </w:rPr>
        <w:drawing>
          <wp:inline distT="0" distB="0" distL="0" distR="0" wp14:anchorId="6D0336E0" wp14:editId="3BE32CE5">
            <wp:extent cx="3000375" cy="962025"/>
            <wp:effectExtent l="0" t="0" r="9525" b="9525"/>
            <wp:docPr id="1767903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0375" cy="962025"/>
                    </a:xfrm>
                    <a:prstGeom prst="rect">
                      <a:avLst/>
                    </a:prstGeom>
                    <a:noFill/>
                    <a:ln>
                      <a:noFill/>
                    </a:ln>
                  </pic:spPr>
                </pic:pic>
              </a:graphicData>
            </a:graphic>
          </wp:inline>
        </w:drawing>
      </w:r>
    </w:p>
    <w:p w14:paraId="02FDED25" w14:textId="77777777" w:rsidR="00402F93" w:rsidRPr="0015699B" w:rsidRDefault="00402F93" w:rsidP="00614529">
      <w:pPr>
        <w:spacing w:after="0" w:line="240" w:lineRule="auto"/>
        <w:jc w:val="both"/>
        <w:textAlignment w:val="baseline"/>
        <w:rPr>
          <w:rFonts w:ascii="Verdana" w:eastAsia="Verdana" w:hAnsi="Verdana" w:cs="Verdana"/>
          <w:color w:val="000000" w:themeColor="text1"/>
          <w:lang w:val="es"/>
        </w:rPr>
      </w:pPr>
    </w:p>
    <w:p w14:paraId="39FFCD59" w14:textId="77777777" w:rsidR="00614529" w:rsidRPr="0015699B" w:rsidRDefault="00614529" w:rsidP="00614529">
      <w:pPr>
        <w:spacing w:after="0" w:line="240" w:lineRule="auto"/>
        <w:jc w:val="both"/>
        <w:textAlignment w:val="baseline"/>
        <w:rPr>
          <w:rFonts w:ascii="Verdana" w:eastAsia="Verdana" w:hAnsi="Verdana" w:cs="Verdana"/>
          <w:color w:val="000000" w:themeColor="text1"/>
          <w:lang w:val="es"/>
        </w:rPr>
      </w:pPr>
    </w:p>
    <w:p w14:paraId="25759A0A" w14:textId="77777777" w:rsidR="00614529" w:rsidRPr="00842DC4" w:rsidRDefault="00614529" w:rsidP="00614529">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r>
        <w:rPr>
          <w:rFonts w:ascii="Verdana" w:eastAsia="Verdana" w:hAnsi="Verdana" w:cs="Verdana"/>
          <w:color w:val="000000" w:themeColor="text1"/>
          <w:lang w:val="es"/>
        </w:rPr>
        <w:t>a</w:t>
      </w:r>
    </w:p>
    <w:p w14:paraId="2BA328C8" w14:textId="77777777" w:rsidR="00614529" w:rsidRDefault="00614529" w:rsidP="00614529">
      <w:pPr>
        <w:spacing w:after="0" w:line="240" w:lineRule="auto"/>
        <w:jc w:val="both"/>
        <w:textAlignment w:val="baseline"/>
        <w:rPr>
          <w:rFonts w:ascii="Verdana" w:eastAsia="Verdana" w:hAnsi="Verdana" w:cs="Verdana"/>
          <w:b/>
          <w:bCs/>
        </w:rPr>
      </w:pPr>
      <w:r w:rsidRPr="00737299">
        <w:rPr>
          <w:rFonts w:ascii="Verdana" w:eastAsia="Verdana" w:hAnsi="Verdana" w:cs="Verdana"/>
          <w:b/>
          <w:bCs/>
        </w:rPr>
        <w:t>Maria Fernanda Vergara Velilla</w:t>
      </w:r>
    </w:p>
    <w:p w14:paraId="2D604E82" w14:textId="77777777" w:rsidR="00614529" w:rsidRPr="00842DC4" w:rsidRDefault="00614529" w:rsidP="00614529">
      <w:pPr>
        <w:spacing w:after="0" w:line="240" w:lineRule="auto"/>
        <w:jc w:val="both"/>
        <w:textAlignment w:val="baseline"/>
        <w:rPr>
          <w:rFonts w:ascii="Verdana" w:eastAsia="Verdana" w:hAnsi="Verdana" w:cs="Verdana"/>
          <w:lang w:val="es"/>
        </w:rPr>
      </w:pPr>
      <w:r w:rsidRPr="00737299">
        <w:rPr>
          <w:rStyle w:val="Hipervnculo"/>
          <w:rFonts w:ascii="Verdana" w:eastAsia="Verdana" w:hAnsi="Verdana" w:cs="Verdana"/>
        </w:rPr>
        <w:t>ic.mariavergara@gmail.com</w:t>
      </w:r>
    </w:p>
    <w:p w14:paraId="62B0A080" w14:textId="77777777" w:rsidR="00614529" w:rsidRPr="00842DC4" w:rsidRDefault="00614529" w:rsidP="00614529">
      <w:pPr>
        <w:spacing w:after="0" w:line="240" w:lineRule="auto"/>
        <w:jc w:val="both"/>
        <w:textAlignment w:val="baseline"/>
        <w:rPr>
          <w:rFonts w:ascii="Verdana" w:eastAsia="Verdana" w:hAnsi="Verdana" w:cs="Verdana"/>
          <w:lang w:val="es"/>
        </w:rPr>
      </w:pPr>
      <w:r w:rsidRPr="00842DC4">
        <w:rPr>
          <w:rFonts w:ascii="Verdana" w:eastAsia="Verdana" w:hAnsi="Verdana" w:cs="Verdana"/>
          <w:lang w:val="es"/>
        </w:rPr>
        <w:t>Bogotá D.C.</w:t>
      </w:r>
    </w:p>
    <w:p w14:paraId="2D0A2F16" w14:textId="77777777" w:rsidR="00614529" w:rsidRPr="003D5882" w:rsidRDefault="00614529" w:rsidP="00614529">
      <w:pPr>
        <w:spacing w:after="0" w:line="240" w:lineRule="auto"/>
        <w:jc w:val="both"/>
        <w:textAlignment w:val="baseline"/>
        <w:rPr>
          <w:rFonts w:ascii="Verdana" w:hAnsi="Verdana"/>
        </w:rPr>
      </w:pPr>
      <w:r w:rsidRPr="39124533">
        <w:rPr>
          <w:rFonts w:ascii="Verdana" w:eastAsia="Verdana" w:hAnsi="Verdana" w:cs="Verdana"/>
          <w:b/>
          <w:bCs/>
          <w:color w:val="000000" w:themeColor="text1"/>
          <w:lang w:val="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6405"/>
      </w:tblGrid>
      <w:tr w:rsidR="00614529" w14:paraId="236D2FA0" w14:textId="77777777" w:rsidTr="00740655">
        <w:trPr>
          <w:trHeight w:val="615"/>
        </w:trPr>
        <w:tc>
          <w:tcPr>
            <w:tcW w:w="2265" w:type="dxa"/>
            <w:shd w:val="clear" w:color="auto" w:fill="FFFFFF" w:themeFill="background1"/>
            <w:tcMar>
              <w:left w:w="108" w:type="dxa"/>
              <w:right w:w="108" w:type="dxa"/>
            </w:tcMar>
          </w:tcPr>
          <w:p w14:paraId="7ABD17A2" w14:textId="77777777" w:rsidR="00614529" w:rsidRDefault="00614529" w:rsidP="00740655">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4340AE58" w14:textId="77777777" w:rsidR="00614529" w:rsidRDefault="00614529" w:rsidP="00740655">
            <w:pPr>
              <w:jc w:val="both"/>
            </w:pPr>
            <w:r w:rsidRPr="40A87941">
              <w:rPr>
                <w:rFonts w:ascii="Verdana" w:eastAsia="Verdana" w:hAnsi="Verdana" w:cs="Verdana"/>
                <w:b/>
                <w:bCs/>
                <w:color w:val="000000" w:themeColor="text1"/>
                <w:lang w:val="es"/>
              </w:rPr>
              <w:t xml:space="preserve">Concepto C- </w:t>
            </w:r>
            <w:r>
              <w:rPr>
                <w:rFonts w:ascii="Verdana" w:eastAsia="Verdana" w:hAnsi="Verdana" w:cs="Verdana"/>
                <w:b/>
                <w:bCs/>
                <w:color w:val="000000" w:themeColor="text1"/>
                <w:lang w:val="es"/>
              </w:rPr>
              <w:t>1084</w:t>
            </w:r>
            <w:r w:rsidRPr="40A87941">
              <w:rPr>
                <w:rFonts w:ascii="Verdana" w:eastAsia="Verdana" w:hAnsi="Verdana" w:cs="Verdana"/>
                <w:b/>
                <w:bCs/>
                <w:color w:val="000000" w:themeColor="text1"/>
                <w:lang w:val="es"/>
              </w:rPr>
              <w:t xml:space="preserve"> de 2026</w:t>
            </w:r>
          </w:p>
        </w:tc>
      </w:tr>
      <w:tr w:rsidR="00614529" w14:paraId="32DBF7FE" w14:textId="77777777" w:rsidTr="00740655">
        <w:trPr>
          <w:trHeight w:val="1065"/>
        </w:trPr>
        <w:tc>
          <w:tcPr>
            <w:tcW w:w="2265" w:type="dxa"/>
            <w:shd w:val="clear" w:color="auto" w:fill="FFFFFF" w:themeFill="background1"/>
            <w:tcMar>
              <w:left w:w="108" w:type="dxa"/>
              <w:right w:w="108" w:type="dxa"/>
            </w:tcMar>
          </w:tcPr>
          <w:p w14:paraId="2EC8D5CF" w14:textId="77777777" w:rsidR="00614529" w:rsidRDefault="00614529" w:rsidP="00740655">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69BF2104" w14:textId="77777777" w:rsidR="00614529" w:rsidRDefault="00614529" w:rsidP="00740655">
            <w:pPr>
              <w:contextualSpacing/>
              <w:jc w:val="both"/>
              <w:rPr>
                <w:rFonts w:ascii="Verdana" w:eastAsia="Calibri" w:hAnsi="Verdana" w:cs="Arial"/>
                <w:lang w:val="es-ES" w:eastAsia="es-ES"/>
              </w:rPr>
            </w:pPr>
            <w:r w:rsidRPr="000B1F14">
              <w:rPr>
                <w:rFonts w:ascii="Verdana" w:hAnsi="Verdana" w:cs="Arial"/>
                <w:bCs/>
                <w:lang w:eastAsia="es-ES" w:bidi="es-ES"/>
              </w:rPr>
              <w:t>INTERVENTORÍA – Características CONTRATOS DE INTERVENTORIA – Adición</w:t>
            </w:r>
            <w:r>
              <w:rPr>
                <w:rFonts w:ascii="Verdana" w:hAnsi="Verdana" w:cs="Arial"/>
                <w:bCs/>
                <w:lang w:eastAsia="es-ES" w:bidi="es-ES"/>
              </w:rPr>
              <w:t xml:space="preserve"> </w:t>
            </w:r>
            <w:r w:rsidRPr="000B1F14">
              <w:rPr>
                <w:rFonts w:ascii="Verdana" w:hAnsi="Verdana" w:cs="Arial"/>
                <w:bCs/>
                <w:lang w:eastAsia="es-ES" w:bidi="es-ES"/>
              </w:rPr>
              <w:t>– Limite del parágrafo del artículo 40 de la Ley 80 de 1993 – Excepción articulo 85 Ley 1474 de 2011</w:t>
            </w:r>
          </w:p>
          <w:p w14:paraId="646286D8" w14:textId="77777777" w:rsidR="00614529" w:rsidRDefault="00614529" w:rsidP="00740655">
            <w:pPr>
              <w:spacing w:line="276" w:lineRule="auto"/>
              <w:jc w:val="both"/>
            </w:pPr>
          </w:p>
        </w:tc>
      </w:tr>
      <w:tr w:rsidR="00614529" w14:paraId="31DD62FF" w14:textId="77777777" w:rsidTr="00740655">
        <w:trPr>
          <w:trHeight w:val="660"/>
        </w:trPr>
        <w:tc>
          <w:tcPr>
            <w:tcW w:w="2265" w:type="dxa"/>
            <w:shd w:val="clear" w:color="auto" w:fill="FFFFFF" w:themeFill="background1"/>
            <w:tcMar>
              <w:left w:w="108" w:type="dxa"/>
              <w:right w:w="108" w:type="dxa"/>
            </w:tcMar>
          </w:tcPr>
          <w:p w14:paraId="3BC597DA" w14:textId="77777777" w:rsidR="00614529" w:rsidRDefault="00614529" w:rsidP="00740655">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265F5219" w14:textId="77777777" w:rsidR="00614529" w:rsidRDefault="00614529" w:rsidP="00740655">
            <w:pPr>
              <w:ind w:right="1"/>
              <w:jc w:val="both"/>
            </w:pPr>
            <w:r w:rsidRPr="39124533">
              <w:rPr>
                <w:rFonts w:ascii="Verdana" w:eastAsia="Verdana" w:hAnsi="Verdana" w:cs="Verdana"/>
                <w:color w:val="000000" w:themeColor="text1"/>
              </w:rPr>
              <w:t xml:space="preserve">Respuesta a consulta con radicado N.º </w:t>
            </w:r>
            <w:r w:rsidRPr="00737299">
              <w:rPr>
                <w:rFonts w:ascii="Verdana" w:eastAsia="Verdana" w:hAnsi="Verdana" w:cs="Verdana"/>
                <w:color w:val="000000" w:themeColor="text1"/>
              </w:rPr>
              <w:t>1_2026_07_07_009006</w:t>
            </w:r>
          </w:p>
        </w:tc>
      </w:tr>
    </w:tbl>
    <w:p w14:paraId="152BA948" w14:textId="77777777" w:rsidR="00614529" w:rsidRPr="0015699B" w:rsidRDefault="00614529" w:rsidP="00614529">
      <w:pPr>
        <w:spacing w:after="0" w:line="240" w:lineRule="auto"/>
        <w:jc w:val="both"/>
        <w:textAlignment w:val="baseline"/>
        <w:rPr>
          <w:rFonts w:ascii="Verdana" w:eastAsia="Verdana" w:hAnsi="Verdana" w:cs="Verdana"/>
          <w:b/>
          <w:bCs/>
          <w:color w:val="000000" w:themeColor="text1"/>
          <w:lang w:val="es"/>
        </w:rPr>
      </w:pPr>
    </w:p>
    <w:p w14:paraId="4709DE10" w14:textId="77777777" w:rsidR="00614529" w:rsidRPr="0015699B" w:rsidRDefault="00614529" w:rsidP="00614529">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w:t>
      </w:r>
      <w:r>
        <w:rPr>
          <w:rFonts w:ascii="Verdana" w:eastAsia="Verdana" w:hAnsi="Verdana" w:cs="Verdana"/>
          <w:color w:val="000000" w:themeColor="text1"/>
          <w:lang w:val="es"/>
        </w:rPr>
        <w:t>a</w:t>
      </w:r>
      <w:r w:rsidRPr="40A87941">
        <w:rPr>
          <w:rFonts w:ascii="Verdana" w:eastAsia="Verdana" w:hAnsi="Verdana" w:cs="Verdana"/>
          <w:color w:val="000000" w:themeColor="text1"/>
          <w:lang w:val="es"/>
        </w:rPr>
        <w:t xml:space="preserve"> señor</w:t>
      </w:r>
      <w:r>
        <w:rPr>
          <w:rFonts w:ascii="Verdana" w:eastAsia="Verdana" w:hAnsi="Verdana" w:cs="Verdana"/>
          <w:color w:val="000000" w:themeColor="text1"/>
          <w:lang w:val="es"/>
        </w:rPr>
        <w:t>a Vergara</w:t>
      </w:r>
      <w:r w:rsidRPr="40A87941">
        <w:rPr>
          <w:rFonts w:ascii="Verdana" w:eastAsia="Verdana" w:hAnsi="Verdana" w:cs="Verdana"/>
          <w:color w:val="000000" w:themeColor="text1"/>
          <w:lang w:val="es"/>
        </w:rPr>
        <w:t>;</w:t>
      </w:r>
    </w:p>
    <w:p w14:paraId="6098DA69" w14:textId="77777777" w:rsidR="00614529" w:rsidRPr="0015699B" w:rsidRDefault="00614529" w:rsidP="00614529">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62FFDCBD" w14:textId="77777777" w:rsidR="00614529" w:rsidRDefault="00614529" w:rsidP="00614529">
      <w:pPr>
        <w:spacing w:after="12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w:t>
      </w:r>
      <w:r>
        <w:rPr>
          <w:rFonts w:ascii="Verdana" w:eastAsia="Verdana" w:hAnsi="Verdana" w:cs="Verdana"/>
          <w:color w:val="000000" w:themeColor="text1"/>
          <w:lang w:val="es-ES"/>
        </w:rPr>
        <w:t>07</w:t>
      </w:r>
      <w:r w:rsidRPr="39124533">
        <w:rPr>
          <w:rFonts w:ascii="Verdana" w:eastAsia="Verdana" w:hAnsi="Verdana" w:cs="Verdana"/>
          <w:color w:val="000000" w:themeColor="text1"/>
          <w:lang w:val="es-ES"/>
        </w:rPr>
        <w:t xml:space="preserve"> de ju</w:t>
      </w:r>
      <w:r>
        <w:rPr>
          <w:rFonts w:ascii="Verdana" w:eastAsia="Verdana" w:hAnsi="Verdana" w:cs="Verdana"/>
          <w:color w:val="000000" w:themeColor="text1"/>
          <w:lang w:val="es-ES"/>
        </w:rPr>
        <w:t>l</w:t>
      </w:r>
      <w:r w:rsidRPr="39124533">
        <w:rPr>
          <w:rFonts w:ascii="Verdana" w:eastAsia="Verdana" w:hAnsi="Verdana" w:cs="Verdana"/>
          <w:color w:val="000000" w:themeColor="text1"/>
          <w:lang w:val="es-ES"/>
        </w:rPr>
        <w:t>io de 2026 en la cual manifiesta lo siguiente:</w:t>
      </w:r>
    </w:p>
    <w:p w14:paraId="0CC41C66" w14:textId="77777777" w:rsidR="00614529" w:rsidRPr="00971885" w:rsidRDefault="00614529" w:rsidP="00614529">
      <w:pPr>
        <w:spacing w:after="120" w:line="276" w:lineRule="auto"/>
        <w:ind w:left="567" w:right="758"/>
        <w:jc w:val="both"/>
        <w:textAlignment w:val="baseline"/>
        <w:rPr>
          <w:rFonts w:ascii="Verdana" w:eastAsia="Verdana" w:hAnsi="Verdana" w:cs="Verdana"/>
          <w:color w:val="000000" w:themeColor="text1"/>
          <w:sz w:val="21"/>
          <w:szCs w:val="21"/>
        </w:rPr>
      </w:pPr>
      <w:r w:rsidRPr="00971885">
        <w:rPr>
          <w:rFonts w:ascii="Verdana" w:eastAsia="Verdana" w:hAnsi="Verdana" w:cs="Verdana"/>
          <w:color w:val="000000" w:themeColor="text1"/>
          <w:sz w:val="21"/>
          <w:szCs w:val="21"/>
        </w:rPr>
        <w:t>“</w:t>
      </w:r>
      <w:r w:rsidRPr="00971885">
        <w:rPr>
          <w:rFonts w:ascii="Verdana" w:hAnsi="Verdana"/>
          <w:sz w:val="21"/>
          <w:szCs w:val="21"/>
        </w:rPr>
        <w:t xml:space="preserve">Se debe prorrogar un contrato de interventoría para garantizar el seguimiento, vigilancia y control de una obra pública, no obstante, a la fecha de la prórroga de dicho contrato el CDP para el reconocimiento del valor adicional por mayor permanencia de interventoría se encuentra en trámite. Una vez se tenga el CDP </w:t>
      </w:r>
      <w:r w:rsidRPr="00971885">
        <w:rPr>
          <w:rFonts w:ascii="Verdana" w:hAnsi="Verdana"/>
          <w:sz w:val="21"/>
          <w:szCs w:val="21"/>
        </w:rPr>
        <w:lastRenderedPageBreak/>
        <w:t>mediante un nuevo otrosí se adiciona el valor al contrato de acuerdo al tiempo prorrogado.</w:t>
      </w:r>
    </w:p>
    <w:p w14:paraId="5A823172" w14:textId="77777777" w:rsidR="00614529" w:rsidRPr="00971885" w:rsidRDefault="00614529" w:rsidP="00614529">
      <w:pPr>
        <w:ind w:left="567" w:right="616"/>
        <w:jc w:val="both"/>
        <w:rPr>
          <w:rFonts w:ascii="Verdana" w:eastAsia="Verdana" w:hAnsi="Verdana" w:cs="Verdana"/>
          <w:color w:val="000000" w:themeColor="text1"/>
          <w:sz w:val="21"/>
          <w:szCs w:val="21"/>
          <w:lang w:val="es-ES"/>
        </w:rPr>
      </w:pPr>
      <w:r w:rsidRPr="00971885">
        <w:rPr>
          <w:rFonts w:ascii="Verdana" w:hAnsi="Verdana"/>
          <w:sz w:val="21"/>
          <w:szCs w:val="21"/>
        </w:rPr>
        <w:t>¿La situación descrita anteriormente es válida? Entendiendo que el deber ser es en un mismo documento jurídico prorrogar el plazo y adicionar valor al contrato de interventoría, sin embargo, en aras de no atrasar la programación en la ejecución de la obra se tuvo que actuar de este modo</w:t>
      </w:r>
      <w:r w:rsidRPr="00971885">
        <w:rPr>
          <w:rFonts w:ascii="Verdana" w:eastAsia="Verdana" w:hAnsi="Verdana" w:cs="Verdana"/>
          <w:color w:val="000000" w:themeColor="text1"/>
          <w:sz w:val="21"/>
          <w:szCs w:val="21"/>
        </w:rPr>
        <w:t>”</w:t>
      </w:r>
    </w:p>
    <w:p w14:paraId="4FAFCBB0" w14:textId="77777777" w:rsidR="00614529" w:rsidRPr="0015699B" w:rsidRDefault="00614529" w:rsidP="00614529">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262600A5" w14:textId="77777777" w:rsidR="00614529" w:rsidRPr="0015699B" w:rsidRDefault="00614529" w:rsidP="00614529">
      <w:pPr>
        <w:spacing w:after="0" w:line="240" w:lineRule="auto"/>
        <w:ind w:right="49" w:firstLine="360"/>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1AF38E63" w14:textId="77777777" w:rsidR="00614529" w:rsidRPr="0015699B" w:rsidRDefault="00614529" w:rsidP="00614529">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0CAA3AA5" w14:textId="77777777" w:rsidR="00614529" w:rsidRPr="0015699B" w:rsidRDefault="00614529" w:rsidP="00614529">
      <w:pPr>
        <w:pStyle w:val="Prrafodelista"/>
        <w:numPr>
          <w:ilvl w:val="0"/>
          <w:numId w:val="16"/>
        </w:numPr>
        <w:spacing w:after="0" w:line="276" w:lineRule="auto"/>
        <w:ind w:left="851" w:hanging="567"/>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799874C6" w14:textId="77777777" w:rsidR="00614529" w:rsidRPr="0015699B" w:rsidRDefault="00614529" w:rsidP="00614529">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68C4CFE8" w14:textId="77777777" w:rsidR="00614529" w:rsidRPr="00274D3F" w:rsidRDefault="00614529" w:rsidP="00614529">
      <w:pPr>
        <w:spacing w:after="0" w:line="276" w:lineRule="auto"/>
        <w:jc w:val="both"/>
        <w:textAlignment w:val="baseline"/>
        <w:rPr>
          <w:rFonts w:ascii="Verdana" w:eastAsia="Verdana" w:hAnsi="Verdana" w:cs="Verdana"/>
          <w:color w:val="000000" w:themeColor="text1"/>
        </w:rPr>
      </w:pPr>
      <w:r w:rsidRPr="40A87941">
        <w:rPr>
          <w:rFonts w:ascii="Verdana" w:eastAsia="Verdana" w:hAnsi="Verdana" w:cs="Verdana"/>
          <w:color w:val="000000" w:themeColor="text1"/>
          <w:lang w:val="es"/>
        </w:rPr>
        <w:t>De acuerdo con el contenido de su solicitud, esta Agencia resolverá el siguiente problema jurídico:</w:t>
      </w:r>
      <w:r>
        <w:rPr>
          <w:rFonts w:ascii="Verdana" w:eastAsia="Verdana" w:hAnsi="Verdana" w:cs="Verdana"/>
          <w:color w:val="000000" w:themeColor="text1"/>
          <w:lang w:val="es"/>
        </w:rPr>
        <w:t xml:space="preserve"> </w:t>
      </w:r>
      <w:r w:rsidRPr="00274D3F">
        <w:rPr>
          <w:rFonts w:ascii="Verdana" w:eastAsia="Verdana" w:hAnsi="Verdana" w:cs="Verdana"/>
          <w:color w:val="000000" w:themeColor="text1"/>
        </w:rPr>
        <w:t>¿Es jurídicamente procedente prorrogar un contrato de interventoría sin contar al momento de la prórroga con el CDP para financiar la mayor permanencia, y posteriormente, una vez expedido este, adicionar el valor del contrato mediante un otrosí?</w:t>
      </w:r>
    </w:p>
    <w:p w14:paraId="6168DA69" w14:textId="77777777" w:rsidR="00614529" w:rsidRDefault="00614529" w:rsidP="00614529">
      <w:pPr>
        <w:spacing w:after="0" w:line="276" w:lineRule="auto"/>
        <w:jc w:val="both"/>
        <w:textAlignment w:val="baseline"/>
        <w:rPr>
          <w:rFonts w:ascii="Verdana" w:eastAsia="Verdana" w:hAnsi="Verdana" w:cs="Verdana"/>
          <w:color w:val="000000" w:themeColor="text1"/>
        </w:rPr>
      </w:pPr>
      <w:r>
        <w:rPr>
          <w:rFonts w:ascii="Verdana" w:eastAsia="Verdana" w:hAnsi="Verdana" w:cs="Verdana"/>
          <w:color w:val="000000" w:themeColor="text1"/>
        </w:rPr>
        <w:t xml:space="preserve"> </w:t>
      </w:r>
    </w:p>
    <w:p w14:paraId="0E8FD3E7" w14:textId="77777777" w:rsidR="00614529" w:rsidRPr="0015699B" w:rsidRDefault="00614529" w:rsidP="00614529">
      <w:pPr>
        <w:pStyle w:val="Prrafodelista"/>
        <w:numPr>
          <w:ilvl w:val="0"/>
          <w:numId w:val="16"/>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3EC0EBA8" w14:textId="77777777" w:rsidR="00614529" w:rsidRPr="0015699B" w:rsidRDefault="00614529" w:rsidP="00614529">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tbl>
      <w:tblPr>
        <w:tblStyle w:val="Tablaconcuadrcula"/>
        <w:tblW w:w="0" w:type="auto"/>
        <w:tblLook w:val="04A0" w:firstRow="1" w:lastRow="0" w:firstColumn="1" w:lastColumn="0" w:noHBand="0" w:noVBand="1"/>
      </w:tblPr>
      <w:tblGrid>
        <w:gridCol w:w="8627"/>
      </w:tblGrid>
      <w:tr w:rsidR="00614529" w14:paraId="74D75075" w14:textId="77777777" w:rsidTr="00740655">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0A1D625A"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De manera preliminar y p</w:t>
            </w:r>
            <w:r w:rsidRPr="00863D1A">
              <w:rPr>
                <w:rFonts w:ascii="Verdana" w:eastAsia="Verdana" w:hAnsi="Verdana" w:cs="Verdana"/>
              </w:rPr>
              <w:t>ara efectos de resolver la consulta, resulta necesario distinguir entre la prórroga del plazo de ejecución del contrato de interventoría y la adición de los recursos necesarios para remunerar las obligaciones derivadas de la mayor permanencia, así como determinar el momento en que deben encontrarse satisfechos los requisitos presupuestales asociados a dicha modificación.</w:t>
            </w:r>
          </w:p>
          <w:p w14:paraId="2452D3C4"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Así las cosas, e</w:t>
            </w:r>
            <w:r w:rsidRPr="00863D1A">
              <w:rPr>
                <w:rFonts w:ascii="Verdana" w:eastAsia="Verdana" w:hAnsi="Verdana" w:cs="Verdana"/>
              </w:rPr>
              <w:t>l artículo 85 de la Ley 1474 de 2011 establece una regla especial respecto de los contratos de interventoría, al disponer que estos podrán prorrogarse por el mismo plazo en que se haya prorrogado el contrato objeto de vigilancia y que, en tal caso, su valor podrá ajustarse en atención a las obligaciones derivadas del objeto de interventoría. De esta disposición se desprende que la ampliación del plazo de la interventoría y el ajuste de su valor son modificaciones relacionadas, pero jurídicamente diferenciables.</w:t>
            </w:r>
          </w:p>
          <w:p w14:paraId="1892BB1B"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Sobre este particular, la Agencia Nacional de Contratación Pública – Colombia Compra Eficiente, mediante el Concepto C-711 del 21 de noviembre de 2024, señaló que corresponde a la entidad estatal analizar la viabilidad financiera, técnica y jurídica de la adición presupuestal de acuerdo con el tiempo de la prórroga del contrato vigilado. Asimismo, precisó que, cuando la prórroga genere gastos adicionales que no puedan ser cubiertos con los saldos existentes del contrato, deben adicionarse los recursos necesarios para su ejecución. Por el contrario, cuando existan saldos suficientes para respaldar el período adicional, corresponde a la entidad justificar que estos resultan suficientes y que, por tanto, no es necesaria una nueva adición.</w:t>
            </w:r>
          </w:p>
          <w:p w14:paraId="5020B76D"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En este sentido, la circunstancia de que la entidad prorrogue inicialmente el contrato de interventoría y posteriormente formalice la adición económica no determina, por sí misma, la invalidez de la actuación. Lo jurídicamente relevante consiste en establecer si, al momento de iniciar la ejecución de la prórroga, existían los recursos necesarios para respaldar las obligaciones económicas derivadas de la mayor permanencia o si la entidad había perfeccionado oportunamente la correspondiente adición contractual y presupuestal.</w:t>
            </w:r>
          </w:p>
          <w:p w14:paraId="1229A86B"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lastRenderedPageBreak/>
              <w:t xml:space="preserve">         </w:t>
            </w:r>
            <w:r w:rsidRPr="00863D1A">
              <w:rPr>
                <w:rFonts w:ascii="Verdana" w:eastAsia="Verdana" w:hAnsi="Verdana" w:cs="Verdana"/>
              </w:rPr>
              <w:t>Lo anterior debe analizarse conjuntamente con las reglas del Estatuto Orgánico del Presupuesto, particularmente el artículo 71 del Decreto 111 de 1996, conforme al cual ningún órgano podrá contraer obligaciones sobre apropiaciones inexistentes o en exceso del saldo disponible. De esta manera, cuando la prórroga implique una obligación económica adicional a cargo de la entidad, la correspondiente afectación presupuestal debe encontrarse debidamente respaldada antes de asumir el compromiso en los términos exigidos por la normativa presupuestal.</w:t>
            </w:r>
          </w:p>
          <w:p w14:paraId="632EBFD9"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 xml:space="preserve">Ahora bien, el aspecto determinante para el caso objeto de consulta se encuentra en el momento en que se efectúa la adición económica. En el Concepto C-711 del 21 de noviembre de 2024, </w:t>
            </w:r>
            <w:r>
              <w:rPr>
                <w:rFonts w:ascii="Verdana" w:eastAsia="Verdana" w:hAnsi="Verdana" w:cs="Verdana"/>
              </w:rPr>
              <w:t>esta Agencia</w:t>
            </w:r>
            <w:r w:rsidRPr="00863D1A">
              <w:rPr>
                <w:rFonts w:ascii="Verdana" w:eastAsia="Verdana" w:hAnsi="Verdana" w:cs="Verdana"/>
              </w:rPr>
              <w:t xml:space="preserve"> fue expresa al señalar que no puede realizarse la adición del contrato en una fecha posterior al inicio de la ejecución de la prórroga cuando dicha adición tiene por objeto reconocer los recursos correspondientes a las actividades ejecutadas durante ese período. Una actuación de esta naturaleza podría implicar el reconocimiento de hechos cumplidos, circunstancia que no resulta admisible dentro del régimen presupuestal colombiano y que, además, podría evidenciar deficiencias en la planeación contractual.</w:t>
            </w:r>
          </w:p>
          <w:p w14:paraId="1382E3C4"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Por consiguiente, si la entidad determinó que la prórroga de la interventoría generaba necesariamente una mayor remuneración para el contratista, no resulta jurídicamente adecuado que la interventoría comience a ejecutar las obligaciones correspondientes al período prorrogado y que, con posterioridad, se expida el CDP y se suscriba un otrosí para adicionar los recursos destinados a remunerar dichas actividades. En tal supuesto, la posterior modificación no estaría simplemente formalizando una decisión previamente adoptada, sino que podría estar otorgando respaldo presupuestal y contractual a obligaciones que ya fueron ejecutadas.</w:t>
            </w:r>
          </w:p>
          <w:p w14:paraId="1F689A51"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 xml:space="preserve">Distinto sería el supuesto en el cual la prórroga se formaliza oportunamente para garantizar la continuidad de la interventoría, pero la ejecución de las actividades correspondientes al período adicional se encuentra sujeta a la previa expedición del CDP, la formalización de la adición económica y la expedición del respectivo registro presupuestal. En este escenario, la utilización de dos instrumentos modificatorios distintos —uno para prorrogar y otro para adicionar el valor— no constituiría, por sí </w:t>
            </w:r>
            <w:r w:rsidRPr="00863D1A">
              <w:rPr>
                <w:rFonts w:ascii="Verdana" w:eastAsia="Verdana" w:hAnsi="Verdana" w:cs="Verdana"/>
              </w:rPr>
              <w:lastRenderedPageBreak/>
              <w:t>misma, una irregularidad, siempre que la segunda modificación se perfeccione antes del inicio de la ejecución que genera el mayor costo.</w:t>
            </w:r>
          </w:p>
          <w:p w14:paraId="0AF4CD2D"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Así las cosas, el hecho de que la entidad haya tenido que tramitar separadamente la prórroga y la adición económica debido a que el CDP se encontraba en trámite no permite, por sí solo, concluir que la actuación haya sido contraria al ordenamiento jurídico. La valoración debe centrarse en determinar si la prórroga fue ejecutada durante el período en el cual todavía no existía respaldo presupuestal suficiente para atender las obligaciones económicas que generaba.</w:t>
            </w:r>
          </w:p>
          <w:p w14:paraId="6C6FF037" w14:textId="77777777" w:rsidR="00614529" w:rsidRPr="00863D1A" w:rsidRDefault="00614529" w:rsidP="00740655">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 xml:space="preserve">En consecuencia, si al momento de suscribirse el primer otrosí únicamente se prorrogó el plazo, sin comprometer recursos adicionales, y antes de iniciar la ejecución de las obligaciones correspondientes al período prorrogado se expidió el CDP, se perfeccionó la adición contractual y se efectuó el correspondiente registro presupuestal, la actuación podría considerarse jurídicamente procedente. En cambio, si la interventoría continuó ejecutando sus obligaciones durante la prórroga y solo posteriormente se obtuvo el CDP y se adicionó el valor contractual para remunerar dicha ejecución, la actuación no se ajustaría al criterio establecido por </w:t>
            </w:r>
            <w:r>
              <w:rPr>
                <w:rFonts w:ascii="Verdana" w:eastAsia="Verdana" w:hAnsi="Verdana" w:cs="Verdana"/>
              </w:rPr>
              <w:t>esta Agencia</w:t>
            </w:r>
            <w:r w:rsidRPr="00863D1A">
              <w:rPr>
                <w:rFonts w:ascii="Verdana" w:eastAsia="Verdana" w:hAnsi="Verdana" w:cs="Verdana"/>
              </w:rPr>
              <w:t xml:space="preserve"> en el Concepto C-711 de 2024, al existir el riesgo de configurar un hecho cumplido.</w:t>
            </w:r>
          </w:p>
          <w:p w14:paraId="1D5F6904" w14:textId="77777777" w:rsidR="00614529" w:rsidRDefault="00614529" w:rsidP="00740655">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De esta manera, la circunstancia de que la entidad haya optado por dos otrosíes sucesivos, en lugar de incorporar la prórroga y la adición en un único documento, no constituye por sí misma el elemento determinante de la validez de la actuación. Lo determinante es que la modificación económica y su correspondiente respaldo presupuestal se produzcan antes de que se ejecuten las obligaciones que generan el mayor valor contractual, garantizando además el equilibrio económico del contrato y la adecuada planeación de la modificación.</w:t>
            </w:r>
          </w:p>
          <w:p w14:paraId="704C7BD1" w14:textId="77777777" w:rsidR="00614529" w:rsidRDefault="00614529" w:rsidP="00740655">
            <w:pPr>
              <w:spacing w:after="12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w:t>
            </w:r>
            <w:r w:rsidRPr="00DB4737">
              <w:rPr>
                <w:rFonts w:ascii="Verdana" w:eastAsia="Calibri" w:hAnsi="Verdana" w:cs="Times New Roman"/>
                <w:lang w:val="es-ES"/>
              </w:rPr>
              <w:lastRenderedPageBreak/>
              <w:t>interesados de adoptar la decisión y, en caso de conflicto, a las autoridades judiciales, fiscales y disciplinarias.</w:t>
            </w:r>
          </w:p>
          <w:p w14:paraId="4136F810" w14:textId="77777777" w:rsidR="00614529" w:rsidRDefault="00614529" w:rsidP="00740655">
            <w:pPr>
              <w:spacing w:after="120" w:line="276" w:lineRule="auto"/>
              <w:jc w:val="both"/>
              <w:rPr>
                <w:rFonts w:ascii="Verdana" w:eastAsia="Verdana" w:hAnsi="Verdana" w:cs="Verdana"/>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03367FC2" w14:textId="77777777" w:rsidR="00614529" w:rsidRPr="0015699B" w:rsidRDefault="00614529" w:rsidP="00614529">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5CCFF4A4" w14:textId="77777777" w:rsidR="00614529" w:rsidRPr="0015699B" w:rsidRDefault="00614529" w:rsidP="00614529">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30E91624" w14:textId="77777777" w:rsidR="00614529" w:rsidRPr="0015699B" w:rsidRDefault="00614529" w:rsidP="00614529">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79033665" w14:textId="77777777" w:rsidR="00614529" w:rsidRPr="0015699B" w:rsidRDefault="00614529" w:rsidP="00614529">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0B4AC04C" w14:textId="77777777" w:rsidR="00614529" w:rsidRPr="0015699B" w:rsidRDefault="00614529" w:rsidP="00614529">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4DBFE3F9" w14:textId="77777777" w:rsidR="00614529" w:rsidRDefault="00614529" w:rsidP="00614529">
      <w:pPr>
        <w:spacing w:after="0" w:line="276" w:lineRule="auto"/>
        <w:ind w:firstLine="360"/>
        <w:contextualSpacing/>
        <w:jc w:val="both"/>
        <w:rPr>
          <w:rFonts w:ascii="Verdana" w:hAnsi="Verdana" w:cs="Arial"/>
          <w:bCs/>
          <w:lang w:eastAsia="es-ES_tradnl"/>
        </w:rPr>
      </w:pPr>
      <w:r>
        <w:rPr>
          <w:rFonts w:ascii="Verdana" w:eastAsia="Calibri" w:hAnsi="Verdana" w:cs="Arial"/>
          <w:color w:val="000000"/>
        </w:rPr>
        <w:t xml:space="preserve">    </w:t>
      </w:r>
      <w:r w:rsidRPr="00596023">
        <w:rPr>
          <w:rFonts w:ascii="Verdana" w:hAnsi="Verdana" w:cs="Arial"/>
          <w:bCs/>
          <w:lang w:eastAsia="es-ES_tradnl"/>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entidad usará para estipular el precio del contrato. Tal metodología generalmente depende del tipo de contrato, pues hay algunas modalidades más comunes en los de obra pública; otras más utilizadas en los de prestación de servicios y; otras más indicadas para los de concesión, por mencionar algunos ejemplos</w:t>
      </w:r>
      <w:r w:rsidRPr="00596023">
        <w:rPr>
          <w:rFonts w:ascii="Verdana" w:hAnsi="Verdana" w:cs="Arial"/>
          <w:bCs/>
          <w:vertAlign w:val="superscript"/>
          <w:lang w:eastAsia="es-ES_tradnl"/>
        </w:rPr>
        <w:footnoteReference w:id="1"/>
      </w:r>
      <w:r w:rsidRPr="00596023">
        <w:rPr>
          <w:rFonts w:ascii="Verdana" w:hAnsi="Verdana" w:cs="Arial"/>
          <w:bCs/>
          <w:lang w:eastAsia="es-ES_tradnl"/>
        </w:rPr>
        <w:t>.</w:t>
      </w:r>
    </w:p>
    <w:p w14:paraId="5599A26B" w14:textId="77777777" w:rsidR="00614529" w:rsidRPr="001E35D6" w:rsidRDefault="00614529" w:rsidP="00614529">
      <w:pPr>
        <w:spacing w:after="0" w:line="276" w:lineRule="auto"/>
        <w:ind w:firstLine="360"/>
        <w:contextualSpacing/>
        <w:jc w:val="both"/>
        <w:rPr>
          <w:rFonts w:ascii="Verdana" w:eastAsia="Calibri" w:hAnsi="Verdana" w:cs="Arial"/>
          <w:color w:val="000000" w:themeColor="text1"/>
        </w:rPr>
      </w:pPr>
    </w:p>
    <w:p w14:paraId="01F8D058" w14:textId="77777777" w:rsidR="00614529" w:rsidRPr="00596023" w:rsidRDefault="00614529" w:rsidP="00614529">
      <w:pPr>
        <w:pStyle w:val="Sinespaciado"/>
        <w:spacing w:after="240" w:line="276" w:lineRule="auto"/>
        <w:jc w:val="both"/>
        <w:rPr>
          <w:rFonts w:ascii="Verdana" w:hAnsi="Verdana" w:cs="Arial"/>
        </w:rPr>
      </w:pPr>
      <w:r>
        <w:rPr>
          <w:rFonts w:ascii="Verdana" w:hAnsi="Verdana" w:cs="Arial"/>
        </w:rPr>
        <w:tab/>
        <w:t>Ahora bien, l</w:t>
      </w:r>
      <w:r w:rsidRPr="00596023">
        <w:rPr>
          <w:rFonts w:ascii="Verdana" w:hAnsi="Verdana" w:cs="Arial"/>
        </w:rPr>
        <w:t xml:space="preserve">a Ley 1474 de 2011 enmarcó el seguimiento, control y vigilancia de la ejecución del contrato estatal dentro del principio de moralidad administrativa. El artículo 83 </w:t>
      </w:r>
      <w:r w:rsidRPr="00596023">
        <w:rPr>
          <w:rFonts w:ascii="Verdana" w:hAnsi="Verdana" w:cs="Arial"/>
          <w:i/>
          <w:iCs/>
        </w:rPr>
        <w:t xml:space="preserve">ibidem </w:t>
      </w:r>
      <w:r w:rsidRPr="00596023">
        <w:rPr>
          <w:rFonts w:ascii="Verdana" w:hAnsi="Verdana" w:cs="Arial"/>
        </w:rPr>
        <w:t xml:space="preserve">establece que “con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 Además, el legislador, en el mismo artículo, definió las nociones de supervisión e interventoría, como mecanismos que pueden usar las entidades estatales para vigilar el contrato, en estos términos: </w:t>
      </w:r>
    </w:p>
    <w:p w14:paraId="415D81E8" w14:textId="77777777" w:rsidR="00614529" w:rsidRPr="00911B30" w:rsidRDefault="00614529" w:rsidP="00614529">
      <w:pPr>
        <w:pStyle w:val="Sinespaciado"/>
        <w:spacing w:after="120"/>
        <w:ind w:left="709" w:right="709"/>
        <w:jc w:val="both"/>
        <w:rPr>
          <w:rFonts w:ascii="Verdana" w:hAnsi="Verdana" w:cs="Arial"/>
          <w:sz w:val="21"/>
          <w:szCs w:val="21"/>
        </w:rPr>
      </w:pPr>
      <w:r w:rsidRPr="00911B30">
        <w:rPr>
          <w:rFonts w:ascii="Verdana" w:hAnsi="Verdana" w:cs="Arial"/>
          <w:sz w:val="21"/>
          <w:szCs w:val="21"/>
        </w:rPr>
        <w:t>La supervisión consistirá en el seguimiento técnico, administrativo, financiero, contable, y jurídico que,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3B4D7521" w14:textId="77777777" w:rsidR="00614529" w:rsidRPr="00911B30" w:rsidRDefault="00614529" w:rsidP="00614529">
      <w:pPr>
        <w:pStyle w:val="Sinespaciado"/>
        <w:spacing w:after="240"/>
        <w:ind w:left="709" w:right="709"/>
        <w:jc w:val="both"/>
        <w:rPr>
          <w:rFonts w:ascii="Verdana" w:hAnsi="Verdana" w:cs="Arial"/>
          <w:sz w:val="21"/>
          <w:szCs w:val="21"/>
        </w:rPr>
      </w:pPr>
      <w:r w:rsidRPr="00911B30">
        <w:rPr>
          <w:rFonts w:ascii="Verdana" w:hAnsi="Verdana" w:cs="Arial"/>
          <w:sz w:val="21"/>
          <w:szCs w:val="21"/>
        </w:rPr>
        <w:t xml:space="preserve">La interventoría consistirá en el seguimiento técnico que sobre el cumplimiento del contrato que realice una persona natural o jurídica contratada para tal fin por la Entidad Estatal, cuando el seguimiento del contrato suponga conocimiento especializado en la materia, o cuando la complejidad o la extensión de este lo justifiquen. No obstante, lo anterior cuando la entidad lo encuentre justificado y acorde a la naturaleza del contrato principal, podrá contratar el seguimiento administrativo, técnico, financiero, contable, jurídico del objeto o contrato dentro de la interventoría. </w:t>
      </w:r>
    </w:p>
    <w:p w14:paraId="25934749" w14:textId="77777777" w:rsidR="00614529" w:rsidRPr="00596023" w:rsidRDefault="00614529" w:rsidP="00614529">
      <w:pPr>
        <w:pStyle w:val="Sinespaciado"/>
        <w:spacing w:after="120" w:line="276" w:lineRule="auto"/>
        <w:jc w:val="both"/>
        <w:rPr>
          <w:rFonts w:ascii="Verdana" w:hAnsi="Verdana" w:cs="Arial"/>
        </w:rPr>
      </w:pPr>
      <w:r>
        <w:rPr>
          <w:rFonts w:ascii="Verdana" w:hAnsi="Verdana" w:cs="Arial"/>
        </w:rPr>
        <w:tab/>
      </w:r>
      <w:r w:rsidRPr="00596023">
        <w:rPr>
          <w:rFonts w:ascii="Verdana" w:hAnsi="Verdana" w:cs="Arial"/>
        </w:rPr>
        <w:t xml:space="preserve">De este modo, la interventoría: i) será un mecanismo de vigilancia contingente en la medida que solo es obligatorio para el seguimiento de los contratos de obra adjudicados por licitación pública ‒art. 32, numeral 1, Ley 80 de 1993‒; en los demás casos se requerirá cuando “el seguimiento del contrato suponga conocimiento especializado en la materia, o cuando la complejidad o la extensión de este lo justifiquen” ‒art. 83, Ley 1474 de 2011‒. ii) Este mecanismo de vigilancia exige, en su ejecución, la utilización de </w:t>
      </w:r>
      <w:r w:rsidRPr="00596023">
        <w:rPr>
          <w:rFonts w:ascii="Verdana" w:hAnsi="Verdana" w:cs="Arial"/>
        </w:rPr>
        <w:lastRenderedPageBreak/>
        <w:t>conocimientos especializados. iii) Por lo anterior, la entidad contrata un experto, en principio, a través de un concurso de méritos, al tratarse la interventoría de una especie del contrato de consultoría ‒art. 32, numeral 2, inciso 2, Ley 80 de 1993</w:t>
      </w:r>
      <w:r w:rsidRPr="00596023">
        <w:rPr>
          <w:rStyle w:val="Refdenotaalpie"/>
          <w:rFonts w:ascii="Verdana" w:hAnsi="Verdana" w:cs="Arial"/>
        </w:rPr>
        <w:footnoteReference w:id="2"/>
      </w:r>
      <w:r w:rsidRPr="00596023">
        <w:rPr>
          <w:rFonts w:ascii="Verdana" w:hAnsi="Verdana" w:cs="Arial"/>
        </w:rPr>
        <w:t>‒, de manera que la interventoría es realizada por una “persona natural o jurídica contratada para tal fin por la Entidad Estatal” ‒art. 83,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3‒. Finalmente, vi) el contrato de interventoría será supervisado directamente por la entidad ‒art. 83, inciso 4.</w:t>
      </w:r>
    </w:p>
    <w:p w14:paraId="1E227C43" w14:textId="77777777" w:rsidR="00614529" w:rsidRDefault="00614529" w:rsidP="00614529">
      <w:pPr>
        <w:pStyle w:val="Sinespaciado"/>
        <w:spacing w:line="276" w:lineRule="auto"/>
        <w:jc w:val="both"/>
        <w:rPr>
          <w:rFonts w:ascii="Verdana" w:hAnsi="Verdana" w:cs="Arial"/>
        </w:rPr>
      </w:pPr>
      <w:r>
        <w:rPr>
          <w:rFonts w:ascii="Verdana" w:hAnsi="Verdana" w:cs="Arial"/>
        </w:rPr>
        <w:tab/>
      </w:r>
      <w:r w:rsidRPr="00596023">
        <w:rPr>
          <w:rFonts w:ascii="Verdana" w:hAnsi="Verdana" w:cs="Arial"/>
        </w:rPr>
        <w:t>De acuerdo con lo anterior, el interventor es un contratista externo a la entidad estatal y al contratista vigilado, de manera que es seleccionado por la entidad estatal mediante los procedimientos de selección establecidos en el EGCAP; en principio, a través de un concurso de méritos. Lo anterior, sin perjuicio de que eventualmente aplique alguna causal especial que permita la celebración de este tipo de contratos mediante una modalidad diferente, como podría suceder frente a la posibilidad de realizar, por ejemplo, una contratación de mínima cuantí</w:t>
      </w:r>
      <w:r>
        <w:rPr>
          <w:rFonts w:ascii="Verdana" w:hAnsi="Verdana" w:cs="Arial"/>
        </w:rPr>
        <w:t>a</w:t>
      </w:r>
      <w:r w:rsidRPr="00596023">
        <w:rPr>
          <w:rFonts w:ascii="Verdana" w:hAnsi="Verdana" w:cs="Arial"/>
        </w:rPr>
        <w:t>. En todo caso, se reitera que un contrato, para que se considere de interventoría debe tener como objeto y finalidad vigilar la adecuada ejecución de uno u otros contratos estatales, en los términos establecidos en el artículo 83 de la Ley 1474 de 2011.</w:t>
      </w:r>
    </w:p>
    <w:p w14:paraId="2C05C76B" w14:textId="77777777" w:rsidR="00614529" w:rsidRDefault="00614529" w:rsidP="00614529">
      <w:pPr>
        <w:pStyle w:val="Sinespaciado"/>
        <w:spacing w:line="276" w:lineRule="auto"/>
        <w:jc w:val="both"/>
        <w:rPr>
          <w:rFonts w:ascii="Verdana" w:hAnsi="Verdana" w:cs="Arial"/>
        </w:rPr>
      </w:pPr>
    </w:p>
    <w:p w14:paraId="74C02CBC" w14:textId="77777777" w:rsidR="00614529" w:rsidRDefault="00614529" w:rsidP="00614529">
      <w:pPr>
        <w:pStyle w:val="Sinespaciado"/>
        <w:spacing w:line="276" w:lineRule="auto"/>
        <w:ind w:firstLine="567"/>
        <w:jc w:val="both"/>
        <w:rPr>
          <w:rFonts w:ascii="Verdana" w:hAnsi="Verdana" w:cs="Arial"/>
        </w:rPr>
      </w:pPr>
      <w:r w:rsidRPr="00911B30">
        <w:rPr>
          <w:rFonts w:ascii="Verdana" w:hAnsi="Verdana" w:cs="Arial"/>
        </w:rPr>
        <w:t>En los casos en que se requiera adicionar un contrato que tenga por objeto la interventoría de otro contrato, por cuanto el contrato objeto de vigilancia no ha concluido, ya sea porque fue suspendido el plazo o porque se amplió el plazo de ejecución, la situación se regirá por una norma especial, contenida en el artículo 85 de la Ley 1474 de 2011. Dicha norma establece:</w:t>
      </w:r>
    </w:p>
    <w:p w14:paraId="0B811279" w14:textId="77777777" w:rsidR="00614529" w:rsidRPr="00911B30" w:rsidRDefault="00614529" w:rsidP="00614529">
      <w:pPr>
        <w:pStyle w:val="Sinespaciado"/>
        <w:spacing w:line="276" w:lineRule="auto"/>
        <w:jc w:val="both"/>
        <w:rPr>
          <w:rFonts w:ascii="Verdana" w:hAnsi="Verdana" w:cs="Arial"/>
        </w:rPr>
      </w:pPr>
    </w:p>
    <w:p w14:paraId="71AE6E44" w14:textId="77777777" w:rsidR="00614529" w:rsidRPr="00911B30" w:rsidRDefault="00614529" w:rsidP="00614529">
      <w:pPr>
        <w:pStyle w:val="Sinespaciado"/>
        <w:spacing w:line="276" w:lineRule="auto"/>
        <w:ind w:left="567" w:right="1183"/>
        <w:jc w:val="both"/>
        <w:rPr>
          <w:rFonts w:ascii="Verdana" w:hAnsi="Verdana" w:cs="Arial"/>
          <w:sz w:val="21"/>
          <w:szCs w:val="21"/>
        </w:rPr>
      </w:pPr>
      <w:r>
        <w:rPr>
          <w:rFonts w:ascii="Verdana" w:hAnsi="Verdana" w:cs="Arial"/>
          <w:b/>
          <w:bCs/>
          <w:sz w:val="21"/>
          <w:szCs w:val="21"/>
        </w:rPr>
        <w:lastRenderedPageBreak/>
        <w:t>“</w:t>
      </w:r>
      <w:r w:rsidRPr="00911B30">
        <w:rPr>
          <w:rFonts w:ascii="Verdana" w:hAnsi="Verdana" w:cs="Arial"/>
          <w:b/>
          <w:bCs/>
          <w:sz w:val="21"/>
          <w:szCs w:val="21"/>
        </w:rPr>
        <w:t>Artículo 85.</w:t>
      </w:r>
      <w:r w:rsidRPr="00911B30">
        <w:rPr>
          <w:rFonts w:ascii="Verdana" w:hAnsi="Verdana" w:cs="Arial"/>
          <w:sz w:val="21"/>
          <w:szCs w:val="21"/>
        </w:rPr>
        <w:t xml:space="preserve"> Continuidad de la interventoría. Los contratos de interventoría podrán prorrogarse por el mismo plazo que se haya prorrogado el contrato objeto de vigilancia. En tal caso el valor podrá ajustarse en atención a las obligaciones del objeto de interventoría, sin que resulte aplicable lo dispuesto en el parágrafo del artículo 40 de la Ley 80 de 1993.</w:t>
      </w:r>
    </w:p>
    <w:p w14:paraId="4BC91D64" w14:textId="77777777" w:rsidR="00614529" w:rsidRPr="00911B30" w:rsidRDefault="00614529" w:rsidP="00614529">
      <w:pPr>
        <w:pStyle w:val="Sinespaciado"/>
        <w:spacing w:line="276" w:lineRule="auto"/>
        <w:ind w:left="567" w:right="1183"/>
        <w:jc w:val="both"/>
        <w:rPr>
          <w:rFonts w:ascii="Verdana" w:hAnsi="Verdana" w:cs="Arial"/>
          <w:sz w:val="21"/>
          <w:szCs w:val="21"/>
        </w:rPr>
      </w:pPr>
    </w:p>
    <w:p w14:paraId="7D795460" w14:textId="77777777" w:rsidR="00614529" w:rsidRPr="00911B30" w:rsidRDefault="00614529" w:rsidP="00614529">
      <w:pPr>
        <w:pStyle w:val="Sinespaciado"/>
        <w:spacing w:line="276" w:lineRule="auto"/>
        <w:ind w:left="567" w:right="1183"/>
        <w:jc w:val="both"/>
        <w:rPr>
          <w:rFonts w:ascii="Verdana" w:hAnsi="Verdana" w:cs="Arial"/>
          <w:sz w:val="21"/>
          <w:szCs w:val="21"/>
        </w:rPr>
      </w:pPr>
      <w:r w:rsidRPr="00911B30">
        <w:rPr>
          <w:rFonts w:ascii="Verdana" w:hAnsi="Verdana" w:cs="Arial"/>
          <w:sz w:val="21"/>
          <w:szCs w:val="21"/>
        </w:rPr>
        <w:t>Parágrafo. Para la ejecución de los contratos de interventoría es obligatoria la constitución y aprobación de la garantía de cumplimiento hasta por el mismo término de la garantía de estabilidad del contrato principal; el Gobierno Nacional regulará la materia. En este evento podrá darse aplicación al artículo 7° de la Ley 1150, en cuanto a la posibilidad de que la garantía pueda ser dividida teniendo en cuenta las etapas o riesgos relativos a la ejecución del respectivo contrato</w:t>
      </w:r>
      <w:r>
        <w:rPr>
          <w:rFonts w:ascii="Verdana" w:hAnsi="Verdana" w:cs="Arial"/>
          <w:sz w:val="21"/>
          <w:szCs w:val="21"/>
        </w:rPr>
        <w:t>”</w:t>
      </w:r>
      <w:r w:rsidRPr="00911B30">
        <w:rPr>
          <w:rFonts w:ascii="Verdana" w:hAnsi="Verdana" w:cs="Arial"/>
          <w:sz w:val="21"/>
          <w:szCs w:val="21"/>
        </w:rPr>
        <w:t>.</w:t>
      </w:r>
    </w:p>
    <w:p w14:paraId="32A6D8EB" w14:textId="77777777" w:rsidR="00614529" w:rsidRPr="00911B30" w:rsidRDefault="00614529" w:rsidP="00614529">
      <w:pPr>
        <w:pStyle w:val="Sinespaciado"/>
        <w:spacing w:line="276" w:lineRule="auto"/>
        <w:ind w:left="567" w:right="1183"/>
        <w:jc w:val="both"/>
        <w:rPr>
          <w:rFonts w:ascii="Verdana" w:hAnsi="Verdana" w:cs="Arial"/>
        </w:rPr>
      </w:pPr>
    </w:p>
    <w:p w14:paraId="45DC7488" w14:textId="77777777" w:rsidR="00614529" w:rsidRDefault="00614529" w:rsidP="00614529">
      <w:pPr>
        <w:pStyle w:val="Sinespaciado"/>
        <w:spacing w:line="276" w:lineRule="auto"/>
        <w:ind w:firstLine="567"/>
        <w:jc w:val="both"/>
        <w:rPr>
          <w:rFonts w:ascii="Verdana" w:hAnsi="Verdana" w:cs="Arial"/>
        </w:rPr>
      </w:pPr>
      <w:r w:rsidRPr="00911B30">
        <w:rPr>
          <w:rFonts w:ascii="Verdana" w:hAnsi="Verdana" w:cs="Arial"/>
        </w:rPr>
        <w:t>Este supuesto normativo, que materializa la “continuidad de la interventoría”, establece una excepción a la regla general de adición de los contratos estatales, en la medida en que no se tendrá en cuenta el límite del 50% del valor inicial del contrato, siempre que se trate de adicionar un contrato cuyo objeto corresponda al de interventoría, y que el contrato objeto de vigilancia haya sido prorrogado. En este sentido, la doctrina ha manifestado sobre esta disposición que “el artículo 85 no contiene impedimento para adicionar sin límite el contrato de interventoría, con una ventaja adicional: que puede ser para cualquier objeto de contrato que haya requerido contratar externamente la interventoría ”</w:t>
      </w:r>
    </w:p>
    <w:p w14:paraId="356F51FC" w14:textId="77777777" w:rsidR="00614529" w:rsidRDefault="00614529" w:rsidP="00614529">
      <w:pPr>
        <w:pStyle w:val="Sinespaciado"/>
        <w:spacing w:line="276" w:lineRule="auto"/>
        <w:jc w:val="both"/>
        <w:rPr>
          <w:rFonts w:ascii="Verdana" w:hAnsi="Verdana" w:cs="Arial"/>
        </w:rPr>
      </w:pPr>
    </w:p>
    <w:p w14:paraId="0AA8FC74" w14:textId="77777777" w:rsidR="00614529" w:rsidRPr="00863D1A" w:rsidRDefault="00614529" w:rsidP="00614529">
      <w:pPr>
        <w:spacing w:after="120" w:line="276" w:lineRule="auto"/>
        <w:ind w:firstLine="708"/>
        <w:jc w:val="both"/>
        <w:rPr>
          <w:rFonts w:ascii="Verdana" w:eastAsia="Verdana" w:hAnsi="Verdana" w:cs="Verdana"/>
        </w:rPr>
      </w:pPr>
      <w:r>
        <w:rPr>
          <w:rFonts w:ascii="Verdana" w:eastAsia="Verdana" w:hAnsi="Verdana" w:cs="Verdana"/>
        </w:rPr>
        <w:t>Así las cosas, e</w:t>
      </w:r>
      <w:r w:rsidRPr="00863D1A">
        <w:rPr>
          <w:rFonts w:ascii="Verdana" w:eastAsia="Verdana" w:hAnsi="Verdana" w:cs="Verdana"/>
        </w:rPr>
        <w:t>l artículo 85 de la Ley 1474 de 2011 establece una regla especial respecto de los contratos de interventoría, al disponer que estos podrán prorrogarse por el mismo plazo en que se haya prorrogado el contrato objeto de vigilancia y que, en tal caso, su valor podrá ajustarse en atención a las obligaciones derivadas del objeto de interventoría. De esta disposición se desprende que la ampliación del plazo de la interventoría y el ajuste de su valor son modificaciones relacionadas, pero jurídicamente diferenciables.</w:t>
      </w:r>
    </w:p>
    <w:p w14:paraId="0FE9A1B2" w14:textId="77777777" w:rsidR="00614529" w:rsidRPr="00863D1A"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 xml:space="preserve">Sobre este particular, la Agencia Nacional de Contratación Pública – Colombia Compra Eficiente, mediante el Concepto C-711 del 21 de noviembre de 2024, señaló que corresponde a la entidad estatal analizar la viabilidad </w:t>
      </w:r>
      <w:r w:rsidRPr="00863D1A">
        <w:rPr>
          <w:rFonts w:ascii="Verdana" w:eastAsia="Verdana" w:hAnsi="Verdana" w:cs="Verdana"/>
        </w:rPr>
        <w:lastRenderedPageBreak/>
        <w:t>financiera, técnica y jurídica de la adición presupuestal de acuerdo con el tiempo de la prórroga del contrato vigilado. Asimismo, precisó que, cuando la prórroga genere gastos adicionales que no puedan ser cubiertos con los saldos existentes del contrato, deben adicionarse los recursos necesarios para su ejecución. Por el contrario, cuando existan saldos suficientes para respaldar el período adicional, corresponde a la entidad justificar que estos resultan suficientes y que, por tanto, no es necesaria una nueva adición.</w:t>
      </w:r>
    </w:p>
    <w:p w14:paraId="10ECDBF2" w14:textId="77777777" w:rsidR="00614529" w:rsidRPr="00863D1A"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En este sentido, la circunstancia de que la entidad prorrogue inicialmente el contrato de interventoría y posteriormente formalice la adición económica no determina, por sí misma, la invalidez de la actuación. Lo jurídicamente relevante consiste en establecer si, al momento de iniciar la ejecución de la prórroga, existían los recursos necesarios para respaldar las obligaciones económicas derivadas de la mayor permanencia o si la entidad había perfeccionado oportunamente la correspondiente adición contractual y presupuestal.</w:t>
      </w:r>
    </w:p>
    <w:p w14:paraId="69BE81D1" w14:textId="77777777" w:rsidR="00614529" w:rsidRPr="00863D1A"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Lo anterior debe analizarse conjuntamente con las reglas del Estatuto Orgánico del Presupuesto, particularmente el artículo 71 del Decreto 111 de 1996, conforme al cual ningún órgano podrá contraer obligaciones sobre apropiaciones inexistentes o en exceso del saldo disponible. De esta manera, cuando la prórroga implique una obligación económica adicional a cargo de la entidad, la correspondiente afectación presupuestal debe encontrarse debidamente respaldada antes de asumir el compromiso en los términos exigidos por la normativa presupuestal.</w:t>
      </w:r>
    </w:p>
    <w:p w14:paraId="4C8723E3" w14:textId="77777777" w:rsidR="00614529" w:rsidRPr="00863D1A"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 xml:space="preserve">Ahora bien, el aspecto determinante para el caso objeto de consulta se encuentra en el momento en que se efectúa la adición económica. En el Concepto C-711 del 21 de noviembre de 2024, </w:t>
      </w:r>
      <w:r>
        <w:rPr>
          <w:rFonts w:ascii="Verdana" w:eastAsia="Verdana" w:hAnsi="Verdana" w:cs="Verdana"/>
        </w:rPr>
        <w:t>esta Agencia</w:t>
      </w:r>
      <w:r w:rsidRPr="00863D1A">
        <w:rPr>
          <w:rFonts w:ascii="Verdana" w:eastAsia="Verdana" w:hAnsi="Verdana" w:cs="Verdana"/>
        </w:rPr>
        <w:t xml:space="preserve"> fue expresa al señalar que no puede realizarse la adición del contrato en una fecha posterior al inicio de la ejecución de la prórroga cuando dicha adición tiene por objeto reconocer los recursos correspondientes a las actividades ejecutadas durante ese período. Una actuación de esta naturaleza podría implicar el reconocimiento de hechos cumplidos, circunstancia que no resulta admisible dentro del régimen presupuestal colombiano y que, además, podría evidenciar deficiencias en la planeación contractual.</w:t>
      </w:r>
    </w:p>
    <w:p w14:paraId="7778AA0E" w14:textId="77777777" w:rsidR="00614529" w:rsidRPr="00863D1A"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 xml:space="preserve">Por consiguiente, si la entidad determinó que la prórroga de la interventoría generaba necesariamente una mayor remuneración para el </w:t>
      </w:r>
      <w:r w:rsidRPr="00863D1A">
        <w:rPr>
          <w:rFonts w:ascii="Verdana" w:eastAsia="Verdana" w:hAnsi="Verdana" w:cs="Verdana"/>
        </w:rPr>
        <w:lastRenderedPageBreak/>
        <w:t>contratista, no resulta jurídicamente adecuado que la interventoría comience a ejecutar las obligaciones correspondientes al período prorrogado y que, con posterioridad, se expida el CDP y se suscriba un otrosí para adicionar los recursos destinados a remunerar dichas actividades. En tal supuesto, la posterior modificación no estaría simplemente formalizando una decisión previamente adoptada, sino que podría estar otorgando respaldo presupuestal y contractual a obligaciones que ya fueron ejecutadas.</w:t>
      </w:r>
    </w:p>
    <w:p w14:paraId="6B20DF2F" w14:textId="77777777" w:rsidR="00614529" w:rsidRPr="00863D1A"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Distinto sería el supuesto en el cual la prórroga se formaliza oportunamente para garantizar la continuidad de la interventoría, pero la ejecución de las actividades correspondientes al período adicional se encuentra sujeta a la previa expedición del CDP, la formalización de la adición económica y la expedición del respectivo registro presupuestal. En este escenario, la utilización de dos instrumentos modificatorios distintos —uno para prorrogar y otro para adicionar el valor— no constituiría, por sí misma, una irregularidad, siempre que la segunda modificación se perfeccione antes del inicio de la ejecución que genera el mayor costo.</w:t>
      </w:r>
    </w:p>
    <w:p w14:paraId="671EF0E7" w14:textId="77777777" w:rsidR="00614529" w:rsidRPr="00863D1A"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Así las cosas, el hecho de que la entidad haya tenido que tramitar separadamente la prórroga y la adición económica debido a que el CDP se encontraba en trámite no permite, por sí solo, concluir que la actuación haya sido contraria al ordenamiento jurídico. La valoración debe centrarse en determinar si la prórroga fue ejecutada durante el período en el cual todavía no existía respaldo presupuestal suficiente para atender las obligaciones económicas que generaba.</w:t>
      </w:r>
    </w:p>
    <w:p w14:paraId="290CBE3D" w14:textId="77777777" w:rsidR="00614529" w:rsidRPr="00863D1A"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 xml:space="preserve">En consecuencia, si al momento de suscribirse el primer otrosí únicamente se prorrogó el plazo, sin comprometer recursos adicionales, y antes de iniciar la ejecución de las obligaciones correspondientes al período prorrogado se expidió el CDP, se perfeccionó la adición contractual y se efectuó el correspondiente registro presupuestal, la actuación podría considerarse jurídicamente procedente. En cambio, si la interventoría continuó ejecutando sus obligaciones durante la prórroga y solo posteriormente se obtuvo el CDP y se adicionó el valor contractual para remunerar dicha ejecución, la actuación no se ajustaría al criterio establecido por </w:t>
      </w:r>
      <w:r>
        <w:rPr>
          <w:rFonts w:ascii="Verdana" w:eastAsia="Verdana" w:hAnsi="Verdana" w:cs="Verdana"/>
        </w:rPr>
        <w:t>esta Agencia</w:t>
      </w:r>
      <w:r w:rsidRPr="00863D1A">
        <w:rPr>
          <w:rFonts w:ascii="Verdana" w:eastAsia="Verdana" w:hAnsi="Verdana" w:cs="Verdana"/>
        </w:rPr>
        <w:t xml:space="preserve"> en el Concepto C-711 de 2024, al existir el riesgo de configurar un hecho cumplido.</w:t>
      </w:r>
    </w:p>
    <w:p w14:paraId="68EAE859" w14:textId="77777777" w:rsidR="00614529" w:rsidRDefault="00614529" w:rsidP="00614529">
      <w:pPr>
        <w:spacing w:after="120" w:line="276" w:lineRule="auto"/>
        <w:jc w:val="both"/>
        <w:rPr>
          <w:rFonts w:ascii="Verdana" w:eastAsia="Verdana" w:hAnsi="Verdana" w:cs="Verdana"/>
        </w:rPr>
      </w:pPr>
      <w:r>
        <w:rPr>
          <w:rFonts w:ascii="Verdana" w:eastAsia="Verdana" w:hAnsi="Verdana" w:cs="Verdana"/>
        </w:rPr>
        <w:t xml:space="preserve">         </w:t>
      </w:r>
      <w:r w:rsidRPr="00863D1A">
        <w:rPr>
          <w:rFonts w:ascii="Verdana" w:eastAsia="Verdana" w:hAnsi="Verdana" w:cs="Verdana"/>
        </w:rPr>
        <w:t xml:space="preserve">De esta manera, la circunstancia de que la entidad haya optado por dos otrosíes sucesivos, en lugar de incorporar la prórroga y la adición en un único </w:t>
      </w:r>
      <w:r w:rsidRPr="00863D1A">
        <w:rPr>
          <w:rFonts w:ascii="Verdana" w:eastAsia="Verdana" w:hAnsi="Verdana" w:cs="Verdana"/>
        </w:rPr>
        <w:lastRenderedPageBreak/>
        <w:t>documento, no constituye por sí misma el elemento determinante de la validez de la actuación. Lo determinante es que la modificación económica y su correspondiente respaldo presupuestal se produzcan antes de que se ejecuten las obligaciones que generan el mayor valor contractual, garantizando además el equilibrio económico del contrato y la adecuada planeación de la modificación.</w:t>
      </w:r>
    </w:p>
    <w:p w14:paraId="16E09565" w14:textId="77777777" w:rsidR="00614529" w:rsidRDefault="00614529" w:rsidP="00614529">
      <w:pPr>
        <w:spacing w:after="12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40D00F38" w14:textId="77777777" w:rsidR="00614529" w:rsidRDefault="00614529" w:rsidP="00614529">
      <w:pPr>
        <w:pStyle w:val="Sinespaciado"/>
        <w:spacing w:line="276" w:lineRule="auto"/>
        <w:jc w:val="both"/>
        <w:rPr>
          <w:rFonts w:ascii="Verdana" w:hAnsi="Verdana" w:cs="Arial"/>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08E4B4C8" w14:textId="77777777" w:rsidR="00614529" w:rsidRPr="00382A33" w:rsidRDefault="00614529" w:rsidP="00614529">
      <w:pPr>
        <w:spacing w:after="0" w:line="276" w:lineRule="auto"/>
        <w:ind w:firstLine="360"/>
        <w:contextualSpacing/>
        <w:jc w:val="both"/>
        <w:rPr>
          <w:rFonts w:ascii="Verdana" w:eastAsia="Verdana" w:hAnsi="Verdana" w:cs="Verdana"/>
        </w:rPr>
      </w:pPr>
    </w:p>
    <w:p w14:paraId="48F8238A" w14:textId="77777777" w:rsidR="00614529" w:rsidRPr="0015699B" w:rsidRDefault="00614529" w:rsidP="00614529">
      <w:pPr>
        <w:spacing w:after="0" w:line="276" w:lineRule="auto"/>
        <w:ind w:firstLine="357"/>
        <w:jc w:val="both"/>
        <w:rPr>
          <w:rFonts w:ascii="Verdana" w:eastAsia="Verdana" w:hAnsi="Verdana" w:cs="Verdana"/>
          <w:lang w:val="es"/>
        </w:rPr>
      </w:pPr>
      <w:r>
        <w:rPr>
          <w:rFonts w:ascii="Verdana" w:hAnsi="Verdana"/>
        </w:rPr>
        <w:t xml:space="preserve">      </w:t>
      </w:r>
      <w:r w:rsidRPr="39124533">
        <w:rPr>
          <w:rFonts w:ascii="Verdana" w:eastAsia="Verdana" w:hAnsi="Verdana" w:cs="Verdana"/>
          <w:lang w:val="es"/>
        </w:rPr>
        <w:t xml:space="preserve"> </w:t>
      </w:r>
    </w:p>
    <w:p w14:paraId="72783886" w14:textId="77777777" w:rsidR="00614529" w:rsidRPr="0015699B" w:rsidRDefault="00614529" w:rsidP="00614529">
      <w:pPr>
        <w:pStyle w:val="Prrafodelista"/>
        <w:numPr>
          <w:ilvl w:val="0"/>
          <w:numId w:val="16"/>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091D7341" w14:textId="77777777" w:rsidR="00614529" w:rsidRPr="0015699B" w:rsidRDefault="00614529" w:rsidP="00614529">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492"/>
      </w:tblGrid>
      <w:tr w:rsidR="00614529" w14:paraId="58D0A3A5" w14:textId="77777777" w:rsidTr="00740655">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49DB40C8" w14:textId="77777777" w:rsidR="00614529" w:rsidRPr="00BE6C67" w:rsidRDefault="00614529" w:rsidP="00614529">
            <w:pPr>
              <w:pStyle w:val="Prrafodelista"/>
              <w:numPr>
                <w:ilvl w:val="0"/>
                <w:numId w:val="17"/>
              </w:numPr>
              <w:spacing w:line="276" w:lineRule="auto"/>
              <w:jc w:val="both"/>
              <w:rPr>
                <w:rFonts w:ascii="Verdana" w:eastAsia="Arial MT" w:hAnsi="Verdana" w:cs="Arial"/>
                <w:lang w:eastAsia="es-ES" w:bidi="es-ES"/>
              </w:rPr>
            </w:pPr>
            <w:r w:rsidRPr="00BE6C67">
              <w:rPr>
                <w:rFonts w:ascii="Verdana" w:eastAsia="Arial MT" w:hAnsi="Verdana" w:cs="Arial"/>
                <w:lang w:eastAsia="es-ES" w:bidi="es-ES"/>
              </w:rPr>
              <w:t xml:space="preserve">Ley 1474 de 2011: artículo 83 </w:t>
            </w:r>
            <w:r>
              <w:rPr>
                <w:rFonts w:ascii="Verdana" w:eastAsia="Arial MT" w:hAnsi="Verdana" w:cs="Arial"/>
                <w:lang w:eastAsia="es-ES" w:bidi="es-ES"/>
              </w:rPr>
              <w:t>y</w:t>
            </w:r>
            <w:r w:rsidRPr="00BE6C67">
              <w:rPr>
                <w:rFonts w:ascii="Verdana" w:eastAsia="Arial MT" w:hAnsi="Verdana" w:cs="Arial"/>
                <w:lang w:eastAsia="es-ES" w:bidi="es-ES"/>
              </w:rPr>
              <w:t xml:space="preserve"> 85</w:t>
            </w:r>
          </w:p>
          <w:p w14:paraId="7B510D06" w14:textId="77777777" w:rsidR="00614529" w:rsidRPr="00723619" w:rsidRDefault="00614529" w:rsidP="00614529">
            <w:pPr>
              <w:pStyle w:val="Prrafodelista"/>
              <w:numPr>
                <w:ilvl w:val="0"/>
                <w:numId w:val="17"/>
              </w:numPr>
              <w:spacing w:line="276" w:lineRule="auto"/>
              <w:jc w:val="both"/>
              <w:rPr>
                <w:rFonts w:ascii="Verdana" w:eastAsia="Verdana" w:hAnsi="Verdana" w:cs="Verdana"/>
                <w:lang w:val="es"/>
              </w:rPr>
            </w:pPr>
            <w:r w:rsidRPr="00BE6C67">
              <w:rPr>
                <w:rFonts w:ascii="Verdana" w:eastAsia="Arial MT" w:hAnsi="Verdana" w:cs="Arial"/>
                <w:lang w:eastAsia="es-ES" w:bidi="es-ES"/>
              </w:rPr>
              <w:t>Ley 80 de 1993:</w:t>
            </w:r>
            <w:r>
              <w:rPr>
                <w:rFonts w:ascii="Verdana" w:eastAsia="Arial MT" w:hAnsi="Verdana" w:cs="Arial"/>
                <w:lang w:eastAsia="es-ES" w:bidi="es-ES"/>
              </w:rPr>
              <w:t xml:space="preserve"> </w:t>
            </w:r>
            <w:r w:rsidRPr="00596023">
              <w:rPr>
                <w:rFonts w:ascii="Verdana" w:hAnsi="Verdana" w:cs="Arial"/>
              </w:rPr>
              <w:t>art. 32, numeral 1, Ley 80 de 1993</w:t>
            </w:r>
            <w:r w:rsidRPr="00BE6C67">
              <w:rPr>
                <w:rFonts w:ascii="Verdana" w:eastAsia="Arial MT" w:hAnsi="Verdana" w:cs="Arial"/>
                <w:lang w:eastAsia="es-ES" w:bidi="es-ES"/>
              </w:rPr>
              <w:t xml:space="preserve"> artículo 402</w:t>
            </w:r>
            <w:r>
              <w:rPr>
                <w:rFonts w:ascii="Verdana" w:eastAsia="Arial MT" w:hAnsi="Verdana" w:cs="Arial"/>
                <w:lang w:eastAsia="es-ES" w:bidi="es-ES"/>
              </w:rPr>
              <w:t xml:space="preserve"> </w:t>
            </w:r>
            <w:r w:rsidRPr="00596023">
              <w:rPr>
                <w:rFonts w:ascii="Verdana" w:hAnsi="Verdana" w:cs="Arial"/>
              </w:rPr>
              <w:t>art.</w:t>
            </w:r>
          </w:p>
          <w:p w14:paraId="6F6D8D3F" w14:textId="77777777" w:rsidR="00614529" w:rsidRPr="003D5882" w:rsidRDefault="00614529" w:rsidP="00614529">
            <w:pPr>
              <w:pStyle w:val="Prrafodelista"/>
              <w:numPr>
                <w:ilvl w:val="0"/>
                <w:numId w:val="17"/>
              </w:numPr>
              <w:spacing w:line="276" w:lineRule="auto"/>
              <w:jc w:val="both"/>
              <w:rPr>
                <w:rFonts w:ascii="Verdana" w:eastAsia="Verdana" w:hAnsi="Verdana" w:cs="Verdana"/>
                <w:lang w:val="es"/>
              </w:rPr>
            </w:pPr>
            <w:r>
              <w:rPr>
                <w:rFonts w:ascii="Verdana" w:eastAsia="Verdana" w:hAnsi="Verdana" w:cs="Verdana"/>
              </w:rPr>
              <w:t>A</w:t>
            </w:r>
            <w:r w:rsidRPr="00863D1A">
              <w:rPr>
                <w:rFonts w:ascii="Verdana" w:eastAsia="Verdana" w:hAnsi="Verdana" w:cs="Verdana"/>
              </w:rPr>
              <w:t>rtículo 71 del Decreto 111 de 1996</w:t>
            </w:r>
          </w:p>
        </w:tc>
      </w:tr>
    </w:tbl>
    <w:p w14:paraId="5722D139" w14:textId="77777777" w:rsidR="00614529" w:rsidRPr="0015699B" w:rsidRDefault="00614529" w:rsidP="00614529">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6DC16134" w14:textId="77777777" w:rsidR="00614529" w:rsidRPr="003D5882" w:rsidRDefault="00614529" w:rsidP="00614529">
      <w:pPr>
        <w:pStyle w:val="Prrafodelista"/>
        <w:numPr>
          <w:ilvl w:val="0"/>
          <w:numId w:val="16"/>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t>Doctrina de la Agencia Nacional de Contratación Pública:</w:t>
      </w:r>
    </w:p>
    <w:p w14:paraId="2EBAFE81" w14:textId="77777777" w:rsidR="00614529" w:rsidRPr="003D5882" w:rsidRDefault="00614529" w:rsidP="00614529">
      <w:pPr>
        <w:pStyle w:val="Prrafodelista"/>
        <w:spacing w:before="1" w:after="0" w:line="240" w:lineRule="auto"/>
        <w:jc w:val="both"/>
        <w:textAlignment w:val="baseline"/>
        <w:rPr>
          <w:rFonts w:ascii="Verdana" w:eastAsia="Verdana" w:hAnsi="Verdana" w:cs="Verdana"/>
          <w:b/>
          <w:bCs/>
          <w:lang w:val="es"/>
        </w:rPr>
      </w:pPr>
    </w:p>
    <w:p w14:paraId="56C26305" w14:textId="77777777" w:rsidR="00614529" w:rsidRPr="005510A2" w:rsidRDefault="00614529" w:rsidP="00614529">
      <w:pPr>
        <w:spacing w:after="0" w:line="276" w:lineRule="auto"/>
        <w:jc w:val="both"/>
        <w:rPr>
          <w:rStyle w:val="normaltextrun"/>
          <w:rFonts w:ascii="Verdana" w:hAnsi="Verdana" w:cs="Arial"/>
          <w:bCs/>
          <w:shd w:val="clear" w:color="auto" w:fill="FFFFFF"/>
        </w:rPr>
      </w:pPr>
      <w:r w:rsidRPr="003E4CC9">
        <w:rPr>
          <w:rFonts w:ascii="Verdana" w:hAnsi="Verdana" w:cs="Arial"/>
          <w:bCs/>
          <w:shd w:val="clear" w:color="auto" w:fill="FFFFFF"/>
        </w:rPr>
        <w:t xml:space="preserve">La Agencia Nacional de Contratación Pública – Colombia Compra Eficiente, se ha pronunciado en diferentes conceptos sobre las </w:t>
      </w:r>
      <w:r w:rsidRPr="003E4CC9">
        <w:rPr>
          <w:rFonts w:ascii="Verdana" w:hAnsi="Verdana" w:cs="Arial"/>
          <w:bCs/>
          <w:shd w:val="clear" w:color="auto" w:fill="FFFFFF"/>
          <w:lang w:val="es-ES_tradnl"/>
        </w:rPr>
        <w:t xml:space="preserve">modificaciones y adiciones en los contratos estatales en los Conceptos Nro. C-277 de 21 de junio de 2021, C-644 de 18 de noviembre de 2021, C-755 de 21 de enero de 2022, C-152 de </w:t>
      </w:r>
      <w:r w:rsidRPr="003E4CC9">
        <w:rPr>
          <w:rFonts w:ascii="Verdana" w:hAnsi="Verdana" w:cs="Arial"/>
          <w:bCs/>
          <w:shd w:val="clear" w:color="auto" w:fill="FFFFFF"/>
          <w:lang w:val="es-ES_tradnl"/>
        </w:rPr>
        <w:lastRenderedPageBreak/>
        <w:t>1 de abril de 2022, C-267 de 5 de mayo de 2022, C-432 de 13 de julio de 2022, C-630 del 29 de septiembre de 2022, C784 del 21 de noviembre del 2022, C-398 del 27 de septiembre de 2023, C-452 del 7 de noviembre de 2023, C-463 del 22 de noviembre de 2023, C-471 del 25 de enero del 2024, C-329 del 22 de agosto de 2024, C-563 del 21 de octubre de 2024, C-903 del 2 de enero de 2024, C-1008 del 30 de enero de 2025</w:t>
      </w:r>
      <w:r w:rsidRPr="003E4CC9">
        <w:rPr>
          <w:rFonts w:ascii="Verdana" w:hAnsi="Verdana" w:cs="Arial"/>
          <w:bCs/>
          <w:shd w:val="clear" w:color="auto" w:fill="FFFFFF"/>
          <w:lang w:val="es-ES"/>
        </w:rPr>
        <w:t xml:space="preserve">, C-308 del 28 de abril de 2025, C-451 del 19 de mayo de 2025, C-491 del 3 de </w:t>
      </w:r>
      <w:r w:rsidRPr="005510A2">
        <w:rPr>
          <w:rFonts w:ascii="Verdana" w:hAnsi="Verdana" w:cs="Arial"/>
          <w:bCs/>
          <w:shd w:val="clear" w:color="auto" w:fill="FFFFFF"/>
          <w:lang w:val="es-ES"/>
        </w:rPr>
        <w:t>junio de 2025,</w:t>
      </w:r>
      <w:r w:rsidRPr="005510A2">
        <w:rPr>
          <w:rFonts w:ascii="Verdana" w:hAnsi="Verdana" w:cs="Arial"/>
          <w:bCs/>
          <w:shd w:val="clear" w:color="auto" w:fill="FFFFFF"/>
        </w:rPr>
        <w:t xml:space="preserve"> C-165 del 26 de febrero de 2026</w:t>
      </w:r>
      <w:r>
        <w:rPr>
          <w:rFonts w:ascii="Verdana" w:hAnsi="Verdana" w:cs="Arial"/>
          <w:bCs/>
          <w:shd w:val="clear" w:color="auto" w:fill="FFFFFF"/>
        </w:rPr>
        <w:t xml:space="preserve">, </w:t>
      </w:r>
      <w:r w:rsidRPr="005510A2">
        <w:rPr>
          <w:rFonts w:ascii="Verdana" w:hAnsi="Verdana" w:cs="Arial"/>
          <w:bCs/>
          <w:shd w:val="clear" w:color="auto" w:fill="FFFFFF"/>
        </w:rPr>
        <w:t>C-405 del 24 de abril de 2026</w:t>
      </w:r>
      <w:r>
        <w:rPr>
          <w:rFonts w:ascii="Verdana" w:eastAsia="Calibri" w:hAnsi="Verdana" w:cs="Arial"/>
          <w:lang w:val="es-ES_tradnl" w:eastAsia="es-ES_tradnl"/>
        </w:rPr>
        <w:t xml:space="preserve"> y C-621 del 25 de mayo de 2026,</w:t>
      </w:r>
      <w:r w:rsidRPr="005510A2">
        <w:rPr>
          <w:rFonts w:ascii="Verdana" w:eastAsia="Calibri" w:hAnsi="Verdana" w:cs="Arial"/>
          <w:lang w:val="es-ES_tradnl" w:eastAsia="es-ES_tradnl"/>
        </w:rPr>
        <w:t xml:space="preserve"> entre otros</w:t>
      </w:r>
      <w:r w:rsidRPr="005510A2">
        <w:rPr>
          <w:rFonts w:ascii="Verdana" w:eastAsia="Calibri" w:hAnsi="Verdana" w:cs="Arial"/>
        </w:rPr>
        <w:t xml:space="preserve">. </w:t>
      </w:r>
      <w:r w:rsidRPr="005510A2">
        <w:rPr>
          <w:rStyle w:val="normaltextrun"/>
          <w:rFonts w:ascii="Verdana" w:hAnsi="Verdana" w:cs="Arial"/>
          <w:shd w:val="clear" w:color="auto" w:fill="FFFFFF"/>
          <w:lang w:val="es-ES"/>
        </w:rPr>
        <w:t>Es</w:t>
      </w:r>
      <w:r w:rsidRPr="005510A2">
        <w:rPr>
          <w:rFonts w:ascii="Verdana" w:hAnsi="Verdana"/>
        </w:rPr>
        <w:t>tos y otros conceptos se encuentran disponibles para consulta</w:t>
      </w:r>
      <w:r w:rsidRPr="00F766A3">
        <w:rPr>
          <w:rFonts w:ascii="Verdana" w:hAnsi="Verdana"/>
        </w:rPr>
        <w:t xml:space="preserve"> en el Sistema de relatoría de la Agencia, al cual se puede acceder a través del siguiente enlace:</w:t>
      </w:r>
      <w:r w:rsidRPr="00F766A3">
        <w:rPr>
          <w:rStyle w:val="normaltextrun"/>
          <w:rFonts w:ascii="Verdana" w:hAnsi="Verdana" w:cs="Arial"/>
          <w:shd w:val="clear" w:color="auto" w:fill="FFFFFF"/>
          <w:lang w:val="es-ES"/>
        </w:rPr>
        <w:t xml:space="preserve"> </w:t>
      </w:r>
      <w:hyperlink r:id="rId11" w:history="1">
        <w:r w:rsidRPr="00F766A3">
          <w:rPr>
            <w:rStyle w:val="Hipervnculo"/>
            <w:rFonts w:ascii="Verdana" w:hAnsi="Verdana" w:cs="Arial"/>
            <w:shd w:val="clear" w:color="auto" w:fill="FFFFFF"/>
            <w:lang w:val="es-ES"/>
          </w:rPr>
          <w:t>https://relatoria.colombiacompra.gov.co/busqueda/conceptos</w:t>
        </w:r>
      </w:hyperlink>
      <w:r w:rsidRPr="00F766A3">
        <w:rPr>
          <w:rStyle w:val="normaltextrun"/>
          <w:rFonts w:ascii="Verdana" w:hAnsi="Verdana" w:cs="Arial"/>
          <w:color w:val="FF0000"/>
          <w:shd w:val="clear" w:color="auto" w:fill="FFFFFF"/>
          <w:lang w:val="es-ES"/>
        </w:rPr>
        <w:t xml:space="preserve">. </w:t>
      </w:r>
    </w:p>
    <w:p w14:paraId="7A5D8D95" w14:textId="77777777" w:rsidR="00614529" w:rsidRDefault="00614529" w:rsidP="00614529">
      <w:pPr>
        <w:spacing w:after="0" w:line="276" w:lineRule="auto"/>
        <w:jc w:val="both"/>
        <w:textAlignment w:val="baseline"/>
        <w:rPr>
          <w:rFonts w:ascii="Verdana" w:eastAsia="Verdana" w:hAnsi="Verdana" w:cs="Verdana"/>
        </w:rPr>
      </w:pPr>
    </w:p>
    <w:p w14:paraId="720D7401" w14:textId="77777777" w:rsidR="00614529" w:rsidRPr="00010A5F" w:rsidRDefault="00614529" w:rsidP="00614529">
      <w:pPr>
        <w:spacing w:after="0" w:line="276" w:lineRule="auto"/>
        <w:jc w:val="both"/>
        <w:textAlignment w:val="baseline"/>
        <w:rPr>
          <w:rFonts w:ascii="Verdana" w:eastAsia="Verdana" w:hAnsi="Verdana" w:cs="Verdana"/>
          <w:color w:val="FF0000"/>
          <w:lang w:val="es"/>
        </w:rPr>
      </w:pPr>
      <w:r w:rsidRPr="39124533">
        <w:rPr>
          <w:rFonts w:ascii="Verdana" w:eastAsia="Verdana" w:hAnsi="Verdana" w:cs="Verdana"/>
        </w:rPr>
        <w:t>Estos se encuentran disponibles para consulta en el Sistema de relatoría de la Agencia, al cual puede accederse a través del siguiente enlace:</w:t>
      </w:r>
      <w:hyperlink r:id="rId12">
        <w:r w:rsidRPr="39124533">
          <w:rPr>
            <w:rStyle w:val="Hipervnculo"/>
            <w:rFonts w:ascii="Verdana" w:hAnsi="Verdana"/>
            <w:lang w:val="es"/>
          </w:rPr>
          <w:t>https://relatoria.colombiacompra.gov.co/busqueda/conceptos</w:t>
        </w:r>
      </w:hyperlink>
      <w:r w:rsidRPr="39124533">
        <w:rPr>
          <w:rFonts w:ascii="Verdana" w:eastAsia="Verdana" w:hAnsi="Verdana" w:cs="Verdana"/>
          <w:color w:val="000000" w:themeColor="text1"/>
          <w:lang w:val="es"/>
        </w:rPr>
        <w:t xml:space="preserve">. </w:t>
      </w:r>
      <w:r w:rsidRPr="39124533">
        <w:rPr>
          <w:rFonts w:ascii="Verdana" w:eastAsia="Verdana" w:hAnsi="Verdana" w:cs="Verdana"/>
          <w:color w:val="FF0000"/>
          <w:lang w:val="es"/>
        </w:rPr>
        <w:t xml:space="preserve"> </w:t>
      </w:r>
    </w:p>
    <w:p w14:paraId="09283357" w14:textId="77777777" w:rsidR="00614529" w:rsidRDefault="00614529" w:rsidP="00614529">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66465683" w14:textId="77777777" w:rsidR="00614529" w:rsidRDefault="00614529" w:rsidP="00614529">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eastAsia="Verdana" w:hAnsi="Verdana" w:cs="Verdana"/>
          <w:b/>
          <w:bCs/>
          <w:color w:val="000000" w:themeColor="text1"/>
        </w:rPr>
        <w:t>Guía para la Exigencia y Constitución de 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r w:rsidRPr="054CF0A3">
          <w:rPr>
            <w:rStyle w:val="Hipervnculo"/>
            <w:rFonts w:ascii="Verdana" w:eastAsia="Verdana" w:hAnsi="Verdana" w:cs="Verdana"/>
            <w:color w:val="000000" w:themeColor="text1"/>
          </w:rPr>
          <w:t>https://www.colombiacompra.gov.co/archivos/manual/guia-de-garantias-en-procesos-de-contratacion</w:t>
        </w:r>
      </w:hyperlink>
    </w:p>
    <w:p w14:paraId="3371CB7D" w14:textId="77777777" w:rsidR="00614529" w:rsidRDefault="00614529" w:rsidP="00614529">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4">
        <w:r w:rsidRPr="054CF0A3">
          <w:rPr>
            <w:rStyle w:val="Hipervnculo"/>
            <w:rFonts w:ascii="Verdana" w:eastAsia="Verdana" w:hAnsi="Verdana" w:cs="Verdana"/>
            <w:color w:val="000000" w:themeColor="text1"/>
          </w:rPr>
          <w:t>https://www.colombiacompra.gov.co/archivos/circular/circular-externa-003-de-2026</w:t>
        </w:r>
      </w:hyperlink>
    </w:p>
    <w:p w14:paraId="2F984377" w14:textId="77777777" w:rsidR="00614529" w:rsidRDefault="00614529" w:rsidP="00614529">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r w:rsidRPr="054CF0A3">
          <w:rPr>
            <w:rStyle w:val="Hipervnculo"/>
            <w:rFonts w:ascii="Verdana" w:eastAsia="Verdana" w:hAnsi="Verdana" w:cs="Verdana"/>
            <w:color w:val="000000" w:themeColor="text1"/>
          </w:rPr>
          <w:t>https://www.colombiacompra.gov.co/archivos/circular/circular-externa-002-de-2026</w:t>
        </w:r>
      </w:hyperlink>
    </w:p>
    <w:p w14:paraId="7F6109E3" w14:textId="77777777" w:rsidR="00614529" w:rsidRDefault="00614529" w:rsidP="00614529">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r w:rsidRPr="054CF0A3">
          <w:rPr>
            <w:rStyle w:val="Hipervnculo"/>
            <w:rFonts w:ascii="Verdana" w:eastAsia="Verdana" w:hAnsi="Verdana" w:cs="Verdana"/>
            <w:color w:val="000000" w:themeColor="text1"/>
          </w:rPr>
          <w:t>https://www.colombiacompra.gov.co/archivos/boletin/boletin-edicion-n-3-de-2026-radar-de-la-compra-publica</w:t>
        </w:r>
      </w:hyperlink>
    </w:p>
    <w:p w14:paraId="48C54B9D" w14:textId="77777777" w:rsidR="00614529" w:rsidRPr="003D5882" w:rsidRDefault="00614529" w:rsidP="00614529">
      <w:pPr>
        <w:spacing w:after="0" w:line="257"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53F2B381" w14:textId="77777777" w:rsidR="00614529" w:rsidRPr="0015699B" w:rsidRDefault="00614529" w:rsidP="00614529">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0DD442A" w14:textId="77777777" w:rsidR="00614529" w:rsidRPr="0015699B" w:rsidRDefault="00614529" w:rsidP="00614529">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Twitter: </w:t>
      </w:r>
      <w:r w:rsidRPr="40A87941">
        <w:rPr>
          <w:rFonts w:ascii="Verdana" w:eastAsia="Verdana" w:hAnsi="Verdana" w:cs="Verdana"/>
          <w:color w:val="000000" w:themeColor="text1"/>
          <w:u w:val="single"/>
          <w:lang w:val="es"/>
        </w:rPr>
        <w:t>@colombiacompra</w:t>
      </w:r>
      <w:r w:rsidRPr="40A87941">
        <w:rPr>
          <w:rFonts w:ascii="Verdana" w:eastAsia="Verdana" w:hAnsi="Verdana" w:cs="Verdana"/>
          <w:color w:val="000000" w:themeColor="text1"/>
          <w:lang w:val="es"/>
        </w:rPr>
        <w:t xml:space="preserve"> </w:t>
      </w:r>
    </w:p>
    <w:p w14:paraId="638CD31A" w14:textId="77777777" w:rsidR="00614529" w:rsidRPr="0015699B" w:rsidRDefault="00614529" w:rsidP="00614529">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t xml:space="preserve">Facebook: </w:t>
      </w:r>
      <w:proofErr w:type="spellStart"/>
      <w:r w:rsidRPr="40A87941">
        <w:rPr>
          <w:rFonts w:ascii="Verdana" w:eastAsia="Verdana" w:hAnsi="Verdana" w:cs="Verdana"/>
          <w:color w:val="000000" w:themeColor="text1"/>
          <w:u w:val="single"/>
          <w:lang w:val="es-ES"/>
        </w:rPr>
        <w:t>ColombiaCompraEficiente</w:t>
      </w:r>
      <w:proofErr w:type="spellEnd"/>
    </w:p>
    <w:p w14:paraId="2C8B701A" w14:textId="77777777" w:rsidR="00614529" w:rsidRPr="0015699B" w:rsidRDefault="00614529" w:rsidP="00614529">
      <w:pPr>
        <w:spacing w:after="0" w:line="240" w:lineRule="auto"/>
        <w:jc w:val="both"/>
        <w:textAlignment w:val="baseline"/>
        <w:rPr>
          <w:rFonts w:ascii="Verdana" w:eastAsia="Verdana" w:hAnsi="Verdana" w:cs="Verdana"/>
          <w:color w:val="000000" w:themeColor="text1"/>
          <w:u w:val="single"/>
          <w:lang w:val="es"/>
        </w:rPr>
      </w:pPr>
      <w:r w:rsidRPr="40A87941">
        <w:rPr>
          <w:rFonts w:ascii="Verdana" w:eastAsia="Verdana" w:hAnsi="Verdana" w:cs="Verdana"/>
          <w:color w:val="000000" w:themeColor="text1"/>
          <w:lang w:val="es"/>
        </w:rPr>
        <w:t xml:space="preserve">LinkedIn: </w:t>
      </w:r>
      <w:r w:rsidRPr="40A87941">
        <w:rPr>
          <w:rFonts w:ascii="Verdana" w:eastAsia="Verdana" w:hAnsi="Verdana" w:cs="Verdana"/>
          <w:color w:val="000000" w:themeColor="text1"/>
          <w:u w:val="single"/>
          <w:lang w:val="es"/>
        </w:rPr>
        <w:t>Agencia Nacional de Contratación Pública - Colombia Compra Eficiente</w:t>
      </w:r>
      <w:r w:rsidRPr="40A87941">
        <w:rPr>
          <w:rFonts w:ascii="Verdana" w:eastAsia="Verdana" w:hAnsi="Verdana" w:cs="Verdana"/>
          <w:color w:val="000000" w:themeColor="text1"/>
          <w:lang w:val="es"/>
        </w:rPr>
        <w:t xml:space="preserve"> Instagram: </w:t>
      </w:r>
      <w:r w:rsidRPr="40A87941">
        <w:rPr>
          <w:rFonts w:ascii="Verdana" w:eastAsia="Verdana" w:hAnsi="Verdana" w:cs="Verdana"/>
          <w:color w:val="000000" w:themeColor="text1"/>
          <w:u w:val="single"/>
          <w:lang w:val="es"/>
        </w:rPr>
        <w:t>@colombiacompraeficiente_cce</w:t>
      </w:r>
    </w:p>
    <w:p w14:paraId="7C585F3F" w14:textId="77777777" w:rsidR="00614529" w:rsidRPr="0015699B" w:rsidRDefault="00614529" w:rsidP="00614529">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654AF0DD" w14:textId="77777777" w:rsidR="00614529" w:rsidRPr="0015699B" w:rsidRDefault="00614529" w:rsidP="00614529">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7074D98" w14:textId="77777777" w:rsidR="00614529" w:rsidRPr="0015699B" w:rsidRDefault="00614529" w:rsidP="00614529">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E3864A2" w14:textId="77777777" w:rsidR="00614529" w:rsidRPr="0015699B" w:rsidRDefault="00614529" w:rsidP="00614529">
      <w:pPr>
        <w:spacing w:after="0" w:line="240" w:lineRule="auto"/>
        <w:jc w:val="both"/>
        <w:textAlignment w:val="baseline"/>
      </w:pPr>
      <w:r w:rsidRPr="40A87941">
        <w:rPr>
          <w:rFonts w:ascii="Verdana" w:eastAsia="Verdana" w:hAnsi="Verdana" w:cs="Verdana"/>
          <w:color w:val="000000" w:themeColor="text1"/>
          <w:lang w:val="es"/>
        </w:rPr>
        <w:t xml:space="preserve"> Atentamente, </w:t>
      </w:r>
    </w:p>
    <w:p w14:paraId="14797F55" w14:textId="3689C92D" w:rsidR="00614529" w:rsidRDefault="00614529" w:rsidP="00614529">
      <w:pPr>
        <w:spacing w:after="0" w:line="240" w:lineRule="auto"/>
        <w:ind w:left="2340"/>
        <w:jc w:val="both"/>
        <w:rPr>
          <w:noProof/>
        </w:rPr>
      </w:pPr>
    </w:p>
    <w:p w14:paraId="5992EBEC" w14:textId="0EED1449" w:rsidR="00402F93" w:rsidRDefault="00402F93" w:rsidP="00402F93">
      <w:pPr>
        <w:spacing w:after="0" w:line="240" w:lineRule="auto"/>
        <w:ind w:left="142" w:right="758"/>
        <w:jc w:val="center"/>
        <w:rPr>
          <w:noProof/>
        </w:rPr>
      </w:pPr>
      <w:r>
        <w:rPr>
          <w:noProof/>
        </w:rPr>
        <w:lastRenderedPageBreak/>
        <w:drawing>
          <wp:inline distT="0" distB="0" distL="0" distR="0" wp14:anchorId="200BAF3C" wp14:editId="514429F7">
            <wp:extent cx="4335780" cy="1861275"/>
            <wp:effectExtent l="0" t="0" r="7620" b="5715"/>
            <wp:docPr id="9177864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1949" cy="1863923"/>
                    </a:xfrm>
                    <a:prstGeom prst="rect">
                      <a:avLst/>
                    </a:prstGeom>
                    <a:noFill/>
                    <a:ln>
                      <a:noFill/>
                    </a:ln>
                  </pic:spPr>
                </pic:pic>
              </a:graphicData>
            </a:graphic>
          </wp:inline>
        </w:drawing>
      </w:r>
    </w:p>
    <w:p w14:paraId="1F85B81C" w14:textId="77777777" w:rsidR="00402F93" w:rsidRDefault="00402F93" w:rsidP="00614529">
      <w:pPr>
        <w:spacing w:after="0" w:line="240" w:lineRule="auto"/>
        <w:ind w:left="2340"/>
        <w:jc w:val="both"/>
      </w:pPr>
    </w:p>
    <w:p w14:paraId="1416A99D" w14:textId="77777777" w:rsidR="00614529" w:rsidRPr="0015699B" w:rsidRDefault="00614529" w:rsidP="00614529">
      <w:pPr>
        <w:spacing w:line="276" w:lineRule="auto"/>
        <w:jc w:val="center"/>
        <w:textAlignment w:val="baseline"/>
        <w:rPr>
          <w:rFonts w:ascii="Calibri" w:eastAsia="Calibri" w:hAnsi="Calibri" w:cs="Calibri"/>
          <w:lang w:val="es"/>
        </w:rPr>
      </w:pP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614529" w14:paraId="6D8615A8" w14:textId="77777777" w:rsidTr="00740655">
        <w:trPr>
          <w:trHeight w:val="315"/>
        </w:trPr>
        <w:tc>
          <w:tcPr>
            <w:tcW w:w="893" w:type="dxa"/>
            <w:tcBorders>
              <w:top w:val="nil"/>
              <w:bottom w:val="nil"/>
              <w:right w:val="nil"/>
            </w:tcBorders>
            <w:tcMar>
              <w:left w:w="108" w:type="dxa"/>
              <w:right w:w="108" w:type="dxa"/>
            </w:tcMar>
            <w:vAlign w:val="center"/>
          </w:tcPr>
          <w:p w14:paraId="44759552" w14:textId="77777777" w:rsidR="00614529" w:rsidRDefault="00614529" w:rsidP="00740655">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6DEE47D9" w14:textId="77777777" w:rsidR="00614529" w:rsidRDefault="00614529" w:rsidP="00740655">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Daniel Eduardo Rojas Poveda</w:t>
            </w:r>
          </w:p>
          <w:p w14:paraId="69474099" w14:textId="77777777" w:rsidR="00614529" w:rsidRDefault="00614529" w:rsidP="00740655">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614529" w14:paraId="269CA9FB" w14:textId="77777777" w:rsidTr="00740655">
        <w:trPr>
          <w:trHeight w:val="330"/>
        </w:trPr>
        <w:tc>
          <w:tcPr>
            <w:tcW w:w="893" w:type="dxa"/>
            <w:tcBorders>
              <w:top w:val="nil"/>
              <w:bottom w:val="nil"/>
              <w:right w:val="nil"/>
            </w:tcBorders>
            <w:tcMar>
              <w:left w:w="108" w:type="dxa"/>
              <w:right w:w="108" w:type="dxa"/>
            </w:tcMar>
            <w:vAlign w:val="center"/>
          </w:tcPr>
          <w:p w14:paraId="4BF9B355" w14:textId="77777777" w:rsidR="00614529" w:rsidRDefault="00614529" w:rsidP="00740655">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4561B3E6" w14:textId="18B73D27" w:rsidR="00614529" w:rsidRDefault="00614529" w:rsidP="00740655">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Juan David Cardenas</w:t>
            </w:r>
            <w:r w:rsidR="007E5A08">
              <w:rPr>
                <w:rFonts w:ascii="Verdana" w:eastAsia="Verdana" w:hAnsi="Verdana" w:cs="Verdana"/>
                <w:color w:val="000000" w:themeColor="text1"/>
                <w:sz w:val="16"/>
                <w:szCs w:val="16"/>
              </w:rPr>
              <w:t xml:space="preserve"> Cabeza</w:t>
            </w:r>
          </w:p>
          <w:p w14:paraId="503F473C" w14:textId="77777777" w:rsidR="00614529" w:rsidRDefault="00614529" w:rsidP="00740655">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614529" w14:paraId="23171CF0" w14:textId="77777777" w:rsidTr="00740655">
        <w:trPr>
          <w:trHeight w:val="300"/>
        </w:trPr>
        <w:tc>
          <w:tcPr>
            <w:tcW w:w="893" w:type="dxa"/>
            <w:tcBorders>
              <w:top w:val="nil"/>
              <w:bottom w:val="nil"/>
              <w:right w:val="nil"/>
            </w:tcBorders>
            <w:tcMar>
              <w:left w:w="108" w:type="dxa"/>
              <w:right w:w="108" w:type="dxa"/>
            </w:tcMar>
            <w:vAlign w:val="center"/>
          </w:tcPr>
          <w:p w14:paraId="6331CC36" w14:textId="77777777" w:rsidR="00614529" w:rsidRDefault="00614529" w:rsidP="00740655">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08741F25" w14:textId="77777777" w:rsidR="00614529" w:rsidRDefault="00614529" w:rsidP="00740655">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 xml:space="preserve">Carolina Quintero </w:t>
            </w:r>
            <w:proofErr w:type="spellStart"/>
            <w:r w:rsidRPr="40A87941">
              <w:rPr>
                <w:rFonts w:ascii="Verdana" w:eastAsia="Verdana" w:hAnsi="Verdana" w:cs="Verdana"/>
                <w:color w:val="000000" w:themeColor="text1"/>
                <w:sz w:val="16"/>
                <w:szCs w:val="16"/>
                <w:lang w:val="pt-BR"/>
              </w:rPr>
              <w:t>Gacharná</w:t>
            </w:r>
            <w:proofErr w:type="spellEnd"/>
          </w:p>
          <w:p w14:paraId="69DB74A7" w14:textId="77777777" w:rsidR="00614529" w:rsidRDefault="00614529" w:rsidP="00740655">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w:t>
            </w:r>
            <w:proofErr w:type="spellStart"/>
            <w:r w:rsidRPr="40A87941">
              <w:rPr>
                <w:rFonts w:ascii="Verdana" w:eastAsia="Verdana" w:hAnsi="Verdana" w:cs="Verdana"/>
                <w:color w:val="000000" w:themeColor="text1"/>
                <w:sz w:val="16"/>
                <w:szCs w:val="16"/>
                <w:lang w:val="pt-BR"/>
              </w:rPr>
              <w:t>Contractual</w:t>
            </w:r>
            <w:proofErr w:type="spellEnd"/>
            <w:r w:rsidRPr="40A87941">
              <w:rPr>
                <w:rFonts w:ascii="Verdana" w:eastAsia="Verdana" w:hAnsi="Verdana" w:cs="Verdana"/>
                <w:color w:val="000000" w:themeColor="text1"/>
                <w:sz w:val="16"/>
                <w:szCs w:val="16"/>
                <w:lang w:val="pt-BR"/>
              </w:rPr>
              <w:t xml:space="preserve">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3F0AD501"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402F93">
      <w:headerReference w:type="default" r:id="rId18"/>
      <w:footerReference w:type="default" r:id="rId19"/>
      <w:pgSz w:w="12240" w:h="15840" w:code="1"/>
      <w:pgMar w:top="1417" w:right="1892"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1F3B" w14:textId="77777777" w:rsidR="0093191B" w:rsidRDefault="0093191B" w:rsidP="004A1847">
      <w:pPr>
        <w:spacing w:after="0" w:line="240" w:lineRule="auto"/>
      </w:pPr>
      <w:r>
        <w:separator/>
      </w:r>
    </w:p>
  </w:endnote>
  <w:endnote w:type="continuationSeparator" w:id="0">
    <w:p w14:paraId="43E70494" w14:textId="77777777" w:rsidR="0093191B" w:rsidRDefault="0093191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48FF7" w14:textId="77777777" w:rsidR="0093191B" w:rsidRDefault="0093191B" w:rsidP="004A1847">
      <w:pPr>
        <w:spacing w:after="0" w:line="240" w:lineRule="auto"/>
      </w:pPr>
      <w:r>
        <w:separator/>
      </w:r>
    </w:p>
  </w:footnote>
  <w:footnote w:type="continuationSeparator" w:id="0">
    <w:p w14:paraId="3FCA96A1" w14:textId="77777777" w:rsidR="0093191B" w:rsidRDefault="0093191B" w:rsidP="004A1847">
      <w:pPr>
        <w:spacing w:after="0" w:line="240" w:lineRule="auto"/>
      </w:pPr>
      <w:r>
        <w:continuationSeparator/>
      </w:r>
    </w:p>
  </w:footnote>
  <w:footnote w:id="1">
    <w:p w14:paraId="7B018D1F" w14:textId="77777777" w:rsidR="00614529" w:rsidRDefault="00614529" w:rsidP="00614529">
      <w:pPr>
        <w:pStyle w:val="Textonotapie"/>
        <w:ind w:firstLine="709"/>
        <w:contextualSpacing/>
        <w:jc w:val="both"/>
        <w:rPr>
          <w:rFonts w:ascii="Verdana" w:hAnsi="Verdana" w:cs="Arial"/>
          <w:color w:val="000000" w:themeColor="text1"/>
          <w:sz w:val="16"/>
          <w:szCs w:val="16"/>
        </w:rPr>
      </w:pPr>
      <w:r w:rsidRPr="00803210">
        <w:rPr>
          <w:rStyle w:val="Refdenotaalpie"/>
          <w:rFonts w:ascii="Verdana" w:hAnsi="Verdana" w:cs="Arial"/>
          <w:sz w:val="16"/>
          <w:szCs w:val="16"/>
        </w:rPr>
        <w:footnoteRef/>
      </w:r>
      <w:r w:rsidRPr="00803210">
        <w:rPr>
          <w:rFonts w:ascii="Verdana" w:hAnsi="Verdana" w:cs="Arial"/>
          <w:sz w:val="16"/>
          <w:szCs w:val="16"/>
        </w:rPr>
        <w:t xml:space="preserve"> </w:t>
      </w:r>
      <w:r w:rsidRPr="00803210">
        <w:rPr>
          <w:rFonts w:ascii="Verdana" w:hAnsi="Verdana" w:cs="Arial"/>
          <w:sz w:val="16"/>
          <w:szCs w:val="16"/>
          <w:lang w:val="es-ES"/>
        </w:rPr>
        <w:t>“</w:t>
      </w:r>
      <w:r w:rsidRPr="00803210">
        <w:rPr>
          <w:rFonts w:ascii="Verdana" w:hAnsi="Verdana" w:cs="Arial"/>
          <w:color w:val="000000" w:themeColor="text1"/>
          <w:sz w:val="16"/>
          <w:szCs w:val="16"/>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058FCCDC" w14:textId="77777777" w:rsidR="00614529" w:rsidRPr="00803210" w:rsidRDefault="00614529" w:rsidP="00614529">
      <w:pPr>
        <w:pStyle w:val="Textonotapie"/>
        <w:ind w:firstLine="709"/>
        <w:contextualSpacing/>
        <w:jc w:val="both"/>
        <w:rPr>
          <w:rFonts w:ascii="Verdana" w:hAnsi="Verdana" w:cs="Arial"/>
          <w:color w:val="000000" w:themeColor="text1"/>
          <w:sz w:val="16"/>
          <w:szCs w:val="16"/>
        </w:rPr>
      </w:pPr>
    </w:p>
    <w:p w14:paraId="78B2CB4A" w14:textId="77777777" w:rsidR="00614529" w:rsidRPr="00803210" w:rsidRDefault="00614529" w:rsidP="00614529">
      <w:pPr>
        <w:pStyle w:val="Textonotapie"/>
        <w:ind w:firstLine="709"/>
        <w:contextualSpacing/>
        <w:jc w:val="both"/>
        <w:rPr>
          <w:rFonts w:ascii="Verdana" w:hAnsi="Verdana" w:cs="Arial"/>
          <w:color w:val="000000" w:themeColor="text1"/>
          <w:sz w:val="16"/>
          <w:szCs w:val="16"/>
        </w:rPr>
      </w:pPr>
      <w:r w:rsidRPr="00803210">
        <w:rPr>
          <w:rFonts w:ascii="Verdana" w:hAnsi="Verdana" w:cs="Arial"/>
          <w:color w:val="000000" w:themeColor="text1"/>
          <w:sz w:val="16"/>
          <w:szCs w:val="16"/>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p w14:paraId="7E2DDF00" w14:textId="77777777" w:rsidR="00614529" w:rsidRPr="00803210" w:rsidRDefault="00614529" w:rsidP="00614529">
      <w:pPr>
        <w:pStyle w:val="Textonotapie"/>
        <w:ind w:firstLine="709"/>
        <w:contextualSpacing/>
        <w:jc w:val="both"/>
        <w:rPr>
          <w:rFonts w:ascii="Verdana" w:hAnsi="Verdana" w:cs="Arial"/>
          <w:sz w:val="16"/>
          <w:szCs w:val="16"/>
          <w:lang w:val="es-ES"/>
        </w:rPr>
      </w:pPr>
    </w:p>
  </w:footnote>
  <w:footnote w:id="2">
    <w:p w14:paraId="40D0EC6D" w14:textId="77777777" w:rsidR="00614529" w:rsidRPr="00A44A91" w:rsidRDefault="00614529" w:rsidP="00614529">
      <w:pPr>
        <w:pStyle w:val="Textonotapie"/>
        <w:ind w:firstLine="720"/>
        <w:rPr>
          <w:rFonts w:ascii="Verdana" w:hAnsi="Verdana" w:cs="Arial"/>
          <w:color w:val="1A1A1A" w:themeColor="background1" w:themeShade="1A"/>
          <w:sz w:val="16"/>
          <w:szCs w:val="16"/>
          <w:lang w:val="es-CO"/>
        </w:rPr>
      </w:pPr>
      <w:r w:rsidRPr="00A44A91">
        <w:rPr>
          <w:rStyle w:val="Refdenotaalpie"/>
          <w:rFonts w:ascii="Verdana" w:hAnsi="Verdana" w:cs="Arial"/>
          <w:color w:val="1A1A1A" w:themeColor="background1" w:themeShade="1A"/>
          <w:sz w:val="16"/>
          <w:szCs w:val="16"/>
        </w:rPr>
        <w:footnoteRef/>
      </w:r>
      <w:r w:rsidRPr="00A44A91">
        <w:rPr>
          <w:rFonts w:ascii="Verdana" w:hAnsi="Verdana" w:cs="Arial"/>
          <w:color w:val="1A1A1A" w:themeColor="background1" w:themeShade="1A"/>
          <w:sz w:val="16"/>
          <w:szCs w:val="16"/>
        </w:rPr>
        <w:t xml:space="preserve"> “Son también contratos de consultoría los que tienen por objeto la interventoría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406734534"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127496962" name="Imagen 12749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67C6560"/>
    <w:multiLevelType w:val="hybridMultilevel"/>
    <w:tmpl w:val="E2E279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346012">
    <w:abstractNumId w:val="5"/>
  </w:num>
  <w:num w:numId="2" w16cid:durableId="478421263">
    <w:abstractNumId w:val="1"/>
  </w:num>
  <w:num w:numId="3" w16cid:durableId="848526338">
    <w:abstractNumId w:val="3"/>
  </w:num>
  <w:num w:numId="4" w16cid:durableId="669994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0484281">
    <w:abstractNumId w:val="1"/>
  </w:num>
  <w:num w:numId="6" w16cid:durableId="1766607018">
    <w:abstractNumId w:val="13"/>
  </w:num>
  <w:num w:numId="7" w16cid:durableId="60836979">
    <w:abstractNumId w:val="4"/>
  </w:num>
  <w:num w:numId="8" w16cid:durableId="1875532810">
    <w:abstractNumId w:val="12"/>
  </w:num>
  <w:num w:numId="9" w16cid:durableId="1288008569">
    <w:abstractNumId w:val="6"/>
  </w:num>
  <w:num w:numId="10" w16cid:durableId="1091047627">
    <w:abstractNumId w:val="11"/>
  </w:num>
  <w:num w:numId="11" w16cid:durableId="629701816">
    <w:abstractNumId w:val="7"/>
  </w:num>
  <w:num w:numId="12" w16cid:durableId="927735538">
    <w:abstractNumId w:val="0"/>
  </w:num>
  <w:num w:numId="13" w16cid:durableId="428891905">
    <w:abstractNumId w:val="2"/>
  </w:num>
  <w:num w:numId="14" w16cid:durableId="1818641373">
    <w:abstractNumId w:val="14"/>
  </w:num>
  <w:num w:numId="15" w16cid:durableId="78673229">
    <w:abstractNumId w:val="9"/>
  </w:num>
  <w:num w:numId="16" w16cid:durableId="445200978">
    <w:abstractNumId w:val="8"/>
  </w:num>
  <w:num w:numId="17" w16cid:durableId="7788415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86560"/>
    <w:rsid w:val="000A683E"/>
    <w:rsid w:val="000B19B9"/>
    <w:rsid w:val="000D0334"/>
    <w:rsid w:val="000D5DA7"/>
    <w:rsid w:val="000E7EDB"/>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2F93"/>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14529"/>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7E5A08"/>
    <w:rsid w:val="00806F5F"/>
    <w:rsid w:val="00820278"/>
    <w:rsid w:val="008258C9"/>
    <w:rsid w:val="00844AE9"/>
    <w:rsid w:val="00867F95"/>
    <w:rsid w:val="008843B6"/>
    <w:rsid w:val="00891928"/>
    <w:rsid w:val="008A446D"/>
    <w:rsid w:val="008B25F1"/>
    <w:rsid w:val="008D180B"/>
    <w:rsid w:val="008F0EA7"/>
    <w:rsid w:val="00923EEF"/>
    <w:rsid w:val="0093191B"/>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52AEF"/>
    <w:rsid w:val="00E75C92"/>
    <w:rsid w:val="00E771DC"/>
    <w:rsid w:val="00E8772A"/>
    <w:rsid w:val="00E90F6B"/>
    <w:rsid w:val="00E92C27"/>
    <w:rsid w:val="00EA0E3D"/>
    <w:rsid w:val="00EB507A"/>
    <w:rsid w:val="00EC38A7"/>
    <w:rsid w:val="00EE1AA8"/>
    <w:rsid w:val="00F23FEA"/>
    <w:rsid w:val="00F31EDC"/>
    <w:rsid w:val="00F462B3"/>
    <w:rsid w:val="00F5664F"/>
    <w:rsid w:val="00F666C4"/>
    <w:rsid w:val="00F76AFC"/>
    <w:rsid w:val="00F958C0"/>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61452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614529"/>
    <w:rPr>
      <w:rFonts w:ascii="Geomanist Light" w:hAnsi="Geomanist Light"/>
      <w:lang w:val="es-ES"/>
    </w:rPr>
  </w:style>
  <w:style w:type="paragraph" w:styleId="Sinespaciado">
    <w:name w:val="No Spacing"/>
    <w:aliases w:val="No Indent"/>
    <w:link w:val="SinespaciadoCar"/>
    <w:uiPriority w:val="3"/>
    <w:qFormat/>
    <w:rsid w:val="00614529"/>
    <w:pPr>
      <w:spacing w:after="0" w:line="240" w:lineRule="auto"/>
    </w:pPr>
  </w:style>
  <w:style w:type="character" w:customStyle="1" w:styleId="SinespaciadoCar">
    <w:name w:val="Sin espaciado Car"/>
    <w:aliases w:val="No Indent Car"/>
    <w:link w:val="Sinespaciado"/>
    <w:uiPriority w:val="3"/>
    <w:rsid w:val="00614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B398B405-CA87-475D-A751-CD4FEB7ECCD6}"/>
</file>

<file path=docProps/app.xml><?xml version="1.0" encoding="utf-8"?>
<Properties xmlns="http://schemas.openxmlformats.org/officeDocument/2006/extended-properties" xmlns:vt="http://schemas.openxmlformats.org/officeDocument/2006/docPropsVTypes">
  <Template>Normal</Template>
  <TotalTime>4</TotalTime>
  <Pages>17</Pages>
  <Words>5595</Words>
  <Characters>30773</Characters>
  <Application>Microsoft Office Word</Application>
  <DocSecurity>0</DocSecurity>
  <Lines>256</Lines>
  <Paragraphs>72</Paragraphs>
  <ScaleCrop>false</ScaleCrop>
  <Company/>
  <LinksUpToDate>false</LinksUpToDate>
  <CharactersWithSpaces>36296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3</cp:revision>
  <cp:lastPrinted>2023-01-10T21:18:00Z</cp:lastPrinted>
  <dcterms:created xsi:type="dcterms:W3CDTF">2026-08-20T10:10:00Z</dcterms:created>
  <dcterms:modified xsi:type="dcterms:W3CDTF">2026-08-22T10:29:00Z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