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7FF0" w14:textId="77777777" w:rsidR="00563D5B" w:rsidRPr="00CC6484" w:rsidRDefault="00563D5B" w:rsidP="00563D5B">
      <w:pPr>
        <w:spacing w:line="276" w:lineRule="auto"/>
        <w:jc w:val="both"/>
        <w:rPr>
          <w:rFonts w:ascii="Verdana" w:eastAsia="Calibri" w:hAnsi="Verdana" w:cs="Arial"/>
          <w:b/>
          <w:bCs/>
          <w:color w:val="000000" w:themeColor="text1"/>
          <w:lang w:eastAsia="es-ES"/>
        </w:rPr>
      </w:pPr>
      <w:bookmarkStart w:id="0" w:name="_Hlk143780582"/>
      <w:r w:rsidRPr="00CC6484">
        <w:rPr>
          <w:rFonts w:ascii="Verdana" w:eastAsia="Calibri" w:hAnsi="Verdana" w:cs="Arial"/>
          <w:b/>
          <w:bCs/>
          <w:color w:val="000000" w:themeColor="text1"/>
          <w:lang w:eastAsia="es-ES"/>
        </w:rPr>
        <w:t xml:space="preserve">CONTRATACIÓN DIRECTA – Ley 1967 de 2019 – Causal Numeral 25 del artículo 4 – Alcance </w:t>
      </w:r>
    </w:p>
    <w:p w14:paraId="456AEF62" w14:textId="77777777" w:rsidR="00563D5B" w:rsidRPr="00CC6484" w:rsidRDefault="00563D5B" w:rsidP="00563D5B">
      <w:pPr>
        <w:spacing w:line="240" w:lineRule="auto"/>
        <w:jc w:val="both"/>
        <w:rPr>
          <w:rFonts w:ascii="Verdana" w:eastAsia="Calibri" w:hAnsi="Verdana" w:cs="Arial"/>
          <w:color w:val="000000" w:themeColor="text1"/>
          <w:sz w:val="20"/>
          <w:szCs w:val="20"/>
          <w:lang w:eastAsia="es-ES"/>
        </w:rPr>
      </w:pPr>
      <w:r w:rsidRPr="00CC6484">
        <w:rPr>
          <w:rFonts w:ascii="Verdana" w:eastAsia="Calibri" w:hAnsi="Verdana" w:cs="Arial"/>
          <w:color w:val="000000" w:themeColor="text1"/>
          <w:sz w:val="20"/>
          <w:szCs w:val="20"/>
          <w:lang w:eastAsia="es-ES"/>
        </w:rPr>
        <w:t>"El numeral 25 del artículo 4 de la Ley 1967 de 2019 otorga al Ministerio del Deporte la competencia para celebrar directamente convenios o contratos con entidades u organismos que pertenezcan al Sistema Nacional del Deporte, siempre que busquen el desarrollo del objeto para el cual fue creado el Ministerio y que se ejerza de acuerdo con las normas legales vigentes. Esta redacción supone una norma especial aplicable al procedimiento de selección que puede utilizar esta Entidad Estatal cuando se cumplen los supuestos expresamente determinados por el legislador, sin que ello suponga un desplazamiento o modificación del régimen jurídico del EGCAP, al cual se somete la actividad contractual del Ministerio de conformidad con lo dispuesto en el artículo 2 de la Ley 80 de 1993.</w:t>
      </w:r>
    </w:p>
    <w:p w14:paraId="326E4A3C" w14:textId="77777777" w:rsidR="00563D5B" w:rsidRPr="00976C4E" w:rsidRDefault="00563D5B" w:rsidP="00563D5B">
      <w:pPr>
        <w:spacing w:line="240" w:lineRule="auto"/>
        <w:jc w:val="both"/>
        <w:rPr>
          <w:rFonts w:ascii="Verdana" w:eastAsia="Calibri" w:hAnsi="Verdana" w:cs="Arial"/>
          <w:color w:val="000000" w:themeColor="text1"/>
          <w:sz w:val="20"/>
          <w:szCs w:val="20"/>
          <w:lang w:eastAsia="es-ES"/>
        </w:rPr>
      </w:pPr>
      <w:r w:rsidRPr="00976C4E">
        <w:rPr>
          <w:rFonts w:ascii="Verdana" w:eastAsia="Calibri" w:hAnsi="Verdana" w:cs="Arial"/>
          <w:color w:val="000000" w:themeColor="text1"/>
          <w:sz w:val="20"/>
          <w:szCs w:val="20"/>
          <w:lang w:eastAsia="es-ES"/>
        </w:rPr>
        <w:t>[…] la función establecida en el numeral 25 del artículo 4 de la Ley 1967 de 2019 constituye una norma especial en materia de contratación que otorga al Ministerio del Deporte la competencia para celebrar directamente convenios o contratos con entidades u organismos que pertenezcan al Sistema Nacional del Deporte […] Así, la disposición del numeral 25 objeto de análisis establece una causal específica que habilita la contratación directa por parte del Ministerio del Deporte, pero remite expresamente a la aplicación del ordenamiento jurídico que rige la actividad contractual de esta entidad, es decir, al EGCAP.</w:t>
      </w:r>
    </w:p>
    <w:p w14:paraId="4C22AC26" w14:textId="77777777" w:rsidR="00563D5B" w:rsidRPr="00CC6484" w:rsidRDefault="00563D5B" w:rsidP="00563D5B">
      <w:pPr>
        <w:spacing w:line="240" w:lineRule="auto"/>
        <w:jc w:val="both"/>
        <w:rPr>
          <w:rFonts w:ascii="Verdana" w:eastAsia="Calibri" w:hAnsi="Verdana" w:cs="Arial"/>
          <w:color w:val="000000" w:themeColor="text1"/>
          <w:sz w:val="20"/>
          <w:szCs w:val="20"/>
          <w:lang w:eastAsia="es-ES"/>
        </w:rPr>
      </w:pPr>
      <w:r w:rsidRPr="00976C4E">
        <w:rPr>
          <w:rFonts w:ascii="Verdana" w:eastAsia="Calibri" w:hAnsi="Verdana" w:cs="Arial"/>
          <w:color w:val="000000" w:themeColor="text1"/>
          <w:sz w:val="20"/>
          <w:szCs w:val="20"/>
          <w:lang w:eastAsia="es-ES"/>
        </w:rPr>
        <w:t>En efecto, la función consagrada en el numeral 25 del artículo 4 de la Ley 1967 de 2019 no supone una derogación o antinomia con la normativa del EGCAP que rige la actividad contractual del Ministerio del Deporte. Sin embargo, sustrae de la regla general de la contratación mediante licitación pública dispuesta en el EGCAP un ámbito puntual y específico: la contratación directa con organismos del Sistema Nacional del Deporte, para el desarrollo de su objeto institucional; en todo lo demás, la norma general (el EGCAP) sigue aplicando plenamente en la actividad contractual del Ministerio</w:t>
      </w:r>
      <w:r w:rsidRPr="00CC6484">
        <w:rPr>
          <w:rFonts w:ascii="Verdana" w:eastAsia="Calibri" w:hAnsi="Verdana" w:cs="Arial"/>
          <w:color w:val="000000" w:themeColor="text1"/>
          <w:sz w:val="20"/>
          <w:szCs w:val="20"/>
          <w:lang w:eastAsia="es-ES"/>
        </w:rPr>
        <w:t>”</w:t>
      </w:r>
      <w:r w:rsidRPr="00976C4E">
        <w:rPr>
          <w:rFonts w:ascii="Verdana" w:eastAsia="Calibri" w:hAnsi="Verdana" w:cs="Arial"/>
          <w:color w:val="000000" w:themeColor="text1"/>
          <w:sz w:val="20"/>
          <w:szCs w:val="20"/>
          <w:lang w:eastAsia="es-ES"/>
        </w:rPr>
        <w:t>.</w:t>
      </w:r>
    </w:p>
    <w:p w14:paraId="69330B2A" w14:textId="77777777" w:rsidR="00563D5B" w:rsidRPr="00CC6484" w:rsidRDefault="00563D5B" w:rsidP="00563D5B">
      <w:pPr>
        <w:spacing w:line="276" w:lineRule="auto"/>
        <w:jc w:val="both"/>
        <w:rPr>
          <w:rFonts w:ascii="Verdana" w:eastAsia="Calibri" w:hAnsi="Verdana" w:cs="Arial"/>
          <w:b/>
          <w:bCs/>
          <w:color w:val="000000" w:themeColor="text1"/>
          <w:lang w:eastAsia="es-ES"/>
        </w:rPr>
      </w:pPr>
      <w:r w:rsidRPr="00CC6484">
        <w:rPr>
          <w:rFonts w:ascii="Verdana" w:eastAsia="Calibri" w:hAnsi="Verdana" w:cs="Arial"/>
          <w:b/>
          <w:bCs/>
          <w:color w:val="000000" w:themeColor="text1"/>
          <w:lang w:eastAsia="es-ES"/>
        </w:rPr>
        <w:t xml:space="preserve">SISTEMA NACIONAL DEL DEPORTE – Sujetos – Artículo 50 de la Ley 181 de 1995 </w:t>
      </w:r>
    </w:p>
    <w:p w14:paraId="66403088" w14:textId="77777777" w:rsidR="00563D5B" w:rsidRPr="00CC6484" w:rsidRDefault="00563D5B" w:rsidP="00563D5B">
      <w:pPr>
        <w:spacing w:line="240" w:lineRule="auto"/>
        <w:jc w:val="both"/>
        <w:rPr>
          <w:rFonts w:ascii="Verdana" w:eastAsia="Calibri" w:hAnsi="Verdana" w:cs="Arial"/>
          <w:color w:val="000000" w:themeColor="text1"/>
          <w:sz w:val="20"/>
          <w:szCs w:val="20"/>
          <w:lang w:eastAsia="es-ES"/>
        </w:rPr>
      </w:pPr>
      <w:r w:rsidRPr="00976C4E">
        <w:rPr>
          <w:rFonts w:ascii="Verdana" w:eastAsia="Calibri" w:hAnsi="Verdana" w:cs="Arial"/>
          <w:color w:val="000000" w:themeColor="text1"/>
          <w:lang w:eastAsia="es-ES"/>
        </w:rPr>
        <w:t>"</w:t>
      </w:r>
      <w:r w:rsidRPr="00CC6484">
        <w:rPr>
          <w:rFonts w:ascii="Verdana" w:eastAsia="Calibri" w:hAnsi="Verdana" w:cs="Arial"/>
          <w:color w:val="000000" w:themeColor="text1"/>
          <w:sz w:val="20"/>
          <w:szCs w:val="20"/>
          <w:lang w:eastAsia="es-ES"/>
        </w:rPr>
        <w:t>Sobre la vigencia de esta caracterización del Sistema Nacional del Deporte, es importante resaltar que la Ley 1967 de 2019 no derogó las disposiciones señaladas, pues el artículo 18 se refirió a la derogatoria del Decreto 4183 de 2011 y 'las demás disposiciones que le sean contrarias'. En este sentido, la derogatoria expresa no tocó las disposiciones de la Ley 181 de 1995 referidas a los organismos o entidades que componen el Sistema Nacional del Deporte […]"</w:t>
      </w:r>
    </w:p>
    <w:p w14:paraId="4792CF49" w14:textId="77777777" w:rsidR="00563D5B" w:rsidRPr="00CC6484" w:rsidRDefault="00563D5B" w:rsidP="00563D5B">
      <w:pPr>
        <w:spacing w:line="240" w:lineRule="auto"/>
        <w:jc w:val="both"/>
        <w:rPr>
          <w:rFonts w:ascii="Verdana" w:eastAsia="Calibri" w:hAnsi="Verdana" w:cs="Arial"/>
          <w:color w:val="000000" w:themeColor="text1"/>
          <w:sz w:val="20"/>
          <w:szCs w:val="20"/>
          <w:lang w:eastAsia="es-ES"/>
        </w:rPr>
      </w:pPr>
      <w:r w:rsidRPr="00CC6484">
        <w:rPr>
          <w:rFonts w:ascii="Verdana" w:eastAsia="Calibri" w:hAnsi="Verdana" w:cs="Arial"/>
          <w:color w:val="000000" w:themeColor="text1"/>
          <w:sz w:val="20"/>
          <w:szCs w:val="20"/>
          <w:lang w:eastAsia="es-ES"/>
        </w:rPr>
        <w:t>Conforme con lo expuesto, el Ministerio del Deporte únicamente podrá ejercer la función de celebrar directamente los convenios y contratos a los cuales hace referencia el numeral 25 del artículo 4 de la Ley 1967 de 2019 con respecto a sujetos que, de acuerdo con la misma normativa vigente del sector, hagan parte del Sistema Nacional del Deporte. En este sentido, según el referido artículo 50 de la Ley 181 de 1995, esta lista comprende al Ministerio de Educación Nacional, el Instituto Colombiano del Deporte —</w:t>
      </w:r>
      <w:r w:rsidRPr="00CC6484">
        <w:rPr>
          <w:rFonts w:ascii="Verdana" w:eastAsia="Calibri" w:hAnsi="Verdana" w:cs="Arial"/>
          <w:color w:val="000000" w:themeColor="text1"/>
          <w:sz w:val="20"/>
          <w:szCs w:val="20"/>
          <w:lang w:eastAsia="es-ES"/>
        </w:rPr>
        <w:lastRenderedPageBreak/>
        <w:t>hoy Ministerio del Deporte—, los entes departamentales, municipales y distritales que ejerzan las funciones de fomento, desarrollo y práctica del deporte, la recreación y el aprovechamiento del tiempo libre, los organismos privados, las entidades mixtas, así como todas aquellas entidades públicas y privadas de otros sectores sociales y económicos en los aspectos que se relacionen directamente con estas actividades. También se entenderán incorporados en la habilitación, por disposición expresa del numeral 25, los organismos internacionales de naturaleza pública o privada que se enmarquen en esta definición</w:t>
      </w:r>
      <w:r>
        <w:rPr>
          <w:rFonts w:ascii="Verdana" w:eastAsia="Calibri" w:hAnsi="Verdana" w:cs="Arial"/>
          <w:color w:val="000000" w:themeColor="text1"/>
          <w:sz w:val="20"/>
          <w:szCs w:val="20"/>
          <w:lang w:eastAsia="es-ES"/>
        </w:rPr>
        <w:t>”</w:t>
      </w:r>
      <w:r w:rsidRPr="00CC6484">
        <w:rPr>
          <w:rFonts w:ascii="Verdana" w:eastAsia="Calibri" w:hAnsi="Verdana" w:cs="Arial"/>
          <w:color w:val="000000" w:themeColor="text1"/>
          <w:sz w:val="20"/>
          <w:szCs w:val="20"/>
          <w:lang w:eastAsia="es-ES"/>
        </w:rPr>
        <w:t>.</w:t>
      </w:r>
    </w:p>
    <w:p w14:paraId="6627035A" w14:textId="77777777" w:rsidR="00563D5B" w:rsidRPr="00CC6484" w:rsidRDefault="00563D5B" w:rsidP="00563D5B">
      <w:pPr>
        <w:spacing w:line="276" w:lineRule="auto"/>
        <w:jc w:val="both"/>
        <w:rPr>
          <w:rFonts w:ascii="Verdana" w:eastAsia="Calibri" w:hAnsi="Verdana" w:cs="Arial"/>
          <w:b/>
          <w:bCs/>
          <w:color w:val="000000" w:themeColor="text1"/>
          <w:lang w:eastAsia="es-ES"/>
        </w:rPr>
      </w:pPr>
      <w:r w:rsidRPr="00CC6484">
        <w:rPr>
          <w:rFonts w:ascii="Verdana" w:eastAsia="Calibri" w:hAnsi="Verdana" w:cs="Arial"/>
          <w:b/>
          <w:bCs/>
          <w:color w:val="000000" w:themeColor="text1"/>
          <w:lang w:eastAsia="es-ES"/>
        </w:rPr>
        <w:t xml:space="preserve">CONTRATACIÓN CON ORGANISMOS INTERNACIONALES – Ley 1967 de 2019 – Causal Numeral 25 del artículo 4 </w:t>
      </w:r>
    </w:p>
    <w:p w14:paraId="01B879C0" w14:textId="77777777" w:rsidR="00563D5B" w:rsidRPr="00CC6484" w:rsidRDefault="00563D5B" w:rsidP="00563D5B">
      <w:pPr>
        <w:spacing w:line="240" w:lineRule="auto"/>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w:t>
      </w:r>
      <w:r w:rsidRPr="00CC6484">
        <w:rPr>
          <w:rFonts w:ascii="Verdana" w:eastAsia="Calibri" w:hAnsi="Verdana" w:cs="Arial"/>
          <w:color w:val="000000" w:themeColor="text1"/>
          <w:sz w:val="20"/>
          <w:szCs w:val="20"/>
          <w:lang w:eastAsia="es-ES"/>
        </w:rPr>
        <w:t>Una consecuencia jurídica de lo expuesto es que el artículo 20 de la Ley 1150 de 2007 será aplicable con respecto a los organismos internacionales con los que contrate directamente el Ministerio del Deporte en ejercicio de la función establecida en el numeral 25 del artículo 4 de la Ley 1967 de 2019, siempre que se trate de organismos internacionales que sean parte del Sistema Nacional del Deporte y que el objeto del convenio o contrato sea concordante con el artículo 3 de esta norma. De forma similar, las condiciones previstas en el artículo 20 de la Ley 1150 de 2007 no son aplicables de manera automática cuando el Ministerio del Deporte ejerza la función del referido numeral 25, pues para ello también será necesario que se cumplan los supuestos establecidos en dicha norma"</w:t>
      </w:r>
      <w:r>
        <w:rPr>
          <w:rFonts w:ascii="Verdana" w:eastAsia="Calibri" w:hAnsi="Verdana" w:cs="Arial"/>
          <w:color w:val="000000" w:themeColor="text1"/>
          <w:sz w:val="20"/>
          <w:szCs w:val="20"/>
          <w:lang w:eastAsia="es-ES"/>
        </w:rPr>
        <w:t>.</w:t>
      </w:r>
    </w:p>
    <w:p w14:paraId="7279297E" w14:textId="77777777" w:rsidR="00563D5B" w:rsidRDefault="00563D5B" w:rsidP="001A19CD">
      <w:pPr>
        <w:spacing w:after="0"/>
        <w:rPr>
          <w:rFonts w:ascii="Verdana" w:hAnsi="Verdana"/>
          <w:lang w:val="es-ES"/>
        </w:rPr>
      </w:pPr>
    </w:p>
    <w:p w14:paraId="7943853C" w14:textId="77777777" w:rsidR="00563D5B" w:rsidRDefault="00563D5B" w:rsidP="001A19CD">
      <w:pPr>
        <w:spacing w:after="0"/>
        <w:rPr>
          <w:rFonts w:ascii="Verdana" w:hAnsi="Verdana"/>
          <w:lang w:val="es-ES"/>
        </w:rPr>
      </w:pPr>
    </w:p>
    <w:p w14:paraId="7D23E513" w14:textId="77777777" w:rsidR="00563D5B" w:rsidRDefault="00563D5B" w:rsidP="001A19CD">
      <w:pPr>
        <w:spacing w:after="0"/>
        <w:rPr>
          <w:rFonts w:ascii="Verdana" w:hAnsi="Verdana"/>
          <w:lang w:val="es-ES"/>
        </w:rPr>
      </w:pPr>
    </w:p>
    <w:p w14:paraId="666DDDCC" w14:textId="77777777" w:rsidR="00563D5B" w:rsidRDefault="00563D5B" w:rsidP="001A19CD">
      <w:pPr>
        <w:spacing w:after="0"/>
        <w:rPr>
          <w:rFonts w:ascii="Verdana" w:hAnsi="Verdana"/>
          <w:lang w:val="es-ES"/>
        </w:rPr>
      </w:pPr>
    </w:p>
    <w:p w14:paraId="5AAB98C3" w14:textId="77777777" w:rsidR="00563D5B" w:rsidRDefault="00563D5B" w:rsidP="001A19CD">
      <w:pPr>
        <w:spacing w:after="0"/>
        <w:rPr>
          <w:rFonts w:ascii="Verdana" w:hAnsi="Verdana"/>
          <w:lang w:val="es-ES"/>
        </w:rPr>
      </w:pPr>
    </w:p>
    <w:p w14:paraId="029489CA" w14:textId="77777777" w:rsidR="00563D5B" w:rsidRDefault="00563D5B" w:rsidP="001A19CD">
      <w:pPr>
        <w:spacing w:after="0"/>
        <w:rPr>
          <w:rFonts w:ascii="Verdana" w:hAnsi="Verdana"/>
          <w:lang w:val="es-ES"/>
        </w:rPr>
      </w:pPr>
    </w:p>
    <w:p w14:paraId="40531EA0" w14:textId="77777777" w:rsidR="00563D5B" w:rsidRDefault="00563D5B" w:rsidP="001A19CD">
      <w:pPr>
        <w:spacing w:after="0"/>
        <w:rPr>
          <w:rFonts w:ascii="Verdana" w:hAnsi="Verdana"/>
          <w:lang w:val="es-ES"/>
        </w:rPr>
      </w:pPr>
    </w:p>
    <w:p w14:paraId="2CE02657" w14:textId="77777777" w:rsidR="00563D5B" w:rsidRDefault="00563D5B" w:rsidP="001A19CD">
      <w:pPr>
        <w:spacing w:after="0"/>
        <w:rPr>
          <w:rFonts w:ascii="Verdana" w:hAnsi="Verdana"/>
          <w:lang w:val="es-ES"/>
        </w:rPr>
      </w:pPr>
    </w:p>
    <w:p w14:paraId="589D29A0" w14:textId="77777777" w:rsidR="00563D5B" w:rsidRDefault="00563D5B" w:rsidP="001A19CD">
      <w:pPr>
        <w:spacing w:after="0"/>
        <w:rPr>
          <w:rFonts w:ascii="Verdana" w:hAnsi="Verdana"/>
          <w:lang w:val="es-ES"/>
        </w:rPr>
      </w:pPr>
    </w:p>
    <w:p w14:paraId="23350EE2" w14:textId="77777777" w:rsidR="00563D5B" w:rsidRDefault="00563D5B" w:rsidP="001A19CD">
      <w:pPr>
        <w:spacing w:after="0"/>
        <w:rPr>
          <w:rFonts w:ascii="Verdana" w:hAnsi="Verdana"/>
          <w:lang w:val="es-ES"/>
        </w:rPr>
      </w:pPr>
    </w:p>
    <w:p w14:paraId="2A3AC047" w14:textId="77777777" w:rsidR="00563D5B" w:rsidRDefault="00563D5B" w:rsidP="001A19CD">
      <w:pPr>
        <w:spacing w:after="0"/>
        <w:rPr>
          <w:rFonts w:ascii="Verdana" w:hAnsi="Verdana"/>
          <w:lang w:val="es-ES"/>
        </w:rPr>
      </w:pPr>
    </w:p>
    <w:p w14:paraId="36EE4398" w14:textId="77777777" w:rsidR="00563D5B" w:rsidRDefault="00563D5B" w:rsidP="001A19CD">
      <w:pPr>
        <w:spacing w:after="0"/>
        <w:rPr>
          <w:rFonts w:ascii="Verdana" w:hAnsi="Verdana"/>
          <w:lang w:val="es-ES"/>
        </w:rPr>
      </w:pPr>
    </w:p>
    <w:p w14:paraId="44C0FC85" w14:textId="77777777" w:rsidR="00563D5B" w:rsidRDefault="00563D5B" w:rsidP="001A19CD">
      <w:pPr>
        <w:spacing w:after="0"/>
        <w:rPr>
          <w:rFonts w:ascii="Verdana" w:hAnsi="Verdana"/>
          <w:lang w:val="es-ES"/>
        </w:rPr>
      </w:pPr>
    </w:p>
    <w:p w14:paraId="4DD2CD7A" w14:textId="77777777" w:rsidR="00563D5B" w:rsidRDefault="00563D5B" w:rsidP="001A19CD">
      <w:pPr>
        <w:spacing w:after="0"/>
        <w:rPr>
          <w:rFonts w:ascii="Verdana" w:hAnsi="Verdana"/>
          <w:lang w:val="es-ES"/>
        </w:rPr>
      </w:pPr>
    </w:p>
    <w:p w14:paraId="459A6AED" w14:textId="77777777" w:rsidR="00563D5B" w:rsidRDefault="00563D5B" w:rsidP="001A19CD">
      <w:pPr>
        <w:spacing w:after="0"/>
        <w:rPr>
          <w:rFonts w:ascii="Verdana" w:hAnsi="Verdana"/>
          <w:lang w:val="es-ES"/>
        </w:rPr>
      </w:pPr>
    </w:p>
    <w:p w14:paraId="6540D52B" w14:textId="77777777" w:rsidR="00563D5B" w:rsidRDefault="00563D5B" w:rsidP="001A19CD">
      <w:pPr>
        <w:spacing w:after="0"/>
        <w:rPr>
          <w:rFonts w:ascii="Verdana" w:hAnsi="Verdana"/>
          <w:lang w:val="es-ES"/>
        </w:rPr>
      </w:pPr>
    </w:p>
    <w:p w14:paraId="1A928CB1" w14:textId="77777777" w:rsidR="00563D5B" w:rsidRDefault="00563D5B" w:rsidP="001A19CD">
      <w:pPr>
        <w:spacing w:after="0"/>
        <w:rPr>
          <w:rFonts w:ascii="Verdana" w:hAnsi="Verdana"/>
          <w:lang w:val="es-ES"/>
        </w:rPr>
      </w:pPr>
    </w:p>
    <w:p w14:paraId="4EB0CBEE" w14:textId="77777777" w:rsidR="00563D5B" w:rsidRDefault="00563D5B" w:rsidP="001A19CD">
      <w:pPr>
        <w:spacing w:after="0"/>
        <w:rPr>
          <w:rFonts w:ascii="Verdana" w:hAnsi="Verdana"/>
          <w:lang w:val="es-ES"/>
        </w:rPr>
      </w:pPr>
    </w:p>
    <w:p w14:paraId="757A0D10" w14:textId="77777777" w:rsidR="00563D5B" w:rsidRDefault="00563D5B" w:rsidP="001A19CD">
      <w:pPr>
        <w:spacing w:after="0"/>
        <w:rPr>
          <w:rFonts w:ascii="Verdana" w:hAnsi="Verdana"/>
          <w:lang w:val="es-ES"/>
        </w:rPr>
      </w:pPr>
    </w:p>
    <w:p w14:paraId="444DAD2A" w14:textId="77777777" w:rsidR="00563D5B" w:rsidRDefault="00563D5B" w:rsidP="001A19CD">
      <w:pPr>
        <w:spacing w:after="0"/>
        <w:rPr>
          <w:rFonts w:ascii="Verdana" w:hAnsi="Verdana"/>
          <w:lang w:val="es-ES"/>
        </w:rPr>
      </w:pPr>
    </w:p>
    <w:p w14:paraId="573315F5" w14:textId="1ED87E7C" w:rsidR="001A19CD" w:rsidRPr="00F1047A" w:rsidRDefault="001A19CD" w:rsidP="001A19CD">
      <w:pPr>
        <w:spacing w:after="0"/>
        <w:rPr>
          <w:rFonts w:ascii="Verdana" w:hAnsi="Verdana"/>
          <w:lang w:val="es-ES"/>
        </w:rPr>
      </w:pPr>
      <w:r w:rsidRPr="00F1047A">
        <w:rPr>
          <w:rFonts w:ascii="Verdana" w:hAnsi="Verdana"/>
          <w:lang w:val="es-ES"/>
        </w:rPr>
        <w:lastRenderedPageBreak/>
        <w:t xml:space="preserve">Bogotá D.C., </w:t>
      </w:r>
      <w:r w:rsidR="007125D4">
        <w:rPr>
          <w:rFonts w:ascii="Verdana" w:hAnsi="Verdana"/>
          <w:lang w:val="es-ES"/>
        </w:rPr>
        <w:t>21 de agosto de 2026</w:t>
      </w:r>
      <w:r w:rsidRPr="00F1047A">
        <w:rPr>
          <w:rFonts w:ascii="Verdana" w:hAnsi="Verdana"/>
          <w:lang w:val="es-ES"/>
        </w:rPr>
        <w:tab/>
      </w:r>
    </w:p>
    <w:p w14:paraId="5DDE4ACB" w14:textId="77777777" w:rsidR="001A19CD" w:rsidRPr="00F1047A" w:rsidRDefault="001A19CD" w:rsidP="001A19CD">
      <w:pPr>
        <w:spacing w:after="0"/>
        <w:rPr>
          <w:rFonts w:ascii="Verdana" w:hAnsi="Verdana"/>
          <w:lang w:val="es-ES"/>
        </w:rPr>
      </w:pPr>
    </w:p>
    <w:p w14:paraId="33E83213" w14:textId="54A24F1D" w:rsidR="001A19CD" w:rsidRPr="00F1047A" w:rsidRDefault="008C0FBB" w:rsidP="001A19CD">
      <w:pPr>
        <w:spacing w:after="0" w:line="240" w:lineRule="auto"/>
        <w:jc w:val="both"/>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anchor distT="0" distB="0" distL="114300" distR="114300" simplePos="0" relativeHeight="251658240" behindDoc="0" locked="0" layoutInCell="1" allowOverlap="1" wp14:anchorId="1152E40C" wp14:editId="31A58AF3">
            <wp:simplePos x="0" y="0"/>
            <wp:positionH relativeFrom="margin">
              <wp:align>right</wp:align>
            </wp:positionH>
            <wp:positionV relativeFrom="paragraph">
              <wp:posOffset>8255</wp:posOffset>
            </wp:positionV>
            <wp:extent cx="2552065" cy="866140"/>
            <wp:effectExtent l="0" t="0" r="635" b="0"/>
            <wp:wrapSquare wrapText="bothSides"/>
            <wp:docPr id="1249437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37772" name="Picture 1249437772"/>
                    <pic:cNvPicPr/>
                  </pic:nvPicPr>
                  <pic:blipFill>
                    <a:blip r:embed="rId11">
                      <a:extLst>
                        <a:ext uri="{28A0092B-C50C-407E-A947-70E740481C1C}">
                          <a14:useLocalDpi xmlns:a14="http://schemas.microsoft.com/office/drawing/2010/main" val="0"/>
                        </a:ext>
                      </a:extLst>
                    </a:blip>
                    <a:stretch>
                      <a:fillRect/>
                    </a:stretch>
                  </pic:blipFill>
                  <pic:spPr>
                    <a:xfrm>
                      <a:off x="0" y="0"/>
                      <a:ext cx="2552065" cy="866140"/>
                    </a:xfrm>
                    <a:prstGeom prst="rect">
                      <a:avLst/>
                    </a:prstGeom>
                  </pic:spPr>
                </pic:pic>
              </a:graphicData>
            </a:graphic>
            <wp14:sizeRelH relativeFrom="page">
              <wp14:pctWidth>0</wp14:pctWidth>
            </wp14:sizeRelH>
            <wp14:sizeRelV relativeFrom="page">
              <wp14:pctHeight>0</wp14:pctHeight>
            </wp14:sizeRelV>
          </wp:anchor>
        </w:drawing>
      </w:r>
      <w:r w:rsidR="000E708E" w:rsidRPr="00F1047A">
        <w:rPr>
          <w:rFonts w:ascii="Verdana" w:eastAsia="Calibri" w:hAnsi="Verdana" w:cs="Arial"/>
          <w:color w:val="000000" w:themeColor="text1"/>
          <w:lang w:val="es-ES" w:eastAsia="es-ES"/>
        </w:rPr>
        <w:t>Doctor</w:t>
      </w:r>
    </w:p>
    <w:p w14:paraId="6BFCE52B" w14:textId="3C95A9DD" w:rsidR="000E708E" w:rsidRPr="000E708E" w:rsidRDefault="000E708E" w:rsidP="000E708E">
      <w:pPr>
        <w:spacing w:after="0" w:line="240" w:lineRule="auto"/>
        <w:jc w:val="both"/>
        <w:rPr>
          <w:rFonts w:ascii="Verdana" w:eastAsia="Calibri" w:hAnsi="Verdana" w:cs="Arial"/>
          <w:b/>
          <w:bCs/>
          <w:color w:val="000000" w:themeColor="text1"/>
          <w:lang w:val="es-ES" w:eastAsia="es-ES"/>
        </w:rPr>
      </w:pPr>
      <w:r w:rsidRPr="000E708E">
        <w:rPr>
          <w:rFonts w:ascii="Verdana" w:eastAsia="Calibri" w:hAnsi="Verdana" w:cs="Arial"/>
          <w:b/>
          <w:bCs/>
          <w:color w:val="000000" w:themeColor="text1"/>
          <w:lang w:val="es-ES" w:eastAsia="es-ES"/>
        </w:rPr>
        <w:t xml:space="preserve">Fabian </w:t>
      </w:r>
      <w:r w:rsidR="003B09FF" w:rsidRPr="000E708E">
        <w:rPr>
          <w:rFonts w:ascii="Verdana" w:eastAsia="Calibri" w:hAnsi="Verdana" w:cs="Arial"/>
          <w:b/>
          <w:bCs/>
          <w:color w:val="000000" w:themeColor="text1"/>
          <w:lang w:val="es-ES" w:eastAsia="es-ES"/>
        </w:rPr>
        <w:t>Darío</w:t>
      </w:r>
      <w:r w:rsidRPr="000E708E">
        <w:rPr>
          <w:rFonts w:ascii="Verdana" w:eastAsia="Calibri" w:hAnsi="Verdana" w:cs="Arial"/>
          <w:b/>
          <w:bCs/>
          <w:color w:val="000000" w:themeColor="text1"/>
          <w:lang w:val="es-ES" w:eastAsia="es-ES"/>
        </w:rPr>
        <w:t xml:space="preserve"> Romero Moreno </w:t>
      </w:r>
    </w:p>
    <w:p w14:paraId="68C5B44B" w14:textId="6B9FAE56" w:rsidR="000E708E" w:rsidRPr="00F1047A" w:rsidRDefault="000E708E" w:rsidP="001A19CD">
      <w:pPr>
        <w:spacing w:after="0" w:line="240" w:lineRule="auto"/>
        <w:jc w:val="both"/>
        <w:rPr>
          <w:rFonts w:ascii="Verdana" w:eastAsia="Calibri" w:hAnsi="Verdana" w:cs="Arial"/>
          <w:color w:val="000000" w:themeColor="text1"/>
          <w:lang w:val="es-ES" w:eastAsia="es-ES"/>
        </w:rPr>
      </w:pPr>
      <w:r w:rsidRPr="000E708E">
        <w:rPr>
          <w:rFonts w:ascii="Verdana" w:eastAsia="Calibri" w:hAnsi="Verdana" w:cs="Arial"/>
          <w:color w:val="000000" w:themeColor="text1"/>
          <w:lang w:val="es-ES" w:eastAsia="es-ES"/>
        </w:rPr>
        <w:t xml:space="preserve">Coordinador del GIT de </w:t>
      </w:r>
      <w:proofErr w:type="spellStart"/>
      <w:r w:rsidRPr="000E708E">
        <w:rPr>
          <w:rFonts w:ascii="Verdana" w:eastAsia="Calibri" w:hAnsi="Verdana" w:cs="Arial"/>
          <w:color w:val="000000" w:themeColor="text1"/>
          <w:lang w:val="es-ES" w:eastAsia="es-ES"/>
        </w:rPr>
        <w:t>Contratación</w:t>
      </w:r>
      <w:proofErr w:type="spellEnd"/>
      <w:r w:rsidRPr="000E708E">
        <w:rPr>
          <w:rFonts w:ascii="Verdana" w:eastAsia="Calibri" w:hAnsi="Verdana" w:cs="Arial"/>
          <w:color w:val="000000" w:themeColor="text1"/>
          <w:lang w:val="es-ES" w:eastAsia="es-ES"/>
        </w:rPr>
        <w:t xml:space="preserve"> </w:t>
      </w:r>
    </w:p>
    <w:p w14:paraId="3F030C44" w14:textId="3321CBA0" w:rsidR="000E708E" w:rsidRPr="00F1047A" w:rsidRDefault="000E708E" w:rsidP="000E708E">
      <w:pPr>
        <w:spacing w:after="0" w:line="240" w:lineRule="auto"/>
        <w:jc w:val="both"/>
        <w:rPr>
          <w:rFonts w:ascii="Verdana" w:eastAsia="Calibri" w:hAnsi="Verdana" w:cs="Arial"/>
          <w:color w:val="000000" w:themeColor="text1"/>
          <w:lang w:val="es-ES" w:eastAsia="es-ES"/>
        </w:rPr>
      </w:pPr>
      <w:r w:rsidRPr="000E708E">
        <w:rPr>
          <w:rFonts w:ascii="Verdana" w:eastAsia="Calibri" w:hAnsi="Verdana" w:cs="Arial"/>
          <w:color w:val="000000" w:themeColor="text1"/>
          <w:lang w:val="es-ES" w:eastAsia="es-ES"/>
        </w:rPr>
        <w:t xml:space="preserve">Ministerio del Deporte </w:t>
      </w:r>
    </w:p>
    <w:p w14:paraId="5F666835" w14:textId="3B1371E3" w:rsidR="000E708E" w:rsidRPr="000E708E" w:rsidRDefault="000E708E" w:rsidP="000E708E">
      <w:pPr>
        <w:spacing w:after="0" w:line="240" w:lineRule="auto"/>
        <w:jc w:val="both"/>
        <w:rPr>
          <w:rFonts w:ascii="Verdana" w:eastAsia="Calibri" w:hAnsi="Verdana" w:cs="Arial"/>
          <w:color w:val="000000" w:themeColor="text1"/>
          <w:lang w:val="es-ES" w:eastAsia="es-ES"/>
        </w:rPr>
      </w:pPr>
      <w:r w:rsidRPr="00F1047A">
        <w:rPr>
          <w:rFonts w:ascii="Verdana" w:eastAsia="Calibri" w:hAnsi="Verdana" w:cs="Arial"/>
          <w:color w:val="000000" w:themeColor="text1"/>
          <w:lang w:val="es-ES" w:eastAsia="es-ES"/>
        </w:rPr>
        <w:t>Bogotá D.C.</w:t>
      </w:r>
    </w:p>
    <w:p w14:paraId="0F1004F1" w14:textId="59E595E6" w:rsidR="000E708E" w:rsidRPr="00F1047A" w:rsidRDefault="000E708E" w:rsidP="000E708E">
      <w:pPr>
        <w:spacing w:after="0" w:line="240" w:lineRule="auto"/>
        <w:jc w:val="both"/>
        <w:rPr>
          <w:rFonts w:ascii="Verdana" w:eastAsia="Calibri" w:hAnsi="Verdana" w:cs="Arial"/>
          <w:color w:val="000000" w:themeColor="text1"/>
          <w:lang w:val="es-ES" w:eastAsia="es-ES"/>
        </w:rPr>
      </w:pPr>
      <w:r w:rsidRPr="000E708E">
        <w:rPr>
          <w:rFonts w:ascii="Verdana" w:eastAsia="Calibri" w:hAnsi="Verdana" w:cs="Arial"/>
          <w:color w:val="000000" w:themeColor="text1"/>
          <w:lang w:val="es-ES" w:eastAsia="es-ES"/>
        </w:rPr>
        <w:t xml:space="preserve"> </w:t>
      </w:r>
    </w:p>
    <w:p w14:paraId="4539EA7D" w14:textId="77777777" w:rsidR="000E708E" w:rsidRPr="000E708E" w:rsidRDefault="000E708E" w:rsidP="000E708E">
      <w:pPr>
        <w:spacing w:after="0" w:line="240" w:lineRule="auto"/>
        <w:jc w:val="both"/>
        <w:rPr>
          <w:rFonts w:ascii="Verdana" w:eastAsia="Calibri" w:hAnsi="Verdana" w:cs="Arial"/>
          <w:b/>
          <w:bCs/>
          <w:color w:val="000000" w:themeColor="text1"/>
          <w:lang w:val="es-ES" w:eastAsia="es-ES"/>
        </w:rPr>
      </w:pPr>
    </w:p>
    <w:p w14:paraId="2F010DFE" w14:textId="77777777" w:rsidR="001A19CD" w:rsidRPr="00F1047A" w:rsidRDefault="001A19CD" w:rsidP="001A19CD">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1A19CD" w:rsidRPr="00F1047A" w14:paraId="24661F77" w14:textId="77777777" w:rsidTr="001510B2">
        <w:trPr>
          <w:gridAfter w:val="1"/>
          <w:wAfter w:w="4179" w:type="dxa"/>
          <w:trHeight w:val="304"/>
        </w:trPr>
        <w:tc>
          <w:tcPr>
            <w:tcW w:w="2689" w:type="dxa"/>
          </w:tcPr>
          <w:p w14:paraId="5682A1B0" w14:textId="77777777" w:rsidR="001A19CD" w:rsidRPr="00F1047A" w:rsidRDefault="001A19CD" w:rsidP="001510B2">
            <w:pPr>
              <w:jc w:val="both"/>
              <w:rPr>
                <w:rFonts w:ascii="Verdana" w:eastAsia="Calibri" w:hAnsi="Verdana" w:cs="Arial"/>
                <w:b/>
                <w:bCs/>
                <w:color w:val="000000" w:themeColor="text1"/>
                <w:lang w:val="es-ES" w:eastAsia="es-ES_tradnl"/>
              </w:rPr>
            </w:pPr>
          </w:p>
        </w:tc>
        <w:tc>
          <w:tcPr>
            <w:tcW w:w="6100" w:type="dxa"/>
          </w:tcPr>
          <w:p w14:paraId="6C81C3A9" w14:textId="6936ACA7" w:rsidR="001A19CD" w:rsidRPr="00F1047A" w:rsidRDefault="001A19CD" w:rsidP="001510B2">
            <w:pPr>
              <w:jc w:val="both"/>
              <w:rPr>
                <w:rFonts w:ascii="Verdana" w:eastAsia="Calibri" w:hAnsi="Verdana" w:cs="Arial"/>
                <w:b/>
                <w:bCs/>
                <w:color w:val="000000" w:themeColor="text1"/>
                <w:lang w:val="es-ES" w:eastAsia="es-ES"/>
              </w:rPr>
            </w:pPr>
            <w:r w:rsidRPr="00F1047A">
              <w:rPr>
                <w:rFonts w:ascii="Verdana" w:eastAsia="Calibri" w:hAnsi="Verdana" w:cs="Arial"/>
                <w:b/>
                <w:bCs/>
                <w:color w:val="000000" w:themeColor="text1"/>
                <w:lang w:val="es-ES" w:eastAsia="es-ES"/>
              </w:rPr>
              <w:t>Concepto C-</w:t>
            </w:r>
            <w:r w:rsidR="00561B01">
              <w:rPr>
                <w:rFonts w:ascii="Verdana" w:eastAsia="Calibri" w:hAnsi="Verdana" w:cs="Arial"/>
                <w:b/>
                <w:bCs/>
                <w:color w:val="000000" w:themeColor="text1"/>
                <w:lang w:val="es-ES" w:eastAsia="es-ES"/>
              </w:rPr>
              <w:t>1087</w:t>
            </w:r>
            <w:r w:rsidRPr="00F1047A">
              <w:rPr>
                <w:rFonts w:ascii="Verdana" w:eastAsia="Calibri" w:hAnsi="Verdana" w:cs="Arial"/>
                <w:b/>
                <w:bCs/>
                <w:color w:val="000000" w:themeColor="text1"/>
                <w:lang w:val="es-ES" w:eastAsia="es-ES"/>
              </w:rPr>
              <w:t xml:space="preserve"> de 2026</w:t>
            </w:r>
          </w:p>
          <w:p w14:paraId="493C2BB8" w14:textId="77777777" w:rsidR="001A19CD" w:rsidRPr="00F1047A" w:rsidRDefault="001A19CD" w:rsidP="001510B2">
            <w:pPr>
              <w:jc w:val="both"/>
              <w:rPr>
                <w:rFonts w:ascii="Verdana" w:eastAsia="Calibri" w:hAnsi="Verdana" w:cs="Arial"/>
                <w:b/>
                <w:bCs/>
                <w:color w:val="000000" w:themeColor="text1"/>
                <w:lang w:val="es-ES" w:eastAsia="es-ES"/>
              </w:rPr>
            </w:pPr>
          </w:p>
        </w:tc>
      </w:tr>
      <w:tr w:rsidR="001A19CD" w:rsidRPr="00F1047A" w14:paraId="7816B335" w14:textId="77777777" w:rsidTr="001510B2">
        <w:trPr>
          <w:trHeight w:val="1422"/>
        </w:trPr>
        <w:tc>
          <w:tcPr>
            <w:tcW w:w="2689" w:type="dxa"/>
          </w:tcPr>
          <w:p w14:paraId="7CD1E81A" w14:textId="77777777" w:rsidR="001A19CD" w:rsidRPr="00F1047A" w:rsidRDefault="001A19CD" w:rsidP="001510B2">
            <w:pPr>
              <w:jc w:val="both"/>
              <w:rPr>
                <w:rFonts w:ascii="Verdana" w:eastAsia="Calibri" w:hAnsi="Verdana" w:cs="Arial"/>
                <w:color w:val="000000" w:themeColor="text1"/>
                <w:lang w:val="es-ES" w:eastAsia="es-ES_tradnl"/>
              </w:rPr>
            </w:pPr>
            <w:r w:rsidRPr="00F1047A">
              <w:rPr>
                <w:rFonts w:ascii="Verdana" w:eastAsia="Calibri" w:hAnsi="Verdana" w:cs="Arial"/>
                <w:b/>
                <w:color w:val="000000" w:themeColor="text1"/>
                <w:lang w:val="es-ES" w:eastAsia="es-ES_tradnl"/>
              </w:rPr>
              <w:t>Temas:</w:t>
            </w:r>
            <w:r w:rsidRPr="00F1047A">
              <w:rPr>
                <w:rFonts w:ascii="Verdana" w:eastAsia="Calibri" w:hAnsi="Verdana" w:cs="Arial"/>
                <w:color w:val="000000" w:themeColor="text1"/>
                <w:lang w:val="es-ES" w:eastAsia="es-ES_tradnl"/>
              </w:rPr>
              <w:t xml:space="preserve">                   </w:t>
            </w:r>
          </w:p>
        </w:tc>
        <w:tc>
          <w:tcPr>
            <w:tcW w:w="6100" w:type="dxa"/>
          </w:tcPr>
          <w:p w14:paraId="5D0644FF" w14:textId="77777777" w:rsidR="003B09FF" w:rsidRDefault="003B09FF" w:rsidP="003B09FF">
            <w:pPr>
              <w:spacing w:line="276" w:lineRule="auto"/>
              <w:jc w:val="both"/>
              <w:rPr>
                <w:rFonts w:ascii="Verdana" w:eastAsia="Calibri" w:hAnsi="Verdana" w:cs="Arial"/>
                <w:color w:val="000000" w:themeColor="text1"/>
                <w:lang w:eastAsia="es-ES"/>
              </w:rPr>
            </w:pPr>
            <w:r w:rsidRPr="00D47CEA">
              <w:rPr>
                <w:rFonts w:ascii="Verdana" w:eastAsia="Calibri" w:hAnsi="Verdana" w:cs="Arial"/>
                <w:color w:val="000000" w:themeColor="text1"/>
                <w:lang w:eastAsia="es-ES"/>
              </w:rPr>
              <w:t>CONTRATACIÓN DIRECTA – Ley 1967 de 2019</w:t>
            </w:r>
            <w:r>
              <w:rPr>
                <w:rFonts w:ascii="Verdana" w:eastAsia="Calibri" w:hAnsi="Verdana" w:cs="Arial"/>
                <w:color w:val="000000" w:themeColor="text1"/>
                <w:lang w:eastAsia="es-ES"/>
              </w:rPr>
              <w:t xml:space="preserve"> </w:t>
            </w:r>
            <w:r w:rsidRPr="00D47CEA">
              <w:rPr>
                <w:rFonts w:ascii="Verdana" w:eastAsia="Calibri" w:hAnsi="Verdana" w:cs="Arial"/>
                <w:color w:val="000000" w:themeColor="text1"/>
                <w:lang w:eastAsia="es-ES"/>
              </w:rPr>
              <w:t xml:space="preserve">– Causal </w:t>
            </w:r>
            <w:r>
              <w:rPr>
                <w:rFonts w:ascii="Verdana" w:eastAsia="Calibri" w:hAnsi="Verdana" w:cs="Arial"/>
                <w:color w:val="000000" w:themeColor="text1"/>
                <w:lang w:eastAsia="es-ES"/>
              </w:rPr>
              <w:t>N</w:t>
            </w:r>
            <w:r w:rsidRPr="00D47CEA">
              <w:rPr>
                <w:rFonts w:ascii="Verdana" w:eastAsia="Calibri" w:hAnsi="Verdana" w:cs="Arial"/>
                <w:color w:val="000000" w:themeColor="text1"/>
                <w:lang w:eastAsia="es-ES"/>
              </w:rPr>
              <w:t>umeral 25 del artículo</w:t>
            </w:r>
            <w:r>
              <w:rPr>
                <w:rFonts w:ascii="Verdana" w:eastAsia="Calibri" w:hAnsi="Verdana" w:cs="Arial"/>
                <w:color w:val="000000" w:themeColor="text1"/>
                <w:lang w:eastAsia="es-ES"/>
              </w:rPr>
              <w:t xml:space="preserve"> 4 </w:t>
            </w:r>
            <w:r w:rsidRPr="00D47CEA">
              <w:rPr>
                <w:rFonts w:ascii="Verdana" w:eastAsia="Calibri" w:hAnsi="Verdana" w:cs="Arial"/>
                <w:color w:val="000000" w:themeColor="text1"/>
                <w:lang w:eastAsia="es-ES"/>
              </w:rPr>
              <w:t>–</w:t>
            </w:r>
            <w:r>
              <w:rPr>
                <w:rFonts w:ascii="Verdana" w:eastAsia="Calibri" w:hAnsi="Verdana" w:cs="Arial"/>
                <w:color w:val="000000" w:themeColor="text1"/>
                <w:lang w:eastAsia="es-ES"/>
              </w:rPr>
              <w:t xml:space="preserve"> Alcance</w:t>
            </w:r>
            <w:r w:rsidRPr="00D47CEA">
              <w:rPr>
                <w:rFonts w:ascii="Verdana" w:eastAsia="Calibri" w:hAnsi="Verdana" w:cs="Arial"/>
                <w:color w:val="000000" w:themeColor="text1"/>
                <w:lang w:eastAsia="es-ES"/>
              </w:rPr>
              <w:t xml:space="preserve"> / SISTEMA NACIONAL DEL DEPORTE – Sujetos –</w:t>
            </w:r>
            <w:r>
              <w:rPr>
                <w:rFonts w:ascii="Verdana" w:eastAsia="Calibri" w:hAnsi="Verdana" w:cs="Arial"/>
                <w:color w:val="000000" w:themeColor="text1"/>
                <w:lang w:eastAsia="es-ES"/>
              </w:rPr>
              <w:t xml:space="preserve"> A</w:t>
            </w:r>
            <w:r w:rsidRPr="00D47CEA">
              <w:rPr>
                <w:rFonts w:ascii="Verdana" w:eastAsia="Calibri" w:hAnsi="Verdana" w:cs="Arial"/>
                <w:color w:val="000000" w:themeColor="text1"/>
                <w:lang w:eastAsia="es-ES"/>
              </w:rPr>
              <w:t>rtículo 50 de la Ley 181 de 1995 / CONTRATACIÓN CON ORGANISMOS INTERNACIONALES – Ley 1967 de 2019</w:t>
            </w:r>
            <w:r>
              <w:rPr>
                <w:rFonts w:ascii="Verdana" w:eastAsia="Calibri" w:hAnsi="Verdana" w:cs="Arial"/>
                <w:color w:val="000000" w:themeColor="text1"/>
                <w:lang w:eastAsia="es-ES"/>
              </w:rPr>
              <w:t xml:space="preserve"> </w:t>
            </w:r>
            <w:r w:rsidRPr="00D47CEA">
              <w:rPr>
                <w:rFonts w:ascii="Verdana" w:eastAsia="Calibri" w:hAnsi="Verdana" w:cs="Arial"/>
                <w:color w:val="000000" w:themeColor="text1"/>
                <w:lang w:eastAsia="es-ES"/>
              </w:rPr>
              <w:t xml:space="preserve">– Causal </w:t>
            </w:r>
            <w:r>
              <w:rPr>
                <w:rFonts w:ascii="Verdana" w:eastAsia="Calibri" w:hAnsi="Verdana" w:cs="Arial"/>
                <w:color w:val="000000" w:themeColor="text1"/>
                <w:lang w:eastAsia="es-ES"/>
              </w:rPr>
              <w:t>N</w:t>
            </w:r>
            <w:r w:rsidRPr="00D47CEA">
              <w:rPr>
                <w:rFonts w:ascii="Verdana" w:eastAsia="Calibri" w:hAnsi="Verdana" w:cs="Arial"/>
                <w:color w:val="000000" w:themeColor="text1"/>
                <w:lang w:eastAsia="es-ES"/>
              </w:rPr>
              <w:t>umeral 25 del artículo</w:t>
            </w:r>
            <w:r>
              <w:rPr>
                <w:rFonts w:ascii="Verdana" w:eastAsia="Calibri" w:hAnsi="Verdana" w:cs="Arial"/>
                <w:color w:val="000000" w:themeColor="text1"/>
                <w:lang w:eastAsia="es-ES"/>
              </w:rPr>
              <w:t xml:space="preserve"> 4 </w:t>
            </w:r>
          </w:p>
          <w:p w14:paraId="1BC21F6A" w14:textId="4947A809" w:rsidR="001A19CD" w:rsidRPr="00F1047A" w:rsidRDefault="001A19CD" w:rsidP="001510B2">
            <w:pPr>
              <w:spacing w:line="276" w:lineRule="auto"/>
              <w:jc w:val="both"/>
              <w:rPr>
                <w:rFonts w:ascii="Verdana" w:eastAsia="Arial" w:hAnsi="Verdana" w:cs="Arial"/>
                <w:bCs/>
                <w:color w:val="000000" w:themeColor="text1"/>
                <w:lang w:val="es-ES"/>
              </w:rPr>
            </w:pPr>
          </w:p>
        </w:tc>
        <w:tc>
          <w:tcPr>
            <w:tcW w:w="4179" w:type="dxa"/>
          </w:tcPr>
          <w:p w14:paraId="013BE3A1" w14:textId="77777777" w:rsidR="001A19CD" w:rsidRPr="00F1047A" w:rsidRDefault="001A19CD" w:rsidP="001510B2">
            <w:pPr>
              <w:spacing w:line="276" w:lineRule="auto"/>
              <w:jc w:val="both"/>
              <w:rPr>
                <w:rFonts w:ascii="Verdana" w:eastAsia="Calibri" w:hAnsi="Verdana" w:cs="Arial"/>
                <w:b/>
                <w:bCs/>
                <w:color w:val="000000" w:themeColor="text1"/>
                <w:lang w:val="es-ES" w:eastAsia="es-ES"/>
              </w:rPr>
            </w:pPr>
          </w:p>
          <w:p w14:paraId="71983ADA" w14:textId="77777777" w:rsidR="001A19CD" w:rsidRPr="00F1047A" w:rsidRDefault="001A19CD" w:rsidP="001510B2">
            <w:pPr>
              <w:rPr>
                <w:rFonts w:ascii="Verdana" w:hAnsi="Verdana"/>
                <w:lang w:val="es-ES"/>
              </w:rPr>
            </w:pPr>
          </w:p>
        </w:tc>
      </w:tr>
      <w:tr w:rsidR="001A19CD" w:rsidRPr="00F1047A" w14:paraId="59C2FFF0" w14:textId="77777777" w:rsidTr="001510B2">
        <w:trPr>
          <w:gridAfter w:val="1"/>
          <w:wAfter w:w="4179" w:type="dxa"/>
        </w:trPr>
        <w:tc>
          <w:tcPr>
            <w:tcW w:w="2689" w:type="dxa"/>
          </w:tcPr>
          <w:p w14:paraId="19E5E0EE" w14:textId="77777777" w:rsidR="001A19CD" w:rsidRPr="00F1047A" w:rsidRDefault="001A19CD" w:rsidP="001510B2">
            <w:pPr>
              <w:jc w:val="both"/>
              <w:rPr>
                <w:rFonts w:ascii="Verdana" w:eastAsia="Calibri" w:hAnsi="Verdana" w:cs="Arial"/>
                <w:b/>
                <w:color w:val="000000" w:themeColor="text1"/>
                <w:lang w:val="es-ES" w:eastAsia="es-ES_tradnl"/>
              </w:rPr>
            </w:pPr>
            <w:r w:rsidRPr="00F1047A">
              <w:rPr>
                <w:rFonts w:ascii="Verdana" w:eastAsia="Calibri" w:hAnsi="Verdana" w:cs="Arial"/>
                <w:b/>
                <w:color w:val="000000" w:themeColor="text1"/>
                <w:lang w:val="es-ES" w:eastAsia="es-ES_tradnl"/>
              </w:rPr>
              <w:t>Radicación:</w:t>
            </w:r>
            <w:r w:rsidRPr="00F1047A">
              <w:rPr>
                <w:rFonts w:ascii="Verdana" w:eastAsia="Calibri" w:hAnsi="Verdana" w:cs="Arial"/>
                <w:color w:val="000000" w:themeColor="text1"/>
                <w:lang w:val="es-ES" w:eastAsia="es-ES_tradnl"/>
              </w:rPr>
              <w:t xml:space="preserve">               </w:t>
            </w:r>
          </w:p>
        </w:tc>
        <w:tc>
          <w:tcPr>
            <w:tcW w:w="6100" w:type="dxa"/>
          </w:tcPr>
          <w:p w14:paraId="22F2DADC" w14:textId="4A47B51B" w:rsidR="001A19CD" w:rsidRPr="00F1047A" w:rsidRDefault="001A19CD" w:rsidP="001510B2">
            <w:pPr>
              <w:jc w:val="both"/>
              <w:rPr>
                <w:rFonts w:ascii="Verdana" w:eastAsia="Calibri" w:hAnsi="Verdana" w:cs="Arial"/>
                <w:color w:val="000000" w:themeColor="text1"/>
                <w:lang w:val="es-ES" w:eastAsia="es-ES_tradnl"/>
              </w:rPr>
            </w:pPr>
            <w:r w:rsidRPr="00F1047A">
              <w:rPr>
                <w:rFonts w:ascii="Verdana" w:eastAsia="Calibri" w:hAnsi="Verdana" w:cs="Arial"/>
                <w:color w:val="000000" w:themeColor="text1"/>
                <w:lang w:val="es-ES" w:eastAsia="es-ES_tradnl"/>
              </w:rPr>
              <w:t xml:space="preserve">Respuesta a la consulta con radicado No. </w:t>
            </w:r>
            <w:r w:rsidR="001B7E4A" w:rsidRPr="001B7E4A">
              <w:rPr>
                <w:rFonts w:ascii="Verdana" w:eastAsia="Calibri" w:hAnsi="Verdana" w:cs="Arial"/>
                <w:color w:val="000000" w:themeColor="text1"/>
                <w:lang w:val="es-ES" w:eastAsia="es-ES_tradnl"/>
              </w:rPr>
              <w:t>1_2026_07_07_009026</w:t>
            </w:r>
          </w:p>
        </w:tc>
      </w:tr>
    </w:tbl>
    <w:p w14:paraId="28E1881C" w14:textId="77777777" w:rsidR="001A19CD" w:rsidRPr="00F1047A" w:rsidRDefault="001A19CD" w:rsidP="001A19CD">
      <w:pPr>
        <w:spacing w:after="0" w:line="276" w:lineRule="auto"/>
        <w:jc w:val="both"/>
        <w:rPr>
          <w:rFonts w:ascii="Verdana" w:eastAsia="Calibri" w:hAnsi="Verdana" w:cs="Arial"/>
          <w:color w:val="000000" w:themeColor="text1"/>
          <w:lang w:val="es-ES" w:eastAsia="es-ES_tradnl"/>
        </w:rPr>
      </w:pPr>
    </w:p>
    <w:p w14:paraId="2AA51C8C" w14:textId="77777777" w:rsidR="003B09FF" w:rsidRDefault="003B09FF" w:rsidP="001A19CD">
      <w:pPr>
        <w:spacing w:after="0" w:line="240" w:lineRule="auto"/>
        <w:jc w:val="both"/>
        <w:rPr>
          <w:rFonts w:ascii="Verdana" w:eastAsia="Calibri" w:hAnsi="Verdana" w:cs="Arial"/>
          <w:color w:val="000000" w:themeColor="text1"/>
          <w:lang w:val="es-ES" w:eastAsia="es-ES"/>
        </w:rPr>
      </w:pPr>
    </w:p>
    <w:p w14:paraId="6F2F5F8E" w14:textId="42BB6882" w:rsidR="001A19CD" w:rsidRPr="00F1047A" w:rsidRDefault="00F1047A" w:rsidP="001A19CD">
      <w:pPr>
        <w:spacing w:after="0" w:line="240" w:lineRule="auto"/>
        <w:jc w:val="both"/>
        <w:rPr>
          <w:rFonts w:ascii="Verdana" w:eastAsia="Calibri" w:hAnsi="Verdana" w:cs="Arial"/>
          <w:color w:val="000000" w:themeColor="text1"/>
          <w:lang w:val="es-ES" w:eastAsia="es-ES"/>
        </w:rPr>
      </w:pPr>
      <w:r w:rsidRPr="00F1047A">
        <w:rPr>
          <w:rFonts w:ascii="Verdana" w:eastAsia="Calibri" w:hAnsi="Verdana" w:cs="Arial"/>
          <w:color w:val="000000" w:themeColor="text1"/>
          <w:lang w:val="es-ES" w:eastAsia="es-ES"/>
        </w:rPr>
        <w:t>Estimado Doctor Romero</w:t>
      </w:r>
      <w:r w:rsidR="001A19CD" w:rsidRPr="00F1047A">
        <w:rPr>
          <w:rFonts w:ascii="Verdana" w:eastAsia="Calibri" w:hAnsi="Verdana" w:cs="Arial"/>
          <w:color w:val="000000" w:themeColor="text1"/>
          <w:lang w:val="es-ES" w:eastAsia="es-ES"/>
        </w:rPr>
        <w:t>:</w:t>
      </w:r>
    </w:p>
    <w:p w14:paraId="0771AC12" w14:textId="77777777" w:rsidR="001A19CD" w:rsidRPr="00F1047A" w:rsidRDefault="001A19CD" w:rsidP="001A19CD">
      <w:pPr>
        <w:tabs>
          <w:tab w:val="left" w:pos="3768"/>
        </w:tabs>
        <w:spacing w:after="0" w:line="276" w:lineRule="auto"/>
        <w:jc w:val="both"/>
        <w:rPr>
          <w:rFonts w:ascii="Verdana" w:eastAsia="Calibri" w:hAnsi="Verdana" w:cs="Arial"/>
          <w:color w:val="000000" w:themeColor="text1"/>
          <w:lang w:val="es-ES" w:eastAsia="es-ES"/>
        </w:rPr>
      </w:pPr>
    </w:p>
    <w:p w14:paraId="2EE2EE28" w14:textId="0DFBACA6" w:rsidR="001A19CD" w:rsidRPr="00F1047A" w:rsidRDefault="001A19CD" w:rsidP="001A19CD">
      <w:pPr>
        <w:spacing w:after="0" w:line="276" w:lineRule="auto"/>
        <w:jc w:val="both"/>
        <w:rPr>
          <w:rFonts w:ascii="Verdana" w:eastAsia="Calibri" w:hAnsi="Verdana" w:cs="Arial"/>
          <w:color w:val="000000" w:themeColor="text1"/>
          <w:lang w:val="es-ES" w:eastAsia="es-ES"/>
        </w:rPr>
      </w:pPr>
      <w:r w:rsidRPr="00F1047A">
        <w:rPr>
          <w:rFonts w:ascii="Verdana" w:eastAsia="Calibri" w:hAnsi="Verdana" w:cs="Arial"/>
          <w:color w:val="000000" w:themeColor="text1"/>
          <w:lang w:val="es-ES" w:eastAsia="es-ES"/>
        </w:rPr>
        <w:t>En ejercicio de la competencia otorgada por los artículos 3, numeral 5º, y 11, numeral 8º, del Decreto Ley 4170 de 2011,</w:t>
      </w:r>
      <w:r w:rsidRPr="00F1047A">
        <w:rPr>
          <w:rFonts w:ascii="Verdana" w:eastAsia="Arial MT" w:hAnsi="Verdana" w:cs="Arial MT"/>
          <w:color w:val="000000" w:themeColor="text1"/>
          <w:lang w:val="es-ES" w:eastAsia="es-ES"/>
        </w:rPr>
        <w:t xml:space="preserve"> </w:t>
      </w:r>
      <w:r w:rsidRPr="00F1047A">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w:t>
      </w:r>
      <w:r w:rsidR="00F1047A" w:rsidRPr="00F1047A">
        <w:rPr>
          <w:rFonts w:ascii="Verdana" w:hAnsi="Verdana" w:cs="Arial"/>
          <w:color w:val="000000" w:themeColor="text1"/>
          <w:lang w:val="es-ES"/>
        </w:rPr>
        <w:t xml:space="preserve"> remitida por el Departamento Administrativo de la Función Pública el 07 de julio de 2026,</w:t>
      </w:r>
      <w:r w:rsidRPr="00F1047A">
        <w:rPr>
          <w:rFonts w:ascii="Verdana" w:hAnsi="Verdana" w:cs="Arial"/>
          <w:color w:val="000000" w:themeColor="text1"/>
          <w:lang w:val="es-ES"/>
        </w:rPr>
        <w:t xml:space="preserve"> en la cual manifiesta lo siguiente:</w:t>
      </w:r>
      <w:r w:rsidRPr="00F1047A">
        <w:rPr>
          <w:rFonts w:ascii="Verdana" w:eastAsia="Calibri" w:hAnsi="Verdana" w:cs="Arial"/>
          <w:color w:val="000000" w:themeColor="text1"/>
          <w:lang w:val="es-ES" w:eastAsia="es-ES"/>
        </w:rPr>
        <w:t xml:space="preserve"> </w:t>
      </w:r>
    </w:p>
    <w:p w14:paraId="52D7302C" w14:textId="77777777" w:rsidR="001A19CD" w:rsidRPr="00F1047A" w:rsidRDefault="001A19CD" w:rsidP="001A19CD">
      <w:pPr>
        <w:spacing w:after="0" w:line="276" w:lineRule="auto"/>
        <w:jc w:val="both"/>
        <w:rPr>
          <w:rFonts w:ascii="Verdana" w:eastAsia="Calibri" w:hAnsi="Verdana" w:cs="Arial"/>
          <w:color w:val="000000" w:themeColor="text1"/>
          <w:lang w:val="es-ES" w:eastAsia="es-ES"/>
        </w:rPr>
      </w:pPr>
    </w:p>
    <w:p w14:paraId="66B4E2D7" w14:textId="07D018ED" w:rsidR="00F1047A" w:rsidRPr="00F1047A" w:rsidRDefault="001A19CD" w:rsidP="00F1047A">
      <w:pPr>
        <w:spacing w:after="0"/>
        <w:ind w:left="709" w:right="709"/>
        <w:contextualSpacing/>
        <w:jc w:val="both"/>
        <w:rPr>
          <w:rFonts w:ascii="Verdana" w:eastAsia="Century Gothic" w:hAnsi="Verdana" w:cs="Century Gothic"/>
          <w:i/>
          <w:iCs/>
          <w:color w:val="000000" w:themeColor="text1"/>
          <w:sz w:val="20"/>
          <w:szCs w:val="20"/>
          <w:lang w:val="es-ES"/>
        </w:rPr>
      </w:pPr>
      <w:r w:rsidRPr="00F1047A">
        <w:rPr>
          <w:rFonts w:ascii="Verdana" w:eastAsia="Century Gothic" w:hAnsi="Verdana" w:cs="Century Gothic"/>
          <w:i/>
          <w:iCs/>
          <w:color w:val="000000" w:themeColor="text1"/>
          <w:sz w:val="20"/>
          <w:szCs w:val="20"/>
          <w:lang w:val="es-ES"/>
        </w:rPr>
        <w:t>“[…]</w:t>
      </w:r>
      <w:r w:rsidR="00F1047A" w:rsidRPr="00F1047A">
        <w:rPr>
          <w:rFonts w:ascii="Verdana" w:eastAsia="Century Gothic" w:hAnsi="Verdana" w:cs="Century Gothic"/>
          <w:i/>
          <w:iCs/>
          <w:color w:val="000000" w:themeColor="text1"/>
          <w:sz w:val="20"/>
          <w:szCs w:val="20"/>
          <w:lang w:val="es-ES"/>
        </w:rPr>
        <w:br/>
        <w:t xml:space="preserve">En el desarrollo de actividades administrativas relacionadas con la </w:t>
      </w:r>
      <w:proofErr w:type="spellStart"/>
      <w:r w:rsidR="00F1047A" w:rsidRPr="00F1047A">
        <w:rPr>
          <w:rFonts w:ascii="Verdana" w:eastAsia="Century Gothic" w:hAnsi="Verdana" w:cs="Century Gothic"/>
          <w:i/>
          <w:iCs/>
          <w:color w:val="000000" w:themeColor="text1"/>
          <w:sz w:val="20"/>
          <w:szCs w:val="20"/>
          <w:lang w:val="es-ES"/>
        </w:rPr>
        <w:t>gestión</w:t>
      </w:r>
      <w:proofErr w:type="spellEnd"/>
      <w:r w:rsidR="00F1047A" w:rsidRPr="00F1047A">
        <w:rPr>
          <w:rFonts w:ascii="Verdana" w:eastAsia="Century Gothic" w:hAnsi="Verdana" w:cs="Century Gothic"/>
          <w:i/>
          <w:iCs/>
          <w:color w:val="000000" w:themeColor="text1"/>
          <w:sz w:val="20"/>
          <w:szCs w:val="20"/>
          <w:lang w:val="es-ES"/>
        </w:rPr>
        <w:t xml:space="preserve"> institucional, se ha identificado la necesidad de precisar el alcance y la forma de </w:t>
      </w:r>
      <w:proofErr w:type="spellStart"/>
      <w:r w:rsidR="00F1047A" w:rsidRPr="00F1047A">
        <w:rPr>
          <w:rFonts w:ascii="Verdana" w:eastAsia="Century Gothic" w:hAnsi="Verdana" w:cs="Century Gothic"/>
          <w:i/>
          <w:iCs/>
          <w:color w:val="000000" w:themeColor="text1"/>
          <w:sz w:val="20"/>
          <w:szCs w:val="20"/>
          <w:lang w:val="es-ES"/>
        </w:rPr>
        <w:t>aplicación</w:t>
      </w:r>
      <w:proofErr w:type="spellEnd"/>
      <w:r w:rsidR="00F1047A" w:rsidRPr="00F1047A">
        <w:rPr>
          <w:rFonts w:ascii="Verdana" w:eastAsia="Century Gothic" w:hAnsi="Verdana" w:cs="Century Gothic"/>
          <w:i/>
          <w:iCs/>
          <w:color w:val="000000" w:themeColor="text1"/>
          <w:sz w:val="20"/>
          <w:szCs w:val="20"/>
          <w:lang w:val="es-ES"/>
        </w:rPr>
        <w:t xml:space="preserve"> de la </w:t>
      </w:r>
      <w:proofErr w:type="spellStart"/>
      <w:r w:rsidR="00F1047A" w:rsidRPr="00F1047A">
        <w:rPr>
          <w:rFonts w:ascii="Verdana" w:eastAsia="Century Gothic" w:hAnsi="Verdana" w:cs="Century Gothic"/>
          <w:i/>
          <w:iCs/>
          <w:color w:val="000000" w:themeColor="text1"/>
          <w:sz w:val="20"/>
          <w:szCs w:val="20"/>
          <w:lang w:val="es-ES"/>
        </w:rPr>
        <w:t>función</w:t>
      </w:r>
      <w:proofErr w:type="spellEnd"/>
      <w:r w:rsidR="00F1047A" w:rsidRPr="00F1047A">
        <w:rPr>
          <w:rFonts w:ascii="Verdana" w:eastAsia="Century Gothic" w:hAnsi="Verdana" w:cs="Century Gothic"/>
          <w:i/>
          <w:iCs/>
          <w:color w:val="000000" w:themeColor="text1"/>
          <w:sz w:val="20"/>
          <w:szCs w:val="20"/>
          <w:lang w:val="es-ES"/>
        </w:rPr>
        <w:t xml:space="preserve"> 25 del </w:t>
      </w:r>
      <w:proofErr w:type="spellStart"/>
      <w:r w:rsidR="00F1047A" w:rsidRPr="00F1047A">
        <w:rPr>
          <w:rFonts w:ascii="Verdana" w:eastAsia="Century Gothic" w:hAnsi="Verdana" w:cs="Century Gothic"/>
          <w:i/>
          <w:iCs/>
          <w:color w:val="000000" w:themeColor="text1"/>
          <w:sz w:val="20"/>
          <w:szCs w:val="20"/>
          <w:lang w:val="es-ES"/>
        </w:rPr>
        <w:t>artículo</w:t>
      </w:r>
      <w:proofErr w:type="spellEnd"/>
      <w:r w:rsidR="00F1047A" w:rsidRPr="00F1047A">
        <w:rPr>
          <w:rFonts w:ascii="Verdana" w:eastAsia="Century Gothic" w:hAnsi="Verdana" w:cs="Century Gothic"/>
          <w:i/>
          <w:iCs/>
          <w:color w:val="000000" w:themeColor="text1"/>
          <w:sz w:val="20"/>
          <w:szCs w:val="20"/>
          <w:lang w:val="es-ES"/>
        </w:rPr>
        <w:t xml:space="preserve"> 4 de la Ley 1967 de 2019, en lo concerniente a su </w:t>
      </w:r>
      <w:proofErr w:type="spellStart"/>
      <w:r w:rsidR="00F1047A" w:rsidRPr="00F1047A">
        <w:rPr>
          <w:rFonts w:ascii="Verdana" w:eastAsia="Century Gothic" w:hAnsi="Verdana" w:cs="Century Gothic"/>
          <w:i/>
          <w:iCs/>
          <w:color w:val="000000" w:themeColor="text1"/>
          <w:sz w:val="20"/>
          <w:szCs w:val="20"/>
          <w:lang w:val="es-ES"/>
        </w:rPr>
        <w:t>implementación</w:t>
      </w:r>
      <w:proofErr w:type="spellEnd"/>
      <w:r w:rsidR="00F1047A" w:rsidRPr="00F1047A">
        <w:rPr>
          <w:rFonts w:ascii="Verdana" w:eastAsia="Century Gothic" w:hAnsi="Verdana" w:cs="Century Gothic"/>
          <w:i/>
          <w:iCs/>
          <w:color w:val="000000" w:themeColor="text1"/>
          <w:sz w:val="20"/>
          <w:szCs w:val="20"/>
          <w:lang w:val="es-ES"/>
        </w:rPr>
        <w:t xml:space="preserve"> </w:t>
      </w:r>
      <w:proofErr w:type="spellStart"/>
      <w:r w:rsidR="00F1047A" w:rsidRPr="00F1047A">
        <w:rPr>
          <w:rFonts w:ascii="Verdana" w:eastAsia="Century Gothic" w:hAnsi="Verdana" w:cs="Century Gothic"/>
          <w:i/>
          <w:iCs/>
          <w:color w:val="000000" w:themeColor="text1"/>
          <w:sz w:val="20"/>
          <w:szCs w:val="20"/>
          <w:lang w:val="es-ES"/>
        </w:rPr>
        <w:t>práctica</w:t>
      </w:r>
      <w:proofErr w:type="spellEnd"/>
      <w:r w:rsidR="00F1047A" w:rsidRPr="00F1047A">
        <w:rPr>
          <w:rFonts w:ascii="Verdana" w:eastAsia="Century Gothic" w:hAnsi="Verdana" w:cs="Century Gothic"/>
          <w:i/>
          <w:iCs/>
          <w:color w:val="000000" w:themeColor="text1"/>
          <w:sz w:val="20"/>
          <w:szCs w:val="20"/>
          <w:lang w:val="es-ES"/>
        </w:rPr>
        <w:t xml:space="preserve"> dentro del Ministerio del Deporte, toda vez que, esta </w:t>
      </w:r>
      <w:proofErr w:type="spellStart"/>
      <w:r w:rsidR="00F1047A" w:rsidRPr="00F1047A">
        <w:rPr>
          <w:rFonts w:ascii="Verdana" w:eastAsia="Century Gothic" w:hAnsi="Verdana" w:cs="Century Gothic"/>
          <w:i/>
          <w:iCs/>
          <w:color w:val="000000" w:themeColor="text1"/>
          <w:sz w:val="20"/>
          <w:szCs w:val="20"/>
          <w:lang w:val="es-ES"/>
        </w:rPr>
        <w:t>función</w:t>
      </w:r>
      <w:proofErr w:type="spellEnd"/>
      <w:r w:rsidR="00F1047A" w:rsidRPr="00F1047A">
        <w:rPr>
          <w:rFonts w:ascii="Verdana" w:eastAsia="Century Gothic" w:hAnsi="Verdana" w:cs="Century Gothic"/>
          <w:i/>
          <w:iCs/>
          <w:color w:val="000000" w:themeColor="text1"/>
          <w:sz w:val="20"/>
          <w:szCs w:val="20"/>
          <w:lang w:val="es-ES"/>
        </w:rPr>
        <w:t xml:space="preserve"> le permite al Ministerio contratar de forma directa con los miembros del Sistema Nacional del Deporte. </w:t>
      </w:r>
    </w:p>
    <w:p w14:paraId="446F35FC" w14:textId="77777777" w:rsidR="00F1047A" w:rsidRPr="00F1047A" w:rsidRDefault="00F1047A" w:rsidP="00F1047A">
      <w:pPr>
        <w:spacing w:after="0"/>
        <w:ind w:left="709" w:right="709"/>
        <w:contextualSpacing/>
        <w:jc w:val="both"/>
        <w:rPr>
          <w:rFonts w:ascii="Verdana" w:eastAsia="Century Gothic" w:hAnsi="Verdana" w:cs="Century Gothic"/>
          <w:i/>
          <w:iCs/>
          <w:color w:val="000000" w:themeColor="text1"/>
          <w:sz w:val="20"/>
          <w:szCs w:val="20"/>
          <w:lang w:val="es-ES"/>
        </w:rPr>
      </w:pPr>
      <w:r w:rsidRPr="00F1047A">
        <w:rPr>
          <w:rFonts w:ascii="Verdana" w:eastAsia="Century Gothic" w:hAnsi="Verdana" w:cs="Century Gothic"/>
          <w:i/>
          <w:iCs/>
          <w:color w:val="000000" w:themeColor="text1"/>
          <w:sz w:val="20"/>
          <w:szCs w:val="20"/>
          <w:lang w:val="es-ES"/>
        </w:rPr>
        <w:lastRenderedPageBreak/>
        <w:t xml:space="preserve">Lo anterior, teniendo en cuenta que dicha </w:t>
      </w:r>
      <w:proofErr w:type="spellStart"/>
      <w:r w:rsidRPr="00F1047A">
        <w:rPr>
          <w:rFonts w:ascii="Verdana" w:eastAsia="Century Gothic" w:hAnsi="Verdana" w:cs="Century Gothic"/>
          <w:i/>
          <w:iCs/>
          <w:color w:val="000000" w:themeColor="text1"/>
          <w:sz w:val="20"/>
          <w:szCs w:val="20"/>
          <w:lang w:val="es-ES"/>
        </w:rPr>
        <w:t>disposición</w:t>
      </w:r>
      <w:proofErr w:type="spellEnd"/>
      <w:r w:rsidRPr="00F1047A">
        <w:rPr>
          <w:rFonts w:ascii="Verdana" w:eastAsia="Century Gothic" w:hAnsi="Verdana" w:cs="Century Gothic"/>
          <w:i/>
          <w:iCs/>
          <w:color w:val="000000" w:themeColor="text1"/>
          <w:sz w:val="20"/>
          <w:szCs w:val="20"/>
          <w:lang w:val="es-ES"/>
        </w:rPr>
        <w:t xml:space="preserve"> normativo-funcional puede generar diferentes interpretaciones respecto de su </w:t>
      </w:r>
      <w:proofErr w:type="spellStart"/>
      <w:r w:rsidRPr="00F1047A">
        <w:rPr>
          <w:rFonts w:ascii="Verdana" w:eastAsia="Century Gothic" w:hAnsi="Verdana" w:cs="Century Gothic"/>
          <w:i/>
          <w:iCs/>
          <w:color w:val="000000" w:themeColor="text1"/>
          <w:sz w:val="20"/>
          <w:szCs w:val="20"/>
          <w:lang w:val="es-ES"/>
        </w:rPr>
        <w:t>aplicación</w:t>
      </w:r>
      <w:proofErr w:type="spellEnd"/>
      <w:r w:rsidRPr="00F1047A">
        <w:rPr>
          <w:rFonts w:ascii="Verdana" w:eastAsia="Century Gothic" w:hAnsi="Verdana" w:cs="Century Gothic"/>
          <w:i/>
          <w:iCs/>
          <w:color w:val="000000" w:themeColor="text1"/>
          <w:sz w:val="20"/>
          <w:szCs w:val="20"/>
          <w:lang w:val="es-ES"/>
        </w:rPr>
        <w:t xml:space="preserve"> en escenarios concretos de la </w:t>
      </w:r>
      <w:proofErr w:type="spellStart"/>
      <w:r w:rsidRPr="00F1047A">
        <w:rPr>
          <w:rFonts w:ascii="Verdana" w:eastAsia="Century Gothic" w:hAnsi="Verdana" w:cs="Century Gothic"/>
          <w:i/>
          <w:iCs/>
          <w:color w:val="000000" w:themeColor="text1"/>
          <w:sz w:val="20"/>
          <w:szCs w:val="20"/>
          <w:lang w:val="es-ES"/>
        </w:rPr>
        <w:t>gestión</w:t>
      </w:r>
      <w:proofErr w:type="spellEnd"/>
      <w:r w:rsidRPr="00F1047A">
        <w:rPr>
          <w:rFonts w:ascii="Verdana" w:eastAsia="Century Gothic" w:hAnsi="Verdana" w:cs="Century Gothic"/>
          <w:i/>
          <w:iCs/>
          <w:color w:val="000000" w:themeColor="text1"/>
          <w:sz w:val="20"/>
          <w:szCs w:val="20"/>
          <w:lang w:val="es-ES"/>
        </w:rPr>
        <w:t xml:space="preserve"> </w:t>
      </w:r>
      <w:proofErr w:type="spellStart"/>
      <w:r w:rsidRPr="00F1047A">
        <w:rPr>
          <w:rFonts w:ascii="Verdana" w:eastAsia="Century Gothic" w:hAnsi="Verdana" w:cs="Century Gothic"/>
          <w:i/>
          <w:iCs/>
          <w:color w:val="000000" w:themeColor="text1"/>
          <w:sz w:val="20"/>
          <w:szCs w:val="20"/>
          <w:lang w:val="es-ES"/>
        </w:rPr>
        <w:t>pública</w:t>
      </w:r>
      <w:proofErr w:type="spellEnd"/>
      <w:r w:rsidRPr="00F1047A">
        <w:rPr>
          <w:rFonts w:ascii="Verdana" w:eastAsia="Century Gothic" w:hAnsi="Verdana" w:cs="Century Gothic"/>
          <w:i/>
          <w:iCs/>
          <w:color w:val="000000" w:themeColor="text1"/>
          <w:sz w:val="20"/>
          <w:szCs w:val="20"/>
          <w:lang w:val="es-ES"/>
        </w:rPr>
        <w:t xml:space="preserve">. </w:t>
      </w:r>
    </w:p>
    <w:p w14:paraId="51DA15D4" w14:textId="77777777" w:rsidR="00F1047A" w:rsidRPr="00F1047A" w:rsidRDefault="00F1047A" w:rsidP="00F1047A">
      <w:pPr>
        <w:spacing w:after="0"/>
        <w:ind w:left="709" w:right="709"/>
        <w:contextualSpacing/>
        <w:jc w:val="both"/>
        <w:rPr>
          <w:rFonts w:ascii="Verdana" w:eastAsia="Century Gothic" w:hAnsi="Verdana" w:cs="Century Gothic"/>
          <w:i/>
          <w:iCs/>
          <w:color w:val="000000" w:themeColor="text1"/>
          <w:sz w:val="20"/>
          <w:szCs w:val="20"/>
          <w:lang w:val="es-ES"/>
        </w:rPr>
      </w:pPr>
      <w:r w:rsidRPr="00F1047A">
        <w:rPr>
          <w:rFonts w:ascii="Verdana" w:eastAsia="Century Gothic" w:hAnsi="Verdana" w:cs="Century Gothic"/>
          <w:i/>
          <w:iCs/>
          <w:color w:val="000000" w:themeColor="text1"/>
          <w:sz w:val="20"/>
          <w:szCs w:val="20"/>
          <w:lang w:val="es-ES"/>
        </w:rPr>
        <w:t>2.Consulta</w:t>
      </w:r>
      <w:r w:rsidRPr="00F1047A">
        <w:rPr>
          <w:rFonts w:ascii="Verdana" w:eastAsia="Century Gothic" w:hAnsi="Verdana" w:cs="Century Gothic"/>
          <w:i/>
          <w:iCs/>
          <w:color w:val="000000" w:themeColor="text1"/>
          <w:sz w:val="20"/>
          <w:szCs w:val="20"/>
          <w:lang w:val="es-ES"/>
        </w:rPr>
        <w:br/>
        <w:t>En virtud de lo anterior, respetuosamente solicito se emita concepto sobre el siguiente interrogante:</w:t>
      </w:r>
    </w:p>
    <w:p w14:paraId="7976E341" w14:textId="3684537D" w:rsidR="00F1047A" w:rsidRPr="00F1047A" w:rsidRDefault="00F1047A" w:rsidP="00F1047A">
      <w:pPr>
        <w:spacing w:after="0"/>
        <w:ind w:left="709" w:right="709"/>
        <w:contextualSpacing/>
        <w:jc w:val="both"/>
        <w:rPr>
          <w:rFonts w:ascii="Verdana" w:eastAsia="Century Gothic" w:hAnsi="Verdana" w:cs="Century Gothic"/>
          <w:i/>
          <w:iCs/>
          <w:color w:val="000000" w:themeColor="text1"/>
          <w:sz w:val="20"/>
          <w:szCs w:val="20"/>
          <w:lang w:val="es-ES"/>
        </w:rPr>
      </w:pPr>
      <w:r w:rsidRPr="00F1047A">
        <w:rPr>
          <w:rFonts w:ascii="Verdana" w:eastAsia="Century Gothic" w:hAnsi="Verdana" w:cs="Century Gothic"/>
          <w:i/>
          <w:iCs/>
          <w:color w:val="000000" w:themeColor="text1"/>
          <w:sz w:val="20"/>
          <w:szCs w:val="20"/>
          <w:lang w:val="es-ES"/>
        </w:rPr>
        <w:t>¿</w:t>
      </w:r>
      <w:proofErr w:type="spellStart"/>
      <w:r w:rsidRPr="00F1047A">
        <w:rPr>
          <w:rFonts w:ascii="Verdana" w:eastAsia="Century Gothic" w:hAnsi="Verdana" w:cs="Century Gothic"/>
          <w:i/>
          <w:iCs/>
          <w:color w:val="000000" w:themeColor="text1"/>
          <w:sz w:val="20"/>
          <w:szCs w:val="20"/>
          <w:lang w:val="es-ES"/>
        </w:rPr>
        <w:t>Cuál</w:t>
      </w:r>
      <w:proofErr w:type="spellEnd"/>
      <w:r w:rsidRPr="00F1047A">
        <w:rPr>
          <w:rFonts w:ascii="Verdana" w:eastAsia="Century Gothic" w:hAnsi="Verdana" w:cs="Century Gothic"/>
          <w:i/>
          <w:iCs/>
          <w:color w:val="000000" w:themeColor="text1"/>
          <w:sz w:val="20"/>
          <w:szCs w:val="20"/>
          <w:lang w:val="es-ES"/>
        </w:rPr>
        <w:t xml:space="preserve"> es el alcance, contenido y forma correcta de </w:t>
      </w:r>
      <w:proofErr w:type="spellStart"/>
      <w:r w:rsidRPr="00F1047A">
        <w:rPr>
          <w:rFonts w:ascii="Verdana" w:eastAsia="Century Gothic" w:hAnsi="Verdana" w:cs="Century Gothic"/>
          <w:i/>
          <w:iCs/>
          <w:color w:val="000000" w:themeColor="text1"/>
          <w:sz w:val="20"/>
          <w:szCs w:val="20"/>
          <w:lang w:val="es-ES"/>
        </w:rPr>
        <w:t>aplicación</w:t>
      </w:r>
      <w:proofErr w:type="spellEnd"/>
      <w:r w:rsidRPr="00F1047A">
        <w:rPr>
          <w:rFonts w:ascii="Verdana" w:eastAsia="Century Gothic" w:hAnsi="Verdana" w:cs="Century Gothic"/>
          <w:i/>
          <w:iCs/>
          <w:color w:val="000000" w:themeColor="text1"/>
          <w:sz w:val="20"/>
          <w:szCs w:val="20"/>
          <w:lang w:val="es-ES"/>
        </w:rPr>
        <w:t xml:space="preserve"> de la </w:t>
      </w:r>
      <w:proofErr w:type="spellStart"/>
      <w:r w:rsidRPr="00F1047A">
        <w:rPr>
          <w:rFonts w:ascii="Verdana" w:eastAsia="Century Gothic" w:hAnsi="Verdana" w:cs="Century Gothic"/>
          <w:i/>
          <w:iCs/>
          <w:color w:val="000000" w:themeColor="text1"/>
          <w:sz w:val="20"/>
          <w:szCs w:val="20"/>
          <w:lang w:val="es-ES"/>
        </w:rPr>
        <w:t>función</w:t>
      </w:r>
      <w:proofErr w:type="spellEnd"/>
      <w:r w:rsidRPr="00F1047A">
        <w:rPr>
          <w:rFonts w:ascii="Verdana" w:eastAsia="Century Gothic" w:hAnsi="Verdana" w:cs="Century Gothic"/>
          <w:i/>
          <w:iCs/>
          <w:color w:val="000000" w:themeColor="text1"/>
          <w:sz w:val="20"/>
          <w:szCs w:val="20"/>
          <w:lang w:val="es-ES"/>
        </w:rPr>
        <w:t xml:space="preserve"> 25 del </w:t>
      </w:r>
      <w:proofErr w:type="spellStart"/>
      <w:r w:rsidRPr="00F1047A">
        <w:rPr>
          <w:rFonts w:ascii="Verdana" w:eastAsia="Century Gothic" w:hAnsi="Verdana" w:cs="Century Gothic"/>
          <w:i/>
          <w:iCs/>
          <w:color w:val="000000" w:themeColor="text1"/>
          <w:sz w:val="20"/>
          <w:szCs w:val="20"/>
          <w:lang w:val="es-ES"/>
        </w:rPr>
        <w:t>artículo</w:t>
      </w:r>
      <w:proofErr w:type="spellEnd"/>
      <w:r w:rsidRPr="00F1047A">
        <w:rPr>
          <w:rFonts w:ascii="Verdana" w:eastAsia="Century Gothic" w:hAnsi="Verdana" w:cs="Century Gothic"/>
          <w:i/>
          <w:iCs/>
          <w:color w:val="000000" w:themeColor="text1"/>
          <w:sz w:val="20"/>
          <w:szCs w:val="20"/>
          <w:lang w:val="es-ES"/>
        </w:rPr>
        <w:t xml:space="preserve"> 4 de la Ley 1967 de 2019 por parte del Ministerio del Deporte al momento de contratar de forma directa con los miembros del Sistema Nacional del Deporte?</w:t>
      </w:r>
      <w:r w:rsidRPr="00F1047A">
        <w:rPr>
          <w:rFonts w:ascii="Verdana" w:eastAsia="Century Gothic" w:hAnsi="Verdana" w:cs="Century Gothic"/>
          <w:i/>
          <w:iCs/>
          <w:color w:val="000000" w:themeColor="text1"/>
          <w:sz w:val="20"/>
          <w:szCs w:val="20"/>
          <w:lang w:val="es-ES"/>
        </w:rPr>
        <w:br/>
        <w:t xml:space="preserve">¿Qué criterios deben tenerse en cuenta para su adecuada </w:t>
      </w:r>
      <w:proofErr w:type="spellStart"/>
      <w:r w:rsidRPr="00F1047A">
        <w:rPr>
          <w:rFonts w:ascii="Verdana" w:eastAsia="Century Gothic" w:hAnsi="Verdana" w:cs="Century Gothic"/>
          <w:i/>
          <w:iCs/>
          <w:color w:val="000000" w:themeColor="text1"/>
          <w:sz w:val="20"/>
          <w:szCs w:val="20"/>
          <w:lang w:val="es-ES"/>
        </w:rPr>
        <w:t>implementación</w:t>
      </w:r>
      <w:proofErr w:type="spellEnd"/>
      <w:r w:rsidRPr="00F1047A">
        <w:rPr>
          <w:rFonts w:ascii="Verdana" w:eastAsia="Century Gothic" w:hAnsi="Verdana" w:cs="Century Gothic"/>
          <w:i/>
          <w:iCs/>
          <w:color w:val="000000" w:themeColor="text1"/>
          <w:sz w:val="20"/>
          <w:szCs w:val="20"/>
          <w:lang w:val="es-ES"/>
        </w:rPr>
        <w:t xml:space="preserve"> en la </w:t>
      </w:r>
      <w:proofErr w:type="spellStart"/>
      <w:r w:rsidRPr="00F1047A">
        <w:rPr>
          <w:rFonts w:ascii="Verdana" w:eastAsia="Century Gothic" w:hAnsi="Verdana" w:cs="Century Gothic"/>
          <w:i/>
          <w:iCs/>
          <w:color w:val="000000" w:themeColor="text1"/>
          <w:sz w:val="20"/>
          <w:szCs w:val="20"/>
          <w:lang w:val="es-ES"/>
        </w:rPr>
        <w:t>gestión</w:t>
      </w:r>
      <w:proofErr w:type="spellEnd"/>
      <w:r w:rsidRPr="00F1047A">
        <w:rPr>
          <w:rFonts w:ascii="Verdana" w:eastAsia="Century Gothic" w:hAnsi="Verdana" w:cs="Century Gothic"/>
          <w:i/>
          <w:iCs/>
          <w:color w:val="000000" w:themeColor="text1"/>
          <w:sz w:val="20"/>
          <w:szCs w:val="20"/>
          <w:lang w:val="es-ES"/>
        </w:rPr>
        <w:t xml:space="preserve"> administrativa?</w:t>
      </w:r>
      <w:r w:rsidRPr="00F1047A">
        <w:rPr>
          <w:rFonts w:ascii="Verdana" w:eastAsia="Century Gothic" w:hAnsi="Verdana" w:cs="Century Gothic"/>
          <w:i/>
          <w:iCs/>
          <w:color w:val="000000" w:themeColor="text1"/>
          <w:sz w:val="20"/>
          <w:szCs w:val="20"/>
          <w:lang w:val="es-ES"/>
        </w:rPr>
        <w:br/>
        <w:t>Ahora bien, ¿</w:t>
      </w:r>
      <w:proofErr w:type="spellStart"/>
      <w:r w:rsidRPr="00F1047A">
        <w:rPr>
          <w:rFonts w:ascii="Verdana" w:eastAsia="Century Gothic" w:hAnsi="Verdana" w:cs="Century Gothic"/>
          <w:i/>
          <w:iCs/>
          <w:color w:val="000000" w:themeColor="text1"/>
          <w:sz w:val="20"/>
          <w:szCs w:val="20"/>
          <w:lang w:val="es-ES"/>
        </w:rPr>
        <w:t>Cuál</w:t>
      </w:r>
      <w:proofErr w:type="spellEnd"/>
      <w:r w:rsidRPr="00F1047A">
        <w:rPr>
          <w:rFonts w:ascii="Verdana" w:eastAsia="Century Gothic" w:hAnsi="Verdana" w:cs="Century Gothic"/>
          <w:i/>
          <w:iCs/>
          <w:color w:val="000000" w:themeColor="text1"/>
          <w:sz w:val="20"/>
          <w:szCs w:val="20"/>
          <w:lang w:val="es-ES"/>
        </w:rPr>
        <w:t xml:space="preserve"> es el soporte normativo para el desarrollo de esta </w:t>
      </w:r>
      <w:proofErr w:type="spellStart"/>
      <w:r w:rsidRPr="00F1047A">
        <w:rPr>
          <w:rFonts w:ascii="Verdana" w:eastAsia="Century Gothic" w:hAnsi="Verdana" w:cs="Century Gothic"/>
          <w:i/>
          <w:iCs/>
          <w:color w:val="000000" w:themeColor="text1"/>
          <w:sz w:val="20"/>
          <w:szCs w:val="20"/>
          <w:lang w:val="es-ES"/>
        </w:rPr>
        <w:t>contratación</w:t>
      </w:r>
      <w:proofErr w:type="spellEnd"/>
      <w:r w:rsidRPr="00F1047A">
        <w:rPr>
          <w:rFonts w:ascii="Verdana" w:eastAsia="Century Gothic" w:hAnsi="Verdana" w:cs="Century Gothic"/>
          <w:i/>
          <w:iCs/>
          <w:color w:val="000000" w:themeColor="text1"/>
          <w:sz w:val="20"/>
          <w:szCs w:val="20"/>
          <w:lang w:val="es-ES"/>
        </w:rPr>
        <w:t xml:space="preserve"> con los miembros del Sistema Nacional del Deporte?</w:t>
      </w:r>
      <w:r w:rsidRPr="00F1047A">
        <w:rPr>
          <w:rFonts w:ascii="Verdana" w:eastAsia="Century Gothic" w:hAnsi="Verdana" w:cs="Century Gothic"/>
          <w:i/>
          <w:iCs/>
          <w:color w:val="000000" w:themeColor="text1"/>
          <w:sz w:val="20"/>
          <w:szCs w:val="20"/>
          <w:lang w:val="es-ES"/>
        </w:rPr>
        <w:br/>
        <w:t xml:space="preserve">De manera complementaria, </w:t>
      </w:r>
      <w:proofErr w:type="spellStart"/>
      <w:r w:rsidRPr="00F1047A">
        <w:rPr>
          <w:rFonts w:ascii="Verdana" w:eastAsia="Century Gothic" w:hAnsi="Verdana" w:cs="Century Gothic"/>
          <w:i/>
          <w:iCs/>
          <w:color w:val="000000" w:themeColor="text1"/>
          <w:sz w:val="20"/>
          <w:szCs w:val="20"/>
          <w:lang w:val="es-ES"/>
        </w:rPr>
        <w:t>agradecería</w:t>
      </w:r>
      <w:proofErr w:type="spellEnd"/>
      <w:r w:rsidRPr="00F1047A">
        <w:rPr>
          <w:rFonts w:ascii="Verdana" w:eastAsia="Century Gothic" w:hAnsi="Verdana" w:cs="Century Gothic"/>
          <w:i/>
          <w:iCs/>
          <w:color w:val="000000" w:themeColor="text1"/>
          <w:sz w:val="20"/>
          <w:szCs w:val="20"/>
          <w:lang w:val="es-ES"/>
        </w:rPr>
        <w:t xml:space="preserve"> precisar:</w:t>
      </w:r>
      <w:r w:rsidRPr="00F1047A">
        <w:rPr>
          <w:rFonts w:ascii="Verdana" w:eastAsia="Century Gothic" w:hAnsi="Verdana" w:cs="Century Gothic"/>
          <w:i/>
          <w:iCs/>
          <w:color w:val="000000" w:themeColor="text1"/>
          <w:sz w:val="20"/>
          <w:szCs w:val="20"/>
          <w:lang w:val="es-ES"/>
        </w:rPr>
        <w:br/>
      </w:r>
      <w:proofErr w:type="spellStart"/>
      <w:r w:rsidRPr="00F1047A">
        <w:rPr>
          <w:rFonts w:ascii="Verdana" w:eastAsia="Century Gothic" w:hAnsi="Verdana" w:cs="Century Gothic"/>
          <w:i/>
          <w:iCs/>
          <w:color w:val="000000" w:themeColor="text1"/>
          <w:sz w:val="20"/>
          <w:szCs w:val="20"/>
          <w:lang w:val="es-ES"/>
        </w:rPr>
        <w:t>Cuáles</w:t>
      </w:r>
      <w:proofErr w:type="spellEnd"/>
      <w:r w:rsidRPr="00F1047A">
        <w:rPr>
          <w:rFonts w:ascii="Verdana" w:eastAsia="Century Gothic" w:hAnsi="Verdana" w:cs="Century Gothic"/>
          <w:i/>
          <w:iCs/>
          <w:color w:val="000000" w:themeColor="text1"/>
          <w:sz w:val="20"/>
          <w:szCs w:val="20"/>
          <w:lang w:val="es-ES"/>
        </w:rPr>
        <w:t xml:space="preserve"> son los lineamientos o buenas </w:t>
      </w:r>
      <w:proofErr w:type="spellStart"/>
      <w:r w:rsidRPr="00F1047A">
        <w:rPr>
          <w:rFonts w:ascii="Verdana" w:eastAsia="Century Gothic" w:hAnsi="Verdana" w:cs="Century Gothic"/>
          <w:i/>
          <w:iCs/>
          <w:color w:val="000000" w:themeColor="text1"/>
          <w:sz w:val="20"/>
          <w:szCs w:val="20"/>
          <w:lang w:val="es-ES"/>
        </w:rPr>
        <w:t>prácticas</w:t>
      </w:r>
      <w:proofErr w:type="spellEnd"/>
      <w:r w:rsidRPr="00F1047A">
        <w:rPr>
          <w:rFonts w:ascii="Verdana" w:eastAsia="Century Gothic" w:hAnsi="Verdana" w:cs="Century Gothic"/>
          <w:i/>
          <w:iCs/>
          <w:color w:val="000000" w:themeColor="text1"/>
          <w:sz w:val="20"/>
          <w:szCs w:val="20"/>
          <w:lang w:val="es-ES"/>
        </w:rPr>
        <w:t xml:space="preserve"> que deben seguir las entidades para su cumplimiento. </w:t>
      </w:r>
    </w:p>
    <w:p w14:paraId="539BB430" w14:textId="3D04145A" w:rsidR="001A19CD" w:rsidRPr="00F1047A" w:rsidRDefault="00F1047A" w:rsidP="00F1047A">
      <w:pPr>
        <w:spacing w:after="0"/>
        <w:ind w:left="709" w:right="709"/>
        <w:contextualSpacing/>
        <w:jc w:val="both"/>
        <w:rPr>
          <w:rFonts w:ascii="Verdana" w:eastAsia="Century Gothic" w:hAnsi="Verdana" w:cs="Century Gothic"/>
          <w:i/>
          <w:iCs/>
          <w:color w:val="000000" w:themeColor="text1"/>
          <w:sz w:val="20"/>
          <w:szCs w:val="20"/>
          <w:lang w:val="es-ES"/>
        </w:rPr>
      </w:pPr>
      <w:r w:rsidRPr="00F1047A">
        <w:rPr>
          <w:rFonts w:ascii="Verdana" w:eastAsia="Century Gothic" w:hAnsi="Verdana" w:cs="Century Gothic"/>
          <w:i/>
          <w:iCs/>
          <w:color w:val="000000" w:themeColor="text1"/>
          <w:sz w:val="20"/>
          <w:szCs w:val="20"/>
          <w:lang w:val="es-ES"/>
        </w:rPr>
        <w:t>Si existen desarrollos normativos, doctrinales o lineamientos emitidos por esa entidad sobre el particular</w:t>
      </w:r>
      <w:r w:rsidR="001A19CD" w:rsidRPr="00F1047A">
        <w:rPr>
          <w:rFonts w:ascii="Verdana" w:eastAsia="Century Gothic" w:hAnsi="Verdana" w:cs="Century Gothic"/>
          <w:i/>
          <w:iCs/>
          <w:color w:val="000000" w:themeColor="text1"/>
          <w:sz w:val="20"/>
          <w:szCs w:val="20"/>
          <w:lang w:val="es-ES"/>
        </w:rPr>
        <w:t>”.</w:t>
      </w:r>
      <w:r w:rsidR="001A19CD" w:rsidRPr="00F1047A">
        <w:rPr>
          <w:rFonts w:ascii="Verdana" w:eastAsia="Century Gothic" w:hAnsi="Verdana" w:cs="Century Gothic"/>
          <w:b/>
          <w:i/>
          <w:color w:val="000000" w:themeColor="text1"/>
          <w:sz w:val="20"/>
          <w:szCs w:val="20"/>
          <w:lang w:val="es-ES"/>
        </w:rPr>
        <w:t xml:space="preserve"> </w:t>
      </w:r>
    </w:p>
    <w:p w14:paraId="175C75A6" w14:textId="77777777" w:rsidR="001A19CD" w:rsidRPr="00F1047A" w:rsidRDefault="001A19CD" w:rsidP="001A19CD">
      <w:pPr>
        <w:spacing w:after="0"/>
        <w:ind w:right="709"/>
        <w:contextualSpacing/>
        <w:jc w:val="both"/>
        <w:rPr>
          <w:rFonts w:ascii="Verdana" w:eastAsia="Century Gothic" w:hAnsi="Verdana" w:cs="Century Gothic"/>
          <w:i/>
          <w:color w:val="000000" w:themeColor="text1"/>
          <w:sz w:val="20"/>
          <w:szCs w:val="20"/>
          <w:lang w:val="es-ES"/>
        </w:rPr>
      </w:pPr>
    </w:p>
    <w:p w14:paraId="511A1D79" w14:textId="77777777" w:rsidR="001A19CD" w:rsidRPr="00F1047A" w:rsidRDefault="001A19CD" w:rsidP="001A19CD">
      <w:pPr>
        <w:spacing w:after="0" w:line="276" w:lineRule="auto"/>
        <w:contextualSpacing/>
        <w:jc w:val="both"/>
        <w:rPr>
          <w:rFonts w:ascii="Verdana" w:eastAsia="Calibri" w:hAnsi="Verdana" w:cs="Arial"/>
          <w:color w:val="000000" w:themeColor="text1"/>
          <w:szCs w:val="24"/>
          <w:lang w:val="es-ES" w:eastAsia="es-ES_tradnl"/>
        </w:rPr>
      </w:pPr>
      <w:r w:rsidRPr="00F1047A">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1047A">
        <w:rPr>
          <w:rFonts w:ascii="Verdana" w:eastAsia="Calibri" w:hAnsi="Verdana" w:cs="Arial"/>
          <w:color w:val="000000" w:themeColor="text1"/>
          <w:szCs w:val="24"/>
          <w:lang w:val="es-ES" w:eastAsia="es-ES_tradnl"/>
        </w:rPr>
        <w:tab/>
      </w:r>
    </w:p>
    <w:p w14:paraId="71E97F53" w14:textId="77777777" w:rsidR="001A19CD" w:rsidRPr="00F1047A" w:rsidRDefault="001A19CD" w:rsidP="001A19CD">
      <w:pPr>
        <w:spacing w:before="120" w:after="120" w:line="276" w:lineRule="auto"/>
        <w:ind w:firstLine="709"/>
        <w:jc w:val="both"/>
        <w:rPr>
          <w:rFonts w:ascii="Verdana" w:eastAsia="Calibri" w:hAnsi="Verdana" w:cs="Arial"/>
          <w:color w:val="000000" w:themeColor="text1"/>
          <w:lang w:val="es-ES" w:eastAsia="es-ES"/>
        </w:rPr>
      </w:pPr>
      <w:r w:rsidRPr="00F1047A">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5C68139" w14:textId="77777777" w:rsidR="001A19CD" w:rsidRPr="00F1047A" w:rsidRDefault="001A19CD" w:rsidP="001A19CD">
      <w:pPr>
        <w:spacing w:after="0" w:line="276" w:lineRule="auto"/>
        <w:jc w:val="both"/>
        <w:rPr>
          <w:rFonts w:ascii="Verdana" w:eastAsia="Calibri" w:hAnsi="Verdana" w:cs="Arial"/>
          <w:color w:val="000000" w:themeColor="text1"/>
          <w:lang w:val="es-ES" w:eastAsia="es-ES"/>
        </w:rPr>
      </w:pPr>
    </w:p>
    <w:p w14:paraId="4B583B1A" w14:textId="77777777" w:rsidR="001A19CD" w:rsidRPr="00F1047A" w:rsidRDefault="001A19CD" w:rsidP="001A19CD">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F1047A">
        <w:rPr>
          <w:rFonts w:ascii="Verdana" w:eastAsia="Century Gothic" w:hAnsi="Verdana" w:cs="Century Gothic"/>
          <w:b/>
          <w:bCs/>
          <w:color w:val="000000" w:themeColor="text1"/>
        </w:rPr>
        <w:lastRenderedPageBreak/>
        <w:t>Problema planteado:</w:t>
      </w:r>
    </w:p>
    <w:p w14:paraId="12E034A8" w14:textId="77777777" w:rsidR="001A19CD" w:rsidRPr="00F1047A" w:rsidRDefault="001A19CD" w:rsidP="001A19CD">
      <w:pPr>
        <w:tabs>
          <w:tab w:val="left" w:pos="426"/>
        </w:tabs>
        <w:spacing w:after="0" w:line="276" w:lineRule="auto"/>
        <w:jc w:val="both"/>
        <w:rPr>
          <w:rFonts w:ascii="Verdana" w:eastAsia="Century Gothic" w:hAnsi="Verdana" w:cs="Century Gothic"/>
          <w:color w:val="000000" w:themeColor="text1"/>
          <w:lang w:val="es-ES"/>
        </w:rPr>
      </w:pPr>
    </w:p>
    <w:p w14:paraId="3E50CD33" w14:textId="701DF179" w:rsidR="001A19CD" w:rsidRPr="00F1047A" w:rsidRDefault="001A19CD" w:rsidP="001A19CD">
      <w:pPr>
        <w:pStyle w:val="Prrafodelista"/>
        <w:spacing w:after="0" w:line="276" w:lineRule="auto"/>
        <w:ind w:left="0"/>
        <w:jc w:val="both"/>
        <w:rPr>
          <w:rFonts w:ascii="Verdana" w:eastAsia="Century Gothic" w:hAnsi="Verdana" w:cs="Century Gothic"/>
          <w:color w:val="000000" w:themeColor="text1"/>
        </w:rPr>
      </w:pPr>
      <w:r w:rsidRPr="00F1047A">
        <w:rPr>
          <w:rFonts w:ascii="Verdana" w:eastAsia="Century Gothic" w:hAnsi="Verdana" w:cs="Century Gothic"/>
          <w:color w:val="000000" w:themeColor="text1"/>
        </w:rPr>
        <w:t>De acuerdo con el contenido de su solicitud, esta Agencia resolverá el siguiente problema jurídico: ¿</w:t>
      </w:r>
      <w:r w:rsidR="00F1047A" w:rsidRPr="00F1047A">
        <w:rPr>
          <w:rFonts w:ascii="Verdana" w:eastAsia="Century Gothic" w:hAnsi="Verdana" w:cs="Century Gothic"/>
          <w:color w:val="000000" w:themeColor="text1"/>
        </w:rPr>
        <w:t xml:space="preserve">cuál es el alcance de la facultad establecida en el numeral 25 del artículo 4 la Ley 1967 de 2019?  </w:t>
      </w:r>
    </w:p>
    <w:p w14:paraId="3CDCF1E6" w14:textId="77777777" w:rsidR="001A19CD" w:rsidRPr="00F1047A" w:rsidRDefault="001A19CD" w:rsidP="001A19CD">
      <w:pPr>
        <w:spacing w:after="0" w:line="276" w:lineRule="auto"/>
        <w:jc w:val="both"/>
        <w:rPr>
          <w:rFonts w:ascii="Verdana" w:eastAsia="Calibri" w:hAnsi="Verdana" w:cs="Arial"/>
          <w:color w:val="000000" w:themeColor="text1"/>
          <w:lang w:val="es-ES"/>
        </w:rPr>
      </w:pPr>
    </w:p>
    <w:p w14:paraId="0338CC44" w14:textId="77777777" w:rsidR="001A19CD" w:rsidRPr="00F1047A" w:rsidRDefault="001A19CD" w:rsidP="001A19C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1047A">
        <w:rPr>
          <w:rFonts w:ascii="Verdana" w:eastAsia="Century Gothic" w:hAnsi="Verdana" w:cs="Century Gothic"/>
          <w:b/>
          <w:bCs/>
          <w:color w:val="000000" w:themeColor="text1"/>
        </w:rPr>
        <w:t>Respuesta:</w:t>
      </w:r>
    </w:p>
    <w:p w14:paraId="3500F9A9" w14:textId="77777777" w:rsidR="001A19CD" w:rsidRPr="00F1047A" w:rsidRDefault="001A19CD" w:rsidP="001A19CD">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A19CD" w:rsidRPr="00F1047A" w14:paraId="542A2531" w14:textId="77777777" w:rsidTr="001510B2">
        <w:tc>
          <w:tcPr>
            <w:tcW w:w="8828" w:type="dxa"/>
          </w:tcPr>
          <w:p w14:paraId="07DB1C4A" w14:textId="77777777" w:rsidR="00F1047A" w:rsidRPr="00F1047A" w:rsidRDefault="00F1047A" w:rsidP="00F1047A">
            <w:pPr>
              <w:widowControl w:val="0"/>
              <w:autoSpaceDE w:val="0"/>
              <w:autoSpaceDN w:val="0"/>
              <w:spacing w:before="120" w:after="120" w:line="276" w:lineRule="auto"/>
              <w:jc w:val="both"/>
              <w:rPr>
                <w:rFonts w:ascii="Verdana" w:eastAsia="Times New Roman" w:hAnsi="Verdana" w:cs="Arial"/>
                <w:lang w:val="es-ES" w:eastAsia="es-ES"/>
              </w:rPr>
            </w:pPr>
            <w:r w:rsidRPr="00F1047A">
              <w:rPr>
                <w:rFonts w:ascii="Verdana" w:eastAsia="Times New Roman" w:hAnsi="Verdana" w:cs="Arial"/>
                <w:lang w:val="es-ES" w:eastAsia="es-ES"/>
              </w:rPr>
              <w:t>El numeral 25 del artículo 4 de la Ley 1967 de 2019 otorga al Ministerio del Deporte la competencia para celebrar directamente convenios o contratos con entidades u organismos que pertenezcan al Sistema Nacional del Deporte, siempre que busquen el desarrollo del objeto para el cual fue creado el Ministerio y que se ejerza de acuerdo con las normas legales vigentes. Esta redacción supone una norma especial aplicable al procedimiento de selección que puede utilizar esta Entidad Estatal cuando se cumplen los supuestos expresamente determinados por el legislador, sin que ello suponga un desplazamiento o modificación del régimen jurídico del EGCAP, al cual se somete la actividad contractual del Ministerio de conformidad con lo dispuesto en el artículo 2 de la Ley 80 de 1993.</w:t>
            </w:r>
          </w:p>
          <w:p w14:paraId="7BD8F814" w14:textId="06F68A9E" w:rsidR="00F1047A" w:rsidRPr="00F1047A" w:rsidRDefault="00F1047A" w:rsidP="00F1047A">
            <w:pPr>
              <w:widowControl w:val="0"/>
              <w:autoSpaceDE w:val="0"/>
              <w:autoSpaceDN w:val="0"/>
              <w:spacing w:before="120" w:after="120" w:line="276" w:lineRule="auto"/>
              <w:ind w:firstLine="734"/>
              <w:jc w:val="both"/>
              <w:rPr>
                <w:rFonts w:ascii="Verdana" w:eastAsia="Times New Roman" w:hAnsi="Verdana" w:cs="Arial"/>
                <w:lang w:val="es-ES" w:eastAsia="es-ES"/>
              </w:rPr>
            </w:pPr>
            <w:r w:rsidRPr="00F1047A">
              <w:rPr>
                <w:rFonts w:ascii="Verdana" w:eastAsia="Times New Roman" w:hAnsi="Verdana" w:cs="Arial"/>
                <w:lang w:val="es-ES" w:eastAsia="es-ES"/>
              </w:rPr>
              <w:t xml:space="preserve">El ejercicio de dicha función se encuentra enmarcado en el cumplimiento de las disposiciones que en materia contractual establecen la Ley 80 de 1993, la Ley 1150 de 2007, el Decreto 1082 de 2015 y demás normas concordantes, en la medida en que la disposición del numeral 25 establece una causal específica que habilita la contratación directa, pero remite expresamente a la aplicación del ordenamiento jurídico que rige la actividad contractual de esta entidad. En virtud de lo anterior, la función solo podrá ejercerse con respecto a sujetos que, de acuerdo con el artículo 50 de la Ley 181 de 1995, hagan parte del Sistema Nacional del Deporte, y únicamente cuando el convenio o contrato se celebre para el desarrollo del objeto institucional definido en el artículo 3 de la Ley 1967 de 2019; el contrato cuyo objeto sea ajeno a dicho marco jurídico, por ejemplo, la simple adquisición de bienes o servicios sin relación con el fomento del deporte, no estará amparado en la función del numeral 25, incluso si el contratista está reconocido como un sujeto que hace parte del Sistema Nacional del Deporte. En consecuencia, la función revista en el numeral 25, en tanto excepción a la </w:t>
            </w:r>
            <w:r w:rsidRPr="00F1047A">
              <w:rPr>
                <w:rFonts w:ascii="Verdana" w:eastAsia="Times New Roman" w:hAnsi="Verdana" w:cs="Arial"/>
                <w:lang w:val="es-ES" w:eastAsia="es-ES"/>
              </w:rPr>
              <w:lastRenderedPageBreak/>
              <w:t>regla general de licitación pública que impone el EGCAP, no podrá interpretarse extensivamente para cobijar sujetos u objetos que exceden su texto.</w:t>
            </w:r>
          </w:p>
          <w:p w14:paraId="4DB2161E" w14:textId="77777777" w:rsidR="00F1047A" w:rsidRPr="00F1047A" w:rsidRDefault="00F1047A" w:rsidP="00F1047A">
            <w:pPr>
              <w:widowControl w:val="0"/>
              <w:autoSpaceDE w:val="0"/>
              <w:autoSpaceDN w:val="0"/>
              <w:spacing w:before="120" w:after="120" w:line="276" w:lineRule="auto"/>
              <w:ind w:firstLine="734"/>
              <w:jc w:val="both"/>
              <w:rPr>
                <w:rFonts w:ascii="Verdana" w:eastAsia="Times New Roman" w:hAnsi="Verdana" w:cs="Arial"/>
                <w:lang w:val="es-ES" w:eastAsia="es-ES"/>
              </w:rPr>
            </w:pPr>
            <w:r w:rsidRPr="00F1047A">
              <w:rPr>
                <w:rFonts w:ascii="Verdana" w:eastAsia="Times New Roman" w:hAnsi="Verdana" w:cs="Arial"/>
                <w:lang w:val="es-ES" w:eastAsia="es-ES"/>
              </w:rPr>
              <w:t xml:space="preserve">En todo lo no regulado expresamente por esta causal especial, la contratación se regirá por lo dispuesto en el régimen general de contratación de la entidad contratante: el EGCAP; incluidos los requisitos de perfeccionamiento y ejecución del contrato, garantías, supervisión, liquidación, causales de nulidad, régimen de inhabilidades e incompatibilidades, publicidad en el SECOP, cláusulas excepcionales cuando procedan y responsabilidad contractual, salvo que exista una norma especial que disponga lo contrario. </w:t>
            </w:r>
          </w:p>
          <w:p w14:paraId="5BCBED80" w14:textId="77777777" w:rsidR="00F1047A" w:rsidRPr="00F1047A" w:rsidRDefault="00F1047A" w:rsidP="00F1047A">
            <w:pPr>
              <w:spacing w:before="120" w:line="276" w:lineRule="auto"/>
              <w:ind w:firstLine="708"/>
              <w:jc w:val="both"/>
              <w:rPr>
                <w:rFonts w:ascii="Verdana" w:eastAsia="Calibri" w:hAnsi="Verdana" w:cs="Arial"/>
                <w:color w:val="000000"/>
                <w:lang w:val="es-ES"/>
              </w:rPr>
            </w:pPr>
            <w:r w:rsidRPr="00F1047A">
              <w:rPr>
                <w:rFonts w:ascii="Verdana" w:eastAsia="Calibri" w:hAnsi="Verdana" w:cs="Arial"/>
                <w:color w:val="000000"/>
                <w:lang w:val="es-ES"/>
              </w:rPr>
              <w:t xml:space="preserve">Una consecuencia jurídica de lo expuesto es que el artículo 20 de la Ley 1150 de 2007 será aplicable con respecto a los organismos internacionales con los que contrate directamente el Ministerio del Deporte en ejercicio de la función establecida en el numeral 25 del artículo 4 de la Ley 1967 de 2019, siempre que se trate de organismos internacionales que sean parte del Sistema Nacional del Deporte y que el objeto del convenio o contrato sea concordante con el artículo 3 de esta norma. De forma similar, las condiciones previstas en el artículo 20 de la Ley 1150 de 2007 no son aplicables de manera automática cuando el Ministerio del Deporte ejerza la función del referido numeral 25, pues para ello también será necesario que se cumplan los supuestos establecidos en dicha norma. </w:t>
            </w:r>
          </w:p>
          <w:p w14:paraId="396323BD" w14:textId="77777777" w:rsidR="00F1047A" w:rsidRPr="00F1047A" w:rsidRDefault="00F1047A" w:rsidP="00F1047A">
            <w:pPr>
              <w:spacing w:before="120" w:line="276" w:lineRule="auto"/>
              <w:ind w:firstLine="708"/>
              <w:jc w:val="both"/>
              <w:rPr>
                <w:rFonts w:ascii="Verdana" w:hAnsi="Verdana" w:cs="Arial"/>
                <w:color w:val="000000" w:themeColor="text1"/>
                <w:lang w:val="es-ES"/>
              </w:rPr>
            </w:pPr>
            <w:r w:rsidRPr="00F1047A">
              <w:rPr>
                <w:rFonts w:ascii="Verdana" w:hAnsi="Verdana" w:cs="Arial"/>
                <w:color w:val="000000" w:themeColor="text1"/>
                <w:lang w:val="es-ES"/>
              </w:rPr>
              <w:t>Por ejemplo</w:t>
            </w:r>
            <w:r w:rsidRPr="00F1047A">
              <w:rPr>
                <w:rFonts w:ascii="Verdana" w:eastAsia="Calibri" w:hAnsi="Verdana" w:cs="Arial"/>
                <w:color w:val="000000"/>
                <w:lang w:val="es-ES"/>
              </w:rPr>
              <w:t xml:space="preserve">, si en ejercicio de la función del numeral 25 el Ministerio del Deporte celebra directamente un convenio o contrato con un organismo deportivo internacional que hace parte del Sistema Nacional del Deporte para el desarrollo de su objeto, y este, además de encajar en los supuestos de la función del numeral 25, cumple independientemente los requisitos del artículo 20, ese convenio podrá regirse por el reglamento del organismo internacional. Este será el caso cuando el organismo internacional que hace parte del Sistema Nacional del Deporte es también </w:t>
            </w:r>
            <w:r w:rsidRPr="00F1047A">
              <w:rPr>
                <w:rFonts w:ascii="Verdana" w:hAnsi="Verdana" w:cs="Arial"/>
                <w:color w:val="000000" w:themeColor="text1"/>
                <w:lang w:val="es-ES"/>
              </w:rPr>
              <w:t xml:space="preserve">un organismo de cooperación, asistencia o ayuda internacional que financia el contrato o convenio en sumas iguales o superiores al cincuenta por ciento (50%). </w:t>
            </w:r>
          </w:p>
          <w:p w14:paraId="37BFCD0C" w14:textId="2B5ED424" w:rsidR="001A19CD" w:rsidRPr="00F1047A" w:rsidRDefault="00F1047A" w:rsidP="00080784">
            <w:pPr>
              <w:tabs>
                <w:tab w:val="left" w:pos="426"/>
              </w:tabs>
              <w:spacing w:before="120" w:after="120" w:line="276" w:lineRule="auto"/>
              <w:ind w:firstLine="709"/>
              <w:jc w:val="both"/>
              <w:rPr>
                <w:rFonts w:ascii="Verdana" w:hAnsi="Verdana" w:cs="Arial"/>
                <w:lang w:val="es-ES" w:eastAsia="es-ES"/>
              </w:rPr>
            </w:pPr>
            <w:r w:rsidRPr="00F1047A">
              <w:rPr>
                <w:rFonts w:ascii="Verdana" w:eastAsia="Times New Roman" w:hAnsi="Verdana" w:cs="Arial"/>
                <w:lang w:val="es-ES" w:eastAsia="es-ES_tradnl"/>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w:t>
            </w:r>
            <w:r w:rsidRPr="00F1047A">
              <w:rPr>
                <w:rFonts w:ascii="Verdana" w:eastAsia="Times New Roman" w:hAnsi="Verdana" w:cs="Arial"/>
                <w:lang w:val="es-ES" w:eastAsia="es-ES_tradnl"/>
              </w:rPr>
              <w:lastRenderedPageBreak/>
              <w:t>oficio. Por lo anterior, previo concepto de sus asesores, la solución de situaciones particulares corresponde</w:t>
            </w:r>
            <w:r w:rsidRPr="00F1047A">
              <w:rPr>
                <w:rStyle w:val="s15"/>
                <w:rFonts w:ascii="Verdana" w:hAnsi="Verdana"/>
                <w:color w:val="000000"/>
                <w:lang w:val="es-ES"/>
              </w:rPr>
              <w:t xml:space="preserv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6FE1AEDA" w14:textId="77777777" w:rsidR="001A19CD" w:rsidRPr="00F1047A" w:rsidRDefault="001A19CD" w:rsidP="001A19CD">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3FFDCA2C" w14:textId="77777777" w:rsidR="001A19CD" w:rsidRPr="00F1047A" w:rsidRDefault="001A19CD" w:rsidP="001A19C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1047A">
        <w:rPr>
          <w:rFonts w:ascii="Verdana" w:eastAsia="Century Gothic" w:hAnsi="Verdana" w:cs="Century Gothic"/>
          <w:b/>
          <w:bCs/>
          <w:color w:val="000000" w:themeColor="text1"/>
        </w:rPr>
        <w:t>Razones de la respuesta:</w:t>
      </w:r>
    </w:p>
    <w:p w14:paraId="0641BFE5" w14:textId="77777777" w:rsidR="001A19CD" w:rsidRPr="00F1047A" w:rsidRDefault="001A19CD" w:rsidP="001A19CD">
      <w:pPr>
        <w:spacing w:after="0" w:line="276" w:lineRule="auto"/>
        <w:jc w:val="both"/>
        <w:rPr>
          <w:rFonts w:ascii="Verdana" w:eastAsia="Calibri" w:hAnsi="Verdana" w:cs="Arial"/>
          <w:color w:val="000000" w:themeColor="text1"/>
          <w:lang w:val="es-ES"/>
        </w:rPr>
      </w:pPr>
    </w:p>
    <w:p w14:paraId="236B79BA" w14:textId="77777777" w:rsidR="001A19CD" w:rsidRDefault="001A19CD" w:rsidP="001A19CD">
      <w:pPr>
        <w:spacing w:after="0" w:line="276" w:lineRule="auto"/>
        <w:jc w:val="both"/>
        <w:rPr>
          <w:rFonts w:ascii="Verdana" w:eastAsia="Calibri" w:hAnsi="Verdana" w:cs="Arial"/>
          <w:color w:val="000000" w:themeColor="text1"/>
          <w:lang w:val="es-ES"/>
        </w:rPr>
      </w:pPr>
      <w:r w:rsidRPr="00F1047A">
        <w:rPr>
          <w:rFonts w:ascii="Verdana" w:eastAsia="Calibri" w:hAnsi="Verdana" w:cs="Arial"/>
          <w:color w:val="000000" w:themeColor="text1"/>
          <w:lang w:val="es-ES"/>
        </w:rPr>
        <w:t xml:space="preserve">Lo anterior se sustenta en las siguientes consideraciones: </w:t>
      </w:r>
    </w:p>
    <w:p w14:paraId="454A40A3" w14:textId="77777777" w:rsidR="00080784" w:rsidRDefault="00080784" w:rsidP="001A19CD">
      <w:pPr>
        <w:spacing w:after="0" w:line="276" w:lineRule="auto"/>
        <w:jc w:val="both"/>
        <w:rPr>
          <w:rFonts w:ascii="Verdana" w:eastAsia="Calibri" w:hAnsi="Verdana" w:cs="Arial"/>
          <w:color w:val="000000" w:themeColor="text1"/>
          <w:lang w:val="es-ES"/>
        </w:rPr>
      </w:pPr>
    </w:p>
    <w:p w14:paraId="230D363A" w14:textId="77777777" w:rsidR="00080784" w:rsidRPr="00DD0F57" w:rsidRDefault="00080784" w:rsidP="00080784">
      <w:pPr>
        <w:spacing w:after="120" w:line="276" w:lineRule="auto"/>
        <w:jc w:val="both"/>
        <w:rPr>
          <w:rFonts w:ascii="Verdana" w:eastAsia="Times New Roman" w:hAnsi="Verdana" w:cs="Arial"/>
          <w:lang w:val="es-ES" w:eastAsia="es-ES_tradnl"/>
        </w:rPr>
      </w:pPr>
      <w:r w:rsidRPr="00DD0F57">
        <w:rPr>
          <w:rFonts w:ascii="Verdana" w:eastAsia="Calibri" w:hAnsi="Verdana" w:cs="Arial"/>
          <w:bCs/>
          <w:lang w:val="es-ES"/>
        </w:rPr>
        <w:t>i.</w:t>
      </w:r>
      <w:r w:rsidRPr="00DD0F57">
        <w:rPr>
          <w:rFonts w:ascii="Verdana" w:eastAsia="Calibri" w:hAnsi="Verdana" w:cs="Arial"/>
          <w:color w:val="000000"/>
          <w:lang w:val="es-ES"/>
        </w:rPr>
        <w:t xml:space="preserve"> La Ley 1967 de</w:t>
      </w:r>
      <w:r>
        <w:rPr>
          <w:rFonts w:ascii="Verdana" w:eastAsia="Calibri" w:hAnsi="Verdana" w:cs="Arial"/>
          <w:color w:val="000000"/>
          <w:lang w:val="es-ES"/>
        </w:rPr>
        <w:t xml:space="preserve"> </w:t>
      </w:r>
      <w:r w:rsidRPr="00DD0F57">
        <w:rPr>
          <w:rFonts w:ascii="Verdana" w:eastAsia="Calibri" w:hAnsi="Verdana" w:cs="Arial"/>
          <w:color w:val="000000"/>
          <w:lang w:val="es-ES"/>
        </w:rPr>
        <w:t>2019 transformó el Departamento Administrativo del Deporte, la Recreación, la Actividad Física y el Aprovechamiento del Tiempo Libre (Coldeportes) en el Ministerio del Deporte</w:t>
      </w:r>
      <w:r>
        <w:rPr>
          <w:rFonts w:ascii="Verdana" w:eastAsia="Calibri" w:hAnsi="Verdana" w:cs="Arial"/>
          <w:color w:val="000000"/>
          <w:lang w:val="es-ES"/>
        </w:rPr>
        <w:t xml:space="preserve"> y lo estableció</w:t>
      </w:r>
      <w:r w:rsidRPr="00DD0F57">
        <w:rPr>
          <w:rFonts w:ascii="Verdana" w:eastAsia="Calibri" w:hAnsi="Verdana" w:cs="Arial"/>
          <w:color w:val="000000"/>
          <w:lang w:val="es-ES"/>
        </w:rPr>
        <w:t xml:space="preserve"> como organismo principal de la administración pública, del nivel central, rector del sector y del Sistema Nacional del Deporte. De acuerdo con el artículo tercero, el </w:t>
      </w:r>
      <w:r w:rsidRPr="00DD0F57">
        <w:rPr>
          <w:rFonts w:ascii="Verdana" w:eastAsia="Times New Roman" w:hAnsi="Verdana" w:cs="Arial"/>
          <w:lang w:val="es-ES" w:eastAsia="es-ES_tradnl"/>
        </w:rPr>
        <w:t>Ministerio tiene como objetivo “formular, adoptar, dirigir, coordinar, inspeccionar, vigilar, controlar y ejecutar la política pública, planes, programas y proyectos en materia del deporte, la recreación, el aprovechamiento del tiempo libre y la actividad física para promover el bienestar, la calidad de vida, así como contribuir a la salud pública, a la educación, a la cultura, a la cohesión e integración social, a la conciencia nacional y a las relaciones internacionales, a través de la participación de los actores públicos y privados”.</w:t>
      </w:r>
    </w:p>
    <w:p w14:paraId="4CE61BB9" w14:textId="77777777" w:rsidR="00080784" w:rsidRPr="00DD0F57" w:rsidRDefault="00080784" w:rsidP="00080784">
      <w:pPr>
        <w:spacing w:after="0" w:line="276" w:lineRule="auto"/>
        <w:jc w:val="both"/>
        <w:rPr>
          <w:rFonts w:ascii="Verdana" w:eastAsia="Times New Roman" w:hAnsi="Verdana" w:cs="Arial"/>
          <w:lang w:val="es-ES" w:eastAsia="es-ES_tradnl"/>
        </w:rPr>
      </w:pPr>
      <w:r w:rsidRPr="00DD0F57">
        <w:rPr>
          <w:rFonts w:ascii="Verdana" w:eastAsia="Times New Roman" w:hAnsi="Verdana" w:cs="Arial"/>
          <w:lang w:val="es-ES" w:eastAsia="es-ES_tradnl"/>
        </w:rPr>
        <w:tab/>
      </w:r>
      <w:r>
        <w:rPr>
          <w:rFonts w:ascii="Verdana" w:eastAsia="Times New Roman" w:hAnsi="Verdana" w:cs="Arial"/>
          <w:lang w:val="es-ES" w:eastAsia="es-ES_tradnl"/>
        </w:rPr>
        <w:t xml:space="preserve">En el </w:t>
      </w:r>
      <w:r w:rsidRPr="00DD0F57">
        <w:rPr>
          <w:rFonts w:ascii="Verdana" w:eastAsia="Times New Roman" w:hAnsi="Verdana" w:cs="Arial"/>
          <w:lang w:val="es-ES" w:eastAsia="es-ES_tradnl"/>
        </w:rPr>
        <w:t>marco de lo anterior, el artículo cuarto de la referida ley determinó las funciones que cumplirá el Ministerio del Deporte para la materialización de su objeto, las cuales son adicionales a las que dispone el artículo </w:t>
      </w:r>
      <w:hyperlink r:id="rId12" w:anchor="59" w:history="1">
        <w:r w:rsidRPr="00DD0F57">
          <w:rPr>
            <w:rFonts w:ascii="Verdana" w:eastAsia="Times New Roman" w:hAnsi="Verdana" w:cs="Arial"/>
            <w:lang w:val="es-ES" w:eastAsia="es-ES_tradnl"/>
          </w:rPr>
          <w:t>59</w:t>
        </w:r>
      </w:hyperlink>
      <w:r w:rsidRPr="00DD0F57">
        <w:rPr>
          <w:rFonts w:ascii="Verdana" w:eastAsia="Times New Roman" w:hAnsi="Verdana" w:cs="Arial"/>
          <w:lang w:val="es-ES" w:eastAsia="es-ES_tradnl"/>
        </w:rPr>
        <w:t> de la Ley 489 de 1998 en cabeza de todos los ministerios y departamentos administrativos del Estado. En cuanto a su actividad contractual, la norma dispuso que el Ministerio tiene la facultad de:</w:t>
      </w:r>
    </w:p>
    <w:p w14:paraId="32C25B14" w14:textId="77777777" w:rsidR="00080784" w:rsidRPr="00DD0F57" w:rsidRDefault="00080784" w:rsidP="00080784">
      <w:pPr>
        <w:spacing w:after="0" w:line="240" w:lineRule="auto"/>
        <w:ind w:left="709" w:right="709"/>
        <w:jc w:val="both"/>
        <w:rPr>
          <w:rFonts w:ascii="Verdana" w:eastAsia="Calibri" w:hAnsi="Verdana" w:cs="Arial"/>
          <w:color w:val="000000"/>
          <w:sz w:val="21"/>
          <w:szCs w:val="21"/>
          <w:lang w:val="es-ES"/>
        </w:rPr>
      </w:pPr>
    </w:p>
    <w:p w14:paraId="652CE40E" w14:textId="77777777" w:rsidR="00080784" w:rsidRPr="00DD0F57" w:rsidRDefault="00080784" w:rsidP="00080784">
      <w:pPr>
        <w:spacing w:after="0" w:line="240" w:lineRule="auto"/>
        <w:ind w:left="709" w:right="709"/>
        <w:jc w:val="both"/>
        <w:rPr>
          <w:rFonts w:ascii="Verdana" w:eastAsia="Calibri" w:hAnsi="Verdana" w:cs="Arial"/>
          <w:color w:val="000000"/>
          <w:sz w:val="21"/>
          <w:szCs w:val="21"/>
          <w:lang w:val="es-ES"/>
        </w:rPr>
      </w:pPr>
      <w:r w:rsidRPr="00DD0F57">
        <w:rPr>
          <w:rFonts w:ascii="Verdana" w:eastAsia="Calibri" w:hAnsi="Verdana" w:cs="Arial"/>
          <w:color w:val="000000"/>
          <w:sz w:val="21"/>
          <w:szCs w:val="21"/>
          <w:lang w:val="es-ES"/>
        </w:rPr>
        <w:t>“[…] 25. Celebrar directamente convenios o contratos con entidades u organismos internacionales o nacionales, públicos o privados pertenecientes al Sistema Nacional del Deporte, para el desarrollo de su objeto, de acuerdo con las normas legales vigentes”.</w:t>
      </w:r>
    </w:p>
    <w:p w14:paraId="0635EC78" w14:textId="77777777" w:rsidR="00080784" w:rsidRPr="00DD0F57" w:rsidRDefault="00080784" w:rsidP="00080784">
      <w:pPr>
        <w:spacing w:after="0" w:line="240" w:lineRule="auto"/>
        <w:ind w:left="709" w:right="709"/>
        <w:jc w:val="both"/>
        <w:rPr>
          <w:rFonts w:ascii="Verdana" w:eastAsia="Calibri" w:hAnsi="Verdana" w:cs="Arial"/>
          <w:color w:val="000000"/>
          <w:sz w:val="21"/>
          <w:szCs w:val="21"/>
          <w:lang w:val="es-ES"/>
        </w:rPr>
      </w:pPr>
    </w:p>
    <w:p w14:paraId="5DBD62FA" w14:textId="77777777" w:rsidR="00080784" w:rsidRPr="00DD0F57" w:rsidRDefault="00080784" w:rsidP="00080784">
      <w:pPr>
        <w:spacing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lastRenderedPageBreak/>
        <w:t>La función del numeral 25 fue consagrada previamente como una facultad en cabeza del Instituto Colombiano del Deporte mediante el artículo 61 de la Ley 181 de 1995, denominada también como la “Ley del Deporte”</w:t>
      </w:r>
      <w:r>
        <w:rPr>
          <w:rFonts w:ascii="Verdana" w:eastAsia="Calibri" w:hAnsi="Verdana" w:cs="Arial"/>
          <w:bCs/>
          <w:color w:val="000000" w:themeColor="text1"/>
          <w:lang w:val="es-ES"/>
        </w:rPr>
        <w:t>. Esta norma</w:t>
      </w:r>
      <w:r w:rsidRPr="00DD0F57">
        <w:rPr>
          <w:rFonts w:ascii="Verdana" w:eastAsia="Calibri" w:hAnsi="Verdana" w:cs="Arial"/>
          <w:bCs/>
          <w:color w:val="000000" w:themeColor="text1"/>
          <w:lang w:val="es-ES"/>
        </w:rPr>
        <w:t xml:space="preserve"> dispuso en términos </w:t>
      </w:r>
      <w:r>
        <w:rPr>
          <w:rFonts w:ascii="Verdana" w:eastAsia="Calibri" w:hAnsi="Verdana" w:cs="Arial"/>
          <w:bCs/>
          <w:color w:val="000000" w:themeColor="text1"/>
          <w:lang w:val="es-ES"/>
        </w:rPr>
        <w:t>g</w:t>
      </w:r>
      <w:r w:rsidRPr="00DD0F57">
        <w:rPr>
          <w:rFonts w:ascii="Verdana" w:eastAsia="Calibri" w:hAnsi="Verdana" w:cs="Arial"/>
          <w:bCs/>
          <w:color w:val="000000" w:themeColor="text1"/>
          <w:lang w:val="es-ES"/>
        </w:rPr>
        <w:t>enerales que esta entidad, como máximo organismo planificador, rector, director y coordinador del Sistema Nacional del Deporte y Director del Deporte Formativo y Comunitario</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tendría la función de “celebrar convenios o contratos con las diferentes entidades de los sectores público o privado, nacionales o extranjeros, para el desarrollo de su objeto bien sea del deporte, la recreación, el aprovechamiento del tiempo libre y la educación física de acuerdo con las normas legales vigentes”.</w:t>
      </w:r>
    </w:p>
    <w:p w14:paraId="458AF12E" w14:textId="77777777" w:rsidR="00080784" w:rsidRPr="00DD0F57" w:rsidRDefault="00080784" w:rsidP="00080784">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Posteriormente, el Decreto-Ley 4183 de 2011 transformó al Instituto Colombiano del Deporte en el Departamento Administrativo </w:t>
      </w:r>
      <w:r w:rsidRPr="00DD0F57">
        <w:rPr>
          <w:rFonts w:ascii="Verdana" w:eastAsia="Calibri" w:hAnsi="Verdana" w:cs="Arial"/>
          <w:color w:val="000000"/>
          <w:lang w:val="es-ES"/>
        </w:rPr>
        <w:t>del Deporte, la Recreación, la Actividad Física y el Aprovechamiento del Tiempo Libre (Coldeportes)</w:t>
      </w:r>
      <w:r w:rsidRPr="00DD0F57">
        <w:rPr>
          <w:rFonts w:ascii="Verdana" w:eastAsia="Calibri" w:hAnsi="Verdana" w:cs="Arial"/>
          <w:bCs/>
          <w:color w:val="000000" w:themeColor="text1"/>
          <w:lang w:val="es-ES"/>
        </w:rPr>
        <w:t>. Dicho Decreto señaló que</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para el cumplimiento de sus funciones, Coldeportes tendría la facultad de celebrar directamente convenios o contratos con entidades u organismos internacionales o nacionales, públicos o privados pertenecientes al Sistema Nacional del Deporte, para el desarrollo de su objeto, de acuerdo con las normas legales vigentes. De esta forma, la norma objeto de consulta, al crear el Ministerio del Deporte, le atribuyó una función con la que ya contaba Coldeportes, desde su constitución como Instituto en 1995 y posteriormente como Departamento Administrativo en 2011. </w:t>
      </w:r>
    </w:p>
    <w:p w14:paraId="7E533BD0" w14:textId="77777777" w:rsidR="00080784" w:rsidRPr="00DD0F57" w:rsidRDefault="00080784" w:rsidP="00080784">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La exposición de motivos de la Ley 181 de 1995 no se refirió expresamente a la facultad de contratación directa en cabeza del Instituto </w:t>
      </w:r>
      <w:r>
        <w:rPr>
          <w:rFonts w:ascii="Verdana" w:eastAsia="Calibri" w:hAnsi="Verdana" w:cs="Arial"/>
          <w:bCs/>
          <w:color w:val="000000" w:themeColor="text1"/>
          <w:lang w:val="es-ES"/>
        </w:rPr>
        <w:t xml:space="preserve">que fue </w:t>
      </w:r>
      <w:r w:rsidRPr="00DD0F57">
        <w:rPr>
          <w:rFonts w:ascii="Verdana" w:eastAsia="Calibri" w:hAnsi="Verdana" w:cs="Arial"/>
          <w:bCs/>
          <w:color w:val="000000" w:themeColor="text1"/>
          <w:lang w:val="es-ES"/>
        </w:rPr>
        <w:t xml:space="preserve">establecida en el artículo 61, sin </w:t>
      </w:r>
      <w:proofErr w:type="gramStart"/>
      <w:r w:rsidRPr="00DD0F57">
        <w:rPr>
          <w:rFonts w:ascii="Verdana" w:eastAsia="Calibri" w:hAnsi="Verdana" w:cs="Arial"/>
          <w:bCs/>
          <w:color w:val="000000" w:themeColor="text1"/>
          <w:lang w:val="es-ES"/>
        </w:rPr>
        <w:t>embargo</w:t>
      </w:r>
      <w:proofErr w:type="gramEnd"/>
      <w:r w:rsidRPr="00DD0F57">
        <w:rPr>
          <w:rFonts w:ascii="Verdana" w:eastAsia="Calibri" w:hAnsi="Verdana" w:cs="Arial"/>
          <w:bCs/>
          <w:color w:val="000000" w:themeColor="text1"/>
          <w:lang w:val="es-ES"/>
        </w:rPr>
        <w:t xml:space="preserve"> resaltó que la Constitución de 1991 otorgó una concepción política y filosófica al deporte, la recreación y el aprovechamiento del tiempo libre, reconociendo el derecho de todas las personas a tales actividades</w:t>
      </w:r>
      <w:r w:rsidRPr="00DD0F57">
        <w:rPr>
          <w:rStyle w:val="Refdenotaalpie"/>
          <w:rFonts w:ascii="Verdana" w:eastAsia="Calibri" w:hAnsi="Verdana" w:cs="Arial"/>
          <w:bCs/>
          <w:color w:val="000000" w:themeColor="text1"/>
          <w:lang w:val="es-ES"/>
        </w:rPr>
        <w:footnoteReference w:id="2"/>
      </w:r>
      <w:r w:rsidRPr="00DD0F57">
        <w:rPr>
          <w:rFonts w:ascii="Verdana" w:eastAsia="Calibri" w:hAnsi="Verdana" w:cs="Arial"/>
          <w:bCs/>
          <w:color w:val="000000" w:themeColor="text1"/>
          <w:lang w:val="es-ES"/>
        </w:rPr>
        <w:t xml:space="preserve">. Adicionalmente, las normas de presupuesto </w:t>
      </w:r>
      <w:r w:rsidRPr="00DD0F57">
        <w:rPr>
          <w:rFonts w:ascii="Verdana" w:eastAsia="Calibri" w:hAnsi="Verdana" w:cs="Arial"/>
          <w:bCs/>
          <w:color w:val="000000" w:themeColor="text1"/>
          <w:lang w:val="es-ES"/>
        </w:rPr>
        <w:lastRenderedPageBreak/>
        <w:t>nacional incluyeron dichas actividades dentro del gasto público social, como una inversión social en los términos del artículo 350 de la Constitución Política</w:t>
      </w:r>
      <w:r w:rsidRPr="00DD0F57">
        <w:rPr>
          <w:rStyle w:val="Refdenotaalpie"/>
          <w:rFonts w:ascii="Verdana" w:eastAsia="Calibri" w:hAnsi="Verdana" w:cs="Arial"/>
          <w:bCs/>
          <w:color w:val="000000" w:themeColor="text1"/>
          <w:lang w:val="es-ES"/>
        </w:rPr>
        <w:footnoteReference w:id="3"/>
      </w:r>
      <w:r w:rsidRPr="00DD0F57">
        <w:rPr>
          <w:rFonts w:ascii="Verdana" w:eastAsia="Calibri" w:hAnsi="Verdana" w:cs="Arial"/>
          <w:bCs/>
          <w:color w:val="000000" w:themeColor="text1"/>
          <w:lang w:val="es-ES"/>
        </w:rPr>
        <w:t>.</w:t>
      </w:r>
    </w:p>
    <w:p w14:paraId="5A2A8D0D" w14:textId="77777777" w:rsidR="00080784" w:rsidRPr="00DD0F57" w:rsidRDefault="00080784" w:rsidP="00080784">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Dentro de este marco, el Gobierno Nacional destacó la necesidad de crear el </w:t>
      </w:r>
      <w:r w:rsidRPr="007F56AB">
        <w:rPr>
          <w:rFonts w:ascii="Verdana" w:eastAsia="Calibri" w:hAnsi="Verdana" w:cs="Arial"/>
          <w:bCs/>
          <w:color w:val="000000" w:themeColor="text1"/>
          <w:lang w:val="es-ES"/>
        </w:rPr>
        <w:t xml:space="preserve">Sistema Nacional del Deporte </w:t>
      </w:r>
      <w:r w:rsidRPr="00DD0F57">
        <w:rPr>
          <w:rFonts w:ascii="Verdana" w:eastAsia="Calibri" w:hAnsi="Verdana" w:cs="Arial"/>
          <w:bCs/>
          <w:color w:val="000000" w:themeColor="text1"/>
          <w:lang w:val="es-ES"/>
        </w:rPr>
        <w:t xml:space="preserve">con el fin de dotar de </w:t>
      </w:r>
      <w:r w:rsidRPr="007F56AB">
        <w:rPr>
          <w:rFonts w:ascii="Verdana" w:eastAsia="Calibri" w:hAnsi="Verdana" w:cs="Arial"/>
          <w:bCs/>
          <w:color w:val="000000" w:themeColor="text1"/>
          <w:lang w:val="es-ES"/>
        </w:rPr>
        <w:t>coherencia a las actividades que se desarrollan</w:t>
      </w:r>
      <w:r w:rsidRPr="00DD0F57">
        <w:rPr>
          <w:rFonts w:ascii="Verdana" w:eastAsia="Calibri" w:hAnsi="Verdana" w:cs="Arial"/>
          <w:bCs/>
          <w:color w:val="000000" w:themeColor="text1"/>
          <w:lang w:val="es-ES"/>
        </w:rPr>
        <w:t xml:space="preserve"> en este ámbito. Con este fin,</w:t>
      </w:r>
      <w:r w:rsidRPr="007F56AB">
        <w:rPr>
          <w:rFonts w:ascii="Verdana" w:eastAsia="Calibri" w:hAnsi="Verdana" w:cs="Arial"/>
          <w:bCs/>
          <w:color w:val="000000" w:themeColor="text1"/>
          <w:lang w:val="es-ES"/>
        </w:rPr>
        <w:t xml:space="preserve"> separ</w:t>
      </w:r>
      <w:r w:rsidRPr="00DD0F57">
        <w:rPr>
          <w:rFonts w:ascii="Verdana" w:eastAsia="Calibri" w:hAnsi="Verdana" w:cs="Arial"/>
          <w:bCs/>
          <w:color w:val="000000" w:themeColor="text1"/>
          <w:lang w:val="es-ES"/>
        </w:rPr>
        <w:t>ó</w:t>
      </w:r>
      <w:r w:rsidRPr="007F56AB">
        <w:rPr>
          <w:rFonts w:ascii="Verdana" w:eastAsia="Calibri" w:hAnsi="Verdana" w:cs="Arial"/>
          <w:bCs/>
          <w:color w:val="000000" w:themeColor="text1"/>
          <w:lang w:val="es-ES"/>
        </w:rPr>
        <w:t xml:space="preserve"> las funciones </w:t>
      </w:r>
      <w:r w:rsidRPr="00DD0F57">
        <w:rPr>
          <w:rFonts w:ascii="Verdana" w:eastAsia="Calibri" w:hAnsi="Verdana" w:cs="Arial"/>
          <w:bCs/>
          <w:color w:val="000000" w:themeColor="text1"/>
          <w:lang w:val="es-ES"/>
        </w:rPr>
        <w:t xml:space="preserve">correspondientes al sector </w:t>
      </w:r>
      <w:r w:rsidRPr="007F56AB">
        <w:rPr>
          <w:rFonts w:ascii="Verdana" w:eastAsia="Calibri" w:hAnsi="Verdana" w:cs="Arial"/>
          <w:bCs/>
          <w:color w:val="000000" w:themeColor="text1"/>
          <w:lang w:val="es-ES"/>
        </w:rPr>
        <w:t>público</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 xml:space="preserve"> especializándolo en el deporte formativo y comunitario</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 xml:space="preserve"> de las funciones del sector privado </w:t>
      </w:r>
      <w:r w:rsidRPr="00DD0F57">
        <w:rPr>
          <w:rFonts w:ascii="Verdana" w:eastAsia="Calibri" w:hAnsi="Verdana" w:cs="Arial"/>
          <w:bCs/>
          <w:color w:val="000000" w:themeColor="text1"/>
          <w:lang w:val="es-ES"/>
        </w:rPr>
        <w:t xml:space="preserve">enfocado en el </w:t>
      </w:r>
      <w:r w:rsidRPr="007F56AB">
        <w:rPr>
          <w:rFonts w:ascii="Verdana" w:eastAsia="Calibri" w:hAnsi="Verdana" w:cs="Arial"/>
          <w:bCs/>
          <w:color w:val="000000" w:themeColor="text1"/>
          <w:lang w:val="es-ES"/>
        </w:rPr>
        <w:t>deporte competitivo y de alto rendimiento</w:t>
      </w:r>
      <w:r w:rsidRPr="00DD0F57">
        <w:rPr>
          <w:rFonts w:ascii="Verdana" w:eastAsia="Calibri" w:hAnsi="Verdana" w:cs="Arial"/>
          <w:bCs/>
          <w:color w:val="000000" w:themeColor="text1"/>
          <w:lang w:val="es-ES"/>
        </w:rPr>
        <w:t>. Esta visión buscó armonizarlos</w:t>
      </w:r>
      <w:r w:rsidRPr="007F56AB">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de tal manera que se complementan para trabajar unidos en la masificación del deporte y la recreación</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 xml:space="preserve">Adicionalmente, la norma creó el </w:t>
      </w:r>
      <w:r w:rsidRPr="007F56AB">
        <w:rPr>
          <w:rFonts w:ascii="Verdana" w:eastAsia="Calibri" w:hAnsi="Verdana" w:cs="Arial"/>
          <w:bCs/>
          <w:color w:val="000000" w:themeColor="text1"/>
          <w:lang w:val="es-ES"/>
        </w:rPr>
        <w:t>Consejo Superior del Deporte como organismo consultor de las políticas del Estado en este campo</w:t>
      </w:r>
      <w:r w:rsidRPr="00DD0F57">
        <w:rPr>
          <w:rFonts w:ascii="Verdana" w:eastAsia="Calibri" w:hAnsi="Verdana" w:cs="Arial"/>
          <w:bCs/>
          <w:color w:val="000000" w:themeColor="text1"/>
          <w:lang w:val="es-ES"/>
        </w:rPr>
        <w:t xml:space="preserve">, junto con </w:t>
      </w:r>
      <w:r w:rsidRPr="007F56AB">
        <w:rPr>
          <w:rFonts w:ascii="Verdana" w:eastAsia="Calibri" w:hAnsi="Verdana" w:cs="Arial"/>
          <w:bCs/>
          <w:color w:val="000000" w:themeColor="text1"/>
          <w:lang w:val="es-ES"/>
        </w:rPr>
        <w:t>una corporación mixta para el manejo de los recursos de los sectores que componen el sistema.</w:t>
      </w:r>
      <w:r w:rsidRPr="00DD0F57">
        <w:rPr>
          <w:rFonts w:ascii="Verdana" w:eastAsia="Calibri" w:hAnsi="Verdana" w:cs="Arial"/>
          <w:bCs/>
          <w:color w:val="000000" w:themeColor="text1"/>
          <w:lang w:val="es-ES"/>
        </w:rPr>
        <w:t xml:space="preserve"> </w:t>
      </w:r>
      <w:r w:rsidRPr="007F56AB">
        <w:rPr>
          <w:rFonts w:ascii="Verdana" w:eastAsia="Calibri" w:hAnsi="Verdana" w:cs="Arial"/>
          <w:bCs/>
          <w:color w:val="000000" w:themeColor="text1"/>
          <w:lang w:val="es-ES"/>
        </w:rPr>
        <w:t xml:space="preserve">Igualmente, </w:t>
      </w:r>
      <w:r w:rsidRPr="00DD0F57">
        <w:rPr>
          <w:rFonts w:ascii="Verdana" w:eastAsia="Calibri" w:hAnsi="Verdana" w:cs="Arial"/>
          <w:bCs/>
          <w:color w:val="000000" w:themeColor="text1"/>
          <w:lang w:val="es-ES"/>
        </w:rPr>
        <w:t xml:space="preserve">rescató </w:t>
      </w:r>
      <w:r w:rsidRPr="007F56AB">
        <w:rPr>
          <w:rFonts w:ascii="Verdana" w:eastAsia="Calibri" w:hAnsi="Verdana" w:cs="Arial"/>
          <w:bCs/>
          <w:color w:val="000000" w:themeColor="text1"/>
          <w:lang w:val="es-ES"/>
        </w:rPr>
        <w:t xml:space="preserve">el papel de las entidades territoriales departamentales y municipales a </w:t>
      </w:r>
      <w:r>
        <w:rPr>
          <w:rFonts w:ascii="Verdana" w:eastAsia="Calibri" w:hAnsi="Verdana" w:cs="Arial"/>
          <w:bCs/>
          <w:color w:val="000000" w:themeColor="text1"/>
          <w:lang w:val="es-ES"/>
        </w:rPr>
        <w:t>efectos</w:t>
      </w:r>
      <w:r w:rsidRPr="007F56AB">
        <w:rPr>
          <w:rFonts w:ascii="Verdana" w:eastAsia="Calibri" w:hAnsi="Verdana" w:cs="Arial"/>
          <w:bCs/>
          <w:color w:val="000000" w:themeColor="text1"/>
          <w:lang w:val="es-ES"/>
        </w:rPr>
        <w:t xml:space="preserve"> de comprometerlas en las políticas de masificación del deporte formativo y comunitario.</w:t>
      </w:r>
    </w:p>
    <w:p w14:paraId="2D721A8B" w14:textId="77777777" w:rsidR="00080784" w:rsidRDefault="00080784" w:rsidP="00080784">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De manera similar, la exposición de motivos</w:t>
      </w:r>
      <w:r w:rsidRPr="00DD0F57">
        <w:rPr>
          <w:rStyle w:val="Refdenotaalpie"/>
          <w:rFonts w:ascii="Verdana" w:eastAsia="Calibri" w:hAnsi="Verdana" w:cs="Arial"/>
          <w:bCs/>
          <w:color w:val="000000" w:themeColor="text1"/>
          <w:lang w:val="es-ES"/>
        </w:rPr>
        <w:footnoteReference w:id="4"/>
      </w:r>
      <w:r w:rsidRPr="00DD0F57">
        <w:rPr>
          <w:rFonts w:ascii="Verdana" w:eastAsia="Calibri" w:hAnsi="Verdana" w:cs="Arial"/>
          <w:bCs/>
          <w:color w:val="000000" w:themeColor="text1"/>
          <w:lang w:val="es-ES"/>
        </w:rPr>
        <w:t xml:space="preserve"> de la Ley 1967 de 2019 (proyecto en Senado No. 78/18 y No. 285/18 en Cámara de Representantes) n</w:t>
      </w:r>
      <w:r w:rsidRPr="00AE2B56">
        <w:rPr>
          <w:rFonts w:ascii="Verdana" w:eastAsia="Calibri" w:hAnsi="Verdana" w:cs="Arial"/>
          <w:bCs/>
          <w:color w:val="000000" w:themeColor="text1"/>
          <w:lang w:val="es-ES"/>
        </w:rPr>
        <w:t xml:space="preserve">o </w:t>
      </w:r>
      <w:r w:rsidRPr="00DD0F57">
        <w:rPr>
          <w:rFonts w:ascii="Verdana" w:eastAsia="Calibri" w:hAnsi="Verdana" w:cs="Arial"/>
          <w:bCs/>
          <w:color w:val="000000" w:themeColor="text1"/>
          <w:lang w:val="es-ES"/>
        </w:rPr>
        <w:t xml:space="preserve">se refirió </w:t>
      </w:r>
      <w:r w:rsidRPr="00AE2B56">
        <w:rPr>
          <w:rFonts w:ascii="Verdana" w:eastAsia="Calibri" w:hAnsi="Verdana" w:cs="Arial"/>
          <w:bCs/>
          <w:color w:val="000000" w:themeColor="text1"/>
          <w:lang w:val="es-ES"/>
        </w:rPr>
        <w:t xml:space="preserve">específicamente </w:t>
      </w:r>
      <w:r>
        <w:rPr>
          <w:rFonts w:ascii="Verdana" w:eastAsia="Calibri" w:hAnsi="Verdana" w:cs="Arial"/>
          <w:bCs/>
          <w:color w:val="000000" w:themeColor="text1"/>
          <w:lang w:val="es-ES"/>
        </w:rPr>
        <w:t xml:space="preserve">a </w:t>
      </w:r>
      <w:r w:rsidRPr="00AE2B56">
        <w:rPr>
          <w:rFonts w:ascii="Verdana" w:eastAsia="Calibri" w:hAnsi="Verdana" w:cs="Arial"/>
          <w:bCs/>
          <w:color w:val="000000" w:themeColor="text1"/>
          <w:lang w:val="es-ES"/>
        </w:rPr>
        <w:t>la facultad de contratación direct</w:t>
      </w:r>
      <w:r w:rsidRPr="00DD0F57">
        <w:rPr>
          <w:rFonts w:ascii="Verdana" w:eastAsia="Calibri" w:hAnsi="Verdana" w:cs="Arial"/>
          <w:bCs/>
          <w:color w:val="000000" w:themeColor="text1"/>
          <w:lang w:val="es-ES"/>
        </w:rPr>
        <w:t>a objeto de consulta</w:t>
      </w:r>
      <w:r w:rsidRPr="00AE2B56">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En efecto l</w:t>
      </w:r>
      <w:r w:rsidRPr="00AE2B56">
        <w:rPr>
          <w:rFonts w:ascii="Verdana" w:eastAsia="Calibri" w:hAnsi="Verdana" w:cs="Arial"/>
          <w:bCs/>
          <w:color w:val="000000" w:themeColor="text1"/>
          <w:lang w:val="es-ES"/>
        </w:rPr>
        <w:t xml:space="preserve">a función </w:t>
      </w:r>
      <w:r w:rsidRPr="00DD0F57">
        <w:rPr>
          <w:rFonts w:ascii="Verdana" w:eastAsia="Calibri" w:hAnsi="Verdana" w:cs="Arial"/>
          <w:bCs/>
          <w:color w:val="000000" w:themeColor="text1"/>
          <w:lang w:val="es-ES"/>
        </w:rPr>
        <w:t xml:space="preserve">establecida en el numeral </w:t>
      </w:r>
      <w:r w:rsidRPr="00AE2B56">
        <w:rPr>
          <w:rFonts w:ascii="Verdana" w:eastAsia="Calibri" w:hAnsi="Verdana" w:cs="Arial"/>
          <w:bCs/>
          <w:color w:val="000000" w:themeColor="text1"/>
          <w:lang w:val="es-ES"/>
        </w:rPr>
        <w:t xml:space="preserve">25 </w:t>
      </w:r>
      <w:r w:rsidRPr="00DD0F57">
        <w:rPr>
          <w:rFonts w:ascii="Verdana" w:eastAsia="Calibri" w:hAnsi="Verdana" w:cs="Arial"/>
          <w:bCs/>
          <w:color w:val="000000" w:themeColor="text1"/>
          <w:lang w:val="es-ES"/>
        </w:rPr>
        <w:t xml:space="preserve">del artículo cuarto constituye una </w:t>
      </w:r>
      <w:r w:rsidRPr="00AE2B56">
        <w:rPr>
          <w:rFonts w:ascii="Verdana" w:eastAsia="Calibri" w:hAnsi="Verdana" w:cs="Arial"/>
          <w:bCs/>
          <w:color w:val="000000" w:themeColor="text1"/>
          <w:lang w:val="es-ES"/>
        </w:rPr>
        <w:t xml:space="preserve">transcripción </w:t>
      </w:r>
      <w:r w:rsidRPr="00DD0F57">
        <w:rPr>
          <w:rFonts w:ascii="Verdana" w:eastAsia="Calibri" w:hAnsi="Verdana" w:cs="Arial"/>
          <w:bCs/>
          <w:color w:val="000000" w:themeColor="text1"/>
          <w:lang w:val="es-ES"/>
        </w:rPr>
        <w:t xml:space="preserve">de la función que ya había sido incluida en el Decreto-Ley </w:t>
      </w:r>
      <w:r w:rsidRPr="00AE2B56">
        <w:rPr>
          <w:rFonts w:ascii="Verdana" w:eastAsia="Calibri" w:hAnsi="Verdana" w:cs="Arial"/>
          <w:bCs/>
          <w:color w:val="000000" w:themeColor="text1"/>
          <w:lang w:val="es-ES"/>
        </w:rPr>
        <w:t>4183 de 2011</w:t>
      </w:r>
      <w:r w:rsidRPr="00DD0F57">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E</w:t>
      </w:r>
      <w:r w:rsidRPr="00DD0F57">
        <w:rPr>
          <w:rFonts w:ascii="Verdana" w:eastAsia="Calibri" w:hAnsi="Verdana" w:cs="Arial"/>
          <w:bCs/>
          <w:color w:val="000000" w:themeColor="text1"/>
          <w:lang w:val="es-ES"/>
        </w:rPr>
        <w:t>l contenido del numeral 25 se mantuvo intacto durante los debates en Senado y Cámara hasta la publicación del texto final de la Ley, de modo que no fue objeto de modificación ni debate. En este sentido, la ley reprodujo y mantuvo esta función</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inicialmente atribuida a Coldeportes desde 1995. Ad</w:t>
      </w:r>
      <w:r>
        <w:rPr>
          <w:rFonts w:ascii="Verdana" w:eastAsia="Calibri" w:hAnsi="Verdana" w:cs="Arial"/>
          <w:bCs/>
          <w:color w:val="000000" w:themeColor="text1"/>
          <w:lang w:val="es-ES"/>
        </w:rPr>
        <w:t>emás</w:t>
      </w:r>
      <w:r w:rsidRPr="00DD0F57">
        <w:rPr>
          <w:rFonts w:ascii="Verdana" w:eastAsia="Calibri" w:hAnsi="Verdana" w:cs="Arial"/>
          <w:bCs/>
          <w:color w:val="000000" w:themeColor="text1"/>
          <w:lang w:val="es-ES"/>
        </w:rPr>
        <w:t>, es importante resaltar que la función no ha sido objeto de análisis o pronunciamiento jurisprudencial.</w:t>
      </w:r>
    </w:p>
    <w:p w14:paraId="465FC542" w14:textId="77777777" w:rsidR="00080784" w:rsidRPr="00DD0F57" w:rsidRDefault="00080784" w:rsidP="00080784">
      <w:pPr>
        <w:spacing w:after="0" w:line="276" w:lineRule="auto"/>
        <w:ind w:firstLine="709"/>
        <w:jc w:val="both"/>
        <w:rPr>
          <w:rFonts w:ascii="Verdana" w:eastAsia="Calibri" w:hAnsi="Verdana" w:cs="Arial"/>
          <w:bCs/>
          <w:color w:val="000000" w:themeColor="text1"/>
          <w:lang w:val="es-ES"/>
        </w:rPr>
      </w:pPr>
    </w:p>
    <w:p w14:paraId="0D7112C7" w14:textId="77777777" w:rsidR="00080784" w:rsidRPr="00DD0F57" w:rsidRDefault="00080784" w:rsidP="00080784">
      <w:pPr>
        <w:spacing w:after="120" w:line="276" w:lineRule="auto"/>
        <w:jc w:val="both"/>
        <w:rPr>
          <w:rFonts w:ascii="Verdana" w:eastAsia="Calibri" w:hAnsi="Verdana" w:cs="Arial"/>
          <w:bCs/>
          <w:color w:val="000000" w:themeColor="text1"/>
          <w:lang w:val="es-ES"/>
        </w:rPr>
      </w:pPr>
      <w:proofErr w:type="spellStart"/>
      <w:r w:rsidRPr="00DD0F57">
        <w:rPr>
          <w:rFonts w:ascii="Verdana" w:eastAsia="Calibri" w:hAnsi="Verdana" w:cs="Arial"/>
          <w:bCs/>
          <w:color w:val="000000" w:themeColor="text1"/>
          <w:lang w:val="es-ES"/>
        </w:rPr>
        <w:t>ii</w:t>
      </w:r>
      <w:proofErr w:type="spellEnd"/>
      <w:r>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 xml:space="preserve">En el marco de lo expuesto, es </w:t>
      </w:r>
      <w:r>
        <w:rPr>
          <w:rFonts w:ascii="Verdana" w:eastAsia="Calibri" w:hAnsi="Verdana" w:cs="Arial"/>
          <w:bCs/>
          <w:color w:val="000000" w:themeColor="text1"/>
          <w:lang w:val="es-ES"/>
        </w:rPr>
        <w:t>pertinente</w:t>
      </w:r>
      <w:r w:rsidRPr="00DD0F57">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 xml:space="preserve">recordar </w:t>
      </w:r>
      <w:r w:rsidRPr="00DD0F57">
        <w:rPr>
          <w:rFonts w:ascii="Verdana" w:eastAsia="Calibri" w:hAnsi="Verdana" w:cs="Arial"/>
          <w:bCs/>
          <w:color w:val="000000" w:themeColor="text1"/>
          <w:lang w:val="es-ES"/>
        </w:rPr>
        <w:t>que el artículo 2 de la Ley 80 de 1993 define como Entidades Estatales, para efectos de la aplicación de este régimen</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a la Nación, las regiones, los departamentos, las provincias, el distrito capital y los distritos especiales, las áreas metropolitanas, las </w:t>
      </w:r>
      <w:r w:rsidRPr="00DD0F57">
        <w:rPr>
          <w:rFonts w:ascii="Verdana" w:eastAsia="Calibri" w:hAnsi="Verdana" w:cs="Arial"/>
          <w:bCs/>
          <w:color w:val="000000" w:themeColor="text1"/>
          <w:lang w:val="es-ES"/>
        </w:rPr>
        <w:lastRenderedPageBreak/>
        <w:t xml:space="preserve">asociaciones de municipios, los territorios indígenas y los municipios; los establecimientos públicos, las empresas industriales y comerciales del Estado, las sociedades de economía mixta en las que el Estado tenga participación superior al cincuenta por ciento, así como sus entidades descentralizadas indirectas y las demás personas jurídicas en las que exista dicha participación pública mayoritaria, cualquiera sea la denominación que ellas adopten, en todos los órdenes y niveles. </w:t>
      </w:r>
    </w:p>
    <w:p w14:paraId="45EA0C52" w14:textId="77777777" w:rsidR="00080784" w:rsidRPr="00DD0F57" w:rsidRDefault="00080784" w:rsidP="00080784">
      <w:pPr>
        <w:spacing w:after="120" w:line="276" w:lineRule="auto"/>
        <w:ind w:firstLine="709"/>
        <w:jc w:val="both"/>
        <w:rPr>
          <w:rFonts w:ascii="Verdana" w:hAnsi="Verdana" w:cs="Arial"/>
          <w:lang w:val="es-ES"/>
        </w:rPr>
      </w:pPr>
      <w:r w:rsidRPr="00DD0F57">
        <w:rPr>
          <w:rFonts w:ascii="Verdana" w:hAnsi="Verdana" w:cs="Arial"/>
          <w:lang w:val="es-ES"/>
        </w:rPr>
        <w:t xml:space="preserve">El EGCAP también dispone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w:t>
      </w:r>
      <w:r>
        <w:rPr>
          <w:rFonts w:ascii="Verdana" w:hAnsi="Verdana" w:cs="Arial"/>
          <w:lang w:val="es-ES"/>
        </w:rPr>
        <w:t xml:space="preserve">señala </w:t>
      </w:r>
      <w:r w:rsidRPr="00DD0F57">
        <w:rPr>
          <w:rFonts w:ascii="Verdana" w:hAnsi="Verdana" w:cs="Arial"/>
          <w:lang w:val="es-ES"/>
        </w:rPr>
        <w:t>que “Las estipulaciones de los contratos serán las que, de acuerdo con las normas civiles, comerciales y las previstas en esta ley, correspondan a su esencia y naturaleza” –art. 40, inciso primero–.</w:t>
      </w:r>
    </w:p>
    <w:p w14:paraId="3EE79030" w14:textId="77777777" w:rsidR="00080784" w:rsidRPr="00DD0F57" w:rsidRDefault="00080784" w:rsidP="00080784">
      <w:pPr>
        <w:spacing w:before="120"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De este modo, </w:t>
      </w:r>
      <w:r>
        <w:rPr>
          <w:rFonts w:ascii="Verdana" w:eastAsia="Calibri" w:hAnsi="Verdana" w:cs="Arial"/>
          <w:bCs/>
          <w:color w:val="000000" w:themeColor="text1"/>
          <w:lang w:val="es-ES"/>
        </w:rPr>
        <w:t>e</w:t>
      </w:r>
      <w:r w:rsidRPr="00DD0F57">
        <w:rPr>
          <w:rFonts w:ascii="Verdana" w:eastAsia="Calibri" w:hAnsi="Verdana" w:cs="Arial"/>
          <w:bCs/>
          <w:color w:val="000000" w:themeColor="text1"/>
          <w:lang w:val="es-ES"/>
        </w:rPr>
        <w:t>l Ministerio del Deporte, como organismo principal de la administración pública del nivel central, en los términos dispuestos en la Ley 1967 de 2019, es parte de la “</w:t>
      </w:r>
      <w:r w:rsidRPr="00DD0F57">
        <w:rPr>
          <w:rFonts w:ascii="Verdana" w:eastAsia="Calibri" w:hAnsi="Verdana" w:cs="Arial"/>
          <w:color w:val="000000" w:themeColor="text1"/>
          <w:lang w:val="es-ES"/>
        </w:rPr>
        <w:t>Nación”</w:t>
      </w:r>
      <w:r w:rsidRPr="00DD0F57">
        <w:rPr>
          <w:rFonts w:ascii="Verdana" w:eastAsia="Calibri" w:hAnsi="Verdana" w:cs="Arial"/>
          <w:bCs/>
          <w:color w:val="000000" w:themeColor="text1"/>
          <w:lang w:val="es-ES"/>
        </w:rPr>
        <w:t xml:space="preserve"> para efectos de la aplicación del Estatuto General de Contratación de la Administración Pública –en adelante EGCAP–. En este sentido, no se trata de un establecimiento público con régimen jurídico propio, ni </w:t>
      </w:r>
      <w:r>
        <w:rPr>
          <w:rFonts w:ascii="Verdana" w:eastAsia="Calibri" w:hAnsi="Verdana" w:cs="Arial"/>
          <w:bCs/>
          <w:color w:val="000000" w:themeColor="text1"/>
          <w:lang w:val="es-ES"/>
        </w:rPr>
        <w:t xml:space="preserve">de </w:t>
      </w:r>
      <w:r w:rsidRPr="00DD0F57">
        <w:rPr>
          <w:rFonts w:ascii="Verdana" w:eastAsia="Calibri" w:hAnsi="Verdana" w:cs="Arial"/>
          <w:bCs/>
          <w:color w:val="000000" w:themeColor="text1"/>
          <w:lang w:val="es-ES"/>
        </w:rPr>
        <w:t xml:space="preserve">una entidad con régimen especial de contratación exceptuado del EGCAP, de modo que su actividad contractual se encuentra </w:t>
      </w:r>
      <w:r>
        <w:rPr>
          <w:rFonts w:ascii="Verdana" w:eastAsia="Calibri" w:hAnsi="Verdana" w:cs="Arial"/>
          <w:bCs/>
          <w:color w:val="000000" w:themeColor="text1"/>
          <w:lang w:val="es-ES"/>
        </w:rPr>
        <w:t>sujeta</w:t>
      </w:r>
      <w:r w:rsidRPr="00DD0F57">
        <w:rPr>
          <w:rFonts w:ascii="Verdana" w:eastAsia="Calibri" w:hAnsi="Verdana" w:cs="Arial"/>
          <w:bCs/>
          <w:color w:val="000000" w:themeColor="text1"/>
          <w:lang w:val="es-ES"/>
        </w:rPr>
        <w:t xml:space="preserve"> a este marco jurídico y a lo que al respecto determinen las normas especiales que le sean aplicables en esta materia. </w:t>
      </w:r>
    </w:p>
    <w:p w14:paraId="54935894" w14:textId="77777777" w:rsidR="00080784" w:rsidRPr="00DD0F57" w:rsidRDefault="00080784" w:rsidP="00080784">
      <w:pPr>
        <w:spacing w:before="120"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En este sentido, la función establecida en el numeral 25 del artículo 4 de la Ley 1967 de 2019 constituye una norma especial en materia de contratación que otorga al Ministerio del Deporte la competencia para c</w:t>
      </w:r>
      <w:r w:rsidRPr="00DD0F57">
        <w:rPr>
          <w:rFonts w:ascii="Verdana" w:eastAsia="Calibri" w:hAnsi="Verdana" w:cs="Arial"/>
          <w:color w:val="000000"/>
          <w:sz w:val="21"/>
          <w:szCs w:val="21"/>
          <w:lang w:val="es-ES"/>
        </w:rPr>
        <w:t>elebrar directamente convenios o contratos con entidades u organismos que pertenezcan al Sistema Nacional del Deporte, siempre que busquen el desarrollo del objeto para el cual fue creado el Ministerio y que se ejerza de acuerdo con las normas legales vigentes. Esta redacción supone una norma especial aplicable al procedimiento de selección que puede utilizar esta Entidad Estatal cuando se cumplen los supuestos</w:t>
      </w:r>
      <w:r>
        <w:rPr>
          <w:rFonts w:ascii="Verdana" w:eastAsia="Calibri" w:hAnsi="Verdana" w:cs="Arial"/>
          <w:color w:val="000000"/>
          <w:sz w:val="21"/>
          <w:szCs w:val="21"/>
          <w:lang w:val="es-ES"/>
        </w:rPr>
        <w:t xml:space="preserve"> allí establecidos</w:t>
      </w:r>
      <w:r w:rsidRPr="00DD0F57">
        <w:rPr>
          <w:rFonts w:ascii="Verdana" w:eastAsia="Calibri" w:hAnsi="Verdana" w:cs="Arial"/>
          <w:color w:val="000000"/>
          <w:sz w:val="21"/>
          <w:szCs w:val="21"/>
          <w:lang w:val="es-ES"/>
        </w:rPr>
        <w:t xml:space="preserve">, sin que ello suponga un desplazamiento o modificación del régimen contractual aplicable. </w:t>
      </w:r>
      <w:r w:rsidRPr="00DD0F57">
        <w:rPr>
          <w:rFonts w:ascii="Verdana" w:eastAsia="Calibri" w:hAnsi="Verdana" w:cs="Arial"/>
          <w:bCs/>
          <w:color w:val="000000" w:themeColor="text1"/>
          <w:lang w:val="es-ES"/>
        </w:rPr>
        <w:t xml:space="preserve">En consecuencia, el ejercicio de dicha función se encuentra enmarcado en el cumplimiento de las disposiciones que en materia contractual establecen la Ley 80 de 1993, la Ley 1150 de 2007, el Decreto 1082 de 2015 y </w:t>
      </w:r>
      <w:r w:rsidRPr="00DD0F57">
        <w:rPr>
          <w:rFonts w:ascii="Verdana" w:eastAsia="Calibri" w:hAnsi="Verdana" w:cs="Arial"/>
          <w:bCs/>
          <w:color w:val="000000" w:themeColor="text1"/>
          <w:lang w:val="es-ES"/>
        </w:rPr>
        <w:lastRenderedPageBreak/>
        <w:t xml:space="preserve">demás normas concordantes. Así, la disposición del numeral 25 objeto de análisis establece una causal específica que habilita la contratación directa por parte del Ministerio del Deporte, pero remite expresamente a la aplicación del ordenamiento jurídico que rige la actividad contractual de esta entidad, es decir, al EGCAP. </w:t>
      </w:r>
    </w:p>
    <w:p w14:paraId="33BA091F" w14:textId="77777777" w:rsidR="00080784" w:rsidRPr="00DD0F57" w:rsidRDefault="00080784" w:rsidP="00080784">
      <w:pPr>
        <w:spacing w:before="120" w:after="0" w:line="276" w:lineRule="auto"/>
        <w:ind w:firstLine="708"/>
        <w:jc w:val="both"/>
        <w:rPr>
          <w:rFonts w:ascii="Verdana" w:eastAsia="Calibri" w:hAnsi="Verdana" w:cs="Arial"/>
          <w:color w:val="000000"/>
          <w:sz w:val="21"/>
          <w:szCs w:val="21"/>
          <w:lang w:val="es-ES"/>
        </w:rPr>
      </w:pPr>
      <w:r w:rsidRPr="00DD0F57">
        <w:rPr>
          <w:rFonts w:ascii="Verdana" w:eastAsia="Calibri" w:hAnsi="Verdana" w:cs="Arial"/>
          <w:bCs/>
          <w:color w:val="000000" w:themeColor="text1"/>
          <w:lang w:val="es-ES"/>
        </w:rPr>
        <w:t>Sobre lo anterior</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es preciso resaltar que el </w:t>
      </w:r>
      <w:r>
        <w:rPr>
          <w:rFonts w:ascii="Verdana" w:eastAsia="Calibri" w:hAnsi="Verdana" w:cs="Arial"/>
          <w:color w:val="000000"/>
          <w:sz w:val="21"/>
          <w:szCs w:val="21"/>
          <w:lang w:val="es-ES"/>
        </w:rPr>
        <w:t>a</w:t>
      </w:r>
      <w:r w:rsidRPr="007E01B5">
        <w:rPr>
          <w:rFonts w:ascii="Verdana" w:eastAsia="Calibri" w:hAnsi="Verdana" w:cs="Arial"/>
          <w:color w:val="000000"/>
          <w:sz w:val="21"/>
          <w:szCs w:val="21"/>
          <w:lang w:val="es-ES"/>
        </w:rPr>
        <w:t>rtículo 5 de la Ley 153 de 1887 dispone</w:t>
      </w:r>
      <w:r>
        <w:rPr>
          <w:rFonts w:ascii="Verdana" w:eastAsia="Calibri" w:hAnsi="Verdana" w:cs="Arial"/>
          <w:color w:val="000000"/>
          <w:sz w:val="21"/>
          <w:szCs w:val="21"/>
          <w:lang w:val="es-ES"/>
        </w:rPr>
        <w:t xml:space="preserve"> el principio o criterio </w:t>
      </w:r>
      <w:r w:rsidRPr="00DD0F57">
        <w:rPr>
          <w:rFonts w:ascii="Verdana" w:eastAsia="Calibri" w:hAnsi="Verdana" w:cs="Arial"/>
          <w:color w:val="000000"/>
          <w:sz w:val="21"/>
          <w:szCs w:val="21"/>
        </w:rPr>
        <w:t>de especialidad</w:t>
      </w:r>
      <w:r>
        <w:rPr>
          <w:rFonts w:ascii="Verdana" w:eastAsia="Calibri" w:hAnsi="Verdana" w:cs="Arial"/>
          <w:color w:val="000000"/>
          <w:sz w:val="21"/>
          <w:szCs w:val="21"/>
        </w:rPr>
        <w:t xml:space="preserve"> en materia de hermenéutica normativa, denominado</w:t>
      </w:r>
      <w:r w:rsidRPr="00DD0F57">
        <w:rPr>
          <w:rFonts w:ascii="Verdana" w:eastAsia="Calibri" w:hAnsi="Verdana" w:cs="Arial"/>
          <w:color w:val="000000"/>
          <w:sz w:val="21"/>
          <w:szCs w:val="21"/>
        </w:rPr>
        <w:t xml:space="preserve"> </w:t>
      </w:r>
      <w:r>
        <w:rPr>
          <w:rFonts w:ascii="Verdana" w:eastAsia="Calibri" w:hAnsi="Verdana" w:cs="Arial"/>
          <w:color w:val="000000"/>
          <w:sz w:val="21"/>
          <w:szCs w:val="21"/>
        </w:rPr>
        <w:t>“</w:t>
      </w:r>
      <w:r w:rsidRPr="00D25642">
        <w:rPr>
          <w:rFonts w:ascii="Verdana" w:eastAsia="Calibri" w:hAnsi="Verdana" w:cs="Arial"/>
          <w:i/>
          <w:iCs/>
          <w:color w:val="000000"/>
          <w:sz w:val="21"/>
          <w:szCs w:val="21"/>
        </w:rPr>
        <w:t xml:space="preserve">lex </w:t>
      </w:r>
      <w:proofErr w:type="spellStart"/>
      <w:r w:rsidRPr="00D25642">
        <w:rPr>
          <w:rFonts w:ascii="Verdana" w:eastAsia="Calibri" w:hAnsi="Verdana" w:cs="Arial"/>
          <w:i/>
          <w:iCs/>
          <w:color w:val="000000"/>
          <w:sz w:val="21"/>
          <w:szCs w:val="21"/>
        </w:rPr>
        <w:t>specialis</w:t>
      </w:r>
      <w:proofErr w:type="spellEnd"/>
      <w:r w:rsidRPr="00D25642">
        <w:rPr>
          <w:rFonts w:ascii="Verdana" w:eastAsia="Calibri" w:hAnsi="Verdana" w:cs="Arial"/>
          <w:i/>
          <w:iCs/>
          <w:color w:val="000000"/>
          <w:sz w:val="21"/>
          <w:szCs w:val="21"/>
        </w:rPr>
        <w:t xml:space="preserve"> </w:t>
      </w:r>
      <w:proofErr w:type="spellStart"/>
      <w:r w:rsidRPr="00D25642">
        <w:rPr>
          <w:rFonts w:ascii="Verdana" w:eastAsia="Calibri" w:hAnsi="Verdana" w:cs="Arial"/>
          <w:i/>
          <w:iCs/>
          <w:color w:val="000000"/>
          <w:sz w:val="21"/>
          <w:szCs w:val="21"/>
        </w:rPr>
        <w:t>derogat</w:t>
      </w:r>
      <w:proofErr w:type="spellEnd"/>
      <w:r w:rsidRPr="00D25642">
        <w:rPr>
          <w:rFonts w:ascii="Verdana" w:eastAsia="Calibri" w:hAnsi="Verdana" w:cs="Arial"/>
          <w:i/>
          <w:iCs/>
          <w:color w:val="000000"/>
          <w:sz w:val="21"/>
          <w:szCs w:val="21"/>
        </w:rPr>
        <w:t xml:space="preserve"> </w:t>
      </w:r>
      <w:proofErr w:type="spellStart"/>
      <w:r w:rsidRPr="00D25642">
        <w:rPr>
          <w:rFonts w:ascii="Verdana" w:eastAsia="Calibri" w:hAnsi="Verdana" w:cs="Arial"/>
          <w:i/>
          <w:iCs/>
          <w:color w:val="000000"/>
          <w:sz w:val="21"/>
          <w:szCs w:val="21"/>
        </w:rPr>
        <w:t>generali</w:t>
      </w:r>
      <w:proofErr w:type="spellEnd"/>
      <w:r>
        <w:rPr>
          <w:rFonts w:ascii="Verdana" w:eastAsia="Calibri" w:hAnsi="Verdana" w:cs="Arial"/>
          <w:color w:val="000000"/>
          <w:sz w:val="21"/>
          <w:szCs w:val="21"/>
        </w:rPr>
        <w:t>”</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La Corte Constitucional, en Sentencia C-439 de 2016</w:t>
      </w:r>
      <w:r w:rsidRPr="00DD0F57">
        <w:rPr>
          <w:rStyle w:val="Refdenotaalpie"/>
          <w:rFonts w:ascii="Verdana" w:eastAsia="Calibri" w:hAnsi="Verdana" w:cs="Arial"/>
          <w:color w:val="000000"/>
          <w:sz w:val="21"/>
          <w:szCs w:val="21"/>
          <w:lang w:val="es-ES"/>
        </w:rPr>
        <w:footnoteReference w:id="5"/>
      </w:r>
      <w:r w:rsidRPr="007E01B5">
        <w:rPr>
          <w:rFonts w:ascii="Verdana" w:eastAsia="Calibri" w:hAnsi="Verdana" w:cs="Arial"/>
          <w:color w:val="000000"/>
          <w:sz w:val="21"/>
          <w:szCs w:val="21"/>
          <w:lang w:val="es-ES"/>
        </w:rPr>
        <w:t>, sistematizó los criterios hermenéuticos para resolver conflictos entre leyes</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jerárquico, cronológico y de especialidad</w:t>
      </w:r>
      <w:r w:rsidRPr="00DD0F57">
        <w:rPr>
          <w:rFonts w:ascii="Verdana" w:eastAsia="Calibri" w:hAnsi="Verdana" w:cs="Arial"/>
          <w:color w:val="000000"/>
          <w:sz w:val="21"/>
          <w:szCs w:val="21"/>
          <w:lang w:val="es-ES"/>
        </w:rPr>
        <w:t>); e</w:t>
      </w:r>
      <w:r w:rsidRPr="007E01B5">
        <w:rPr>
          <w:rFonts w:ascii="Verdana" w:eastAsia="Calibri" w:hAnsi="Verdana" w:cs="Arial"/>
          <w:color w:val="000000"/>
          <w:sz w:val="21"/>
          <w:szCs w:val="21"/>
          <w:lang w:val="es-ES"/>
        </w:rPr>
        <w:t>xplicó que frente al criterio de especialidad no se está propiamente ante una antinomia, en razón a que se entiende que la norma general se aplica a todos los campos con excepción de aquél que es regulado por la norma especial,</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 xml:space="preserve">la cual sustrae o excluye una parte de la materia gobernada por la ley de mayor amplitud regulatoria, para someterla a una regulación diferente y específica. </w:t>
      </w:r>
    </w:p>
    <w:p w14:paraId="02FCBE8F" w14:textId="77777777" w:rsidR="00080784" w:rsidRDefault="00080784" w:rsidP="00080784">
      <w:pPr>
        <w:spacing w:before="120" w:after="0" w:line="276" w:lineRule="auto"/>
        <w:ind w:firstLine="708"/>
        <w:jc w:val="both"/>
        <w:rPr>
          <w:rFonts w:ascii="Verdana" w:eastAsia="Calibri" w:hAnsi="Verdana" w:cs="Arial"/>
          <w:b/>
          <w:bCs/>
          <w:color w:val="000000"/>
          <w:sz w:val="21"/>
          <w:szCs w:val="21"/>
          <w:lang w:val="es-ES"/>
        </w:rPr>
      </w:pPr>
      <w:r w:rsidRPr="00DD0F57">
        <w:rPr>
          <w:rFonts w:ascii="Verdana" w:eastAsia="Calibri" w:hAnsi="Verdana" w:cs="Arial"/>
          <w:color w:val="000000"/>
          <w:sz w:val="21"/>
          <w:szCs w:val="21"/>
          <w:lang w:val="es-ES"/>
        </w:rPr>
        <w:t>En efecto</w:t>
      </w:r>
      <w:r>
        <w:rPr>
          <w:rFonts w:ascii="Verdana" w:eastAsia="Calibri" w:hAnsi="Verdana" w:cs="Arial"/>
          <w:color w:val="000000"/>
          <w:sz w:val="21"/>
          <w:szCs w:val="21"/>
          <w:lang w:val="es-ES"/>
        </w:rPr>
        <w:t>,</w:t>
      </w:r>
      <w:r w:rsidRPr="00DD0F57">
        <w:rPr>
          <w:rFonts w:ascii="Verdana" w:eastAsia="Calibri" w:hAnsi="Verdana" w:cs="Arial"/>
          <w:color w:val="000000"/>
          <w:sz w:val="21"/>
          <w:szCs w:val="21"/>
          <w:lang w:val="es-ES"/>
        </w:rPr>
        <w:t xml:space="preserve"> la fu</w:t>
      </w:r>
      <w:r>
        <w:rPr>
          <w:rFonts w:ascii="Verdana" w:eastAsia="Calibri" w:hAnsi="Verdana" w:cs="Arial"/>
          <w:color w:val="000000"/>
          <w:sz w:val="21"/>
          <w:szCs w:val="21"/>
          <w:lang w:val="es-ES"/>
        </w:rPr>
        <w:t xml:space="preserve">nción </w:t>
      </w:r>
      <w:r w:rsidRPr="00DD0F57">
        <w:rPr>
          <w:rFonts w:ascii="Verdana" w:eastAsia="Calibri" w:hAnsi="Verdana" w:cs="Arial"/>
          <w:color w:val="000000"/>
          <w:sz w:val="21"/>
          <w:szCs w:val="21"/>
          <w:lang w:val="es-ES"/>
        </w:rPr>
        <w:t xml:space="preserve">consagrada en el numeral </w:t>
      </w:r>
      <w:r>
        <w:rPr>
          <w:rFonts w:ascii="Verdana" w:eastAsia="Calibri" w:hAnsi="Verdana" w:cs="Arial"/>
          <w:color w:val="000000"/>
          <w:sz w:val="21"/>
          <w:szCs w:val="21"/>
          <w:lang w:val="es-ES"/>
        </w:rPr>
        <w:t>25</w:t>
      </w:r>
      <w:r w:rsidRPr="00DD0F57">
        <w:rPr>
          <w:rFonts w:ascii="Verdana" w:eastAsia="Calibri" w:hAnsi="Verdana" w:cs="Arial"/>
          <w:color w:val="000000"/>
          <w:sz w:val="21"/>
          <w:szCs w:val="21"/>
          <w:lang w:val="es-ES"/>
        </w:rPr>
        <w:t xml:space="preserve"> del artículo 4 de la </w:t>
      </w:r>
      <w:r>
        <w:rPr>
          <w:rFonts w:ascii="Verdana" w:eastAsia="Calibri" w:hAnsi="Verdana" w:cs="Arial"/>
          <w:color w:val="000000"/>
          <w:sz w:val="21"/>
          <w:szCs w:val="21"/>
          <w:lang w:val="es-ES"/>
        </w:rPr>
        <w:t>L</w:t>
      </w:r>
      <w:r w:rsidRPr="00DD0F57">
        <w:rPr>
          <w:rFonts w:ascii="Verdana" w:eastAsia="Calibri" w:hAnsi="Verdana" w:cs="Arial"/>
          <w:color w:val="000000"/>
          <w:sz w:val="21"/>
          <w:szCs w:val="21"/>
          <w:lang w:val="es-ES"/>
        </w:rPr>
        <w:t xml:space="preserve">ey 1967 de 2019 no supone una derogación o antinomia con la normativa del EGCAP que rige la actividad contractual del Ministerio del Deporte. </w:t>
      </w:r>
      <w:r w:rsidRPr="00DD0F57">
        <w:rPr>
          <w:rFonts w:ascii="Verdana" w:eastAsia="Calibri" w:hAnsi="Verdana" w:cs="Arial"/>
          <w:bCs/>
          <w:color w:val="000000" w:themeColor="text1"/>
          <w:lang w:val="es-ES"/>
        </w:rPr>
        <w:t xml:space="preserve">Sin embargo, </w:t>
      </w:r>
      <w:r w:rsidRPr="007E01B5">
        <w:rPr>
          <w:rFonts w:ascii="Verdana" w:eastAsia="Calibri" w:hAnsi="Verdana" w:cs="Arial"/>
          <w:color w:val="000000"/>
          <w:sz w:val="21"/>
          <w:szCs w:val="21"/>
          <w:lang w:val="es-ES"/>
        </w:rPr>
        <w:t>sustrae de</w:t>
      </w:r>
      <w:r w:rsidRPr="00DD0F57">
        <w:rPr>
          <w:rFonts w:ascii="Verdana" w:eastAsia="Calibri" w:hAnsi="Verdana" w:cs="Arial"/>
          <w:color w:val="000000"/>
          <w:sz w:val="21"/>
          <w:szCs w:val="21"/>
          <w:lang w:val="es-ES"/>
        </w:rPr>
        <w:t xml:space="preserve"> la regla general de la contratación mediante licitación pública dispuesta en el EGCAP </w:t>
      </w:r>
      <w:r w:rsidRPr="007E01B5">
        <w:rPr>
          <w:rFonts w:ascii="Verdana" w:eastAsia="Calibri" w:hAnsi="Verdana" w:cs="Arial"/>
          <w:color w:val="000000"/>
          <w:sz w:val="21"/>
          <w:szCs w:val="21"/>
          <w:lang w:val="es-ES"/>
        </w:rPr>
        <w:t>un ámbito puntual y específico</w:t>
      </w:r>
      <w:r w:rsidRPr="00DD0F57">
        <w:rPr>
          <w:rFonts w:ascii="Verdana" w:eastAsia="Calibri" w:hAnsi="Verdana" w:cs="Arial"/>
          <w:color w:val="000000"/>
          <w:sz w:val="21"/>
          <w:szCs w:val="21"/>
          <w:lang w:val="es-ES"/>
        </w:rPr>
        <w:t xml:space="preserve">: la </w:t>
      </w:r>
      <w:r w:rsidRPr="007E01B5">
        <w:rPr>
          <w:rFonts w:ascii="Verdana" w:eastAsia="Calibri" w:hAnsi="Verdana" w:cs="Arial"/>
          <w:color w:val="000000"/>
          <w:sz w:val="21"/>
          <w:szCs w:val="21"/>
          <w:lang w:val="es-ES"/>
        </w:rPr>
        <w:t xml:space="preserve">contratación </w:t>
      </w:r>
      <w:r w:rsidRPr="00DD0F57">
        <w:rPr>
          <w:rFonts w:ascii="Verdana" w:eastAsia="Calibri" w:hAnsi="Verdana" w:cs="Arial"/>
          <w:color w:val="000000"/>
          <w:sz w:val="21"/>
          <w:szCs w:val="21"/>
          <w:lang w:val="es-ES"/>
        </w:rPr>
        <w:t xml:space="preserve">directa </w:t>
      </w:r>
      <w:r w:rsidRPr="007E01B5">
        <w:rPr>
          <w:rFonts w:ascii="Verdana" w:eastAsia="Calibri" w:hAnsi="Verdana" w:cs="Arial"/>
          <w:color w:val="000000"/>
          <w:sz w:val="21"/>
          <w:szCs w:val="21"/>
          <w:lang w:val="es-ES"/>
        </w:rPr>
        <w:t xml:space="preserve">con </w:t>
      </w:r>
      <w:r w:rsidRPr="00DD0F57">
        <w:rPr>
          <w:rFonts w:ascii="Verdana" w:eastAsia="Calibri" w:hAnsi="Verdana" w:cs="Arial"/>
          <w:color w:val="000000"/>
          <w:sz w:val="21"/>
          <w:szCs w:val="21"/>
          <w:lang w:val="es-ES"/>
        </w:rPr>
        <w:t xml:space="preserve">organismos </w:t>
      </w:r>
      <w:r w:rsidRPr="007E01B5">
        <w:rPr>
          <w:rFonts w:ascii="Verdana" w:eastAsia="Calibri" w:hAnsi="Verdana" w:cs="Arial"/>
          <w:color w:val="000000"/>
          <w:sz w:val="21"/>
          <w:szCs w:val="21"/>
          <w:lang w:val="es-ES"/>
        </w:rPr>
        <w:t>del Sistema Nacional del Deporte, para el desarrollo de</w:t>
      </w:r>
      <w:r w:rsidRPr="00DD0F57">
        <w:rPr>
          <w:rFonts w:ascii="Verdana" w:eastAsia="Calibri" w:hAnsi="Verdana" w:cs="Arial"/>
          <w:color w:val="000000"/>
          <w:sz w:val="21"/>
          <w:szCs w:val="21"/>
          <w:lang w:val="es-ES"/>
        </w:rPr>
        <w:t xml:space="preserve"> su</w:t>
      </w:r>
      <w:r w:rsidRPr="007E01B5">
        <w:rPr>
          <w:rFonts w:ascii="Verdana" w:eastAsia="Calibri" w:hAnsi="Verdana" w:cs="Arial"/>
          <w:color w:val="000000"/>
          <w:sz w:val="21"/>
          <w:szCs w:val="21"/>
          <w:lang w:val="es-ES"/>
        </w:rPr>
        <w:t xml:space="preserve"> objeto institucional</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en todo lo demás</w:t>
      </w:r>
      <w:r>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 xml:space="preserve">la </w:t>
      </w:r>
      <w:r w:rsidRPr="00DD0F57">
        <w:rPr>
          <w:rFonts w:ascii="Verdana" w:eastAsia="Calibri" w:hAnsi="Verdana" w:cs="Arial"/>
          <w:color w:val="000000"/>
          <w:sz w:val="21"/>
          <w:szCs w:val="21"/>
          <w:lang w:val="es-ES"/>
        </w:rPr>
        <w:t xml:space="preserve">norma </w:t>
      </w:r>
      <w:r w:rsidRPr="007E01B5">
        <w:rPr>
          <w:rFonts w:ascii="Verdana" w:eastAsia="Calibri" w:hAnsi="Verdana" w:cs="Arial"/>
          <w:color w:val="000000"/>
          <w:sz w:val="21"/>
          <w:szCs w:val="21"/>
          <w:lang w:val="es-ES"/>
        </w:rPr>
        <w:t>general (</w:t>
      </w:r>
      <w:r w:rsidRPr="00DD0F57">
        <w:rPr>
          <w:rFonts w:ascii="Verdana" w:eastAsia="Calibri" w:hAnsi="Verdana" w:cs="Arial"/>
          <w:color w:val="000000"/>
          <w:sz w:val="21"/>
          <w:szCs w:val="21"/>
          <w:lang w:val="es-ES"/>
        </w:rPr>
        <w:t xml:space="preserve">el </w:t>
      </w:r>
      <w:r w:rsidRPr="007E01B5">
        <w:rPr>
          <w:rFonts w:ascii="Verdana" w:eastAsia="Calibri" w:hAnsi="Verdana" w:cs="Arial"/>
          <w:color w:val="000000"/>
          <w:sz w:val="21"/>
          <w:szCs w:val="21"/>
          <w:lang w:val="es-ES"/>
        </w:rPr>
        <w:t>EGCAP) sigue aplicando plenamente</w:t>
      </w:r>
      <w:r w:rsidRPr="00DD0F57">
        <w:rPr>
          <w:rFonts w:ascii="Verdana" w:eastAsia="Calibri" w:hAnsi="Verdana" w:cs="Arial"/>
          <w:color w:val="000000"/>
          <w:sz w:val="21"/>
          <w:szCs w:val="21"/>
          <w:lang w:val="es-ES"/>
        </w:rPr>
        <w:t xml:space="preserve"> en la actividad contractual del Ministerio.</w:t>
      </w:r>
      <w:r w:rsidRPr="00DD0F57">
        <w:rPr>
          <w:rFonts w:ascii="Verdana" w:eastAsia="Calibri" w:hAnsi="Verdana" w:cs="Arial"/>
          <w:b/>
          <w:bCs/>
          <w:color w:val="000000"/>
          <w:sz w:val="21"/>
          <w:szCs w:val="21"/>
          <w:lang w:val="es-ES"/>
        </w:rPr>
        <w:t xml:space="preserve"> </w:t>
      </w:r>
    </w:p>
    <w:p w14:paraId="352734B0" w14:textId="77777777" w:rsidR="00080784" w:rsidRPr="00DD0F57" w:rsidRDefault="00080784" w:rsidP="00080784">
      <w:pPr>
        <w:spacing w:after="0" w:line="276" w:lineRule="auto"/>
        <w:ind w:firstLine="708"/>
        <w:jc w:val="both"/>
        <w:rPr>
          <w:rFonts w:ascii="Verdana" w:eastAsia="Calibri" w:hAnsi="Verdana" w:cs="Arial"/>
          <w:bCs/>
          <w:color w:val="000000" w:themeColor="text1"/>
          <w:lang w:val="es-ES"/>
        </w:rPr>
      </w:pPr>
    </w:p>
    <w:p w14:paraId="3C1D1B62" w14:textId="77777777" w:rsidR="00080784" w:rsidRPr="00DD0F57" w:rsidRDefault="00080784" w:rsidP="00080784">
      <w:pPr>
        <w:spacing w:after="0" w:line="276" w:lineRule="auto"/>
        <w:jc w:val="both"/>
        <w:rPr>
          <w:rFonts w:ascii="Verdana" w:eastAsia="Calibri" w:hAnsi="Verdana" w:cs="Arial"/>
          <w:bCs/>
          <w:color w:val="000000" w:themeColor="text1"/>
          <w:lang w:val="es-ES"/>
        </w:rPr>
      </w:pPr>
      <w:proofErr w:type="spellStart"/>
      <w:r w:rsidRPr="00DD0F57">
        <w:rPr>
          <w:rFonts w:ascii="Verdana" w:eastAsia="Calibri" w:hAnsi="Verdana" w:cs="Arial"/>
          <w:bCs/>
          <w:color w:val="000000" w:themeColor="text1"/>
          <w:lang w:val="es-ES"/>
        </w:rPr>
        <w:t>iii</w:t>
      </w:r>
      <w:proofErr w:type="spellEnd"/>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Dentro de este marco jurídico, la función del numeral 25 debe ser analizada y aplicada de manera estricta frente a los sujetos y el objeto que dispuso </w:t>
      </w:r>
      <w:r w:rsidRPr="00DD0F57">
        <w:rPr>
          <w:rFonts w:ascii="Verdana" w:eastAsia="Calibri" w:hAnsi="Verdana" w:cs="Arial"/>
          <w:bCs/>
          <w:color w:val="000000" w:themeColor="text1"/>
          <w:lang w:val="es-ES"/>
        </w:rPr>
        <w:lastRenderedPageBreak/>
        <w:t xml:space="preserve">expresamente el legislador. Esto es concordante con el artículo 27 del Código Civil, el cual dispone </w:t>
      </w:r>
      <w:r w:rsidRPr="007E01B5">
        <w:rPr>
          <w:rFonts w:ascii="Verdana" w:eastAsia="Calibri" w:hAnsi="Verdana" w:cs="Arial"/>
          <w:color w:val="000000"/>
          <w:sz w:val="21"/>
          <w:szCs w:val="21"/>
          <w:lang w:val="es-ES"/>
        </w:rPr>
        <w:t>que cuando el sentido de la ley sea claro, no se desatenderá su tenor literal a pretexto de consultar su espíritu</w:t>
      </w:r>
      <w:r w:rsidRPr="00DD0F57">
        <w:rPr>
          <w:rFonts w:ascii="Verdana" w:eastAsia="Calibri" w:hAnsi="Verdana" w:cs="Arial"/>
          <w:color w:val="000000"/>
          <w:sz w:val="21"/>
          <w:szCs w:val="21"/>
          <w:lang w:val="es-ES"/>
        </w:rPr>
        <w:t>. En efecto,</w:t>
      </w:r>
      <w:r w:rsidRPr="00DD0F57">
        <w:rPr>
          <w:rFonts w:ascii="Verdana" w:eastAsia="Calibri" w:hAnsi="Verdana" w:cs="Arial"/>
          <w:bCs/>
          <w:color w:val="000000" w:themeColor="text1"/>
          <w:lang w:val="es-ES"/>
        </w:rPr>
        <w:t xml:space="preserve"> el elemento subjetivo de la norma señala expresamente que el ejercicio de dicha facultad se encuentra condicionad</w:t>
      </w:r>
      <w:r>
        <w:rPr>
          <w:rFonts w:ascii="Verdana" w:eastAsia="Calibri" w:hAnsi="Verdana" w:cs="Arial"/>
          <w:bCs/>
          <w:color w:val="000000" w:themeColor="text1"/>
          <w:lang w:val="es-ES"/>
        </w:rPr>
        <w:t>o</w:t>
      </w:r>
      <w:r w:rsidRPr="00DD0F57">
        <w:rPr>
          <w:rFonts w:ascii="Verdana" w:eastAsia="Calibri" w:hAnsi="Verdana" w:cs="Arial"/>
          <w:bCs/>
          <w:color w:val="000000" w:themeColor="text1"/>
          <w:lang w:val="es-ES"/>
        </w:rPr>
        <w:t xml:space="preserve"> a que se trate de </w:t>
      </w:r>
      <w:r w:rsidRPr="00DD0F57">
        <w:rPr>
          <w:rFonts w:ascii="Verdana" w:eastAsia="Calibri" w:hAnsi="Verdana" w:cs="Arial"/>
          <w:color w:val="000000"/>
          <w:lang w:val="es-ES"/>
        </w:rPr>
        <w:t xml:space="preserve">entidades u organismos internacionales o nacionales, públicos o privados, que necesariamente </w:t>
      </w:r>
      <w:r w:rsidRPr="00667313">
        <w:rPr>
          <w:rFonts w:ascii="Verdana" w:eastAsia="Calibri" w:hAnsi="Verdana" w:cs="Arial"/>
          <w:i/>
          <w:iCs/>
          <w:color w:val="000000"/>
          <w:lang w:val="es-ES"/>
        </w:rPr>
        <w:t>pertenezcan al Sistema Nacional del Deporte</w:t>
      </w:r>
      <w:r w:rsidRPr="00DD0F57">
        <w:rPr>
          <w:rFonts w:ascii="Verdana" w:eastAsia="Calibri" w:hAnsi="Verdana" w:cs="Arial"/>
          <w:color w:val="000000"/>
          <w:lang w:val="es-ES"/>
        </w:rPr>
        <w:t xml:space="preserve">. Al respecto, es preciso resaltar que la Ley </w:t>
      </w:r>
      <w:r w:rsidRPr="00DD0F57">
        <w:rPr>
          <w:rFonts w:ascii="Verdana" w:eastAsia="Calibri" w:hAnsi="Verdana" w:cs="Arial"/>
          <w:bCs/>
          <w:color w:val="000000" w:themeColor="text1"/>
          <w:lang w:val="es-ES"/>
        </w:rPr>
        <w:t xml:space="preserve">181 de 1995 creó el </w:t>
      </w:r>
      <w:r w:rsidRPr="00DD0F57">
        <w:rPr>
          <w:rFonts w:ascii="Verdana" w:eastAsia="Calibri" w:hAnsi="Verdana" w:cs="Arial"/>
          <w:color w:val="000000"/>
          <w:lang w:val="es-ES"/>
        </w:rPr>
        <w:t>Sistema Nacional del Deporte, definiéndolo y estableciendo su objetivo de la siguiente manera:</w:t>
      </w:r>
    </w:p>
    <w:p w14:paraId="43B0481B" w14:textId="77777777" w:rsidR="00080784" w:rsidRPr="00DD0F57" w:rsidRDefault="00080784" w:rsidP="00080784">
      <w:pPr>
        <w:spacing w:after="0" w:line="240" w:lineRule="auto"/>
        <w:ind w:left="709" w:right="709"/>
        <w:jc w:val="both"/>
        <w:rPr>
          <w:rFonts w:ascii="Verdana" w:eastAsia="Calibri" w:hAnsi="Verdana" w:cs="Arial"/>
          <w:bCs/>
          <w:color w:val="000000" w:themeColor="text1"/>
          <w:sz w:val="21"/>
          <w:szCs w:val="21"/>
          <w:lang w:val="es-ES"/>
        </w:rPr>
      </w:pPr>
    </w:p>
    <w:p w14:paraId="5CCB14EA" w14:textId="77777777" w:rsidR="00080784" w:rsidRPr="00DD0F57" w:rsidRDefault="00080784" w:rsidP="00080784">
      <w:pPr>
        <w:spacing w:before="120" w:after="0" w:line="240" w:lineRule="auto"/>
        <w:ind w:left="709" w:right="709"/>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“Artículo 46. El Sistema Nacional del Deporte es el conjunto de organismos, articulados entre sí, para permitir el acceso de la comunidad al deporte, la recreación, el aprovechamiento del tiempo libre, la educación extraescolar y la educación física. </w:t>
      </w:r>
    </w:p>
    <w:p w14:paraId="75EE3E6E" w14:textId="77777777" w:rsidR="00080784" w:rsidRPr="00DD0F57" w:rsidRDefault="00080784" w:rsidP="00080784">
      <w:pPr>
        <w:spacing w:before="120" w:after="0" w:line="240" w:lineRule="auto"/>
        <w:ind w:left="709" w:right="709"/>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Artículo 47. El Sistema Nacional del Deporte tiene como objetivo generar y brindar a la comunidad oportunidades de participación en procesos de iniciación, formación, fomento y práctica del deporte, la recreación y el aprovechamiento del tiempo libre, como contribución al desarrollo integral del individuo y a la creación de una cultura física para el mejoramiento de la calidad de vida de los colombianos”.</w:t>
      </w:r>
    </w:p>
    <w:p w14:paraId="4FDDF19A" w14:textId="77777777" w:rsidR="00080784" w:rsidRPr="00DD0F57" w:rsidRDefault="00080784" w:rsidP="00080784">
      <w:pPr>
        <w:spacing w:before="120" w:after="0" w:line="240" w:lineRule="auto"/>
        <w:ind w:left="709" w:right="709"/>
        <w:jc w:val="both"/>
        <w:rPr>
          <w:rFonts w:ascii="Verdana" w:eastAsia="Calibri" w:hAnsi="Verdana" w:cs="Arial"/>
          <w:bCs/>
          <w:color w:val="000000" w:themeColor="text1"/>
          <w:sz w:val="21"/>
          <w:szCs w:val="21"/>
          <w:lang w:val="es-ES"/>
        </w:rPr>
      </w:pPr>
    </w:p>
    <w:p w14:paraId="108A93AA" w14:textId="77777777" w:rsidR="00080784" w:rsidRPr="00DD0F57" w:rsidRDefault="00080784" w:rsidP="00080784">
      <w:pPr>
        <w:spacing w:after="0" w:line="276" w:lineRule="auto"/>
        <w:ind w:firstLine="708"/>
        <w:jc w:val="both"/>
        <w:rPr>
          <w:rFonts w:ascii="Verdana" w:eastAsia="Calibri" w:hAnsi="Verdana" w:cs="Arial"/>
          <w:bCs/>
          <w:color w:val="000000" w:themeColor="text1"/>
          <w:lang w:val="es-ES"/>
        </w:rPr>
      </w:pPr>
      <w:r>
        <w:rPr>
          <w:rFonts w:ascii="Verdana" w:eastAsia="Calibri" w:hAnsi="Verdana" w:cs="Arial"/>
          <w:bCs/>
          <w:color w:val="000000" w:themeColor="text1"/>
          <w:lang w:val="es-ES"/>
        </w:rPr>
        <w:t>Dicha</w:t>
      </w:r>
      <w:r w:rsidRPr="00DD0F57">
        <w:rPr>
          <w:rFonts w:ascii="Verdana" w:eastAsia="Calibri" w:hAnsi="Verdana" w:cs="Arial"/>
          <w:bCs/>
          <w:color w:val="000000" w:themeColor="text1"/>
          <w:lang w:val="es-ES"/>
        </w:rPr>
        <w:t xml:space="preserve"> Ley también definió cuáles son los organismos que componen dicho Sistema. Al respecto</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el artículo 50 señal</w:t>
      </w:r>
      <w:r>
        <w:rPr>
          <w:rFonts w:ascii="Verdana" w:eastAsia="Calibri" w:hAnsi="Verdana" w:cs="Arial"/>
          <w:bCs/>
          <w:color w:val="000000" w:themeColor="text1"/>
          <w:lang w:val="es-ES"/>
        </w:rPr>
        <w:t>ó</w:t>
      </w:r>
      <w:r w:rsidRPr="00DD0F57">
        <w:rPr>
          <w:rFonts w:ascii="Verdana" w:eastAsia="Calibri" w:hAnsi="Verdana" w:cs="Arial"/>
          <w:bCs/>
          <w:color w:val="000000" w:themeColor="text1"/>
          <w:lang w:val="es-ES"/>
        </w:rPr>
        <w:t xml:space="preserve"> que:</w:t>
      </w:r>
    </w:p>
    <w:p w14:paraId="2F4F97C2" w14:textId="77777777" w:rsidR="00080784" w:rsidRPr="00DD0F57" w:rsidRDefault="00080784" w:rsidP="00080784">
      <w:pPr>
        <w:spacing w:after="0" w:line="276" w:lineRule="auto"/>
        <w:ind w:firstLine="708"/>
        <w:jc w:val="both"/>
        <w:rPr>
          <w:rFonts w:ascii="Verdana" w:eastAsia="Calibri" w:hAnsi="Verdana" w:cs="Arial"/>
          <w:bCs/>
          <w:color w:val="000000" w:themeColor="text1"/>
          <w:lang w:val="es-ES"/>
        </w:rPr>
      </w:pPr>
    </w:p>
    <w:p w14:paraId="1B7DAD65" w14:textId="77777777" w:rsidR="00080784" w:rsidRPr="00DD0F57" w:rsidRDefault="00080784" w:rsidP="00080784">
      <w:pPr>
        <w:spacing w:after="0" w:line="240" w:lineRule="auto"/>
        <w:ind w:left="709" w:right="709"/>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w:t>
      </w:r>
      <w:r w:rsidRPr="00DD0F57">
        <w:rPr>
          <w:rFonts w:ascii="Verdana" w:eastAsia="Calibri" w:hAnsi="Verdana" w:cs="Arial"/>
          <w:color w:val="000000" w:themeColor="text1"/>
          <w:sz w:val="21"/>
          <w:szCs w:val="21"/>
          <w:lang w:val="es-ES"/>
        </w:rPr>
        <w:t>Artículo 50º.</w:t>
      </w:r>
      <w:r w:rsidRPr="00DD0F57">
        <w:rPr>
          <w:rFonts w:ascii="Verdana" w:eastAsia="Calibri" w:hAnsi="Verdana" w:cs="Arial"/>
          <w:b/>
          <w:bCs/>
          <w:color w:val="000000" w:themeColor="text1"/>
          <w:sz w:val="21"/>
          <w:szCs w:val="21"/>
          <w:lang w:val="es-ES"/>
        </w:rPr>
        <w:t xml:space="preserve"> </w:t>
      </w:r>
      <w:r w:rsidRPr="00DD0F57">
        <w:rPr>
          <w:rFonts w:ascii="Verdana" w:eastAsia="Calibri" w:hAnsi="Verdana" w:cs="Arial"/>
          <w:bCs/>
          <w:color w:val="000000" w:themeColor="text1"/>
          <w:sz w:val="21"/>
          <w:szCs w:val="21"/>
          <w:lang w:val="es-ES"/>
        </w:rPr>
        <w:t>Hacen parte del Sistema Nacional del Deporte, el Ministerio de Educación Nacional, el Instituto Colombiano del Deporte, Coldeportes, los entes departamentales, municipales y distritales que ejerzan las funciones de fomento, desarrollo y práctica del deporte, la recreación y el aprovechamiento del tiempo libre, los organismos privados, las entidades mixtas, así como todas aquellas entidades públicas y privadas de otros sectores sociales y económicos en los aspectos que se relacionen directamente con estas actividades”.</w:t>
      </w:r>
    </w:p>
    <w:p w14:paraId="3F71ACD8" w14:textId="77777777" w:rsidR="00080784" w:rsidRPr="00DD0F57" w:rsidRDefault="00080784" w:rsidP="00080784">
      <w:pPr>
        <w:spacing w:after="0" w:line="240" w:lineRule="auto"/>
        <w:ind w:left="709" w:right="709"/>
        <w:jc w:val="both"/>
        <w:rPr>
          <w:rFonts w:ascii="Verdana" w:eastAsia="Calibri" w:hAnsi="Verdana" w:cs="Arial"/>
          <w:bCs/>
          <w:color w:val="000000" w:themeColor="text1"/>
          <w:sz w:val="21"/>
          <w:szCs w:val="21"/>
          <w:lang w:val="es-ES"/>
        </w:rPr>
      </w:pPr>
    </w:p>
    <w:p w14:paraId="0700BA4E" w14:textId="77777777" w:rsidR="00080784" w:rsidRPr="00DD0F57" w:rsidRDefault="00080784" w:rsidP="00080784">
      <w:pPr>
        <w:spacing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Adicionalmente, la norma detalló la composición jerárquica </w:t>
      </w:r>
      <w:r>
        <w:rPr>
          <w:rFonts w:ascii="Verdana" w:eastAsia="Calibri" w:hAnsi="Verdana" w:cs="Arial"/>
          <w:bCs/>
          <w:color w:val="000000" w:themeColor="text1"/>
          <w:lang w:val="es-ES"/>
        </w:rPr>
        <w:t xml:space="preserve">del Sistema Nacional del Deporte </w:t>
      </w:r>
      <w:r w:rsidRPr="00DD0F57">
        <w:rPr>
          <w:rFonts w:ascii="Verdana" w:eastAsia="Calibri" w:hAnsi="Verdana" w:cs="Arial"/>
          <w:bCs/>
          <w:color w:val="000000" w:themeColor="text1"/>
          <w:lang w:val="es-ES"/>
        </w:rPr>
        <w:t>en el ordenamiento nacional de la siguiente forma:</w:t>
      </w:r>
    </w:p>
    <w:p w14:paraId="41F80206" w14:textId="77777777" w:rsidR="00080784" w:rsidRPr="00DD0F57" w:rsidRDefault="00080784" w:rsidP="00080784">
      <w:pPr>
        <w:spacing w:after="0" w:line="276" w:lineRule="auto"/>
        <w:ind w:right="709" w:firstLine="708"/>
        <w:jc w:val="both"/>
        <w:rPr>
          <w:rFonts w:ascii="Verdana" w:eastAsia="Calibri" w:hAnsi="Verdana" w:cs="Arial"/>
          <w:bCs/>
          <w:color w:val="000000" w:themeColor="text1"/>
          <w:lang w:val="es-ES"/>
        </w:rPr>
      </w:pPr>
    </w:p>
    <w:p w14:paraId="62728927" w14:textId="77777777" w:rsidR="00080784" w:rsidRPr="00DD0F57" w:rsidRDefault="00080784" w:rsidP="00080784">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“Artículo 51. Los niveles jerárquicos de los organismos del Sistema Nacional del Deporte son los siguientes: </w:t>
      </w:r>
    </w:p>
    <w:p w14:paraId="5F04895D" w14:textId="77777777" w:rsidR="00080784" w:rsidRPr="00DD0F57" w:rsidRDefault="00080784" w:rsidP="00080784">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lastRenderedPageBreak/>
        <w:t xml:space="preserve">Nivel Nacional. Ministerio de Educación Nacional, Instituto Colombiano del Deporte - Coldeportes Comité Olímpico Colombiano y Federaciones Deportivas Nacionales. </w:t>
      </w:r>
    </w:p>
    <w:p w14:paraId="4C1699B7" w14:textId="77777777" w:rsidR="00080784" w:rsidRPr="00DD0F57" w:rsidRDefault="00080784" w:rsidP="00080784">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Nivel Departamental. Entes deportivos departamentales, Ligas Deportivas Departamentales y Clubes Deportivos. </w:t>
      </w:r>
    </w:p>
    <w:p w14:paraId="1A13CEA9" w14:textId="77777777" w:rsidR="00080784" w:rsidRPr="00DD0F57" w:rsidRDefault="00080784" w:rsidP="00080784">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Nivel Municipal. Entes deportivos municipales o distritales, Clubes Deportivos y Comités Deportivos. </w:t>
      </w:r>
    </w:p>
    <w:p w14:paraId="04EBE052" w14:textId="77777777" w:rsidR="00080784" w:rsidRPr="00DD0F57" w:rsidRDefault="00080784" w:rsidP="00080784">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Parágrafo. Las demás entidades de carácter público, privado o mixto que hacen parte del Sistema Nacional del Deporte, concurrirán al nivel jerárquico correspondiente a su propia jurisdicción territorial y ámbito de actividades”.</w:t>
      </w:r>
    </w:p>
    <w:p w14:paraId="680962BC" w14:textId="77777777" w:rsidR="00080784" w:rsidRPr="00DD0F57" w:rsidRDefault="00080784" w:rsidP="00080784">
      <w:pPr>
        <w:snapToGrid w:val="0"/>
        <w:spacing w:after="0" w:line="240" w:lineRule="auto"/>
        <w:ind w:left="709" w:right="709"/>
        <w:contextualSpacing/>
        <w:jc w:val="both"/>
        <w:rPr>
          <w:rFonts w:ascii="Verdana" w:eastAsia="Calibri" w:hAnsi="Verdana" w:cs="Arial"/>
          <w:bCs/>
          <w:color w:val="000000" w:themeColor="text1"/>
          <w:sz w:val="21"/>
          <w:szCs w:val="21"/>
          <w:lang w:val="es-ES"/>
        </w:rPr>
      </w:pPr>
    </w:p>
    <w:p w14:paraId="4B1DA1EF" w14:textId="77777777" w:rsidR="00080784" w:rsidRPr="00DD0F57" w:rsidRDefault="00080784" w:rsidP="00080784">
      <w:pPr>
        <w:spacing w:after="0" w:line="276" w:lineRule="auto"/>
        <w:ind w:firstLine="708"/>
        <w:jc w:val="both"/>
        <w:rPr>
          <w:rFonts w:ascii="Verdana" w:eastAsia="Calibri" w:hAnsi="Verdana" w:cs="Arial"/>
          <w:color w:val="000000" w:themeColor="text1"/>
          <w:lang w:val="es-ES"/>
        </w:rPr>
      </w:pPr>
      <w:r w:rsidRPr="00DD0F57">
        <w:rPr>
          <w:rFonts w:ascii="Verdana" w:eastAsia="Calibri" w:hAnsi="Verdana" w:cs="Arial"/>
          <w:bCs/>
          <w:color w:val="000000" w:themeColor="text1"/>
          <w:lang w:val="es-ES"/>
        </w:rPr>
        <w:t>Sobre la vigencia de esta caracterización del Sistema Nacional del Deporte</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es importante resaltar que la Ley 1967 de 2019 no derogó las disposiciones señaladas, pues el artículo 18 se refirió a la derogatoria del Decreto 4183 de 2011 y “las demás disposiciones que le </w:t>
      </w:r>
      <w:r>
        <w:rPr>
          <w:rFonts w:ascii="Verdana" w:eastAsia="Calibri" w:hAnsi="Verdana" w:cs="Arial"/>
          <w:bCs/>
          <w:color w:val="000000" w:themeColor="text1"/>
          <w:lang w:val="es-ES"/>
        </w:rPr>
        <w:t>sean</w:t>
      </w:r>
      <w:r w:rsidRPr="00DD0F57">
        <w:rPr>
          <w:rFonts w:ascii="Verdana" w:eastAsia="Calibri" w:hAnsi="Verdana" w:cs="Arial"/>
          <w:bCs/>
          <w:color w:val="000000" w:themeColor="text1"/>
          <w:lang w:val="es-ES"/>
        </w:rPr>
        <w:t xml:space="preserve"> contrarias”. En este sentido</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la derogatoria expresa no tocó las disposiciones de la Ley 181 de 1995 referidas a los organismos o entidades que componen el Sistema Nacional del Deporte y la derogatoria tácita residual se encuentra limitada a lo que sea contrario o incompatible con la Ley 1967 de 2019, lo cual excluye la normativa señalada sobre el Sistema Nacional; pues, de acuerdo con el artículo 72 del Código Civil, “la derogación tácita deja vigente en las leyes anteriores, aunque versen sobre la misma materia, todo aquello que no pugna con las disposiciones de la nueva ley”. Este es el caso de las disposiciones sobre el Sistema Nacional</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M</w:t>
      </w:r>
      <w:r w:rsidRPr="00DD0F57">
        <w:rPr>
          <w:rFonts w:ascii="Verdana" w:eastAsia="Calibri" w:hAnsi="Verdana" w:cs="Arial"/>
          <w:bCs/>
          <w:color w:val="000000" w:themeColor="text1"/>
          <w:lang w:val="es-ES"/>
        </w:rPr>
        <w:t>uestra de ello es que el artículo primero de la Ley 1967 de 2019</w:t>
      </w:r>
      <w:r w:rsidRPr="00DD0F57">
        <w:rPr>
          <w:lang w:val="es-ES"/>
        </w:rPr>
        <w:t xml:space="preserve"> </w:t>
      </w:r>
      <w:r w:rsidRPr="00DD0F57">
        <w:rPr>
          <w:rFonts w:ascii="Verdana" w:eastAsia="Calibri" w:hAnsi="Verdana" w:cs="Arial"/>
          <w:bCs/>
          <w:color w:val="000000" w:themeColor="text1"/>
          <w:lang w:val="es-ES"/>
        </w:rPr>
        <w:t xml:space="preserve">concibe al Ministerio del Deporte como organismo principal de “la administración pública, del nivel central, </w:t>
      </w:r>
      <w:r w:rsidRPr="00DD0F57">
        <w:rPr>
          <w:rFonts w:ascii="Verdana" w:eastAsia="Calibri" w:hAnsi="Verdana" w:cs="Arial"/>
          <w:color w:val="000000" w:themeColor="text1"/>
          <w:lang w:val="es-ES"/>
        </w:rPr>
        <w:t>rector del sector y del Sistema Nacional del Deporte”, refiriéndose a este en los términos y mediante el nombre propio ya atribuido en el marco legal previo, sin volver a definirlo o modificar su alcance.</w:t>
      </w:r>
    </w:p>
    <w:p w14:paraId="4ADA2D48" w14:textId="77777777" w:rsidR="00080784" w:rsidRPr="00DD0F57" w:rsidRDefault="00080784" w:rsidP="00080784">
      <w:pPr>
        <w:spacing w:before="120" w:after="0" w:line="276" w:lineRule="auto"/>
        <w:ind w:firstLine="708"/>
        <w:jc w:val="both"/>
        <w:rPr>
          <w:rFonts w:ascii="Verdana" w:eastAsia="Calibri" w:hAnsi="Verdana" w:cs="Arial"/>
          <w:color w:val="000000" w:themeColor="text1"/>
          <w:lang w:val="es-ES"/>
        </w:rPr>
      </w:pPr>
      <w:r w:rsidRPr="00DD0F57">
        <w:rPr>
          <w:rFonts w:ascii="Verdana" w:eastAsia="Calibri" w:hAnsi="Verdana" w:cs="Arial"/>
          <w:color w:val="000000" w:themeColor="text1"/>
          <w:lang w:val="es-ES"/>
        </w:rPr>
        <w:t xml:space="preserve">En este sentido, si el legislador de 2019 hubiera querido crear un Sistema distinto o redefinir su composición, lo hubiese hecho expresamente en el texto de la ley, como sí ocurrió, por ejemplo, con la definición del objeto del Ministerio (artículo 3) o con la lista de </w:t>
      </w:r>
      <w:r w:rsidRPr="00777D33">
        <w:rPr>
          <w:rFonts w:ascii="Verdana" w:eastAsia="Calibri" w:hAnsi="Verdana" w:cs="Arial"/>
          <w:color w:val="000000" w:themeColor="text1"/>
          <w:lang w:val="es-ES"/>
        </w:rPr>
        <w:t xml:space="preserve">funciones (artículo 4). Al no hacerlo, la ley reenvía a la definición ya existente en la Ley 181 de 1995. Lo anterior, de conformidad con lo dispuesto en el artículo 28 del Código Civil, según el cual “las palabras de la ley se entenderán en su sentido natural y obvio, según el uso general de las mismas palabras; </w:t>
      </w:r>
      <w:r w:rsidRPr="00777D33">
        <w:rPr>
          <w:rFonts w:ascii="Verdana" w:eastAsia="Calibri" w:hAnsi="Verdana" w:cs="Arial"/>
          <w:i/>
          <w:iCs/>
          <w:color w:val="000000" w:themeColor="text1"/>
          <w:lang w:val="es-ES"/>
        </w:rPr>
        <w:t>pero cuando el legislador las haya definido expresamente para ciertas materias, se les dará en éstas su significado legal”</w:t>
      </w:r>
      <w:r w:rsidRPr="00777D33">
        <w:rPr>
          <w:rFonts w:ascii="Verdana" w:eastAsia="Calibri" w:hAnsi="Verdana" w:cs="Arial"/>
          <w:color w:val="000000" w:themeColor="text1"/>
          <w:lang w:val="es-ES"/>
        </w:rPr>
        <w:t xml:space="preserve"> [énfasis propio].</w:t>
      </w:r>
      <w:r w:rsidRPr="00777D33">
        <w:rPr>
          <w:rFonts w:ascii="Verdana" w:hAnsi="Verdana"/>
          <w:lang w:val="es-ES"/>
        </w:rPr>
        <w:t xml:space="preserve"> Dado </w:t>
      </w:r>
      <w:r w:rsidRPr="00777D33">
        <w:rPr>
          <w:rFonts w:ascii="Verdana" w:hAnsi="Verdana"/>
          <w:lang w:val="es-ES"/>
        </w:rPr>
        <w:lastRenderedPageBreak/>
        <w:t xml:space="preserve">que </w:t>
      </w:r>
      <w:r w:rsidRPr="00777D33">
        <w:rPr>
          <w:rFonts w:ascii="Verdana" w:eastAsia="Calibri" w:hAnsi="Verdana" w:cs="Arial"/>
          <w:color w:val="000000" w:themeColor="text1"/>
          <w:lang w:val="es-ES"/>
        </w:rPr>
        <w:t>"Sistema Nacional del Deporte" es, en este sentido, una expresión ya definida por el ordenamiento en la Ley</w:t>
      </w:r>
      <w:r w:rsidRPr="00DD0F57">
        <w:rPr>
          <w:rFonts w:ascii="Verdana" w:eastAsia="Calibri" w:hAnsi="Verdana" w:cs="Arial"/>
          <w:color w:val="000000" w:themeColor="text1"/>
          <w:lang w:val="es-ES"/>
        </w:rPr>
        <w:t xml:space="preserve"> 181 de</w:t>
      </w:r>
      <w:r>
        <w:rPr>
          <w:rFonts w:ascii="Verdana" w:eastAsia="Calibri" w:hAnsi="Verdana" w:cs="Arial"/>
          <w:color w:val="000000" w:themeColor="text1"/>
          <w:lang w:val="es-ES"/>
        </w:rPr>
        <w:t xml:space="preserve"> </w:t>
      </w:r>
      <w:r w:rsidRPr="00DD0F57">
        <w:rPr>
          <w:rFonts w:ascii="Verdana" w:eastAsia="Calibri" w:hAnsi="Verdana" w:cs="Arial"/>
          <w:color w:val="000000" w:themeColor="text1"/>
          <w:lang w:val="es-ES"/>
        </w:rPr>
        <w:t>1995, y la Ley 1967</w:t>
      </w:r>
      <w:r>
        <w:rPr>
          <w:rFonts w:ascii="Verdana" w:eastAsia="Calibri" w:hAnsi="Verdana" w:cs="Arial"/>
          <w:color w:val="000000" w:themeColor="text1"/>
          <w:lang w:val="es-ES"/>
        </w:rPr>
        <w:t xml:space="preserve"> de </w:t>
      </w:r>
      <w:r w:rsidRPr="00DD0F57">
        <w:rPr>
          <w:rFonts w:ascii="Verdana" w:eastAsia="Calibri" w:hAnsi="Verdana" w:cs="Arial"/>
          <w:color w:val="000000" w:themeColor="text1"/>
          <w:lang w:val="es-ES"/>
        </w:rPr>
        <w:t>2019 la usa sin apartarse de</w:t>
      </w:r>
      <w:r>
        <w:rPr>
          <w:rFonts w:ascii="Verdana" w:eastAsia="Calibri" w:hAnsi="Verdana" w:cs="Arial"/>
          <w:color w:val="000000" w:themeColor="text1"/>
          <w:lang w:val="es-ES"/>
        </w:rPr>
        <w:t xml:space="preserve"> esa definición</w:t>
      </w:r>
      <w:r w:rsidRPr="00DD0F57">
        <w:rPr>
          <w:rFonts w:ascii="Verdana" w:eastAsia="Calibri" w:hAnsi="Verdana" w:cs="Arial"/>
          <w:color w:val="000000" w:themeColor="text1"/>
          <w:lang w:val="es-ES"/>
        </w:rPr>
        <w:t>, debe entenderse en el significado legal preexistente.</w:t>
      </w:r>
    </w:p>
    <w:p w14:paraId="2F080CBB" w14:textId="77777777" w:rsidR="00080784" w:rsidRPr="00DD0F57" w:rsidRDefault="00080784" w:rsidP="00080784">
      <w:pPr>
        <w:spacing w:before="120"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Conforme con lo expuesto, el Ministerio del Deporte únicamente podrá ejercer la función de celebrar directamente los convenios y contratos a los cuales hace referencia el numeral 25 del artículo 4 de la Ley 1967 de 2019 con respecto a sujetos que, de acuerdo con la misma normativa vigente del sector, hagan parte del Sistema Nacional del Deporte. En este sentido, según el referido artículo 50 de la Ley 181 de 1995, esta lista comprende al Ministerio de Educación Nacional, el Instituto Colombiano del Deporte —hoy Ministerio del Deporte—, los entes departamentales, municipales y distritales que ejerzan las funciones de fomento, desarrollo y práctica del deporte, la recreación y el aprovechamiento del tiempo libre, los organismos privados, las entidades mixtas, así como todas aquellas entidades públicas y privadas de otros sectores sociales y económicos en los aspectos que se relacionen directamente con estas actividades. También se entenderán incorporados en la habilitación, por disposición expresa del numeral 25,</w:t>
      </w:r>
      <w:r>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 xml:space="preserve">los organismos internacionales de naturaleza pública o privada que se enmarquen en esta definición. </w:t>
      </w:r>
      <w:r>
        <w:rPr>
          <w:rFonts w:ascii="Verdana" w:eastAsia="Calibri" w:hAnsi="Verdana" w:cs="Arial"/>
          <w:bCs/>
          <w:color w:val="000000" w:themeColor="text1"/>
          <w:lang w:val="es-ES"/>
        </w:rPr>
        <w:t>C</w:t>
      </w:r>
      <w:r w:rsidRPr="00DD0F57">
        <w:rPr>
          <w:rFonts w:ascii="Verdana" w:eastAsia="Calibri" w:hAnsi="Verdana" w:cs="Arial"/>
          <w:bCs/>
          <w:color w:val="000000" w:themeColor="text1"/>
          <w:lang w:val="es-ES"/>
        </w:rPr>
        <w:t xml:space="preserve">orresponderá al Ministerio verificar que los organismos que conforman el Sistema Nacional del Deporte con los cuales pretende contratar directamente cumplan con los demás requisitos exigidos por la normativa especial aplicable del sector y por la dispuesta en el EGCAP en materia de contratación estatal. </w:t>
      </w:r>
    </w:p>
    <w:p w14:paraId="62DD3926" w14:textId="77777777" w:rsidR="00080784" w:rsidRPr="00DD0F57" w:rsidRDefault="00080784" w:rsidP="00080784">
      <w:pPr>
        <w:spacing w:before="120" w:after="0" w:line="276" w:lineRule="auto"/>
        <w:ind w:firstLine="708"/>
        <w:jc w:val="both"/>
        <w:rPr>
          <w:rFonts w:ascii="Verdana" w:eastAsia="Calibri" w:hAnsi="Verdana" w:cs="Arial"/>
          <w:color w:val="000000"/>
          <w:lang w:val="es-ES"/>
        </w:rPr>
      </w:pPr>
      <w:r w:rsidRPr="00DD0F57">
        <w:rPr>
          <w:rFonts w:ascii="Verdana" w:eastAsia="Calibri" w:hAnsi="Verdana" w:cs="Arial"/>
          <w:color w:val="000000"/>
          <w:lang w:val="es-ES"/>
        </w:rPr>
        <w:t>Con respecto al objeto del convenio o contrato, la función consagrada en el</w:t>
      </w:r>
      <w:r>
        <w:rPr>
          <w:rFonts w:ascii="Verdana" w:eastAsia="Calibri" w:hAnsi="Verdana" w:cs="Arial"/>
          <w:color w:val="000000"/>
          <w:lang w:val="es-ES"/>
        </w:rPr>
        <w:t xml:space="preserve"> numeral</w:t>
      </w:r>
      <w:r w:rsidRPr="00DD0F57">
        <w:rPr>
          <w:rFonts w:ascii="Verdana" w:eastAsia="Calibri" w:hAnsi="Verdana" w:cs="Arial"/>
          <w:color w:val="000000"/>
          <w:lang w:val="es-ES"/>
        </w:rPr>
        <w:t xml:space="preserve"> 25 exige que sea celebrado "para el desarrollo de su objeto", con lo cual se refiere al objeto institucional del Ministerio. En efecto, para determinar si el convenio o contrato se enmarca en la habilitación referida, será necesario verificar si se celebra para el desarrollo del objeto definido en el artículo 3 de la Ley 1967 de 2019, según el cual el Ministerio del </w:t>
      </w:r>
      <w:r>
        <w:rPr>
          <w:rFonts w:ascii="Verdana" w:eastAsia="Calibri" w:hAnsi="Verdana" w:cs="Arial"/>
          <w:color w:val="000000"/>
          <w:lang w:val="es-ES"/>
        </w:rPr>
        <w:t>D</w:t>
      </w:r>
      <w:r w:rsidRPr="00DD0F57">
        <w:rPr>
          <w:rFonts w:ascii="Verdana" w:eastAsia="Calibri" w:hAnsi="Verdana" w:cs="Arial"/>
          <w:color w:val="000000"/>
          <w:lang w:val="es-ES"/>
        </w:rPr>
        <w:t>eporte tiene como objetivo: formular, adoptar, dirigir, coordinar, inspeccionar, vigilar, controlar y ejecutar la política pública, planes, programas y proyectos en materia del deporte, la recreación, el aprovechamiento del tiempo libre y la actividad física para promover el bienestar, la calidad de vida, así como contribuir a la salud pública, a la educación, a la cultura, a la cohesión e integración social, a la conciencia nacional y a las relaciones internacionales, a través de la participación de los actores públicos y privados.</w:t>
      </w:r>
    </w:p>
    <w:p w14:paraId="5BE65120" w14:textId="77777777" w:rsidR="00080784" w:rsidRPr="00665A37" w:rsidRDefault="00080784" w:rsidP="00080784">
      <w:pPr>
        <w:spacing w:before="120" w:after="0" w:line="276" w:lineRule="auto"/>
        <w:ind w:firstLine="708"/>
        <w:jc w:val="both"/>
        <w:rPr>
          <w:rFonts w:ascii="Verdana" w:eastAsia="Calibri" w:hAnsi="Verdana" w:cs="Arial"/>
          <w:color w:val="000000"/>
          <w:lang w:val="es-ES"/>
        </w:rPr>
      </w:pPr>
      <w:r w:rsidRPr="00DD0F57">
        <w:rPr>
          <w:rFonts w:ascii="Verdana" w:eastAsia="Calibri" w:hAnsi="Verdana" w:cs="Arial"/>
          <w:color w:val="000000"/>
          <w:lang w:val="es-ES"/>
        </w:rPr>
        <w:lastRenderedPageBreak/>
        <w:t xml:space="preserve">Esta remisión al objeto institucional del Ministerio cumple una función de limitar los supuestos para el ejercicio de la facultad de contratar directamente, de manera similar a la causal establecida en el literal </w:t>
      </w:r>
      <w:proofErr w:type="gramStart"/>
      <w:r w:rsidRPr="00DD0F57">
        <w:rPr>
          <w:rFonts w:ascii="Verdana" w:eastAsia="Calibri" w:hAnsi="Verdana" w:cs="Arial"/>
          <w:color w:val="000000"/>
          <w:lang w:val="es-ES"/>
        </w:rPr>
        <w:t>e</w:t>
      </w:r>
      <w:proofErr w:type="gramEnd"/>
      <w:r w:rsidRPr="00DD0F57">
        <w:rPr>
          <w:rFonts w:ascii="Verdana" w:eastAsia="Calibri" w:hAnsi="Verdana" w:cs="Arial"/>
          <w:color w:val="000000"/>
          <w:lang w:val="es-ES"/>
        </w:rPr>
        <w:t xml:space="preserve"> del numeral 4 del artículo 2 de la </w:t>
      </w:r>
      <w:r w:rsidRPr="00665A37">
        <w:rPr>
          <w:rFonts w:ascii="Verdana" w:eastAsia="Calibri" w:hAnsi="Verdana" w:cs="Arial"/>
          <w:color w:val="000000"/>
          <w:lang w:val="es-ES"/>
        </w:rPr>
        <w:t xml:space="preserve">Ley 1150 de 2007, que exige que los contratos de ciencia y tecnología tengan </w:t>
      </w:r>
      <w:r w:rsidRPr="00665A37">
        <w:rPr>
          <w:rFonts w:ascii="Verdana" w:eastAsia="Calibri" w:hAnsi="Verdana" w:cs="Arial"/>
          <w:i/>
          <w:iCs/>
          <w:color w:val="000000"/>
          <w:lang w:val="es-ES"/>
        </w:rPr>
        <w:t>por objeto</w:t>
      </w:r>
      <w:r w:rsidRPr="00665A37">
        <w:rPr>
          <w:rFonts w:ascii="Verdana" w:eastAsia="Calibri" w:hAnsi="Verdana" w:cs="Arial"/>
          <w:color w:val="000000"/>
          <w:lang w:val="es-ES"/>
        </w:rPr>
        <w:t xml:space="preserve"> la realización de dichas actividades. De esta forma, el contrato o convenio que celebre directamente el Ministerio del Deporte con un miembro del Sistema Nacional del Deporte cuyo objeto sea ajeno al marco jurídico fijado en el referido artículo tercero de la Ley 1967 de </w:t>
      </w:r>
      <w:proofErr w:type="gramStart"/>
      <w:r w:rsidRPr="00665A37">
        <w:rPr>
          <w:rFonts w:ascii="Verdana" w:eastAsia="Calibri" w:hAnsi="Verdana" w:cs="Arial"/>
          <w:color w:val="000000"/>
          <w:lang w:val="es-ES"/>
        </w:rPr>
        <w:t>2019  —</w:t>
      </w:r>
      <w:proofErr w:type="gramEnd"/>
      <w:r w:rsidRPr="00665A37">
        <w:rPr>
          <w:rFonts w:ascii="Verdana" w:eastAsia="Calibri" w:hAnsi="Verdana" w:cs="Arial"/>
          <w:color w:val="000000"/>
          <w:lang w:val="es-ES"/>
        </w:rPr>
        <w:t>por ejemplo, la simple adquisición de bienes o servicios sin relación con el fomento del deporte— no estará amparad</w:t>
      </w:r>
      <w:r>
        <w:rPr>
          <w:rFonts w:ascii="Verdana" w:eastAsia="Calibri" w:hAnsi="Verdana" w:cs="Arial"/>
          <w:color w:val="000000"/>
          <w:lang w:val="es-ES"/>
        </w:rPr>
        <w:t>o</w:t>
      </w:r>
      <w:r w:rsidRPr="00665A37">
        <w:rPr>
          <w:rFonts w:ascii="Verdana" w:eastAsia="Calibri" w:hAnsi="Verdana" w:cs="Arial"/>
          <w:color w:val="000000"/>
          <w:lang w:val="es-ES"/>
        </w:rPr>
        <w:t xml:space="preserve"> en la función del numeral 25, así el contratista esté reconocido como un sujeto que hace parte del Sistema Nacional del Deporte. En este sentido, el objeto del convenio o contrato debe corresponder al marco jurídico funcional que el Ministerio está llamado a ejecutar.</w:t>
      </w:r>
    </w:p>
    <w:p w14:paraId="2DC32F2A" w14:textId="77777777" w:rsidR="00080784" w:rsidRPr="00665A37" w:rsidRDefault="00080784" w:rsidP="00080784">
      <w:pPr>
        <w:spacing w:before="120" w:after="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Finalmente, es importante resaltar que la función del numeral 25 contiene una cláusula expresa que condiciona el ejercicio de la contratación directa a que se realice </w:t>
      </w:r>
      <w:r w:rsidRPr="007E01B5">
        <w:rPr>
          <w:rFonts w:ascii="Verdana" w:eastAsia="Calibri" w:hAnsi="Verdana" w:cs="Arial"/>
          <w:color w:val="000000"/>
          <w:lang w:val="es-ES"/>
        </w:rPr>
        <w:t>"de acuerdo con las normas legales vigentes"</w:t>
      </w:r>
      <w:r w:rsidRPr="00665A37">
        <w:rPr>
          <w:rFonts w:ascii="Verdana" w:eastAsia="Calibri" w:hAnsi="Verdana" w:cs="Arial"/>
          <w:color w:val="000000"/>
          <w:lang w:val="es-ES"/>
        </w:rPr>
        <w:t>. Tal como se señaló previamente, lo anterior supone que en lo no regulado por la norma especial objeto de análisis la contratación que adelante el Ministerio se encuentre sujeta a su régimen contractual, es decir, a lo dispuesto en el EGCAP. A similar conclusión ha llegado l</w:t>
      </w:r>
      <w:r w:rsidRPr="007E01B5">
        <w:rPr>
          <w:rFonts w:ascii="Verdana" w:eastAsia="Calibri" w:hAnsi="Verdana" w:cs="Arial"/>
          <w:color w:val="000000"/>
          <w:lang w:val="es-ES"/>
        </w:rPr>
        <w:t xml:space="preserve">a Sala de Consulta y Servicio Civil del Consejo de Estado, en el Concepto 00102 de 2017, </w:t>
      </w:r>
      <w:r w:rsidRPr="00665A37">
        <w:rPr>
          <w:rFonts w:ascii="Verdana" w:eastAsia="Calibri" w:hAnsi="Verdana" w:cs="Arial"/>
          <w:color w:val="000000"/>
          <w:lang w:val="es-ES"/>
        </w:rPr>
        <w:t>al referirse a la aplicación de la facultad de contratar directamente en el marco del sistema de ciencia y tecnología. En dicha oportunidad concluyó que:</w:t>
      </w:r>
    </w:p>
    <w:p w14:paraId="33F51F5F" w14:textId="77777777" w:rsidR="00080784" w:rsidRPr="00DD0F57" w:rsidRDefault="00080784" w:rsidP="00080784">
      <w:pPr>
        <w:spacing w:before="120" w:after="0" w:line="276" w:lineRule="auto"/>
        <w:ind w:firstLine="708"/>
        <w:jc w:val="both"/>
        <w:rPr>
          <w:rFonts w:ascii="Verdana" w:eastAsia="Calibri" w:hAnsi="Verdana" w:cs="Arial"/>
          <w:color w:val="000000"/>
          <w:sz w:val="21"/>
          <w:szCs w:val="21"/>
          <w:lang w:val="es-ES"/>
        </w:rPr>
      </w:pPr>
    </w:p>
    <w:p w14:paraId="5DC1536E" w14:textId="77777777" w:rsidR="00080784" w:rsidRDefault="00080784" w:rsidP="00080784">
      <w:pPr>
        <w:spacing w:after="0" w:line="240" w:lineRule="auto"/>
        <w:ind w:left="709" w:right="709"/>
        <w:jc w:val="both"/>
        <w:rPr>
          <w:rFonts w:ascii="Verdana" w:eastAsia="Calibri" w:hAnsi="Verdana" w:cs="Arial"/>
          <w:color w:val="000000"/>
          <w:sz w:val="21"/>
          <w:szCs w:val="21"/>
        </w:rPr>
      </w:pPr>
      <w:r w:rsidRPr="00DD0F57">
        <w:rPr>
          <w:rFonts w:ascii="Verdana" w:eastAsia="Calibri" w:hAnsi="Verdana" w:cs="Arial"/>
          <w:color w:val="000000"/>
          <w:sz w:val="21"/>
          <w:szCs w:val="21"/>
          <w:lang w:val="es-ES"/>
        </w:rPr>
        <w:t>“</w:t>
      </w:r>
      <w:r>
        <w:rPr>
          <w:rFonts w:ascii="Verdana" w:eastAsia="Calibri" w:hAnsi="Verdana" w:cs="Arial"/>
          <w:color w:val="000000"/>
          <w:sz w:val="21"/>
          <w:szCs w:val="21"/>
        </w:rPr>
        <w:t xml:space="preserve">[…] </w:t>
      </w:r>
      <w:r w:rsidRPr="004C5B3E">
        <w:rPr>
          <w:rFonts w:ascii="Verdana" w:eastAsia="Calibri" w:hAnsi="Verdana" w:cs="Arial"/>
          <w:color w:val="000000"/>
          <w:sz w:val="21"/>
          <w:szCs w:val="21"/>
        </w:rPr>
        <w:t>la misma jurisprudencia de la Sección Tercera del Consejo de Estado precisó lo siguiente:</w:t>
      </w:r>
      <w:r>
        <w:rPr>
          <w:rFonts w:ascii="Verdana" w:eastAsia="Calibri" w:hAnsi="Verdana" w:cs="Arial"/>
          <w:color w:val="000000"/>
          <w:sz w:val="21"/>
          <w:szCs w:val="21"/>
        </w:rPr>
        <w:t xml:space="preserve"> </w:t>
      </w:r>
    </w:p>
    <w:p w14:paraId="5CAA8D95" w14:textId="77777777" w:rsidR="00080784" w:rsidRPr="00DD0F57" w:rsidRDefault="00080784" w:rsidP="00080784">
      <w:pPr>
        <w:spacing w:before="120" w:after="0" w:line="240" w:lineRule="auto"/>
        <w:ind w:left="709" w:right="709"/>
        <w:jc w:val="both"/>
        <w:rPr>
          <w:rFonts w:ascii="Verdana" w:eastAsia="Calibri" w:hAnsi="Verdana" w:cs="Arial"/>
          <w:color w:val="000000"/>
          <w:sz w:val="21"/>
          <w:szCs w:val="21"/>
          <w:lang w:val="es-ES"/>
        </w:rPr>
      </w:pPr>
      <w:r>
        <w:rPr>
          <w:rFonts w:ascii="Verdana" w:eastAsia="Calibri" w:hAnsi="Verdana" w:cs="Arial"/>
          <w:color w:val="000000"/>
          <w:sz w:val="21"/>
          <w:szCs w:val="21"/>
        </w:rPr>
        <w:t>“</w:t>
      </w:r>
      <w:r w:rsidRPr="004C5B3E">
        <w:rPr>
          <w:rFonts w:ascii="Verdana" w:eastAsia="Calibri" w:hAnsi="Verdana" w:cs="Arial"/>
          <w:i/>
          <w:iCs/>
          <w:color w:val="000000"/>
          <w:sz w:val="21"/>
          <w:szCs w:val="21"/>
          <w:lang w:val="es-ES"/>
        </w:rPr>
        <w:t>De cuanto antecede se colige que el Estatuto General de Contratación de la Administración Pública, desde su entrada en vigencia, es aplicable a los contratos que la Nación y sus entidades descentralizadas celebren para el desarrollo de las actividades de ciencia y tecnología en aquellos aspectos no regulados expresamente en el Decreto-ley 591 de 1991 y en el Decreto-ley 393 de 1991, como que, por ejemplo, en los procesos de selección de los contratistas se deben respetar los principios de transparencia, economía, responsabilidad y selección objetiva, tener en cuenta las inhabilidades e incompatibilidades y aplicar las disposiciones de solución de conflictos, entre otros aspectos</w:t>
      </w:r>
      <w:r>
        <w:rPr>
          <w:rFonts w:ascii="Verdana" w:eastAsia="Calibri" w:hAnsi="Verdana" w:cs="Arial"/>
          <w:i/>
          <w:iCs/>
          <w:color w:val="000000"/>
          <w:sz w:val="21"/>
          <w:szCs w:val="21"/>
          <w:lang w:val="es-ES"/>
        </w:rPr>
        <w:t>”</w:t>
      </w:r>
    </w:p>
    <w:p w14:paraId="1606792E" w14:textId="77777777" w:rsidR="00080784" w:rsidRPr="004C5B3E" w:rsidRDefault="00080784" w:rsidP="00080784">
      <w:pPr>
        <w:spacing w:before="120" w:after="0" w:line="240" w:lineRule="auto"/>
        <w:ind w:left="709" w:right="709"/>
        <w:jc w:val="both"/>
        <w:rPr>
          <w:rFonts w:ascii="Verdana" w:eastAsia="Calibri" w:hAnsi="Verdana" w:cs="Arial"/>
          <w:color w:val="000000"/>
          <w:sz w:val="21"/>
          <w:szCs w:val="21"/>
          <w:lang w:val="es-ES"/>
        </w:rPr>
      </w:pPr>
      <w:r w:rsidRPr="004C5B3E">
        <w:rPr>
          <w:rFonts w:ascii="Verdana" w:eastAsia="Calibri" w:hAnsi="Verdana" w:cs="Arial"/>
          <w:color w:val="000000"/>
          <w:sz w:val="21"/>
          <w:szCs w:val="21"/>
        </w:rPr>
        <w:lastRenderedPageBreak/>
        <w:t>En definitiva, de conformidad con la interpretación de la Sección Tercera del Consejo de Estado, los contratos que se celebren con el objeto de fomentar la ciencia y la tecnología se encuentran sujetos al Estatuto General de Contratación de la Administración Pública y demás normas que lo modifiquen o adicionen, a las normas especiales vigentes de los Decretos Leyes 393 y 591 de 1991, y a las normas de derecho privado, en armonía con lo dispuesto en los artículos 13 y 40 de la Ley 80 de 1993, en todo aquello no regulado expresamente por el citado estatuto y las mencionadas disposiciones especiales</w:t>
      </w:r>
      <w:r w:rsidRPr="004C5B3E">
        <w:rPr>
          <w:rFonts w:ascii="Verdana" w:eastAsia="Calibri" w:hAnsi="Verdana" w:cs="Arial"/>
          <w:color w:val="000000"/>
          <w:sz w:val="21"/>
          <w:szCs w:val="21"/>
          <w:lang w:val="es-ES"/>
        </w:rPr>
        <w:t>”.</w:t>
      </w:r>
      <w:r w:rsidRPr="004C5B3E">
        <w:rPr>
          <w:rStyle w:val="Refdenotaalpie"/>
          <w:rFonts w:ascii="Verdana" w:eastAsia="Calibri" w:hAnsi="Verdana" w:cs="Arial"/>
          <w:color w:val="000000"/>
          <w:sz w:val="21"/>
          <w:szCs w:val="21"/>
          <w:lang w:val="es-ES"/>
        </w:rPr>
        <w:footnoteReference w:id="6"/>
      </w:r>
    </w:p>
    <w:p w14:paraId="11638A58" w14:textId="77777777" w:rsidR="00080784" w:rsidRPr="00DD0F57" w:rsidRDefault="00080784" w:rsidP="00080784">
      <w:pPr>
        <w:spacing w:before="120" w:after="0" w:line="240" w:lineRule="auto"/>
        <w:ind w:left="709" w:right="709"/>
        <w:jc w:val="both"/>
        <w:rPr>
          <w:rFonts w:ascii="Verdana" w:eastAsia="Calibri" w:hAnsi="Verdana" w:cs="Arial"/>
          <w:color w:val="000000"/>
          <w:sz w:val="21"/>
          <w:szCs w:val="21"/>
          <w:lang w:val="es-ES"/>
        </w:rPr>
      </w:pPr>
    </w:p>
    <w:p w14:paraId="32BF0106" w14:textId="77777777" w:rsidR="00080784" w:rsidRPr="00665A37" w:rsidRDefault="00080784" w:rsidP="00080784">
      <w:pPr>
        <w:spacing w:after="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De forma similar, esta Agencia considera que la </w:t>
      </w:r>
      <w:r w:rsidRPr="007E01B5">
        <w:rPr>
          <w:rFonts w:ascii="Verdana" w:eastAsia="Calibri" w:hAnsi="Verdana" w:cs="Arial"/>
          <w:color w:val="000000"/>
          <w:lang w:val="es-ES"/>
        </w:rPr>
        <w:t>función</w:t>
      </w:r>
      <w:r w:rsidRPr="00665A37">
        <w:rPr>
          <w:rFonts w:ascii="Verdana" w:eastAsia="Calibri" w:hAnsi="Verdana" w:cs="Arial"/>
          <w:color w:val="000000"/>
          <w:lang w:val="es-ES"/>
        </w:rPr>
        <w:t xml:space="preserve"> prevista en el numeral</w:t>
      </w:r>
      <w:r w:rsidRPr="007E01B5">
        <w:rPr>
          <w:rFonts w:ascii="Verdana" w:eastAsia="Calibri" w:hAnsi="Verdana" w:cs="Arial"/>
          <w:color w:val="000000"/>
          <w:lang w:val="es-ES"/>
        </w:rPr>
        <w:t xml:space="preserve"> 25</w:t>
      </w:r>
      <w:r w:rsidRPr="00665A37">
        <w:rPr>
          <w:rFonts w:ascii="Verdana" w:eastAsia="Calibri" w:hAnsi="Verdana" w:cs="Arial"/>
          <w:color w:val="000000"/>
          <w:lang w:val="es-ES"/>
        </w:rPr>
        <w:t xml:space="preserve"> constituye una norma especial que </w:t>
      </w:r>
      <w:r w:rsidRPr="007E01B5">
        <w:rPr>
          <w:rFonts w:ascii="Verdana" w:eastAsia="Calibri" w:hAnsi="Verdana" w:cs="Arial"/>
          <w:color w:val="000000"/>
          <w:lang w:val="es-ES"/>
        </w:rPr>
        <w:t>solo desplaza al EGCAP en el punto específico que regula</w:t>
      </w:r>
      <w:r w:rsidRPr="00665A37">
        <w:rPr>
          <w:rFonts w:ascii="Verdana" w:eastAsia="Calibri" w:hAnsi="Verdana" w:cs="Arial"/>
          <w:color w:val="000000"/>
          <w:lang w:val="es-ES"/>
        </w:rPr>
        <w:t xml:space="preserve">, es decir, en la habilitación de </w:t>
      </w:r>
      <w:r w:rsidRPr="007E01B5">
        <w:rPr>
          <w:rFonts w:ascii="Verdana" w:eastAsia="Calibri" w:hAnsi="Verdana" w:cs="Arial"/>
          <w:color w:val="000000"/>
          <w:lang w:val="es-ES"/>
        </w:rPr>
        <w:t>la modalidad de selección</w:t>
      </w:r>
      <w:r w:rsidRPr="00665A37">
        <w:rPr>
          <w:rFonts w:ascii="Verdana" w:eastAsia="Calibri" w:hAnsi="Verdana" w:cs="Arial"/>
          <w:color w:val="000000"/>
          <w:lang w:val="es-ES"/>
        </w:rPr>
        <w:t xml:space="preserve"> de contratación directa frente a los sujetos y el objeto expreso de la norma. </w:t>
      </w:r>
      <w:r w:rsidRPr="007E01B5">
        <w:rPr>
          <w:rFonts w:ascii="Verdana" w:eastAsia="Calibri" w:hAnsi="Verdana" w:cs="Arial"/>
          <w:color w:val="000000"/>
          <w:lang w:val="es-ES"/>
        </w:rPr>
        <w:t>En todo lo demás</w:t>
      </w:r>
      <w:r w:rsidRPr="00665A37">
        <w:rPr>
          <w:rFonts w:ascii="Verdana" w:eastAsia="Calibri" w:hAnsi="Verdana" w:cs="Arial"/>
          <w:color w:val="000000"/>
          <w:lang w:val="es-ES"/>
        </w:rPr>
        <w:t xml:space="preserve">, como es el caso de los </w:t>
      </w:r>
      <w:r w:rsidRPr="007E01B5">
        <w:rPr>
          <w:rFonts w:ascii="Verdana" w:eastAsia="Calibri" w:hAnsi="Verdana" w:cs="Arial"/>
          <w:color w:val="000000"/>
          <w:lang w:val="es-ES"/>
        </w:rPr>
        <w:t>requisitos de perfeccionamiento y ejecución del contrato, garantías, supervisión, liquidación, causales de nulidad, régimen de inhabilidades e incompatibilidades, publicidad en el SECOP, cláusulas excepcionales cuando procedan, responsabilidad contractual, entre otros</w:t>
      </w:r>
      <w:r w:rsidRPr="00665A37">
        <w:rPr>
          <w:rFonts w:ascii="Verdana" w:eastAsia="Calibri" w:hAnsi="Verdana" w:cs="Arial"/>
          <w:color w:val="000000"/>
          <w:lang w:val="es-ES"/>
        </w:rPr>
        <w:t>,</w:t>
      </w:r>
      <w:r w:rsidRPr="007E01B5">
        <w:rPr>
          <w:rFonts w:ascii="Verdana" w:eastAsia="Calibri" w:hAnsi="Verdana" w:cs="Arial"/>
          <w:color w:val="000000"/>
          <w:lang w:val="es-ES"/>
        </w:rPr>
        <w:t xml:space="preserve"> rige el EGCAP en su integridad</w:t>
      </w:r>
      <w:r w:rsidRPr="00665A37">
        <w:rPr>
          <w:rFonts w:ascii="Verdana" w:eastAsia="Calibri" w:hAnsi="Verdana" w:cs="Arial"/>
          <w:color w:val="000000"/>
          <w:lang w:val="es-ES"/>
        </w:rPr>
        <w:t>, salvo que exista una norma especial que disponga lo contrario</w:t>
      </w:r>
      <w:r w:rsidRPr="007E01B5">
        <w:rPr>
          <w:rFonts w:ascii="Verdana" w:eastAsia="Calibri" w:hAnsi="Verdana" w:cs="Arial"/>
          <w:color w:val="000000"/>
          <w:lang w:val="es-ES"/>
        </w:rPr>
        <w:t xml:space="preserve">. La expresión "de acuerdo con las normas legales vigentes" confirma expresamente esta aplicación supletiva, evitando que se entienda que </w:t>
      </w:r>
      <w:r w:rsidRPr="00665A37">
        <w:rPr>
          <w:rFonts w:ascii="Verdana" w:eastAsia="Calibri" w:hAnsi="Verdana" w:cs="Arial"/>
          <w:color w:val="000000"/>
          <w:lang w:val="es-ES"/>
        </w:rPr>
        <w:t xml:space="preserve">la norma </w:t>
      </w:r>
      <w:r w:rsidRPr="007E01B5">
        <w:rPr>
          <w:rFonts w:ascii="Verdana" w:eastAsia="Calibri" w:hAnsi="Verdana" w:cs="Arial"/>
          <w:color w:val="000000"/>
          <w:lang w:val="es-ES"/>
        </w:rPr>
        <w:t>crea un régimen de derecho privado autónomo</w:t>
      </w:r>
      <w:r w:rsidRPr="00665A37">
        <w:rPr>
          <w:rFonts w:ascii="Verdana" w:eastAsia="Calibri" w:hAnsi="Verdana" w:cs="Arial"/>
          <w:color w:val="000000"/>
          <w:lang w:val="es-ES"/>
        </w:rPr>
        <w:t xml:space="preserve">. </w:t>
      </w:r>
    </w:p>
    <w:p w14:paraId="64971FB7" w14:textId="77777777" w:rsidR="00080784" w:rsidRPr="00665A37" w:rsidRDefault="00080784" w:rsidP="00080784">
      <w:pPr>
        <w:spacing w:before="120" w:after="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Una consecuencia jurídica de lo expuesto es que </w:t>
      </w:r>
      <w:r w:rsidRPr="007E01B5">
        <w:rPr>
          <w:rFonts w:ascii="Verdana" w:eastAsia="Calibri" w:hAnsi="Verdana" w:cs="Arial"/>
          <w:color w:val="000000"/>
          <w:lang w:val="es-ES"/>
        </w:rPr>
        <w:t xml:space="preserve">el artículo 20 de la Ley 1150 de 2007 </w:t>
      </w:r>
      <w:r w:rsidRPr="00665A37">
        <w:rPr>
          <w:rFonts w:ascii="Verdana" w:eastAsia="Calibri" w:hAnsi="Verdana" w:cs="Arial"/>
          <w:color w:val="000000"/>
          <w:lang w:val="es-ES"/>
        </w:rPr>
        <w:t xml:space="preserve">será aplicable con respecto a los organismos internacionales con los que contrate directamente el Ministerio del Deporte en ejercicio de la función establecida en el numeral 25 del artículo 4 de la Ley 1967 de 2019, siempre que se trate de organismos internacionales que sean parte del Sistema Nacional del Deporte y que el objeto del convenio o contrato sea concordante con el artículo 3 de esta norma. De forma similar, las condiciones previstas en el artículo 20 de la Ley 1150 de 2007 no son aplicables de manera automática cuando el Ministerio del Deporte ejerza la función del referido numeral 25, pues para ello también será necesario que se cumplan los supuestos establecidos en dicha norma. </w:t>
      </w:r>
    </w:p>
    <w:p w14:paraId="14A895D6" w14:textId="77777777" w:rsidR="00080784" w:rsidRPr="00665A37" w:rsidRDefault="00080784" w:rsidP="00080784">
      <w:pPr>
        <w:spacing w:before="120" w:after="0" w:line="276" w:lineRule="auto"/>
        <w:ind w:firstLine="708"/>
        <w:jc w:val="both"/>
        <w:rPr>
          <w:rFonts w:ascii="Verdana" w:eastAsia="Calibri" w:hAnsi="Verdana" w:cs="Arial"/>
          <w:color w:val="000000"/>
          <w:lang w:val="es-ES"/>
        </w:rPr>
      </w:pPr>
      <w:r w:rsidRPr="00665A37">
        <w:rPr>
          <w:rFonts w:ascii="Verdana" w:hAnsi="Verdana" w:cs="Arial"/>
          <w:color w:val="000000" w:themeColor="text1"/>
          <w:lang w:val="es-ES"/>
        </w:rPr>
        <w:lastRenderedPageBreak/>
        <w:t>El artículo 20 de la Ley 1150 de 2007 estableció el régimen aplicable a los contratos que celebren las Entidades Estatales con organismos internacionales, previendo tres supuestos. El inciso primero dispone que cuando los organismos de cooperación, asistencia o ayudas internacionales financien los contratos o convenios en su totalidad o en sumas iguales o superiores al cincuenta por ciento (50%), la contratación podrá someterse a los reglamentos de tales entidades; cuando los aportes sean inferiores a dicho porcentaje, el contrato o convenio debe someterse al EGCAP. El último supuesto del inciso segundo establece que los contratos o convenios financiados con fondos de los organismos multilaterales de crédito y entes gubernamentales extranjeros podrán regirse por sus reglamentos, con independencia del porcentaje que financien o aporten. Finalmente, el parágrafo primero dispone que los contratos o acuerdos celebrados con personas extranjeras de derecho público podrán someterse a las reglas de tales organismos, sin que sea relevante el monto de los aportes ni el objeto convenido.</w:t>
      </w:r>
    </w:p>
    <w:p w14:paraId="2288EADE" w14:textId="77777777" w:rsidR="00080784" w:rsidRPr="00665A37" w:rsidRDefault="00080784" w:rsidP="00080784">
      <w:pPr>
        <w:spacing w:before="120" w:after="0" w:line="276" w:lineRule="auto"/>
        <w:ind w:firstLine="708"/>
        <w:jc w:val="both"/>
        <w:rPr>
          <w:rFonts w:ascii="Verdana" w:hAnsi="Verdana" w:cs="Arial"/>
          <w:color w:val="000000" w:themeColor="text1"/>
          <w:lang w:val="es-ES"/>
        </w:rPr>
      </w:pPr>
      <w:r w:rsidRPr="00665A37">
        <w:rPr>
          <w:rFonts w:ascii="Verdana" w:eastAsia="Calibri" w:hAnsi="Verdana" w:cs="Arial"/>
          <w:color w:val="000000"/>
          <w:lang w:val="es-ES"/>
        </w:rPr>
        <w:t xml:space="preserve">Así, por ejemplo, </w:t>
      </w:r>
      <w:r w:rsidRPr="007E01B5">
        <w:rPr>
          <w:rFonts w:ascii="Verdana" w:eastAsia="Calibri" w:hAnsi="Verdana" w:cs="Arial"/>
          <w:color w:val="000000"/>
          <w:lang w:val="es-ES"/>
        </w:rPr>
        <w:t>si</w:t>
      </w:r>
      <w:r w:rsidRPr="00665A37">
        <w:rPr>
          <w:rFonts w:ascii="Verdana" w:eastAsia="Calibri" w:hAnsi="Verdana" w:cs="Arial"/>
          <w:color w:val="000000"/>
          <w:lang w:val="es-ES"/>
        </w:rPr>
        <w:t xml:space="preserve"> en ejercicio de la función del numeral 25 el Ministerio del Deporte celebra directamente</w:t>
      </w:r>
      <w:r w:rsidRPr="007E01B5">
        <w:rPr>
          <w:rFonts w:ascii="Verdana" w:eastAsia="Calibri" w:hAnsi="Verdana" w:cs="Arial"/>
          <w:color w:val="000000"/>
          <w:lang w:val="es-ES"/>
        </w:rPr>
        <w:t xml:space="preserve"> un convenio </w:t>
      </w:r>
      <w:r w:rsidRPr="00665A37">
        <w:rPr>
          <w:rFonts w:ascii="Verdana" w:eastAsia="Calibri" w:hAnsi="Verdana" w:cs="Arial"/>
          <w:color w:val="000000"/>
          <w:lang w:val="es-ES"/>
        </w:rPr>
        <w:t xml:space="preserve">o contrato </w:t>
      </w:r>
      <w:r w:rsidRPr="007E01B5">
        <w:rPr>
          <w:rFonts w:ascii="Verdana" w:eastAsia="Calibri" w:hAnsi="Verdana" w:cs="Arial"/>
          <w:color w:val="000000"/>
          <w:lang w:val="es-ES"/>
        </w:rPr>
        <w:t>con un organismo deportivo internacional</w:t>
      </w:r>
      <w:r w:rsidRPr="00665A37">
        <w:rPr>
          <w:rFonts w:ascii="Verdana" w:eastAsia="Calibri" w:hAnsi="Verdana" w:cs="Arial"/>
          <w:color w:val="000000"/>
          <w:lang w:val="es-ES"/>
        </w:rPr>
        <w:t xml:space="preserve"> que hace parte del Sistema Nacional del Deporte para el desarrollo de su objet</w:t>
      </w:r>
      <w:r>
        <w:rPr>
          <w:rFonts w:ascii="Verdana" w:eastAsia="Calibri" w:hAnsi="Verdana" w:cs="Arial"/>
          <w:color w:val="000000"/>
          <w:lang w:val="es-ES"/>
        </w:rPr>
        <w:t>o</w:t>
      </w:r>
      <w:r w:rsidRPr="007E01B5">
        <w:rPr>
          <w:rFonts w:ascii="Verdana" w:eastAsia="Calibri" w:hAnsi="Verdana" w:cs="Arial"/>
          <w:color w:val="000000"/>
          <w:lang w:val="es-ES"/>
        </w:rPr>
        <w:t>,</w:t>
      </w:r>
      <w:r w:rsidRPr="00665A37">
        <w:rPr>
          <w:rFonts w:ascii="Verdana" w:eastAsia="Calibri" w:hAnsi="Verdana" w:cs="Arial"/>
          <w:color w:val="000000"/>
          <w:lang w:val="es-ES"/>
        </w:rPr>
        <w:t xml:space="preserve"> y este, </w:t>
      </w:r>
      <w:r w:rsidRPr="007E01B5">
        <w:rPr>
          <w:rFonts w:ascii="Verdana" w:eastAsia="Calibri" w:hAnsi="Verdana" w:cs="Arial"/>
          <w:color w:val="000000"/>
          <w:lang w:val="es-ES"/>
        </w:rPr>
        <w:t>además de encajar en l</w:t>
      </w:r>
      <w:r w:rsidRPr="00665A37">
        <w:rPr>
          <w:rFonts w:ascii="Verdana" w:eastAsia="Calibri" w:hAnsi="Verdana" w:cs="Arial"/>
          <w:color w:val="000000"/>
          <w:lang w:val="es-ES"/>
        </w:rPr>
        <w:t>os supuestos de la</w:t>
      </w:r>
      <w:r w:rsidRPr="007E01B5">
        <w:rPr>
          <w:rFonts w:ascii="Verdana" w:eastAsia="Calibri" w:hAnsi="Verdana" w:cs="Arial"/>
          <w:color w:val="000000"/>
          <w:lang w:val="es-ES"/>
        </w:rPr>
        <w:t xml:space="preserve"> función</w:t>
      </w:r>
      <w:r w:rsidRPr="00665A37">
        <w:rPr>
          <w:rFonts w:ascii="Verdana" w:eastAsia="Calibri" w:hAnsi="Verdana" w:cs="Arial"/>
          <w:color w:val="000000"/>
          <w:lang w:val="es-ES"/>
        </w:rPr>
        <w:t xml:space="preserve"> del numeral</w:t>
      </w:r>
      <w:r w:rsidRPr="007E01B5">
        <w:rPr>
          <w:rFonts w:ascii="Verdana" w:eastAsia="Calibri" w:hAnsi="Verdana" w:cs="Arial"/>
          <w:color w:val="000000"/>
          <w:lang w:val="es-ES"/>
        </w:rPr>
        <w:t xml:space="preserve"> 25, cumple independientemente los requisitos de financiación</w:t>
      </w:r>
      <w:r w:rsidRPr="00665A37">
        <w:rPr>
          <w:rFonts w:ascii="Verdana" w:eastAsia="Calibri" w:hAnsi="Verdana" w:cs="Arial"/>
          <w:color w:val="000000"/>
          <w:lang w:val="es-ES"/>
        </w:rPr>
        <w:t>, objeto y sujetos</w:t>
      </w:r>
      <w:r w:rsidRPr="007E01B5">
        <w:rPr>
          <w:rFonts w:ascii="Verdana" w:eastAsia="Calibri" w:hAnsi="Verdana" w:cs="Arial"/>
          <w:color w:val="000000"/>
          <w:lang w:val="es-ES"/>
        </w:rPr>
        <w:t xml:space="preserve"> del artículo 20, ese convenio podrá regirse por el reglamento del organismo </w:t>
      </w:r>
      <w:r w:rsidRPr="00665A37">
        <w:rPr>
          <w:rFonts w:ascii="Verdana" w:eastAsia="Calibri" w:hAnsi="Verdana" w:cs="Arial"/>
          <w:color w:val="000000"/>
          <w:lang w:val="es-ES"/>
        </w:rPr>
        <w:t xml:space="preserve">internacional. Este será el caso cuando el organismo internacional que hace parte del Sistema Nacional del Deporte es también </w:t>
      </w:r>
      <w:r w:rsidRPr="00665A37">
        <w:rPr>
          <w:rFonts w:ascii="Verdana" w:hAnsi="Verdana" w:cs="Arial"/>
          <w:color w:val="000000" w:themeColor="text1"/>
          <w:lang w:val="es-ES"/>
        </w:rPr>
        <w:t xml:space="preserve">un organismo de cooperación, asistencia o ayuda internacional que financia el contrato o convenio en sumas iguales o superiores al cincuenta por ciento (50%). </w:t>
      </w:r>
    </w:p>
    <w:p w14:paraId="79A6FBFF" w14:textId="77777777" w:rsidR="00080784" w:rsidRPr="00665A37" w:rsidRDefault="00080784" w:rsidP="00080784">
      <w:pPr>
        <w:spacing w:before="120" w:after="12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En conclusión, </w:t>
      </w:r>
      <w:r w:rsidRPr="007E01B5">
        <w:rPr>
          <w:rFonts w:ascii="Verdana" w:eastAsia="Calibri" w:hAnsi="Verdana" w:cs="Arial"/>
          <w:color w:val="000000"/>
          <w:lang w:val="es-ES"/>
        </w:rPr>
        <w:t>la función</w:t>
      </w:r>
      <w:r w:rsidRPr="00665A37">
        <w:rPr>
          <w:rFonts w:ascii="Verdana" w:eastAsia="Calibri" w:hAnsi="Verdana" w:cs="Arial"/>
          <w:color w:val="000000"/>
          <w:lang w:val="es-ES"/>
        </w:rPr>
        <w:t xml:space="preserve"> señalada en el numeral </w:t>
      </w:r>
      <w:r w:rsidRPr="007E01B5">
        <w:rPr>
          <w:rFonts w:ascii="Verdana" w:eastAsia="Calibri" w:hAnsi="Verdana" w:cs="Arial"/>
          <w:color w:val="000000"/>
          <w:lang w:val="es-ES"/>
        </w:rPr>
        <w:t>25</w:t>
      </w:r>
      <w:r w:rsidRPr="00665A37">
        <w:rPr>
          <w:rFonts w:ascii="Verdana" w:eastAsia="Calibri" w:hAnsi="Verdana" w:cs="Arial"/>
          <w:color w:val="000000"/>
          <w:lang w:val="es-ES"/>
        </w:rPr>
        <w:t xml:space="preserve"> del artículo 4 de la Ley 1967 de 2019</w:t>
      </w:r>
      <w:r w:rsidRPr="007E01B5">
        <w:rPr>
          <w:rFonts w:ascii="Verdana" w:eastAsia="Calibri" w:hAnsi="Verdana" w:cs="Arial"/>
          <w:color w:val="000000"/>
          <w:lang w:val="es-ES"/>
        </w:rPr>
        <w:t xml:space="preserve"> </w:t>
      </w:r>
      <w:r w:rsidRPr="00665A37">
        <w:rPr>
          <w:rFonts w:ascii="Verdana" w:eastAsia="Calibri" w:hAnsi="Verdana" w:cs="Arial"/>
          <w:color w:val="000000"/>
          <w:lang w:val="es-ES"/>
        </w:rPr>
        <w:t xml:space="preserve">se refiere a una norma especial que habilita al Ministerio del Deporte para contratar directamente cuando se trate de los sujetos expresamente definidos en la norma. Adicionalmente, esta norma opera </w:t>
      </w:r>
      <w:r w:rsidRPr="007E01B5">
        <w:rPr>
          <w:rFonts w:ascii="Verdana" w:eastAsia="Calibri" w:hAnsi="Verdana" w:cs="Arial"/>
          <w:i/>
          <w:iCs/>
          <w:color w:val="000000"/>
          <w:lang w:val="es-ES"/>
        </w:rPr>
        <w:t>dentro</w:t>
      </w:r>
      <w:r w:rsidRPr="007E01B5">
        <w:rPr>
          <w:rFonts w:ascii="Verdana" w:eastAsia="Calibri" w:hAnsi="Verdana" w:cs="Arial"/>
          <w:color w:val="000000"/>
          <w:lang w:val="es-ES"/>
        </w:rPr>
        <w:t xml:space="preserve"> del</w:t>
      </w:r>
      <w:r w:rsidRPr="00665A37">
        <w:rPr>
          <w:rFonts w:ascii="Verdana" w:eastAsia="Calibri" w:hAnsi="Verdana" w:cs="Arial"/>
          <w:color w:val="000000"/>
          <w:lang w:val="es-ES"/>
        </w:rPr>
        <w:t xml:space="preserve"> régimen jurídico aplicable al Ministerio en virtud del artículo 2 de la Ley 80 de 1993, es decir, de acuerdo con lo dispuesto en el</w:t>
      </w:r>
      <w:r w:rsidRPr="007E01B5">
        <w:rPr>
          <w:rFonts w:ascii="Verdana" w:eastAsia="Calibri" w:hAnsi="Verdana" w:cs="Arial"/>
          <w:color w:val="000000"/>
          <w:lang w:val="es-ES"/>
        </w:rPr>
        <w:t xml:space="preserve"> EGCAP</w:t>
      </w:r>
      <w:r w:rsidRPr="00665A37">
        <w:rPr>
          <w:rFonts w:ascii="Verdana" w:eastAsia="Calibri" w:hAnsi="Verdana" w:cs="Arial"/>
          <w:color w:val="000000"/>
          <w:lang w:val="es-ES"/>
        </w:rPr>
        <w:t xml:space="preserve">. De esta manera, la función será aplicable solo con los organismos que hagan parte del </w:t>
      </w:r>
      <w:r w:rsidRPr="007E01B5">
        <w:rPr>
          <w:rFonts w:ascii="Verdana" w:eastAsia="Calibri" w:hAnsi="Verdana" w:cs="Arial"/>
          <w:color w:val="000000"/>
          <w:lang w:val="es-ES"/>
        </w:rPr>
        <w:t>Sistema Nacional del Deporte conforme al artículo 50 de la Ley 18</w:t>
      </w:r>
      <w:r w:rsidRPr="00665A37">
        <w:rPr>
          <w:rFonts w:ascii="Verdana" w:eastAsia="Calibri" w:hAnsi="Verdana" w:cs="Arial"/>
          <w:color w:val="000000"/>
          <w:lang w:val="es-ES"/>
        </w:rPr>
        <w:t>1 de 1</w:t>
      </w:r>
      <w:r w:rsidRPr="007E01B5">
        <w:rPr>
          <w:rFonts w:ascii="Verdana" w:eastAsia="Calibri" w:hAnsi="Verdana" w:cs="Arial"/>
          <w:color w:val="000000"/>
          <w:lang w:val="es-ES"/>
        </w:rPr>
        <w:t xml:space="preserve">995 y para el desarrollo del objeto institucional </w:t>
      </w:r>
      <w:r w:rsidRPr="00665A37">
        <w:rPr>
          <w:rFonts w:ascii="Verdana" w:eastAsia="Calibri" w:hAnsi="Verdana" w:cs="Arial"/>
          <w:color w:val="000000"/>
          <w:lang w:val="es-ES"/>
        </w:rPr>
        <w:t xml:space="preserve">señalado en </w:t>
      </w:r>
      <w:r w:rsidRPr="007E01B5">
        <w:rPr>
          <w:rFonts w:ascii="Verdana" w:eastAsia="Calibri" w:hAnsi="Verdana" w:cs="Arial"/>
          <w:color w:val="000000"/>
          <w:lang w:val="es-ES"/>
        </w:rPr>
        <w:t>el artículo 3 de la Ley 1967</w:t>
      </w:r>
      <w:r w:rsidRPr="00665A37">
        <w:rPr>
          <w:rFonts w:ascii="Verdana" w:eastAsia="Calibri" w:hAnsi="Verdana" w:cs="Arial"/>
          <w:color w:val="000000"/>
          <w:lang w:val="es-ES"/>
        </w:rPr>
        <w:t xml:space="preserve"> de </w:t>
      </w:r>
      <w:r w:rsidRPr="007E01B5">
        <w:rPr>
          <w:rFonts w:ascii="Verdana" w:eastAsia="Calibri" w:hAnsi="Verdana" w:cs="Arial"/>
          <w:color w:val="000000"/>
          <w:lang w:val="es-ES"/>
        </w:rPr>
        <w:t xml:space="preserve">2019. </w:t>
      </w:r>
      <w:r w:rsidRPr="00665A37">
        <w:rPr>
          <w:rFonts w:ascii="Verdana" w:eastAsia="Calibri" w:hAnsi="Verdana" w:cs="Arial"/>
          <w:color w:val="000000"/>
          <w:lang w:val="es-ES"/>
        </w:rPr>
        <w:t xml:space="preserve">En consecuencia, </w:t>
      </w:r>
      <w:r w:rsidRPr="007E01B5">
        <w:rPr>
          <w:rFonts w:ascii="Verdana" w:eastAsia="Calibri" w:hAnsi="Verdana" w:cs="Arial"/>
          <w:color w:val="000000"/>
          <w:lang w:val="es-ES"/>
        </w:rPr>
        <w:t xml:space="preserve">la función </w:t>
      </w:r>
      <w:r w:rsidRPr="00665A37">
        <w:rPr>
          <w:rFonts w:ascii="Verdana" w:eastAsia="Calibri" w:hAnsi="Verdana" w:cs="Arial"/>
          <w:color w:val="000000"/>
          <w:lang w:val="es-ES"/>
        </w:rPr>
        <w:t xml:space="preserve">prevista en el numeral </w:t>
      </w:r>
      <w:r w:rsidRPr="007E01B5">
        <w:rPr>
          <w:rFonts w:ascii="Verdana" w:eastAsia="Calibri" w:hAnsi="Verdana" w:cs="Arial"/>
          <w:color w:val="000000"/>
          <w:lang w:val="es-ES"/>
        </w:rPr>
        <w:t xml:space="preserve">25, en tanto excepción a la regla general de selección objetiva, no </w:t>
      </w:r>
      <w:r w:rsidRPr="00665A37">
        <w:rPr>
          <w:rFonts w:ascii="Verdana" w:eastAsia="Calibri" w:hAnsi="Verdana" w:cs="Arial"/>
          <w:color w:val="000000"/>
          <w:lang w:val="es-ES"/>
        </w:rPr>
        <w:t xml:space="preserve">podrá </w:t>
      </w:r>
      <w:r w:rsidRPr="007E01B5">
        <w:rPr>
          <w:rFonts w:ascii="Verdana" w:eastAsia="Calibri" w:hAnsi="Verdana" w:cs="Arial"/>
          <w:color w:val="000000"/>
          <w:lang w:val="es-ES"/>
        </w:rPr>
        <w:t xml:space="preserve">interpretarse extensivamente </w:t>
      </w:r>
      <w:r w:rsidRPr="007E01B5">
        <w:rPr>
          <w:rFonts w:ascii="Verdana" w:eastAsia="Calibri" w:hAnsi="Verdana" w:cs="Arial"/>
          <w:color w:val="000000"/>
          <w:lang w:val="es-ES"/>
        </w:rPr>
        <w:lastRenderedPageBreak/>
        <w:t>para cobijar sujetos u objetos que exceden su texto</w:t>
      </w:r>
      <w:r w:rsidRPr="00665A37">
        <w:rPr>
          <w:rFonts w:ascii="Verdana" w:eastAsia="Calibri" w:hAnsi="Verdana" w:cs="Arial"/>
          <w:color w:val="000000"/>
          <w:lang w:val="es-ES"/>
        </w:rPr>
        <w:t xml:space="preserve">. </w:t>
      </w:r>
      <w:r w:rsidRPr="007E01B5">
        <w:rPr>
          <w:rFonts w:ascii="Verdana" w:eastAsia="Calibri" w:hAnsi="Verdana" w:cs="Arial"/>
          <w:color w:val="000000"/>
          <w:lang w:val="es-ES"/>
        </w:rPr>
        <w:t xml:space="preserve">En todo lo no regulado expresamente por esta causal especial, </w:t>
      </w:r>
      <w:r w:rsidRPr="00665A37">
        <w:rPr>
          <w:rFonts w:ascii="Verdana" w:eastAsia="Calibri" w:hAnsi="Verdana" w:cs="Arial"/>
          <w:color w:val="000000"/>
          <w:lang w:val="es-ES"/>
        </w:rPr>
        <w:t xml:space="preserve">la contratación se regirá por lo dispuesto en </w:t>
      </w:r>
      <w:r w:rsidRPr="007E01B5">
        <w:rPr>
          <w:rFonts w:ascii="Verdana" w:eastAsia="Calibri" w:hAnsi="Verdana" w:cs="Arial"/>
          <w:color w:val="000000"/>
          <w:lang w:val="es-ES"/>
        </w:rPr>
        <w:t xml:space="preserve">el régimen general </w:t>
      </w:r>
      <w:r w:rsidRPr="00665A37">
        <w:rPr>
          <w:rFonts w:ascii="Verdana" w:eastAsia="Calibri" w:hAnsi="Verdana" w:cs="Arial"/>
          <w:color w:val="000000"/>
          <w:lang w:val="es-ES"/>
        </w:rPr>
        <w:t>de contratación de la entidad contratante: el EGCAP.</w:t>
      </w:r>
    </w:p>
    <w:p w14:paraId="161E4C11" w14:textId="77777777" w:rsidR="00080784" w:rsidRPr="00DD0F57" w:rsidRDefault="00080784" w:rsidP="00080784">
      <w:pPr>
        <w:spacing w:after="120" w:line="276" w:lineRule="auto"/>
        <w:ind w:firstLine="709"/>
        <w:jc w:val="both"/>
        <w:rPr>
          <w:rFonts w:ascii="Verdana" w:eastAsia="Times New Roman" w:hAnsi="Verdana" w:cs="Arial"/>
          <w:lang w:val="es-ES" w:eastAsia="es-ES_tradnl"/>
        </w:rPr>
      </w:pPr>
      <w:r w:rsidRPr="00DD0F57">
        <w:rPr>
          <w:rFonts w:ascii="Verdana" w:eastAsia="Calibri" w:hAnsi="Verdana" w:cs="Arial"/>
          <w:bCs/>
          <w:color w:val="000000" w:themeColor="text1"/>
          <w:lang w:val="es-ES"/>
        </w:rPr>
        <w:t>Al margen de la explicación precedente</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debe advertirse que el análisis requerido para resolver problemas específicos en torno a la gestión contractual de las entidades públicas debe ser realizado por quienes tengan interés en ello, de acuerdo con lo explicado </w:t>
      </w:r>
      <w:r>
        <w:rPr>
          <w:rFonts w:ascii="Verdana" w:eastAsia="Calibri" w:hAnsi="Verdana" w:cs="Arial"/>
          <w:bCs/>
          <w:color w:val="000000" w:themeColor="text1"/>
          <w:lang w:val="es-ES"/>
        </w:rPr>
        <w:t xml:space="preserve">en </w:t>
      </w:r>
      <w:r w:rsidRPr="00DD0F57">
        <w:rPr>
          <w:rFonts w:ascii="Verdana" w:eastAsia="Calibri" w:hAnsi="Verdana" w:cs="Arial"/>
          <w:bCs/>
          <w:color w:val="000000" w:themeColor="text1"/>
          <w:lang w:val="es-ES"/>
        </w:rPr>
        <w:t>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2358E758" w14:textId="77777777" w:rsidR="00080784" w:rsidRPr="00DD0F57" w:rsidRDefault="00080784" w:rsidP="00080784">
      <w:pPr>
        <w:spacing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D299D9F" w14:textId="77777777" w:rsidR="001A19CD" w:rsidRPr="00F1047A" w:rsidRDefault="001A19CD" w:rsidP="001A19CD">
      <w:pPr>
        <w:spacing w:after="0" w:line="276" w:lineRule="auto"/>
        <w:jc w:val="both"/>
        <w:rPr>
          <w:rFonts w:ascii="Verdana" w:eastAsia="Calibri" w:hAnsi="Verdana" w:cs="Arial"/>
          <w:lang w:val="es-ES"/>
        </w:rPr>
      </w:pPr>
    </w:p>
    <w:p w14:paraId="7F3404CA" w14:textId="0DC0D1E7" w:rsidR="001A19CD" w:rsidRPr="00080784" w:rsidRDefault="001A19CD" w:rsidP="00080784">
      <w:pPr>
        <w:pStyle w:val="Prrafodelista"/>
        <w:numPr>
          <w:ilvl w:val="0"/>
          <w:numId w:val="16"/>
        </w:numPr>
        <w:spacing w:after="120" w:line="276" w:lineRule="auto"/>
        <w:jc w:val="both"/>
        <w:rPr>
          <w:rFonts w:ascii="Verdana" w:eastAsia="Century Gothic" w:hAnsi="Verdana" w:cs="Century Gothic"/>
          <w:b/>
          <w:bCs/>
          <w:color w:val="000000" w:themeColor="text1"/>
        </w:rPr>
      </w:pPr>
      <w:r w:rsidRPr="00080784">
        <w:rPr>
          <w:rFonts w:ascii="Verdana" w:eastAsia="Century Gothic" w:hAnsi="Verdana" w:cs="Century Gothic"/>
          <w:b/>
          <w:bCs/>
          <w:color w:val="000000" w:themeColor="text1"/>
        </w:rPr>
        <w:t>Referencias normativas, jurisprudenciales y otras fuentes:</w:t>
      </w:r>
    </w:p>
    <w:p w14:paraId="09A8C37B" w14:textId="77777777" w:rsidR="001A19CD" w:rsidRPr="00F1047A" w:rsidRDefault="001A19CD" w:rsidP="001A19CD">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A19CD" w:rsidRPr="00F1047A" w14:paraId="3D8D7B16" w14:textId="77777777" w:rsidTr="001510B2">
        <w:trPr>
          <w:trHeight w:val="870"/>
        </w:trPr>
        <w:tc>
          <w:tcPr>
            <w:tcW w:w="8647" w:type="dxa"/>
          </w:tcPr>
          <w:p w14:paraId="6ABF2E0A"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Constitución Política de 1991, artículos 52 y 350.</w:t>
            </w:r>
          </w:p>
          <w:p w14:paraId="43561398"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80 de 1993, artículos 2, 13, 24, 32 y 40.</w:t>
            </w:r>
          </w:p>
          <w:p w14:paraId="583A7F84"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153 de 1887, artículo 5.</w:t>
            </w:r>
          </w:p>
          <w:p w14:paraId="573AC7DD"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181 de 1995, artículos 46, 47, 50, 51 y 61.</w:t>
            </w:r>
          </w:p>
          <w:p w14:paraId="05124C1F"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489 de 1998, artículo 59.</w:t>
            </w:r>
          </w:p>
          <w:p w14:paraId="29FEE4C8"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Decreto-Ley 393 de 1991.</w:t>
            </w:r>
          </w:p>
          <w:p w14:paraId="329B83E1"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Decreto-Ley 591 de 1991.</w:t>
            </w:r>
          </w:p>
          <w:p w14:paraId="131F238F"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lastRenderedPageBreak/>
              <w:t>Decreto-Ley 4183 de 2011.</w:t>
            </w:r>
          </w:p>
          <w:p w14:paraId="2CA3F01B"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1150 de 2007, artículos 2 (numeral 4, literal e) y 20.</w:t>
            </w:r>
          </w:p>
          <w:p w14:paraId="283EF668" w14:textId="77777777" w:rsidR="00DA484D"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1967 de 2019, artículos 3, 4 (numeral 25) y 18.</w:t>
            </w:r>
          </w:p>
          <w:p w14:paraId="127FA8E9"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rPr>
              <w:t>Código Civil, artículos 27, 28 y 72.</w:t>
            </w:r>
          </w:p>
          <w:p w14:paraId="467F9DCE" w14:textId="77777777" w:rsidR="00DA484D" w:rsidRPr="00E97F95" w:rsidRDefault="00DA484D" w:rsidP="00DA484D">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Corte Constitucional, Sentencia C-439 de 2016 (con referencia a la Sentencia C-451 de 2015).</w:t>
            </w:r>
          </w:p>
          <w:p w14:paraId="2A5FF02B" w14:textId="34039361" w:rsidR="001A19CD" w:rsidRPr="00F1047A" w:rsidRDefault="00DA484D" w:rsidP="00DA484D">
            <w:pPr>
              <w:pStyle w:val="Prrafodelista"/>
              <w:widowControl w:val="0"/>
              <w:numPr>
                <w:ilvl w:val="0"/>
                <w:numId w:val="17"/>
              </w:numPr>
              <w:autoSpaceDE w:val="0"/>
              <w:autoSpaceDN w:val="0"/>
              <w:snapToGrid w:val="0"/>
              <w:spacing w:after="120" w:line="276" w:lineRule="auto"/>
              <w:contextualSpacing w:val="0"/>
              <w:jc w:val="both"/>
              <w:rPr>
                <w:rFonts w:ascii="Verdana" w:hAnsi="Verdana" w:cs="Arial"/>
              </w:rPr>
            </w:pPr>
            <w:r w:rsidRPr="00E97F95">
              <w:rPr>
                <w:rFonts w:ascii="Verdana" w:eastAsia="Calibri" w:hAnsi="Verdana" w:cs="Arial"/>
                <w:color w:val="000000" w:themeColor="text1"/>
              </w:rPr>
              <w:t>Consejo de Estado, Sala de Consulta y Servicio Civil, Concepto del 8 de marzo de 2017, radicación 11001-03-06-000-2016-00102-00(2314)</w:t>
            </w:r>
            <w:r w:rsidR="0099437A" w:rsidRPr="00F1047A">
              <w:rPr>
                <w:rFonts w:ascii="Verdana" w:hAnsi="Verdana" w:cs="Arial"/>
              </w:rPr>
              <w:t>.</w:t>
            </w:r>
          </w:p>
        </w:tc>
      </w:tr>
    </w:tbl>
    <w:p w14:paraId="77B7D02F" w14:textId="77777777" w:rsidR="001A19CD" w:rsidRPr="00F1047A" w:rsidRDefault="001A19CD" w:rsidP="001A19CD">
      <w:pPr>
        <w:widowControl w:val="0"/>
        <w:autoSpaceDE w:val="0"/>
        <w:autoSpaceDN w:val="0"/>
        <w:spacing w:after="0" w:line="276" w:lineRule="auto"/>
        <w:jc w:val="both"/>
        <w:rPr>
          <w:rFonts w:ascii="Verdana" w:hAnsi="Verdana" w:cs="Arial"/>
          <w:color w:val="000000" w:themeColor="text1"/>
          <w:lang w:val="es-ES"/>
        </w:rPr>
      </w:pPr>
    </w:p>
    <w:p w14:paraId="61BA8911" w14:textId="77777777" w:rsidR="001A19CD" w:rsidRPr="00F1047A" w:rsidRDefault="001A19CD" w:rsidP="001A19C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1047A">
        <w:rPr>
          <w:rFonts w:ascii="Verdana" w:eastAsia="Century Gothic" w:hAnsi="Verdana" w:cs="Century Gothic"/>
          <w:b/>
          <w:bCs/>
          <w:color w:val="000000" w:themeColor="text1"/>
        </w:rPr>
        <w:t>Doctrina de la Agencia Nacional de Contratación Pública:</w:t>
      </w:r>
    </w:p>
    <w:p w14:paraId="4C2943E4" w14:textId="77777777" w:rsidR="001A19CD" w:rsidRPr="00F1047A" w:rsidRDefault="001A19CD" w:rsidP="001A19CD">
      <w:pPr>
        <w:widowControl w:val="0"/>
        <w:autoSpaceDE w:val="0"/>
        <w:autoSpaceDN w:val="0"/>
        <w:spacing w:after="0" w:line="276" w:lineRule="auto"/>
        <w:jc w:val="both"/>
        <w:rPr>
          <w:rFonts w:ascii="Verdana" w:hAnsi="Verdana" w:cs="Arial"/>
          <w:color w:val="000000" w:themeColor="text1"/>
          <w:lang w:val="es-ES"/>
        </w:rPr>
      </w:pPr>
    </w:p>
    <w:p w14:paraId="661E5F30" w14:textId="74DA3376" w:rsidR="001A19CD" w:rsidRPr="00F1047A" w:rsidRDefault="001A19CD" w:rsidP="001A19CD">
      <w:pPr>
        <w:ind w:left="3"/>
        <w:jc w:val="both"/>
        <w:rPr>
          <w:rStyle w:val="normaltextrun"/>
          <w:rFonts w:ascii="Verdana" w:eastAsia="Calibri" w:hAnsi="Verdana" w:cs="Arial"/>
          <w:b/>
          <w:bCs/>
          <w:color w:val="000000" w:themeColor="text1"/>
          <w:lang w:val="es-ES" w:eastAsia="es-ES"/>
        </w:rPr>
      </w:pPr>
      <w:r w:rsidRPr="00F1047A">
        <w:rPr>
          <w:rStyle w:val="normaltextrun"/>
          <w:rFonts w:ascii="Verdana" w:hAnsi="Verdana" w:cs="Arial"/>
          <w:color w:val="000000" w:themeColor="text1"/>
          <w:shd w:val="clear" w:color="auto" w:fill="FFFFFF"/>
          <w:lang w:val="es-ES"/>
        </w:rPr>
        <w:t>La Agencia Nacional de Contratación Pública – Colombia Compra Eficiente se pronunci</w:t>
      </w:r>
      <w:r w:rsidR="00DA484D">
        <w:rPr>
          <w:rStyle w:val="normaltextrun"/>
          <w:rFonts w:ascii="Verdana" w:hAnsi="Verdana" w:cs="Arial"/>
          <w:color w:val="000000" w:themeColor="text1"/>
          <w:shd w:val="clear" w:color="auto" w:fill="FFFFFF"/>
          <w:lang w:val="es-ES"/>
        </w:rPr>
        <w:t>ó</w:t>
      </w:r>
      <w:r w:rsidRPr="00F1047A">
        <w:rPr>
          <w:rStyle w:val="normaltextrun"/>
          <w:rFonts w:ascii="Verdana" w:hAnsi="Verdana" w:cs="Arial"/>
          <w:color w:val="000000" w:themeColor="text1"/>
          <w:shd w:val="clear" w:color="auto" w:fill="FFFFFF"/>
          <w:lang w:val="es-ES"/>
        </w:rPr>
        <w:t xml:space="preserve"> </w:t>
      </w:r>
      <w:r w:rsidRPr="00F1047A">
        <w:rPr>
          <w:rStyle w:val="normaltextrun"/>
          <w:rFonts w:ascii="Verdana" w:hAnsi="Verdana"/>
          <w:color w:val="000000" w:themeColor="text1"/>
          <w:shd w:val="clear" w:color="auto" w:fill="FFFFFF"/>
          <w:lang w:val="es-ES"/>
        </w:rPr>
        <w:t>sobre</w:t>
      </w:r>
      <w:r w:rsidR="00DA484D">
        <w:rPr>
          <w:rStyle w:val="normaltextrun"/>
          <w:rFonts w:ascii="Verdana" w:hAnsi="Verdana"/>
          <w:color w:val="000000" w:themeColor="text1"/>
          <w:shd w:val="clear" w:color="auto" w:fill="FFFFFF"/>
          <w:lang w:val="es-ES"/>
        </w:rPr>
        <w:t xml:space="preserve"> </w:t>
      </w:r>
      <w:proofErr w:type="gramStart"/>
      <w:r w:rsidR="00DA484D">
        <w:rPr>
          <w:rStyle w:val="normaltextrun"/>
          <w:rFonts w:ascii="Verdana" w:hAnsi="Verdana"/>
          <w:color w:val="000000" w:themeColor="text1"/>
          <w:shd w:val="clear" w:color="auto" w:fill="FFFFFF"/>
          <w:lang w:val="es-ES"/>
        </w:rPr>
        <w:t xml:space="preserve">el </w:t>
      </w:r>
      <w:r w:rsidR="00DA484D">
        <w:rPr>
          <w:rStyle w:val="normaltextrun"/>
          <w:rFonts w:ascii="Verdana" w:hAnsi="Verdana" w:cs="Arial"/>
          <w:shd w:val="clear" w:color="auto" w:fill="FFFFFF"/>
          <w:lang w:val="es-ES"/>
        </w:rPr>
        <w:t xml:space="preserve"> </w:t>
      </w:r>
      <w:r w:rsidR="00DA484D" w:rsidRPr="00DD0F57">
        <w:rPr>
          <w:rStyle w:val="normaltextrun"/>
          <w:rFonts w:ascii="Verdana" w:hAnsi="Verdana" w:cs="Arial"/>
          <w:shd w:val="clear" w:color="auto" w:fill="FFFFFF"/>
          <w:lang w:val="es-ES"/>
        </w:rPr>
        <w:t>alcance</w:t>
      </w:r>
      <w:proofErr w:type="gramEnd"/>
      <w:r w:rsidR="00DA484D" w:rsidRPr="00DD0F57">
        <w:rPr>
          <w:rStyle w:val="normaltextrun"/>
          <w:rFonts w:ascii="Verdana" w:hAnsi="Verdana" w:cs="Arial"/>
          <w:shd w:val="clear" w:color="auto" w:fill="FFFFFF"/>
          <w:lang w:val="es-ES"/>
        </w:rPr>
        <w:t xml:space="preserve"> del numeral 25 del artículo 4 de la Ley 1967 de 2019</w:t>
      </w:r>
      <w:r w:rsidR="00DA484D">
        <w:rPr>
          <w:rStyle w:val="normaltextrun"/>
          <w:rFonts w:ascii="Verdana" w:hAnsi="Verdana" w:cs="Arial"/>
          <w:shd w:val="clear" w:color="auto" w:fill="FFFFFF"/>
          <w:lang w:val="es-ES"/>
        </w:rPr>
        <w:t xml:space="preserve"> en el concepto </w:t>
      </w:r>
      <w:r w:rsidR="00DA484D" w:rsidRPr="00DA484D">
        <w:rPr>
          <w:rFonts w:ascii="Verdana" w:eastAsia="Calibri" w:hAnsi="Verdana" w:cs="Arial"/>
          <w:color w:val="000000" w:themeColor="text1"/>
          <w:lang w:val="es-ES" w:eastAsia="es-ES"/>
        </w:rPr>
        <w:t>C-853 del 07 de julio de 2026</w:t>
      </w:r>
      <w:r w:rsidRPr="00DA484D">
        <w:rPr>
          <w:rStyle w:val="normaltextrun"/>
          <w:rFonts w:ascii="Verdana" w:hAnsi="Verdana" w:cs="Arial"/>
          <w:color w:val="000000" w:themeColor="text1"/>
          <w:shd w:val="clear" w:color="auto" w:fill="FFFFFF"/>
          <w:lang w:val="es-ES"/>
        </w:rPr>
        <w:t>.</w:t>
      </w:r>
      <w:r w:rsidRPr="00F1047A">
        <w:rPr>
          <w:rStyle w:val="normaltextrun"/>
          <w:rFonts w:ascii="Verdana" w:hAnsi="Verdana" w:cs="Arial"/>
          <w:color w:val="000000" w:themeColor="text1"/>
          <w:shd w:val="clear" w:color="auto" w:fill="FFFFFF"/>
          <w:lang w:val="es-ES"/>
        </w:rPr>
        <w:t xml:space="preserve"> </w:t>
      </w:r>
      <w:r w:rsidRPr="00F1047A">
        <w:rPr>
          <w:rFonts w:ascii="Verdana" w:eastAsia="Calibri" w:hAnsi="Verdana" w:cs="Arial"/>
          <w:color w:val="000000" w:themeColor="text1"/>
          <w:lang w:val="es-ES" w:eastAsia="es-ES_tradnl"/>
        </w:rPr>
        <w:t>Est</w:t>
      </w:r>
      <w:r w:rsidR="00DA484D">
        <w:rPr>
          <w:rFonts w:ascii="Verdana" w:eastAsia="Calibri" w:hAnsi="Verdana" w:cs="Arial"/>
          <w:color w:val="000000" w:themeColor="text1"/>
          <w:lang w:val="es-ES" w:eastAsia="es-ES_tradnl"/>
        </w:rPr>
        <w:t>e</w:t>
      </w:r>
      <w:r w:rsidRPr="00F1047A">
        <w:rPr>
          <w:rFonts w:ascii="Verdana" w:hAnsi="Verdana"/>
          <w:lang w:val="es-ES"/>
        </w:rPr>
        <w:t xml:space="preserve"> y otros conceptos se encuentran disponibles para consulta en</w:t>
      </w:r>
      <w:r w:rsidRPr="00F1047A">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3" w:history="1">
        <w:r w:rsidRPr="00F1047A">
          <w:rPr>
            <w:rStyle w:val="Hipervnculo"/>
            <w:rFonts w:ascii="Verdana" w:hAnsi="Verdana" w:cs="Arial"/>
            <w:shd w:val="clear" w:color="auto" w:fill="FFFFFF"/>
            <w:lang w:val="es-ES"/>
          </w:rPr>
          <w:t>https://relatoria.colombiacompra.gov.co/busqueda/conceptos</w:t>
        </w:r>
      </w:hyperlink>
      <w:r w:rsidRPr="00F1047A">
        <w:rPr>
          <w:rStyle w:val="normaltextrun"/>
          <w:rFonts w:ascii="Verdana" w:hAnsi="Verdana" w:cs="Arial"/>
          <w:shd w:val="clear" w:color="auto" w:fill="FFFFFF"/>
          <w:lang w:val="es-ES"/>
        </w:rPr>
        <w:t>.</w:t>
      </w:r>
      <w:r w:rsidRPr="00F1047A">
        <w:rPr>
          <w:rStyle w:val="normaltextrun"/>
          <w:rFonts w:ascii="Verdana" w:hAnsi="Verdana" w:cs="Arial"/>
          <w:color w:val="FF0000"/>
          <w:shd w:val="clear" w:color="auto" w:fill="FFFFFF"/>
          <w:lang w:val="es-ES"/>
        </w:rPr>
        <w:t xml:space="preserve"> </w:t>
      </w:r>
    </w:p>
    <w:p w14:paraId="67DA35FF" w14:textId="71F5388A" w:rsidR="001A19CD" w:rsidRPr="00DA484D" w:rsidRDefault="001A19CD" w:rsidP="00DA484D">
      <w:pPr>
        <w:ind w:left="3"/>
        <w:jc w:val="both"/>
        <w:rPr>
          <w:rFonts w:ascii="Verdana" w:eastAsia="Calibri" w:hAnsi="Verdana" w:cs="Arial"/>
          <w:b/>
          <w:bCs/>
          <w:color w:val="000000" w:themeColor="text1"/>
          <w:lang w:val="es-ES" w:eastAsia="es-ES"/>
        </w:rPr>
      </w:pPr>
      <w:r w:rsidRPr="00F1047A">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1047A">
        <w:rPr>
          <w:rFonts w:ascii="Verdana" w:hAnsi="Verdana"/>
          <w:b/>
          <w:lang w:val="es-ES"/>
        </w:rPr>
        <w:t>Guía para la Exigencia y Constitución de Garantías en los Procesos de Contratación</w:t>
      </w:r>
      <w:r w:rsidRPr="00F1047A">
        <w:rPr>
          <w:rFonts w:ascii="Verdana" w:hAnsi="Verdana"/>
          <w:lang w:val="es-ES"/>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Original URL: https://www.colombiacompra.gov.co/archivos/manual/guia-de-garantias-en-procesos-de-contratacion. Click or tap if you trust this link." w:history="1">
        <w:r w:rsidRPr="00F1047A">
          <w:rPr>
            <w:rStyle w:val="Hipervnculo"/>
            <w:rFonts w:ascii="Verdana" w:hAnsi="Verdana"/>
            <w:lang w:val="es-ES"/>
          </w:rPr>
          <w:t>https://www.colombiacompra.gov.co/archivos/manual/guia-de-garantias-en-procesos-de-contratacion</w:t>
        </w:r>
      </w:hyperlink>
    </w:p>
    <w:p w14:paraId="39565779" w14:textId="40C8F179" w:rsidR="001A19CD" w:rsidRPr="00F1047A" w:rsidRDefault="001A19CD" w:rsidP="001A19CD">
      <w:pPr>
        <w:spacing w:after="0" w:line="276" w:lineRule="auto"/>
        <w:jc w:val="both"/>
        <w:rPr>
          <w:rFonts w:ascii="Verdana" w:hAnsi="Verdana"/>
          <w:lang w:val="es-ES"/>
        </w:rPr>
      </w:pPr>
      <w:r w:rsidRPr="00F1047A">
        <w:rPr>
          <w:rFonts w:ascii="Verdana" w:hAnsi="Verdana"/>
          <w:lang w:val="es-ES"/>
        </w:rPr>
        <w:t xml:space="preserve">De otro lado, </w:t>
      </w:r>
      <w:r w:rsidR="00DA484D">
        <w:rPr>
          <w:rFonts w:ascii="Verdana" w:hAnsi="Verdana"/>
          <w:lang w:val="es-ES"/>
        </w:rPr>
        <w:t>l</w:t>
      </w:r>
      <w:r w:rsidRPr="00F1047A">
        <w:rPr>
          <w:rFonts w:ascii="Verdana" w:hAnsi="Verdana"/>
          <w:lang w:val="es-ES"/>
        </w:rPr>
        <w:t>e contamos que el Decreto 287 del 19 de marzo de 2026 sustituyó los artículos 2.2.1.2.4.2.6., 2.2.1.2.4.2.7. y 2.2.1.2.4.2.8. del Decreto 1082 de 2015 y estructuró el </w:t>
      </w:r>
      <w:r w:rsidRPr="00F1047A">
        <w:rPr>
          <w:rFonts w:ascii="Verdana" w:hAnsi="Verdana"/>
          <w:b/>
          <w:lang w:val="es-ES"/>
        </w:rPr>
        <w:t>Sistema Integral de Preferencias en favor de las personas con discapacidad</w:t>
      </w:r>
      <w:r w:rsidRPr="00F1047A">
        <w:rPr>
          <w:rFonts w:ascii="Verdana" w:hAnsi="Verdana"/>
          <w:lang w:val="es-ES"/>
        </w:rPr>
        <w:t xml:space="preserve">, en cumplimiento del artículo 13 de la Ley Estatutaria 1618 de 2013. Para orientar su aplicación, esta Agencia expidió </w:t>
      </w:r>
      <w:r w:rsidRPr="00F1047A">
        <w:rPr>
          <w:rFonts w:ascii="Verdana" w:hAnsi="Verdana"/>
          <w:lang w:val="es-ES"/>
        </w:rPr>
        <w:lastRenderedPageBreak/>
        <w:t>la </w:t>
      </w:r>
      <w:r w:rsidRPr="00F1047A">
        <w:rPr>
          <w:rFonts w:ascii="Verdana" w:hAnsi="Verdana"/>
          <w:b/>
          <w:lang w:val="es-ES"/>
        </w:rPr>
        <w:t>Circular Externa 003 del 12 de mayo de 2026, </w:t>
      </w:r>
      <w:r w:rsidRPr="00F1047A">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Original URL: https://www.colombiacompra.gov.co/archivos/circular/circular-externa-003-de-2026. Click or tap if you trust this link." w:history="1">
        <w:r w:rsidRPr="00F1047A">
          <w:rPr>
            <w:rStyle w:val="Hipervnculo"/>
            <w:rFonts w:ascii="Verdana" w:hAnsi="Verdana"/>
            <w:lang w:val="es-ES"/>
          </w:rPr>
          <w:t>https://www.colombiacompra.gov.co/archivos/circular/circular-externa-003-de-2026</w:t>
        </w:r>
      </w:hyperlink>
    </w:p>
    <w:p w14:paraId="40667CA5" w14:textId="77777777" w:rsidR="001A19CD" w:rsidRPr="00F1047A" w:rsidRDefault="001A19CD" w:rsidP="001A19CD">
      <w:pPr>
        <w:spacing w:after="0" w:line="276" w:lineRule="auto"/>
        <w:jc w:val="both"/>
        <w:rPr>
          <w:rFonts w:ascii="Verdana" w:hAnsi="Verdana"/>
          <w:lang w:val="es-ES"/>
        </w:rPr>
      </w:pPr>
    </w:p>
    <w:p w14:paraId="36C8AEEB" w14:textId="1688DE77" w:rsidR="001A19CD" w:rsidRPr="00F1047A" w:rsidRDefault="001A19CD" w:rsidP="001A19CD">
      <w:pPr>
        <w:spacing w:after="0" w:line="276" w:lineRule="auto"/>
        <w:jc w:val="both"/>
        <w:rPr>
          <w:rFonts w:ascii="Verdana" w:hAnsi="Verdana"/>
          <w:lang w:val="es-ES"/>
        </w:rPr>
      </w:pPr>
      <w:r w:rsidRPr="00F1047A">
        <w:rPr>
          <w:rFonts w:ascii="Verdana" w:hAnsi="Verdana"/>
          <w:lang w:val="es-ES"/>
        </w:rPr>
        <w:t>Recuerd</w:t>
      </w:r>
      <w:r w:rsidR="00DA484D">
        <w:rPr>
          <w:rFonts w:ascii="Verdana" w:hAnsi="Verdana"/>
          <w:lang w:val="es-ES"/>
        </w:rPr>
        <w:t>e</w:t>
      </w:r>
      <w:r w:rsidRPr="00F1047A">
        <w:rPr>
          <w:rFonts w:ascii="Verdana" w:hAnsi="Verdana"/>
          <w:lang w:val="es-ES"/>
        </w:rPr>
        <w:t xml:space="preserve"> también que la</w:t>
      </w:r>
      <w:r w:rsidRPr="00F1047A">
        <w:rPr>
          <w:rFonts w:ascii="Verdana" w:hAnsi="Verdana"/>
          <w:b/>
          <w:lang w:val="es-ES"/>
        </w:rPr>
        <w:t> información sobre sanciones e inhabilidades </w:t>
      </w:r>
      <w:r w:rsidRPr="00F1047A">
        <w:rPr>
          <w:rFonts w:ascii="Verdana" w:hAnsi="Verdana"/>
          <w:lang w:val="es-ES"/>
        </w:rPr>
        <w:t>solo cumple su función preventiva si llega oportunamente a los registros públicos. Sobre este deber, esta Agencia expidió la </w:t>
      </w:r>
      <w:r w:rsidRPr="00F1047A">
        <w:rPr>
          <w:rFonts w:ascii="Verdana" w:hAnsi="Verdana"/>
          <w:b/>
          <w:lang w:val="es-ES"/>
        </w:rPr>
        <w:t>Circular Externa 002 del 5 de mayo de 2026,</w:t>
      </w:r>
      <w:r w:rsidRPr="00F1047A">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F1047A">
          <w:rPr>
            <w:rStyle w:val="Hipervnculo"/>
            <w:rFonts w:ascii="Verdana" w:hAnsi="Verdana"/>
            <w:lang w:val="es-ES"/>
          </w:rPr>
          <w:t>https://www.colombiacompra.gov.co/archivos/circular/circular-externa-002-de-2026</w:t>
        </w:r>
      </w:hyperlink>
    </w:p>
    <w:p w14:paraId="4BEB3334" w14:textId="77777777" w:rsidR="001A19CD" w:rsidRPr="00F1047A" w:rsidRDefault="001A19CD" w:rsidP="001A19CD">
      <w:pPr>
        <w:spacing w:after="0" w:line="276" w:lineRule="auto"/>
        <w:jc w:val="both"/>
        <w:rPr>
          <w:rFonts w:ascii="Verdana" w:hAnsi="Verdana"/>
          <w:lang w:val="es-ES"/>
        </w:rPr>
      </w:pPr>
    </w:p>
    <w:p w14:paraId="191836D2" w14:textId="1BCB2BDD" w:rsidR="001A19CD" w:rsidRPr="00F1047A" w:rsidRDefault="001A19CD" w:rsidP="001A19CD">
      <w:pPr>
        <w:spacing w:after="0" w:line="276" w:lineRule="auto"/>
        <w:jc w:val="both"/>
        <w:rPr>
          <w:rFonts w:ascii="Verdana" w:hAnsi="Verdana"/>
          <w:lang w:val="es-ES"/>
        </w:rPr>
      </w:pPr>
      <w:r w:rsidRPr="00F1047A">
        <w:rPr>
          <w:rFonts w:ascii="Verdana" w:hAnsi="Verdana"/>
          <w:lang w:val="es-ES"/>
        </w:rPr>
        <w:t>Finalmente, si quiere seguir de cerca la actividad de la Agencia, la tercera edición de 2026 del</w:t>
      </w:r>
      <w:r w:rsidRPr="00F1047A">
        <w:rPr>
          <w:rFonts w:ascii="Verdana" w:hAnsi="Verdana"/>
          <w:b/>
          <w:lang w:val="es-ES"/>
        </w:rPr>
        <w:t> Radar de la Compra Pública</w:t>
      </w:r>
      <w:r w:rsidRPr="00F1047A">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Original URL: https://www.colombiacompra.gov.co/archivos/boletin/boletin-edicion-n-3-de-2026-radar-de-la-compra-publica. Click or tap if you trust this link." w:history="1">
        <w:r w:rsidRPr="00F1047A">
          <w:rPr>
            <w:rStyle w:val="Hipervnculo"/>
            <w:rFonts w:ascii="Verdana" w:hAnsi="Verdana"/>
            <w:lang w:val="es-ES"/>
          </w:rPr>
          <w:t>https://www.colombiacompra.gov.co/archivos/boletin/boletin-edicion-n-3-de-2026-radar-de-la-compra-publica</w:t>
        </w:r>
      </w:hyperlink>
      <w:r w:rsidRPr="00F1047A">
        <w:rPr>
          <w:rFonts w:ascii="Verdana" w:hAnsi="Verdana"/>
          <w:lang w:val="es-ES"/>
        </w:rPr>
        <w:t>"</w:t>
      </w:r>
    </w:p>
    <w:p w14:paraId="50FBE377" w14:textId="77777777" w:rsidR="001A19CD" w:rsidRPr="00F1047A" w:rsidRDefault="001A19CD" w:rsidP="001A19CD">
      <w:pPr>
        <w:spacing w:after="0" w:line="276" w:lineRule="auto"/>
        <w:jc w:val="both"/>
        <w:rPr>
          <w:rFonts w:ascii="Verdana" w:hAnsi="Verdana"/>
          <w:lang w:val="es-ES"/>
        </w:rPr>
      </w:pPr>
    </w:p>
    <w:p w14:paraId="6A522984" w14:textId="77777777" w:rsidR="001A19CD" w:rsidRPr="00F1047A" w:rsidRDefault="001A19CD" w:rsidP="001A19CD">
      <w:pPr>
        <w:spacing w:after="0" w:line="276" w:lineRule="auto"/>
        <w:jc w:val="both"/>
        <w:rPr>
          <w:rFonts w:ascii="Verdana" w:hAnsi="Verdana"/>
          <w:lang w:val="es-ES"/>
        </w:rPr>
      </w:pPr>
      <w:r w:rsidRPr="00F1047A">
        <w:rPr>
          <w:rFonts w:ascii="Verdana" w:hAnsi="Verdana"/>
          <w:lang w:val="es-ES"/>
        </w:rPr>
        <w:t xml:space="preserve">Por último, lo invitamos a seguirnos en las redes sociales en las cuales se difunde información institucional: </w:t>
      </w:r>
    </w:p>
    <w:p w14:paraId="6D0F8C42" w14:textId="77777777" w:rsidR="001A19CD" w:rsidRPr="00F1047A" w:rsidRDefault="001A19CD" w:rsidP="001A19CD">
      <w:pPr>
        <w:spacing w:after="0" w:line="276" w:lineRule="auto"/>
        <w:jc w:val="both"/>
        <w:rPr>
          <w:rFonts w:ascii="Verdana" w:hAnsi="Verdana"/>
          <w:lang w:val="es-ES"/>
        </w:rPr>
      </w:pPr>
    </w:p>
    <w:p w14:paraId="0884C1FB" w14:textId="77777777" w:rsidR="001A19CD" w:rsidRPr="00F1047A" w:rsidRDefault="001A19CD" w:rsidP="001A19CD">
      <w:pPr>
        <w:spacing w:after="0" w:line="276" w:lineRule="auto"/>
        <w:jc w:val="both"/>
        <w:rPr>
          <w:rFonts w:ascii="Verdana" w:hAnsi="Verdana"/>
          <w:lang w:val="es-ES"/>
        </w:rPr>
      </w:pPr>
      <w:r w:rsidRPr="00F1047A">
        <w:rPr>
          <w:rFonts w:ascii="Verdana" w:hAnsi="Verdana"/>
          <w:lang w:val="es-ES"/>
        </w:rPr>
        <w:t xml:space="preserve">Twitter: </w:t>
      </w:r>
      <w:r w:rsidRPr="00F1047A">
        <w:rPr>
          <w:rStyle w:val="Hipervnculo"/>
          <w:rFonts w:ascii="Verdana" w:hAnsi="Verdana" w:cs="Arial"/>
          <w:shd w:val="clear" w:color="auto" w:fill="FFFFFF"/>
          <w:lang w:val="es-ES"/>
        </w:rPr>
        <w:t>@colombiacompra</w:t>
      </w:r>
      <w:r w:rsidRPr="00F1047A">
        <w:rPr>
          <w:rFonts w:ascii="Verdana" w:hAnsi="Verdana"/>
          <w:color w:val="4472C4" w:themeColor="accent1"/>
          <w:lang w:val="es-ES"/>
        </w:rPr>
        <w:t xml:space="preserve"> </w:t>
      </w:r>
    </w:p>
    <w:p w14:paraId="6812735A" w14:textId="77777777" w:rsidR="001A19CD" w:rsidRPr="00F1047A" w:rsidRDefault="001A19CD" w:rsidP="001A19CD">
      <w:pPr>
        <w:spacing w:after="0" w:line="276" w:lineRule="auto"/>
        <w:jc w:val="both"/>
        <w:rPr>
          <w:rFonts w:ascii="Verdana" w:hAnsi="Verdana"/>
          <w:lang w:val="es-ES"/>
        </w:rPr>
      </w:pPr>
      <w:r w:rsidRPr="00F1047A">
        <w:rPr>
          <w:rFonts w:ascii="Verdana" w:hAnsi="Verdana"/>
          <w:lang w:val="es-ES"/>
        </w:rPr>
        <w:t xml:space="preserve">Facebook: </w:t>
      </w:r>
      <w:proofErr w:type="spellStart"/>
      <w:r w:rsidRPr="00F1047A">
        <w:rPr>
          <w:rStyle w:val="Hipervnculo"/>
          <w:rFonts w:ascii="Verdana" w:hAnsi="Verdana" w:cs="Arial"/>
          <w:shd w:val="clear" w:color="auto" w:fill="FFFFFF"/>
          <w:lang w:val="es-ES"/>
        </w:rPr>
        <w:t>ColombiaCompraEficiente</w:t>
      </w:r>
      <w:proofErr w:type="spellEnd"/>
    </w:p>
    <w:p w14:paraId="26E0343D" w14:textId="77777777" w:rsidR="001A19CD" w:rsidRPr="00F1047A" w:rsidRDefault="001A19CD" w:rsidP="001A19CD">
      <w:pPr>
        <w:spacing w:after="0" w:line="276" w:lineRule="auto"/>
        <w:jc w:val="both"/>
        <w:rPr>
          <w:rFonts w:ascii="Verdana" w:hAnsi="Verdana"/>
          <w:lang w:val="es-ES"/>
        </w:rPr>
      </w:pPr>
      <w:r w:rsidRPr="00F1047A">
        <w:rPr>
          <w:rFonts w:ascii="Verdana" w:hAnsi="Verdana"/>
          <w:lang w:val="es-ES"/>
        </w:rPr>
        <w:t xml:space="preserve">LinkedIn: </w:t>
      </w:r>
      <w:r w:rsidRPr="00F1047A">
        <w:rPr>
          <w:rStyle w:val="Hipervnculo"/>
          <w:rFonts w:ascii="Verdana" w:hAnsi="Verdana" w:cs="Arial"/>
          <w:shd w:val="clear" w:color="auto" w:fill="FFFFFF"/>
          <w:lang w:val="es-ES"/>
        </w:rPr>
        <w:t xml:space="preserve">Agencia Nacional de Contratación Pública - Colombia Compra Eficiente </w:t>
      </w:r>
      <w:r w:rsidRPr="00F1047A">
        <w:rPr>
          <w:rFonts w:ascii="Verdana" w:hAnsi="Verdana"/>
          <w:lang w:val="es-ES"/>
        </w:rPr>
        <w:t xml:space="preserve">Instagram: </w:t>
      </w:r>
      <w:r w:rsidRPr="00F1047A">
        <w:rPr>
          <w:rStyle w:val="Hipervnculo"/>
          <w:rFonts w:ascii="Verdana" w:hAnsi="Verdana" w:cs="Arial"/>
          <w:shd w:val="clear" w:color="auto" w:fill="FFFFFF"/>
          <w:lang w:val="es-ES"/>
        </w:rPr>
        <w:t>@colombiacompraeficiente_cce</w:t>
      </w:r>
    </w:p>
    <w:p w14:paraId="0240DB42" w14:textId="77777777" w:rsidR="001A19CD" w:rsidRPr="00F1047A" w:rsidRDefault="001A19CD" w:rsidP="001A19CD">
      <w:pPr>
        <w:widowControl w:val="0"/>
        <w:autoSpaceDE w:val="0"/>
        <w:autoSpaceDN w:val="0"/>
        <w:spacing w:after="0" w:line="276" w:lineRule="auto"/>
        <w:jc w:val="both"/>
        <w:rPr>
          <w:rFonts w:ascii="Verdana" w:hAnsi="Verdana" w:cs="Arial"/>
          <w:color w:val="000000" w:themeColor="text1"/>
          <w:lang w:val="es-ES"/>
        </w:rPr>
      </w:pPr>
    </w:p>
    <w:p w14:paraId="0D283751" w14:textId="77777777" w:rsidR="001A19CD" w:rsidRPr="00F1047A" w:rsidRDefault="001A19CD" w:rsidP="001A19CD">
      <w:pPr>
        <w:widowControl w:val="0"/>
        <w:autoSpaceDE w:val="0"/>
        <w:autoSpaceDN w:val="0"/>
        <w:spacing w:after="0" w:line="276" w:lineRule="auto"/>
        <w:jc w:val="both"/>
        <w:rPr>
          <w:rFonts w:ascii="Verdana" w:hAnsi="Verdana" w:cs="Arial"/>
          <w:color w:val="000000" w:themeColor="text1"/>
          <w:lang w:val="es-ES"/>
        </w:rPr>
      </w:pPr>
      <w:r w:rsidRPr="00F1047A">
        <w:rPr>
          <w:rFonts w:ascii="Verdana" w:hAnsi="Verdana" w:cs="Arial"/>
          <w:color w:val="000000" w:themeColor="text1"/>
          <w:lang w:val="es-ES"/>
        </w:rPr>
        <w:lastRenderedPageBreak/>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ADEC4B7" w14:textId="2BEF8DD1" w:rsidR="001A19CD" w:rsidRPr="00F1047A" w:rsidRDefault="001A19CD" w:rsidP="001A19CD">
      <w:pPr>
        <w:widowControl w:val="0"/>
        <w:autoSpaceDE w:val="0"/>
        <w:autoSpaceDN w:val="0"/>
        <w:spacing w:after="0" w:line="276" w:lineRule="auto"/>
        <w:jc w:val="both"/>
        <w:rPr>
          <w:rFonts w:ascii="Verdana" w:hAnsi="Verdana" w:cs="Arial"/>
          <w:color w:val="000000" w:themeColor="text1"/>
          <w:lang w:val="es-ES"/>
        </w:rPr>
      </w:pPr>
    </w:p>
    <w:p w14:paraId="2F2D8A59" w14:textId="0A7F968D" w:rsidR="001A19CD" w:rsidRDefault="001A19CD" w:rsidP="001A19CD">
      <w:pPr>
        <w:spacing w:after="0" w:line="276" w:lineRule="auto"/>
        <w:rPr>
          <w:rFonts w:ascii="Verdana" w:hAnsi="Verdana" w:cs="Arial"/>
          <w:color w:val="000000" w:themeColor="text1"/>
          <w:lang w:val="es-ES" w:eastAsia="es-CO"/>
        </w:rPr>
      </w:pPr>
      <w:r w:rsidRPr="00F1047A">
        <w:rPr>
          <w:rFonts w:ascii="Verdana" w:eastAsia="Times New Roman" w:hAnsi="Verdana" w:cs="Arial"/>
          <w:color w:val="000000" w:themeColor="text1"/>
          <w:lang w:val="es-ES" w:eastAsia="es-CO"/>
        </w:rPr>
        <w:t>Atentamente,</w:t>
      </w:r>
      <w:r w:rsidRPr="00F1047A">
        <w:rPr>
          <w:rFonts w:ascii="Verdana" w:hAnsi="Verdana" w:cs="Arial"/>
          <w:color w:val="000000" w:themeColor="text1"/>
          <w:lang w:val="es-ES" w:eastAsia="es-CO"/>
        </w:rPr>
        <w:t xml:space="preserve"> </w:t>
      </w:r>
    </w:p>
    <w:p w14:paraId="4280329C" w14:textId="5BBF56BE" w:rsidR="00B17840" w:rsidRPr="00F1047A" w:rsidRDefault="00B17840" w:rsidP="001A19CD">
      <w:pPr>
        <w:spacing w:after="0" w:line="276" w:lineRule="auto"/>
        <w:rPr>
          <w:rFonts w:ascii="Verdana" w:hAnsi="Verdana" w:cs="Arial"/>
          <w:color w:val="000000" w:themeColor="text1"/>
          <w:lang w:val="es-ES" w:eastAsia="es-CO"/>
        </w:rPr>
      </w:pPr>
      <w:r w:rsidRPr="00F21F0B">
        <w:rPr>
          <w:rFonts w:ascii="Century Gothic" w:hAnsi="Century Gothic"/>
          <w:noProof/>
        </w:rPr>
        <w:drawing>
          <wp:anchor distT="0" distB="0" distL="114300" distR="114300" simplePos="0" relativeHeight="251659264" behindDoc="0" locked="0" layoutInCell="1" allowOverlap="1" wp14:anchorId="024B7DB2" wp14:editId="694C875A">
            <wp:simplePos x="0" y="0"/>
            <wp:positionH relativeFrom="column">
              <wp:posOffset>953146</wp:posOffset>
            </wp:positionH>
            <wp:positionV relativeFrom="paragraph">
              <wp:posOffset>47130</wp:posOffset>
            </wp:positionV>
            <wp:extent cx="3771900" cy="1402080"/>
            <wp:effectExtent l="0" t="0" r="0" b="0"/>
            <wp:wrapSquare wrapText="bothSides"/>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135C7" w14:textId="77777777" w:rsidR="001A19CD" w:rsidRPr="00F1047A" w:rsidRDefault="001A19CD" w:rsidP="001A19CD">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A19CD" w:rsidRPr="00F1047A" w14:paraId="21B3EBDB" w14:textId="77777777" w:rsidTr="001510B2">
        <w:trPr>
          <w:trHeight w:val="315"/>
        </w:trPr>
        <w:tc>
          <w:tcPr>
            <w:tcW w:w="893" w:type="dxa"/>
            <w:vAlign w:val="center"/>
            <w:hideMark/>
          </w:tcPr>
          <w:p w14:paraId="7218C4AB" w14:textId="77777777" w:rsidR="001A19CD" w:rsidRPr="00F1047A" w:rsidRDefault="001A19CD" w:rsidP="001510B2">
            <w:pPr>
              <w:contextualSpacing/>
              <w:rPr>
                <w:rFonts w:ascii="Verdana" w:hAnsi="Verdana" w:cs="Arial"/>
                <w:sz w:val="15"/>
                <w:szCs w:val="15"/>
                <w:lang w:val="es-ES" w:eastAsia="es-ES"/>
              </w:rPr>
            </w:pPr>
            <w:r w:rsidRPr="00F1047A">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3B3DC8DC" w14:textId="77777777" w:rsidR="001A19CD" w:rsidRPr="00F1047A" w:rsidRDefault="001A19CD" w:rsidP="001510B2">
            <w:pPr>
              <w:contextualSpacing/>
              <w:rPr>
                <w:rFonts w:ascii="Verdana" w:eastAsia="Arial" w:hAnsi="Verdana" w:cs="Arial"/>
                <w:color w:val="000000" w:themeColor="text1"/>
                <w:sz w:val="15"/>
                <w:szCs w:val="15"/>
                <w:lang w:val="es-ES"/>
              </w:rPr>
            </w:pPr>
            <w:proofErr w:type="spellStart"/>
            <w:r w:rsidRPr="00F1047A">
              <w:rPr>
                <w:rFonts w:ascii="Verdana" w:eastAsia="Arial" w:hAnsi="Verdana" w:cs="Arial"/>
                <w:color w:val="000000" w:themeColor="text1"/>
                <w:sz w:val="15"/>
                <w:szCs w:val="15"/>
                <w:lang w:val="es-ES"/>
              </w:rPr>
              <w:t>Anamaría</w:t>
            </w:r>
            <w:proofErr w:type="spellEnd"/>
            <w:r w:rsidRPr="00F1047A">
              <w:rPr>
                <w:rFonts w:ascii="Verdana" w:eastAsia="Arial" w:hAnsi="Verdana" w:cs="Arial"/>
                <w:color w:val="000000" w:themeColor="text1"/>
                <w:sz w:val="15"/>
                <w:szCs w:val="15"/>
                <w:lang w:val="es-ES"/>
              </w:rPr>
              <w:t xml:space="preserve"> Bonilla Prieto</w:t>
            </w:r>
          </w:p>
          <w:p w14:paraId="4C4F8526" w14:textId="77777777" w:rsidR="001A19CD" w:rsidRPr="00F1047A" w:rsidRDefault="001A19CD" w:rsidP="001510B2">
            <w:pPr>
              <w:contextualSpacing/>
              <w:rPr>
                <w:rFonts w:ascii="Verdana" w:eastAsia="Arial" w:hAnsi="Verdana" w:cs="Arial"/>
                <w:sz w:val="15"/>
                <w:szCs w:val="15"/>
                <w:lang w:val="es-ES"/>
              </w:rPr>
            </w:pPr>
            <w:r w:rsidRPr="00F1047A">
              <w:rPr>
                <w:rStyle w:val="normaltextrun"/>
                <w:rFonts w:ascii="Verdana" w:eastAsia="Arial" w:hAnsi="Verdana" w:cs="Arial"/>
                <w:color w:val="000000" w:themeColor="text1"/>
                <w:sz w:val="15"/>
                <w:szCs w:val="15"/>
                <w:lang w:val="es-ES"/>
              </w:rPr>
              <w:t xml:space="preserve">Contratista de la Subdirección </w:t>
            </w:r>
            <w:r w:rsidRPr="00F1047A">
              <w:rPr>
                <w:rStyle w:val="normaltextrun"/>
                <w:rFonts w:ascii="Verdana" w:eastAsia="Arial" w:hAnsi="Verdana" w:cs="Arial"/>
                <w:sz w:val="15"/>
                <w:szCs w:val="15"/>
                <w:lang w:val="es-ES"/>
              </w:rPr>
              <w:t>de Gestión Contractual</w:t>
            </w:r>
          </w:p>
        </w:tc>
      </w:tr>
      <w:tr w:rsidR="001A19CD" w:rsidRPr="00F1047A" w14:paraId="6D2573C3" w14:textId="77777777" w:rsidTr="001510B2">
        <w:trPr>
          <w:trHeight w:val="330"/>
        </w:trPr>
        <w:tc>
          <w:tcPr>
            <w:tcW w:w="893" w:type="dxa"/>
            <w:vAlign w:val="center"/>
            <w:hideMark/>
          </w:tcPr>
          <w:p w14:paraId="0E6BFD5D" w14:textId="77777777" w:rsidR="001A19CD" w:rsidRPr="00F1047A" w:rsidRDefault="001A19CD" w:rsidP="001510B2">
            <w:pPr>
              <w:contextualSpacing/>
              <w:rPr>
                <w:rFonts w:ascii="Verdana" w:hAnsi="Verdana" w:cs="Arial"/>
                <w:sz w:val="15"/>
                <w:szCs w:val="15"/>
                <w:lang w:val="es-ES" w:eastAsia="es-ES"/>
              </w:rPr>
            </w:pPr>
            <w:r w:rsidRPr="00F1047A">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FE3933A" w14:textId="77777777" w:rsidR="001A19CD" w:rsidRPr="00F1047A" w:rsidRDefault="001A19CD" w:rsidP="001510B2">
            <w:pPr>
              <w:contextualSpacing/>
              <w:rPr>
                <w:rFonts w:ascii="Verdana" w:eastAsia="Arial" w:hAnsi="Verdana" w:cs="Arial"/>
                <w:color w:val="000000" w:themeColor="text1"/>
                <w:sz w:val="15"/>
                <w:szCs w:val="15"/>
                <w:lang w:val="es-ES"/>
              </w:rPr>
            </w:pPr>
            <w:r w:rsidRPr="00F1047A">
              <w:rPr>
                <w:rFonts w:ascii="Verdana" w:eastAsia="Arial" w:hAnsi="Verdana" w:cs="Arial"/>
                <w:color w:val="000000" w:themeColor="text1"/>
                <w:sz w:val="15"/>
                <w:szCs w:val="15"/>
                <w:lang w:val="es-ES"/>
              </w:rPr>
              <w:t>Alejandro Sarmiento Cantillo</w:t>
            </w:r>
          </w:p>
          <w:p w14:paraId="38940BFC" w14:textId="77777777" w:rsidR="001A19CD" w:rsidRPr="00F1047A" w:rsidRDefault="001A19CD" w:rsidP="001510B2">
            <w:pPr>
              <w:pStyle w:val="paragraph"/>
              <w:spacing w:before="0" w:beforeAutospacing="0" w:after="0" w:afterAutospacing="0"/>
              <w:contextualSpacing/>
              <w:textAlignment w:val="baseline"/>
              <w:rPr>
                <w:rFonts w:ascii="Verdana" w:hAnsi="Verdana" w:cs="Segoe UI"/>
                <w:sz w:val="15"/>
                <w:szCs w:val="15"/>
                <w:lang w:val="es-ES"/>
              </w:rPr>
            </w:pPr>
            <w:r w:rsidRPr="00F1047A">
              <w:rPr>
                <w:rFonts w:ascii="Verdana" w:eastAsia="Arial" w:hAnsi="Verdana" w:cs="Arial"/>
                <w:color w:val="000000" w:themeColor="text1"/>
                <w:sz w:val="15"/>
                <w:szCs w:val="15"/>
                <w:lang w:val="es-ES"/>
              </w:rPr>
              <w:t>Gestor T1 – 15 de la Subdirección de Gestión Contractual</w:t>
            </w:r>
            <w:r w:rsidRPr="00F1047A">
              <w:rPr>
                <w:rFonts w:ascii="Verdana" w:hAnsi="Verdana" w:cs="Segoe UI"/>
                <w:sz w:val="15"/>
                <w:szCs w:val="15"/>
                <w:lang w:val="es-ES"/>
              </w:rPr>
              <w:t> </w:t>
            </w:r>
          </w:p>
          <w:p w14:paraId="229C9C50" w14:textId="77777777" w:rsidR="001A19CD" w:rsidRPr="00F1047A" w:rsidRDefault="001A19CD" w:rsidP="001510B2">
            <w:pPr>
              <w:pStyle w:val="paragraph"/>
              <w:spacing w:before="0" w:beforeAutospacing="0" w:after="0" w:afterAutospacing="0"/>
              <w:contextualSpacing/>
              <w:textAlignment w:val="baseline"/>
              <w:rPr>
                <w:rFonts w:ascii="Verdana" w:hAnsi="Verdana" w:cs="Segoe UI"/>
                <w:sz w:val="15"/>
                <w:szCs w:val="15"/>
                <w:lang w:val="es-ES"/>
              </w:rPr>
            </w:pPr>
          </w:p>
        </w:tc>
      </w:tr>
      <w:tr w:rsidR="001A19CD" w:rsidRPr="00F1047A" w14:paraId="11152DC1" w14:textId="77777777" w:rsidTr="001510B2">
        <w:trPr>
          <w:trHeight w:val="300"/>
        </w:trPr>
        <w:tc>
          <w:tcPr>
            <w:tcW w:w="893" w:type="dxa"/>
            <w:vAlign w:val="center"/>
          </w:tcPr>
          <w:p w14:paraId="50D703B7" w14:textId="77777777" w:rsidR="001A19CD" w:rsidRPr="00F1047A" w:rsidRDefault="001A19CD" w:rsidP="001510B2">
            <w:pPr>
              <w:contextualSpacing/>
              <w:rPr>
                <w:rFonts w:ascii="Verdana" w:hAnsi="Verdana" w:cs="Arial"/>
                <w:sz w:val="15"/>
                <w:szCs w:val="15"/>
                <w:lang w:val="es-ES" w:eastAsia="es-ES"/>
              </w:rPr>
            </w:pPr>
            <w:r w:rsidRPr="00F1047A">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3B65154" w14:textId="77777777" w:rsidR="001A19CD" w:rsidRPr="00F1047A" w:rsidRDefault="001A19CD" w:rsidP="001510B2">
            <w:pPr>
              <w:contextualSpacing/>
              <w:rPr>
                <w:rFonts w:ascii="Verdana" w:eastAsia="Calibri" w:hAnsi="Verdana" w:cs="Arial"/>
                <w:sz w:val="16"/>
                <w:szCs w:val="16"/>
                <w:lang w:val="es-ES" w:eastAsia="es-ES"/>
              </w:rPr>
            </w:pPr>
            <w:r w:rsidRPr="00F1047A">
              <w:rPr>
                <w:rFonts w:ascii="Verdana" w:eastAsia="Calibri" w:hAnsi="Verdana" w:cs="Arial"/>
                <w:sz w:val="16"/>
                <w:szCs w:val="16"/>
                <w:lang w:val="es-ES" w:eastAsia="es-ES"/>
              </w:rPr>
              <w:t>Carolina Quintero Gacharná</w:t>
            </w:r>
          </w:p>
          <w:p w14:paraId="645AF927" w14:textId="77777777" w:rsidR="001A19CD" w:rsidRPr="00F1047A" w:rsidRDefault="001A19CD" w:rsidP="001510B2">
            <w:pPr>
              <w:contextualSpacing/>
              <w:rPr>
                <w:rFonts w:ascii="Verdana" w:eastAsia="Calibri" w:hAnsi="Verdana" w:cs="Arial"/>
                <w:sz w:val="15"/>
                <w:szCs w:val="15"/>
                <w:lang w:val="es-ES" w:eastAsia="es-ES"/>
              </w:rPr>
            </w:pPr>
            <w:r w:rsidRPr="00F1047A">
              <w:rPr>
                <w:rFonts w:ascii="Verdana" w:eastAsia="Calibri" w:hAnsi="Verdana" w:cs="Arial"/>
                <w:sz w:val="16"/>
                <w:szCs w:val="16"/>
                <w:lang w:val="es-ES" w:eastAsia="es-ES"/>
              </w:rPr>
              <w:t>Subdirectora de Gestión Contractual ANCP – CCE</w:t>
            </w:r>
          </w:p>
        </w:tc>
      </w:tr>
      <w:bookmarkEnd w:id="0"/>
    </w:tbl>
    <w:p w14:paraId="7488FDC2" w14:textId="2AA8DE4B" w:rsidR="001A19CD" w:rsidRPr="00F1047A" w:rsidRDefault="001A19CD" w:rsidP="001A19CD">
      <w:pPr>
        <w:rPr>
          <w:lang w:val="es-ES"/>
        </w:rPr>
      </w:pPr>
    </w:p>
    <w:p w14:paraId="467BE19B" w14:textId="77777777" w:rsidR="001A19CD" w:rsidRPr="00F1047A" w:rsidRDefault="001A19CD" w:rsidP="001A19CD">
      <w:pPr>
        <w:rPr>
          <w:lang w:val="es-ES"/>
        </w:rPr>
      </w:pPr>
    </w:p>
    <w:p w14:paraId="198AC0F7" w14:textId="77777777" w:rsidR="001A19CD" w:rsidRPr="00F1047A" w:rsidRDefault="001A19CD" w:rsidP="001A19CD">
      <w:pPr>
        <w:rPr>
          <w:lang w:val="es-ES"/>
        </w:rPr>
      </w:pPr>
    </w:p>
    <w:p w14:paraId="0F293BF4" w14:textId="43CCDB79" w:rsidR="00127233" w:rsidRPr="00F1047A" w:rsidRDefault="00127233" w:rsidP="001A19CD">
      <w:pPr>
        <w:rPr>
          <w:lang w:val="es-ES"/>
        </w:rPr>
      </w:pPr>
    </w:p>
    <w:sectPr w:rsidR="00127233" w:rsidRPr="00F1047A"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F203" w14:textId="77777777" w:rsidR="00163368" w:rsidRDefault="00163368" w:rsidP="004A1847">
      <w:pPr>
        <w:spacing w:after="0" w:line="240" w:lineRule="auto"/>
      </w:pPr>
      <w:r>
        <w:separator/>
      </w:r>
    </w:p>
  </w:endnote>
  <w:endnote w:type="continuationSeparator" w:id="0">
    <w:p w14:paraId="489CDADA" w14:textId="77777777" w:rsidR="00163368" w:rsidRDefault="00163368" w:rsidP="004A1847">
      <w:pPr>
        <w:spacing w:after="0" w:line="240" w:lineRule="auto"/>
      </w:pPr>
      <w:r>
        <w:continuationSeparator/>
      </w:r>
    </w:p>
  </w:endnote>
  <w:endnote w:type="continuationNotice" w:id="1">
    <w:p w14:paraId="3365DAD2" w14:textId="77777777" w:rsidR="00163368" w:rsidRDefault="00163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7E291" w14:textId="77777777" w:rsidR="00163368" w:rsidRDefault="00163368" w:rsidP="004A1847">
      <w:pPr>
        <w:spacing w:after="0" w:line="240" w:lineRule="auto"/>
      </w:pPr>
      <w:r>
        <w:separator/>
      </w:r>
    </w:p>
  </w:footnote>
  <w:footnote w:type="continuationSeparator" w:id="0">
    <w:p w14:paraId="331C2188" w14:textId="77777777" w:rsidR="00163368" w:rsidRDefault="00163368" w:rsidP="004A1847">
      <w:pPr>
        <w:spacing w:after="0" w:line="240" w:lineRule="auto"/>
      </w:pPr>
      <w:r>
        <w:continuationSeparator/>
      </w:r>
    </w:p>
  </w:footnote>
  <w:footnote w:type="continuationNotice" w:id="1">
    <w:p w14:paraId="6538EA47" w14:textId="77777777" w:rsidR="00163368" w:rsidRDefault="00163368">
      <w:pPr>
        <w:spacing w:after="0" w:line="240" w:lineRule="auto"/>
      </w:pPr>
    </w:p>
  </w:footnote>
  <w:footnote w:id="2">
    <w:p w14:paraId="24AFD32B" w14:textId="77777777" w:rsidR="00080784" w:rsidRPr="004C5B3E" w:rsidRDefault="00080784" w:rsidP="00080784">
      <w:pPr>
        <w:pStyle w:val="Textonotapie"/>
        <w:ind w:firstLine="708"/>
        <w:jc w:val="both"/>
        <w:rPr>
          <w:rFonts w:ascii="Verdana" w:hAnsi="Verdana"/>
          <w:i/>
          <w:sz w:val="16"/>
          <w:szCs w:val="16"/>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ES"/>
        </w:rPr>
        <w:t xml:space="preserve">Constitución Política de 1991. Artículo </w:t>
      </w:r>
      <w:r w:rsidRPr="004C5B3E">
        <w:rPr>
          <w:rFonts w:ascii="Verdana" w:hAnsi="Verdana"/>
          <w:sz w:val="16"/>
          <w:szCs w:val="16"/>
        </w:rPr>
        <w:t xml:space="preserve">52: </w:t>
      </w:r>
      <w:r w:rsidRPr="004C5B3E">
        <w:rPr>
          <w:rFonts w:ascii="Verdana" w:hAnsi="Verdana"/>
          <w:b/>
          <w:sz w:val="16"/>
          <w:szCs w:val="16"/>
        </w:rPr>
        <w:t>“</w:t>
      </w:r>
      <w:r w:rsidRPr="004C5B3E">
        <w:rPr>
          <w:rFonts w:ascii="Verdana" w:hAnsi="Verdana"/>
          <w:i/>
          <w:sz w:val="16"/>
          <w:szCs w:val="16"/>
        </w:rPr>
        <w:t>El ejercicio del deporte, sus manifestaciones recreativas, competitivas y autoctonas tienen como función la formación integral de las personas, preservar y desarrollar una mejor salud en el ser humano.</w:t>
      </w:r>
    </w:p>
    <w:p w14:paraId="0844D4F1" w14:textId="77777777" w:rsidR="00080784" w:rsidRPr="00640470" w:rsidRDefault="00080784" w:rsidP="00080784">
      <w:pPr>
        <w:pStyle w:val="Textonotapie"/>
        <w:ind w:firstLine="708"/>
        <w:jc w:val="both"/>
        <w:rPr>
          <w:rFonts w:ascii="Verdana" w:hAnsi="Verdana"/>
          <w:i/>
          <w:sz w:val="16"/>
          <w:szCs w:val="16"/>
        </w:rPr>
      </w:pPr>
      <w:r w:rsidRPr="00640470">
        <w:rPr>
          <w:rFonts w:ascii="Verdana" w:hAnsi="Verdana"/>
          <w:i/>
          <w:sz w:val="16"/>
          <w:szCs w:val="16"/>
        </w:rPr>
        <w:t>El deporte y la recreación, forman parte de la educación y constituyen gasto público social.</w:t>
      </w:r>
    </w:p>
    <w:p w14:paraId="53A9DD7E" w14:textId="77777777" w:rsidR="00080784" w:rsidRPr="00640470" w:rsidRDefault="00080784" w:rsidP="00080784">
      <w:pPr>
        <w:pStyle w:val="Textonotapie"/>
        <w:ind w:firstLine="708"/>
        <w:jc w:val="both"/>
        <w:rPr>
          <w:rFonts w:ascii="Verdana" w:hAnsi="Verdana"/>
          <w:i/>
          <w:sz w:val="16"/>
          <w:szCs w:val="16"/>
        </w:rPr>
      </w:pPr>
      <w:r w:rsidRPr="00640470">
        <w:rPr>
          <w:rFonts w:ascii="Verdana" w:hAnsi="Verdana"/>
          <w:i/>
          <w:sz w:val="16"/>
          <w:szCs w:val="16"/>
        </w:rPr>
        <w:t>Se reconoce el derecho de todas las personas a la recreación, a la práctica del deporte y al aprovechamiento del tiempo libre.</w:t>
      </w:r>
    </w:p>
    <w:p w14:paraId="36A3109A" w14:textId="77777777" w:rsidR="00080784" w:rsidRPr="004C5B3E" w:rsidRDefault="00080784" w:rsidP="00080784">
      <w:pPr>
        <w:pStyle w:val="Textonotapie"/>
        <w:ind w:firstLine="708"/>
        <w:jc w:val="both"/>
        <w:rPr>
          <w:rFonts w:ascii="Verdana" w:hAnsi="Verdana"/>
          <w:sz w:val="16"/>
          <w:szCs w:val="16"/>
        </w:rPr>
      </w:pPr>
      <w:r w:rsidRPr="00640470">
        <w:rPr>
          <w:rFonts w:ascii="Verdana" w:hAnsi="Verdana"/>
          <w:i/>
          <w:sz w:val="16"/>
          <w:szCs w:val="16"/>
        </w:rPr>
        <w:t>El Estado fomentará estas actividades e inspeccionara, vigilará y controlará las organizaciones deportivas y recreativas cuya estructura y propiedad deberán ser democráticas</w:t>
      </w:r>
      <w:r w:rsidRPr="004C5B3E">
        <w:rPr>
          <w:rFonts w:ascii="Verdana" w:hAnsi="Verdana"/>
          <w:sz w:val="16"/>
          <w:szCs w:val="16"/>
        </w:rPr>
        <w:t>”.</w:t>
      </w:r>
    </w:p>
  </w:footnote>
  <w:footnote w:id="3">
    <w:p w14:paraId="28C0B804" w14:textId="77777777" w:rsidR="00080784" w:rsidRPr="004C5B3E" w:rsidRDefault="00080784" w:rsidP="00080784">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ES"/>
        </w:rPr>
        <w:t xml:space="preserve">Exposición de motivos de la Ley 181 de 1995, disponible para consulta en: </w:t>
      </w:r>
      <w:hyperlink r:id="rId1" w:anchor="0" w:history="1">
        <w:r w:rsidRPr="004C5B3E">
          <w:rPr>
            <w:rStyle w:val="Hipervnculo"/>
            <w:rFonts w:ascii="Verdana" w:hAnsi="Verdana"/>
            <w:sz w:val="16"/>
            <w:szCs w:val="16"/>
            <w:lang w:val="es-ES"/>
          </w:rPr>
          <w:t>https://sisjur.bogotajuridica.gov.co/sisjur/normas/Norma1.jsp?i=10592#0</w:t>
        </w:r>
      </w:hyperlink>
      <w:r w:rsidRPr="004C5B3E">
        <w:rPr>
          <w:rFonts w:ascii="Verdana" w:hAnsi="Verdana"/>
          <w:sz w:val="16"/>
          <w:szCs w:val="16"/>
          <w:lang w:val="es-ES"/>
        </w:rPr>
        <w:t xml:space="preserve"> </w:t>
      </w:r>
    </w:p>
  </w:footnote>
  <w:footnote w:id="4">
    <w:p w14:paraId="046043A7" w14:textId="77777777" w:rsidR="00080784" w:rsidRPr="004C5B3E" w:rsidRDefault="00080784" w:rsidP="00080784">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C</w:t>
      </w:r>
      <w:r w:rsidRPr="004C5B3E">
        <w:rPr>
          <w:rFonts w:ascii="Verdana" w:hAnsi="Verdana"/>
          <w:sz w:val="16"/>
          <w:szCs w:val="16"/>
          <w:lang w:val="es-CO"/>
        </w:rPr>
        <w:t>ongreso de la República de Colombia. Gaceta del Congreso No. 596 del 10 de agosto de 2018. Proyecto de Ley número 78 de 2018 Senado, "por la cual se transforma el Departamento Administrativo del Deporte, la Recreación, la Actividad Física y el Aprovechamiento del Tiempo Libre (Coldeportes) en el Ministerio del Deporte", Exposición de Motivos, pp. 8-19.</w:t>
      </w:r>
    </w:p>
  </w:footnote>
  <w:footnote w:id="5">
    <w:p w14:paraId="7C101B1B" w14:textId="77777777" w:rsidR="00080784" w:rsidRPr="004C5B3E" w:rsidRDefault="00080784" w:rsidP="00080784">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CO"/>
        </w:rPr>
        <w:t xml:space="preserve">Corte Constitucional, Sentencia C-439 del 17 de agosto de 2016, M.P. Alberto Rojas Ríos, disponible EN: https://www.corteconstitucional.gov.co/RELATORIA/2016/C-439-16.htm. </w:t>
      </w:r>
      <w:r w:rsidRPr="004C5B3E">
        <w:rPr>
          <w:rFonts w:ascii="Verdana" w:hAnsi="Verdana"/>
          <w:sz w:val="16"/>
          <w:szCs w:val="16"/>
        </w:rPr>
        <w:t>Al respecto señaló: “</w:t>
      </w:r>
      <w:r w:rsidRPr="004C5B3E">
        <w:rPr>
          <w:rFonts w:ascii="Verdana" w:hAnsi="Verdana"/>
          <w:sz w:val="16"/>
          <w:szCs w:val="16"/>
          <w:lang w:val="es-CO"/>
        </w:rPr>
        <w:t>6.2. Recientemente, en la Sentencia C-451 de 2015, esta Corporación hizo expresa referencia al aludido tema. En dicho fallo, basada en las previsiones que sobre la materia establecen las Leyes 57 y 153 de 1887 y lo dicho en la jurisprudencia, la Corte puso de presente que existen al menos tres criterios hermenéuticos para solucionar los conflictos entre leyes: </w:t>
      </w:r>
      <w:r w:rsidRPr="004C5B3E">
        <w:rPr>
          <w:rFonts w:ascii="Verdana" w:hAnsi="Verdana"/>
          <w:b/>
          <w:bCs/>
          <w:i/>
          <w:iCs/>
          <w:sz w:val="16"/>
          <w:szCs w:val="16"/>
          <w:lang w:val="es-CO"/>
        </w:rPr>
        <w:t>(i)</w:t>
      </w:r>
      <w:r w:rsidRPr="004C5B3E">
        <w:rPr>
          <w:rFonts w:ascii="Verdana" w:hAnsi="Verdana"/>
          <w:sz w:val="16"/>
          <w:szCs w:val="16"/>
          <w:lang w:val="es-CO"/>
        </w:rPr>
        <w:t> el </w:t>
      </w:r>
      <w:r w:rsidRPr="004C5B3E">
        <w:rPr>
          <w:rFonts w:ascii="Verdana" w:hAnsi="Verdana"/>
          <w:sz w:val="16"/>
          <w:szCs w:val="16"/>
          <w:u w:val="single"/>
          <w:lang w:val="es-CO"/>
        </w:rPr>
        <w:t>criterio jerárquico</w:t>
      </w:r>
      <w:r w:rsidRPr="004C5B3E">
        <w:rPr>
          <w:rFonts w:ascii="Verdana" w:hAnsi="Verdana"/>
          <w:sz w:val="16"/>
          <w:szCs w:val="16"/>
          <w:lang w:val="es-CO"/>
        </w:rPr>
        <w:t>, según el cual la norma superior prima o prevalece sobre la inferior (</w:t>
      </w:r>
      <w:r w:rsidRPr="004C5B3E">
        <w:rPr>
          <w:rFonts w:ascii="Verdana" w:hAnsi="Verdana"/>
          <w:i/>
          <w:iCs/>
          <w:sz w:val="16"/>
          <w:szCs w:val="16"/>
          <w:lang w:val="es-CO"/>
        </w:rPr>
        <w:t>lex superior derogat inferiori</w:t>
      </w:r>
      <w:r w:rsidRPr="004C5B3E">
        <w:rPr>
          <w:rFonts w:ascii="Verdana" w:hAnsi="Verdana"/>
          <w:sz w:val="16"/>
          <w:szCs w:val="16"/>
          <w:lang w:val="es-CO"/>
        </w:rPr>
        <w:t>); </w:t>
      </w:r>
      <w:r w:rsidRPr="004C5B3E">
        <w:rPr>
          <w:rFonts w:ascii="Verdana" w:hAnsi="Verdana"/>
          <w:b/>
          <w:bCs/>
          <w:i/>
          <w:iCs/>
          <w:sz w:val="16"/>
          <w:szCs w:val="16"/>
          <w:lang w:val="es-CO"/>
        </w:rPr>
        <w:t>(ii)</w:t>
      </w:r>
      <w:r w:rsidRPr="004C5B3E">
        <w:rPr>
          <w:rFonts w:ascii="Verdana" w:hAnsi="Verdana"/>
          <w:sz w:val="16"/>
          <w:szCs w:val="16"/>
          <w:lang w:val="es-CO"/>
        </w:rPr>
        <w:t> el </w:t>
      </w:r>
      <w:r w:rsidRPr="004C5B3E">
        <w:rPr>
          <w:rFonts w:ascii="Verdana" w:hAnsi="Verdana"/>
          <w:sz w:val="16"/>
          <w:szCs w:val="16"/>
          <w:u w:val="single"/>
          <w:lang w:val="es-CO"/>
        </w:rPr>
        <w:t>criterio cronológico</w:t>
      </w:r>
      <w:r w:rsidRPr="004C5B3E">
        <w:rPr>
          <w:rFonts w:ascii="Verdana" w:hAnsi="Verdana"/>
          <w:sz w:val="16"/>
          <w:szCs w:val="16"/>
          <w:lang w:val="es-CO"/>
        </w:rPr>
        <w:t>, que reconoce la prevalencia de la norma posterior sobre la anterior, esto es, que en caso de incompatibilidad entre dos normas de igual jerarquía expedidas en momentos distintos debe preferirse la posterior en el tiempo (</w:t>
      </w:r>
      <w:r w:rsidRPr="004C5B3E">
        <w:rPr>
          <w:rFonts w:ascii="Verdana" w:hAnsi="Verdana"/>
          <w:i/>
          <w:iCs/>
          <w:sz w:val="16"/>
          <w:szCs w:val="16"/>
          <w:lang w:val="es-CO"/>
        </w:rPr>
        <w:t>lex posterior derogat priori</w:t>
      </w:r>
      <w:r w:rsidRPr="004C5B3E">
        <w:rPr>
          <w:rFonts w:ascii="Verdana" w:hAnsi="Verdana"/>
          <w:sz w:val="16"/>
          <w:szCs w:val="16"/>
          <w:lang w:val="es-CO"/>
        </w:rPr>
        <w:t>); y </w:t>
      </w:r>
      <w:r w:rsidRPr="004C5B3E">
        <w:rPr>
          <w:rFonts w:ascii="Verdana" w:hAnsi="Verdana"/>
          <w:b/>
          <w:bCs/>
          <w:i/>
          <w:iCs/>
          <w:sz w:val="16"/>
          <w:szCs w:val="16"/>
          <w:lang w:val="es-CO"/>
        </w:rPr>
        <w:t>(iii)</w:t>
      </w:r>
      <w:r w:rsidRPr="004C5B3E">
        <w:rPr>
          <w:rFonts w:ascii="Verdana" w:hAnsi="Verdana"/>
          <w:sz w:val="16"/>
          <w:szCs w:val="16"/>
          <w:lang w:val="es-CO"/>
        </w:rPr>
        <w:t> el </w:t>
      </w:r>
      <w:r w:rsidRPr="004C5B3E">
        <w:rPr>
          <w:rFonts w:ascii="Verdana" w:hAnsi="Verdana"/>
          <w:sz w:val="16"/>
          <w:szCs w:val="16"/>
          <w:u w:val="single"/>
          <w:lang w:val="es-CO"/>
        </w:rPr>
        <w:t>criterio de especialidad</w:t>
      </w:r>
      <w:r w:rsidRPr="004C5B3E">
        <w:rPr>
          <w:rFonts w:ascii="Verdana" w:hAnsi="Verdana"/>
          <w:sz w:val="16"/>
          <w:szCs w:val="16"/>
          <w:lang w:val="es-CO"/>
        </w:rPr>
        <w:t>, según el cual la norma especial prima sobre la general (</w:t>
      </w:r>
      <w:r w:rsidRPr="004C5B3E">
        <w:rPr>
          <w:rFonts w:ascii="Verdana" w:hAnsi="Verdana"/>
          <w:i/>
          <w:iCs/>
          <w:sz w:val="16"/>
          <w:szCs w:val="16"/>
          <w:lang w:val="es-CO"/>
        </w:rPr>
        <w:t>lex specialis derogat generali</w:t>
      </w:r>
      <w:r w:rsidRPr="004C5B3E">
        <w:rPr>
          <w:rFonts w:ascii="Verdana" w:hAnsi="Verdana"/>
          <w:sz w:val="16"/>
          <w:szCs w:val="16"/>
          <w:lang w:val="es-CO"/>
        </w:rPr>
        <w:t>). Con respecto a este último criterio, se sostiene que, en tales casos, no se está propiamente ante una antinomia, en razón a que se entiende que la norma general se aplica a todos los campos con excepción de aquél que es regulado por la norma especial, con lo cual las mismas difieren en su ámbito de aplicación”.  </w:t>
      </w:r>
    </w:p>
  </w:footnote>
  <w:footnote w:id="6">
    <w:p w14:paraId="10ECD8EB" w14:textId="77777777" w:rsidR="00080784" w:rsidRPr="004C5B3E" w:rsidRDefault="00080784" w:rsidP="00080784">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CO"/>
        </w:rPr>
        <w:t xml:space="preserve">Consejo de Estado, Sala de Consulta y Servicio Civil, Concepto del 8 de marzo de 2017, radicación número 11001-03-06-000-2016-00102-00(2314), C.P. Édgar González López. Disponible en: </w:t>
      </w:r>
      <w:hyperlink r:id="rId2" w:history="1">
        <w:r w:rsidRPr="004C5B3E">
          <w:rPr>
            <w:rStyle w:val="Hipervnculo"/>
            <w:rFonts w:ascii="Verdana" w:hAnsi="Verdana"/>
            <w:sz w:val="16"/>
            <w:szCs w:val="16"/>
            <w:lang w:val="es-CO"/>
          </w:rPr>
          <w:t>https://www.funcionpublica.gov.co/eva/gestornormativo/norma.php?i=84117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1"/>
  </w:num>
  <w:num w:numId="13" w16cid:durableId="1512908409">
    <w:abstractNumId w:val="5"/>
  </w:num>
  <w:num w:numId="14" w16cid:durableId="895897244">
    <w:abstractNumId w:val="15"/>
  </w:num>
  <w:num w:numId="15" w16cid:durableId="390349800">
    <w:abstractNumId w:val="11"/>
  </w:num>
  <w:num w:numId="16" w16cid:durableId="341274352">
    <w:abstractNumId w:val="0"/>
  </w:num>
  <w:num w:numId="17" w16cid:durableId="1291131537">
    <w:abstractNumId w:val="3"/>
  </w:num>
  <w:num w:numId="18" w16cid:durableId="571424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1976"/>
    <w:rsid w:val="00046945"/>
    <w:rsid w:val="00061B2A"/>
    <w:rsid w:val="00080784"/>
    <w:rsid w:val="00082362"/>
    <w:rsid w:val="00082818"/>
    <w:rsid w:val="000A683E"/>
    <w:rsid w:val="000B19B9"/>
    <w:rsid w:val="000D0334"/>
    <w:rsid w:val="000D5DA7"/>
    <w:rsid w:val="000E708E"/>
    <w:rsid w:val="000F6486"/>
    <w:rsid w:val="00116940"/>
    <w:rsid w:val="00125105"/>
    <w:rsid w:val="0012555A"/>
    <w:rsid w:val="00127233"/>
    <w:rsid w:val="0015699B"/>
    <w:rsid w:val="00163368"/>
    <w:rsid w:val="001636B0"/>
    <w:rsid w:val="001A19CD"/>
    <w:rsid w:val="001A33BF"/>
    <w:rsid w:val="001B7E4A"/>
    <w:rsid w:val="001D2B15"/>
    <w:rsid w:val="001E4177"/>
    <w:rsid w:val="001E46E7"/>
    <w:rsid w:val="001F0B24"/>
    <w:rsid w:val="001F7DC6"/>
    <w:rsid w:val="0022400B"/>
    <w:rsid w:val="002421BB"/>
    <w:rsid w:val="0025796E"/>
    <w:rsid w:val="002707A2"/>
    <w:rsid w:val="002951A0"/>
    <w:rsid w:val="002962BC"/>
    <w:rsid w:val="002A093D"/>
    <w:rsid w:val="002A0DD0"/>
    <w:rsid w:val="002A49AC"/>
    <w:rsid w:val="002A64FD"/>
    <w:rsid w:val="002C7A84"/>
    <w:rsid w:val="002D14DF"/>
    <w:rsid w:val="002E2BF8"/>
    <w:rsid w:val="002E4FD9"/>
    <w:rsid w:val="0030657A"/>
    <w:rsid w:val="00322A85"/>
    <w:rsid w:val="00324168"/>
    <w:rsid w:val="00330834"/>
    <w:rsid w:val="003448F4"/>
    <w:rsid w:val="00374F5E"/>
    <w:rsid w:val="00377E3E"/>
    <w:rsid w:val="00380AA1"/>
    <w:rsid w:val="00393635"/>
    <w:rsid w:val="0039589E"/>
    <w:rsid w:val="003A779E"/>
    <w:rsid w:val="003B09FF"/>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61B01"/>
    <w:rsid w:val="00563D5B"/>
    <w:rsid w:val="00572A06"/>
    <w:rsid w:val="00574867"/>
    <w:rsid w:val="00591460"/>
    <w:rsid w:val="005A65E0"/>
    <w:rsid w:val="005C3777"/>
    <w:rsid w:val="005C5CDC"/>
    <w:rsid w:val="005D476C"/>
    <w:rsid w:val="005F7C53"/>
    <w:rsid w:val="006200BF"/>
    <w:rsid w:val="006219F8"/>
    <w:rsid w:val="006302F7"/>
    <w:rsid w:val="00646B9F"/>
    <w:rsid w:val="00665D70"/>
    <w:rsid w:val="00671BA5"/>
    <w:rsid w:val="006900D9"/>
    <w:rsid w:val="00691835"/>
    <w:rsid w:val="00706C16"/>
    <w:rsid w:val="007125D4"/>
    <w:rsid w:val="007340C3"/>
    <w:rsid w:val="0075235A"/>
    <w:rsid w:val="00756841"/>
    <w:rsid w:val="007649AB"/>
    <w:rsid w:val="0077163C"/>
    <w:rsid w:val="00771D0C"/>
    <w:rsid w:val="007833AC"/>
    <w:rsid w:val="007B0749"/>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C0FBB"/>
    <w:rsid w:val="008D180B"/>
    <w:rsid w:val="008E14E6"/>
    <w:rsid w:val="008F0EA7"/>
    <w:rsid w:val="009020C0"/>
    <w:rsid w:val="00923EEF"/>
    <w:rsid w:val="009419F9"/>
    <w:rsid w:val="0095685E"/>
    <w:rsid w:val="00961B09"/>
    <w:rsid w:val="00965334"/>
    <w:rsid w:val="0097093E"/>
    <w:rsid w:val="0099437A"/>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351C6"/>
    <w:rsid w:val="00A713F2"/>
    <w:rsid w:val="00AA63C7"/>
    <w:rsid w:val="00AB0ADB"/>
    <w:rsid w:val="00AD5D06"/>
    <w:rsid w:val="00B00C0E"/>
    <w:rsid w:val="00B01B1A"/>
    <w:rsid w:val="00B0381D"/>
    <w:rsid w:val="00B155BD"/>
    <w:rsid w:val="00B17840"/>
    <w:rsid w:val="00B44A47"/>
    <w:rsid w:val="00B72CD3"/>
    <w:rsid w:val="00B72FFF"/>
    <w:rsid w:val="00BA106D"/>
    <w:rsid w:val="00BB5180"/>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F1773"/>
    <w:rsid w:val="00D361FD"/>
    <w:rsid w:val="00D423A2"/>
    <w:rsid w:val="00D44E26"/>
    <w:rsid w:val="00D520D8"/>
    <w:rsid w:val="00D63AC2"/>
    <w:rsid w:val="00D72671"/>
    <w:rsid w:val="00D7383B"/>
    <w:rsid w:val="00D7788A"/>
    <w:rsid w:val="00D902AB"/>
    <w:rsid w:val="00DA231B"/>
    <w:rsid w:val="00DA484D"/>
    <w:rsid w:val="00DC39FC"/>
    <w:rsid w:val="00DF07AE"/>
    <w:rsid w:val="00DF5254"/>
    <w:rsid w:val="00E02524"/>
    <w:rsid w:val="00E16408"/>
    <w:rsid w:val="00E20894"/>
    <w:rsid w:val="00E245AB"/>
    <w:rsid w:val="00E2764C"/>
    <w:rsid w:val="00E27F2E"/>
    <w:rsid w:val="00E337A2"/>
    <w:rsid w:val="00E50AFE"/>
    <w:rsid w:val="00E54437"/>
    <w:rsid w:val="00E7430C"/>
    <w:rsid w:val="00E75C92"/>
    <w:rsid w:val="00E771DC"/>
    <w:rsid w:val="00E8772A"/>
    <w:rsid w:val="00E90F6B"/>
    <w:rsid w:val="00E92C27"/>
    <w:rsid w:val="00EA0E3D"/>
    <w:rsid w:val="00EC38A7"/>
    <w:rsid w:val="00ED6D7C"/>
    <w:rsid w:val="00EE1AA8"/>
    <w:rsid w:val="00F1047A"/>
    <w:rsid w:val="00F12803"/>
    <w:rsid w:val="00F23FEA"/>
    <w:rsid w:val="00F31EDC"/>
    <w:rsid w:val="00F32F9F"/>
    <w:rsid w:val="00F37AA4"/>
    <w:rsid w:val="00F41DD2"/>
    <w:rsid w:val="00F462B3"/>
    <w:rsid w:val="00F54D0D"/>
    <w:rsid w:val="00F5664F"/>
    <w:rsid w:val="00F666C4"/>
    <w:rsid w:val="00F73D9C"/>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A19CD"/>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A19CD"/>
    <w:rPr>
      <w:rFonts w:ascii="Geomanist Light" w:hAnsi="Geomanist Light"/>
      <w:lang w:val="es-ES"/>
    </w:rPr>
  </w:style>
  <w:style w:type="paragraph" w:styleId="Textoindependiente">
    <w:name w:val="Body Text"/>
    <w:basedOn w:val="Normal"/>
    <w:link w:val="TextoindependienteCar"/>
    <w:uiPriority w:val="99"/>
    <w:semiHidden/>
    <w:unhideWhenUsed/>
    <w:rsid w:val="001A19CD"/>
    <w:pPr>
      <w:spacing w:after="120"/>
    </w:pPr>
  </w:style>
  <w:style w:type="character" w:customStyle="1" w:styleId="TextoindependienteCar">
    <w:name w:val="Texto independiente Car"/>
    <w:basedOn w:val="Fuentedeprrafopredeter"/>
    <w:link w:val="Textoindependiente"/>
    <w:uiPriority w:val="99"/>
    <w:semiHidden/>
    <w:rsid w:val="001A19CD"/>
  </w:style>
  <w:style w:type="character" w:customStyle="1" w:styleId="s15">
    <w:name w:val="s15"/>
    <w:basedOn w:val="Fuentedeprrafopredeter"/>
    <w:rsid w:val="00F10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46736">
      <w:bodyDiv w:val="1"/>
      <w:marLeft w:val="0"/>
      <w:marRight w:val="0"/>
      <w:marTop w:val="0"/>
      <w:marBottom w:val="0"/>
      <w:divBdr>
        <w:top w:val="none" w:sz="0" w:space="0" w:color="auto"/>
        <w:left w:val="none" w:sz="0" w:space="0" w:color="auto"/>
        <w:bottom w:val="none" w:sz="0" w:space="0" w:color="auto"/>
        <w:right w:val="none" w:sz="0" w:space="0" w:color="auto"/>
      </w:divBdr>
      <w:divsChild>
        <w:div w:id="743919045">
          <w:marLeft w:val="0"/>
          <w:marRight w:val="0"/>
          <w:marTop w:val="0"/>
          <w:marBottom w:val="0"/>
          <w:divBdr>
            <w:top w:val="none" w:sz="0" w:space="0" w:color="auto"/>
            <w:left w:val="none" w:sz="0" w:space="0" w:color="auto"/>
            <w:bottom w:val="none" w:sz="0" w:space="0" w:color="auto"/>
            <w:right w:val="none" w:sz="0" w:space="0" w:color="auto"/>
          </w:divBdr>
          <w:divsChild>
            <w:div w:id="675965677">
              <w:marLeft w:val="0"/>
              <w:marRight w:val="0"/>
              <w:marTop w:val="0"/>
              <w:marBottom w:val="0"/>
              <w:divBdr>
                <w:top w:val="none" w:sz="0" w:space="0" w:color="auto"/>
                <w:left w:val="none" w:sz="0" w:space="0" w:color="auto"/>
                <w:bottom w:val="none" w:sz="0" w:space="0" w:color="auto"/>
                <w:right w:val="none" w:sz="0" w:space="0" w:color="auto"/>
              </w:divBdr>
              <w:divsChild>
                <w:div w:id="1681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66770">
      <w:bodyDiv w:val="1"/>
      <w:marLeft w:val="0"/>
      <w:marRight w:val="0"/>
      <w:marTop w:val="0"/>
      <w:marBottom w:val="0"/>
      <w:divBdr>
        <w:top w:val="none" w:sz="0" w:space="0" w:color="auto"/>
        <w:left w:val="none" w:sz="0" w:space="0" w:color="auto"/>
        <w:bottom w:val="none" w:sz="0" w:space="0" w:color="auto"/>
        <w:right w:val="none" w:sz="0" w:space="0" w:color="auto"/>
      </w:divBdr>
      <w:divsChild>
        <w:div w:id="264046576">
          <w:marLeft w:val="0"/>
          <w:marRight w:val="0"/>
          <w:marTop w:val="0"/>
          <w:marBottom w:val="0"/>
          <w:divBdr>
            <w:top w:val="none" w:sz="0" w:space="0" w:color="auto"/>
            <w:left w:val="none" w:sz="0" w:space="0" w:color="auto"/>
            <w:bottom w:val="none" w:sz="0" w:space="0" w:color="auto"/>
            <w:right w:val="none" w:sz="0" w:space="0" w:color="auto"/>
          </w:divBdr>
          <w:divsChild>
            <w:div w:id="2008747263">
              <w:marLeft w:val="0"/>
              <w:marRight w:val="0"/>
              <w:marTop w:val="0"/>
              <w:marBottom w:val="0"/>
              <w:divBdr>
                <w:top w:val="none" w:sz="0" w:space="0" w:color="auto"/>
                <w:left w:val="none" w:sz="0" w:space="0" w:color="auto"/>
                <w:bottom w:val="none" w:sz="0" w:space="0" w:color="auto"/>
                <w:right w:val="none" w:sz="0" w:space="0" w:color="auto"/>
              </w:divBdr>
              <w:divsChild>
                <w:div w:id="1168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9819402">
      <w:bodyDiv w:val="1"/>
      <w:marLeft w:val="0"/>
      <w:marRight w:val="0"/>
      <w:marTop w:val="0"/>
      <w:marBottom w:val="0"/>
      <w:divBdr>
        <w:top w:val="none" w:sz="0" w:space="0" w:color="auto"/>
        <w:left w:val="none" w:sz="0" w:space="0" w:color="auto"/>
        <w:bottom w:val="none" w:sz="0" w:space="0" w:color="auto"/>
        <w:right w:val="none" w:sz="0" w:space="0" w:color="auto"/>
      </w:divBdr>
      <w:divsChild>
        <w:div w:id="2083024801">
          <w:marLeft w:val="0"/>
          <w:marRight w:val="0"/>
          <w:marTop w:val="0"/>
          <w:marBottom w:val="0"/>
          <w:divBdr>
            <w:top w:val="none" w:sz="0" w:space="0" w:color="auto"/>
            <w:left w:val="none" w:sz="0" w:space="0" w:color="auto"/>
            <w:bottom w:val="none" w:sz="0" w:space="0" w:color="auto"/>
            <w:right w:val="none" w:sz="0" w:space="0" w:color="auto"/>
          </w:divBdr>
          <w:divsChild>
            <w:div w:id="1267928301">
              <w:marLeft w:val="0"/>
              <w:marRight w:val="0"/>
              <w:marTop w:val="0"/>
              <w:marBottom w:val="0"/>
              <w:divBdr>
                <w:top w:val="none" w:sz="0" w:space="0" w:color="auto"/>
                <w:left w:val="none" w:sz="0" w:space="0" w:color="auto"/>
                <w:bottom w:val="none" w:sz="0" w:space="0" w:color="auto"/>
                <w:right w:val="none" w:sz="0" w:space="0" w:color="auto"/>
              </w:divBdr>
              <w:divsChild>
                <w:div w:id="10608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5399">
      <w:bodyDiv w:val="1"/>
      <w:marLeft w:val="0"/>
      <w:marRight w:val="0"/>
      <w:marTop w:val="0"/>
      <w:marBottom w:val="0"/>
      <w:divBdr>
        <w:top w:val="none" w:sz="0" w:space="0" w:color="auto"/>
        <w:left w:val="none" w:sz="0" w:space="0" w:color="auto"/>
        <w:bottom w:val="none" w:sz="0" w:space="0" w:color="auto"/>
        <w:right w:val="none" w:sz="0" w:space="0" w:color="auto"/>
      </w:divBdr>
      <w:divsChild>
        <w:div w:id="1103648001">
          <w:marLeft w:val="0"/>
          <w:marRight w:val="0"/>
          <w:marTop w:val="0"/>
          <w:marBottom w:val="0"/>
          <w:divBdr>
            <w:top w:val="none" w:sz="0" w:space="0" w:color="auto"/>
            <w:left w:val="none" w:sz="0" w:space="0" w:color="auto"/>
            <w:bottom w:val="none" w:sz="0" w:space="0" w:color="auto"/>
            <w:right w:val="none" w:sz="0" w:space="0" w:color="auto"/>
          </w:divBdr>
          <w:divsChild>
            <w:div w:id="1145245642">
              <w:marLeft w:val="0"/>
              <w:marRight w:val="0"/>
              <w:marTop w:val="0"/>
              <w:marBottom w:val="0"/>
              <w:divBdr>
                <w:top w:val="none" w:sz="0" w:space="0" w:color="auto"/>
                <w:left w:val="none" w:sz="0" w:space="0" w:color="auto"/>
                <w:bottom w:val="none" w:sz="0" w:space="0" w:color="auto"/>
                <w:right w:val="none" w:sz="0" w:space="0" w:color="auto"/>
              </w:divBdr>
              <w:divsChild>
                <w:div w:id="11624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014579161">
      <w:bodyDiv w:val="1"/>
      <w:marLeft w:val="0"/>
      <w:marRight w:val="0"/>
      <w:marTop w:val="0"/>
      <w:marBottom w:val="0"/>
      <w:divBdr>
        <w:top w:val="none" w:sz="0" w:space="0" w:color="auto"/>
        <w:left w:val="none" w:sz="0" w:space="0" w:color="auto"/>
        <w:bottom w:val="none" w:sz="0" w:space="0" w:color="auto"/>
        <w:right w:val="none" w:sz="0" w:space="0" w:color="auto"/>
      </w:divBdr>
      <w:divsChild>
        <w:div w:id="835925524">
          <w:marLeft w:val="0"/>
          <w:marRight w:val="0"/>
          <w:marTop w:val="0"/>
          <w:marBottom w:val="0"/>
          <w:divBdr>
            <w:top w:val="none" w:sz="0" w:space="0" w:color="auto"/>
            <w:left w:val="none" w:sz="0" w:space="0" w:color="auto"/>
            <w:bottom w:val="none" w:sz="0" w:space="0" w:color="auto"/>
            <w:right w:val="none" w:sz="0" w:space="0" w:color="auto"/>
          </w:divBdr>
          <w:divsChild>
            <w:div w:id="1794058771">
              <w:marLeft w:val="0"/>
              <w:marRight w:val="0"/>
              <w:marTop w:val="0"/>
              <w:marBottom w:val="0"/>
              <w:divBdr>
                <w:top w:val="none" w:sz="0" w:space="0" w:color="auto"/>
                <w:left w:val="none" w:sz="0" w:space="0" w:color="auto"/>
                <w:bottom w:val="none" w:sz="0" w:space="0" w:color="auto"/>
                <w:right w:val="none" w:sz="0" w:space="0" w:color="auto"/>
              </w:divBdr>
              <w:divsChild>
                <w:div w:id="14229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13292018">
      <w:bodyDiv w:val="1"/>
      <w:marLeft w:val="0"/>
      <w:marRight w:val="0"/>
      <w:marTop w:val="0"/>
      <w:marBottom w:val="0"/>
      <w:divBdr>
        <w:top w:val="none" w:sz="0" w:space="0" w:color="auto"/>
        <w:left w:val="none" w:sz="0" w:space="0" w:color="auto"/>
        <w:bottom w:val="none" w:sz="0" w:space="0" w:color="auto"/>
        <w:right w:val="none" w:sz="0" w:space="0" w:color="auto"/>
      </w:divBdr>
      <w:divsChild>
        <w:div w:id="1771973413">
          <w:marLeft w:val="0"/>
          <w:marRight w:val="0"/>
          <w:marTop w:val="0"/>
          <w:marBottom w:val="0"/>
          <w:divBdr>
            <w:top w:val="none" w:sz="0" w:space="0" w:color="auto"/>
            <w:left w:val="none" w:sz="0" w:space="0" w:color="auto"/>
            <w:bottom w:val="none" w:sz="0" w:space="0" w:color="auto"/>
            <w:right w:val="none" w:sz="0" w:space="0" w:color="auto"/>
          </w:divBdr>
          <w:divsChild>
            <w:div w:id="758722129">
              <w:marLeft w:val="0"/>
              <w:marRight w:val="0"/>
              <w:marTop w:val="0"/>
              <w:marBottom w:val="0"/>
              <w:divBdr>
                <w:top w:val="none" w:sz="0" w:space="0" w:color="auto"/>
                <w:left w:val="none" w:sz="0" w:space="0" w:color="auto"/>
                <w:bottom w:val="none" w:sz="0" w:space="0" w:color="auto"/>
                <w:right w:val="none" w:sz="0" w:space="0" w:color="auto"/>
              </w:divBdr>
              <w:divsChild>
                <w:div w:id="14646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36100">
      <w:bodyDiv w:val="1"/>
      <w:marLeft w:val="0"/>
      <w:marRight w:val="0"/>
      <w:marTop w:val="0"/>
      <w:marBottom w:val="0"/>
      <w:divBdr>
        <w:top w:val="none" w:sz="0" w:space="0" w:color="auto"/>
        <w:left w:val="none" w:sz="0" w:space="0" w:color="auto"/>
        <w:bottom w:val="none" w:sz="0" w:space="0" w:color="auto"/>
        <w:right w:val="none" w:sz="0" w:space="0" w:color="auto"/>
      </w:divBdr>
      <w:divsChild>
        <w:div w:id="1726100502">
          <w:marLeft w:val="0"/>
          <w:marRight w:val="0"/>
          <w:marTop w:val="0"/>
          <w:marBottom w:val="0"/>
          <w:divBdr>
            <w:top w:val="none" w:sz="0" w:space="0" w:color="auto"/>
            <w:left w:val="none" w:sz="0" w:space="0" w:color="auto"/>
            <w:bottom w:val="none" w:sz="0" w:space="0" w:color="auto"/>
            <w:right w:val="none" w:sz="0" w:space="0" w:color="auto"/>
          </w:divBdr>
          <w:divsChild>
            <w:div w:id="746920004">
              <w:marLeft w:val="0"/>
              <w:marRight w:val="0"/>
              <w:marTop w:val="0"/>
              <w:marBottom w:val="0"/>
              <w:divBdr>
                <w:top w:val="none" w:sz="0" w:space="0" w:color="auto"/>
                <w:left w:val="none" w:sz="0" w:space="0" w:color="auto"/>
                <w:bottom w:val="none" w:sz="0" w:space="0" w:color="auto"/>
                <w:right w:val="none" w:sz="0" w:space="0" w:color="auto"/>
              </w:divBdr>
              <w:divsChild>
                <w:div w:id="18151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70262">
      <w:bodyDiv w:val="1"/>
      <w:marLeft w:val="0"/>
      <w:marRight w:val="0"/>
      <w:marTop w:val="0"/>
      <w:marBottom w:val="0"/>
      <w:divBdr>
        <w:top w:val="none" w:sz="0" w:space="0" w:color="auto"/>
        <w:left w:val="none" w:sz="0" w:space="0" w:color="auto"/>
        <w:bottom w:val="none" w:sz="0" w:space="0" w:color="auto"/>
        <w:right w:val="none" w:sz="0" w:space="0" w:color="auto"/>
      </w:divBdr>
      <w:divsChild>
        <w:div w:id="1801653318">
          <w:marLeft w:val="0"/>
          <w:marRight w:val="0"/>
          <w:marTop w:val="0"/>
          <w:marBottom w:val="0"/>
          <w:divBdr>
            <w:top w:val="none" w:sz="0" w:space="0" w:color="auto"/>
            <w:left w:val="none" w:sz="0" w:space="0" w:color="auto"/>
            <w:bottom w:val="none" w:sz="0" w:space="0" w:color="auto"/>
            <w:right w:val="none" w:sz="0" w:space="0" w:color="auto"/>
          </w:divBdr>
          <w:divsChild>
            <w:div w:id="1082528342">
              <w:marLeft w:val="0"/>
              <w:marRight w:val="0"/>
              <w:marTop w:val="0"/>
              <w:marBottom w:val="0"/>
              <w:divBdr>
                <w:top w:val="none" w:sz="0" w:space="0" w:color="auto"/>
                <w:left w:val="none" w:sz="0" w:space="0" w:color="auto"/>
                <w:bottom w:val="none" w:sz="0" w:space="0" w:color="auto"/>
                <w:right w:val="none" w:sz="0" w:space="0" w:color="auto"/>
              </w:divBdr>
              <w:divsChild>
                <w:div w:id="75760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20042">
      <w:bodyDiv w:val="1"/>
      <w:marLeft w:val="0"/>
      <w:marRight w:val="0"/>
      <w:marTop w:val="0"/>
      <w:marBottom w:val="0"/>
      <w:divBdr>
        <w:top w:val="none" w:sz="0" w:space="0" w:color="auto"/>
        <w:left w:val="none" w:sz="0" w:space="0" w:color="auto"/>
        <w:bottom w:val="none" w:sz="0" w:space="0" w:color="auto"/>
        <w:right w:val="none" w:sz="0" w:space="0" w:color="auto"/>
      </w:divBdr>
      <w:divsChild>
        <w:div w:id="1090853385">
          <w:marLeft w:val="0"/>
          <w:marRight w:val="0"/>
          <w:marTop w:val="0"/>
          <w:marBottom w:val="0"/>
          <w:divBdr>
            <w:top w:val="none" w:sz="0" w:space="0" w:color="auto"/>
            <w:left w:val="none" w:sz="0" w:space="0" w:color="auto"/>
            <w:bottom w:val="none" w:sz="0" w:space="0" w:color="auto"/>
            <w:right w:val="none" w:sz="0" w:space="0" w:color="auto"/>
          </w:divBdr>
          <w:divsChild>
            <w:div w:id="1954359664">
              <w:marLeft w:val="0"/>
              <w:marRight w:val="0"/>
              <w:marTop w:val="0"/>
              <w:marBottom w:val="0"/>
              <w:divBdr>
                <w:top w:val="none" w:sz="0" w:space="0" w:color="auto"/>
                <w:left w:val="none" w:sz="0" w:space="0" w:color="auto"/>
                <w:bottom w:val="none" w:sz="0" w:space="0" w:color="auto"/>
                <w:right w:val="none" w:sz="0" w:space="0" w:color="auto"/>
              </w:divBdr>
              <w:divsChild>
                <w:div w:id="167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061272">
      <w:bodyDiv w:val="1"/>
      <w:marLeft w:val="0"/>
      <w:marRight w:val="0"/>
      <w:marTop w:val="0"/>
      <w:marBottom w:val="0"/>
      <w:divBdr>
        <w:top w:val="none" w:sz="0" w:space="0" w:color="auto"/>
        <w:left w:val="none" w:sz="0" w:space="0" w:color="auto"/>
        <w:bottom w:val="none" w:sz="0" w:space="0" w:color="auto"/>
        <w:right w:val="none" w:sz="0" w:space="0" w:color="auto"/>
      </w:divBdr>
      <w:divsChild>
        <w:div w:id="1761022209">
          <w:marLeft w:val="0"/>
          <w:marRight w:val="0"/>
          <w:marTop w:val="0"/>
          <w:marBottom w:val="0"/>
          <w:divBdr>
            <w:top w:val="none" w:sz="0" w:space="0" w:color="auto"/>
            <w:left w:val="none" w:sz="0" w:space="0" w:color="auto"/>
            <w:bottom w:val="none" w:sz="0" w:space="0" w:color="auto"/>
            <w:right w:val="none" w:sz="0" w:space="0" w:color="auto"/>
          </w:divBdr>
          <w:divsChild>
            <w:div w:id="2039887421">
              <w:marLeft w:val="0"/>
              <w:marRight w:val="0"/>
              <w:marTop w:val="0"/>
              <w:marBottom w:val="0"/>
              <w:divBdr>
                <w:top w:val="none" w:sz="0" w:space="0" w:color="auto"/>
                <w:left w:val="none" w:sz="0" w:space="0" w:color="auto"/>
                <w:bottom w:val="none" w:sz="0" w:space="0" w:color="auto"/>
                <w:right w:val="none" w:sz="0" w:space="0" w:color="auto"/>
              </w:divBdr>
              <w:divsChild>
                <w:div w:id="85735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02194">
      <w:bodyDiv w:val="1"/>
      <w:marLeft w:val="0"/>
      <w:marRight w:val="0"/>
      <w:marTop w:val="0"/>
      <w:marBottom w:val="0"/>
      <w:divBdr>
        <w:top w:val="none" w:sz="0" w:space="0" w:color="auto"/>
        <w:left w:val="none" w:sz="0" w:space="0" w:color="auto"/>
        <w:bottom w:val="none" w:sz="0" w:space="0" w:color="auto"/>
        <w:right w:val="none" w:sz="0" w:space="0" w:color="auto"/>
      </w:divBdr>
      <w:divsChild>
        <w:div w:id="1047337324">
          <w:marLeft w:val="0"/>
          <w:marRight w:val="0"/>
          <w:marTop w:val="0"/>
          <w:marBottom w:val="0"/>
          <w:divBdr>
            <w:top w:val="none" w:sz="0" w:space="0" w:color="auto"/>
            <w:left w:val="none" w:sz="0" w:space="0" w:color="auto"/>
            <w:bottom w:val="none" w:sz="0" w:space="0" w:color="auto"/>
            <w:right w:val="none" w:sz="0" w:space="0" w:color="auto"/>
          </w:divBdr>
          <w:divsChild>
            <w:div w:id="1003631911">
              <w:marLeft w:val="0"/>
              <w:marRight w:val="0"/>
              <w:marTop w:val="0"/>
              <w:marBottom w:val="0"/>
              <w:divBdr>
                <w:top w:val="none" w:sz="0" w:space="0" w:color="auto"/>
                <w:left w:val="none" w:sz="0" w:space="0" w:color="auto"/>
                <w:bottom w:val="none" w:sz="0" w:space="0" w:color="auto"/>
                <w:right w:val="none" w:sz="0" w:space="0" w:color="auto"/>
              </w:divBdr>
              <w:divsChild>
                <w:div w:id="9062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377446">
      <w:bodyDiv w:val="1"/>
      <w:marLeft w:val="0"/>
      <w:marRight w:val="0"/>
      <w:marTop w:val="0"/>
      <w:marBottom w:val="0"/>
      <w:divBdr>
        <w:top w:val="none" w:sz="0" w:space="0" w:color="auto"/>
        <w:left w:val="none" w:sz="0" w:space="0" w:color="auto"/>
        <w:bottom w:val="none" w:sz="0" w:space="0" w:color="auto"/>
        <w:right w:val="none" w:sz="0" w:space="0" w:color="auto"/>
      </w:divBdr>
      <w:divsChild>
        <w:div w:id="318384530">
          <w:marLeft w:val="0"/>
          <w:marRight w:val="0"/>
          <w:marTop w:val="0"/>
          <w:marBottom w:val="0"/>
          <w:divBdr>
            <w:top w:val="none" w:sz="0" w:space="0" w:color="auto"/>
            <w:left w:val="none" w:sz="0" w:space="0" w:color="auto"/>
            <w:bottom w:val="none" w:sz="0" w:space="0" w:color="auto"/>
            <w:right w:val="none" w:sz="0" w:space="0" w:color="auto"/>
          </w:divBdr>
          <w:divsChild>
            <w:div w:id="1929187893">
              <w:marLeft w:val="0"/>
              <w:marRight w:val="0"/>
              <w:marTop w:val="0"/>
              <w:marBottom w:val="0"/>
              <w:divBdr>
                <w:top w:val="none" w:sz="0" w:space="0" w:color="auto"/>
                <w:left w:val="none" w:sz="0" w:space="0" w:color="auto"/>
                <w:bottom w:val="none" w:sz="0" w:space="0" w:color="auto"/>
                <w:right w:val="none" w:sz="0" w:space="0" w:color="auto"/>
              </w:divBdr>
              <w:divsChild>
                <w:div w:id="4322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1620">
      <w:bodyDiv w:val="1"/>
      <w:marLeft w:val="0"/>
      <w:marRight w:val="0"/>
      <w:marTop w:val="0"/>
      <w:marBottom w:val="0"/>
      <w:divBdr>
        <w:top w:val="none" w:sz="0" w:space="0" w:color="auto"/>
        <w:left w:val="none" w:sz="0" w:space="0" w:color="auto"/>
        <w:bottom w:val="none" w:sz="0" w:space="0" w:color="auto"/>
        <w:right w:val="none" w:sz="0" w:space="0" w:color="auto"/>
      </w:divBdr>
      <w:divsChild>
        <w:div w:id="1895507437">
          <w:marLeft w:val="0"/>
          <w:marRight w:val="0"/>
          <w:marTop w:val="0"/>
          <w:marBottom w:val="0"/>
          <w:divBdr>
            <w:top w:val="none" w:sz="0" w:space="0" w:color="auto"/>
            <w:left w:val="none" w:sz="0" w:space="0" w:color="auto"/>
            <w:bottom w:val="none" w:sz="0" w:space="0" w:color="auto"/>
            <w:right w:val="none" w:sz="0" w:space="0" w:color="auto"/>
          </w:divBdr>
          <w:divsChild>
            <w:div w:id="2101443459">
              <w:marLeft w:val="0"/>
              <w:marRight w:val="0"/>
              <w:marTop w:val="0"/>
              <w:marBottom w:val="0"/>
              <w:divBdr>
                <w:top w:val="none" w:sz="0" w:space="0" w:color="auto"/>
                <w:left w:val="none" w:sz="0" w:space="0" w:color="auto"/>
                <w:bottom w:val="none" w:sz="0" w:space="0" w:color="auto"/>
                <w:right w:val="none" w:sz="0" w:space="0" w:color="auto"/>
              </w:divBdr>
              <w:divsChild>
                <w:div w:id="76029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2932">
      <w:bodyDiv w:val="1"/>
      <w:marLeft w:val="0"/>
      <w:marRight w:val="0"/>
      <w:marTop w:val="0"/>
      <w:marBottom w:val="0"/>
      <w:divBdr>
        <w:top w:val="none" w:sz="0" w:space="0" w:color="auto"/>
        <w:left w:val="none" w:sz="0" w:space="0" w:color="auto"/>
        <w:bottom w:val="none" w:sz="0" w:space="0" w:color="auto"/>
        <w:right w:val="none" w:sz="0" w:space="0" w:color="auto"/>
      </w:divBdr>
      <w:divsChild>
        <w:div w:id="1632518512">
          <w:marLeft w:val="0"/>
          <w:marRight w:val="0"/>
          <w:marTop w:val="0"/>
          <w:marBottom w:val="0"/>
          <w:divBdr>
            <w:top w:val="none" w:sz="0" w:space="0" w:color="auto"/>
            <w:left w:val="none" w:sz="0" w:space="0" w:color="auto"/>
            <w:bottom w:val="none" w:sz="0" w:space="0" w:color="auto"/>
            <w:right w:val="none" w:sz="0" w:space="0" w:color="auto"/>
          </w:divBdr>
          <w:divsChild>
            <w:div w:id="82995897">
              <w:marLeft w:val="0"/>
              <w:marRight w:val="0"/>
              <w:marTop w:val="0"/>
              <w:marBottom w:val="0"/>
              <w:divBdr>
                <w:top w:val="none" w:sz="0" w:space="0" w:color="auto"/>
                <w:left w:val="none" w:sz="0" w:space="0" w:color="auto"/>
                <w:bottom w:val="none" w:sz="0" w:space="0" w:color="auto"/>
                <w:right w:val="none" w:sz="0" w:space="0" w:color="auto"/>
              </w:divBdr>
              <w:divsChild>
                <w:div w:id="17348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ecretariasenado.gov.co/senado/basedoc/ley_0489_1998_pr001.html" TargetMode="External"/><Relationship Id="rId17"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uncionpublica.gov.co/eva/gestornormativo/norma.php?i=84117" TargetMode="External"/><Relationship Id="rId1" Type="http://schemas.openxmlformats.org/officeDocument/2006/relationships/hyperlink" Target="https://sisjur.bogotajuridica.gov.co/sisjur/normas/Norma1.jsp?i=1059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F448E2-41AD-4C00-9FBE-EAC85E3F5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7E258E7D-F262-9549-ABC4-73E713A78F18}">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21</Pages>
  <Words>7455</Words>
  <Characters>41003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2026-08-26T15:37:00Z</dcterms:created>
  <dcterms:modified xsi:type="dcterms:W3CDTF">2026-08-26T20:26:00Z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