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81115D" w14:textId="0134BC36" w:rsidR="00A71C0F" w:rsidRPr="00A71C0F" w:rsidRDefault="00A71C0F" w:rsidP="00A71C0F">
      <w:pPr>
        <w:spacing w:after="0"/>
        <w:jc w:val="both"/>
        <w:rPr>
          <w:rFonts w:ascii="Verdana" w:eastAsia="Verdana" w:hAnsi="Verdana" w:cs="Verdana"/>
        </w:rPr>
      </w:pPr>
      <w:bookmarkStart w:id="0" w:name="_Hlk143780582"/>
      <w:r w:rsidRPr="00A71C0F">
        <w:rPr>
          <w:rFonts w:ascii="Verdana" w:eastAsia="Calibri" w:hAnsi="Verdana" w:cs="Arial"/>
          <w:b/>
          <w:bCs/>
          <w:lang w:val="es-ES" w:eastAsia="es-ES"/>
        </w:rPr>
        <w:t>DOCUMENTOS TIPO DE INFRAESTRUCTURA SOCIAL – Generalidades</w:t>
      </w:r>
    </w:p>
    <w:p w14:paraId="7A83D4E7" w14:textId="77777777" w:rsidR="00A71C0F" w:rsidRPr="00A71C0F" w:rsidRDefault="00A71C0F" w:rsidP="00A71C0F">
      <w:pPr>
        <w:shd w:val="clear" w:color="auto" w:fill="FFFFFF"/>
        <w:spacing w:after="0" w:line="276" w:lineRule="auto"/>
        <w:contextualSpacing/>
        <w:jc w:val="both"/>
        <w:rPr>
          <w:rFonts w:ascii="Verdana" w:eastAsia="Calibri" w:hAnsi="Verdana" w:cs="Arial"/>
          <w:b/>
          <w:bCs/>
          <w:lang w:val="es-ES" w:eastAsia="es-ES"/>
        </w:rPr>
      </w:pPr>
    </w:p>
    <w:p w14:paraId="2E8BA3FF" w14:textId="77777777" w:rsidR="00A71C0F" w:rsidRPr="00A71C0F" w:rsidRDefault="00A71C0F" w:rsidP="00A71C0F">
      <w:pPr>
        <w:snapToGrid w:val="0"/>
        <w:spacing w:after="0" w:line="240" w:lineRule="auto"/>
        <w:jc w:val="both"/>
        <w:rPr>
          <w:rFonts w:ascii="Verdana" w:eastAsia="Calibri" w:hAnsi="Verdana" w:cs="Times New Roman"/>
          <w:sz w:val="20"/>
          <w:szCs w:val="20"/>
          <w:lang w:val="es-ES" w:eastAsia="es-MX"/>
        </w:rPr>
      </w:pPr>
      <w:r w:rsidRPr="00A71C0F">
        <w:rPr>
          <w:rFonts w:ascii="Verdana" w:eastAsia="Calibri" w:hAnsi="Verdana" w:cs="Times New Roman"/>
          <w:sz w:val="20"/>
          <w:szCs w:val="20"/>
          <w:lang w:val="es-ES" w:eastAsia="es-MX"/>
        </w:rPr>
        <w:t>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w:t>
      </w:r>
    </w:p>
    <w:p w14:paraId="3E1F2DB3" w14:textId="77777777" w:rsidR="00A71C0F" w:rsidRPr="00A71C0F" w:rsidRDefault="00A71C0F" w:rsidP="00A71C0F">
      <w:pPr>
        <w:snapToGrid w:val="0"/>
        <w:spacing w:after="0" w:line="240" w:lineRule="auto"/>
        <w:jc w:val="both"/>
        <w:rPr>
          <w:rFonts w:ascii="Verdana" w:eastAsia="Calibri" w:hAnsi="Verdana" w:cs="Times New Roman"/>
          <w:sz w:val="20"/>
          <w:szCs w:val="20"/>
          <w:lang w:val="es-ES" w:eastAsia="es-MX"/>
        </w:rPr>
      </w:pPr>
      <w:r w:rsidRPr="00A71C0F">
        <w:rPr>
          <w:rFonts w:ascii="Verdana" w:eastAsia="Arial MT" w:hAnsi="Verdana" w:cs="Arial MT"/>
          <w:sz w:val="20"/>
          <w:szCs w:val="20"/>
          <w:lang w:val="es-ES" w:eastAsia="es-MX"/>
        </w:rPr>
        <w:t>[…]</w:t>
      </w:r>
    </w:p>
    <w:p w14:paraId="4D29117B" w14:textId="77777777" w:rsidR="00A71C0F" w:rsidRPr="00A71C0F" w:rsidRDefault="00A71C0F" w:rsidP="00A71C0F">
      <w:pPr>
        <w:snapToGrid w:val="0"/>
        <w:spacing w:after="0" w:line="240" w:lineRule="auto"/>
        <w:jc w:val="both"/>
        <w:rPr>
          <w:rFonts w:ascii="Verdana" w:eastAsia="Calibri" w:hAnsi="Verdana" w:cs="Times New Roman"/>
          <w:sz w:val="20"/>
          <w:szCs w:val="20"/>
          <w:lang w:val="es-ES" w:eastAsia="es-MX"/>
        </w:rPr>
      </w:pPr>
      <w:r w:rsidRPr="00A71C0F">
        <w:rPr>
          <w:rFonts w:ascii="Verdana" w:eastAsia="Calibri" w:hAnsi="Verdana" w:cs="Times New Roman"/>
          <w:sz w:val="20"/>
          <w:szCs w:val="20"/>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3B907346" w14:textId="77777777" w:rsidR="00A71C0F" w:rsidRPr="00A71C0F" w:rsidRDefault="00A71C0F" w:rsidP="00A71C0F">
      <w:pPr>
        <w:shd w:val="clear" w:color="auto" w:fill="FFFFFF"/>
        <w:spacing w:after="0" w:line="276" w:lineRule="auto"/>
        <w:contextualSpacing/>
        <w:jc w:val="both"/>
        <w:rPr>
          <w:rFonts w:ascii="Verdana" w:eastAsia="Calibri" w:hAnsi="Verdana" w:cs="Arial"/>
          <w:b/>
          <w:bCs/>
          <w:lang w:val="es-ES" w:eastAsia="es-ES"/>
        </w:rPr>
      </w:pPr>
    </w:p>
    <w:p w14:paraId="2FA32B3C" w14:textId="77777777" w:rsidR="00A71C0F" w:rsidRPr="00A71C0F" w:rsidRDefault="00A71C0F" w:rsidP="00A71C0F">
      <w:pPr>
        <w:shd w:val="clear" w:color="auto" w:fill="FFFFFF"/>
        <w:spacing w:after="0" w:line="276" w:lineRule="auto"/>
        <w:contextualSpacing/>
        <w:jc w:val="both"/>
        <w:rPr>
          <w:rFonts w:ascii="Verdana" w:eastAsia="Calibri" w:hAnsi="Verdana" w:cs="Arial"/>
          <w:b/>
          <w:bCs/>
          <w:lang w:val="es-ES" w:eastAsia="es-ES"/>
        </w:rPr>
      </w:pPr>
      <w:r w:rsidRPr="00A71C0F">
        <w:rPr>
          <w:rFonts w:ascii="Verdana" w:eastAsia="Calibri" w:hAnsi="Verdana" w:cs="Arial"/>
          <w:b/>
          <w:bCs/>
          <w:lang w:val="es-ES" w:eastAsia="es-ES"/>
        </w:rPr>
        <w:t xml:space="preserve">DOCUMENTOS TIPO DE INFRAESTRUCTURA SOCIAL – Aplicación – Matriz 1 – Determinación de la experiencia  </w:t>
      </w:r>
    </w:p>
    <w:p w14:paraId="21BE585E" w14:textId="77777777" w:rsidR="00A71C0F" w:rsidRPr="00A71C0F" w:rsidRDefault="00A71C0F" w:rsidP="00A71C0F">
      <w:pPr>
        <w:shd w:val="clear" w:color="auto" w:fill="FFFFFF"/>
        <w:spacing w:after="0" w:line="276" w:lineRule="auto"/>
        <w:contextualSpacing/>
        <w:jc w:val="both"/>
        <w:rPr>
          <w:rFonts w:ascii="Verdana" w:eastAsia="Calibri" w:hAnsi="Verdana" w:cs="Arial"/>
          <w:b/>
          <w:lang w:val="es-MX" w:eastAsia="es-ES_tradnl"/>
        </w:rPr>
      </w:pPr>
    </w:p>
    <w:p w14:paraId="1E50D123" w14:textId="77777777" w:rsidR="00A71C0F" w:rsidRPr="00A71C0F" w:rsidRDefault="00A71C0F" w:rsidP="00A71C0F">
      <w:pPr>
        <w:adjustRightInd w:val="0"/>
        <w:snapToGrid w:val="0"/>
        <w:spacing w:after="0" w:line="240" w:lineRule="auto"/>
        <w:jc w:val="both"/>
        <w:rPr>
          <w:rFonts w:ascii="Verdana" w:eastAsia="Calibri" w:hAnsi="Verdana" w:cs="Times New Roman"/>
          <w:sz w:val="20"/>
          <w:szCs w:val="20"/>
          <w:lang w:eastAsia="es-MX"/>
        </w:rPr>
      </w:pPr>
      <w:r w:rsidRPr="00A71C0F">
        <w:rPr>
          <w:rFonts w:ascii="Verdana" w:eastAsia="Calibri" w:hAnsi="Verdana" w:cs="Times New Roman"/>
          <w:sz w:val="20"/>
          <w:szCs w:val="20"/>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A71C0F">
        <w:rPr>
          <w:rFonts w:ascii="Verdana" w:eastAsia="Calibri" w:hAnsi="Verdana" w:cs="Times New Roman"/>
          <w:sz w:val="20"/>
          <w:szCs w:val="20"/>
          <w:lang w:eastAsia="es-MX"/>
        </w:rPr>
        <w:t>ii</w:t>
      </w:r>
      <w:proofErr w:type="spellEnd"/>
      <w:r w:rsidRPr="00A71C0F">
        <w:rPr>
          <w:rFonts w:ascii="Verdana" w:eastAsia="Calibri" w:hAnsi="Verdana" w:cs="Times New Roman"/>
          <w:sz w:val="20"/>
          <w:szCs w:val="20"/>
          <w:lang w:eastAsia="es-MX"/>
        </w:rPr>
        <w:t xml:space="preserve">) la actividad a contratar y </w:t>
      </w:r>
      <w:proofErr w:type="spellStart"/>
      <w:r w:rsidRPr="00A71C0F">
        <w:rPr>
          <w:rFonts w:ascii="Verdana" w:eastAsia="Calibri" w:hAnsi="Verdana" w:cs="Times New Roman"/>
          <w:sz w:val="20"/>
          <w:szCs w:val="20"/>
          <w:lang w:eastAsia="es-MX"/>
        </w:rPr>
        <w:t>iii</w:t>
      </w:r>
      <w:proofErr w:type="spellEnd"/>
      <w:r w:rsidRPr="00A71C0F">
        <w:rPr>
          <w:rFonts w:ascii="Verdana" w:eastAsia="Calibri" w:hAnsi="Verdana" w:cs="Times New Roman"/>
          <w:sz w:val="20"/>
          <w:szCs w:val="20"/>
          <w:lang w:eastAsia="es-MX"/>
        </w:rPr>
        <w:t>) la cuantía del proceso de contratación.</w:t>
      </w:r>
    </w:p>
    <w:p w14:paraId="1D73EE07" w14:textId="77777777" w:rsidR="00A71C0F" w:rsidRPr="00A71C0F" w:rsidRDefault="00A71C0F" w:rsidP="00A71C0F">
      <w:pPr>
        <w:snapToGrid w:val="0"/>
        <w:spacing w:after="0" w:line="240" w:lineRule="auto"/>
        <w:jc w:val="both"/>
        <w:rPr>
          <w:rFonts w:ascii="Verdana" w:eastAsia="Calibri" w:hAnsi="Verdana" w:cs="Times New Roman"/>
          <w:sz w:val="20"/>
          <w:szCs w:val="20"/>
          <w:lang w:eastAsia="es-MX"/>
        </w:rPr>
      </w:pPr>
    </w:p>
    <w:p w14:paraId="037F52DF" w14:textId="77777777" w:rsidR="00A71C0F" w:rsidRPr="00A71C0F" w:rsidRDefault="00A71C0F" w:rsidP="00A71C0F">
      <w:pPr>
        <w:snapToGrid w:val="0"/>
        <w:spacing w:after="0" w:line="240" w:lineRule="auto"/>
        <w:jc w:val="both"/>
        <w:rPr>
          <w:rFonts w:ascii="Verdana" w:eastAsia="Calibri" w:hAnsi="Verdana" w:cs="Times New Roman"/>
          <w:sz w:val="20"/>
          <w:szCs w:val="20"/>
          <w:lang w:eastAsia="es-MX"/>
        </w:rPr>
      </w:pPr>
      <w:r w:rsidRPr="00A71C0F">
        <w:rPr>
          <w:rFonts w:ascii="Verdana" w:eastAsia="Calibri" w:hAnsi="Verdana" w:cs="Calibri"/>
          <w:kern w:val="2"/>
          <w:sz w:val="20"/>
          <w:szCs w:val="20"/>
          <w14:ligatures w14:val="standardContextual"/>
        </w:rPr>
        <w:t xml:space="preserve">[…] </w:t>
      </w:r>
      <w:r w:rsidRPr="00A71C0F">
        <w:rPr>
          <w:rFonts w:ascii="Verdana" w:eastAsia="Times New Roman" w:hAnsi="Verdana" w:cs="Calibri"/>
          <w:sz w:val="20"/>
          <w:szCs w:val="20"/>
          <w:lang w:eastAsia="es-MX"/>
        </w:rPr>
        <w:t xml:space="preserve">la aplicación de los documentos tipo depende de si el objeto contractual corresponde a alguna de las actividades previstas en la Matriz 1 de Experiencia del sector de documentos tipo aplicable. </w:t>
      </w:r>
      <w:r w:rsidRPr="00A71C0F">
        <w:rPr>
          <w:rFonts w:ascii="Verdana" w:eastAsia="Calibri" w:hAnsi="Verdana" w:cs="Calibri"/>
          <w:kern w:val="2"/>
          <w:sz w:val="20"/>
          <w:szCs w:val="20"/>
          <w14:ligatures w14:val="standardContextual"/>
        </w:rPr>
        <w:t>[…]</w:t>
      </w:r>
    </w:p>
    <w:p w14:paraId="469ADDB3" w14:textId="77777777" w:rsidR="00A71C0F" w:rsidRPr="00A71C0F" w:rsidRDefault="00A71C0F" w:rsidP="00A71C0F">
      <w:pPr>
        <w:spacing w:after="0" w:line="276" w:lineRule="auto"/>
        <w:jc w:val="both"/>
        <w:rPr>
          <w:rFonts w:ascii="Verdana" w:eastAsia="Arial" w:hAnsi="Verdana" w:cs="Calibri"/>
          <w:lang w:eastAsia="es-ES"/>
        </w:rPr>
      </w:pPr>
    </w:p>
    <w:p w14:paraId="3E37E7B5" w14:textId="77777777" w:rsidR="00A71C0F" w:rsidRPr="00A71C0F" w:rsidRDefault="00A71C0F" w:rsidP="00A71C0F">
      <w:pPr>
        <w:snapToGrid w:val="0"/>
        <w:spacing w:after="0" w:line="276" w:lineRule="auto"/>
        <w:jc w:val="both"/>
        <w:rPr>
          <w:rFonts w:ascii="Verdana" w:eastAsia="Aptos" w:hAnsi="Verdana" w:cs="Times New Roman"/>
          <w:b/>
          <w:bCs/>
          <w:lang w:eastAsia="es-MX"/>
        </w:rPr>
      </w:pPr>
      <w:r w:rsidRPr="00A71C0F">
        <w:rPr>
          <w:rFonts w:ascii="Verdana" w:eastAsia="Aptos" w:hAnsi="Verdana" w:cs="Times New Roman"/>
          <w:b/>
          <w:bCs/>
          <w:lang w:eastAsia="es-MX"/>
        </w:rPr>
        <w:t>DOCUMENTOS TIPO DE INFRAESTRUCTURA SOCIAL – Actividades de mantenimiento preventivo y correctivo – Aires acondicionados – Sector institucional</w:t>
      </w:r>
    </w:p>
    <w:p w14:paraId="01C0CFC4" w14:textId="77777777" w:rsidR="00A71C0F" w:rsidRPr="00A71C0F" w:rsidRDefault="00A71C0F" w:rsidP="00A71C0F">
      <w:pPr>
        <w:autoSpaceDE w:val="0"/>
        <w:autoSpaceDN w:val="0"/>
        <w:adjustRightInd w:val="0"/>
        <w:spacing w:after="0" w:line="276" w:lineRule="auto"/>
        <w:jc w:val="both"/>
        <w:rPr>
          <w:rFonts w:ascii="Verdana" w:eastAsia="Times New Roman" w:hAnsi="Verdana" w:cs="Calibri"/>
          <w:lang w:eastAsia="es-MX"/>
        </w:rPr>
      </w:pPr>
    </w:p>
    <w:p w14:paraId="5CEF50D7" w14:textId="77777777" w:rsidR="00A71C0F" w:rsidRPr="00A71C0F" w:rsidRDefault="00A71C0F" w:rsidP="00A71C0F">
      <w:pPr>
        <w:snapToGrid w:val="0"/>
        <w:spacing w:after="0" w:line="240" w:lineRule="auto"/>
        <w:jc w:val="both"/>
        <w:rPr>
          <w:rFonts w:ascii="Verdana" w:eastAsia="Aptos" w:hAnsi="Verdana" w:cs="Times New Roman"/>
          <w:kern w:val="2"/>
          <w:sz w:val="20"/>
          <w:szCs w:val="20"/>
          <w:lang w:val="es-MX"/>
          <w14:ligatures w14:val="standardContextual"/>
        </w:rPr>
      </w:pPr>
      <w:r w:rsidRPr="00A71C0F">
        <w:rPr>
          <w:rFonts w:ascii="Verdana" w:eastAsia="Times New Roman" w:hAnsi="Verdana" w:cs="Calibri"/>
          <w:sz w:val="20"/>
          <w:szCs w:val="20"/>
          <w:lang w:eastAsia="es-MX"/>
        </w:rPr>
        <w:t xml:space="preserve">[…] </w:t>
      </w:r>
      <w:r w:rsidRPr="00A71C0F">
        <w:rPr>
          <w:rFonts w:ascii="Verdana" w:eastAsia="Aptos" w:hAnsi="Verdana" w:cs="Times New Roman"/>
          <w:kern w:val="2"/>
          <w:sz w:val="20"/>
          <w:szCs w:val="20"/>
          <w:lang w:val="es-MX"/>
          <w14:ligatures w14:val="standardContextual"/>
        </w:rPr>
        <w:t xml:space="preserve">si el objeto del proceso de selección implica el suministro e instalación de sistemas de aires acondicionados o sistemas de ventilación o similares, o equipos electromecánicos y/o electrónicos y/o maquinaria u otro tipo de equipos, se deberán aplicar los documentos tipo del sector social expedidos por esta Agencia. Así, de </w:t>
      </w:r>
      <w:r w:rsidRPr="00A71C0F">
        <w:rPr>
          <w:rFonts w:ascii="Verdana" w:eastAsia="Aptos" w:hAnsi="Verdana" w:cs="Times New Roman"/>
          <w:kern w:val="2"/>
          <w:sz w:val="20"/>
          <w:szCs w:val="20"/>
          <w:lang w:val="es-MX"/>
          <w14:ligatures w14:val="standardContextual"/>
        </w:rPr>
        <w:lastRenderedPageBreak/>
        <w:t xml:space="preserve">conformidad con la revisión de la Matriz 1 - Experiencia - Documento tipo de selección abreviada de menor cuantía del "Sector Institucional", no se hace referencia expresa a actividades de mantenimiento de sistemas de aire acondicionado, sistemas de ventilación o similares. </w:t>
      </w:r>
    </w:p>
    <w:p w14:paraId="63FD429D" w14:textId="77777777" w:rsidR="00A71C0F" w:rsidRPr="00A71C0F" w:rsidRDefault="00A71C0F" w:rsidP="00A71C0F">
      <w:pPr>
        <w:snapToGrid w:val="0"/>
        <w:spacing w:after="0" w:line="240" w:lineRule="auto"/>
        <w:jc w:val="both"/>
        <w:rPr>
          <w:rFonts w:ascii="Verdana" w:eastAsia="Aptos" w:hAnsi="Verdana" w:cs="Times New Roman"/>
          <w:kern w:val="2"/>
          <w:sz w:val="20"/>
          <w:szCs w:val="20"/>
          <w:lang w:val="es-MX"/>
          <w14:ligatures w14:val="standardContextual"/>
        </w:rPr>
      </w:pPr>
    </w:p>
    <w:p w14:paraId="05F17135" w14:textId="77777777" w:rsidR="00A71C0F" w:rsidRPr="00A71C0F" w:rsidRDefault="00A71C0F" w:rsidP="00A71C0F">
      <w:pPr>
        <w:snapToGrid w:val="0"/>
        <w:spacing w:after="0" w:line="240" w:lineRule="auto"/>
        <w:jc w:val="both"/>
        <w:rPr>
          <w:rFonts w:ascii="Verdana" w:eastAsia="Aptos" w:hAnsi="Verdana" w:cs="Times New Roman"/>
          <w:kern w:val="2"/>
          <w:sz w:val="20"/>
          <w:szCs w:val="20"/>
          <w:lang w:val="es-MX"/>
          <w14:ligatures w14:val="standardContextual"/>
        </w:rPr>
      </w:pPr>
      <w:r w:rsidRPr="00A71C0F">
        <w:rPr>
          <w:rFonts w:ascii="Verdana" w:eastAsia="Aptos" w:hAnsi="Verdana" w:cs="Times New Roman"/>
          <w:kern w:val="2"/>
          <w:sz w:val="20"/>
          <w:szCs w:val="20"/>
          <w:lang w:val="es-MX"/>
          <w14:ligatures w14:val="standardContextual"/>
        </w:rPr>
        <w:t xml:space="preserve">Por lo tanto, la Entidad debe determinar si el objeto integral de su proceso de contratación es solo el servicio de mantenimiento preventivo y correctivo de aires acondicionados, sin ninguna otra actividad, en una edificación que hace parte de la infraestructura institucional. En consecuencia, se reitera que, por sí sola, la actividad de </w:t>
      </w:r>
      <w:r w:rsidRPr="00A71C0F">
        <w:rPr>
          <w:rFonts w:ascii="Verdana" w:eastAsia="Aptos" w:hAnsi="Verdana" w:cs="Times New Roman"/>
          <w:b/>
          <w:bCs/>
          <w:kern w:val="2"/>
          <w:sz w:val="20"/>
          <w:szCs w:val="20"/>
          <w:u w:val="single"/>
          <w:lang w:val="es-MX"/>
          <w14:ligatures w14:val="standardContextual"/>
        </w:rPr>
        <w:t>mantenimiento preventivo y correctivo</w:t>
      </w:r>
      <w:r w:rsidRPr="00A71C0F">
        <w:rPr>
          <w:rFonts w:ascii="Verdana" w:eastAsia="Aptos" w:hAnsi="Verdana" w:cs="Times New Roman"/>
          <w:kern w:val="2"/>
          <w:sz w:val="20"/>
          <w:szCs w:val="20"/>
          <w:lang w:val="es-MX"/>
          <w14:ligatures w14:val="standardContextual"/>
        </w:rPr>
        <w:t xml:space="preserve"> no requiere la aplicación de los documentos tipo expedidos por esta Agencia en el Sector Social. </w:t>
      </w:r>
    </w:p>
    <w:p w14:paraId="1A90AE83" w14:textId="77777777" w:rsidR="00A71C0F" w:rsidRPr="00A71C0F" w:rsidRDefault="00A71C0F" w:rsidP="00A71C0F">
      <w:pPr>
        <w:snapToGrid w:val="0"/>
        <w:spacing w:after="0" w:line="240" w:lineRule="auto"/>
        <w:jc w:val="both"/>
        <w:rPr>
          <w:rFonts w:ascii="Verdana" w:eastAsia="Aptos" w:hAnsi="Verdana" w:cs="Times New Roman"/>
          <w:kern w:val="2"/>
          <w:sz w:val="20"/>
          <w:szCs w:val="20"/>
          <w:lang w:val="es-MX"/>
          <w14:ligatures w14:val="standardContextual"/>
        </w:rPr>
      </w:pPr>
    </w:p>
    <w:p w14:paraId="3B838A2B" w14:textId="77777777" w:rsidR="00A71C0F" w:rsidRPr="00A71C0F" w:rsidRDefault="00A71C0F" w:rsidP="00A71C0F">
      <w:pPr>
        <w:snapToGrid w:val="0"/>
        <w:spacing w:after="0" w:line="240" w:lineRule="auto"/>
        <w:jc w:val="both"/>
        <w:rPr>
          <w:rFonts w:ascii="Verdana" w:eastAsia="Aptos" w:hAnsi="Verdana" w:cs="Times New Roman"/>
          <w:kern w:val="2"/>
          <w:sz w:val="20"/>
          <w:szCs w:val="20"/>
          <w:lang w:val="es-MX"/>
          <w14:ligatures w14:val="standardContextual"/>
        </w:rPr>
      </w:pPr>
      <w:r w:rsidRPr="00A71C0F">
        <w:rPr>
          <w:rFonts w:ascii="Verdana" w:eastAsia="Aptos" w:hAnsi="Verdana" w:cs="Times New Roman"/>
          <w:kern w:val="2"/>
          <w:sz w:val="20"/>
          <w:szCs w:val="20"/>
          <w:lang w:val="es-MX"/>
          <w14:ligatures w14:val="standardContextual"/>
        </w:rPr>
        <w:t>De esta manera, si una entidad pretende adelantar un proceso que tenga por objeto solamente contratar el servicio de mantenimiento preventivo y correctivo de aires acondicionados o sistemas de ventilación, sobre infraestructura institucional, no tendrá que aplicar los documentos tipo expedidos por esta Agencia en este sector, salvo que así lo determine a modo de buena práctica contractual.</w:t>
      </w:r>
    </w:p>
    <w:p w14:paraId="40585E66" w14:textId="77777777" w:rsidR="00A71C0F" w:rsidRPr="00A71C0F" w:rsidRDefault="00A71C0F" w:rsidP="00A71C0F">
      <w:pPr>
        <w:autoSpaceDE w:val="0"/>
        <w:autoSpaceDN w:val="0"/>
        <w:adjustRightInd w:val="0"/>
        <w:snapToGrid w:val="0"/>
        <w:spacing w:after="0" w:line="240" w:lineRule="auto"/>
        <w:jc w:val="both"/>
        <w:rPr>
          <w:rFonts w:ascii="Verdana" w:eastAsia="Times New Roman" w:hAnsi="Verdana" w:cs="Calibri"/>
          <w:i/>
          <w:iCs/>
          <w:sz w:val="20"/>
          <w:szCs w:val="20"/>
          <w:lang w:val="es-ES" w:eastAsia="es-MX"/>
        </w:rPr>
      </w:pPr>
      <w:r w:rsidRPr="00A71C0F">
        <w:rPr>
          <w:rFonts w:ascii="Verdana" w:eastAsia="Aptos" w:hAnsi="Verdana" w:cs="Times New Roman"/>
          <w:kern w:val="2"/>
          <w:sz w:val="20"/>
          <w:szCs w:val="20"/>
          <w14:ligatures w14:val="standardContextual"/>
        </w:rPr>
        <w:t xml:space="preserve"> </w:t>
      </w:r>
    </w:p>
    <w:p w14:paraId="192A5389" w14:textId="77777777" w:rsidR="00A71C0F" w:rsidRPr="00A71C0F" w:rsidRDefault="00A71C0F" w:rsidP="00A71C0F">
      <w:pPr>
        <w:spacing w:after="0" w:line="240" w:lineRule="auto"/>
        <w:jc w:val="both"/>
        <w:rPr>
          <w:rFonts w:ascii="Verdana" w:eastAsia="Times New Roman" w:hAnsi="Verdana" w:cs="Calibri"/>
          <w:sz w:val="20"/>
          <w:szCs w:val="20"/>
          <w:lang w:eastAsia="es-MX"/>
        </w:rPr>
      </w:pPr>
    </w:p>
    <w:p w14:paraId="07D37881" w14:textId="77777777" w:rsidR="00A71C0F" w:rsidRPr="00A71C0F" w:rsidRDefault="00A71C0F" w:rsidP="00A71C0F">
      <w:pPr>
        <w:snapToGrid w:val="0"/>
        <w:spacing w:after="0" w:line="240" w:lineRule="auto"/>
        <w:jc w:val="both"/>
        <w:rPr>
          <w:rFonts w:ascii="Verdana" w:eastAsia="Aptos" w:hAnsi="Verdana" w:cs="Aptos"/>
          <w:kern w:val="2"/>
          <w:sz w:val="20"/>
          <w:szCs w:val="20"/>
          <w:lang w:val="es-ES"/>
          <w14:ligatures w14:val="standardContextual"/>
        </w:rPr>
      </w:pPr>
    </w:p>
    <w:p w14:paraId="56C29626" w14:textId="77777777" w:rsidR="00A71C0F" w:rsidRPr="00A71C0F" w:rsidRDefault="00A71C0F" w:rsidP="00A71C0F">
      <w:pPr>
        <w:spacing w:after="0" w:line="240" w:lineRule="auto"/>
        <w:jc w:val="both"/>
        <w:rPr>
          <w:rFonts w:ascii="Verdana" w:eastAsia="Arial" w:hAnsi="Verdana" w:cs="Calibri"/>
          <w:sz w:val="20"/>
          <w:szCs w:val="20"/>
          <w:lang w:eastAsia="es-ES"/>
        </w:rPr>
      </w:pPr>
    </w:p>
    <w:p w14:paraId="02070CDF" w14:textId="77777777" w:rsidR="00A71C0F" w:rsidRPr="00A71C0F" w:rsidRDefault="00A71C0F" w:rsidP="00A71C0F">
      <w:pPr>
        <w:spacing w:after="0" w:line="240" w:lineRule="auto"/>
        <w:jc w:val="both"/>
        <w:rPr>
          <w:rFonts w:ascii="Verdana" w:eastAsia="Arial" w:hAnsi="Verdana" w:cs="Calibri"/>
          <w:sz w:val="20"/>
          <w:szCs w:val="20"/>
          <w:lang w:eastAsia="es-ES"/>
        </w:rPr>
      </w:pPr>
    </w:p>
    <w:p w14:paraId="63856B0D"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1068B9BB"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1CA9E38C"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3C8B3692"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43B9482B"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36127E40"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7E8234EA"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6434E2C7"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5BECCA2D"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2615110B"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113B8DAB"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34B69537"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5B872C61"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6BBE776D"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04F889E9"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4DCF661E"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288D68C3"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53F8CED7"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0B23EB52"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7C075AC3"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4131F0F6"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33F5EC9A"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7C82A49C" w14:textId="77777777" w:rsidR="00A71C0F" w:rsidRDefault="00A71C0F" w:rsidP="00A71C0F">
      <w:pPr>
        <w:spacing w:after="0" w:line="240" w:lineRule="auto"/>
        <w:jc w:val="both"/>
        <w:rPr>
          <w:rFonts w:ascii="Verdana" w:eastAsia="Calibri" w:hAnsi="Verdana" w:cs="Arial"/>
          <w:color w:val="000000"/>
          <w:sz w:val="20"/>
          <w:szCs w:val="20"/>
          <w:lang w:val="es-ES" w:eastAsia="es-MX"/>
        </w:rPr>
      </w:pPr>
    </w:p>
    <w:p w14:paraId="1D594FA9" w14:textId="77777777" w:rsidR="00A71C0F" w:rsidRPr="00A71C0F" w:rsidRDefault="00A71C0F" w:rsidP="00A71C0F">
      <w:pPr>
        <w:spacing w:after="0" w:line="240" w:lineRule="auto"/>
        <w:jc w:val="both"/>
        <w:rPr>
          <w:rFonts w:ascii="Verdana" w:eastAsia="Calibri" w:hAnsi="Verdana" w:cs="Arial"/>
          <w:color w:val="000000"/>
          <w:sz w:val="20"/>
          <w:szCs w:val="20"/>
          <w:lang w:val="es-ES" w:eastAsia="es-MX"/>
        </w:rPr>
      </w:pPr>
    </w:p>
    <w:p w14:paraId="527BD668" w14:textId="20308A1E" w:rsidR="00A71C0F" w:rsidRPr="00A71C0F" w:rsidRDefault="00A71C0F" w:rsidP="00A71C0F">
      <w:pPr>
        <w:spacing w:after="0" w:line="240" w:lineRule="auto"/>
        <w:jc w:val="both"/>
        <w:rPr>
          <w:rFonts w:ascii="Verdana" w:eastAsia="Calibri" w:hAnsi="Verdana" w:cs="Arial"/>
          <w:lang w:val="es-ES" w:eastAsia="es-MX"/>
        </w:rPr>
      </w:pPr>
      <w:r w:rsidRPr="30821638">
        <w:rPr>
          <w:rFonts w:ascii="Verdana" w:eastAsia="Verdana" w:hAnsi="Verdana" w:cs="Verdana"/>
        </w:rPr>
        <w:lastRenderedPageBreak/>
        <w:t>Bogotá D.C.,</w:t>
      </w:r>
      <w:r w:rsidR="00D17172">
        <w:rPr>
          <w:rFonts w:ascii="Verdana" w:eastAsia="Verdana" w:hAnsi="Verdana" w:cs="Verdana"/>
        </w:rPr>
        <w:t xml:space="preserve"> </w:t>
      </w:r>
      <w:r w:rsidR="00361C8C">
        <w:rPr>
          <w:rFonts w:ascii="Verdana" w:eastAsia="Verdana" w:hAnsi="Verdana" w:cs="Verdana"/>
        </w:rPr>
        <w:t>20 Agosto 2026</w:t>
      </w:r>
    </w:p>
    <w:p w14:paraId="0951664E" w14:textId="29AD200E" w:rsidR="00A71C0F" w:rsidRDefault="00D17172" w:rsidP="00361C8C">
      <w:pPr>
        <w:spacing w:after="0" w:line="240" w:lineRule="auto"/>
        <w:jc w:val="right"/>
        <w:rPr>
          <w:rFonts w:ascii="Verdana" w:eastAsia="Calibri" w:hAnsi="Verdana" w:cs="Arial"/>
          <w:lang w:val="es-ES" w:eastAsia="es-ES"/>
        </w:rPr>
      </w:pPr>
      <w:r>
        <w:rPr>
          <w:rFonts w:ascii="Verdana" w:eastAsia="Calibri" w:hAnsi="Verdana" w:cs="Arial"/>
          <w:noProof/>
          <w:lang w:val="es-ES" w:eastAsia="es-ES"/>
        </w:rPr>
        <w:drawing>
          <wp:inline distT="0" distB="0" distL="0" distR="0" wp14:anchorId="71B380F1" wp14:editId="24E3BB71">
            <wp:extent cx="2791326" cy="772507"/>
            <wp:effectExtent l="0" t="0" r="3175" b="2540"/>
            <wp:docPr id="9271593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59308" name="Imagen 927159308"/>
                    <pic:cNvPicPr/>
                  </pic:nvPicPr>
                  <pic:blipFill>
                    <a:blip r:embed="rId10">
                      <a:extLst>
                        <a:ext uri="{28A0092B-C50C-407E-A947-70E740481C1C}">
                          <a14:useLocalDpi xmlns:a14="http://schemas.microsoft.com/office/drawing/2010/main" val="0"/>
                        </a:ext>
                      </a:extLst>
                    </a:blip>
                    <a:stretch>
                      <a:fillRect/>
                    </a:stretch>
                  </pic:blipFill>
                  <pic:spPr>
                    <a:xfrm>
                      <a:off x="0" y="0"/>
                      <a:ext cx="2797182" cy="774128"/>
                    </a:xfrm>
                    <a:prstGeom prst="rect">
                      <a:avLst/>
                    </a:prstGeom>
                  </pic:spPr>
                </pic:pic>
              </a:graphicData>
            </a:graphic>
          </wp:inline>
        </w:drawing>
      </w:r>
    </w:p>
    <w:p w14:paraId="065D07C0" w14:textId="0651C078" w:rsidR="00A71C0F" w:rsidRPr="00A71C0F" w:rsidRDefault="00A71C0F" w:rsidP="00A71C0F">
      <w:pPr>
        <w:spacing w:after="0" w:line="240" w:lineRule="auto"/>
        <w:jc w:val="both"/>
        <w:rPr>
          <w:rFonts w:ascii="Verdana" w:eastAsia="Calibri" w:hAnsi="Verdana" w:cs="Arial"/>
          <w:lang w:val="es-ES" w:eastAsia="es-ES"/>
        </w:rPr>
      </w:pPr>
      <w:r w:rsidRPr="00A71C0F">
        <w:rPr>
          <w:rFonts w:ascii="Verdana" w:eastAsia="Calibri" w:hAnsi="Verdana" w:cs="Arial"/>
          <w:lang w:val="es-ES" w:eastAsia="es-ES"/>
        </w:rPr>
        <w:t>Señor</w:t>
      </w:r>
    </w:p>
    <w:p w14:paraId="39FEF9BD" w14:textId="77777777" w:rsidR="00A71C0F" w:rsidRPr="00A71C0F" w:rsidRDefault="00A71C0F" w:rsidP="00A71C0F">
      <w:pPr>
        <w:spacing w:after="0" w:line="240" w:lineRule="auto"/>
        <w:rPr>
          <w:rFonts w:ascii="Verdana" w:eastAsia="Calibri" w:hAnsi="Verdana" w:cs="Arial"/>
          <w:b/>
          <w:lang w:eastAsia="es-ES_tradnl"/>
        </w:rPr>
      </w:pPr>
      <w:r w:rsidRPr="00A71C0F">
        <w:rPr>
          <w:rFonts w:ascii="Verdana" w:eastAsia="Calibri" w:hAnsi="Verdana" w:cs="Arial"/>
          <w:b/>
          <w:lang w:eastAsia="es-ES_tradnl"/>
        </w:rPr>
        <w:t>Jimmy Urbano Jiménez</w:t>
      </w:r>
    </w:p>
    <w:p w14:paraId="05BF88DA" w14:textId="77777777" w:rsidR="00A71C0F" w:rsidRPr="00A71C0F" w:rsidRDefault="00A71C0F" w:rsidP="00A71C0F">
      <w:pPr>
        <w:spacing w:after="0" w:line="240" w:lineRule="auto"/>
        <w:rPr>
          <w:rFonts w:ascii="Verdana" w:eastAsia="Calibri" w:hAnsi="Verdana" w:cs="Arial"/>
          <w:b/>
          <w:bCs/>
          <w:lang w:val="es-ES" w:eastAsia="es-ES"/>
        </w:rPr>
      </w:pPr>
      <w:r w:rsidRPr="00A71C0F">
        <w:rPr>
          <w:rFonts w:ascii="Verdana" w:eastAsia="Calibri" w:hAnsi="Verdana" w:cs="Arial"/>
          <w:lang w:val="es-ES" w:eastAsia="es-ES"/>
        </w:rPr>
        <w:t>Ciudad</w:t>
      </w:r>
    </w:p>
    <w:p w14:paraId="1FF1C7B9" w14:textId="77777777" w:rsidR="00A71C0F" w:rsidRPr="00A71C0F" w:rsidRDefault="00A71C0F" w:rsidP="00A71C0F">
      <w:pPr>
        <w:spacing w:after="0" w:line="240" w:lineRule="auto"/>
        <w:rPr>
          <w:rFonts w:ascii="Verdana" w:eastAsia="Calibri" w:hAnsi="Verdana" w:cs="Arial"/>
          <w:b/>
          <w:bCs/>
          <w:lang w:eastAsia="es-ES_tradnl"/>
        </w:rPr>
      </w:pPr>
    </w:p>
    <w:p w14:paraId="1987C459" w14:textId="77777777" w:rsidR="00A71C0F" w:rsidRPr="00A71C0F" w:rsidRDefault="00A71C0F" w:rsidP="00A71C0F">
      <w:pPr>
        <w:spacing w:after="0" w:line="240" w:lineRule="auto"/>
        <w:rPr>
          <w:rFonts w:ascii="Verdana" w:eastAsia="Calibri" w:hAnsi="Verdana" w:cs="Arial"/>
          <w:b/>
          <w:bCs/>
          <w:lang w:eastAsia="es-ES_tradnl"/>
        </w:rPr>
      </w:pPr>
    </w:p>
    <w:tbl>
      <w:tblPr>
        <w:tblStyle w:val="Tablaconcuadrcula1"/>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71C0F" w:rsidRPr="00A71C0F" w14:paraId="23F27C4A" w14:textId="77777777" w:rsidTr="00760F1E">
        <w:trPr>
          <w:trHeight w:val="884"/>
        </w:trPr>
        <w:tc>
          <w:tcPr>
            <w:tcW w:w="2689" w:type="dxa"/>
          </w:tcPr>
          <w:p w14:paraId="08845065" w14:textId="77777777" w:rsidR="00A71C0F" w:rsidRPr="00A71C0F" w:rsidRDefault="00A71C0F" w:rsidP="00A71C0F">
            <w:pPr>
              <w:spacing w:line="240" w:lineRule="exact"/>
              <w:jc w:val="both"/>
              <w:rPr>
                <w:rFonts w:ascii="Verdana" w:eastAsia="Calibri" w:hAnsi="Verdana" w:cs="Arial"/>
                <w:b/>
                <w:bCs/>
                <w:lang w:eastAsia="es-ES_tradnl"/>
              </w:rPr>
            </w:pPr>
          </w:p>
        </w:tc>
        <w:tc>
          <w:tcPr>
            <w:tcW w:w="6100" w:type="dxa"/>
          </w:tcPr>
          <w:p w14:paraId="570CDFCC" w14:textId="77777777" w:rsidR="00A71C0F" w:rsidRPr="00A71C0F" w:rsidRDefault="00A71C0F" w:rsidP="00A71C0F">
            <w:pPr>
              <w:spacing w:line="240" w:lineRule="exact"/>
              <w:jc w:val="both"/>
              <w:rPr>
                <w:rFonts w:ascii="Verdana" w:eastAsia="Calibri" w:hAnsi="Verdana" w:cs="Arial"/>
                <w:b/>
                <w:bCs/>
                <w:lang w:val="es-ES" w:eastAsia="es-ES"/>
              </w:rPr>
            </w:pPr>
            <w:r w:rsidRPr="00A71C0F">
              <w:rPr>
                <w:rFonts w:ascii="Verdana" w:eastAsia="Calibri" w:hAnsi="Verdana" w:cs="Arial"/>
                <w:b/>
                <w:bCs/>
                <w:lang w:val="es-ES" w:eastAsia="es-ES"/>
              </w:rPr>
              <w:t>Concepto C – 1088 de 2026</w:t>
            </w:r>
          </w:p>
        </w:tc>
      </w:tr>
      <w:tr w:rsidR="00A71C0F" w:rsidRPr="00A71C0F" w14:paraId="3F9A67C4" w14:textId="77777777" w:rsidTr="00760F1E">
        <w:trPr>
          <w:trHeight w:val="884"/>
        </w:trPr>
        <w:tc>
          <w:tcPr>
            <w:tcW w:w="2689" w:type="dxa"/>
          </w:tcPr>
          <w:p w14:paraId="2896DAEE" w14:textId="77777777" w:rsidR="00A71C0F" w:rsidRPr="00A71C0F" w:rsidRDefault="00A71C0F" w:rsidP="00A71C0F">
            <w:pPr>
              <w:spacing w:line="240" w:lineRule="exact"/>
              <w:jc w:val="both"/>
              <w:rPr>
                <w:rFonts w:ascii="Verdana" w:eastAsia="Calibri" w:hAnsi="Verdana" w:cs="Arial"/>
                <w:lang w:eastAsia="es-ES_tradnl"/>
              </w:rPr>
            </w:pPr>
            <w:r w:rsidRPr="00A71C0F">
              <w:rPr>
                <w:rFonts w:ascii="Verdana" w:eastAsia="Calibri" w:hAnsi="Verdana" w:cs="Arial"/>
                <w:b/>
                <w:lang w:eastAsia="es-ES_tradnl"/>
              </w:rPr>
              <w:t>Temas:</w:t>
            </w:r>
            <w:r w:rsidRPr="00A71C0F">
              <w:rPr>
                <w:rFonts w:ascii="Verdana" w:eastAsia="Calibri" w:hAnsi="Verdana" w:cs="Arial"/>
                <w:lang w:eastAsia="es-ES_tradnl"/>
              </w:rPr>
              <w:t xml:space="preserve">                   </w:t>
            </w:r>
          </w:p>
        </w:tc>
        <w:tc>
          <w:tcPr>
            <w:tcW w:w="6100" w:type="dxa"/>
          </w:tcPr>
          <w:p w14:paraId="3E59B135" w14:textId="77777777" w:rsidR="00A71C0F" w:rsidRPr="00A71C0F" w:rsidRDefault="00A71C0F" w:rsidP="00A71C0F">
            <w:pPr>
              <w:snapToGrid w:val="0"/>
              <w:spacing w:line="276" w:lineRule="auto"/>
              <w:jc w:val="both"/>
              <w:rPr>
                <w:rFonts w:ascii="Verdana" w:eastAsia="Aptos" w:hAnsi="Verdana" w:cs="Times New Roman"/>
                <w:lang w:eastAsia="es-MX"/>
              </w:rPr>
            </w:pPr>
            <w:r w:rsidRPr="00A71C0F">
              <w:rPr>
                <w:rFonts w:ascii="Verdana" w:eastAsia="Calibri" w:hAnsi="Verdana" w:cs="Arial"/>
                <w:lang w:val="es-ES" w:eastAsia="es-ES"/>
              </w:rPr>
              <w:t xml:space="preserve">DOCUMENTOS TIPO DE INFRAESTRUCTURA SOCIAL – Generalidades / DOCUMENTOS TIPO DE INFRAESTRUCTURA SOCIAL – Aplicación – Matriz 1 – Determinación de la experiencia / </w:t>
            </w:r>
            <w:r w:rsidRPr="00A71C0F">
              <w:rPr>
                <w:rFonts w:ascii="Verdana" w:eastAsia="Aptos" w:hAnsi="Verdana" w:cs="Times New Roman"/>
                <w:lang w:eastAsia="es-MX"/>
              </w:rPr>
              <w:t>DOCUMENTOS TIPO DE INFRAESTRUCTURA SOCIAL – Actividades de mantenimiento preventivo y correctivo – Aires acondicionados – Sector institucional</w:t>
            </w:r>
          </w:p>
          <w:p w14:paraId="11F00271" w14:textId="77777777" w:rsidR="00A71C0F" w:rsidRPr="00A71C0F" w:rsidRDefault="00A71C0F" w:rsidP="00A71C0F">
            <w:pPr>
              <w:shd w:val="clear" w:color="auto" w:fill="FFFFFF"/>
              <w:spacing w:line="276" w:lineRule="auto"/>
              <w:contextualSpacing/>
              <w:jc w:val="both"/>
              <w:rPr>
                <w:rFonts w:ascii="Verdana" w:eastAsia="Calibri" w:hAnsi="Verdana" w:cs="Arial"/>
                <w:highlight w:val="yellow"/>
                <w:lang w:val="es-ES" w:eastAsia="es-ES"/>
              </w:rPr>
            </w:pPr>
          </w:p>
        </w:tc>
      </w:tr>
      <w:tr w:rsidR="00A71C0F" w:rsidRPr="00A71C0F" w14:paraId="327680A7" w14:textId="77777777" w:rsidTr="00760F1E">
        <w:tc>
          <w:tcPr>
            <w:tcW w:w="2689" w:type="dxa"/>
          </w:tcPr>
          <w:p w14:paraId="218BA551" w14:textId="77777777" w:rsidR="00A71C0F" w:rsidRPr="00A71C0F" w:rsidRDefault="00A71C0F" w:rsidP="00A71C0F">
            <w:pPr>
              <w:spacing w:line="240" w:lineRule="exact"/>
              <w:jc w:val="both"/>
              <w:rPr>
                <w:rFonts w:ascii="Verdana" w:eastAsia="Calibri" w:hAnsi="Verdana" w:cs="Arial"/>
                <w:b/>
                <w:lang w:eastAsia="es-ES_tradnl"/>
              </w:rPr>
            </w:pPr>
            <w:r w:rsidRPr="00A71C0F">
              <w:rPr>
                <w:rFonts w:ascii="Verdana" w:eastAsia="Calibri" w:hAnsi="Verdana" w:cs="Arial"/>
                <w:b/>
                <w:lang w:eastAsia="es-ES_tradnl"/>
              </w:rPr>
              <w:t>Radicación:</w:t>
            </w:r>
            <w:r w:rsidRPr="00A71C0F">
              <w:rPr>
                <w:rFonts w:ascii="Verdana" w:eastAsia="Calibri" w:hAnsi="Verdana" w:cs="Arial"/>
                <w:lang w:eastAsia="es-ES_tradnl"/>
              </w:rPr>
              <w:t xml:space="preserve">               </w:t>
            </w:r>
          </w:p>
        </w:tc>
        <w:tc>
          <w:tcPr>
            <w:tcW w:w="6100" w:type="dxa"/>
          </w:tcPr>
          <w:p w14:paraId="0551E979" w14:textId="77777777" w:rsidR="00A71C0F" w:rsidRPr="00A71C0F" w:rsidRDefault="00A71C0F" w:rsidP="00A71C0F">
            <w:pPr>
              <w:spacing w:line="240" w:lineRule="exact"/>
              <w:jc w:val="both"/>
              <w:rPr>
                <w:rFonts w:ascii="Verdana" w:eastAsia="Calibri" w:hAnsi="Verdana" w:cs="Arial"/>
                <w:lang w:eastAsia="es-ES_tradnl"/>
              </w:rPr>
            </w:pPr>
            <w:r w:rsidRPr="00A71C0F">
              <w:rPr>
                <w:rFonts w:ascii="Verdana" w:eastAsia="Calibri" w:hAnsi="Verdana" w:cs="Arial"/>
                <w:lang w:eastAsia="es-ES_tradnl"/>
              </w:rPr>
              <w:t>Respuesta a consulta con radicado No. 1_2026_07_07_009030</w:t>
            </w:r>
          </w:p>
        </w:tc>
      </w:tr>
    </w:tbl>
    <w:p w14:paraId="07325B44" w14:textId="77777777" w:rsidR="00A71C0F" w:rsidRPr="00A71C0F" w:rsidRDefault="00A71C0F" w:rsidP="00A71C0F">
      <w:pPr>
        <w:spacing w:after="0" w:line="240" w:lineRule="auto"/>
        <w:jc w:val="both"/>
        <w:rPr>
          <w:rFonts w:ascii="Verdana" w:eastAsia="Calibri" w:hAnsi="Verdana" w:cs="Arial"/>
          <w:lang w:eastAsia="es-ES_tradnl"/>
        </w:rPr>
      </w:pPr>
    </w:p>
    <w:p w14:paraId="31E3F5F4" w14:textId="77777777" w:rsidR="00A71C0F" w:rsidRPr="00A71C0F" w:rsidRDefault="00A71C0F" w:rsidP="00A71C0F">
      <w:pPr>
        <w:spacing w:after="0" w:line="240" w:lineRule="auto"/>
        <w:jc w:val="both"/>
        <w:rPr>
          <w:rFonts w:ascii="Verdana" w:eastAsia="Calibri" w:hAnsi="Verdana" w:cs="Arial"/>
          <w:lang w:eastAsia="es-ES_tradnl"/>
        </w:rPr>
      </w:pPr>
    </w:p>
    <w:p w14:paraId="115F589A" w14:textId="77777777" w:rsidR="00A71C0F" w:rsidRPr="00A71C0F" w:rsidRDefault="00A71C0F" w:rsidP="00A71C0F">
      <w:pPr>
        <w:spacing w:after="0" w:line="276" w:lineRule="auto"/>
        <w:jc w:val="both"/>
        <w:rPr>
          <w:rFonts w:ascii="Verdana" w:eastAsia="Calibri" w:hAnsi="Verdana" w:cs="Arial"/>
          <w:lang w:val="es-ES" w:eastAsia="es-ES"/>
        </w:rPr>
      </w:pPr>
      <w:r w:rsidRPr="00A71C0F">
        <w:rPr>
          <w:rFonts w:ascii="Verdana" w:eastAsia="Calibri" w:hAnsi="Verdana" w:cs="Arial"/>
          <w:lang w:val="es-ES" w:eastAsia="es-ES"/>
        </w:rPr>
        <w:t xml:space="preserve">Estimado señor Urbano Jiménez: </w:t>
      </w:r>
    </w:p>
    <w:p w14:paraId="11D6BFF3" w14:textId="77777777" w:rsidR="00A71C0F" w:rsidRPr="00A71C0F" w:rsidRDefault="00A71C0F" w:rsidP="00A71C0F">
      <w:pPr>
        <w:tabs>
          <w:tab w:val="left" w:pos="3768"/>
        </w:tabs>
        <w:spacing w:after="0" w:line="276" w:lineRule="auto"/>
        <w:jc w:val="both"/>
        <w:rPr>
          <w:rFonts w:ascii="Verdana" w:eastAsia="Calibri" w:hAnsi="Verdana" w:cs="Arial"/>
          <w:lang w:val="es-ES" w:eastAsia="es-ES"/>
        </w:rPr>
      </w:pPr>
      <w:r w:rsidRPr="00A71C0F">
        <w:rPr>
          <w:rFonts w:ascii="Verdana" w:eastAsia="Calibri" w:hAnsi="Verdana" w:cs="Arial"/>
          <w:lang w:val="es-ES" w:eastAsia="es-ES"/>
        </w:rPr>
        <w:tab/>
      </w:r>
    </w:p>
    <w:p w14:paraId="768E82FF" w14:textId="77777777" w:rsidR="00A71C0F" w:rsidRPr="00A71C0F" w:rsidRDefault="00A71C0F" w:rsidP="00A71C0F">
      <w:pPr>
        <w:spacing w:after="0" w:line="276" w:lineRule="auto"/>
        <w:jc w:val="both"/>
        <w:rPr>
          <w:rFonts w:ascii="Verdana" w:eastAsia="Calibri" w:hAnsi="Verdana" w:cs="Arial"/>
          <w:lang w:val="es-ES" w:eastAsia="es-ES"/>
        </w:rPr>
      </w:pPr>
      <w:r w:rsidRPr="00A71C0F">
        <w:rPr>
          <w:rFonts w:ascii="Verdana" w:eastAsia="Calibri" w:hAnsi="Verdana" w:cs="Arial"/>
          <w:lang w:val="es-ES" w:eastAsia="es-ES"/>
        </w:rPr>
        <w:t>En ejercicio de la competencia otorgada por los artículos 3, numeral 5º, y 11, numeral 8º, del Decreto Ley 4170 de 2011,</w:t>
      </w:r>
      <w:r w:rsidRPr="00A71C0F">
        <w:rPr>
          <w:rFonts w:ascii="Verdana" w:eastAsia="Arial MT" w:hAnsi="Verdana" w:cs="Arial MT"/>
          <w:lang w:val="es-ES" w:eastAsia="es-ES"/>
        </w:rPr>
        <w:t xml:space="preserve"> </w:t>
      </w:r>
      <w:r w:rsidRPr="00A71C0F">
        <w:rPr>
          <w:rFonts w:ascii="Verdana" w:eastAsia="Calibri" w:hAnsi="Verdana" w:cs="Arial"/>
          <w:lang w:eastAsia="es-MX"/>
        </w:rPr>
        <w:t xml:space="preserve">así como lo establecido en la </w:t>
      </w:r>
      <w:r w:rsidRPr="00A71C0F">
        <w:rPr>
          <w:rFonts w:ascii="Verdana" w:eastAsia="Calibri" w:hAnsi="Verdana" w:cs="Arial"/>
          <w:kern w:val="2"/>
          <w:lang w:val="es-ES_tradnl" w:eastAsia="es-MX"/>
          <w14:ligatures w14:val="standardContextual"/>
        </w:rPr>
        <w:t xml:space="preserve">Resolución No. 469 de 2025 </w:t>
      </w:r>
      <w:r w:rsidRPr="00A71C0F">
        <w:rPr>
          <w:rFonts w:ascii="Verdana" w:eastAsia="Calibri" w:hAnsi="Verdana" w:cs="Arial"/>
          <w:kern w:val="2"/>
          <w:lang w:val="es-ES"/>
          <w14:ligatures w14:val="standardContextual"/>
        </w:rPr>
        <w:t xml:space="preserve">expedida </w:t>
      </w:r>
      <w:r w:rsidRPr="00A71C0F">
        <w:rPr>
          <w:rFonts w:ascii="Verdana" w:eastAsia="Calibri" w:hAnsi="Verdana" w:cs="Arial"/>
          <w:lang w:eastAsia="es-MX"/>
        </w:rPr>
        <w:t xml:space="preserve">por esta Entidad, </w:t>
      </w:r>
      <w:r w:rsidRPr="00A71C0F">
        <w:rPr>
          <w:rFonts w:ascii="Verdana" w:eastAsia="Calibri" w:hAnsi="Verdana" w:cs="Arial"/>
          <w:lang w:val="es-ES" w:eastAsia="es-ES"/>
        </w:rPr>
        <w:t>la Agencia Nacional de Contratación Pública – Colombia Compra Eficiente responde su solicitud de consulta de fecha 7 de julio de 2026, en la que manifiesta lo siguiente:</w:t>
      </w:r>
    </w:p>
    <w:p w14:paraId="544479E8" w14:textId="77777777" w:rsidR="00A71C0F" w:rsidRPr="00A71C0F" w:rsidRDefault="00A71C0F" w:rsidP="00A71C0F">
      <w:pPr>
        <w:spacing w:after="0" w:line="276" w:lineRule="auto"/>
        <w:jc w:val="both"/>
        <w:rPr>
          <w:rFonts w:ascii="Verdana" w:eastAsia="Calibri" w:hAnsi="Verdana" w:cs="Arial"/>
          <w:lang w:val="es-ES" w:eastAsia="es-ES"/>
        </w:rPr>
      </w:pPr>
    </w:p>
    <w:p w14:paraId="62058A21" w14:textId="77777777" w:rsidR="00A71C0F" w:rsidRPr="00A71C0F" w:rsidRDefault="00A71C0F" w:rsidP="00A71C0F">
      <w:pPr>
        <w:spacing w:after="0" w:line="240" w:lineRule="auto"/>
        <w:ind w:left="709" w:right="709"/>
        <w:jc w:val="both"/>
        <w:rPr>
          <w:rFonts w:ascii="Verdana" w:eastAsia="Calibri" w:hAnsi="Verdana" w:cs="Arial"/>
          <w:sz w:val="21"/>
          <w:szCs w:val="21"/>
          <w:lang w:val="es-ES" w:eastAsia="es-ES"/>
        </w:rPr>
      </w:pPr>
      <w:r w:rsidRPr="00A71C0F">
        <w:rPr>
          <w:rFonts w:ascii="Verdana" w:eastAsia="Calibri" w:hAnsi="Verdana" w:cs="Arial"/>
          <w:sz w:val="21"/>
          <w:szCs w:val="21"/>
          <w:lang w:val="es-ES" w:eastAsia="es-ES"/>
        </w:rPr>
        <w:t xml:space="preserve">"Teniendo en cuenta de CCE, </w:t>
      </w:r>
      <w:proofErr w:type="spellStart"/>
      <w:r w:rsidRPr="00A71C0F">
        <w:rPr>
          <w:rFonts w:ascii="Verdana" w:eastAsia="Calibri" w:hAnsi="Verdana" w:cs="Arial"/>
          <w:sz w:val="21"/>
          <w:szCs w:val="21"/>
          <w:lang w:val="es-ES" w:eastAsia="es-ES"/>
        </w:rPr>
        <w:t>dió</w:t>
      </w:r>
      <w:proofErr w:type="spellEnd"/>
      <w:r w:rsidRPr="00A71C0F">
        <w:rPr>
          <w:rFonts w:ascii="Verdana" w:eastAsia="Calibri" w:hAnsi="Verdana" w:cs="Arial"/>
          <w:sz w:val="21"/>
          <w:szCs w:val="21"/>
          <w:lang w:val="es-ES" w:eastAsia="es-ES"/>
        </w:rPr>
        <w:t xml:space="preserve"> directrices para la aplicación obligatoria de los pliegos tipo para INFRAESTRUCTURA </w:t>
      </w:r>
      <w:proofErr w:type="gramStart"/>
      <w:r w:rsidRPr="00A71C0F">
        <w:rPr>
          <w:rFonts w:ascii="Verdana" w:eastAsia="Calibri" w:hAnsi="Verdana" w:cs="Arial"/>
          <w:sz w:val="21"/>
          <w:szCs w:val="21"/>
          <w:lang w:val="es-ES" w:eastAsia="es-ES"/>
        </w:rPr>
        <w:t>SOCIAL,  y</w:t>
      </w:r>
      <w:proofErr w:type="gramEnd"/>
      <w:r w:rsidRPr="00A71C0F">
        <w:rPr>
          <w:rFonts w:ascii="Verdana" w:eastAsia="Calibri" w:hAnsi="Verdana" w:cs="Arial"/>
          <w:sz w:val="21"/>
          <w:szCs w:val="21"/>
          <w:lang w:val="es-ES" w:eastAsia="es-ES"/>
        </w:rPr>
        <w:t xml:space="preserve"> que dentro del mismo se encuentra:</w:t>
      </w:r>
    </w:p>
    <w:p w14:paraId="0990ED75" w14:textId="77777777" w:rsidR="00A71C0F" w:rsidRPr="00A71C0F" w:rsidRDefault="00A71C0F" w:rsidP="00A71C0F">
      <w:pPr>
        <w:spacing w:after="0" w:line="240" w:lineRule="auto"/>
        <w:ind w:left="709" w:right="709"/>
        <w:jc w:val="both"/>
        <w:rPr>
          <w:rFonts w:ascii="Verdana" w:eastAsia="Calibri" w:hAnsi="Verdana" w:cs="Arial"/>
          <w:sz w:val="21"/>
          <w:szCs w:val="21"/>
          <w:lang w:val="es-ES" w:eastAsia="es-ES"/>
        </w:rPr>
      </w:pPr>
    </w:p>
    <w:p w14:paraId="17F25056" w14:textId="77777777" w:rsidR="00A71C0F" w:rsidRPr="00A71C0F" w:rsidRDefault="00A71C0F" w:rsidP="00A71C0F">
      <w:pPr>
        <w:spacing w:after="0" w:line="240" w:lineRule="auto"/>
        <w:ind w:left="709" w:right="709"/>
        <w:jc w:val="both"/>
        <w:rPr>
          <w:rFonts w:ascii="Verdana" w:eastAsia="Calibri" w:hAnsi="Verdana" w:cs="Arial"/>
          <w:sz w:val="21"/>
          <w:szCs w:val="21"/>
          <w:lang w:val="es-ES" w:eastAsia="es-ES"/>
        </w:rPr>
      </w:pPr>
      <w:r w:rsidRPr="00A71C0F">
        <w:rPr>
          <w:rFonts w:ascii="Verdana" w:eastAsia="Calibri" w:hAnsi="Verdana" w:cs="Arial"/>
          <w:sz w:val="21"/>
          <w:szCs w:val="21"/>
          <w:lang w:val="es-ES" w:eastAsia="es-ES"/>
        </w:rPr>
        <w:t xml:space="preserve">02 </w:t>
      </w:r>
      <w:proofErr w:type="gramStart"/>
      <w:r w:rsidRPr="00A71C0F">
        <w:rPr>
          <w:rFonts w:ascii="Verdana" w:eastAsia="Calibri" w:hAnsi="Verdana" w:cs="Arial"/>
          <w:sz w:val="21"/>
          <w:szCs w:val="21"/>
          <w:lang w:val="es-ES" w:eastAsia="es-ES"/>
        </w:rPr>
        <w:t>Documentos</w:t>
      </w:r>
      <w:proofErr w:type="gramEnd"/>
      <w:r w:rsidRPr="00A71C0F">
        <w:rPr>
          <w:rFonts w:ascii="Verdana" w:eastAsia="Calibri" w:hAnsi="Verdana" w:cs="Arial"/>
          <w:sz w:val="21"/>
          <w:szCs w:val="21"/>
          <w:lang w:val="es-ES" w:eastAsia="es-ES"/>
        </w:rPr>
        <w:t xml:space="preserve"> tipo de menor cuantía de obra pública de infraestructura social </w:t>
      </w:r>
    </w:p>
    <w:p w14:paraId="4600BAE0" w14:textId="77777777" w:rsidR="00A71C0F" w:rsidRPr="00A71C0F" w:rsidRDefault="00A71C0F" w:rsidP="00A71C0F">
      <w:pPr>
        <w:spacing w:after="0" w:line="240" w:lineRule="auto"/>
        <w:ind w:left="709" w:right="709"/>
        <w:jc w:val="both"/>
        <w:rPr>
          <w:rFonts w:ascii="Verdana" w:eastAsia="Calibri" w:hAnsi="Verdana" w:cs="Arial"/>
          <w:sz w:val="21"/>
          <w:szCs w:val="21"/>
          <w:lang w:val="es-ES" w:eastAsia="es-ES"/>
        </w:rPr>
      </w:pPr>
    </w:p>
    <w:p w14:paraId="250DEFBB" w14:textId="77777777" w:rsidR="00A71C0F" w:rsidRPr="00A71C0F" w:rsidRDefault="00A71C0F" w:rsidP="00A71C0F">
      <w:pPr>
        <w:spacing w:after="0" w:line="240" w:lineRule="auto"/>
        <w:ind w:left="709" w:right="709"/>
        <w:jc w:val="both"/>
        <w:rPr>
          <w:rFonts w:ascii="Verdana" w:eastAsia="Calibri" w:hAnsi="Verdana" w:cs="Arial"/>
          <w:sz w:val="21"/>
          <w:szCs w:val="21"/>
          <w:lang w:val="es-ES" w:eastAsia="es-ES"/>
        </w:rPr>
      </w:pPr>
      <w:r w:rsidRPr="00A71C0F">
        <w:rPr>
          <w:rFonts w:ascii="Verdana" w:eastAsia="Calibri" w:hAnsi="Verdana" w:cs="Arial"/>
          <w:sz w:val="21"/>
          <w:szCs w:val="21"/>
          <w:lang w:val="es-ES" w:eastAsia="es-ES"/>
        </w:rPr>
        <w:t xml:space="preserve">y seguidamente 05 Documentos tipo adicionales – </w:t>
      </w:r>
      <w:proofErr w:type="gramStart"/>
      <w:r w:rsidRPr="00A71C0F">
        <w:rPr>
          <w:rFonts w:ascii="Verdana" w:eastAsia="Calibri" w:hAnsi="Verdana" w:cs="Arial"/>
          <w:sz w:val="21"/>
          <w:szCs w:val="21"/>
          <w:lang w:val="es-ES" w:eastAsia="es-ES"/>
        </w:rPr>
        <w:t>Sector institucional, respetuosamente se solicita se haga claridad si es obligatorio aplicar pliegos tipo, mediante la selección abreviada para contratar el mantenimiento preventivo y correctivo de aires acondicionados que se encuentran instalados en las instalaciones de una entidad pública?</w:t>
      </w:r>
      <w:proofErr w:type="gramEnd"/>
    </w:p>
    <w:p w14:paraId="22B28FEF" w14:textId="77777777" w:rsidR="00A71C0F" w:rsidRPr="00A71C0F" w:rsidRDefault="00A71C0F" w:rsidP="00A71C0F">
      <w:pPr>
        <w:spacing w:after="0" w:line="240" w:lineRule="auto"/>
        <w:ind w:left="709" w:right="709"/>
        <w:jc w:val="both"/>
        <w:rPr>
          <w:rFonts w:ascii="Verdana" w:eastAsia="Calibri" w:hAnsi="Verdana" w:cs="Arial"/>
          <w:sz w:val="21"/>
          <w:szCs w:val="21"/>
          <w:lang w:val="es-ES" w:eastAsia="es-ES"/>
        </w:rPr>
      </w:pPr>
    </w:p>
    <w:p w14:paraId="374883BD" w14:textId="77777777" w:rsidR="00A71C0F" w:rsidRPr="00A71C0F" w:rsidRDefault="00A71C0F" w:rsidP="00A71C0F">
      <w:pPr>
        <w:spacing w:after="0" w:line="240" w:lineRule="auto"/>
        <w:ind w:left="709" w:right="709"/>
        <w:jc w:val="both"/>
        <w:rPr>
          <w:rFonts w:ascii="Verdana" w:eastAsia="Calibri" w:hAnsi="Verdana" w:cs="Arial"/>
          <w:sz w:val="21"/>
          <w:szCs w:val="21"/>
          <w:lang w:val="es-ES" w:eastAsia="es-ES"/>
        </w:rPr>
      </w:pPr>
      <w:r w:rsidRPr="00A71C0F">
        <w:rPr>
          <w:rFonts w:ascii="Verdana" w:eastAsia="Calibri" w:hAnsi="Verdana" w:cs="Arial"/>
          <w:sz w:val="21"/>
          <w:szCs w:val="21"/>
          <w:lang w:val="es-ES" w:eastAsia="es-ES"/>
        </w:rPr>
        <w:t>lo anterior teniendo en cuenta que según la matriz 1 del pliego tipo en la actividad 2.2 indicó:</w:t>
      </w:r>
    </w:p>
    <w:p w14:paraId="73F2C12C" w14:textId="77777777" w:rsidR="00A71C0F" w:rsidRPr="00A71C0F" w:rsidRDefault="00A71C0F" w:rsidP="00A71C0F">
      <w:pPr>
        <w:spacing w:after="0" w:line="240" w:lineRule="auto"/>
        <w:ind w:left="709" w:right="709"/>
        <w:jc w:val="both"/>
        <w:rPr>
          <w:rFonts w:ascii="Verdana" w:eastAsia="Calibri" w:hAnsi="Verdana" w:cs="Arial"/>
          <w:sz w:val="21"/>
          <w:szCs w:val="21"/>
          <w:lang w:val="es-ES" w:eastAsia="es-ES"/>
        </w:rPr>
      </w:pPr>
    </w:p>
    <w:p w14:paraId="42E9BB2E" w14:textId="77777777" w:rsidR="00A71C0F" w:rsidRPr="00A71C0F" w:rsidRDefault="00A71C0F" w:rsidP="00A71C0F">
      <w:pPr>
        <w:spacing w:after="0" w:line="240" w:lineRule="auto"/>
        <w:ind w:left="709" w:right="709"/>
        <w:jc w:val="both"/>
        <w:rPr>
          <w:rFonts w:ascii="Aptos" w:eastAsia="Aptos" w:hAnsi="Aptos" w:cs="Times New Roman"/>
          <w:kern w:val="2"/>
          <w:sz w:val="24"/>
          <w:szCs w:val="24"/>
          <w:lang w:val="es-ES_tradnl"/>
          <w14:ligatures w14:val="standardContextual"/>
        </w:rPr>
      </w:pPr>
      <w:r w:rsidRPr="00A71C0F">
        <w:rPr>
          <w:rFonts w:ascii="Verdana" w:eastAsia="Calibri" w:hAnsi="Verdana" w:cs="Arial"/>
          <w:sz w:val="21"/>
          <w:szCs w:val="21"/>
          <w:lang w:val="es-ES" w:eastAsia="es-ES"/>
        </w:rPr>
        <w:t>2.2. PROYECTOS DE ADECUACIÓN Y/O CONSERVACIÓN Y/O INTERVENCIÓN Y/O INSTALACIÓN Y/O MANTENIMIENTO Y/O MEJORAMIENTO Y/O MODIFICACIÓN U OPTIMIZACIÓN Y/O REHABILITACIÓN Y/O REMODELACIÓN Y/O REPOSICIÓN Y/O REPARACIÓN LOCATIVA Y/O RESTAURACIÓN Y/O RESTITUCIÓN Y/O TERMINACIÓN DE INFRAESTRUCTURA DE SERVICIO PÚBLICO”. [SIC]</w:t>
      </w:r>
    </w:p>
    <w:p w14:paraId="1BBEB9D7" w14:textId="77777777" w:rsidR="00A71C0F" w:rsidRPr="00A71C0F" w:rsidRDefault="00A71C0F" w:rsidP="00A71C0F">
      <w:pPr>
        <w:spacing w:after="0" w:line="240" w:lineRule="auto"/>
        <w:ind w:left="709" w:right="709"/>
        <w:jc w:val="both"/>
        <w:rPr>
          <w:rFonts w:ascii="Verdana" w:eastAsia="Calibri" w:hAnsi="Verdana" w:cs="Arial"/>
          <w:lang w:val="es-ES" w:eastAsia="es-ES"/>
        </w:rPr>
      </w:pPr>
    </w:p>
    <w:p w14:paraId="7EEC36AE" w14:textId="77777777" w:rsidR="00A71C0F" w:rsidRPr="00A71C0F" w:rsidRDefault="00A71C0F" w:rsidP="00A71C0F">
      <w:pPr>
        <w:spacing w:after="120" w:line="276" w:lineRule="auto"/>
        <w:ind w:firstLine="709"/>
        <w:jc w:val="both"/>
        <w:rPr>
          <w:rFonts w:ascii="Verdana" w:eastAsia="Calibri" w:hAnsi="Verdana" w:cs="Arial"/>
          <w:szCs w:val="24"/>
          <w:lang w:eastAsia="es-ES_tradnl"/>
        </w:rPr>
      </w:pPr>
      <w:r w:rsidRPr="00A71C0F">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A71C0F">
        <w:rPr>
          <w:rFonts w:ascii="Verdana" w:eastAsia="Calibri" w:hAnsi="Verdana" w:cs="Arial"/>
          <w:szCs w:val="24"/>
          <w:lang w:eastAsia="es-ES_tradnl"/>
        </w:rPr>
        <w:tab/>
      </w:r>
    </w:p>
    <w:p w14:paraId="46FABFA6" w14:textId="77777777" w:rsidR="00A71C0F" w:rsidRPr="00A71C0F" w:rsidRDefault="00A71C0F" w:rsidP="00A71C0F">
      <w:pPr>
        <w:spacing w:after="0" w:line="276" w:lineRule="auto"/>
        <w:ind w:firstLine="709"/>
        <w:jc w:val="both"/>
        <w:rPr>
          <w:rFonts w:ascii="Verdana" w:eastAsia="Calibri" w:hAnsi="Verdana" w:cs="Arial"/>
          <w:lang w:val="es-ES" w:eastAsia="es-ES"/>
        </w:rPr>
      </w:pPr>
      <w:r w:rsidRPr="00A71C0F">
        <w:rPr>
          <w:rFonts w:ascii="Verdana" w:eastAsia="Calibri" w:hAnsi="Verdana" w:cs="Arial"/>
          <w:lang w:val="es-ES" w:eastAsia="es-ES"/>
        </w:rPr>
        <w:t>Conforme a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r w:rsidRPr="00A71C0F">
        <w:rPr>
          <w:rFonts w:ascii="Verdana" w:eastAsia="Calibri" w:hAnsi="Verdana" w:cs="Arial"/>
          <w:lang w:val="es-ES" w:eastAsia="es-ES"/>
        </w:rPr>
        <w:tab/>
      </w:r>
    </w:p>
    <w:p w14:paraId="1C9728AF" w14:textId="77777777" w:rsidR="00A71C0F" w:rsidRPr="00A71C0F" w:rsidRDefault="00A71C0F" w:rsidP="00A71C0F">
      <w:pPr>
        <w:numPr>
          <w:ilvl w:val="0"/>
          <w:numId w:val="16"/>
        </w:numPr>
        <w:tabs>
          <w:tab w:val="left" w:pos="142"/>
          <w:tab w:val="left" w:pos="284"/>
        </w:tabs>
        <w:spacing w:after="0" w:line="276" w:lineRule="auto"/>
        <w:ind w:left="357" w:hanging="357"/>
        <w:contextualSpacing/>
        <w:jc w:val="both"/>
        <w:rPr>
          <w:rFonts w:ascii="Verdana" w:eastAsia="Century Gothic" w:hAnsi="Verdana" w:cs="Century Gothic"/>
          <w:b/>
          <w:bCs/>
          <w:lang w:val="es-ES" w:eastAsia="es-MX"/>
        </w:rPr>
      </w:pPr>
      <w:r w:rsidRPr="00A71C0F">
        <w:rPr>
          <w:rFonts w:ascii="Verdana" w:eastAsia="Century Gothic" w:hAnsi="Verdana" w:cs="Century Gothic"/>
          <w:b/>
          <w:bCs/>
          <w:lang w:val="es-ES" w:eastAsia="es-MX"/>
        </w:rPr>
        <w:t>Problema planteado:</w:t>
      </w:r>
    </w:p>
    <w:p w14:paraId="6E009232" w14:textId="77777777" w:rsidR="00A71C0F" w:rsidRPr="00A71C0F" w:rsidRDefault="00A71C0F" w:rsidP="00A71C0F">
      <w:pPr>
        <w:tabs>
          <w:tab w:val="left" w:pos="426"/>
        </w:tabs>
        <w:spacing w:after="0" w:line="276" w:lineRule="auto"/>
        <w:jc w:val="both"/>
        <w:rPr>
          <w:rFonts w:ascii="Verdana" w:eastAsia="Century Gothic" w:hAnsi="Verdana" w:cs="Century Gothic"/>
          <w:lang w:val="es-ES" w:eastAsia="es-MX"/>
        </w:rPr>
      </w:pPr>
    </w:p>
    <w:p w14:paraId="26F57317" w14:textId="77777777" w:rsidR="00A71C0F" w:rsidRPr="00A71C0F" w:rsidRDefault="00A71C0F" w:rsidP="00A71C0F">
      <w:pPr>
        <w:snapToGrid w:val="0"/>
        <w:spacing w:after="0" w:line="276" w:lineRule="auto"/>
        <w:jc w:val="both"/>
        <w:rPr>
          <w:rFonts w:ascii="Verdana" w:eastAsia="Century Gothic" w:hAnsi="Verdana" w:cs="Century Gothic"/>
          <w:lang w:eastAsia="es-MX"/>
        </w:rPr>
      </w:pPr>
      <w:r w:rsidRPr="00A71C0F">
        <w:rPr>
          <w:rFonts w:ascii="Verdana" w:eastAsia="Century Gothic" w:hAnsi="Verdana" w:cs="Century Gothic"/>
          <w:lang w:eastAsia="es-MX"/>
        </w:rPr>
        <w:t xml:space="preserve">De acuerdo con el contenido de su solicitud, esta Agencia resolverá el siguiente problema jurídico: ¿el solo mantenimiento de aires acondicionados o sistemas </w:t>
      </w:r>
      <w:r w:rsidRPr="00A71C0F">
        <w:rPr>
          <w:rFonts w:ascii="Verdana" w:eastAsia="Century Gothic" w:hAnsi="Verdana" w:cs="Century Gothic"/>
          <w:lang w:eastAsia="es-MX"/>
        </w:rPr>
        <w:lastRenderedPageBreak/>
        <w:t>de ventilación requiere la utilización de los documentos tipo expedidos por la Agencia Nacional de Contratación Pública?</w:t>
      </w:r>
    </w:p>
    <w:p w14:paraId="314CF4A0" w14:textId="77777777" w:rsidR="00A71C0F" w:rsidRPr="00A71C0F" w:rsidRDefault="00A71C0F" w:rsidP="00A71C0F">
      <w:pPr>
        <w:snapToGrid w:val="0"/>
        <w:spacing w:after="0" w:line="276" w:lineRule="auto"/>
        <w:jc w:val="both"/>
        <w:rPr>
          <w:rFonts w:ascii="Verdana" w:eastAsia="Calibri" w:hAnsi="Verdana" w:cs="Arial"/>
          <w:lang w:val="es-ES" w:eastAsia="es-MX"/>
        </w:rPr>
      </w:pPr>
    </w:p>
    <w:p w14:paraId="70516B99" w14:textId="77777777" w:rsidR="00A71C0F" w:rsidRPr="00A71C0F" w:rsidRDefault="00A71C0F" w:rsidP="00A71C0F">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A71C0F">
        <w:rPr>
          <w:rFonts w:ascii="Verdana" w:eastAsia="Century Gothic" w:hAnsi="Verdana" w:cs="Century Gothic"/>
          <w:b/>
          <w:bCs/>
          <w:lang w:val="es-ES" w:eastAsia="es-MX"/>
        </w:rPr>
        <w:t>Respuesta:</w:t>
      </w:r>
    </w:p>
    <w:p w14:paraId="7E99C5BD" w14:textId="77777777" w:rsidR="00A71C0F" w:rsidRPr="00A71C0F" w:rsidRDefault="00A71C0F" w:rsidP="00A71C0F">
      <w:pPr>
        <w:tabs>
          <w:tab w:val="left" w:pos="142"/>
          <w:tab w:val="left" w:pos="284"/>
        </w:tabs>
        <w:snapToGrid w:val="0"/>
        <w:spacing w:after="0" w:line="276" w:lineRule="auto"/>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71C0F" w:rsidRPr="00A71C0F" w14:paraId="23ABD1A2" w14:textId="77777777" w:rsidTr="00760F1E">
        <w:tc>
          <w:tcPr>
            <w:tcW w:w="8828" w:type="dxa"/>
          </w:tcPr>
          <w:p w14:paraId="6C43D8EC" w14:textId="77777777" w:rsidR="00A71C0F" w:rsidRPr="00A71C0F" w:rsidRDefault="00A71C0F" w:rsidP="00A71C0F">
            <w:pPr>
              <w:snapToGrid w:val="0"/>
              <w:spacing w:after="120" w:line="276" w:lineRule="auto"/>
              <w:jc w:val="both"/>
              <w:rPr>
                <w:rFonts w:ascii="Verdana" w:eastAsia="Calibri" w:hAnsi="Verdana" w:cs="Times New Roman"/>
                <w:lang w:val="es-ES" w:eastAsia="es-MX"/>
              </w:rPr>
            </w:pPr>
            <w:r w:rsidRPr="00A71C0F">
              <w:rPr>
                <w:rFonts w:ascii="Verdana" w:eastAsia="Calibri" w:hAnsi="Verdana" w:cs="Times New Roman"/>
                <w:lang w:val="es-ES" w:eastAsia="es-MX"/>
              </w:rPr>
              <w:t>Recientemente, la Agencia Nacional de Contratación Pública – Colombia Compra Eficiente adoptó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a los procedimientos de selección con aviso de convocatoria o invitación publicada a partir del 16 de febrero de 2026.</w:t>
            </w:r>
          </w:p>
          <w:p w14:paraId="01E5B9EB" w14:textId="77777777" w:rsidR="00A71C0F" w:rsidRPr="00A71C0F" w:rsidRDefault="00A71C0F" w:rsidP="00A71C0F">
            <w:pPr>
              <w:snapToGrid w:val="0"/>
              <w:spacing w:after="120" w:line="276" w:lineRule="auto"/>
              <w:ind w:firstLine="709"/>
              <w:jc w:val="both"/>
              <w:rPr>
                <w:rFonts w:ascii="Verdana" w:eastAsia="Aptos" w:hAnsi="Verdana" w:cs="Times New Roman"/>
                <w:lang w:val="es-MX"/>
              </w:rPr>
            </w:pPr>
            <w:r w:rsidRPr="00A71C0F">
              <w:rPr>
                <w:rFonts w:ascii="Verdana" w:eastAsia="Times New Roman" w:hAnsi="Verdana" w:cs="Calibri"/>
                <w:lang w:eastAsia="es-MX"/>
              </w:rPr>
              <w:t xml:space="preserve">Uno </w:t>
            </w:r>
            <w:r w:rsidRPr="00A71C0F">
              <w:rPr>
                <w:rFonts w:ascii="Verdana" w:eastAsia="Aptos" w:hAnsi="Verdana" w:cs="Times New Roman"/>
                <w:lang w:val="es-MX"/>
              </w:rPr>
              <w:t>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se encuentra el “Anexo – Glosario”, el cual contiene las definiciones de los términos usados en los documentos del proceso. Utilizando estos dos documentos, la entidad estatal puede definir si para el objeto a contratar debe emplear los documentos tipo adoptados por esta Agencia.</w:t>
            </w:r>
          </w:p>
          <w:p w14:paraId="651A1A4D" w14:textId="77777777" w:rsidR="00A71C0F" w:rsidRPr="00A71C0F" w:rsidRDefault="00A71C0F" w:rsidP="00A71C0F">
            <w:pPr>
              <w:snapToGrid w:val="0"/>
              <w:spacing w:line="276" w:lineRule="auto"/>
              <w:ind w:firstLine="709"/>
              <w:jc w:val="both"/>
              <w:rPr>
                <w:rFonts w:ascii="Verdana" w:eastAsia="Aptos" w:hAnsi="Verdana" w:cs="Times New Roman"/>
                <w:lang w:val="es-MX"/>
              </w:rPr>
            </w:pPr>
            <w:r w:rsidRPr="00A71C0F">
              <w:rPr>
                <w:rFonts w:ascii="Verdana" w:eastAsia="Aptos" w:hAnsi="Verdana" w:cs="Times New Roman"/>
                <w:lang w:val="es-MX"/>
              </w:rPr>
              <w:t>Las actividades indicadas aplican para los procesos que adelanten las entidades obligadas a utilizar los documentos tipo. En este caso, dentro de la matriz de experencia del sector institucional, se contempla la actividad 2.14 para:</w:t>
            </w:r>
          </w:p>
          <w:p w14:paraId="356FE314" w14:textId="77777777" w:rsidR="00A71C0F" w:rsidRPr="00A71C0F" w:rsidRDefault="00A71C0F" w:rsidP="00A71C0F">
            <w:pPr>
              <w:snapToGrid w:val="0"/>
              <w:spacing w:line="276" w:lineRule="auto"/>
              <w:ind w:firstLine="709"/>
              <w:jc w:val="both"/>
              <w:rPr>
                <w:rFonts w:ascii="Verdana" w:eastAsia="Aptos" w:hAnsi="Verdana" w:cs="Times New Roman"/>
                <w:lang w:val="es-MX"/>
              </w:rPr>
            </w:pPr>
          </w:p>
          <w:p w14:paraId="20673E59" w14:textId="77777777" w:rsidR="00A71C0F" w:rsidRPr="00A71C0F" w:rsidRDefault="00A71C0F" w:rsidP="00A71C0F">
            <w:pPr>
              <w:snapToGrid w:val="0"/>
              <w:ind w:left="709" w:right="709"/>
              <w:jc w:val="both"/>
              <w:rPr>
                <w:rFonts w:ascii="Verdana" w:eastAsia="Aptos" w:hAnsi="Verdana" w:cs="Times New Roman"/>
                <w:i/>
                <w:iCs/>
                <w:sz w:val="21"/>
                <w:szCs w:val="21"/>
                <w:lang w:val="es-MX"/>
              </w:rPr>
            </w:pPr>
            <w:r w:rsidRPr="00A71C0F">
              <w:rPr>
                <w:rFonts w:ascii="Verdana" w:eastAsia="Aptos" w:hAnsi="Verdana" w:cs="Times New Roman"/>
                <w:i/>
                <w:iCs/>
                <w:sz w:val="21"/>
                <w:szCs w:val="21"/>
                <w:lang w:val="es-MX"/>
              </w:rPr>
              <w:t>“2.14. SUMINISTRO Y/O INSTALACIÓN DE SISTEMAS DE AIRES ACONDICIONADOS O SISTEMAS DE VENTILACIÓN O SIMILARES PARA INFRAESTRUCTURA DE SERVICIO PUBLICO”</w:t>
            </w:r>
          </w:p>
          <w:p w14:paraId="33CFAC22" w14:textId="77777777" w:rsidR="00A71C0F" w:rsidRPr="00A71C0F" w:rsidRDefault="00A71C0F" w:rsidP="00A71C0F">
            <w:pPr>
              <w:snapToGrid w:val="0"/>
              <w:spacing w:line="276" w:lineRule="auto"/>
              <w:ind w:left="709" w:right="709"/>
              <w:jc w:val="both"/>
              <w:rPr>
                <w:rFonts w:ascii="Verdana" w:eastAsia="Aptos" w:hAnsi="Verdana" w:cs="Times New Roman"/>
                <w:i/>
                <w:iCs/>
                <w:lang w:val="es-MX"/>
              </w:rPr>
            </w:pPr>
          </w:p>
          <w:p w14:paraId="410B58FC" w14:textId="77777777" w:rsidR="00A71C0F" w:rsidRPr="00A71C0F" w:rsidRDefault="00A71C0F" w:rsidP="00A71C0F">
            <w:pPr>
              <w:snapToGrid w:val="0"/>
              <w:spacing w:after="120" w:line="276" w:lineRule="auto"/>
              <w:ind w:firstLine="709"/>
              <w:jc w:val="both"/>
              <w:rPr>
                <w:rFonts w:ascii="Verdana" w:eastAsia="Aptos" w:hAnsi="Verdana" w:cs="Times New Roman"/>
                <w:lang w:val="es-MX"/>
              </w:rPr>
            </w:pPr>
            <w:r w:rsidRPr="00A71C0F">
              <w:rPr>
                <w:rFonts w:ascii="Verdana" w:eastAsia="Aptos" w:hAnsi="Verdana" w:cs="Times New Roman"/>
                <w:lang w:val="es-MX"/>
              </w:rPr>
              <w:t xml:space="preserve">De esta forma, la actividad de mantenimiento referida en la petición no estaría ligada a la actividad de instalación de los sistemas de aires acondicionados o sistemas de ventilación o similares sobre infraestructura del sector institucional. Así, por sí solo, el servicio de mantenimiento no requiere </w:t>
            </w:r>
            <w:r w:rsidRPr="00A71C0F">
              <w:rPr>
                <w:rFonts w:ascii="Verdana" w:eastAsia="Aptos" w:hAnsi="Verdana" w:cs="Times New Roman"/>
                <w:lang w:val="es-MX"/>
              </w:rPr>
              <w:lastRenderedPageBreak/>
              <w:t xml:space="preserve">la aplicación de los documentos tipo expedidos por esta Agencia en el sector social. </w:t>
            </w:r>
          </w:p>
          <w:p w14:paraId="6B61A412" w14:textId="77777777" w:rsidR="00A71C0F" w:rsidRPr="00A71C0F" w:rsidRDefault="00A71C0F" w:rsidP="00A71C0F">
            <w:pPr>
              <w:snapToGrid w:val="0"/>
              <w:spacing w:after="120" w:line="276" w:lineRule="auto"/>
              <w:ind w:firstLine="709"/>
              <w:jc w:val="both"/>
              <w:rPr>
                <w:rFonts w:ascii="Verdana" w:eastAsia="Aptos" w:hAnsi="Verdana" w:cs="Times New Roman"/>
                <w:lang w:val="es-MX"/>
              </w:rPr>
            </w:pPr>
            <w:r w:rsidRPr="00A71C0F">
              <w:rPr>
                <w:rFonts w:ascii="Verdana" w:eastAsia="Aptos" w:hAnsi="Verdana" w:cs="Times New Roman"/>
                <w:lang w:val="es-MX"/>
              </w:rPr>
              <w:t>Es decir que, si una entidad pretende adelantar un proceso que tenga por único objeto contratar el servicio para el mantenimiento preventivo y correctivo de sistemas de aires acondicionados o sistemas de ventilación o similares, no se advierte la obligación de aplicar los Documentos Tipo mencionados, salvo que dicha actividad eventualmente se encuentre integrada dentro de un contrato que también contemple la instalación de los sistemas indicados.</w:t>
            </w:r>
          </w:p>
          <w:p w14:paraId="1BE02F4B" w14:textId="77777777" w:rsidR="00A71C0F" w:rsidRPr="00A71C0F" w:rsidRDefault="00A71C0F" w:rsidP="00A71C0F">
            <w:pPr>
              <w:snapToGrid w:val="0"/>
              <w:spacing w:after="120" w:line="276" w:lineRule="auto"/>
              <w:ind w:firstLine="709"/>
              <w:jc w:val="both"/>
              <w:rPr>
                <w:rFonts w:ascii="Verdana" w:eastAsia="Aptos" w:hAnsi="Verdana" w:cs="Times New Roman"/>
                <w:lang w:val="es-MX"/>
              </w:rPr>
            </w:pPr>
            <w:r w:rsidRPr="00A71C0F">
              <w:rPr>
                <w:rFonts w:ascii="Verdana" w:eastAsia="Aptos" w:hAnsi="Verdana" w:cs="Times New Roman"/>
                <w:lang w:val="es-MX"/>
              </w:rPr>
              <w:t xml:space="preserve">Ahora bien, si el objeto del proceso de selección implica el suministro e instalación de sistemas de aires acondicionados o sistemas de ventilación o similares, o equipos electromecánicos y/o electrónicos y/o maquinaria u otro tipo de equipos, se deberán aplicar los documentos tipo del sector social expedidos por esta Agencia. Así, de conformidad con la revisión de la Matriz 1 - Experiencia - Documento tipo de selección abreviada de menor cuantía del "Sector Institucional", no se hace referencia expresa a actividades de mantenimiento de sistemas de aire acondicionado, sistemas de ventilación o similares. </w:t>
            </w:r>
          </w:p>
          <w:p w14:paraId="02830154" w14:textId="77777777" w:rsidR="00A71C0F" w:rsidRPr="00A71C0F" w:rsidRDefault="00A71C0F" w:rsidP="00A71C0F">
            <w:pPr>
              <w:snapToGrid w:val="0"/>
              <w:spacing w:after="120" w:line="276" w:lineRule="auto"/>
              <w:ind w:firstLine="709"/>
              <w:jc w:val="both"/>
              <w:rPr>
                <w:rFonts w:ascii="Verdana" w:eastAsia="Aptos" w:hAnsi="Verdana" w:cs="Times New Roman"/>
                <w:lang w:val="es-MX"/>
              </w:rPr>
            </w:pPr>
            <w:r w:rsidRPr="00A71C0F">
              <w:rPr>
                <w:rFonts w:ascii="Verdana" w:eastAsia="Aptos" w:hAnsi="Verdana" w:cs="Times New Roman"/>
                <w:lang w:val="es-MX"/>
              </w:rPr>
              <w:t xml:space="preserve">Por lo tanto, la Entidad debe determinar si el objeto integral de su proceso de contratación es solo el servicio de mantenimiento preventivo y correctivo de aires acondicionados, sin ninguna otra actividad, en una edificación que hace parte de la infraestructura institucional. En consecuencia, se reitera que, por sí sola, la actividad de </w:t>
            </w:r>
            <w:r w:rsidRPr="00A71C0F">
              <w:rPr>
                <w:rFonts w:ascii="Verdana" w:eastAsia="Aptos" w:hAnsi="Verdana" w:cs="Times New Roman"/>
                <w:b/>
                <w:bCs/>
                <w:u w:val="single"/>
                <w:lang w:val="es-MX"/>
              </w:rPr>
              <w:t>mantenimiento preventivo y correctivo</w:t>
            </w:r>
            <w:r w:rsidRPr="00A71C0F">
              <w:rPr>
                <w:rFonts w:ascii="Verdana" w:eastAsia="Aptos" w:hAnsi="Verdana" w:cs="Times New Roman"/>
                <w:lang w:val="es-MX"/>
              </w:rPr>
              <w:t xml:space="preserve"> no requiere la aplicación de los documentos tipo expedidos por esta Agencia en el Sector Social. </w:t>
            </w:r>
          </w:p>
          <w:p w14:paraId="76D6A604" w14:textId="77777777" w:rsidR="00A71C0F" w:rsidRPr="00A71C0F" w:rsidRDefault="00A71C0F" w:rsidP="00A71C0F">
            <w:pPr>
              <w:snapToGrid w:val="0"/>
              <w:spacing w:line="276" w:lineRule="auto"/>
              <w:ind w:firstLine="709"/>
              <w:jc w:val="both"/>
              <w:rPr>
                <w:rFonts w:ascii="Verdana" w:eastAsia="Aptos" w:hAnsi="Verdana" w:cs="Times New Roman"/>
                <w:lang w:val="es-MX"/>
              </w:rPr>
            </w:pPr>
            <w:r w:rsidRPr="00A71C0F">
              <w:rPr>
                <w:rFonts w:ascii="Verdana" w:eastAsia="Aptos" w:hAnsi="Verdana" w:cs="Times New Roman"/>
                <w:lang w:val="es-MX"/>
              </w:rPr>
              <w:t>De esta manera, si una entidad pretende adelantar un proceso que tenga por objeto solamente contratar el servicio de mantenimiento preventivo y correctivo de aires acondicionados o sistemas de ventilación, sobre infraestructura institucional, no tendrá que aplicar los documentos tipo expedidos por esta Agencia en este sector, salvo que así lo determine a modo de buena práctica contractual.</w:t>
            </w:r>
          </w:p>
        </w:tc>
      </w:tr>
    </w:tbl>
    <w:p w14:paraId="1195E6BB" w14:textId="77777777" w:rsidR="00A71C0F" w:rsidRPr="00A71C0F" w:rsidRDefault="00A71C0F" w:rsidP="00A71C0F">
      <w:pPr>
        <w:tabs>
          <w:tab w:val="left" w:pos="142"/>
          <w:tab w:val="left" w:pos="284"/>
        </w:tabs>
        <w:snapToGrid w:val="0"/>
        <w:spacing w:after="0" w:line="276" w:lineRule="auto"/>
        <w:jc w:val="both"/>
        <w:rPr>
          <w:rFonts w:ascii="Verdana" w:eastAsia="Century Gothic" w:hAnsi="Verdana" w:cs="Century Gothic"/>
          <w:b/>
          <w:bCs/>
          <w:lang w:val="es-ES" w:eastAsia="es-MX"/>
        </w:rPr>
      </w:pPr>
    </w:p>
    <w:p w14:paraId="3EC15439" w14:textId="77777777" w:rsidR="00A71C0F" w:rsidRPr="00A71C0F" w:rsidRDefault="00A71C0F" w:rsidP="00A71C0F">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A71C0F">
        <w:rPr>
          <w:rFonts w:ascii="Verdana" w:eastAsia="Century Gothic" w:hAnsi="Verdana" w:cs="Century Gothic"/>
          <w:b/>
          <w:bCs/>
          <w:lang w:val="es-ES" w:eastAsia="es-MX"/>
        </w:rPr>
        <w:t>Razones de la respuesta:</w:t>
      </w:r>
    </w:p>
    <w:p w14:paraId="19C8E2B4" w14:textId="77777777" w:rsidR="00A71C0F" w:rsidRPr="00A71C0F" w:rsidRDefault="00A71C0F" w:rsidP="00A71C0F">
      <w:pPr>
        <w:tabs>
          <w:tab w:val="left" w:pos="142"/>
          <w:tab w:val="left" w:pos="284"/>
        </w:tabs>
        <w:snapToGrid w:val="0"/>
        <w:spacing w:after="0" w:line="276" w:lineRule="auto"/>
        <w:ind w:left="357"/>
        <w:jc w:val="both"/>
        <w:rPr>
          <w:rFonts w:ascii="Verdana" w:eastAsia="Century Gothic" w:hAnsi="Verdana" w:cs="Century Gothic"/>
          <w:b/>
          <w:bCs/>
          <w:lang w:val="es-ES" w:eastAsia="es-MX"/>
        </w:rPr>
      </w:pPr>
    </w:p>
    <w:p w14:paraId="4AADDE9E" w14:textId="77777777" w:rsidR="00A71C0F" w:rsidRPr="00A71C0F" w:rsidRDefault="00A71C0F" w:rsidP="00A71C0F">
      <w:pPr>
        <w:snapToGrid w:val="0"/>
        <w:spacing w:after="0" w:line="276" w:lineRule="auto"/>
        <w:jc w:val="both"/>
        <w:rPr>
          <w:rFonts w:ascii="Verdana" w:eastAsia="Calibri" w:hAnsi="Verdana" w:cs="Arial"/>
          <w:lang w:val="es-ES" w:eastAsia="es-MX"/>
        </w:rPr>
      </w:pPr>
      <w:r w:rsidRPr="00A71C0F">
        <w:rPr>
          <w:rFonts w:ascii="Verdana" w:eastAsia="Calibri" w:hAnsi="Verdana" w:cs="Arial"/>
          <w:lang w:val="es-ES" w:eastAsia="es-MX"/>
        </w:rPr>
        <w:t xml:space="preserve">Lo anterior se sustenta en las siguientes consideraciones: </w:t>
      </w:r>
    </w:p>
    <w:p w14:paraId="0B423B54" w14:textId="77777777" w:rsidR="00A71C0F" w:rsidRPr="00A71C0F" w:rsidRDefault="00A71C0F" w:rsidP="00A71C0F">
      <w:pPr>
        <w:spacing w:after="0" w:line="276" w:lineRule="auto"/>
        <w:jc w:val="both"/>
        <w:rPr>
          <w:rFonts w:ascii="Verdana" w:eastAsia="Calibri" w:hAnsi="Verdana" w:cs="Arial"/>
          <w:lang w:val="es-ES" w:eastAsia="es-MX"/>
        </w:rPr>
      </w:pPr>
    </w:p>
    <w:p w14:paraId="06EAB686" w14:textId="77777777" w:rsidR="00A71C0F" w:rsidRPr="00A71C0F" w:rsidRDefault="00A71C0F" w:rsidP="00A71C0F">
      <w:pPr>
        <w:snapToGrid w:val="0"/>
        <w:spacing w:after="120" w:line="276" w:lineRule="auto"/>
        <w:jc w:val="both"/>
        <w:rPr>
          <w:rFonts w:ascii="Verdana" w:eastAsia="Calibri" w:hAnsi="Verdana" w:cs="Times New Roman"/>
          <w:lang w:val="es-ES" w:eastAsia="es-MX"/>
        </w:rPr>
      </w:pPr>
      <w:r w:rsidRPr="00A71C0F">
        <w:rPr>
          <w:rFonts w:ascii="Verdana" w:eastAsia="Calibri" w:hAnsi="Verdana" w:cs="Times New Roman"/>
          <w:lang w:val="es-ES" w:eastAsia="es-MX"/>
        </w:rPr>
        <w:t xml:space="preserve">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 </w:t>
      </w:r>
      <w:r w:rsidRPr="00A71C0F">
        <w:rPr>
          <w:rFonts w:ascii="Verdana" w:eastAsia="Calibri" w:hAnsi="Verdana" w:cs="Times New Roman"/>
          <w:lang w:val="es-ES" w:eastAsia="es-MX"/>
        </w:rPr>
        <w:tab/>
      </w:r>
    </w:p>
    <w:p w14:paraId="7568DE36" w14:textId="77777777" w:rsidR="00A71C0F" w:rsidRPr="00A71C0F" w:rsidRDefault="00A71C0F" w:rsidP="00A71C0F">
      <w:pPr>
        <w:snapToGrid w:val="0"/>
        <w:spacing w:after="120" w:line="276" w:lineRule="auto"/>
        <w:ind w:firstLine="709"/>
        <w:jc w:val="both"/>
        <w:rPr>
          <w:rFonts w:ascii="Verdana" w:eastAsia="Calibri" w:hAnsi="Verdana" w:cs="Times New Roman"/>
          <w:lang w:val="es-ES" w:eastAsia="es-MX"/>
        </w:rPr>
      </w:pPr>
      <w:r w:rsidRPr="00A71C0F">
        <w:rPr>
          <w:rFonts w:ascii="Verdana" w:eastAsia="Calibri" w:hAnsi="Verdana" w:cs="Times New Roman"/>
          <w:lang w:val="es-ES" w:eastAsia="es-MX"/>
        </w:rPr>
        <w:t xml:space="preserve">Como puede observarse, la Resolución 219 de 2021 contiene un listado enunciativo de los sectores relacionados con los proyectos de infraestructura social a los cuales aplican los documentos tipo –educativo; salud; cultura, recreación y deporte–. También precisa que el alcance de cada sector estará dado por las resoluciones posteriores que expida la Agencia. A su vez, esas resoluciones desarrollarán las matrices de experiencia y los glosarios que definirán concretamente cada sector, mediante los cuales se precisará de forma detallada su ámbito de aplicación.   </w:t>
      </w:r>
    </w:p>
    <w:p w14:paraId="5321ABE9" w14:textId="77777777" w:rsidR="00A71C0F" w:rsidRPr="00A71C0F" w:rsidRDefault="00A71C0F" w:rsidP="00A71C0F">
      <w:pPr>
        <w:snapToGrid w:val="0"/>
        <w:spacing w:after="120" w:line="276" w:lineRule="auto"/>
        <w:ind w:firstLine="709"/>
        <w:jc w:val="both"/>
        <w:rPr>
          <w:rFonts w:ascii="Verdana" w:eastAsia="Calibri" w:hAnsi="Verdana" w:cs="Times New Roman"/>
          <w:lang w:val="es-ES" w:eastAsia="es-MX"/>
        </w:rPr>
      </w:pPr>
      <w:r w:rsidRPr="00A71C0F">
        <w:rPr>
          <w:rFonts w:ascii="Verdana" w:eastAsia="Calibri" w:hAnsi="Verdana" w:cs="Times New Roman"/>
          <w:bCs/>
          <w:lang w:val="es-ES" w:eastAsia="es-MX"/>
        </w:rPr>
        <w:t xml:space="preserve">El 6 de agosto, 18 de noviembre y 16 de diciembre de 2021, se adoptaron los documentos tipo complementarios para los procesos de licitación de obra pública de infraestructura social relacionados con el </w:t>
      </w:r>
      <w:r w:rsidRPr="00A71C0F">
        <w:rPr>
          <w:rFonts w:ascii="Verdana" w:eastAsia="Calibri" w:hAnsi="Verdana" w:cs="Times New Roman"/>
          <w:bCs/>
          <w:i/>
          <w:iCs/>
          <w:lang w:val="es-ES" w:eastAsia="es-MX"/>
        </w:rPr>
        <w:t>sector educ</w:t>
      </w:r>
      <w:r w:rsidRPr="00A71C0F">
        <w:rPr>
          <w:rFonts w:ascii="Verdana" w:eastAsia="Calibri" w:hAnsi="Verdana" w:cs="Times New Roman"/>
          <w:bCs/>
          <w:i/>
          <w:lang w:val="es-ES" w:eastAsia="es-MX"/>
        </w:rPr>
        <w:t xml:space="preserve">ativo, salud, y cultura, recreación y deporte, </w:t>
      </w:r>
      <w:r w:rsidRPr="00A71C0F">
        <w:rPr>
          <w:rFonts w:ascii="Verdana" w:eastAsia="Calibri" w:hAnsi="Verdana" w:cs="Times New Roman"/>
          <w:bCs/>
          <w:iCs/>
          <w:lang w:val="es-ES" w:eastAsia="es-MX"/>
        </w:rPr>
        <w:t>respectivamente</w:t>
      </w:r>
      <w:r w:rsidRPr="00A71C0F">
        <w:rPr>
          <w:rFonts w:ascii="Verdana" w:eastAsia="Calibri" w:hAnsi="Verdana" w:cs="Times New Roman"/>
          <w:bCs/>
          <w:i/>
          <w:lang w:val="es-ES" w:eastAsia="es-MX"/>
        </w:rPr>
        <w:t xml:space="preserve">, </w:t>
      </w:r>
      <w:r w:rsidRPr="00A71C0F">
        <w:rPr>
          <w:rFonts w:ascii="Verdana" w:eastAsia="Calibri" w:hAnsi="Verdana" w:cs="Times New Roman"/>
          <w:bCs/>
          <w:lang w:val="es-ES" w:eastAsia="es-MX"/>
        </w:rPr>
        <w:t xml:space="preserve">mediante las </w:t>
      </w:r>
      <w:r w:rsidRPr="00A71C0F">
        <w:rPr>
          <w:rFonts w:ascii="Verdana" w:eastAsia="Calibri" w:hAnsi="Verdana" w:cs="Times New Roman"/>
          <w:lang w:val="es-ES" w:eastAsia="es-MX"/>
        </w:rPr>
        <w:t xml:space="preserve">Resoluciones 220, 392 y 454 de 2021. Estas Resoluciones, en el artículo 2, desarrollan el “Anexo – Glosario” y la </w:t>
      </w:r>
      <w:r w:rsidRPr="00A71C0F">
        <w:rPr>
          <w:rFonts w:ascii="Verdana" w:eastAsia="Calibri" w:hAnsi="Verdana" w:cs="Times New Roman"/>
          <w:lang w:eastAsia="es-MX"/>
        </w:rPr>
        <w:t>“Matriz – Experiencia”</w:t>
      </w:r>
      <w:r w:rsidRPr="00A71C0F">
        <w:rPr>
          <w:rFonts w:ascii="Verdana" w:eastAsia="Calibri" w:hAnsi="Verdana" w:cs="Times New Roman"/>
          <w:lang w:val="es-ES" w:eastAsia="es-MX"/>
        </w:rPr>
        <w:t xml:space="preserve"> para proyectos de infraestructura social para cada sector, lo que significa que estos documentos definen el alcance para cada sector de manera específica. Del mismo modo, la Matriz de Experiencia de cada sector, además de estandarizar el requisito habilitante de experiencia, señala los proyectos o contratos concretos a los cuales aplican los documentos tipo, bajo el entendido de que aplicarán a los procesos de contratación cuyo objeto se relacione con alguna de las actividades establecidas de forma detallada en la Matriz de Experiencia respectiva.</w:t>
      </w:r>
    </w:p>
    <w:p w14:paraId="4DCCF1DF" w14:textId="77777777" w:rsidR="00A71C0F" w:rsidRPr="00A71C0F" w:rsidRDefault="00A71C0F" w:rsidP="00A71C0F">
      <w:pPr>
        <w:snapToGrid w:val="0"/>
        <w:spacing w:after="120" w:line="276" w:lineRule="auto"/>
        <w:ind w:firstLine="709"/>
        <w:jc w:val="both"/>
        <w:rPr>
          <w:rFonts w:ascii="Verdana" w:eastAsia="Calibri" w:hAnsi="Verdana" w:cs="Times New Roman"/>
          <w:lang w:val="es-ES" w:eastAsia="es-MX"/>
        </w:rPr>
      </w:pPr>
      <w:r w:rsidRPr="00A71C0F">
        <w:rPr>
          <w:rFonts w:ascii="Verdana" w:eastAsia="Calibri" w:hAnsi="Verdana" w:cs="Times New Roman"/>
          <w:lang w:val="es-ES" w:eastAsia="es-MX"/>
        </w:rPr>
        <w:lastRenderedPageBreak/>
        <w:t>Recientemente, los precitados documentos tipo fueron modificados mediante la Resolución No. 539 del 21 de agosto de 2025, “Por la cual se adopta 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4A67C4E3" w14:textId="77777777" w:rsidR="00A71C0F" w:rsidRPr="00A71C0F" w:rsidRDefault="00A71C0F" w:rsidP="00A71C0F">
      <w:pPr>
        <w:snapToGrid w:val="0"/>
        <w:spacing w:after="120" w:line="276" w:lineRule="auto"/>
        <w:ind w:firstLine="709"/>
        <w:jc w:val="both"/>
        <w:rPr>
          <w:rFonts w:ascii="Verdana" w:eastAsia="Calibri" w:hAnsi="Verdana" w:cs="Times New Roman"/>
          <w:lang w:val="es-ES" w:eastAsia="es-MX"/>
        </w:rPr>
      </w:pPr>
      <w:r w:rsidRPr="00A71C0F">
        <w:rPr>
          <w:rFonts w:ascii="Verdana" w:eastAsia="Calibri" w:hAnsi="Verdana" w:cs="Times New Roman"/>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09F9203F" w14:textId="77777777" w:rsidR="00A71C0F" w:rsidRPr="00A71C0F" w:rsidRDefault="00A71C0F" w:rsidP="00A71C0F">
      <w:pPr>
        <w:snapToGrid w:val="0"/>
        <w:spacing w:after="120" w:line="276" w:lineRule="auto"/>
        <w:ind w:firstLine="709"/>
        <w:jc w:val="both"/>
        <w:rPr>
          <w:rFonts w:ascii="Verdana" w:eastAsia="Calibri" w:hAnsi="Verdana" w:cs="Times New Roman"/>
          <w:lang w:eastAsia="es-MX"/>
        </w:rPr>
      </w:pPr>
      <w:r w:rsidRPr="00A71C0F">
        <w:rPr>
          <w:rFonts w:ascii="Verdana" w:eastAsia="Calibri" w:hAnsi="Verdana" w:cs="Times New Roman"/>
          <w:lang w:eastAsia="es-MX"/>
        </w:rPr>
        <w:t xml:space="preserve">Para la determinación de los requisitos mínimos de experiencia según la “Matriz – Experiencia”, el documento base de los documentos tipo de infraestructura social, prescribe que la entidad debe indicar la forma de análisis y establecimiento de las condiciones de experiencia, tanto general como específica. Además, deberá indicar el número de la actividad a contratar, y transcribir textualmente lo señalado en la “Matriz – Experiencia”. </w:t>
      </w:r>
    </w:p>
    <w:p w14:paraId="3556B3F4" w14:textId="77777777" w:rsidR="00A71C0F" w:rsidRPr="00A71C0F" w:rsidRDefault="00A71C0F" w:rsidP="00A71C0F">
      <w:pPr>
        <w:snapToGrid w:val="0"/>
        <w:spacing w:after="120" w:line="276" w:lineRule="auto"/>
        <w:ind w:firstLine="709"/>
        <w:jc w:val="both"/>
        <w:rPr>
          <w:rFonts w:ascii="Verdana" w:eastAsia="Calibri" w:hAnsi="Verdana" w:cs="Times New Roman"/>
          <w:lang w:val="es-ES" w:eastAsia="es-MX"/>
        </w:rPr>
      </w:pPr>
      <w:r w:rsidRPr="00A71C0F">
        <w:rPr>
          <w:rFonts w:ascii="Verdana" w:eastAsia="Calibri" w:hAnsi="Verdana" w:cs="Times New Roman"/>
          <w:lang w:val="es-ES" w:eastAsia="es-MX"/>
        </w:rPr>
        <w:t xml:space="preserve">La Matrices de Experiencia de los documentos tipo de infraestructura social se componen de varios capítulos que contemplan diferentes actividades y obras a contratar por parte de la entidad estatal. A su vez, en estas matrices se establecen las actividades a contratar que hacen parte de un tipo o grupo de infraestructura, las cuales señalan las condiciones y requerimientos de experiencia general y específica. </w:t>
      </w:r>
    </w:p>
    <w:p w14:paraId="5A4271C7" w14:textId="77777777" w:rsidR="00A71C0F" w:rsidRPr="00A71C0F" w:rsidRDefault="00A71C0F" w:rsidP="00A71C0F">
      <w:pPr>
        <w:snapToGrid w:val="0"/>
        <w:spacing w:after="120" w:line="276" w:lineRule="auto"/>
        <w:ind w:firstLine="709"/>
        <w:jc w:val="both"/>
        <w:rPr>
          <w:rFonts w:ascii="Verdana" w:eastAsia="Calibri" w:hAnsi="Verdana" w:cs="Times New Roman"/>
          <w:lang w:val="es-ES" w:eastAsia="es-MX"/>
        </w:rPr>
      </w:pPr>
      <w:r w:rsidRPr="00A71C0F">
        <w:rPr>
          <w:rFonts w:ascii="Verdana" w:eastAsia="Calibri" w:hAnsi="Verdana" w:cs="Times New Roman"/>
          <w:lang w:val="es-ES" w:eastAsia="es-MX"/>
        </w:rPr>
        <w:t xml:space="preserve">La experiencia específica, dependiendo del tipo de “actividad a contratar”, puede contener un “% de dimensionamiento” con la implementación de un factor (F%), el cual es definido por el rango de SMMLV en el cual se encuentre el </w:t>
      </w:r>
      <w:r w:rsidRPr="00A71C0F">
        <w:rPr>
          <w:rFonts w:ascii="Verdana" w:eastAsia="Calibri" w:hAnsi="Verdana" w:cs="Times New Roman"/>
          <w:lang w:val="es-ES" w:eastAsia="es-MX"/>
        </w:rPr>
        <w:lastRenderedPageBreak/>
        <w:t>presupuesto oficial del proceso de contratación. Así mismo, en la parte inferior de la matriz se establecen los lineamientos para su aplicación, incluyendo aspectos asociados con la forma en la cual se establecen las reglas de combinaciones entre las diferentes “actividades a contratar” y aspectos generales de la Matriz de Experiencia.</w:t>
      </w:r>
    </w:p>
    <w:p w14:paraId="4213CCD7" w14:textId="77777777" w:rsidR="00A71C0F" w:rsidRPr="00A71C0F" w:rsidRDefault="00A71C0F" w:rsidP="00A71C0F">
      <w:pPr>
        <w:adjustRightInd w:val="0"/>
        <w:snapToGrid w:val="0"/>
        <w:spacing w:after="120" w:line="276" w:lineRule="auto"/>
        <w:ind w:firstLine="709"/>
        <w:jc w:val="both"/>
        <w:rPr>
          <w:rFonts w:ascii="Verdana" w:eastAsia="Calibri" w:hAnsi="Verdana" w:cs="Times New Roman"/>
          <w:lang w:eastAsia="es-MX"/>
        </w:rPr>
      </w:pPr>
      <w:r w:rsidRPr="00A71C0F">
        <w:rPr>
          <w:rFonts w:ascii="Verdana" w:eastAsia="Calibri" w:hAnsi="Verdana" w:cs="Times New Roman"/>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A71C0F">
        <w:rPr>
          <w:rFonts w:ascii="Verdana" w:eastAsia="Calibri" w:hAnsi="Verdana" w:cs="Times New Roman"/>
          <w:lang w:eastAsia="es-MX"/>
        </w:rPr>
        <w:t>ii</w:t>
      </w:r>
      <w:proofErr w:type="spellEnd"/>
      <w:r w:rsidRPr="00A71C0F">
        <w:rPr>
          <w:rFonts w:ascii="Verdana" w:eastAsia="Calibri" w:hAnsi="Verdana" w:cs="Times New Roman"/>
          <w:lang w:eastAsia="es-MX"/>
        </w:rPr>
        <w:t xml:space="preserve">) la actividad a contratar y </w:t>
      </w:r>
      <w:proofErr w:type="spellStart"/>
      <w:r w:rsidRPr="00A71C0F">
        <w:rPr>
          <w:rFonts w:ascii="Verdana" w:eastAsia="Calibri" w:hAnsi="Verdana" w:cs="Times New Roman"/>
          <w:lang w:eastAsia="es-MX"/>
        </w:rPr>
        <w:t>iii</w:t>
      </w:r>
      <w:proofErr w:type="spellEnd"/>
      <w:r w:rsidRPr="00A71C0F">
        <w:rPr>
          <w:rFonts w:ascii="Verdana" w:eastAsia="Calibri" w:hAnsi="Verdana" w:cs="Times New Roman"/>
          <w:lang w:eastAsia="es-MX"/>
        </w:rPr>
        <w:t>) la cuantía del proceso de contratación.</w:t>
      </w:r>
    </w:p>
    <w:p w14:paraId="0CA61D04" w14:textId="77777777" w:rsidR="00A71C0F" w:rsidRPr="00A71C0F" w:rsidRDefault="00A71C0F" w:rsidP="00A71C0F">
      <w:pPr>
        <w:autoSpaceDE w:val="0"/>
        <w:autoSpaceDN w:val="0"/>
        <w:snapToGrid w:val="0"/>
        <w:spacing w:after="120" w:line="276" w:lineRule="auto"/>
        <w:ind w:firstLine="709"/>
        <w:jc w:val="both"/>
        <w:rPr>
          <w:rFonts w:ascii="Verdana" w:eastAsia="Times New Roman" w:hAnsi="Verdana" w:cs="Calibri"/>
          <w:i/>
          <w:iCs/>
          <w:lang w:val="es-ES" w:eastAsia="es-MX"/>
        </w:rPr>
      </w:pPr>
      <w:r w:rsidRPr="00A71C0F">
        <w:rPr>
          <w:rFonts w:ascii="Verdana" w:eastAsia="Times New Roman" w:hAnsi="Verdana" w:cs="Calibri"/>
          <w:lang w:eastAsia="es-MX"/>
        </w:rPr>
        <w:t xml:space="preserve">Ahora bien, resulta necesario mencionar que </w:t>
      </w:r>
      <w:r w:rsidRPr="00A71C0F">
        <w:rPr>
          <w:rFonts w:ascii="Verdana" w:eastAsia="Times New Roman" w:hAnsi="Verdana" w:cs="Calibri"/>
          <w:lang w:val="es-ES" w:eastAsia="es-MX"/>
        </w:rPr>
        <w:t>el artículo 1 de la Ley 2022 de 2020 “</w:t>
      </w:r>
      <w:r w:rsidRPr="00A71C0F">
        <w:rPr>
          <w:rFonts w:ascii="Verdana" w:eastAsia="Times New Roman" w:hAnsi="Verdana" w:cs="Calibri"/>
          <w:i/>
          <w:iCs/>
          <w:lang w:val="es-ES" w:eastAsia="es-MX"/>
        </w:rPr>
        <w:t>Por la cual modifica el artículo 4 de la Ley 1882 de 2018 y se dictan otras disposiciones</w:t>
      </w:r>
      <w:r w:rsidRPr="00A71C0F">
        <w:rPr>
          <w:rFonts w:ascii="Verdana" w:eastAsia="Times New Roman" w:hAnsi="Verdana" w:cs="Calibri"/>
          <w:lang w:val="es-ES" w:eastAsia="es-MX"/>
        </w:rPr>
        <w:t>”,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 Esta norma señala que, “</w:t>
      </w:r>
      <w:r w:rsidRPr="00A71C0F">
        <w:rPr>
          <w:rFonts w:ascii="Verdana" w:eastAsia="Aptos" w:hAnsi="Verdana" w:cs="Arial"/>
          <w:color w:val="000000"/>
          <w:kern w:val="2"/>
          <w:lang w:val="es-ES_tradnl"/>
          <w14:ligatures w14:val="standardContextual"/>
        </w:rPr>
        <w:t>serán de uso obligatorio los documentos tipo para los pliegos de condiciones de los procesos de selección de obras públicas, interventoría para las obras públicas interventoría para consultoría de estudios y diseños para obras públicas, consultoría en ingeniería para obras”.</w:t>
      </w:r>
    </w:p>
    <w:p w14:paraId="5BB3CBD0" w14:textId="77777777" w:rsidR="00A71C0F" w:rsidRPr="00A71C0F" w:rsidRDefault="00A71C0F" w:rsidP="00A71C0F">
      <w:pPr>
        <w:snapToGrid w:val="0"/>
        <w:spacing w:after="120" w:line="276" w:lineRule="auto"/>
        <w:ind w:firstLine="709"/>
        <w:jc w:val="both"/>
        <w:rPr>
          <w:rFonts w:ascii="Verdana" w:eastAsia="Aptos" w:hAnsi="Verdana" w:cs="Times New Roman"/>
          <w:kern w:val="2"/>
          <w:lang w:val="es-MX"/>
          <w14:ligatures w14:val="standardContextual"/>
        </w:rPr>
      </w:pPr>
      <w:r w:rsidRPr="00A71C0F">
        <w:rPr>
          <w:rFonts w:ascii="Verdana" w:eastAsia="Times New Roman" w:hAnsi="Verdana" w:cs="Calibri"/>
          <w:lang w:eastAsia="es-MX"/>
        </w:rPr>
        <w:t xml:space="preserve">En ese orden, uno </w:t>
      </w:r>
      <w:r w:rsidRPr="00A71C0F">
        <w:rPr>
          <w:rFonts w:ascii="Verdana" w:eastAsia="Aptos" w:hAnsi="Verdana" w:cs="Times New Roman"/>
          <w:kern w:val="2"/>
          <w:lang w:val="es-MX"/>
          <w14:ligatures w14:val="standardContextual"/>
        </w:rPr>
        <w:t>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se encuentra el “Anexo – Glosario”, el cual contiene las definiciones de los términos usados en los documentos del proceso. Utilizando estos dos documentos, la entidad estatal puede definir si para el objeto a contratar debe emplear los documentos tipo adoptados por esta Agencia.</w:t>
      </w:r>
    </w:p>
    <w:p w14:paraId="1B9ECE98" w14:textId="77777777" w:rsidR="00A71C0F" w:rsidRPr="00A71C0F" w:rsidRDefault="00A71C0F" w:rsidP="00A71C0F">
      <w:pPr>
        <w:snapToGrid w:val="0"/>
        <w:spacing w:after="0" w:line="276" w:lineRule="auto"/>
        <w:ind w:firstLine="709"/>
        <w:jc w:val="both"/>
        <w:rPr>
          <w:rFonts w:ascii="Verdana" w:eastAsia="Aptos" w:hAnsi="Verdana" w:cs="Times New Roman"/>
          <w:kern w:val="2"/>
          <w:lang w:val="es-MX"/>
          <w14:ligatures w14:val="standardContextual"/>
        </w:rPr>
      </w:pPr>
      <w:r w:rsidRPr="00A71C0F">
        <w:rPr>
          <w:rFonts w:ascii="Verdana" w:eastAsia="Aptos" w:hAnsi="Verdana" w:cs="Times New Roman"/>
          <w:kern w:val="2"/>
          <w:lang w:val="es-MX"/>
          <w14:ligatures w14:val="standardContextual"/>
        </w:rPr>
        <w:t>Las actividades indicadas aplican para los procesos que adelanten las entidades obligadas a utilizar los documentos tipo. En este caso, dentro de la matriz de experencia del sector institucional, se contempla la actividad 2.14 para:</w:t>
      </w:r>
    </w:p>
    <w:p w14:paraId="36686381" w14:textId="77777777" w:rsidR="00A71C0F" w:rsidRPr="00A71C0F" w:rsidRDefault="00A71C0F" w:rsidP="00A71C0F">
      <w:pPr>
        <w:snapToGrid w:val="0"/>
        <w:spacing w:after="0" w:line="276" w:lineRule="auto"/>
        <w:ind w:firstLine="709"/>
        <w:jc w:val="both"/>
        <w:rPr>
          <w:rFonts w:ascii="Verdana" w:eastAsia="Aptos" w:hAnsi="Verdana" w:cs="Times New Roman"/>
          <w:kern w:val="2"/>
          <w:lang w:val="es-MX"/>
          <w14:ligatures w14:val="standardContextual"/>
        </w:rPr>
      </w:pPr>
    </w:p>
    <w:p w14:paraId="5DBE0DE0" w14:textId="77777777" w:rsidR="00A71C0F" w:rsidRPr="00A71C0F" w:rsidRDefault="00A71C0F" w:rsidP="00A71C0F">
      <w:pPr>
        <w:snapToGrid w:val="0"/>
        <w:spacing w:after="0" w:line="240" w:lineRule="auto"/>
        <w:ind w:left="709" w:right="709"/>
        <w:jc w:val="both"/>
        <w:rPr>
          <w:rFonts w:ascii="Verdana" w:eastAsia="Aptos" w:hAnsi="Verdana" w:cs="Times New Roman"/>
          <w:i/>
          <w:iCs/>
          <w:kern w:val="2"/>
          <w:sz w:val="21"/>
          <w:szCs w:val="21"/>
          <w:lang w:val="es-MX"/>
          <w14:ligatures w14:val="standardContextual"/>
        </w:rPr>
      </w:pPr>
      <w:r w:rsidRPr="00A71C0F">
        <w:rPr>
          <w:rFonts w:ascii="Verdana" w:eastAsia="Aptos" w:hAnsi="Verdana" w:cs="Times New Roman"/>
          <w:i/>
          <w:iCs/>
          <w:kern w:val="2"/>
          <w:sz w:val="21"/>
          <w:szCs w:val="21"/>
          <w:lang w:val="es-MX"/>
          <w14:ligatures w14:val="standardContextual"/>
        </w:rPr>
        <w:t>“2.14. SUMINISTRO Y/O INSTALACIÓN DE SISTEMAS DE AIRES ACONDICIONADOS O SISTEMAS DE VENTILACIÓN O SIMILARES PARA INFRAESTRUCTURA DE SERVICIO PUBLICO”</w:t>
      </w:r>
    </w:p>
    <w:p w14:paraId="5F272530" w14:textId="77777777" w:rsidR="00A71C0F" w:rsidRPr="00A71C0F" w:rsidRDefault="00A71C0F" w:rsidP="00A71C0F">
      <w:pPr>
        <w:snapToGrid w:val="0"/>
        <w:spacing w:after="0" w:line="276" w:lineRule="auto"/>
        <w:ind w:left="709" w:right="709"/>
        <w:jc w:val="both"/>
        <w:rPr>
          <w:rFonts w:ascii="Verdana" w:eastAsia="Aptos" w:hAnsi="Verdana" w:cs="Times New Roman"/>
          <w:i/>
          <w:iCs/>
          <w:kern w:val="2"/>
          <w:lang w:val="es-MX"/>
          <w14:ligatures w14:val="standardContextual"/>
        </w:rPr>
      </w:pPr>
    </w:p>
    <w:p w14:paraId="7BCA81F8" w14:textId="77777777" w:rsidR="00A71C0F" w:rsidRPr="00A71C0F" w:rsidRDefault="00A71C0F" w:rsidP="00A71C0F">
      <w:pPr>
        <w:snapToGrid w:val="0"/>
        <w:spacing w:after="120" w:line="276" w:lineRule="auto"/>
        <w:ind w:firstLine="709"/>
        <w:jc w:val="both"/>
        <w:rPr>
          <w:rFonts w:ascii="Verdana" w:eastAsia="Aptos" w:hAnsi="Verdana" w:cs="Times New Roman"/>
          <w:kern w:val="2"/>
          <w:lang w:val="es-MX"/>
          <w14:ligatures w14:val="standardContextual"/>
        </w:rPr>
      </w:pPr>
      <w:r w:rsidRPr="00A71C0F">
        <w:rPr>
          <w:rFonts w:ascii="Verdana" w:eastAsia="Aptos" w:hAnsi="Verdana" w:cs="Times New Roman"/>
          <w:kern w:val="2"/>
          <w:lang w:val="es-MX"/>
          <w14:ligatures w14:val="standardContextual"/>
        </w:rPr>
        <w:t xml:space="preserve">De esta forma, la actividad de mantenimiento referida en la petición no estaría ligada a la actividad de instalación de los sistemas de aires acondicionados o sistemas de ventilación o similares sobre infraestructura del sector institucional. Así, por sí solo, el servicio de mantenimiento no requiere la aplicación de los documentos tipo expedidos por esta Agencia en el sector social. </w:t>
      </w:r>
    </w:p>
    <w:p w14:paraId="22E8F7A3" w14:textId="77777777" w:rsidR="00A71C0F" w:rsidRPr="00A71C0F" w:rsidRDefault="00A71C0F" w:rsidP="00A71C0F">
      <w:pPr>
        <w:snapToGrid w:val="0"/>
        <w:spacing w:after="120" w:line="276" w:lineRule="auto"/>
        <w:ind w:firstLine="709"/>
        <w:jc w:val="both"/>
        <w:rPr>
          <w:rFonts w:ascii="Verdana" w:eastAsia="Aptos" w:hAnsi="Verdana" w:cs="Times New Roman"/>
          <w:kern w:val="2"/>
          <w:lang w:val="es-MX"/>
          <w14:ligatures w14:val="standardContextual"/>
        </w:rPr>
      </w:pPr>
      <w:r w:rsidRPr="00A71C0F">
        <w:rPr>
          <w:rFonts w:ascii="Verdana" w:eastAsia="Aptos" w:hAnsi="Verdana" w:cs="Times New Roman"/>
          <w:kern w:val="2"/>
          <w:lang w:val="es-MX"/>
          <w14:ligatures w14:val="standardContextual"/>
        </w:rPr>
        <w:t>Es decir que, si una entidad pretende adelantar un proceso que tenga por único objeto contratar el servicio para el mantenimiento preventivo y correctivo de sistemas de aires acondicionados o sistemas de ventilación o similares, no se advierte la obligación de aplicar los Documentos Tipo mencionados, salvo que dicha actividad eventualmente se encuentre integrada dentro de un contrato que también contemple la instalación de los sistemas indicados.</w:t>
      </w:r>
    </w:p>
    <w:p w14:paraId="5E70FB75" w14:textId="77777777" w:rsidR="00A71C0F" w:rsidRPr="00A71C0F" w:rsidRDefault="00A71C0F" w:rsidP="00A71C0F">
      <w:pPr>
        <w:snapToGrid w:val="0"/>
        <w:spacing w:after="120" w:line="276" w:lineRule="auto"/>
        <w:ind w:firstLine="709"/>
        <w:jc w:val="both"/>
        <w:rPr>
          <w:rFonts w:ascii="Verdana" w:eastAsia="Aptos" w:hAnsi="Verdana" w:cs="Times New Roman"/>
          <w:kern w:val="2"/>
          <w:lang w:val="es-MX"/>
          <w14:ligatures w14:val="standardContextual"/>
        </w:rPr>
      </w:pPr>
      <w:r w:rsidRPr="00A71C0F">
        <w:rPr>
          <w:rFonts w:ascii="Verdana" w:eastAsia="Aptos" w:hAnsi="Verdana" w:cs="Times New Roman"/>
          <w:kern w:val="2"/>
          <w:lang w:val="es-MX"/>
          <w14:ligatures w14:val="standardContextual"/>
        </w:rPr>
        <w:t xml:space="preserve">Ahora bien, si el objeto del proceso de selección implica el suministro e instalación de sistemas de aires acondicionados o sistemas de ventilación o similares, o equipos electromecánicos y/o electrónicos y/o maquinaria u otro tipo de equipos, se deberán aplicar los documentos tipo del sector social expedidos por esta Agencia. Así, de conformidad con la revisión de la Matriz 1 - Experiencia - Documento tipo de selección abreviada de menor cuantía del "Sector Institucional", no se hace referencia expresa a actividades de mantenimiento de sistemas de aire acondicionado, sistemas de ventilación o similares. </w:t>
      </w:r>
    </w:p>
    <w:p w14:paraId="2F6BB024" w14:textId="77777777" w:rsidR="00A71C0F" w:rsidRPr="00A71C0F" w:rsidRDefault="00A71C0F" w:rsidP="00A71C0F">
      <w:pPr>
        <w:snapToGrid w:val="0"/>
        <w:spacing w:after="120" w:line="276" w:lineRule="auto"/>
        <w:ind w:firstLine="709"/>
        <w:jc w:val="both"/>
        <w:rPr>
          <w:rFonts w:ascii="Verdana" w:eastAsia="Aptos" w:hAnsi="Verdana" w:cs="Times New Roman"/>
          <w:kern w:val="2"/>
          <w:lang w:val="es-MX"/>
          <w14:ligatures w14:val="standardContextual"/>
        </w:rPr>
      </w:pPr>
      <w:r w:rsidRPr="00A71C0F">
        <w:rPr>
          <w:rFonts w:ascii="Verdana" w:eastAsia="Aptos" w:hAnsi="Verdana" w:cs="Times New Roman"/>
          <w:kern w:val="2"/>
          <w:lang w:val="es-MX"/>
          <w14:ligatures w14:val="standardContextual"/>
        </w:rPr>
        <w:t xml:space="preserve">Por lo tanto, la Entidad debe determinar si el objeto integral de su proceso de contratación es solo el servicio de mantenimiento preventivo y correctivo de aires acondicionados, sin ninguna otra actividad, en una edificación que hace parte de la infraestructura institucional. En consecuencia, se reitera que, por sí sola, la actividad de </w:t>
      </w:r>
      <w:r w:rsidRPr="00A71C0F">
        <w:rPr>
          <w:rFonts w:ascii="Verdana" w:eastAsia="Aptos" w:hAnsi="Verdana" w:cs="Times New Roman"/>
          <w:b/>
          <w:bCs/>
          <w:kern w:val="2"/>
          <w:u w:val="single"/>
          <w:lang w:val="es-MX"/>
          <w14:ligatures w14:val="standardContextual"/>
        </w:rPr>
        <w:t>mantenimiento preventivo y correctivo</w:t>
      </w:r>
      <w:r w:rsidRPr="00A71C0F">
        <w:rPr>
          <w:rFonts w:ascii="Verdana" w:eastAsia="Aptos" w:hAnsi="Verdana" w:cs="Times New Roman"/>
          <w:kern w:val="2"/>
          <w:lang w:val="es-MX"/>
          <w14:ligatures w14:val="standardContextual"/>
        </w:rPr>
        <w:t xml:space="preserve"> no requiere la aplicación de los documentos tipo expedidos por esta Agencia en el Sector Social. </w:t>
      </w:r>
    </w:p>
    <w:p w14:paraId="5151197D" w14:textId="77777777" w:rsidR="00A71C0F" w:rsidRPr="00A71C0F" w:rsidRDefault="00A71C0F" w:rsidP="00A71C0F">
      <w:pPr>
        <w:snapToGrid w:val="0"/>
        <w:spacing w:after="0" w:line="276" w:lineRule="auto"/>
        <w:ind w:firstLine="709"/>
        <w:jc w:val="both"/>
        <w:rPr>
          <w:rFonts w:ascii="Verdana" w:eastAsia="Aptos" w:hAnsi="Verdana" w:cs="Times New Roman"/>
          <w:kern w:val="2"/>
          <w:lang w:val="es-MX"/>
          <w14:ligatures w14:val="standardContextual"/>
        </w:rPr>
      </w:pPr>
      <w:r w:rsidRPr="00A71C0F">
        <w:rPr>
          <w:rFonts w:ascii="Verdana" w:eastAsia="Aptos" w:hAnsi="Verdana" w:cs="Times New Roman"/>
          <w:kern w:val="2"/>
          <w:lang w:val="es-MX"/>
          <w14:ligatures w14:val="standardContextual"/>
        </w:rPr>
        <w:t xml:space="preserve">De esta manera, si una entidad pretende adelantar un proceso que tenga por objeto solamente contratar el servicio de mantenimiento preventivo y correctivo de aires acondicionados o sistemas de ventilación, sobre infraestructura institucional, no tendrá que aplicar los documentos tipo </w:t>
      </w:r>
      <w:r w:rsidRPr="00A71C0F">
        <w:rPr>
          <w:rFonts w:ascii="Verdana" w:eastAsia="Aptos" w:hAnsi="Verdana" w:cs="Times New Roman"/>
          <w:kern w:val="2"/>
          <w:lang w:val="es-MX"/>
          <w14:ligatures w14:val="standardContextual"/>
        </w:rPr>
        <w:lastRenderedPageBreak/>
        <w:t>expedidos por esta Agencia en este sector, salvo que así lo determine a modo de buena práctica contractual.</w:t>
      </w:r>
    </w:p>
    <w:p w14:paraId="2F4BA408" w14:textId="77777777" w:rsidR="00A71C0F" w:rsidRPr="00A71C0F" w:rsidRDefault="00A71C0F" w:rsidP="00A71C0F">
      <w:pPr>
        <w:widowControl w:val="0"/>
        <w:autoSpaceDE w:val="0"/>
        <w:autoSpaceDN w:val="0"/>
        <w:spacing w:after="0" w:line="276" w:lineRule="auto"/>
        <w:jc w:val="both"/>
        <w:rPr>
          <w:rFonts w:ascii="Verdana" w:eastAsia="Calibri" w:hAnsi="Verdana" w:cs="Arial"/>
          <w:lang w:eastAsia="es-MX"/>
        </w:rPr>
      </w:pPr>
    </w:p>
    <w:p w14:paraId="03E095A9" w14:textId="77777777" w:rsidR="00A71C0F" w:rsidRPr="00A71C0F" w:rsidRDefault="00A71C0F" w:rsidP="00A71C0F">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A71C0F">
        <w:rPr>
          <w:rFonts w:ascii="Verdana" w:eastAsia="Century Gothic" w:hAnsi="Verdana" w:cs="Century Gothic"/>
          <w:b/>
          <w:bCs/>
          <w:lang w:val="es-ES" w:eastAsia="es-MX"/>
        </w:rPr>
        <w:t>Referencias normativas, jurisprudenciales y otras fuentes:</w:t>
      </w:r>
    </w:p>
    <w:p w14:paraId="59DA2433" w14:textId="77777777" w:rsidR="00A71C0F" w:rsidRPr="00A71C0F" w:rsidRDefault="00A71C0F" w:rsidP="00A71C0F">
      <w:pPr>
        <w:widowControl w:val="0"/>
        <w:autoSpaceDE w:val="0"/>
        <w:autoSpaceDN w:val="0"/>
        <w:spacing w:after="0" w:line="276" w:lineRule="auto"/>
        <w:jc w:val="both"/>
        <w:rPr>
          <w:rFonts w:ascii="Verdana" w:eastAsia="Calibri" w:hAnsi="Verdana" w:cs="Arial"/>
          <w:lang w:eastAsia="es-MX"/>
        </w:rPr>
      </w:pPr>
    </w:p>
    <w:tbl>
      <w:tblPr>
        <w:tblStyle w:val="Tablaconcuadrcula1"/>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A71C0F" w:rsidRPr="00A71C0F" w14:paraId="35C7E105" w14:textId="77777777" w:rsidTr="00760F1E">
        <w:trPr>
          <w:trHeight w:val="870"/>
        </w:trPr>
        <w:tc>
          <w:tcPr>
            <w:tcW w:w="8647" w:type="dxa"/>
          </w:tcPr>
          <w:p w14:paraId="20AB8E06" w14:textId="77777777" w:rsidR="00A71C0F" w:rsidRPr="00A71C0F" w:rsidRDefault="00A71C0F" w:rsidP="00A71C0F">
            <w:pPr>
              <w:widowControl w:val="0"/>
              <w:numPr>
                <w:ilvl w:val="0"/>
                <w:numId w:val="17"/>
              </w:numPr>
              <w:autoSpaceDE w:val="0"/>
              <w:autoSpaceDN w:val="0"/>
              <w:spacing w:after="120" w:line="276" w:lineRule="auto"/>
              <w:jc w:val="both"/>
              <w:rPr>
                <w:rFonts w:ascii="Verdana" w:eastAsia="Calibri" w:hAnsi="Verdana" w:cs="Arial"/>
                <w:lang w:eastAsia="es-MX"/>
              </w:rPr>
            </w:pPr>
            <w:r w:rsidRPr="00A71C0F">
              <w:rPr>
                <w:rFonts w:ascii="Verdana" w:eastAsia="Calibri" w:hAnsi="Verdana" w:cs="Arial"/>
                <w:lang w:eastAsia="es-MX"/>
              </w:rPr>
              <w:t>Ley 2022 de 2020, artículo 1.</w:t>
            </w:r>
          </w:p>
          <w:p w14:paraId="70743952" w14:textId="77777777" w:rsidR="00A71C0F" w:rsidRPr="00A71C0F" w:rsidRDefault="00A71C0F" w:rsidP="00A71C0F">
            <w:pPr>
              <w:widowControl w:val="0"/>
              <w:numPr>
                <w:ilvl w:val="0"/>
                <w:numId w:val="17"/>
              </w:numPr>
              <w:autoSpaceDE w:val="0"/>
              <w:autoSpaceDN w:val="0"/>
              <w:spacing w:after="120" w:line="276" w:lineRule="auto"/>
              <w:jc w:val="both"/>
              <w:rPr>
                <w:rFonts w:ascii="Verdana" w:eastAsia="Calibri" w:hAnsi="Verdana" w:cs="Arial"/>
                <w:lang w:eastAsia="es-MX"/>
              </w:rPr>
            </w:pPr>
            <w:r w:rsidRPr="00A71C0F">
              <w:rPr>
                <w:rFonts w:ascii="Verdana" w:eastAsia="Calibri" w:hAnsi="Verdana" w:cs="Arial"/>
                <w:lang w:eastAsia="es-MX"/>
              </w:rPr>
              <w:t xml:space="preserve">Documentos tipo de obra pública de infraestructura social, y adicionales del sector </w:t>
            </w:r>
            <w:r w:rsidRPr="00A71C0F">
              <w:rPr>
                <w:rFonts w:ascii="Verdana" w:eastAsia="Calibri" w:hAnsi="Verdana" w:cs="Arial"/>
                <w:i/>
                <w:iCs/>
                <w:lang w:eastAsia="es-MX"/>
              </w:rPr>
              <w:t xml:space="preserve">institucional. </w:t>
            </w:r>
            <w:r w:rsidRPr="00A71C0F">
              <w:rPr>
                <w:rFonts w:ascii="Verdana" w:eastAsia="Calibri" w:hAnsi="Verdana" w:cs="Arial"/>
                <w:lang w:eastAsia="es-MX"/>
              </w:rPr>
              <w:t xml:space="preserve">Disponibles en: </w:t>
            </w:r>
            <w:hyperlink r:id="rId11" w:history="1">
              <w:r w:rsidRPr="00A71C0F">
                <w:rPr>
                  <w:rFonts w:ascii="Verdana" w:eastAsia="Calibri" w:hAnsi="Verdana" w:cs="Arial"/>
                  <w:color w:val="467886"/>
                  <w:u w:val="single"/>
                  <w:lang w:eastAsia="es-MX"/>
                </w:rPr>
                <w:t>https://www.colombiacompra.gov.co/normativa-y-relatoria/documentos-tipo</w:t>
              </w:r>
            </w:hyperlink>
            <w:r w:rsidRPr="00A71C0F">
              <w:rPr>
                <w:rFonts w:ascii="Verdana" w:eastAsia="Calibri" w:hAnsi="Verdana" w:cs="Arial"/>
                <w:lang w:eastAsia="es-MX"/>
              </w:rPr>
              <w:t>.</w:t>
            </w:r>
            <w:r w:rsidRPr="00A71C0F">
              <w:rPr>
                <w:rFonts w:ascii="Verdana" w:eastAsia="Calibri" w:hAnsi="Verdana" w:cs="Arial"/>
                <w:vertAlign w:val="superscript"/>
                <w:lang w:eastAsia="es-MX"/>
              </w:rPr>
              <w:t xml:space="preserve"> </w:t>
            </w:r>
          </w:p>
        </w:tc>
      </w:tr>
    </w:tbl>
    <w:p w14:paraId="50105BC0" w14:textId="77777777" w:rsidR="00A71C0F" w:rsidRPr="00A71C0F" w:rsidRDefault="00A71C0F" w:rsidP="00A71C0F">
      <w:pPr>
        <w:tabs>
          <w:tab w:val="left" w:pos="142"/>
          <w:tab w:val="left" w:pos="284"/>
        </w:tabs>
        <w:spacing w:after="0" w:line="276" w:lineRule="auto"/>
        <w:jc w:val="both"/>
        <w:rPr>
          <w:rFonts w:ascii="Verdana" w:eastAsia="Calibri" w:hAnsi="Verdana" w:cs="Arial"/>
          <w:lang w:eastAsia="es-MX"/>
        </w:rPr>
      </w:pPr>
    </w:p>
    <w:p w14:paraId="1E9CB3E9" w14:textId="77777777" w:rsidR="00A71C0F" w:rsidRPr="00A71C0F" w:rsidRDefault="00A71C0F" w:rsidP="00A71C0F">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A71C0F">
        <w:rPr>
          <w:rFonts w:ascii="Verdana" w:eastAsia="Century Gothic" w:hAnsi="Verdana" w:cs="Century Gothic"/>
          <w:b/>
          <w:bCs/>
          <w:lang w:val="es-ES" w:eastAsia="es-MX"/>
        </w:rPr>
        <w:t>Doctrina de la Agencia Nacional de Contratación Pública:</w:t>
      </w:r>
    </w:p>
    <w:p w14:paraId="7CAEBF57" w14:textId="77777777" w:rsidR="00A71C0F" w:rsidRPr="00A71C0F" w:rsidRDefault="00A71C0F" w:rsidP="00A71C0F">
      <w:pPr>
        <w:widowControl w:val="0"/>
        <w:autoSpaceDE w:val="0"/>
        <w:autoSpaceDN w:val="0"/>
        <w:spacing w:after="0" w:line="276" w:lineRule="auto"/>
        <w:jc w:val="both"/>
        <w:rPr>
          <w:rFonts w:ascii="Verdana" w:eastAsia="Calibri" w:hAnsi="Verdana" w:cs="Arial"/>
          <w:lang w:eastAsia="es-MX"/>
        </w:rPr>
      </w:pPr>
    </w:p>
    <w:p w14:paraId="56EF7AAB" w14:textId="77777777" w:rsidR="00A71C0F" w:rsidRPr="00A71C0F" w:rsidRDefault="00A71C0F" w:rsidP="00A71C0F">
      <w:pPr>
        <w:widowControl w:val="0"/>
        <w:autoSpaceDE w:val="0"/>
        <w:autoSpaceDN w:val="0"/>
        <w:spacing w:after="0" w:line="276" w:lineRule="auto"/>
        <w:jc w:val="both"/>
        <w:rPr>
          <w:rFonts w:ascii="Verdana" w:eastAsia="Times New Roman" w:hAnsi="Verdana" w:cs="Arial"/>
          <w:shd w:val="clear" w:color="auto" w:fill="FFFFFF"/>
          <w:lang w:val="es-ES"/>
        </w:rPr>
      </w:pPr>
      <w:r w:rsidRPr="00A71C0F">
        <w:rPr>
          <w:rFonts w:ascii="Verdana" w:eastAsia="Calibri" w:hAnsi="Verdana" w:cs="Arial"/>
          <w:shd w:val="clear" w:color="auto" w:fill="FFFFFF"/>
          <w:lang w:val="es-ES" w:eastAsia="es-MX"/>
        </w:rPr>
        <w:t>La Agencia Nacional de Contratación Pública – Colombia Compra Eficiente se pronunció</w:t>
      </w:r>
      <w:r w:rsidRPr="00A71C0F">
        <w:rPr>
          <w:rFonts w:ascii="Aptos" w:eastAsia="Aptos" w:hAnsi="Aptos" w:cs="Times New Roman"/>
          <w:sz w:val="24"/>
          <w:szCs w:val="24"/>
          <w:lang w:eastAsia="es-MX"/>
        </w:rPr>
        <w:t xml:space="preserve"> </w:t>
      </w:r>
      <w:r w:rsidRPr="00A71C0F">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 C-472 del 24 de septiembre de 2024, C-469 del 23 de mayo de 2025, C-1772 del 22 de diciembre de 2025, C-232 del 11 de marzo de 2026, C-486 del 7 de mayo de 2026, entre otros.</w:t>
      </w:r>
      <w:r w:rsidRPr="00A71C0F">
        <w:rPr>
          <w:rFonts w:ascii="Verdana" w:eastAsia="Calibri" w:hAnsi="Verdana" w:cs="Arial"/>
          <w:color w:val="000000"/>
          <w:shd w:val="clear" w:color="auto" w:fill="FFFFFF"/>
        </w:rPr>
        <w:t xml:space="preserve"> 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2" w:history="1">
        <w:r w:rsidRPr="00A71C0F">
          <w:rPr>
            <w:rFonts w:ascii="Verdana" w:eastAsia="Aptos" w:hAnsi="Verdana" w:cs="Arial"/>
            <w:color w:val="0000FF"/>
            <w:kern w:val="2"/>
            <w:u w:val="single"/>
            <w:shd w:val="clear" w:color="auto" w:fill="FFFFFF"/>
            <w14:ligatures w14:val="standardContextual"/>
          </w:rPr>
          <w:t>https://relatoria.colombiacompra.gov.co/busqueda/conceptos</w:t>
        </w:r>
      </w:hyperlink>
      <w:r w:rsidRPr="00A71C0F">
        <w:rPr>
          <w:rFonts w:ascii="Verdana" w:eastAsia="Aptos" w:hAnsi="Verdana" w:cs="Arial"/>
          <w:kern w:val="2"/>
          <w:shd w:val="clear" w:color="auto" w:fill="FFFFFF"/>
          <w14:ligatures w14:val="standardContextual"/>
        </w:rPr>
        <w:t xml:space="preserve">. </w:t>
      </w:r>
      <w:r w:rsidRPr="00A71C0F">
        <w:rPr>
          <w:rFonts w:ascii="Verdana" w:eastAsia="Aptos" w:hAnsi="Verdana" w:cs="Arial"/>
          <w:color w:val="FF0000"/>
          <w:kern w:val="2"/>
          <w:shd w:val="clear" w:color="auto" w:fill="FFFFFF"/>
          <w:lang w:val="es-ES"/>
          <w14:ligatures w14:val="standardContextual"/>
        </w:rPr>
        <w:t xml:space="preserve">  </w:t>
      </w:r>
    </w:p>
    <w:p w14:paraId="3C41DAF2" w14:textId="77777777" w:rsidR="00A71C0F" w:rsidRPr="00A71C0F" w:rsidRDefault="00A71C0F" w:rsidP="00A71C0F">
      <w:pPr>
        <w:spacing w:after="0" w:line="240" w:lineRule="auto"/>
        <w:jc w:val="both"/>
        <w:rPr>
          <w:rFonts w:ascii="Verdana" w:eastAsia="Calibri" w:hAnsi="Verdana" w:cs="Arial"/>
          <w:color w:val="000000"/>
          <w:shd w:val="clear" w:color="auto" w:fill="FFFFFF"/>
        </w:rPr>
      </w:pPr>
    </w:p>
    <w:p w14:paraId="4579542D" w14:textId="77777777" w:rsidR="00A71C0F" w:rsidRPr="00A71C0F" w:rsidRDefault="00A71C0F" w:rsidP="00A71C0F">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A71C0F">
        <w:rPr>
          <w:rFonts w:ascii="Verdana" w:eastAsia="Calibri" w:hAnsi="Verdana" w:cs="Arial"/>
          <w:kern w:val="2"/>
          <w:shd w:val="clear" w:color="auto" w:fill="FFFFFF"/>
          <w:lang w:val="es-ES_tradnl"/>
          <w14:ligatures w14:val="standardContextual"/>
        </w:rPr>
        <w:t>La</w:t>
      </w:r>
      <w:r w:rsidRPr="00A71C0F">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A71C0F">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A71C0F">
        <w:rPr>
          <w:rFonts w:ascii="Verdana" w:eastAsia="Calibri" w:hAnsi="Verdana" w:cs="Arial"/>
          <w:b/>
          <w:bCs/>
          <w:kern w:val="2"/>
          <w:shd w:val="clear" w:color="auto" w:fill="FFFFFF"/>
          <w:lang w:val="es-ES_tradnl"/>
          <w14:ligatures w14:val="standardContextual"/>
        </w:rPr>
        <w:t>Documentos Tipo</w:t>
      </w:r>
      <w:r w:rsidRPr="00A71C0F">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A71C0F">
        <w:rPr>
          <w:rFonts w:ascii="Verdana" w:eastAsia="Calibri" w:hAnsi="Verdana" w:cs="Arial"/>
          <w:b/>
          <w:bCs/>
          <w:kern w:val="2"/>
          <w:shd w:val="clear" w:color="auto" w:fill="FFFFFF"/>
          <w:lang w:val="es-ES_tradnl"/>
          <w14:ligatures w14:val="standardContextual"/>
        </w:rPr>
        <w:t>transparencia</w:t>
      </w:r>
      <w:r w:rsidRPr="00A71C0F">
        <w:rPr>
          <w:rFonts w:ascii="Verdana" w:eastAsia="Calibri" w:hAnsi="Verdana" w:cs="Arial"/>
          <w:kern w:val="2"/>
          <w:shd w:val="clear" w:color="auto" w:fill="FFFFFF"/>
          <w:lang w:val="es-ES_tradnl"/>
          <w14:ligatures w14:val="standardContextual"/>
        </w:rPr>
        <w:t> y promover un proceso de </w:t>
      </w:r>
      <w:r w:rsidRPr="00A71C0F">
        <w:rPr>
          <w:rFonts w:ascii="Verdana" w:eastAsia="Calibri" w:hAnsi="Verdana" w:cs="Arial"/>
          <w:b/>
          <w:bCs/>
          <w:kern w:val="2"/>
          <w:shd w:val="clear" w:color="auto" w:fill="FFFFFF"/>
          <w:lang w:val="es-ES_tradnl"/>
          <w14:ligatures w14:val="standardContextual"/>
        </w:rPr>
        <w:t>selección objetiva</w:t>
      </w:r>
      <w:r w:rsidRPr="00A71C0F">
        <w:rPr>
          <w:rFonts w:ascii="Verdana" w:eastAsia="Calibri" w:hAnsi="Verdana" w:cs="Arial"/>
          <w:kern w:val="2"/>
          <w:shd w:val="clear" w:color="auto" w:fill="FFFFFF"/>
          <w:lang w:val="es-ES_tradnl"/>
          <w14:ligatures w14:val="standardContextual"/>
        </w:rPr>
        <w:t xml:space="preserve"> en la contratación pública, contribuyendo así a </w:t>
      </w:r>
      <w:r w:rsidRPr="00A71C0F">
        <w:rPr>
          <w:rFonts w:ascii="Verdana" w:eastAsia="Calibri" w:hAnsi="Verdana" w:cs="Arial"/>
          <w:kern w:val="2"/>
          <w:shd w:val="clear" w:color="auto" w:fill="FFFFFF"/>
          <w:lang w:val="es-ES_tradnl"/>
          <w14:ligatures w14:val="standardContextual"/>
        </w:rPr>
        <w:lastRenderedPageBreak/>
        <w:t>mejorar la eficiencia, la competencia y la confianza en el manejo de los recursos del Estado.</w:t>
      </w:r>
    </w:p>
    <w:p w14:paraId="5A9F0927" w14:textId="77777777" w:rsidR="00A71C0F" w:rsidRPr="00A71C0F" w:rsidRDefault="00A71C0F" w:rsidP="00A71C0F">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222F0FF6" w14:textId="77777777" w:rsidR="00A71C0F" w:rsidRPr="00A71C0F" w:rsidRDefault="00A71C0F" w:rsidP="00A71C0F">
      <w:pPr>
        <w:spacing w:after="0" w:line="276" w:lineRule="auto"/>
        <w:jc w:val="both"/>
        <w:rPr>
          <w:rFonts w:ascii="Verdana" w:eastAsia="Aptos" w:hAnsi="Verdana" w:cs="Times New Roman"/>
          <w:kern w:val="2"/>
          <w:lang w:val="es-ES_tradnl"/>
          <w14:ligatures w14:val="standardContextual"/>
        </w:rPr>
      </w:pPr>
      <w:r w:rsidRPr="00A71C0F">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A71C0F">
        <w:rPr>
          <w:rFonts w:ascii="Verdana" w:eastAsia="Aptos" w:hAnsi="Verdana" w:cs="Times New Roman"/>
          <w:b/>
          <w:bCs/>
          <w:kern w:val="2"/>
          <w14:ligatures w14:val="standardContextual"/>
        </w:rPr>
        <w:t>Guía para la Exigencia y Constitución de Garantías en los Procesos de Contratación</w:t>
      </w:r>
      <w:r w:rsidRPr="00A71C0F">
        <w:rPr>
          <w:rFonts w:ascii="Verdana" w:eastAsia="Aptos" w:hAnsi="Verdana" w:cs="Times New Roman"/>
          <w:kern w:val="2"/>
          <w14:ligatures w14:val="standardContextual"/>
        </w:rPr>
        <w:t>,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Consúltela aquí: </w:t>
      </w:r>
      <w:hyperlink r:id="rId13" w:tgtFrame="_blank" w:tooltip="Original URL: https://www.colombiacompra.gov.co/archivos/manual/guia-de-garantias-en-procesos-de-contratacion. Click or tap if you trust this link." w:history="1">
        <w:r w:rsidRPr="00A71C0F">
          <w:rPr>
            <w:rFonts w:ascii="Verdana" w:eastAsia="Aptos" w:hAnsi="Verdana" w:cs="Times New Roman"/>
            <w:color w:val="0000FF"/>
            <w:kern w:val="2"/>
            <w:u w:val="single"/>
            <w14:ligatures w14:val="standardContextual"/>
          </w:rPr>
          <w:t>https://www.colombiacompra.gov.co/archivos/manual/guia-de-garantias-en-procesos-de-contratacion</w:t>
        </w:r>
      </w:hyperlink>
    </w:p>
    <w:p w14:paraId="02840E56" w14:textId="77777777" w:rsidR="00A71C0F" w:rsidRPr="00A71C0F" w:rsidRDefault="00A71C0F" w:rsidP="00A71C0F">
      <w:pPr>
        <w:spacing w:after="0" w:line="276" w:lineRule="auto"/>
        <w:jc w:val="both"/>
        <w:rPr>
          <w:rFonts w:ascii="Verdana" w:eastAsia="Aptos" w:hAnsi="Verdana" w:cs="Times New Roman"/>
          <w:kern w:val="2"/>
          <w14:ligatures w14:val="standardContextual"/>
        </w:rPr>
      </w:pPr>
    </w:p>
    <w:p w14:paraId="1F26B50A" w14:textId="77777777" w:rsidR="00A71C0F" w:rsidRPr="00A71C0F" w:rsidRDefault="00A71C0F" w:rsidP="00A71C0F">
      <w:pPr>
        <w:spacing w:after="0" w:line="276" w:lineRule="auto"/>
        <w:jc w:val="both"/>
        <w:rPr>
          <w:rFonts w:ascii="Verdana" w:eastAsia="Aptos" w:hAnsi="Verdana" w:cs="Times New Roman"/>
          <w:kern w:val="2"/>
          <w:lang w:val="es-ES_tradnl"/>
          <w14:ligatures w14:val="standardContextual"/>
        </w:rPr>
      </w:pPr>
      <w:r w:rsidRPr="00A71C0F">
        <w:rPr>
          <w:rFonts w:ascii="Verdana" w:eastAsia="Aptos" w:hAnsi="Verdana" w:cs="Times New Roman"/>
          <w:kern w:val="2"/>
          <w14:ligatures w14:val="standardContextual"/>
        </w:rPr>
        <w:t>De otro lado, le contamos que el Decreto 287 del 19 de marzo de 2026 sustituyó los artículos 2.2.1.2.4.2.6., 2.2.1.2.4.2.7. y 2.2.1.2.4.2.8. del Decreto 1082 de 2015 y estructuró el </w:t>
      </w:r>
      <w:r w:rsidRPr="00A71C0F">
        <w:rPr>
          <w:rFonts w:ascii="Verdana" w:eastAsia="Aptos" w:hAnsi="Verdana" w:cs="Times New Roman"/>
          <w:b/>
          <w:bCs/>
          <w:kern w:val="2"/>
          <w14:ligatures w14:val="standardContextual"/>
        </w:rPr>
        <w:t>Sistema Integral de Preferencias en favor de las personas con discapacidad</w:t>
      </w:r>
      <w:r w:rsidRPr="00A71C0F">
        <w:rPr>
          <w:rFonts w:ascii="Verdana" w:eastAsia="Aptos" w:hAnsi="Verdana" w:cs="Times New Roman"/>
          <w:kern w:val="2"/>
          <w14:ligatures w14:val="standardContextual"/>
        </w:rPr>
        <w:t>, en cumplimiento del artículo 13 de la Ley Estatutaria 1618 de 2013. Para orientar su aplicación, esta Agencia expidió la </w:t>
      </w:r>
      <w:r w:rsidRPr="00A71C0F">
        <w:rPr>
          <w:rFonts w:ascii="Verdana" w:eastAsia="Aptos" w:hAnsi="Verdana" w:cs="Times New Roman"/>
          <w:b/>
          <w:bCs/>
          <w:kern w:val="2"/>
          <w14:ligatures w14:val="standardContextual"/>
        </w:rPr>
        <w:t>Circular Externa 003 del 12 de mayo de 2026, </w:t>
      </w:r>
      <w:r w:rsidRPr="00A71C0F">
        <w:rPr>
          <w:rFonts w:ascii="Verdana" w:eastAsia="Aptos" w:hAnsi="Verdana" w:cs="Times New Roman"/>
          <w:kern w:val="2"/>
          <w14:ligatures w14:val="standardContextual"/>
        </w:rPr>
        <w:t>en la que precisa quiénes son los beneficiarios, las cinco medidas que integran el sistema y su obligatoriedad según la modalidad de selección, y el régimen de transición aplicable a los procesos en curso. Consúltela aquí: </w:t>
      </w:r>
      <w:hyperlink r:id="rId14" w:tgtFrame="_blank" w:tooltip="Original URL: https://www.colombiacompra.gov.co/archivos/circular/circular-externa-003-de-2026. Click or tap if you trust this link." w:history="1">
        <w:r w:rsidRPr="00A71C0F">
          <w:rPr>
            <w:rFonts w:ascii="Verdana" w:eastAsia="Aptos" w:hAnsi="Verdana" w:cs="Times New Roman"/>
            <w:color w:val="0000FF"/>
            <w:kern w:val="2"/>
            <w:u w:val="single"/>
            <w14:ligatures w14:val="standardContextual"/>
          </w:rPr>
          <w:t>https://www.colombiacompra.gov.co/archivos/circular/circular-externa-003-de-2026</w:t>
        </w:r>
      </w:hyperlink>
    </w:p>
    <w:p w14:paraId="2AFBF22A" w14:textId="77777777" w:rsidR="00A71C0F" w:rsidRPr="00A71C0F" w:rsidRDefault="00A71C0F" w:rsidP="00A71C0F">
      <w:pPr>
        <w:spacing w:after="0" w:line="276" w:lineRule="auto"/>
        <w:jc w:val="both"/>
        <w:rPr>
          <w:rFonts w:ascii="Verdana" w:eastAsia="Aptos" w:hAnsi="Verdana" w:cs="Times New Roman"/>
          <w:kern w:val="2"/>
          <w14:ligatures w14:val="standardContextual"/>
        </w:rPr>
      </w:pPr>
    </w:p>
    <w:p w14:paraId="1E860236" w14:textId="77777777" w:rsidR="00A71C0F" w:rsidRPr="00A71C0F" w:rsidRDefault="00A71C0F" w:rsidP="00A71C0F">
      <w:pPr>
        <w:spacing w:after="0" w:line="276" w:lineRule="auto"/>
        <w:jc w:val="both"/>
        <w:rPr>
          <w:rFonts w:ascii="Verdana" w:eastAsia="Aptos" w:hAnsi="Verdana" w:cs="Times New Roman"/>
          <w:kern w:val="2"/>
          <w:lang w:val="es-ES_tradnl"/>
          <w14:ligatures w14:val="standardContextual"/>
        </w:rPr>
      </w:pPr>
      <w:r w:rsidRPr="00A71C0F">
        <w:rPr>
          <w:rFonts w:ascii="Verdana" w:eastAsia="Aptos" w:hAnsi="Verdana" w:cs="Times New Roman"/>
          <w:kern w:val="2"/>
          <w14:ligatures w14:val="standardContextual"/>
        </w:rPr>
        <w:t>Recuerde también que la</w:t>
      </w:r>
      <w:r w:rsidRPr="00A71C0F">
        <w:rPr>
          <w:rFonts w:ascii="Verdana" w:eastAsia="Aptos" w:hAnsi="Verdana" w:cs="Times New Roman"/>
          <w:b/>
          <w:bCs/>
          <w:kern w:val="2"/>
          <w14:ligatures w14:val="standardContextual"/>
        </w:rPr>
        <w:t> información sobre sanciones e inhabilidades </w:t>
      </w:r>
      <w:r w:rsidRPr="00A71C0F">
        <w:rPr>
          <w:rFonts w:ascii="Verdana" w:eastAsia="Aptos" w:hAnsi="Verdana" w:cs="Times New Roman"/>
          <w:kern w:val="2"/>
          <w14:ligatures w14:val="standardContextual"/>
        </w:rPr>
        <w:t>solo cumple su función preventiva si llega oportunamente a los registros públicos. Sobre este deber, esta Agencia expidió la </w:t>
      </w:r>
      <w:r w:rsidRPr="00A71C0F">
        <w:rPr>
          <w:rFonts w:ascii="Verdana" w:eastAsia="Aptos" w:hAnsi="Verdana" w:cs="Times New Roman"/>
          <w:b/>
          <w:bCs/>
          <w:kern w:val="2"/>
          <w14:ligatures w14:val="standardContextual"/>
        </w:rPr>
        <w:t>Circular Externa 002 del 5 de mayo de 2026,</w:t>
      </w:r>
      <w:r w:rsidRPr="00A71C0F">
        <w:rPr>
          <w:rFonts w:ascii="Verdana" w:eastAsia="Aptos" w:hAnsi="Verdana" w:cs="Times New Roman"/>
          <w:kern w:val="2"/>
          <w14:ligatures w14:val="standardContextual"/>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A71C0F">
        <w:rPr>
          <w:rFonts w:ascii="Verdana" w:eastAsia="Aptos" w:hAnsi="Verdana" w:cs="Times New Roman"/>
          <w:kern w:val="2"/>
          <w14:ligatures w14:val="standardContextual"/>
        </w:rPr>
        <w:lastRenderedPageBreak/>
        <w:t>aquí: </w:t>
      </w:r>
      <w:hyperlink r:id="rId15" w:tgtFrame="_blank" w:tooltip="Original URL: https://www.colombiacompra.gov.co/archivos/circular/circular-externa-002-de-2026. Click or tap if you trust this link." w:history="1">
        <w:r w:rsidRPr="00A71C0F">
          <w:rPr>
            <w:rFonts w:ascii="Verdana" w:eastAsia="Aptos" w:hAnsi="Verdana" w:cs="Times New Roman"/>
            <w:color w:val="0000FF"/>
            <w:kern w:val="2"/>
            <w:u w:val="single"/>
            <w14:ligatures w14:val="standardContextual"/>
          </w:rPr>
          <w:t>https://www.colombiacompra.gov.co/archivos/circular/circular-externa-002-de-2026</w:t>
        </w:r>
      </w:hyperlink>
    </w:p>
    <w:p w14:paraId="160F9A00" w14:textId="77777777" w:rsidR="00A71C0F" w:rsidRPr="00A71C0F" w:rsidRDefault="00A71C0F" w:rsidP="00A71C0F">
      <w:pPr>
        <w:spacing w:after="0" w:line="276" w:lineRule="auto"/>
        <w:jc w:val="both"/>
        <w:rPr>
          <w:rFonts w:ascii="Verdana" w:eastAsia="Aptos" w:hAnsi="Verdana" w:cs="Times New Roman"/>
          <w:kern w:val="2"/>
          <w14:ligatures w14:val="standardContextual"/>
        </w:rPr>
      </w:pPr>
    </w:p>
    <w:p w14:paraId="6F93B74E" w14:textId="77777777" w:rsidR="00A71C0F" w:rsidRPr="00A71C0F" w:rsidRDefault="00A71C0F" w:rsidP="00A71C0F">
      <w:pPr>
        <w:spacing w:after="0" w:line="276" w:lineRule="auto"/>
        <w:jc w:val="both"/>
        <w:rPr>
          <w:rFonts w:ascii="Verdana" w:eastAsia="Aptos" w:hAnsi="Verdana" w:cs="Times New Roman"/>
          <w:kern w:val="2"/>
          <w14:ligatures w14:val="standardContextual"/>
        </w:rPr>
      </w:pPr>
      <w:r w:rsidRPr="00A71C0F">
        <w:rPr>
          <w:rFonts w:ascii="Verdana" w:eastAsia="Aptos" w:hAnsi="Verdana" w:cs="Times New Roman"/>
          <w:kern w:val="2"/>
          <w14:ligatures w14:val="standardContextual"/>
        </w:rPr>
        <w:t>Finalmente, si quiere seguir de cerca la actividad de la Agencia, la tercera edición de 2026 del</w:t>
      </w:r>
      <w:r w:rsidRPr="00A71C0F">
        <w:rPr>
          <w:rFonts w:ascii="Verdana" w:eastAsia="Aptos" w:hAnsi="Verdana" w:cs="Times New Roman"/>
          <w:b/>
          <w:bCs/>
          <w:kern w:val="2"/>
          <w14:ligatures w14:val="standardContextual"/>
        </w:rPr>
        <w:t> Radar de la Compra Pública</w:t>
      </w:r>
      <w:r w:rsidRPr="00A71C0F">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6" w:tgtFrame="_blank" w:tooltip="Original URL: https://www.colombiacompra.gov.co/archivos/boletin/boletin-edicion-n-3-de-2026-radar-de-la-compra-publica. Click or tap if you trust this link." w:history="1">
        <w:r w:rsidRPr="00A71C0F">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10EC2C37" w14:textId="77777777" w:rsidR="00A71C0F" w:rsidRPr="00A71C0F" w:rsidRDefault="00A71C0F" w:rsidP="00A71C0F">
      <w:pPr>
        <w:widowControl w:val="0"/>
        <w:autoSpaceDE w:val="0"/>
        <w:autoSpaceDN w:val="0"/>
        <w:spacing w:after="0" w:line="276" w:lineRule="auto"/>
        <w:jc w:val="both"/>
        <w:rPr>
          <w:rFonts w:ascii="Verdana" w:eastAsia="Calibri" w:hAnsi="Verdana" w:cs="Arial"/>
          <w:shd w:val="clear" w:color="auto" w:fill="FFFFFF"/>
          <w:lang w:val="es-ES_tradnl"/>
        </w:rPr>
      </w:pPr>
    </w:p>
    <w:p w14:paraId="4F68FDA4" w14:textId="77777777" w:rsidR="00A71C0F" w:rsidRPr="00A71C0F" w:rsidRDefault="00A71C0F" w:rsidP="00A71C0F">
      <w:pPr>
        <w:spacing w:after="0" w:line="276" w:lineRule="auto"/>
        <w:jc w:val="both"/>
        <w:rPr>
          <w:rFonts w:ascii="Verdana" w:eastAsia="Calibri" w:hAnsi="Verdana" w:cs="Times New Roman"/>
          <w:lang w:val="es-ES_tradnl"/>
        </w:rPr>
      </w:pPr>
      <w:r w:rsidRPr="00A71C0F">
        <w:rPr>
          <w:rFonts w:ascii="Verdana" w:eastAsia="Calibri" w:hAnsi="Verdana" w:cs="Times New Roman"/>
          <w:lang w:val="es-ES_tradnl"/>
        </w:rPr>
        <w:t xml:space="preserve">Por último, los invitamos a seguirnos en las redes sociales, en las cuales se difunde información institucional: </w:t>
      </w:r>
    </w:p>
    <w:p w14:paraId="09D7573F" w14:textId="77777777" w:rsidR="00A71C0F" w:rsidRPr="00A71C0F" w:rsidRDefault="00A71C0F" w:rsidP="00A71C0F">
      <w:pPr>
        <w:spacing w:after="0" w:line="240" w:lineRule="auto"/>
        <w:jc w:val="both"/>
        <w:rPr>
          <w:rFonts w:ascii="Verdana" w:eastAsia="Aptos" w:hAnsi="Verdana" w:cs="Times New Roman"/>
          <w:lang w:eastAsia="es-MX"/>
        </w:rPr>
      </w:pPr>
    </w:p>
    <w:p w14:paraId="253AB71F" w14:textId="77777777" w:rsidR="00A71C0F" w:rsidRPr="00A71C0F" w:rsidRDefault="00A71C0F" w:rsidP="00A71C0F">
      <w:pPr>
        <w:spacing w:after="0" w:line="240" w:lineRule="auto"/>
        <w:jc w:val="both"/>
        <w:rPr>
          <w:rFonts w:ascii="Verdana" w:eastAsia="Aptos" w:hAnsi="Verdana" w:cs="Times New Roman"/>
          <w:lang w:eastAsia="es-MX"/>
        </w:rPr>
      </w:pPr>
      <w:r w:rsidRPr="00A71C0F">
        <w:rPr>
          <w:rFonts w:ascii="Verdana" w:eastAsia="Aptos" w:hAnsi="Verdana" w:cs="Times New Roman"/>
          <w:lang w:eastAsia="es-MX"/>
        </w:rPr>
        <w:t xml:space="preserve">X: </w:t>
      </w:r>
      <w:r w:rsidRPr="00A71C0F">
        <w:rPr>
          <w:rFonts w:ascii="Verdana" w:eastAsia="Calibri" w:hAnsi="Verdana" w:cs="Times New Roman"/>
          <w:color w:val="156082"/>
          <w:u w:val="single"/>
          <w:lang w:eastAsia="es-MX"/>
        </w:rPr>
        <w:t>@colombiacompra</w:t>
      </w:r>
      <w:r w:rsidRPr="00A71C0F">
        <w:rPr>
          <w:rFonts w:ascii="Verdana" w:eastAsia="Calibri" w:hAnsi="Verdana" w:cs="Times New Roman"/>
          <w:color w:val="156082"/>
          <w:lang w:eastAsia="es-MX"/>
        </w:rPr>
        <w:t xml:space="preserve"> </w:t>
      </w:r>
    </w:p>
    <w:p w14:paraId="588FF2AF" w14:textId="77777777" w:rsidR="00A71C0F" w:rsidRPr="00A71C0F" w:rsidRDefault="00A71C0F" w:rsidP="00A71C0F">
      <w:pPr>
        <w:spacing w:after="0" w:line="240" w:lineRule="auto"/>
        <w:jc w:val="both"/>
        <w:rPr>
          <w:rFonts w:ascii="Verdana" w:eastAsia="Aptos" w:hAnsi="Verdana" w:cs="Times New Roman"/>
          <w:lang w:eastAsia="es-MX"/>
        </w:rPr>
      </w:pPr>
      <w:r w:rsidRPr="00A71C0F">
        <w:rPr>
          <w:rFonts w:ascii="Verdana" w:eastAsia="Aptos" w:hAnsi="Verdana" w:cs="Times New Roman"/>
          <w:lang w:eastAsia="es-MX"/>
        </w:rPr>
        <w:t xml:space="preserve">Facebook: </w:t>
      </w:r>
      <w:proofErr w:type="spellStart"/>
      <w:r w:rsidRPr="00A71C0F">
        <w:rPr>
          <w:rFonts w:ascii="Verdana" w:eastAsia="Calibri" w:hAnsi="Verdana" w:cs="Times New Roman"/>
          <w:color w:val="156082"/>
          <w:u w:val="single"/>
          <w:lang w:eastAsia="es-MX"/>
        </w:rPr>
        <w:t>ColombiaCompraEficiente</w:t>
      </w:r>
      <w:proofErr w:type="spellEnd"/>
    </w:p>
    <w:p w14:paraId="255DF5EC" w14:textId="77777777" w:rsidR="00A71C0F" w:rsidRPr="00A71C0F" w:rsidRDefault="00A71C0F" w:rsidP="00A71C0F">
      <w:pPr>
        <w:spacing w:after="0" w:line="240" w:lineRule="auto"/>
        <w:jc w:val="both"/>
        <w:rPr>
          <w:rFonts w:ascii="Verdana" w:eastAsia="Aptos" w:hAnsi="Verdana" w:cs="Times New Roman"/>
          <w:lang w:eastAsia="es-MX"/>
        </w:rPr>
      </w:pPr>
      <w:r w:rsidRPr="00A71C0F">
        <w:rPr>
          <w:rFonts w:ascii="Verdana" w:eastAsia="Aptos" w:hAnsi="Verdana" w:cs="Times New Roman"/>
          <w:lang w:eastAsia="es-MX"/>
        </w:rPr>
        <w:t xml:space="preserve">LinkedIn: </w:t>
      </w:r>
      <w:r w:rsidRPr="00A71C0F">
        <w:rPr>
          <w:rFonts w:ascii="Verdana" w:eastAsia="Calibri" w:hAnsi="Verdana" w:cs="Times New Roman"/>
          <w:color w:val="156082"/>
          <w:u w:val="single"/>
          <w:lang w:eastAsia="es-MX"/>
        </w:rPr>
        <w:t>Agencia Nacional de Contratación Pública - Colombia Compra Eficiente</w:t>
      </w:r>
      <w:r w:rsidRPr="00A71C0F">
        <w:rPr>
          <w:rFonts w:ascii="Verdana" w:eastAsia="Calibri" w:hAnsi="Verdana" w:cs="Times New Roman"/>
          <w:color w:val="156082"/>
          <w:lang w:eastAsia="es-MX"/>
        </w:rPr>
        <w:t xml:space="preserve"> </w:t>
      </w:r>
      <w:r w:rsidRPr="00A71C0F">
        <w:rPr>
          <w:rFonts w:ascii="Verdana" w:eastAsia="Aptos" w:hAnsi="Verdana" w:cs="Times New Roman"/>
          <w:lang w:eastAsia="es-MX"/>
        </w:rPr>
        <w:t xml:space="preserve">Instagram: </w:t>
      </w:r>
      <w:r w:rsidRPr="00A71C0F">
        <w:rPr>
          <w:rFonts w:ascii="Verdana" w:eastAsia="Calibri" w:hAnsi="Verdana" w:cs="Times New Roman"/>
          <w:color w:val="156082"/>
          <w:u w:val="single"/>
          <w:lang w:eastAsia="es-MX"/>
        </w:rPr>
        <w:t>@colombiacompraeficiente_cce</w:t>
      </w:r>
    </w:p>
    <w:p w14:paraId="20B02A1D" w14:textId="77777777" w:rsidR="00A71C0F" w:rsidRPr="00A71C0F" w:rsidRDefault="00A71C0F" w:rsidP="00A71C0F">
      <w:pPr>
        <w:widowControl w:val="0"/>
        <w:autoSpaceDE w:val="0"/>
        <w:autoSpaceDN w:val="0"/>
        <w:spacing w:after="0" w:line="276" w:lineRule="auto"/>
        <w:jc w:val="both"/>
        <w:rPr>
          <w:rFonts w:ascii="Verdana" w:eastAsia="Calibri" w:hAnsi="Verdana" w:cs="Arial"/>
          <w:kern w:val="2"/>
          <w:lang w:val="es-ES_tradnl" w:eastAsia="es-MX"/>
          <w14:ligatures w14:val="standardContextual"/>
        </w:rPr>
      </w:pPr>
    </w:p>
    <w:p w14:paraId="214C6A09" w14:textId="77777777" w:rsidR="00A71C0F" w:rsidRPr="00A71C0F" w:rsidRDefault="00A71C0F" w:rsidP="00A71C0F">
      <w:pPr>
        <w:widowControl w:val="0"/>
        <w:autoSpaceDE w:val="0"/>
        <w:autoSpaceDN w:val="0"/>
        <w:spacing w:after="0" w:line="276" w:lineRule="auto"/>
        <w:jc w:val="both"/>
        <w:rPr>
          <w:rFonts w:ascii="Verdana" w:eastAsia="Calibri" w:hAnsi="Verdana" w:cs="Arial"/>
          <w:lang w:eastAsia="es-MX"/>
        </w:rPr>
      </w:pPr>
      <w:r w:rsidRPr="00A71C0F">
        <w:rPr>
          <w:rFonts w:ascii="Verdana" w:eastAsia="Calibri" w:hAnsi="Verdana" w:cs="Arial"/>
          <w:kern w:val="2"/>
          <w:lang w:val="es-ES_tradnl" w:eastAsia="es-MX"/>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B8CAA66" w14:textId="77777777" w:rsidR="00A71C0F" w:rsidRPr="00A71C0F" w:rsidRDefault="00A71C0F" w:rsidP="00A71C0F">
      <w:pPr>
        <w:widowControl w:val="0"/>
        <w:autoSpaceDE w:val="0"/>
        <w:autoSpaceDN w:val="0"/>
        <w:spacing w:after="0" w:line="276" w:lineRule="auto"/>
        <w:jc w:val="both"/>
        <w:rPr>
          <w:rFonts w:ascii="Verdana" w:eastAsia="Calibri" w:hAnsi="Verdana" w:cs="Arial"/>
          <w:lang w:eastAsia="es-MX"/>
        </w:rPr>
      </w:pPr>
    </w:p>
    <w:p w14:paraId="2E71B757" w14:textId="77777777" w:rsidR="00A71C0F" w:rsidRPr="00A71C0F" w:rsidRDefault="00A71C0F" w:rsidP="00A71C0F">
      <w:pPr>
        <w:spacing w:after="0" w:line="240" w:lineRule="auto"/>
        <w:rPr>
          <w:rFonts w:ascii="Verdana" w:eastAsia="Calibri" w:hAnsi="Verdana" w:cs="Arial"/>
          <w:lang w:eastAsia="es-CO"/>
        </w:rPr>
      </w:pPr>
      <w:r w:rsidRPr="00A71C0F">
        <w:rPr>
          <w:rFonts w:ascii="Verdana" w:eastAsia="Times New Roman" w:hAnsi="Verdana" w:cs="Arial"/>
          <w:lang w:eastAsia="es-CO"/>
        </w:rPr>
        <w:t>Atentamente,</w:t>
      </w:r>
      <w:r w:rsidRPr="00A71C0F">
        <w:rPr>
          <w:rFonts w:ascii="Verdana" w:eastAsia="Calibri" w:hAnsi="Verdana" w:cs="Arial"/>
          <w:lang w:eastAsia="es-CO"/>
        </w:rPr>
        <w:t xml:space="preserve"> </w:t>
      </w:r>
    </w:p>
    <w:p w14:paraId="5B93457E" w14:textId="085E8EFE" w:rsidR="00A71C0F" w:rsidRPr="00A71C0F" w:rsidRDefault="00346B8D" w:rsidP="00A71C0F">
      <w:pPr>
        <w:tabs>
          <w:tab w:val="left" w:pos="1320"/>
        </w:tabs>
        <w:spacing w:after="0" w:line="240" w:lineRule="auto"/>
        <w:jc w:val="center"/>
        <w:rPr>
          <w:rFonts w:ascii="Verdana" w:eastAsia="Calibri" w:hAnsi="Verdana" w:cs="Times New Roman"/>
          <w:sz w:val="24"/>
          <w:szCs w:val="24"/>
          <w:lang w:eastAsia="es-MX"/>
        </w:rPr>
      </w:pPr>
      <w:r w:rsidRPr="002C3AD6">
        <w:rPr>
          <w:rFonts w:ascii="Century Gothic" w:hAnsi="Century Gothic"/>
          <w:noProof/>
        </w:rPr>
        <w:drawing>
          <wp:inline distT="0" distB="0" distL="0" distR="0" wp14:anchorId="2EA06776" wp14:editId="5AADF4C1">
            <wp:extent cx="3200400" cy="1188026"/>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stretch>
                      <a:fillRect/>
                    </a:stretch>
                  </pic:blipFill>
                  <pic:spPr>
                    <a:xfrm>
                      <a:off x="0" y="0"/>
                      <a:ext cx="3219498" cy="1195115"/>
                    </a:xfrm>
                    <a:prstGeom prst="rect">
                      <a:avLst/>
                    </a:prstGeom>
                  </pic:spPr>
                </pic:pic>
              </a:graphicData>
            </a:graphic>
          </wp:inline>
        </w:drawing>
      </w:r>
    </w:p>
    <w:p w14:paraId="3BDDD827" w14:textId="77777777" w:rsidR="00A71C0F" w:rsidRPr="00A71C0F" w:rsidRDefault="00A71C0F" w:rsidP="00A71C0F">
      <w:pPr>
        <w:tabs>
          <w:tab w:val="left" w:pos="1320"/>
        </w:tabs>
        <w:spacing w:after="0" w:line="240" w:lineRule="auto"/>
        <w:jc w:val="center"/>
        <w:rPr>
          <w:rFonts w:ascii="Verdana" w:eastAsia="Calibri" w:hAnsi="Verdana" w:cs="Times New Roman"/>
          <w:sz w:val="24"/>
          <w:szCs w:val="24"/>
          <w:lang w:eastAsia="es-MX"/>
        </w:rPr>
      </w:pPr>
    </w:p>
    <w:tbl>
      <w:tblPr>
        <w:tblStyle w:val="Tablaconcuadrcula1"/>
        <w:tblW w:w="6521" w:type="dxa"/>
        <w:tblLook w:val="04A0" w:firstRow="1" w:lastRow="0" w:firstColumn="1" w:lastColumn="0" w:noHBand="0" w:noVBand="1"/>
      </w:tblPr>
      <w:tblGrid>
        <w:gridCol w:w="893"/>
        <w:gridCol w:w="5628"/>
      </w:tblGrid>
      <w:tr w:rsidR="00A71C0F" w:rsidRPr="00A71C0F" w14:paraId="2EC82B5E" w14:textId="77777777" w:rsidTr="00760F1E">
        <w:trPr>
          <w:trHeight w:val="315"/>
        </w:trPr>
        <w:tc>
          <w:tcPr>
            <w:tcW w:w="893" w:type="dxa"/>
            <w:tcBorders>
              <w:top w:val="nil"/>
              <w:left w:val="nil"/>
              <w:bottom w:val="nil"/>
              <w:right w:val="nil"/>
            </w:tcBorders>
            <w:vAlign w:val="center"/>
            <w:hideMark/>
          </w:tcPr>
          <w:p w14:paraId="48BA20CA" w14:textId="77777777" w:rsidR="00A71C0F" w:rsidRPr="00A71C0F" w:rsidRDefault="00A71C0F" w:rsidP="00A71C0F">
            <w:pPr>
              <w:rPr>
                <w:rFonts w:ascii="Verdana" w:eastAsia="Calibri" w:hAnsi="Verdana" w:cs="Arial"/>
                <w:sz w:val="16"/>
                <w:szCs w:val="16"/>
                <w:lang w:eastAsia="es-ES"/>
              </w:rPr>
            </w:pPr>
            <w:r w:rsidRPr="00A71C0F">
              <w:rPr>
                <w:rFonts w:ascii="Verdana" w:eastAsia="Calibri" w:hAnsi="Verdana" w:cs="Arial"/>
                <w:sz w:val="16"/>
                <w:szCs w:val="16"/>
                <w:lang w:eastAsia="es-ES"/>
              </w:rPr>
              <w:t>Elaboró:</w:t>
            </w:r>
          </w:p>
        </w:tc>
        <w:tc>
          <w:tcPr>
            <w:tcW w:w="5628" w:type="dxa"/>
            <w:tcBorders>
              <w:top w:val="nil"/>
              <w:left w:val="nil"/>
              <w:bottom w:val="dotted" w:sz="4" w:space="0" w:color="7F7F7F"/>
              <w:right w:val="nil"/>
            </w:tcBorders>
            <w:vAlign w:val="center"/>
            <w:hideMark/>
          </w:tcPr>
          <w:p w14:paraId="2788D04F" w14:textId="77777777" w:rsidR="00A71C0F" w:rsidRPr="00A71C0F" w:rsidRDefault="00A71C0F" w:rsidP="00A71C0F">
            <w:pPr>
              <w:rPr>
                <w:rFonts w:ascii="Verdana" w:eastAsia="Arial" w:hAnsi="Verdana" w:cs="Arial"/>
                <w:sz w:val="16"/>
                <w:szCs w:val="16"/>
                <w:lang w:eastAsia="es-MX"/>
              </w:rPr>
            </w:pPr>
            <w:r w:rsidRPr="00A71C0F">
              <w:rPr>
                <w:rFonts w:ascii="Verdana" w:eastAsia="Arial" w:hAnsi="Verdana" w:cs="Arial"/>
                <w:sz w:val="16"/>
                <w:szCs w:val="16"/>
                <w:lang w:eastAsia="es-MX"/>
              </w:rPr>
              <w:t>Kevin Arlid Herrera Santa</w:t>
            </w:r>
          </w:p>
          <w:p w14:paraId="46AC21E4" w14:textId="77777777" w:rsidR="00A71C0F" w:rsidRPr="00A71C0F" w:rsidRDefault="00A71C0F" w:rsidP="00A71C0F">
            <w:pPr>
              <w:rPr>
                <w:rFonts w:ascii="Verdana" w:eastAsia="Arial" w:hAnsi="Verdana" w:cs="Arial"/>
                <w:sz w:val="16"/>
                <w:szCs w:val="16"/>
                <w:lang w:eastAsia="es-MX"/>
              </w:rPr>
            </w:pPr>
            <w:r w:rsidRPr="00A71C0F">
              <w:rPr>
                <w:rFonts w:ascii="Verdana" w:eastAsia="Arial" w:hAnsi="Verdana" w:cs="Arial"/>
                <w:sz w:val="16"/>
                <w:szCs w:val="16"/>
                <w:lang w:eastAsia="es-MX"/>
              </w:rPr>
              <w:t>Contratista de la Subdirección de Gestión Contractual</w:t>
            </w:r>
          </w:p>
          <w:p w14:paraId="549D14B3" w14:textId="77777777" w:rsidR="00A71C0F" w:rsidRPr="00A71C0F" w:rsidRDefault="00A71C0F" w:rsidP="00A71C0F">
            <w:pPr>
              <w:rPr>
                <w:rFonts w:ascii="Verdana" w:eastAsia="Arial" w:hAnsi="Verdana" w:cs="Arial"/>
                <w:sz w:val="16"/>
                <w:szCs w:val="16"/>
                <w:lang w:eastAsia="es-MX"/>
              </w:rPr>
            </w:pPr>
            <w:r w:rsidRPr="00A71C0F">
              <w:rPr>
                <w:rFonts w:ascii="Verdana" w:eastAsia="Arial" w:hAnsi="Verdana" w:cs="Arial"/>
                <w:sz w:val="16"/>
                <w:szCs w:val="16"/>
                <w:lang w:eastAsia="es-MX"/>
              </w:rPr>
              <w:t>Alexandra Rodríguez Motta</w:t>
            </w:r>
          </w:p>
          <w:p w14:paraId="292FEDF2" w14:textId="77777777" w:rsidR="00A71C0F" w:rsidRPr="00A71C0F" w:rsidRDefault="00A71C0F" w:rsidP="00A71C0F">
            <w:pPr>
              <w:rPr>
                <w:rFonts w:ascii="Verdana" w:eastAsia="Arial" w:hAnsi="Verdana" w:cs="Arial"/>
                <w:sz w:val="16"/>
                <w:szCs w:val="16"/>
                <w:lang w:eastAsia="es-MX"/>
              </w:rPr>
            </w:pPr>
            <w:r w:rsidRPr="00A71C0F">
              <w:rPr>
                <w:rFonts w:ascii="Verdana" w:eastAsia="Arial" w:hAnsi="Verdana" w:cs="Arial"/>
                <w:sz w:val="16"/>
                <w:szCs w:val="16"/>
                <w:lang w:eastAsia="es-MX"/>
              </w:rPr>
              <w:t>Contratista de la Subdirección de Gestión Contractual</w:t>
            </w:r>
          </w:p>
        </w:tc>
      </w:tr>
      <w:tr w:rsidR="00A71C0F" w:rsidRPr="00A71C0F" w14:paraId="40F0C92D" w14:textId="77777777" w:rsidTr="00760F1E">
        <w:trPr>
          <w:trHeight w:val="330"/>
        </w:trPr>
        <w:tc>
          <w:tcPr>
            <w:tcW w:w="893" w:type="dxa"/>
            <w:tcBorders>
              <w:top w:val="nil"/>
              <w:left w:val="nil"/>
              <w:bottom w:val="nil"/>
              <w:right w:val="nil"/>
            </w:tcBorders>
            <w:vAlign w:val="center"/>
            <w:hideMark/>
          </w:tcPr>
          <w:p w14:paraId="50346F71" w14:textId="77777777" w:rsidR="00A71C0F" w:rsidRPr="00A71C0F" w:rsidRDefault="00A71C0F" w:rsidP="00A71C0F">
            <w:pPr>
              <w:rPr>
                <w:rFonts w:ascii="Verdana" w:eastAsia="Calibri" w:hAnsi="Verdana" w:cs="Arial"/>
                <w:sz w:val="16"/>
                <w:szCs w:val="16"/>
                <w:lang w:eastAsia="es-ES"/>
              </w:rPr>
            </w:pPr>
            <w:r w:rsidRPr="00A71C0F">
              <w:rPr>
                <w:rFonts w:ascii="Verdana" w:eastAsia="Calibri" w:hAnsi="Verdana" w:cs="Arial"/>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06A42808" w14:textId="77777777" w:rsidR="00A71C0F" w:rsidRPr="00A71C0F" w:rsidRDefault="00A71C0F" w:rsidP="00A71C0F">
            <w:pPr>
              <w:textAlignment w:val="baseline"/>
              <w:rPr>
                <w:rFonts w:ascii="Verdana" w:eastAsia="Times New Roman" w:hAnsi="Verdana" w:cs="Segoe UI"/>
                <w:sz w:val="16"/>
                <w:szCs w:val="16"/>
                <w:lang w:val="es-ES" w:eastAsia="es-ES"/>
              </w:rPr>
            </w:pPr>
            <w:r w:rsidRPr="00A71C0F">
              <w:rPr>
                <w:rFonts w:ascii="Verdana" w:eastAsia="Times New Roman" w:hAnsi="Verdana" w:cs="Segoe UI"/>
                <w:sz w:val="16"/>
                <w:szCs w:val="16"/>
                <w:lang w:val="es-ES" w:eastAsia="es-ES"/>
              </w:rPr>
              <w:t>Juan David Cárdenas Cabeza</w:t>
            </w:r>
          </w:p>
          <w:p w14:paraId="62A0768C" w14:textId="77777777" w:rsidR="00A71C0F" w:rsidRPr="00A71C0F" w:rsidRDefault="00A71C0F" w:rsidP="00A71C0F">
            <w:pPr>
              <w:textAlignment w:val="baseline"/>
              <w:rPr>
                <w:rFonts w:ascii="Verdana" w:eastAsia="Times New Roman" w:hAnsi="Verdana" w:cs="Segoe UI"/>
                <w:sz w:val="16"/>
                <w:szCs w:val="16"/>
                <w:lang w:eastAsia="es-ES_tradnl"/>
              </w:rPr>
            </w:pPr>
            <w:r w:rsidRPr="00A71C0F">
              <w:rPr>
                <w:rFonts w:ascii="Verdana" w:eastAsia="Times New Roman" w:hAnsi="Verdana" w:cs="Arial"/>
                <w:sz w:val="16"/>
                <w:szCs w:val="16"/>
                <w:lang w:val="es-ES_tradnl" w:eastAsia="es-ES_tradnl"/>
              </w:rPr>
              <w:t>Contratista de la Subdirección de Gestión Contractual </w:t>
            </w:r>
          </w:p>
        </w:tc>
      </w:tr>
      <w:tr w:rsidR="00A71C0F" w:rsidRPr="00A71C0F" w14:paraId="391B7A68" w14:textId="77777777" w:rsidTr="00760F1E">
        <w:trPr>
          <w:trHeight w:val="300"/>
        </w:trPr>
        <w:tc>
          <w:tcPr>
            <w:tcW w:w="893" w:type="dxa"/>
            <w:tcBorders>
              <w:top w:val="nil"/>
              <w:left w:val="nil"/>
              <w:bottom w:val="nil"/>
              <w:right w:val="nil"/>
            </w:tcBorders>
            <w:vAlign w:val="center"/>
          </w:tcPr>
          <w:p w14:paraId="7062A7E6" w14:textId="77777777" w:rsidR="00A71C0F" w:rsidRPr="00A71C0F" w:rsidRDefault="00A71C0F" w:rsidP="00A71C0F">
            <w:pPr>
              <w:rPr>
                <w:rFonts w:ascii="Verdana" w:eastAsia="Calibri" w:hAnsi="Verdana" w:cs="Arial"/>
                <w:sz w:val="16"/>
                <w:szCs w:val="16"/>
                <w:lang w:eastAsia="es-ES"/>
              </w:rPr>
            </w:pPr>
            <w:r w:rsidRPr="00A71C0F">
              <w:rPr>
                <w:rFonts w:ascii="Verdana" w:eastAsia="Calibri" w:hAnsi="Verdana" w:cs="Arial"/>
                <w:sz w:val="16"/>
                <w:szCs w:val="16"/>
                <w:lang w:eastAsia="es-ES"/>
              </w:rPr>
              <w:lastRenderedPageBreak/>
              <w:t>Aprobó:</w:t>
            </w:r>
          </w:p>
        </w:tc>
        <w:tc>
          <w:tcPr>
            <w:tcW w:w="5628" w:type="dxa"/>
            <w:tcBorders>
              <w:top w:val="dotted" w:sz="4" w:space="0" w:color="7F7F7F"/>
              <w:left w:val="nil"/>
              <w:bottom w:val="dotted" w:sz="4" w:space="0" w:color="7F7F7F"/>
              <w:right w:val="nil"/>
            </w:tcBorders>
            <w:vAlign w:val="center"/>
          </w:tcPr>
          <w:p w14:paraId="13D0199E" w14:textId="77777777" w:rsidR="00A71C0F" w:rsidRPr="00A71C0F" w:rsidRDefault="00A71C0F" w:rsidP="00A71C0F">
            <w:pPr>
              <w:rPr>
                <w:rFonts w:ascii="Verdana" w:eastAsia="Calibri" w:hAnsi="Verdana" w:cs="Arial"/>
                <w:sz w:val="16"/>
                <w:szCs w:val="16"/>
                <w:lang w:eastAsia="es-ES"/>
              </w:rPr>
            </w:pPr>
            <w:r w:rsidRPr="00A71C0F">
              <w:rPr>
                <w:rFonts w:ascii="Verdana" w:eastAsia="Calibri" w:hAnsi="Verdana" w:cs="Arial"/>
                <w:sz w:val="16"/>
                <w:szCs w:val="16"/>
                <w:lang w:eastAsia="es-ES"/>
              </w:rPr>
              <w:t>Carolina Quintero Gacharná</w:t>
            </w:r>
          </w:p>
          <w:p w14:paraId="31738E01" w14:textId="77777777" w:rsidR="00A71C0F" w:rsidRPr="00A71C0F" w:rsidRDefault="00A71C0F" w:rsidP="00A71C0F">
            <w:pPr>
              <w:rPr>
                <w:rFonts w:ascii="Verdana" w:eastAsia="Calibri" w:hAnsi="Verdana" w:cs="Arial"/>
                <w:sz w:val="16"/>
                <w:szCs w:val="16"/>
                <w:lang w:eastAsia="es-ES"/>
              </w:rPr>
            </w:pPr>
            <w:r w:rsidRPr="00A71C0F">
              <w:rPr>
                <w:rFonts w:ascii="Verdana" w:eastAsia="Calibri" w:hAnsi="Verdana" w:cs="Arial"/>
                <w:sz w:val="16"/>
                <w:szCs w:val="16"/>
                <w:lang w:eastAsia="es-ES"/>
              </w:rPr>
              <w:t>Subdirectora de Gestión Contractual ANCP – CCE</w:t>
            </w:r>
          </w:p>
        </w:tc>
      </w:tr>
    </w:tbl>
    <w:p w14:paraId="7C9026E2" w14:textId="358E109F" w:rsidR="002A0DD0" w:rsidRPr="00D6182E" w:rsidRDefault="002A0DD0" w:rsidP="00D6182E">
      <w:pPr>
        <w:spacing w:after="0" w:line="240" w:lineRule="auto"/>
        <w:textAlignment w:val="baseline"/>
        <w:rPr>
          <w:rFonts w:ascii="Verdana" w:eastAsia="Verdana" w:hAnsi="Verdana" w:cs="Verdana"/>
          <w:lang w:eastAsia="es-CO"/>
        </w:rPr>
      </w:pPr>
    </w:p>
    <w:p w14:paraId="69BC4D14" w14:textId="135B8573"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D3D9ED" w14:textId="77777777" w:rsidR="00025485" w:rsidRDefault="00025485" w:rsidP="004A1847">
      <w:pPr>
        <w:spacing w:after="0" w:line="240" w:lineRule="auto"/>
      </w:pPr>
      <w:r>
        <w:separator/>
      </w:r>
    </w:p>
  </w:endnote>
  <w:endnote w:type="continuationSeparator" w:id="0">
    <w:p w14:paraId="2A3D714F" w14:textId="77777777" w:rsidR="00025485" w:rsidRDefault="0002548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AC036A" w14:textId="77777777" w:rsidR="00025485" w:rsidRDefault="00025485" w:rsidP="004A1847">
      <w:pPr>
        <w:spacing w:after="0" w:line="240" w:lineRule="auto"/>
      </w:pPr>
      <w:r>
        <w:separator/>
      </w:r>
    </w:p>
  </w:footnote>
  <w:footnote w:type="continuationSeparator" w:id="0">
    <w:p w14:paraId="723F3FF1" w14:textId="77777777" w:rsidR="00025485" w:rsidRDefault="00025485" w:rsidP="004A1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67908957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5485"/>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2267E"/>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36203"/>
    <w:rsid w:val="003448F4"/>
    <w:rsid w:val="00346B8D"/>
    <w:rsid w:val="00361C8C"/>
    <w:rsid w:val="00374F5E"/>
    <w:rsid w:val="00377E3E"/>
    <w:rsid w:val="003A779E"/>
    <w:rsid w:val="003C6F9E"/>
    <w:rsid w:val="003D0F4D"/>
    <w:rsid w:val="003D5B0D"/>
    <w:rsid w:val="003E0499"/>
    <w:rsid w:val="003E4F80"/>
    <w:rsid w:val="003E6439"/>
    <w:rsid w:val="003E76F0"/>
    <w:rsid w:val="003F3941"/>
    <w:rsid w:val="00406575"/>
    <w:rsid w:val="00414C74"/>
    <w:rsid w:val="0042722E"/>
    <w:rsid w:val="0044528D"/>
    <w:rsid w:val="00466E39"/>
    <w:rsid w:val="00481242"/>
    <w:rsid w:val="004A1847"/>
    <w:rsid w:val="004A305D"/>
    <w:rsid w:val="004F21C4"/>
    <w:rsid w:val="004F685F"/>
    <w:rsid w:val="005164B3"/>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D238D"/>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71C0F"/>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17172"/>
    <w:rsid w:val="00D361FD"/>
    <w:rsid w:val="00D423A2"/>
    <w:rsid w:val="00D44E26"/>
    <w:rsid w:val="00D520D8"/>
    <w:rsid w:val="00D6182E"/>
    <w:rsid w:val="00D63AC2"/>
    <w:rsid w:val="00D7383B"/>
    <w:rsid w:val="00D7788A"/>
    <w:rsid w:val="00DA231B"/>
    <w:rsid w:val="00DC39FC"/>
    <w:rsid w:val="00DF5254"/>
    <w:rsid w:val="00DF6FA7"/>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A71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normativa-y-relatoria/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C38F2E-B29C-4403-8834-76E01E7F25C0}"/>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14</Pages>
  <Words>4631</Words>
  <Characters>25472</Characters>
  <Application>Microsoft Office Word</Application>
  <DocSecurity>0</DocSecurity>
  <Lines>212</Lines>
  <Paragraphs>60</Paragraphs>
  <ScaleCrop>false</ScaleCrop>
  <Company/>
  <LinksUpToDate>false</LinksUpToDate>
  <CharactersWithSpaces>30043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Herrera</cp:lastModifiedBy>
  <cp:revision>6</cp:revision>
  <cp:lastPrinted>2023-01-10T21:18:00Z</cp:lastPrinted>
  <dcterms:created xsi:type="dcterms:W3CDTF">2026-08-18T23:33:00Z</dcterms:created>
  <dcterms:modified xsi:type="dcterms:W3CDTF">2026-08-20T22:52:00Z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