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10E9D"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RÉGIMEN PRESUPUESTAL Y RÉGIMEN CONTRACTUAL – Conexidad – Reparto de competencias</w:t>
      </w:r>
    </w:p>
    <w:p w14:paraId="6969DB0D" w14:textId="53DA3756" w:rsidR="004A0841" w:rsidRDefault="004A0841" w:rsidP="00751DE8">
      <w:pPr>
        <w:spacing w:after="0" w:line="240" w:lineRule="auto"/>
        <w:jc w:val="both"/>
        <w:rPr>
          <w:rFonts w:ascii="Verdana" w:hAnsi="Verdana" w:cs="Arial"/>
          <w:b/>
          <w:bCs/>
          <w:color w:val="000000"/>
          <w:lang w:val="es-ES"/>
        </w:rPr>
      </w:pPr>
    </w:p>
    <w:p w14:paraId="7589B1C9" w14:textId="35964FC2"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Es evidente la interdependencia entre el régimen de contratación estatal y el régimen presupuestal, en la medida en que toda actuación contractual de las entidades públicas debe estar respaldada por una disponibilidad de recursos debidamente apropiada en el presupuesto, de modo que la contratación pública no puede concebirse de manera aislada del marco presupuestal. Con todo, esa conexidad no altera el reparto de competencias: en lo relativo al manejo presupuestal —la expedición de los certificados de disponibilidad presupuestal y la administración del Programa Anual Mensualizado de Caja— debe atenderse a las directrices que establezcan el Ministerio de Hacienda y Crédito Público y el Departamento Nacional de Planeación, mientras que en lo relativo al manejo contractual corresponde a las entidades definir lo pertinente en los documentos del proceso. Por consiguiente, la procedencia, el procedimiento y la fecha de expedición de un nuevo documento presupuestal en reemplazo de uno anulado son cuestiones propias del régimen presupuestal, ajenas a la competencia consultiva de esta Agencia.</w:t>
      </w:r>
    </w:p>
    <w:p w14:paraId="440D6B7A" w14:textId="77777777" w:rsidR="004A0841" w:rsidRDefault="004A0841" w:rsidP="00751DE8">
      <w:pPr>
        <w:spacing w:after="0" w:line="240" w:lineRule="auto"/>
        <w:jc w:val="both"/>
        <w:rPr>
          <w:rFonts w:ascii="Verdana" w:hAnsi="Verdana" w:cs="Arial"/>
          <w:b/>
          <w:bCs/>
          <w:color w:val="000000"/>
          <w:lang w:val="es-ES"/>
        </w:rPr>
      </w:pPr>
    </w:p>
    <w:p w14:paraId="51E0FC10"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REGISTRO PRESUPUESTAL – Definición – Finalidad</w:t>
      </w:r>
    </w:p>
    <w:p w14:paraId="3F32DC5C" w14:textId="77777777" w:rsidR="004A0841" w:rsidRDefault="004A0841" w:rsidP="00751DE8">
      <w:pPr>
        <w:spacing w:after="0" w:line="240" w:lineRule="auto"/>
        <w:jc w:val="both"/>
        <w:rPr>
          <w:rFonts w:ascii="Verdana" w:hAnsi="Verdana" w:cs="Arial"/>
          <w:b/>
          <w:bCs/>
          <w:color w:val="000000"/>
          <w:lang w:val="es-ES"/>
        </w:rPr>
      </w:pPr>
    </w:p>
    <w:p w14:paraId="1D3C9A81"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registro presupuestal consiste en la certificación de apropiación de presupuesto con destino al cumplimiento de las obligaciones pecuniarias del contrato. En este se comprometen los recursos públicos necesarios para concretar un contrato estatal, de acuerdo con los bienes y servicios que una entidad pública vaya a adquirir. En consecuencia, es un instrumento mediante el cual se busca prevenir erogaciones que superen el monto autorizado en el correspondiente presupuesto, con el objeto de evitar que los recursos destinados a la financiación de un determinado compromiso se desvíen a una finalidad distinta.</w:t>
      </w:r>
    </w:p>
    <w:p w14:paraId="38FFFB9D" w14:textId="77777777" w:rsidR="004A0841" w:rsidRDefault="004A0841" w:rsidP="00751DE8">
      <w:pPr>
        <w:spacing w:after="0" w:line="240" w:lineRule="auto"/>
        <w:jc w:val="both"/>
        <w:rPr>
          <w:rFonts w:ascii="Verdana" w:hAnsi="Verdana" w:cs="Arial"/>
          <w:b/>
          <w:bCs/>
          <w:color w:val="000000"/>
          <w:lang w:val="es-ES"/>
        </w:rPr>
      </w:pPr>
    </w:p>
    <w:p w14:paraId="4F648B14"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REGISTRO PRESUPUESTAL – Requisito de ejecución – Oportunidad</w:t>
      </w:r>
    </w:p>
    <w:p w14:paraId="5F385E52" w14:textId="77777777" w:rsidR="004A0841" w:rsidRDefault="004A0841" w:rsidP="00751DE8">
      <w:pPr>
        <w:spacing w:after="0" w:line="240" w:lineRule="auto"/>
        <w:jc w:val="both"/>
        <w:rPr>
          <w:rFonts w:ascii="Verdana" w:hAnsi="Verdana" w:cs="Arial"/>
          <w:b/>
          <w:bCs/>
          <w:color w:val="000000"/>
          <w:lang w:val="es-ES"/>
        </w:rPr>
      </w:pPr>
    </w:p>
    <w:p w14:paraId="10876AC0"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A partir del año 2006 el Consejo de Estado, con apoyo en el artículo 41 de la Ley 80 de 1993, modificó la primera posición jurisprudencial que consideró al registro presupuestal como requisito de perfeccionamiento; en adelante se ha considerado que se trata de un requisito de ejecución. En esa medida, el registro presupuestal normalmente se expide después de celebrado el contrato, tal como se desprende del inciso segundo del artículo 41 de la Ley 80 de 1993 —modificado por el artículo 23 de la Ley 1150 de 2007—, siendo lo determinante que se hubiere expedido antes del inicio de la ejecución contractual.</w:t>
      </w:r>
    </w:p>
    <w:p w14:paraId="3616FE00" w14:textId="77777777" w:rsidR="004A0841" w:rsidRDefault="004A0841" w:rsidP="00751DE8">
      <w:pPr>
        <w:spacing w:after="0" w:line="240" w:lineRule="auto"/>
        <w:jc w:val="both"/>
        <w:rPr>
          <w:rFonts w:ascii="Verdana" w:hAnsi="Verdana" w:cs="Arial"/>
          <w:b/>
          <w:bCs/>
          <w:color w:val="000000"/>
          <w:lang w:val="es-ES"/>
        </w:rPr>
      </w:pPr>
    </w:p>
    <w:p w14:paraId="2B1B0CF5"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REGISTRO PRESUPUESTAL – Anulación sobreviniente – Efectos sobre el contrato</w:t>
      </w:r>
    </w:p>
    <w:p w14:paraId="47CCED5E" w14:textId="77777777" w:rsidR="004A0841" w:rsidRDefault="004A0841" w:rsidP="00751DE8">
      <w:pPr>
        <w:spacing w:after="0" w:line="240" w:lineRule="auto"/>
        <w:jc w:val="both"/>
        <w:rPr>
          <w:rFonts w:ascii="Verdana" w:hAnsi="Verdana" w:cs="Arial"/>
          <w:b/>
          <w:bCs/>
          <w:color w:val="000000"/>
          <w:lang w:val="es-ES"/>
        </w:rPr>
      </w:pPr>
    </w:p>
    <w:p w14:paraId="1BBB0B3D"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 xml:space="preserve">Comoquiera que el contrato estatal se perfecciona cuando se logra acuerdo sobre el objeto y la contraprestación y este se eleva a escrito, y que el registro presupuestal constituye requisito de ejecución y no de existencia ni de validez, la anulación de dicho </w:t>
      </w:r>
      <w:r>
        <w:rPr>
          <w:rFonts w:ascii="Verdana" w:hAnsi="Verdana" w:cs="Arial"/>
          <w:bCs/>
          <w:color w:val="000000"/>
          <w:sz w:val="20"/>
          <w:lang w:val="es-ES"/>
        </w:rPr>
        <w:lastRenderedPageBreak/>
        <w:t>registro con posterioridad al inicio de la ejecución no extingue el contrato, no lo invalida ni afecta las obligaciones ya causadas a favor del contratista. La verificación del cumplimiento del requisito de ejecución se realiza con referencia al momento en que la ejecución inició, de suerte que un hecho sobreviniente —como una falla en el sistema de información presupuestal— no convierte retroactivamente en irregular una ejecución que en su momento contó con el amparo correspondiente.</w:t>
      </w:r>
    </w:p>
    <w:p w14:paraId="71AADFB3" w14:textId="77777777" w:rsidR="004A0841" w:rsidRDefault="004A0841" w:rsidP="00751DE8">
      <w:pPr>
        <w:spacing w:after="0" w:line="240" w:lineRule="auto"/>
        <w:jc w:val="both"/>
        <w:rPr>
          <w:rFonts w:ascii="Verdana" w:hAnsi="Verdana" w:cs="Arial"/>
          <w:b/>
          <w:bCs/>
          <w:color w:val="000000"/>
          <w:lang w:val="es-ES"/>
        </w:rPr>
      </w:pPr>
    </w:p>
    <w:p w14:paraId="4354CD3D"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REGISTRO PRESUPUESTAL – Ausencia de respaldo – Responsabilidad personal</w:t>
      </w:r>
    </w:p>
    <w:p w14:paraId="275276B4" w14:textId="77777777" w:rsidR="004A0841" w:rsidRDefault="004A0841" w:rsidP="00751DE8">
      <w:pPr>
        <w:spacing w:after="0" w:line="240" w:lineRule="auto"/>
        <w:jc w:val="both"/>
        <w:rPr>
          <w:rFonts w:ascii="Verdana" w:hAnsi="Verdana" w:cs="Arial"/>
          <w:b/>
          <w:bCs/>
          <w:color w:val="000000"/>
          <w:lang w:val="es-ES"/>
        </w:rPr>
      </w:pPr>
    </w:p>
    <w:p w14:paraId="21A08D31"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La sanción por omitir la obligación de contar con el registro presupuestal no afecta el acto o contrato mismo, sino que es de tipo personal: responde el funcionario que omita dicho requisito, y el modo de responsabilidad en el que podría incurrir es de carácter disciplinario, penal y fiscal, incluso patrimonial, en consideración al alcance personal de la conducta. Ello guarda armonía con el inciso final del artículo 71 del Estatuto Orgánico del Presupuesto, conforme al cual ninguna autoridad podrá contraer obligaciones sobre apropiaciones inexistentes o en exceso del saldo disponible, y cualquier compromiso que se adquiera con violación de estos preceptos creará responsabilidad personal y pecuniaria a cargo de quien asuma tales obligaciones.</w:t>
      </w:r>
    </w:p>
    <w:p w14:paraId="27555450" w14:textId="77777777" w:rsidR="004A0841" w:rsidRDefault="004A0841" w:rsidP="00751DE8">
      <w:pPr>
        <w:spacing w:after="0" w:line="240" w:lineRule="auto"/>
        <w:jc w:val="both"/>
        <w:rPr>
          <w:rFonts w:ascii="Verdana" w:hAnsi="Verdana" w:cs="Arial"/>
          <w:b/>
          <w:bCs/>
          <w:color w:val="000000"/>
          <w:lang w:val="es-ES"/>
        </w:rPr>
      </w:pPr>
    </w:p>
    <w:p w14:paraId="0F904DCB"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REGISTRO PRESUPUESTAL – Deber de amparo – Carácter permanente – Restablecimiento</w:t>
      </w:r>
    </w:p>
    <w:p w14:paraId="2E051839" w14:textId="77777777" w:rsidR="004A0841" w:rsidRDefault="004A0841" w:rsidP="00751DE8">
      <w:pPr>
        <w:spacing w:after="0" w:line="240" w:lineRule="auto"/>
        <w:jc w:val="both"/>
        <w:rPr>
          <w:rFonts w:ascii="Verdana" w:hAnsi="Verdana" w:cs="Arial"/>
          <w:b/>
          <w:bCs/>
          <w:color w:val="000000"/>
          <w:lang w:val="es-ES"/>
        </w:rPr>
      </w:pPr>
    </w:p>
    <w:p w14:paraId="147F1462"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deber que consagra el artículo 71 del Estatuto Orgánico del Presupuesto no se agota con la expedición inicial del registro presupuestal. La norma dispone que los compromisos “deberán contar con registro presupuestal para que los recursos con él financiados no sean desviados a ningún otro fin”, y exige que en dicho registro se indique claramente el valor y el plazo de las prestaciones, de donde se sigue que el amparo debe proyectarse sobre toda la ejecución del compromiso y subsistir mientras este produzca efectos. En consecuencia, cuando por cualquier causa un compromiso en ejecución deja de contar con registro presupuestal, la entidad queda situada en el supuesto que el inciso final de la misma disposición prohíbe, y surge para ella el deber jurídico de adoptar las medidas que su régimen presupuestal prevea para que el compromiso vuelva a estar amparado. Determinar cuál es el instrumento idóneo para lograrlo, su procedimiento y la fecha que haya de llevar el documento correspondiente son cuestiones propias del régimen presupuestal.</w:t>
      </w:r>
    </w:p>
    <w:p w14:paraId="6A3DA6A0" w14:textId="77777777" w:rsidR="004A0841" w:rsidRDefault="004A0841" w:rsidP="00751DE8">
      <w:pPr>
        <w:spacing w:after="0" w:line="240" w:lineRule="auto"/>
        <w:jc w:val="both"/>
        <w:rPr>
          <w:rFonts w:ascii="Verdana" w:hAnsi="Verdana" w:cs="Arial"/>
          <w:b/>
          <w:bCs/>
          <w:color w:val="000000"/>
          <w:lang w:val="es-ES"/>
        </w:rPr>
      </w:pPr>
    </w:p>
    <w:p w14:paraId="5A2E3CB6"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PAGO – Deber de la entidad – Derecho del contratista – Mora</w:t>
      </w:r>
    </w:p>
    <w:p w14:paraId="3ADC043C" w14:textId="77777777" w:rsidR="004A0841" w:rsidRDefault="004A0841" w:rsidP="00751DE8">
      <w:pPr>
        <w:spacing w:after="0" w:line="240" w:lineRule="auto"/>
        <w:jc w:val="both"/>
        <w:rPr>
          <w:rFonts w:ascii="Verdana" w:hAnsi="Verdana" w:cs="Arial"/>
          <w:b/>
          <w:bCs/>
          <w:color w:val="000000"/>
          <w:lang w:val="es-ES"/>
        </w:rPr>
      </w:pPr>
    </w:p>
    <w:p w14:paraId="259B3DC7"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 xml:space="preserve">Las entidades estatales tienen el deber de realizar el pago a sus contratistas y estos el derecho a recibir oportunamente la remuneración pactada y a que el valor intrínseco de la misma no se altere o modifique durante la vigencia del contrato. Un obstáculo administrativo interno —incluida la anulación de un documento presupuestal por falla del sistema de información— no constituye causa jurídica que suspenda o extinga esa </w:t>
      </w:r>
      <w:r>
        <w:rPr>
          <w:rFonts w:ascii="Verdana" w:hAnsi="Verdana" w:cs="Arial"/>
          <w:bCs/>
          <w:color w:val="000000"/>
          <w:sz w:val="20"/>
          <w:lang w:val="es-ES"/>
        </w:rPr>
        <w:lastRenderedPageBreak/>
        <w:t>obligación respecto de las prestaciones efectivamente ejecutadas y recibidas a satisfacción. En caso de configurarse mora en el pago, resultan aplicables las reglas del numeral 8 del artículo 4 de la Ley 80 de 1993, conforme al cual, de no haberse pactado intereses moratorios, se aplicará la tasa equivalente al doble del interés legal civil sobre el valor histórico actualizado.</w:t>
      </w:r>
    </w:p>
    <w:p w14:paraId="4F9DB5D0" w14:textId="77777777" w:rsidR="004A0841" w:rsidRDefault="004A0841" w:rsidP="00751DE8">
      <w:pPr>
        <w:spacing w:after="0" w:line="240" w:lineRule="auto"/>
        <w:jc w:val="both"/>
        <w:rPr>
          <w:rFonts w:ascii="Verdana" w:hAnsi="Verdana" w:cs="Arial"/>
          <w:b/>
          <w:bCs/>
          <w:color w:val="000000"/>
          <w:lang w:val="es-ES"/>
        </w:rPr>
      </w:pPr>
    </w:p>
    <w:p w14:paraId="3393352A" w14:textId="77777777" w:rsidR="004A0841" w:rsidRDefault="004A0841" w:rsidP="00751DE8">
      <w:pPr>
        <w:spacing w:after="0" w:line="240" w:lineRule="auto"/>
        <w:jc w:val="both"/>
        <w:rPr>
          <w:rFonts w:ascii="Verdana" w:hAnsi="Verdana" w:cs="Arial"/>
          <w:b/>
          <w:bCs/>
          <w:color w:val="000000"/>
          <w:lang w:val="es-ES"/>
        </w:rPr>
      </w:pPr>
    </w:p>
    <w:p w14:paraId="13C4CEE0" w14:textId="77777777" w:rsidR="00E1449C" w:rsidRDefault="00E1449C" w:rsidP="00662087">
      <w:pPr>
        <w:spacing w:after="0" w:line="240" w:lineRule="auto"/>
        <w:rPr>
          <w:rFonts w:ascii="Verdana" w:eastAsia="Verdana" w:hAnsi="Verdana" w:cs="Verdana"/>
        </w:rPr>
      </w:pPr>
    </w:p>
    <w:p w14:paraId="5D3428EB" w14:textId="77777777" w:rsidR="00E1449C" w:rsidRDefault="00E1449C" w:rsidP="00662087">
      <w:pPr>
        <w:spacing w:after="0" w:line="240" w:lineRule="auto"/>
        <w:rPr>
          <w:rFonts w:ascii="Verdana" w:eastAsia="Verdana" w:hAnsi="Verdana" w:cs="Verdana"/>
        </w:rPr>
      </w:pPr>
    </w:p>
    <w:p w14:paraId="25D18993" w14:textId="77777777" w:rsidR="00E1449C" w:rsidRDefault="00E1449C" w:rsidP="00662087">
      <w:pPr>
        <w:spacing w:after="0" w:line="240" w:lineRule="auto"/>
        <w:rPr>
          <w:rFonts w:ascii="Verdana" w:eastAsia="Verdana" w:hAnsi="Verdana" w:cs="Verdana"/>
        </w:rPr>
      </w:pPr>
    </w:p>
    <w:p w14:paraId="18114424" w14:textId="77777777" w:rsidR="00EC65AC" w:rsidRDefault="00EC65AC" w:rsidP="00662087">
      <w:pPr>
        <w:spacing w:after="0" w:line="240" w:lineRule="auto"/>
        <w:rPr>
          <w:rFonts w:ascii="Verdana" w:eastAsia="Verdana" w:hAnsi="Verdana" w:cs="Verdana"/>
        </w:rPr>
      </w:pPr>
    </w:p>
    <w:p w14:paraId="017A3017" w14:textId="77777777" w:rsidR="00EC65AC" w:rsidRDefault="00EC65AC" w:rsidP="00662087">
      <w:pPr>
        <w:spacing w:after="0" w:line="240" w:lineRule="auto"/>
        <w:rPr>
          <w:rFonts w:ascii="Verdana" w:eastAsia="Verdana" w:hAnsi="Verdana" w:cs="Verdana"/>
        </w:rPr>
      </w:pPr>
    </w:p>
    <w:p w14:paraId="0221B27D" w14:textId="77777777" w:rsidR="00EC65AC" w:rsidRDefault="00EC65AC" w:rsidP="00662087">
      <w:pPr>
        <w:spacing w:after="0" w:line="240" w:lineRule="auto"/>
        <w:rPr>
          <w:rFonts w:ascii="Verdana" w:eastAsia="Verdana" w:hAnsi="Verdana" w:cs="Verdana"/>
        </w:rPr>
      </w:pPr>
    </w:p>
    <w:p w14:paraId="7C4ADCEF" w14:textId="77777777" w:rsidR="00EC65AC" w:rsidRDefault="00EC65AC" w:rsidP="00662087">
      <w:pPr>
        <w:spacing w:after="0" w:line="240" w:lineRule="auto"/>
        <w:rPr>
          <w:rFonts w:ascii="Verdana" w:eastAsia="Verdana" w:hAnsi="Verdana" w:cs="Verdana"/>
        </w:rPr>
      </w:pPr>
    </w:p>
    <w:p w14:paraId="3BBD3360" w14:textId="77777777" w:rsidR="00EC65AC" w:rsidRDefault="00EC65AC" w:rsidP="00662087">
      <w:pPr>
        <w:spacing w:after="0" w:line="240" w:lineRule="auto"/>
        <w:rPr>
          <w:rFonts w:ascii="Verdana" w:eastAsia="Verdana" w:hAnsi="Verdana" w:cs="Verdana"/>
        </w:rPr>
      </w:pPr>
    </w:p>
    <w:p w14:paraId="20040DDB" w14:textId="77777777" w:rsidR="00EC65AC" w:rsidRDefault="00EC65AC" w:rsidP="00662087">
      <w:pPr>
        <w:spacing w:after="0" w:line="240" w:lineRule="auto"/>
        <w:rPr>
          <w:rFonts w:ascii="Verdana" w:eastAsia="Verdana" w:hAnsi="Verdana" w:cs="Verdana"/>
        </w:rPr>
      </w:pPr>
    </w:p>
    <w:p w14:paraId="13052F73" w14:textId="77777777" w:rsidR="00EC65AC" w:rsidRDefault="00EC65AC" w:rsidP="00662087">
      <w:pPr>
        <w:spacing w:after="0" w:line="240" w:lineRule="auto"/>
        <w:rPr>
          <w:rFonts w:ascii="Verdana" w:eastAsia="Verdana" w:hAnsi="Verdana" w:cs="Verdana"/>
        </w:rPr>
      </w:pPr>
    </w:p>
    <w:p w14:paraId="3B299E4B" w14:textId="77777777" w:rsidR="00EC65AC" w:rsidRDefault="00EC65AC" w:rsidP="00662087">
      <w:pPr>
        <w:spacing w:after="0" w:line="240" w:lineRule="auto"/>
        <w:rPr>
          <w:rFonts w:ascii="Verdana" w:eastAsia="Verdana" w:hAnsi="Verdana" w:cs="Verdana"/>
        </w:rPr>
      </w:pPr>
    </w:p>
    <w:p w14:paraId="14BBB01C" w14:textId="77777777" w:rsidR="00EC65AC" w:rsidRDefault="00EC65AC" w:rsidP="00662087">
      <w:pPr>
        <w:spacing w:after="0" w:line="240" w:lineRule="auto"/>
        <w:rPr>
          <w:rFonts w:ascii="Verdana" w:eastAsia="Verdana" w:hAnsi="Verdana" w:cs="Verdana"/>
        </w:rPr>
      </w:pPr>
    </w:p>
    <w:p w14:paraId="1999FE3B" w14:textId="77777777" w:rsidR="00EC65AC" w:rsidRDefault="00EC65AC" w:rsidP="00662087">
      <w:pPr>
        <w:spacing w:after="0" w:line="240" w:lineRule="auto"/>
        <w:rPr>
          <w:rFonts w:ascii="Verdana" w:eastAsia="Verdana" w:hAnsi="Verdana" w:cs="Verdana"/>
        </w:rPr>
      </w:pPr>
    </w:p>
    <w:p w14:paraId="72DBB612" w14:textId="77777777" w:rsidR="00EC65AC" w:rsidRDefault="00EC65AC" w:rsidP="00662087">
      <w:pPr>
        <w:spacing w:after="0" w:line="240" w:lineRule="auto"/>
        <w:rPr>
          <w:rFonts w:ascii="Verdana" w:eastAsia="Verdana" w:hAnsi="Verdana" w:cs="Verdana"/>
        </w:rPr>
      </w:pPr>
    </w:p>
    <w:p w14:paraId="6F5A3B19" w14:textId="77777777" w:rsidR="00EC65AC" w:rsidRDefault="00EC65AC" w:rsidP="00662087">
      <w:pPr>
        <w:spacing w:after="0" w:line="240" w:lineRule="auto"/>
        <w:rPr>
          <w:rFonts w:ascii="Verdana" w:eastAsia="Verdana" w:hAnsi="Verdana" w:cs="Verdana"/>
        </w:rPr>
      </w:pPr>
    </w:p>
    <w:p w14:paraId="3AB55987" w14:textId="77777777" w:rsidR="00E1449C" w:rsidRDefault="00E1449C" w:rsidP="00662087">
      <w:pPr>
        <w:spacing w:after="0" w:line="240" w:lineRule="auto"/>
        <w:rPr>
          <w:rFonts w:ascii="Verdana" w:eastAsia="Verdana" w:hAnsi="Verdana" w:cs="Verdana"/>
        </w:rPr>
      </w:pPr>
    </w:p>
    <w:p w14:paraId="43034099" w14:textId="77777777" w:rsidR="00E1449C" w:rsidRDefault="00E1449C" w:rsidP="00662087">
      <w:pPr>
        <w:spacing w:after="0" w:line="240" w:lineRule="auto"/>
        <w:rPr>
          <w:rFonts w:ascii="Verdana" w:eastAsia="Verdana" w:hAnsi="Verdana" w:cs="Verdana"/>
        </w:rPr>
      </w:pPr>
    </w:p>
    <w:p w14:paraId="0BC6BCA6" w14:textId="77777777" w:rsidR="00E1449C" w:rsidRDefault="00E1449C" w:rsidP="00662087">
      <w:pPr>
        <w:spacing w:after="0" w:line="240" w:lineRule="auto"/>
        <w:rPr>
          <w:rFonts w:ascii="Verdana" w:eastAsia="Verdana" w:hAnsi="Verdana" w:cs="Verdana"/>
        </w:rPr>
      </w:pPr>
    </w:p>
    <w:p w14:paraId="4944B8A3" w14:textId="77777777" w:rsidR="00E1449C" w:rsidRDefault="00E1449C" w:rsidP="00662087">
      <w:pPr>
        <w:spacing w:after="0" w:line="240" w:lineRule="auto"/>
        <w:rPr>
          <w:rFonts w:ascii="Verdana" w:eastAsia="Verdana" w:hAnsi="Verdana" w:cs="Verdana"/>
        </w:rPr>
      </w:pPr>
    </w:p>
    <w:p w14:paraId="09CAFAF4" w14:textId="77777777" w:rsidR="00E1449C" w:rsidRDefault="00E1449C" w:rsidP="00662087">
      <w:pPr>
        <w:spacing w:after="0" w:line="240" w:lineRule="auto"/>
        <w:rPr>
          <w:rFonts w:ascii="Verdana" w:eastAsia="Verdana" w:hAnsi="Verdana" w:cs="Verdana"/>
        </w:rPr>
      </w:pPr>
    </w:p>
    <w:p w14:paraId="5CAED231" w14:textId="77777777" w:rsidR="00E1449C" w:rsidRDefault="00E1449C" w:rsidP="00662087">
      <w:pPr>
        <w:spacing w:after="0" w:line="240" w:lineRule="auto"/>
        <w:rPr>
          <w:rFonts w:ascii="Verdana" w:eastAsia="Verdana" w:hAnsi="Verdana" w:cs="Verdana"/>
        </w:rPr>
      </w:pPr>
    </w:p>
    <w:p w14:paraId="0B4277C2" w14:textId="77777777" w:rsidR="00D04629" w:rsidRDefault="00D04629" w:rsidP="00662087">
      <w:pPr>
        <w:spacing w:after="0" w:line="240" w:lineRule="auto"/>
        <w:rPr>
          <w:rFonts w:ascii="Verdana" w:eastAsia="Verdana" w:hAnsi="Verdana" w:cs="Verdana"/>
        </w:rPr>
      </w:pPr>
    </w:p>
    <w:p w14:paraId="5E7E241F" w14:textId="77777777" w:rsidR="00D04629" w:rsidRDefault="00D04629" w:rsidP="00662087">
      <w:pPr>
        <w:spacing w:after="0" w:line="240" w:lineRule="auto"/>
        <w:rPr>
          <w:rFonts w:ascii="Verdana" w:eastAsia="Verdana" w:hAnsi="Verdana" w:cs="Verdana"/>
        </w:rPr>
      </w:pPr>
    </w:p>
    <w:p w14:paraId="39B87D87" w14:textId="77777777" w:rsidR="00D04629" w:rsidRDefault="00D04629" w:rsidP="00662087">
      <w:pPr>
        <w:spacing w:after="0" w:line="240" w:lineRule="auto"/>
        <w:rPr>
          <w:rFonts w:ascii="Verdana" w:eastAsia="Verdana" w:hAnsi="Verdana" w:cs="Verdana"/>
        </w:rPr>
      </w:pPr>
    </w:p>
    <w:p w14:paraId="27D55E35" w14:textId="77777777" w:rsidR="00D04629" w:rsidRDefault="00D04629" w:rsidP="00662087">
      <w:pPr>
        <w:spacing w:after="0" w:line="240" w:lineRule="auto"/>
        <w:rPr>
          <w:rFonts w:ascii="Verdana" w:eastAsia="Verdana" w:hAnsi="Verdana" w:cs="Verdana"/>
        </w:rPr>
      </w:pPr>
    </w:p>
    <w:p w14:paraId="73CD187F" w14:textId="77777777" w:rsidR="00D04629" w:rsidRDefault="00D04629" w:rsidP="00662087">
      <w:pPr>
        <w:spacing w:after="0" w:line="240" w:lineRule="auto"/>
        <w:rPr>
          <w:rFonts w:ascii="Verdana" w:eastAsia="Verdana" w:hAnsi="Verdana" w:cs="Verdana"/>
        </w:rPr>
      </w:pPr>
    </w:p>
    <w:p w14:paraId="72BB7D3C" w14:textId="77777777" w:rsidR="00D04629" w:rsidRDefault="00D04629" w:rsidP="00662087">
      <w:pPr>
        <w:spacing w:after="0" w:line="240" w:lineRule="auto"/>
        <w:rPr>
          <w:rFonts w:ascii="Verdana" w:eastAsia="Verdana" w:hAnsi="Verdana" w:cs="Verdana"/>
        </w:rPr>
      </w:pPr>
    </w:p>
    <w:p w14:paraId="754B4A10" w14:textId="77777777" w:rsidR="00D04629" w:rsidRDefault="00D04629" w:rsidP="00662087">
      <w:pPr>
        <w:spacing w:after="0" w:line="240" w:lineRule="auto"/>
        <w:rPr>
          <w:rFonts w:ascii="Verdana" w:eastAsia="Verdana" w:hAnsi="Verdana" w:cs="Verdana"/>
        </w:rPr>
      </w:pPr>
    </w:p>
    <w:p w14:paraId="1AC5476F" w14:textId="77777777" w:rsidR="00D04629" w:rsidRDefault="00D04629" w:rsidP="00662087">
      <w:pPr>
        <w:spacing w:after="0" w:line="240" w:lineRule="auto"/>
        <w:rPr>
          <w:rFonts w:ascii="Verdana" w:eastAsia="Verdana" w:hAnsi="Verdana" w:cs="Verdana"/>
        </w:rPr>
      </w:pPr>
    </w:p>
    <w:p w14:paraId="71E993D7" w14:textId="77777777" w:rsidR="00D04629" w:rsidRDefault="00D04629" w:rsidP="00662087">
      <w:pPr>
        <w:spacing w:after="0" w:line="240" w:lineRule="auto"/>
        <w:rPr>
          <w:rFonts w:ascii="Verdana" w:eastAsia="Verdana" w:hAnsi="Verdana" w:cs="Verdana"/>
        </w:rPr>
      </w:pPr>
    </w:p>
    <w:p w14:paraId="40038866" w14:textId="77777777" w:rsidR="00D04629" w:rsidRDefault="00D04629" w:rsidP="00662087">
      <w:pPr>
        <w:spacing w:after="0" w:line="240" w:lineRule="auto"/>
        <w:rPr>
          <w:rFonts w:ascii="Verdana" w:eastAsia="Verdana" w:hAnsi="Verdana" w:cs="Verdana"/>
        </w:rPr>
      </w:pPr>
    </w:p>
    <w:p w14:paraId="74DB44CE" w14:textId="77777777" w:rsidR="00D04629" w:rsidRDefault="00D04629" w:rsidP="00662087">
      <w:pPr>
        <w:spacing w:after="0" w:line="240" w:lineRule="auto"/>
        <w:rPr>
          <w:rFonts w:ascii="Verdana" w:eastAsia="Verdana" w:hAnsi="Verdana" w:cs="Verdana"/>
        </w:rPr>
      </w:pPr>
    </w:p>
    <w:p w14:paraId="75085481" w14:textId="77777777" w:rsidR="00E1449C" w:rsidRDefault="00E1449C" w:rsidP="00662087">
      <w:pPr>
        <w:spacing w:after="0" w:line="240" w:lineRule="auto"/>
        <w:rPr>
          <w:rFonts w:ascii="Verdana" w:eastAsia="Verdana" w:hAnsi="Verdana" w:cs="Verdana"/>
        </w:rPr>
      </w:pPr>
    </w:p>
    <w:p w14:paraId="6E9C3B00" w14:textId="37D04207" w:rsidR="00751DE8" w:rsidRDefault="00751DE8" w:rsidP="00662087">
      <w:pPr>
        <w:spacing w:after="0" w:line="240" w:lineRule="auto"/>
        <w:rPr>
          <w:rFonts w:ascii="Verdana" w:eastAsia="Verdana" w:hAnsi="Verdana" w:cs="Verdana"/>
        </w:rPr>
      </w:pPr>
    </w:p>
    <w:p w14:paraId="688B1E4C" w14:textId="35DAAE5E" w:rsidR="00C45A56" w:rsidRDefault="00997AFF" w:rsidP="00662087">
      <w:pPr>
        <w:spacing w:after="0" w:line="240" w:lineRule="auto"/>
        <w:rPr>
          <w:rFonts w:ascii="Verdana" w:eastAsia="Verdana" w:hAnsi="Verdana" w:cs="Verdana"/>
        </w:rPr>
      </w:pPr>
      <w:r w:rsidRPr="00997AFF">
        <w:rPr>
          <w:rFonts w:ascii="Verdana" w:eastAsia="Verdana" w:hAnsi="Verdana" w:cs="Verdana"/>
        </w:rPr>
        <w:lastRenderedPageBreak/>
        <w:t>Bogotá D.C., 15 de agosto de 2026</w:t>
      </w:r>
    </w:p>
    <w:p w14:paraId="14518312" w14:textId="77777777" w:rsidR="00DC1EFB" w:rsidRDefault="00DC1EFB" w:rsidP="00662087">
      <w:pPr>
        <w:spacing w:after="0" w:line="240" w:lineRule="auto"/>
        <w:rPr>
          <w:rFonts w:ascii="Verdana" w:eastAsia="Verdana" w:hAnsi="Verdana" w:cs="Verdana"/>
        </w:rPr>
      </w:pPr>
    </w:p>
    <w:p w14:paraId="17D0D082" w14:textId="40BD94F1" w:rsidR="00DC1EFB" w:rsidRDefault="009941FD" w:rsidP="00662087">
      <w:pPr>
        <w:spacing w:after="0" w:line="240" w:lineRule="auto"/>
        <w:rPr>
          <w:rFonts w:ascii="Verdana" w:hAnsi="Verdana"/>
        </w:rPr>
      </w:pPr>
      <w:r w:rsidRPr="00D22B2C">
        <w:rPr>
          <w:rFonts w:ascii="Verdana" w:hAnsi="Verdana"/>
          <w:noProof/>
        </w:rPr>
        <w:drawing>
          <wp:anchor distT="0" distB="0" distL="114300" distR="114300" simplePos="0" relativeHeight="251658240" behindDoc="0" locked="0" layoutInCell="1" allowOverlap="1" wp14:anchorId="7E900FBE" wp14:editId="68FF54F2">
            <wp:simplePos x="0" y="0"/>
            <wp:positionH relativeFrom="margin">
              <wp:align>right</wp:align>
            </wp:positionH>
            <wp:positionV relativeFrom="paragraph">
              <wp:posOffset>170815</wp:posOffset>
            </wp:positionV>
            <wp:extent cx="2803525" cy="897890"/>
            <wp:effectExtent l="0" t="0" r="0" b="0"/>
            <wp:wrapSquare wrapText="bothSides"/>
            <wp:docPr id="6010606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060606" name=""/>
                    <pic:cNvPicPr/>
                  </pic:nvPicPr>
                  <pic:blipFill>
                    <a:blip r:embed="rId11">
                      <a:extLst>
                        <a:ext uri="{28A0092B-C50C-407E-A947-70E740481C1C}">
                          <a14:useLocalDpi xmlns:a14="http://schemas.microsoft.com/office/drawing/2010/main" val="0"/>
                        </a:ext>
                      </a:extLst>
                    </a:blip>
                    <a:stretch>
                      <a:fillRect/>
                    </a:stretch>
                  </pic:blipFill>
                  <pic:spPr>
                    <a:xfrm>
                      <a:off x="0" y="0"/>
                      <a:ext cx="2803525" cy="897890"/>
                    </a:xfrm>
                    <a:prstGeom prst="rect">
                      <a:avLst/>
                    </a:prstGeom>
                  </pic:spPr>
                </pic:pic>
              </a:graphicData>
            </a:graphic>
            <wp14:sizeRelH relativeFrom="margin">
              <wp14:pctWidth>0</wp14:pctWidth>
            </wp14:sizeRelH>
            <wp14:sizeRelV relativeFrom="margin">
              <wp14:pctHeight>0</wp14:pctHeight>
            </wp14:sizeRelV>
          </wp:anchor>
        </w:drawing>
      </w:r>
    </w:p>
    <w:p w14:paraId="16C81B3D" w14:textId="3BA4EA4E" w:rsidR="00662087" w:rsidRPr="002B4BE9" w:rsidRDefault="00662087" w:rsidP="00D22B2C">
      <w:pPr>
        <w:spacing w:after="0" w:line="240" w:lineRule="auto"/>
        <w:jc w:val="right"/>
        <w:rPr>
          <w:rFonts w:ascii="Verdana" w:hAnsi="Verdana"/>
        </w:rPr>
      </w:pPr>
    </w:p>
    <w:p w14:paraId="15C9B09B" w14:textId="04ADD06A" w:rsidR="00662087" w:rsidRPr="00524422" w:rsidRDefault="00662087" w:rsidP="00662087">
      <w:pPr>
        <w:spacing w:after="0" w:line="240" w:lineRule="auto"/>
        <w:rPr>
          <w:rFonts w:ascii="Verdana" w:eastAsia="Calibri" w:hAnsi="Verdana" w:cs="Times New Roman"/>
          <w:lang w:val="es-MX"/>
        </w:rPr>
      </w:pPr>
      <w:r w:rsidRPr="00524422">
        <w:rPr>
          <w:rFonts w:ascii="Verdana" w:eastAsia="Calibri" w:hAnsi="Verdana" w:cs="Times New Roman"/>
          <w:lang w:val="es-MX"/>
        </w:rPr>
        <w:t>Señora</w:t>
      </w:r>
    </w:p>
    <w:p w14:paraId="7588DBAF" w14:textId="4C7FE305" w:rsidR="00662087" w:rsidRPr="00524422" w:rsidRDefault="003E4915" w:rsidP="00662087">
      <w:pPr>
        <w:spacing w:after="0" w:line="240" w:lineRule="auto"/>
        <w:rPr>
          <w:rFonts w:ascii="Verdana" w:eastAsia="Calibri" w:hAnsi="Verdana" w:cs="Times New Roman"/>
          <w:b/>
        </w:rPr>
      </w:pPr>
      <w:r>
        <w:rPr>
          <w:rFonts w:ascii="Verdana" w:eastAsia="Calibri" w:hAnsi="Verdana" w:cs="Times New Roman"/>
          <w:b/>
        </w:rPr>
        <w:t>MARÍA TABARES</w:t>
      </w:r>
    </w:p>
    <w:p w14:paraId="1E60BD51" w14:textId="2521CC5F" w:rsidR="00662087" w:rsidRPr="00524422" w:rsidRDefault="00211A12" w:rsidP="00CD7FA1">
      <w:pPr>
        <w:spacing w:after="0" w:line="240" w:lineRule="auto"/>
        <w:rPr>
          <w:rFonts w:ascii="Verdana" w:hAnsi="Verdana"/>
        </w:rPr>
      </w:pPr>
      <w:r>
        <w:rPr>
          <w:rFonts w:ascii="Verdana" w:hAnsi="Verdana"/>
        </w:rPr>
        <w:t>ejecutivocoin2023@gmail.com</w:t>
      </w:r>
    </w:p>
    <w:p w14:paraId="004B7FE8" w14:textId="3661EC5C" w:rsidR="00662087" w:rsidRPr="00524422" w:rsidRDefault="00211A12" w:rsidP="00662087">
      <w:pPr>
        <w:spacing w:after="0" w:line="240" w:lineRule="auto"/>
        <w:rPr>
          <w:rFonts w:ascii="Verdana" w:eastAsia="Calibri" w:hAnsi="Verdana" w:cs="Times New Roman"/>
          <w:bCs/>
        </w:rPr>
      </w:pPr>
      <w:r>
        <w:rPr>
          <w:rFonts w:ascii="Verdana" w:eastAsia="Calibri" w:hAnsi="Verdana" w:cs="Times New Roman"/>
          <w:bCs/>
        </w:rPr>
        <w:t>Ciudad</w:t>
      </w:r>
    </w:p>
    <w:p w14:paraId="6B769296" w14:textId="77777777" w:rsidR="00662087" w:rsidRPr="002B4BE9" w:rsidRDefault="00662087" w:rsidP="00662087">
      <w:pPr>
        <w:spacing w:after="0" w:line="240" w:lineRule="auto"/>
        <w:rPr>
          <w:rFonts w:ascii="Verdana" w:eastAsia="Calibri" w:hAnsi="Verdana" w:cs="Times New Roman"/>
        </w:rPr>
      </w:pPr>
    </w:p>
    <w:p w14:paraId="3EE2843F" w14:textId="77777777" w:rsidR="00662087" w:rsidRPr="002B4BE9" w:rsidRDefault="00662087" w:rsidP="00662087">
      <w:pPr>
        <w:spacing w:after="0" w:line="240" w:lineRule="auto"/>
        <w:rPr>
          <w:rFonts w:ascii="Verdana" w:eastAsia="Calibri" w:hAnsi="Verdana" w:cs="Times New Roman"/>
        </w:rPr>
      </w:pPr>
    </w:p>
    <w:p w14:paraId="12F84193" w14:textId="45FE7635" w:rsidR="00662087" w:rsidRPr="002B4BE9" w:rsidRDefault="00662087" w:rsidP="00D04629">
      <w:pPr>
        <w:spacing w:after="0" w:line="240" w:lineRule="auto"/>
        <w:rPr>
          <w:rFonts w:ascii="Verdana" w:eastAsia="Calibri" w:hAnsi="Verdana" w:cs="Times New Roman"/>
          <w:b/>
          <w:bCs/>
          <w:lang w:val="es-ES"/>
        </w:rPr>
      </w:pPr>
      <w:r w:rsidRPr="002B4BE9">
        <w:rPr>
          <w:rFonts w:ascii="Verdana" w:eastAsia="Calibri" w:hAnsi="Verdana" w:cs="Times New Roman"/>
          <w:b/>
          <w:bCs/>
          <w:lang w:val="es-ES"/>
        </w:rPr>
        <w:t xml:space="preserve">                                    Concepto </w:t>
      </w:r>
      <w:r w:rsidR="00D04629" w:rsidRPr="00D04629">
        <w:rPr>
          <w:rFonts w:ascii="Verdana" w:eastAsia="Calibri" w:hAnsi="Verdana" w:cs="Times New Roman"/>
          <w:b/>
          <w:bCs/>
          <w:lang w:val="es-ES"/>
        </w:rPr>
        <w:t>C-1090</w:t>
      </w:r>
      <w:r w:rsidR="00D04629">
        <w:rPr>
          <w:rFonts w:ascii="Verdana" w:eastAsia="Calibri" w:hAnsi="Verdana" w:cs="Times New Roman"/>
          <w:b/>
          <w:bCs/>
          <w:lang w:val="es-ES"/>
        </w:rPr>
        <w:t xml:space="preserve"> </w:t>
      </w:r>
      <w:r w:rsidRPr="002B4BE9">
        <w:rPr>
          <w:rFonts w:ascii="Verdana" w:eastAsia="Calibri" w:hAnsi="Verdana" w:cs="Times New Roman"/>
          <w:b/>
          <w:bCs/>
          <w:lang w:val="es-ES"/>
        </w:rPr>
        <w:t>de 2026</w:t>
      </w:r>
    </w:p>
    <w:p w14:paraId="58F87254" w14:textId="77777777" w:rsidR="00662087" w:rsidRPr="002B4BE9" w:rsidRDefault="00662087" w:rsidP="00662087">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662087" w:rsidRPr="002B4BE9" w14:paraId="4CBECE47" w14:textId="77777777" w:rsidTr="002A4618">
        <w:trPr>
          <w:trHeight w:val="645"/>
        </w:trPr>
        <w:tc>
          <w:tcPr>
            <w:tcW w:w="2685" w:type="dxa"/>
            <w:hideMark/>
          </w:tcPr>
          <w:p w14:paraId="4E46D6C2" w14:textId="77777777" w:rsidR="00662087" w:rsidRPr="00403388" w:rsidRDefault="00662087" w:rsidP="002A4618">
            <w:pPr>
              <w:rPr>
                <w:rFonts w:ascii="Verdana" w:hAnsi="Verdana"/>
                <w:b/>
                <w:bCs/>
                <w:lang w:val="es-ES_tradnl"/>
              </w:rPr>
            </w:pPr>
            <w:r w:rsidRPr="00403388">
              <w:rPr>
                <w:rFonts w:ascii="Verdana" w:hAnsi="Verdana"/>
                <w:b/>
                <w:bCs/>
                <w:lang w:val="es-ES_tradnl"/>
              </w:rPr>
              <w:t xml:space="preserve">Temas:                  </w:t>
            </w:r>
          </w:p>
        </w:tc>
        <w:tc>
          <w:tcPr>
            <w:tcW w:w="6241" w:type="dxa"/>
            <w:hideMark/>
          </w:tcPr>
          <w:p w14:paraId="0EA9ACF1" w14:textId="7A6D190C" w:rsidR="00EC65AC" w:rsidRPr="00403388" w:rsidRDefault="00662087" w:rsidP="00A041C9">
            <w:pPr>
              <w:spacing w:line="276" w:lineRule="auto"/>
              <w:jc w:val="both"/>
              <w:rPr>
                <w:rFonts w:ascii="Verdana" w:hAnsi="Verdana" w:cs="Arial"/>
                <w:lang w:val="es-ES" w:eastAsia="es-ES"/>
              </w:rPr>
            </w:pPr>
            <w:r w:rsidRPr="001B49B3">
              <w:rPr>
                <w:rFonts w:ascii="Verdana" w:hAnsi="Verdana" w:cs="Arial"/>
                <w:bCs/>
                <w:color w:val="000000"/>
                <w:lang w:val="es-ES"/>
              </w:rPr>
              <w:t xml:space="preserve">RÉGIMEN PRESUPUESTAL Y RÉGIMEN CONTRACTUAL – Conexidad – Reparto de competencias / REGISTRO PRESUPUESTAL – Definición – Finalidad / REGISTRO PRESUPUESTAL – Requisito de ejecución – Oportunidad / REGISTRO PRESUPUESTAL – Anulación sobreviniente – Efectos sobre el contrato / REGISTRO PRESUPUESTAL – Ausencia de respaldo – Responsabilidad personal / REGISTRO PRESUPUESTAL – Deber de amparo – Carácter permanente – Restablecimiento / PAGO – Deber de la entidad – Derecho del contratista – Mora </w:t>
            </w:r>
          </w:p>
        </w:tc>
        <w:tc>
          <w:tcPr>
            <w:tcW w:w="6237" w:type="dxa"/>
          </w:tcPr>
          <w:p w14:paraId="56D88DA5" w14:textId="77777777" w:rsidR="00662087" w:rsidRPr="002B4BE9" w:rsidRDefault="00662087" w:rsidP="002A4618">
            <w:pPr>
              <w:rPr>
                <w:rFonts w:ascii="Verdana" w:hAnsi="Verdana"/>
                <w:lang w:val="es-ES"/>
              </w:rPr>
            </w:pPr>
          </w:p>
        </w:tc>
      </w:tr>
      <w:tr w:rsidR="00662087" w:rsidRPr="002B4BE9" w14:paraId="7F9C4229" w14:textId="77777777" w:rsidTr="002A4618">
        <w:tc>
          <w:tcPr>
            <w:tcW w:w="2685" w:type="dxa"/>
          </w:tcPr>
          <w:p w14:paraId="4EFC63BE" w14:textId="77777777" w:rsidR="00662087" w:rsidRPr="002B4BE9" w:rsidRDefault="00662087" w:rsidP="002A4618">
            <w:pPr>
              <w:rPr>
                <w:rFonts w:ascii="Verdana" w:hAnsi="Verdana"/>
                <w:b/>
                <w:bCs/>
                <w:lang w:val="es-ES_tradnl"/>
              </w:rPr>
            </w:pPr>
          </w:p>
          <w:p w14:paraId="438B43B8" w14:textId="77777777" w:rsidR="00662087" w:rsidRPr="00995618" w:rsidRDefault="00662087" w:rsidP="002A4618">
            <w:pPr>
              <w:rPr>
                <w:rFonts w:ascii="Verdana" w:hAnsi="Verdana"/>
                <w:b/>
                <w:bCs/>
                <w:lang w:val="es-ES_tradnl"/>
              </w:rPr>
            </w:pPr>
            <w:r w:rsidRPr="002B4BE9">
              <w:rPr>
                <w:rFonts w:ascii="Verdana" w:hAnsi="Verdana"/>
                <w:b/>
                <w:bCs/>
                <w:lang w:val="es-ES_tradnl"/>
              </w:rPr>
              <w:t xml:space="preserve">Radicación:               </w:t>
            </w:r>
          </w:p>
        </w:tc>
        <w:tc>
          <w:tcPr>
            <w:tcW w:w="6241" w:type="dxa"/>
          </w:tcPr>
          <w:p w14:paraId="2B7F81E5" w14:textId="77777777" w:rsidR="00662087" w:rsidRDefault="00662087" w:rsidP="002A4618">
            <w:pPr>
              <w:spacing w:line="276" w:lineRule="auto"/>
              <w:jc w:val="both"/>
              <w:rPr>
                <w:rFonts w:ascii="Verdana" w:hAnsi="Verdana"/>
                <w:lang w:val="es-ES_tradnl"/>
              </w:rPr>
            </w:pPr>
            <w:r w:rsidRPr="002B4BE9">
              <w:rPr>
                <w:rFonts w:ascii="Verdana" w:hAnsi="Verdana"/>
                <w:lang w:val="es-ES_tradnl"/>
              </w:rPr>
              <w:t>Respuesta a consulta con radicado 1_2026_07_07_009049</w:t>
            </w:r>
          </w:p>
          <w:p w14:paraId="285A4F67" w14:textId="77777777" w:rsidR="00EC65AC" w:rsidRDefault="00EC65AC" w:rsidP="002A4618">
            <w:pPr>
              <w:spacing w:line="276" w:lineRule="auto"/>
              <w:jc w:val="both"/>
              <w:rPr>
                <w:rFonts w:ascii="Verdana" w:hAnsi="Verdana"/>
                <w:lang w:val="es-ES_tradnl"/>
              </w:rPr>
            </w:pPr>
          </w:p>
          <w:p w14:paraId="4E0EC95C" w14:textId="58210759" w:rsidR="00EC65AC" w:rsidRPr="002B4BE9" w:rsidRDefault="00EC65AC" w:rsidP="002A4618">
            <w:pPr>
              <w:spacing w:line="276" w:lineRule="auto"/>
              <w:jc w:val="both"/>
              <w:rPr>
                <w:rFonts w:ascii="Verdana" w:hAnsi="Verdana"/>
                <w:lang w:val="es-ES_tradnl"/>
              </w:rPr>
            </w:pPr>
          </w:p>
        </w:tc>
        <w:tc>
          <w:tcPr>
            <w:tcW w:w="6237" w:type="dxa"/>
          </w:tcPr>
          <w:p w14:paraId="50023446" w14:textId="77777777" w:rsidR="00662087" w:rsidRPr="002B4BE9" w:rsidRDefault="00662087" w:rsidP="002A4618">
            <w:pPr>
              <w:rPr>
                <w:rFonts w:ascii="Verdana" w:hAnsi="Verdana"/>
              </w:rPr>
            </w:pPr>
          </w:p>
        </w:tc>
      </w:tr>
    </w:tbl>
    <w:p w14:paraId="28A30BD8" w14:textId="68AA28D8" w:rsidR="00662087" w:rsidRPr="009037F6" w:rsidRDefault="00662087" w:rsidP="00662087">
      <w:pPr>
        <w:spacing w:after="0" w:line="256" w:lineRule="auto"/>
        <w:rPr>
          <w:rFonts w:ascii="Verdana" w:eastAsia="Calibri" w:hAnsi="Verdana" w:cs="Times New Roman"/>
          <w:lang w:val="es-ES"/>
        </w:rPr>
      </w:pPr>
      <w:r>
        <w:rPr>
          <w:rFonts w:ascii="Verdana" w:eastAsia="Calibri" w:hAnsi="Verdana" w:cs="Times New Roman"/>
          <w:lang w:val="es-ES"/>
        </w:rPr>
        <w:t>Estimada señora Tabares:</w:t>
      </w:r>
    </w:p>
    <w:p w14:paraId="120A1525" w14:textId="77777777" w:rsidR="00662087" w:rsidRPr="009037F6" w:rsidRDefault="00662087" w:rsidP="00662087">
      <w:pPr>
        <w:spacing w:after="0" w:line="276" w:lineRule="auto"/>
        <w:rPr>
          <w:rFonts w:ascii="Verdana" w:eastAsia="Calibri" w:hAnsi="Verdana" w:cs="Times New Roman"/>
          <w:lang w:val="es-ES"/>
        </w:rPr>
      </w:pPr>
    </w:p>
    <w:p w14:paraId="37FDACAF" w14:textId="3219DBD9" w:rsidR="003A26B0" w:rsidRDefault="00662087" w:rsidP="003A26B0">
      <w:pPr>
        <w:spacing w:after="120" w:line="276" w:lineRule="auto"/>
        <w:jc w:val="both"/>
        <w:rPr>
          <w:rFonts w:ascii="Verdana" w:eastAsia="Calibri" w:hAnsi="Verdana" w:cs="Times New Roman"/>
          <w:bCs/>
          <w:lang w:val="es-ES" w:bidi="es-ES"/>
        </w:rPr>
      </w:pPr>
      <w:r w:rsidRPr="009037F6">
        <w:rPr>
          <w:rFonts w:ascii="Verdana" w:eastAsia="Calibri" w:hAnsi="Verdana" w:cs="Times New Roman"/>
          <w:bCs/>
          <w:lang w:bidi="es-ES"/>
        </w:rPr>
        <w:t>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N° 469 del 2025 expedida por esta Agencia, responde su solicitud de consulta del 7 de julio de 2026, en la cual manifiesta:</w:t>
      </w:r>
    </w:p>
    <w:p w14:paraId="23DFA514" w14:textId="77777777" w:rsidR="005648EC" w:rsidRDefault="00662087" w:rsidP="005648EC">
      <w:pPr>
        <w:tabs>
          <w:tab w:val="left" w:pos="709"/>
        </w:tabs>
        <w:spacing w:after="120" w:line="240" w:lineRule="auto"/>
        <w:ind w:left="709" w:right="709"/>
        <w:jc w:val="both"/>
        <w:rPr>
          <w:rFonts w:ascii="Verdana" w:hAnsi="Verdana" w:cs="Arial"/>
          <w:sz w:val="21"/>
          <w:szCs w:val="21"/>
          <w:lang w:val="es-ES" w:eastAsia="es-ES"/>
        </w:rPr>
      </w:pPr>
      <w:r w:rsidRPr="00294ADE">
        <w:rPr>
          <w:rFonts w:ascii="Verdana" w:hAnsi="Verdana" w:cs="Arial"/>
          <w:sz w:val="21"/>
          <w:szCs w:val="21"/>
          <w:lang w:val="es-ES" w:eastAsia="es-ES"/>
        </w:rPr>
        <w:t xml:space="preserve">“De manera respetuosa, se solicita orientación previo a enunciar el siguiente contexto: teniendo en cuenta que se emitió un registro presupuestal expedido en debida forma, es decir, con línea en PAA y </w:t>
      </w:r>
      <w:r w:rsidRPr="00294ADE">
        <w:rPr>
          <w:rFonts w:ascii="Verdana" w:hAnsi="Verdana" w:cs="Arial"/>
          <w:sz w:val="21"/>
          <w:szCs w:val="21"/>
          <w:lang w:val="es-ES" w:eastAsia="es-ES"/>
        </w:rPr>
        <w:lastRenderedPageBreak/>
        <w:t>certificado presupuestal vigente, con soporte remitido al área de contratación vía correo. Luego de dos meses de iniciar el contrato, se encuentra que por error humano y/o técnico cambió de estado de activo a anulado, quedando bloqueado por el sistema para el procesamiento de facturas y pagos, y que previa revisión con el área interna indica que es irreversible el daño.</w:t>
      </w:r>
    </w:p>
    <w:p w14:paraId="27D9DE58" w14:textId="208B87A6" w:rsidR="00662087" w:rsidRPr="00294ADE" w:rsidRDefault="005648EC" w:rsidP="005648EC">
      <w:pPr>
        <w:tabs>
          <w:tab w:val="left" w:pos="709"/>
        </w:tabs>
        <w:spacing w:after="120" w:line="240" w:lineRule="auto"/>
        <w:ind w:left="709" w:right="709"/>
        <w:jc w:val="both"/>
        <w:rPr>
          <w:rFonts w:ascii="Verdana" w:hAnsi="Verdana" w:cs="Arial"/>
          <w:sz w:val="21"/>
          <w:szCs w:val="21"/>
          <w:lang w:val="es-ES" w:eastAsia="es-ES"/>
        </w:rPr>
      </w:pPr>
      <w:r w:rsidRPr="005648EC">
        <w:rPr>
          <w:rFonts w:ascii="Verdana" w:hAnsi="Verdana" w:cs="Arial"/>
          <w:sz w:val="21"/>
          <w:szCs w:val="21"/>
          <w:lang w:val="es-ES" w:eastAsia="es-ES"/>
        </w:rPr>
        <w:t>Se eleva a su entidad la siguiente consulta: ¿Es válido el expedir en reposición del documento bloqueado por falla técnica para el procesamiento, otro registro presupuestal el cual tendrá fecha de dos meses después debido a la situación tecnológica (que no se atribuye a factores externos sino a manejo interno del sistema)?, que guarda consistencia en el monto amparado y el certificado de disponibilidad del proceso”.</w:t>
      </w:r>
    </w:p>
    <w:p w14:paraId="6C33AEC2" w14:textId="40E4F38C" w:rsidR="00662087" w:rsidRPr="009037F6" w:rsidRDefault="00662087" w:rsidP="00662087">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w:t>
      </w:r>
      <w:r w:rsidR="00EC65AC">
        <w:rPr>
          <w:rFonts w:ascii="Verdana" w:eastAsia="Calibri" w:hAnsi="Verdana" w:cs="Times New Roman"/>
          <w:lang w:val="es-ES"/>
        </w:rPr>
        <w:t>s.</w:t>
      </w:r>
    </w:p>
    <w:p w14:paraId="15C42BAF" w14:textId="1DFA62A4" w:rsidR="00662087" w:rsidRPr="009037F6" w:rsidRDefault="00662087" w:rsidP="00662087">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p>
    <w:p w14:paraId="21CC9EEF" w14:textId="77777777" w:rsidR="00662087" w:rsidRPr="009037F6" w:rsidRDefault="00662087" w:rsidP="00662087">
      <w:pPr>
        <w:spacing w:after="0" w:line="276" w:lineRule="auto"/>
        <w:rPr>
          <w:rFonts w:ascii="Verdana" w:eastAsia="Calibri" w:hAnsi="Verdana" w:cs="Times New Roman"/>
          <w:lang w:val="es-ES"/>
        </w:rPr>
      </w:pPr>
    </w:p>
    <w:p w14:paraId="41F9FFCE" w14:textId="1ADE50EE" w:rsidR="00662087" w:rsidRPr="009037F6" w:rsidRDefault="00662087" w:rsidP="00662087">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Problemas planteados:</w:t>
      </w:r>
    </w:p>
    <w:p w14:paraId="2ED75888" w14:textId="77777777" w:rsidR="00662087" w:rsidRPr="009037F6" w:rsidRDefault="00662087" w:rsidP="00662087">
      <w:pPr>
        <w:spacing w:after="0" w:line="276" w:lineRule="auto"/>
        <w:rPr>
          <w:rFonts w:ascii="Verdana" w:eastAsia="Calibri" w:hAnsi="Verdana" w:cs="Times New Roman"/>
        </w:rPr>
      </w:pPr>
    </w:p>
    <w:p w14:paraId="166C12F4" w14:textId="433DA2BD" w:rsidR="00662087" w:rsidRPr="00D1210B" w:rsidRDefault="00662087" w:rsidP="008B304B">
      <w:pPr>
        <w:spacing w:after="0" w:line="276" w:lineRule="auto"/>
        <w:ind w:firstLine="567"/>
        <w:jc w:val="both"/>
        <w:rPr>
          <w:rFonts w:ascii="Verdana" w:eastAsia="Calibri" w:hAnsi="Verdana" w:cs="Times New Roman"/>
        </w:rPr>
      </w:pPr>
      <w:r w:rsidRPr="009037F6">
        <w:rPr>
          <w:rFonts w:ascii="Verdana" w:eastAsia="Calibri" w:hAnsi="Verdana" w:cs="Times New Roman"/>
        </w:rPr>
        <w:t xml:space="preserve">De acuerdo con el contenido de su solicitud, y dentro de los límites de competencia antes señalados, la Agencia procede a resolver los siguientes problemas jurídicos: i) ¿La anulación sobreviniente del registro presupuestal, </w:t>
      </w:r>
      <w:r w:rsidRPr="009037F6">
        <w:rPr>
          <w:rFonts w:ascii="Verdana" w:eastAsia="Calibri" w:hAnsi="Verdana" w:cs="Times New Roman"/>
        </w:rPr>
        <w:lastRenderedPageBreak/>
        <w:t>ocurrida con posterioridad al inicio de la ejecución, afecta la existencia o la validez del contrato estatal y la exigibilidad de las obligaciones de pago a cargo de la entidad?, y ii) ¿Qué deber surge para la entidad estatal cuando un compromiso contractual en ejecución deja de contar con registro presupuestal?</w:t>
      </w:r>
    </w:p>
    <w:p w14:paraId="4B1FE14C" w14:textId="77777777" w:rsidR="00662087" w:rsidRPr="00E27EDD" w:rsidRDefault="00662087" w:rsidP="00662087">
      <w:pPr>
        <w:spacing w:after="0" w:line="276" w:lineRule="auto"/>
        <w:jc w:val="both"/>
        <w:rPr>
          <w:rFonts w:ascii="Verdana" w:eastAsia="Calibri" w:hAnsi="Verdana" w:cs="Times New Roman"/>
          <w:i/>
          <w:iCs/>
        </w:rPr>
      </w:pPr>
    </w:p>
    <w:p w14:paraId="21130577" w14:textId="5DD37AE6" w:rsidR="00662087" w:rsidRPr="009037F6" w:rsidRDefault="00662087" w:rsidP="00662087">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Respuestas:</w:t>
      </w:r>
    </w:p>
    <w:p w14:paraId="71C56C70" w14:textId="77777777" w:rsidR="00662087" w:rsidRPr="009037F6" w:rsidRDefault="00662087" w:rsidP="00662087">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662087" w:rsidRPr="009037F6" w14:paraId="40D4442E" w14:textId="77777777" w:rsidTr="002A4618">
        <w:trPr>
          <w:trHeight w:val="345"/>
          <w:jc w:val="center"/>
        </w:trPr>
        <w:tc>
          <w:tcPr>
            <w:tcW w:w="8784" w:type="dxa"/>
            <w:tcBorders>
              <w:bottom w:val="single" w:sz="4" w:space="0" w:color="auto"/>
            </w:tcBorders>
          </w:tcPr>
          <w:p w14:paraId="76D7E9E2" w14:textId="11209EF9" w:rsidR="008A2B6F" w:rsidRPr="004F3256" w:rsidRDefault="008A2B6F" w:rsidP="008B304B">
            <w:pPr>
              <w:spacing w:after="120" w:line="276" w:lineRule="auto"/>
              <w:ind w:firstLine="597"/>
              <w:jc w:val="both"/>
              <w:rPr>
                <w:rFonts w:ascii="Verdana" w:hAnsi="Verdana" w:cs="Arial"/>
                <w:lang w:val="es-ES" w:eastAsia="es-ES"/>
              </w:rPr>
            </w:pPr>
            <w:r w:rsidRPr="004F3256">
              <w:rPr>
                <w:rFonts w:ascii="Verdana" w:eastAsia="Times New Roman" w:hAnsi="Verdana" w:cs="Arial"/>
                <w:color w:val="000000" w:themeColor="text1"/>
                <w:lang w:val="es-ES" w:eastAsia="es-ES"/>
              </w:rPr>
              <w:t>i) Como aclaración preliminar, necesaria para situar correctamente el interrogante, debe señalarse que el contrato estatal existe y es válido pese a la anulación del registro presupuestal. El contrato se perfecciona cuando se logra acuerdo sobre el objeto y la contraprestación y este se eleva a escrito, conforme al inciso primero del artículo 41 de la Ley 80 de 1993, de suerte que el registro presupuestal no integra el supuesto de hecho del perfeccionamiento. Tampoco constituye requisito de validez, comoquiera que las causales de nulidad del contrato estatal están taxativamente previstas en el artículo 44 del mismo estatuto y en las normas del derecho común a las que remiten sus artículos 13, 32 y 40, sin que entre ellas figure la ausencia o la anulación del registro. El registro presupuestal es un requisito de ejecución, según el inciso segundo del artículo 41 —modificado por el artículo 23 de la Ley 1150 de 2007— y conforme a la posición que el Consejo de Estado adoptó a partir del año 2006. Por consiguiente, su anulación sobreviniente no extingue el contrato, no lo invalida ni afecta las obligaciones ya causadas a favor del contratista, ni el derecho de este a recibir oportunamente la remuneración pactada en los términos de los artículos 4 y 5 de la Ley 80 de 1993. Si se configura mora en el pago, resultan aplicables las reglas del numeral 8 del artículo 4 del mismo estatuto y de su decreto reglamentario.</w:t>
            </w:r>
          </w:p>
          <w:p w14:paraId="7BC37218" w14:textId="77777777" w:rsidR="008A2B6F" w:rsidRPr="004F3256" w:rsidRDefault="008A2B6F" w:rsidP="008B304B">
            <w:pPr>
              <w:spacing w:after="120" w:line="276" w:lineRule="auto"/>
              <w:ind w:firstLine="597"/>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ii) Precisado lo anterior, y en cuanto al interrogante puntual, la respuesta general es que, cuando un compromiso contractual en ejecución deja de contar con registro presupuestal, la entidad estatal tiene el deber jurídico de adoptar las medidas necesarias, dentro de sus competencias y con arreglo a su régimen presupuestal, para que dicho compromiso vuelva a estar amparado. Este deber no es discrecional y se apoya en tres fundamentos concurrentes. Primero, el artículo 71 del Estatuto Orgánico del Presupuesto dispone que los compromisos “deberán contar con registro presupuestal para que los recursos con él financiados no sean desviados a ningún otro fin”, </w:t>
            </w:r>
            <w:r w:rsidRPr="004F3256">
              <w:rPr>
                <w:rFonts w:ascii="Verdana" w:eastAsia="Times New Roman" w:hAnsi="Verdana" w:cs="Arial"/>
                <w:color w:val="000000" w:themeColor="text1"/>
                <w:lang w:val="es-ES" w:eastAsia="es-ES"/>
              </w:rPr>
              <w:lastRenderedPageBreak/>
              <w:t>exigiendo que en el registro se indique el valor y el plazo de las prestaciones, de donde se sigue que el amparo debe subsistir mientras el compromiso produzca efectos y no se agota con su expedición inicial. Segundo, el inciso final de la misma disposición prohíbe contraer obligaciones sobre apropiaciones inexistentes y anuda a su desconocimiento responsabilidad personal y pecuniaria, de modo que mantener un compromiso en ejecución sin amparo es precisamente la situación que el ordenamiento proscribe. Y tercero, el principio de eficacia —artículo 209 de la Constitución Política y numeral 11 del artículo 3 de la Ley 1437 de 2011— ordena a las autoridades remover de oficio los obstáculos puramente formales, evitar dilaciones o retardos y sanear las irregularidades que se presenten, en pos de la efectividad del derecho sustancial, carga que recae con mayor razón sobre la Administración cuando el obstáculo proviene de su propio funcionamiento interno.</w:t>
            </w:r>
          </w:p>
          <w:p w14:paraId="13FCF4EA" w14:textId="2C38B83C" w:rsidR="008A2B6F" w:rsidRPr="004F3256" w:rsidRDefault="008A2B6F" w:rsidP="008B304B">
            <w:pPr>
              <w:spacing w:after="120" w:line="276" w:lineRule="auto"/>
              <w:ind w:firstLine="597"/>
              <w:jc w:val="both"/>
              <w:rPr>
                <w:rFonts w:ascii="Verdana" w:hAnsi="Verdana" w:cs="Arial"/>
                <w:lang w:val="es-ES" w:eastAsia="es-ES"/>
              </w:rPr>
            </w:pPr>
            <w:r w:rsidRPr="004F3256">
              <w:rPr>
                <w:rFonts w:ascii="Verdana" w:eastAsia="Times New Roman" w:hAnsi="Verdana" w:cs="Arial"/>
                <w:color w:val="000000" w:themeColor="text1"/>
                <w:lang w:val="es-ES" w:eastAsia="es-ES"/>
              </w:rPr>
              <w:t>Ahora bien, la determinación del instrumento idóneo para restablecer el amparo —sea la reversión de la anulación, la expedición de un nuevo registro u otro mecanismo previsto en las normas presupuestales—, así como su procedimiento y la fecha que haya de llevar el documento correspondiente, son cuestiones propias del régimen presupuestal, cuya definición compete a la autoridad presupuestal respectiva y no a esta Agencia.</w:t>
            </w:r>
          </w:p>
          <w:p w14:paraId="6A4C6197" w14:textId="6FA6B4F9" w:rsidR="008A2B6F" w:rsidRPr="004F3256" w:rsidRDefault="008A2B6F" w:rsidP="008B304B">
            <w:pPr>
              <w:spacing w:after="120" w:line="276" w:lineRule="auto"/>
              <w:ind w:firstLine="597"/>
              <w:jc w:val="both"/>
              <w:rPr>
                <w:rFonts w:ascii="Verdana" w:hAnsi="Verdana" w:cs="Arial"/>
                <w:lang w:val="es-ES" w:eastAsia="es-ES"/>
              </w:rPr>
            </w:pPr>
            <w:r w:rsidRPr="004F3256">
              <w:rPr>
                <w:rFonts w:ascii="Verdana" w:eastAsia="Times New Roman" w:hAnsi="Verdana" w:cs="Arial"/>
                <w:color w:val="000000" w:themeColor="text1"/>
                <w:lang w:val="es-ES" w:eastAsia="es-ES"/>
              </w:rPr>
              <w:t>En esa misma línea, y en cuanto a la eventual discordancia entre la fecha del documento que llegue a expedirse y la del inicio de la ejecución, desde la perspectiva contractual lo determinante es que el compromiso hubiera contado con amparo presupuestal</w:t>
            </w:r>
            <w:r w:rsidR="0018398D">
              <w:rPr>
                <w:rFonts w:ascii="Verdana" w:eastAsia="Times New Roman" w:hAnsi="Verdana" w:cs="Arial"/>
                <w:color w:val="000000" w:themeColor="text1"/>
                <w:lang w:val="es-ES" w:eastAsia="es-ES"/>
              </w:rPr>
              <w:t xml:space="preserve"> (RP)</w:t>
            </w:r>
            <w:r w:rsidRPr="004F3256">
              <w:rPr>
                <w:rFonts w:ascii="Verdana" w:eastAsia="Times New Roman" w:hAnsi="Verdana" w:cs="Arial"/>
                <w:color w:val="000000" w:themeColor="text1"/>
                <w:lang w:val="es-ES" w:eastAsia="es-ES"/>
              </w:rPr>
              <w:t xml:space="preserve"> antes de que la ejecución comenzara y que el documento conserve la identidad del compromiso en cuanto a las partes, el objeto, el valor y el plazo. La sola diferencia de fechas no vicia el contrato ni las actuaciones ya surtidas, pero impone a la entidad el deber de dejar constancia motivada de su causa, para efectos de trazabilidad y de cara a las actuaciones de los organismos de control.</w:t>
            </w:r>
          </w:p>
          <w:p w14:paraId="0F48BA9F" w14:textId="77777777" w:rsidR="008A2B6F" w:rsidRPr="004F3256" w:rsidRDefault="008A2B6F" w:rsidP="008B304B">
            <w:pPr>
              <w:spacing w:after="120" w:line="276" w:lineRule="auto"/>
              <w:ind w:firstLine="597"/>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En el plano de la gestión contractual, y con carácter meramente enunciativo, ese deber general de adoptar las medidas necesarias comprende, entre otras actuaciones: a) documentar el hecho y sus causas, dejando constancia en el expediente contractual y en los informes de supervisión, en los términos de los artículos 83 y 84 de la Ley 1474 de 2011; b) adelantar con </w:t>
            </w:r>
            <w:r w:rsidRPr="004F3256">
              <w:rPr>
                <w:rFonts w:ascii="Verdana" w:eastAsia="Times New Roman" w:hAnsi="Verdana" w:cs="Arial"/>
                <w:color w:val="000000" w:themeColor="text1"/>
                <w:lang w:val="es-ES" w:eastAsia="es-ES"/>
              </w:rPr>
              <w:lastRenderedPageBreak/>
              <w:t>la mayor diligencia, ante sus áreas financiera y presupuestal, las gestiones dirigidas a restablecer el amparo del compromiso, conforme a las directrices de la autoridad presupuestal competente; c) asegurar la trazabilidad documental entre el certificado de disponibilidad presupuestal, el contrato y el nuevo documento que llegue a expedirse, preservando la identidad del compromiso en cuanto a las partes, el objeto y el valor; d) evaluar, si el restablecimiento del amparo se produce en una vigencia fiscal distinta, cuál de los mecanismos excepcionales al principio de anualidad resulta aplicable —reservas presupuestales, cuentas por pagar, vigencias futuras o el pago de pasivos exigibles de vigencias expiradas—, determinación que corresponde adoptar a la autoridad presupuestal; e) informar oportunamente al contratista sobre la situación y sobre las medidas adoptadas, y valorar si resulta procedente suspender el contrato mientras se restablece el amparo, decisión que compete a las partes conforme a lo pactado; y f) promover, si a ello hubiere lugar, las actuaciones tendientes a determinar las responsabilidades de que trata el artículo 71 del Estatuto Orgánico del Presupuesto.</w:t>
            </w:r>
          </w:p>
        </w:tc>
      </w:tr>
    </w:tbl>
    <w:p w14:paraId="2A48818A" w14:textId="77777777" w:rsidR="00662087" w:rsidRPr="00B57A1B" w:rsidRDefault="00662087" w:rsidP="00662087">
      <w:pPr>
        <w:spacing w:after="0" w:line="276" w:lineRule="auto"/>
        <w:jc w:val="both"/>
        <w:rPr>
          <w:rFonts w:ascii="Verdana" w:eastAsia="Calibri" w:hAnsi="Verdana" w:cs="Arial"/>
          <w:bCs/>
          <w:color w:val="000000" w:themeColor="text1"/>
        </w:rPr>
      </w:pPr>
    </w:p>
    <w:p w14:paraId="3A9E4308" w14:textId="54A59D65" w:rsidR="00662087" w:rsidRPr="00B57A1B" w:rsidRDefault="00662087" w:rsidP="00662087">
      <w:pPr>
        <w:numPr>
          <w:ilvl w:val="0"/>
          <w:numId w:val="16"/>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las respuestas:</w:t>
      </w:r>
    </w:p>
    <w:p w14:paraId="647E50B6" w14:textId="77777777" w:rsidR="00662087" w:rsidRPr="003C0ED7" w:rsidRDefault="00662087" w:rsidP="00662087">
      <w:pPr>
        <w:spacing w:after="0" w:line="276" w:lineRule="auto"/>
        <w:jc w:val="both"/>
        <w:rPr>
          <w:rFonts w:ascii="Verdana" w:eastAsia="Calibri" w:hAnsi="Verdana" w:cs="Arial"/>
          <w:lang w:val="es-ES"/>
        </w:rPr>
      </w:pPr>
    </w:p>
    <w:p w14:paraId="5CEB48E8" w14:textId="77777777" w:rsidR="00662087" w:rsidRPr="00A0389A" w:rsidRDefault="00662087" w:rsidP="00662087">
      <w:pPr>
        <w:spacing w:after="0" w:line="276" w:lineRule="auto"/>
        <w:jc w:val="both"/>
        <w:rPr>
          <w:rFonts w:ascii="Verdana" w:eastAsia="Calibri" w:hAnsi="Verdana" w:cs="Arial"/>
          <w:lang w:val="es-ES"/>
        </w:rPr>
      </w:pPr>
      <w:r w:rsidRPr="00A0389A">
        <w:rPr>
          <w:rFonts w:ascii="Verdana" w:eastAsia="Calibri" w:hAnsi="Verdana" w:cs="Arial"/>
          <w:lang w:val="es-ES"/>
        </w:rPr>
        <w:t>Lo anterior se sustenta en las siguientes consideraciones:</w:t>
      </w:r>
    </w:p>
    <w:p w14:paraId="742C144A" w14:textId="77777777" w:rsidR="004A0841" w:rsidRDefault="004A0841" w:rsidP="00751DE8">
      <w:pPr>
        <w:spacing w:after="0" w:line="240" w:lineRule="auto"/>
        <w:jc w:val="both"/>
        <w:rPr>
          <w:rFonts w:ascii="Verdana" w:hAnsi="Verdana" w:cs="Arial"/>
          <w:b/>
          <w:bCs/>
          <w:color w:val="000000"/>
          <w:lang w:val="es-ES"/>
        </w:rPr>
      </w:pPr>
    </w:p>
    <w:p w14:paraId="327219FC" w14:textId="77777777" w:rsidR="004A0841" w:rsidRDefault="004A0841" w:rsidP="00751DE8">
      <w:pPr>
        <w:spacing w:after="0" w:line="240" w:lineRule="auto"/>
        <w:jc w:val="both"/>
        <w:rPr>
          <w:rFonts w:ascii="Verdana" w:hAnsi="Verdana" w:cs="Arial"/>
          <w:b/>
          <w:bCs/>
          <w:color w:val="000000"/>
          <w:lang w:val="es-ES"/>
        </w:rPr>
      </w:pPr>
    </w:p>
    <w:p w14:paraId="5E5BB468" w14:textId="77777777" w:rsidR="00662087"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i) La consulta se sitúa en la frontera entre dos regímenes jurídicos que, aunque distintos, operan de manera interdependiente. Como lo ha señalado esta Subdirección, es evidente la interdependencia entre el régimen de contratación estatal y el régimen presupuestal, en la medida en que toda actuación contractual de las entidades públicas debe estar respaldada por una disponibilidad de recursos debidamente apropiada en el presupuesto. Ello implica que la celebración de los contratos está condicionada por las reglas fiscales y los principios presupuestales, porque la contratación pública no puede concebirse de manera aislada del marco presupuestal.</w:t>
      </w:r>
    </w:p>
    <w:p w14:paraId="294E19E2" w14:textId="77777777" w:rsidR="008B304B" w:rsidRPr="00A0389A" w:rsidRDefault="008B304B" w:rsidP="00662087">
      <w:pPr>
        <w:spacing w:after="0" w:line="276" w:lineRule="auto"/>
        <w:jc w:val="both"/>
        <w:rPr>
          <w:rFonts w:ascii="Verdana" w:hAnsi="Verdana" w:cs="Arial"/>
          <w:bCs/>
          <w:szCs w:val="24"/>
          <w:lang w:val="es-ES_tradnl" w:eastAsia="es-ES_tradnl"/>
        </w:rPr>
      </w:pPr>
    </w:p>
    <w:p w14:paraId="7F24EE24" w14:textId="77777777" w:rsidR="00662087" w:rsidRPr="00A0389A" w:rsidRDefault="00867E8A" w:rsidP="008B304B">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En el mismo sentido se ha pronunciado el Consejo de Estado, al explicar que es inocultable la conexión material que existe entre estos dos regímenes y que “parte de la importancia consiste en que a través de los contratos se ejecuta </w:t>
      </w:r>
      <w:r>
        <w:rPr>
          <w:rFonts w:ascii="Verdana" w:hAnsi="Verdana" w:cs="Arial"/>
          <w:bCs/>
          <w:szCs w:val="24"/>
          <w:lang w:val="es-ES_tradnl" w:eastAsia="es-ES_tradnl"/>
        </w:rPr>
        <w:lastRenderedPageBreak/>
        <w:t>la mayor parte del presupuesto público, representando otra suma importante el pago de la deuda pública –que se adquiere por medio de contratos de crédito– y los gastos de funcionamiento –incluye salarios y prestaciones sociales–. Esta simple proporción refleja la importancia que tiene el presupuesto para la contratación estatal y, a la inversa, la contratación estatal para el presupuesto”.</w:t>
      </w:r>
    </w:p>
    <w:p w14:paraId="6ADDF6DE" w14:textId="77777777" w:rsidR="008B304B" w:rsidRDefault="008B304B" w:rsidP="00662087">
      <w:pPr>
        <w:spacing w:after="0" w:line="276" w:lineRule="auto"/>
        <w:jc w:val="both"/>
        <w:rPr>
          <w:rFonts w:ascii="Verdana" w:hAnsi="Verdana" w:cs="Arial"/>
          <w:bCs/>
          <w:szCs w:val="24"/>
          <w:lang w:val="es-ES_tradnl" w:eastAsia="es-ES_tradnl"/>
        </w:rPr>
      </w:pPr>
    </w:p>
    <w:p w14:paraId="46D0DEA7" w14:textId="52C857D2" w:rsidR="00662087" w:rsidRDefault="00867E8A" w:rsidP="008B304B">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Ahora bien, de la conexidad material entre ambos regímenes no se sigue una confusión de competencias. Esta Subdirección ha precisado que, respecto del manejo presupuestal para la expedición de los certificados de disponibilidad presupuestal y la administración del Programa Anual Mensualizado de Caja, debe atenderse a las directrices que establezcan, respectivamente, el Ministerio de Hacienda y Crédito Público y el Departamento Nacional de Planeación; mientras que, en lo relativo al manejo contractual, las entidades deben definir en los documentos del proceso lo pertinente, con las restricciones que imponga el principio de legalidad sobre la ejecución del gasto público y de acuerdo con la orientación de los órganos competentes.</w:t>
      </w:r>
    </w:p>
    <w:p w14:paraId="2685DE92" w14:textId="77777777" w:rsidR="008B304B" w:rsidRPr="00A0389A" w:rsidRDefault="008B304B" w:rsidP="008B304B">
      <w:pPr>
        <w:spacing w:after="0" w:line="276" w:lineRule="auto"/>
        <w:ind w:firstLine="567"/>
        <w:jc w:val="both"/>
        <w:rPr>
          <w:rFonts w:ascii="Verdana" w:hAnsi="Verdana" w:cs="Arial"/>
          <w:bCs/>
          <w:szCs w:val="24"/>
          <w:lang w:val="es-ES_tradnl" w:eastAsia="es-ES_tradnl"/>
        </w:rPr>
      </w:pPr>
    </w:p>
    <w:p w14:paraId="55FA8502" w14:textId="77777777" w:rsidR="00662087" w:rsidRPr="00A0389A" w:rsidRDefault="00867E8A" w:rsidP="008B304B">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Esta distinción es la que permite delimitar el alcance de la presente respuesta. La cuestión de si el sistema de información presupuestal admite expedir un documento en reposición de otro anulado, cuál sería el procedimiento para hacerlo y qué fecha habría de llevar, pertenece al ámbito del manejo presupuestal. En cambio, la cuestión de qué efectos produce esa situación sobre un contrato estatal en ejecución y qué deberes surgen para la entidad contratante pertenece al ámbito del manejo contractual, y sobre ella sí puede pronunciarse esta Agencia.</w:t>
      </w:r>
    </w:p>
    <w:p w14:paraId="70572815" w14:textId="77777777" w:rsidR="004A0841" w:rsidRDefault="004A0841" w:rsidP="00751DE8">
      <w:pPr>
        <w:spacing w:after="0" w:line="240" w:lineRule="auto"/>
        <w:jc w:val="both"/>
        <w:rPr>
          <w:rFonts w:ascii="Verdana" w:hAnsi="Verdana" w:cs="Arial"/>
          <w:b/>
          <w:bCs/>
          <w:color w:val="000000"/>
          <w:lang w:val="es-ES"/>
        </w:rPr>
      </w:pPr>
    </w:p>
    <w:p w14:paraId="5AA99973" w14:textId="77777777" w:rsidR="00662087"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ii) El numeral 6 del artículo 25 de la Ley 80 de 1993, en desarrollo del principio de economía, dispone que “las entidades estatales abrirán licitaciones e iniciarán procesos de suscripción de contratos, cuando existan las respectivas partidas o disponibilidades presupuestales”. Como se observa, la norma establece de manera expresa el momento o la oportunidad en que las entidades deben expedir el certificado de disponibilidad presupuestal cuando adelanten procesos de contratación: por expresa disposición del legislador, deben contar con ese certificado en una fecha previa al momento en que inicia el proceso de selección del contratista. A ello se suman los numerales 13 y 14 del mismo artículo, que </w:t>
      </w:r>
      <w:r>
        <w:rPr>
          <w:rFonts w:ascii="Verdana" w:hAnsi="Verdana" w:cs="Arial"/>
          <w:bCs/>
          <w:szCs w:val="24"/>
          <w:lang w:val="es-ES_tradnl" w:eastAsia="es-ES_tradnl"/>
        </w:rPr>
        <w:lastRenderedPageBreak/>
        <w:t>exigen incluir en el presupuesto las partidas para las cláusulas de actualización de precios y para los imprevistos derivados de retrasos en los pagos.</w:t>
      </w:r>
    </w:p>
    <w:p w14:paraId="54388B9C" w14:textId="77777777" w:rsidR="008B304B" w:rsidRPr="00A0389A" w:rsidRDefault="008B304B" w:rsidP="00662087">
      <w:pPr>
        <w:spacing w:after="0" w:line="276" w:lineRule="auto"/>
        <w:jc w:val="both"/>
        <w:rPr>
          <w:rFonts w:ascii="Verdana" w:hAnsi="Verdana" w:cs="Arial"/>
          <w:bCs/>
          <w:szCs w:val="24"/>
          <w:lang w:val="es-ES_tradnl" w:eastAsia="es-ES_tradnl"/>
        </w:rPr>
      </w:pPr>
    </w:p>
    <w:p w14:paraId="3770B94E" w14:textId="77777777" w:rsidR="00662087" w:rsidRDefault="00867E8A" w:rsidP="008B304B">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En el plano presupuestal, el artículo 71 del Decreto 111 de 1996 —Estatuto Orgánico del Presupuesto— trata del deber de contar con el certificado de disponibilidad presupuestal como garantía de que existen los recursos necesarios para abrir procedimientos de selección e iniciar procesos de suscripción de contratos, en armonía con el citado numeral 6 del artículo 25. La disposición prescribe:</w:t>
      </w:r>
    </w:p>
    <w:p w14:paraId="6ADB746B" w14:textId="77777777" w:rsidR="008B304B" w:rsidRPr="00A0389A" w:rsidRDefault="008B304B" w:rsidP="008B304B">
      <w:pPr>
        <w:spacing w:after="0" w:line="276" w:lineRule="auto"/>
        <w:ind w:firstLine="567"/>
        <w:jc w:val="both"/>
        <w:rPr>
          <w:rFonts w:ascii="Verdana" w:hAnsi="Verdana" w:cs="Arial"/>
          <w:bCs/>
          <w:szCs w:val="24"/>
          <w:lang w:val="es-ES_tradnl" w:eastAsia="es-ES_tradnl"/>
        </w:rPr>
      </w:pPr>
    </w:p>
    <w:p w14:paraId="24048140" w14:textId="77777777" w:rsidR="00662087" w:rsidRDefault="00662087" w:rsidP="00662087">
      <w:pPr>
        <w:tabs>
          <w:tab w:val="left" w:pos="709"/>
        </w:tabs>
        <w:spacing w:after="120" w:line="240" w:lineRule="auto"/>
        <w:ind w:left="709" w:right="709"/>
        <w:jc w:val="both"/>
        <w:rPr>
          <w:rFonts w:ascii="Verdana" w:hAnsi="Verdana" w:cs="Arial"/>
          <w:sz w:val="21"/>
          <w:szCs w:val="21"/>
          <w:lang w:val="es-ES_tradnl" w:eastAsia="es-ES_tradnl"/>
        </w:rPr>
      </w:pPr>
      <w:r w:rsidRPr="00A0389A">
        <w:rPr>
          <w:rFonts w:ascii="Verdana" w:hAnsi="Verdana" w:cs="Arial"/>
          <w:sz w:val="21"/>
          <w:szCs w:val="21"/>
          <w:lang w:val="es-ES_tradnl" w:eastAsia="es-ES_tradnl"/>
        </w:rPr>
        <w:t>“Todos los actos administrativos que afecten las apropiaciones presupuestales deberán contar con certificados de disponibilidad previos que garanticen la existencia de apropiación suficiente para atender estos gastos. Igualmente, estos compromisos deberán contar con registro presupuestal para que los recursos con él financiados no sean desviados a ningún otro fin. En este registro se deberá indicar claramente el valor y el plazo de las prestaciones a las que haya lugar […]. // En consecuencia, ninguna autoridad podrá contraer obligaciones sobre apropiaciones inexistentes, o en exceso del saldo disponible […]. Cualquier compromiso que se adquiera con violación de estos preceptos creará responsabilidad personal y pecuniaria a cargo de quien asuma estas obligaciones”.</w:t>
      </w:r>
    </w:p>
    <w:p w14:paraId="35A2C02D" w14:textId="77777777" w:rsidR="008B304B" w:rsidRPr="00A0389A" w:rsidRDefault="008B304B" w:rsidP="00662087">
      <w:pPr>
        <w:tabs>
          <w:tab w:val="left" w:pos="709"/>
        </w:tabs>
        <w:spacing w:after="120" w:line="240" w:lineRule="auto"/>
        <w:ind w:left="709" w:right="709"/>
        <w:jc w:val="both"/>
        <w:rPr>
          <w:rFonts w:ascii="Verdana" w:hAnsi="Verdana" w:cs="Arial"/>
          <w:sz w:val="21"/>
          <w:szCs w:val="21"/>
          <w:lang w:val="es-ES_tradnl" w:eastAsia="es-ES_tradnl"/>
        </w:rPr>
      </w:pPr>
    </w:p>
    <w:p w14:paraId="7A81A7B8" w14:textId="77777777" w:rsidR="00662087" w:rsidRDefault="00867E8A" w:rsidP="008B304B">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Se distinguen así dos instrumentos con funciones diferenciadas. El certificado de disponibilidad presupuestal es un documento de carácter previo que acredita la existencia de apropiación suficiente y libre de afectación; opera, por tanto, como presupuesto de la apertura del procedimiento de selección y de la asunción del compromiso. El registro presupuestal, en cambio, opera una vez asumido el compromiso: consiste en la certificación de apropiación de presupuesto con destino al cumplimiento de las obligaciones pecuniarias del contrato, y en él se comprometen los recursos públicos necesarios para concretar el contrato estatal, de acuerdo con los bienes y servicios que la entidad vaya a adquirir.</w:t>
      </w:r>
    </w:p>
    <w:p w14:paraId="69F2DE1E" w14:textId="77777777" w:rsidR="00EF3359" w:rsidRPr="00A0389A" w:rsidRDefault="00EF3359" w:rsidP="008B304B">
      <w:pPr>
        <w:spacing w:after="0" w:line="276" w:lineRule="auto"/>
        <w:ind w:firstLine="567"/>
        <w:jc w:val="both"/>
        <w:rPr>
          <w:rFonts w:ascii="Verdana" w:hAnsi="Verdana" w:cs="Arial"/>
          <w:bCs/>
          <w:szCs w:val="24"/>
          <w:lang w:val="es-ES_tradnl" w:eastAsia="es-ES_tradnl"/>
        </w:rPr>
      </w:pPr>
    </w:p>
    <w:p w14:paraId="5B0C3B7F" w14:textId="77777777" w:rsidR="00662087" w:rsidRPr="00A0389A" w:rsidRDefault="00867E8A" w:rsidP="00EF3359">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La finalidad del registro presupuestal es, en consecuencia, de doble orden. De una parte, es un instrumento mediante el cual se busca prevenir erogaciones que superen el monto autorizado en el correspondiente presupuesto. De otra, </w:t>
      </w:r>
      <w:r>
        <w:rPr>
          <w:rFonts w:ascii="Verdana" w:hAnsi="Verdana" w:cs="Arial"/>
          <w:bCs/>
          <w:szCs w:val="24"/>
          <w:lang w:val="es-ES_tradnl" w:eastAsia="es-ES_tradnl"/>
        </w:rPr>
        <w:lastRenderedPageBreak/>
        <w:t>persigue evitar que los recursos destinados a la financiación de un determinado compromiso se desvíen a una finalidad distinta: de ahí la exigencia legal de que en el registro se indique claramente el valor y el plazo de las prestaciones. El registro presupuestal individualiza y aísla los recursos, adscribiéndolos a un compromiso determinado.</w:t>
      </w:r>
    </w:p>
    <w:p w14:paraId="7F536880" w14:textId="77777777" w:rsidR="004A0841" w:rsidRDefault="004A0841" w:rsidP="00751DE8">
      <w:pPr>
        <w:spacing w:after="0" w:line="240" w:lineRule="auto"/>
        <w:jc w:val="both"/>
        <w:rPr>
          <w:rFonts w:ascii="Verdana" w:hAnsi="Verdana" w:cs="Arial"/>
          <w:b/>
          <w:bCs/>
          <w:color w:val="000000"/>
          <w:lang w:val="es-ES"/>
        </w:rPr>
      </w:pPr>
    </w:p>
    <w:p w14:paraId="5FEB94D4" w14:textId="77777777" w:rsidR="004A0841" w:rsidRDefault="004A0841" w:rsidP="00751DE8">
      <w:pPr>
        <w:spacing w:after="0" w:line="240" w:lineRule="auto"/>
        <w:jc w:val="both"/>
        <w:rPr>
          <w:rFonts w:ascii="Verdana" w:hAnsi="Verdana" w:cs="Arial"/>
          <w:b/>
          <w:bCs/>
          <w:color w:val="000000"/>
          <w:lang w:val="es-ES"/>
        </w:rPr>
      </w:pPr>
    </w:p>
    <w:p w14:paraId="6BB98026" w14:textId="77777777" w:rsidR="00662087" w:rsidRDefault="00867E8A" w:rsidP="00EF3359">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iii) La naturaleza jurídica del registro presupuestal fue objeto de una evolución jurisprudencial cuyo resultado resulta decisivo para resolver la consulta. El inciso final del artículo 71 del Estatuto Orgánico del Presupuesto califica la operación de registro como “requisito de perfeccionamiento de estos actos administrativos”, expresión que dio lugar a una tensión con el artículo 41 de la Ley 80 de 1993, cuyo inciso primero dispone que “[l]os contratos del Estado se perfeccionan cuando se logre acuerdo sobre el objeto y la contraprestación y este se eleve a escrito”.</w:t>
      </w:r>
    </w:p>
    <w:p w14:paraId="252D528A" w14:textId="77777777" w:rsidR="00EF3359" w:rsidRPr="00A0389A" w:rsidRDefault="00EF3359" w:rsidP="00EF3359">
      <w:pPr>
        <w:spacing w:after="0" w:line="276" w:lineRule="auto"/>
        <w:ind w:firstLine="567"/>
        <w:jc w:val="both"/>
        <w:rPr>
          <w:rFonts w:ascii="Verdana" w:hAnsi="Verdana" w:cs="Arial"/>
          <w:bCs/>
          <w:szCs w:val="24"/>
          <w:lang w:val="es-ES_tradnl" w:eastAsia="es-ES_tradnl"/>
        </w:rPr>
      </w:pPr>
    </w:p>
    <w:p w14:paraId="46762AAA" w14:textId="77777777" w:rsidR="00662087" w:rsidRDefault="00867E8A" w:rsidP="00EF3359">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Esa tensión fue resuelta en favor del régimen contractual. Como lo ha señalado esta Subdirección, a partir del año 2006 el Consejo de Estado, con apoyo en el artículo 41 de la Ley 80 de 1993, modificó la primera posición jurisprudencial que consideró al registro presupuestal como requisito de perfeccionamiento; así las cosas, en adelante se ha considerado que se trata de un requisito de ejecución. La conclusión se refuerza con el inciso segundo del artículo 41 —modificado por el artículo 23 de la Ley 1150 de 2007—, conforme al cual “[p]ara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La norma ubica inequívocamente la exigencia en el plano de la ejecución y no en el de la formación del negocio jurídico.</w:t>
      </w:r>
    </w:p>
    <w:p w14:paraId="4011829A" w14:textId="77777777" w:rsidR="00EF3359" w:rsidRPr="00A0389A" w:rsidRDefault="00EF3359" w:rsidP="00EF3359">
      <w:pPr>
        <w:spacing w:after="0" w:line="276" w:lineRule="auto"/>
        <w:ind w:firstLine="567"/>
        <w:jc w:val="both"/>
        <w:rPr>
          <w:rFonts w:ascii="Verdana" w:hAnsi="Verdana" w:cs="Arial"/>
          <w:bCs/>
          <w:szCs w:val="24"/>
          <w:lang w:val="es-ES_tradnl" w:eastAsia="es-ES_tradnl"/>
        </w:rPr>
      </w:pPr>
    </w:p>
    <w:p w14:paraId="3E4F9526" w14:textId="77777777" w:rsidR="00662087" w:rsidRDefault="00867E8A" w:rsidP="00EF3359">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De esta calificación se derivan consecuencias precisas. En cuanto a la oportunidad, el registro presupuestal, al ser un requisito de ejecución del contrato, normalmente se expide después de celebrado el contrato, tal como se desprende del inciso segundo del artículo 41 de la Ley 80 de 1993. En todo caso, esta Agencia ha considerado que lo importante es que se hubiere expedido antes del inicio de la ejecución contractual, por lo que su expedición previa no afecta </w:t>
      </w:r>
      <w:r>
        <w:rPr>
          <w:rFonts w:ascii="Verdana" w:hAnsi="Verdana" w:cs="Arial"/>
          <w:bCs/>
          <w:szCs w:val="24"/>
          <w:lang w:val="es-ES_tradnl" w:eastAsia="es-ES_tradnl"/>
        </w:rPr>
        <w:lastRenderedPageBreak/>
        <w:t>la validez del contrato estatal. Correlativamente, se ha concluido que el objetivo normativo presupuestario de este trámite es resguardar, amparar y registrar la disponibilidad presupuestal de los rubros y códigos financieros con los que se garantiza el dinero del proyecto o contrato, de manera que solo podrá surtirse luego de la firma del contrato, sin que ello genere nulidad alguna sobre este.</w:t>
      </w:r>
    </w:p>
    <w:p w14:paraId="03A3ACC4" w14:textId="77777777" w:rsidR="00EF3359" w:rsidRPr="00A0389A" w:rsidRDefault="00EF3359" w:rsidP="00EF3359">
      <w:pPr>
        <w:spacing w:after="0" w:line="276" w:lineRule="auto"/>
        <w:ind w:firstLine="567"/>
        <w:jc w:val="both"/>
        <w:rPr>
          <w:rFonts w:ascii="Verdana" w:hAnsi="Verdana" w:cs="Arial"/>
          <w:bCs/>
          <w:szCs w:val="24"/>
          <w:lang w:val="es-ES_tradnl" w:eastAsia="es-ES_tradnl"/>
        </w:rPr>
      </w:pPr>
    </w:p>
    <w:p w14:paraId="0E19A108" w14:textId="77777777" w:rsidR="00662087" w:rsidRPr="00A0389A" w:rsidRDefault="00867E8A" w:rsidP="00EF3359">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En cuanto a los efectos de su ausencia, la consecuencia no recae sobre el negocio jurídico. Esta Subdirección ha precisado que la sanción por omitir la obligación de contar con el registro presupuestal no afecta el acto o contrato mismo, sino que es de tipo personal, esto es, responde el funcionario que omita dicho requisito, y el modo de responsabilidad en el que podría incurrir es de carácter disciplinario, penal y fiscal, incluso patrimonial, en consideración al alcance personal de la conducta. En igual sentido se pronunció el Consejo de Estado al analizar la responsabilidad del Estado cuando se compromete sin contar con registro presupuestal, señalando que, de conformidad con el artículo 71 del Decreto 111 de 1996, “[l]a sanción por la violación a esta norma es clara: el funcionario que omita el requisito responde disciplinaria, penal y fiscalmente, incluso patrimonialmente –alcance personal de la conducta–, por ejecutar un contrato sin respaldo presupuestal”.</w:t>
      </w:r>
    </w:p>
    <w:p w14:paraId="3458F365" w14:textId="77777777" w:rsidR="004A0841" w:rsidRDefault="004A0841" w:rsidP="00751DE8">
      <w:pPr>
        <w:spacing w:after="0" w:line="240" w:lineRule="auto"/>
        <w:jc w:val="both"/>
        <w:rPr>
          <w:rFonts w:ascii="Verdana" w:hAnsi="Verdana" w:cs="Arial"/>
          <w:b/>
          <w:bCs/>
          <w:color w:val="000000"/>
          <w:lang w:val="es-ES"/>
        </w:rPr>
      </w:pPr>
    </w:p>
    <w:p w14:paraId="537E3E36" w14:textId="77777777" w:rsidR="00662087"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iv) Con los anteriores elementos puede abordarse el primer problema jurídico. La situación descrita presenta un rasgo que conviene aislar: no se trata de un contrato que se hubiera iniciado sin registro presupuestal, sino de un contrato que contó con él y respecto del cual, con posterioridad al inicio de la ejecución, el documento cambió de estado en el sistema de información por una causa ajena a la voluntad de las partes.</w:t>
      </w:r>
    </w:p>
    <w:p w14:paraId="3E90AFC3" w14:textId="77777777" w:rsidR="00EF3359" w:rsidRPr="00A0389A" w:rsidRDefault="00EF3359" w:rsidP="00662087">
      <w:pPr>
        <w:spacing w:after="0" w:line="276" w:lineRule="auto"/>
        <w:jc w:val="both"/>
        <w:rPr>
          <w:rFonts w:ascii="Verdana" w:hAnsi="Verdana" w:cs="Arial"/>
          <w:bCs/>
          <w:szCs w:val="24"/>
          <w:lang w:val="es-ES_tradnl" w:eastAsia="es-ES_tradnl"/>
        </w:rPr>
      </w:pPr>
    </w:p>
    <w:p w14:paraId="2D257343" w14:textId="77777777" w:rsidR="00662087" w:rsidRDefault="00867E8A" w:rsidP="00EF3359">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La distinción es jurídicamente relevante. Los requisitos de ejecución, por definición, se verifican con referencia al momento en que la ejecución ha de iniciar. Si en ese momento el compromiso contaba con el amparo presupuestal exigido por el inciso segundo del artículo 41 de la Ley 80 de 1993, el requisito se entiende satisfecho, y un hecho sobreviniente no puede convertir retroactivamente en irregular una actuación que fue conforme a derecho cuando se realizó. Sostener lo contrario supondría hacer depender la juridicidad de una actuación administrativa ya consolidada de un acontecimiento posterior e </w:t>
      </w:r>
      <w:r>
        <w:rPr>
          <w:rFonts w:ascii="Verdana" w:hAnsi="Verdana" w:cs="Arial"/>
          <w:bCs/>
          <w:szCs w:val="24"/>
          <w:lang w:val="es-ES_tradnl" w:eastAsia="es-ES_tradnl"/>
        </w:rPr>
        <w:lastRenderedPageBreak/>
        <w:t>imprevisible, con evidente quebranto de la seguridad jurídica y de la confianza legítima del contratista.</w:t>
      </w:r>
    </w:p>
    <w:p w14:paraId="3877E670" w14:textId="77777777" w:rsidR="00EF3359" w:rsidRPr="00A0389A" w:rsidRDefault="00EF3359" w:rsidP="00EF3359">
      <w:pPr>
        <w:spacing w:after="0" w:line="276" w:lineRule="auto"/>
        <w:ind w:firstLine="567"/>
        <w:jc w:val="both"/>
        <w:rPr>
          <w:rFonts w:ascii="Verdana" w:hAnsi="Verdana" w:cs="Arial"/>
          <w:bCs/>
          <w:szCs w:val="24"/>
          <w:lang w:val="es-ES_tradnl" w:eastAsia="es-ES_tradnl"/>
        </w:rPr>
      </w:pPr>
    </w:p>
    <w:p w14:paraId="10C39C6C" w14:textId="77777777" w:rsidR="00662087" w:rsidRDefault="00867E8A" w:rsidP="00EF3359">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Con mayor razón debe descartarse cualquier efecto sobre la existencia y la validez del contrato. Como se expuso, el contrato estatal se perfecciona cuando se logra acuerdo sobre el objeto y la contraprestación y este se eleva a escrito, de modo que el registro presupuestal no integra el supuesto de hecho del perfeccionamiento. Tampoco constituye un requisito de validez, comoquiera que las causales de nulidad del contrato estatal se encuentran taxativamente previstas en el artículo 44 de la Ley 80 de 1993 y en las normas del derecho común a las que remiten los artículos 13, 32 y 40 del mismo estatuto, sin que entre ellas figure la ausencia o la anulación del registro presupuestal.</w:t>
      </w:r>
    </w:p>
    <w:p w14:paraId="4E614E0B" w14:textId="77777777" w:rsidR="00EF3359" w:rsidRPr="00A0389A" w:rsidRDefault="00EF3359" w:rsidP="00EF3359">
      <w:pPr>
        <w:spacing w:after="0" w:line="276" w:lineRule="auto"/>
        <w:ind w:firstLine="567"/>
        <w:jc w:val="both"/>
        <w:rPr>
          <w:rFonts w:ascii="Verdana" w:hAnsi="Verdana" w:cs="Arial"/>
          <w:bCs/>
          <w:szCs w:val="24"/>
          <w:lang w:val="es-ES_tradnl" w:eastAsia="es-ES_tradnl"/>
        </w:rPr>
      </w:pPr>
    </w:p>
    <w:p w14:paraId="3B548EDC" w14:textId="77777777" w:rsidR="00662087" w:rsidRDefault="00867E8A" w:rsidP="00EF3359">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De lo anterior se sigue que las obligaciones ya causadas a favor del contratista permanecen incólumes. El contratista que ejecutó las prestaciones a su cargo y las entregó a satisfacción adquirió el derecho a la remuneración correspondiente, y ese derecho no se extingue ni se suspende por una vicisitud del sistema de información de la entidad. Así lo imponen los artículos 4 y 5 de la Ley 80 de 1993, que consagran el deber de las entidades contratantes de realizar el pago a los contratistas y el derecho de estos “a recibir oportunamente la remuneración pactada y a que el valor intrínseco de la misma no se altere o modifique durante la vigencia del contrato”.</w:t>
      </w:r>
    </w:p>
    <w:p w14:paraId="2B7AAB11" w14:textId="77777777" w:rsidR="00EF3359" w:rsidRPr="00A0389A" w:rsidRDefault="00EF3359" w:rsidP="00EF3359">
      <w:pPr>
        <w:spacing w:after="0" w:line="276" w:lineRule="auto"/>
        <w:ind w:firstLine="567"/>
        <w:jc w:val="both"/>
        <w:rPr>
          <w:rFonts w:ascii="Verdana" w:hAnsi="Verdana" w:cs="Arial"/>
          <w:bCs/>
          <w:szCs w:val="24"/>
          <w:lang w:val="es-ES_tradnl" w:eastAsia="es-ES_tradnl"/>
        </w:rPr>
      </w:pPr>
    </w:p>
    <w:p w14:paraId="35F96D88" w14:textId="77777777" w:rsidR="00662087" w:rsidRDefault="00867E8A" w:rsidP="00EF3359">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Conviene subrayar este punto, porque en la práctica administrativa suele producirse una inversión indebida de las cargas. La falla en el sistema de información presupuestal es, según se relata, imputable al manejo interno de la administración y no a factores externos ni, desde luego, al contratista. Trasladar a este último las consecuencias de ese hecho —negándole o difiriendo indefinidamente el pago— desconocería el principio de buena fe contractual, el equilibrio económico del contrato en los términos del artículo 27 de la Ley 80 de 1993 y el deber de la Administración de no agravar la posición de quien colabora con ella en la consecución de los fines estatales.</w:t>
      </w:r>
    </w:p>
    <w:p w14:paraId="00F70087" w14:textId="77777777" w:rsidR="00EF3359" w:rsidRPr="00A0389A" w:rsidRDefault="00EF3359" w:rsidP="00EF3359">
      <w:pPr>
        <w:spacing w:after="0" w:line="276" w:lineRule="auto"/>
        <w:ind w:firstLine="567"/>
        <w:jc w:val="both"/>
        <w:rPr>
          <w:rFonts w:ascii="Verdana" w:hAnsi="Verdana" w:cs="Arial"/>
          <w:bCs/>
          <w:szCs w:val="24"/>
          <w:lang w:val="es-ES_tradnl" w:eastAsia="es-ES_tradnl"/>
        </w:rPr>
      </w:pPr>
    </w:p>
    <w:p w14:paraId="3CEBCB8E" w14:textId="77777777" w:rsidR="00662087" w:rsidRPr="00A0389A" w:rsidRDefault="00867E8A" w:rsidP="00EF3359">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Por lo mismo, si el pago no se realiza dentro de los plazos pactados, se configura la mora de la entidad con las consecuencias que el ordenamiento le atribuye. El numeral 8 del artículo 4 de la Ley 80 de 1993 dispone que, sin </w:t>
      </w:r>
      <w:r>
        <w:rPr>
          <w:rFonts w:ascii="Verdana" w:hAnsi="Verdana" w:cs="Arial"/>
          <w:bCs/>
          <w:szCs w:val="24"/>
          <w:lang w:val="es-ES_tradnl" w:eastAsia="es-ES_tradnl"/>
        </w:rPr>
        <w:lastRenderedPageBreak/>
        <w:t>perjuicio de la actualización o revisión de precios, en caso de no haberse pactado intereses moratorios se aplicará la tasa equivalente al doble del interés legal civil sobre el valor histórico actualizado, disposición reglamentada por el Decreto 679 de 1994 en cuanto al modo de determinar dicho valor histórico actualizado. Esta consecuencia opera con independencia de la causa interna que haya originado el retraso.</w:t>
      </w:r>
    </w:p>
    <w:p w14:paraId="29F24150" w14:textId="77777777" w:rsidR="004A0841" w:rsidRDefault="004A0841" w:rsidP="00751DE8">
      <w:pPr>
        <w:spacing w:after="0" w:line="240" w:lineRule="auto"/>
        <w:jc w:val="both"/>
        <w:rPr>
          <w:rFonts w:ascii="Verdana" w:hAnsi="Verdana" w:cs="Arial"/>
          <w:b/>
          <w:bCs/>
          <w:color w:val="000000"/>
          <w:lang w:val="es-ES"/>
        </w:rPr>
      </w:pPr>
    </w:p>
    <w:p w14:paraId="4DC05854" w14:textId="77777777" w:rsidR="00662087"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v) Sería una lectura equivocada de lo expuesto concluir que la entidad puede desentenderse del restablecimiento del amparo presupuestal, bajo el argumento de que la anulación no afecta el contrato. La conclusión es exactamente la contraria: precisamente porque el contrato subsiste y las obligaciones se siguen causando, el compromiso debe recuperar cobertura presupuestal con la mayor celeridad. Corresponde ahora exponer el fundamento de ese deber, que constituye la respuesta general al segundo problema jurídico.</w:t>
      </w:r>
    </w:p>
    <w:p w14:paraId="3C7A8E60" w14:textId="77777777" w:rsidR="00A041C9" w:rsidRPr="00A0389A" w:rsidRDefault="00A041C9" w:rsidP="00662087">
      <w:pPr>
        <w:spacing w:after="0" w:line="276" w:lineRule="auto"/>
        <w:jc w:val="both"/>
        <w:rPr>
          <w:rFonts w:ascii="Verdana" w:hAnsi="Verdana" w:cs="Arial"/>
          <w:bCs/>
          <w:szCs w:val="24"/>
          <w:lang w:val="es-ES_tradnl" w:eastAsia="es-ES_tradnl"/>
        </w:rPr>
      </w:pPr>
    </w:p>
    <w:p w14:paraId="6709662E" w14:textId="77777777" w:rsidR="00662087" w:rsidRPr="00A0389A" w:rsidRDefault="00867E8A" w:rsidP="00A041C9">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El primer fundamento es de orden textual y se encuentra en el propio artículo 71 del Estatuto Orgánico del Presupuesto. La disposición no ordena expedir un registro presupuestal como un trámite que se cumpla y se agote, sino que prescribe que los compromisos “deberán contar con registro presupuestal para que los recursos con él financiados no sean desviados a ningún otro fin”. El enunciado describe un estado de cosas —contar con registro— y lo vincula teleológicamente a una finalidad que solo puede satisfacerse de manera continuada: impedir la desviación de los recursos mientras el compromiso subsista. A ello se añade que la misma norma exige que en el registro se indique “el valor y el plazo de las prestaciones a las que haya lugar”, mención esta última que carecería de sentido si el amparo no hubiera de proyectarse sobre toda la duración de la ejecución. Se trata, en suma, de un deber de carácter permanente y no instantáneo.</w:t>
      </w:r>
    </w:p>
    <w:p w14:paraId="6EA1E07A" w14:textId="77777777" w:rsidR="00662087" w:rsidRDefault="00867E8A" w:rsidP="00A041C9">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De esa caracterización se sigue una consecuencia lógica. Si el deber consiste en que el compromiso esté amparado mientras produzca efectos, y por cualquier causa deja de estarlo, el deber no se extingue: subsiste y reclama de la Administración la conducta necesaria para que el estado de cosas ordenado por la norma vuelva a configurarse. Sostener lo contrario conduciría al absurdo de admitir que un compromiso vigente permanezca indefinidamente sin respaldo presupuestal, que es justamente lo que el ordenamiento proscribe.</w:t>
      </w:r>
    </w:p>
    <w:p w14:paraId="1F8AFA18" w14:textId="77777777" w:rsidR="00A041C9" w:rsidRPr="00A0389A" w:rsidRDefault="00A041C9" w:rsidP="00A041C9">
      <w:pPr>
        <w:spacing w:after="0" w:line="276" w:lineRule="auto"/>
        <w:ind w:firstLine="567"/>
        <w:jc w:val="both"/>
        <w:rPr>
          <w:rFonts w:ascii="Verdana" w:hAnsi="Verdana" w:cs="Arial"/>
          <w:bCs/>
          <w:szCs w:val="24"/>
          <w:lang w:val="es-ES_tradnl" w:eastAsia="es-ES_tradnl"/>
        </w:rPr>
      </w:pPr>
    </w:p>
    <w:p w14:paraId="532DAC7E" w14:textId="77777777" w:rsidR="00662087" w:rsidRDefault="00867E8A" w:rsidP="00A041C9">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lastRenderedPageBreak/>
        <w:t>El segundo fundamento es de orden prohibitivo y se encuentra en el inciso final de la misma disposición, terminante al establecer que ninguna autoridad podrá contraer obligaciones sobre apropiaciones inexistentes o en exceso del saldo disponible, y que cualquier compromiso que se adquiera con violación de estos preceptos creará responsabilidad personal y pecuniaria a cargo de quien asuma tales obligaciones. La continuación de la ejecución de un contrato cuyo compromiso ha dejado de estar registrado sitúa a la entidad en el supuesto que la norma prohíbe y expone a quienes intervienen en su manejo a consecuencias de orden disciplinario, fiscal, penal e incluso patrimonial. El restablecimiento del amparo opera así, simultáneamente, como cumplimiento de un mandato y como medida para conjurar una situación antijurídica.</w:t>
      </w:r>
    </w:p>
    <w:p w14:paraId="4328911C" w14:textId="77777777" w:rsidR="00A041C9" w:rsidRPr="00A0389A" w:rsidRDefault="00A041C9" w:rsidP="00A041C9">
      <w:pPr>
        <w:spacing w:after="0" w:line="276" w:lineRule="auto"/>
        <w:ind w:firstLine="567"/>
        <w:jc w:val="both"/>
        <w:rPr>
          <w:rFonts w:ascii="Verdana" w:hAnsi="Verdana" w:cs="Arial"/>
          <w:bCs/>
          <w:szCs w:val="24"/>
          <w:lang w:val="es-ES_tradnl" w:eastAsia="es-ES_tradnl"/>
        </w:rPr>
      </w:pPr>
    </w:p>
    <w:p w14:paraId="1A3F4780" w14:textId="77777777" w:rsidR="00662087" w:rsidRDefault="00867E8A" w:rsidP="00A041C9">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El tercer fundamento es de orden principial y proviene del régimen de la actuación administrativa. En virtud del principio de eficacia —consagrado en el artículo 209 de la Constitución Política y desarrollado en el numeral 11 del artículo 3 de la Ley 1437 de 2011— las autoridades buscarán que los procedimientos logren su finalidad y, para el efecto, removerán de oficio los obstáculos puramente formales, evitarán decisiones inhibitorias, dilaciones o retardos y sanearán las irregularidades procedimentales que se presenten, en pos de la efectividad del derecho sustancial objeto de la actuación administrativa. La disposición es particularmente pertinente cuando el obstáculo que impide el cumplimiento de una obligación no proviene de un impedimento sustancial sino del funcionamiento interno de la propia Administración: en tal caso, la carga de removerlo recae íntegramente sobre ella y su inactividad no encuentra justificación jurídica.</w:t>
      </w:r>
    </w:p>
    <w:p w14:paraId="51F0DC29" w14:textId="77777777" w:rsidR="00A041C9" w:rsidRPr="00A0389A" w:rsidRDefault="00A041C9" w:rsidP="00A041C9">
      <w:pPr>
        <w:spacing w:after="0" w:line="276" w:lineRule="auto"/>
        <w:ind w:firstLine="567"/>
        <w:jc w:val="both"/>
        <w:rPr>
          <w:rFonts w:ascii="Verdana" w:hAnsi="Verdana" w:cs="Arial"/>
          <w:bCs/>
          <w:szCs w:val="24"/>
          <w:lang w:val="es-ES_tradnl" w:eastAsia="es-ES_tradnl"/>
        </w:rPr>
      </w:pPr>
    </w:p>
    <w:p w14:paraId="08A6B84B" w14:textId="77777777" w:rsidR="00662087" w:rsidRDefault="00867E8A" w:rsidP="00A041C9">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En la misma dirección apunta el artículo 45 del Código de Procedimiento Administrativo y de lo Contencioso Administrativo, conforme al cual en cualquier tiempo, de oficio o a petición de parte, podrán corregirse los errores simplemente formales contenidos en los actos administrativos, ya sean aritméticos, de digitación, de transcripción o de omisión de palabras, sin que en ningún caso la corrección dé lugar a cambios en el sentido material de la decisión. Aunque su ámbito propio es el de los actos administrativos, la disposición expresa un criterio general del ordenamiento que resulta ilustrativo: a los errores puramente formales no se anudan consecuencias sustanciales, y </w:t>
      </w:r>
      <w:r>
        <w:rPr>
          <w:rFonts w:ascii="Verdana" w:hAnsi="Verdana" w:cs="Arial"/>
          <w:bCs/>
          <w:szCs w:val="24"/>
          <w:lang w:val="es-ES_tradnl" w:eastAsia="es-ES_tradnl"/>
        </w:rPr>
        <w:lastRenderedPageBreak/>
        <w:t>su corrección es una potestad-deber que la Administración puede ejercer oficiosamente y sin límite temporal.</w:t>
      </w:r>
    </w:p>
    <w:p w14:paraId="1287DABA" w14:textId="77777777" w:rsidR="00A041C9" w:rsidRPr="00A0389A" w:rsidRDefault="00A041C9" w:rsidP="00A041C9">
      <w:pPr>
        <w:spacing w:after="0" w:line="276" w:lineRule="auto"/>
        <w:ind w:firstLine="567"/>
        <w:jc w:val="both"/>
        <w:rPr>
          <w:rFonts w:ascii="Verdana" w:hAnsi="Verdana" w:cs="Arial"/>
          <w:bCs/>
          <w:szCs w:val="24"/>
          <w:lang w:val="es-ES_tradnl" w:eastAsia="es-ES_tradnl"/>
        </w:rPr>
      </w:pPr>
    </w:p>
    <w:p w14:paraId="7EF8D0F6" w14:textId="77777777" w:rsidR="00662087" w:rsidRDefault="00867E8A" w:rsidP="00A041C9">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Conviene añadir una consideración de orden conceptual que refuerza lo anterior. El registro presupuestal no es fuente de la obligación a cargo de la entidad; la fuente es el contrato. Aquel es un instrumento de control de la ejecución del gasto público, dirigido a asegurar que la obligación cuente con respaldo y que los recursos no se desvíen. Por eso su desaparición no extingue la obligación —como se explicó en el acápite anterior— y, precisamente por eso, el amparo debe restablecerse: de lo contrario subsistiría una obligación exigible sin la cobertura presupuestal que el ordenamiento exige, con el consiguiente riesgo tanto para la hacienda pública como para el contratista.</w:t>
      </w:r>
    </w:p>
    <w:p w14:paraId="7D84EBAA" w14:textId="77777777" w:rsidR="00A041C9" w:rsidRPr="00A0389A" w:rsidRDefault="00A041C9" w:rsidP="00A041C9">
      <w:pPr>
        <w:spacing w:after="0" w:line="276" w:lineRule="auto"/>
        <w:ind w:firstLine="567"/>
        <w:jc w:val="both"/>
        <w:rPr>
          <w:rFonts w:ascii="Verdana" w:hAnsi="Verdana" w:cs="Arial"/>
          <w:bCs/>
          <w:szCs w:val="24"/>
          <w:lang w:val="es-ES_tradnl" w:eastAsia="es-ES_tradnl"/>
        </w:rPr>
      </w:pPr>
    </w:p>
    <w:p w14:paraId="2A7564A8" w14:textId="77777777" w:rsidR="00662087" w:rsidRPr="00A0389A"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Ahora bien, el alcance de esta conclusión debe precisarse con cuidado. Lo que puede afirmarse desde la perspectiva de las normas de compras y contratación pública es la existencia del deber y su exigibilidad: la entidad debe adoptar las medidas necesarias, dentro de sus competencias, para que el compromiso vuelva a contar con registro presupuestal, y no puede permanecer inactiva ni trasladar al contratista las consecuencias de una falla que le es imputable. Lo que no puede afirmar esta Agencia es cuál sea el instrumento idóneo para lograrlo —la reversión de la anulación, la expedición de un nuevo registro o cualquier otro mecanismo previsto en las normas presupuestales—, ni su procedimiento, ni la fecha que haya de llevar el documento correspondiente. Esas son cuestiones que deben definirse conforme al Estatuto Orgánico del Presupuesto, a las normas que lo desarrollan y a las directrices de la autoridad presupuestal competente, en el orden nacional o territorial según corresponda.</w:t>
      </w:r>
    </w:p>
    <w:p w14:paraId="74A33B19" w14:textId="77777777" w:rsidR="00662087" w:rsidRPr="00A0389A"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Debe insistirse, finalmente, en que las anteriores consideraciones se formulan en abstracto. No corresponde a esta Subdirección establecer si en un supuesto determinado el amparo puede o no restablecerse, ni validar la actuación que en concreto adopte una entidad, pues ello supondría resolver un caso particular y actuar como instancia de validación de las decisiones de los partícipes del sistema de compra pública, lo que desborda su competencia consultiva.</w:t>
      </w:r>
    </w:p>
    <w:p w14:paraId="351F2585" w14:textId="77777777" w:rsidR="004A0841" w:rsidRDefault="004A0841" w:rsidP="00751DE8">
      <w:pPr>
        <w:spacing w:after="0" w:line="240" w:lineRule="auto"/>
        <w:jc w:val="both"/>
        <w:rPr>
          <w:rFonts w:ascii="Verdana" w:hAnsi="Verdana" w:cs="Arial"/>
          <w:b/>
          <w:bCs/>
          <w:color w:val="000000"/>
          <w:lang w:val="es-ES"/>
        </w:rPr>
      </w:pPr>
    </w:p>
    <w:p w14:paraId="49D010D7" w14:textId="77777777" w:rsidR="00662087"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Dentro de este marco, la entidad pública definirá en cada caso concreto lo relacionado con el tema objeto de consulta. Al tratarse de un análisis que debe realizarse en el procedimiento contractual específico, la Agencia no puede definir </w:t>
      </w:r>
      <w:r>
        <w:rPr>
          <w:rFonts w:ascii="Verdana" w:hAnsi="Verdana" w:cs="Arial"/>
          <w:bCs/>
          <w:szCs w:val="24"/>
          <w:lang w:val="es-ES_tradnl" w:eastAsia="es-ES_tradnl"/>
        </w:rPr>
        <w:lastRenderedPageBreak/>
        <w:t>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31CA592" w14:textId="77777777" w:rsidR="00A041C9" w:rsidRDefault="00A041C9" w:rsidP="00662087">
      <w:pPr>
        <w:spacing w:after="0" w:line="276" w:lineRule="auto"/>
        <w:jc w:val="both"/>
        <w:rPr>
          <w:rFonts w:ascii="Verdana" w:hAnsi="Verdana" w:cs="Arial"/>
          <w:bCs/>
          <w:szCs w:val="24"/>
          <w:lang w:val="es-ES_tradnl" w:eastAsia="es-ES_tradnl"/>
        </w:rPr>
      </w:pPr>
    </w:p>
    <w:p w14:paraId="00F025D4" w14:textId="77777777" w:rsidR="00A041C9" w:rsidRPr="00A0389A" w:rsidRDefault="00A041C9" w:rsidP="00662087">
      <w:pPr>
        <w:spacing w:after="0" w:line="276" w:lineRule="auto"/>
        <w:jc w:val="both"/>
        <w:rPr>
          <w:rFonts w:ascii="Verdana" w:hAnsi="Verdana" w:cs="Arial"/>
          <w:bCs/>
          <w:szCs w:val="24"/>
          <w:lang w:val="es-ES_tradnl" w:eastAsia="es-ES_tradnl"/>
        </w:rPr>
      </w:pPr>
    </w:p>
    <w:p w14:paraId="77A49C7E" w14:textId="77777777" w:rsidR="00662087" w:rsidRPr="009037F6" w:rsidRDefault="00662087" w:rsidP="00662087">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 xml:space="preserve">Referencias normativas, jurisprudenciales y otras fuentes </w:t>
      </w:r>
    </w:p>
    <w:p w14:paraId="01149207" w14:textId="77777777" w:rsidR="00662087" w:rsidRPr="009037F6" w:rsidRDefault="00662087" w:rsidP="00662087">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62087" w:rsidRPr="009037F6" w14:paraId="0AF6BB4A" w14:textId="77777777" w:rsidTr="002A4618">
        <w:trPr>
          <w:trHeight w:val="487"/>
          <w:jc w:val="center"/>
        </w:trPr>
        <w:tc>
          <w:tcPr>
            <w:tcW w:w="8647" w:type="dxa"/>
          </w:tcPr>
          <w:p w14:paraId="0D32BA96" w14:textId="2AF8F9C8" w:rsidR="00662087" w:rsidRDefault="00662087" w:rsidP="002A461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Constitución Política, artículos 209 y 345 a 355.</w:t>
            </w:r>
          </w:p>
          <w:p w14:paraId="4E22EC95" w14:textId="77777777" w:rsidR="00662087" w:rsidRDefault="00662087" w:rsidP="002A461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Ley 80 de 1993, artículos 4 (numeral 8), 5, 13, 25 (numerales 6, 13 y 14), 27, 32, 40, 41 y 44.</w:t>
            </w:r>
          </w:p>
          <w:p w14:paraId="2CDB0039" w14:textId="77777777" w:rsidR="00662087" w:rsidRDefault="00662087" w:rsidP="002A461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Ley 1150 de 2007, artículo 23.</w:t>
            </w:r>
          </w:p>
          <w:p w14:paraId="68A45A5B" w14:textId="77777777" w:rsidR="00662087" w:rsidRDefault="00662087" w:rsidP="002A461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Ley 1437 de 2011, artículos 3 (numeral 11) y 45.</w:t>
            </w:r>
          </w:p>
          <w:p w14:paraId="042B3220" w14:textId="77777777" w:rsidR="00662087" w:rsidRDefault="00662087" w:rsidP="002A461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Ley 1474 de 2011, artículos 83 y 84.</w:t>
            </w:r>
          </w:p>
          <w:p w14:paraId="082E99AB" w14:textId="77777777" w:rsidR="00662087" w:rsidRDefault="00662087" w:rsidP="002A461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Ley 819 de 2003, artículos 8, 10, 11 y 12.</w:t>
            </w:r>
          </w:p>
          <w:p w14:paraId="7EC9F6C1" w14:textId="77777777" w:rsidR="00662087" w:rsidRDefault="00662087" w:rsidP="002A461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Ley 1483 de 2011.</w:t>
            </w:r>
          </w:p>
          <w:p w14:paraId="250C4ED0" w14:textId="77777777" w:rsidR="00662087" w:rsidRDefault="00662087" w:rsidP="002A461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Ley 1755 de 2015.</w:t>
            </w:r>
          </w:p>
          <w:p w14:paraId="64384F69" w14:textId="77777777" w:rsidR="00662087" w:rsidRDefault="00662087" w:rsidP="002A461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Decreto Ley 4170 de 2011, artículos 3 (numeral 5) y 11 (numeral 8).</w:t>
            </w:r>
          </w:p>
          <w:p w14:paraId="5F4B64C8" w14:textId="77777777" w:rsidR="00662087" w:rsidRDefault="00662087" w:rsidP="002A461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Decreto 111 de 1996 –Estatuto Orgánico del Presupuesto–, artículos 14, 23, 71 y 89.</w:t>
            </w:r>
          </w:p>
          <w:p w14:paraId="6A662D3D" w14:textId="77777777" w:rsidR="00662087" w:rsidRDefault="00662087" w:rsidP="002A461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Decreto 679 de 1994, artículo 1.</w:t>
            </w:r>
          </w:p>
          <w:p w14:paraId="6CE25C2B" w14:textId="77777777" w:rsidR="00662087" w:rsidRDefault="00662087" w:rsidP="002A461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Decreto 1068 de 2015.</w:t>
            </w:r>
          </w:p>
          <w:p w14:paraId="42F6C3C0" w14:textId="77777777" w:rsidR="00662087" w:rsidRDefault="00662087" w:rsidP="002A461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Decreto 1082 de 2015, artículos 2.2.1.1.1.3.1 y 2.2.1.1.1.4.1.</w:t>
            </w:r>
          </w:p>
          <w:p w14:paraId="0FC06668" w14:textId="77777777" w:rsidR="00662087" w:rsidRDefault="00662087" w:rsidP="002A461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CONSEJO DE ESTADO. Sección Tercera. Sentencia del 12 de agosto de 2014.</w:t>
            </w:r>
          </w:p>
        </w:tc>
      </w:tr>
    </w:tbl>
    <w:p w14:paraId="367BB743" w14:textId="77777777" w:rsidR="00662087" w:rsidRPr="009037F6" w:rsidRDefault="00662087" w:rsidP="00662087">
      <w:pPr>
        <w:widowControl w:val="0"/>
        <w:autoSpaceDE w:val="0"/>
        <w:autoSpaceDN w:val="0"/>
        <w:spacing w:after="0" w:line="276" w:lineRule="auto"/>
        <w:jc w:val="both"/>
        <w:rPr>
          <w:rFonts w:ascii="Verdana" w:hAnsi="Verdana" w:cs="Arial"/>
        </w:rPr>
      </w:pPr>
    </w:p>
    <w:p w14:paraId="433253B7" w14:textId="77777777" w:rsidR="00662087" w:rsidRPr="009037F6" w:rsidRDefault="00662087" w:rsidP="00662087">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7CC26D2B" w14:textId="77777777" w:rsidR="00662087" w:rsidRPr="009037F6" w:rsidRDefault="00662087" w:rsidP="00662087">
      <w:pPr>
        <w:widowControl w:val="0"/>
        <w:autoSpaceDE w:val="0"/>
        <w:autoSpaceDN w:val="0"/>
        <w:spacing w:after="0" w:line="276" w:lineRule="auto"/>
        <w:jc w:val="both"/>
        <w:rPr>
          <w:rFonts w:ascii="Verdana" w:hAnsi="Verdana" w:cs="Arial"/>
        </w:rPr>
      </w:pPr>
    </w:p>
    <w:p w14:paraId="76A80A54" w14:textId="7646AFF0" w:rsidR="001B24C7" w:rsidRDefault="00662087" w:rsidP="00662087">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lastRenderedPageBreak/>
        <w:t>Esta Subdirección se ha pronunciado sobre el certificado de disponibilidad presupuestal y el registro presupuestal, su naturaleza de requisito de ejecución y las consecuencias de su omisión, entre otros, en los Conceptos C-252 de 2024, C-844 de 2024, C-1039 del 23 de diciembre de 2024, C-019 de 2025, C-703 del 15 de julio de 2025, C-826 del 9 de julio de 2025, C-1254 de 2025, C-1257 de 2025 y C-004 del 12 de febrero de 2026. Sobre la conexidad entre el régimen presupuestal y el régimen contractual, y sobre el reparto de competencias en materia de manejo presupuestal, se destacan en particular los Conceptos C-703 y C-826 de 2025 y C-004 de 2026.</w:t>
      </w:r>
    </w:p>
    <w:p w14:paraId="6AFEEB25" w14:textId="77777777" w:rsidR="001B24C7" w:rsidRDefault="001B24C7" w:rsidP="00662087">
      <w:pPr>
        <w:widowControl w:val="0"/>
        <w:autoSpaceDE w:val="0"/>
        <w:autoSpaceDN w:val="0"/>
        <w:spacing w:after="0" w:line="276" w:lineRule="auto"/>
        <w:jc w:val="both"/>
        <w:rPr>
          <w:rStyle w:val="normaltextrun"/>
          <w:rFonts w:ascii="Verdana" w:hAnsi="Verdana" w:cs="Arial"/>
          <w:shd w:val="clear" w:color="auto" w:fill="FFFFFF"/>
        </w:rPr>
      </w:pPr>
    </w:p>
    <w:p w14:paraId="49E2F4B8" w14:textId="46A3C892" w:rsidR="00662087" w:rsidRPr="00AD7D5F" w:rsidRDefault="001B24C7" w:rsidP="00662087">
      <w:pPr>
        <w:widowControl w:val="0"/>
        <w:autoSpaceDE w:val="0"/>
        <w:autoSpaceDN w:val="0"/>
        <w:spacing w:after="0" w:line="276" w:lineRule="auto"/>
        <w:jc w:val="both"/>
        <w:rPr>
          <w:rFonts w:ascii="Verdana" w:eastAsia="Calibri" w:hAnsi="Verdana" w:cs="Arial"/>
          <w:lang w:val="es-ES"/>
        </w:rPr>
      </w:pPr>
      <w:r>
        <w:rPr>
          <w:rStyle w:val="normaltextrun"/>
          <w:rFonts w:ascii="Verdana" w:hAnsi="Verdana" w:cs="Arial"/>
          <w:shd w:val="clear" w:color="auto" w:fill="FFFFFF"/>
        </w:rPr>
        <w:t>Igualmente se ha pronunciado sobre el principio de anualidad y los mecanismos excepcionales que permiten la ejecución contractual más allá de la vigencia fiscal —vigencias futuras, reservas presupuestales, cuentas por pagar y pasivos exigibles de vigencias expiradas— en el Concepto C-004 de 2026.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22D3187A" w14:textId="36FDCF13" w:rsidR="00662087" w:rsidRPr="009037F6" w:rsidRDefault="00662087" w:rsidP="00662087">
      <w:pPr>
        <w:spacing w:after="0" w:line="256" w:lineRule="auto"/>
        <w:jc w:val="both"/>
        <w:rPr>
          <w:rFonts w:ascii="Verdana" w:eastAsia="Calibri" w:hAnsi="Verdana" w:cs="Times New Roman"/>
        </w:rPr>
      </w:pPr>
      <w:hyperlink r:id="rId12" w:history="1">
        <w:r w:rsidRPr="009037F6">
          <w:rPr>
            <w:rFonts w:ascii="Verdana" w:eastAsia="Calibri" w:hAnsi="Verdana" w:cs="Times New Roman"/>
            <w:color w:val="0000FF"/>
            <w:u w:val="single"/>
            <w:lang w:val="es-ES"/>
          </w:rPr>
          <w:t>https://relatoria.colombiacompra.gov.co/busqueda/conceptos</w:t>
        </w:r>
      </w:hyperlink>
    </w:p>
    <w:p w14:paraId="175ECDCD" w14:textId="77777777" w:rsidR="00662087" w:rsidRPr="009037F6" w:rsidRDefault="00662087" w:rsidP="00662087">
      <w:pPr>
        <w:spacing w:after="0"/>
        <w:jc w:val="both"/>
        <w:rPr>
          <w:rFonts w:ascii="Verdana" w:hAnsi="Verdana"/>
        </w:rPr>
      </w:pPr>
    </w:p>
    <w:p w14:paraId="2B09DDE8" w14:textId="77777777" w:rsidR="00662087" w:rsidRDefault="00662087" w:rsidP="00662087">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3492DC1B" w14:textId="77777777" w:rsidR="00662087" w:rsidRPr="009A385A" w:rsidRDefault="00662087" w:rsidP="00662087">
      <w:pPr>
        <w:spacing w:after="0"/>
        <w:jc w:val="both"/>
        <w:rPr>
          <w:rFonts w:ascii="Verdana" w:hAnsi="Verdana"/>
        </w:rPr>
      </w:pPr>
    </w:p>
    <w:p w14:paraId="0112D4F3" w14:textId="77777777" w:rsidR="00662087" w:rsidRDefault="00662087" w:rsidP="00662087">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w:t>
      </w:r>
      <w:r w:rsidRPr="00635F16">
        <w:rPr>
          <w:rFonts w:ascii="Verdana" w:hAnsi="Verdana"/>
        </w:rPr>
        <w:lastRenderedPageBreak/>
        <w:t>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4A801949" w14:textId="77777777" w:rsidR="00662087" w:rsidRDefault="00662087" w:rsidP="00662087">
      <w:pPr>
        <w:spacing w:after="0"/>
        <w:jc w:val="both"/>
        <w:rPr>
          <w:rFonts w:ascii="Verdana" w:hAnsi="Verdana"/>
        </w:rPr>
      </w:pPr>
    </w:p>
    <w:p w14:paraId="2F56E967" w14:textId="77777777" w:rsidR="00662087" w:rsidRPr="008E1CD7" w:rsidRDefault="00662087" w:rsidP="00662087">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3444D83B" w14:textId="77777777" w:rsidR="00662087" w:rsidRDefault="00662087" w:rsidP="00662087">
      <w:pPr>
        <w:shd w:val="clear" w:color="auto" w:fill="FFFFFF"/>
        <w:spacing w:after="0" w:line="276" w:lineRule="auto"/>
        <w:jc w:val="both"/>
        <w:rPr>
          <w:rFonts w:ascii="Verdana" w:hAnsi="Verdana"/>
          <w:color w:val="000000"/>
          <w:u w:val="single"/>
        </w:rPr>
      </w:pPr>
    </w:p>
    <w:p w14:paraId="502811AB" w14:textId="77777777" w:rsidR="00662087" w:rsidRPr="0038088D" w:rsidRDefault="00662087" w:rsidP="00662087">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2C3ABCD7" w14:textId="77777777" w:rsidR="00662087" w:rsidRPr="0038088D" w:rsidRDefault="00662087" w:rsidP="00662087">
      <w:pPr>
        <w:spacing w:after="0"/>
        <w:jc w:val="both"/>
        <w:rPr>
          <w:rFonts w:ascii="Verdana" w:hAnsi="Verdana"/>
        </w:rPr>
      </w:pPr>
    </w:p>
    <w:p w14:paraId="646B5746" w14:textId="77777777" w:rsidR="00662087" w:rsidRPr="0038088D" w:rsidRDefault="00662087" w:rsidP="00662087">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05000A1A" w14:textId="77777777" w:rsidR="00662087" w:rsidRPr="0038088D" w:rsidRDefault="00662087" w:rsidP="00662087">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r w:rsidRPr="0038088D">
        <w:rPr>
          <w:rStyle w:val="Hipervnculo"/>
          <w:rFonts w:ascii="Verdana" w:hAnsi="Verdana"/>
        </w:rPr>
        <w:t>+57 601 7456788</w:t>
      </w:r>
    </w:p>
    <w:p w14:paraId="6D90299C" w14:textId="77777777" w:rsidR="00662087" w:rsidRPr="0038088D" w:rsidRDefault="00662087" w:rsidP="00662087">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6">
        <w:r w:rsidRPr="0038088D">
          <w:rPr>
            <w:rStyle w:val="Hipervnculo"/>
            <w:rFonts w:ascii="Verdana" w:eastAsia="Verdana" w:hAnsi="Verdana" w:cs="Verdana"/>
          </w:rPr>
          <w:t>ventanilladeradicacion@colombiacompra.gov.co</w:t>
        </w:r>
      </w:hyperlink>
    </w:p>
    <w:p w14:paraId="4E993F48" w14:textId="77777777" w:rsidR="00662087" w:rsidRPr="0038088D" w:rsidRDefault="00662087" w:rsidP="00662087">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7">
        <w:r w:rsidRPr="0038088D">
          <w:rPr>
            <w:rStyle w:val="Hipervnculo"/>
            <w:rFonts w:ascii="Verdana" w:eastAsia="Verdana" w:hAnsi="Verdana" w:cs="Verdana"/>
          </w:rPr>
          <w:t>https://www.colombiacompra.gov.co/pqrsd/informacion-importante-antes-de-formular-una-pqrsd</w:t>
        </w:r>
      </w:hyperlink>
    </w:p>
    <w:p w14:paraId="681D7F80" w14:textId="77777777" w:rsidR="00662087" w:rsidRPr="0038088D" w:rsidRDefault="00662087" w:rsidP="00662087">
      <w:pPr>
        <w:spacing w:after="0" w:line="240" w:lineRule="auto"/>
        <w:ind w:left="720"/>
        <w:jc w:val="both"/>
        <w:rPr>
          <w:rFonts w:ascii="Verdana" w:hAnsi="Verdana"/>
        </w:rPr>
      </w:pPr>
    </w:p>
    <w:p w14:paraId="4EB1433E" w14:textId="77777777" w:rsidR="00662087" w:rsidRPr="0038088D" w:rsidRDefault="00662087" w:rsidP="00662087">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8"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016D7107" w14:textId="77777777" w:rsidR="00662087" w:rsidRPr="0038088D" w:rsidRDefault="00662087" w:rsidP="00662087">
      <w:pPr>
        <w:spacing w:after="0" w:line="240" w:lineRule="auto"/>
        <w:rPr>
          <w:rFonts w:ascii="Verdana" w:hAnsi="Verdana"/>
        </w:rPr>
      </w:pPr>
    </w:p>
    <w:p w14:paraId="5E95C24D" w14:textId="77777777" w:rsidR="00662087" w:rsidRPr="0038088D" w:rsidRDefault="00662087" w:rsidP="00662087">
      <w:pPr>
        <w:spacing w:after="0" w:line="240" w:lineRule="auto"/>
        <w:jc w:val="both"/>
        <w:rPr>
          <w:rFonts w:ascii="Verdana" w:hAnsi="Verdana"/>
        </w:rPr>
      </w:pPr>
      <w:r w:rsidRPr="0038088D">
        <w:rPr>
          <w:rFonts w:ascii="Verdana" w:hAnsi="Verdana"/>
        </w:rPr>
        <w:lastRenderedPageBreak/>
        <w:t xml:space="preserve">Por último, lo invitamos a seguirnos en las redes sociales en las cuales se difunde información institucional: </w:t>
      </w:r>
    </w:p>
    <w:p w14:paraId="324BFCFC" w14:textId="77777777" w:rsidR="00662087" w:rsidRPr="00116940" w:rsidRDefault="00662087" w:rsidP="00662087">
      <w:pPr>
        <w:spacing w:after="0" w:line="240" w:lineRule="auto"/>
        <w:jc w:val="both"/>
        <w:rPr>
          <w:rFonts w:ascii="Verdana" w:hAnsi="Verdana"/>
        </w:rPr>
      </w:pPr>
    </w:p>
    <w:p w14:paraId="28351BE7" w14:textId="77777777" w:rsidR="00662087" w:rsidRPr="00116940" w:rsidRDefault="00662087" w:rsidP="00662087">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187C23EB" w14:textId="77777777" w:rsidR="00662087" w:rsidRPr="00116940" w:rsidRDefault="00662087" w:rsidP="00662087">
      <w:pPr>
        <w:spacing w:after="0" w:line="240"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6D7AAE48" w14:textId="77777777" w:rsidR="00662087" w:rsidRPr="00E22E6E" w:rsidRDefault="00662087" w:rsidP="00662087">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167CFE0A" w14:textId="77777777" w:rsidR="00662087" w:rsidRPr="009C4035" w:rsidRDefault="00662087" w:rsidP="00662087">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542A7F1A" w14:textId="77777777" w:rsidR="00662087" w:rsidRPr="00593A5F" w:rsidRDefault="00662087" w:rsidP="00662087">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7D5AEE7F" w14:textId="77777777" w:rsidR="00662087" w:rsidRDefault="00662087" w:rsidP="00662087">
      <w:pPr>
        <w:widowControl w:val="0"/>
        <w:autoSpaceDE w:val="0"/>
        <w:autoSpaceDN w:val="0"/>
        <w:spacing w:after="0" w:line="276" w:lineRule="auto"/>
        <w:jc w:val="both"/>
        <w:rPr>
          <w:rFonts w:ascii="Verdana" w:hAnsi="Verdana" w:cs="Arial"/>
        </w:rPr>
      </w:pPr>
    </w:p>
    <w:p w14:paraId="4F074BFF" w14:textId="77777777" w:rsidR="008D539F" w:rsidRPr="008D539F" w:rsidRDefault="008D539F" w:rsidP="008D539F">
      <w:pPr>
        <w:spacing w:after="0" w:line="276" w:lineRule="auto"/>
        <w:rPr>
          <w:rFonts w:ascii="Verdana" w:eastAsia="Calibri" w:hAnsi="Verdana" w:cs="Arial"/>
          <w:lang w:val="es-ES" w:eastAsia="es-CO"/>
        </w:rPr>
      </w:pPr>
      <w:r w:rsidRPr="008D539F">
        <w:rPr>
          <w:rFonts w:ascii="Verdana" w:eastAsia="Times New Roman" w:hAnsi="Verdana" w:cs="Arial"/>
          <w:lang w:val="es-ES" w:eastAsia="es-CO"/>
        </w:rPr>
        <w:t>Atentamente,</w:t>
      </w:r>
      <w:r w:rsidRPr="008D539F">
        <w:rPr>
          <w:rFonts w:ascii="Verdana" w:eastAsia="Calibri" w:hAnsi="Verdana" w:cs="Arial"/>
          <w:lang w:val="es-ES" w:eastAsia="es-CO"/>
        </w:rPr>
        <w:t xml:space="preserve"> </w:t>
      </w:r>
    </w:p>
    <w:p w14:paraId="65FB497B" w14:textId="77777777" w:rsidR="008D539F" w:rsidRPr="008D539F" w:rsidRDefault="008D539F" w:rsidP="008D539F">
      <w:pPr>
        <w:spacing w:after="0" w:line="276" w:lineRule="auto"/>
        <w:rPr>
          <w:rFonts w:ascii="Verdana" w:eastAsia="Calibri" w:hAnsi="Verdana" w:cs="Times New Roman"/>
          <w:noProof/>
          <w:color w:val="ED7D31" w:themeColor="accent2"/>
        </w:rPr>
      </w:pPr>
    </w:p>
    <w:p w14:paraId="743ED756" w14:textId="77777777" w:rsidR="008D539F" w:rsidRPr="008D539F" w:rsidRDefault="008D539F" w:rsidP="008D539F">
      <w:pPr>
        <w:spacing w:after="0" w:line="276" w:lineRule="auto"/>
        <w:jc w:val="both"/>
        <w:rPr>
          <w:rFonts w:ascii="Verdana" w:eastAsia="Times New Roman" w:hAnsi="Verdana" w:cs="Segoe UI"/>
          <w:lang w:eastAsia="es-CO"/>
        </w:rPr>
      </w:pPr>
    </w:p>
    <w:p w14:paraId="29D7EE69" w14:textId="77777777" w:rsidR="008D539F" w:rsidRPr="008D539F" w:rsidRDefault="008D539F" w:rsidP="008D539F">
      <w:pPr>
        <w:autoSpaceDE w:val="0"/>
        <w:autoSpaceDN w:val="0"/>
        <w:adjustRightInd w:val="0"/>
        <w:spacing w:after="0" w:line="276" w:lineRule="auto"/>
        <w:rPr>
          <w:rFonts w:ascii="Verdana" w:eastAsia="Calibri" w:hAnsi="Verdana" w:cs="Arial"/>
          <w:noProof/>
          <w:sz w:val="20"/>
          <w:szCs w:val="20"/>
        </w:rPr>
      </w:pPr>
    </w:p>
    <w:p w14:paraId="5BE208D6" w14:textId="5D2FB08D" w:rsidR="008D539F" w:rsidRPr="008D539F" w:rsidRDefault="00D22B2C" w:rsidP="008D539F">
      <w:pPr>
        <w:autoSpaceDE w:val="0"/>
        <w:autoSpaceDN w:val="0"/>
        <w:adjustRightInd w:val="0"/>
        <w:spacing w:after="0" w:line="276" w:lineRule="auto"/>
        <w:jc w:val="center"/>
        <w:rPr>
          <w:rFonts w:ascii="Verdana" w:eastAsia="Calibri" w:hAnsi="Verdana" w:cs="Arial"/>
          <w:noProof/>
          <w:sz w:val="20"/>
          <w:szCs w:val="20"/>
        </w:rPr>
      </w:pPr>
      <w:r w:rsidRPr="002C3AD6">
        <w:rPr>
          <w:rFonts w:ascii="Century Gothic" w:hAnsi="Century Gothic"/>
          <w:noProof/>
        </w:rPr>
        <w:drawing>
          <wp:inline distT="0" distB="0" distL="0" distR="0" wp14:anchorId="0994F5B5" wp14:editId="32A2C41F">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p w14:paraId="229FA254" w14:textId="77777777" w:rsidR="008D539F" w:rsidRPr="008D539F" w:rsidRDefault="008D539F" w:rsidP="00D22B2C">
      <w:pPr>
        <w:spacing w:after="0" w:line="240" w:lineRule="auto"/>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8D539F" w:rsidRPr="008D539F" w14:paraId="27276D5F" w14:textId="77777777">
        <w:trPr>
          <w:trHeight w:val="322"/>
        </w:trPr>
        <w:tc>
          <w:tcPr>
            <w:tcW w:w="733" w:type="dxa"/>
            <w:tcBorders>
              <w:top w:val="nil"/>
              <w:left w:val="nil"/>
              <w:bottom w:val="nil"/>
              <w:right w:val="nil"/>
            </w:tcBorders>
            <w:vAlign w:val="center"/>
            <w:hideMark/>
          </w:tcPr>
          <w:p w14:paraId="61232F01" w14:textId="77777777" w:rsidR="008D539F" w:rsidRPr="008D539F" w:rsidRDefault="008D539F" w:rsidP="008D539F">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Elaboró:         </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414A946" w14:textId="77777777" w:rsidR="00D04629" w:rsidRDefault="00D04629" w:rsidP="008D539F">
            <w:pPr>
              <w:spacing w:after="0" w:line="254"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 xml:space="preserve">Camilo J Martínez M </w:t>
            </w:r>
            <w:r w:rsidR="008D539F" w:rsidRPr="008D539F">
              <w:rPr>
                <w:rFonts w:ascii="Verdana" w:eastAsia="Times New Roman" w:hAnsi="Verdana" w:cs="Arial"/>
                <w:sz w:val="16"/>
                <w:szCs w:val="16"/>
                <w:lang w:val="es-ES_tradnl" w:eastAsia="es-ES"/>
              </w:rPr>
              <w:t xml:space="preserve"> </w:t>
            </w:r>
          </w:p>
          <w:p w14:paraId="1DCF25F0" w14:textId="61BCD3C2" w:rsidR="008D539F" w:rsidRPr="008D539F" w:rsidRDefault="008D539F" w:rsidP="008D539F">
            <w:pPr>
              <w:spacing w:after="0" w:line="254" w:lineRule="auto"/>
              <w:rPr>
                <w:rFonts w:ascii="Verdana" w:eastAsia="Times New Roman" w:hAnsi="Verdana" w:cs="Arial"/>
                <w:sz w:val="16"/>
                <w:szCs w:val="16"/>
                <w:lang w:val="es-ES_tradnl" w:eastAsia="es-ES"/>
              </w:rPr>
            </w:pPr>
            <w:r w:rsidRPr="008D539F">
              <w:rPr>
                <w:rFonts w:ascii="Verdana" w:eastAsia="Times New Roman" w:hAnsi="Verdana" w:cs="Arial"/>
                <w:sz w:val="16"/>
                <w:szCs w:val="16"/>
                <w:lang w:val="es-ES_tradnl" w:eastAsia="es-ES"/>
              </w:rPr>
              <w:t>Contratista de la Subdirección de Gestión Contractual</w:t>
            </w:r>
          </w:p>
        </w:tc>
      </w:tr>
      <w:tr w:rsidR="008D539F" w:rsidRPr="008D539F" w14:paraId="70EDCEEF" w14:textId="77777777">
        <w:trPr>
          <w:trHeight w:val="322"/>
        </w:trPr>
        <w:tc>
          <w:tcPr>
            <w:tcW w:w="733" w:type="dxa"/>
            <w:tcBorders>
              <w:top w:val="nil"/>
              <w:left w:val="nil"/>
              <w:bottom w:val="nil"/>
              <w:right w:val="nil"/>
            </w:tcBorders>
            <w:vAlign w:val="center"/>
            <w:hideMark/>
          </w:tcPr>
          <w:p w14:paraId="2E9B8E4F" w14:textId="77777777" w:rsidR="008D539F" w:rsidRPr="008D539F" w:rsidRDefault="008D539F" w:rsidP="008D539F">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Revisó: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510F416A" w14:textId="77777777" w:rsidR="00D04629" w:rsidRDefault="00D04629" w:rsidP="008D539F">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 xml:space="preserve">Juan David Cárdenas </w:t>
            </w:r>
          </w:p>
          <w:p w14:paraId="20AF3A67" w14:textId="4D3A4FAB" w:rsidR="008D539F" w:rsidRPr="008D539F" w:rsidRDefault="005746D5" w:rsidP="008D539F">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Contratista de la Subdirección de Gestión Contractual</w:t>
            </w:r>
          </w:p>
        </w:tc>
      </w:tr>
      <w:tr w:rsidR="008D539F" w:rsidRPr="008D539F" w14:paraId="72670CA9" w14:textId="77777777">
        <w:trPr>
          <w:trHeight w:val="307"/>
        </w:trPr>
        <w:tc>
          <w:tcPr>
            <w:tcW w:w="733" w:type="dxa"/>
            <w:tcBorders>
              <w:top w:val="nil"/>
              <w:left w:val="nil"/>
              <w:bottom w:val="nil"/>
              <w:right w:val="nil"/>
            </w:tcBorders>
            <w:vAlign w:val="center"/>
            <w:hideMark/>
          </w:tcPr>
          <w:p w14:paraId="6E28AB85" w14:textId="77777777" w:rsidR="008D539F" w:rsidRPr="008D539F" w:rsidRDefault="008D539F" w:rsidP="008D539F">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Aprobó: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9490188" w14:textId="77777777" w:rsidR="008D539F" w:rsidRPr="008D539F" w:rsidRDefault="008D539F" w:rsidP="008D539F">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Carolina Quintero Gacharná</w:t>
            </w:r>
          </w:p>
          <w:p w14:paraId="70CC8DC1" w14:textId="77777777" w:rsidR="008D539F" w:rsidRPr="008D539F" w:rsidRDefault="008D539F" w:rsidP="008D539F">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Subdirectora de Gestión Contractual ANCP – CCE</w:t>
            </w:r>
          </w:p>
        </w:tc>
      </w:tr>
    </w:tbl>
    <w:p w14:paraId="765DB0CB" w14:textId="77777777" w:rsidR="008D539F" w:rsidRPr="008D539F" w:rsidRDefault="008D539F" w:rsidP="008D539F">
      <w:pPr>
        <w:autoSpaceDE w:val="0"/>
        <w:autoSpaceDN w:val="0"/>
        <w:adjustRightInd w:val="0"/>
        <w:spacing w:after="0" w:line="276" w:lineRule="auto"/>
        <w:jc w:val="center"/>
        <w:rPr>
          <w:rFonts w:ascii="Verdana" w:eastAsia="Calibri" w:hAnsi="Verdana" w:cs="Arial"/>
        </w:rPr>
      </w:pPr>
    </w:p>
    <w:p w14:paraId="09A9C901" w14:textId="26DE4FFE" w:rsidR="008D539F" w:rsidRPr="00593A5F" w:rsidRDefault="008D539F" w:rsidP="00662087">
      <w:pPr>
        <w:widowControl w:val="0"/>
        <w:autoSpaceDE w:val="0"/>
        <w:autoSpaceDN w:val="0"/>
        <w:spacing w:after="0" w:line="276" w:lineRule="auto"/>
        <w:jc w:val="both"/>
        <w:rPr>
          <w:rFonts w:ascii="Verdana" w:hAnsi="Verdana" w:cs="Arial"/>
        </w:rPr>
      </w:pPr>
    </w:p>
    <w:sectPr w:rsidR="008D539F" w:rsidRPr="00593A5F"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D787D" w14:textId="77777777" w:rsidR="00F348AE" w:rsidRDefault="00F348AE" w:rsidP="004A1847">
      <w:pPr>
        <w:spacing w:after="0" w:line="240" w:lineRule="auto"/>
      </w:pPr>
      <w:r>
        <w:separator/>
      </w:r>
    </w:p>
  </w:endnote>
  <w:endnote w:type="continuationSeparator" w:id="0">
    <w:p w14:paraId="334EE316" w14:textId="77777777" w:rsidR="00F348AE" w:rsidRDefault="00F348A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3332A8" w:rsidRDefault="003332A8">
    <w:pPr>
      <w:pStyle w:val="Piedepgina"/>
    </w:pPr>
  </w:p>
  <w:p w14:paraId="594D6D9F" w14:textId="2FA85F4B"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751DE8" w:rsidRPr="00751DE8">
      <w:rPr>
        <w:rFonts w:ascii="Verdana" w:eastAsiaTheme="minorEastAsia" w:hAnsi="Verdana"/>
        <w:b/>
        <w:bCs/>
        <w:noProof/>
        <w:sz w:val="16"/>
        <w:szCs w:val="16"/>
      </w:rPr>
      <w:t>19</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10D93" w14:textId="77777777" w:rsidR="00F348AE" w:rsidRDefault="00F348AE" w:rsidP="004A1847">
      <w:pPr>
        <w:spacing w:after="0" w:line="240" w:lineRule="auto"/>
      </w:pPr>
      <w:r>
        <w:separator/>
      </w:r>
    </w:p>
  </w:footnote>
  <w:footnote w:type="continuationSeparator" w:id="0">
    <w:p w14:paraId="3464C6A4" w14:textId="77777777" w:rsidR="00F348AE" w:rsidRDefault="00F348AE"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332A8" w:rsidRDefault="003332A8">
    <w:pPr>
      <w:pStyle w:val="Encabezado"/>
    </w:pPr>
  </w:p>
  <w:p w14:paraId="5E18350A" w14:textId="705F7B76" w:rsidR="003332A8" w:rsidRPr="004A305D" w:rsidRDefault="003332A8" w:rsidP="00B01B1A">
    <w:pPr>
      <w:spacing w:after="0" w:line="120" w:lineRule="auto"/>
      <w:rPr>
        <w:rFonts w:ascii="Century Gothic" w:eastAsia="Geo" w:hAnsi="Century Gothic" w:cs="Geo"/>
        <w:sz w:val="16"/>
        <w:szCs w:val="16"/>
        <w:lang w:eastAsia="es-CO"/>
      </w:rPr>
    </w:pPr>
  </w:p>
  <w:p w14:paraId="211B7F5D" w14:textId="77777777" w:rsidR="003332A8" w:rsidRDefault="003332A8" w:rsidP="00844AE9">
    <w:pPr>
      <w:spacing w:after="0" w:line="240" w:lineRule="auto"/>
      <w:rPr>
        <w:rFonts w:ascii="Verdana" w:hAnsi="Verdana"/>
        <w:sz w:val="24"/>
        <w:szCs w:val="24"/>
      </w:rPr>
    </w:pPr>
  </w:p>
  <w:p w14:paraId="5A0054B1" w14:textId="77777777" w:rsidR="003332A8" w:rsidRPr="00C925AC" w:rsidRDefault="003332A8" w:rsidP="00844AE9">
    <w:pPr>
      <w:spacing w:after="0" w:line="240" w:lineRule="auto"/>
      <w:rPr>
        <w:rFonts w:ascii="Verdana" w:hAnsi="Verdana"/>
        <w:sz w:val="24"/>
        <w:szCs w:val="24"/>
      </w:rPr>
    </w:pPr>
  </w:p>
  <w:p w14:paraId="1FD1C243" w14:textId="37C5500A"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pt;height:10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129E7B66"/>
    <w:lvl w:ilvl="0" w:tplc="080A000F">
      <w:start w:val="1"/>
      <w:numFmt w:val="decimal"/>
      <w:lvlText w:val="%1."/>
      <w:lvlJc w:val="left"/>
      <w:pPr>
        <w:ind w:left="720" w:hanging="36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E353CA8"/>
    <w:multiLevelType w:val="hybridMultilevel"/>
    <w:tmpl w:val="8556CC82"/>
    <w:lvl w:ilvl="0" w:tplc="147AD612">
      <w:start w:val="1"/>
      <w:numFmt w:val="decimal"/>
      <w:lvlText w:val="%1."/>
      <w:lvlJc w:val="left"/>
      <w:pPr>
        <w:ind w:left="1065" w:hanging="360"/>
      </w:pPr>
      <w:rPr>
        <w:rFonts w:ascii="Arial" w:hAnsi="Arial" w:cs="Arial" w:hint="default"/>
        <w:b w:val="0"/>
        <w:bCs/>
        <w:sz w:val="22"/>
        <w:szCs w:val="22"/>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42839426">
    <w:abstractNumId w:val="10"/>
  </w:num>
  <w:num w:numId="2" w16cid:durableId="575671387">
    <w:abstractNumId w:val="2"/>
  </w:num>
  <w:num w:numId="3" w16cid:durableId="478959013">
    <w:abstractNumId w:val="8"/>
  </w:num>
  <w:num w:numId="4" w16cid:durableId="114566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84566880">
    <w:abstractNumId w:val="2"/>
  </w:num>
  <w:num w:numId="6" w16cid:durableId="699085116">
    <w:abstractNumId w:val="18"/>
  </w:num>
  <w:num w:numId="7" w16cid:durableId="1974751856">
    <w:abstractNumId w:val="9"/>
  </w:num>
  <w:num w:numId="8" w16cid:durableId="1524243295">
    <w:abstractNumId w:val="16"/>
  </w:num>
  <w:num w:numId="9" w16cid:durableId="1693993010">
    <w:abstractNumId w:val="11"/>
  </w:num>
  <w:num w:numId="10" w16cid:durableId="756638953">
    <w:abstractNumId w:val="15"/>
  </w:num>
  <w:num w:numId="11" w16cid:durableId="1511916912">
    <w:abstractNumId w:val="12"/>
  </w:num>
  <w:num w:numId="12" w16cid:durableId="1733693583">
    <w:abstractNumId w:val="0"/>
  </w:num>
  <w:num w:numId="13" w16cid:durableId="2044207265">
    <w:abstractNumId w:val="5"/>
  </w:num>
  <w:num w:numId="14" w16cid:durableId="1715882887">
    <w:abstractNumId w:val="19"/>
  </w:num>
  <w:num w:numId="15" w16cid:durableId="368184482">
    <w:abstractNumId w:val="14"/>
  </w:num>
  <w:num w:numId="16" w16cid:durableId="986013926">
    <w:abstractNumId w:val="6"/>
  </w:num>
  <w:num w:numId="17" w16cid:durableId="173233579">
    <w:abstractNumId w:val="13"/>
  </w:num>
  <w:num w:numId="18" w16cid:durableId="1762485312">
    <w:abstractNumId w:val="22"/>
  </w:num>
  <w:num w:numId="19" w16cid:durableId="390540605">
    <w:abstractNumId w:val="21"/>
  </w:num>
  <w:num w:numId="20" w16cid:durableId="1630667266">
    <w:abstractNumId w:val="1"/>
  </w:num>
  <w:num w:numId="21" w16cid:durableId="686448761">
    <w:abstractNumId w:val="4"/>
  </w:num>
  <w:num w:numId="22" w16cid:durableId="1933010044">
    <w:abstractNumId w:val="7"/>
  </w:num>
  <w:num w:numId="23" w16cid:durableId="1621455384">
    <w:abstractNumId w:val="3"/>
  </w:num>
  <w:num w:numId="24" w16cid:durableId="1864779819">
    <w:abstractNumId w:val="20"/>
  </w:num>
  <w:num w:numId="25" w16cid:durableId="11690623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5660"/>
    <w:rsid w:val="000063E0"/>
    <w:rsid w:val="0001083E"/>
    <w:rsid w:val="000134D5"/>
    <w:rsid w:val="00016F78"/>
    <w:rsid w:val="00030B1D"/>
    <w:rsid w:val="000353BD"/>
    <w:rsid w:val="000401ED"/>
    <w:rsid w:val="000468A1"/>
    <w:rsid w:val="00046945"/>
    <w:rsid w:val="00061B2A"/>
    <w:rsid w:val="000711CF"/>
    <w:rsid w:val="00076D52"/>
    <w:rsid w:val="00080B1D"/>
    <w:rsid w:val="00082362"/>
    <w:rsid w:val="00085031"/>
    <w:rsid w:val="000866ED"/>
    <w:rsid w:val="00087566"/>
    <w:rsid w:val="0009079C"/>
    <w:rsid w:val="000A1514"/>
    <w:rsid w:val="000A1642"/>
    <w:rsid w:val="000A66E5"/>
    <w:rsid w:val="000A683E"/>
    <w:rsid w:val="000B0D04"/>
    <w:rsid w:val="000B0FAA"/>
    <w:rsid w:val="000B19B9"/>
    <w:rsid w:val="000B27F0"/>
    <w:rsid w:val="000C013D"/>
    <w:rsid w:val="000C5A9E"/>
    <w:rsid w:val="000D0334"/>
    <w:rsid w:val="000D1DC8"/>
    <w:rsid w:val="000D4734"/>
    <w:rsid w:val="000D5DA7"/>
    <w:rsid w:val="000E6E2C"/>
    <w:rsid w:val="000F01E9"/>
    <w:rsid w:val="000F078F"/>
    <w:rsid w:val="000F3444"/>
    <w:rsid w:val="000F3E03"/>
    <w:rsid w:val="000F512E"/>
    <w:rsid w:val="000F6486"/>
    <w:rsid w:val="000F7FD4"/>
    <w:rsid w:val="00105C57"/>
    <w:rsid w:val="00105E1D"/>
    <w:rsid w:val="001161CA"/>
    <w:rsid w:val="001168F2"/>
    <w:rsid w:val="00116940"/>
    <w:rsid w:val="00125105"/>
    <w:rsid w:val="00127233"/>
    <w:rsid w:val="001328F3"/>
    <w:rsid w:val="00134724"/>
    <w:rsid w:val="001428DC"/>
    <w:rsid w:val="00151D59"/>
    <w:rsid w:val="001521B3"/>
    <w:rsid w:val="0015699B"/>
    <w:rsid w:val="00165609"/>
    <w:rsid w:val="00171640"/>
    <w:rsid w:val="00174D6E"/>
    <w:rsid w:val="00180954"/>
    <w:rsid w:val="0018398D"/>
    <w:rsid w:val="0018679F"/>
    <w:rsid w:val="0019045D"/>
    <w:rsid w:val="00192805"/>
    <w:rsid w:val="0019621B"/>
    <w:rsid w:val="0019787F"/>
    <w:rsid w:val="001A33BF"/>
    <w:rsid w:val="001A35A7"/>
    <w:rsid w:val="001A4FDA"/>
    <w:rsid w:val="001A5968"/>
    <w:rsid w:val="001B24C7"/>
    <w:rsid w:val="001B49B3"/>
    <w:rsid w:val="001C1EB2"/>
    <w:rsid w:val="001C5AE4"/>
    <w:rsid w:val="001C61B3"/>
    <w:rsid w:val="001D02CC"/>
    <w:rsid w:val="001D16E0"/>
    <w:rsid w:val="001D64AE"/>
    <w:rsid w:val="001E2E05"/>
    <w:rsid w:val="001E4177"/>
    <w:rsid w:val="001F0B24"/>
    <w:rsid w:val="001F5903"/>
    <w:rsid w:val="001F5DD0"/>
    <w:rsid w:val="001F7DC6"/>
    <w:rsid w:val="002022E0"/>
    <w:rsid w:val="00207466"/>
    <w:rsid w:val="00211A12"/>
    <w:rsid w:val="00211E12"/>
    <w:rsid w:val="00212AD1"/>
    <w:rsid w:val="00216E4C"/>
    <w:rsid w:val="00217FCA"/>
    <w:rsid w:val="002209DE"/>
    <w:rsid w:val="0022400B"/>
    <w:rsid w:val="0023515D"/>
    <w:rsid w:val="002421BB"/>
    <w:rsid w:val="00242F3E"/>
    <w:rsid w:val="00253436"/>
    <w:rsid w:val="002543AD"/>
    <w:rsid w:val="0025796E"/>
    <w:rsid w:val="0026018C"/>
    <w:rsid w:val="00261EDF"/>
    <w:rsid w:val="0026324D"/>
    <w:rsid w:val="00265065"/>
    <w:rsid w:val="0026579C"/>
    <w:rsid w:val="002707A2"/>
    <w:rsid w:val="00275482"/>
    <w:rsid w:val="00277C07"/>
    <w:rsid w:val="0028778F"/>
    <w:rsid w:val="00291AD4"/>
    <w:rsid w:val="00294ADE"/>
    <w:rsid w:val="002951A0"/>
    <w:rsid w:val="002962BC"/>
    <w:rsid w:val="002975A4"/>
    <w:rsid w:val="002A093D"/>
    <w:rsid w:val="002A0DD0"/>
    <w:rsid w:val="002A49AC"/>
    <w:rsid w:val="002A64FD"/>
    <w:rsid w:val="002B730F"/>
    <w:rsid w:val="002C7A84"/>
    <w:rsid w:val="002E05EF"/>
    <w:rsid w:val="002E2BF8"/>
    <w:rsid w:val="002E4FD9"/>
    <w:rsid w:val="002F0847"/>
    <w:rsid w:val="002F2B42"/>
    <w:rsid w:val="0030657A"/>
    <w:rsid w:val="00311FF5"/>
    <w:rsid w:val="003136DC"/>
    <w:rsid w:val="003156BF"/>
    <w:rsid w:val="00316053"/>
    <w:rsid w:val="00322A85"/>
    <w:rsid w:val="00322C00"/>
    <w:rsid w:val="00322D77"/>
    <w:rsid w:val="00324168"/>
    <w:rsid w:val="00330834"/>
    <w:rsid w:val="003332A8"/>
    <w:rsid w:val="003448F4"/>
    <w:rsid w:val="003475FC"/>
    <w:rsid w:val="00351F93"/>
    <w:rsid w:val="0035412A"/>
    <w:rsid w:val="0037228E"/>
    <w:rsid w:val="00374F5E"/>
    <w:rsid w:val="003769E1"/>
    <w:rsid w:val="00377E3E"/>
    <w:rsid w:val="00381BAB"/>
    <w:rsid w:val="003878B3"/>
    <w:rsid w:val="003A26B0"/>
    <w:rsid w:val="003A779E"/>
    <w:rsid w:val="003B0DFC"/>
    <w:rsid w:val="003C0ED7"/>
    <w:rsid w:val="003D0F4D"/>
    <w:rsid w:val="003D3FF4"/>
    <w:rsid w:val="003D494E"/>
    <w:rsid w:val="003D5B0D"/>
    <w:rsid w:val="003E0499"/>
    <w:rsid w:val="003E4915"/>
    <w:rsid w:val="003E4C37"/>
    <w:rsid w:val="003E4F80"/>
    <w:rsid w:val="003E6439"/>
    <w:rsid w:val="003F18C5"/>
    <w:rsid w:val="003F1FD8"/>
    <w:rsid w:val="003F3941"/>
    <w:rsid w:val="00403388"/>
    <w:rsid w:val="00403EFA"/>
    <w:rsid w:val="0040494E"/>
    <w:rsid w:val="00406575"/>
    <w:rsid w:val="004140B3"/>
    <w:rsid w:val="00414C74"/>
    <w:rsid w:val="00416706"/>
    <w:rsid w:val="0042722E"/>
    <w:rsid w:val="0044528D"/>
    <w:rsid w:val="00451137"/>
    <w:rsid w:val="00452650"/>
    <w:rsid w:val="004555EA"/>
    <w:rsid w:val="0045785F"/>
    <w:rsid w:val="00464ACB"/>
    <w:rsid w:val="00466E39"/>
    <w:rsid w:val="004768AE"/>
    <w:rsid w:val="00483937"/>
    <w:rsid w:val="00484E40"/>
    <w:rsid w:val="0048787A"/>
    <w:rsid w:val="00492A06"/>
    <w:rsid w:val="00492C4A"/>
    <w:rsid w:val="00494F04"/>
    <w:rsid w:val="004A0841"/>
    <w:rsid w:val="004A0A0B"/>
    <w:rsid w:val="004A0E5C"/>
    <w:rsid w:val="004A1847"/>
    <w:rsid w:val="004A305D"/>
    <w:rsid w:val="004B3DAC"/>
    <w:rsid w:val="004B5C63"/>
    <w:rsid w:val="004B73B9"/>
    <w:rsid w:val="004C0DBB"/>
    <w:rsid w:val="004D2B6F"/>
    <w:rsid w:val="004E2B92"/>
    <w:rsid w:val="004F21C4"/>
    <w:rsid w:val="004F685F"/>
    <w:rsid w:val="005000A1"/>
    <w:rsid w:val="00503361"/>
    <w:rsid w:val="005062AF"/>
    <w:rsid w:val="00513BF7"/>
    <w:rsid w:val="00515A4E"/>
    <w:rsid w:val="00515F6A"/>
    <w:rsid w:val="00517955"/>
    <w:rsid w:val="005229DB"/>
    <w:rsid w:val="00524422"/>
    <w:rsid w:val="00534886"/>
    <w:rsid w:val="005365D9"/>
    <w:rsid w:val="00536A0E"/>
    <w:rsid w:val="0055262A"/>
    <w:rsid w:val="00553040"/>
    <w:rsid w:val="005566E8"/>
    <w:rsid w:val="00560892"/>
    <w:rsid w:val="005648EC"/>
    <w:rsid w:val="00570B00"/>
    <w:rsid w:val="00572622"/>
    <w:rsid w:val="00573280"/>
    <w:rsid w:val="005746D5"/>
    <w:rsid w:val="00574867"/>
    <w:rsid w:val="00591460"/>
    <w:rsid w:val="00592C94"/>
    <w:rsid w:val="005A2CAB"/>
    <w:rsid w:val="005A4AF9"/>
    <w:rsid w:val="005A5114"/>
    <w:rsid w:val="005A52A7"/>
    <w:rsid w:val="005A57A5"/>
    <w:rsid w:val="005A65E0"/>
    <w:rsid w:val="005C0881"/>
    <w:rsid w:val="005C3777"/>
    <w:rsid w:val="005C5CDC"/>
    <w:rsid w:val="005D2566"/>
    <w:rsid w:val="005D476C"/>
    <w:rsid w:val="005D7628"/>
    <w:rsid w:val="005F20A4"/>
    <w:rsid w:val="00600D92"/>
    <w:rsid w:val="00603C5B"/>
    <w:rsid w:val="00611CE6"/>
    <w:rsid w:val="006137E1"/>
    <w:rsid w:val="00615105"/>
    <w:rsid w:val="00617200"/>
    <w:rsid w:val="00617E91"/>
    <w:rsid w:val="006200BF"/>
    <w:rsid w:val="0062143E"/>
    <w:rsid w:val="006219F8"/>
    <w:rsid w:val="00624A89"/>
    <w:rsid w:val="00624EEC"/>
    <w:rsid w:val="006302F7"/>
    <w:rsid w:val="00640441"/>
    <w:rsid w:val="00646B9F"/>
    <w:rsid w:val="00646F24"/>
    <w:rsid w:val="006547C3"/>
    <w:rsid w:val="00660C46"/>
    <w:rsid w:val="00662087"/>
    <w:rsid w:val="00663A04"/>
    <w:rsid w:val="00665D70"/>
    <w:rsid w:val="00672499"/>
    <w:rsid w:val="00684F67"/>
    <w:rsid w:val="0068758B"/>
    <w:rsid w:val="006900D9"/>
    <w:rsid w:val="00696960"/>
    <w:rsid w:val="0069741A"/>
    <w:rsid w:val="006A2BE4"/>
    <w:rsid w:val="006A6BF4"/>
    <w:rsid w:val="006B4707"/>
    <w:rsid w:val="006C38A9"/>
    <w:rsid w:val="006D13BA"/>
    <w:rsid w:val="006D1D21"/>
    <w:rsid w:val="006D2B34"/>
    <w:rsid w:val="006D591D"/>
    <w:rsid w:val="006D64EE"/>
    <w:rsid w:val="006E3854"/>
    <w:rsid w:val="006F2238"/>
    <w:rsid w:val="006F4199"/>
    <w:rsid w:val="007009D7"/>
    <w:rsid w:val="007025D7"/>
    <w:rsid w:val="00706C16"/>
    <w:rsid w:val="0071557C"/>
    <w:rsid w:val="00720597"/>
    <w:rsid w:val="00722A5A"/>
    <w:rsid w:val="00723639"/>
    <w:rsid w:val="00731F30"/>
    <w:rsid w:val="00733C96"/>
    <w:rsid w:val="007340C3"/>
    <w:rsid w:val="007344B2"/>
    <w:rsid w:val="007345D5"/>
    <w:rsid w:val="0073510E"/>
    <w:rsid w:val="00741631"/>
    <w:rsid w:val="007458D3"/>
    <w:rsid w:val="00751DE8"/>
    <w:rsid w:val="0075235A"/>
    <w:rsid w:val="00752CDB"/>
    <w:rsid w:val="0075557D"/>
    <w:rsid w:val="00756841"/>
    <w:rsid w:val="007649AB"/>
    <w:rsid w:val="0076653D"/>
    <w:rsid w:val="00771AEF"/>
    <w:rsid w:val="00771D0C"/>
    <w:rsid w:val="00782ED2"/>
    <w:rsid w:val="007833AC"/>
    <w:rsid w:val="007853FB"/>
    <w:rsid w:val="00795086"/>
    <w:rsid w:val="007A037B"/>
    <w:rsid w:val="007A1830"/>
    <w:rsid w:val="007A2615"/>
    <w:rsid w:val="007B268C"/>
    <w:rsid w:val="007B7171"/>
    <w:rsid w:val="007C0C0F"/>
    <w:rsid w:val="007C3DC2"/>
    <w:rsid w:val="007C4353"/>
    <w:rsid w:val="007D3058"/>
    <w:rsid w:val="007D4B12"/>
    <w:rsid w:val="007E43AC"/>
    <w:rsid w:val="007E5497"/>
    <w:rsid w:val="00803584"/>
    <w:rsid w:val="00805B56"/>
    <w:rsid w:val="00806F5F"/>
    <w:rsid w:val="008103F6"/>
    <w:rsid w:val="00820278"/>
    <w:rsid w:val="00820488"/>
    <w:rsid w:val="0082071A"/>
    <w:rsid w:val="008258C9"/>
    <w:rsid w:val="00830893"/>
    <w:rsid w:val="00833286"/>
    <w:rsid w:val="00836232"/>
    <w:rsid w:val="00841E29"/>
    <w:rsid w:val="008440A2"/>
    <w:rsid w:val="00844AE9"/>
    <w:rsid w:val="00845EF6"/>
    <w:rsid w:val="0085545E"/>
    <w:rsid w:val="00857CF9"/>
    <w:rsid w:val="00867E8A"/>
    <w:rsid w:val="00867F95"/>
    <w:rsid w:val="00871AAC"/>
    <w:rsid w:val="00875356"/>
    <w:rsid w:val="008753FD"/>
    <w:rsid w:val="00876B28"/>
    <w:rsid w:val="008843B6"/>
    <w:rsid w:val="00886410"/>
    <w:rsid w:val="00891928"/>
    <w:rsid w:val="00891A0E"/>
    <w:rsid w:val="008A2B6F"/>
    <w:rsid w:val="008A3BF4"/>
    <w:rsid w:val="008A446D"/>
    <w:rsid w:val="008B0D0F"/>
    <w:rsid w:val="008B25F1"/>
    <w:rsid w:val="008B304B"/>
    <w:rsid w:val="008C11FD"/>
    <w:rsid w:val="008C4DD5"/>
    <w:rsid w:val="008C517A"/>
    <w:rsid w:val="008C6AE5"/>
    <w:rsid w:val="008C7B44"/>
    <w:rsid w:val="008D1660"/>
    <w:rsid w:val="008D180B"/>
    <w:rsid w:val="008D1C25"/>
    <w:rsid w:val="008D539F"/>
    <w:rsid w:val="008F0EA7"/>
    <w:rsid w:val="008F17DC"/>
    <w:rsid w:val="008F4334"/>
    <w:rsid w:val="008F553F"/>
    <w:rsid w:val="008F5838"/>
    <w:rsid w:val="008F6705"/>
    <w:rsid w:val="00901213"/>
    <w:rsid w:val="009026A9"/>
    <w:rsid w:val="009037F6"/>
    <w:rsid w:val="00904F32"/>
    <w:rsid w:val="0091143C"/>
    <w:rsid w:val="00917048"/>
    <w:rsid w:val="00920817"/>
    <w:rsid w:val="00922205"/>
    <w:rsid w:val="00923EEF"/>
    <w:rsid w:val="00933E3F"/>
    <w:rsid w:val="009378E3"/>
    <w:rsid w:val="009419F9"/>
    <w:rsid w:val="009450F4"/>
    <w:rsid w:val="0094710A"/>
    <w:rsid w:val="0094744A"/>
    <w:rsid w:val="009500D5"/>
    <w:rsid w:val="0095685E"/>
    <w:rsid w:val="00961B09"/>
    <w:rsid w:val="00963E12"/>
    <w:rsid w:val="00964321"/>
    <w:rsid w:val="00965334"/>
    <w:rsid w:val="0097093E"/>
    <w:rsid w:val="009722DE"/>
    <w:rsid w:val="00982C25"/>
    <w:rsid w:val="00984DB3"/>
    <w:rsid w:val="00992E19"/>
    <w:rsid w:val="009941FD"/>
    <w:rsid w:val="00997AFF"/>
    <w:rsid w:val="009A0486"/>
    <w:rsid w:val="009A0DFA"/>
    <w:rsid w:val="009A3A4C"/>
    <w:rsid w:val="009B200B"/>
    <w:rsid w:val="009B28B9"/>
    <w:rsid w:val="009B2D26"/>
    <w:rsid w:val="009B4B7C"/>
    <w:rsid w:val="009C71FA"/>
    <w:rsid w:val="009C72E7"/>
    <w:rsid w:val="009C7F7E"/>
    <w:rsid w:val="009D10AE"/>
    <w:rsid w:val="009D23F2"/>
    <w:rsid w:val="009D3058"/>
    <w:rsid w:val="009E1F28"/>
    <w:rsid w:val="009E6924"/>
    <w:rsid w:val="009E7AED"/>
    <w:rsid w:val="009F3A13"/>
    <w:rsid w:val="009F4B67"/>
    <w:rsid w:val="009F6F3F"/>
    <w:rsid w:val="009F7A6E"/>
    <w:rsid w:val="00A0334B"/>
    <w:rsid w:val="00A041C9"/>
    <w:rsid w:val="00A0526C"/>
    <w:rsid w:val="00A05BC5"/>
    <w:rsid w:val="00A06E95"/>
    <w:rsid w:val="00A076A6"/>
    <w:rsid w:val="00A122D3"/>
    <w:rsid w:val="00A14468"/>
    <w:rsid w:val="00A17F13"/>
    <w:rsid w:val="00A20739"/>
    <w:rsid w:val="00A23AF9"/>
    <w:rsid w:val="00A25E51"/>
    <w:rsid w:val="00A31A76"/>
    <w:rsid w:val="00A32D67"/>
    <w:rsid w:val="00A33C78"/>
    <w:rsid w:val="00A53338"/>
    <w:rsid w:val="00A53EB1"/>
    <w:rsid w:val="00A54DC9"/>
    <w:rsid w:val="00A61436"/>
    <w:rsid w:val="00A73F45"/>
    <w:rsid w:val="00A8776C"/>
    <w:rsid w:val="00AA1511"/>
    <w:rsid w:val="00AA1E47"/>
    <w:rsid w:val="00AB0ADB"/>
    <w:rsid w:val="00AB436E"/>
    <w:rsid w:val="00AD173A"/>
    <w:rsid w:val="00AD6FC3"/>
    <w:rsid w:val="00AD7D5F"/>
    <w:rsid w:val="00AE0641"/>
    <w:rsid w:val="00AE1F6E"/>
    <w:rsid w:val="00AE3513"/>
    <w:rsid w:val="00AE5023"/>
    <w:rsid w:val="00AE5DD2"/>
    <w:rsid w:val="00AF5A10"/>
    <w:rsid w:val="00B00C0E"/>
    <w:rsid w:val="00B01B1A"/>
    <w:rsid w:val="00B04DA1"/>
    <w:rsid w:val="00B107DB"/>
    <w:rsid w:val="00B11075"/>
    <w:rsid w:val="00B206B6"/>
    <w:rsid w:val="00B234CF"/>
    <w:rsid w:val="00B35656"/>
    <w:rsid w:val="00B35DDD"/>
    <w:rsid w:val="00B37EB5"/>
    <w:rsid w:val="00B44A47"/>
    <w:rsid w:val="00B54271"/>
    <w:rsid w:val="00B5550F"/>
    <w:rsid w:val="00B6149C"/>
    <w:rsid w:val="00B63FC5"/>
    <w:rsid w:val="00B64484"/>
    <w:rsid w:val="00B6733E"/>
    <w:rsid w:val="00B71FD5"/>
    <w:rsid w:val="00B72CD3"/>
    <w:rsid w:val="00B72FFF"/>
    <w:rsid w:val="00B74092"/>
    <w:rsid w:val="00B74CF7"/>
    <w:rsid w:val="00B759AB"/>
    <w:rsid w:val="00B95DAC"/>
    <w:rsid w:val="00BA2EB9"/>
    <w:rsid w:val="00BA4084"/>
    <w:rsid w:val="00BA703D"/>
    <w:rsid w:val="00BC330F"/>
    <w:rsid w:val="00BC3D36"/>
    <w:rsid w:val="00BC5D42"/>
    <w:rsid w:val="00BC70CB"/>
    <w:rsid w:val="00BD13AC"/>
    <w:rsid w:val="00BD54A6"/>
    <w:rsid w:val="00BD7F72"/>
    <w:rsid w:val="00BF056C"/>
    <w:rsid w:val="00BF112D"/>
    <w:rsid w:val="00BF3B66"/>
    <w:rsid w:val="00BF5C08"/>
    <w:rsid w:val="00BF7425"/>
    <w:rsid w:val="00C04FB3"/>
    <w:rsid w:val="00C11D8B"/>
    <w:rsid w:val="00C1215D"/>
    <w:rsid w:val="00C1350D"/>
    <w:rsid w:val="00C2359C"/>
    <w:rsid w:val="00C251B0"/>
    <w:rsid w:val="00C2718A"/>
    <w:rsid w:val="00C330EB"/>
    <w:rsid w:val="00C33F4F"/>
    <w:rsid w:val="00C4112A"/>
    <w:rsid w:val="00C419DF"/>
    <w:rsid w:val="00C45A56"/>
    <w:rsid w:val="00C50D69"/>
    <w:rsid w:val="00C5365C"/>
    <w:rsid w:val="00C619D4"/>
    <w:rsid w:val="00C61D93"/>
    <w:rsid w:val="00C738EE"/>
    <w:rsid w:val="00C7520B"/>
    <w:rsid w:val="00C754BE"/>
    <w:rsid w:val="00C76B1C"/>
    <w:rsid w:val="00C82667"/>
    <w:rsid w:val="00C90C96"/>
    <w:rsid w:val="00C925AC"/>
    <w:rsid w:val="00C94828"/>
    <w:rsid w:val="00C963BE"/>
    <w:rsid w:val="00C96B64"/>
    <w:rsid w:val="00CA2858"/>
    <w:rsid w:val="00CB02F1"/>
    <w:rsid w:val="00CB4CE6"/>
    <w:rsid w:val="00CB6357"/>
    <w:rsid w:val="00CB6FF3"/>
    <w:rsid w:val="00CC1B26"/>
    <w:rsid w:val="00CC2F6F"/>
    <w:rsid w:val="00CD47CD"/>
    <w:rsid w:val="00CD4C85"/>
    <w:rsid w:val="00CD4D52"/>
    <w:rsid w:val="00CD7FA1"/>
    <w:rsid w:val="00CE3C1C"/>
    <w:rsid w:val="00CE4026"/>
    <w:rsid w:val="00D04629"/>
    <w:rsid w:val="00D05ED6"/>
    <w:rsid w:val="00D06146"/>
    <w:rsid w:val="00D0699E"/>
    <w:rsid w:val="00D1210B"/>
    <w:rsid w:val="00D222C0"/>
    <w:rsid w:val="00D22B2C"/>
    <w:rsid w:val="00D22D2B"/>
    <w:rsid w:val="00D334DD"/>
    <w:rsid w:val="00D34EA3"/>
    <w:rsid w:val="00D361FD"/>
    <w:rsid w:val="00D423A2"/>
    <w:rsid w:val="00D44E26"/>
    <w:rsid w:val="00D51A5D"/>
    <w:rsid w:val="00D520D8"/>
    <w:rsid w:val="00D532D4"/>
    <w:rsid w:val="00D552A0"/>
    <w:rsid w:val="00D56F8A"/>
    <w:rsid w:val="00D62B9C"/>
    <w:rsid w:val="00D63AC2"/>
    <w:rsid w:val="00D64111"/>
    <w:rsid w:val="00D64AFC"/>
    <w:rsid w:val="00D72D0B"/>
    <w:rsid w:val="00D7383B"/>
    <w:rsid w:val="00D73DBD"/>
    <w:rsid w:val="00D7541C"/>
    <w:rsid w:val="00D76E7C"/>
    <w:rsid w:val="00D7788A"/>
    <w:rsid w:val="00D82A30"/>
    <w:rsid w:val="00D82DD1"/>
    <w:rsid w:val="00D85F06"/>
    <w:rsid w:val="00D936A2"/>
    <w:rsid w:val="00DA1F04"/>
    <w:rsid w:val="00DA231B"/>
    <w:rsid w:val="00DB13F4"/>
    <w:rsid w:val="00DB55DA"/>
    <w:rsid w:val="00DB6DDE"/>
    <w:rsid w:val="00DC1EFB"/>
    <w:rsid w:val="00DC39FC"/>
    <w:rsid w:val="00DC7CCB"/>
    <w:rsid w:val="00DE0870"/>
    <w:rsid w:val="00DE18D0"/>
    <w:rsid w:val="00DE6EC3"/>
    <w:rsid w:val="00DE7692"/>
    <w:rsid w:val="00DF5254"/>
    <w:rsid w:val="00E02524"/>
    <w:rsid w:val="00E05E98"/>
    <w:rsid w:val="00E1159D"/>
    <w:rsid w:val="00E1449C"/>
    <w:rsid w:val="00E1451E"/>
    <w:rsid w:val="00E16408"/>
    <w:rsid w:val="00E20894"/>
    <w:rsid w:val="00E22DC2"/>
    <w:rsid w:val="00E23233"/>
    <w:rsid w:val="00E245AB"/>
    <w:rsid w:val="00E27341"/>
    <w:rsid w:val="00E2764C"/>
    <w:rsid w:val="00E27EDD"/>
    <w:rsid w:val="00E27F2E"/>
    <w:rsid w:val="00E306D6"/>
    <w:rsid w:val="00E31225"/>
    <w:rsid w:val="00E501E7"/>
    <w:rsid w:val="00E50AFE"/>
    <w:rsid w:val="00E523D5"/>
    <w:rsid w:val="00E57176"/>
    <w:rsid w:val="00E577E2"/>
    <w:rsid w:val="00E615C4"/>
    <w:rsid w:val="00E71E1B"/>
    <w:rsid w:val="00E75C92"/>
    <w:rsid w:val="00E771DC"/>
    <w:rsid w:val="00E8772A"/>
    <w:rsid w:val="00E90C80"/>
    <w:rsid w:val="00E90F6B"/>
    <w:rsid w:val="00E91AED"/>
    <w:rsid w:val="00E92C27"/>
    <w:rsid w:val="00E96B5C"/>
    <w:rsid w:val="00EA0E3D"/>
    <w:rsid w:val="00EA0EC9"/>
    <w:rsid w:val="00EA0FBD"/>
    <w:rsid w:val="00EA2DC0"/>
    <w:rsid w:val="00EA426C"/>
    <w:rsid w:val="00EA677F"/>
    <w:rsid w:val="00EB224C"/>
    <w:rsid w:val="00EB7BC0"/>
    <w:rsid w:val="00EC006D"/>
    <w:rsid w:val="00EC0844"/>
    <w:rsid w:val="00EC297F"/>
    <w:rsid w:val="00EC38A7"/>
    <w:rsid w:val="00EC65AC"/>
    <w:rsid w:val="00ED44D6"/>
    <w:rsid w:val="00ED4980"/>
    <w:rsid w:val="00ED5120"/>
    <w:rsid w:val="00EE0E1C"/>
    <w:rsid w:val="00EE1AA8"/>
    <w:rsid w:val="00EE265D"/>
    <w:rsid w:val="00EE3D99"/>
    <w:rsid w:val="00EF1D4F"/>
    <w:rsid w:val="00EF3359"/>
    <w:rsid w:val="00EF4E4B"/>
    <w:rsid w:val="00EF4E7D"/>
    <w:rsid w:val="00EF5E13"/>
    <w:rsid w:val="00EF647F"/>
    <w:rsid w:val="00F03314"/>
    <w:rsid w:val="00F0580C"/>
    <w:rsid w:val="00F23FEA"/>
    <w:rsid w:val="00F27B7B"/>
    <w:rsid w:val="00F3172F"/>
    <w:rsid w:val="00F31EDC"/>
    <w:rsid w:val="00F34294"/>
    <w:rsid w:val="00F348AE"/>
    <w:rsid w:val="00F3642F"/>
    <w:rsid w:val="00F462B3"/>
    <w:rsid w:val="00F5664F"/>
    <w:rsid w:val="00F602E0"/>
    <w:rsid w:val="00F666C4"/>
    <w:rsid w:val="00F76AFC"/>
    <w:rsid w:val="00F81BF0"/>
    <w:rsid w:val="00F825DA"/>
    <w:rsid w:val="00F82E88"/>
    <w:rsid w:val="00F85CEC"/>
    <w:rsid w:val="00F86E11"/>
    <w:rsid w:val="00F86E3E"/>
    <w:rsid w:val="00F95C74"/>
    <w:rsid w:val="00FA1B40"/>
    <w:rsid w:val="00FA47C0"/>
    <w:rsid w:val="00FA5FFD"/>
    <w:rsid w:val="00FB33A2"/>
    <w:rsid w:val="00FB5DD1"/>
    <w:rsid w:val="00FC2B5D"/>
    <w:rsid w:val="00FD1DDC"/>
    <w:rsid w:val="00FD2D1F"/>
    <w:rsid w:val="00FD3AD2"/>
    <w:rsid w:val="00FD4AD8"/>
    <w:rsid w:val="00FD59D3"/>
    <w:rsid w:val="00FF1449"/>
    <w:rsid w:val="00FF227D"/>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8568B41-9065-4DE9-BFEA-A2F366019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08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DB13F4"/>
    <w:rPr>
      <w:color w:val="605E5C"/>
      <w:shd w:val="clear" w:color="auto" w:fill="E1DFDD"/>
    </w:rPr>
  </w:style>
  <w:style w:type="paragraph" w:styleId="Textoindependiente">
    <w:name w:val="Body Text"/>
    <w:basedOn w:val="Normal"/>
    <w:link w:val="TextoindependienteCar"/>
    <w:uiPriority w:val="1"/>
    <w:unhideWhenUsed/>
    <w:qFormat/>
    <w:rsid w:val="00B234CF"/>
    <w:pPr>
      <w:spacing w:after="120"/>
    </w:pPr>
  </w:style>
  <w:style w:type="character" w:customStyle="1" w:styleId="TextoindependienteCar">
    <w:name w:val="Texto independiente Car"/>
    <w:basedOn w:val="Fuentedeprrafopredeter"/>
    <w:link w:val="Textoindependiente"/>
    <w:uiPriority w:val="1"/>
    <w:rsid w:val="00B234CF"/>
  </w:style>
  <w:style w:type="character" w:styleId="Mencinsinresolver">
    <w:name w:val="Unresolved Mention"/>
    <w:basedOn w:val="Fuentedeprrafopredeter"/>
    <w:uiPriority w:val="99"/>
    <w:semiHidden/>
    <w:unhideWhenUsed/>
    <w:rsid w:val="00BF112D"/>
    <w:rPr>
      <w:color w:val="605E5C"/>
      <w:shd w:val="clear" w:color="auto" w:fill="E1DFDD"/>
    </w:rPr>
  </w:style>
  <w:style w:type="character" w:customStyle="1" w:styleId="s15">
    <w:name w:val="s15"/>
    <w:basedOn w:val="Fuentedeprrafopredeter"/>
    <w:rsid w:val="00922205"/>
  </w:style>
  <w:style w:type="character" w:customStyle="1" w:styleId="NormalWebCar">
    <w:name w:val="Normal (Web) Car"/>
    <w:link w:val="NormalWeb"/>
    <w:uiPriority w:val="99"/>
    <w:rsid w:val="003D3FF4"/>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740">
      <w:bodyDiv w:val="1"/>
      <w:marLeft w:val="0"/>
      <w:marRight w:val="0"/>
      <w:marTop w:val="0"/>
      <w:marBottom w:val="0"/>
      <w:divBdr>
        <w:top w:val="none" w:sz="0" w:space="0" w:color="auto"/>
        <w:left w:val="none" w:sz="0" w:space="0" w:color="auto"/>
        <w:bottom w:val="none" w:sz="0" w:space="0" w:color="auto"/>
        <w:right w:val="none" w:sz="0" w:space="0" w:color="auto"/>
      </w:divBdr>
      <w:divsChild>
        <w:div w:id="258880311">
          <w:marLeft w:val="0"/>
          <w:marRight w:val="0"/>
          <w:marTop w:val="0"/>
          <w:marBottom w:val="0"/>
          <w:divBdr>
            <w:top w:val="none" w:sz="0" w:space="0" w:color="auto"/>
            <w:left w:val="none" w:sz="0" w:space="0" w:color="auto"/>
            <w:bottom w:val="none" w:sz="0" w:space="0" w:color="auto"/>
            <w:right w:val="none" w:sz="0" w:space="0" w:color="auto"/>
          </w:divBdr>
          <w:divsChild>
            <w:div w:id="1294941058">
              <w:marLeft w:val="0"/>
              <w:marRight w:val="0"/>
              <w:marTop w:val="0"/>
              <w:marBottom w:val="0"/>
              <w:divBdr>
                <w:top w:val="none" w:sz="0" w:space="0" w:color="auto"/>
                <w:left w:val="none" w:sz="0" w:space="0" w:color="auto"/>
                <w:bottom w:val="none" w:sz="0" w:space="0" w:color="auto"/>
                <w:right w:val="none" w:sz="0" w:space="0" w:color="auto"/>
              </w:divBdr>
              <w:divsChild>
                <w:div w:id="337932334">
                  <w:marLeft w:val="0"/>
                  <w:marRight w:val="0"/>
                  <w:marTop w:val="0"/>
                  <w:marBottom w:val="0"/>
                  <w:divBdr>
                    <w:top w:val="none" w:sz="0" w:space="0" w:color="auto"/>
                    <w:left w:val="none" w:sz="0" w:space="0" w:color="auto"/>
                    <w:bottom w:val="none" w:sz="0" w:space="0" w:color="auto"/>
                    <w:right w:val="none" w:sz="0" w:space="0" w:color="auto"/>
                  </w:divBdr>
                  <w:divsChild>
                    <w:div w:id="9084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659191">
          <w:marLeft w:val="0"/>
          <w:marRight w:val="0"/>
          <w:marTop w:val="0"/>
          <w:marBottom w:val="0"/>
          <w:divBdr>
            <w:top w:val="none" w:sz="0" w:space="0" w:color="auto"/>
            <w:left w:val="none" w:sz="0" w:space="0" w:color="auto"/>
            <w:bottom w:val="none" w:sz="0" w:space="0" w:color="auto"/>
            <w:right w:val="none" w:sz="0" w:space="0" w:color="auto"/>
          </w:divBdr>
        </w:div>
      </w:divsChild>
    </w:div>
    <w:div w:id="10496905">
      <w:bodyDiv w:val="1"/>
      <w:marLeft w:val="0"/>
      <w:marRight w:val="0"/>
      <w:marTop w:val="0"/>
      <w:marBottom w:val="0"/>
      <w:divBdr>
        <w:top w:val="none" w:sz="0" w:space="0" w:color="auto"/>
        <w:left w:val="none" w:sz="0" w:space="0" w:color="auto"/>
        <w:bottom w:val="none" w:sz="0" w:space="0" w:color="auto"/>
        <w:right w:val="none" w:sz="0" w:space="0" w:color="auto"/>
      </w:divBdr>
    </w:div>
    <w:div w:id="298808619">
      <w:bodyDiv w:val="1"/>
      <w:marLeft w:val="0"/>
      <w:marRight w:val="0"/>
      <w:marTop w:val="0"/>
      <w:marBottom w:val="0"/>
      <w:divBdr>
        <w:top w:val="none" w:sz="0" w:space="0" w:color="auto"/>
        <w:left w:val="none" w:sz="0" w:space="0" w:color="auto"/>
        <w:bottom w:val="none" w:sz="0" w:space="0" w:color="auto"/>
        <w:right w:val="none" w:sz="0" w:space="0" w:color="auto"/>
      </w:divBdr>
    </w:div>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419089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42011055">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1898738708">
      <w:bodyDiv w:val="1"/>
      <w:marLeft w:val="0"/>
      <w:marRight w:val="0"/>
      <w:marTop w:val="0"/>
      <w:marBottom w:val="0"/>
      <w:divBdr>
        <w:top w:val="none" w:sz="0" w:space="0" w:color="auto"/>
        <w:left w:val="none" w:sz="0" w:space="0" w:color="auto"/>
        <w:bottom w:val="none" w:sz="0" w:space="0" w:color="auto"/>
        <w:right w:val="none" w:sz="0" w:space="0" w:color="auto"/>
      </w:divBdr>
    </w:div>
    <w:div w:id="212796031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90C319D1-6F87-4601-A8E9-DF150CBA86FB}">
  <ds:schemaRefs>
    <ds:schemaRef ds:uri="http://schemas.openxmlformats.org/officeDocument/2006/bibliography"/>
  </ds:schemaRefs>
</ds:datastoreItem>
</file>

<file path=customXml/itemProps2.xml><?xml version="1.0" encoding="utf-8"?>
<ds:datastoreItem xmlns:ds="http://schemas.openxmlformats.org/officeDocument/2006/customXml" ds:itemID="{717AEECD-F7FA-4C5D-9002-6CF481A0E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6671</Words>
  <Characters>36694</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2026-08-16T21:49:00Z</dcterms:created>
  <dcterms:modified xsi:type="dcterms:W3CDTF">2026-08-31T15:52:00Z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