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006F6" w14:textId="77777777" w:rsidR="001C1DA4" w:rsidRPr="007E2963" w:rsidRDefault="001C1DA4" w:rsidP="001C1DA4">
      <w:pPr>
        <w:spacing w:after="0" w:line="240" w:lineRule="auto"/>
        <w:jc w:val="both"/>
        <w:rPr>
          <w:rFonts w:ascii="Verdana" w:eastAsia="Times New Roman" w:hAnsi="Verdana" w:cs="Arial"/>
          <w:b/>
          <w:lang w:eastAsia="es-ES"/>
        </w:rPr>
      </w:pPr>
      <w:bookmarkStart w:id="0" w:name="_Hlk143780582"/>
      <w:r w:rsidRPr="007E2963">
        <w:rPr>
          <w:rFonts w:ascii="Verdana" w:eastAsia="Times New Roman" w:hAnsi="Verdana" w:cs="Arial"/>
          <w:b/>
          <w:lang w:eastAsia="es-ES"/>
        </w:rPr>
        <w:t xml:space="preserve">CONTRATO DE PRESTACIÓN DE SERVICIOS – Concepto </w:t>
      </w:r>
    </w:p>
    <w:p w14:paraId="3577DF5D" w14:textId="77777777" w:rsidR="001C1DA4" w:rsidRPr="007E2963" w:rsidRDefault="001C1DA4" w:rsidP="001C1DA4">
      <w:pPr>
        <w:spacing w:after="0" w:line="240" w:lineRule="auto"/>
        <w:jc w:val="both"/>
        <w:rPr>
          <w:rFonts w:ascii="Verdana" w:eastAsia="Times New Roman" w:hAnsi="Verdana" w:cs="Arial"/>
          <w:sz w:val="20"/>
          <w:lang w:eastAsia="es-ES"/>
        </w:rPr>
      </w:pPr>
    </w:p>
    <w:p w14:paraId="52C0CC66" w14:textId="77777777" w:rsidR="001C1DA4" w:rsidRPr="007E2963" w:rsidRDefault="001C1DA4" w:rsidP="001C1DA4">
      <w:pPr>
        <w:spacing w:after="0" w:line="240" w:lineRule="auto"/>
        <w:jc w:val="both"/>
        <w:rPr>
          <w:rFonts w:ascii="Verdana" w:eastAsia="Times New Roman" w:hAnsi="Verdana" w:cs="Arial"/>
          <w:sz w:val="20"/>
          <w:lang w:eastAsia="es-ES"/>
        </w:rPr>
      </w:pPr>
      <w:r w:rsidRPr="007E2963">
        <w:rPr>
          <w:rFonts w:ascii="Verdana" w:eastAsia="Times New Roman" w:hAnsi="Verdana" w:cs="Arial"/>
          <w:sz w:val="20"/>
          <w:lang w:eastAsia="es-ES"/>
        </w:rPr>
        <w:t xml:space="preserve">El 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 </w:t>
      </w:r>
    </w:p>
    <w:p w14:paraId="496E482F" w14:textId="77777777" w:rsidR="001C1DA4" w:rsidRPr="007E2963" w:rsidRDefault="001C1DA4" w:rsidP="001C1DA4">
      <w:pPr>
        <w:spacing w:after="0" w:line="240" w:lineRule="auto"/>
        <w:jc w:val="both"/>
        <w:rPr>
          <w:rFonts w:ascii="Verdana" w:eastAsia="Times New Roman" w:hAnsi="Verdana" w:cs="Arial"/>
          <w:sz w:val="20"/>
          <w:lang w:eastAsia="es-ES"/>
        </w:rPr>
      </w:pPr>
    </w:p>
    <w:p w14:paraId="26D418D4" w14:textId="77777777" w:rsidR="001C1DA4" w:rsidRPr="007E2963" w:rsidRDefault="001C1DA4" w:rsidP="001C1DA4">
      <w:pPr>
        <w:spacing w:after="0" w:line="240" w:lineRule="auto"/>
        <w:jc w:val="both"/>
        <w:rPr>
          <w:rFonts w:ascii="Verdana" w:eastAsia="Times New Roman" w:hAnsi="Verdana" w:cs="Arial"/>
          <w:i/>
          <w:iCs/>
          <w:sz w:val="20"/>
          <w:lang w:eastAsia="es-ES"/>
        </w:rPr>
      </w:pPr>
      <w:r w:rsidRPr="007E2963">
        <w:rPr>
          <w:rFonts w:ascii="Verdana" w:eastAsia="Times New Roman" w:hAnsi="Verdana" w:cs="Arial"/>
          <w:i/>
          <w:iCs/>
          <w:sz w:val="20"/>
          <w:lang w:eastAsia="es-ES"/>
        </w:rPr>
        <w:t xml:space="preserve">“Son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31C94A1E" w14:textId="77777777" w:rsidR="001C1DA4" w:rsidRPr="007E2963" w:rsidRDefault="001C1DA4" w:rsidP="001C1DA4">
      <w:pPr>
        <w:spacing w:after="0" w:line="240" w:lineRule="auto"/>
        <w:jc w:val="both"/>
        <w:rPr>
          <w:rFonts w:ascii="Verdana" w:eastAsia="Times New Roman" w:hAnsi="Verdana" w:cs="Arial"/>
          <w:i/>
          <w:iCs/>
          <w:sz w:val="20"/>
          <w:lang w:eastAsia="es-ES"/>
        </w:rPr>
      </w:pPr>
    </w:p>
    <w:p w14:paraId="122D3738" w14:textId="77777777" w:rsidR="001C1DA4" w:rsidRPr="007E2963" w:rsidRDefault="001C1DA4" w:rsidP="001C1DA4">
      <w:pPr>
        <w:spacing w:after="0" w:line="240" w:lineRule="auto"/>
        <w:jc w:val="both"/>
        <w:rPr>
          <w:rFonts w:ascii="Verdana" w:eastAsia="Times New Roman" w:hAnsi="Verdana" w:cs="Arial"/>
          <w:i/>
          <w:iCs/>
          <w:sz w:val="20"/>
          <w:lang w:eastAsia="es-ES"/>
        </w:rPr>
      </w:pPr>
      <w:r w:rsidRPr="007E2963">
        <w:rPr>
          <w:rFonts w:ascii="Verdana" w:eastAsia="Times New Roman" w:hAnsi="Verdana" w:cs="Arial"/>
          <w:i/>
          <w:iCs/>
          <w:sz w:val="20"/>
          <w:lang w:eastAsia="es-ES"/>
        </w:rPr>
        <w:t>En ningún caso estos contratos generan relación laboral ni prestaciones sociales y se celebrarán por el término estrictamente indispensable”.</w:t>
      </w:r>
    </w:p>
    <w:p w14:paraId="6BAC1C68" w14:textId="77777777" w:rsidR="001C1DA4" w:rsidRPr="007E2963" w:rsidRDefault="001C1DA4" w:rsidP="001C1DA4">
      <w:pPr>
        <w:spacing w:after="0" w:line="240" w:lineRule="auto"/>
        <w:jc w:val="both"/>
        <w:rPr>
          <w:rFonts w:ascii="Verdana" w:eastAsia="Times New Roman" w:hAnsi="Verdana" w:cs="Arial"/>
          <w:b/>
          <w:i/>
          <w:iCs/>
          <w:lang w:eastAsia="es-ES"/>
        </w:rPr>
      </w:pPr>
    </w:p>
    <w:p w14:paraId="44CAC368" w14:textId="77777777" w:rsidR="001C1DA4" w:rsidRPr="007E2963" w:rsidRDefault="001C1DA4" w:rsidP="001C1DA4">
      <w:pPr>
        <w:spacing w:after="0" w:line="240" w:lineRule="auto"/>
        <w:jc w:val="both"/>
        <w:rPr>
          <w:rFonts w:ascii="Verdana" w:eastAsia="Times New Roman" w:hAnsi="Verdana" w:cs="Arial"/>
          <w:b/>
          <w:lang w:eastAsia="es-ES"/>
        </w:rPr>
      </w:pPr>
      <w:r w:rsidRPr="007E2963">
        <w:rPr>
          <w:rFonts w:ascii="Verdana" w:eastAsia="Times New Roman" w:hAnsi="Verdana" w:cs="Arial"/>
          <w:b/>
          <w:lang w:eastAsia="es-ES"/>
        </w:rPr>
        <w:t>CONTRATO DE PRESTACIÓN DE SERVICIOS – Características</w:t>
      </w:r>
    </w:p>
    <w:p w14:paraId="31B74FEA" w14:textId="77777777" w:rsidR="001C1DA4" w:rsidRPr="007E2963" w:rsidRDefault="001C1DA4" w:rsidP="001C1DA4">
      <w:pPr>
        <w:spacing w:after="0" w:line="240" w:lineRule="auto"/>
        <w:jc w:val="both"/>
        <w:rPr>
          <w:rFonts w:ascii="Verdana" w:eastAsia="Times New Roman" w:hAnsi="Verdana" w:cs="Arial"/>
          <w:b/>
          <w:lang w:eastAsia="es-ES"/>
        </w:rPr>
      </w:pPr>
    </w:p>
    <w:p w14:paraId="60818365" w14:textId="77777777" w:rsidR="001C1DA4" w:rsidRPr="007E2963" w:rsidRDefault="001C1DA4" w:rsidP="001C1DA4">
      <w:pPr>
        <w:spacing w:after="0" w:line="240" w:lineRule="auto"/>
        <w:jc w:val="both"/>
        <w:rPr>
          <w:rFonts w:ascii="Verdana" w:eastAsia="Times New Roman" w:hAnsi="Verdana" w:cs="Arial"/>
          <w:sz w:val="20"/>
          <w:lang w:eastAsia="es-ES"/>
        </w:rPr>
      </w:pPr>
      <w:r w:rsidRPr="007E2963">
        <w:rPr>
          <w:rFonts w:ascii="Verdana" w:eastAsia="Times New Roman" w:hAnsi="Verdana" w:cs="Arial"/>
          <w:sz w:val="20"/>
          <w:lang w:eastAsia="es-ES"/>
        </w:rPr>
        <w:t xml:space="preserve">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 profesionales: a) Solo puede celebrarse para realizar “actividades relacionadas con la administración o funcionamiento de la entidad”, es decir, que hagan parte de su giro ordinario o quehacer cotidiano. 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w:t>
      </w:r>
    </w:p>
    <w:p w14:paraId="639AAD27" w14:textId="77777777" w:rsidR="001C1DA4" w:rsidRPr="007E2963" w:rsidRDefault="001C1DA4" w:rsidP="001C1DA4">
      <w:pPr>
        <w:spacing w:after="0" w:line="240" w:lineRule="auto"/>
        <w:jc w:val="both"/>
        <w:rPr>
          <w:rFonts w:ascii="Verdana" w:eastAsia="Times New Roman" w:hAnsi="Verdana" w:cs="Arial"/>
          <w:sz w:val="20"/>
          <w:lang w:eastAsia="es-ES"/>
        </w:rPr>
      </w:pPr>
    </w:p>
    <w:p w14:paraId="3FF1ADD9" w14:textId="77777777" w:rsidR="001C1DA4" w:rsidRPr="007E2963" w:rsidRDefault="001C1DA4" w:rsidP="001C1DA4">
      <w:pPr>
        <w:spacing w:after="0" w:line="240" w:lineRule="auto"/>
        <w:jc w:val="both"/>
        <w:rPr>
          <w:rFonts w:ascii="Verdana" w:eastAsia="Times New Roman" w:hAnsi="Verdana" w:cs="Arial"/>
          <w:sz w:val="20"/>
          <w:lang w:eastAsia="es-ES"/>
        </w:rPr>
      </w:pPr>
      <w:r w:rsidRPr="007E2963">
        <w:rPr>
          <w:rFonts w:ascii="Verdana" w:eastAsia="Times New Roman" w:hAnsi="Verdana" w:cs="Arial"/>
          <w:sz w:val="20"/>
          <w:lang w:eastAsia="es-ES"/>
        </w:rPr>
        <w:t xml:space="preserve">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 c) Si bien se celebran para obtener la prestación personal de un servicio, se diferencian del contrato de trabajo1 en que quien celebra el contrato de prestación de servicios profesionales debe mantener autonomía e independencia en la ejecución de la labor, lo que significa que no puede existir la subordinación y dependencia, que es uno de los elementos constitutivos del vínculo laboral. d) Deben ser temporales. La Sentencia de Unificación Jurisprudencial de 09 de septiembre de 2021, proferida por el Consejo de Estado3, frente a la duración del contrato de prestación de servicios señaló que, solo puede celebrarse por un “término estrictamente indispensable”. En ese entendido, la citada sentencia unificó el sentido y </w:t>
      </w:r>
      <w:r w:rsidRPr="007E2963">
        <w:rPr>
          <w:rFonts w:ascii="Verdana" w:eastAsia="Times New Roman" w:hAnsi="Verdana" w:cs="Arial"/>
          <w:sz w:val="20"/>
          <w:lang w:eastAsia="es-ES"/>
        </w:rPr>
        <w:lastRenderedPageBreak/>
        <w:t>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e</w:t>
      </w:r>
      <w:r w:rsidRPr="007E2963">
        <w:rPr>
          <w:rFonts w:ascii="Verdana" w:eastAsia="Times New Roman" w:hAnsi="Verdana" w:cs="Arial"/>
          <w:sz w:val="20"/>
          <w:lang w:val="es-ES" w:eastAsia="es-ES"/>
        </w:rPr>
        <w:t xml:space="preserve">) Los contratos de prestación de servicios constituyen un </w:t>
      </w:r>
      <w:r w:rsidRPr="007E2963">
        <w:rPr>
          <w:rFonts w:ascii="Verdana" w:eastAsia="Times New Roman" w:hAnsi="Verdana" w:cs="Arial"/>
          <w:i/>
          <w:iCs/>
          <w:sz w:val="20"/>
          <w:lang w:val="es-ES" w:eastAsia="es-ES"/>
        </w:rPr>
        <w:t>género</w:t>
      </w:r>
      <w:r w:rsidRPr="007E2963">
        <w:rPr>
          <w:rFonts w:ascii="Verdana" w:eastAsia="Times New Roman" w:hAnsi="Verdana" w:cs="Arial"/>
          <w:sz w:val="20"/>
          <w:lang w:val="es-ES" w:eastAsia="es-ES"/>
        </w:rPr>
        <w:t xml:space="preserve"> que incluye, como </w:t>
      </w:r>
      <w:r w:rsidRPr="007E2963">
        <w:rPr>
          <w:rFonts w:ascii="Verdana" w:eastAsia="Times New Roman" w:hAnsi="Verdana" w:cs="Arial"/>
          <w:i/>
          <w:iCs/>
          <w:sz w:val="20"/>
          <w:lang w:val="es-ES" w:eastAsia="es-ES"/>
        </w:rPr>
        <w:t>especies</w:t>
      </w:r>
      <w:r w:rsidRPr="007E2963">
        <w:rPr>
          <w:rFonts w:ascii="Verdana" w:eastAsia="Times New Roman" w:hAnsi="Verdana" w:cs="Arial"/>
          <w:sz w:val="20"/>
          <w:lang w:val="es-ES" w:eastAsia="es-ES"/>
        </w:rPr>
        <w:t xml:space="preserve">,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w:t>
      </w:r>
      <w:r w:rsidRPr="007E2963">
        <w:rPr>
          <w:rFonts w:ascii="Verdana" w:eastAsia="Times New Roman" w:hAnsi="Verdana" w:cs="Arial"/>
          <w:i/>
          <w:iCs/>
          <w:sz w:val="20"/>
          <w:lang w:val="es-ES" w:eastAsia="es-ES"/>
        </w:rPr>
        <w:t>profesionales</w:t>
      </w:r>
      <w:r w:rsidRPr="007E2963">
        <w:rPr>
          <w:rFonts w:ascii="Verdana" w:eastAsia="Times New Roman" w:hAnsi="Verdana" w:cs="Arial"/>
          <w:sz w:val="20"/>
          <w:lang w:val="es-ES" w:eastAsia="es-ES"/>
        </w:rPr>
        <w:t xml:space="preserve"> con las otras dos especies del género en el cual se ubican radica en su contenido intelectual intangible y, al mismo tiempo, en la formación profesional que se exige para desempeñar la labor.</w:t>
      </w:r>
      <w:r w:rsidRPr="007E2963">
        <w:rPr>
          <w:rFonts w:ascii="Verdana" w:eastAsia="Times New Roman" w:hAnsi="Verdana" w:cs="Arial"/>
          <w:sz w:val="20"/>
          <w:vertAlign w:val="superscript"/>
          <w:lang w:val="es-ES" w:eastAsia="es-ES"/>
        </w:rPr>
        <w:t xml:space="preserve"> </w:t>
      </w:r>
      <w:r w:rsidRPr="007E2963">
        <w:rPr>
          <w:rFonts w:ascii="Verdana" w:eastAsia="Times New Roman" w:hAnsi="Verdana" w:cs="Arial"/>
          <w:sz w:val="20"/>
          <w:lang w:val="es-ES" w:eastAsia="es-ES"/>
        </w:rPr>
        <w:t xml:space="preserve">f)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si bien en ambos existe un componente intelectual intangible, el objeto del contrato de consultoría es especial y debe celebrarse, por regla general, precedido de un concurso de méritos. Pero, tampoco puede suscribirse un contrato de prestación de servicios profesionales para que el contratista ejecute labores que </w:t>
      </w:r>
      <w:proofErr w:type="gramStart"/>
      <w:r w:rsidRPr="007E2963">
        <w:rPr>
          <w:rFonts w:ascii="Verdana" w:eastAsia="Times New Roman" w:hAnsi="Verdana" w:cs="Arial"/>
          <w:sz w:val="20"/>
          <w:lang w:val="es-ES" w:eastAsia="es-ES"/>
        </w:rPr>
        <w:t>se enmarcan dentro de</w:t>
      </w:r>
      <w:proofErr w:type="gramEnd"/>
      <w:r w:rsidRPr="007E2963">
        <w:rPr>
          <w:rFonts w:ascii="Verdana" w:eastAsia="Times New Roman" w:hAnsi="Verdana" w:cs="Arial"/>
          <w:sz w:val="20"/>
          <w:lang w:val="es-ES" w:eastAsia="es-ES"/>
        </w:rPr>
        <w:t xml:space="preserve"> los otros contratos tipificados en el artículo 32 de la Ley 80 de 1993, como, por ejemplo, para que el contratista de prestación de servicios construya una obra.</w:t>
      </w:r>
      <w:r w:rsidRPr="007E2963">
        <w:rPr>
          <w:rFonts w:ascii="Verdana" w:eastAsia="Times New Roman" w:hAnsi="Verdana" w:cs="Arial"/>
          <w:sz w:val="20"/>
          <w:lang w:eastAsia="es-ES"/>
        </w:rPr>
        <w:t xml:space="preserve"> </w:t>
      </w:r>
      <w:r w:rsidRPr="007E2963">
        <w:rPr>
          <w:rFonts w:ascii="Verdana" w:eastAsia="Times New Roman" w:hAnsi="Verdana" w:cs="Arial"/>
          <w:sz w:val="20"/>
          <w:lang w:val="es-ES" w:eastAsia="es-ES"/>
        </w:rPr>
        <w:t xml:space="preserve">g) Para su celebración no se requiere en algunos casos la expedición del acto administrativo de justificación de la contratación directa. h) </w:t>
      </w:r>
      <w:r w:rsidRPr="007E2963">
        <w:rPr>
          <w:rFonts w:ascii="Verdana" w:eastAsia="Times New Roman" w:hAnsi="Verdana" w:cs="Arial"/>
          <w:sz w:val="20"/>
          <w:lang w:eastAsia="es-ES"/>
        </w:rPr>
        <w:t>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 i) No es obligatoria la liquidación de estos contratos, pues así lo estableció el artículo 217 del Decreto 019 de 2012, que modificó el artículo 60 de la Ley 80 de 199310. j) Para su celebración no se requiere inscripción en el Registro Único de Proponentes (RUP), según lo prevé el artículo 6 de la Ley 1150 de 2007.</w:t>
      </w:r>
    </w:p>
    <w:p w14:paraId="35A74143" w14:textId="77777777" w:rsidR="001C1DA4" w:rsidRPr="007E2963" w:rsidRDefault="001C1DA4" w:rsidP="001C1DA4">
      <w:pPr>
        <w:spacing w:after="0" w:line="240" w:lineRule="auto"/>
        <w:jc w:val="both"/>
        <w:rPr>
          <w:rFonts w:ascii="Verdana" w:hAnsi="Verdana"/>
          <w:b/>
        </w:rPr>
      </w:pPr>
    </w:p>
    <w:p w14:paraId="6C7F829A" w14:textId="77777777" w:rsidR="001C1DA4" w:rsidRPr="007E2963" w:rsidRDefault="001C1DA4" w:rsidP="001C1DA4">
      <w:pPr>
        <w:spacing w:after="0" w:line="240" w:lineRule="auto"/>
        <w:jc w:val="both"/>
        <w:rPr>
          <w:rFonts w:ascii="Verdana" w:hAnsi="Verdana"/>
          <w:b/>
        </w:rPr>
      </w:pPr>
      <w:r w:rsidRPr="007E2963">
        <w:rPr>
          <w:rFonts w:ascii="Verdana" w:hAnsi="Verdana"/>
          <w:b/>
        </w:rPr>
        <w:t>ESTABILIDAD OCUPACIONAL REFORZADA DE MUJER EMBARAZADA – Concepto</w:t>
      </w:r>
    </w:p>
    <w:p w14:paraId="72C230EC" w14:textId="77777777" w:rsidR="001C1DA4" w:rsidRPr="007E2963" w:rsidRDefault="001C1DA4" w:rsidP="001C1DA4">
      <w:pPr>
        <w:spacing w:after="0" w:line="240" w:lineRule="auto"/>
        <w:jc w:val="both"/>
        <w:rPr>
          <w:rFonts w:ascii="Verdana" w:hAnsi="Verdana"/>
          <w:sz w:val="20"/>
        </w:rPr>
      </w:pPr>
    </w:p>
    <w:p w14:paraId="1EDBCBFE"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 xml:space="preserve">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 </w:t>
      </w:r>
    </w:p>
    <w:p w14:paraId="712D854B"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lastRenderedPageBreak/>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7A5F8D06" w14:textId="77777777" w:rsidR="001C1DA4" w:rsidRPr="007E2963" w:rsidRDefault="001C1DA4" w:rsidP="001C1DA4">
      <w:pPr>
        <w:spacing w:after="0" w:line="240" w:lineRule="auto"/>
        <w:jc w:val="both"/>
        <w:rPr>
          <w:rFonts w:ascii="Verdana" w:hAnsi="Verdana"/>
          <w:b/>
        </w:rPr>
      </w:pPr>
    </w:p>
    <w:p w14:paraId="3EB205E8" w14:textId="77777777" w:rsidR="001C1DA4" w:rsidRPr="007E2963" w:rsidRDefault="001C1DA4" w:rsidP="001C1DA4">
      <w:pPr>
        <w:spacing w:after="0" w:line="240" w:lineRule="auto"/>
        <w:jc w:val="both"/>
        <w:rPr>
          <w:rFonts w:ascii="Verdana" w:hAnsi="Verdana"/>
          <w:b/>
        </w:rPr>
      </w:pPr>
      <w:r w:rsidRPr="007E2963">
        <w:rPr>
          <w:rFonts w:ascii="Verdana" w:hAnsi="Verdana"/>
          <w:b/>
        </w:rPr>
        <w:t>ESTABILIDAD OCUPACIONAL REFORZADA DE MUJER EMBARAZADA – Unificación jurisprudencial</w:t>
      </w:r>
    </w:p>
    <w:p w14:paraId="4E997052" w14:textId="77777777" w:rsidR="001C1DA4" w:rsidRPr="007E2963" w:rsidRDefault="001C1DA4" w:rsidP="001C1DA4">
      <w:pPr>
        <w:spacing w:after="0" w:line="240" w:lineRule="auto"/>
        <w:jc w:val="both"/>
        <w:rPr>
          <w:rFonts w:ascii="Verdana" w:hAnsi="Verdana"/>
          <w:b/>
        </w:rPr>
      </w:pPr>
    </w:p>
    <w:p w14:paraId="6F76C7DD"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 xml:space="preserve">Finalmente, la Corte Constitucional profirió la sentencia de unificación SU-075 de 2018, en la cual recogió, entre otras, las sentencias T-350 del 2016 y T-030 de 2018.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3ADE4D77" w14:textId="77777777" w:rsidR="001C1DA4" w:rsidRPr="007E2963" w:rsidRDefault="001C1DA4" w:rsidP="001C1DA4">
      <w:pPr>
        <w:spacing w:after="0" w:line="240" w:lineRule="auto"/>
        <w:jc w:val="both"/>
        <w:rPr>
          <w:rFonts w:ascii="Verdana" w:hAnsi="Verdana"/>
          <w:sz w:val="20"/>
        </w:rPr>
      </w:pPr>
    </w:p>
    <w:p w14:paraId="7D4EA285"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w:t>
      </w:r>
    </w:p>
    <w:p w14:paraId="4CBDD5C8" w14:textId="77777777" w:rsidR="001C1DA4" w:rsidRPr="007E2963" w:rsidRDefault="001C1DA4" w:rsidP="001C1DA4">
      <w:pPr>
        <w:spacing w:after="0" w:line="240" w:lineRule="auto"/>
        <w:jc w:val="both"/>
        <w:rPr>
          <w:rFonts w:ascii="Verdana" w:hAnsi="Verdana"/>
          <w:b/>
        </w:rPr>
      </w:pPr>
    </w:p>
    <w:p w14:paraId="29BF3119" w14:textId="77777777" w:rsidR="001C1DA4" w:rsidRPr="007E2963" w:rsidRDefault="001C1DA4" w:rsidP="001C1DA4">
      <w:pPr>
        <w:spacing w:after="0" w:line="240" w:lineRule="auto"/>
        <w:jc w:val="both"/>
        <w:rPr>
          <w:rFonts w:ascii="Verdana" w:hAnsi="Verdana"/>
          <w:b/>
        </w:rPr>
      </w:pPr>
      <w:r w:rsidRPr="007E2963">
        <w:rPr>
          <w:rFonts w:ascii="Verdana" w:hAnsi="Verdana"/>
          <w:b/>
        </w:rPr>
        <w:t xml:space="preserve">ESTABILIDAD OCUPACIONAL REFORZADA – Periodo de lactancia – Contratos de prestación de servicios </w:t>
      </w:r>
    </w:p>
    <w:p w14:paraId="26CB64F3" w14:textId="77777777" w:rsidR="001C1DA4" w:rsidRPr="007E2963" w:rsidRDefault="001C1DA4" w:rsidP="001C1DA4">
      <w:pPr>
        <w:spacing w:after="0" w:line="240" w:lineRule="auto"/>
        <w:jc w:val="both"/>
        <w:rPr>
          <w:rFonts w:ascii="Verdana" w:hAnsi="Verdana"/>
          <w:b/>
        </w:rPr>
      </w:pPr>
    </w:p>
    <w:p w14:paraId="63EC8216"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 xml:space="preserve">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03476E99" w14:textId="77777777" w:rsidR="001C1DA4" w:rsidRPr="007E2963" w:rsidRDefault="001C1DA4" w:rsidP="001C1DA4">
      <w:pPr>
        <w:spacing w:after="0" w:line="240" w:lineRule="auto"/>
        <w:jc w:val="both"/>
        <w:rPr>
          <w:rFonts w:ascii="Verdana" w:hAnsi="Verdana"/>
          <w:sz w:val="20"/>
        </w:rPr>
      </w:pPr>
    </w:p>
    <w:p w14:paraId="666A8692"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w:t>
      </w:r>
    </w:p>
    <w:p w14:paraId="1FB98894" w14:textId="77777777" w:rsidR="001C1DA4" w:rsidRPr="007E2963" w:rsidRDefault="001C1DA4" w:rsidP="001C1DA4">
      <w:pPr>
        <w:spacing w:after="0" w:line="240" w:lineRule="auto"/>
        <w:jc w:val="both"/>
        <w:rPr>
          <w:rFonts w:ascii="Verdana" w:hAnsi="Verdana"/>
          <w:sz w:val="20"/>
        </w:rPr>
      </w:pPr>
    </w:p>
    <w:p w14:paraId="2BB951B6"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w:t>
      </w:r>
    </w:p>
    <w:p w14:paraId="7F807294" w14:textId="77777777" w:rsidR="001C1DA4" w:rsidRPr="007E2963" w:rsidRDefault="001C1DA4" w:rsidP="001C1DA4">
      <w:pPr>
        <w:spacing w:after="0" w:line="240" w:lineRule="auto"/>
        <w:jc w:val="both"/>
        <w:rPr>
          <w:rFonts w:ascii="Verdana" w:hAnsi="Verdana"/>
          <w:sz w:val="20"/>
        </w:rPr>
      </w:pPr>
    </w:p>
    <w:p w14:paraId="7DB89232" w14:textId="77777777" w:rsidR="001C1DA4" w:rsidRPr="007E2963" w:rsidRDefault="001C1DA4" w:rsidP="001C1DA4">
      <w:pPr>
        <w:spacing w:after="0" w:line="240" w:lineRule="auto"/>
        <w:jc w:val="both"/>
        <w:rPr>
          <w:rFonts w:ascii="Verdana" w:hAnsi="Verdana"/>
          <w:sz w:val="20"/>
        </w:rPr>
      </w:pPr>
      <w:r w:rsidRPr="007E2963">
        <w:rPr>
          <w:rFonts w:ascii="Verdana" w:hAnsi="Verdana"/>
          <w:sz w:val="20"/>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w:t>
      </w:r>
      <w:r w:rsidRPr="007E2963">
        <w:rPr>
          <w:rFonts w:ascii="Verdana" w:hAnsi="Verdana"/>
          <w:sz w:val="20"/>
        </w:rPr>
        <w:lastRenderedPageBreak/>
        <w:t>dicha protección, evitando decisiones contractuales discriminatorias y observando los principios que rigen la contratación estatal y la función administrativa.</w:t>
      </w:r>
    </w:p>
    <w:p w14:paraId="6B8D69F3" w14:textId="77777777" w:rsidR="001C1DA4" w:rsidRPr="007E2963" w:rsidRDefault="001C1DA4" w:rsidP="30821638">
      <w:pPr>
        <w:spacing w:after="0"/>
        <w:rPr>
          <w:rFonts w:ascii="Verdana" w:eastAsia="Verdana" w:hAnsi="Verdana" w:cs="Verdana"/>
        </w:rPr>
      </w:pPr>
    </w:p>
    <w:p w14:paraId="7FC73E73" w14:textId="77777777" w:rsidR="001C1DA4" w:rsidRPr="007E2963" w:rsidRDefault="001C1DA4" w:rsidP="30821638">
      <w:pPr>
        <w:spacing w:after="0"/>
        <w:rPr>
          <w:rFonts w:ascii="Verdana" w:eastAsia="Verdana" w:hAnsi="Verdana" w:cs="Verdana"/>
        </w:rPr>
      </w:pPr>
    </w:p>
    <w:p w14:paraId="1E1D436A" w14:textId="77777777" w:rsidR="001C1DA4" w:rsidRPr="007E2963" w:rsidRDefault="001C1DA4" w:rsidP="30821638">
      <w:pPr>
        <w:spacing w:after="0"/>
        <w:rPr>
          <w:rFonts w:ascii="Verdana" w:eastAsia="Verdana" w:hAnsi="Verdana" w:cs="Verdana"/>
        </w:rPr>
      </w:pPr>
    </w:p>
    <w:p w14:paraId="73B53C95" w14:textId="77777777" w:rsidR="001C1DA4" w:rsidRPr="007E2963" w:rsidRDefault="001C1DA4" w:rsidP="30821638">
      <w:pPr>
        <w:spacing w:after="0"/>
        <w:rPr>
          <w:rFonts w:ascii="Verdana" w:eastAsia="Verdana" w:hAnsi="Verdana" w:cs="Verdana"/>
        </w:rPr>
      </w:pPr>
    </w:p>
    <w:p w14:paraId="1BC93F0D" w14:textId="77777777" w:rsidR="001C1DA4" w:rsidRPr="007E2963" w:rsidRDefault="001C1DA4" w:rsidP="30821638">
      <w:pPr>
        <w:spacing w:after="0"/>
        <w:rPr>
          <w:rFonts w:ascii="Verdana" w:eastAsia="Verdana" w:hAnsi="Verdana" w:cs="Verdana"/>
        </w:rPr>
      </w:pPr>
    </w:p>
    <w:p w14:paraId="031FC93A" w14:textId="77777777" w:rsidR="001C1DA4" w:rsidRPr="007E2963" w:rsidRDefault="001C1DA4" w:rsidP="30821638">
      <w:pPr>
        <w:spacing w:after="0"/>
        <w:rPr>
          <w:rFonts w:ascii="Verdana" w:eastAsia="Verdana" w:hAnsi="Verdana" w:cs="Verdana"/>
        </w:rPr>
      </w:pPr>
    </w:p>
    <w:p w14:paraId="016C4DCA" w14:textId="77777777" w:rsidR="001C1DA4" w:rsidRPr="007E2963" w:rsidRDefault="001C1DA4" w:rsidP="30821638">
      <w:pPr>
        <w:spacing w:after="0"/>
        <w:rPr>
          <w:rFonts w:ascii="Verdana" w:eastAsia="Verdana" w:hAnsi="Verdana" w:cs="Verdana"/>
        </w:rPr>
      </w:pPr>
    </w:p>
    <w:p w14:paraId="5D733983" w14:textId="77777777" w:rsidR="001C1DA4" w:rsidRPr="007E2963" w:rsidRDefault="001C1DA4" w:rsidP="30821638">
      <w:pPr>
        <w:spacing w:after="0"/>
        <w:rPr>
          <w:rFonts w:ascii="Verdana" w:eastAsia="Verdana" w:hAnsi="Verdana" w:cs="Verdana"/>
        </w:rPr>
      </w:pPr>
    </w:p>
    <w:p w14:paraId="41667A56" w14:textId="77777777" w:rsidR="001C1DA4" w:rsidRPr="007E2963" w:rsidRDefault="001C1DA4" w:rsidP="30821638">
      <w:pPr>
        <w:spacing w:after="0"/>
        <w:rPr>
          <w:rFonts w:ascii="Verdana" w:eastAsia="Verdana" w:hAnsi="Verdana" w:cs="Verdana"/>
        </w:rPr>
      </w:pPr>
    </w:p>
    <w:p w14:paraId="4D1C2902" w14:textId="77777777" w:rsidR="001C1DA4" w:rsidRPr="007E2963" w:rsidRDefault="001C1DA4" w:rsidP="30821638">
      <w:pPr>
        <w:spacing w:after="0"/>
        <w:rPr>
          <w:rFonts w:ascii="Verdana" w:eastAsia="Verdana" w:hAnsi="Verdana" w:cs="Verdana"/>
        </w:rPr>
      </w:pPr>
    </w:p>
    <w:p w14:paraId="4E70110A" w14:textId="77777777" w:rsidR="001C1DA4" w:rsidRPr="007E2963" w:rsidRDefault="001C1DA4" w:rsidP="30821638">
      <w:pPr>
        <w:spacing w:after="0"/>
        <w:rPr>
          <w:rFonts w:ascii="Verdana" w:eastAsia="Verdana" w:hAnsi="Verdana" w:cs="Verdana"/>
        </w:rPr>
      </w:pPr>
    </w:p>
    <w:p w14:paraId="1071F484" w14:textId="77777777" w:rsidR="001C1DA4" w:rsidRPr="007E2963" w:rsidRDefault="001C1DA4" w:rsidP="30821638">
      <w:pPr>
        <w:spacing w:after="0"/>
        <w:rPr>
          <w:rFonts w:ascii="Verdana" w:eastAsia="Verdana" w:hAnsi="Verdana" w:cs="Verdana"/>
        </w:rPr>
      </w:pPr>
    </w:p>
    <w:p w14:paraId="5CE5A65C" w14:textId="77777777" w:rsidR="001C1DA4" w:rsidRPr="007E2963" w:rsidRDefault="001C1DA4" w:rsidP="30821638">
      <w:pPr>
        <w:spacing w:after="0"/>
        <w:rPr>
          <w:rFonts w:ascii="Verdana" w:eastAsia="Verdana" w:hAnsi="Verdana" w:cs="Verdana"/>
        </w:rPr>
      </w:pPr>
    </w:p>
    <w:p w14:paraId="3E0CE66D" w14:textId="77777777" w:rsidR="001C1DA4" w:rsidRPr="007E2963" w:rsidRDefault="001C1DA4" w:rsidP="30821638">
      <w:pPr>
        <w:spacing w:after="0"/>
        <w:rPr>
          <w:rFonts w:ascii="Verdana" w:eastAsia="Verdana" w:hAnsi="Verdana" w:cs="Verdana"/>
        </w:rPr>
      </w:pPr>
    </w:p>
    <w:p w14:paraId="20BA4DB5" w14:textId="77777777" w:rsidR="001C1DA4" w:rsidRPr="007E2963" w:rsidRDefault="001C1DA4" w:rsidP="30821638">
      <w:pPr>
        <w:spacing w:after="0"/>
        <w:rPr>
          <w:rFonts w:ascii="Verdana" w:eastAsia="Verdana" w:hAnsi="Verdana" w:cs="Verdana"/>
        </w:rPr>
      </w:pPr>
    </w:p>
    <w:p w14:paraId="15575E92" w14:textId="77777777" w:rsidR="001C1DA4" w:rsidRPr="007E2963" w:rsidRDefault="001C1DA4" w:rsidP="30821638">
      <w:pPr>
        <w:spacing w:after="0"/>
        <w:rPr>
          <w:rFonts w:ascii="Verdana" w:eastAsia="Verdana" w:hAnsi="Verdana" w:cs="Verdana"/>
        </w:rPr>
      </w:pPr>
    </w:p>
    <w:p w14:paraId="7C84AD2C" w14:textId="77777777" w:rsidR="001C1DA4" w:rsidRPr="007E2963" w:rsidRDefault="001C1DA4" w:rsidP="30821638">
      <w:pPr>
        <w:spacing w:after="0"/>
        <w:rPr>
          <w:rFonts w:ascii="Verdana" w:eastAsia="Verdana" w:hAnsi="Verdana" w:cs="Verdana"/>
        </w:rPr>
      </w:pPr>
    </w:p>
    <w:p w14:paraId="263F3DD2" w14:textId="77777777" w:rsidR="001C1DA4" w:rsidRPr="007E2963" w:rsidRDefault="001C1DA4" w:rsidP="30821638">
      <w:pPr>
        <w:spacing w:after="0"/>
        <w:rPr>
          <w:rFonts w:ascii="Verdana" w:eastAsia="Verdana" w:hAnsi="Verdana" w:cs="Verdana"/>
        </w:rPr>
      </w:pPr>
    </w:p>
    <w:p w14:paraId="488BD839" w14:textId="77777777" w:rsidR="001C1DA4" w:rsidRPr="007E2963" w:rsidRDefault="001C1DA4" w:rsidP="30821638">
      <w:pPr>
        <w:spacing w:after="0"/>
        <w:rPr>
          <w:rFonts w:ascii="Verdana" w:eastAsia="Verdana" w:hAnsi="Verdana" w:cs="Verdana"/>
        </w:rPr>
      </w:pPr>
    </w:p>
    <w:p w14:paraId="78C1F286" w14:textId="77777777" w:rsidR="001C1DA4" w:rsidRPr="007E2963" w:rsidRDefault="001C1DA4" w:rsidP="30821638">
      <w:pPr>
        <w:spacing w:after="0"/>
        <w:rPr>
          <w:rFonts w:ascii="Verdana" w:eastAsia="Verdana" w:hAnsi="Verdana" w:cs="Verdana"/>
        </w:rPr>
      </w:pPr>
    </w:p>
    <w:p w14:paraId="6AB1F194" w14:textId="77777777" w:rsidR="001C1DA4" w:rsidRPr="007E2963" w:rsidRDefault="001C1DA4" w:rsidP="30821638">
      <w:pPr>
        <w:spacing w:after="0"/>
        <w:rPr>
          <w:rFonts w:ascii="Verdana" w:eastAsia="Verdana" w:hAnsi="Verdana" w:cs="Verdana"/>
        </w:rPr>
      </w:pPr>
    </w:p>
    <w:p w14:paraId="1E066A6C" w14:textId="77777777" w:rsidR="001C1DA4" w:rsidRPr="007E2963" w:rsidRDefault="001C1DA4" w:rsidP="30821638">
      <w:pPr>
        <w:spacing w:after="0"/>
        <w:rPr>
          <w:rFonts w:ascii="Verdana" w:eastAsia="Verdana" w:hAnsi="Verdana" w:cs="Verdana"/>
        </w:rPr>
      </w:pPr>
    </w:p>
    <w:p w14:paraId="259CB359" w14:textId="77777777" w:rsidR="001C1DA4" w:rsidRPr="007E2963" w:rsidRDefault="001C1DA4" w:rsidP="30821638">
      <w:pPr>
        <w:spacing w:after="0"/>
        <w:rPr>
          <w:rFonts w:ascii="Verdana" w:eastAsia="Verdana" w:hAnsi="Verdana" w:cs="Verdana"/>
        </w:rPr>
      </w:pPr>
    </w:p>
    <w:p w14:paraId="1A1A795A" w14:textId="77777777" w:rsidR="001C1DA4" w:rsidRPr="007E2963" w:rsidRDefault="001C1DA4" w:rsidP="30821638">
      <w:pPr>
        <w:spacing w:after="0"/>
        <w:rPr>
          <w:rFonts w:ascii="Verdana" w:eastAsia="Verdana" w:hAnsi="Verdana" w:cs="Verdana"/>
        </w:rPr>
      </w:pPr>
    </w:p>
    <w:p w14:paraId="28D78F05" w14:textId="77777777" w:rsidR="001C1DA4" w:rsidRPr="007E2963" w:rsidRDefault="001C1DA4" w:rsidP="30821638">
      <w:pPr>
        <w:spacing w:after="0"/>
        <w:rPr>
          <w:rFonts w:ascii="Verdana" w:eastAsia="Verdana" w:hAnsi="Verdana" w:cs="Verdana"/>
        </w:rPr>
      </w:pPr>
    </w:p>
    <w:p w14:paraId="56B687B5" w14:textId="77777777" w:rsidR="001C1DA4" w:rsidRPr="007E2963" w:rsidRDefault="001C1DA4" w:rsidP="30821638">
      <w:pPr>
        <w:spacing w:after="0"/>
        <w:rPr>
          <w:rFonts w:ascii="Verdana" w:eastAsia="Verdana" w:hAnsi="Verdana" w:cs="Verdana"/>
        </w:rPr>
      </w:pPr>
    </w:p>
    <w:p w14:paraId="79C1F40F" w14:textId="77777777" w:rsidR="001C1DA4" w:rsidRPr="007E2963" w:rsidRDefault="001C1DA4" w:rsidP="30821638">
      <w:pPr>
        <w:spacing w:after="0"/>
        <w:rPr>
          <w:rFonts w:ascii="Verdana" w:eastAsia="Verdana" w:hAnsi="Verdana" w:cs="Verdana"/>
        </w:rPr>
      </w:pPr>
    </w:p>
    <w:p w14:paraId="05CD3994" w14:textId="77777777" w:rsidR="001C1DA4" w:rsidRPr="007E2963" w:rsidRDefault="001C1DA4" w:rsidP="30821638">
      <w:pPr>
        <w:spacing w:after="0"/>
        <w:rPr>
          <w:rFonts w:ascii="Verdana" w:eastAsia="Verdana" w:hAnsi="Verdana" w:cs="Verdana"/>
        </w:rPr>
      </w:pPr>
    </w:p>
    <w:p w14:paraId="3D756DA7" w14:textId="77777777" w:rsidR="001C1DA4" w:rsidRPr="007E2963" w:rsidRDefault="001C1DA4" w:rsidP="30821638">
      <w:pPr>
        <w:spacing w:after="0"/>
        <w:rPr>
          <w:rFonts w:ascii="Verdana" w:eastAsia="Verdana" w:hAnsi="Verdana" w:cs="Verdana"/>
        </w:rPr>
      </w:pPr>
    </w:p>
    <w:p w14:paraId="5A52FE7A" w14:textId="77777777" w:rsidR="001C1DA4" w:rsidRPr="007E2963" w:rsidRDefault="001C1DA4" w:rsidP="30821638">
      <w:pPr>
        <w:spacing w:after="0"/>
        <w:rPr>
          <w:rFonts w:ascii="Verdana" w:eastAsia="Verdana" w:hAnsi="Verdana" w:cs="Verdana"/>
        </w:rPr>
      </w:pPr>
    </w:p>
    <w:p w14:paraId="4B4DEE54" w14:textId="77777777" w:rsidR="001C1DA4" w:rsidRPr="007E2963" w:rsidRDefault="001C1DA4" w:rsidP="30821638">
      <w:pPr>
        <w:spacing w:after="0"/>
        <w:rPr>
          <w:rFonts w:ascii="Verdana" w:eastAsia="Verdana" w:hAnsi="Verdana" w:cs="Verdana"/>
        </w:rPr>
      </w:pPr>
    </w:p>
    <w:p w14:paraId="74682808" w14:textId="77777777" w:rsidR="001C1DA4" w:rsidRPr="007E2963" w:rsidRDefault="001C1DA4" w:rsidP="30821638">
      <w:pPr>
        <w:spacing w:after="0"/>
        <w:rPr>
          <w:rFonts w:ascii="Verdana" w:eastAsia="Verdana" w:hAnsi="Verdana" w:cs="Verdana"/>
        </w:rPr>
      </w:pPr>
    </w:p>
    <w:p w14:paraId="2A9CFB11" w14:textId="77777777" w:rsidR="001C1DA4" w:rsidRPr="007E2963" w:rsidRDefault="001C1DA4" w:rsidP="30821638">
      <w:pPr>
        <w:spacing w:after="0"/>
        <w:rPr>
          <w:rFonts w:ascii="Verdana" w:eastAsia="Verdana" w:hAnsi="Verdana" w:cs="Verdana"/>
        </w:rPr>
      </w:pPr>
    </w:p>
    <w:p w14:paraId="54E15416" w14:textId="77777777" w:rsidR="001C1DA4" w:rsidRPr="007E2963" w:rsidRDefault="001C1DA4" w:rsidP="30821638">
      <w:pPr>
        <w:spacing w:after="0"/>
        <w:rPr>
          <w:rFonts w:ascii="Verdana" w:eastAsia="Verdana" w:hAnsi="Verdana" w:cs="Verdana"/>
        </w:rPr>
      </w:pPr>
    </w:p>
    <w:p w14:paraId="3A9907B5" w14:textId="77777777" w:rsidR="00BE47FB" w:rsidRPr="007E2963" w:rsidRDefault="00BE47FB" w:rsidP="30821638">
      <w:pPr>
        <w:spacing w:after="0"/>
        <w:rPr>
          <w:rFonts w:ascii="Verdana" w:eastAsia="Verdana" w:hAnsi="Verdana" w:cs="Verdana"/>
        </w:rPr>
      </w:pPr>
    </w:p>
    <w:p w14:paraId="44C5EFBB" w14:textId="77777777" w:rsidR="00FF7FB2" w:rsidRPr="007E2963" w:rsidRDefault="00FF7FB2" w:rsidP="30821638">
      <w:pPr>
        <w:spacing w:after="0"/>
        <w:rPr>
          <w:rFonts w:ascii="Verdana" w:eastAsia="Verdana" w:hAnsi="Verdana" w:cs="Verdana"/>
        </w:rPr>
      </w:pPr>
    </w:p>
    <w:p w14:paraId="770ADCF7" w14:textId="77777777" w:rsidR="00211380" w:rsidRPr="007E2963" w:rsidRDefault="00211380" w:rsidP="30821638">
      <w:pPr>
        <w:spacing w:after="0"/>
        <w:rPr>
          <w:rFonts w:ascii="Verdana" w:eastAsia="Verdana" w:hAnsi="Verdana" w:cs="Verdana"/>
        </w:rPr>
      </w:pPr>
    </w:p>
    <w:p w14:paraId="12443EE0" w14:textId="7649EE70" w:rsidR="00C15139" w:rsidRPr="007E2963" w:rsidRDefault="00C15139" w:rsidP="30821638">
      <w:pPr>
        <w:spacing w:after="0"/>
        <w:rPr>
          <w:rFonts w:ascii="Verdana" w:eastAsia="Verdana" w:hAnsi="Verdana" w:cs="Verdana"/>
        </w:rPr>
      </w:pPr>
      <w:r w:rsidRPr="007E2963">
        <w:rPr>
          <w:rFonts w:ascii="Verdana" w:eastAsia="Verdana" w:hAnsi="Verdana" w:cs="Verdana"/>
        </w:rPr>
        <w:lastRenderedPageBreak/>
        <w:t xml:space="preserve">Bogotá D.C., </w:t>
      </w:r>
      <w:r w:rsidR="00FF7FB2" w:rsidRPr="007E2963">
        <w:rPr>
          <w:rFonts w:ascii="Verdana" w:eastAsia="Verdana" w:hAnsi="Verdana" w:cs="Verdana"/>
        </w:rPr>
        <w:t>18 de agosto del 2026</w:t>
      </w:r>
    </w:p>
    <w:p w14:paraId="7EB3A82C" w14:textId="77777777" w:rsidR="00FF7FB2" w:rsidRPr="007E2963" w:rsidRDefault="00FF7FB2" w:rsidP="30821638">
      <w:pPr>
        <w:spacing w:after="0"/>
        <w:rPr>
          <w:rFonts w:ascii="Verdana" w:hAnsi="Verdana"/>
        </w:rPr>
      </w:pPr>
    </w:p>
    <w:p w14:paraId="28511B71" w14:textId="3AB8CDFB" w:rsidR="00FF7FB2" w:rsidRPr="007E2963" w:rsidRDefault="00FF7FB2" w:rsidP="00FF7FB2">
      <w:pPr>
        <w:spacing w:after="0"/>
        <w:jc w:val="right"/>
        <w:rPr>
          <w:rFonts w:ascii="Verdana" w:hAnsi="Verdana"/>
        </w:rPr>
      </w:pPr>
      <w:r w:rsidRPr="007E2963">
        <w:rPr>
          <w:rFonts w:ascii="Verdana" w:hAnsi="Verdana"/>
        </w:rPr>
        <w:drawing>
          <wp:inline distT="0" distB="0" distL="0" distR="0" wp14:anchorId="5EC2E9F4" wp14:editId="76961253">
            <wp:extent cx="3038899" cy="866896"/>
            <wp:effectExtent l="0" t="0" r="9525" b="9525"/>
            <wp:docPr id="2092748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48711" name=""/>
                    <pic:cNvPicPr/>
                  </pic:nvPicPr>
                  <pic:blipFill>
                    <a:blip r:embed="rId10"/>
                    <a:stretch>
                      <a:fillRect/>
                    </a:stretch>
                  </pic:blipFill>
                  <pic:spPr>
                    <a:xfrm>
                      <a:off x="0" y="0"/>
                      <a:ext cx="3038899" cy="866896"/>
                    </a:xfrm>
                    <a:prstGeom prst="rect">
                      <a:avLst/>
                    </a:prstGeom>
                  </pic:spPr>
                </pic:pic>
              </a:graphicData>
            </a:graphic>
          </wp:inline>
        </w:drawing>
      </w:r>
    </w:p>
    <w:p w14:paraId="4466BEA0" w14:textId="725733AC" w:rsidR="00450D7B" w:rsidRPr="007E2963" w:rsidRDefault="00450D7B" w:rsidP="00450D7B">
      <w:pPr>
        <w:spacing w:after="0" w:line="240" w:lineRule="auto"/>
        <w:rPr>
          <w:rFonts w:ascii="Verdana" w:hAnsi="Verdana"/>
        </w:rPr>
      </w:pPr>
      <w:r w:rsidRPr="007E2963">
        <w:rPr>
          <w:rFonts w:ascii="Verdana" w:eastAsia="Calibri" w:hAnsi="Verdana" w:cs="Arial"/>
          <w:color w:val="000000" w:themeColor="text1"/>
          <w:lang w:val="es-ES" w:eastAsia="es-ES"/>
        </w:rPr>
        <w:t>Señor</w:t>
      </w:r>
      <w:r w:rsidR="00BA30CE" w:rsidRPr="007E2963">
        <w:rPr>
          <w:rFonts w:ascii="Verdana" w:eastAsia="Calibri" w:hAnsi="Verdana" w:cs="Arial"/>
          <w:color w:val="000000" w:themeColor="text1"/>
          <w:lang w:val="es-ES" w:eastAsia="es-ES"/>
        </w:rPr>
        <w:t>a</w:t>
      </w:r>
      <w:r w:rsidRPr="007E2963">
        <w:rPr>
          <w:rFonts w:ascii="Verdana" w:eastAsia="Calibri" w:hAnsi="Verdana" w:cs="Arial"/>
          <w:color w:val="000000" w:themeColor="text1"/>
          <w:lang w:val="es-ES" w:eastAsia="es-ES"/>
        </w:rPr>
        <w:t>:</w:t>
      </w:r>
    </w:p>
    <w:p w14:paraId="45415336" w14:textId="77777777" w:rsidR="00E42B4C" w:rsidRPr="007E2963" w:rsidRDefault="00E42B4C" w:rsidP="00450D7B">
      <w:pPr>
        <w:spacing w:after="0" w:line="240" w:lineRule="auto"/>
        <w:rPr>
          <w:rFonts w:ascii="Verdana" w:eastAsia="Calibri" w:hAnsi="Verdana" w:cs="Arial"/>
          <w:b/>
          <w:bCs/>
          <w:color w:val="000000" w:themeColor="text1"/>
          <w:lang w:eastAsia="es-ES"/>
        </w:rPr>
      </w:pPr>
      <w:r w:rsidRPr="007E2963">
        <w:rPr>
          <w:rFonts w:ascii="Verdana" w:eastAsia="Calibri" w:hAnsi="Verdana" w:cs="Arial"/>
          <w:b/>
          <w:bCs/>
          <w:color w:val="000000" w:themeColor="text1"/>
          <w:lang w:eastAsia="es-ES"/>
        </w:rPr>
        <w:t>Camila Andrea Bohórquez Rueda</w:t>
      </w:r>
    </w:p>
    <w:p w14:paraId="39392571" w14:textId="0A219442" w:rsidR="00394739" w:rsidRPr="007E2963" w:rsidRDefault="00394739" w:rsidP="00450D7B">
      <w:pPr>
        <w:spacing w:after="0" w:line="240" w:lineRule="auto"/>
        <w:rPr>
          <w:rFonts w:ascii="Verdana" w:hAnsi="Verdana"/>
        </w:rPr>
      </w:pPr>
      <w:hyperlink r:id="rId11" w:history="1">
        <w:r w:rsidRPr="007E2963">
          <w:rPr>
            <w:rStyle w:val="Hipervnculo"/>
            <w:rFonts w:ascii="Verdana" w:hAnsi="Verdana"/>
          </w:rPr>
          <w:t>juridico@celestinfreinet.edu.co</w:t>
        </w:r>
      </w:hyperlink>
    </w:p>
    <w:p w14:paraId="3436E7E7" w14:textId="663C7A9F" w:rsidR="00450D7B" w:rsidRPr="007E2963" w:rsidRDefault="00450D7B" w:rsidP="00450D7B">
      <w:pPr>
        <w:spacing w:after="0" w:line="240" w:lineRule="auto"/>
        <w:rPr>
          <w:rFonts w:ascii="Verdana" w:eastAsia="Calibri" w:hAnsi="Verdana" w:cs="Arial"/>
          <w:color w:val="000000" w:themeColor="text1"/>
          <w:lang w:val="es-ES_tradnl" w:eastAsia="es-ES"/>
        </w:rPr>
      </w:pPr>
      <w:r w:rsidRPr="007E2963">
        <w:rPr>
          <w:rFonts w:ascii="Verdana" w:eastAsia="Calibri" w:hAnsi="Verdana" w:cs="Arial"/>
          <w:color w:val="000000" w:themeColor="text1"/>
          <w:lang w:val="es-ES_tradnl" w:eastAsia="es-ES"/>
        </w:rPr>
        <w:t>Bogotá D.C.</w:t>
      </w:r>
    </w:p>
    <w:p w14:paraId="396B5366" w14:textId="77777777" w:rsidR="00450D7B" w:rsidRPr="007E2963" w:rsidRDefault="00450D7B" w:rsidP="00450D7B">
      <w:pPr>
        <w:spacing w:after="0" w:line="240" w:lineRule="auto"/>
        <w:rPr>
          <w:rFonts w:ascii="Verdana" w:eastAsia="Calibri" w:hAnsi="Verdana" w:cs="Arial"/>
          <w:b/>
          <w:bCs/>
          <w:color w:val="000000" w:themeColor="text1"/>
          <w:highlight w:val="cyan"/>
          <w:lang w:val="es-ES_tradnl" w:eastAsia="es-ES_tradnl"/>
        </w:rPr>
      </w:pPr>
    </w:p>
    <w:p w14:paraId="656B38A9" w14:textId="5E679F34" w:rsidR="00450D7B" w:rsidRPr="007E2963" w:rsidRDefault="00450D7B" w:rsidP="00450D7B">
      <w:pPr>
        <w:spacing w:after="0" w:line="240" w:lineRule="auto"/>
        <w:rPr>
          <w:rFonts w:ascii="Verdana" w:eastAsia="Calibri" w:hAnsi="Verdana" w:cs="Arial"/>
          <w:b/>
          <w:bCs/>
          <w:color w:val="000000" w:themeColor="text1"/>
          <w:lang w:val="es-ES_tradnl" w:eastAsia="es-ES_tradnl"/>
        </w:rPr>
      </w:pPr>
      <w:r w:rsidRPr="007E2963">
        <w:rPr>
          <w:rFonts w:ascii="Verdana" w:eastAsia="Calibri" w:hAnsi="Verdana" w:cs="Arial"/>
          <w:b/>
          <w:bCs/>
          <w:color w:val="000000" w:themeColor="text1"/>
          <w:lang w:val="es-ES_tradnl" w:eastAsia="es-ES_tradnl"/>
        </w:rPr>
        <w:t xml:space="preserve">                                   Concepto </w:t>
      </w:r>
      <w:r w:rsidR="00CA0CD1" w:rsidRPr="007E2963">
        <w:rPr>
          <w:rFonts w:ascii="Verdana" w:eastAsia="Calibri" w:hAnsi="Verdana" w:cs="Arial"/>
          <w:b/>
          <w:bCs/>
          <w:color w:val="000000" w:themeColor="text1"/>
          <w:lang w:val="es-ES_tradnl" w:eastAsia="es-ES_tradnl"/>
        </w:rPr>
        <w:t>C-1091</w:t>
      </w:r>
      <w:r w:rsidRPr="007E2963">
        <w:rPr>
          <w:rFonts w:ascii="Verdana" w:eastAsia="Calibri" w:hAnsi="Verdana" w:cs="Arial"/>
          <w:b/>
          <w:bCs/>
          <w:color w:val="000000" w:themeColor="text1"/>
          <w:lang w:val="es-ES_tradnl" w:eastAsia="es-ES_tradnl"/>
        </w:rPr>
        <w:t xml:space="preserve"> del 2026</w:t>
      </w:r>
    </w:p>
    <w:p w14:paraId="5D69859B" w14:textId="77777777" w:rsidR="00450D7B" w:rsidRPr="007E2963" w:rsidRDefault="00450D7B" w:rsidP="00450D7B">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50D7B" w:rsidRPr="007E2963" w14:paraId="5EB96D87" w14:textId="77777777" w:rsidTr="00891A0F">
        <w:trPr>
          <w:trHeight w:val="884"/>
        </w:trPr>
        <w:tc>
          <w:tcPr>
            <w:tcW w:w="2689" w:type="dxa"/>
          </w:tcPr>
          <w:p w14:paraId="34377FD3" w14:textId="77777777" w:rsidR="00450D7B" w:rsidRPr="007E2963" w:rsidRDefault="00450D7B" w:rsidP="00891A0F">
            <w:pPr>
              <w:jc w:val="both"/>
              <w:rPr>
                <w:rFonts w:ascii="Verdana" w:eastAsia="Calibri" w:hAnsi="Verdana" w:cs="Arial"/>
                <w:color w:val="000000" w:themeColor="text1"/>
                <w:highlight w:val="cyan"/>
                <w:lang w:val="es-ES_tradnl" w:eastAsia="es-ES_tradnl"/>
              </w:rPr>
            </w:pPr>
            <w:r w:rsidRPr="007E2963">
              <w:rPr>
                <w:rFonts w:ascii="Verdana" w:eastAsia="Calibri" w:hAnsi="Verdana" w:cs="Arial"/>
                <w:b/>
                <w:color w:val="000000" w:themeColor="text1"/>
                <w:lang w:val="es-ES_tradnl" w:eastAsia="es-ES_tradnl"/>
              </w:rPr>
              <w:t>Temas:</w:t>
            </w:r>
            <w:r w:rsidRPr="007E2963">
              <w:rPr>
                <w:rFonts w:ascii="Verdana" w:eastAsia="Calibri" w:hAnsi="Verdana" w:cs="Arial"/>
                <w:color w:val="000000" w:themeColor="text1"/>
                <w:lang w:val="es-ES_tradnl" w:eastAsia="es-ES_tradnl"/>
              </w:rPr>
              <w:t xml:space="preserve">                   </w:t>
            </w:r>
          </w:p>
        </w:tc>
        <w:tc>
          <w:tcPr>
            <w:tcW w:w="6100" w:type="dxa"/>
          </w:tcPr>
          <w:p w14:paraId="78D87B21" w14:textId="77777777" w:rsidR="0018599D" w:rsidRPr="007E2963" w:rsidRDefault="0018599D" w:rsidP="0018599D">
            <w:pPr>
              <w:jc w:val="both"/>
              <w:rPr>
                <w:rFonts w:ascii="Verdana" w:hAnsi="Verdana"/>
              </w:rPr>
            </w:pPr>
            <w:r w:rsidRPr="007E2963">
              <w:rPr>
                <w:rFonts w:ascii="Verdana" w:eastAsia="Aptos" w:hAnsi="Verdana" w:cs="Times New Roman"/>
              </w:rPr>
              <w:t xml:space="preserve">CONTRATO DE PRESTACIÓN DE SERVICIOS – Concepto / CONTRATO DE PRESTACIÓN DE SERVICIOS – Características / ESTABILIDAD OCUPACIONAL REFORZADA DE MUJER EMBARAZADA – Concepto / ESTABILIDAD OCUPACIONAL REFORZADA DE MUJER EMBARAZADA – Unificación jurisprudencial / </w:t>
            </w:r>
            <w:r w:rsidRPr="007E2963">
              <w:rPr>
                <w:rFonts w:ascii="Verdana" w:hAnsi="Verdana"/>
              </w:rPr>
              <w:t xml:space="preserve">ESTABILIDAD OCUPACIONAL REFORZADA – Periodo de lactancia – Contratos de prestación de servicios </w:t>
            </w:r>
          </w:p>
          <w:p w14:paraId="4A4546C9" w14:textId="77777777" w:rsidR="00450D7B" w:rsidRPr="007E2963" w:rsidRDefault="00450D7B" w:rsidP="00891A0F">
            <w:pPr>
              <w:jc w:val="both"/>
              <w:rPr>
                <w:rFonts w:ascii="Verdana" w:eastAsia="Times New Roman" w:hAnsi="Verdana" w:cs="Arial"/>
                <w:bCs/>
                <w:highlight w:val="cyan"/>
                <w:lang w:eastAsia="es-CO"/>
              </w:rPr>
            </w:pPr>
          </w:p>
        </w:tc>
      </w:tr>
      <w:tr w:rsidR="00450D7B" w:rsidRPr="007E2963" w14:paraId="4503FFF1" w14:textId="77777777" w:rsidTr="00891A0F">
        <w:tc>
          <w:tcPr>
            <w:tcW w:w="2689" w:type="dxa"/>
          </w:tcPr>
          <w:p w14:paraId="0AABAC16" w14:textId="77777777" w:rsidR="00450D7B" w:rsidRPr="007E2963" w:rsidRDefault="00450D7B" w:rsidP="00891A0F">
            <w:pPr>
              <w:jc w:val="both"/>
              <w:rPr>
                <w:rFonts w:ascii="Verdana" w:eastAsia="Calibri" w:hAnsi="Verdana" w:cs="Arial"/>
                <w:b/>
                <w:color w:val="000000" w:themeColor="text1"/>
                <w:lang w:val="es-ES_tradnl" w:eastAsia="es-ES_tradnl"/>
              </w:rPr>
            </w:pPr>
            <w:r w:rsidRPr="007E2963">
              <w:rPr>
                <w:rFonts w:ascii="Verdana" w:eastAsia="Calibri" w:hAnsi="Verdana" w:cs="Arial"/>
                <w:b/>
                <w:color w:val="000000" w:themeColor="text1"/>
                <w:lang w:val="es-ES_tradnl" w:eastAsia="es-ES_tradnl"/>
              </w:rPr>
              <w:t>Radicación:</w:t>
            </w:r>
            <w:r w:rsidRPr="007E2963">
              <w:rPr>
                <w:rFonts w:ascii="Verdana" w:eastAsia="Calibri" w:hAnsi="Verdana" w:cs="Arial"/>
                <w:color w:val="000000" w:themeColor="text1"/>
                <w:lang w:val="es-ES_tradnl" w:eastAsia="es-ES_tradnl"/>
              </w:rPr>
              <w:t xml:space="preserve">               </w:t>
            </w:r>
          </w:p>
        </w:tc>
        <w:tc>
          <w:tcPr>
            <w:tcW w:w="6100" w:type="dxa"/>
          </w:tcPr>
          <w:p w14:paraId="76F58BE0" w14:textId="588CE59B" w:rsidR="00450D7B" w:rsidRPr="007E2963" w:rsidRDefault="00450D7B" w:rsidP="00891A0F">
            <w:pPr>
              <w:jc w:val="both"/>
              <w:rPr>
                <w:rFonts w:ascii="Verdana" w:eastAsia="Calibri" w:hAnsi="Verdana" w:cs="Arial"/>
                <w:color w:val="000000" w:themeColor="text1"/>
                <w:lang w:eastAsia="es-ES_tradnl"/>
              </w:rPr>
            </w:pPr>
            <w:r w:rsidRPr="007E2963">
              <w:rPr>
                <w:rFonts w:ascii="Verdana" w:eastAsia="Calibri" w:hAnsi="Verdana" w:cs="Arial"/>
                <w:color w:val="000000" w:themeColor="text1"/>
                <w:lang w:val="es-ES_tradnl" w:eastAsia="es-ES_tradnl"/>
              </w:rPr>
              <w:t>Respuesta a consulta con radicado No.</w:t>
            </w:r>
            <w:r w:rsidRPr="007E2963">
              <w:rPr>
                <w:rFonts w:ascii="Verdana" w:hAnsi="Verdana"/>
              </w:rPr>
              <w:t xml:space="preserve"> </w:t>
            </w:r>
            <w:r w:rsidR="00E10C54" w:rsidRPr="007E2963">
              <w:rPr>
                <w:rFonts w:ascii="Verdana" w:hAnsi="Verdana"/>
              </w:rPr>
              <w:t>1_2026_07_07_009053</w:t>
            </w:r>
          </w:p>
        </w:tc>
      </w:tr>
    </w:tbl>
    <w:p w14:paraId="457EAC39" w14:textId="77777777" w:rsidR="00450D7B" w:rsidRPr="007E2963" w:rsidRDefault="00450D7B" w:rsidP="00450D7B">
      <w:pPr>
        <w:spacing w:after="0" w:line="240" w:lineRule="auto"/>
        <w:jc w:val="both"/>
        <w:rPr>
          <w:rFonts w:ascii="Verdana" w:eastAsia="Calibri" w:hAnsi="Verdana" w:cs="Arial"/>
          <w:color w:val="000000" w:themeColor="text1"/>
          <w:highlight w:val="cyan"/>
          <w:lang w:val="es-ES" w:eastAsia="es-ES"/>
        </w:rPr>
      </w:pPr>
    </w:p>
    <w:p w14:paraId="27A1E139" w14:textId="77777777" w:rsidR="00450D7B" w:rsidRPr="007E2963" w:rsidRDefault="00450D7B" w:rsidP="00450D7B">
      <w:pPr>
        <w:spacing w:after="0" w:line="240" w:lineRule="auto"/>
        <w:jc w:val="both"/>
        <w:rPr>
          <w:rFonts w:ascii="Verdana" w:eastAsia="Calibri" w:hAnsi="Verdana" w:cs="Arial"/>
          <w:color w:val="000000" w:themeColor="text1"/>
          <w:highlight w:val="cyan"/>
          <w:lang w:val="es-ES" w:eastAsia="es-ES"/>
        </w:rPr>
      </w:pPr>
    </w:p>
    <w:p w14:paraId="084A0B5F" w14:textId="1E386665" w:rsidR="00450D7B" w:rsidRPr="007E2963" w:rsidRDefault="00450D7B" w:rsidP="00450D7B">
      <w:pPr>
        <w:spacing w:after="0" w:line="276" w:lineRule="auto"/>
        <w:jc w:val="both"/>
        <w:rPr>
          <w:rFonts w:ascii="Verdana" w:eastAsia="Calibri" w:hAnsi="Verdana" w:cs="Arial"/>
          <w:color w:val="000000" w:themeColor="text1"/>
          <w:lang w:val="es-ES" w:eastAsia="es-ES"/>
        </w:rPr>
      </w:pPr>
      <w:r w:rsidRPr="007E2963">
        <w:rPr>
          <w:rFonts w:ascii="Verdana" w:eastAsia="Calibri" w:hAnsi="Verdana" w:cs="Arial"/>
          <w:color w:val="000000" w:themeColor="text1"/>
          <w:lang w:val="es-ES" w:eastAsia="es-ES"/>
        </w:rPr>
        <w:t>Estimad</w:t>
      </w:r>
      <w:r w:rsidR="00BA30CE" w:rsidRPr="007E2963">
        <w:rPr>
          <w:rFonts w:ascii="Verdana" w:eastAsia="Calibri" w:hAnsi="Verdana" w:cs="Arial"/>
          <w:color w:val="000000" w:themeColor="text1"/>
          <w:lang w:val="es-ES" w:eastAsia="es-ES"/>
        </w:rPr>
        <w:t>a</w:t>
      </w:r>
      <w:r w:rsidRPr="007E2963">
        <w:rPr>
          <w:rFonts w:ascii="Verdana" w:eastAsia="Calibri" w:hAnsi="Verdana" w:cs="Arial"/>
          <w:color w:val="000000" w:themeColor="text1"/>
          <w:lang w:val="es-ES" w:eastAsia="es-ES"/>
        </w:rPr>
        <w:t xml:space="preserve"> señor</w:t>
      </w:r>
      <w:r w:rsidR="00BA30CE" w:rsidRPr="007E2963">
        <w:rPr>
          <w:rFonts w:ascii="Verdana" w:eastAsia="Calibri" w:hAnsi="Verdana" w:cs="Arial"/>
          <w:color w:val="000000" w:themeColor="text1"/>
          <w:lang w:val="es-ES" w:eastAsia="es-ES"/>
        </w:rPr>
        <w:t>a</w:t>
      </w:r>
      <w:r w:rsidRPr="007E2963">
        <w:rPr>
          <w:rFonts w:ascii="Verdana" w:eastAsia="Calibri" w:hAnsi="Verdana" w:cs="Arial"/>
          <w:color w:val="000000" w:themeColor="text1"/>
          <w:lang w:val="es-ES" w:eastAsia="es-ES"/>
        </w:rPr>
        <w:t xml:space="preserve"> </w:t>
      </w:r>
      <w:r w:rsidR="00FD06CC" w:rsidRPr="007E2963">
        <w:rPr>
          <w:rFonts w:ascii="Verdana" w:eastAsia="Calibri" w:hAnsi="Verdana" w:cs="Arial"/>
          <w:color w:val="000000" w:themeColor="text1"/>
          <w:lang w:eastAsia="es-ES"/>
        </w:rPr>
        <w:t>Bohórquez Rueda</w:t>
      </w:r>
      <w:r w:rsidRPr="007E2963">
        <w:rPr>
          <w:rFonts w:ascii="Verdana" w:eastAsia="Calibri" w:hAnsi="Verdana" w:cs="Arial"/>
          <w:color w:val="000000" w:themeColor="text1"/>
          <w:lang w:val="es-ES" w:eastAsia="es-ES"/>
        </w:rPr>
        <w:t xml:space="preserve">: </w:t>
      </w:r>
    </w:p>
    <w:p w14:paraId="1BA2EFD0" w14:textId="77777777" w:rsidR="00450D7B" w:rsidRPr="007E2963" w:rsidRDefault="00450D7B" w:rsidP="00450D7B">
      <w:pPr>
        <w:spacing w:after="0" w:line="276" w:lineRule="auto"/>
        <w:rPr>
          <w:rFonts w:ascii="Verdana" w:eastAsia="Times New Roman" w:hAnsi="Verdana" w:cs="Segoe UI"/>
          <w:highlight w:val="cyan"/>
          <w:lang w:eastAsia="es-CO"/>
        </w:rPr>
      </w:pPr>
    </w:p>
    <w:p w14:paraId="54D6D029" w14:textId="2CFB4336" w:rsidR="00450D7B" w:rsidRPr="007E2963" w:rsidRDefault="00450D7B" w:rsidP="00450D7B">
      <w:pPr>
        <w:spacing w:after="0" w:line="276" w:lineRule="auto"/>
        <w:jc w:val="both"/>
        <w:rPr>
          <w:rFonts w:ascii="Verdana" w:eastAsia="Calibri" w:hAnsi="Verdana" w:cs="Arial"/>
          <w:lang w:val="es-ES" w:eastAsia="es-ES"/>
        </w:rPr>
      </w:pPr>
      <w:r w:rsidRPr="007E2963">
        <w:rPr>
          <w:rFonts w:ascii="Verdana" w:eastAsia="Calibri" w:hAnsi="Verdana" w:cs="Arial"/>
          <w:lang w:val="es-ES" w:eastAsia="es-ES"/>
        </w:rPr>
        <w:t>En ejercicio de la competencia otorgada por los artículos 3, numeral 5º, y 11, numeral 8º, del Decreto Ley 4170 de 2011,</w:t>
      </w:r>
      <w:r w:rsidRPr="007E2963">
        <w:rPr>
          <w:rFonts w:ascii="Verdana" w:eastAsia="Arial MT" w:hAnsi="Verdana" w:cs="Arial"/>
          <w:lang w:val="es-ES" w:eastAsia="es-ES"/>
        </w:rPr>
        <w:t xml:space="preserve"> </w:t>
      </w:r>
      <w:r w:rsidRPr="007E2963">
        <w:rPr>
          <w:rFonts w:ascii="Verdana" w:hAnsi="Verdana" w:cs="Arial"/>
        </w:rPr>
        <w:t xml:space="preserve">así como lo establecido en el artículo 4 de la Resolución 1707 de 2018 expedida por esta Entidad, </w:t>
      </w:r>
      <w:r w:rsidRPr="007E2963">
        <w:rPr>
          <w:rFonts w:ascii="Verdana" w:eastAsia="Calibri" w:hAnsi="Verdana" w:cs="Arial"/>
          <w:lang w:val="es-ES" w:eastAsia="es-ES"/>
        </w:rPr>
        <w:t xml:space="preserve">la Agencia Nacional de Contratación Pública – Colombia Compra Eficiente– responde su solicitud radicada el </w:t>
      </w:r>
      <w:r w:rsidR="00AB7D0A" w:rsidRPr="007E2963">
        <w:rPr>
          <w:rFonts w:ascii="Verdana" w:eastAsia="Calibri" w:hAnsi="Verdana" w:cs="Arial"/>
          <w:lang w:val="es-ES" w:eastAsia="es-ES"/>
        </w:rPr>
        <w:t xml:space="preserve">19 de </w:t>
      </w:r>
      <w:r w:rsidR="00E55236" w:rsidRPr="007E2963">
        <w:rPr>
          <w:rFonts w:ascii="Verdana" w:eastAsia="Calibri" w:hAnsi="Verdana" w:cs="Arial"/>
          <w:lang w:val="es-ES" w:eastAsia="es-ES"/>
        </w:rPr>
        <w:t>junio</w:t>
      </w:r>
      <w:r w:rsidR="00AB7D0A" w:rsidRPr="007E2963">
        <w:rPr>
          <w:rFonts w:ascii="Verdana" w:eastAsia="Calibri" w:hAnsi="Verdana" w:cs="Arial"/>
          <w:lang w:val="es-ES" w:eastAsia="es-ES"/>
        </w:rPr>
        <w:t xml:space="preserve"> del 2026</w:t>
      </w:r>
      <w:r w:rsidRPr="007E2963">
        <w:rPr>
          <w:rFonts w:ascii="Verdana" w:eastAsia="Calibri" w:hAnsi="Verdana" w:cs="Arial"/>
          <w:lang w:val="es-ES" w:eastAsia="es-ES"/>
        </w:rPr>
        <w:t>,</w:t>
      </w:r>
      <w:r w:rsidR="00AB7D0A" w:rsidRPr="007E2963">
        <w:rPr>
          <w:rFonts w:ascii="Verdana" w:eastAsia="Calibri" w:hAnsi="Verdana" w:cs="Arial"/>
          <w:lang w:val="es-ES" w:eastAsia="es-ES"/>
        </w:rPr>
        <w:t xml:space="preserve"> trasladada por el Departamento Administrativo de la Función Pública el </w:t>
      </w:r>
      <w:r w:rsidR="006F1CB1" w:rsidRPr="007E2963">
        <w:rPr>
          <w:rFonts w:ascii="Verdana" w:eastAsia="Calibri" w:hAnsi="Verdana" w:cs="Arial"/>
          <w:lang w:val="es-ES" w:eastAsia="es-ES"/>
        </w:rPr>
        <w:t>05 de julio del 2026</w:t>
      </w:r>
      <w:r w:rsidR="00AB7D0A" w:rsidRPr="007E2963">
        <w:rPr>
          <w:rFonts w:ascii="Verdana" w:eastAsia="Calibri" w:hAnsi="Verdana" w:cs="Arial"/>
          <w:lang w:val="es-ES" w:eastAsia="es-ES"/>
        </w:rPr>
        <w:t xml:space="preserve">, </w:t>
      </w:r>
      <w:r w:rsidRPr="007E2963">
        <w:rPr>
          <w:rFonts w:ascii="Verdana" w:eastAsia="Calibri" w:hAnsi="Verdana" w:cs="Arial"/>
          <w:lang w:val="es-ES" w:eastAsia="es-ES"/>
        </w:rPr>
        <w:t xml:space="preserve">en la cual manifiesta lo siguiente: </w:t>
      </w:r>
    </w:p>
    <w:p w14:paraId="4FFC8751" w14:textId="77777777" w:rsidR="00450D7B" w:rsidRPr="007E2963" w:rsidRDefault="00450D7B" w:rsidP="00450D7B">
      <w:pPr>
        <w:spacing w:after="0" w:line="276" w:lineRule="auto"/>
        <w:jc w:val="both"/>
        <w:rPr>
          <w:rFonts w:ascii="Verdana" w:eastAsia="Calibri" w:hAnsi="Verdana" w:cs="Arial"/>
          <w:highlight w:val="cyan"/>
          <w:lang w:val="es-ES" w:eastAsia="es-ES"/>
        </w:rPr>
      </w:pPr>
    </w:p>
    <w:p w14:paraId="12B7AA0B" w14:textId="082C42DB" w:rsidR="00A61F29" w:rsidRPr="007E2963" w:rsidRDefault="00450D7B" w:rsidP="00A61F29">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lang w:val="es-ES"/>
        </w:rPr>
        <w:t xml:space="preserve">“[…] </w:t>
      </w:r>
      <w:r w:rsidR="00AF3D17" w:rsidRPr="007E2963">
        <w:rPr>
          <w:rFonts w:ascii="Verdana" w:eastAsia="Century Gothic" w:hAnsi="Verdana" w:cs="Arial"/>
          <w:sz w:val="20"/>
          <w:szCs w:val="20"/>
        </w:rPr>
        <w:t>1. Contrato original (</w:t>
      </w:r>
      <w:r w:rsidR="00AB4CE0" w:rsidRPr="007E2963">
        <w:rPr>
          <w:rFonts w:ascii="Verdana" w:eastAsia="Century Gothic" w:hAnsi="Verdana" w:cs="Arial"/>
          <w:sz w:val="20"/>
          <w:szCs w:val="20"/>
        </w:rPr>
        <w:t xml:space="preserve">hipotético) </w:t>
      </w:r>
    </w:p>
    <w:p w14:paraId="1264C738" w14:textId="77777777" w:rsidR="00A61F29" w:rsidRPr="007E2963" w:rsidRDefault="00A61F29" w:rsidP="00A61F29">
      <w:pPr>
        <w:spacing w:after="0" w:line="240" w:lineRule="auto"/>
        <w:ind w:left="709" w:right="709"/>
        <w:jc w:val="both"/>
        <w:rPr>
          <w:rFonts w:ascii="Verdana" w:eastAsia="Century Gothic" w:hAnsi="Verdana" w:cs="Arial"/>
          <w:sz w:val="20"/>
          <w:szCs w:val="20"/>
        </w:rPr>
      </w:pPr>
    </w:p>
    <w:p w14:paraId="604A2551" w14:textId="50477D9A" w:rsidR="009173DD" w:rsidRPr="007E2963" w:rsidRDefault="00A61F29" w:rsidP="009173DD">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La fundación celebró con una profesional independiente un contrato de prestación de servicios profesionales, con vigencia determinada. Dicho </w:t>
      </w:r>
      <w:r w:rsidRPr="007E2963">
        <w:rPr>
          <w:rFonts w:ascii="Verdana" w:eastAsia="Century Gothic" w:hAnsi="Verdana" w:cs="Arial"/>
          <w:sz w:val="20"/>
          <w:szCs w:val="20"/>
        </w:rPr>
        <w:lastRenderedPageBreak/>
        <w:t>contrato fue suscrito bajo los parámetros del derecho priv</w:t>
      </w:r>
      <w:r w:rsidR="006D1692" w:rsidRPr="007E2963">
        <w:rPr>
          <w:rFonts w:ascii="Verdana" w:eastAsia="Century Gothic" w:hAnsi="Verdana" w:cs="Arial"/>
          <w:sz w:val="20"/>
          <w:szCs w:val="20"/>
        </w:rPr>
        <w:t xml:space="preserve">ado y contempló expresamente la exclusión de cualquier relación laboral, conforme </w:t>
      </w:r>
      <w:r w:rsidR="009173DD" w:rsidRPr="007E2963">
        <w:rPr>
          <w:rFonts w:ascii="Verdana" w:eastAsia="Century Gothic" w:hAnsi="Verdana" w:cs="Arial"/>
          <w:sz w:val="20"/>
          <w:szCs w:val="20"/>
        </w:rPr>
        <w:t xml:space="preserve">a una cláusula de naturaleza contractual y a una cláusula especifica de exclusión de vínculo laboral. </w:t>
      </w:r>
    </w:p>
    <w:p w14:paraId="5E407528" w14:textId="77777777" w:rsidR="009173DD" w:rsidRPr="007E2963" w:rsidRDefault="009173DD" w:rsidP="009173DD">
      <w:pPr>
        <w:spacing w:after="0" w:line="240" w:lineRule="auto"/>
        <w:ind w:left="709" w:right="709"/>
        <w:jc w:val="both"/>
        <w:rPr>
          <w:rFonts w:ascii="Verdana" w:eastAsia="Century Gothic" w:hAnsi="Verdana" w:cs="Arial"/>
          <w:sz w:val="20"/>
          <w:szCs w:val="20"/>
        </w:rPr>
      </w:pPr>
    </w:p>
    <w:p w14:paraId="21114B64" w14:textId="2083DAFE" w:rsidR="009173DD" w:rsidRPr="007E2963" w:rsidRDefault="009173DD" w:rsidP="009173DD">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2. Naturaleza del vínculo contractual:</w:t>
      </w:r>
    </w:p>
    <w:p w14:paraId="0DF8966A" w14:textId="77777777" w:rsidR="009173DD" w:rsidRPr="007E2963" w:rsidRDefault="009173DD" w:rsidP="009173DD">
      <w:pPr>
        <w:spacing w:after="0" w:line="240" w:lineRule="auto"/>
        <w:ind w:left="709" w:right="709"/>
        <w:jc w:val="both"/>
        <w:rPr>
          <w:rFonts w:ascii="Verdana" w:eastAsia="Century Gothic" w:hAnsi="Verdana" w:cs="Arial"/>
          <w:sz w:val="20"/>
          <w:szCs w:val="20"/>
        </w:rPr>
      </w:pPr>
    </w:p>
    <w:p w14:paraId="1A1D4D8D" w14:textId="0F37B720" w:rsidR="009173DD" w:rsidRPr="007E2963" w:rsidRDefault="009173DD" w:rsidP="009173DD">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Conforme a la legislación colombiana y a la jurisprudencia reiterada, los contratos </w:t>
      </w:r>
      <w:r w:rsidR="00AC72BE" w:rsidRPr="007E2963">
        <w:rPr>
          <w:rFonts w:ascii="Verdana" w:eastAsia="Century Gothic" w:hAnsi="Verdana" w:cs="Arial"/>
          <w:sz w:val="20"/>
          <w:szCs w:val="20"/>
        </w:rPr>
        <w:t xml:space="preserve">prestación de servicios no generan relación laboral ni el reconocimiento de prestaciones sociales. Este principio encuentra sustento, entre otras disposiciones, en el artículo 32 numeral 3 de la ley 80 de 1993, el cual establece que este tipo de contratos se celebran por el término estrictamente indispensable para el cumplimiento de un objeto especifico y temporal, sin que ello se derive </w:t>
      </w:r>
      <w:proofErr w:type="spellStart"/>
      <w:r w:rsidR="00AC72BE" w:rsidRPr="007E2963">
        <w:rPr>
          <w:rFonts w:ascii="Verdana" w:eastAsia="Century Gothic" w:hAnsi="Verdana" w:cs="Arial"/>
          <w:sz w:val="20"/>
          <w:szCs w:val="20"/>
        </w:rPr>
        <w:t>vinculo</w:t>
      </w:r>
      <w:proofErr w:type="spellEnd"/>
      <w:r w:rsidR="00AC72BE" w:rsidRPr="007E2963">
        <w:rPr>
          <w:rFonts w:ascii="Verdana" w:eastAsia="Century Gothic" w:hAnsi="Verdana" w:cs="Arial"/>
          <w:sz w:val="20"/>
          <w:szCs w:val="20"/>
        </w:rPr>
        <w:t xml:space="preserve"> laboral alguno. A</w:t>
      </w:r>
      <w:r w:rsidR="008630ED" w:rsidRPr="007E2963">
        <w:rPr>
          <w:rFonts w:ascii="Verdana" w:eastAsia="Century Gothic" w:hAnsi="Verdana" w:cs="Arial"/>
          <w:sz w:val="20"/>
          <w:szCs w:val="20"/>
        </w:rPr>
        <w:t xml:space="preserve">sí fue pactado y ejecutado el contrato objeto de este caso hipotético. </w:t>
      </w:r>
    </w:p>
    <w:p w14:paraId="287B5978" w14:textId="77777777" w:rsidR="008630ED" w:rsidRPr="007E2963" w:rsidRDefault="008630ED" w:rsidP="009173DD">
      <w:pPr>
        <w:spacing w:after="0" w:line="240" w:lineRule="auto"/>
        <w:ind w:left="709" w:right="709"/>
        <w:jc w:val="both"/>
        <w:rPr>
          <w:rFonts w:ascii="Verdana" w:eastAsia="Century Gothic" w:hAnsi="Verdana" w:cs="Arial"/>
          <w:sz w:val="20"/>
          <w:szCs w:val="20"/>
        </w:rPr>
      </w:pPr>
    </w:p>
    <w:p w14:paraId="496E56A4" w14:textId="0E10F7EA" w:rsidR="008630ED" w:rsidRPr="007E2963" w:rsidRDefault="008630ED" w:rsidP="009173DD">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3. Causal de terminación</w:t>
      </w:r>
    </w:p>
    <w:p w14:paraId="6EE516B5" w14:textId="77777777" w:rsidR="008630ED" w:rsidRPr="007E2963" w:rsidRDefault="008630ED" w:rsidP="009173DD">
      <w:pPr>
        <w:spacing w:after="0" w:line="240" w:lineRule="auto"/>
        <w:ind w:left="709" w:right="709"/>
        <w:jc w:val="both"/>
        <w:rPr>
          <w:rFonts w:ascii="Verdana" w:eastAsia="Century Gothic" w:hAnsi="Verdana" w:cs="Arial"/>
          <w:sz w:val="20"/>
          <w:szCs w:val="20"/>
        </w:rPr>
      </w:pPr>
    </w:p>
    <w:p w14:paraId="0CA8DAD1" w14:textId="45CF1F07" w:rsidR="00243BCB" w:rsidRPr="007E2963" w:rsidRDefault="008630ED"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El contrato llegó a su fecha de terminación pactada y no fue renovado. La razón única y determinante para la no celebración de un nuevo contrato fue objetiva y externa a la voluntad de la fundación: la finalización del convenio principal </w:t>
      </w:r>
      <w:r w:rsidR="00322E74" w:rsidRPr="007E2963">
        <w:rPr>
          <w:rFonts w:ascii="Verdana" w:eastAsia="Century Gothic" w:hAnsi="Verdana" w:cs="Arial"/>
          <w:sz w:val="20"/>
          <w:szCs w:val="20"/>
        </w:rPr>
        <w:t>suscr</w:t>
      </w:r>
      <w:r w:rsidR="006F0206" w:rsidRPr="007E2963">
        <w:rPr>
          <w:rFonts w:ascii="Verdana" w:eastAsia="Century Gothic" w:hAnsi="Verdana" w:cs="Arial"/>
          <w:sz w:val="20"/>
          <w:szCs w:val="20"/>
        </w:rPr>
        <w:t>ito con una entidad distrital para la prestación de servicios de atención a población beneficiaria. Al extinguirse el objeto contractual y la fuente de financiación que sustentaba la contratación, se hizo materialmente imposible la continuidad del servicio</w:t>
      </w:r>
      <w:r w:rsidR="00243BCB" w:rsidRPr="007E2963">
        <w:rPr>
          <w:rFonts w:ascii="Verdana" w:eastAsia="Century Gothic" w:hAnsi="Verdana" w:cs="Arial"/>
          <w:sz w:val="20"/>
          <w:szCs w:val="20"/>
        </w:rPr>
        <w:t xml:space="preserve"> profesional. </w:t>
      </w:r>
    </w:p>
    <w:p w14:paraId="5C9A2612" w14:textId="77777777" w:rsidR="00243BCB" w:rsidRPr="007E2963" w:rsidRDefault="00243BCB" w:rsidP="00243BCB">
      <w:pPr>
        <w:spacing w:after="0" w:line="240" w:lineRule="auto"/>
        <w:ind w:left="709" w:right="709"/>
        <w:jc w:val="both"/>
        <w:rPr>
          <w:rFonts w:ascii="Verdana" w:eastAsia="Century Gothic" w:hAnsi="Verdana" w:cs="Arial"/>
          <w:sz w:val="20"/>
          <w:szCs w:val="20"/>
        </w:rPr>
      </w:pPr>
    </w:p>
    <w:p w14:paraId="1D009D01" w14:textId="2F258582" w:rsidR="00243BCB" w:rsidRPr="007E2963" w:rsidRDefault="00243BCB"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4. Imposibilidad de reubicación: </w:t>
      </w:r>
    </w:p>
    <w:p w14:paraId="34C7EF36" w14:textId="77777777" w:rsidR="00243BCB" w:rsidRPr="007E2963" w:rsidRDefault="00243BCB" w:rsidP="00243BCB">
      <w:pPr>
        <w:spacing w:after="0" w:line="240" w:lineRule="auto"/>
        <w:ind w:left="709" w:right="709"/>
        <w:jc w:val="both"/>
        <w:rPr>
          <w:rFonts w:ascii="Verdana" w:eastAsia="Century Gothic" w:hAnsi="Verdana" w:cs="Arial"/>
          <w:sz w:val="20"/>
          <w:szCs w:val="20"/>
        </w:rPr>
      </w:pPr>
    </w:p>
    <w:p w14:paraId="69AB9CA8" w14:textId="3E4C6406" w:rsidR="00243BCB" w:rsidRPr="007E2963" w:rsidRDefault="00243BCB"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Como consecuencia de lo anterior, y ante la inexistencia de otros proyectos, convenios o partidas presupuestales vigentes que justifican la necesidad del servicio profesional contratado, la fundación no contaba con alternativas reales de reubicación. La vinculación contractual se encontraba directamente ligada al convenio ya finalizado. </w:t>
      </w:r>
    </w:p>
    <w:p w14:paraId="5D8724C5" w14:textId="77777777" w:rsidR="00243BCB" w:rsidRPr="007E2963" w:rsidRDefault="00243BCB" w:rsidP="00243BCB">
      <w:pPr>
        <w:spacing w:after="0" w:line="240" w:lineRule="auto"/>
        <w:ind w:left="709" w:right="709"/>
        <w:jc w:val="both"/>
        <w:rPr>
          <w:rFonts w:ascii="Verdana" w:eastAsia="Century Gothic" w:hAnsi="Verdana" w:cs="Arial"/>
          <w:sz w:val="20"/>
          <w:szCs w:val="20"/>
        </w:rPr>
      </w:pPr>
    </w:p>
    <w:p w14:paraId="55B17E49" w14:textId="0F59873B" w:rsidR="00243BCB" w:rsidRPr="007E2963" w:rsidRDefault="00243BCB"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5. Condición </w:t>
      </w:r>
      <w:r w:rsidR="00B172DB" w:rsidRPr="007E2963">
        <w:rPr>
          <w:rFonts w:ascii="Verdana" w:eastAsia="Century Gothic" w:hAnsi="Verdana" w:cs="Arial"/>
          <w:sz w:val="20"/>
          <w:szCs w:val="20"/>
        </w:rPr>
        <w:t xml:space="preserve">de embarazo (escenario hipotético) </w:t>
      </w:r>
    </w:p>
    <w:p w14:paraId="0654BC36" w14:textId="77777777" w:rsidR="00B172DB" w:rsidRPr="007E2963" w:rsidRDefault="00B172DB" w:rsidP="00243BCB">
      <w:pPr>
        <w:spacing w:after="0" w:line="240" w:lineRule="auto"/>
        <w:ind w:left="709" w:right="709"/>
        <w:jc w:val="both"/>
        <w:rPr>
          <w:rFonts w:ascii="Verdana" w:eastAsia="Century Gothic" w:hAnsi="Verdana" w:cs="Arial"/>
          <w:sz w:val="20"/>
          <w:szCs w:val="20"/>
        </w:rPr>
      </w:pPr>
    </w:p>
    <w:p w14:paraId="55E824CD" w14:textId="7EE2FD1B" w:rsidR="00B172DB" w:rsidRPr="007E2963" w:rsidRDefault="00B172DB"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Para efectos del análisis, se parte del supuesto de que la contratista se encontraba en estado de embarazo. No obstante, en el marco de un contrato civil de prestación de servicios a término fijo, la terminación por vencimiento del plazo pactado constituye una causal legal y válida. Dicha circunstancia personal no modifica la naturaleza jurídica del vínculo, ni la causal</w:t>
      </w:r>
      <w:r w:rsidR="0006204A" w:rsidRPr="007E2963">
        <w:rPr>
          <w:rFonts w:ascii="Verdana" w:eastAsia="Century Gothic" w:hAnsi="Verdana" w:cs="Arial"/>
          <w:sz w:val="20"/>
          <w:szCs w:val="20"/>
        </w:rPr>
        <w:t xml:space="preserve"> objetiva de su finalización, siempre que no exista discriminación motivada por dicha condición. </w:t>
      </w:r>
    </w:p>
    <w:p w14:paraId="6E44FA37" w14:textId="77777777" w:rsidR="0006204A" w:rsidRPr="007E2963" w:rsidRDefault="0006204A" w:rsidP="00243BCB">
      <w:pPr>
        <w:spacing w:after="0" w:line="240" w:lineRule="auto"/>
        <w:ind w:left="709" w:right="709"/>
        <w:jc w:val="both"/>
        <w:rPr>
          <w:rFonts w:ascii="Verdana" w:eastAsia="Century Gothic" w:hAnsi="Verdana" w:cs="Arial"/>
          <w:sz w:val="20"/>
          <w:szCs w:val="20"/>
        </w:rPr>
      </w:pPr>
    </w:p>
    <w:p w14:paraId="1B3900C2" w14:textId="0356EF52" w:rsidR="0006204A" w:rsidRPr="007E2963" w:rsidRDefault="0006204A"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6. Cumplimiento de las obligaciones contractuales:</w:t>
      </w:r>
    </w:p>
    <w:p w14:paraId="4722D5BD" w14:textId="77777777" w:rsidR="0006204A" w:rsidRPr="007E2963" w:rsidRDefault="0006204A" w:rsidP="00243BCB">
      <w:pPr>
        <w:spacing w:after="0" w:line="240" w:lineRule="auto"/>
        <w:ind w:left="709" w:right="709"/>
        <w:jc w:val="both"/>
        <w:rPr>
          <w:rFonts w:ascii="Verdana" w:eastAsia="Century Gothic" w:hAnsi="Verdana" w:cs="Arial"/>
          <w:sz w:val="20"/>
          <w:szCs w:val="20"/>
        </w:rPr>
      </w:pPr>
    </w:p>
    <w:p w14:paraId="10F547A9" w14:textId="3F4EA474" w:rsidR="0006204A" w:rsidRPr="007E2963" w:rsidRDefault="0006204A"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lastRenderedPageBreak/>
        <w:t xml:space="preserve">Durante la vigencia del contrato, la fundación cumplió con el pago oportuno de los honorarios pactados. En materia de seguridad social, el contrato estableció que la obligación de realizar los aportes correspondientes recaía en cabeza de la contratista, en su calidad de trabajadora independiente. </w:t>
      </w:r>
    </w:p>
    <w:p w14:paraId="0E6A0866" w14:textId="77777777" w:rsidR="0006204A" w:rsidRPr="007E2963" w:rsidRDefault="0006204A" w:rsidP="00243BCB">
      <w:pPr>
        <w:spacing w:after="0" w:line="240" w:lineRule="auto"/>
        <w:ind w:left="709" w:right="709"/>
        <w:jc w:val="both"/>
        <w:rPr>
          <w:rFonts w:ascii="Verdana" w:eastAsia="Century Gothic" w:hAnsi="Verdana" w:cs="Arial"/>
          <w:sz w:val="20"/>
          <w:szCs w:val="20"/>
        </w:rPr>
      </w:pPr>
    </w:p>
    <w:p w14:paraId="2CDC0714" w14:textId="7B14A3F2" w:rsidR="0006204A" w:rsidRPr="007E2963" w:rsidRDefault="0006204A"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 xml:space="preserve">7. </w:t>
      </w:r>
      <w:r w:rsidR="00182742" w:rsidRPr="007E2963">
        <w:rPr>
          <w:rFonts w:ascii="Verdana" w:eastAsia="Century Gothic" w:hAnsi="Verdana" w:cs="Arial"/>
          <w:sz w:val="20"/>
          <w:szCs w:val="20"/>
        </w:rPr>
        <w:t>Ausencia de subordinación y elementos del contrato realidad:</w:t>
      </w:r>
    </w:p>
    <w:p w14:paraId="4A26ADCC" w14:textId="77777777" w:rsidR="00182742" w:rsidRPr="007E2963" w:rsidRDefault="00182742" w:rsidP="00243BCB">
      <w:pPr>
        <w:spacing w:after="0" w:line="240" w:lineRule="auto"/>
        <w:ind w:left="709" w:right="709"/>
        <w:jc w:val="both"/>
        <w:rPr>
          <w:rFonts w:ascii="Verdana" w:eastAsia="Century Gothic" w:hAnsi="Verdana" w:cs="Arial"/>
          <w:sz w:val="20"/>
          <w:szCs w:val="20"/>
        </w:rPr>
      </w:pPr>
    </w:p>
    <w:p w14:paraId="46ECB90F" w14:textId="1172B5A5" w:rsidR="00182742" w:rsidRPr="007E2963" w:rsidRDefault="00182742" w:rsidP="00243BCB">
      <w:pPr>
        <w:spacing w:after="0" w:line="240" w:lineRule="auto"/>
        <w:ind w:left="709" w:right="709"/>
        <w:jc w:val="both"/>
        <w:rPr>
          <w:rFonts w:ascii="Verdana" w:eastAsia="Century Gothic" w:hAnsi="Verdana" w:cs="Arial"/>
          <w:sz w:val="20"/>
          <w:szCs w:val="20"/>
        </w:rPr>
      </w:pPr>
      <w:r w:rsidRPr="007E2963">
        <w:rPr>
          <w:rFonts w:ascii="Verdana" w:eastAsia="Century Gothic" w:hAnsi="Verdana" w:cs="Arial"/>
          <w:sz w:val="20"/>
          <w:szCs w:val="20"/>
        </w:rPr>
        <w:t>La ejecución contractual se desarrolló sin subordinación jurídica, elemento esencial para la configuración de una relación laboral conforme al artículo 23 del Código Sustantivo del Trabajo. En particular</w:t>
      </w:r>
      <w:r w:rsidR="00B04083" w:rsidRPr="007E2963">
        <w:rPr>
          <w:rFonts w:ascii="Verdana" w:eastAsia="Century Gothic" w:hAnsi="Verdana" w:cs="Arial"/>
          <w:sz w:val="20"/>
          <w:szCs w:val="20"/>
        </w:rPr>
        <w:t>:</w:t>
      </w:r>
    </w:p>
    <w:p w14:paraId="74FEC03F" w14:textId="77777777" w:rsidR="00B04083" w:rsidRPr="007E2963" w:rsidRDefault="00B04083" w:rsidP="00243BCB">
      <w:pPr>
        <w:spacing w:after="0" w:line="240" w:lineRule="auto"/>
        <w:ind w:left="709" w:right="709"/>
        <w:jc w:val="both"/>
        <w:rPr>
          <w:rFonts w:ascii="Verdana" w:eastAsia="Century Gothic" w:hAnsi="Verdana" w:cs="Arial"/>
          <w:sz w:val="20"/>
          <w:szCs w:val="20"/>
        </w:rPr>
      </w:pPr>
    </w:p>
    <w:p w14:paraId="739D3550" w14:textId="11D1E4EC" w:rsidR="00B04083" w:rsidRPr="007E2963" w:rsidRDefault="00B04083" w:rsidP="00B04083">
      <w:pPr>
        <w:pStyle w:val="Prrafodelista"/>
        <w:numPr>
          <w:ilvl w:val="0"/>
          <w:numId w:val="22"/>
        </w:numPr>
        <w:spacing w:after="0" w:line="240" w:lineRule="auto"/>
        <w:ind w:right="709"/>
        <w:jc w:val="both"/>
        <w:rPr>
          <w:rFonts w:ascii="Verdana" w:eastAsia="Century Gothic" w:hAnsi="Verdana" w:cs="Arial"/>
          <w:sz w:val="20"/>
          <w:szCs w:val="20"/>
        </w:rPr>
      </w:pPr>
      <w:r w:rsidRPr="007E2963">
        <w:rPr>
          <w:rFonts w:ascii="Verdana" w:eastAsia="Century Gothic" w:hAnsi="Verdana" w:cs="Arial"/>
          <w:sz w:val="20"/>
          <w:szCs w:val="20"/>
        </w:rPr>
        <w:t xml:space="preserve">La contratista ejecuto el objeto contractual con autonomía técnica y administrativa. </w:t>
      </w:r>
    </w:p>
    <w:p w14:paraId="2243775E" w14:textId="77777777" w:rsidR="00B04083" w:rsidRPr="007E2963" w:rsidRDefault="00B04083" w:rsidP="00B04083">
      <w:pPr>
        <w:pStyle w:val="Prrafodelista"/>
        <w:spacing w:after="0" w:line="240" w:lineRule="auto"/>
        <w:ind w:left="1069" w:right="709"/>
        <w:jc w:val="both"/>
        <w:rPr>
          <w:rFonts w:ascii="Verdana" w:eastAsia="Century Gothic" w:hAnsi="Verdana" w:cs="Arial"/>
          <w:sz w:val="20"/>
          <w:szCs w:val="20"/>
        </w:rPr>
      </w:pPr>
    </w:p>
    <w:p w14:paraId="2FBAC890" w14:textId="69C12855" w:rsidR="00B04083" w:rsidRPr="007E2963" w:rsidRDefault="00B04083" w:rsidP="00B04083">
      <w:pPr>
        <w:pStyle w:val="Prrafodelista"/>
        <w:numPr>
          <w:ilvl w:val="0"/>
          <w:numId w:val="22"/>
        </w:numPr>
        <w:spacing w:after="0" w:line="240" w:lineRule="auto"/>
        <w:ind w:right="709"/>
        <w:jc w:val="both"/>
        <w:rPr>
          <w:rFonts w:ascii="Verdana" w:eastAsia="Century Gothic" w:hAnsi="Verdana" w:cs="Arial"/>
          <w:sz w:val="20"/>
          <w:szCs w:val="20"/>
        </w:rPr>
      </w:pPr>
      <w:r w:rsidRPr="007E2963">
        <w:rPr>
          <w:rFonts w:ascii="Verdana" w:eastAsia="Century Gothic" w:hAnsi="Verdana" w:cs="Arial"/>
          <w:sz w:val="20"/>
          <w:szCs w:val="20"/>
        </w:rPr>
        <w:t xml:space="preserve">No estuvo sujeta a ordenes permanentes, reglamentos internos de trabajo ni régimen disciplinario. </w:t>
      </w:r>
    </w:p>
    <w:p w14:paraId="6EB6E6B5" w14:textId="77777777" w:rsidR="00B04083" w:rsidRPr="007E2963" w:rsidRDefault="00B04083" w:rsidP="00B04083">
      <w:pPr>
        <w:spacing w:after="0" w:line="240" w:lineRule="auto"/>
        <w:ind w:right="709"/>
        <w:jc w:val="both"/>
        <w:rPr>
          <w:rFonts w:ascii="Verdana" w:eastAsia="Century Gothic" w:hAnsi="Verdana" w:cs="Arial"/>
          <w:sz w:val="20"/>
          <w:szCs w:val="20"/>
        </w:rPr>
      </w:pPr>
    </w:p>
    <w:p w14:paraId="3FE1B139" w14:textId="1C01EB46" w:rsidR="00B04083" w:rsidRPr="007E2963" w:rsidRDefault="00B04083" w:rsidP="00B04083">
      <w:pPr>
        <w:pStyle w:val="Prrafodelista"/>
        <w:numPr>
          <w:ilvl w:val="0"/>
          <w:numId w:val="22"/>
        </w:numPr>
        <w:spacing w:after="0" w:line="240" w:lineRule="auto"/>
        <w:ind w:right="709"/>
        <w:jc w:val="both"/>
        <w:rPr>
          <w:rFonts w:ascii="Verdana" w:eastAsia="Century Gothic" w:hAnsi="Verdana" w:cs="Arial"/>
          <w:sz w:val="20"/>
          <w:szCs w:val="20"/>
        </w:rPr>
      </w:pPr>
      <w:r w:rsidRPr="007E2963">
        <w:rPr>
          <w:rFonts w:ascii="Verdana" w:eastAsia="Century Gothic" w:hAnsi="Verdana" w:cs="Arial"/>
          <w:sz w:val="20"/>
          <w:szCs w:val="20"/>
        </w:rPr>
        <w:t xml:space="preserve">Las actividades se desarrollaron con base en un plan de trabajo orientado a resultados y entregables, y no al control de tiempo, moda o forma de ejecución. </w:t>
      </w:r>
    </w:p>
    <w:p w14:paraId="09DBBC07" w14:textId="77777777" w:rsidR="00B04083" w:rsidRPr="007E2963" w:rsidRDefault="00B04083" w:rsidP="00B04083">
      <w:pPr>
        <w:pStyle w:val="Prrafodelista"/>
        <w:rPr>
          <w:rFonts w:ascii="Verdana" w:eastAsia="Century Gothic" w:hAnsi="Verdana" w:cs="Arial"/>
          <w:sz w:val="20"/>
          <w:szCs w:val="20"/>
        </w:rPr>
      </w:pPr>
    </w:p>
    <w:p w14:paraId="25E000C6" w14:textId="1B55B637" w:rsidR="00450D7B" w:rsidRPr="007E2963" w:rsidRDefault="00B04083" w:rsidP="00B04083">
      <w:pPr>
        <w:pStyle w:val="Prrafodelista"/>
        <w:numPr>
          <w:ilvl w:val="0"/>
          <w:numId w:val="22"/>
        </w:numPr>
        <w:spacing w:after="0" w:line="240" w:lineRule="auto"/>
        <w:ind w:right="709"/>
        <w:jc w:val="both"/>
        <w:rPr>
          <w:rFonts w:ascii="Verdana" w:eastAsia="Century Gothic" w:hAnsi="Verdana" w:cs="Arial"/>
          <w:sz w:val="20"/>
          <w:szCs w:val="20"/>
        </w:rPr>
      </w:pPr>
      <w:r w:rsidRPr="007E2963">
        <w:rPr>
          <w:rFonts w:ascii="Verdana" w:eastAsia="Century Gothic" w:hAnsi="Verdana" w:cs="Arial"/>
          <w:sz w:val="20"/>
          <w:szCs w:val="20"/>
        </w:rPr>
        <w:t xml:space="preserve">No existió imposición de honorario, turnos ni </w:t>
      </w:r>
      <w:r w:rsidR="00AB4CE0" w:rsidRPr="007E2963">
        <w:rPr>
          <w:rFonts w:ascii="Verdana" w:eastAsia="Century Gothic" w:hAnsi="Verdana" w:cs="Arial"/>
          <w:sz w:val="20"/>
          <w:szCs w:val="20"/>
        </w:rPr>
        <w:t>[</w:t>
      </w:r>
      <w:r w:rsidR="00450D7B" w:rsidRPr="007E2963">
        <w:rPr>
          <w:rFonts w:ascii="Verdana" w:eastAsia="Century Gothic" w:hAnsi="Verdana" w:cs="Arial"/>
          <w:sz w:val="20"/>
          <w:szCs w:val="20"/>
        </w:rPr>
        <w:t>…]”</w:t>
      </w:r>
    </w:p>
    <w:p w14:paraId="1D8A774F" w14:textId="77777777" w:rsidR="00450D7B" w:rsidRPr="007E2963" w:rsidRDefault="00450D7B" w:rsidP="00450D7B">
      <w:pPr>
        <w:spacing w:after="0" w:line="276" w:lineRule="auto"/>
        <w:jc w:val="both"/>
        <w:rPr>
          <w:rFonts w:ascii="Verdana" w:hAnsi="Verdana" w:cs="Arial"/>
          <w:highlight w:val="cyan"/>
          <w:lang w:val="es-ES"/>
        </w:rPr>
      </w:pPr>
    </w:p>
    <w:p w14:paraId="640FE132" w14:textId="77777777" w:rsidR="00450D7B" w:rsidRPr="007E2963" w:rsidRDefault="00450D7B" w:rsidP="00450D7B">
      <w:pPr>
        <w:spacing w:after="120" w:line="276" w:lineRule="auto"/>
        <w:ind w:firstLine="709"/>
        <w:jc w:val="both"/>
        <w:rPr>
          <w:rFonts w:ascii="Verdana" w:eastAsia="Calibri" w:hAnsi="Verdana" w:cs="Arial"/>
          <w:color w:val="000000"/>
          <w:lang w:val="es-ES_tradnl" w:eastAsia="es-ES_tradnl"/>
        </w:rPr>
      </w:pPr>
      <w:r w:rsidRPr="007E2963">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503F30A7" w14:textId="77777777" w:rsidR="00450D7B" w:rsidRPr="007E2963" w:rsidRDefault="00450D7B" w:rsidP="00450D7B">
      <w:pPr>
        <w:spacing w:after="0" w:line="276" w:lineRule="auto"/>
        <w:ind w:firstLine="709"/>
        <w:jc w:val="both"/>
        <w:rPr>
          <w:rFonts w:ascii="Verdana" w:eastAsia="Calibri" w:hAnsi="Verdana" w:cs="Arial"/>
          <w:color w:val="000000"/>
          <w:lang w:val="es-ES" w:eastAsia="es-ES"/>
        </w:rPr>
      </w:pPr>
      <w:r w:rsidRPr="007E2963">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w:t>
      </w:r>
      <w:r w:rsidRPr="007E2963">
        <w:rPr>
          <w:rFonts w:ascii="Verdana" w:eastAsia="Calibri" w:hAnsi="Verdana" w:cs="Arial"/>
          <w:color w:val="000000"/>
          <w:lang w:val="es-ES" w:eastAsia="es-ES"/>
        </w:rPr>
        <w:lastRenderedPageBreak/>
        <w:t xml:space="preserve">sobre las normas generales relacionadas con los problemas jurídicos de su consulta.  </w:t>
      </w:r>
    </w:p>
    <w:p w14:paraId="233A4951" w14:textId="77777777" w:rsidR="00450D7B" w:rsidRPr="007E2963" w:rsidRDefault="00450D7B" w:rsidP="00450D7B">
      <w:pPr>
        <w:spacing w:after="0" w:line="276" w:lineRule="auto"/>
        <w:jc w:val="both"/>
        <w:rPr>
          <w:rStyle w:val="Hipervnculo"/>
          <w:rFonts w:ascii="Verdana" w:hAnsi="Verdana"/>
          <w:highlight w:val="cyan"/>
          <w:u w:val="none"/>
          <w:lang w:val="es-ES"/>
        </w:rPr>
      </w:pPr>
    </w:p>
    <w:p w14:paraId="0E1B6951" w14:textId="77777777" w:rsidR="00450D7B" w:rsidRPr="007E2963" w:rsidRDefault="00450D7B" w:rsidP="00450D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7E2963">
        <w:rPr>
          <w:rFonts w:ascii="Verdana" w:eastAsia="Century Gothic" w:hAnsi="Verdana" w:cs="Arial"/>
          <w:b/>
          <w:bCs/>
        </w:rPr>
        <w:t>Problemas planteados:</w:t>
      </w:r>
    </w:p>
    <w:p w14:paraId="4CA40771" w14:textId="77777777" w:rsidR="00450D7B" w:rsidRPr="007E2963" w:rsidRDefault="00450D7B" w:rsidP="00450D7B">
      <w:pPr>
        <w:spacing w:after="0" w:line="276" w:lineRule="auto"/>
        <w:jc w:val="both"/>
        <w:rPr>
          <w:rStyle w:val="Hipervnculo"/>
          <w:rFonts w:ascii="Verdana" w:hAnsi="Verdana" w:cs="Arial"/>
          <w:highlight w:val="cyan"/>
        </w:rPr>
      </w:pPr>
    </w:p>
    <w:p w14:paraId="47CC7C73" w14:textId="77777777" w:rsidR="008710B0" w:rsidRPr="007E2963" w:rsidRDefault="00F10AE5" w:rsidP="008710B0">
      <w:pPr>
        <w:spacing w:after="0" w:line="276" w:lineRule="auto"/>
        <w:jc w:val="both"/>
        <w:rPr>
          <w:rFonts w:ascii="Verdana" w:eastAsia="Century Gothic" w:hAnsi="Verdana" w:cs="Century Gothic"/>
        </w:rPr>
      </w:pPr>
      <w:r w:rsidRPr="007E2963">
        <w:rPr>
          <w:rFonts w:ascii="Verdana" w:eastAsia="Calibri" w:hAnsi="Verdana" w:cs="Times New Roman"/>
        </w:rPr>
        <w:t xml:space="preserve">De acuerdo con el contenido de su solicitud, la Agencia procede a resolver los siguientes problemas jurídicos: </w:t>
      </w:r>
      <w:r w:rsidRPr="007E2963">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w:t>
      </w:r>
      <w:proofErr w:type="spellStart"/>
      <w:r w:rsidRPr="007E2963">
        <w:rPr>
          <w:rFonts w:ascii="Verdana" w:eastAsia="Century Gothic" w:hAnsi="Verdana" w:cs="Century Gothic"/>
        </w:rPr>
        <w:t>ii</w:t>
      </w:r>
      <w:proofErr w:type="spellEnd"/>
      <w:r w:rsidRPr="007E2963">
        <w:rPr>
          <w:rFonts w:ascii="Verdana" w:eastAsia="Century Gothic" w:hAnsi="Verdana" w:cs="Century Gothic"/>
        </w:rPr>
        <w:t xml:space="preserve">)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w:t>
      </w:r>
      <w:proofErr w:type="spellStart"/>
      <w:r w:rsidRPr="007E2963">
        <w:rPr>
          <w:rFonts w:ascii="Verdana" w:eastAsia="Century Gothic" w:hAnsi="Verdana" w:cs="Century Gothic"/>
        </w:rPr>
        <w:t>iii</w:t>
      </w:r>
      <w:proofErr w:type="spellEnd"/>
      <w:r w:rsidRPr="007E2963">
        <w:rPr>
          <w:rFonts w:ascii="Verdana" w:eastAsia="Century Gothic" w:hAnsi="Verdana" w:cs="Century Gothic"/>
        </w:rPr>
        <w:t xml:space="preserve">) </w:t>
      </w:r>
      <w:r w:rsidR="008710B0" w:rsidRPr="007E2963">
        <w:rPr>
          <w:rFonts w:ascii="Verdana" w:eastAsia="Century Gothic" w:hAnsi="Verdana" w:cs="Century Gothic"/>
        </w:rPr>
        <w:t>¿En qué circunstancias resulta jurídicamente improcedente renovar o suscribir un nuevo contrato con una contratista en estado de embarazo, cuando la actividad específica que dio origen a la contratación inicial ha desaparecido y los recursos públicos que la financiaban se han agotado?</w:t>
      </w:r>
    </w:p>
    <w:p w14:paraId="5E439368" w14:textId="0ACF1123" w:rsidR="00450D7B" w:rsidRPr="007E2963" w:rsidRDefault="00450D7B" w:rsidP="00450D7B">
      <w:pPr>
        <w:spacing w:after="0" w:line="276" w:lineRule="auto"/>
        <w:jc w:val="both"/>
        <w:rPr>
          <w:rStyle w:val="Hipervnculo"/>
          <w:rFonts w:ascii="Verdana" w:hAnsi="Verdana" w:cs="Arial"/>
          <w:highlight w:val="cyan"/>
        </w:rPr>
      </w:pPr>
    </w:p>
    <w:p w14:paraId="617ADE56" w14:textId="77777777" w:rsidR="00450D7B" w:rsidRPr="007E2963" w:rsidRDefault="00450D7B" w:rsidP="00450D7B">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7E2963">
        <w:rPr>
          <w:rFonts w:ascii="Verdana" w:eastAsia="Arial" w:hAnsi="Verdana" w:cs="Arial"/>
          <w:b/>
          <w:bCs/>
        </w:rPr>
        <w:t>Respuesta:</w:t>
      </w:r>
    </w:p>
    <w:p w14:paraId="41B0761D" w14:textId="77777777" w:rsidR="00450D7B" w:rsidRPr="007E2963" w:rsidRDefault="00450D7B" w:rsidP="00450D7B">
      <w:pPr>
        <w:spacing w:after="0" w:line="276" w:lineRule="auto"/>
        <w:rPr>
          <w:rFonts w:ascii="Verdana" w:eastAsia="Aptos" w:hAnsi="Verdana" w:cs="Arial"/>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50D7B" w:rsidRPr="007E2963" w14:paraId="3B0D6C87" w14:textId="77777777" w:rsidTr="00891A0F">
        <w:tc>
          <w:tcPr>
            <w:tcW w:w="8828" w:type="dxa"/>
          </w:tcPr>
          <w:p w14:paraId="62F0C4BC" w14:textId="5AE35F65" w:rsidR="00BA30CE" w:rsidRPr="007E2963" w:rsidRDefault="00BA30CE" w:rsidP="00887F14">
            <w:pPr>
              <w:spacing w:line="276" w:lineRule="auto"/>
              <w:jc w:val="both"/>
              <w:rPr>
                <w:rFonts w:ascii="Verdana" w:hAnsi="Verdana" w:cs="Arial"/>
              </w:rPr>
            </w:pPr>
            <w:bookmarkStart w:id="1" w:name="_Hlk171067516"/>
            <w:r w:rsidRPr="007E2963">
              <w:rPr>
                <w:rFonts w:ascii="Verdana" w:hAnsi="Verdana" w:cs="Arial"/>
              </w:rPr>
              <w:t>En respuesta a los problemas antes planteados esta Subdirección manifiesta lo siguiente:</w:t>
            </w:r>
          </w:p>
          <w:p w14:paraId="5FCF9B7A" w14:textId="77777777" w:rsidR="00887F14" w:rsidRPr="007E2963" w:rsidRDefault="00887F14" w:rsidP="00D93FFA">
            <w:pPr>
              <w:spacing w:line="276" w:lineRule="auto"/>
              <w:jc w:val="both"/>
              <w:rPr>
                <w:rFonts w:ascii="Verdana" w:hAnsi="Verdana" w:cs="Arial"/>
              </w:rPr>
            </w:pPr>
          </w:p>
          <w:p w14:paraId="49B85E07" w14:textId="787AFFD4" w:rsidR="00BA30CE" w:rsidRPr="007E2963" w:rsidRDefault="00BA30CE" w:rsidP="00BA30CE">
            <w:pPr>
              <w:spacing w:after="120" w:line="276" w:lineRule="auto"/>
              <w:jc w:val="both"/>
              <w:rPr>
                <w:rFonts w:ascii="Verdana" w:hAnsi="Verdana"/>
              </w:rPr>
            </w:pPr>
            <w:r w:rsidRPr="007E2963">
              <w:rPr>
                <w:rFonts w:ascii="Verdana" w:hAnsi="Verdana"/>
              </w:rPr>
              <w:t xml:space="preserve">i) </w:t>
            </w:r>
            <w:r w:rsidR="00257264" w:rsidRPr="007E2963">
              <w:rPr>
                <w:rFonts w:ascii="Verdana" w:hAnsi="Verdana"/>
              </w:rPr>
              <w:t>Frente al primer problema jurídico, es importante mencionar que, l</w:t>
            </w:r>
            <w:r w:rsidRPr="007E2963">
              <w:rPr>
                <w:rFonts w:ascii="Verdana" w:hAnsi="Verdana"/>
              </w:rPr>
              <w:t xml:space="preserve">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7E2963">
              <w:rPr>
                <w:rFonts w:ascii="Verdana" w:hAnsi="Verdana"/>
              </w:rPr>
              <w:t>ii</w:t>
            </w:r>
            <w:proofErr w:type="spellEnd"/>
            <w:r w:rsidRPr="007E2963">
              <w:rPr>
                <w:rFonts w:ascii="Verdana" w:hAnsi="Verdana"/>
              </w:rPr>
              <w:t xml:space="preserve">) cuando a pesar de no probarse la configuración de un contrato realidad, </w:t>
            </w:r>
            <w:r w:rsidR="00630C36" w:rsidRPr="007E2963">
              <w:rPr>
                <w:rFonts w:ascii="Verdana" w:hAnsi="Verdana"/>
              </w:rPr>
              <w:t>como es el caso que expone,</w:t>
            </w:r>
            <w:r w:rsidRPr="007E2963">
              <w:rPr>
                <w:rFonts w:ascii="Verdana" w:hAnsi="Verdana"/>
              </w:rPr>
              <w:t xml:space="preserve"> la terminación del contrato de prestación de servicios se fundamenta en criterios discriminatorios, y no en motivos objetivos. </w:t>
            </w:r>
          </w:p>
          <w:p w14:paraId="40FC0471" w14:textId="0297C6E9" w:rsidR="00BA30CE" w:rsidRPr="007E2963" w:rsidRDefault="00BA30CE" w:rsidP="00BA30CE">
            <w:pPr>
              <w:spacing w:after="120" w:line="276" w:lineRule="auto"/>
              <w:ind w:firstLine="737"/>
              <w:jc w:val="both"/>
              <w:rPr>
                <w:rFonts w:ascii="Verdana" w:hAnsi="Verdana"/>
              </w:rPr>
            </w:pPr>
            <w:r w:rsidRPr="007E2963">
              <w:rPr>
                <w:rFonts w:ascii="Verdana" w:hAnsi="Verdana"/>
              </w:rPr>
              <w:t xml:space="preserve">En concordancia con lo anterior, la protección constitucional derivada del fuero de maternidad y de la estabilidad ocupacional reforzada es </w:t>
            </w:r>
            <w:r w:rsidRPr="007E2963">
              <w:rPr>
                <w:rFonts w:ascii="Verdana" w:hAnsi="Verdana"/>
              </w:rPr>
              <w:lastRenderedPageBreak/>
              <w:t>plenamente aplicable a las mujeres vinculadas mediante contratos de prestación de servicios</w:t>
            </w:r>
            <w:r w:rsidR="00630C36" w:rsidRPr="007E2963">
              <w:rPr>
                <w:rFonts w:ascii="Verdana" w:hAnsi="Verdana"/>
              </w:rPr>
              <w:t>, aun cuando no se configure una relación laboral por ausencia de los elementos que lo caracterizan</w:t>
            </w:r>
            <w:r w:rsidRPr="007E2963">
              <w:rPr>
                <w:rFonts w:ascii="Verdana" w:hAnsi="Verdana"/>
              </w:rPr>
              <w:t xml:space="preserve">. De acuerdo con la jurisprudencia reiterada de la Corte Constitucional —entre otras, en las sentencias SU-070 de 2013, SU-075 de 2018, T-239 de 2022, T-119 de 2023 y T-014 de 2026—, el fuero de maternidad no se circunscribe de manera exclusiva a los contratos laborales, sino que se extiende a otras formas de vinculación, como es el contrato de prestación de servicios. </w:t>
            </w:r>
          </w:p>
          <w:p w14:paraId="1F432AFC" w14:textId="77777777" w:rsidR="00BA30CE" w:rsidRPr="007E2963" w:rsidRDefault="00BA30CE" w:rsidP="00BA30CE">
            <w:pPr>
              <w:spacing w:after="120" w:line="276" w:lineRule="auto"/>
              <w:ind w:firstLine="737"/>
              <w:jc w:val="both"/>
              <w:rPr>
                <w:rFonts w:ascii="Verdana" w:hAnsi="Verdana"/>
              </w:rPr>
            </w:pPr>
            <w:r w:rsidRPr="007E2963">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6ED4C768" w14:textId="77777777" w:rsidR="00BA30CE" w:rsidRPr="007E2963" w:rsidRDefault="00BA30CE" w:rsidP="00BA30CE">
            <w:pPr>
              <w:spacing w:after="120" w:line="276" w:lineRule="auto"/>
              <w:ind w:firstLine="737"/>
              <w:jc w:val="both"/>
              <w:rPr>
                <w:rFonts w:ascii="Verdana" w:hAnsi="Verdana"/>
              </w:rPr>
            </w:pPr>
            <w:r w:rsidRPr="007E2963">
              <w:rPr>
                <w:rFonts w:ascii="Verdana" w:eastAsia="Arial" w:hAnsi="Verdana" w:cs="Arial"/>
              </w:rPr>
              <w:t xml:space="preserve">Particularmente, en la Sentencia de Unificación SU-075 de 2018, la Corte Constitucional fijó los criterios generales para la procedencia de la protección reforzada a la maternidad y la lactancia, al señalar que esta </w:t>
            </w:r>
            <w:proofErr w:type="spellStart"/>
            <w:r w:rsidR="008D335C" w:rsidRPr="007E2963">
              <w:rPr>
                <w:rFonts w:ascii="Verdana" w:eastAsia="Arial" w:hAnsi="Verdana" w:cs="Arial"/>
              </w:rPr>
              <w:t>opera</w:t>
            </w:r>
            <w:proofErr w:type="spellEnd"/>
            <w:r w:rsidRPr="007E2963">
              <w:rPr>
                <w:rFonts w:ascii="Verdana" w:eastAsia="Arial" w:hAnsi="Verdana" w:cs="Arial"/>
              </w:rPr>
              <w:t xml:space="preserve"> cuando se acredita lo siguiente: i) la existencia de una relación laboral o de un contrato de prestación de servicios; y </w:t>
            </w:r>
            <w:proofErr w:type="spellStart"/>
            <w:r w:rsidRPr="007E2963">
              <w:rPr>
                <w:rFonts w:ascii="Verdana" w:eastAsia="Arial" w:hAnsi="Verdana" w:cs="Arial"/>
              </w:rPr>
              <w:t>ii</w:t>
            </w:r>
            <w:proofErr w:type="spellEnd"/>
            <w:r w:rsidRPr="007E2963">
              <w:rPr>
                <w:rFonts w:ascii="Verdana" w:eastAsia="Arial" w:hAnsi="Verdana" w:cs="Arial"/>
              </w:rPr>
              <w:t xml:space="preserve">)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73F2D405"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Ahora bien, la Corte precisó que el alcance concreto de la protección debe determinarse atendiendo a dos factores relevantes: i) el conocimiento del estado de embarazo o lactancia por parte del empleador o contratante; y </w:t>
            </w:r>
            <w:proofErr w:type="spellStart"/>
            <w:r w:rsidRPr="007E2963">
              <w:rPr>
                <w:rFonts w:ascii="Verdana" w:eastAsia="Arial" w:hAnsi="Verdana" w:cs="Arial"/>
              </w:rPr>
              <w:t>ii</w:t>
            </w:r>
            <w:proofErr w:type="spellEnd"/>
            <w:r w:rsidRPr="007E2963">
              <w:rPr>
                <w:rFonts w:ascii="Verdana" w:eastAsia="Arial" w:hAnsi="Verdana" w:cs="Arial"/>
              </w:rPr>
              <w:t xml:space="preserve">) la modalidad de vinculación a través de la cual se encontraba relacionada la mujer, lo cual incide en la intensidad de las garantías aplicables. </w:t>
            </w:r>
          </w:p>
          <w:p w14:paraId="45BCABBE" w14:textId="77777777" w:rsidR="00BA30CE" w:rsidRPr="007E2963" w:rsidRDefault="00BA30CE" w:rsidP="00BA30CE">
            <w:pPr>
              <w:widowControl w:val="0"/>
              <w:autoSpaceDE w:val="0"/>
              <w:autoSpaceDN w:val="0"/>
              <w:spacing w:line="276" w:lineRule="auto"/>
              <w:ind w:firstLine="743"/>
              <w:jc w:val="both"/>
              <w:rPr>
                <w:rFonts w:ascii="Verdana" w:eastAsia="Arial" w:hAnsi="Verdana" w:cs="Arial"/>
              </w:rPr>
            </w:pPr>
            <w:r w:rsidRPr="007E2963">
              <w:rPr>
                <w:rFonts w:ascii="Verdana" w:eastAsia="Arial" w:hAnsi="Verdana" w:cs="Arial"/>
              </w:rPr>
              <w:t>En consecuencia, corresponde a las entidades estatales, en ejercicio de su autonomía y conforme a los lineamientos fijados por la Corte Constitucional, así como a las normas del Estatuto General de Contratación de la Administración Pública, garantizar la estabilidad ocupacional reforzada de las mujeres embarazadas y lactantes vinculadas mediante contratos de prestación de servicios, conforme a los lineamientos explicados en el presente concepto.</w:t>
            </w:r>
          </w:p>
          <w:p w14:paraId="72156F76" w14:textId="77777777" w:rsidR="00BA30CE" w:rsidRPr="007E2963" w:rsidRDefault="00BA30CE" w:rsidP="00BA30CE">
            <w:pPr>
              <w:widowControl w:val="0"/>
              <w:autoSpaceDE w:val="0"/>
              <w:autoSpaceDN w:val="0"/>
              <w:spacing w:line="276" w:lineRule="auto"/>
              <w:ind w:firstLine="743"/>
              <w:jc w:val="both"/>
              <w:rPr>
                <w:rFonts w:ascii="Verdana" w:eastAsia="Arial" w:hAnsi="Verdana" w:cs="Arial"/>
              </w:rPr>
            </w:pPr>
            <w:r w:rsidRPr="007E2963">
              <w:rPr>
                <w:rFonts w:ascii="Verdana" w:eastAsia="Arial" w:hAnsi="Verdana" w:cs="Arial"/>
              </w:rPr>
              <w:lastRenderedPageBreak/>
              <w:t xml:space="preserve"> </w:t>
            </w:r>
          </w:p>
          <w:p w14:paraId="3B620119" w14:textId="77777777" w:rsidR="00BA30CE" w:rsidRPr="007E2963" w:rsidRDefault="00BA30CE" w:rsidP="00BA30CE">
            <w:pPr>
              <w:widowControl w:val="0"/>
              <w:autoSpaceDE w:val="0"/>
              <w:autoSpaceDN w:val="0"/>
              <w:spacing w:after="120" w:line="276" w:lineRule="auto"/>
              <w:jc w:val="both"/>
              <w:rPr>
                <w:rFonts w:ascii="Verdana" w:eastAsia="Arial" w:hAnsi="Verdana" w:cs="Arial"/>
              </w:rPr>
            </w:pPr>
            <w:proofErr w:type="spellStart"/>
            <w:r w:rsidRPr="007E2963">
              <w:rPr>
                <w:rFonts w:ascii="Verdana" w:eastAsia="Arial" w:hAnsi="Verdana" w:cs="Arial"/>
              </w:rPr>
              <w:t>ii</w:t>
            </w:r>
            <w:proofErr w:type="spellEnd"/>
            <w:r w:rsidRPr="007E2963">
              <w:rPr>
                <w:rFonts w:ascii="Verdana" w:eastAsia="Arial" w:hAnsi="Verdana" w:cs="Arial"/>
              </w:rPr>
              <w:t>)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w:t>
            </w:r>
            <w:proofErr w:type="spellStart"/>
            <w:r w:rsidRPr="007E2963">
              <w:rPr>
                <w:rFonts w:ascii="Verdana" w:eastAsia="Arial" w:hAnsi="Verdana" w:cs="Arial"/>
              </w:rPr>
              <w:t>ii</w:t>
            </w:r>
            <w:proofErr w:type="spellEnd"/>
            <w:r w:rsidRPr="007E2963">
              <w:rPr>
                <w:rFonts w:ascii="Verdana" w:eastAsia="Arial" w:hAnsi="Verdana" w:cs="Arial"/>
              </w:rPr>
              <w:t>) la prohibición específica de despido durante la licencia de maternidad preparto y postparto; y (</w:t>
            </w:r>
            <w:proofErr w:type="spellStart"/>
            <w:r w:rsidRPr="007E2963">
              <w:rPr>
                <w:rFonts w:ascii="Verdana" w:eastAsia="Arial" w:hAnsi="Verdana" w:cs="Arial"/>
              </w:rPr>
              <w:t>iii</w:t>
            </w:r>
            <w:proofErr w:type="spellEnd"/>
            <w:r w:rsidRPr="007E2963">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39D0E00B"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1D2FD62C" w14:textId="5C741955"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Teniendo en cuenta lo anterior, esta Agencia </w:t>
            </w:r>
            <w:r w:rsidR="00A524BF" w:rsidRPr="007E2963">
              <w:rPr>
                <w:rFonts w:ascii="Verdana" w:eastAsia="Arial" w:hAnsi="Verdana" w:cs="Arial"/>
              </w:rPr>
              <w:t xml:space="preserve">ha </w:t>
            </w:r>
            <w:r w:rsidRPr="007E2963">
              <w:rPr>
                <w:rFonts w:ascii="Verdana" w:eastAsia="Arial" w:hAnsi="Verdana" w:cs="Arial"/>
              </w:rPr>
              <w:t>aclara</w:t>
            </w:r>
            <w:r w:rsidR="00A524BF" w:rsidRPr="007E2963">
              <w:rPr>
                <w:rFonts w:ascii="Verdana" w:eastAsia="Arial" w:hAnsi="Verdana" w:cs="Arial"/>
              </w:rPr>
              <w:t>do</w:t>
            </w:r>
            <w:r w:rsidRPr="007E2963">
              <w:rPr>
                <w:rFonts w:ascii="Verdana" w:eastAsia="Arial" w:hAnsi="Verdana" w:cs="Arial"/>
              </w:rPr>
              <w:t xml:space="preserve">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4F381719"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35DAEE01"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w:t>
            </w:r>
            <w:r w:rsidRPr="007E2963">
              <w:rPr>
                <w:rFonts w:ascii="Verdana" w:eastAsia="Arial" w:hAnsi="Verdana" w:cs="Arial"/>
              </w:rPr>
              <w:lastRenderedPageBreak/>
              <w:t xml:space="preserve">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2AE960A0"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562C9FCF"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presunción de despido por causa del embarazo, pese a que permanece la prohibición del despido </w:t>
            </w:r>
            <w:proofErr w:type="gramStart"/>
            <w:r w:rsidRPr="007E2963">
              <w:rPr>
                <w:rFonts w:ascii="Verdana" w:eastAsia="Arial" w:hAnsi="Verdana" w:cs="Arial"/>
              </w:rPr>
              <w:t>en razón de</w:t>
            </w:r>
            <w:proofErr w:type="gramEnd"/>
            <w:r w:rsidRPr="007E2963">
              <w:rPr>
                <w:rFonts w:ascii="Verdana" w:eastAsia="Arial" w:hAnsi="Verdana" w:cs="Arial"/>
              </w:rPr>
              <w:t xml:space="preserve"> la condición de lactancia. Por consiguiente, durante este periodo la trabajadora tiene la carga de probar la ocurrencia de un acto discriminatorio”. </w:t>
            </w:r>
          </w:p>
          <w:p w14:paraId="08FB9F32" w14:textId="77777777" w:rsidR="00BA30CE" w:rsidRPr="007E2963" w:rsidRDefault="00BA30CE" w:rsidP="00BA30CE">
            <w:pPr>
              <w:widowControl w:val="0"/>
              <w:autoSpaceDE w:val="0"/>
              <w:autoSpaceDN w:val="0"/>
              <w:spacing w:after="120" w:line="276" w:lineRule="auto"/>
              <w:ind w:firstLine="743"/>
              <w:jc w:val="both"/>
              <w:rPr>
                <w:rFonts w:ascii="Verdana" w:eastAsia="Arial" w:hAnsi="Verdana" w:cs="Arial"/>
              </w:rPr>
            </w:pPr>
            <w:r w:rsidRPr="007E2963">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3816F038" w14:textId="77777777" w:rsidR="00BA30CE" w:rsidRPr="007E2963" w:rsidRDefault="00BA30CE" w:rsidP="00BA30CE">
            <w:pPr>
              <w:widowControl w:val="0"/>
              <w:autoSpaceDE w:val="0"/>
              <w:autoSpaceDN w:val="0"/>
              <w:spacing w:line="276" w:lineRule="auto"/>
              <w:ind w:firstLine="743"/>
              <w:jc w:val="both"/>
              <w:rPr>
                <w:rFonts w:ascii="Verdana" w:eastAsia="Arial" w:hAnsi="Verdana" w:cs="Arial"/>
              </w:rPr>
            </w:pPr>
            <w:r w:rsidRPr="007E2963">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En ese contexto, corresponde a las Entidades Estatales, en el marco de su autonomía y conforme a los lineamientos jurisprudenciales, garantizar dicha protección, evitando decisiones contractuales discriminatorias y observando los principios que rigen </w:t>
            </w:r>
            <w:r w:rsidRPr="007E2963">
              <w:rPr>
                <w:rFonts w:ascii="Verdana" w:eastAsia="Arial" w:hAnsi="Verdana" w:cs="Arial"/>
              </w:rPr>
              <w:lastRenderedPageBreak/>
              <w:t xml:space="preserve">la contratación estatal y la función administrativa. </w:t>
            </w:r>
          </w:p>
          <w:p w14:paraId="630A70E1" w14:textId="77777777" w:rsidR="00BA30CE" w:rsidRPr="007E2963" w:rsidRDefault="00BA30CE" w:rsidP="00BA30CE">
            <w:pPr>
              <w:widowControl w:val="0"/>
              <w:autoSpaceDE w:val="0"/>
              <w:autoSpaceDN w:val="0"/>
              <w:spacing w:line="276" w:lineRule="auto"/>
              <w:ind w:firstLine="743"/>
              <w:jc w:val="both"/>
              <w:rPr>
                <w:rFonts w:ascii="Verdana" w:eastAsia="Arial" w:hAnsi="Verdana" w:cs="Arial"/>
              </w:rPr>
            </w:pPr>
          </w:p>
          <w:p w14:paraId="22994E18" w14:textId="77777777" w:rsidR="00BA30CE" w:rsidRPr="007E2963" w:rsidRDefault="00BA30CE" w:rsidP="00D93FFA">
            <w:pPr>
              <w:spacing w:after="120" w:line="276" w:lineRule="auto"/>
              <w:jc w:val="both"/>
              <w:rPr>
                <w:rFonts w:ascii="Verdana" w:eastAsia="Arial" w:hAnsi="Verdana" w:cs="Arial"/>
              </w:rPr>
            </w:pPr>
            <w:proofErr w:type="spellStart"/>
            <w:r w:rsidRPr="007E2963">
              <w:rPr>
                <w:rFonts w:ascii="Verdana" w:eastAsia="Arial" w:hAnsi="Verdana" w:cs="Arial"/>
              </w:rPr>
              <w:t>iii</w:t>
            </w:r>
            <w:proofErr w:type="spellEnd"/>
            <w:r w:rsidRPr="007E2963">
              <w:rPr>
                <w:rFonts w:ascii="Verdana" w:eastAsia="Arial" w:hAnsi="Verdana" w:cs="Arial"/>
              </w:rPr>
              <w:t>) Finalmente, frente al último interrogante, conviene precisar que la protección reforzada no implica un derecho a permanecer indefinidamente vinculada, sino la garantía de no ser desvinculada por razón del embarazo o la lactancia mientras subsista la necesidad que originó la contratación.</w:t>
            </w:r>
          </w:p>
          <w:p w14:paraId="08A2845C" w14:textId="0E959041" w:rsidR="0095483B" w:rsidRPr="007E2963" w:rsidRDefault="00BA30CE" w:rsidP="00D93FFA">
            <w:pPr>
              <w:spacing w:after="120" w:line="276" w:lineRule="auto"/>
              <w:ind w:firstLine="708"/>
              <w:jc w:val="both"/>
              <w:rPr>
                <w:rFonts w:ascii="Verdana" w:hAnsi="Verdana"/>
              </w:rPr>
            </w:pPr>
            <w:r w:rsidRPr="007E2963">
              <w:rPr>
                <w:rFonts w:ascii="Verdana" w:hAnsi="Verdana"/>
              </w:rPr>
              <w:t>Sobre este punto, la jurisprudencia constitucional ha precisado que, en los contratos de prestación de servicios en los cuales no se logra acreditar la configuración de un contrato realidad, para determinar si la desvinculación vulnera la prohibición general de despido discriminatorio se requiere acreditar: (i) que el contratante conocía el estado de embarazo de la contratista; (</w:t>
            </w:r>
            <w:proofErr w:type="spellStart"/>
            <w:r w:rsidRPr="007E2963">
              <w:rPr>
                <w:rFonts w:ascii="Verdana" w:hAnsi="Verdana"/>
              </w:rPr>
              <w:t>ii</w:t>
            </w:r>
            <w:proofErr w:type="spellEnd"/>
            <w:r w:rsidRPr="007E2963">
              <w:rPr>
                <w:rFonts w:ascii="Verdana" w:hAnsi="Verdana"/>
              </w:rPr>
              <w:t>) que subsiste la causa del contrato; y (</w:t>
            </w:r>
            <w:proofErr w:type="spellStart"/>
            <w:r w:rsidRPr="007E2963">
              <w:rPr>
                <w:rFonts w:ascii="Verdana" w:hAnsi="Verdana"/>
              </w:rPr>
              <w:t>iii</w:t>
            </w:r>
            <w:proofErr w:type="spellEnd"/>
            <w:r w:rsidRPr="007E2963">
              <w:rPr>
                <w:rFonts w:ascii="Verdana" w:hAnsi="Verdana"/>
              </w:rPr>
              <w:t>) que no cuenta con permiso del Inspector del Trabajo para terminarlo, salvo en el periodo posterior a las dieciocho (18) semanas del parto y hasta los dos (2) años de lactancia, lapso en el cual dicho permiso no resulta exigible. De configurarse estos elementos, procede la garantía de estabilidad reforzada, por lo que la entidad deberá proceder a la renovación de la relación contractual, previo análisis del juez.</w:t>
            </w:r>
          </w:p>
          <w:p w14:paraId="01B3FAD2" w14:textId="6A7A8323" w:rsidR="007D31A7" w:rsidRPr="007E2963" w:rsidRDefault="007D31A7" w:rsidP="00D93FFA">
            <w:pPr>
              <w:spacing w:after="120" w:line="276" w:lineRule="auto"/>
              <w:ind w:firstLine="708"/>
              <w:jc w:val="both"/>
              <w:rPr>
                <w:rFonts w:ascii="Verdana" w:hAnsi="Verdana"/>
              </w:rPr>
            </w:pPr>
            <w:r w:rsidRPr="007E2963">
              <w:rPr>
                <w:rFonts w:ascii="Verdana" w:hAnsi="Verdana"/>
              </w:rPr>
              <w:t>De lo anterior se desprende que, si la actividad inicial desaparece por agotamiento de una fuente de financiación externa y específica, ello constituye</w:t>
            </w:r>
            <w:r w:rsidR="00884979" w:rsidRPr="007E2963">
              <w:rPr>
                <w:rFonts w:ascii="Verdana" w:hAnsi="Verdana"/>
              </w:rPr>
              <w:t xml:space="preserve">, </w:t>
            </w:r>
            <w:r w:rsidRPr="007E2963">
              <w:rPr>
                <w:rFonts w:ascii="Verdana" w:hAnsi="Verdana"/>
              </w:rPr>
              <w:t>en principio</w:t>
            </w:r>
            <w:r w:rsidR="00884979" w:rsidRPr="007E2963">
              <w:rPr>
                <w:rFonts w:ascii="Verdana" w:hAnsi="Verdana"/>
              </w:rPr>
              <w:t xml:space="preserve">, </w:t>
            </w:r>
            <w:r w:rsidRPr="007E2963">
              <w:rPr>
                <w:rFonts w:ascii="Verdana" w:hAnsi="Verdana"/>
              </w:rPr>
              <w:t>una causa objetiva y ajena al estado de gestación, lo que desvirtúa la presunción de trato discriminatorio, en tanto no subsiste la causa del contrato ni, por tanto, un objeto susceptible de renovación. No obstante, esta circunstancia no releva la entidad contratante de tramitar el permiso ante el Inspector del Trabajo, pues es precisamente dicha autoridad la llamada a verificar, en el caso concreto, que la causa objetiva invocada en efecto se configura y no encubre una desvinculación discriminatoria —reiterando así el supuesto en el que se requiere el permiso del Inspector del Trabajo—, salvo que la desvinculación se produzca dentro del periodo comprendido entre las dieciocho (18) semanas posteriores al parto y los dos (2) años de edad del menor, lapso en el cual, de conformidad con lo señalado en el numeral (</w:t>
            </w:r>
            <w:proofErr w:type="spellStart"/>
            <w:r w:rsidRPr="007E2963">
              <w:rPr>
                <w:rFonts w:ascii="Verdana" w:hAnsi="Verdana"/>
              </w:rPr>
              <w:t>iii</w:t>
            </w:r>
            <w:proofErr w:type="spellEnd"/>
            <w:r w:rsidRPr="007E2963">
              <w:rPr>
                <w:rFonts w:ascii="Verdana" w:hAnsi="Verdana"/>
              </w:rPr>
              <w:t>) precedente, dicho permiso no resulta exigible, sin perjuicio de que la entidad deba acreditar igualmente la causa objetiva ante el juez que eventualmente conozca del asunto.</w:t>
            </w:r>
          </w:p>
          <w:p w14:paraId="3841E326" w14:textId="75167AE2" w:rsidR="00BA30CE" w:rsidRPr="007E2963" w:rsidRDefault="00BA30CE" w:rsidP="00D93FFA">
            <w:pPr>
              <w:spacing w:after="120" w:line="276" w:lineRule="auto"/>
              <w:ind w:firstLine="708"/>
              <w:jc w:val="both"/>
              <w:rPr>
                <w:rFonts w:ascii="Verdana" w:hAnsi="Verdana"/>
              </w:rPr>
            </w:pPr>
            <w:r w:rsidRPr="007E2963">
              <w:rPr>
                <w:rFonts w:ascii="Verdana" w:hAnsi="Verdana"/>
              </w:rPr>
              <w:t xml:space="preserve">Distinto es el caso en que la Entidad Estatal cuenta, dentro de su presupuesto ordinario de funcionamiento, con necesidades asistenciales </w:t>
            </w:r>
            <w:r w:rsidRPr="007E2963">
              <w:rPr>
                <w:rFonts w:ascii="Verdana" w:hAnsi="Verdana"/>
              </w:rPr>
              <w:lastRenderedPageBreak/>
              <w:t>permanentes y compatibles con el perfil profesional de la contratista. En tal evento, la entidad podría evaluar objetivamente si dicha necesidad preexiste y es susceptible de sustentar una nueva contratación, esto es, si con independencia del agotamiento de la fuente específica que dio origen al contrato extinto, subsiste una necesidad institucional distinta, de carácter estructural, que deba ser atendida mediante un nuevo proceso de vinculación. Lo que no resulta procedente es mantener a la contratista en el mismo objeto contractual ya extinto, pues ello desconocería que la fuente de financiación específica que lo sustentaba ya no existe.</w:t>
            </w:r>
          </w:p>
          <w:p w14:paraId="39277DAF" w14:textId="5A949C82" w:rsidR="00450D7B" w:rsidRPr="007E2963" w:rsidRDefault="00BA30CE" w:rsidP="00BA30CE">
            <w:pPr>
              <w:spacing w:after="120" w:line="276" w:lineRule="auto"/>
              <w:ind w:firstLine="737"/>
              <w:jc w:val="both"/>
              <w:rPr>
                <w:rFonts w:ascii="Verdana" w:hAnsi="Verdana"/>
              </w:rPr>
            </w:pPr>
            <w:r w:rsidRPr="007E2963">
              <w:rPr>
                <w:rFonts w:ascii="Verdana" w:hAnsi="Verdana"/>
              </w:rPr>
              <w:t>En todo caso, corresponde a la entidad acreditar, mediante los soportes presupuestales y de necesidad del servicio a que haya lugar, cuál de los dos escenarios se configura en el caso concreto: de un lado, la desaparición definitiva de la causa que justificó la contratación inicial, que descarta la subsistencia del contrato y, con ello, la procedencia de la renovación; y del otro, la existencia de una necesidad institucional distinta, que, de acreditarse, permitiría a la entidad el deber de valorar, con criterios objetivos y ajenos al estado de embarazo o lactancia, la procedencia de una nueva vinculación, sin que ello equivalga a la renovación del contrato extinto</w:t>
            </w:r>
            <w:r w:rsidR="00F85A71" w:rsidRPr="007E2963">
              <w:rPr>
                <w:rFonts w:ascii="Verdana" w:hAnsi="Verdana"/>
              </w:rPr>
              <w:t>.</w:t>
            </w:r>
          </w:p>
        </w:tc>
      </w:tr>
      <w:bookmarkEnd w:id="1"/>
    </w:tbl>
    <w:p w14:paraId="0D095B9A" w14:textId="77777777" w:rsidR="00450D7B" w:rsidRPr="007E2963" w:rsidRDefault="00450D7B" w:rsidP="00450D7B">
      <w:pPr>
        <w:widowControl w:val="0"/>
        <w:autoSpaceDE w:val="0"/>
        <w:autoSpaceDN w:val="0"/>
        <w:spacing w:after="0" w:line="276" w:lineRule="auto"/>
        <w:ind w:left="360" w:hanging="360"/>
        <w:outlineLvl w:val="0"/>
        <w:rPr>
          <w:rFonts w:ascii="Verdana" w:eastAsia="Arial" w:hAnsi="Verdana" w:cs="Arial"/>
          <w:b/>
          <w:bCs/>
          <w:highlight w:val="cyan"/>
        </w:rPr>
      </w:pPr>
    </w:p>
    <w:p w14:paraId="3B0BCD48" w14:textId="77777777" w:rsidR="00450D7B" w:rsidRPr="007E2963" w:rsidRDefault="00450D7B" w:rsidP="00450D7B">
      <w:pPr>
        <w:widowControl w:val="0"/>
        <w:autoSpaceDE w:val="0"/>
        <w:autoSpaceDN w:val="0"/>
        <w:spacing w:after="0" w:line="276" w:lineRule="auto"/>
        <w:ind w:left="360" w:hanging="360"/>
        <w:outlineLvl w:val="0"/>
        <w:rPr>
          <w:rFonts w:ascii="Verdana" w:eastAsia="Arial" w:hAnsi="Verdana" w:cs="Arial"/>
          <w:b/>
          <w:bCs/>
          <w:lang w:val="es-ES"/>
        </w:rPr>
      </w:pPr>
      <w:r w:rsidRPr="007E2963">
        <w:rPr>
          <w:rFonts w:ascii="Verdana" w:eastAsia="Arial" w:hAnsi="Verdana" w:cs="Arial"/>
          <w:b/>
          <w:bCs/>
          <w:lang w:val="es-ES"/>
        </w:rPr>
        <w:t>3. Razones de la respuesta:</w:t>
      </w:r>
    </w:p>
    <w:p w14:paraId="4ECF0EAF" w14:textId="77777777" w:rsidR="00450D7B" w:rsidRPr="007E2963" w:rsidRDefault="00450D7B" w:rsidP="00450D7B">
      <w:pPr>
        <w:spacing w:after="0" w:line="276" w:lineRule="auto"/>
        <w:jc w:val="both"/>
        <w:rPr>
          <w:rFonts w:ascii="Verdana" w:eastAsia="Calibri" w:hAnsi="Verdana" w:cs="Arial"/>
          <w:highlight w:val="cyan"/>
          <w:lang w:val="es-ES"/>
        </w:rPr>
      </w:pPr>
    </w:p>
    <w:p w14:paraId="78732D02" w14:textId="77777777" w:rsidR="00450D7B" w:rsidRPr="007E2963" w:rsidRDefault="00450D7B" w:rsidP="00450D7B">
      <w:pPr>
        <w:spacing w:after="0" w:line="276" w:lineRule="auto"/>
        <w:jc w:val="both"/>
        <w:rPr>
          <w:rFonts w:ascii="Verdana" w:eastAsia="Calibri" w:hAnsi="Verdana" w:cs="Arial"/>
          <w:lang w:val="es-ES"/>
        </w:rPr>
      </w:pPr>
      <w:r w:rsidRPr="007E2963">
        <w:rPr>
          <w:rFonts w:ascii="Verdana" w:eastAsia="Calibri" w:hAnsi="Verdana" w:cs="Arial"/>
          <w:lang w:val="es-ES"/>
        </w:rPr>
        <w:t xml:space="preserve">La respuesta anterior se sustenta en las siguientes consideraciones: </w:t>
      </w:r>
    </w:p>
    <w:p w14:paraId="67A44998" w14:textId="77777777" w:rsidR="001A33BF" w:rsidRPr="007E2963" w:rsidRDefault="001A33BF" w:rsidP="30821638">
      <w:pPr>
        <w:spacing w:after="0" w:line="240" w:lineRule="auto"/>
        <w:jc w:val="both"/>
        <w:rPr>
          <w:rFonts w:ascii="Verdana" w:eastAsia="Verdana" w:hAnsi="Verdana" w:cs="Verdana"/>
          <w:lang w:val="es-ES"/>
        </w:rPr>
      </w:pPr>
    </w:p>
    <w:p w14:paraId="0BC99EAF" w14:textId="77777777" w:rsidR="00526DB3" w:rsidRPr="007E2963" w:rsidRDefault="00526DB3" w:rsidP="00526DB3">
      <w:pPr>
        <w:tabs>
          <w:tab w:val="left" w:pos="3276"/>
        </w:tabs>
        <w:spacing w:after="0" w:line="276" w:lineRule="auto"/>
        <w:jc w:val="both"/>
        <w:rPr>
          <w:rFonts w:ascii="Verdana" w:eastAsia="Calibri" w:hAnsi="Verdana" w:cs="Arial"/>
        </w:rPr>
      </w:pPr>
      <w:r w:rsidRPr="007E2963">
        <w:rPr>
          <w:rFonts w:ascii="Verdana" w:eastAsia="Calibri" w:hAnsi="Verdana" w:cs="Arial"/>
          <w:lang w:val="es-ES"/>
        </w:rPr>
        <w:t xml:space="preserve">i) </w:t>
      </w:r>
      <w:r w:rsidRPr="007E2963">
        <w:rPr>
          <w:rFonts w:ascii="Verdana" w:eastAsia="Calibri" w:hAnsi="Verdana" w:cs="Arial"/>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50D953CC" w14:textId="77777777" w:rsidR="00526DB3" w:rsidRPr="007E2963" w:rsidRDefault="00526DB3" w:rsidP="00526DB3">
      <w:pPr>
        <w:tabs>
          <w:tab w:val="left" w:pos="3276"/>
        </w:tabs>
        <w:spacing w:after="0" w:line="276" w:lineRule="auto"/>
        <w:jc w:val="both"/>
        <w:rPr>
          <w:rFonts w:ascii="Verdana" w:eastAsia="Calibri" w:hAnsi="Verdana" w:cs="Arial"/>
          <w:sz w:val="20"/>
          <w:szCs w:val="20"/>
        </w:rPr>
      </w:pPr>
    </w:p>
    <w:p w14:paraId="3C70AA1A"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493A7DFD"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p>
    <w:p w14:paraId="640024E1"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En ningún caso estos contratos generan relación laboral ni prestaciones sociales y se celebrarán por el término estrictamente indispensable”.</w:t>
      </w:r>
    </w:p>
    <w:p w14:paraId="7493C100" w14:textId="77777777" w:rsidR="00526DB3" w:rsidRPr="007E2963" w:rsidRDefault="00526DB3" w:rsidP="00526DB3">
      <w:pPr>
        <w:tabs>
          <w:tab w:val="left" w:pos="284"/>
          <w:tab w:val="left" w:pos="3276"/>
        </w:tabs>
        <w:spacing w:after="0" w:line="276" w:lineRule="auto"/>
        <w:contextualSpacing/>
        <w:jc w:val="both"/>
        <w:rPr>
          <w:rFonts w:ascii="Verdana" w:eastAsia="Calibri" w:hAnsi="Verdana" w:cs="Arial"/>
          <w:b/>
        </w:rPr>
      </w:pPr>
    </w:p>
    <w:p w14:paraId="6360011A" w14:textId="77777777" w:rsidR="00526DB3" w:rsidRPr="007E2963" w:rsidRDefault="00526DB3" w:rsidP="00526DB3">
      <w:pPr>
        <w:tabs>
          <w:tab w:val="left" w:pos="3276"/>
        </w:tabs>
        <w:spacing w:after="0" w:line="276" w:lineRule="auto"/>
        <w:ind w:firstLine="709"/>
        <w:jc w:val="both"/>
        <w:rPr>
          <w:rFonts w:ascii="Verdana" w:eastAsia="Calibri" w:hAnsi="Verdana" w:cs="Arial"/>
        </w:rPr>
      </w:pPr>
      <w:r w:rsidRPr="007E2963">
        <w:rPr>
          <w:rFonts w:ascii="Verdana" w:eastAsia="Calibri" w:hAnsi="Verdana" w:cs="Arial"/>
        </w:rPr>
        <w:t>La celebración de dicho contrato debe efectuarse mediante la modalidad de la contratación directa. Así lo prevé el artículo 2, numeral 4º, literal h) de la Ley 1150 de 2007, que dispone:</w:t>
      </w:r>
    </w:p>
    <w:p w14:paraId="7517360F" w14:textId="77777777" w:rsidR="00526DB3" w:rsidRPr="007E2963" w:rsidRDefault="00526DB3" w:rsidP="00526DB3">
      <w:pPr>
        <w:tabs>
          <w:tab w:val="left" w:pos="3276"/>
        </w:tabs>
        <w:spacing w:after="0" w:line="276" w:lineRule="auto"/>
        <w:ind w:firstLine="709"/>
        <w:jc w:val="both"/>
        <w:rPr>
          <w:rFonts w:ascii="Verdana" w:eastAsia="Calibri" w:hAnsi="Verdana" w:cs="Arial"/>
        </w:rPr>
      </w:pPr>
    </w:p>
    <w:p w14:paraId="1681C1B5"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“[…]Contratación directa. La modalidad de selección de contratación directa solamente procederá en los siguientes casos:</w:t>
      </w:r>
    </w:p>
    <w:p w14:paraId="0AF0F1BB"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w:t>
      </w:r>
    </w:p>
    <w:p w14:paraId="58765685"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h) Para la prestación de servicios profesionales y de apoyo a la gestión, o para la ejecución de trabajos artísticos que sólo puedan encomendarse a determinadas personas naturales;”</w:t>
      </w:r>
    </w:p>
    <w:p w14:paraId="4EE20003" w14:textId="77777777" w:rsidR="00526DB3" w:rsidRPr="007E2963" w:rsidRDefault="00526DB3" w:rsidP="00526DB3">
      <w:pPr>
        <w:tabs>
          <w:tab w:val="left" w:pos="3276"/>
        </w:tabs>
        <w:spacing w:after="0" w:line="240" w:lineRule="auto"/>
        <w:ind w:right="709"/>
        <w:jc w:val="both"/>
        <w:rPr>
          <w:rFonts w:ascii="Verdana" w:eastAsia="Calibri" w:hAnsi="Verdana" w:cs="Arial"/>
        </w:rPr>
      </w:pPr>
    </w:p>
    <w:p w14:paraId="4F2748CF" w14:textId="77777777" w:rsidR="00526DB3" w:rsidRPr="007E2963" w:rsidRDefault="00526DB3" w:rsidP="00526DB3">
      <w:pPr>
        <w:tabs>
          <w:tab w:val="left" w:pos="3276"/>
        </w:tabs>
        <w:spacing w:after="0" w:line="276" w:lineRule="auto"/>
        <w:ind w:firstLine="709"/>
        <w:jc w:val="both"/>
        <w:rPr>
          <w:rFonts w:ascii="Verdana" w:eastAsia="Calibri" w:hAnsi="Verdana" w:cs="Arial"/>
        </w:rPr>
      </w:pPr>
      <w:r w:rsidRPr="007E2963">
        <w:rPr>
          <w:rFonts w:ascii="Verdana" w:eastAsia="Calibri" w:hAnsi="Verdana" w:cs="Arial"/>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3120FF3F" w14:textId="77777777" w:rsidR="00526DB3" w:rsidRPr="007E2963" w:rsidRDefault="00526DB3" w:rsidP="00526DB3">
      <w:pPr>
        <w:tabs>
          <w:tab w:val="left" w:pos="3276"/>
        </w:tabs>
        <w:spacing w:after="0" w:line="276" w:lineRule="auto"/>
        <w:ind w:firstLine="709"/>
        <w:jc w:val="both"/>
        <w:rPr>
          <w:rFonts w:ascii="Verdana" w:eastAsia="Calibri" w:hAnsi="Verdana" w:cs="Arial"/>
        </w:rPr>
      </w:pPr>
    </w:p>
    <w:p w14:paraId="59ECE9C1"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70D07118"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p>
    <w:p w14:paraId="078F99B6"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2B08957D"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p>
    <w:p w14:paraId="035BA2FF"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La Entidad Estatal, para la contratación de trabajos artísticos que solamente puedan encomendarse a determinadas personas naturales, debe justificar esta situación en los estudios y documentos previos”.</w:t>
      </w:r>
    </w:p>
    <w:p w14:paraId="6D88C828" w14:textId="77777777" w:rsidR="00526DB3" w:rsidRPr="007E2963" w:rsidRDefault="00526DB3" w:rsidP="00526DB3">
      <w:pPr>
        <w:tabs>
          <w:tab w:val="left" w:pos="3276"/>
        </w:tabs>
        <w:spacing w:after="0" w:line="276" w:lineRule="auto"/>
        <w:ind w:firstLine="709"/>
        <w:jc w:val="both"/>
        <w:rPr>
          <w:rFonts w:ascii="Verdana" w:eastAsia="Calibri" w:hAnsi="Verdana" w:cs="Arial"/>
        </w:rPr>
      </w:pPr>
    </w:p>
    <w:p w14:paraId="33739739"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747D46BC"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lastRenderedPageBreak/>
        <w:t>a) Solo puede celebrarse para realizar “actividades relacionadas con la administración o funcionamiento de la entidad”, es decir, que hagan parte de su giro ordinario o quehacer cotidiano.</w:t>
      </w:r>
    </w:p>
    <w:p w14:paraId="050FA31F"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43F18373"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c) Si bien se celebran para obtener la prestación personal de un servicio, se diferencian del contrato de trabajo</w:t>
      </w:r>
      <w:r w:rsidRPr="007E2963">
        <w:rPr>
          <w:rStyle w:val="Refdenotaalpie"/>
          <w:rFonts w:ascii="Verdana" w:eastAsia="Calibri" w:hAnsi="Verdana" w:cs="Arial"/>
        </w:rPr>
        <w:footnoteReference w:id="1"/>
      </w:r>
      <w:r w:rsidRPr="007E2963">
        <w:rPr>
          <w:rFonts w:ascii="Verdana" w:eastAsia="Calibri" w:hAnsi="Verdana" w:cs="Arial"/>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234CAC8B"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w:t>
      </w:r>
      <w:r w:rsidRPr="007E2963">
        <w:rPr>
          <w:rFonts w:ascii="Verdana" w:eastAsia="Calibri" w:hAnsi="Verdana" w:cs="Arial"/>
        </w:rPr>
        <w:lastRenderedPageBreak/>
        <w:t xml:space="preserve">independiente” –como lo califican las normas en materia de seguridad social– debe cotizar por su cuenta y riesgo al Sistema de Seguridad Social Integral. </w:t>
      </w:r>
    </w:p>
    <w:p w14:paraId="4F841B33"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7E2963">
        <w:rPr>
          <w:rStyle w:val="Refdenotaalpie"/>
          <w:rFonts w:ascii="Verdana" w:eastAsia="Calibri" w:hAnsi="Verdana" w:cs="Arial"/>
        </w:rPr>
        <w:footnoteReference w:id="2"/>
      </w:r>
      <w:r w:rsidRPr="007E2963">
        <w:rPr>
          <w:rFonts w:ascii="Verdana" w:eastAsia="Calibri" w:hAnsi="Verdana" w:cs="Arial"/>
        </w:rPr>
        <w:t>.</w:t>
      </w:r>
    </w:p>
    <w:p w14:paraId="1A14510A"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d) Deben ser temporales. La Sentencia de Unificación Jurisprudencial de 09 de septiembre de 2021, proferida por el Consejo de Estado</w:t>
      </w:r>
      <w:r w:rsidRPr="007E2963">
        <w:rPr>
          <w:rStyle w:val="Refdenotaalpie"/>
          <w:rFonts w:ascii="Verdana" w:eastAsia="Calibri" w:hAnsi="Verdana" w:cs="Arial"/>
        </w:rPr>
        <w:footnoteReference w:id="3"/>
      </w:r>
      <w:r w:rsidRPr="007E2963">
        <w:rPr>
          <w:rFonts w:ascii="Verdana" w:eastAsia="Calibri" w:hAnsi="Verdana" w:cs="Arial"/>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1875BA7C" w14:textId="77777777" w:rsidR="00526DB3" w:rsidRPr="007E2963" w:rsidRDefault="00526DB3" w:rsidP="00526DB3">
      <w:pPr>
        <w:tabs>
          <w:tab w:val="left" w:pos="3276"/>
        </w:tabs>
        <w:spacing w:before="120" w:after="0" w:line="276" w:lineRule="auto"/>
        <w:ind w:firstLine="709"/>
        <w:jc w:val="both"/>
        <w:rPr>
          <w:rFonts w:ascii="Verdana" w:eastAsia="Calibri" w:hAnsi="Verdana" w:cs="Arial"/>
        </w:rPr>
      </w:pPr>
      <w:r w:rsidRPr="007E2963">
        <w:rPr>
          <w:rFonts w:ascii="Verdana" w:eastAsia="Calibri" w:hAnsi="Verdana" w:cs="Arial"/>
        </w:rPr>
        <w:t>De forma similar, se manifestó la Corte Constitucional, en la sentencia C-154 de 1997, expresando que:</w:t>
      </w:r>
    </w:p>
    <w:p w14:paraId="777FF651" w14:textId="77777777" w:rsidR="00526DB3" w:rsidRPr="007E2963" w:rsidRDefault="00526DB3" w:rsidP="00526DB3">
      <w:pPr>
        <w:tabs>
          <w:tab w:val="left" w:pos="3276"/>
        </w:tabs>
        <w:spacing w:after="0" w:line="276" w:lineRule="auto"/>
        <w:ind w:firstLine="709"/>
        <w:jc w:val="both"/>
        <w:rPr>
          <w:rFonts w:ascii="Verdana" w:eastAsia="Calibri" w:hAnsi="Verdana" w:cs="Arial"/>
        </w:rPr>
      </w:pPr>
    </w:p>
    <w:p w14:paraId="03198860"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r w:rsidRPr="007E2963">
        <w:rPr>
          <w:rFonts w:ascii="Verdana" w:eastAsia="Calibri" w:hAnsi="Verdana" w:cs="Arial"/>
          <w:sz w:val="20"/>
          <w:szCs w:val="20"/>
        </w:rPr>
        <w:t xml:space="preserve">“La vigencia del contrato es temporal y, por lo tanto, su duración debe ser por tiempo limitado y el indispensable para ejecutar el objeto contractual convenido. En el caso de que las actividades con ellos atendidas demanden </w:t>
      </w:r>
      <w:r w:rsidRPr="007E2963">
        <w:rPr>
          <w:rFonts w:ascii="Verdana" w:eastAsia="Calibri" w:hAnsi="Verdana" w:cs="Arial"/>
          <w:sz w:val="20"/>
          <w:szCs w:val="20"/>
        </w:rPr>
        <w:lastRenderedPageBreak/>
        <w:t>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7E2963">
        <w:rPr>
          <w:rStyle w:val="Refdenotaalpie"/>
          <w:rFonts w:ascii="Verdana" w:eastAsia="Calibri" w:hAnsi="Verdana" w:cs="Arial"/>
          <w:sz w:val="20"/>
          <w:szCs w:val="20"/>
        </w:rPr>
        <w:footnoteReference w:id="4"/>
      </w:r>
      <w:r w:rsidRPr="007E2963">
        <w:rPr>
          <w:rFonts w:ascii="Verdana" w:eastAsia="Calibri" w:hAnsi="Verdana" w:cs="Arial"/>
          <w:sz w:val="20"/>
          <w:szCs w:val="20"/>
        </w:rPr>
        <w:t>.</w:t>
      </w:r>
    </w:p>
    <w:p w14:paraId="0591839A" w14:textId="77777777" w:rsidR="00526DB3" w:rsidRPr="007E2963" w:rsidRDefault="00526DB3" w:rsidP="00526DB3">
      <w:pPr>
        <w:tabs>
          <w:tab w:val="left" w:pos="3276"/>
        </w:tabs>
        <w:spacing w:after="0" w:line="240" w:lineRule="auto"/>
        <w:ind w:left="709" w:right="709"/>
        <w:jc w:val="both"/>
        <w:rPr>
          <w:rFonts w:ascii="Verdana" w:eastAsia="Calibri" w:hAnsi="Verdana" w:cs="Arial"/>
          <w:sz w:val="20"/>
          <w:szCs w:val="20"/>
        </w:rPr>
      </w:pPr>
    </w:p>
    <w:p w14:paraId="3A724B51"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7E2963">
        <w:rPr>
          <w:rStyle w:val="Refdenotaalpie"/>
          <w:rFonts w:ascii="Verdana" w:eastAsia="Calibri" w:hAnsi="Verdana" w:cs="Arial"/>
        </w:rPr>
        <w:footnoteReference w:id="5"/>
      </w:r>
      <w:r w:rsidRPr="007E2963">
        <w:rPr>
          <w:rFonts w:ascii="Verdana" w:eastAsia="Calibri" w:hAnsi="Verdana" w:cs="Arial"/>
        </w:rPr>
        <w:t>. La diferencia entre el contrato de prestación de servicios profesionales con las otras dos especies del género en el cual se ubican radica en su contenido intelectual intangible y, al mismo tiempo, en la formación profesional que se exige para desempeñar la labor</w:t>
      </w:r>
      <w:r w:rsidRPr="007E2963">
        <w:rPr>
          <w:rStyle w:val="Refdenotaalpie"/>
          <w:rFonts w:ascii="Verdana" w:eastAsia="Calibri" w:hAnsi="Verdana" w:cs="Arial"/>
        </w:rPr>
        <w:footnoteReference w:id="6"/>
      </w:r>
      <w:r w:rsidRPr="007E2963">
        <w:rPr>
          <w:rFonts w:ascii="Verdana" w:eastAsia="Calibri" w:hAnsi="Verdana" w:cs="Arial"/>
        </w:rPr>
        <w:t xml:space="preserve">. </w:t>
      </w:r>
    </w:p>
    <w:p w14:paraId="4DC03EE1"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 xml:space="preserve">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w:t>
      </w:r>
      <w:r w:rsidRPr="007E2963">
        <w:rPr>
          <w:rFonts w:ascii="Verdana" w:eastAsia="Calibri" w:hAnsi="Verdana" w:cs="Arial"/>
        </w:rPr>
        <w:lastRenderedPageBreak/>
        <w:t>general, precedido de un concurso de méritos</w:t>
      </w:r>
      <w:r w:rsidRPr="007E2963">
        <w:rPr>
          <w:rStyle w:val="Refdenotaalpie"/>
          <w:rFonts w:ascii="Verdana" w:eastAsia="Calibri" w:hAnsi="Verdana" w:cs="Arial"/>
        </w:rPr>
        <w:footnoteReference w:id="7"/>
      </w:r>
      <w:r w:rsidRPr="007E2963">
        <w:rPr>
          <w:rFonts w:ascii="Verdana" w:eastAsia="Calibri" w:hAnsi="Verdana" w:cs="Arial"/>
        </w:rPr>
        <w:t xml:space="preserve">. Pero, tampoco puede suscribirse un contrato de prestación de servicios profesionales para que el contratista ejecute labores que </w:t>
      </w:r>
      <w:proofErr w:type="gramStart"/>
      <w:r w:rsidRPr="007E2963">
        <w:rPr>
          <w:rFonts w:ascii="Verdana" w:eastAsia="Calibri" w:hAnsi="Verdana" w:cs="Arial"/>
        </w:rPr>
        <w:t>se enmarcan dentro de</w:t>
      </w:r>
      <w:proofErr w:type="gramEnd"/>
      <w:r w:rsidRPr="007E2963">
        <w:rPr>
          <w:rFonts w:ascii="Verdana" w:eastAsia="Calibri" w:hAnsi="Verdana" w:cs="Arial"/>
        </w:rPr>
        <w:t xml:space="preserve"> los otros contratos tipificados en el artículo 32 de la Ley 80 de 1993, como, por ejemplo, para que el contratista de prestación de servicios construya una obra. </w:t>
      </w:r>
    </w:p>
    <w:p w14:paraId="63390DD6"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g) Para su celebración no se requiere en algunos casos la expedición del acto administrativo de justificación de la contratación directa</w:t>
      </w:r>
      <w:r w:rsidRPr="007E2963">
        <w:rPr>
          <w:rStyle w:val="Refdenotaalpie"/>
          <w:rFonts w:ascii="Verdana" w:eastAsia="Calibri" w:hAnsi="Verdana" w:cs="Arial"/>
        </w:rPr>
        <w:footnoteReference w:id="8"/>
      </w:r>
      <w:r w:rsidRPr="007E2963">
        <w:rPr>
          <w:rFonts w:ascii="Verdana" w:eastAsia="Calibri" w:hAnsi="Verdana" w:cs="Arial"/>
        </w:rPr>
        <w:t>.</w:t>
      </w:r>
    </w:p>
    <w:p w14:paraId="1ED4AB41"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7E2963">
        <w:rPr>
          <w:rStyle w:val="Refdenotaalpie"/>
          <w:rFonts w:ascii="Verdana" w:eastAsia="Calibri" w:hAnsi="Verdana" w:cs="Arial"/>
        </w:rPr>
        <w:footnoteReference w:id="9"/>
      </w:r>
      <w:r w:rsidRPr="007E2963">
        <w:rPr>
          <w:rFonts w:ascii="Verdana" w:eastAsia="Calibri" w:hAnsi="Verdana" w:cs="Arial"/>
        </w:rPr>
        <w:t xml:space="preserve">. </w:t>
      </w:r>
    </w:p>
    <w:p w14:paraId="5FBA8E4A"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lastRenderedPageBreak/>
        <w:t>i) No es obligatoria la liquidación de estos contratos, pues así lo estableció el artículo 217 del Decreto 019 de 2012, que modificó el artículo 60 de la Ley 80 de 1993</w:t>
      </w:r>
      <w:r w:rsidRPr="007E2963">
        <w:rPr>
          <w:rStyle w:val="Refdenotaalpie"/>
          <w:rFonts w:ascii="Verdana" w:eastAsia="Calibri" w:hAnsi="Verdana" w:cs="Arial"/>
        </w:rPr>
        <w:footnoteReference w:id="10"/>
      </w:r>
      <w:r w:rsidRPr="007E2963">
        <w:rPr>
          <w:rFonts w:ascii="Verdana" w:eastAsia="Calibri" w:hAnsi="Verdana" w:cs="Arial"/>
        </w:rPr>
        <w:t xml:space="preserve">. </w:t>
      </w:r>
    </w:p>
    <w:p w14:paraId="12F19722"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j) Para su celebración no se requiere inscripción en el Registro Único de Proponentes (RUP), según lo prevé el artículo 6 de la Ley 1150 de 2007</w:t>
      </w:r>
      <w:r w:rsidRPr="007E2963">
        <w:rPr>
          <w:rStyle w:val="Refdenotaalpie"/>
          <w:rFonts w:ascii="Verdana" w:eastAsia="Calibri" w:hAnsi="Verdana" w:cs="Arial"/>
        </w:rPr>
        <w:footnoteReference w:id="11"/>
      </w:r>
      <w:r w:rsidRPr="007E2963">
        <w:rPr>
          <w:rFonts w:ascii="Verdana" w:eastAsia="Calibri" w:hAnsi="Verdana" w:cs="Arial"/>
        </w:rPr>
        <w:t xml:space="preserve">. </w:t>
      </w:r>
    </w:p>
    <w:p w14:paraId="593FBC8E" w14:textId="77777777" w:rsidR="00526DB3" w:rsidRPr="007E2963" w:rsidRDefault="00526DB3" w:rsidP="00526DB3">
      <w:pPr>
        <w:tabs>
          <w:tab w:val="left" w:pos="3276"/>
        </w:tabs>
        <w:spacing w:after="120" w:line="276" w:lineRule="auto"/>
        <w:ind w:firstLine="709"/>
        <w:jc w:val="both"/>
        <w:rPr>
          <w:rFonts w:ascii="Verdana" w:eastAsia="Calibri" w:hAnsi="Verdana" w:cs="Arial"/>
        </w:rPr>
      </w:pPr>
      <w:r w:rsidRPr="007E2963">
        <w:rPr>
          <w:rFonts w:ascii="Verdana" w:eastAsia="Calibri" w:hAnsi="Verdana" w:cs="Arial"/>
        </w:rPr>
        <w:t>xi) En ellos no son necesarias las garantías</w:t>
      </w:r>
      <w:r w:rsidRPr="007E2963">
        <w:rPr>
          <w:rStyle w:val="Refdenotaalpie"/>
          <w:rFonts w:ascii="Verdana" w:eastAsia="Calibri" w:hAnsi="Verdana" w:cs="Arial"/>
        </w:rPr>
        <w:footnoteReference w:id="12"/>
      </w:r>
      <w:r w:rsidRPr="007E2963">
        <w:rPr>
          <w:rFonts w:ascii="Verdana" w:eastAsia="Calibri" w:hAnsi="Verdana" w:cs="Arial"/>
        </w:rPr>
        <w:t xml:space="preserve">. </w:t>
      </w:r>
    </w:p>
    <w:p w14:paraId="7D317F2E" w14:textId="77777777" w:rsidR="00526DB3" w:rsidRPr="007E2963" w:rsidRDefault="00526DB3" w:rsidP="00526DB3">
      <w:pPr>
        <w:tabs>
          <w:tab w:val="left" w:pos="3276"/>
        </w:tabs>
        <w:spacing w:before="120" w:after="0" w:line="276" w:lineRule="auto"/>
        <w:ind w:firstLine="709"/>
        <w:jc w:val="both"/>
        <w:rPr>
          <w:rFonts w:ascii="Verdana" w:eastAsia="Calibri" w:hAnsi="Verdana" w:cs="Arial"/>
        </w:rPr>
      </w:pPr>
      <w:r w:rsidRPr="007E2963">
        <w:rPr>
          <w:rFonts w:ascii="Verdana" w:eastAsia="Calibri" w:hAnsi="Verdana" w:cs="Arial"/>
        </w:rPr>
        <w:t>Analizadas las características del contrato de prestación de servicios, se procede al estudio de la procedencia de la estabilidad ocupacional reforzada de las mujeres en estado de embarazo y periodo de lactancia en este tipo de relaciones jurídicas.</w:t>
      </w:r>
    </w:p>
    <w:p w14:paraId="6EE9019E" w14:textId="77777777" w:rsidR="00526DB3" w:rsidRPr="007E2963" w:rsidRDefault="00526DB3" w:rsidP="00526DB3">
      <w:pPr>
        <w:tabs>
          <w:tab w:val="left" w:pos="3276"/>
        </w:tabs>
        <w:spacing w:after="0" w:line="276" w:lineRule="auto"/>
        <w:ind w:firstLine="709"/>
        <w:jc w:val="both"/>
        <w:rPr>
          <w:rFonts w:ascii="Verdana" w:eastAsia="Calibri" w:hAnsi="Verdana" w:cs="Arial"/>
        </w:rPr>
      </w:pPr>
    </w:p>
    <w:p w14:paraId="7BEFF89D" w14:textId="21B550B1" w:rsidR="00526DB3" w:rsidRPr="007E2963" w:rsidRDefault="00526DB3" w:rsidP="00526DB3">
      <w:pPr>
        <w:spacing w:after="120" w:line="276" w:lineRule="auto"/>
        <w:jc w:val="both"/>
        <w:rPr>
          <w:rFonts w:ascii="Verdana" w:hAnsi="Verdana"/>
        </w:rPr>
      </w:pPr>
      <w:proofErr w:type="spellStart"/>
      <w:r w:rsidRPr="007E2963">
        <w:rPr>
          <w:rFonts w:ascii="Verdana" w:eastAsia="Calibri" w:hAnsi="Verdana" w:cs="Arial"/>
          <w:lang w:val="es-ES"/>
        </w:rPr>
        <w:t>ii</w:t>
      </w:r>
      <w:proofErr w:type="spellEnd"/>
      <w:r w:rsidR="00442818" w:rsidRPr="007E2963">
        <w:rPr>
          <w:rFonts w:ascii="Verdana" w:eastAsia="Calibri" w:hAnsi="Verdana" w:cs="Arial"/>
          <w:lang w:val="es-ES"/>
        </w:rPr>
        <w:t>)</w:t>
      </w:r>
      <w:r w:rsidRPr="007E2963">
        <w:rPr>
          <w:rFonts w:ascii="Verdana" w:eastAsia="Calibri" w:hAnsi="Verdana" w:cs="Arial"/>
          <w:lang w:val="es-ES"/>
        </w:rPr>
        <w:t xml:space="preserve"> </w:t>
      </w:r>
      <w:r w:rsidRPr="007E2963">
        <w:rPr>
          <w:rFonts w:ascii="Verdana" w:hAnsi="Verdana"/>
          <w:lang w:val="es-ES"/>
        </w:rPr>
        <w:t>El</w:t>
      </w:r>
      <w:r w:rsidRPr="007E2963">
        <w:rPr>
          <w:rFonts w:ascii="Verdana" w:hAnsi="Verdana"/>
        </w:rPr>
        <w:t xml:space="preserve"> fuero de maternidad es una figura jurídica que otorga una protección reforzada a la futura madre y a la que acaba de serlo, es decir, a la mujer</w:t>
      </w:r>
      <w:r w:rsidRPr="007E2963">
        <w:rPr>
          <w:rFonts w:ascii="Verdana" w:hAnsi="Verdana"/>
          <w:spacing w:val="-6"/>
        </w:rPr>
        <w:t xml:space="preserve"> </w:t>
      </w:r>
      <w:r w:rsidRPr="007E2963">
        <w:rPr>
          <w:rFonts w:ascii="Verdana" w:hAnsi="Verdana"/>
        </w:rPr>
        <w:t>que</w:t>
      </w:r>
      <w:r w:rsidRPr="007E2963">
        <w:rPr>
          <w:rFonts w:ascii="Verdana" w:hAnsi="Verdana"/>
          <w:spacing w:val="-7"/>
        </w:rPr>
        <w:t xml:space="preserve"> </w:t>
      </w:r>
      <w:r w:rsidRPr="007E2963">
        <w:rPr>
          <w:rFonts w:ascii="Verdana" w:hAnsi="Verdana"/>
        </w:rPr>
        <w:t>se</w:t>
      </w:r>
      <w:r w:rsidRPr="007E2963">
        <w:rPr>
          <w:rFonts w:ascii="Verdana" w:hAnsi="Verdana"/>
          <w:spacing w:val="-7"/>
        </w:rPr>
        <w:t xml:space="preserve"> </w:t>
      </w:r>
      <w:r w:rsidRPr="007E2963">
        <w:rPr>
          <w:rFonts w:ascii="Verdana" w:hAnsi="Verdana"/>
        </w:rPr>
        <w:t>encuentra</w:t>
      </w:r>
      <w:r w:rsidRPr="007E2963">
        <w:rPr>
          <w:rFonts w:ascii="Verdana" w:hAnsi="Verdana"/>
          <w:spacing w:val="-5"/>
        </w:rPr>
        <w:t xml:space="preserve"> </w:t>
      </w:r>
      <w:r w:rsidRPr="007E2963">
        <w:rPr>
          <w:rFonts w:ascii="Verdana" w:hAnsi="Verdana"/>
        </w:rPr>
        <w:t>en</w:t>
      </w:r>
      <w:r w:rsidRPr="007E2963">
        <w:rPr>
          <w:rFonts w:ascii="Verdana" w:hAnsi="Verdana"/>
          <w:spacing w:val="-7"/>
        </w:rPr>
        <w:t xml:space="preserve"> </w:t>
      </w:r>
      <w:r w:rsidRPr="007E2963">
        <w:rPr>
          <w:rFonts w:ascii="Verdana" w:hAnsi="Verdana"/>
        </w:rPr>
        <w:t>estado</w:t>
      </w:r>
      <w:r w:rsidRPr="007E2963">
        <w:rPr>
          <w:rFonts w:ascii="Verdana" w:hAnsi="Verdana"/>
          <w:spacing w:val="-6"/>
        </w:rPr>
        <w:t xml:space="preserve"> </w:t>
      </w:r>
      <w:r w:rsidRPr="007E2963">
        <w:rPr>
          <w:rFonts w:ascii="Verdana" w:hAnsi="Verdana"/>
        </w:rPr>
        <w:t>de</w:t>
      </w:r>
      <w:r w:rsidRPr="007E2963">
        <w:rPr>
          <w:rFonts w:ascii="Verdana" w:hAnsi="Verdana"/>
          <w:spacing w:val="-7"/>
        </w:rPr>
        <w:t xml:space="preserve"> </w:t>
      </w:r>
      <w:r w:rsidRPr="007E2963">
        <w:rPr>
          <w:rFonts w:ascii="Verdana" w:hAnsi="Verdana"/>
        </w:rPr>
        <w:t>embarazo,</w:t>
      </w:r>
      <w:r w:rsidRPr="007E2963">
        <w:rPr>
          <w:rFonts w:ascii="Verdana" w:hAnsi="Verdana"/>
          <w:spacing w:val="-7"/>
        </w:rPr>
        <w:t xml:space="preserve"> </w:t>
      </w:r>
      <w:r w:rsidRPr="007E2963">
        <w:rPr>
          <w:rFonts w:ascii="Verdana" w:hAnsi="Verdana"/>
        </w:rPr>
        <w:t>en</w:t>
      </w:r>
      <w:r w:rsidRPr="007E2963">
        <w:rPr>
          <w:rFonts w:ascii="Verdana" w:hAnsi="Verdana"/>
          <w:spacing w:val="-7"/>
        </w:rPr>
        <w:t xml:space="preserve"> </w:t>
      </w:r>
      <w:r w:rsidRPr="007E2963">
        <w:rPr>
          <w:rFonts w:ascii="Verdana" w:hAnsi="Verdana"/>
        </w:rPr>
        <w:t>licencia</w:t>
      </w:r>
      <w:r w:rsidRPr="007E2963">
        <w:rPr>
          <w:rFonts w:ascii="Verdana" w:hAnsi="Verdana"/>
          <w:spacing w:val="-5"/>
        </w:rPr>
        <w:t xml:space="preserve"> </w:t>
      </w:r>
      <w:r w:rsidRPr="007E2963">
        <w:rPr>
          <w:rFonts w:ascii="Verdana" w:hAnsi="Verdana"/>
        </w:rPr>
        <w:t>de</w:t>
      </w:r>
      <w:r w:rsidRPr="007E2963">
        <w:rPr>
          <w:rFonts w:ascii="Verdana" w:hAnsi="Verdana"/>
          <w:spacing w:val="-7"/>
        </w:rPr>
        <w:t xml:space="preserve"> </w:t>
      </w:r>
      <w:r w:rsidRPr="007E2963">
        <w:rPr>
          <w:rFonts w:ascii="Verdana" w:hAnsi="Verdana"/>
        </w:rPr>
        <w:t>maternidad</w:t>
      </w:r>
      <w:r w:rsidRPr="007E2963">
        <w:rPr>
          <w:rFonts w:ascii="Verdana" w:hAnsi="Verdana"/>
          <w:spacing w:val="-5"/>
        </w:rPr>
        <w:t xml:space="preserve"> </w:t>
      </w:r>
      <w:r w:rsidRPr="007E2963">
        <w:rPr>
          <w:rFonts w:ascii="Verdana" w:hAnsi="Verdana"/>
        </w:rPr>
        <w:t>y</w:t>
      </w:r>
      <w:r w:rsidRPr="007E2963">
        <w:rPr>
          <w:rFonts w:ascii="Verdana" w:hAnsi="Verdana"/>
          <w:spacing w:val="-7"/>
        </w:rPr>
        <w:t xml:space="preserve"> </w:t>
      </w:r>
      <w:r w:rsidRPr="007E2963">
        <w:rPr>
          <w:rFonts w:ascii="Verdana" w:hAnsi="Verdana"/>
        </w:rPr>
        <w:t>en periodo</w:t>
      </w:r>
      <w:r w:rsidRPr="007E2963">
        <w:rPr>
          <w:rFonts w:ascii="Verdana" w:hAnsi="Verdana"/>
          <w:spacing w:val="-10"/>
        </w:rPr>
        <w:t xml:space="preserve"> </w:t>
      </w:r>
      <w:r w:rsidRPr="007E2963">
        <w:rPr>
          <w:rFonts w:ascii="Verdana" w:hAnsi="Verdana"/>
        </w:rPr>
        <w:t>de</w:t>
      </w:r>
      <w:r w:rsidRPr="007E2963">
        <w:rPr>
          <w:rFonts w:ascii="Verdana" w:hAnsi="Verdana"/>
          <w:spacing w:val="-11"/>
        </w:rPr>
        <w:t xml:space="preserve"> </w:t>
      </w:r>
      <w:r w:rsidRPr="007E2963">
        <w:rPr>
          <w:rFonts w:ascii="Verdana" w:hAnsi="Verdana"/>
        </w:rPr>
        <w:t>lactancia. Esto</w:t>
      </w:r>
      <w:r w:rsidRPr="007E2963">
        <w:rPr>
          <w:rFonts w:ascii="Verdana" w:hAnsi="Verdana"/>
          <w:spacing w:val="-12"/>
        </w:rPr>
        <w:t xml:space="preserve"> </w:t>
      </w:r>
      <w:r w:rsidRPr="007E2963">
        <w:rPr>
          <w:rFonts w:ascii="Verdana" w:hAnsi="Verdana"/>
        </w:rPr>
        <w:t>con</w:t>
      </w:r>
      <w:r w:rsidRPr="007E2963">
        <w:rPr>
          <w:rFonts w:ascii="Verdana" w:hAnsi="Verdana"/>
          <w:spacing w:val="-11"/>
        </w:rPr>
        <w:t xml:space="preserve"> </w:t>
      </w:r>
      <w:r w:rsidRPr="007E2963">
        <w:rPr>
          <w:rFonts w:ascii="Verdana" w:hAnsi="Verdana"/>
        </w:rPr>
        <w:t>el</w:t>
      </w:r>
      <w:r w:rsidRPr="007E2963">
        <w:rPr>
          <w:rFonts w:ascii="Verdana" w:hAnsi="Verdana"/>
          <w:spacing w:val="-11"/>
        </w:rPr>
        <w:t xml:space="preserve"> </w:t>
      </w:r>
      <w:r w:rsidRPr="007E2963">
        <w:rPr>
          <w:rFonts w:ascii="Verdana" w:hAnsi="Verdana"/>
        </w:rPr>
        <w:t>fin</w:t>
      </w:r>
      <w:r w:rsidRPr="007E2963">
        <w:rPr>
          <w:rFonts w:ascii="Verdana" w:hAnsi="Verdana"/>
          <w:spacing w:val="-11"/>
        </w:rPr>
        <w:t xml:space="preserve"> </w:t>
      </w:r>
      <w:r w:rsidRPr="007E2963">
        <w:rPr>
          <w:rFonts w:ascii="Verdana" w:hAnsi="Verdana"/>
        </w:rPr>
        <w:t>de</w:t>
      </w:r>
      <w:r w:rsidRPr="007E2963">
        <w:rPr>
          <w:rFonts w:ascii="Verdana" w:hAnsi="Verdana"/>
          <w:spacing w:val="-11"/>
        </w:rPr>
        <w:t xml:space="preserve"> </w:t>
      </w:r>
      <w:r w:rsidRPr="007E2963">
        <w:rPr>
          <w:rFonts w:ascii="Verdana" w:hAnsi="Verdana"/>
        </w:rPr>
        <w:t>que</w:t>
      </w:r>
      <w:r w:rsidRPr="007E2963">
        <w:rPr>
          <w:rFonts w:ascii="Verdana" w:hAnsi="Verdana"/>
          <w:spacing w:val="-11"/>
        </w:rPr>
        <w:t xml:space="preserve"> </w:t>
      </w:r>
      <w:r w:rsidRPr="007E2963">
        <w:rPr>
          <w:rFonts w:ascii="Verdana" w:hAnsi="Verdana"/>
        </w:rPr>
        <w:t>el</w:t>
      </w:r>
      <w:r w:rsidRPr="007E2963">
        <w:rPr>
          <w:rFonts w:ascii="Verdana" w:hAnsi="Verdana"/>
          <w:spacing w:val="-11"/>
        </w:rPr>
        <w:t xml:space="preserve"> </w:t>
      </w:r>
      <w:r w:rsidRPr="007E2963">
        <w:rPr>
          <w:rFonts w:ascii="Verdana" w:hAnsi="Verdana"/>
        </w:rPr>
        <w:t>proceso</w:t>
      </w:r>
      <w:r w:rsidRPr="007E2963">
        <w:rPr>
          <w:rFonts w:ascii="Verdana" w:hAnsi="Verdana"/>
          <w:spacing w:val="-9"/>
        </w:rPr>
        <w:t xml:space="preserve"> </w:t>
      </w:r>
      <w:r w:rsidRPr="007E2963">
        <w:rPr>
          <w:rFonts w:ascii="Verdana" w:hAnsi="Verdana"/>
        </w:rPr>
        <w:t>de</w:t>
      </w:r>
      <w:r w:rsidRPr="007E2963">
        <w:rPr>
          <w:rFonts w:ascii="Verdana" w:hAnsi="Verdana"/>
          <w:spacing w:val="-11"/>
        </w:rPr>
        <w:t xml:space="preserve"> </w:t>
      </w:r>
      <w:r w:rsidRPr="007E2963">
        <w:rPr>
          <w:rFonts w:ascii="Verdana" w:hAnsi="Verdana"/>
        </w:rPr>
        <w:t>gestación</w:t>
      </w:r>
      <w:r w:rsidRPr="007E2963">
        <w:rPr>
          <w:rFonts w:ascii="Verdana" w:hAnsi="Verdana"/>
          <w:spacing w:val="-8"/>
        </w:rPr>
        <w:t xml:space="preserve"> </w:t>
      </w:r>
      <w:r w:rsidRPr="007E2963">
        <w:rPr>
          <w:rFonts w:ascii="Verdana" w:hAnsi="Verdana"/>
        </w:rPr>
        <w:t>no</w:t>
      </w:r>
      <w:r w:rsidRPr="007E2963">
        <w:rPr>
          <w:rFonts w:ascii="Verdana" w:hAnsi="Verdana"/>
          <w:spacing w:val="-11"/>
        </w:rPr>
        <w:t xml:space="preserve"> </w:t>
      </w:r>
      <w:r w:rsidRPr="007E2963">
        <w:rPr>
          <w:rFonts w:ascii="Verdana" w:hAnsi="Verdana"/>
        </w:rPr>
        <w:t>interfiera</w:t>
      </w:r>
      <w:r w:rsidRPr="007E2963">
        <w:rPr>
          <w:rFonts w:ascii="Verdana" w:hAnsi="Verdana"/>
          <w:spacing w:val="-9"/>
        </w:rPr>
        <w:t xml:space="preserve"> </w:t>
      </w:r>
      <w:r w:rsidRPr="007E2963">
        <w:rPr>
          <w:rFonts w:ascii="Verdana" w:hAnsi="Verdana"/>
        </w:rPr>
        <w:t>en</w:t>
      </w:r>
      <w:r w:rsidRPr="007E2963">
        <w:rPr>
          <w:rFonts w:ascii="Verdana" w:hAnsi="Verdana"/>
          <w:spacing w:val="-11"/>
        </w:rPr>
        <w:t xml:space="preserve"> </w:t>
      </w:r>
      <w:r w:rsidRPr="007E2963">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4021A6BB"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 xml:space="preserve">Lo anterior, resulta particularmente relevante si se tiene en cuenta que, históricamente, el estado de gravidez ha constituido un motivo de exclusión y </w:t>
      </w:r>
      <w:r w:rsidRPr="007E2963">
        <w:rPr>
          <w:rFonts w:ascii="Verdana" w:hAnsi="Verdana"/>
        </w:rPr>
        <w:lastRenderedPageBreak/>
        <w:t>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7E2963">
        <w:rPr>
          <w:rStyle w:val="Refdenotaalpie"/>
          <w:rFonts w:ascii="Verdana" w:hAnsi="Verdana"/>
        </w:rPr>
        <w:footnoteReference w:id="13"/>
      </w:r>
      <w:r w:rsidRPr="007E2963">
        <w:rPr>
          <w:rFonts w:ascii="Verdana" w:hAnsi="Verdana"/>
        </w:rPr>
        <w:t>.</w:t>
      </w:r>
    </w:p>
    <w:p w14:paraId="66062BF9"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anterior, para identificar cuál ha sido la posición del Alto Tribunal Constitucional frente a la garantía del derecho a la estabilidad ocupacional reforzada en este tipo de vinculaciones.</w:t>
      </w:r>
    </w:p>
    <w:p w14:paraId="15D1D9B5"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analizar las condiciones propias del contrato de prestación de servicios, comprobaba que entre las partes existía en realidad una relación laboral</w:t>
      </w:r>
      <w:r w:rsidRPr="007E2963">
        <w:rPr>
          <w:rStyle w:val="Refdenotaalpie"/>
          <w:rFonts w:ascii="Verdana" w:hAnsi="Verdana"/>
        </w:rPr>
        <w:footnoteReference w:id="14"/>
      </w:r>
      <w:r w:rsidRPr="007E2963">
        <w:rPr>
          <w:rFonts w:ascii="Verdana" w:hAnsi="Verdana"/>
        </w:rPr>
        <w:t>.</w:t>
      </w:r>
    </w:p>
    <w:p w14:paraId="2E99BDF6"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 xml:space="preserve">De esta forma, conforme al criterio fijado por la Corte, en la Sentencia SU-070 de 2023, la protección a la estabilidad ocupacional reforzada de mujeres vinculadas a través de un contrato de prestación de servicios sólo procedía en aquellos casos donde se verificará la concurrencia de los tres (3) elementos del </w:t>
      </w:r>
      <w:r w:rsidRPr="007E2963">
        <w:rPr>
          <w:rFonts w:ascii="Verdana" w:hAnsi="Verdana"/>
        </w:rPr>
        <w:lastRenderedPageBreak/>
        <w:t xml:space="preserve">contrato de trabajo, a saber: la prestación personal del servicio, la subordinación o dependencia continua y; la remuneración como contraprestación del servicio prestado. </w:t>
      </w:r>
    </w:p>
    <w:p w14:paraId="5B194B99"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Posteriormente, el Alto Tribunal Constitucional, en las sentencias T-102 de 2016</w:t>
      </w:r>
      <w:r w:rsidRPr="007E2963">
        <w:rPr>
          <w:rStyle w:val="Refdenotaalpie"/>
          <w:rFonts w:ascii="Verdana" w:hAnsi="Verdana"/>
        </w:rPr>
        <w:footnoteReference w:id="15"/>
      </w:r>
      <w:r w:rsidRPr="007E2963">
        <w:rPr>
          <w:rFonts w:ascii="Verdana" w:hAnsi="Verdana"/>
        </w:rPr>
        <w:t xml:space="preserve"> y T-564 de 2017</w:t>
      </w:r>
      <w:r w:rsidRPr="007E2963">
        <w:rPr>
          <w:rStyle w:val="Refdenotaalpie"/>
          <w:rFonts w:ascii="Verdana" w:hAnsi="Verdana"/>
        </w:rPr>
        <w:footnoteReference w:id="16"/>
      </w:r>
      <w:r w:rsidRPr="007E2963">
        <w:rPr>
          <w:rFonts w:ascii="Verdana" w:hAnsi="Verdana"/>
        </w:rPr>
        <w:t xml:space="preserve">, adoptó una segunda postura jurisprudencial frente 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w:t>
      </w:r>
      <w:r w:rsidRPr="007E2963">
        <w:rPr>
          <w:rFonts w:ascii="Verdana" w:hAnsi="Verdana"/>
        </w:rPr>
        <w:lastRenderedPageBreak/>
        <w:t xml:space="preserve">embarazo, cuando se comprueba que la terminación del contrato obedece a motivos discriminatorios y no atiende a una causa objetiva. </w:t>
      </w:r>
    </w:p>
    <w:p w14:paraId="7476267D"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 xml:space="preserve">En particular, en la sentencia T-564 de 2017, la Corte determinó que, aun cuando no se acreditó la configuración del contrato realidad, era procedente proteger a la mujer en estado embarazo vinculada a través de un contrato de prestación de servicios, toda vez que, pese a que la contratista informó de su estado de gestación, la entidad contratante terminó anticipadamente su contrato, configurándose así una terminación por motivos discriminatorios. </w:t>
      </w:r>
    </w:p>
    <w:p w14:paraId="73AF778D"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2D8A5D07" w14:textId="77777777" w:rsidR="00526DB3" w:rsidRPr="007E2963" w:rsidRDefault="00526DB3" w:rsidP="00526DB3">
      <w:pPr>
        <w:spacing w:after="0" w:line="240" w:lineRule="auto"/>
        <w:ind w:firstLine="708"/>
        <w:jc w:val="both"/>
        <w:rPr>
          <w:rFonts w:ascii="Verdana" w:hAnsi="Verdana"/>
        </w:rPr>
      </w:pPr>
      <w:r w:rsidRPr="007E2963">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así el alcance del derecho a la estabilidad ocupacional reforzada. Al respecto indicó: </w:t>
      </w:r>
    </w:p>
    <w:p w14:paraId="301F9250" w14:textId="77777777" w:rsidR="00526DB3" w:rsidRPr="007E2963" w:rsidRDefault="00526DB3" w:rsidP="00526DB3">
      <w:pPr>
        <w:spacing w:after="0" w:line="240" w:lineRule="auto"/>
        <w:ind w:firstLine="708"/>
        <w:jc w:val="both"/>
        <w:rPr>
          <w:rFonts w:ascii="Verdana" w:hAnsi="Verdana"/>
        </w:rPr>
      </w:pPr>
    </w:p>
    <w:p w14:paraId="463CC674" w14:textId="77777777" w:rsidR="00526DB3" w:rsidRPr="007E2963" w:rsidRDefault="00526DB3" w:rsidP="00526DB3">
      <w:pPr>
        <w:spacing w:after="0" w:line="240" w:lineRule="auto"/>
        <w:ind w:left="709" w:right="709"/>
        <w:jc w:val="both"/>
        <w:rPr>
          <w:rFonts w:ascii="Verdana" w:hAnsi="Verdana"/>
          <w:i/>
          <w:iCs/>
          <w:sz w:val="20"/>
          <w:szCs w:val="20"/>
        </w:rPr>
      </w:pPr>
      <w:r w:rsidRPr="007E2963">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7E2963">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24961D3E" w14:textId="77777777" w:rsidR="00526DB3" w:rsidRPr="007E2963" w:rsidRDefault="00526DB3" w:rsidP="00526DB3">
      <w:pPr>
        <w:spacing w:after="0" w:line="240" w:lineRule="auto"/>
        <w:ind w:left="709" w:right="709"/>
        <w:jc w:val="both"/>
        <w:rPr>
          <w:rFonts w:ascii="Verdana" w:hAnsi="Verdana"/>
          <w:i/>
          <w:iCs/>
          <w:sz w:val="20"/>
          <w:szCs w:val="20"/>
        </w:rPr>
      </w:pPr>
    </w:p>
    <w:p w14:paraId="2DECA9D8" w14:textId="77777777" w:rsidR="00526DB3" w:rsidRPr="007E2963" w:rsidRDefault="00526DB3" w:rsidP="00526DB3">
      <w:pPr>
        <w:spacing w:after="0" w:line="240" w:lineRule="auto"/>
        <w:ind w:left="709" w:right="709"/>
        <w:jc w:val="both"/>
        <w:rPr>
          <w:rFonts w:ascii="Verdana" w:hAnsi="Verdana"/>
          <w:sz w:val="20"/>
          <w:szCs w:val="20"/>
        </w:rPr>
      </w:pPr>
      <w:r w:rsidRPr="007E2963">
        <w:rPr>
          <w:rFonts w:ascii="Verdana" w:hAnsi="Verdana"/>
          <w:sz w:val="20"/>
          <w:szCs w:val="20"/>
        </w:rPr>
        <w:t xml:space="preserve">Son un ejemplo de esta tesis jurisprudencial las sentencias T-102 de 2016, T-350 de 2016 y T-564 de 2017, que sostienen que en el marco de relaciones de contratos de prestación de servicios independientemente de </w:t>
      </w:r>
      <w:r w:rsidRPr="007E2963">
        <w:rPr>
          <w:rFonts w:ascii="Verdana" w:hAnsi="Verdana"/>
          <w:sz w:val="20"/>
          <w:szCs w:val="20"/>
        </w:rPr>
        <w:lastRenderedPageBreak/>
        <w:t>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 (Énfasis fuera del texto).</w:t>
      </w:r>
    </w:p>
    <w:p w14:paraId="6B3C8088" w14:textId="77777777" w:rsidR="00526DB3" w:rsidRPr="007E2963" w:rsidRDefault="00526DB3" w:rsidP="00526DB3">
      <w:pPr>
        <w:spacing w:after="120" w:line="276" w:lineRule="auto"/>
        <w:ind w:left="709" w:right="616"/>
        <w:jc w:val="both"/>
        <w:rPr>
          <w:rFonts w:ascii="Verdana" w:hAnsi="Verdana"/>
        </w:rPr>
      </w:pPr>
    </w:p>
    <w:p w14:paraId="0B1BE309"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Finalmente, la Corte Constitucional profirió la sentencia de unificación SU-075 de 2018</w:t>
      </w:r>
      <w:r w:rsidRPr="007E2963">
        <w:rPr>
          <w:rStyle w:val="Refdenotaalpie"/>
          <w:rFonts w:ascii="Verdana" w:hAnsi="Verdana"/>
        </w:rPr>
        <w:footnoteReference w:id="17"/>
      </w:r>
      <w:r w:rsidRPr="007E2963">
        <w:rPr>
          <w:rFonts w:ascii="Verdana" w:hAnsi="Verdana"/>
        </w:rPr>
        <w:t>, en la cual recogió, entre otras, las sentencias T-350 del 2016</w:t>
      </w:r>
      <w:r w:rsidRPr="007E2963">
        <w:rPr>
          <w:rStyle w:val="Refdenotaalpie"/>
          <w:rFonts w:ascii="Verdana" w:hAnsi="Verdana"/>
        </w:rPr>
        <w:footnoteReference w:id="18"/>
      </w:r>
      <w:r w:rsidRPr="007E2963">
        <w:rPr>
          <w:rFonts w:ascii="Verdana" w:hAnsi="Verdana"/>
        </w:rPr>
        <w:t xml:space="preserve"> y T-030 de 2018</w:t>
      </w:r>
      <w:r w:rsidRPr="007E2963">
        <w:rPr>
          <w:rStyle w:val="Refdenotaalpie"/>
          <w:rFonts w:ascii="Verdana" w:hAnsi="Verdana"/>
        </w:rPr>
        <w:footnoteReference w:id="19"/>
      </w:r>
      <w:r w:rsidRPr="007E2963">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47E18D09"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32EC7806" w14:textId="77777777" w:rsidR="00526DB3" w:rsidRPr="007E2963" w:rsidRDefault="00526DB3" w:rsidP="00526DB3">
      <w:pPr>
        <w:spacing w:after="0" w:line="276" w:lineRule="auto"/>
        <w:ind w:firstLine="708"/>
        <w:jc w:val="both"/>
        <w:rPr>
          <w:rFonts w:ascii="Verdana" w:hAnsi="Verdana"/>
        </w:rPr>
      </w:pPr>
      <w:r w:rsidRPr="007E2963">
        <w:rPr>
          <w:rFonts w:ascii="Verdana" w:hAnsi="Verdana"/>
        </w:rPr>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34C54B48" w14:textId="77777777" w:rsidR="00526DB3" w:rsidRPr="007E2963" w:rsidRDefault="00526DB3" w:rsidP="00526DB3">
      <w:pPr>
        <w:spacing w:after="0" w:line="276" w:lineRule="auto"/>
        <w:ind w:firstLine="708"/>
        <w:jc w:val="both"/>
        <w:rPr>
          <w:rFonts w:ascii="Verdana" w:hAnsi="Verdana"/>
        </w:rPr>
      </w:pPr>
    </w:p>
    <w:p w14:paraId="0FE5DF7A" w14:textId="77777777" w:rsidR="00526DB3" w:rsidRPr="007E2963" w:rsidRDefault="00526DB3" w:rsidP="00D93FFA">
      <w:pPr>
        <w:spacing w:after="120" w:line="240" w:lineRule="auto"/>
        <w:ind w:left="709" w:right="709"/>
        <w:jc w:val="both"/>
        <w:rPr>
          <w:rFonts w:ascii="Verdana" w:hAnsi="Verdana"/>
          <w:sz w:val="20"/>
          <w:szCs w:val="20"/>
        </w:rPr>
      </w:pPr>
      <w:r w:rsidRPr="007E2963">
        <w:rPr>
          <w:rFonts w:ascii="Verdana" w:hAnsi="Verdana"/>
          <w:sz w:val="20"/>
          <w:szCs w:val="20"/>
        </w:rPr>
        <w:t>“La protección reforzada a la maternidad y la lactancia en el ámbito del trabajo procede cuando se demuestre, sin ninguna otra exigencia adicional, lo siguiente:</w:t>
      </w:r>
    </w:p>
    <w:p w14:paraId="00BB0864" w14:textId="77777777" w:rsidR="00526DB3" w:rsidRPr="007E2963" w:rsidRDefault="00526DB3" w:rsidP="00D93FFA">
      <w:pPr>
        <w:pStyle w:val="Prrafodelista"/>
        <w:numPr>
          <w:ilvl w:val="0"/>
          <w:numId w:val="19"/>
        </w:numPr>
        <w:spacing w:after="120" w:line="240" w:lineRule="auto"/>
        <w:ind w:right="709"/>
        <w:jc w:val="both"/>
        <w:rPr>
          <w:rFonts w:ascii="Verdana" w:hAnsi="Verdana"/>
          <w:sz w:val="20"/>
          <w:szCs w:val="20"/>
        </w:rPr>
      </w:pPr>
      <w:r w:rsidRPr="007E2963">
        <w:rPr>
          <w:rFonts w:ascii="Verdana" w:hAnsi="Verdana"/>
          <w:sz w:val="20"/>
          <w:szCs w:val="20"/>
        </w:rPr>
        <w:t>La existencia de una relación laboral o de prestación de servicios y;</w:t>
      </w:r>
    </w:p>
    <w:p w14:paraId="223D993B" w14:textId="77777777" w:rsidR="00526DB3" w:rsidRPr="007E2963" w:rsidRDefault="00526DB3" w:rsidP="00D93FFA">
      <w:pPr>
        <w:pStyle w:val="Prrafodelista"/>
        <w:numPr>
          <w:ilvl w:val="0"/>
          <w:numId w:val="19"/>
        </w:numPr>
        <w:spacing w:after="120" w:line="240" w:lineRule="auto"/>
        <w:ind w:right="709"/>
        <w:jc w:val="both"/>
        <w:rPr>
          <w:rFonts w:ascii="Verdana" w:hAnsi="Verdana"/>
          <w:sz w:val="20"/>
          <w:szCs w:val="20"/>
        </w:rPr>
      </w:pPr>
      <w:r w:rsidRPr="007E2963">
        <w:rPr>
          <w:rFonts w:ascii="Verdana" w:hAnsi="Verdana"/>
          <w:sz w:val="20"/>
          <w:szCs w:val="20"/>
        </w:rPr>
        <w:t>Que la mujer se encuentra en estado de embarazo o dentro de los tres meses siguientes al parto, en vigencia de dicha relación laboral o de prestación.</w:t>
      </w:r>
    </w:p>
    <w:p w14:paraId="302C290E" w14:textId="77777777" w:rsidR="00526DB3" w:rsidRPr="007E2963" w:rsidRDefault="00526DB3" w:rsidP="00D93FFA">
      <w:pPr>
        <w:spacing w:after="0" w:line="240" w:lineRule="auto"/>
        <w:ind w:left="709" w:right="709"/>
        <w:jc w:val="both"/>
        <w:rPr>
          <w:rFonts w:ascii="Verdana" w:hAnsi="Verdana"/>
          <w:sz w:val="20"/>
          <w:szCs w:val="20"/>
        </w:rPr>
      </w:pPr>
      <w:r w:rsidRPr="007E2963">
        <w:rPr>
          <w:rFonts w:ascii="Verdana" w:hAnsi="Verdana"/>
          <w:sz w:val="20"/>
          <w:szCs w:val="20"/>
        </w:rPr>
        <w:lastRenderedPageBreak/>
        <w:t>No obstante, el alcance de la protección se debe determinar a partir de dos factores:</w:t>
      </w:r>
    </w:p>
    <w:p w14:paraId="292FBB0B" w14:textId="77777777" w:rsidR="00526DB3" w:rsidRPr="007E2963" w:rsidRDefault="00526DB3" w:rsidP="00D93FFA">
      <w:pPr>
        <w:spacing w:after="0" w:line="240" w:lineRule="auto"/>
        <w:ind w:left="709" w:right="709"/>
        <w:jc w:val="both"/>
        <w:rPr>
          <w:rFonts w:ascii="Verdana" w:hAnsi="Verdana"/>
          <w:sz w:val="20"/>
          <w:szCs w:val="20"/>
        </w:rPr>
      </w:pPr>
      <w:r w:rsidRPr="007E2963">
        <w:rPr>
          <w:rFonts w:ascii="Verdana" w:hAnsi="Verdana"/>
          <w:sz w:val="20"/>
          <w:szCs w:val="20"/>
        </w:rPr>
        <w:t>(a) El conocimiento del embarazo por parte del empleador; y</w:t>
      </w:r>
    </w:p>
    <w:p w14:paraId="272752A0" w14:textId="4657D54E" w:rsidR="00526DB3" w:rsidRPr="007E2963" w:rsidRDefault="00526DB3" w:rsidP="0085518A">
      <w:pPr>
        <w:spacing w:after="0" w:line="240" w:lineRule="auto"/>
        <w:ind w:left="709" w:right="709"/>
        <w:jc w:val="both"/>
        <w:rPr>
          <w:rFonts w:ascii="Verdana" w:hAnsi="Verdana"/>
          <w:sz w:val="20"/>
          <w:szCs w:val="20"/>
        </w:rPr>
      </w:pPr>
      <w:r w:rsidRPr="007E2963">
        <w:rPr>
          <w:rFonts w:ascii="Verdana" w:hAnsi="Verdana"/>
          <w:sz w:val="20"/>
          <w:szCs w:val="20"/>
        </w:rPr>
        <w:t>(b) La alternativa laboral mediante la cual se encontraba vinculada la mujer embarazada”.</w:t>
      </w:r>
      <w:r w:rsidRPr="007E2963">
        <w:rPr>
          <w:rStyle w:val="Refdenotaalpie"/>
          <w:rFonts w:ascii="Verdana" w:hAnsi="Verdana"/>
          <w:sz w:val="20"/>
          <w:szCs w:val="20"/>
        </w:rPr>
        <w:footnoteReference w:id="20"/>
      </w:r>
    </w:p>
    <w:p w14:paraId="329EFCA2" w14:textId="77777777" w:rsidR="0085518A" w:rsidRPr="007E2963" w:rsidRDefault="0085518A" w:rsidP="00D93FFA">
      <w:pPr>
        <w:spacing w:after="0" w:line="276" w:lineRule="auto"/>
        <w:ind w:left="709" w:right="709"/>
        <w:jc w:val="both"/>
        <w:rPr>
          <w:rFonts w:ascii="Verdana" w:hAnsi="Verdana"/>
        </w:rPr>
      </w:pPr>
    </w:p>
    <w:p w14:paraId="2A999A1B" w14:textId="77777777" w:rsidR="00526DB3" w:rsidRPr="007E2963" w:rsidRDefault="00526DB3" w:rsidP="00D93FFA">
      <w:pPr>
        <w:spacing w:after="120" w:line="276" w:lineRule="auto"/>
        <w:ind w:right="573" w:firstLine="708"/>
        <w:jc w:val="both"/>
        <w:rPr>
          <w:rFonts w:ascii="Verdana" w:hAnsi="Verdana"/>
        </w:rPr>
      </w:pPr>
      <w:r w:rsidRPr="007E2963">
        <w:rPr>
          <w:rFonts w:ascii="Verdana" w:hAnsi="Verdana"/>
        </w:rPr>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61B9D510" w14:textId="184EB0E4" w:rsidR="00526DB3" w:rsidRPr="007E2963" w:rsidRDefault="00526DB3" w:rsidP="00D93FFA">
      <w:pPr>
        <w:spacing w:after="0" w:line="276" w:lineRule="auto"/>
        <w:ind w:right="573" w:firstLine="708"/>
        <w:jc w:val="both"/>
        <w:rPr>
          <w:rFonts w:ascii="Verdana" w:hAnsi="Verdana"/>
        </w:rPr>
      </w:pPr>
      <w:r w:rsidRPr="007E2963">
        <w:rPr>
          <w:rFonts w:ascii="Verdana" w:hAnsi="Verdana"/>
        </w:rPr>
        <w:t>En particular, para el caso concreto de los contratos de prestación de servicios, la sentencia en mención determina:</w:t>
      </w:r>
    </w:p>
    <w:p w14:paraId="1DE4CCBC" w14:textId="77777777" w:rsidR="0085518A" w:rsidRPr="007E2963" w:rsidRDefault="0085518A" w:rsidP="00D93FFA">
      <w:pPr>
        <w:spacing w:after="0" w:line="276" w:lineRule="auto"/>
        <w:ind w:right="573" w:firstLine="708"/>
        <w:jc w:val="both"/>
        <w:rPr>
          <w:rFonts w:ascii="Verdana" w:hAnsi="Verdana"/>
        </w:rPr>
      </w:pPr>
    </w:p>
    <w:p w14:paraId="312FA171" w14:textId="77777777" w:rsidR="00526DB3" w:rsidRPr="007E2963" w:rsidRDefault="00526DB3" w:rsidP="00526DB3">
      <w:pPr>
        <w:spacing w:after="240" w:line="240" w:lineRule="auto"/>
        <w:ind w:left="567" w:right="900"/>
        <w:jc w:val="both"/>
        <w:rPr>
          <w:rFonts w:ascii="Verdana" w:hAnsi="Verdana"/>
          <w:sz w:val="20"/>
          <w:szCs w:val="20"/>
        </w:rPr>
      </w:pPr>
      <w:r w:rsidRPr="007E2963">
        <w:rPr>
          <w:rFonts w:ascii="Verdana" w:hAnsi="Verdana"/>
          <w:sz w:val="20"/>
          <w:szCs w:val="20"/>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0B5126F3" w14:textId="77777777" w:rsidR="00526DB3" w:rsidRPr="007E2963" w:rsidRDefault="00526DB3" w:rsidP="00526DB3">
      <w:pPr>
        <w:spacing w:after="120" w:line="276" w:lineRule="auto"/>
        <w:ind w:firstLine="708"/>
        <w:jc w:val="both"/>
        <w:rPr>
          <w:rFonts w:ascii="Verdana" w:hAnsi="Verdana"/>
        </w:rPr>
      </w:pPr>
      <w:r w:rsidRPr="007E2963">
        <w:rPr>
          <w:rFonts w:ascii="Verdana" w:hAnsi="Verdana"/>
        </w:rPr>
        <w:t xml:space="preserve">Conforme a lo expuesto, respecto del primer problema jurídico,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7E2963">
        <w:rPr>
          <w:rFonts w:ascii="Verdana" w:hAnsi="Verdana"/>
        </w:rPr>
        <w:t>ii</w:t>
      </w:r>
      <w:proofErr w:type="spellEnd"/>
      <w:r w:rsidRPr="007E2963">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434FE2E9" w14:textId="6D8EFAB9" w:rsidR="00526DB3" w:rsidRPr="007E2963" w:rsidRDefault="00526DB3" w:rsidP="0085518A">
      <w:pPr>
        <w:spacing w:after="0" w:line="276" w:lineRule="auto"/>
        <w:ind w:firstLine="708"/>
        <w:jc w:val="both"/>
        <w:rPr>
          <w:rFonts w:ascii="Verdana" w:hAnsi="Verdana"/>
        </w:rPr>
      </w:pPr>
      <w:r w:rsidRPr="007E2963">
        <w:rPr>
          <w:rFonts w:ascii="Verdana" w:hAnsi="Verdana"/>
        </w:rPr>
        <w:lastRenderedPageBreak/>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derivada del fuero de maternidad. En criterio de la Corte, dicha protección encuentra su sustento en consideraciones constitucionales orientadas a salvaguardar los derechos fundamentales de la mujer gestante o lactante. En palabras de la Corte Constitucional: </w:t>
      </w:r>
    </w:p>
    <w:p w14:paraId="21356E6A" w14:textId="77777777" w:rsidR="0085518A" w:rsidRPr="007E2963" w:rsidRDefault="0085518A" w:rsidP="00D93FFA">
      <w:pPr>
        <w:spacing w:after="0" w:line="276" w:lineRule="auto"/>
        <w:ind w:firstLine="708"/>
        <w:jc w:val="both"/>
        <w:rPr>
          <w:rFonts w:ascii="Verdana" w:hAnsi="Verdana"/>
        </w:rPr>
      </w:pPr>
    </w:p>
    <w:p w14:paraId="6AC0EC0B" w14:textId="77777777" w:rsidR="00526DB3" w:rsidRPr="007E2963" w:rsidRDefault="00526DB3" w:rsidP="00526DB3">
      <w:pPr>
        <w:spacing w:after="0" w:line="240" w:lineRule="auto"/>
        <w:ind w:left="709" w:right="709"/>
        <w:jc w:val="both"/>
        <w:rPr>
          <w:rFonts w:ascii="Verdana" w:hAnsi="Verdana"/>
          <w:sz w:val="20"/>
          <w:szCs w:val="20"/>
        </w:rPr>
      </w:pPr>
      <w:r w:rsidRPr="007E2963">
        <w:rPr>
          <w:rFonts w:ascii="Verdana" w:hAnsi="Verdana"/>
          <w:sz w:val="20"/>
          <w:szCs w:val="20"/>
        </w:rPr>
        <w:t>“(i) la protección de la mujer gestante o en periodo de lactancia se deriva de, entre otros, los artículos 43, 53 y 13 de la Constitución Nacional; (</w:t>
      </w:r>
      <w:proofErr w:type="spellStart"/>
      <w:r w:rsidRPr="007E2963">
        <w:rPr>
          <w:rFonts w:ascii="Verdana" w:hAnsi="Verdana"/>
          <w:sz w:val="20"/>
          <w:szCs w:val="20"/>
        </w:rPr>
        <w:t>ii</w:t>
      </w:r>
      <w:proofErr w:type="spellEnd"/>
      <w:r w:rsidRPr="007E2963">
        <w:rPr>
          <w:rFonts w:ascii="Verdana" w:hAnsi="Verdana"/>
          <w:sz w:val="20"/>
          <w:szCs w:val="20"/>
        </w:rPr>
        <w:t>) la Sentencia SU-070 de 2013 reiteró la protección a la mujer embarazada en todas las alternativas laborales o de trabajo en las que se incluye el contrato de prestación de servicios; (</w:t>
      </w:r>
      <w:proofErr w:type="spellStart"/>
      <w:r w:rsidRPr="007E2963">
        <w:rPr>
          <w:rFonts w:ascii="Verdana" w:hAnsi="Verdana"/>
          <w:sz w:val="20"/>
          <w:szCs w:val="20"/>
        </w:rPr>
        <w:t>iii</w:t>
      </w:r>
      <w:proofErr w:type="spellEnd"/>
      <w:r w:rsidRPr="007E2963">
        <w:rPr>
          <w:rFonts w:ascii="Verdana" w:hAnsi="Verdana"/>
          <w:sz w:val="20"/>
          <w:szCs w:val="20"/>
        </w:rPr>
        <w:t>)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w:t>
      </w:r>
      <w:proofErr w:type="spellStart"/>
      <w:r w:rsidRPr="007E2963">
        <w:rPr>
          <w:rFonts w:ascii="Verdana" w:hAnsi="Verdana"/>
          <w:sz w:val="20"/>
          <w:szCs w:val="20"/>
        </w:rPr>
        <w:t>iv</w:t>
      </w:r>
      <w:proofErr w:type="spellEnd"/>
      <w:r w:rsidRPr="007E2963">
        <w:rPr>
          <w:rFonts w:ascii="Verdana" w:hAnsi="Verdana"/>
          <w:sz w:val="20"/>
          <w:szCs w:val="20"/>
        </w:rPr>
        <w:t>) las salas de revisión de la Corte Constitucional reconocen la protección derivada del fuero de maternidad en los contratos de prestación de servicios”</w:t>
      </w:r>
      <w:r w:rsidRPr="007E2963">
        <w:rPr>
          <w:rStyle w:val="Refdenotaalpie"/>
          <w:rFonts w:ascii="Verdana" w:hAnsi="Verdana"/>
          <w:sz w:val="20"/>
          <w:szCs w:val="20"/>
        </w:rPr>
        <w:footnoteReference w:id="21"/>
      </w:r>
      <w:r w:rsidRPr="007E2963">
        <w:rPr>
          <w:rFonts w:ascii="Verdana" w:hAnsi="Verdana"/>
          <w:sz w:val="20"/>
          <w:szCs w:val="20"/>
        </w:rPr>
        <w:t xml:space="preserve">. </w:t>
      </w:r>
    </w:p>
    <w:p w14:paraId="062C5551" w14:textId="77777777" w:rsidR="00526DB3" w:rsidRPr="007E2963" w:rsidRDefault="00526DB3" w:rsidP="00526DB3">
      <w:pPr>
        <w:spacing w:after="0" w:line="276" w:lineRule="auto"/>
        <w:ind w:left="709" w:right="709"/>
        <w:jc w:val="both"/>
        <w:rPr>
          <w:rFonts w:ascii="Verdana" w:hAnsi="Verdana"/>
          <w:sz w:val="20"/>
          <w:szCs w:val="20"/>
        </w:rPr>
      </w:pPr>
    </w:p>
    <w:p w14:paraId="6DD1A671" w14:textId="77777777" w:rsidR="00526DB3" w:rsidRPr="007E2963" w:rsidRDefault="00526DB3" w:rsidP="00526DB3">
      <w:pPr>
        <w:spacing w:after="0" w:line="276" w:lineRule="auto"/>
        <w:ind w:firstLine="708"/>
        <w:jc w:val="both"/>
        <w:rPr>
          <w:rFonts w:ascii="Verdana" w:hAnsi="Verdana"/>
        </w:rPr>
      </w:pPr>
      <w:r w:rsidRPr="007E2963">
        <w:rPr>
          <w:rFonts w:ascii="Verdana" w:hAnsi="Verdana"/>
        </w:rPr>
        <w:t>En línea con lo anterior, y teniendo en cuenta el objeto de la consulta, en la cual indaga sobre la aplicación del fuero de maternidad en contratos de prestación de servicios, resulta relevante relacionar las reglas establecidas en la jurisprudencia constitucional para la protección de las mujeres vinculadas mediante este tipo contratos a quienes no se les renueva el vínculo o es terminado mientras se encuentran en estado de embarazo, en licencia de maternidad o en el periodo de lactancia:</w:t>
      </w:r>
    </w:p>
    <w:p w14:paraId="1EEB28BA" w14:textId="77777777" w:rsidR="00526DB3" w:rsidRPr="007E2963" w:rsidRDefault="00526DB3" w:rsidP="00526DB3">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526DB3" w:rsidRPr="007E2963" w14:paraId="4FCC44DD" w14:textId="77777777" w:rsidTr="00891A0F">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3E861BCC" w14:textId="77777777" w:rsidR="00526DB3" w:rsidRPr="007E2963" w:rsidRDefault="00526DB3" w:rsidP="00891A0F">
            <w:pPr>
              <w:ind w:left="438" w:right="428" w:firstLine="58"/>
              <w:jc w:val="center"/>
              <w:rPr>
                <w:rFonts w:ascii="Verdana" w:eastAsia="Calibri" w:hAnsi="Verdana" w:cs="Calibri"/>
                <w:b/>
                <w:sz w:val="20"/>
                <w:szCs w:val="20"/>
              </w:rPr>
            </w:pPr>
            <w:r w:rsidRPr="007E2963">
              <w:rPr>
                <w:rFonts w:ascii="Verdana" w:eastAsia="Calibri" w:hAnsi="Verdana" w:cs="Calibri"/>
                <w:b/>
                <w:sz w:val="20"/>
                <w:szCs w:val="20"/>
              </w:rPr>
              <w:t xml:space="preserve">Tipo de </w:t>
            </w:r>
            <w:proofErr w:type="spellStart"/>
            <w:r w:rsidRPr="007E2963">
              <w:rPr>
                <w:rFonts w:ascii="Verdana" w:eastAsia="Calibri" w:hAnsi="Verdana" w:cs="Calibri"/>
                <w:b/>
                <w:spacing w:val="-2"/>
                <w:sz w:val="20"/>
                <w:szCs w:val="20"/>
              </w:rPr>
              <w:t>relación</w:t>
            </w:r>
            <w:proofErr w:type="spellEnd"/>
            <w:r w:rsidRPr="007E2963">
              <w:rPr>
                <w:rFonts w:ascii="Verdana" w:eastAsia="Calibri" w:hAnsi="Verdana" w:cs="Calibri"/>
                <w:b/>
                <w:spacing w:val="-2"/>
                <w:sz w:val="20"/>
                <w:szCs w:val="20"/>
              </w:rPr>
              <w:t xml:space="preserve">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39E52BBD" w14:textId="77777777" w:rsidR="00526DB3" w:rsidRPr="007E2963" w:rsidRDefault="00526DB3" w:rsidP="00891A0F">
            <w:pPr>
              <w:ind w:left="119"/>
              <w:jc w:val="center"/>
              <w:rPr>
                <w:rFonts w:ascii="Verdana" w:eastAsia="Calibri" w:hAnsi="Verdana" w:cs="Calibri"/>
                <w:sz w:val="20"/>
                <w:szCs w:val="20"/>
              </w:rPr>
            </w:pPr>
          </w:p>
          <w:p w14:paraId="27CBC834" w14:textId="77777777" w:rsidR="00526DB3" w:rsidRPr="007E2963" w:rsidRDefault="00526DB3" w:rsidP="00891A0F">
            <w:pPr>
              <w:ind w:left="4"/>
              <w:jc w:val="center"/>
              <w:rPr>
                <w:rFonts w:ascii="Verdana" w:eastAsia="Calibri" w:hAnsi="Verdana" w:cs="Calibri"/>
                <w:b/>
                <w:sz w:val="20"/>
                <w:szCs w:val="20"/>
              </w:rPr>
            </w:pPr>
            <w:proofErr w:type="spellStart"/>
            <w:r w:rsidRPr="007E2963">
              <w:rPr>
                <w:rFonts w:ascii="Verdana" w:eastAsia="Calibri" w:hAnsi="Verdana" w:cs="Calibri"/>
                <w:b/>
                <w:sz w:val="20"/>
                <w:szCs w:val="20"/>
              </w:rPr>
              <w:t>Alcance</w:t>
            </w:r>
            <w:proofErr w:type="spellEnd"/>
            <w:r w:rsidRPr="007E2963">
              <w:rPr>
                <w:rFonts w:ascii="Verdana" w:eastAsia="Calibri" w:hAnsi="Verdana" w:cs="Calibri"/>
                <w:b/>
                <w:spacing w:val="-9"/>
                <w:sz w:val="20"/>
                <w:szCs w:val="20"/>
              </w:rPr>
              <w:t xml:space="preserve"> </w:t>
            </w:r>
            <w:r w:rsidRPr="007E2963">
              <w:rPr>
                <w:rFonts w:ascii="Verdana" w:eastAsia="Calibri" w:hAnsi="Verdana" w:cs="Calibri"/>
                <w:b/>
                <w:sz w:val="20"/>
                <w:szCs w:val="20"/>
              </w:rPr>
              <w:t>de</w:t>
            </w:r>
            <w:r w:rsidRPr="007E2963">
              <w:rPr>
                <w:rFonts w:ascii="Verdana" w:eastAsia="Calibri" w:hAnsi="Verdana" w:cs="Calibri"/>
                <w:b/>
                <w:spacing w:val="-8"/>
                <w:sz w:val="20"/>
                <w:szCs w:val="20"/>
              </w:rPr>
              <w:t xml:space="preserve"> </w:t>
            </w:r>
            <w:r w:rsidRPr="007E2963">
              <w:rPr>
                <w:rFonts w:ascii="Verdana" w:eastAsia="Calibri" w:hAnsi="Verdana" w:cs="Calibri"/>
                <w:b/>
                <w:sz w:val="20"/>
                <w:szCs w:val="20"/>
              </w:rPr>
              <w:t>la</w:t>
            </w:r>
            <w:r w:rsidRPr="007E2963">
              <w:rPr>
                <w:rFonts w:ascii="Verdana" w:eastAsia="Calibri" w:hAnsi="Verdana" w:cs="Calibri"/>
                <w:b/>
                <w:spacing w:val="-8"/>
                <w:sz w:val="20"/>
                <w:szCs w:val="20"/>
              </w:rPr>
              <w:t xml:space="preserve"> </w:t>
            </w:r>
            <w:proofErr w:type="spellStart"/>
            <w:r w:rsidRPr="007E2963">
              <w:rPr>
                <w:rFonts w:ascii="Verdana" w:eastAsia="Calibri" w:hAnsi="Verdana" w:cs="Calibri"/>
                <w:b/>
                <w:spacing w:val="-2"/>
                <w:sz w:val="20"/>
                <w:szCs w:val="20"/>
              </w:rPr>
              <w:t>protección</w:t>
            </w:r>
            <w:proofErr w:type="spellEnd"/>
          </w:p>
        </w:tc>
      </w:tr>
      <w:tr w:rsidR="00526DB3" w:rsidRPr="007E2963" w14:paraId="3DE5DAB2" w14:textId="77777777" w:rsidTr="00891A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6A7AA12F" w14:textId="77777777" w:rsidR="00526DB3" w:rsidRPr="007E2963" w:rsidRDefault="00526DB3" w:rsidP="00891A0F">
            <w:pPr>
              <w:ind w:left="89" w:right="80"/>
              <w:jc w:val="center"/>
              <w:rPr>
                <w:rFonts w:ascii="Verdana" w:eastAsia="Calibri" w:hAnsi="Verdana" w:cs="Calibri"/>
                <w:b/>
                <w:sz w:val="20"/>
                <w:szCs w:val="20"/>
                <w:lang w:val="es-CO"/>
              </w:rPr>
            </w:pPr>
          </w:p>
          <w:p w14:paraId="7D866C2D" w14:textId="77777777" w:rsidR="00526DB3" w:rsidRPr="007E2963" w:rsidRDefault="00526DB3" w:rsidP="00891A0F">
            <w:pPr>
              <w:ind w:left="89" w:right="80"/>
              <w:jc w:val="center"/>
              <w:rPr>
                <w:rFonts w:ascii="Verdana" w:eastAsia="Calibri" w:hAnsi="Verdana" w:cs="Calibri"/>
                <w:b/>
                <w:sz w:val="20"/>
                <w:szCs w:val="20"/>
                <w:lang w:val="es-CO"/>
              </w:rPr>
            </w:pPr>
            <w:r w:rsidRPr="007E2963">
              <w:rPr>
                <w:rFonts w:ascii="Verdana" w:eastAsia="Calibri" w:hAnsi="Verdana" w:cs="Calibri"/>
                <w:b/>
                <w:sz w:val="20"/>
                <w:szCs w:val="20"/>
                <w:lang w:val="es-CO"/>
              </w:rPr>
              <w:t>Se</w:t>
            </w:r>
            <w:r w:rsidRPr="007E2963">
              <w:rPr>
                <w:rFonts w:ascii="Verdana" w:eastAsia="Calibri" w:hAnsi="Verdana" w:cs="Calibri"/>
                <w:b/>
                <w:spacing w:val="-18"/>
                <w:sz w:val="20"/>
                <w:szCs w:val="20"/>
                <w:lang w:val="es-CO"/>
              </w:rPr>
              <w:t xml:space="preserve"> </w:t>
            </w:r>
            <w:r w:rsidRPr="007E2963">
              <w:rPr>
                <w:rFonts w:ascii="Verdana" w:eastAsia="Calibri" w:hAnsi="Verdana" w:cs="Calibri"/>
                <w:b/>
                <w:sz w:val="20"/>
                <w:szCs w:val="20"/>
                <w:lang w:val="es-CO"/>
              </w:rPr>
              <w:t xml:space="preserve">configura un contrato </w:t>
            </w:r>
            <w:r w:rsidRPr="007E2963">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28F0EDF7" w14:textId="77777777" w:rsidR="00526DB3" w:rsidRPr="007E2963" w:rsidRDefault="00526DB3" w:rsidP="00891A0F">
            <w:pPr>
              <w:ind w:left="108" w:right="95"/>
              <w:jc w:val="both"/>
              <w:rPr>
                <w:rFonts w:ascii="Verdana" w:eastAsia="Calibri" w:hAnsi="Verdana" w:cs="Calibri"/>
                <w:sz w:val="20"/>
                <w:szCs w:val="20"/>
                <w:lang w:val="es-CO"/>
              </w:rPr>
            </w:pPr>
            <w:r w:rsidRPr="007E2963">
              <w:rPr>
                <w:rFonts w:ascii="Verdana" w:eastAsia="Calibri" w:hAnsi="Verdana" w:cs="Calibri"/>
                <w:sz w:val="20"/>
                <w:szCs w:val="20"/>
                <w:lang w:val="es-CO"/>
              </w:rPr>
              <w:t xml:space="preserve">El juez de tutela deberá aplicar las reglas establecidas para el contrato laboral a término fijo, debido a que este contrato, por sus características de temporalidad, es el que mejor se asemeja al contrato de prestación de </w:t>
            </w:r>
            <w:r w:rsidRPr="007E2963">
              <w:rPr>
                <w:rFonts w:ascii="Verdana" w:eastAsia="Calibri" w:hAnsi="Verdana" w:cs="Calibri"/>
                <w:sz w:val="20"/>
                <w:szCs w:val="20"/>
                <w:lang w:val="es-CO"/>
              </w:rPr>
              <w:lastRenderedPageBreak/>
              <w:t>servicios</w:t>
            </w:r>
            <w:r w:rsidRPr="007E2963">
              <w:rPr>
                <w:rFonts w:ascii="Verdana" w:eastAsia="Calibri" w:hAnsi="Verdana" w:cs="Calibri"/>
                <w:sz w:val="20"/>
                <w:szCs w:val="20"/>
                <w:vertAlign w:val="superscript"/>
              </w:rPr>
              <w:footnoteReference w:id="22"/>
            </w:r>
            <w:r w:rsidRPr="007E2963">
              <w:rPr>
                <w:rFonts w:ascii="Verdana" w:eastAsia="Calibri" w:hAnsi="Verdana" w:cs="Calibri"/>
                <w:sz w:val="20"/>
                <w:szCs w:val="20"/>
                <w:lang w:val="es-CO"/>
              </w:rPr>
              <w:t>.</w:t>
            </w:r>
          </w:p>
        </w:tc>
      </w:tr>
      <w:tr w:rsidR="00526DB3" w:rsidRPr="007E2963" w14:paraId="72FA976D" w14:textId="77777777" w:rsidTr="00891A0F">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3603C0D2" w14:textId="77777777" w:rsidR="00526DB3" w:rsidRPr="007E2963" w:rsidRDefault="00526DB3" w:rsidP="00891A0F">
            <w:pPr>
              <w:ind w:left="119"/>
              <w:jc w:val="center"/>
              <w:rPr>
                <w:rFonts w:ascii="Verdana" w:eastAsia="Calibri" w:hAnsi="Verdana" w:cs="Calibri"/>
                <w:sz w:val="20"/>
                <w:szCs w:val="20"/>
                <w:lang w:val="es-CO"/>
              </w:rPr>
            </w:pPr>
          </w:p>
          <w:p w14:paraId="4909102E" w14:textId="77777777" w:rsidR="00526DB3" w:rsidRPr="007E2963" w:rsidRDefault="00526DB3" w:rsidP="00891A0F">
            <w:pPr>
              <w:ind w:left="119"/>
              <w:jc w:val="center"/>
              <w:rPr>
                <w:rFonts w:ascii="Verdana" w:eastAsia="Calibri" w:hAnsi="Verdana" w:cs="Calibri"/>
                <w:sz w:val="20"/>
                <w:szCs w:val="20"/>
                <w:lang w:val="es-CO"/>
              </w:rPr>
            </w:pPr>
          </w:p>
          <w:p w14:paraId="7BBE9105" w14:textId="77777777" w:rsidR="00526DB3" w:rsidRPr="007E2963" w:rsidRDefault="00526DB3" w:rsidP="00891A0F">
            <w:pPr>
              <w:rPr>
                <w:rFonts w:ascii="Verdana" w:eastAsia="Calibri" w:hAnsi="Verdana" w:cs="Calibri"/>
                <w:sz w:val="20"/>
                <w:szCs w:val="20"/>
                <w:lang w:val="es-CO"/>
              </w:rPr>
            </w:pPr>
          </w:p>
          <w:p w14:paraId="58CE64A0" w14:textId="77777777" w:rsidR="00526DB3" w:rsidRPr="007E2963" w:rsidRDefault="00526DB3" w:rsidP="00891A0F">
            <w:pPr>
              <w:ind w:left="198" w:right="189"/>
              <w:jc w:val="center"/>
              <w:rPr>
                <w:rFonts w:ascii="Verdana" w:eastAsia="Calibri" w:hAnsi="Verdana" w:cs="Calibri"/>
                <w:b/>
                <w:sz w:val="20"/>
                <w:szCs w:val="20"/>
                <w:lang w:val="es-CO"/>
              </w:rPr>
            </w:pPr>
            <w:r w:rsidRPr="007E2963">
              <w:rPr>
                <w:rFonts w:ascii="Verdana" w:eastAsia="Calibri" w:hAnsi="Verdana" w:cs="Calibri"/>
                <w:b/>
                <w:sz w:val="20"/>
                <w:szCs w:val="20"/>
                <w:lang w:val="es-CO"/>
              </w:rPr>
              <w:t>No se configura</w:t>
            </w:r>
            <w:r w:rsidRPr="007E2963">
              <w:rPr>
                <w:rFonts w:ascii="Verdana" w:eastAsia="Calibri" w:hAnsi="Verdana" w:cs="Calibri"/>
                <w:b/>
                <w:spacing w:val="-18"/>
                <w:sz w:val="20"/>
                <w:szCs w:val="20"/>
                <w:lang w:val="es-CO"/>
              </w:rPr>
              <w:t xml:space="preserve"> </w:t>
            </w:r>
            <w:r w:rsidRPr="007E2963">
              <w:rPr>
                <w:rFonts w:ascii="Verdana" w:eastAsia="Calibri" w:hAnsi="Verdana" w:cs="Calibri"/>
                <w:b/>
                <w:sz w:val="20"/>
                <w:szCs w:val="20"/>
                <w:lang w:val="es-CO"/>
              </w:rPr>
              <w:t xml:space="preserve">un </w:t>
            </w:r>
            <w:r w:rsidRPr="007E2963">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00F7390D" w14:textId="77777777" w:rsidR="00526DB3" w:rsidRPr="007E2963" w:rsidRDefault="00526DB3" w:rsidP="00891A0F">
            <w:pPr>
              <w:tabs>
                <w:tab w:val="left" w:pos="828"/>
              </w:tabs>
              <w:ind w:left="119" w:right="96"/>
              <w:jc w:val="both"/>
              <w:rPr>
                <w:rFonts w:ascii="Verdana" w:eastAsia="Calibri" w:hAnsi="Verdana" w:cs="Calibri"/>
                <w:sz w:val="20"/>
                <w:szCs w:val="20"/>
                <w:lang w:val="es-CO"/>
              </w:rPr>
            </w:pPr>
          </w:p>
          <w:p w14:paraId="275462EB" w14:textId="77777777" w:rsidR="00526DB3" w:rsidRPr="007E2963" w:rsidRDefault="00526DB3" w:rsidP="00891A0F">
            <w:pPr>
              <w:tabs>
                <w:tab w:val="left" w:pos="828"/>
              </w:tabs>
              <w:ind w:left="119" w:right="96"/>
              <w:jc w:val="both"/>
              <w:rPr>
                <w:rFonts w:ascii="Verdana" w:eastAsia="Calibri" w:hAnsi="Verdana" w:cs="Calibri"/>
                <w:spacing w:val="-2"/>
                <w:sz w:val="20"/>
                <w:szCs w:val="20"/>
                <w:lang w:val="es-CO"/>
              </w:rPr>
            </w:pPr>
            <w:r w:rsidRPr="007E2963">
              <w:rPr>
                <w:rFonts w:ascii="Verdana" w:eastAsia="Calibri" w:hAnsi="Verdana" w:cs="Calibri"/>
                <w:sz w:val="20"/>
                <w:szCs w:val="20"/>
                <w:lang w:val="es-CO"/>
              </w:rPr>
              <w:t>Si</w:t>
            </w:r>
            <w:r w:rsidRPr="007E2963">
              <w:rPr>
                <w:rFonts w:ascii="Verdana" w:eastAsia="Calibri" w:hAnsi="Verdana" w:cs="Calibri"/>
                <w:spacing w:val="-14"/>
                <w:sz w:val="20"/>
                <w:szCs w:val="20"/>
                <w:lang w:val="es-CO"/>
              </w:rPr>
              <w:t xml:space="preserve"> </w:t>
            </w:r>
            <w:r w:rsidRPr="007E2963">
              <w:rPr>
                <w:rFonts w:ascii="Verdana" w:eastAsia="Calibri" w:hAnsi="Verdana" w:cs="Calibri"/>
                <w:sz w:val="20"/>
                <w:szCs w:val="20"/>
                <w:lang w:val="es-CO"/>
              </w:rPr>
              <w:t>(i)</w:t>
            </w:r>
            <w:r w:rsidRPr="007E2963">
              <w:rPr>
                <w:rFonts w:ascii="Verdana" w:eastAsia="Calibri" w:hAnsi="Verdana" w:cs="Calibri"/>
                <w:spacing w:val="-14"/>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13"/>
                <w:sz w:val="20"/>
                <w:szCs w:val="20"/>
                <w:lang w:val="es-CO"/>
              </w:rPr>
              <w:t xml:space="preserve"> </w:t>
            </w:r>
            <w:r w:rsidRPr="007E2963">
              <w:rPr>
                <w:rFonts w:ascii="Verdana" w:eastAsia="Calibri" w:hAnsi="Verdana" w:cs="Calibri"/>
                <w:sz w:val="20"/>
                <w:szCs w:val="20"/>
                <w:lang w:val="es-CO"/>
              </w:rPr>
              <w:t>contratante</w:t>
            </w:r>
            <w:r w:rsidRPr="007E2963">
              <w:rPr>
                <w:rFonts w:ascii="Verdana" w:eastAsia="Calibri" w:hAnsi="Verdana" w:cs="Calibri"/>
                <w:spacing w:val="-11"/>
                <w:sz w:val="20"/>
                <w:szCs w:val="20"/>
                <w:lang w:val="es-CO"/>
              </w:rPr>
              <w:t xml:space="preserve"> </w:t>
            </w:r>
            <w:r w:rsidRPr="007E2963">
              <w:rPr>
                <w:rFonts w:ascii="Verdana" w:eastAsia="Calibri" w:hAnsi="Verdana" w:cs="Calibri"/>
                <w:sz w:val="20"/>
                <w:szCs w:val="20"/>
                <w:lang w:val="es-CO"/>
              </w:rPr>
              <w:t>conoce</w:t>
            </w:r>
            <w:r w:rsidRPr="007E2963">
              <w:rPr>
                <w:rFonts w:ascii="Verdana" w:eastAsia="Calibri" w:hAnsi="Verdana" w:cs="Calibri"/>
                <w:spacing w:val="-13"/>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14"/>
                <w:sz w:val="20"/>
                <w:szCs w:val="20"/>
                <w:lang w:val="es-CO"/>
              </w:rPr>
              <w:t xml:space="preserve"> </w:t>
            </w:r>
            <w:r w:rsidRPr="007E2963">
              <w:rPr>
                <w:rFonts w:ascii="Verdana" w:eastAsia="Calibri" w:hAnsi="Verdana" w:cs="Calibri"/>
                <w:sz w:val="20"/>
                <w:szCs w:val="20"/>
                <w:lang w:val="es-CO"/>
              </w:rPr>
              <w:t>estado</w:t>
            </w:r>
            <w:r w:rsidRPr="007E2963">
              <w:rPr>
                <w:rFonts w:ascii="Verdana" w:eastAsia="Calibri" w:hAnsi="Verdana" w:cs="Calibri"/>
                <w:spacing w:val="-12"/>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14"/>
                <w:sz w:val="20"/>
                <w:szCs w:val="20"/>
                <w:lang w:val="es-CO"/>
              </w:rPr>
              <w:t xml:space="preserve"> </w:t>
            </w:r>
            <w:r w:rsidRPr="007E2963">
              <w:rPr>
                <w:rFonts w:ascii="Verdana" w:eastAsia="Calibri" w:hAnsi="Verdana" w:cs="Calibri"/>
                <w:sz w:val="20"/>
                <w:szCs w:val="20"/>
                <w:lang w:val="es-CO"/>
              </w:rPr>
              <w:t>embarazo</w:t>
            </w:r>
            <w:r w:rsidRPr="007E2963">
              <w:rPr>
                <w:rFonts w:ascii="Verdana" w:eastAsia="Calibri" w:hAnsi="Verdana" w:cs="Calibri"/>
                <w:spacing w:val="-12"/>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13"/>
                <w:sz w:val="20"/>
                <w:szCs w:val="20"/>
                <w:lang w:val="es-CO"/>
              </w:rPr>
              <w:t xml:space="preserve"> </w:t>
            </w:r>
            <w:r w:rsidRPr="007E2963">
              <w:rPr>
                <w:rFonts w:ascii="Verdana" w:eastAsia="Calibri" w:hAnsi="Verdana" w:cs="Calibri"/>
                <w:sz w:val="20"/>
                <w:szCs w:val="20"/>
                <w:lang w:val="es-CO"/>
              </w:rPr>
              <w:t>la</w:t>
            </w:r>
            <w:r w:rsidRPr="007E2963">
              <w:rPr>
                <w:rFonts w:ascii="Verdana" w:eastAsia="Calibri" w:hAnsi="Verdana" w:cs="Calibri"/>
                <w:spacing w:val="-14"/>
                <w:sz w:val="20"/>
                <w:szCs w:val="20"/>
                <w:lang w:val="es-CO"/>
              </w:rPr>
              <w:t xml:space="preserve"> </w:t>
            </w:r>
            <w:r w:rsidRPr="007E2963">
              <w:rPr>
                <w:rFonts w:ascii="Verdana" w:eastAsia="Calibri" w:hAnsi="Verdana" w:cs="Calibri"/>
                <w:spacing w:val="-2"/>
                <w:sz w:val="20"/>
                <w:szCs w:val="20"/>
                <w:lang w:val="es-CO"/>
              </w:rPr>
              <w:t>contratista,</w:t>
            </w:r>
            <w:r w:rsidRPr="007E2963">
              <w:rPr>
                <w:rFonts w:ascii="Verdana" w:eastAsia="Calibri" w:hAnsi="Verdana" w:cs="Calibri"/>
                <w:sz w:val="20"/>
                <w:szCs w:val="20"/>
                <w:lang w:val="es-CO"/>
              </w:rPr>
              <w:t xml:space="preserve"> (</w:t>
            </w:r>
            <w:proofErr w:type="spellStart"/>
            <w:r w:rsidRPr="007E2963">
              <w:rPr>
                <w:rFonts w:ascii="Verdana" w:eastAsia="Calibri" w:hAnsi="Verdana" w:cs="Calibri"/>
                <w:sz w:val="20"/>
                <w:szCs w:val="20"/>
                <w:lang w:val="es-CO"/>
              </w:rPr>
              <w:t>ii</w:t>
            </w:r>
            <w:proofErr w:type="spellEnd"/>
            <w:r w:rsidRPr="007E2963">
              <w:rPr>
                <w:rFonts w:ascii="Verdana" w:eastAsia="Calibri" w:hAnsi="Verdana" w:cs="Calibri"/>
                <w:sz w:val="20"/>
                <w:szCs w:val="20"/>
                <w:lang w:val="es-CO"/>
              </w:rPr>
              <w:t xml:space="preserve">) subsiste la causa del contrato, el juez deberá </w:t>
            </w:r>
            <w:r w:rsidRPr="007E2963">
              <w:rPr>
                <w:rFonts w:ascii="Verdana" w:eastAsia="Calibri" w:hAnsi="Verdana" w:cs="Calibri"/>
                <w:spacing w:val="-2"/>
                <w:sz w:val="20"/>
                <w:szCs w:val="20"/>
                <w:lang w:val="es-CO"/>
              </w:rPr>
              <w:t>ordenar:</w:t>
            </w:r>
          </w:p>
          <w:p w14:paraId="6B6397E1" w14:textId="77777777" w:rsidR="00526DB3" w:rsidRPr="007E2963" w:rsidRDefault="00526DB3" w:rsidP="00891A0F">
            <w:pPr>
              <w:tabs>
                <w:tab w:val="left" w:pos="828"/>
              </w:tabs>
              <w:ind w:left="119" w:right="96"/>
              <w:jc w:val="both"/>
              <w:rPr>
                <w:rFonts w:ascii="Verdana" w:eastAsia="Calibri" w:hAnsi="Verdana" w:cs="Calibri"/>
                <w:spacing w:val="-2"/>
                <w:sz w:val="20"/>
                <w:szCs w:val="20"/>
                <w:lang w:val="es-CO"/>
              </w:rPr>
            </w:pPr>
          </w:p>
          <w:p w14:paraId="66C67528" w14:textId="77777777" w:rsidR="00526DB3" w:rsidRPr="007E2963" w:rsidRDefault="00526DB3" w:rsidP="00526DB3">
            <w:pPr>
              <w:numPr>
                <w:ilvl w:val="0"/>
                <w:numId w:val="18"/>
              </w:numPr>
              <w:tabs>
                <w:tab w:val="left" w:pos="828"/>
              </w:tabs>
              <w:ind w:right="96"/>
              <w:jc w:val="both"/>
              <w:rPr>
                <w:rFonts w:ascii="Verdana" w:eastAsia="Calibri" w:hAnsi="Verdana" w:cs="Calibri"/>
                <w:sz w:val="20"/>
                <w:szCs w:val="20"/>
                <w:lang w:val="es-CO"/>
              </w:rPr>
            </w:pPr>
            <w:r w:rsidRPr="007E2963">
              <w:rPr>
                <w:rFonts w:ascii="Verdana" w:eastAsia="Calibri" w:hAnsi="Verdana" w:cs="Calibri"/>
                <w:sz w:val="20"/>
                <w:szCs w:val="20"/>
                <w:lang w:val="es-CO"/>
              </w:rPr>
              <w:t>La</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renovación</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17"/>
                <w:sz w:val="20"/>
                <w:szCs w:val="20"/>
                <w:lang w:val="es-CO"/>
              </w:rPr>
              <w:t xml:space="preserve"> </w:t>
            </w:r>
            <w:r w:rsidRPr="007E2963">
              <w:rPr>
                <w:rFonts w:ascii="Verdana" w:eastAsia="Calibri" w:hAnsi="Verdana" w:cs="Calibri"/>
                <w:sz w:val="20"/>
                <w:szCs w:val="20"/>
                <w:lang w:val="es-CO"/>
              </w:rPr>
              <w:t>la</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relación</w:t>
            </w:r>
            <w:r w:rsidRPr="007E2963">
              <w:rPr>
                <w:rFonts w:ascii="Verdana" w:eastAsia="Calibri" w:hAnsi="Verdana" w:cs="Calibri"/>
                <w:spacing w:val="-17"/>
                <w:sz w:val="20"/>
                <w:szCs w:val="20"/>
                <w:lang w:val="es-CO"/>
              </w:rPr>
              <w:t xml:space="preserve"> </w:t>
            </w:r>
            <w:r w:rsidRPr="007E2963">
              <w:rPr>
                <w:rFonts w:ascii="Verdana" w:eastAsia="Calibri" w:hAnsi="Verdana" w:cs="Calibri"/>
                <w:sz w:val="20"/>
                <w:szCs w:val="20"/>
                <w:lang w:val="es-CO"/>
              </w:rPr>
              <w:t>contractual,</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la</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cual</w:t>
            </w:r>
            <w:r w:rsidRPr="007E2963">
              <w:rPr>
                <w:rFonts w:ascii="Verdana" w:eastAsia="Calibri" w:hAnsi="Verdana" w:cs="Calibri"/>
                <w:spacing w:val="-17"/>
                <w:sz w:val="20"/>
                <w:szCs w:val="20"/>
                <w:lang w:val="es-CO"/>
              </w:rPr>
              <w:t xml:space="preserve"> </w:t>
            </w:r>
            <w:r w:rsidRPr="007E2963">
              <w:rPr>
                <w:rFonts w:ascii="Verdana" w:eastAsia="Calibri" w:hAnsi="Verdana" w:cs="Calibri"/>
                <w:sz w:val="20"/>
                <w:szCs w:val="20"/>
                <w:lang w:val="es-CO"/>
              </w:rPr>
              <w:t>se</w:t>
            </w:r>
            <w:r w:rsidRPr="007E2963">
              <w:rPr>
                <w:rFonts w:ascii="Verdana" w:eastAsia="Calibri" w:hAnsi="Verdana" w:cs="Calibri"/>
                <w:spacing w:val="-18"/>
                <w:sz w:val="20"/>
                <w:szCs w:val="20"/>
                <w:lang w:val="es-CO"/>
              </w:rPr>
              <w:t xml:space="preserve"> </w:t>
            </w:r>
            <w:r w:rsidRPr="007E2963">
              <w:rPr>
                <w:rFonts w:ascii="Verdana" w:eastAsia="Calibri" w:hAnsi="Verdana" w:cs="Calibri"/>
                <w:sz w:val="20"/>
                <w:szCs w:val="20"/>
                <w:lang w:val="es-CO"/>
              </w:rPr>
              <w:t>dará</w:t>
            </w:r>
            <w:r w:rsidRPr="007E2963">
              <w:rPr>
                <w:rFonts w:ascii="Verdana" w:eastAsia="Calibri" w:hAnsi="Verdana" w:cs="Calibri"/>
                <w:spacing w:val="-17"/>
                <w:sz w:val="20"/>
                <w:szCs w:val="20"/>
                <w:lang w:val="es-CO"/>
              </w:rPr>
              <w:t xml:space="preserve"> </w:t>
            </w:r>
            <w:r w:rsidRPr="007E2963">
              <w:rPr>
                <w:rFonts w:ascii="Verdana" w:eastAsia="Calibri" w:hAnsi="Verdana" w:cs="Calibri"/>
                <w:sz w:val="20"/>
                <w:szCs w:val="20"/>
                <w:lang w:val="es-CO"/>
              </w:rPr>
              <w:t>hasta por el término del periodo de lactancia.</w:t>
            </w:r>
          </w:p>
          <w:p w14:paraId="66895CAA" w14:textId="77777777" w:rsidR="00526DB3" w:rsidRPr="007E2963" w:rsidRDefault="00526DB3" w:rsidP="00526DB3">
            <w:pPr>
              <w:numPr>
                <w:ilvl w:val="0"/>
                <w:numId w:val="18"/>
              </w:numPr>
              <w:tabs>
                <w:tab w:val="left" w:pos="828"/>
              </w:tabs>
              <w:ind w:right="96"/>
              <w:jc w:val="both"/>
              <w:rPr>
                <w:rFonts w:ascii="Verdana" w:eastAsia="Calibri" w:hAnsi="Verdana" w:cs="Calibri"/>
                <w:sz w:val="20"/>
                <w:szCs w:val="20"/>
                <w:lang w:val="es-CO"/>
              </w:rPr>
            </w:pPr>
            <w:r w:rsidRPr="007E2963">
              <w:rPr>
                <w:rFonts w:ascii="Verdana" w:eastAsia="Calibri" w:hAnsi="Verdana" w:cs="Calibri"/>
                <w:sz w:val="20"/>
                <w:szCs w:val="20"/>
                <w:lang w:val="es-CO"/>
              </w:rPr>
              <w:t>El</w:t>
            </w:r>
            <w:r w:rsidRPr="007E2963">
              <w:rPr>
                <w:rFonts w:ascii="Verdana" w:eastAsia="Calibri" w:hAnsi="Verdana" w:cs="Calibri"/>
                <w:spacing w:val="-1"/>
                <w:sz w:val="20"/>
                <w:szCs w:val="20"/>
                <w:lang w:val="es-CO"/>
              </w:rPr>
              <w:t xml:space="preserve"> </w:t>
            </w:r>
            <w:r w:rsidRPr="007E2963">
              <w:rPr>
                <w:rFonts w:ascii="Verdana" w:eastAsia="Calibri" w:hAnsi="Verdana" w:cs="Calibri"/>
                <w:sz w:val="20"/>
                <w:szCs w:val="20"/>
                <w:lang w:val="es-CO"/>
              </w:rPr>
              <w:t>pago de</w:t>
            </w:r>
            <w:r w:rsidRPr="007E2963">
              <w:rPr>
                <w:rFonts w:ascii="Verdana" w:eastAsia="Calibri" w:hAnsi="Verdana" w:cs="Calibri"/>
                <w:spacing w:val="-1"/>
                <w:sz w:val="20"/>
                <w:szCs w:val="20"/>
                <w:lang w:val="es-CO"/>
              </w:rPr>
              <w:t xml:space="preserve"> </w:t>
            </w:r>
            <w:r w:rsidRPr="007E2963">
              <w:rPr>
                <w:rFonts w:ascii="Verdana" w:eastAsia="Calibri" w:hAnsi="Verdana" w:cs="Calibri"/>
                <w:sz w:val="20"/>
                <w:szCs w:val="20"/>
                <w:lang w:val="es-CO"/>
              </w:rPr>
              <w:t>los</w:t>
            </w:r>
            <w:r w:rsidRPr="007E2963">
              <w:rPr>
                <w:rFonts w:ascii="Verdana" w:eastAsia="Calibri" w:hAnsi="Verdana" w:cs="Calibri"/>
                <w:spacing w:val="-1"/>
                <w:sz w:val="20"/>
                <w:szCs w:val="20"/>
                <w:lang w:val="es-CO"/>
              </w:rPr>
              <w:t xml:space="preserve"> </w:t>
            </w:r>
            <w:r w:rsidRPr="007E2963">
              <w:rPr>
                <w:rFonts w:ascii="Verdana" w:eastAsia="Calibri" w:hAnsi="Verdana" w:cs="Calibri"/>
                <w:sz w:val="20"/>
                <w:szCs w:val="20"/>
                <w:lang w:val="es-CO"/>
              </w:rPr>
              <w:t>honorarios dejados de</w:t>
            </w:r>
            <w:r w:rsidRPr="007E2963">
              <w:rPr>
                <w:rFonts w:ascii="Verdana" w:eastAsia="Calibri" w:hAnsi="Verdana" w:cs="Calibri"/>
                <w:spacing w:val="-1"/>
                <w:sz w:val="20"/>
                <w:szCs w:val="20"/>
                <w:lang w:val="es-CO"/>
              </w:rPr>
              <w:t xml:space="preserve"> </w:t>
            </w:r>
            <w:r w:rsidRPr="007E2963">
              <w:rPr>
                <w:rFonts w:ascii="Verdana" w:eastAsia="Calibri" w:hAnsi="Verdana" w:cs="Calibri"/>
                <w:sz w:val="20"/>
                <w:szCs w:val="20"/>
                <w:lang w:val="es-CO"/>
              </w:rPr>
              <w:t>percibir desde la</w:t>
            </w:r>
            <w:r w:rsidRPr="007E2963">
              <w:rPr>
                <w:rFonts w:ascii="Verdana" w:eastAsia="Calibri" w:hAnsi="Verdana" w:cs="Calibri"/>
                <w:spacing w:val="-1"/>
                <w:sz w:val="20"/>
                <w:szCs w:val="20"/>
                <w:lang w:val="es-CO"/>
              </w:rPr>
              <w:t xml:space="preserve"> </w:t>
            </w:r>
            <w:r w:rsidRPr="007E2963">
              <w:rPr>
                <w:rFonts w:ascii="Verdana" w:eastAsia="Calibri" w:hAnsi="Verdana" w:cs="Calibri"/>
                <w:sz w:val="20"/>
                <w:szCs w:val="20"/>
                <w:lang w:val="es-CO"/>
              </w:rPr>
              <w:t xml:space="preserve">fecha de no renovación del contrato, hasta la renovación </w:t>
            </w:r>
            <w:proofErr w:type="gramStart"/>
            <w:r w:rsidRPr="007E2963">
              <w:rPr>
                <w:rFonts w:ascii="Verdana" w:eastAsia="Calibri" w:hAnsi="Verdana" w:cs="Calibri"/>
                <w:sz w:val="20"/>
                <w:szCs w:val="20"/>
                <w:lang w:val="es-CO"/>
              </w:rPr>
              <w:t xml:space="preserve">del </w:t>
            </w:r>
            <w:r w:rsidRPr="007E2963">
              <w:rPr>
                <w:rFonts w:ascii="Verdana" w:eastAsia="Calibri" w:hAnsi="Verdana" w:cs="Calibri"/>
                <w:spacing w:val="-2"/>
                <w:sz w:val="20"/>
                <w:szCs w:val="20"/>
                <w:lang w:val="es-CO"/>
              </w:rPr>
              <w:t>mismo</w:t>
            </w:r>
            <w:proofErr w:type="gramEnd"/>
            <w:r w:rsidRPr="007E2963">
              <w:rPr>
                <w:rFonts w:ascii="Verdana" w:eastAsia="Calibri" w:hAnsi="Verdana" w:cs="Calibri"/>
                <w:spacing w:val="-2"/>
                <w:sz w:val="20"/>
                <w:szCs w:val="20"/>
                <w:lang w:val="es-CO"/>
              </w:rPr>
              <w:t>;</w:t>
            </w:r>
          </w:p>
          <w:p w14:paraId="3EB4DD7E" w14:textId="77777777" w:rsidR="00526DB3" w:rsidRPr="007E2963" w:rsidRDefault="00526DB3" w:rsidP="00526DB3">
            <w:pPr>
              <w:numPr>
                <w:ilvl w:val="0"/>
                <w:numId w:val="18"/>
              </w:numPr>
              <w:tabs>
                <w:tab w:val="left" w:pos="826"/>
                <w:tab w:val="left" w:pos="828"/>
              </w:tabs>
              <w:ind w:right="97"/>
              <w:jc w:val="both"/>
              <w:rPr>
                <w:rFonts w:ascii="Verdana" w:eastAsia="Calibri" w:hAnsi="Verdana" w:cs="Calibri"/>
                <w:sz w:val="20"/>
                <w:szCs w:val="20"/>
                <w:lang w:val="es-CO"/>
              </w:rPr>
            </w:pPr>
            <w:r w:rsidRPr="007E2963">
              <w:rPr>
                <w:rFonts w:ascii="Verdana" w:eastAsia="Calibri" w:hAnsi="Verdana" w:cs="Calibri"/>
                <w:sz w:val="20"/>
                <w:szCs w:val="20"/>
                <w:lang w:val="es-CO"/>
              </w:rPr>
              <w:t>El pago por concepto de la indemnización por despido discriminatorio</w:t>
            </w:r>
            <w:r w:rsidRPr="007E2963">
              <w:rPr>
                <w:rFonts w:ascii="Verdana" w:eastAsia="Calibri" w:hAnsi="Verdana" w:cs="Calibri"/>
                <w:sz w:val="20"/>
                <w:szCs w:val="20"/>
                <w:vertAlign w:val="superscript"/>
              </w:rPr>
              <w:footnoteReference w:id="23"/>
            </w:r>
            <w:r w:rsidRPr="007E2963">
              <w:rPr>
                <w:rFonts w:ascii="Verdana" w:eastAsia="Calibri" w:hAnsi="Verdana" w:cs="Calibri"/>
                <w:sz w:val="20"/>
                <w:szCs w:val="20"/>
                <w:lang w:val="es-CO"/>
              </w:rPr>
              <w:t>; y</w:t>
            </w:r>
          </w:p>
          <w:p w14:paraId="3BA20EA7" w14:textId="77777777" w:rsidR="00526DB3" w:rsidRPr="007E2963" w:rsidRDefault="00526DB3" w:rsidP="00526DB3">
            <w:pPr>
              <w:numPr>
                <w:ilvl w:val="0"/>
                <w:numId w:val="18"/>
              </w:numPr>
              <w:tabs>
                <w:tab w:val="left" w:pos="826"/>
                <w:tab w:val="left" w:pos="828"/>
              </w:tabs>
              <w:ind w:right="95"/>
              <w:jc w:val="both"/>
              <w:rPr>
                <w:rFonts w:ascii="Verdana" w:eastAsia="Calibri" w:hAnsi="Verdana" w:cs="Calibri"/>
                <w:sz w:val="20"/>
                <w:szCs w:val="20"/>
                <w:lang w:val="es-CO"/>
              </w:rPr>
            </w:pPr>
            <w:r w:rsidRPr="007E2963">
              <w:rPr>
                <w:rFonts w:ascii="Verdana" w:eastAsia="Calibri" w:hAnsi="Verdana" w:cs="Calibri"/>
                <w:sz w:val="20"/>
                <w:szCs w:val="20"/>
                <w:lang w:val="es-CO"/>
              </w:rPr>
              <w:t>El pago de la licencia de maternidad. Este pago no se realizará</w:t>
            </w:r>
            <w:r w:rsidRPr="007E2963">
              <w:rPr>
                <w:rFonts w:ascii="Verdana" w:eastAsia="Calibri" w:hAnsi="Verdana" w:cs="Calibri"/>
                <w:spacing w:val="-7"/>
                <w:sz w:val="20"/>
                <w:szCs w:val="20"/>
                <w:lang w:val="es-CO"/>
              </w:rPr>
              <w:t xml:space="preserve"> </w:t>
            </w:r>
            <w:r w:rsidRPr="007E2963">
              <w:rPr>
                <w:rFonts w:ascii="Verdana" w:eastAsia="Calibri" w:hAnsi="Verdana" w:cs="Calibri"/>
                <w:sz w:val="20"/>
                <w:szCs w:val="20"/>
                <w:lang w:val="es-CO"/>
              </w:rPr>
              <w:t>si</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en</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caso</w:t>
            </w:r>
            <w:r w:rsidRPr="007E2963">
              <w:rPr>
                <w:rFonts w:ascii="Verdana" w:eastAsia="Calibri" w:hAnsi="Verdana" w:cs="Calibri"/>
                <w:spacing w:val="-8"/>
                <w:sz w:val="20"/>
                <w:szCs w:val="20"/>
                <w:lang w:val="es-CO"/>
              </w:rPr>
              <w:t xml:space="preserve"> </w:t>
            </w:r>
            <w:r w:rsidRPr="007E2963">
              <w:rPr>
                <w:rFonts w:ascii="Verdana" w:eastAsia="Calibri" w:hAnsi="Verdana" w:cs="Calibri"/>
                <w:sz w:val="20"/>
                <w:szCs w:val="20"/>
                <w:lang w:val="es-CO"/>
              </w:rPr>
              <w:t>se</w:t>
            </w:r>
            <w:r w:rsidRPr="007E2963">
              <w:rPr>
                <w:rFonts w:ascii="Verdana" w:eastAsia="Calibri" w:hAnsi="Verdana" w:cs="Calibri"/>
                <w:spacing w:val="-8"/>
                <w:sz w:val="20"/>
                <w:szCs w:val="20"/>
                <w:lang w:val="es-CO"/>
              </w:rPr>
              <w:t xml:space="preserve"> </w:t>
            </w:r>
            <w:r w:rsidRPr="007E2963">
              <w:rPr>
                <w:rFonts w:ascii="Verdana" w:eastAsia="Calibri" w:hAnsi="Verdana" w:cs="Calibri"/>
                <w:sz w:val="20"/>
                <w:szCs w:val="20"/>
                <w:lang w:val="es-CO"/>
              </w:rPr>
              <w:t>acredita</w:t>
            </w:r>
            <w:r w:rsidRPr="007E2963">
              <w:rPr>
                <w:rFonts w:ascii="Verdana" w:eastAsia="Calibri" w:hAnsi="Verdana" w:cs="Calibri"/>
                <w:spacing w:val="-7"/>
                <w:sz w:val="20"/>
                <w:szCs w:val="20"/>
                <w:lang w:val="es-CO"/>
              </w:rPr>
              <w:t xml:space="preserve"> </w:t>
            </w:r>
            <w:r w:rsidRPr="007E2963">
              <w:rPr>
                <w:rFonts w:ascii="Verdana" w:eastAsia="Calibri" w:hAnsi="Verdana" w:cs="Calibri"/>
                <w:sz w:val="20"/>
                <w:szCs w:val="20"/>
                <w:lang w:val="es-CO"/>
              </w:rPr>
              <w:t>que</w:t>
            </w:r>
            <w:r w:rsidRPr="007E2963">
              <w:rPr>
                <w:rFonts w:ascii="Verdana" w:eastAsia="Calibri" w:hAnsi="Verdana" w:cs="Calibri"/>
                <w:spacing w:val="-8"/>
                <w:sz w:val="20"/>
                <w:szCs w:val="20"/>
                <w:lang w:val="es-CO"/>
              </w:rPr>
              <w:t xml:space="preserve"> </w:t>
            </w:r>
            <w:r w:rsidRPr="007E2963">
              <w:rPr>
                <w:rFonts w:ascii="Verdana" w:eastAsia="Calibri" w:hAnsi="Verdana" w:cs="Calibri"/>
                <w:sz w:val="20"/>
                <w:szCs w:val="20"/>
                <w:lang w:val="es-CO"/>
              </w:rPr>
              <w:t>la</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madre</w:t>
            </w:r>
            <w:r w:rsidRPr="007E2963">
              <w:rPr>
                <w:rFonts w:ascii="Verdana" w:eastAsia="Calibri" w:hAnsi="Verdana" w:cs="Calibri"/>
                <w:spacing w:val="-8"/>
                <w:sz w:val="20"/>
                <w:szCs w:val="20"/>
                <w:lang w:val="es-CO"/>
              </w:rPr>
              <w:t xml:space="preserve"> </w:t>
            </w:r>
            <w:r w:rsidRPr="007E2963">
              <w:rPr>
                <w:rFonts w:ascii="Verdana" w:eastAsia="Calibri" w:hAnsi="Verdana" w:cs="Calibri"/>
                <w:sz w:val="20"/>
                <w:szCs w:val="20"/>
                <w:lang w:val="es-CO"/>
              </w:rPr>
              <w:t>disfrutó</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la licencia de maternidad</w:t>
            </w:r>
            <w:r w:rsidRPr="007E2963">
              <w:rPr>
                <w:rFonts w:ascii="Verdana" w:eastAsia="Calibri" w:hAnsi="Verdana" w:cs="Calibri"/>
                <w:sz w:val="20"/>
                <w:szCs w:val="20"/>
                <w:vertAlign w:val="superscript"/>
              </w:rPr>
              <w:footnoteReference w:id="24"/>
            </w:r>
            <w:r w:rsidRPr="007E2963">
              <w:rPr>
                <w:rFonts w:ascii="Verdana" w:eastAsia="Calibri" w:hAnsi="Verdana" w:cs="Calibri"/>
                <w:sz w:val="20"/>
                <w:szCs w:val="20"/>
                <w:lang w:val="es-CO"/>
              </w:rPr>
              <w:t>.</w:t>
            </w:r>
          </w:p>
          <w:p w14:paraId="5318FB60" w14:textId="77777777" w:rsidR="00526DB3" w:rsidRPr="007E2963" w:rsidRDefault="00526DB3" w:rsidP="00526DB3">
            <w:pPr>
              <w:numPr>
                <w:ilvl w:val="0"/>
                <w:numId w:val="18"/>
              </w:numPr>
              <w:tabs>
                <w:tab w:val="left" w:pos="828"/>
              </w:tabs>
              <w:ind w:right="95"/>
              <w:jc w:val="both"/>
              <w:rPr>
                <w:rFonts w:ascii="Verdana" w:eastAsia="Calibri" w:hAnsi="Verdana" w:cs="Calibri"/>
                <w:sz w:val="20"/>
                <w:szCs w:val="20"/>
                <w:lang w:val="es-CO"/>
              </w:rPr>
            </w:pPr>
            <w:r w:rsidRPr="007E2963">
              <w:rPr>
                <w:rFonts w:ascii="Verdana" w:eastAsia="Calibri" w:hAnsi="Verdana" w:cs="Calibri"/>
                <w:sz w:val="20"/>
                <w:szCs w:val="20"/>
                <w:lang w:val="es-CO"/>
              </w:rPr>
              <w:t>En</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evento</w:t>
            </w:r>
            <w:r w:rsidRPr="007E2963">
              <w:rPr>
                <w:rFonts w:ascii="Verdana" w:eastAsia="Calibri" w:hAnsi="Verdana" w:cs="Calibri"/>
                <w:spacing w:val="-5"/>
                <w:sz w:val="20"/>
                <w:szCs w:val="20"/>
                <w:lang w:val="es-CO"/>
              </w:rPr>
              <w:t xml:space="preserve"> </w:t>
            </w:r>
            <w:r w:rsidRPr="007E2963">
              <w:rPr>
                <w:rFonts w:ascii="Verdana" w:eastAsia="Calibri" w:hAnsi="Verdana" w:cs="Calibri"/>
                <w:sz w:val="20"/>
                <w:szCs w:val="20"/>
                <w:lang w:val="es-CO"/>
              </w:rPr>
              <w:t>en</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que</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término</w:t>
            </w:r>
            <w:r w:rsidRPr="007E2963">
              <w:rPr>
                <w:rFonts w:ascii="Verdana" w:eastAsia="Calibri" w:hAnsi="Verdana" w:cs="Calibri"/>
                <w:spacing w:val="-5"/>
                <w:sz w:val="20"/>
                <w:szCs w:val="20"/>
                <w:lang w:val="es-CO"/>
              </w:rPr>
              <w:t xml:space="preserve"> </w:t>
            </w:r>
            <w:r w:rsidRPr="007E2963">
              <w:rPr>
                <w:rFonts w:ascii="Verdana" w:eastAsia="Calibri" w:hAnsi="Verdana" w:cs="Calibri"/>
                <w:sz w:val="20"/>
                <w:szCs w:val="20"/>
                <w:lang w:val="es-CO"/>
              </w:rPr>
              <w:t>del</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periodo</w:t>
            </w:r>
            <w:r w:rsidRPr="007E2963">
              <w:rPr>
                <w:rFonts w:ascii="Verdana" w:eastAsia="Calibri" w:hAnsi="Verdana" w:cs="Calibri"/>
                <w:spacing w:val="-5"/>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6"/>
                <w:sz w:val="20"/>
                <w:szCs w:val="20"/>
                <w:lang w:val="es-CO"/>
              </w:rPr>
              <w:t xml:space="preserve"> </w:t>
            </w:r>
            <w:r w:rsidRPr="007E2963">
              <w:rPr>
                <w:rFonts w:ascii="Verdana" w:eastAsia="Calibri" w:hAnsi="Verdana" w:cs="Calibri"/>
                <w:sz w:val="20"/>
                <w:szCs w:val="20"/>
                <w:lang w:val="es-CO"/>
              </w:rPr>
              <w:t>lactancia</w:t>
            </w:r>
            <w:r w:rsidRPr="007E2963">
              <w:rPr>
                <w:rFonts w:ascii="Verdana" w:eastAsia="Calibri" w:hAnsi="Verdana" w:cs="Calibri"/>
                <w:spacing w:val="-5"/>
                <w:sz w:val="20"/>
                <w:szCs w:val="20"/>
                <w:lang w:val="es-CO"/>
              </w:rPr>
              <w:t xml:space="preserve"> </w:t>
            </w:r>
            <w:r w:rsidRPr="007E2963">
              <w:rPr>
                <w:rFonts w:ascii="Verdana" w:eastAsia="Calibri" w:hAnsi="Verdana" w:cs="Calibri"/>
                <w:sz w:val="20"/>
                <w:szCs w:val="20"/>
                <w:lang w:val="es-CO"/>
              </w:rPr>
              <w:t>ya haya terminado, procederá el reconocimiento de los honorarios dejados de percibir hasta la terminación de periodo de lactancia</w:t>
            </w:r>
            <w:r w:rsidRPr="007E2963">
              <w:rPr>
                <w:rFonts w:ascii="Verdana" w:eastAsia="Calibri" w:hAnsi="Verdana" w:cs="Calibri"/>
                <w:sz w:val="20"/>
                <w:szCs w:val="20"/>
                <w:vertAlign w:val="superscript"/>
              </w:rPr>
              <w:footnoteReference w:id="25"/>
            </w:r>
            <w:r w:rsidRPr="007E2963">
              <w:rPr>
                <w:rFonts w:ascii="Verdana" w:eastAsia="Calibri" w:hAnsi="Verdana" w:cs="Calibri"/>
                <w:sz w:val="20"/>
                <w:szCs w:val="20"/>
                <w:lang w:val="es-CO"/>
              </w:rPr>
              <w:t xml:space="preserve">. </w:t>
            </w:r>
          </w:p>
          <w:p w14:paraId="0070827F" w14:textId="77777777" w:rsidR="00526DB3" w:rsidRPr="007E2963" w:rsidRDefault="00526DB3" w:rsidP="00891A0F">
            <w:pPr>
              <w:tabs>
                <w:tab w:val="left" w:pos="828"/>
              </w:tabs>
              <w:ind w:left="360" w:right="95"/>
              <w:jc w:val="both"/>
              <w:rPr>
                <w:rFonts w:ascii="Verdana" w:eastAsia="Calibri" w:hAnsi="Verdana" w:cs="Calibri"/>
                <w:sz w:val="20"/>
                <w:szCs w:val="20"/>
                <w:lang w:val="es-CO"/>
              </w:rPr>
            </w:pPr>
          </w:p>
          <w:p w14:paraId="774AF5D6" w14:textId="77777777" w:rsidR="00526DB3" w:rsidRPr="007E2963" w:rsidRDefault="00526DB3" w:rsidP="00891A0F">
            <w:pPr>
              <w:tabs>
                <w:tab w:val="left" w:pos="828"/>
              </w:tabs>
              <w:ind w:left="119" w:right="95"/>
              <w:jc w:val="both"/>
              <w:rPr>
                <w:rFonts w:ascii="Verdana" w:eastAsia="Calibri" w:hAnsi="Verdana" w:cs="Calibri"/>
                <w:sz w:val="20"/>
                <w:szCs w:val="20"/>
                <w:lang w:val="es-CO"/>
              </w:rPr>
            </w:pPr>
            <w:r w:rsidRPr="007E2963">
              <w:rPr>
                <w:rFonts w:ascii="Verdana" w:eastAsia="Calibri" w:hAnsi="Verdana" w:cs="Calibri"/>
                <w:sz w:val="20"/>
                <w:szCs w:val="20"/>
                <w:lang w:val="es-CO"/>
              </w:rPr>
              <w:t>En</w:t>
            </w:r>
            <w:r w:rsidRPr="007E2963">
              <w:rPr>
                <w:rFonts w:ascii="Verdana" w:eastAsia="Calibri" w:hAnsi="Verdana" w:cs="Calibri"/>
                <w:spacing w:val="-10"/>
                <w:sz w:val="20"/>
                <w:szCs w:val="20"/>
                <w:lang w:val="es-CO"/>
              </w:rPr>
              <w:t xml:space="preserve"> </w:t>
            </w:r>
            <w:r w:rsidRPr="007E2963">
              <w:rPr>
                <w:rFonts w:ascii="Verdana" w:eastAsia="Calibri" w:hAnsi="Verdana" w:cs="Calibri"/>
                <w:sz w:val="20"/>
                <w:szCs w:val="20"/>
                <w:lang w:val="es-CO"/>
              </w:rPr>
              <w:t>todo</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caso,</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el</w:t>
            </w:r>
            <w:r w:rsidRPr="007E2963">
              <w:rPr>
                <w:rFonts w:ascii="Verdana" w:eastAsia="Calibri" w:hAnsi="Verdana" w:cs="Calibri"/>
                <w:spacing w:val="-10"/>
                <w:sz w:val="20"/>
                <w:szCs w:val="20"/>
                <w:lang w:val="es-CO"/>
              </w:rPr>
              <w:t xml:space="preserve"> </w:t>
            </w:r>
            <w:r w:rsidRPr="007E2963">
              <w:rPr>
                <w:rFonts w:ascii="Verdana" w:eastAsia="Calibri" w:hAnsi="Verdana" w:cs="Calibri"/>
                <w:sz w:val="20"/>
                <w:szCs w:val="20"/>
                <w:lang w:val="es-CO"/>
              </w:rPr>
              <w:t>juez</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deberá</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estudiar</w:t>
            </w:r>
            <w:r w:rsidRPr="007E2963">
              <w:rPr>
                <w:rFonts w:ascii="Verdana" w:eastAsia="Calibri" w:hAnsi="Verdana" w:cs="Calibri"/>
                <w:spacing w:val="-8"/>
                <w:sz w:val="20"/>
                <w:szCs w:val="20"/>
                <w:lang w:val="es-CO"/>
              </w:rPr>
              <w:t xml:space="preserve"> </w:t>
            </w:r>
            <w:r w:rsidRPr="007E2963">
              <w:rPr>
                <w:rFonts w:ascii="Verdana" w:eastAsia="Calibri" w:hAnsi="Verdana" w:cs="Calibri"/>
                <w:sz w:val="20"/>
                <w:szCs w:val="20"/>
                <w:lang w:val="es-CO"/>
              </w:rPr>
              <w:t>la</w:t>
            </w:r>
            <w:r w:rsidRPr="007E2963">
              <w:rPr>
                <w:rFonts w:ascii="Verdana" w:eastAsia="Calibri" w:hAnsi="Verdana" w:cs="Calibri"/>
                <w:spacing w:val="-10"/>
                <w:sz w:val="20"/>
                <w:szCs w:val="20"/>
                <w:lang w:val="es-CO"/>
              </w:rPr>
              <w:t xml:space="preserve"> </w:t>
            </w:r>
            <w:r w:rsidRPr="007E2963">
              <w:rPr>
                <w:rFonts w:ascii="Verdana" w:eastAsia="Calibri" w:hAnsi="Verdana" w:cs="Calibri"/>
                <w:sz w:val="20"/>
                <w:szCs w:val="20"/>
                <w:lang w:val="es-CO"/>
              </w:rPr>
              <w:t>procedencia</w:t>
            </w:r>
            <w:r w:rsidRPr="007E2963">
              <w:rPr>
                <w:rFonts w:ascii="Verdana" w:eastAsia="Calibri" w:hAnsi="Verdana" w:cs="Calibri"/>
                <w:spacing w:val="-7"/>
                <w:sz w:val="20"/>
                <w:szCs w:val="20"/>
                <w:lang w:val="es-CO"/>
              </w:rPr>
              <w:t xml:space="preserve"> </w:t>
            </w:r>
            <w:r w:rsidRPr="007E2963">
              <w:rPr>
                <w:rFonts w:ascii="Verdana" w:eastAsia="Calibri" w:hAnsi="Verdana" w:cs="Calibri"/>
                <w:sz w:val="20"/>
                <w:szCs w:val="20"/>
                <w:lang w:val="es-CO"/>
              </w:rPr>
              <w:t>de</w:t>
            </w:r>
            <w:r w:rsidRPr="007E2963">
              <w:rPr>
                <w:rFonts w:ascii="Verdana" w:eastAsia="Calibri" w:hAnsi="Verdana" w:cs="Calibri"/>
                <w:spacing w:val="-10"/>
                <w:sz w:val="20"/>
                <w:szCs w:val="20"/>
                <w:lang w:val="es-CO"/>
              </w:rPr>
              <w:t xml:space="preserve"> </w:t>
            </w:r>
            <w:r w:rsidRPr="007E2963">
              <w:rPr>
                <w:rFonts w:ascii="Verdana" w:eastAsia="Calibri" w:hAnsi="Verdana" w:cs="Calibri"/>
                <w:sz w:val="20"/>
                <w:szCs w:val="20"/>
                <w:lang w:val="es-CO"/>
              </w:rPr>
              <w:t>cada</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una</w:t>
            </w:r>
            <w:r w:rsidRPr="007E2963">
              <w:rPr>
                <w:rFonts w:ascii="Verdana" w:eastAsia="Calibri" w:hAnsi="Verdana" w:cs="Calibri"/>
                <w:spacing w:val="-9"/>
                <w:sz w:val="20"/>
                <w:szCs w:val="20"/>
                <w:lang w:val="es-CO"/>
              </w:rPr>
              <w:t xml:space="preserve"> </w:t>
            </w:r>
            <w:r w:rsidRPr="007E2963">
              <w:rPr>
                <w:rFonts w:ascii="Verdana" w:eastAsia="Calibri" w:hAnsi="Verdana" w:cs="Calibri"/>
                <w:sz w:val="20"/>
                <w:szCs w:val="20"/>
                <w:lang w:val="es-CO"/>
              </w:rPr>
              <w:t>de estas medidas de protección para lo cual tendrá en cuenta las particularidades del caso</w:t>
            </w:r>
            <w:r w:rsidRPr="007E2963">
              <w:rPr>
                <w:rFonts w:ascii="Verdana" w:eastAsia="Calibri" w:hAnsi="Verdana" w:cs="Calibri"/>
                <w:sz w:val="20"/>
                <w:szCs w:val="20"/>
                <w:vertAlign w:val="superscript"/>
              </w:rPr>
              <w:footnoteReference w:id="26"/>
            </w:r>
            <w:r w:rsidRPr="007E2963">
              <w:rPr>
                <w:rFonts w:ascii="Verdana" w:eastAsia="Calibri" w:hAnsi="Verdana" w:cs="Calibri"/>
                <w:sz w:val="20"/>
                <w:szCs w:val="20"/>
                <w:lang w:val="es-CO"/>
              </w:rPr>
              <w:t>.</w:t>
            </w:r>
          </w:p>
          <w:p w14:paraId="11C5F953" w14:textId="77777777" w:rsidR="00526DB3" w:rsidRPr="007E2963" w:rsidRDefault="00526DB3" w:rsidP="00891A0F">
            <w:pPr>
              <w:tabs>
                <w:tab w:val="left" w:pos="828"/>
              </w:tabs>
              <w:ind w:left="119" w:right="95"/>
              <w:jc w:val="both"/>
              <w:rPr>
                <w:rFonts w:ascii="Verdana" w:eastAsia="Calibri" w:hAnsi="Verdana" w:cs="Calibri"/>
                <w:sz w:val="20"/>
                <w:szCs w:val="20"/>
                <w:lang w:val="es-CO"/>
              </w:rPr>
            </w:pPr>
          </w:p>
        </w:tc>
      </w:tr>
    </w:tbl>
    <w:p w14:paraId="12902C3C" w14:textId="77777777" w:rsidR="00526DB3" w:rsidRPr="007E2963" w:rsidRDefault="00526DB3" w:rsidP="00526DB3">
      <w:pPr>
        <w:spacing w:after="0"/>
        <w:ind w:right="49"/>
        <w:jc w:val="center"/>
        <w:rPr>
          <w:rFonts w:ascii="Verdana" w:hAnsi="Verdana"/>
          <w:bCs/>
          <w:sz w:val="16"/>
          <w:szCs w:val="16"/>
        </w:rPr>
      </w:pPr>
      <w:r w:rsidRPr="007E2963">
        <w:rPr>
          <w:rFonts w:ascii="Verdana" w:hAnsi="Verdana"/>
          <w:b/>
          <w:sz w:val="16"/>
          <w:szCs w:val="16"/>
        </w:rPr>
        <w:t>Tabla:</w:t>
      </w:r>
      <w:r w:rsidRPr="007E2963">
        <w:rPr>
          <w:rFonts w:ascii="Verdana" w:hAnsi="Verdana"/>
          <w:b/>
          <w:spacing w:val="-5"/>
          <w:sz w:val="16"/>
          <w:szCs w:val="16"/>
        </w:rPr>
        <w:t xml:space="preserve"> </w:t>
      </w:r>
      <w:r w:rsidRPr="007E2963">
        <w:rPr>
          <w:rFonts w:ascii="Verdana" w:hAnsi="Verdana"/>
          <w:bCs/>
          <w:sz w:val="16"/>
          <w:szCs w:val="16"/>
        </w:rPr>
        <w:t>Reglas</w:t>
      </w:r>
      <w:r w:rsidRPr="007E2963">
        <w:rPr>
          <w:rFonts w:ascii="Verdana" w:hAnsi="Verdana"/>
          <w:bCs/>
          <w:spacing w:val="-5"/>
          <w:sz w:val="16"/>
          <w:szCs w:val="16"/>
        </w:rPr>
        <w:t xml:space="preserve"> </w:t>
      </w:r>
      <w:r w:rsidRPr="007E2963">
        <w:rPr>
          <w:rFonts w:ascii="Verdana" w:hAnsi="Verdana"/>
          <w:bCs/>
          <w:sz w:val="16"/>
          <w:szCs w:val="16"/>
        </w:rPr>
        <w:t>para</w:t>
      </w:r>
      <w:r w:rsidRPr="007E2963">
        <w:rPr>
          <w:rFonts w:ascii="Verdana" w:hAnsi="Verdana"/>
          <w:bCs/>
          <w:spacing w:val="-5"/>
          <w:sz w:val="16"/>
          <w:szCs w:val="16"/>
        </w:rPr>
        <w:t xml:space="preserve"> </w:t>
      </w:r>
      <w:r w:rsidRPr="007E2963">
        <w:rPr>
          <w:rFonts w:ascii="Verdana" w:hAnsi="Verdana"/>
          <w:bCs/>
          <w:sz w:val="16"/>
          <w:szCs w:val="16"/>
        </w:rPr>
        <w:t>la</w:t>
      </w:r>
      <w:r w:rsidRPr="007E2963">
        <w:rPr>
          <w:rFonts w:ascii="Verdana" w:hAnsi="Verdana"/>
          <w:bCs/>
          <w:spacing w:val="-5"/>
          <w:sz w:val="16"/>
          <w:szCs w:val="16"/>
        </w:rPr>
        <w:t xml:space="preserve"> </w:t>
      </w:r>
      <w:r w:rsidRPr="007E2963">
        <w:rPr>
          <w:rFonts w:ascii="Verdana" w:hAnsi="Verdana"/>
          <w:bCs/>
          <w:sz w:val="16"/>
          <w:szCs w:val="16"/>
        </w:rPr>
        <w:t>protección</w:t>
      </w:r>
      <w:r w:rsidRPr="007E2963">
        <w:rPr>
          <w:rFonts w:ascii="Verdana" w:hAnsi="Verdana"/>
          <w:bCs/>
          <w:spacing w:val="-5"/>
          <w:sz w:val="16"/>
          <w:szCs w:val="16"/>
        </w:rPr>
        <w:t xml:space="preserve"> </w:t>
      </w:r>
      <w:r w:rsidRPr="007E2963">
        <w:rPr>
          <w:rFonts w:ascii="Verdana" w:hAnsi="Verdana"/>
          <w:bCs/>
          <w:sz w:val="16"/>
          <w:szCs w:val="16"/>
        </w:rPr>
        <w:t>de</w:t>
      </w:r>
      <w:r w:rsidRPr="007E2963">
        <w:rPr>
          <w:rFonts w:ascii="Verdana" w:hAnsi="Verdana"/>
          <w:bCs/>
          <w:spacing w:val="-5"/>
          <w:sz w:val="16"/>
          <w:szCs w:val="16"/>
        </w:rPr>
        <w:t xml:space="preserve"> </w:t>
      </w:r>
      <w:r w:rsidRPr="007E2963">
        <w:rPr>
          <w:rFonts w:ascii="Verdana" w:hAnsi="Verdana"/>
          <w:bCs/>
          <w:sz w:val="16"/>
          <w:szCs w:val="16"/>
        </w:rPr>
        <w:t>la</w:t>
      </w:r>
      <w:r w:rsidRPr="007E2963">
        <w:rPr>
          <w:rFonts w:ascii="Verdana" w:hAnsi="Verdana"/>
          <w:bCs/>
          <w:spacing w:val="-5"/>
          <w:sz w:val="16"/>
          <w:szCs w:val="16"/>
        </w:rPr>
        <w:t xml:space="preserve"> </w:t>
      </w:r>
      <w:r w:rsidRPr="007E2963">
        <w:rPr>
          <w:rFonts w:ascii="Verdana" w:hAnsi="Verdana"/>
          <w:bCs/>
          <w:sz w:val="16"/>
          <w:szCs w:val="16"/>
        </w:rPr>
        <w:t>mujer</w:t>
      </w:r>
      <w:r w:rsidRPr="007E2963">
        <w:rPr>
          <w:rFonts w:ascii="Verdana" w:hAnsi="Verdana"/>
          <w:bCs/>
          <w:spacing w:val="-5"/>
          <w:sz w:val="16"/>
          <w:szCs w:val="16"/>
        </w:rPr>
        <w:t xml:space="preserve"> </w:t>
      </w:r>
      <w:r w:rsidRPr="007E2963">
        <w:rPr>
          <w:rFonts w:ascii="Verdana" w:hAnsi="Verdana"/>
          <w:bCs/>
          <w:sz w:val="16"/>
          <w:szCs w:val="16"/>
        </w:rPr>
        <w:t>embarazada</w:t>
      </w:r>
      <w:r w:rsidRPr="007E2963">
        <w:rPr>
          <w:rFonts w:ascii="Verdana" w:hAnsi="Verdana"/>
          <w:bCs/>
          <w:spacing w:val="-5"/>
          <w:sz w:val="16"/>
          <w:szCs w:val="16"/>
        </w:rPr>
        <w:t xml:space="preserve"> </w:t>
      </w:r>
      <w:r w:rsidRPr="007E2963">
        <w:rPr>
          <w:rFonts w:ascii="Verdana" w:hAnsi="Verdana"/>
          <w:bCs/>
          <w:sz w:val="16"/>
          <w:szCs w:val="16"/>
        </w:rPr>
        <w:t>en</w:t>
      </w:r>
      <w:r w:rsidRPr="007E2963">
        <w:rPr>
          <w:rFonts w:ascii="Verdana" w:hAnsi="Verdana"/>
          <w:bCs/>
          <w:spacing w:val="-5"/>
          <w:sz w:val="16"/>
          <w:szCs w:val="16"/>
        </w:rPr>
        <w:t xml:space="preserve"> </w:t>
      </w:r>
      <w:r w:rsidRPr="007E2963">
        <w:rPr>
          <w:rFonts w:ascii="Verdana" w:hAnsi="Verdana"/>
          <w:bCs/>
          <w:sz w:val="16"/>
          <w:szCs w:val="16"/>
        </w:rPr>
        <w:t>contratos</w:t>
      </w:r>
      <w:r w:rsidRPr="007E2963">
        <w:rPr>
          <w:rFonts w:ascii="Verdana" w:hAnsi="Verdana"/>
          <w:bCs/>
          <w:spacing w:val="-5"/>
          <w:sz w:val="16"/>
          <w:szCs w:val="16"/>
        </w:rPr>
        <w:t xml:space="preserve"> </w:t>
      </w:r>
      <w:r w:rsidRPr="007E2963">
        <w:rPr>
          <w:rFonts w:ascii="Verdana" w:hAnsi="Verdana"/>
          <w:bCs/>
          <w:sz w:val="16"/>
          <w:szCs w:val="16"/>
        </w:rPr>
        <w:t>de</w:t>
      </w:r>
      <w:r w:rsidRPr="007E2963">
        <w:rPr>
          <w:rFonts w:ascii="Verdana" w:hAnsi="Verdana"/>
          <w:bCs/>
          <w:spacing w:val="-5"/>
          <w:sz w:val="16"/>
          <w:szCs w:val="16"/>
        </w:rPr>
        <w:t xml:space="preserve"> </w:t>
      </w:r>
      <w:r w:rsidRPr="007E2963">
        <w:rPr>
          <w:rFonts w:ascii="Verdana" w:hAnsi="Verdana"/>
          <w:bCs/>
          <w:sz w:val="16"/>
          <w:szCs w:val="16"/>
        </w:rPr>
        <w:t>prestación</w:t>
      </w:r>
      <w:r w:rsidRPr="007E2963">
        <w:rPr>
          <w:rFonts w:ascii="Verdana" w:hAnsi="Verdana"/>
          <w:bCs/>
          <w:spacing w:val="-5"/>
          <w:sz w:val="16"/>
          <w:szCs w:val="16"/>
        </w:rPr>
        <w:t xml:space="preserve"> </w:t>
      </w:r>
      <w:r w:rsidRPr="007E2963">
        <w:rPr>
          <w:rFonts w:ascii="Verdana" w:hAnsi="Verdana"/>
          <w:bCs/>
          <w:sz w:val="16"/>
          <w:szCs w:val="16"/>
        </w:rPr>
        <w:t>de</w:t>
      </w:r>
      <w:r w:rsidRPr="007E2963">
        <w:rPr>
          <w:rFonts w:ascii="Verdana" w:hAnsi="Verdana"/>
          <w:bCs/>
          <w:spacing w:val="-5"/>
          <w:sz w:val="16"/>
          <w:szCs w:val="16"/>
        </w:rPr>
        <w:t xml:space="preserve"> </w:t>
      </w:r>
      <w:r w:rsidRPr="007E2963">
        <w:rPr>
          <w:rFonts w:ascii="Verdana" w:hAnsi="Verdana"/>
          <w:bCs/>
          <w:sz w:val="16"/>
          <w:szCs w:val="16"/>
        </w:rPr>
        <w:t>servicios. – Tomada de la Sentencia T-239 de 2022.</w:t>
      </w:r>
    </w:p>
    <w:p w14:paraId="3FFDA22F" w14:textId="77777777" w:rsidR="00526DB3" w:rsidRPr="007E2963" w:rsidRDefault="00526DB3" w:rsidP="00526DB3">
      <w:pPr>
        <w:spacing w:after="0" w:line="240" w:lineRule="auto"/>
        <w:ind w:firstLine="708"/>
        <w:jc w:val="both"/>
        <w:rPr>
          <w:rFonts w:ascii="Verdana" w:hAnsi="Verdana"/>
        </w:rPr>
      </w:pPr>
    </w:p>
    <w:p w14:paraId="0043BB3F" w14:textId="77777777" w:rsidR="00526DB3" w:rsidRPr="007E2963" w:rsidRDefault="00526DB3" w:rsidP="00526DB3">
      <w:pPr>
        <w:spacing w:after="120" w:line="240" w:lineRule="auto"/>
        <w:ind w:firstLine="709"/>
        <w:jc w:val="both"/>
        <w:rPr>
          <w:rFonts w:ascii="Verdana" w:eastAsia="Arial" w:hAnsi="Verdana" w:cs="Arial"/>
        </w:rPr>
      </w:pPr>
      <w:r w:rsidRPr="007E2963">
        <w:rPr>
          <w:rFonts w:ascii="Verdana" w:eastAsia="Arial" w:hAnsi="Verdana" w:cs="Arial"/>
          <w:lang w:val="es-ES"/>
        </w:rPr>
        <w:t xml:space="preserve">Ahora bien, frente al segundo problema jurídico, relacionado con el ámbito temporal de la protección del fuero de maternidad, en particular con la forma en </w:t>
      </w:r>
      <w:r w:rsidRPr="007E2963">
        <w:rPr>
          <w:rFonts w:ascii="Verdana" w:eastAsia="Arial" w:hAnsi="Verdana" w:cs="Arial"/>
          <w:lang w:val="es-ES"/>
        </w:rPr>
        <w:lastRenderedPageBreak/>
        <w:t xml:space="preserve">que dicha protección opera durante el periodo de lactancia, resulta </w:t>
      </w:r>
      <w:r w:rsidRPr="007E2963">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41730F04" w14:textId="77777777" w:rsidR="00526DB3" w:rsidRPr="007E2963" w:rsidRDefault="00526DB3" w:rsidP="00526DB3">
      <w:pPr>
        <w:spacing w:after="0" w:line="240" w:lineRule="auto"/>
        <w:ind w:right="49" w:firstLine="709"/>
        <w:jc w:val="both"/>
        <w:rPr>
          <w:rFonts w:ascii="Verdana" w:eastAsia="Arial" w:hAnsi="Verdana" w:cs="Arial"/>
        </w:rPr>
      </w:pPr>
      <w:r w:rsidRPr="007E2963">
        <w:rPr>
          <w:rFonts w:ascii="Verdana" w:eastAsia="Arial" w:hAnsi="Verdana" w:cs="Arial"/>
        </w:rPr>
        <w:t>El artículo 6 de la mencionada Ley modificó el artículo 238 del Código Sustantivo del Trabajo, el cual quedo redactado en los siguientes términos:</w:t>
      </w:r>
    </w:p>
    <w:p w14:paraId="7613EFF5" w14:textId="77777777" w:rsidR="00526DB3" w:rsidRPr="007E2963" w:rsidRDefault="00526DB3" w:rsidP="00526DB3">
      <w:pPr>
        <w:spacing w:after="0" w:line="240" w:lineRule="auto"/>
        <w:ind w:right="49" w:firstLine="709"/>
        <w:jc w:val="both"/>
        <w:rPr>
          <w:rFonts w:ascii="Verdana" w:eastAsia="Arial" w:hAnsi="Verdana" w:cs="Arial"/>
        </w:rPr>
      </w:pPr>
    </w:p>
    <w:p w14:paraId="75E97A9E"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7E2963">
        <w:rPr>
          <w:rFonts w:ascii="Verdana" w:eastAsia="Arial" w:hAnsi="Verdana" w:cs="Arial"/>
          <w:sz w:val="20"/>
          <w:szCs w:val="20"/>
          <w:lang w:val="es-ES"/>
        </w:rPr>
        <w:t>“Artículo</w:t>
      </w:r>
      <w:r w:rsidRPr="007E2963">
        <w:rPr>
          <w:rFonts w:ascii="Verdana" w:eastAsia="Arial" w:hAnsi="Verdana" w:cs="Arial"/>
          <w:spacing w:val="-16"/>
          <w:sz w:val="20"/>
          <w:szCs w:val="20"/>
          <w:lang w:val="es-ES"/>
        </w:rPr>
        <w:t xml:space="preserve"> </w:t>
      </w:r>
      <w:r w:rsidRPr="007E2963">
        <w:rPr>
          <w:rFonts w:ascii="Verdana" w:eastAsia="Arial" w:hAnsi="Verdana" w:cs="Arial"/>
          <w:sz w:val="20"/>
          <w:szCs w:val="20"/>
          <w:lang w:val="es-ES"/>
        </w:rPr>
        <w:t>238.</w:t>
      </w:r>
      <w:r w:rsidRPr="007E2963">
        <w:rPr>
          <w:rFonts w:ascii="Verdana" w:eastAsia="Arial" w:hAnsi="Verdana" w:cs="Arial"/>
          <w:spacing w:val="-15"/>
          <w:sz w:val="20"/>
          <w:szCs w:val="20"/>
          <w:lang w:val="es-ES"/>
        </w:rPr>
        <w:t xml:space="preserve"> </w:t>
      </w:r>
      <w:r w:rsidRPr="007E2963">
        <w:rPr>
          <w:rFonts w:ascii="Verdana" w:eastAsia="Arial" w:hAnsi="Verdana" w:cs="Arial"/>
          <w:sz w:val="20"/>
          <w:szCs w:val="20"/>
          <w:lang w:val="es-ES"/>
        </w:rPr>
        <w:t>Descanso</w:t>
      </w:r>
      <w:r w:rsidRPr="007E2963">
        <w:rPr>
          <w:rFonts w:ascii="Verdana" w:eastAsia="Arial" w:hAnsi="Verdana" w:cs="Arial"/>
          <w:spacing w:val="-16"/>
          <w:sz w:val="20"/>
          <w:szCs w:val="20"/>
          <w:lang w:val="es-ES"/>
        </w:rPr>
        <w:t xml:space="preserve"> </w:t>
      </w:r>
      <w:r w:rsidRPr="007E2963">
        <w:rPr>
          <w:rFonts w:ascii="Verdana" w:eastAsia="Arial" w:hAnsi="Verdana" w:cs="Arial"/>
          <w:sz w:val="20"/>
          <w:szCs w:val="20"/>
          <w:lang w:val="es-ES"/>
        </w:rPr>
        <w:t>remunerado</w:t>
      </w:r>
      <w:r w:rsidRPr="007E2963">
        <w:rPr>
          <w:rFonts w:ascii="Verdana" w:eastAsia="Arial" w:hAnsi="Verdana" w:cs="Arial"/>
          <w:spacing w:val="-15"/>
          <w:sz w:val="20"/>
          <w:szCs w:val="20"/>
          <w:lang w:val="es-ES"/>
        </w:rPr>
        <w:t xml:space="preserve"> </w:t>
      </w:r>
      <w:r w:rsidRPr="007E2963">
        <w:rPr>
          <w:rFonts w:ascii="Verdana" w:eastAsia="Arial" w:hAnsi="Verdana" w:cs="Arial"/>
          <w:sz w:val="20"/>
          <w:szCs w:val="20"/>
          <w:lang w:val="es-ES"/>
        </w:rPr>
        <w:t>durante</w:t>
      </w:r>
      <w:r w:rsidRPr="007E2963">
        <w:rPr>
          <w:rFonts w:ascii="Verdana" w:eastAsia="Arial" w:hAnsi="Verdana" w:cs="Arial"/>
          <w:spacing w:val="-16"/>
          <w:sz w:val="20"/>
          <w:szCs w:val="20"/>
          <w:lang w:val="es-ES"/>
        </w:rPr>
        <w:t xml:space="preserve"> </w:t>
      </w:r>
      <w:r w:rsidRPr="007E2963">
        <w:rPr>
          <w:rFonts w:ascii="Verdana" w:eastAsia="Arial" w:hAnsi="Verdana" w:cs="Arial"/>
          <w:sz w:val="20"/>
          <w:szCs w:val="20"/>
          <w:lang w:val="es-ES"/>
        </w:rPr>
        <w:t>la</w:t>
      </w:r>
      <w:r w:rsidRPr="007E2963">
        <w:rPr>
          <w:rFonts w:ascii="Verdana" w:eastAsia="Arial" w:hAnsi="Verdana" w:cs="Arial"/>
          <w:spacing w:val="-15"/>
          <w:sz w:val="20"/>
          <w:szCs w:val="20"/>
          <w:lang w:val="es-ES"/>
        </w:rPr>
        <w:t xml:space="preserve"> </w:t>
      </w:r>
      <w:r w:rsidRPr="007E2963">
        <w:rPr>
          <w:rFonts w:ascii="Verdana" w:eastAsia="Arial" w:hAnsi="Verdana" w:cs="Arial"/>
          <w:spacing w:val="-2"/>
          <w:sz w:val="20"/>
          <w:szCs w:val="20"/>
          <w:lang w:val="es-ES"/>
        </w:rPr>
        <w:t>lactancia.</w:t>
      </w:r>
    </w:p>
    <w:p w14:paraId="1911FFE7"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lang w:val="es-ES"/>
        </w:rPr>
      </w:pPr>
    </w:p>
    <w:p w14:paraId="6293082C" w14:textId="77777777" w:rsidR="00526DB3" w:rsidRPr="007E2963" w:rsidRDefault="00526DB3" w:rsidP="00526DB3">
      <w:pPr>
        <w:widowControl w:val="0"/>
        <w:numPr>
          <w:ilvl w:val="0"/>
          <w:numId w:val="17"/>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7E2963">
        <w:rPr>
          <w:rFonts w:ascii="Verdana" w:hAnsi="Verdana"/>
          <w:sz w:val="20"/>
          <w:szCs w:val="20"/>
          <w:lang w:val="es-ES"/>
        </w:rPr>
        <w:t xml:space="preserve">El empleador está en la obligación de conceder a la trabajadora dos (2) descansos, de treinta (30) minutos cada uno, dentro de la jornada para </w:t>
      </w:r>
      <w:r w:rsidRPr="007E2963">
        <w:rPr>
          <w:rFonts w:ascii="Verdana" w:hAnsi="Verdana"/>
          <w:spacing w:val="-2"/>
          <w:sz w:val="20"/>
          <w:szCs w:val="20"/>
          <w:lang w:val="es-ES"/>
        </w:rPr>
        <w:t>amamantar</w:t>
      </w:r>
      <w:r w:rsidRPr="007E2963">
        <w:rPr>
          <w:rFonts w:ascii="Verdana" w:hAnsi="Verdana"/>
          <w:spacing w:val="-9"/>
          <w:sz w:val="20"/>
          <w:szCs w:val="20"/>
          <w:lang w:val="es-ES"/>
        </w:rPr>
        <w:t xml:space="preserve"> </w:t>
      </w:r>
      <w:r w:rsidRPr="007E2963">
        <w:rPr>
          <w:rFonts w:ascii="Verdana" w:hAnsi="Verdana"/>
          <w:spacing w:val="-2"/>
          <w:sz w:val="20"/>
          <w:szCs w:val="20"/>
          <w:lang w:val="es-ES"/>
        </w:rPr>
        <w:t>a</w:t>
      </w:r>
      <w:r w:rsidRPr="007E2963">
        <w:rPr>
          <w:rFonts w:ascii="Verdana" w:hAnsi="Verdana"/>
          <w:spacing w:val="-12"/>
          <w:sz w:val="20"/>
          <w:szCs w:val="20"/>
          <w:lang w:val="es-ES"/>
        </w:rPr>
        <w:t xml:space="preserve"> </w:t>
      </w:r>
      <w:r w:rsidRPr="007E2963">
        <w:rPr>
          <w:rFonts w:ascii="Verdana" w:hAnsi="Verdana"/>
          <w:spacing w:val="-2"/>
          <w:sz w:val="20"/>
          <w:szCs w:val="20"/>
          <w:lang w:val="es-ES"/>
        </w:rPr>
        <w:t>su</w:t>
      </w:r>
      <w:r w:rsidRPr="007E2963">
        <w:rPr>
          <w:rFonts w:ascii="Verdana" w:hAnsi="Verdana"/>
          <w:spacing w:val="-11"/>
          <w:sz w:val="20"/>
          <w:szCs w:val="20"/>
          <w:lang w:val="es-ES"/>
        </w:rPr>
        <w:t xml:space="preserve"> </w:t>
      </w:r>
      <w:r w:rsidRPr="007E2963">
        <w:rPr>
          <w:rFonts w:ascii="Verdana" w:hAnsi="Verdana"/>
          <w:spacing w:val="-2"/>
          <w:sz w:val="20"/>
          <w:szCs w:val="20"/>
          <w:lang w:val="es-ES"/>
        </w:rPr>
        <w:t>hijo,</w:t>
      </w:r>
      <w:r w:rsidRPr="007E2963">
        <w:rPr>
          <w:rFonts w:ascii="Verdana" w:hAnsi="Verdana"/>
          <w:spacing w:val="-11"/>
          <w:sz w:val="20"/>
          <w:szCs w:val="20"/>
          <w:lang w:val="es-ES"/>
        </w:rPr>
        <w:t xml:space="preserve"> </w:t>
      </w:r>
      <w:r w:rsidRPr="007E2963">
        <w:rPr>
          <w:rFonts w:ascii="Verdana" w:hAnsi="Verdana"/>
          <w:spacing w:val="-2"/>
          <w:sz w:val="20"/>
          <w:szCs w:val="20"/>
          <w:lang w:val="es-ES"/>
        </w:rPr>
        <w:t>sin</w:t>
      </w:r>
      <w:r w:rsidRPr="007E2963">
        <w:rPr>
          <w:rFonts w:ascii="Verdana" w:hAnsi="Verdana"/>
          <w:spacing w:val="-11"/>
          <w:sz w:val="20"/>
          <w:szCs w:val="20"/>
          <w:lang w:val="es-ES"/>
        </w:rPr>
        <w:t xml:space="preserve"> </w:t>
      </w:r>
      <w:r w:rsidRPr="007E2963">
        <w:rPr>
          <w:rFonts w:ascii="Verdana" w:hAnsi="Verdana"/>
          <w:spacing w:val="-2"/>
          <w:sz w:val="20"/>
          <w:szCs w:val="20"/>
          <w:lang w:val="es-ES"/>
        </w:rPr>
        <w:t>descuento</w:t>
      </w:r>
      <w:r w:rsidRPr="007E2963">
        <w:rPr>
          <w:rFonts w:ascii="Verdana" w:hAnsi="Verdana"/>
          <w:spacing w:val="-9"/>
          <w:sz w:val="20"/>
          <w:szCs w:val="20"/>
          <w:lang w:val="es-ES"/>
        </w:rPr>
        <w:t xml:space="preserve"> </w:t>
      </w:r>
      <w:r w:rsidRPr="007E2963">
        <w:rPr>
          <w:rFonts w:ascii="Verdana" w:hAnsi="Verdana"/>
          <w:spacing w:val="-2"/>
          <w:sz w:val="20"/>
          <w:szCs w:val="20"/>
          <w:lang w:val="es-ES"/>
        </w:rPr>
        <w:t>alguno</w:t>
      </w:r>
      <w:r w:rsidRPr="007E2963">
        <w:rPr>
          <w:rFonts w:ascii="Verdana" w:hAnsi="Verdana"/>
          <w:spacing w:val="-10"/>
          <w:sz w:val="20"/>
          <w:szCs w:val="20"/>
          <w:lang w:val="es-ES"/>
        </w:rPr>
        <w:t xml:space="preserve"> </w:t>
      </w:r>
      <w:r w:rsidRPr="007E2963">
        <w:rPr>
          <w:rFonts w:ascii="Verdana" w:hAnsi="Verdana"/>
          <w:spacing w:val="-2"/>
          <w:sz w:val="20"/>
          <w:szCs w:val="20"/>
          <w:lang w:val="es-ES"/>
        </w:rPr>
        <w:t>en</w:t>
      </w:r>
      <w:r w:rsidRPr="007E2963">
        <w:rPr>
          <w:rFonts w:ascii="Verdana" w:hAnsi="Verdana"/>
          <w:spacing w:val="-11"/>
          <w:sz w:val="20"/>
          <w:szCs w:val="20"/>
          <w:lang w:val="es-ES"/>
        </w:rPr>
        <w:t xml:space="preserve"> </w:t>
      </w:r>
      <w:r w:rsidRPr="007E2963">
        <w:rPr>
          <w:rFonts w:ascii="Verdana" w:hAnsi="Verdana"/>
          <w:spacing w:val="-2"/>
          <w:sz w:val="20"/>
          <w:szCs w:val="20"/>
          <w:lang w:val="es-ES"/>
        </w:rPr>
        <w:t>el</w:t>
      </w:r>
      <w:r w:rsidRPr="007E2963">
        <w:rPr>
          <w:rFonts w:ascii="Verdana" w:hAnsi="Verdana"/>
          <w:spacing w:val="-11"/>
          <w:sz w:val="20"/>
          <w:szCs w:val="20"/>
          <w:lang w:val="es-ES"/>
        </w:rPr>
        <w:t xml:space="preserve"> </w:t>
      </w:r>
      <w:r w:rsidRPr="007E2963">
        <w:rPr>
          <w:rFonts w:ascii="Verdana" w:hAnsi="Verdana"/>
          <w:spacing w:val="-2"/>
          <w:sz w:val="20"/>
          <w:szCs w:val="20"/>
          <w:lang w:val="es-ES"/>
        </w:rPr>
        <w:t>salario</w:t>
      </w:r>
      <w:r w:rsidRPr="007E2963">
        <w:rPr>
          <w:rFonts w:ascii="Verdana" w:hAnsi="Verdana"/>
          <w:spacing w:val="-10"/>
          <w:sz w:val="20"/>
          <w:szCs w:val="20"/>
          <w:lang w:val="es-ES"/>
        </w:rPr>
        <w:t xml:space="preserve"> </w:t>
      </w:r>
      <w:r w:rsidRPr="007E2963">
        <w:rPr>
          <w:rFonts w:ascii="Verdana" w:hAnsi="Verdana"/>
          <w:spacing w:val="-2"/>
          <w:sz w:val="20"/>
          <w:szCs w:val="20"/>
          <w:lang w:val="es-ES"/>
        </w:rPr>
        <w:t>por</w:t>
      </w:r>
      <w:r w:rsidRPr="007E2963">
        <w:rPr>
          <w:rFonts w:ascii="Verdana" w:hAnsi="Verdana"/>
          <w:spacing w:val="-11"/>
          <w:sz w:val="20"/>
          <w:szCs w:val="20"/>
          <w:lang w:val="es-ES"/>
        </w:rPr>
        <w:t xml:space="preserve"> </w:t>
      </w:r>
      <w:r w:rsidRPr="007E2963">
        <w:rPr>
          <w:rFonts w:ascii="Verdana" w:hAnsi="Verdana"/>
          <w:spacing w:val="-2"/>
          <w:sz w:val="20"/>
          <w:szCs w:val="20"/>
          <w:lang w:val="es-ES"/>
        </w:rPr>
        <w:t>dicho</w:t>
      </w:r>
      <w:r w:rsidRPr="007E2963">
        <w:rPr>
          <w:rFonts w:ascii="Verdana" w:hAnsi="Verdana"/>
          <w:spacing w:val="-10"/>
          <w:sz w:val="20"/>
          <w:szCs w:val="20"/>
          <w:lang w:val="es-ES"/>
        </w:rPr>
        <w:t xml:space="preserve"> </w:t>
      </w:r>
      <w:r w:rsidRPr="007E2963">
        <w:rPr>
          <w:rFonts w:ascii="Verdana" w:hAnsi="Verdana"/>
          <w:spacing w:val="-2"/>
          <w:sz w:val="20"/>
          <w:szCs w:val="20"/>
          <w:lang w:val="es-ES"/>
        </w:rPr>
        <w:t xml:space="preserve">concepto, </w:t>
      </w:r>
      <w:r w:rsidRPr="007E2963">
        <w:rPr>
          <w:rFonts w:ascii="Verdana" w:hAnsi="Verdana"/>
          <w:sz w:val="20"/>
          <w:szCs w:val="20"/>
          <w:lang w:val="es-ES"/>
        </w:rPr>
        <w:t>durante los primeros seis (6) meses de edad, y una vez cumplido este</w:t>
      </w:r>
      <w:r w:rsidRPr="007E2963">
        <w:rPr>
          <w:rFonts w:ascii="Verdana" w:hAnsi="Verdana"/>
          <w:spacing w:val="80"/>
          <w:sz w:val="20"/>
          <w:szCs w:val="20"/>
          <w:lang w:val="es-ES"/>
        </w:rPr>
        <w:t xml:space="preserve"> </w:t>
      </w:r>
      <w:r w:rsidRPr="007E2963">
        <w:rPr>
          <w:rFonts w:ascii="Verdana" w:hAnsi="Verdana"/>
          <w:sz w:val="20"/>
          <w:szCs w:val="20"/>
          <w:lang w:val="es-ES"/>
        </w:rPr>
        <w:t>periodo, un (1) descanso de treinta (30) minutos en los mismos términos hasta</w:t>
      </w:r>
      <w:r w:rsidRPr="007E2963">
        <w:rPr>
          <w:rFonts w:ascii="Verdana" w:hAnsi="Verdana"/>
          <w:spacing w:val="-9"/>
          <w:sz w:val="20"/>
          <w:szCs w:val="20"/>
          <w:lang w:val="es-ES"/>
        </w:rPr>
        <w:t xml:space="preserve"> </w:t>
      </w:r>
      <w:r w:rsidRPr="007E2963">
        <w:rPr>
          <w:rFonts w:ascii="Verdana" w:hAnsi="Verdana"/>
          <w:sz w:val="20"/>
          <w:szCs w:val="20"/>
          <w:lang w:val="es-ES"/>
        </w:rPr>
        <w:t>los</w:t>
      </w:r>
      <w:r w:rsidRPr="007E2963">
        <w:rPr>
          <w:rFonts w:ascii="Verdana" w:hAnsi="Verdana"/>
          <w:spacing w:val="-9"/>
          <w:sz w:val="20"/>
          <w:szCs w:val="20"/>
          <w:lang w:val="es-ES"/>
        </w:rPr>
        <w:t xml:space="preserve"> </w:t>
      </w:r>
      <w:r w:rsidRPr="007E2963">
        <w:rPr>
          <w:rFonts w:ascii="Verdana" w:hAnsi="Verdana"/>
          <w:sz w:val="20"/>
          <w:szCs w:val="20"/>
          <w:lang w:val="es-ES"/>
        </w:rPr>
        <w:t>dos</w:t>
      </w:r>
      <w:r w:rsidRPr="007E2963">
        <w:rPr>
          <w:rFonts w:ascii="Verdana" w:hAnsi="Verdana"/>
          <w:spacing w:val="-9"/>
          <w:sz w:val="20"/>
          <w:szCs w:val="20"/>
          <w:lang w:val="es-ES"/>
        </w:rPr>
        <w:t xml:space="preserve"> </w:t>
      </w:r>
      <w:r w:rsidRPr="007E2963">
        <w:rPr>
          <w:rFonts w:ascii="Verdana" w:hAnsi="Verdana"/>
          <w:sz w:val="20"/>
          <w:szCs w:val="20"/>
          <w:lang w:val="es-ES"/>
        </w:rPr>
        <w:t>(2)</w:t>
      </w:r>
      <w:r w:rsidRPr="007E2963">
        <w:rPr>
          <w:rFonts w:ascii="Verdana" w:hAnsi="Verdana"/>
          <w:spacing w:val="-9"/>
          <w:sz w:val="20"/>
          <w:szCs w:val="20"/>
          <w:lang w:val="es-ES"/>
        </w:rPr>
        <w:t xml:space="preserve"> </w:t>
      </w:r>
      <w:proofErr w:type="gramStart"/>
      <w:r w:rsidRPr="007E2963">
        <w:rPr>
          <w:rFonts w:ascii="Verdana" w:hAnsi="Verdana"/>
          <w:sz w:val="20"/>
          <w:szCs w:val="20"/>
          <w:lang w:val="es-ES"/>
        </w:rPr>
        <w:t>años</w:t>
      </w:r>
      <w:r w:rsidRPr="007E2963">
        <w:rPr>
          <w:rFonts w:ascii="Verdana" w:hAnsi="Verdana"/>
          <w:spacing w:val="-9"/>
          <w:sz w:val="20"/>
          <w:szCs w:val="20"/>
          <w:lang w:val="es-ES"/>
        </w:rPr>
        <w:t xml:space="preserve"> </w:t>
      </w:r>
      <w:r w:rsidRPr="007E2963">
        <w:rPr>
          <w:rFonts w:ascii="Verdana" w:hAnsi="Verdana"/>
          <w:sz w:val="20"/>
          <w:szCs w:val="20"/>
          <w:lang w:val="es-ES"/>
        </w:rPr>
        <w:t>de</w:t>
      </w:r>
      <w:r w:rsidRPr="007E2963">
        <w:rPr>
          <w:rFonts w:ascii="Verdana" w:hAnsi="Verdana"/>
          <w:spacing w:val="-10"/>
          <w:sz w:val="20"/>
          <w:szCs w:val="20"/>
          <w:lang w:val="es-ES"/>
        </w:rPr>
        <w:t xml:space="preserve"> </w:t>
      </w:r>
      <w:r w:rsidRPr="007E2963">
        <w:rPr>
          <w:rFonts w:ascii="Verdana" w:hAnsi="Verdana"/>
          <w:sz w:val="20"/>
          <w:szCs w:val="20"/>
          <w:lang w:val="es-ES"/>
        </w:rPr>
        <w:t>edad</w:t>
      </w:r>
      <w:proofErr w:type="gramEnd"/>
      <w:r w:rsidRPr="007E2963">
        <w:rPr>
          <w:rFonts w:ascii="Verdana" w:hAnsi="Verdana"/>
          <w:spacing w:val="-9"/>
          <w:sz w:val="20"/>
          <w:szCs w:val="20"/>
          <w:lang w:val="es-ES"/>
        </w:rPr>
        <w:t xml:space="preserve"> </w:t>
      </w:r>
      <w:r w:rsidRPr="007E2963">
        <w:rPr>
          <w:rFonts w:ascii="Verdana" w:hAnsi="Verdana"/>
          <w:sz w:val="20"/>
          <w:szCs w:val="20"/>
          <w:lang w:val="es-ES"/>
        </w:rPr>
        <w:t>de/</w:t>
      </w:r>
      <w:r w:rsidRPr="007E2963">
        <w:rPr>
          <w:rFonts w:ascii="Verdana" w:hAnsi="Verdana"/>
          <w:spacing w:val="-9"/>
          <w:sz w:val="20"/>
          <w:szCs w:val="20"/>
          <w:lang w:val="es-ES"/>
        </w:rPr>
        <w:t xml:space="preserve"> </w:t>
      </w:r>
      <w:r w:rsidRPr="007E2963">
        <w:rPr>
          <w:rFonts w:ascii="Verdana" w:hAnsi="Verdana"/>
          <w:sz w:val="20"/>
          <w:szCs w:val="20"/>
          <w:lang w:val="es-ES"/>
        </w:rPr>
        <w:t>menor:</w:t>
      </w:r>
      <w:r w:rsidRPr="007E2963">
        <w:rPr>
          <w:rFonts w:ascii="Verdana" w:hAnsi="Verdana"/>
          <w:spacing w:val="-9"/>
          <w:sz w:val="20"/>
          <w:szCs w:val="20"/>
          <w:lang w:val="es-ES"/>
        </w:rPr>
        <w:t xml:space="preserve"> </w:t>
      </w:r>
      <w:r w:rsidRPr="007E2963">
        <w:rPr>
          <w:rFonts w:ascii="Verdana" w:hAnsi="Verdana"/>
          <w:sz w:val="20"/>
          <w:szCs w:val="20"/>
          <w:lang w:val="es-ES"/>
        </w:rPr>
        <w:t>siempre</w:t>
      </w:r>
      <w:r w:rsidRPr="007E2963">
        <w:rPr>
          <w:rFonts w:ascii="Verdana" w:hAnsi="Verdana"/>
          <w:spacing w:val="-8"/>
          <w:sz w:val="20"/>
          <w:szCs w:val="20"/>
          <w:lang w:val="es-ES"/>
        </w:rPr>
        <w:t xml:space="preserve"> </w:t>
      </w:r>
      <w:r w:rsidRPr="007E2963">
        <w:rPr>
          <w:rFonts w:ascii="Verdana" w:hAnsi="Verdana"/>
          <w:sz w:val="20"/>
          <w:szCs w:val="20"/>
          <w:lang w:val="es-ES"/>
        </w:rPr>
        <w:t>y</w:t>
      </w:r>
      <w:r w:rsidRPr="007E2963">
        <w:rPr>
          <w:rFonts w:ascii="Verdana" w:hAnsi="Verdana"/>
          <w:spacing w:val="-10"/>
          <w:sz w:val="20"/>
          <w:szCs w:val="20"/>
          <w:lang w:val="es-ES"/>
        </w:rPr>
        <w:t xml:space="preserve"> </w:t>
      </w:r>
      <w:r w:rsidRPr="007E2963">
        <w:rPr>
          <w:rFonts w:ascii="Verdana" w:hAnsi="Verdana"/>
          <w:sz w:val="20"/>
          <w:szCs w:val="20"/>
          <w:lang w:val="es-ES"/>
        </w:rPr>
        <w:t>cuando</w:t>
      </w:r>
      <w:r w:rsidRPr="007E2963">
        <w:rPr>
          <w:rFonts w:ascii="Verdana" w:hAnsi="Verdana"/>
          <w:spacing w:val="-8"/>
          <w:sz w:val="20"/>
          <w:szCs w:val="20"/>
          <w:lang w:val="es-ES"/>
        </w:rPr>
        <w:t xml:space="preserve"> </w:t>
      </w:r>
      <w:r w:rsidRPr="007E2963">
        <w:rPr>
          <w:rFonts w:ascii="Verdana" w:hAnsi="Verdana"/>
          <w:sz w:val="20"/>
          <w:szCs w:val="20"/>
          <w:lang w:val="es-ES"/>
        </w:rPr>
        <w:t>se</w:t>
      </w:r>
      <w:r w:rsidRPr="007E2963">
        <w:rPr>
          <w:rFonts w:ascii="Verdana" w:hAnsi="Verdana"/>
          <w:spacing w:val="-9"/>
          <w:sz w:val="20"/>
          <w:szCs w:val="20"/>
          <w:lang w:val="es-ES"/>
        </w:rPr>
        <w:t xml:space="preserve"> </w:t>
      </w:r>
      <w:r w:rsidRPr="007E2963">
        <w:rPr>
          <w:rFonts w:ascii="Verdana" w:hAnsi="Verdana"/>
          <w:sz w:val="20"/>
          <w:szCs w:val="20"/>
          <w:lang w:val="es-ES"/>
        </w:rPr>
        <w:t>mantenga y manifieste una adecuada lactancia materno-continua.</w:t>
      </w:r>
    </w:p>
    <w:p w14:paraId="3DAD7639" w14:textId="77777777" w:rsidR="00526DB3" w:rsidRPr="007E2963" w:rsidRDefault="00526DB3" w:rsidP="00526DB3">
      <w:pPr>
        <w:widowControl w:val="0"/>
        <w:tabs>
          <w:tab w:val="left" w:pos="1167"/>
        </w:tabs>
        <w:autoSpaceDE w:val="0"/>
        <w:autoSpaceDN w:val="0"/>
        <w:spacing w:after="0" w:line="240" w:lineRule="auto"/>
        <w:ind w:left="709" w:right="709"/>
        <w:contextualSpacing/>
        <w:jc w:val="both"/>
        <w:rPr>
          <w:rFonts w:ascii="Verdana" w:hAnsi="Verdana"/>
          <w:sz w:val="20"/>
          <w:szCs w:val="20"/>
          <w:lang w:val="es-ES"/>
        </w:rPr>
      </w:pPr>
    </w:p>
    <w:p w14:paraId="429D344F" w14:textId="77777777" w:rsidR="00526DB3" w:rsidRPr="007E2963" w:rsidRDefault="00526DB3" w:rsidP="00526DB3">
      <w:pPr>
        <w:widowControl w:val="0"/>
        <w:numPr>
          <w:ilvl w:val="0"/>
          <w:numId w:val="17"/>
        </w:numPr>
        <w:tabs>
          <w:tab w:val="left" w:pos="1241"/>
        </w:tabs>
        <w:autoSpaceDE w:val="0"/>
        <w:autoSpaceDN w:val="0"/>
        <w:spacing w:after="0" w:line="240" w:lineRule="auto"/>
        <w:ind w:left="709" w:right="709" w:firstLine="0"/>
        <w:contextualSpacing/>
        <w:jc w:val="both"/>
        <w:rPr>
          <w:rFonts w:ascii="Verdana" w:hAnsi="Verdana"/>
          <w:sz w:val="20"/>
          <w:szCs w:val="20"/>
          <w:lang w:val="es-ES"/>
        </w:rPr>
      </w:pPr>
      <w:r w:rsidRPr="007E2963">
        <w:rPr>
          <w:rFonts w:ascii="Verdana" w:hAnsi="Verdana"/>
          <w:sz w:val="20"/>
          <w:szCs w:val="20"/>
          <w:lang w:val="es-ES"/>
        </w:rPr>
        <w:t>El</w:t>
      </w:r>
      <w:r w:rsidRPr="007E2963">
        <w:rPr>
          <w:rFonts w:ascii="Verdana" w:hAnsi="Verdana"/>
          <w:spacing w:val="-2"/>
          <w:sz w:val="20"/>
          <w:szCs w:val="20"/>
          <w:lang w:val="es-ES"/>
        </w:rPr>
        <w:t xml:space="preserve"> </w:t>
      </w:r>
      <w:r w:rsidRPr="007E2963">
        <w:rPr>
          <w:rFonts w:ascii="Verdana" w:hAnsi="Verdana"/>
          <w:sz w:val="20"/>
          <w:szCs w:val="20"/>
          <w:lang w:val="es-ES"/>
        </w:rPr>
        <w:t>empleador está</w:t>
      </w:r>
      <w:r w:rsidRPr="007E2963">
        <w:rPr>
          <w:rFonts w:ascii="Verdana" w:hAnsi="Verdana"/>
          <w:spacing w:val="-1"/>
          <w:sz w:val="20"/>
          <w:szCs w:val="20"/>
          <w:lang w:val="es-ES"/>
        </w:rPr>
        <w:t xml:space="preserve"> </w:t>
      </w:r>
      <w:r w:rsidRPr="007E2963">
        <w:rPr>
          <w:rFonts w:ascii="Verdana" w:hAnsi="Verdana"/>
          <w:sz w:val="20"/>
          <w:szCs w:val="20"/>
          <w:lang w:val="es-ES"/>
        </w:rPr>
        <w:t>en</w:t>
      </w:r>
      <w:r w:rsidRPr="007E2963">
        <w:rPr>
          <w:rFonts w:ascii="Verdana" w:hAnsi="Verdana"/>
          <w:spacing w:val="-2"/>
          <w:sz w:val="20"/>
          <w:szCs w:val="20"/>
          <w:lang w:val="es-ES"/>
        </w:rPr>
        <w:t xml:space="preserve"> </w:t>
      </w:r>
      <w:r w:rsidRPr="007E2963">
        <w:rPr>
          <w:rFonts w:ascii="Verdana" w:hAnsi="Verdana"/>
          <w:sz w:val="20"/>
          <w:szCs w:val="20"/>
          <w:lang w:val="es-ES"/>
        </w:rPr>
        <w:t>la</w:t>
      </w:r>
      <w:r w:rsidRPr="007E2963">
        <w:rPr>
          <w:rFonts w:ascii="Verdana" w:hAnsi="Verdana"/>
          <w:spacing w:val="-2"/>
          <w:sz w:val="20"/>
          <w:szCs w:val="20"/>
          <w:lang w:val="es-ES"/>
        </w:rPr>
        <w:t xml:space="preserve"> </w:t>
      </w:r>
      <w:r w:rsidRPr="007E2963">
        <w:rPr>
          <w:rFonts w:ascii="Verdana" w:hAnsi="Verdana"/>
          <w:sz w:val="20"/>
          <w:szCs w:val="20"/>
          <w:lang w:val="es-ES"/>
        </w:rPr>
        <w:t>obligación de</w:t>
      </w:r>
      <w:r w:rsidRPr="007E2963">
        <w:rPr>
          <w:rFonts w:ascii="Verdana" w:hAnsi="Verdana"/>
          <w:spacing w:val="-2"/>
          <w:sz w:val="20"/>
          <w:szCs w:val="20"/>
          <w:lang w:val="es-ES"/>
        </w:rPr>
        <w:t xml:space="preserve"> </w:t>
      </w:r>
      <w:r w:rsidRPr="007E2963">
        <w:rPr>
          <w:rFonts w:ascii="Verdana" w:hAnsi="Verdana"/>
          <w:sz w:val="20"/>
          <w:szCs w:val="20"/>
          <w:lang w:val="es-ES"/>
        </w:rPr>
        <w:t>conceder más</w:t>
      </w:r>
      <w:r w:rsidRPr="007E2963">
        <w:rPr>
          <w:rFonts w:ascii="Verdana" w:hAnsi="Verdana"/>
          <w:spacing w:val="-2"/>
          <w:sz w:val="20"/>
          <w:szCs w:val="20"/>
          <w:lang w:val="es-ES"/>
        </w:rPr>
        <w:t xml:space="preserve"> </w:t>
      </w:r>
      <w:r w:rsidRPr="007E2963">
        <w:rPr>
          <w:rFonts w:ascii="Verdana" w:hAnsi="Verdana"/>
          <w:sz w:val="20"/>
          <w:szCs w:val="20"/>
          <w:lang w:val="es-ES"/>
        </w:rPr>
        <w:t>descansos que</w:t>
      </w:r>
      <w:r w:rsidRPr="007E2963">
        <w:rPr>
          <w:rFonts w:ascii="Verdana" w:hAnsi="Verdana"/>
          <w:spacing w:val="-2"/>
          <w:sz w:val="20"/>
          <w:szCs w:val="20"/>
          <w:lang w:val="es-ES"/>
        </w:rPr>
        <w:t xml:space="preserve"> </w:t>
      </w:r>
      <w:r w:rsidRPr="007E2963">
        <w:rPr>
          <w:rFonts w:ascii="Verdana" w:hAnsi="Verdana"/>
          <w:sz w:val="20"/>
          <w:szCs w:val="20"/>
          <w:lang w:val="es-ES"/>
        </w:rPr>
        <w:t>los establecidos en el inciso anterior si lo trabajadora presenta certificado médico en el cual se expongan las razones que justifiquen ese mayor número de descansos.</w:t>
      </w:r>
    </w:p>
    <w:p w14:paraId="23EC9F1B"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lang w:val="es-ES"/>
        </w:rPr>
      </w:pPr>
    </w:p>
    <w:p w14:paraId="47A09192" w14:textId="77777777" w:rsidR="00526DB3" w:rsidRPr="007E2963" w:rsidRDefault="00526DB3" w:rsidP="00526DB3">
      <w:pPr>
        <w:widowControl w:val="0"/>
        <w:numPr>
          <w:ilvl w:val="0"/>
          <w:numId w:val="17"/>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7E2963">
        <w:rPr>
          <w:rFonts w:ascii="Verdana" w:hAnsi="Verdana"/>
          <w:sz w:val="20"/>
          <w:szCs w:val="20"/>
          <w:lang w:val="es-ES"/>
        </w:rPr>
        <w:t>Para dar cumplimiento a la obligación consagrada en este artículo, los empleadores deben establecer en un local contiguo a aquel en donde la mujer</w:t>
      </w:r>
      <w:r w:rsidRPr="007E2963">
        <w:rPr>
          <w:rFonts w:ascii="Verdana" w:hAnsi="Verdana"/>
          <w:spacing w:val="-4"/>
          <w:sz w:val="20"/>
          <w:szCs w:val="20"/>
          <w:lang w:val="es-ES"/>
        </w:rPr>
        <w:t xml:space="preserve"> </w:t>
      </w:r>
      <w:r w:rsidRPr="007E2963">
        <w:rPr>
          <w:rFonts w:ascii="Verdana" w:hAnsi="Verdana"/>
          <w:sz w:val="20"/>
          <w:szCs w:val="20"/>
          <w:lang w:val="es-ES"/>
        </w:rPr>
        <w:t>trabaja,</w:t>
      </w:r>
      <w:r w:rsidRPr="007E2963">
        <w:rPr>
          <w:rFonts w:ascii="Verdana" w:hAnsi="Verdana"/>
          <w:spacing w:val="-3"/>
          <w:sz w:val="20"/>
          <w:szCs w:val="20"/>
          <w:lang w:val="es-ES"/>
        </w:rPr>
        <w:t xml:space="preserve"> </w:t>
      </w:r>
      <w:r w:rsidRPr="007E2963">
        <w:rPr>
          <w:rFonts w:ascii="Verdana" w:hAnsi="Verdana"/>
          <w:sz w:val="20"/>
          <w:szCs w:val="20"/>
          <w:lang w:val="es-ES"/>
        </w:rPr>
        <w:t>una</w:t>
      </w:r>
      <w:r w:rsidRPr="007E2963">
        <w:rPr>
          <w:rFonts w:ascii="Verdana" w:hAnsi="Verdana"/>
          <w:spacing w:val="-5"/>
          <w:sz w:val="20"/>
          <w:szCs w:val="20"/>
          <w:lang w:val="es-ES"/>
        </w:rPr>
        <w:t xml:space="preserve"> </w:t>
      </w:r>
      <w:r w:rsidRPr="007E2963">
        <w:rPr>
          <w:rFonts w:ascii="Verdana" w:hAnsi="Verdana"/>
          <w:sz w:val="20"/>
          <w:szCs w:val="20"/>
          <w:lang w:val="es-ES"/>
        </w:rPr>
        <w:t>sala</w:t>
      </w:r>
      <w:r w:rsidRPr="007E2963">
        <w:rPr>
          <w:rFonts w:ascii="Verdana" w:hAnsi="Verdana"/>
          <w:spacing w:val="-5"/>
          <w:sz w:val="20"/>
          <w:szCs w:val="20"/>
          <w:lang w:val="es-ES"/>
        </w:rPr>
        <w:t xml:space="preserve"> </w:t>
      </w:r>
      <w:r w:rsidRPr="007E2963">
        <w:rPr>
          <w:rFonts w:ascii="Verdana" w:hAnsi="Verdana"/>
          <w:sz w:val="20"/>
          <w:szCs w:val="20"/>
          <w:lang w:val="es-ES"/>
        </w:rPr>
        <w:t>de</w:t>
      </w:r>
      <w:r w:rsidRPr="007E2963">
        <w:rPr>
          <w:rFonts w:ascii="Verdana" w:hAnsi="Verdana"/>
          <w:spacing w:val="-5"/>
          <w:sz w:val="20"/>
          <w:szCs w:val="20"/>
          <w:lang w:val="es-ES"/>
        </w:rPr>
        <w:t xml:space="preserve"> </w:t>
      </w:r>
      <w:r w:rsidRPr="007E2963">
        <w:rPr>
          <w:rFonts w:ascii="Verdana" w:hAnsi="Verdana"/>
          <w:sz w:val="20"/>
          <w:szCs w:val="20"/>
          <w:lang w:val="es-ES"/>
        </w:rPr>
        <w:t>lactancia</w:t>
      </w:r>
      <w:r w:rsidRPr="007E2963">
        <w:rPr>
          <w:rFonts w:ascii="Verdana" w:hAnsi="Verdana"/>
          <w:spacing w:val="-3"/>
          <w:sz w:val="20"/>
          <w:szCs w:val="20"/>
          <w:lang w:val="es-ES"/>
        </w:rPr>
        <w:t xml:space="preserve"> </w:t>
      </w:r>
      <w:r w:rsidRPr="007E2963">
        <w:rPr>
          <w:rFonts w:ascii="Verdana" w:hAnsi="Verdana"/>
          <w:sz w:val="20"/>
          <w:szCs w:val="20"/>
          <w:lang w:val="es-ES"/>
        </w:rPr>
        <w:t>o</w:t>
      </w:r>
      <w:r w:rsidRPr="007E2963">
        <w:rPr>
          <w:rFonts w:ascii="Verdana" w:hAnsi="Verdana"/>
          <w:spacing w:val="-6"/>
          <w:sz w:val="20"/>
          <w:szCs w:val="20"/>
          <w:lang w:val="es-ES"/>
        </w:rPr>
        <w:t xml:space="preserve"> </w:t>
      </w:r>
      <w:r w:rsidRPr="007E2963">
        <w:rPr>
          <w:rFonts w:ascii="Verdana" w:hAnsi="Verdana"/>
          <w:sz w:val="20"/>
          <w:szCs w:val="20"/>
          <w:lang w:val="es-ES"/>
        </w:rPr>
        <w:t>un</w:t>
      </w:r>
      <w:r w:rsidRPr="007E2963">
        <w:rPr>
          <w:rFonts w:ascii="Verdana" w:hAnsi="Verdana"/>
          <w:spacing w:val="-5"/>
          <w:sz w:val="20"/>
          <w:szCs w:val="20"/>
          <w:lang w:val="es-ES"/>
        </w:rPr>
        <w:t xml:space="preserve"> </w:t>
      </w:r>
      <w:r w:rsidRPr="007E2963">
        <w:rPr>
          <w:rFonts w:ascii="Verdana" w:hAnsi="Verdana"/>
          <w:sz w:val="20"/>
          <w:szCs w:val="20"/>
          <w:lang w:val="es-ES"/>
        </w:rPr>
        <w:t>lugar</w:t>
      </w:r>
      <w:r w:rsidRPr="007E2963">
        <w:rPr>
          <w:rFonts w:ascii="Verdana" w:hAnsi="Verdana"/>
          <w:spacing w:val="-4"/>
          <w:sz w:val="20"/>
          <w:szCs w:val="20"/>
          <w:lang w:val="es-ES"/>
        </w:rPr>
        <w:t xml:space="preserve"> </w:t>
      </w:r>
      <w:r w:rsidRPr="007E2963">
        <w:rPr>
          <w:rFonts w:ascii="Verdana" w:hAnsi="Verdana"/>
          <w:sz w:val="20"/>
          <w:szCs w:val="20"/>
          <w:lang w:val="es-ES"/>
        </w:rPr>
        <w:t>apropiado</w:t>
      </w:r>
      <w:r w:rsidRPr="007E2963">
        <w:rPr>
          <w:rFonts w:ascii="Verdana" w:hAnsi="Verdana"/>
          <w:spacing w:val="-3"/>
          <w:sz w:val="20"/>
          <w:szCs w:val="20"/>
          <w:lang w:val="es-ES"/>
        </w:rPr>
        <w:t xml:space="preserve"> </w:t>
      </w:r>
      <w:r w:rsidRPr="007E2963">
        <w:rPr>
          <w:rFonts w:ascii="Verdana" w:hAnsi="Verdana"/>
          <w:sz w:val="20"/>
          <w:szCs w:val="20"/>
          <w:lang w:val="es-ES"/>
        </w:rPr>
        <w:t>para</w:t>
      </w:r>
      <w:r w:rsidRPr="007E2963">
        <w:rPr>
          <w:rFonts w:ascii="Verdana" w:hAnsi="Verdana"/>
          <w:spacing w:val="-5"/>
          <w:sz w:val="20"/>
          <w:szCs w:val="20"/>
          <w:lang w:val="es-ES"/>
        </w:rPr>
        <w:t xml:space="preserve"> </w:t>
      </w:r>
      <w:r w:rsidRPr="007E2963">
        <w:rPr>
          <w:rFonts w:ascii="Verdana" w:hAnsi="Verdana"/>
          <w:sz w:val="20"/>
          <w:szCs w:val="20"/>
          <w:lang w:val="es-ES"/>
        </w:rPr>
        <w:t>guardar</w:t>
      </w:r>
      <w:r w:rsidRPr="007E2963">
        <w:rPr>
          <w:rFonts w:ascii="Verdana" w:hAnsi="Verdana"/>
          <w:spacing w:val="-4"/>
          <w:sz w:val="20"/>
          <w:szCs w:val="20"/>
          <w:lang w:val="es-ES"/>
        </w:rPr>
        <w:t xml:space="preserve"> </w:t>
      </w:r>
      <w:r w:rsidRPr="007E2963">
        <w:rPr>
          <w:rFonts w:ascii="Verdana" w:hAnsi="Verdana"/>
          <w:sz w:val="20"/>
          <w:szCs w:val="20"/>
          <w:lang w:val="es-ES"/>
        </w:rPr>
        <w:t xml:space="preserve">al </w:t>
      </w:r>
      <w:r w:rsidRPr="007E2963">
        <w:rPr>
          <w:rFonts w:ascii="Verdana" w:hAnsi="Verdana"/>
          <w:spacing w:val="-2"/>
          <w:sz w:val="20"/>
          <w:szCs w:val="20"/>
          <w:lang w:val="es-ES"/>
        </w:rPr>
        <w:t>niño.</w:t>
      </w:r>
    </w:p>
    <w:p w14:paraId="75FD61CE"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lang w:val="es-ES"/>
        </w:rPr>
      </w:pPr>
    </w:p>
    <w:p w14:paraId="149E1EE3" w14:textId="77777777" w:rsidR="00526DB3" w:rsidRPr="007E2963" w:rsidRDefault="00526DB3" w:rsidP="00526DB3">
      <w:pPr>
        <w:widowControl w:val="0"/>
        <w:numPr>
          <w:ilvl w:val="0"/>
          <w:numId w:val="17"/>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7E2963">
        <w:rPr>
          <w:rFonts w:ascii="Verdana" w:hAnsi="Verdana"/>
          <w:sz w:val="20"/>
          <w:szCs w:val="20"/>
          <w:lang w:val="es-ES"/>
        </w:rPr>
        <w:t>Los empleadores pueden contratar con las instituciones de protección infantil el inciso anterior”.</w:t>
      </w:r>
    </w:p>
    <w:p w14:paraId="1113B878" w14:textId="77777777" w:rsidR="00526DB3" w:rsidRPr="007E2963" w:rsidRDefault="00526DB3" w:rsidP="00526DB3">
      <w:pPr>
        <w:spacing w:after="0" w:line="240" w:lineRule="auto"/>
        <w:ind w:right="49" w:firstLine="709"/>
        <w:jc w:val="both"/>
        <w:rPr>
          <w:rFonts w:ascii="Verdana" w:eastAsia="Arial" w:hAnsi="Verdana" w:cs="Arial"/>
          <w:lang w:val="es-ES"/>
        </w:rPr>
      </w:pPr>
    </w:p>
    <w:p w14:paraId="3C988A71"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lang w:val="es-ES"/>
        </w:rPr>
      </w:pPr>
      <w:r w:rsidRPr="007E2963">
        <w:rPr>
          <w:rFonts w:ascii="Verdana" w:eastAsia="Arial" w:hAnsi="Verdana" w:cs="Arial"/>
          <w:lang w:val="es-ES"/>
        </w:rPr>
        <w:t xml:space="preserve">Según se deprende del texto transcrito, la norma concede un descanso remunerado para las trabajadoras durante el periodo de lactancia de la siguiente forma: i) hasta los seis (6) meses de edad, los empleadores deben conceder dos (2) descansos de treinta (30) minutos cada uno durante la jornada laboral y; </w:t>
      </w:r>
      <w:proofErr w:type="spellStart"/>
      <w:r w:rsidRPr="007E2963">
        <w:rPr>
          <w:rFonts w:ascii="Verdana" w:eastAsia="Arial" w:hAnsi="Verdana" w:cs="Arial"/>
          <w:lang w:val="es-ES"/>
        </w:rPr>
        <w:t>ii</w:t>
      </w:r>
      <w:proofErr w:type="spellEnd"/>
      <w:r w:rsidRPr="007E2963">
        <w:rPr>
          <w:rFonts w:ascii="Verdana" w:eastAsia="Arial" w:hAnsi="Verdana" w:cs="Arial"/>
          <w:lang w:val="es-ES"/>
        </w:rPr>
        <w:t>) de los seis (6) en adelante y hasta los dos (2) años de edad, se debe conceder a la trabajadora un descanso de treinta (30) minutos durante la jornada laboral, sin que estos descansos impliquen una disminución en el salario devengado.</w:t>
      </w:r>
    </w:p>
    <w:p w14:paraId="4303E964"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lang w:val="es-ES"/>
        </w:rPr>
        <w:t xml:space="preserve">Ahora bien, </w:t>
      </w:r>
      <w:r w:rsidRPr="007E2963">
        <w:rPr>
          <w:rFonts w:ascii="Verdana" w:eastAsia="Arial" w:hAnsi="Verdana" w:cs="Arial"/>
        </w:rPr>
        <w:t xml:space="preserve">en relación con la prohibición de despido consagrada en el artículo 239 del Código Sustantivo de Trabajo por motivo del embarazo o la </w:t>
      </w:r>
      <w:r w:rsidRPr="007E2963">
        <w:rPr>
          <w:rFonts w:ascii="Verdana" w:eastAsia="Arial" w:hAnsi="Verdana" w:cs="Arial"/>
        </w:rPr>
        <w:lastRenderedPageBreak/>
        <w:t xml:space="preserve">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081D8117"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r w:rsidRPr="007E2963">
        <w:rPr>
          <w:rFonts w:ascii="Verdana" w:eastAsia="Arial" w:hAnsi="Verdana" w:cs="Arial"/>
        </w:rPr>
        <w:t xml:space="preserve">Sobre este punto, en el concepto C-078 de 2024, así como en los conceptos C-300 del 21 de agosto de 2024, C-922 del 8 de diciembre de 2024, 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Al respecto señaló en repetidas ocasiones: </w:t>
      </w:r>
    </w:p>
    <w:p w14:paraId="6EEE0813"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p>
    <w:p w14:paraId="3CB8AE00"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rPr>
      </w:pPr>
      <w:r w:rsidRPr="007E2963">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propios de la relación laboral - “empleador”, “trabajadora”. Asimismo, regula unos “descansos remunerados”, que son un derecho propio de una relación laboral. </w:t>
      </w:r>
    </w:p>
    <w:p w14:paraId="13F7FB76"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rPr>
      </w:pPr>
    </w:p>
    <w:p w14:paraId="2B769FF5"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rPr>
      </w:pPr>
      <w:r w:rsidRPr="007E2963">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00E3356D"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rPr>
      </w:pPr>
    </w:p>
    <w:p w14:paraId="27854BA6"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sz w:val="20"/>
          <w:szCs w:val="20"/>
        </w:rPr>
      </w:pPr>
      <w:r w:rsidRPr="007E2963">
        <w:rPr>
          <w:rFonts w:ascii="Verdana" w:eastAsia="Arial" w:hAnsi="Verdana" w:cs="Arial"/>
          <w:sz w:val="20"/>
          <w:szCs w:val="20"/>
        </w:rPr>
        <w:t xml:space="preserve">Habiendo efectuado la precisión anterior, puede afirmarse que lo previsto </w:t>
      </w:r>
      <w:r w:rsidRPr="007E2963">
        <w:rPr>
          <w:rFonts w:ascii="Verdana" w:eastAsia="Arial" w:hAnsi="Verdana" w:cs="Arial"/>
          <w:sz w:val="20"/>
          <w:szCs w:val="20"/>
        </w:rPr>
        <w:lastRenderedPageBreak/>
        <w:t>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3FB3E9DC" w14:textId="77777777" w:rsidR="00526DB3" w:rsidRPr="007E2963" w:rsidRDefault="00526DB3" w:rsidP="00D93FFA">
      <w:pPr>
        <w:widowControl w:val="0"/>
        <w:autoSpaceDE w:val="0"/>
        <w:autoSpaceDN w:val="0"/>
        <w:spacing w:after="0" w:line="276" w:lineRule="auto"/>
        <w:ind w:left="709" w:right="616"/>
        <w:jc w:val="both"/>
        <w:rPr>
          <w:rFonts w:ascii="Verdana" w:eastAsia="Arial" w:hAnsi="Verdana" w:cs="Arial"/>
        </w:rPr>
      </w:pPr>
    </w:p>
    <w:p w14:paraId="741F77FF"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trabajadoras. </w:t>
      </w:r>
    </w:p>
    <w:p w14:paraId="764B5656"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No obstante lo anterior, a partir de los pronunciamientos más recientes de la Corte Constitucional y luego de un análisis más detallado del alcance constitucional de la protección a la maternidad, esta Agencia, mediante Concepto CU-308 de 2026, aclaró su postura frente a la aplicación del fuero de maternidad durante el periodo de lactancia en los términos que se exponen a continuación. </w:t>
      </w:r>
    </w:p>
    <w:p w14:paraId="433C263D"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que la lactancia constituye un derecho fundamental, cuya efectividad exige que el entorno laboral ofrezca condiciones reales para su ejercicio, sin generar discriminación ni poner en riesgo la estabilidad de las mujeres</w:t>
      </w:r>
      <w:r w:rsidRPr="007E2963">
        <w:rPr>
          <w:rStyle w:val="Refdenotaalpie"/>
          <w:rFonts w:ascii="Verdana" w:eastAsia="Arial" w:hAnsi="Verdana" w:cs="Arial"/>
        </w:rPr>
        <w:footnoteReference w:id="27"/>
      </w:r>
      <w:r w:rsidRPr="007E2963">
        <w:rPr>
          <w:rFonts w:ascii="Verdana" w:eastAsia="Arial" w:hAnsi="Verdana" w:cs="Arial"/>
        </w:rPr>
        <w:t xml:space="preserve">. </w:t>
      </w:r>
    </w:p>
    <w:p w14:paraId="7593DBE2"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w:t>
      </w:r>
      <w:r w:rsidRPr="007E2963">
        <w:rPr>
          <w:rFonts w:ascii="Verdana" w:eastAsia="Arial" w:hAnsi="Verdana" w:cs="Arial"/>
        </w:rPr>
        <w:lastRenderedPageBreak/>
        <w:t xml:space="preserve">derechos de las mujeres y de </w:t>
      </w:r>
      <w:proofErr w:type="gramStart"/>
      <w:r w:rsidRPr="007E2963">
        <w:rPr>
          <w:rFonts w:ascii="Verdana" w:eastAsia="Arial" w:hAnsi="Verdana" w:cs="Arial"/>
        </w:rPr>
        <w:t>los niños y niñas</w:t>
      </w:r>
      <w:proofErr w:type="gramEnd"/>
      <w:r w:rsidRPr="007E2963">
        <w:rPr>
          <w:rFonts w:ascii="Verdana" w:eastAsia="Arial" w:hAnsi="Verdana" w:cs="Arial"/>
        </w:rPr>
        <w:t xml:space="preserve">. </w:t>
      </w:r>
    </w:p>
    <w:p w14:paraId="44675241"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4ACB69D8"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condiciones. </w:t>
      </w:r>
    </w:p>
    <w:p w14:paraId="78A86253"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7E2963">
        <w:rPr>
          <w:rStyle w:val="Refdenotaalpie"/>
          <w:rFonts w:ascii="Verdana" w:eastAsia="Arial" w:hAnsi="Verdana" w:cs="Arial"/>
        </w:rPr>
        <w:footnoteReference w:id="28"/>
      </w:r>
      <w:r w:rsidRPr="007E2963">
        <w:rPr>
          <w:rFonts w:ascii="Verdana" w:eastAsia="Arial" w:hAnsi="Verdana" w:cs="Arial"/>
        </w:rPr>
        <w:t>, el cual se compone principalmente por tres garantías: (i) la prohibición general de despido por motivos de embarazo y lactancia; (</w:t>
      </w:r>
      <w:proofErr w:type="spellStart"/>
      <w:r w:rsidRPr="007E2963">
        <w:rPr>
          <w:rFonts w:ascii="Verdana" w:eastAsia="Arial" w:hAnsi="Verdana" w:cs="Arial"/>
        </w:rPr>
        <w:t>ii</w:t>
      </w:r>
      <w:proofErr w:type="spellEnd"/>
      <w:r w:rsidRPr="007E2963">
        <w:rPr>
          <w:rFonts w:ascii="Verdana" w:eastAsia="Arial" w:hAnsi="Verdana" w:cs="Arial"/>
        </w:rPr>
        <w:t>) la prohibición específica de despido durante la licencia de maternidad preparto y postparto; y (</w:t>
      </w:r>
      <w:proofErr w:type="spellStart"/>
      <w:r w:rsidRPr="007E2963">
        <w:rPr>
          <w:rFonts w:ascii="Verdana" w:eastAsia="Arial" w:hAnsi="Verdana" w:cs="Arial"/>
        </w:rPr>
        <w:t>iii</w:t>
      </w:r>
      <w:proofErr w:type="spellEnd"/>
      <w:r w:rsidRPr="007E2963">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6ED108B4"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w:t>
      </w:r>
      <w:r w:rsidRPr="007E2963">
        <w:rPr>
          <w:rFonts w:ascii="Verdana" w:eastAsia="Arial" w:hAnsi="Verdana" w:cs="Arial"/>
        </w:rPr>
        <w:lastRenderedPageBreak/>
        <w:t xml:space="preserve">lactancia. </w:t>
      </w:r>
    </w:p>
    <w:p w14:paraId="6447D9A6"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3375A3AD"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4314ECAE"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7E2963">
        <w:rPr>
          <w:rStyle w:val="Refdenotaalpie"/>
          <w:rFonts w:ascii="Verdana" w:eastAsia="Arial" w:hAnsi="Verdana" w:cs="Arial"/>
        </w:rPr>
        <w:footnoteReference w:id="29"/>
      </w:r>
      <w:r w:rsidRPr="007E2963">
        <w:rPr>
          <w:rFonts w:ascii="Verdana" w:eastAsia="Arial" w:hAnsi="Verdana" w:cs="Arial"/>
        </w:rPr>
        <w:t xml:space="preserve">. </w:t>
      </w:r>
    </w:p>
    <w:p w14:paraId="14C897F8"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w:t>
      </w:r>
      <w:r w:rsidRPr="007E2963">
        <w:rPr>
          <w:rFonts w:ascii="Verdana" w:eastAsia="Arial" w:hAnsi="Verdana" w:cs="Arial"/>
        </w:rPr>
        <w:lastRenderedPageBreak/>
        <w:t xml:space="preserve">vínculo laboral. Sin embargo, la desvinculación solo será constitucionalmente admisible si se funda en una justa causa debidamente acreditada. </w:t>
      </w:r>
    </w:p>
    <w:p w14:paraId="6E7AC6E1"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7E2963">
        <w:rPr>
          <w:rFonts w:ascii="Verdana" w:eastAsia="Arial" w:hAnsi="Verdana" w:cs="Arial"/>
        </w:rPr>
        <w:t>en razón de</w:t>
      </w:r>
      <w:proofErr w:type="gramEnd"/>
      <w:r w:rsidRPr="007E2963">
        <w:rPr>
          <w:rFonts w:ascii="Verdana" w:eastAsia="Arial" w:hAnsi="Verdana" w:cs="Arial"/>
        </w:rPr>
        <w:t xml:space="preserve"> la condición de lactancia. Por consiguiente, durante este periodo la trabajadora tiene la carga de probar la ocurrencia de un acto discriminatorio”. </w:t>
      </w:r>
    </w:p>
    <w:p w14:paraId="772C9202"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Igualmente, en la Sentencia T-333 de 2025, en la cual se precisó que el fuero de maternidad no constituye una regla única e indivisible, sino un conjunto 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de forma parcial, recayendo en la trabajadora o contratista, según corresponda, la carga de acreditar el carácter discriminatorio del despido, con libertad probatoria y a partir de una valoración integral del contexto laboral. </w:t>
      </w:r>
    </w:p>
    <w:p w14:paraId="03EA42B4"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r w:rsidRPr="007E2963">
        <w:rPr>
          <w:rFonts w:ascii="Verdana" w:eastAsia="Arial" w:hAnsi="Verdana" w:cs="Arial"/>
        </w:rPr>
        <w:t>Este entendimiento fue reafirmado en la Sentencia T-014 de 2026, a la que hace referencia en su petición,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presunción de despido discriminatorio ni el término de autorización previa. Al respecto señaló:</w:t>
      </w:r>
    </w:p>
    <w:p w14:paraId="4D0D9D20"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p>
    <w:p w14:paraId="1E51B523" w14:textId="77777777" w:rsidR="00526DB3" w:rsidRPr="007E2963" w:rsidRDefault="00526DB3" w:rsidP="00526DB3">
      <w:pPr>
        <w:widowControl w:val="0"/>
        <w:autoSpaceDE w:val="0"/>
        <w:autoSpaceDN w:val="0"/>
        <w:spacing w:after="0" w:line="240" w:lineRule="auto"/>
        <w:ind w:left="709" w:right="709"/>
        <w:jc w:val="both"/>
        <w:rPr>
          <w:rFonts w:ascii="Verdana" w:eastAsia="Arial" w:hAnsi="Verdana" w:cs="Arial"/>
        </w:rPr>
      </w:pPr>
      <w:r w:rsidRPr="007E2963">
        <w:rPr>
          <w:rFonts w:ascii="Verdana" w:eastAsia="Arial" w:hAnsi="Verdana" w:cs="Arial"/>
          <w:sz w:val="20"/>
          <w:szCs w:val="20"/>
        </w:rPr>
        <w:t>“De acuerdo con los artículos 239, 240 y 241 del Código Sustantivo del Trabajo y la jurisprudencia constitucional, el fuero de maternidad ofrece a las gestantes las siguientes medidas de protección: (i) impone una prohibición general de despido por motivo de embarazo; (</w:t>
      </w:r>
      <w:proofErr w:type="spellStart"/>
      <w:r w:rsidRPr="007E2963">
        <w:rPr>
          <w:rFonts w:ascii="Verdana" w:eastAsia="Arial" w:hAnsi="Verdana" w:cs="Arial"/>
          <w:sz w:val="20"/>
          <w:szCs w:val="20"/>
        </w:rPr>
        <w:t>ii</w:t>
      </w:r>
      <w:proofErr w:type="spellEnd"/>
      <w:r w:rsidRPr="007E2963">
        <w:rPr>
          <w:rFonts w:ascii="Verdana" w:eastAsia="Arial" w:hAnsi="Verdana" w:cs="Arial"/>
          <w:sz w:val="20"/>
          <w:szCs w:val="20"/>
        </w:rPr>
        <w:t xml:space="preserve">) dispone que, para que sea legal el despido de una trabajadora durante el período de embarazo, el empleador necesita a) demostrar una justa causa y b) contar </w:t>
      </w:r>
      <w:r w:rsidRPr="007E2963">
        <w:rPr>
          <w:rFonts w:ascii="Verdana" w:eastAsia="Arial" w:hAnsi="Verdana" w:cs="Arial"/>
          <w:sz w:val="20"/>
          <w:szCs w:val="20"/>
        </w:rPr>
        <w:lastRenderedPageBreak/>
        <w:t>con la autorización del inspector del trabajo; (</w:t>
      </w:r>
      <w:proofErr w:type="spellStart"/>
      <w:r w:rsidRPr="007E2963">
        <w:rPr>
          <w:rFonts w:ascii="Verdana" w:eastAsia="Arial" w:hAnsi="Verdana" w:cs="Arial"/>
          <w:sz w:val="20"/>
          <w:szCs w:val="20"/>
        </w:rPr>
        <w:t>iii</w:t>
      </w:r>
      <w:proofErr w:type="spellEnd"/>
      <w:r w:rsidRPr="007E2963">
        <w:rPr>
          <w:rFonts w:ascii="Verdana" w:eastAsia="Arial" w:hAnsi="Verdana" w:cs="Arial"/>
          <w:sz w:val="20"/>
          <w:szCs w:val="20"/>
        </w:rPr>
        <w:t>) prevé una indemnización por despido sin autorización del Ministerio del Trabajo, la cual es independiente de los salarios y prestaciones a los cuales tiene derecho la trabajadora de acuerdo con el contrato de trabajo; (</w:t>
      </w:r>
      <w:proofErr w:type="spellStart"/>
      <w:r w:rsidRPr="007E2963">
        <w:rPr>
          <w:rFonts w:ascii="Verdana" w:eastAsia="Arial" w:hAnsi="Verdana" w:cs="Arial"/>
          <w:sz w:val="20"/>
          <w:szCs w:val="20"/>
        </w:rPr>
        <w:t>iv</w:t>
      </w:r>
      <w:proofErr w:type="spellEnd"/>
      <w:r w:rsidRPr="007E2963">
        <w:rPr>
          <w:rFonts w:ascii="Verdana" w:eastAsia="Arial" w:hAnsi="Verdana" w:cs="Arial"/>
          <w:sz w:val="20"/>
          <w:szCs w:val="20"/>
        </w:rPr>
        <w:t>) garantiza el disfrute de la licencia de maternidad[175]; (v) impone la obligación para el empleador de mantener vinculada a la trabajadora que disfruta de la licencia de maternidad o lactancia. Además, sanciona con la ineficacia “el despido que el empleador comunique a la trabajadora en tales períodos”.</w:t>
      </w:r>
    </w:p>
    <w:p w14:paraId="3F9EB165"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p>
    <w:p w14:paraId="46083394"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del fuero de maternidad abarca el estado de gestación y el período de lactancia contemplado en el artículo 238 del Código, pero que la presunción de despido discriminatorio abarca el (menor) tiempo establecido en numeral 2º del artículo 239. </w:t>
      </w:r>
    </w:p>
    <w:p w14:paraId="43AF7DF8"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r w:rsidRPr="007E2963">
        <w:rPr>
          <w:rStyle w:val="Refdenotaalpie"/>
          <w:rFonts w:ascii="Verdana" w:eastAsia="Arial" w:hAnsi="Verdana" w:cs="Arial"/>
        </w:rPr>
        <w:footnoteReference w:id="30"/>
      </w:r>
      <w:r w:rsidRPr="007E2963">
        <w:rPr>
          <w:rFonts w:ascii="Verdana" w:eastAsia="Arial" w:hAnsi="Verdana" w:cs="Arial"/>
        </w:rPr>
        <w:t xml:space="preserve">. </w:t>
      </w:r>
    </w:p>
    <w:p w14:paraId="3E807EB1" w14:textId="77777777" w:rsidR="00526DB3" w:rsidRPr="007E2963" w:rsidRDefault="00526DB3" w:rsidP="00526DB3">
      <w:pPr>
        <w:widowControl w:val="0"/>
        <w:autoSpaceDE w:val="0"/>
        <w:autoSpaceDN w:val="0"/>
        <w:spacing w:after="120" w:line="276" w:lineRule="auto"/>
        <w:ind w:firstLine="709"/>
        <w:jc w:val="both"/>
        <w:rPr>
          <w:rFonts w:ascii="Verdana" w:eastAsia="Arial" w:hAnsi="Verdana" w:cs="Arial"/>
        </w:rPr>
      </w:pPr>
      <w:r w:rsidRPr="007E2963">
        <w:rPr>
          <w:rFonts w:ascii="Verdana" w:eastAsia="Arial" w:hAnsi="Verdana" w:cs="Arial"/>
        </w:rPr>
        <w:t xml:space="preserve">En este escenario, para acreditar que la desvinculación vulnera la prohibición general de despido discriminatorio, se requiere: (i) el contratante conoce el estado de embarazo de la contratista, </w:t>
      </w:r>
      <w:r w:rsidRPr="007E2963">
        <w:rPr>
          <w:rFonts w:ascii="Verdana" w:eastAsia="Arial" w:hAnsi="Verdana" w:cs="Arial"/>
          <w:i/>
        </w:rPr>
        <w:t>(</w:t>
      </w:r>
      <w:proofErr w:type="spellStart"/>
      <w:r w:rsidRPr="007E2963">
        <w:rPr>
          <w:rFonts w:ascii="Verdana" w:eastAsia="Arial" w:hAnsi="Verdana" w:cs="Arial"/>
          <w:i/>
        </w:rPr>
        <w:t>ii</w:t>
      </w:r>
      <w:proofErr w:type="spellEnd"/>
      <w:r w:rsidRPr="007E2963">
        <w:rPr>
          <w:rFonts w:ascii="Verdana" w:eastAsia="Arial" w:hAnsi="Verdana" w:cs="Arial"/>
          <w:i/>
        </w:rPr>
        <w:t xml:space="preserve">) subsiste la causa del contrato y </w:t>
      </w:r>
      <w:r w:rsidRPr="007E2963">
        <w:rPr>
          <w:rFonts w:ascii="Verdana" w:eastAsia="Arial" w:hAnsi="Verdana" w:cs="Arial"/>
        </w:rPr>
        <w:t>(</w:t>
      </w:r>
      <w:proofErr w:type="spellStart"/>
      <w:r w:rsidRPr="007E2963">
        <w:rPr>
          <w:rFonts w:ascii="Verdana" w:eastAsia="Arial" w:hAnsi="Verdana" w:cs="Arial"/>
        </w:rPr>
        <w:t>iii</w:t>
      </w:r>
      <w:proofErr w:type="spellEnd"/>
      <w:r w:rsidRPr="007E2963">
        <w:rPr>
          <w:rFonts w:ascii="Verdana" w:eastAsia="Arial" w:hAnsi="Verdana" w:cs="Arial"/>
        </w:rPr>
        <w:t xml:space="preserve">) no cuenta con permiso del inspector del trabajo para terminar el contrato- salvo el periodo posterior a las dieciocho (18) semanas del parto y hasta los dos </w:t>
      </w:r>
      <w:r w:rsidRPr="007E2963">
        <w:rPr>
          <w:rFonts w:ascii="Verdana" w:eastAsia="Arial" w:hAnsi="Verdana" w:cs="Arial"/>
        </w:rPr>
        <w:lastRenderedPageBreak/>
        <w:t xml:space="preserve">(2) años de lactancia, donde no requiere permiso del inspector-. En estos eventos procede la garantía de estabilidad reforzada por lo que la entidad deberá proceder a la renovación de la relación contractual, previo análisis del juez. </w:t>
      </w:r>
    </w:p>
    <w:p w14:paraId="62891FD8" w14:textId="77777777" w:rsidR="00526DB3" w:rsidRPr="007E2963" w:rsidRDefault="00526DB3" w:rsidP="00526DB3">
      <w:pPr>
        <w:widowControl w:val="0"/>
        <w:autoSpaceDE w:val="0"/>
        <w:autoSpaceDN w:val="0"/>
        <w:spacing w:after="0" w:line="276" w:lineRule="auto"/>
        <w:ind w:firstLine="709"/>
        <w:jc w:val="both"/>
        <w:rPr>
          <w:rFonts w:ascii="Verdana" w:eastAsia="Arial" w:hAnsi="Verdana" w:cs="Arial"/>
        </w:rPr>
      </w:pPr>
      <w:r w:rsidRPr="007E2963">
        <w:rPr>
          <w:rFonts w:ascii="Verdana" w:eastAsia="Arial" w:hAnsi="Verdana" w:cs="Arial"/>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41978F9D" w14:textId="77777777" w:rsidR="00526DB3" w:rsidRPr="007E2963" w:rsidRDefault="00526DB3" w:rsidP="00526DB3">
      <w:pPr>
        <w:widowControl w:val="0"/>
        <w:autoSpaceDE w:val="0"/>
        <w:autoSpaceDN w:val="0"/>
        <w:spacing w:after="0" w:line="276" w:lineRule="auto"/>
        <w:jc w:val="both"/>
        <w:rPr>
          <w:rFonts w:ascii="Verdana" w:eastAsia="Arial" w:hAnsi="Verdana" w:cs="Arial"/>
        </w:rPr>
      </w:pPr>
    </w:p>
    <w:p w14:paraId="5E6B8E27" w14:textId="43E566B3" w:rsidR="00976916" w:rsidRPr="007E2963" w:rsidRDefault="00526DB3" w:rsidP="00D93FFA">
      <w:pPr>
        <w:spacing w:after="120" w:line="276" w:lineRule="auto"/>
        <w:jc w:val="both"/>
        <w:rPr>
          <w:rFonts w:ascii="Verdana" w:hAnsi="Verdana"/>
        </w:rPr>
      </w:pPr>
      <w:proofErr w:type="spellStart"/>
      <w:r w:rsidRPr="007E2963">
        <w:rPr>
          <w:rFonts w:ascii="Verdana" w:eastAsia="Arial" w:hAnsi="Verdana" w:cs="Arial"/>
        </w:rPr>
        <w:t>iii</w:t>
      </w:r>
      <w:proofErr w:type="spellEnd"/>
      <w:r w:rsidR="0085518A" w:rsidRPr="007E2963">
        <w:rPr>
          <w:rFonts w:ascii="Verdana" w:eastAsia="Arial" w:hAnsi="Verdana" w:cs="Arial"/>
        </w:rPr>
        <w:t>)</w:t>
      </w:r>
      <w:r w:rsidRPr="007E2963">
        <w:rPr>
          <w:rFonts w:ascii="Verdana" w:eastAsia="Arial" w:hAnsi="Verdana" w:cs="Arial"/>
        </w:rPr>
        <w:t xml:space="preserve"> Finalmente, frente al último interrogante, conviene precisar que la protección reforzada no implica un derecho a permanecer indefinidamente vinculada, sino la garantía de no ser desvinculada por razón del embarazo o la lactancia mientras subsista la necesidad que originó la contratación. </w:t>
      </w:r>
      <w:r w:rsidR="00AD26F9" w:rsidRPr="007E2963">
        <w:rPr>
          <w:rFonts w:ascii="Verdana" w:hAnsi="Verdana"/>
        </w:rPr>
        <w:t xml:space="preserve">De lo anterior se desprende que, si la actividad inicial desaparece por agotamiento de una fuente de financiación externa y específica, ello constituye, en principio, una causa objetiva y ajena al estado de gestación, lo que desvirtúa la presunción de trato discriminatorio, en tanto no subsiste la causa del contrato ni, por tanto, un objeto susceptible de renovación. </w:t>
      </w:r>
    </w:p>
    <w:p w14:paraId="478576F5" w14:textId="0682AE76" w:rsidR="00AD26F9" w:rsidRPr="007E2963" w:rsidRDefault="00AD26F9" w:rsidP="00D93FFA">
      <w:pPr>
        <w:spacing w:after="120" w:line="276" w:lineRule="auto"/>
        <w:ind w:firstLine="708"/>
        <w:jc w:val="both"/>
        <w:rPr>
          <w:rFonts w:ascii="Verdana" w:eastAsia="Arial" w:hAnsi="Verdana" w:cs="Arial"/>
        </w:rPr>
      </w:pPr>
      <w:r w:rsidRPr="007E2963">
        <w:rPr>
          <w:rFonts w:ascii="Verdana" w:hAnsi="Verdana"/>
        </w:rPr>
        <w:t>No obstante, esta circunstancia no releva la entidad contratante de tramitar el permiso ante el Inspector del Trabajo, pues es precisamente dicha autoridad la llamada a verificar, en el caso concreto, que la causa objetiva invocada en efecto se configura y no encubre una desvinculación discriminatoria —reiterando así el supuesto en el que se requiere el permiso del Inspector del Trabajo—, salvo que la desvinculación se produzca dentro del periodo comprendido entre las dieciocho (18) semanas posteriores al parto y los dos (2) años de edad del menor, lapso en el cual, de conformidad con lo señalado en el numeral (</w:t>
      </w:r>
      <w:proofErr w:type="spellStart"/>
      <w:r w:rsidRPr="007E2963">
        <w:rPr>
          <w:rFonts w:ascii="Verdana" w:hAnsi="Verdana"/>
        </w:rPr>
        <w:t>iii</w:t>
      </w:r>
      <w:proofErr w:type="spellEnd"/>
      <w:r w:rsidRPr="007E2963">
        <w:rPr>
          <w:rFonts w:ascii="Verdana" w:hAnsi="Verdana"/>
        </w:rPr>
        <w:t>) precedente, dicho permiso no resulta exigible, sin perjuicio de que la entidad deba acreditar igualmente la causa objetiva ante el juez que eventualmente conozca del asunto.</w:t>
      </w:r>
    </w:p>
    <w:p w14:paraId="7348C945" w14:textId="6AC8CCFE" w:rsidR="00526DB3" w:rsidRPr="007E2963" w:rsidRDefault="00526DB3" w:rsidP="0085518A">
      <w:pPr>
        <w:spacing w:after="0" w:line="276" w:lineRule="auto"/>
        <w:ind w:firstLine="708"/>
        <w:jc w:val="both"/>
        <w:rPr>
          <w:rFonts w:ascii="Verdana" w:hAnsi="Verdana"/>
        </w:rPr>
      </w:pPr>
      <w:r w:rsidRPr="007E2963">
        <w:rPr>
          <w:rFonts w:ascii="Verdana" w:hAnsi="Verdana"/>
        </w:rPr>
        <w:t xml:space="preserve">Distinto es el caso en que una Entidad Estatal cuenta, dentro de su presupuesto ordinario de funcionamiento, con necesidades asistenciales permanentes y compatibles con el perfil profesional de la contratista. En tal </w:t>
      </w:r>
      <w:r w:rsidRPr="007E2963">
        <w:rPr>
          <w:rFonts w:ascii="Verdana" w:hAnsi="Verdana"/>
        </w:rPr>
        <w:lastRenderedPageBreak/>
        <w:t>evento, la entidad podría evaluar objetivamente si dicha necesidad preexistía y es susceptible de amparar una nueva contratación. Lo que no resulta procedente es mantener a la contratista en el mismo objeto contractual extinto, pues ello desconocería que la fuente de financiación específica ya no existe.</w:t>
      </w:r>
    </w:p>
    <w:p w14:paraId="346D1074" w14:textId="77777777" w:rsidR="0085518A" w:rsidRPr="007E2963" w:rsidRDefault="0085518A" w:rsidP="00D93FFA">
      <w:pPr>
        <w:spacing w:after="0" w:line="276" w:lineRule="auto"/>
        <w:ind w:firstLine="708"/>
        <w:jc w:val="both"/>
        <w:rPr>
          <w:rFonts w:ascii="Verdana" w:hAnsi="Verdana"/>
        </w:rPr>
      </w:pPr>
    </w:p>
    <w:p w14:paraId="4A5E4318" w14:textId="52A1B70B" w:rsidR="00526DB3" w:rsidRPr="007E2963" w:rsidRDefault="00526DB3" w:rsidP="00526DB3">
      <w:pPr>
        <w:spacing w:after="120" w:line="276" w:lineRule="auto"/>
        <w:jc w:val="both"/>
        <w:rPr>
          <w:rFonts w:ascii="Verdana" w:hAnsi="Verdana" w:cs="Arial"/>
          <w:lang w:eastAsia="es-ES"/>
        </w:rPr>
      </w:pPr>
      <w:proofErr w:type="spellStart"/>
      <w:r w:rsidRPr="007E2963">
        <w:rPr>
          <w:rFonts w:ascii="Verdana" w:hAnsi="Verdana" w:cs="Arial"/>
          <w:lang w:eastAsia="es-ES"/>
        </w:rPr>
        <w:t>iv</w:t>
      </w:r>
      <w:proofErr w:type="spellEnd"/>
      <w:r w:rsidR="0085518A" w:rsidRPr="007E2963">
        <w:rPr>
          <w:rFonts w:ascii="Verdana" w:hAnsi="Verdana" w:cs="Arial"/>
          <w:lang w:eastAsia="es-ES"/>
        </w:rPr>
        <w:t>)</w:t>
      </w:r>
      <w:r w:rsidRPr="007E2963">
        <w:rPr>
          <w:rFonts w:ascii="Verdana" w:hAnsi="Verdana" w:cs="Arial"/>
          <w:lang w:eastAsia="es-ES"/>
        </w:rPr>
        <w:t xml:space="preserve"> 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1D40C045" w14:textId="77777777" w:rsidR="00526DB3" w:rsidRPr="007E2963" w:rsidRDefault="00526DB3" w:rsidP="00D93FFA">
      <w:pPr>
        <w:spacing w:after="0" w:line="276" w:lineRule="auto"/>
        <w:ind w:firstLine="708"/>
        <w:jc w:val="both"/>
        <w:rPr>
          <w:rFonts w:ascii="Verdana" w:hAnsi="Verdana" w:cs="Arial"/>
          <w:lang w:eastAsia="es-ES"/>
        </w:rPr>
      </w:pPr>
      <w:r w:rsidRPr="007E296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81CD4A8" w14:textId="77777777" w:rsidR="00526DB3" w:rsidRPr="007E2963" w:rsidRDefault="00526DB3" w:rsidP="00526DB3">
      <w:pPr>
        <w:widowControl w:val="0"/>
        <w:autoSpaceDE w:val="0"/>
        <w:autoSpaceDN w:val="0"/>
        <w:spacing w:after="0" w:line="276" w:lineRule="auto"/>
        <w:jc w:val="both"/>
        <w:rPr>
          <w:rFonts w:ascii="Verdana" w:hAnsi="Verdana" w:cs="Arial"/>
          <w:lang w:eastAsia="es-ES"/>
        </w:rPr>
      </w:pPr>
    </w:p>
    <w:p w14:paraId="651716B5" w14:textId="77777777" w:rsidR="00526DB3" w:rsidRPr="007E2963" w:rsidRDefault="00526DB3" w:rsidP="00526DB3">
      <w:pPr>
        <w:pStyle w:val="Prrafodelista"/>
        <w:numPr>
          <w:ilvl w:val="0"/>
          <w:numId w:val="21"/>
        </w:numPr>
        <w:tabs>
          <w:tab w:val="left" w:pos="142"/>
          <w:tab w:val="left" w:pos="284"/>
        </w:tabs>
        <w:spacing w:after="0" w:line="276" w:lineRule="auto"/>
        <w:ind w:left="360"/>
        <w:contextualSpacing w:val="0"/>
        <w:jc w:val="both"/>
        <w:rPr>
          <w:rFonts w:ascii="Verdana" w:eastAsia="Century Gothic" w:hAnsi="Verdana" w:cs="Century Gothic"/>
          <w:b/>
          <w:bCs/>
        </w:rPr>
      </w:pPr>
      <w:r w:rsidRPr="007E2963">
        <w:rPr>
          <w:rFonts w:ascii="Verdana" w:eastAsia="Century Gothic" w:hAnsi="Verdana" w:cs="Century Gothic"/>
          <w:b/>
          <w:bCs/>
        </w:rPr>
        <w:t>Referencias normativas, jurisprudenciales y otras fuentes:</w:t>
      </w:r>
    </w:p>
    <w:p w14:paraId="41CF0A40" w14:textId="77777777" w:rsidR="00526DB3" w:rsidRPr="007E2963" w:rsidRDefault="00526DB3" w:rsidP="00526DB3">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26DB3" w:rsidRPr="007E2963" w14:paraId="5A4808D7" w14:textId="77777777" w:rsidTr="00891A0F">
        <w:trPr>
          <w:trHeight w:val="870"/>
        </w:trPr>
        <w:tc>
          <w:tcPr>
            <w:tcW w:w="8647" w:type="dxa"/>
          </w:tcPr>
          <w:p w14:paraId="3EC913B0"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Código Sustantivo del Trabajo. Artículo 238, 239, 240 y 241A, numeral 1. </w:t>
            </w:r>
          </w:p>
          <w:p w14:paraId="430529FE"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Ley 80 de 1993. Artículo 32 numeral 3. </w:t>
            </w:r>
          </w:p>
          <w:p w14:paraId="3828D40F"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Ley 1150 de 2007. Artículo 2 numeral 4 literal h). </w:t>
            </w:r>
          </w:p>
          <w:p w14:paraId="115C14AD"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Decreto 1082 de 2015. Artículo 2.2.1.2.1.4.9.</w:t>
            </w:r>
          </w:p>
          <w:p w14:paraId="1491E06E"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Ley 2306 de 2023. Artículo 6. </w:t>
            </w:r>
          </w:p>
          <w:p w14:paraId="3B5B9C8D"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lang w:val="pt-BR"/>
              </w:rPr>
              <w:t xml:space="preserve">Corte Constitucional. Sentencia C-154 de 1997. </w:t>
            </w:r>
            <w:r w:rsidRPr="007E2963">
              <w:rPr>
                <w:rFonts w:ascii="Verdana" w:hAnsi="Verdana" w:cs="Arial"/>
              </w:rPr>
              <w:t xml:space="preserve">M.P. Hernando Herrera Vergara. </w:t>
            </w:r>
          </w:p>
          <w:p w14:paraId="449196BA"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Sentencia SU-070 de 2013. Fund. 6. Reiterado en las sentencias SU-040 de 2018 y SU-075 de 2018. </w:t>
            </w:r>
          </w:p>
          <w:p w14:paraId="20503EAE"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lang w:val="pt-BR"/>
              </w:rPr>
              <w:t xml:space="preserve">Corte Constitucional. Sentencia T-102 de 2016. </w:t>
            </w:r>
            <w:r w:rsidRPr="007E2963">
              <w:rPr>
                <w:rFonts w:ascii="Verdana" w:hAnsi="Verdana" w:cs="Arial"/>
              </w:rPr>
              <w:t xml:space="preserve">M.P: María Victoria Calle Correa. </w:t>
            </w:r>
          </w:p>
          <w:p w14:paraId="41815C46"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lastRenderedPageBreak/>
              <w:t xml:space="preserve">Corte Constitucional. Sentencia T-350 del 2016. M.P: María Victoria Calle Correa. </w:t>
            </w:r>
          </w:p>
          <w:p w14:paraId="1ABDB2B6"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lang w:val="pt-BR"/>
              </w:rPr>
              <w:t xml:space="preserve">Corte Constitucional, sentencia T-564 de 2017. </w:t>
            </w:r>
            <w:r w:rsidRPr="007E2963">
              <w:rPr>
                <w:rFonts w:ascii="Verdana" w:hAnsi="Verdana" w:cs="Arial"/>
              </w:rPr>
              <w:t xml:space="preserve">M.P: Cristina Pardo Schlesinger </w:t>
            </w:r>
          </w:p>
          <w:p w14:paraId="7A7DBC51"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lang w:val="pt-BR"/>
              </w:rPr>
              <w:t xml:space="preserve">Corte Constitucional. Sentencia T-743 de 2017. </w:t>
            </w:r>
            <w:r w:rsidRPr="007E2963">
              <w:rPr>
                <w:rFonts w:ascii="Verdana" w:hAnsi="Verdana" w:cs="Arial"/>
              </w:rPr>
              <w:t xml:space="preserve">M.P: Gloria Stella Ortiz Delgado. </w:t>
            </w:r>
          </w:p>
          <w:p w14:paraId="44AE6537"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lang w:val="pt-BR"/>
              </w:rPr>
              <w:t xml:space="preserve">Corte Constitucional. Sentencia T-030 de 2018. </w:t>
            </w:r>
            <w:r w:rsidRPr="007E2963">
              <w:rPr>
                <w:rFonts w:ascii="Verdana" w:hAnsi="Verdana" w:cs="Arial"/>
              </w:rPr>
              <w:t xml:space="preserve">M.P: José Fernando Reyes Cuartas. </w:t>
            </w:r>
          </w:p>
          <w:p w14:paraId="716DB722"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Corte Constitucional. Sentencia SU-075 de 2018. M.P: Gloria Stella Ortiz Delgado. </w:t>
            </w:r>
          </w:p>
          <w:p w14:paraId="1917907C"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Corte Constitucional. Sentencia T-329 del 19 de septiembre de 2022. M.P: Natalia Ángel Cabo. </w:t>
            </w:r>
          </w:p>
          <w:p w14:paraId="380EA5B6"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lang w:val="pt-BR"/>
              </w:rPr>
            </w:pPr>
            <w:r w:rsidRPr="007E2963">
              <w:rPr>
                <w:rFonts w:ascii="Verdana" w:hAnsi="Verdana" w:cs="Arial"/>
                <w:lang w:val="pt-BR"/>
              </w:rPr>
              <w:t xml:space="preserve">Corte Constitucional. Sentencia T-014 de 2026. </w:t>
            </w:r>
          </w:p>
          <w:p w14:paraId="24F80798" w14:textId="77777777" w:rsidR="00526DB3" w:rsidRPr="007E2963" w:rsidRDefault="00526DB3" w:rsidP="00D93FFA">
            <w:pPr>
              <w:pStyle w:val="Prrafodelista"/>
              <w:numPr>
                <w:ilvl w:val="0"/>
                <w:numId w:val="20"/>
              </w:numPr>
              <w:spacing w:line="276" w:lineRule="auto"/>
              <w:contextualSpacing w:val="0"/>
              <w:jc w:val="both"/>
              <w:rPr>
                <w:rFonts w:ascii="Verdana" w:hAnsi="Verdana" w:cs="Arial"/>
              </w:rPr>
            </w:pPr>
            <w:r w:rsidRPr="007E2963">
              <w:rPr>
                <w:rFonts w:ascii="Verdana" w:hAnsi="Verdana" w:cs="Arial"/>
              </w:rPr>
              <w:t xml:space="preserve">Consejo de Estado. Sección Tercera. Subsección C. Sentencia del 2 de diciembre de 2013. </w:t>
            </w:r>
            <w:proofErr w:type="spellStart"/>
            <w:r w:rsidRPr="007E2963">
              <w:rPr>
                <w:rFonts w:ascii="Verdana" w:hAnsi="Verdana" w:cs="Arial"/>
              </w:rPr>
              <w:t>Exp</w:t>
            </w:r>
            <w:proofErr w:type="spellEnd"/>
            <w:r w:rsidRPr="007E2963">
              <w:rPr>
                <w:rFonts w:ascii="Verdana" w:hAnsi="Verdana" w:cs="Arial"/>
              </w:rPr>
              <w:t xml:space="preserve">. 41719. C.P. Jaime Orlando Santofimio Gamboa. </w:t>
            </w:r>
          </w:p>
        </w:tc>
      </w:tr>
    </w:tbl>
    <w:p w14:paraId="188809E8" w14:textId="77777777" w:rsidR="00526DB3" w:rsidRPr="007E2963" w:rsidRDefault="00526DB3" w:rsidP="00526DB3">
      <w:pPr>
        <w:widowControl w:val="0"/>
        <w:autoSpaceDE w:val="0"/>
        <w:autoSpaceDN w:val="0"/>
        <w:spacing w:after="0" w:line="276" w:lineRule="auto"/>
        <w:jc w:val="both"/>
        <w:rPr>
          <w:rFonts w:ascii="Verdana" w:hAnsi="Verdana" w:cs="Arial"/>
        </w:rPr>
      </w:pPr>
    </w:p>
    <w:p w14:paraId="35F0CF0A" w14:textId="77777777" w:rsidR="00526DB3" w:rsidRPr="007E2963" w:rsidRDefault="00526DB3" w:rsidP="00A67E63">
      <w:pPr>
        <w:pStyle w:val="Prrafodelista"/>
        <w:numPr>
          <w:ilvl w:val="0"/>
          <w:numId w:val="21"/>
        </w:numPr>
        <w:tabs>
          <w:tab w:val="left" w:pos="142"/>
          <w:tab w:val="left" w:pos="284"/>
        </w:tabs>
        <w:spacing w:after="0" w:line="276" w:lineRule="auto"/>
        <w:ind w:left="0" w:firstLine="0"/>
        <w:contextualSpacing w:val="0"/>
        <w:jc w:val="both"/>
        <w:rPr>
          <w:rFonts w:ascii="Verdana" w:eastAsia="Century Gothic" w:hAnsi="Verdana" w:cs="Arial"/>
          <w:b/>
          <w:bCs/>
        </w:rPr>
      </w:pPr>
      <w:r w:rsidRPr="007E2963">
        <w:rPr>
          <w:rFonts w:ascii="Verdana" w:eastAsia="Century Gothic" w:hAnsi="Verdana" w:cs="Arial"/>
          <w:b/>
          <w:bCs/>
        </w:rPr>
        <w:t>Doctrina de la Agencia Nacional de Contratación Pública:</w:t>
      </w:r>
    </w:p>
    <w:p w14:paraId="72439097" w14:textId="77777777" w:rsidR="00526DB3" w:rsidRPr="007E2963" w:rsidRDefault="00526DB3" w:rsidP="00526DB3">
      <w:pPr>
        <w:widowControl w:val="0"/>
        <w:autoSpaceDE w:val="0"/>
        <w:autoSpaceDN w:val="0"/>
        <w:spacing w:after="0" w:line="276" w:lineRule="auto"/>
        <w:jc w:val="both"/>
        <w:rPr>
          <w:rFonts w:ascii="Verdana" w:hAnsi="Verdana" w:cs="Arial"/>
          <w:highlight w:val="cyan"/>
        </w:rPr>
      </w:pPr>
    </w:p>
    <w:p w14:paraId="250EE885" w14:textId="4CB073A1" w:rsidR="00526DB3" w:rsidRPr="007E2963" w:rsidRDefault="00526DB3">
      <w:pPr>
        <w:widowControl w:val="0"/>
        <w:autoSpaceDE w:val="0"/>
        <w:autoSpaceDN w:val="0"/>
        <w:spacing w:after="0" w:line="276" w:lineRule="auto"/>
        <w:jc w:val="both"/>
        <w:rPr>
          <w:rFonts w:ascii="Verdana" w:eastAsia="Calibri" w:hAnsi="Verdana" w:cs="Times New Roman"/>
        </w:rPr>
      </w:pPr>
      <w:r w:rsidRPr="007E2963">
        <w:rPr>
          <w:rFonts w:ascii="Verdana" w:hAnsi="Verdana" w:cs="Arial"/>
          <w:bCs/>
          <w:shd w:val="clear" w:color="auto" w:fill="FFFFFF"/>
        </w:rPr>
        <w:t>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de 2025</w:t>
      </w:r>
      <w:r w:rsidRPr="007E2963">
        <w:rPr>
          <w:rFonts w:ascii="Verdana" w:hAnsi="Verdana" w:cs="Arial"/>
          <w:shd w:val="clear" w:color="auto" w:fill="FFFFFF"/>
        </w:rPr>
        <w:t>, C-1415 del 11 de noviembre de 2025, C-1602 del 11 de diciembre de 2025, c-1672 del 19 de diciembre de 2025, C-1754, C-1836 del 5 de enero de 2026, C-1848 del 29 de enero de 2026 y CU-308 del 13 de abril del 2026, entre otros</w:t>
      </w:r>
      <w:r w:rsidRPr="007E2963">
        <w:rPr>
          <w:rFonts w:ascii="Verdana" w:hAnsi="Verdana" w:cs="Arial"/>
          <w:shd w:val="clear" w:color="auto" w:fill="FFFFFF"/>
          <w:lang w:val="es-ES"/>
        </w:rPr>
        <w:t>.</w:t>
      </w:r>
      <w:r w:rsidRPr="007E2963">
        <w:rPr>
          <w:rStyle w:val="normaltextrun"/>
          <w:rFonts w:ascii="Verdana" w:hAnsi="Verdana" w:cs="Arial"/>
          <w:shd w:val="clear" w:color="auto" w:fill="FFFFFF"/>
          <w:lang w:val="es-ES"/>
        </w:rPr>
        <w:t xml:space="preserve"> </w:t>
      </w:r>
      <w:r w:rsidRPr="007E2963">
        <w:rPr>
          <w:rFonts w:ascii="Verdana" w:eastAsia="Calibri" w:hAnsi="Verdana" w:cs="Times New Roman"/>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w:t>
      </w:r>
      <w:r w:rsidRPr="007E2963">
        <w:rPr>
          <w:rFonts w:ascii="Verdana" w:eastAsia="Calibri" w:hAnsi="Verdana" w:cs="Times New Roman"/>
        </w:rPr>
        <w:lastRenderedPageBreak/>
        <w:t>Contractual, accede a través del siguiente enlace:</w:t>
      </w:r>
      <w:r w:rsidRPr="007E2963">
        <w:rPr>
          <w:rFonts w:ascii="Verdana" w:eastAsia="Calibri" w:hAnsi="Verdana" w:cs="Arial"/>
          <w:lang w:val="es-ES"/>
        </w:rPr>
        <w:t xml:space="preserve"> </w:t>
      </w:r>
      <w:hyperlink r:id="rId12" w:history="1">
        <w:r w:rsidRPr="007E2963">
          <w:rPr>
            <w:rStyle w:val="Hipervnculo"/>
            <w:rFonts w:ascii="Verdana" w:eastAsia="Calibri" w:hAnsi="Verdana" w:cs="Times New Roman"/>
            <w:color w:val="auto"/>
            <w:lang w:val="es-ES"/>
          </w:rPr>
          <w:t>https://relatoria.colombiacompra.gov.co/busqueda/conceptos</w:t>
        </w:r>
      </w:hyperlink>
      <w:r w:rsidRPr="007E2963">
        <w:rPr>
          <w:rFonts w:ascii="Verdana" w:eastAsia="Calibri" w:hAnsi="Verdana" w:cs="Times New Roman"/>
        </w:rPr>
        <w:t xml:space="preserve">. </w:t>
      </w:r>
    </w:p>
    <w:p w14:paraId="2850BE2F"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47FAECF0" w14:textId="3C9CCA9F" w:rsidR="00526DB3" w:rsidRPr="007E2963" w:rsidRDefault="00526DB3" w:rsidP="0085518A">
      <w:pPr>
        <w:widowControl w:val="0"/>
        <w:autoSpaceDE w:val="0"/>
        <w:autoSpaceDN w:val="0"/>
        <w:spacing w:after="0" w:line="276" w:lineRule="auto"/>
        <w:jc w:val="both"/>
        <w:rPr>
          <w:rStyle w:val="Hipervnculo"/>
          <w:rFonts w:ascii="Verdana" w:hAnsi="Verdana" w:cs="Arial"/>
          <w:color w:val="auto"/>
        </w:rPr>
      </w:pPr>
      <w:r w:rsidRPr="007E2963">
        <w:rPr>
          <w:rFonts w:ascii="Verdana" w:hAnsi="Verdana" w:cs="Ari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E2963">
        <w:rPr>
          <w:rFonts w:ascii="Verdana" w:hAnsi="Verdana" w:cs="Arial"/>
          <w:b/>
          <w:bCs/>
        </w:rPr>
        <w:t>Guía para la Exigencia y Constitución de Garantías en los Procesos de Contratación</w:t>
      </w:r>
      <w:r w:rsidRPr="007E2963">
        <w:rPr>
          <w:rFonts w:ascii="Verdana" w:hAnsi="Verdana" w:cs="Ari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7E2963">
          <w:rPr>
            <w:rStyle w:val="Hipervnculo"/>
            <w:rFonts w:ascii="Verdana" w:hAnsi="Verdana" w:cs="Arial"/>
            <w:color w:val="auto"/>
          </w:rPr>
          <w:t>https://www.colombiacompra.gov.co/archivos/manual/guia-de-garantias-en-procesos-de-contratacion</w:t>
        </w:r>
      </w:hyperlink>
    </w:p>
    <w:p w14:paraId="6615FC6B"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00609CFE" w14:textId="748179B9" w:rsidR="00526DB3" w:rsidRPr="007E2963" w:rsidRDefault="00526DB3" w:rsidP="00D93FFA">
      <w:pPr>
        <w:widowControl w:val="0"/>
        <w:autoSpaceDE w:val="0"/>
        <w:autoSpaceDN w:val="0"/>
        <w:spacing w:after="0" w:line="276" w:lineRule="auto"/>
        <w:jc w:val="both"/>
        <w:rPr>
          <w:rStyle w:val="Hipervnculo"/>
          <w:rFonts w:ascii="Verdana" w:hAnsi="Verdana" w:cs="Arial"/>
          <w:color w:val="auto"/>
        </w:rPr>
      </w:pPr>
      <w:r w:rsidRPr="007E2963">
        <w:rPr>
          <w:rFonts w:ascii="Verdana" w:hAnsi="Verdana" w:cs="Arial"/>
        </w:rPr>
        <w:t>De otro lado, te contamos que el Decreto 287 del 19 de marzo de 2026 sustituyó los artículos 2.2.1.2.4.2.6., 2.2.1.2.4.2.7. y 2.2.1.2.4.2.8. del Decreto 1082 de 2015 y estructuró el </w:t>
      </w:r>
      <w:r w:rsidRPr="007E2963">
        <w:rPr>
          <w:rFonts w:ascii="Verdana" w:hAnsi="Verdana" w:cs="Arial"/>
          <w:b/>
          <w:bCs/>
        </w:rPr>
        <w:t>Sistema Integral de Preferencias en favor de las personas con discapacidad</w:t>
      </w:r>
      <w:r w:rsidRPr="007E2963">
        <w:rPr>
          <w:rFonts w:ascii="Verdana" w:hAnsi="Verdana" w:cs="Arial"/>
        </w:rPr>
        <w:t>, en cumplimiento del artículo 13 de la Ley Estatutaria 1618 de 2013. Para orientar su aplicación, esta Agencia expidió la </w:t>
      </w:r>
      <w:r w:rsidRPr="007E2963">
        <w:rPr>
          <w:rFonts w:ascii="Verdana" w:hAnsi="Verdana" w:cs="Arial"/>
          <w:b/>
          <w:bCs/>
        </w:rPr>
        <w:t>Circular Externa 003 del 12 de mayo de 2026, </w:t>
      </w:r>
      <w:r w:rsidRPr="007E2963">
        <w:rPr>
          <w:rFonts w:ascii="Verdana" w:hAnsi="Verdana" w:cs="Arial"/>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7E2963">
          <w:rPr>
            <w:rStyle w:val="Hipervnculo"/>
            <w:rFonts w:ascii="Verdana" w:hAnsi="Verdana" w:cs="Arial"/>
            <w:color w:val="auto"/>
          </w:rPr>
          <w:t>https://www.colombiacompra.gov.co/archivos/circular/circular-externa-003-de-2026</w:t>
        </w:r>
      </w:hyperlink>
    </w:p>
    <w:p w14:paraId="26279AC8"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15735BAC" w14:textId="5869A5C6" w:rsidR="00526DB3" w:rsidRPr="007E2963" w:rsidRDefault="00526DB3" w:rsidP="00D93FFA">
      <w:pPr>
        <w:widowControl w:val="0"/>
        <w:autoSpaceDE w:val="0"/>
        <w:autoSpaceDN w:val="0"/>
        <w:spacing w:after="0" w:line="276" w:lineRule="auto"/>
        <w:jc w:val="both"/>
        <w:rPr>
          <w:rStyle w:val="Hipervnculo"/>
          <w:rFonts w:ascii="Verdana" w:hAnsi="Verdana" w:cs="Arial"/>
          <w:color w:val="auto"/>
        </w:rPr>
      </w:pPr>
      <w:r w:rsidRPr="007E2963">
        <w:rPr>
          <w:rFonts w:ascii="Verdana" w:hAnsi="Verdana" w:cs="Arial"/>
        </w:rPr>
        <w:t>Recuerda también que la</w:t>
      </w:r>
      <w:r w:rsidRPr="007E2963">
        <w:rPr>
          <w:rFonts w:ascii="Verdana" w:hAnsi="Verdana" w:cs="Arial"/>
          <w:b/>
          <w:bCs/>
        </w:rPr>
        <w:t> información sobre sanciones e inhabilidades </w:t>
      </w:r>
      <w:r w:rsidRPr="007E2963">
        <w:rPr>
          <w:rFonts w:ascii="Verdana" w:hAnsi="Verdana" w:cs="Arial"/>
        </w:rPr>
        <w:t>solo cumple su función preventiva si llega oportunamente a los registros públicos. Sobre este deber, esta Agencia expidió la </w:t>
      </w:r>
      <w:r w:rsidRPr="007E2963">
        <w:rPr>
          <w:rFonts w:ascii="Verdana" w:hAnsi="Verdana" w:cs="Arial"/>
          <w:b/>
          <w:bCs/>
        </w:rPr>
        <w:t>Circular Externa 002 del 5 de mayo de 2026,</w:t>
      </w:r>
      <w:r w:rsidRPr="007E2963">
        <w:rPr>
          <w:rFonts w:ascii="Verdana" w:hAnsi="Verdana" w:cs="Ari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7E2963">
        <w:rPr>
          <w:rFonts w:ascii="Verdana" w:hAnsi="Verdana" w:cs="Arial"/>
        </w:rPr>
        <w:lastRenderedPageBreak/>
        <w:t>aquí: </w:t>
      </w:r>
      <w:hyperlink r:id="rId15" w:tgtFrame="_blank" w:tooltip="Dirección URL original: https://www.colombiacompra.gov.co/archivos/circular/circular-externa-002-de-2026. Haga clic o pulse si confía en este vínculo." w:history="1">
        <w:r w:rsidRPr="007E2963">
          <w:rPr>
            <w:rStyle w:val="Hipervnculo"/>
            <w:rFonts w:ascii="Verdana" w:hAnsi="Verdana" w:cs="Arial"/>
            <w:color w:val="auto"/>
          </w:rPr>
          <w:t>https://www.colombiacompra.gov.co/archivos/circular/circular-externa-002-de-2026</w:t>
        </w:r>
      </w:hyperlink>
    </w:p>
    <w:p w14:paraId="680982D4"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05908D16" w14:textId="4FED006B" w:rsidR="00526DB3" w:rsidRPr="007E2963" w:rsidRDefault="00526DB3" w:rsidP="00D93FFA">
      <w:pPr>
        <w:widowControl w:val="0"/>
        <w:autoSpaceDE w:val="0"/>
        <w:autoSpaceDN w:val="0"/>
        <w:spacing w:after="0" w:line="276" w:lineRule="auto"/>
        <w:jc w:val="both"/>
        <w:rPr>
          <w:rFonts w:ascii="Verdana" w:hAnsi="Verdana" w:cs="Arial"/>
        </w:rPr>
      </w:pPr>
      <w:r w:rsidRPr="007E2963">
        <w:rPr>
          <w:rFonts w:ascii="Verdana" w:hAnsi="Verdana" w:cs="Arial"/>
        </w:rPr>
        <w:t>Finalmente, si quieres seguir de cerca la actividad de la Agencia, la tercera edición de 2026 del</w:t>
      </w:r>
      <w:r w:rsidRPr="007E2963">
        <w:rPr>
          <w:rFonts w:ascii="Verdana" w:hAnsi="Verdana" w:cs="Arial"/>
          <w:b/>
          <w:bCs/>
        </w:rPr>
        <w:t> Radar de la Compra Pública</w:t>
      </w:r>
      <w:r w:rsidRPr="007E2963">
        <w:rPr>
          <w:rFonts w:ascii="Verdana" w:hAnsi="Verdana" w:cs="Ari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7E2963">
          <w:rPr>
            <w:rStyle w:val="Hipervnculo"/>
            <w:rFonts w:ascii="Verdana" w:hAnsi="Verdana" w:cs="Arial"/>
            <w:color w:val="auto"/>
          </w:rPr>
          <w:t>https://www.colombiacompra.gov.co/archivos/boletin/boletin-edicion-n-3-de-2026-radar-de-la-compra-publica</w:t>
        </w:r>
      </w:hyperlink>
      <w:r w:rsidRPr="007E2963">
        <w:rPr>
          <w:rFonts w:ascii="Verdana" w:hAnsi="Verdana" w:cs="Arial"/>
        </w:rPr>
        <w:t>"</w:t>
      </w:r>
    </w:p>
    <w:p w14:paraId="5235D6F2"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15813E4C" w14:textId="35969AD8" w:rsidR="00526DB3" w:rsidRPr="007E2963" w:rsidRDefault="00526DB3" w:rsidP="0085518A">
      <w:pPr>
        <w:widowControl w:val="0"/>
        <w:autoSpaceDE w:val="0"/>
        <w:autoSpaceDN w:val="0"/>
        <w:spacing w:after="0" w:line="276" w:lineRule="auto"/>
        <w:jc w:val="both"/>
        <w:rPr>
          <w:rFonts w:ascii="Verdana" w:hAnsi="Verdana" w:cs="Arial"/>
        </w:rPr>
      </w:pPr>
      <w:r w:rsidRPr="007E2963">
        <w:rPr>
          <w:rFonts w:ascii="Verdana" w:hAnsi="Verdana" w:cs="Arial"/>
        </w:rPr>
        <w:t xml:space="preserve">Por último, lo invitamos a seguirnos en las redes sociales en las cuales se difunde información institucional: </w:t>
      </w:r>
    </w:p>
    <w:p w14:paraId="6DBF2F07" w14:textId="77777777" w:rsidR="0085518A" w:rsidRPr="007E2963" w:rsidRDefault="0085518A" w:rsidP="00D93FFA">
      <w:pPr>
        <w:widowControl w:val="0"/>
        <w:autoSpaceDE w:val="0"/>
        <w:autoSpaceDN w:val="0"/>
        <w:spacing w:after="0" w:line="276" w:lineRule="auto"/>
        <w:jc w:val="both"/>
        <w:rPr>
          <w:rFonts w:ascii="Verdana" w:eastAsia="Calibri" w:hAnsi="Verdana" w:cs="Arial"/>
        </w:rPr>
      </w:pPr>
    </w:p>
    <w:p w14:paraId="1A3FA337" w14:textId="77777777" w:rsidR="00526DB3" w:rsidRPr="007E2963" w:rsidRDefault="00526DB3" w:rsidP="00526DB3">
      <w:pPr>
        <w:spacing w:after="0" w:line="276" w:lineRule="auto"/>
        <w:jc w:val="both"/>
        <w:rPr>
          <w:rFonts w:ascii="Verdana" w:hAnsi="Verdana" w:cs="Arial"/>
        </w:rPr>
      </w:pPr>
      <w:r w:rsidRPr="007E2963">
        <w:rPr>
          <w:rFonts w:ascii="Verdana" w:hAnsi="Verdana" w:cs="Arial"/>
        </w:rPr>
        <w:t xml:space="preserve">Twitter: </w:t>
      </w:r>
      <w:r w:rsidRPr="007E2963">
        <w:rPr>
          <w:rStyle w:val="Hipervnculo"/>
          <w:rFonts w:ascii="Verdana" w:hAnsi="Verdana" w:cs="Arial"/>
          <w:color w:val="auto"/>
        </w:rPr>
        <w:t>@colombiacompra</w:t>
      </w:r>
      <w:r w:rsidRPr="007E2963">
        <w:rPr>
          <w:rFonts w:ascii="Verdana" w:hAnsi="Verdana" w:cs="Arial"/>
        </w:rPr>
        <w:t xml:space="preserve"> </w:t>
      </w:r>
    </w:p>
    <w:p w14:paraId="16652418" w14:textId="77777777" w:rsidR="00526DB3" w:rsidRPr="007E2963" w:rsidRDefault="00526DB3" w:rsidP="00526DB3">
      <w:pPr>
        <w:spacing w:after="0" w:line="276" w:lineRule="auto"/>
        <w:jc w:val="both"/>
        <w:rPr>
          <w:rFonts w:ascii="Verdana" w:hAnsi="Verdana" w:cs="Arial"/>
        </w:rPr>
      </w:pPr>
      <w:r w:rsidRPr="007E2963">
        <w:rPr>
          <w:rFonts w:ascii="Verdana" w:hAnsi="Verdana" w:cs="Arial"/>
        </w:rPr>
        <w:t xml:space="preserve">Facebook: </w:t>
      </w:r>
      <w:proofErr w:type="spellStart"/>
      <w:r w:rsidRPr="007E2963">
        <w:rPr>
          <w:rStyle w:val="Hipervnculo"/>
          <w:rFonts w:ascii="Verdana" w:hAnsi="Verdana" w:cs="Arial"/>
          <w:color w:val="auto"/>
        </w:rPr>
        <w:t>ColombiaCompraEficiente</w:t>
      </w:r>
      <w:proofErr w:type="spellEnd"/>
    </w:p>
    <w:p w14:paraId="412671B6" w14:textId="7683E617" w:rsidR="00526DB3" w:rsidRPr="007E2963" w:rsidRDefault="00526DB3" w:rsidP="00526DB3">
      <w:pPr>
        <w:spacing w:after="0" w:line="276" w:lineRule="auto"/>
        <w:jc w:val="both"/>
        <w:rPr>
          <w:rStyle w:val="Hipervnculo"/>
          <w:rFonts w:ascii="Verdana" w:hAnsi="Verdana" w:cs="Arial"/>
          <w:color w:val="auto"/>
        </w:rPr>
      </w:pPr>
      <w:r w:rsidRPr="007E2963">
        <w:rPr>
          <w:rFonts w:ascii="Verdana" w:hAnsi="Verdana" w:cs="Arial"/>
        </w:rPr>
        <w:t xml:space="preserve">LinkedIn: </w:t>
      </w:r>
      <w:r w:rsidRPr="007E2963">
        <w:rPr>
          <w:rStyle w:val="Hipervnculo"/>
          <w:rFonts w:ascii="Verdana" w:hAnsi="Verdana" w:cs="Arial"/>
          <w:color w:val="auto"/>
        </w:rPr>
        <w:t>Agencia Nacional de Contratación Pública - Colombia Compra Eficiente</w:t>
      </w:r>
      <w:r w:rsidRPr="007E2963">
        <w:rPr>
          <w:rFonts w:ascii="Verdana" w:hAnsi="Verdana" w:cs="Arial"/>
        </w:rPr>
        <w:t xml:space="preserve"> Instagram: </w:t>
      </w:r>
      <w:r w:rsidRPr="007E2963">
        <w:rPr>
          <w:rStyle w:val="Hipervnculo"/>
          <w:rFonts w:ascii="Verdana" w:hAnsi="Verdana" w:cs="Arial"/>
          <w:color w:val="auto"/>
        </w:rPr>
        <w:t>@colombiacompraeficiente_cce</w:t>
      </w:r>
    </w:p>
    <w:p w14:paraId="3D1EFAF0" w14:textId="77777777" w:rsidR="0085518A" w:rsidRPr="007E2963" w:rsidRDefault="0085518A">
      <w:pPr>
        <w:spacing w:after="0" w:line="276" w:lineRule="auto"/>
        <w:jc w:val="both"/>
        <w:rPr>
          <w:rStyle w:val="Hipervnculo"/>
          <w:rFonts w:ascii="Verdana" w:hAnsi="Verdana" w:cs="Arial"/>
          <w:color w:val="auto"/>
        </w:rPr>
      </w:pPr>
    </w:p>
    <w:p w14:paraId="7AE5199A" w14:textId="77777777" w:rsidR="00526DB3" w:rsidRPr="007E2963" w:rsidRDefault="00526DB3" w:rsidP="00D93FFA">
      <w:pPr>
        <w:widowControl w:val="0"/>
        <w:autoSpaceDE w:val="0"/>
        <w:autoSpaceDN w:val="0"/>
        <w:spacing w:after="0" w:line="276" w:lineRule="auto"/>
        <w:jc w:val="both"/>
        <w:rPr>
          <w:rFonts w:ascii="Verdana" w:hAnsi="Verdana" w:cs="Arial"/>
          <w:lang w:val="es-ES_tradnl"/>
        </w:rPr>
      </w:pPr>
      <w:r w:rsidRPr="007E2963">
        <w:rPr>
          <w:rFonts w:ascii="Verdana" w:hAnsi="Verdana" w:cs="Arial"/>
        </w:rPr>
        <w:t xml:space="preserve">Este concepto tiene el alcance previsto en el artículo 28 del Código de Procedimiento Administrativo y de lo Contencioso Administrativo </w:t>
      </w:r>
      <w:r w:rsidRPr="007E2963">
        <w:rPr>
          <w:rFonts w:ascii="Verdana" w:hAnsi="Verdana" w:cs="Arial"/>
          <w:lang w:val="es-ES_tradnl"/>
        </w:rPr>
        <w:t>y las expresiones aquí utilizadas con mayúscula inicial deben ser entendidas con el significado que les otorga el artículo 2.2.1.1.1.3.1. del Decreto 1082 de 2015.</w:t>
      </w:r>
    </w:p>
    <w:p w14:paraId="42142E18" w14:textId="77777777" w:rsidR="00526DB3" w:rsidRPr="007E2963" w:rsidRDefault="00526DB3" w:rsidP="00526DB3">
      <w:pPr>
        <w:widowControl w:val="0"/>
        <w:autoSpaceDE w:val="0"/>
        <w:autoSpaceDN w:val="0"/>
        <w:spacing w:after="0" w:line="276" w:lineRule="auto"/>
        <w:jc w:val="both"/>
        <w:rPr>
          <w:rFonts w:ascii="Verdana" w:hAnsi="Verdana" w:cs="Arial"/>
        </w:rPr>
      </w:pPr>
    </w:p>
    <w:p w14:paraId="1B392005" w14:textId="77777777" w:rsidR="00526DB3" w:rsidRPr="007E2963" w:rsidRDefault="00526DB3" w:rsidP="00526DB3">
      <w:pPr>
        <w:spacing w:after="0" w:line="276" w:lineRule="auto"/>
        <w:jc w:val="both"/>
        <w:rPr>
          <w:rFonts w:ascii="Verdana" w:hAnsi="Verdana" w:cs="Arial"/>
          <w:lang w:eastAsia="es-CO"/>
        </w:rPr>
      </w:pPr>
      <w:r w:rsidRPr="007E2963">
        <w:rPr>
          <w:rFonts w:ascii="Verdana" w:eastAsia="Times New Roman" w:hAnsi="Verdana" w:cs="Arial"/>
          <w:lang w:eastAsia="es-CO"/>
        </w:rPr>
        <w:t>Atentamente,</w:t>
      </w:r>
      <w:r w:rsidRPr="007E2963">
        <w:rPr>
          <w:rFonts w:ascii="Verdana" w:hAnsi="Verdana" w:cs="Arial"/>
          <w:lang w:eastAsia="es-CO"/>
        </w:rPr>
        <w:t xml:space="preserve"> </w:t>
      </w:r>
    </w:p>
    <w:p w14:paraId="798E165C" w14:textId="3D092222" w:rsidR="00526DB3" w:rsidRPr="007E2963" w:rsidRDefault="00DB2D34" w:rsidP="00526DB3">
      <w:pPr>
        <w:spacing w:line="276" w:lineRule="auto"/>
        <w:jc w:val="center"/>
        <w:rPr>
          <w:rFonts w:ascii="Verdana" w:hAnsi="Verdana" w:cs="Arial"/>
          <w:sz w:val="16"/>
          <w:szCs w:val="16"/>
          <w:lang w:val="es-ES_tradnl" w:eastAsia="es-CO"/>
        </w:rPr>
      </w:pPr>
      <w:r w:rsidRPr="007E2963">
        <w:rPr>
          <w:rFonts w:ascii="Verdana" w:hAnsi="Verdana"/>
          <w:noProof/>
        </w:rPr>
        <w:drawing>
          <wp:inline distT="0" distB="0" distL="0" distR="0" wp14:anchorId="226F4C7E" wp14:editId="22D644F5">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26DB3" w:rsidRPr="007E2963" w14:paraId="1BFE23F3" w14:textId="77777777" w:rsidTr="00891A0F">
        <w:trPr>
          <w:trHeight w:val="315"/>
        </w:trPr>
        <w:tc>
          <w:tcPr>
            <w:tcW w:w="893" w:type="dxa"/>
            <w:vAlign w:val="center"/>
            <w:hideMark/>
          </w:tcPr>
          <w:p w14:paraId="5AFCD09D" w14:textId="77777777" w:rsidR="00526DB3" w:rsidRPr="007E2963" w:rsidRDefault="00526DB3" w:rsidP="00891A0F">
            <w:pPr>
              <w:contextualSpacing/>
              <w:rPr>
                <w:rFonts w:ascii="Verdana" w:hAnsi="Verdana" w:cs="Arial"/>
                <w:sz w:val="16"/>
                <w:szCs w:val="16"/>
                <w:lang w:val="es-ES" w:eastAsia="es-ES"/>
              </w:rPr>
            </w:pPr>
            <w:r w:rsidRPr="007E2963">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FDC075B" w14:textId="77777777" w:rsidR="00526DB3" w:rsidRPr="007E2963" w:rsidRDefault="00526DB3" w:rsidP="00891A0F">
            <w:pPr>
              <w:contextualSpacing/>
              <w:rPr>
                <w:rFonts w:ascii="Verdana" w:eastAsia="Arial" w:hAnsi="Verdana" w:cs="Arial"/>
                <w:sz w:val="16"/>
                <w:szCs w:val="16"/>
              </w:rPr>
            </w:pPr>
            <w:r w:rsidRPr="007E2963">
              <w:rPr>
                <w:rFonts w:ascii="Verdana" w:eastAsia="Arial" w:hAnsi="Verdana" w:cs="Arial"/>
                <w:sz w:val="16"/>
                <w:szCs w:val="16"/>
              </w:rPr>
              <w:t>Ana María Ortiz Ballesteros</w:t>
            </w:r>
          </w:p>
          <w:p w14:paraId="2712EC40" w14:textId="77777777" w:rsidR="00526DB3" w:rsidRPr="007E2963" w:rsidRDefault="00526DB3" w:rsidP="00891A0F">
            <w:pPr>
              <w:contextualSpacing/>
              <w:rPr>
                <w:rFonts w:ascii="Verdana" w:eastAsia="Arial" w:hAnsi="Verdana" w:cs="Arial"/>
                <w:sz w:val="16"/>
                <w:szCs w:val="16"/>
              </w:rPr>
            </w:pPr>
            <w:r w:rsidRPr="007E2963">
              <w:rPr>
                <w:rStyle w:val="normaltextrun"/>
                <w:rFonts w:ascii="Verdana" w:eastAsia="Arial" w:hAnsi="Verdana" w:cs="Arial"/>
                <w:sz w:val="16"/>
                <w:szCs w:val="16"/>
              </w:rPr>
              <w:t>C</w:t>
            </w:r>
            <w:r w:rsidRPr="007E2963">
              <w:rPr>
                <w:rStyle w:val="normaltextrun"/>
                <w:rFonts w:ascii="Verdana" w:hAnsi="Verdana"/>
                <w:sz w:val="16"/>
                <w:szCs w:val="16"/>
              </w:rPr>
              <w:t>ontratista</w:t>
            </w:r>
            <w:r w:rsidRPr="007E2963">
              <w:rPr>
                <w:rStyle w:val="normaltextrun"/>
                <w:rFonts w:ascii="Verdana" w:eastAsia="Arial" w:hAnsi="Verdana" w:cs="Arial"/>
                <w:sz w:val="16"/>
                <w:szCs w:val="16"/>
              </w:rPr>
              <w:t xml:space="preserve"> de la Subdirección de Gestión Contractual</w:t>
            </w:r>
          </w:p>
        </w:tc>
      </w:tr>
      <w:tr w:rsidR="00526DB3" w:rsidRPr="007E2963" w14:paraId="6CB79C54" w14:textId="77777777" w:rsidTr="00891A0F">
        <w:trPr>
          <w:trHeight w:val="330"/>
        </w:trPr>
        <w:tc>
          <w:tcPr>
            <w:tcW w:w="893" w:type="dxa"/>
            <w:vAlign w:val="center"/>
            <w:hideMark/>
          </w:tcPr>
          <w:p w14:paraId="7FB5ECCD" w14:textId="77777777" w:rsidR="00526DB3" w:rsidRPr="007E2963" w:rsidRDefault="00526DB3" w:rsidP="00891A0F">
            <w:pPr>
              <w:contextualSpacing/>
              <w:rPr>
                <w:rFonts w:ascii="Verdana" w:hAnsi="Verdana" w:cs="Arial"/>
                <w:sz w:val="16"/>
                <w:szCs w:val="16"/>
                <w:lang w:val="es-ES" w:eastAsia="es-ES"/>
              </w:rPr>
            </w:pPr>
            <w:r w:rsidRPr="007E2963">
              <w:rPr>
                <w:rFonts w:ascii="Verdana" w:hAnsi="Verdana" w:cs="Arial"/>
                <w:sz w:val="16"/>
                <w:szCs w:val="16"/>
                <w:lang w:val="es-ES" w:eastAsia="es-ES"/>
              </w:rPr>
              <w:lastRenderedPageBreak/>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B91F742" w14:textId="0F790A3C" w:rsidR="00A02028" w:rsidRPr="007E2963" w:rsidRDefault="00A02028" w:rsidP="00A02028">
            <w:pPr>
              <w:pStyle w:val="paragraph"/>
              <w:spacing w:after="0"/>
              <w:contextualSpacing/>
              <w:textAlignment w:val="baseline"/>
              <w:rPr>
                <w:rFonts w:ascii="Verdana" w:hAnsi="Verdana" w:cs="Arial"/>
                <w:sz w:val="16"/>
                <w:szCs w:val="16"/>
              </w:rPr>
            </w:pPr>
            <w:r w:rsidRPr="007E2963">
              <w:rPr>
                <w:rFonts w:ascii="Verdana" w:hAnsi="Verdana" w:cs="Arial"/>
                <w:sz w:val="16"/>
                <w:szCs w:val="16"/>
              </w:rPr>
              <w:t>Diana Lucia Saavedra</w:t>
            </w:r>
            <w:r w:rsidR="00157DEF" w:rsidRPr="007E2963">
              <w:rPr>
                <w:rFonts w:ascii="Verdana" w:hAnsi="Verdana" w:cs="Arial"/>
                <w:sz w:val="16"/>
                <w:szCs w:val="16"/>
              </w:rPr>
              <w:t xml:space="preserve"> Castañeda</w:t>
            </w:r>
          </w:p>
          <w:p w14:paraId="20F4DC64" w14:textId="77777777" w:rsidR="00526DB3" w:rsidRPr="007E2963" w:rsidRDefault="00526DB3" w:rsidP="00891A0F">
            <w:pPr>
              <w:pStyle w:val="paragraph"/>
              <w:spacing w:before="0" w:beforeAutospacing="0" w:after="0" w:afterAutospacing="0"/>
              <w:contextualSpacing/>
              <w:textAlignment w:val="baseline"/>
              <w:rPr>
                <w:rFonts w:ascii="Verdana" w:hAnsi="Verdana" w:cs="Arial"/>
                <w:sz w:val="16"/>
                <w:szCs w:val="16"/>
              </w:rPr>
            </w:pPr>
            <w:r w:rsidRPr="007E2963">
              <w:rPr>
                <w:rStyle w:val="normaltextrun"/>
                <w:rFonts w:ascii="Verdana" w:eastAsia="Arial" w:hAnsi="Verdana" w:cs="Arial"/>
                <w:sz w:val="16"/>
                <w:szCs w:val="16"/>
              </w:rPr>
              <w:t>C</w:t>
            </w:r>
            <w:r w:rsidRPr="007E2963">
              <w:rPr>
                <w:rStyle w:val="normaltextrun"/>
                <w:rFonts w:ascii="Verdana" w:hAnsi="Verdana"/>
                <w:sz w:val="16"/>
                <w:szCs w:val="16"/>
              </w:rPr>
              <w:t>ontratista</w:t>
            </w:r>
            <w:r w:rsidRPr="007E2963">
              <w:rPr>
                <w:rStyle w:val="normaltextrun"/>
                <w:rFonts w:ascii="Verdana" w:eastAsia="Arial" w:hAnsi="Verdana" w:cs="Arial"/>
                <w:sz w:val="16"/>
                <w:szCs w:val="16"/>
              </w:rPr>
              <w:t xml:space="preserve"> de la Subdirección de Gestión Contractual</w:t>
            </w:r>
          </w:p>
        </w:tc>
      </w:tr>
      <w:tr w:rsidR="00526DB3" w:rsidRPr="007E2963" w14:paraId="00BBFD6D" w14:textId="77777777" w:rsidTr="00891A0F">
        <w:trPr>
          <w:trHeight w:val="300"/>
        </w:trPr>
        <w:tc>
          <w:tcPr>
            <w:tcW w:w="893" w:type="dxa"/>
            <w:vAlign w:val="center"/>
          </w:tcPr>
          <w:p w14:paraId="5AF52A1A" w14:textId="77777777" w:rsidR="00526DB3" w:rsidRPr="007E2963" w:rsidRDefault="00526DB3" w:rsidP="00891A0F">
            <w:pPr>
              <w:contextualSpacing/>
              <w:rPr>
                <w:rFonts w:ascii="Verdana" w:hAnsi="Verdana" w:cs="Arial"/>
                <w:sz w:val="16"/>
                <w:szCs w:val="16"/>
                <w:lang w:val="es-ES" w:eastAsia="es-ES"/>
              </w:rPr>
            </w:pPr>
            <w:r w:rsidRPr="007E2963">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A5D191D" w14:textId="77777777" w:rsidR="00526DB3" w:rsidRPr="007E2963" w:rsidRDefault="00526DB3" w:rsidP="00891A0F">
            <w:pPr>
              <w:contextualSpacing/>
              <w:rPr>
                <w:rFonts w:ascii="Verdana" w:eastAsia="Calibri" w:hAnsi="Verdana" w:cs="Arial"/>
                <w:sz w:val="16"/>
                <w:szCs w:val="16"/>
                <w:lang w:val="pt-BR" w:eastAsia="es-ES"/>
              </w:rPr>
            </w:pPr>
            <w:r w:rsidRPr="007E2963">
              <w:rPr>
                <w:rFonts w:ascii="Verdana" w:eastAsia="Calibri" w:hAnsi="Verdana" w:cs="Arial"/>
                <w:sz w:val="16"/>
                <w:szCs w:val="16"/>
                <w:lang w:val="pt-BR" w:eastAsia="es-ES"/>
              </w:rPr>
              <w:t xml:space="preserve">Carolina Quintero </w:t>
            </w:r>
            <w:proofErr w:type="spellStart"/>
            <w:r w:rsidRPr="007E2963">
              <w:rPr>
                <w:rFonts w:ascii="Verdana" w:eastAsia="Calibri" w:hAnsi="Verdana" w:cs="Arial"/>
                <w:sz w:val="16"/>
                <w:szCs w:val="16"/>
                <w:lang w:val="pt-BR" w:eastAsia="es-ES"/>
              </w:rPr>
              <w:t>Gacharná</w:t>
            </w:r>
            <w:proofErr w:type="spellEnd"/>
          </w:p>
          <w:p w14:paraId="30993611" w14:textId="77777777" w:rsidR="00526DB3" w:rsidRPr="007E2963" w:rsidRDefault="00526DB3" w:rsidP="00891A0F">
            <w:pPr>
              <w:contextualSpacing/>
              <w:rPr>
                <w:rFonts w:ascii="Verdana" w:eastAsia="Calibri" w:hAnsi="Verdana" w:cs="Arial"/>
                <w:sz w:val="16"/>
                <w:szCs w:val="16"/>
                <w:lang w:val="pt-BR" w:eastAsia="es-ES"/>
              </w:rPr>
            </w:pPr>
            <w:r w:rsidRPr="007E2963">
              <w:rPr>
                <w:rFonts w:ascii="Verdana" w:eastAsia="Calibri" w:hAnsi="Verdana" w:cs="Arial"/>
                <w:sz w:val="16"/>
                <w:szCs w:val="16"/>
                <w:lang w:eastAsia="es-ES"/>
              </w:rPr>
              <w:t>Subdirectora</w:t>
            </w:r>
            <w:r w:rsidRPr="007E2963">
              <w:rPr>
                <w:rFonts w:ascii="Verdana" w:eastAsia="Calibri" w:hAnsi="Verdana" w:cs="Arial"/>
                <w:sz w:val="16"/>
                <w:szCs w:val="16"/>
                <w:lang w:val="pt-BR" w:eastAsia="es-ES"/>
              </w:rPr>
              <w:t xml:space="preserve"> de Gestión Contractual ANCP – CCE</w:t>
            </w:r>
          </w:p>
        </w:tc>
      </w:tr>
    </w:tbl>
    <w:p w14:paraId="46F5EA81" w14:textId="77777777" w:rsidR="00526DB3" w:rsidRPr="007E2963" w:rsidRDefault="00526DB3" w:rsidP="00526DB3">
      <w:pPr>
        <w:spacing w:after="0" w:line="240" w:lineRule="auto"/>
        <w:jc w:val="both"/>
        <w:textAlignment w:val="baseline"/>
        <w:rPr>
          <w:rFonts w:ascii="Verdana" w:eastAsia="Verdana" w:hAnsi="Verdana" w:cs="Verdana"/>
          <w:lang w:eastAsia="es-CO"/>
        </w:rPr>
      </w:pPr>
    </w:p>
    <w:p w14:paraId="5800308D" w14:textId="1B2B74F0" w:rsidR="00450D7B" w:rsidRPr="007E2963" w:rsidRDefault="00526DB3" w:rsidP="00C275EE">
      <w:pPr>
        <w:spacing w:after="0" w:line="240" w:lineRule="auto"/>
        <w:textAlignment w:val="baseline"/>
        <w:rPr>
          <w:rFonts w:ascii="Verdana" w:eastAsia="Verdana" w:hAnsi="Verdana" w:cs="Verdana"/>
          <w:lang w:eastAsia="es-CO"/>
        </w:rPr>
      </w:pPr>
      <w:r w:rsidRPr="007E2963">
        <w:rPr>
          <w:rFonts w:ascii="Verdana" w:eastAsia="Verdana" w:hAnsi="Verdana" w:cs="Verdana"/>
          <w:lang w:eastAsia="es-CO"/>
        </w:rPr>
        <w:t> </w:t>
      </w:r>
      <w:bookmarkEnd w:id="0"/>
    </w:p>
    <w:sectPr w:rsidR="00450D7B" w:rsidRPr="007E296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B733" w14:textId="77777777" w:rsidR="008B28C8" w:rsidRDefault="008B28C8" w:rsidP="004A1847">
      <w:pPr>
        <w:spacing w:after="0" w:line="240" w:lineRule="auto"/>
      </w:pPr>
      <w:r>
        <w:separator/>
      </w:r>
    </w:p>
  </w:endnote>
  <w:endnote w:type="continuationSeparator" w:id="0">
    <w:p w14:paraId="6A3AA020" w14:textId="77777777" w:rsidR="008B28C8" w:rsidRDefault="008B28C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EE8C" w14:textId="77777777" w:rsidR="008B28C8" w:rsidRDefault="008B28C8" w:rsidP="004A1847">
      <w:pPr>
        <w:spacing w:after="0" w:line="240" w:lineRule="auto"/>
      </w:pPr>
      <w:r>
        <w:separator/>
      </w:r>
    </w:p>
  </w:footnote>
  <w:footnote w:type="continuationSeparator" w:id="0">
    <w:p w14:paraId="0BCF50BC" w14:textId="77777777" w:rsidR="008B28C8" w:rsidRDefault="008B28C8" w:rsidP="004A1847">
      <w:pPr>
        <w:spacing w:after="0" w:line="240" w:lineRule="auto"/>
      </w:pPr>
      <w:r>
        <w:continuationSeparator/>
      </w:r>
    </w:p>
  </w:footnote>
  <w:footnote w:id="1">
    <w:p w14:paraId="3D59E3D4" w14:textId="5A7C0239" w:rsidR="00526DB3" w:rsidRDefault="00526DB3" w:rsidP="00526DB3">
      <w:pPr>
        <w:pStyle w:val="Textonotapie"/>
        <w:ind w:firstLine="708"/>
        <w:jc w:val="both"/>
        <w:rPr>
          <w:rFonts w:ascii="Verdana" w:hAnsi="Verdana"/>
          <w:sz w:val="18"/>
          <w:szCs w:val="18"/>
        </w:rPr>
      </w:pPr>
      <w:r w:rsidRPr="002753AF">
        <w:rPr>
          <w:rStyle w:val="Refdenotaalpie"/>
          <w:rFonts w:ascii="Verdana" w:hAnsi="Verdana"/>
          <w:sz w:val="16"/>
          <w:szCs w:val="16"/>
        </w:rPr>
        <w:footnoteRef/>
      </w:r>
      <w:r w:rsidRPr="002753AF">
        <w:rPr>
          <w:rFonts w:ascii="Verdana" w:hAnsi="Verdana"/>
          <w:sz w:val="16"/>
          <w:szCs w:val="16"/>
        </w:rPr>
        <w:t xml:space="preserve"> </w:t>
      </w:r>
      <w:r w:rsidRPr="00231B6F">
        <w:rPr>
          <w:rFonts w:ascii="Verdana" w:hAnsi="Verdana"/>
          <w:sz w:val="18"/>
          <w:szCs w:val="18"/>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626E2716" w14:textId="77777777" w:rsidR="00526DB3" w:rsidRPr="00231B6F" w:rsidRDefault="00526DB3" w:rsidP="00526DB3">
      <w:pPr>
        <w:pStyle w:val="Textonotapie"/>
        <w:ind w:firstLine="708"/>
        <w:jc w:val="both"/>
        <w:rPr>
          <w:rFonts w:ascii="Verdana" w:hAnsi="Verdana"/>
          <w:sz w:val="18"/>
          <w:szCs w:val="18"/>
        </w:rPr>
      </w:pPr>
    </w:p>
  </w:footnote>
  <w:footnote w:id="2">
    <w:p w14:paraId="3C861375" w14:textId="77777777" w:rsidR="00526DB3" w:rsidRPr="00231B6F" w:rsidRDefault="00526DB3" w:rsidP="00526DB3">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C-154 de 1997. </w:t>
      </w:r>
      <w:r w:rsidRPr="00231B6F">
        <w:rPr>
          <w:rFonts w:ascii="Verdana" w:hAnsi="Verdana"/>
          <w:sz w:val="18"/>
          <w:szCs w:val="18"/>
        </w:rPr>
        <w:t>M.P. Hernando Herrera Vergara.</w:t>
      </w:r>
    </w:p>
    <w:p w14:paraId="7EA5485E" w14:textId="77777777" w:rsidR="00526DB3" w:rsidRPr="00231B6F" w:rsidRDefault="00526DB3" w:rsidP="00526DB3">
      <w:pPr>
        <w:pStyle w:val="Textonotapie"/>
        <w:ind w:firstLine="708"/>
        <w:jc w:val="both"/>
        <w:rPr>
          <w:rFonts w:ascii="Verdana" w:hAnsi="Verdana"/>
          <w:sz w:val="18"/>
          <w:szCs w:val="18"/>
        </w:rPr>
      </w:pPr>
    </w:p>
  </w:footnote>
  <w:footnote w:id="3">
    <w:p w14:paraId="25D62853" w14:textId="77777777" w:rsidR="00526DB3" w:rsidRPr="008D1DC8" w:rsidRDefault="00526DB3" w:rsidP="00526DB3">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Consejo de Estado. Sección Tercera. Subsección C. Sentencia del 2 de diciembre de 2013. </w:t>
      </w:r>
      <w:r w:rsidRPr="008D1DC8">
        <w:rPr>
          <w:rFonts w:ascii="Verdana" w:hAnsi="Verdana"/>
          <w:sz w:val="18"/>
          <w:szCs w:val="18"/>
          <w:lang w:val="pt-BR"/>
        </w:rPr>
        <w:t>Exp. 41719. C.P. Jaime Orlando Santofimio Gamboa.</w:t>
      </w:r>
    </w:p>
    <w:p w14:paraId="23D5BA77" w14:textId="77777777" w:rsidR="00526DB3" w:rsidRPr="008D1DC8" w:rsidRDefault="00526DB3" w:rsidP="00526DB3">
      <w:pPr>
        <w:pStyle w:val="Textonotapie"/>
        <w:ind w:firstLine="708"/>
        <w:jc w:val="both"/>
        <w:rPr>
          <w:rFonts w:ascii="Verdana" w:hAnsi="Verdana"/>
          <w:sz w:val="18"/>
          <w:szCs w:val="18"/>
          <w:lang w:val="pt-BR"/>
        </w:rPr>
      </w:pPr>
    </w:p>
  </w:footnote>
  <w:footnote w:id="4">
    <w:p w14:paraId="595F378D" w14:textId="77777777" w:rsidR="00526DB3" w:rsidRPr="00231B6F" w:rsidRDefault="00526DB3" w:rsidP="00526DB3">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C-154 de 1997. </w:t>
      </w:r>
      <w:r w:rsidRPr="00231B6F">
        <w:rPr>
          <w:rFonts w:ascii="Verdana" w:hAnsi="Verdana"/>
          <w:sz w:val="18"/>
          <w:szCs w:val="18"/>
        </w:rPr>
        <w:t>M.P. Hernando Herrera Vergara.</w:t>
      </w:r>
    </w:p>
    <w:p w14:paraId="34E311A3" w14:textId="77777777" w:rsidR="00526DB3" w:rsidRPr="00231B6F" w:rsidRDefault="00526DB3" w:rsidP="00526DB3">
      <w:pPr>
        <w:pStyle w:val="Textonotapie"/>
        <w:ind w:firstLine="708"/>
        <w:jc w:val="both"/>
        <w:rPr>
          <w:rFonts w:ascii="Verdana" w:hAnsi="Verdana"/>
          <w:sz w:val="18"/>
          <w:szCs w:val="18"/>
        </w:rPr>
      </w:pPr>
    </w:p>
  </w:footnote>
  <w:footnote w:id="5">
    <w:p w14:paraId="062865E5"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56D9C733" w14:textId="77777777" w:rsidR="00526DB3" w:rsidRPr="00231B6F" w:rsidRDefault="00526DB3" w:rsidP="00526DB3">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6">
    <w:p w14:paraId="7BBBD487" w14:textId="5BDAFE62" w:rsidR="00526DB3"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Consejo de Estado. Sección Tercera. Subsección C. Sentencia del 2 de diciembre de 2013. Exp. 41719. C.P. Jaime Orlando Santofimio Gamboa.</w:t>
      </w:r>
    </w:p>
    <w:p w14:paraId="7B5DEC5C" w14:textId="77777777" w:rsidR="00526DB3" w:rsidRPr="00231B6F" w:rsidRDefault="00526DB3" w:rsidP="00526DB3">
      <w:pPr>
        <w:pStyle w:val="Textonotapie"/>
        <w:ind w:firstLine="708"/>
        <w:jc w:val="both"/>
        <w:rPr>
          <w:rFonts w:ascii="Verdana" w:hAnsi="Verdana"/>
          <w:sz w:val="18"/>
          <w:szCs w:val="18"/>
          <w:lang w:val="es-CO"/>
        </w:rPr>
      </w:pPr>
    </w:p>
  </w:footnote>
  <w:footnote w:id="7">
    <w:p w14:paraId="6FD5398C"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620DAF76" w14:textId="77777777" w:rsidR="00526DB3" w:rsidRPr="00231B6F" w:rsidRDefault="00526DB3" w:rsidP="00D93FFA">
      <w:pPr>
        <w:pStyle w:val="Textonotapie"/>
        <w:ind w:firstLine="708"/>
        <w:jc w:val="both"/>
        <w:rPr>
          <w:rFonts w:ascii="Verdana" w:hAnsi="Verdana"/>
          <w:sz w:val="18"/>
          <w:szCs w:val="18"/>
          <w:lang w:val="es-CO"/>
        </w:rPr>
      </w:pPr>
      <w:r w:rsidRPr="00231B6F">
        <w:rPr>
          <w:rFonts w:ascii="Verdana" w:hAnsi="Verdana"/>
          <w:sz w:val="18"/>
          <w:szCs w:val="18"/>
          <w:lang w:val="es-CO"/>
        </w:rPr>
        <w:t xml:space="preserve">Son también contratos de consultoría los que tienen por objeto la interventoría, asesoría, gerencia de obra o de proyectos, dirección, programación y la ejecución de diseños, planos, anteproyectos y proyectos. </w:t>
      </w:r>
    </w:p>
    <w:p w14:paraId="42112898" w14:textId="77777777" w:rsidR="00526DB3" w:rsidRPr="00231B6F" w:rsidRDefault="00526DB3" w:rsidP="00D93FFA">
      <w:pPr>
        <w:pStyle w:val="Textonotapie"/>
        <w:ind w:firstLine="708"/>
        <w:jc w:val="both"/>
        <w:rPr>
          <w:rFonts w:ascii="Verdana" w:hAnsi="Verdana"/>
          <w:sz w:val="18"/>
          <w:szCs w:val="18"/>
          <w:lang w:val="es-CO"/>
        </w:rPr>
      </w:pPr>
      <w:r w:rsidRPr="00231B6F">
        <w:rPr>
          <w:rFonts w:ascii="Verdana" w:hAnsi="Verdana"/>
          <w:sz w:val="18"/>
          <w:szCs w:val="18"/>
          <w:lang w:val="es-CO"/>
        </w:rPr>
        <w:t>Ninguna orden del interventor de una obra podrá darse verbalmente. Es obligatorio para el interventor entregar por escrito sus órdenes o sugerencias y ellas deben enmarcarse dentro de los términos del respectivo contrato”.</w:t>
      </w:r>
    </w:p>
  </w:footnote>
  <w:footnote w:id="8">
    <w:p w14:paraId="274F2A2F" w14:textId="77777777" w:rsidR="00526DB3" w:rsidRPr="00231B6F" w:rsidRDefault="00526DB3" w:rsidP="00526DB3">
      <w:pPr>
        <w:pStyle w:val="Textonotapie"/>
        <w:ind w:firstLine="708"/>
        <w:jc w:val="both"/>
        <w:rPr>
          <w:rFonts w:ascii="Verdana" w:hAnsi="Verdana"/>
          <w:sz w:val="18"/>
          <w:szCs w:val="18"/>
        </w:rPr>
      </w:pPr>
    </w:p>
    <w:p w14:paraId="2312142F"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079D1104" w14:textId="77777777" w:rsidR="00526DB3" w:rsidRPr="00231B6F" w:rsidRDefault="00526DB3" w:rsidP="00526DB3">
      <w:pPr>
        <w:pStyle w:val="Textonotapie"/>
        <w:ind w:left="851"/>
        <w:jc w:val="both"/>
        <w:rPr>
          <w:rFonts w:ascii="Verdana" w:hAnsi="Verdana"/>
          <w:sz w:val="18"/>
          <w:szCs w:val="18"/>
          <w:lang w:val="es-CO"/>
        </w:rPr>
      </w:pPr>
      <w:r w:rsidRPr="00231B6F">
        <w:rPr>
          <w:rFonts w:ascii="Verdana" w:hAnsi="Verdana"/>
          <w:sz w:val="18"/>
          <w:szCs w:val="18"/>
          <w:lang w:val="es-CO"/>
        </w:rPr>
        <w:t xml:space="preserve">1. La causal que invoca para contratar directamente. </w:t>
      </w:r>
    </w:p>
    <w:p w14:paraId="2FA273F0" w14:textId="77777777" w:rsidR="00526DB3" w:rsidRPr="00231B6F" w:rsidRDefault="00526DB3" w:rsidP="00526DB3">
      <w:pPr>
        <w:pStyle w:val="Textonotapie"/>
        <w:ind w:left="851"/>
        <w:jc w:val="both"/>
        <w:rPr>
          <w:rFonts w:ascii="Verdana" w:hAnsi="Verdana"/>
          <w:sz w:val="18"/>
          <w:szCs w:val="18"/>
          <w:lang w:val="es-CO"/>
        </w:rPr>
      </w:pPr>
      <w:r w:rsidRPr="00231B6F">
        <w:rPr>
          <w:rFonts w:ascii="Verdana" w:hAnsi="Verdana"/>
          <w:sz w:val="18"/>
          <w:szCs w:val="18"/>
          <w:lang w:val="es-CO"/>
        </w:rPr>
        <w:t xml:space="preserve">2. El objeto del contrato. </w:t>
      </w:r>
    </w:p>
    <w:p w14:paraId="06467B7C" w14:textId="77777777" w:rsidR="00526DB3" w:rsidRPr="00231B6F" w:rsidRDefault="00526DB3" w:rsidP="00526DB3">
      <w:pPr>
        <w:pStyle w:val="Textonotapie"/>
        <w:ind w:left="851"/>
        <w:jc w:val="both"/>
        <w:rPr>
          <w:rFonts w:ascii="Verdana" w:hAnsi="Verdana"/>
          <w:sz w:val="18"/>
          <w:szCs w:val="18"/>
          <w:lang w:val="es-CO"/>
        </w:rPr>
      </w:pPr>
      <w:r w:rsidRPr="00231B6F">
        <w:rPr>
          <w:rFonts w:ascii="Verdana" w:hAnsi="Verdana"/>
          <w:sz w:val="18"/>
          <w:szCs w:val="18"/>
          <w:lang w:val="es-CO"/>
        </w:rPr>
        <w:t xml:space="preserve">3. El presupuesto para la contratación y las condiciones que exigirá al contratista. </w:t>
      </w:r>
    </w:p>
    <w:p w14:paraId="58FBE77D" w14:textId="77777777" w:rsidR="00526DB3" w:rsidRPr="00231B6F" w:rsidRDefault="00526DB3" w:rsidP="00526DB3">
      <w:pPr>
        <w:pStyle w:val="Textonotapie"/>
        <w:ind w:left="851"/>
        <w:jc w:val="both"/>
        <w:rPr>
          <w:rFonts w:ascii="Verdana" w:hAnsi="Verdana"/>
          <w:sz w:val="18"/>
          <w:szCs w:val="18"/>
          <w:lang w:val="es-CO"/>
        </w:rPr>
      </w:pPr>
      <w:r w:rsidRPr="00231B6F">
        <w:rPr>
          <w:rFonts w:ascii="Verdana" w:hAnsi="Verdana"/>
          <w:sz w:val="18"/>
          <w:szCs w:val="18"/>
          <w:lang w:val="es-CO"/>
        </w:rPr>
        <w:t>4. El lugar en el cual los interesados pueden consultar los estudios y documentos previos.</w:t>
      </w:r>
    </w:p>
    <w:p w14:paraId="52EC7D07" w14:textId="77777777" w:rsidR="00526DB3" w:rsidRPr="00231B6F" w:rsidRDefault="00526DB3" w:rsidP="00526DB3">
      <w:pPr>
        <w:pStyle w:val="Textonotapie"/>
        <w:jc w:val="both"/>
        <w:rPr>
          <w:rFonts w:ascii="Verdana" w:hAnsi="Verdana"/>
          <w:sz w:val="18"/>
          <w:szCs w:val="18"/>
          <w:lang w:val="es-CO"/>
        </w:rPr>
      </w:pPr>
      <w:r w:rsidRPr="00231B6F">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55854E7B" w14:textId="77777777" w:rsidR="00526DB3" w:rsidRPr="00231B6F" w:rsidRDefault="00526DB3" w:rsidP="00526DB3">
      <w:pPr>
        <w:pStyle w:val="Textonotapie"/>
        <w:ind w:left="851"/>
        <w:jc w:val="both"/>
        <w:rPr>
          <w:rFonts w:ascii="Verdana" w:hAnsi="Verdana"/>
          <w:sz w:val="18"/>
          <w:szCs w:val="18"/>
        </w:rPr>
      </w:pPr>
    </w:p>
  </w:footnote>
  <w:footnote w:id="9">
    <w:p w14:paraId="7620B5D3"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5FEC4421" w14:textId="77777777" w:rsidR="00526DB3" w:rsidRPr="00231B6F" w:rsidRDefault="00526DB3" w:rsidP="00D93FFA">
      <w:pPr>
        <w:pStyle w:val="Textonotapie"/>
        <w:ind w:firstLine="708"/>
        <w:jc w:val="both"/>
        <w:rPr>
          <w:rFonts w:ascii="Verdana" w:hAnsi="Verdana"/>
          <w:sz w:val="18"/>
          <w:szCs w:val="18"/>
          <w:lang w:val="es-CO"/>
        </w:rPr>
      </w:pPr>
      <w:r w:rsidRPr="00231B6F">
        <w:rPr>
          <w:rFonts w:ascii="Verdana" w:hAnsi="Verdana"/>
          <w:sz w:val="18"/>
          <w:szCs w:val="18"/>
          <w:lang w:val="es-CO"/>
        </w:rPr>
        <w:t>Las entidades estatales podrán pactar estas cláusulas en los contratos de suministro y de prestación de servicios. […]”.</w:t>
      </w:r>
    </w:p>
    <w:p w14:paraId="05FE9629" w14:textId="77777777" w:rsidR="00526DB3" w:rsidRPr="00231B6F" w:rsidRDefault="00526DB3" w:rsidP="00526DB3">
      <w:pPr>
        <w:pStyle w:val="Textonotapie"/>
        <w:jc w:val="both"/>
        <w:rPr>
          <w:rFonts w:ascii="Verdana" w:hAnsi="Verdana"/>
          <w:sz w:val="18"/>
          <w:szCs w:val="18"/>
          <w:lang w:val="es-CO"/>
        </w:rPr>
      </w:pPr>
    </w:p>
  </w:footnote>
  <w:footnote w:id="10">
    <w:p w14:paraId="12D35327"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norma dispone: “La liquidación a que se refiere el presente artículo no será obligatoria en los contratos de prestación de servicios profesionales y de apoyo a la gestión”.</w:t>
      </w:r>
    </w:p>
    <w:p w14:paraId="5029B1BE" w14:textId="77777777" w:rsidR="00526DB3" w:rsidRPr="00231B6F" w:rsidRDefault="00526DB3" w:rsidP="00526DB3">
      <w:pPr>
        <w:pStyle w:val="Textonotapie"/>
        <w:ind w:firstLine="708"/>
        <w:jc w:val="both"/>
        <w:rPr>
          <w:rFonts w:ascii="Verdana" w:hAnsi="Verdana"/>
          <w:sz w:val="18"/>
          <w:szCs w:val="18"/>
          <w:lang w:val="es-CO"/>
        </w:rPr>
      </w:pPr>
    </w:p>
  </w:footnote>
  <w:footnote w:id="11">
    <w:p w14:paraId="6A94B72A"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6643AABC" w14:textId="77777777" w:rsidR="00526DB3" w:rsidRPr="00231B6F" w:rsidRDefault="00526DB3" w:rsidP="00526DB3">
      <w:pPr>
        <w:pStyle w:val="Textonotapie"/>
        <w:ind w:firstLine="708"/>
        <w:jc w:val="both"/>
        <w:rPr>
          <w:rFonts w:ascii="Verdana" w:hAnsi="Verdana"/>
          <w:sz w:val="18"/>
          <w:szCs w:val="18"/>
          <w:lang w:val="es-CO"/>
        </w:rPr>
      </w:pPr>
    </w:p>
  </w:footnote>
  <w:footnote w:id="12">
    <w:p w14:paraId="4CF9DE64"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28D571FB" w14:textId="77777777" w:rsidR="00526DB3" w:rsidRPr="00231B6F" w:rsidRDefault="00526DB3" w:rsidP="00526DB3">
      <w:pPr>
        <w:pStyle w:val="Textonotapie"/>
        <w:ind w:firstLine="708"/>
        <w:jc w:val="both"/>
        <w:rPr>
          <w:rFonts w:ascii="Verdana" w:hAnsi="Verdana"/>
          <w:sz w:val="18"/>
          <w:szCs w:val="18"/>
          <w:lang w:val="es-CO"/>
        </w:rPr>
      </w:pPr>
    </w:p>
  </w:footnote>
  <w:footnote w:id="13">
    <w:p w14:paraId="1F8260E2" w14:textId="36DE63CA" w:rsidR="00526DB3"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T-743 de 2017. </w:t>
      </w:r>
      <w:r w:rsidRPr="00231B6F">
        <w:rPr>
          <w:rFonts w:ascii="Verdana" w:hAnsi="Verdana"/>
          <w:sz w:val="18"/>
          <w:szCs w:val="18"/>
          <w:lang w:val="es-CO"/>
        </w:rPr>
        <w:t>M.P: Gloria Stella Ortiz Delgado.</w:t>
      </w:r>
    </w:p>
    <w:p w14:paraId="0CA70C56" w14:textId="77777777" w:rsidR="00526DB3" w:rsidRPr="00231B6F" w:rsidRDefault="00526DB3" w:rsidP="00526DB3">
      <w:pPr>
        <w:pStyle w:val="Textonotapie"/>
        <w:ind w:firstLine="708"/>
        <w:jc w:val="both"/>
        <w:rPr>
          <w:rFonts w:ascii="Verdana" w:hAnsi="Verdana"/>
          <w:sz w:val="18"/>
          <w:szCs w:val="18"/>
          <w:lang w:val="es-CO"/>
        </w:rPr>
      </w:pPr>
    </w:p>
  </w:footnote>
  <w:footnote w:id="14">
    <w:p w14:paraId="67CB8881"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0640A4DE" w14:textId="7F90EB72" w:rsidR="00526DB3" w:rsidRDefault="00526DB3" w:rsidP="00526DB3">
      <w:pPr>
        <w:pStyle w:val="Textonotapie"/>
        <w:ind w:firstLine="708"/>
        <w:jc w:val="both"/>
        <w:rPr>
          <w:rFonts w:ascii="Verdana" w:hAnsi="Verdana"/>
          <w:sz w:val="18"/>
          <w:szCs w:val="18"/>
          <w:lang w:val="es-CO"/>
        </w:rPr>
      </w:pPr>
      <w:r w:rsidRPr="00231B6F">
        <w:rPr>
          <w:rFonts w:ascii="Verdana" w:hAnsi="Verdana"/>
          <w:sz w:val="18"/>
          <w:szCs w:val="18"/>
          <w:lang w:val="es-CO"/>
        </w:rPr>
        <w:t xml:space="preserve">“Bajo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p w14:paraId="75A57B0F" w14:textId="77777777" w:rsidR="00526DB3" w:rsidRPr="00787B12" w:rsidRDefault="00526DB3" w:rsidP="00526DB3">
      <w:pPr>
        <w:pStyle w:val="Textonotapie"/>
        <w:ind w:firstLine="708"/>
        <w:jc w:val="both"/>
        <w:rPr>
          <w:rFonts w:ascii="Verdana" w:hAnsi="Verdana"/>
          <w:sz w:val="18"/>
          <w:szCs w:val="18"/>
          <w:lang w:val="es-CO"/>
        </w:rPr>
      </w:pPr>
    </w:p>
  </w:footnote>
  <w:footnote w:id="15">
    <w:p w14:paraId="7901909E"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4C15F189" w14:textId="77777777" w:rsidR="00526DB3" w:rsidRPr="00231B6F" w:rsidRDefault="00526DB3" w:rsidP="00526DB3">
      <w:pPr>
        <w:pStyle w:val="Textonotapie"/>
        <w:ind w:firstLine="708"/>
        <w:jc w:val="both"/>
        <w:rPr>
          <w:rFonts w:ascii="Verdana" w:hAnsi="Verdana"/>
          <w:sz w:val="18"/>
          <w:szCs w:val="18"/>
          <w:lang w:val="es-CO"/>
        </w:rPr>
      </w:pPr>
    </w:p>
  </w:footnote>
  <w:footnote w:id="16">
    <w:p w14:paraId="00E00398"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2CF68422" w14:textId="77777777" w:rsidR="00526DB3" w:rsidRPr="00231B6F" w:rsidRDefault="00526DB3" w:rsidP="00526DB3">
      <w:pPr>
        <w:pStyle w:val="Textonotapie"/>
        <w:ind w:firstLine="708"/>
        <w:jc w:val="both"/>
        <w:rPr>
          <w:rFonts w:ascii="Verdana" w:hAnsi="Verdana"/>
          <w:sz w:val="18"/>
          <w:szCs w:val="18"/>
          <w:lang w:val="es-CO"/>
        </w:rPr>
      </w:pPr>
    </w:p>
    <w:p w14:paraId="0837E2C0" w14:textId="77777777" w:rsidR="00526DB3" w:rsidRPr="00231B6F" w:rsidRDefault="00526DB3" w:rsidP="00526DB3">
      <w:pPr>
        <w:pStyle w:val="Textonotapie"/>
        <w:jc w:val="both"/>
        <w:rPr>
          <w:rFonts w:ascii="Verdana" w:hAnsi="Verdana"/>
          <w:sz w:val="18"/>
          <w:szCs w:val="18"/>
          <w:lang w:val="es-CO"/>
        </w:rPr>
      </w:pPr>
      <w:r w:rsidRPr="00231B6F">
        <w:rPr>
          <w:rFonts w:ascii="Verdana" w:hAnsi="Verdana"/>
          <w:sz w:val="18"/>
          <w:szCs w:val="18"/>
          <w:lang w:val="es-CO"/>
        </w:rPr>
        <w:t xml:space="preserve">[…] </w:t>
      </w:r>
    </w:p>
    <w:p w14:paraId="630288EC" w14:textId="77777777" w:rsidR="00526DB3" w:rsidRPr="00231B6F" w:rsidRDefault="00526DB3" w:rsidP="00526DB3">
      <w:pPr>
        <w:pStyle w:val="Textonotapie"/>
        <w:jc w:val="both"/>
        <w:rPr>
          <w:rFonts w:ascii="Verdana" w:hAnsi="Verdana"/>
          <w:sz w:val="18"/>
          <w:szCs w:val="18"/>
          <w:lang w:val="es-CO"/>
        </w:rPr>
      </w:pPr>
    </w:p>
    <w:p w14:paraId="734BAB86" w14:textId="686ED805" w:rsidR="00526DB3" w:rsidRDefault="00526DB3" w:rsidP="00526DB3">
      <w:pPr>
        <w:pStyle w:val="Textonotapie"/>
        <w:ind w:firstLine="708"/>
        <w:jc w:val="both"/>
        <w:rPr>
          <w:rFonts w:ascii="Verdana" w:hAnsi="Verdana"/>
          <w:sz w:val="18"/>
          <w:szCs w:val="18"/>
          <w:lang w:val="es-CO"/>
        </w:rPr>
      </w:pPr>
      <w:r w:rsidRPr="00231B6F">
        <w:rPr>
          <w:rFonts w:ascii="Verdana" w:hAnsi="Verdana"/>
          <w:sz w:val="18"/>
          <w:szCs w:val="18"/>
          <w:lang w:val="es-CO"/>
        </w:rPr>
        <w:t>“Así las cosas, encuentra la Sala que se cumplen los criterios determinados por la Corporación para proceder al amparo de los derechos fundamentales de la contratista: (i) existió una relación de prestación de servicios entre las partes; (ii)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p w14:paraId="7F623578" w14:textId="77777777" w:rsidR="00526DB3" w:rsidRPr="00231B6F" w:rsidRDefault="00526DB3" w:rsidP="00526DB3">
      <w:pPr>
        <w:pStyle w:val="Textonotapie"/>
        <w:ind w:firstLine="708"/>
        <w:jc w:val="both"/>
        <w:rPr>
          <w:rFonts w:ascii="Verdana" w:hAnsi="Verdana"/>
          <w:sz w:val="18"/>
          <w:szCs w:val="18"/>
          <w:lang w:val="es-CO"/>
        </w:rPr>
      </w:pPr>
    </w:p>
  </w:footnote>
  <w:footnote w:id="17">
    <w:p w14:paraId="3900177C"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SU-075 de 2018. M.P: Gloria Stella Ortiz Delgado.</w:t>
      </w:r>
    </w:p>
    <w:p w14:paraId="5391C7C9" w14:textId="77777777" w:rsidR="00526DB3" w:rsidRPr="00231B6F" w:rsidRDefault="00526DB3" w:rsidP="00526DB3">
      <w:pPr>
        <w:pStyle w:val="Textonotapie"/>
        <w:ind w:firstLine="708"/>
        <w:jc w:val="both"/>
        <w:rPr>
          <w:rFonts w:ascii="Verdana" w:hAnsi="Verdana"/>
          <w:sz w:val="18"/>
          <w:szCs w:val="18"/>
        </w:rPr>
      </w:pPr>
    </w:p>
  </w:footnote>
  <w:footnote w:id="18">
    <w:p w14:paraId="1AAA5EC3"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T-350 del 2016. M.P: María Victoria Calle Correa.</w:t>
      </w:r>
    </w:p>
    <w:p w14:paraId="1502122B" w14:textId="77777777" w:rsidR="00526DB3" w:rsidRPr="00231B6F" w:rsidRDefault="00526DB3" w:rsidP="00526DB3">
      <w:pPr>
        <w:pStyle w:val="Textonotapie"/>
        <w:ind w:firstLine="708"/>
        <w:jc w:val="both"/>
        <w:rPr>
          <w:rFonts w:ascii="Verdana" w:hAnsi="Verdana"/>
          <w:sz w:val="18"/>
          <w:szCs w:val="18"/>
        </w:rPr>
      </w:pPr>
    </w:p>
  </w:footnote>
  <w:footnote w:id="19">
    <w:p w14:paraId="0B7FBF5C" w14:textId="77777777" w:rsidR="00526DB3" w:rsidRPr="008D1DC8" w:rsidRDefault="00526DB3" w:rsidP="00526DB3">
      <w:pPr>
        <w:pStyle w:val="Textonotapie"/>
        <w:ind w:firstLine="709"/>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T-030 de 2018. M.P: José Fernando Reyes Cuartas.</w:t>
      </w:r>
    </w:p>
    <w:p w14:paraId="3EDCE7B1" w14:textId="77777777" w:rsidR="00526DB3" w:rsidRPr="008D1DC8" w:rsidRDefault="00526DB3" w:rsidP="00526DB3">
      <w:pPr>
        <w:pStyle w:val="Textonotapie"/>
        <w:jc w:val="both"/>
        <w:rPr>
          <w:rFonts w:ascii="Verdana" w:hAnsi="Verdana"/>
          <w:sz w:val="18"/>
          <w:szCs w:val="18"/>
          <w:lang w:val="pt-BR"/>
        </w:rPr>
      </w:pPr>
    </w:p>
  </w:footnote>
  <w:footnote w:id="20">
    <w:p w14:paraId="3BB13EC7" w14:textId="75AA2DE2" w:rsidR="00526DB3" w:rsidRDefault="00526DB3" w:rsidP="00526DB3">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SU-075 de 2018. M.P: Gloria Stella Ortiz Delgado.</w:t>
      </w:r>
    </w:p>
    <w:p w14:paraId="1CAF2985" w14:textId="77777777" w:rsidR="00526DB3" w:rsidRPr="008D1DC8" w:rsidRDefault="00526DB3" w:rsidP="00526DB3">
      <w:pPr>
        <w:pStyle w:val="Textonotapie"/>
        <w:ind w:firstLine="708"/>
        <w:jc w:val="both"/>
        <w:rPr>
          <w:rFonts w:ascii="Verdana" w:hAnsi="Verdana"/>
          <w:sz w:val="18"/>
          <w:szCs w:val="18"/>
          <w:lang w:val="pt-BR"/>
        </w:rPr>
      </w:pPr>
    </w:p>
  </w:footnote>
  <w:footnote w:id="21">
    <w:p w14:paraId="19C22B17" w14:textId="77777777" w:rsidR="00526DB3" w:rsidRPr="00231B6F"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T-329 del 19 de septiembre de 2022. </w:t>
      </w:r>
      <w:r w:rsidRPr="00231B6F">
        <w:rPr>
          <w:rFonts w:ascii="Verdana" w:hAnsi="Verdana"/>
          <w:sz w:val="18"/>
          <w:szCs w:val="18"/>
          <w:lang w:val="es-CO"/>
        </w:rPr>
        <w:t>M.P: Natalia Ángel Cabo.</w:t>
      </w:r>
    </w:p>
    <w:p w14:paraId="48FBE02E" w14:textId="77777777" w:rsidR="00526DB3" w:rsidRPr="00231B6F" w:rsidRDefault="00526DB3" w:rsidP="00526DB3">
      <w:pPr>
        <w:pStyle w:val="Textonotapie"/>
        <w:ind w:firstLine="708"/>
        <w:jc w:val="both"/>
        <w:rPr>
          <w:rFonts w:ascii="Verdana" w:hAnsi="Verdana"/>
          <w:sz w:val="18"/>
          <w:szCs w:val="18"/>
        </w:rPr>
      </w:pPr>
    </w:p>
  </w:footnote>
  <w:footnote w:id="22">
    <w:p w14:paraId="01D421DA" w14:textId="06D894E2" w:rsidR="00526DB3" w:rsidRDefault="00526DB3" w:rsidP="00526DB3">
      <w:pPr>
        <w:pStyle w:val="Textonotapie"/>
        <w:ind w:firstLine="709"/>
        <w:jc w:val="both"/>
        <w:rPr>
          <w:rFonts w:ascii="Verdana" w:hAnsi="Verdana"/>
          <w:spacing w:val="-2"/>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Sentencia</w:t>
      </w:r>
      <w:r w:rsidRPr="00231B6F">
        <w:rPr>
          <w:rFonts w:ascii="Verdana" w:hAnsi="Verdana"/>
          <w:spacing w:val="-7"/>
          <w:sz w:val="18"/>
          <w:szCs w:val="18"/>
          <w:lang w:val="es-CO"/>
        </w:rPr>
        <w:t xml:space="preserve"> </w:t>
      </w:r>
      <w:r w:rsidRPr="00231B6F">
        <w:rPr>
          <w:rFonts w:ascii="Verdana" w:hAnsi="Verdana"/>
          <w:sz w:val="18"/>
          <w:szCs w:val="18"/>
          <w:lang w:val="es-CO"/>
        </w:rPr>
        <w:t>SU-070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z w:val="18"/>
          <w:szCs w:val="18"/>
          <w:lang w:val="es-CO"/>
        </w:rPr>
        <w:t>2013.</w:t>
      </w:r>
      <w:r w:rsidRPr="00231B6F">
        <w:rPr>
          <w:rFonts w:ascii="Verdana" w:hAnsi="Verdana"/>
          <w:spacing w:val="-7"/>
          <w:sz w:val="18"/>
          <w:szCs w:val="18"/>
          <w:lang w:val="es-CO"/>
        </w:rPr>
        <w:t xml:space="preserve"> </w:t>
      </w:r>
      <w:r w:rsidRPr="00231B6F">
        <w:rPr>
          <w:rFonts w:ascii="Verdana" w:hAnsi="Verdana"/>
          <w:sz w:val="18"/>
          <w:szCs w:val="18"/>
          <w:lang w:val="es-CO"/>
        </w:rPr>
        <w:t>Fund.</w:t>
      </w:r>
      <w:r w:rsidRPr="00231B6F">
        <w:rPr>
          <w:rFonts w:ascii="Verdana" w:hAnsi="Verdana"/>
          <w:spacing w:val="-8"/>
          <w:sz w:val="18"/>
          <w:szCs w:val="18"/>
          <w:lang w:val="es-CO"/>
        </w:rPr>
        <w:t xml:space="preserve"> </w:t>
      </w:r>
      <w:r w:rsidRPr="00231B6F">
        <w:rPr>
          <w:rFonts w:ascii="Verdana" w:hAnsi="Verdana"/>
          <w:sz w:val="18"/>
          <w:szCs w:val="18"/>
          <w:lang w:val="es-CO"/>
        </w:rPr>
        <w:t>6.</w:t>
      </w:r>
      <w:r w:rsidRPr="00231B6F">
        <w:rPr>
          <w:rFonts w:ascii="Verdana" w:hAnsi="Verdana"/>
          <w:spacing w:val="-7"/>
          <w:sz w:val="18"/>
          <w:szCs w:val="18"/>
          <w:lang w:val="es-CO"/>
        </w:rPr>
        <w:t xml:space="preserve"> </w:t>
      </w:r>
      <w:r w:rsidRPr="00231B6F">
        <w:rPr>
          <w:rFonts w:ascii="Verdana" w:hAnsi="Verdana"/>
          <w:sz w:val="18"/>
          <w:szCs w:val="18"/>
          <w:lang w:val="es-CO"/>
        </w:rPr>
        <w:t>Reiterado</w:t>
      </w:r>
      <w:r w:rsidRPr="00231B6F">
        <w:rPr>
          <w:rFonts w:ascii="Verdana" w:hAnsi="Verdana"/>
          <w:spacing w:val="-7"/>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las</w:t>
      </w:r>
      <w:r w:rsidRPr="00231B6F">
        <w:rPr>
          <w:rFonts w:ascii="Verdana" w:hAnsi="Verdana"/>
          <w:spacing w:val="1"/>
          <w:sz w:val="18"/>
          <w:szCs w:val="18"/>
          <w:lang w:val="es-CO"/>
        </w:rPr>
        <w:t xml:space="preserve"> </w:t>
      </w:r>
      <w:r w:rsidRPr="00231B6F">
        <w:rPr>
          <w:rFonts w:ascii="Verdana" w:hAnsi="Verdana"/>
          <w:sz w:val="18"/>
          <w:szCs w:val="18"/>
          <w:lang w:val="es-CO"/>
        </w:rPr>
        <w:t>sentencias</w:t>
      </w:r>
      <w:r w:rsidRPr="00231B6F">
        <w:rPr>
          <w:rFonts w:ascii="Verdana" w:hAnsi="Verdana"/>
          <w:spacing w:val="-7"/>
          <w:sz w:val="18"/>
          <w:szCs w:val="18"/>
          <w:lang w:val="es-CO"/>
        </w:rPr>
        <w:t xml:space="preserve"> </w:t>
      </w:r>
      <w:r w:rsidRPr="00231B6F">
        <w:rPr>
          <w:rFonts w:ascii="Verdana" w:hAnsi="Verdana"/>
          <w:sz w:val="18"/>
          <w:szCs w:val="18"/>
          <w:lang w:val="es-CO"/>
        </w:rPr>
        <w:t>SU-040</w:t>
      </w:r>
      <w:r w:rsidRPr="00231B6F">
        <w:rPr>
          <w:rFonts w:ascii="Verdana" w:hAnsi="Verdana"/>
          <w:spacing w:val="-7"/>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r w:rsidRPr="00231B6F">
        <w:rPr>
          <w:rFonts w:ascii="Verdana" w:hAnsi="Verdana"/>
          <w:spacing w:val="-7"/>
          <w:sz w:val="18"/>
          <w:szCs w:val="18"/>
          <w:lang w:val="es-CO"/>
        </w:rPr>
        <w:t xml:space="preserve"> </w:t>
      </w:r>
      <w:r w:rsidRPr="00231B6F">
        <w:rPr>
          <w:rFonts w:ascii="Verdana" w:hAnsi="Verdana"/>
          <w:sz w:val="18"/>
          <w:szCs w:val="18"/>
          <w:lang w:val="es-CO"/>
        </w:rPr>
        <w:t>y</w:t>
      </w:r>
      <w:r w:rsidRPr="00231B6F">
        <w:rPr>
          <w:rFonts w:ascii="Verdana" w:hAnsi="Verdana"/>
          <w:spacing w:val="-7"/>
          <w:sz w:val="18"/>
          <w:szCs w:val="18"/>
          <w:lang w:val="es-CO"/>
        </w:rPr>
        <w:t xml:space="preserve"> </w:t>
      </w:r>
      <w:r w:rsidRPr="00231B6F">
        <w:rPr>
          <w:rFonts w:ascii="Verdana" w:hAnsi="Verdana"/>
          <w:sz w:val="18"/>
          <w:szCs w:val="18"/>
          <w:lang w:val="es-CO"/>
        </w:rPr>
        <w:t>SU-075</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pacing w:val="-2"/>
          <w:sz w:val="18"/>
          <w:szCs w:val="18"/>
          <w:lang w:val="es-CO"/>
        </w:rPr>
        <w:t>2018.</w:t>
      </w:r>
    </w:p>
    <w:p w14:paraId="3DD4531B" w14:textId="77777777" w:rsidR="00526DB3" w:rsidRPr="00231B6F" w:rsidRDefault="00526DB3" w:rsidP="00526DB3">
      <w:pPr>
        <w:pStyle w:val="Textonotapie"/>
        <w:ind w:firstLine="709"/>
        <w:jc w:val="both"/>
        <w:rPr>
          <w:rFonts w:ascii="Verdana" w:hAnsi="Verdana"/>
          <w:spacing w:val="-2"/>
          <w:sz w:val="18"/>
          <w:szCs w:val="18"/>
          <w:lang w:val="es-CO"/>
        </w:rPr>
      </w:pPr>
    </w:p>
  </w:footnote>
  <w:footnote w:id="23">
    <w:p w14:paraId="42235334" w14:textId="7A5430CC" w:rsidR="00526DB3" w:rsidRDefault="00526DB3" w:rsidP="00526DB3">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 indemnización se ha reconocido en contratos de prestación de servicios, entre otras las sentencias T-564 de 2017, T -316 de 2016, T-102 de 2016 y T-346 de 2013. </w:t>
      </w:r>
    </w:p>
    <w:p w14:paraId="0AE0F55A" w14:textId="77777777" w:rsidR="00526DB3" w:rsidRPr="00231B6F" w:rsidRDefault="00526DB3" w:rsidP="00526DB3">
      <w:pPr>
        <w:pStyle w:val="Textonotapie"/>
        <w:ind w:firstLine="709"/>
        <w:jc w:val="both"/>
        <w:rPr>
          <w:rFonts w:ascii="Verdana" w:hAnsi="Verdana"/>
          <w:sz w:val="18"/>
          <w:szCs w:val="18"/>
          <w:lang w:val="es-CO"/>
        </w:rPr>
      </w:pPr>
    </w:p>
  </w:footnote>
  <w:footnote w:id="24">
    <w:p w14:paraId="603BD5C5" w14:textId="158504B5" w:rsidR="00526DB3" w:rsidRDefault="00526DB3" w:rsidP="00526DB3">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las sentencias T-238 de 2015 y T-350 de 2016 la Corte Constitucional determinó que no procede el pago de la licencia de maternidad cuando en el caso se observe que la licencia de maternidad ya fue disfrutada.</w:t>
      </w:r>
    </w:p>
    <w:p w14:paraId="2B125BB0" w14:textId="77777777" w:rsidR="00526DB3" w:rsidRPr="00231B6F" w:rsidRDefault="00526DB3" w:rsidP="00526DB3">
      <w:pPr>
        <w:pStyle w:val="Textonotapie"/>
        <w:ind w:firstLine="709"/>
        <w:jc w:val="both"/>
        <w:rPr>
          <w:rFonts w:ascii="Verdana" w:hAnsi="Verdana"/>
          <w:sz w:val="18"/>
          <w:szCs w:val="18"/>
          <w:lang w:val="es-CO"/>
        </w:rPr>
      </w:pPr>
    </w:p>
  </w:footnote>
  <w:footnote w:id="25">
    <w:p w14:paraId="7284DC47" w14:textId="73313F41" w:rsidR="00526DB3" w:rsidRDefault="00526DB3" w:rsidP="00526DB3">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w:t>
      </w:r>
      <w:r w:rsidRPr="00231B6F">
        <w:rPr>
          <w:rFonts w:ascii="Verdana" w:hAnsi="Verdana"/>
          <w:spacing w:val="-9"/>
          <w:sz w:val="18"/>
          <w:szCs w:val="18"/>
          <w:lang w:val="es-CO"/>
        </w:rPr>
        <w:t xml:space="preserve"> </w:t>
      </w:r>
      <w:r w:rsidRPr="00231B6F">
        <w:rPr>
          <w:rFonts w:ascii="Verdana" w:hAnsi="Verdana"/>
          <w:sz w:val="18"/>
          <w:szCs w:val="18"/>
          <w:lang w:val="es-CO"/>
        </w:rPr>
        <w:t>media</w:t>
      </w:r>
      <w:r w:rsidRPr="00231B6F">
        <w:rPr>
          <w:rFonts w:ascii="Verdana" w:hAnsi="Verdana"/>
          <w:spacing w:val="-8"/>
          <w:sz w:val="18"/>
          <w:szCs w:val="18"/>
          <w:lang w:val="es-CO"/>
        </w:rPr>
        <w:t xml:space="preserve"> </w:t>
      </w:r>
      <w:r w:rsidRPr="00231B6F">
        <w:rPr>
          <w:rFonts w:ascii="Verdana" w:hAnsi="Verdana"/>
          <w:sz w:val="18"/>
          <w:szCs w:val="18"/>
          <w:lang w:val="es-CO"/>
        </w:rPr>
        <w:t>fue</w:t>
      </w:r>
      <w:r w:rsidRPr="00231B6F">
        <w:rPr>
          <w:rFonts w:ascii="Verdana" w:hAnsi="Verdana"/>
          <w:spacing w:val="-8"/>
          <w:sz w:val="18"/>
          <w:szCs w:val="18"/>
          <w:lang w:val="es-CO"/>
        </w:rPr>
        <w:t xml:space="preserve"> </w:t>
      </w:r>
      <w:r w:rsidRPr="00231B6F">
        <w:rPr>
          <w:rFonts w:ascii="Verdana" w:hAnsi="Verdana"/>
          <w:sz w:val="18"/>
          <w:szCs w:val="18"/>
          <w:lang w:val="es-CO"/>
        </w:rPr>
        <w:t>aplicada</w:t>
      </w:r>
      <w:r w:rsidRPr="00231B6F">
        <w:rPr>
          <w:rFonts w:ascii="Verdana" w:hAnsi="Verdana"/>
          <w:spacing w:val="-8"/>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w:t>
      </w:r>
      <w:r w:rsidRPr="00231B6F">
        <w:rPr>
          <w:rFonts w:ascii="Verdana" w:hAnsi="Verdana"/>
          <w:spacing w:val="-8"/>
          <w:sz w:val="18"/>
          <w:szCs w:val="18"/>
          <w:lang w:val="es-CO"/>
        </w:rPr>
        <w:t xml:space="preserve"> </w:t>
      </w:r>
      <w:r w:rsidRPr="00231B6F">
        <w:rPr>
          <w:rFonts w:ascii="Verdana" w:hAnsi="Verdana"/>
          <w:sz w:val="18"/>
          <w:szCs w:val="18"/>
          <w:lang w:val="es-CO"/>
        </w:rPr>
        <w:t xml:space="preserve">Sentencia de la Corte Constitucional </w:t>
      </w:r>
      <w:r w:rsidRPr="00231B6F">
        <w:rPr>
          <w:rFonts w:ascii="Verdana" w:hAnsi="Verdana"/>
          <w:spacing w:val="-8"/>
          <w:sz w:val="18"/>
          <w:szCs w:val="18"/>
          <w:lang w:val="es-CO"/>
        </w:rPr>
        <w:t>T</w:t>
      </w:r>
      <w:r w:rsidRPr="00231B6F">
        <w:rPr>
          <w:rFonts w:ascii="Verdana" w:hAnsi="Verdana"/>
          <w:sz w:val="18"/>
          <w:szCs w:val="18"/>
          <w:lang w:val="es-CO"/>
        </w:rPr>
        <w:t>-030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p>
    <w:p w14:paraId="43549E58" w14:textId="77777777" w:rsidR="00526DB3" w:rsidRPr="00231B6F" w:rsidRDefault="00526DB3" w:rsidP="00526DB3">
      <w:pPr>
        <w:pStyle w:val="Textonotapie"/>
        <w:ind w:firstLine="709"/>
        <w:jc w:val="both"/>
        <w:rPr>
          <w:rFonts w:ascii="Verdana" w:hAnsi="Verdana"/>
          <w:sz w:val="18"/>
          <w:szCs w:val="18"/>
          <w:lang w:val="es-CO"/>
        </w:rPr>
      </w:pPr>
    </w:p>
  </w:footnote>
  <w:footnote w:id="26">
    <w:p w14:paraId="6E037757" w14:textId="204B6804" w:rsidR="00526DB3" w:rsidRDefault="00526DB3" w:rsidP="00526DB3">
      <w:pPr>
        <w:pStyle w:val="Textonotapie"/>
        <w:ind w:firstLine="709"/>
        <w:jc w:val="both"/>
        <w:rPr>
          <w:rFonts w:ascii="Verdana" w:hAnsi="Verdana"/>
          <w:sz w:val="18"/>
          <w:szCs w:val="18"/>
          <w:lang w:val="pt-BR"/>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algunas oportunidades las salas de revisión han reconocido el pago de las prestaciones en materia de seguridad social en salud como en la sentencia T-305 de 2020. </w:t>
      </w:r>
      <w:r w:rsidRPr="008D1DC8">
        <w:rPr>
          <w:rFonts w:ascii="Verdana" w:hAnsi="Verdana"/>
          <w:sz w:val="18"/>
          <w:szCs w:val="18"/>
          <w:lang w:val="pt-BR"/>
        </w:rPr>
        <w:t xml:space="preserve">M.P: Alberto Rojas Ríos. </w:t>
      </w:r>
    </w:p>
    <w:p w14:paraId="07E23753" w14:textId="77777777" w:rsidR="00526DB3" w:rsidRPr="008D1DC8" w:rsidRDefault="00526DB3" w:rsidP="00526DB3">
      <w:pPr>
        <w:pStyle w:val="Textonotapie"/>
        <w:ind w:firstLine="709"/>
        <w:jc w:val="both"/>
        <w:rPr>
          <w:rFonts w:ascii="Verdana" w:hAnsi="Verdana"/>
          <w:sz w:val="18"/>
          <w:szCs w:val="18"/>
          <w:lang w:val="pt-BR"/>
        </w:rPr>
      </w:pPr>
    </w:p>
  </w:footnote>
  <w:footnote w:id="27">
    <w:p w14:paraId="16064602" w14:textId="0C7124C7" w:rsidR="00526DB3" w:rsidRDefault="00526DB3" w:rsidP="00526DB3">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T-014 de 2026.</w:t>
      </w:r>
    </w:p>
    <w:p w14:paraId="6B9C8D8E" w14:textId="77777777" w:rsidR="00526DB3" w:rsidRPr="008D1DC8" w:rsidRDefault="00526DB3" w:rsidP="00526DB3">
      <w:pPr>
        <w:pStyle w:val="Textonotapie"/>
        <w:ind w:firstLine="708"/>
        <w:jc w:val="both"/>
        <w:rPr>
          <w:rFonts w:ascii="Verdana" w:hAnsi="Verdana"/>
          <w:sz w:val="18"/>
          <w:szCs w:val="18"/>
          <w:lang w:val="pt-BR"/>
        </w:rPr>
      </w:pPr>
    </w:p>
  </w:footnote>
  <w:footnote w:id="28">
    <w:p w14:paraId="09B888E1" w14:textId="6FEF6151" w:rsidR="00526DB3"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C-118 de 2020. </w:t>
      </w:r>
      <w:r w:rsidRPr="00231B6F">
        <w:rPr>
          <w:rFonts w:ascii="Verdana" w:hAnsi="Verdana"/>
          <w:sz w:val="18"/>
          <w:szCs w:val="18"/>
          <w:lang w:val="es-CO"/>
        </w:rPr>
        <w:t>Ver también, Sentencias T-438 de 2020, SU-075 de 2018, y SU-070 de 2013.</w:t>
      </w:r>
    </w:p>
    <w:p w14:paraId="4D754D72" w14:textId="77777777" w:rsidR="00526DB3" w:rsidRPr="00231B6F" w:rsidRDefault="00526DB3" w:rsidP="00526DB3">
      <w:pPr>
        <w:pStyle w:val="Textonotapie"/>
        <w:ind w:firstLine="708"/>
        <w:jc w:val="both"/>
        <w:rPr>
          <w:rFonts w:ascii="Verdana" w:hAnsi="Verdana"/>
          <w:sz w:val="18"/>
          <w:szCs w:val="18"/>
          <w:lang w:val="es-CO"/>
        </w:rPr>
      </w:pPr>
    </w:p>
  </w:footnote>
  <w:footnote w:id="29">
    <w:p w14:paraId="0767E487" w14:textId="5F9F1CBA" w:rsidR="00526DB3"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Alcalde Municipal en los lugares donde no existiere aquel funcionario […]”</w:t>
      </w:r>
      <w:r w:rsidR="0085518A">
        <w:rPr>
          <w:rFonts w:ascii="Verdana" w:hAnsi="Verdana"/>
          <w:sz w:val="18"/>
          <w:szCs w:val="18"/>
          <w:lang w:val="es-CO"/>
        </w:rPr>
        <w:t xml:space="preserve">. </w:t>
      </w:r>
    </w:p>
    <w:p w14:paraId="761DEAE0" w14:textId="68FCF76F" w:rsidR="00526DB3" w:rsidRPr="00231B6F" w:rsidRDefault="00526DB3" w:rsidP="00526DB3">
      <w:pPr>
        <w:pStyle w:val="Textonotapie"/>
        <w:ind w:firstLine="708"/>
        <w:jc w:val="both"/>
        <w:rPr>
          <w:rFonts w:ascii="Verdana" w:hAnsi="Verdana"/>
          <w:sz w:val="18"/>
          <w:szCs w:val="18"/>
        </w:rPr>
      </w:pPr>
    </w:p>
  </w:footnote>
  <w:footnote w:id="30">
    <w:p w14:paraId="37B6B8C7" w14:textId="74C8955F" w:rsidR="00526DB3" w:rsidRDefault="00526DB3" w:rsidP="00526DB3">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T-014-2026.</w:t>
      </w:r>
    </w:p>
    <w:p w14:paraId="4E176368" w14:textId="77777777" w:rsidR="00526DB3" w:rsidRPr="00231B6F" w:rsidRDefault="00526DB3" w:rsidP="00526DB3">
      <w:pPr>
        <w:pStyle w:val="Textonotapie"/>
        <w:ind w:firstLine="708"/>
        <w:jc w:val="both"/>
        <w:rPr>
          <w:rFonts w:ascii="Verdana" w:hAnsi="Verdana"/>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3"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A6A2C7B"/>
    <w:multiLevelType w:val="hybridMultilevel"/>
    <w:tmpl w:val="109CB15E"/>
    <w:lvl w:ilvl="0" w:tplc="070A85E4">
      <w:start w:val="7"/>
      <w:numFmt w:val="bullet"/>
      <w:lvlText w:val="-"/>
      <w:lvlJc w:val="left"/>
      <w:pPr>
        <w:ind w:left="1069" w:hanging="360"/>
      </w:pPr>
      <w:rPr>
        <w:rFonts w:ascii="Verdana" w:eastAsia="Century Gothic"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5"/>
  </w:num>
  <w:num w:numId="8" w16cid:durableId="152644682">
    <w:abstractNumId w:val="17"/>
  </w:num>
  <w:num w:numId="9" w16cid:durableId="1317221377">
    <w:abstractNumId w:val="7"/>
  </w:num>
  <w:num w:numId="10" w16cid:durableId="1471245386">
    <w:abstractNumId w:val="16"/>
  </w:num>
  <w:num w:numId="11" w16cid:durableId="289172385">
    <w:abstractNumId w:val="8"/>
  </w:num>
  <w:num w:numId="12" w16cid:durableId="1470781324">
    <w:abstractNumId w:val="1"/>
  </w:num>
  <w:num w:numId="13" w16cid:durableId="1512908409">
    <w:abstractNumId w:val="3"/>
  </w:num>
  <w:num w:numId="14" w16cid:durableId="895897244">
    <w:abstractNumId w:val="19"/>
  </w:num>
  <w:num w:numId="15" w16cid:durableId="390349800">
    <w:abstractNumId w:val="14"/>
  </w:num>
  <w:num w:numId="16" w16cid:durableId="1489201040">
    <w:abstractNumId w:val="0"/>
  </w:num>
  <w:num w:numId="17" w16cid:durableId="536621656">
    <w:abstractNumId w:val="11"/>
  </w:num>
  <w:num w:numId="18" w16cid:durableId="148255080">
    <w:abstractNumId w:val="13"/>
  </w:num>
  <w:num w:numId="19" w16cid:durableId="309210111">
    <w:abstractNumId w:val="10"/>
  </w:num>
  <w:num w:numId="20" w16cid:durableId="1542086715">
    <w:abstractNumId w:val="9"/>
  </w:num>
  <w:num w:numId="21" w16cid:durableId="1723482334">
    <w:abstractNumId w:val="12"/>
  </w:num>
  <w:num w:numId="22" w16cid:durableId="1472556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69B5"/>
    <w:rsid w:val="00033355"/>
    <w:rsid w:val="00042E86"/>
    <w:rsid w:val="00046945"/>
    <w:rsid w:val="00057567"/>
    <w:rsid w:val="00061B2A"/>
    <w:rsid w:val="0006204A"/>
    <w:rsid w:val="00082362"/>
    <w:rsid w:val="000A683E"/>
    <w:rsid w:val="000B19B9"/>
    <w:rsid w:val="000C4992"/>
    <w:rsid w:val="000D0334"/>
    <w:rsid w:val="000D17D3"/>
    <w:rsid w:val="000D5DA7"/>
    <w:rsid w:val="000F3454"/>
    <w:rsid w:val="000F6486"/>
    <w:rsid w:val="00116940"/>
    <w:rsid w:val="00125105"/>
    <w:rsid w:val="00127233"/>
    <w:rsid w:val="001375F8"/>
    <w:rsid w:val="0015699B"/>
    <w:rsid w:val="00156D5A"/>
    <w:rsid w:val="00157DEF"/>
    <w:rsid w:val="00182742"/>
    <w:rsid w:val="00183202"/>
    <w:rsid w:val="0018599D"/>
    <w:rsid w:val="001A33BF"/>
    <w:rsid w:val="001C1DA4"/>
    <w:rsid w:val="001C25DB"/>
    <w:rsid w:val="001E4177"/>
    <w:rsid w:val="001F0B24"/>
    <w:rsid w:val="001F7DC6"/>
    <w:rsid w:val="00211380"/>
    <w:rsid w:val="0022400B"/>
    <w:rsid w:val="002421BB"/>
    <w:rsid w:val="00243BCB"/>
    <w:rsid w:val="00257264"/>
    <w:rsid w:val="0025796E"/>
    <w:rsid w:val="002707A2"/>
    <w:rsid w:val="00294950"/>
    <w:rsid w:val="002951A0"/>
    <w:rsid w:val="002962BC"/>
    <w:rsid w:val="002A093D"/>
    <w:rsid w:val="002A0DD0"/>
    <w:rsid w:val="002A49AC"/>
    <w:rsid w:val="002A64FD"/>
    <w:rsid w:val="002C7A84"/>
    <w:rsid w:val="002D6EEC"/>
    <w:rsid w:val="002E2BF8"/>
    <w:rsid w:val="002E4FD9"/>
    <w:rsid w:val="0030657A"/>
    <w:rsid w:val="00322A85"/>
    <w:rsid w:val="00322E74"/>
    <w:rsid w:val="00324168"/>
    <w:rsid w:val="00330834"/>
    <w:rsid w:val="003440A4"/>
    <w:rsid w:val="003448F4"/>
    <w:rsid w:val="00345A08"/>
    <w:rsid w:val="00367781"/>
    <w:rsid w:val="00374F5E"/>
    <w:rsid w:val="00377E3E"/>
    <w:rsid w:val="003839A3"/>
    <w:rsid w:val="00394739"/>
    <w:rsid w:val="003A524B"/>
    <w:rsid w:val="003A779E"/>
    <w:rsid w:val="003D0F4D"/>
    <w:rsid w:val="003D5B0D"/>
    <w:rsid w:val="003E0499"/>
    <w:rsid w:val="003E1CDD"/>
    <w:rsid w:val="003E4F80"/>
    <w:rsid w:val="003E6439"/>
    <w:rsid w:val="003F3941"/>
    <w:rsid w:val="00406575"/>
    <w:rsid w:val="00414C74"/>
    <w:rsid w:val="0042722E"/>
    <w:rsid w:val="00442818"/>
    <w:rsid w:val="0044528D"/>
    <w:rsid w:val="00450D7B"/>
    <w:rsid w:val="00466E39"/>
    <w:rsid w:val="00492142"/>
    <w:rsid w:val="004A1847"/>
    <w:rsid w:val="004A305D"/>
    <w:rsid w:val="004A7883"/>
    <w:rsid w:val="004F21C4"/>
    <w:rsid w:val="004F685F"/>
    <w:rsid w:val="00526DB3"/>
    <w:rsid w:val="00527738"/>
    <w:rsid w:val="005566E8"/>
    <w:rsid w:val="00574867"/>
    <w:rsid w:val="00591460"/>
    <w:rsid w:val="005A2ADC"/>
    <w:rsid w:val="005A65E0"/>
    <w:rsid w:val="005C3777"/>
    <w:rsid w:val="005C5CDC"/>
    <w:rsid w:val="005D476C"/>
    <w:rsid w:val="005F5290"/>
    <w:rsid w:val="006130FE"/>
    <w:rsid w:val="006200BF"/>
    <w:rsid w:val="006219F8"/>
    <w:rsid w:val="006250FC"/>
    <w:rsid w:val="006302F7"/>
    <w:rsid w:val="00630C36"/>
    <w:rsid w:val="00646B9F"/>
    <w:rsid w:val="00652D9C"/>
    <w:rsid w:val="00665D70"/>
    <w:rsid w:val="006841EE"/>
    <w:rsid w:val="006900D9"/>
    <w:rsid w:val="00697C54"/>
    <w:rsid w:val="006C39EE"/>
    <w:rsid w:val="006D1692"/>
    <w:rsid w:val="006D4951"/>
    <w:rsid w:val="006F0206"/>
    <w:rsid w:val="006F1CB1"/>
    <w:rsid w:val="006F4574"/>
    <w:rsid w:val="00706C16"/>
    <w:rsid w:val="00730EA1"/>
    <w:rsid w:val="007340C3"/>
    <w:rsid w:val="00746D1B"/>
    <w:rsid w:val="0075235A"/>
    <w:rsid w:val="00756841"/>
    <w:rsid w:val="007649AB"/>
    <w:rsid w:val="00771D0C"/>
    <w:rsid w:val="00776B37"/>
    <w:rsid w:val="00782068"/>
    <w:rsid w:val="007833AC"/>
    <w:rsid w:val="007918D0"/>
    <w:rsid w:val="007B268C"/>
    <w:rsid w:val="007B7171"/>
    <w:rsid w:val="007C0C0F"/>
    <w:rsid w:val="007C3DC2"/>
    <w:rsid w:val="007D31A7"/>
    <w:rsid w:val="007E2963"/>
    <w:rsid w:val="007E3EFE"/>
    <w:rsid w:val="007E5497"/>
    <w:rsid w:val="007F15C2"/>
    <w:rsid w:val="00806F5F"/>
    <w:rsid w:val="00810B1D"/>
    <w:rsid w:val="00820278"/>
    <w:rsid w:val="008258C9"/>
    <w:rsid w:val="00844AE9"/>
    <w:rsid w:val="0085518A"/>
    <w:rsid w:val="00857528"/>
    <w:rsid w:val="008630ED"/>
    <w:rsid w:val="00867F95"/>
    <w:rsid w:val="008710B0"/>
    <w:rsid w:val="008802C6"/>
    <w:rsid w:val="00881E76"/>
    <w:rsid w:val="008843B6"/>
    <w:rsid w:val="00884979"/>
    <w:rsid w:val="00887F14"/>
    <w:rsid w:val="00891928"/>
    <w:rsid w:val="00891A0F"/>
    <w:rsid w:val="008A446D"/>
    <w:rsid w:val="008B25F1"/>
    <w:rsid w:val="008B28C8"/>
    <w:rsid w:val="008B4D55"/>
    <w:rsid w:val="008D180B"/>
    <w:rsid w:val="008D335C"/>
    <w:rsid w:val="008F0EA7"/>
    <w:rsid w:val="009173DD"/>
    <w:rsid w:val="00923EEF"/>
    <w:rsid w:val="009264CD"/>
    <w:rsid w:val="009419F9"/>
    <w:rsid w:val="0095483B"/>
    <w:rsid w:val="00954891"/>
    <w:rsid w:val="0095685E"/>
    <w:rsid w:val="00961B09"/>
    <w:rsid w:val="00965334"/>
    <w:rsid w:val="0097093E"/>
    <w:rsid w:val="00976916"/>
    <w:rsid w:val="009A0DFA"/>
    <w:rsid w:val="009A1C6F"/>
    <w:rsid w:val="009B2D26"/>
    <w:rsid w:val="009C71FA"/>
    <w:rsid w:val="009C72E7"/>
    <w:rsid w:val="009C7F7E"/>
    <w:rsid w:val="009D3058"/>
    <w:rsid w:val="009F3A13"/>
    <w:rsid w:val="00A02028"/>
    <w:rsid w:val="00A122D3"/>
    <w:rsid w:val="00A14468"/>
    <w:rsid w:val="00A17F13"/>
    <w:rsid w:val="00A20739"/>
    <w:rsid w:val="00A23AF9"/>
    <w:rsid w:val="00A25A99"/>
    <w:rsid w:val="00A33C78"/>
    <w:rsid w:val="00A41DB0"/>
    <w:rsid w:val="00A42C74"/>
    <w:rsid w:val="00A4442A"/>
    <w:rsid w:val="00A524BF"/>
    <w:rsid w:val="00A61F29"/>
    <w:rsid w:val="00A67E63"/>
    <w:rsid w:val="00A85C64"/>
    <w:rsid w:val="00A87D68"/>
    <w:rsid w:val="00A9639D"/>
    <w:rsid w:val="00AA28B0"/>
    <w:rsid w:val="00AB0ADB"/>
    <w:rsid w:val="00AB4CE0"/>
    <w:rsid w:val="00AB7D0A"/>
    <w:rsid w:val="00AC72BE"/>
    <w:rsid w:val="00AD26F9"/>
    <w:rsid w:val="00AE7770"/>
    <w:rsid w:val="00AF3D17"/>
    <w:rsid w:val="00B00C0E"/>
    <w:rsid w:val="00B01B1A"/>
    <w:rsid w:val="00B0381D"/>
    <w:rsid w:val="00B03822"/>
    <w:rsid w:val="00B04083"/>
    <w:rsid w:val="00B1451B"/>
    <w:rsid w:val="00B172DB"/>
    <w:rsid w:val="00B17E2E"/>
    <w:rsid w:val="00B44A47"/>
    <w:rsid w:val="00B72CD3"/>
    <w:rsid w:val="00B72FFF"/>
    <w:rsid w:val="00BA30CE"/>
    <w:rsid w:val="00BC3D36"/>
    <w:rsid w:val="00BD54A6"/>
    <w:rsid w:val="00BD7F72"/>
    <w:rsid w:val="00BE47FB"/>
    <w:rsid w:val="00BF7425"/>
    <w:rsid w:val="00C04FB3"/>
    <w:rsid w:val="00C06E21"/>
    <w:rsid w:val="00C11D8B"/>
    <w:rsid w:val="00C15139"/>
    <w:rsid w:val="00C275EE"/>
    <w:rsid w:val="00C32E5B"/>
    <w:rsid w:val="00C330EB"/>
    <w:rsid w:val="00C441C5"/>
    <w:rsid w:val="00C44809"/>
    <w:rsid w:val="00C50D69"/>
    <w:rsid w:val="00C5365C"/>
    <w:rsid w:val="00C56C5F"/>
    <w:rsid w:val="00C62C6D"/>
    <w:rsid w:val="00C726CE"/>
    <w:rsid w:val="00C754BE"/>
    <w:rsid w:val="00C76B1C"/>
    <w:rsid w:val="00C925AC"/>
    <w:rsid w:val="00CA0CD1"/>
    <w:rsid w:val="00CB6357"/>
    <w:rsid w:val="00CC1B26"/>
    <w:rsid w:val="00D20710"/>
    <w:rsid w:val="00D31446"/>
    <w:rsid w:val="00D34DF5"/>
    <w:rsid w:val="00D361FD"/>
    <w:rsid w:val="00D423A2"/>
    <w:rsid w:val="00D44E26"/>
    <w:rsid w:val="00D520D8"/>
    <w:rsid w:val="00D63AC2"/>
    <w:rsid w:val="00D7383B"/>
    <w:rsid w:val="00D7788A"/>
    <w:rsid w:val="00D93FFA"/>
    <w:rsid w:val="00D9654E"/>
    <w:rsid w:val="00DA231B"/>
    <w:rsid w:val="00DB2D34"/>
    <w:rsid w:val="00DC39FC"/>
    <w:rsid w:val="00DC67DE"/>
    <w:rsid w:val="00DF5254"/>
    <w:rsid w:val="00E02524"/>
    <w:rsid w:val="00E10C54"/>
    <w:rsid w:val="00E16408"/>
    <w:rsid w:val="00E20894"/>
    <w:rsid w:val="00E245AB"/>
    <w:rsid w:val="00E2764C"/>
    <w:rsid w:val="00E27F2E"/>
    <w:rsid w:val="00E42B4C"/>
    <w:rsid w:val="00E50AFE"/>
    <w:rsid w:val="00E55236"/>
    <w:rsid w:val="00E75C92"/>
    <w:rsid w:val="00E771DC"/>
    <w:rsid w:val="00E80091"/>
    <w:rsid w:val="00E8772A"/>
    <w:rsid w:val="00E90F6B"/>
    <w:rsid w:val="00E92C27"/>
    <w:rsid w:val="00EA0E3D"/>
    <w:rsid w:val="00EA3DB5"/>
    <w:rsid w:val="00EC38A7"/>
    <w:rsid w:val="00EC6E09"/>
    <w:rsid w:val="00EE1AA8"/>
    <w:rsid w:val="00F10AE5"/>
    <w:rsid w:val="00F234CB"/>
    <w:rsid w:val="00F23FEA"/>
    <w:rsid w:val="00F31EDC"/>
    <w:rsid w:val="00F462B3"/>
    <w:rsid w:val="00F5664F"/>
    <w:rsid w:val="00F61CAC"/>
    <w:rsid w:val="00F666C4"/>
    <w:rsid w:val="00F76AFC"/>
    <w:rsid w:val="00F85A71"/>
    <w:rsid w:val="00F9022F"/>
    <w:rsid w:val="00FA47C0"/>
    <w:rsid w:val="00FB5DD1"/>
    <w:rsid w:val="00FB706E"/>
    <w:rsid w:val="00FC2B5D"/>
    <w:rsid w:val="00FD06CC"/>
    <w:rsid w:val="00FF1449"/>
    <w:rsid w:val="00FF6838"/>
    <w:rsid w:val="00FF7963"/>
    <w:rsid w:val="00FF7FB2"/>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94753E8-A905-40DB-8F42-F99D7170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50D7B"/>
    <w:rPr>
      <w:rFonts w:ascii="Geomanist Light" w:hAnsi="Geomanist Light"/>
      <w:lang w:val="es-ES"/>
    </w:rPr>
  </w:style>
  <w:style w:type="character" w:styleId="Refdecomentario">
    <w:name w:val="annotation reference"/>
    <w:basedOn w:val="Fuentedeprrafopredeter"/>
    <w:uiPriority w:val="99"/>
    <w:semiHidden/>
    <w:unhideWhenUsed/>
    <w:rsid w:val="00BA30CE"/>
    <w:rPr>
      <w:sz w:val="16"/>
      <w:szCs w:val="16"/>
    </w:rPr>
  </w:style>
  <w:style w:type="paragraph" w:styleId="Textocomentario">
    <w:name w:val="annotation text"/>
    <w:basedOn w:val="Normal"/>
    <w:link w:val="TextocomentarioCar"/>
    <w:uiPriority w:val="99"/>
    <w:unhideWhenUsed/>
    <w:rsid w:val="00BA30CE"/>
    <w:pPr>
      <w:spacing w:line="240" w:lineRule="auto"/>
    </w:pPr>
    <w:rPr>
      <w:sz w:val="20"/>
      <w:szCs w:val="20"/>
    </w:rPr>
  </w:style>
  <w:style w:type="character" w:customStyle="1" w:styleId="TextocomentarioCar">
    <w:name w:val="Texto comentario Car"/>
    <w:basedOn w:val="Fuentedeprrafopredeter"/>
    <w:link w:val="Textocomentario"/>
    <w:uiPriority w:val="99"/>
    <w:rsid w:val="00BA30CE"/>
    <w:rPr>
      <w:sz w:val="20"/>
      <w:szCs w:val="20"/>
    </w:rPr>
  </w:style>
  <w:style w:type="paragraph" w:customStyle="1" w:styleId="Appelnotedebasde">
    <w:name w:val="Appel note de bas de..."/>
    <w:basedOn w:val="Normal"/>
    <w:link w:val="Refdenotaalpie"/>
    <w:uiPriority w:val="99"/>
    <w:rsid w:val="00526DB3"/>
    <w:pPr>
      <w:spacing w:line="240" w:lineRule="exact"/>
    </w:pPr>
    <w:rPr>
      <w:vertAlign w:val="superscript"/>
    </w:rPr>
  </w:style>
  <w:style w:type="table" w:customStyle="1" w:styleId="TableNormal1">
    <w:name w:val="Table Normal1"/>
    <w:uiPriority w:val="2"/>
    <w:semiHidden/>
    <w:unhideWhenUsed/>
    <w:qFormat/>
    <w:rsid w:val="00526D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dico@celestinfreinet.edu.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EB9507-5C28-45E6-A71A-569A7DA8C833}"/>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12690</Words>
  <Characters>69801</Characters>
  <Application>Microsoft Office Word</Application>
  <DocSecurity>0</DocSecurity>
  <Lines>581</Lines>
  <Paragraphs>164</Paragraphs>
  <ScaleCrop>false</ScaleCrop>
  <Company/>
  <LinksUpToDate>false</LinksUpToDate>
  <CharactersWithSpaces>82327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26</cp:revision>
  <cp:lastPrinted>2023-01-10T18:18:00Z</cp:lastPrinted>
  <dcterms:created xsi:type="dcterms:W3CDTF">2026-08-19T02:23:00Z</dcterms:created>
  <dcterms:modified xsi:type="dcterms:W3CDTF">2026-08-19T02:55:00Z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