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A51C9" w14:textId="77777777" w:rsidR="002F1708" w:rsidRPr="002F1708" w:rsidRDefault="002F1708" w:rsidP="002F1708">
      <w:pPr>
        <w:snapToGrid w:val="0"/>
        <w:spacing w:after="0" w:line="240" w:lineRule="auto"/>
        <w:contextualSpacing/>
        <w:jc w:val="both"/>
        <w:rPr>
          <w:rFonts w:ascii="Verdana" w:eastAsia="Calibri" w:hAnsi="Verdana" w:cs="Arial"/>
          <w:b/>
          <w:bCs/>
          <w:lang w:val="es-ES" w:eastAsia="es-ES"/>
        </w:rPr>
      </w:pPr>
      <w:bookmarkStart w:id="0" w:name="_Hlk143780582"/>
      <w:r w:rsidRPr="002F1708">
        <w:rPr>
          <w:rFonts w:ascii="Verdana" w:eastAsia="Calibri" w:hAnsi="Verdana" w:cs="Arial"/>
          <w:b/>
          <w:bCs/>
          <w:lang w:val="es-ES" w:eastAsia="es-ES"/>
        </w:rPr>
        <w:t>REQUISITOS HABILITANTES – Acreditación – Líder o representante del proponente plural</w:t>
      </w:r>
    </w:p>
    <w:p w14:paraId="595FAA56" w14:textId="77777777" w:rsidR="002F1708" w:rsidRDefault="002F1708" w:rsidP="002F1708">
      <w:pPr>
        <w:snapToGrid w:val="0"/>
        <w:contextualSpacing/>
        <w:jc w:val="both"/>
        <w:rPr>
          <w:rFonts w:ascii="Verdana" w:eastAsia="Calibri" w:hAnsi="Verdana" w:cs="Arial"/>
          <w:sz w:val="20"/>
          <w:szCs w:val="20"/>
          <w:lang w:val="es-ES"/>
        </w:rPr>
      </w:pPr>
    </w:p>
    <w:p w14:paraId="120EC2C3" w14:textId="71F183F1" w:rsidR="002F1708" w:rsidRPr="002F1708" w:rsidRDefault="002F1708" w:rsidP="002F1708">
      <w:pPr>
        <w:snapToGrid w:val="0"/>
        <w:spacing w:after="0" w:line="240" w:lineRule="auto"/>
        <w:contextualSpacing/>
        <w:jc w:val="both"/>
        <w:rPr>
          <w:rFonts w:ascii="Verdana" w:eastAsia="Calibri" w:hAnsi="Verdana" w:cs="Arial"/>
          <w:sz w:val="20"/>
          <w:szCs w:val="20"/>
          <w:lang w:val="es-ES"/>
        </w:rPr>
      </w:pPr>
      <w:r w:rsidRPr="002F1708">
        <w:rPr>
          <w:rFonts w:ascii="Verdana" w:eastAsia="Calibri" w:hAnsi="Verdana" w:cs="Arial"/>
          <w:sz w:val="20"/>
          <w:szCs w:val="20"/>
          <w:lang w:val="es-ES"/>
        </w:rPr>
        <w:t xml:space="preserve">Por lo tanto, la forma de acreditación de los requisitos habilitantes para los integrantes de proponentes plurales debe ser la establecida por la Entidad Estatal en los estudios previos y pliegos de condiciones, de acuerdo con la necesidad a contratar y el análisis del sector. En este marco, nada obsta para que la entidad estatal contratante en relación con la experiencia de los proponentes plurales indique que aquella se acreditará con la sumatoria de la experiencia demostrada por cada miembro del consorcio o de la unión temporal, que cada miembro del proponente plural deba acreditar la experiencia requerida en el procedimiento o que la experiencia puede ser acreditada por uno de los miembros. </w:t>
      </w:r>
    </w:p>
    <w:p w14:paraId="71571CF6" w14:textId="77777777" w:rsidR="002F1708" w:rsidRDefault="002F1708" w:rsidP="002F1708">
      <w:pPr>
        <w:snapToGrid w:val="0"/>
        <w:contextualSpacing/>
        <w:jc w:val="both"/>
        <w:rPr>
          <w:rFonts w:ascii="Verdana" w:eastAsia="Calibri" w:hAnsi="Verdana" w:cs="Arial"/>
          <w:sz w:val="20"/>
          <w:szCs w:val="20"/>
        </w:rPr>
      </w:pPr>
    </w:p>
    <w:p w14:paraId="5B526F61" w14:textId="6492DDE2" w:rsidR="002F1708" w:rsidRPr="002F1708" w:rsidRDefault="002F1708" w:rsidP="002F1708">
      <w:pPr>
        <w:snapToGrid w:val="0"/>
        <w:spacing w:after="0" w:line="240" w:lineRule="auto"/>
        <w:contextualSpacing/>
        <w:jc w:val="both"/>
        <w:rPr>
          <w:rFonts w:ascii="Verdana" w:eastAsia="Calibri" w:hAnsi="Verdana" w:cs="Arial"/>
          <w:sz w:val="20"/>
          <w:szCs w:val="20"/>
          <w:lang w:val="es-ES"/>
        </w:rPr>
      </w:pPr>
      <w:r w:rsidRPr="002F1708">
        <w:rPr>
          <w:rFonts w:ascii="Verdana" w:eastAsia="Calibri" w:hAnsi="Verdana" w:cs="Arial"/>
          <w:sz w:val="20"/>
          <w:szCs w:val="20"/>
        </w:rPr>
        <w:t>Sin embargo, la decisión de requerir que la experiencia sea acreditada por el “</w:t>
      </w:r>
      <w:proofErr w:type="spellStart"/>
      <w:r w:rsidRPr="002F1708">
        <w:rPr>
          <w:rFonts w:ascii="Verdana" w:eastAsia="Calibri" w:hAnsi="Verdana" w:cs="Arial"/>
          <w:sz w:val="20"/>
          <w:szCs w:val="20"/>
        </w:rPr>
        <w:t>lider</w:t>
      </w:r>
      <w:proofErr w:type="spellEnd"/>
      <w:r w:rsidRPr="002F1708">
        <w:rPr>
          <w:rFonts w:ascii="Verdana" w:eastAsia="Calibri" w:hAnsi="Verdana" w:cs="Arial"/>
          <w:sz w:val="20"/>
          <w:szCs w:val="20"/>
        </w:rPr>
        <w:t xml:space="preserve">” o “representante” del proponente plural debe estar fundamentada, conforme al </w:t>
      </w:r>
      <w:r w:rsidRPr="002F1708">
        <w:rPr>
          <w:rFonts w:ascii="Verdana" w:eastAsia="Calibri" w:hAnsi="Verdana" w:cs="Arial"/>
          <w:color w:val="000000" w:themeColor="text1"/>
          <w:sz w:val="20"/>
          <w:szCs w:val="20"/>
          <w:lang w:val="es-ES"/>
        </w:rPr>
        <w:t>artículo 2.2.1.1.1.6.2 del Decreto 1082 de 2015, en la naturaleza y el valor del contrato, la forma de pago, los riesgos asociados, el plazo y la complejidad de ejecución del objeto, de modo que no soslaye el deber de selección objetiva y la libre concurrencia.</w:t>
      </w:r>
      <w:r w:rsidRPr="002F1708">
        <w:rPr>
          <w:rFonts w:ascii="Verdana" w:eastAsia="Calibri" w:hAnsi="Verdana" w:cs="Arial"/>
          <w:sz w:val="20"/>
          <w:szCs w:val="20"/>
          <w:lang w:val="es-ES"/>
        </w:rPr>
        <w:t xml:space="preserve"> Si bien las entidades tienen la autonomía para determinar la experiencia y su forma de acreditación, los criterios o mecanismos que adopten para lo anterior deben estar justificados por una planeación adecuada, de modo que resulten razonables y proporcionales, y no impongan barreras injustificadas a la participación y a la libre competencia, o constituyan una vulneración del deber de selección objetiva.</w:t>
      </w:r>
    </w:p>
    <w:p w14:paraId="0A203E9D" w14:textId="77777777" w:rsidR="002F1708" w:rsidRPr="002F1708" w:rsidRDefault="002F1708" w:rsidP="002F1708">
      <w:pPr>
        <w:snapToGrid w:val="0"/>
        <w:spacing w:after="0" w:line="240" w:lineRule="auto"/>
        <w:contextualSpacing/>
        <w:jc w:val="both"/>
        <w:rPr>
          <w:rFonts w:ascii="Verdana" w:eastAsia="Calibri" w:hAnsi="Verdana" w:cs="Arial"/>
          <w:sz w:val="20"/>
          <w:szCs w:val="20"/>
          <w:lang w:val="es-ES" w:eastAsia="es-ES"/>
        </w:rPr>
      </w:pPr>
    </w:p>
    <w:p w14:paraId="2C30F21E" w14:textId="77777777" w:rsidR="002F1708" w:rsidRPr="002F1708" w:rsidRDefault="002F1708" w:rsidP="002F1708">
      <w:pPr>
        <w:snapToGrid w:val="0"/>
        <w:spacing w:after="0" w:line="240" w:lineRule="auto"/>
        <w:contextualSpacing/>
        <w:jc w:val="both"/>
        <w:rPr>
          <w:rFonts w:ascii="Verdana" w:eastAsia="Calibri" w:hAnsi="Verdana" w:cs="Arial"/>
          <w:b/>
          <w:bCs/>
          <w:lang w:val="es-ES" w:eastAsia="es-ES"/>
        </w:rPr>
      </w:pPr>
      <w:r w:rsidRPr="002F1708">
        <w:rPr>
          <w:rFonts w:ascii="Verdana" w:eastAsia="Calibri" w:hAnsi="Verdana" w:cs="Arial"/>
          <w:b/>
          <w:bCs/>
          <w:lang w:val="es-ES" w:eastAsia="es-ES"/>
        </w:rPr>
        <w:t>REQUISITOS HABILITANTES – Sucursal en lugar de ejecución – Alcance</w:t>
      </w:r>
    </w:p>
    <w:p w14:paraId="40FF4AAC" w14:textId="77777777" w:rsidR="002F1708" w:rsidRDefault="002F1708" w:rsidP="002F1708">
      <w:pPr>
        <w:snapToGrid w:val="0"/>
        <w:contextualSpacing/>
        <w:jc w:val="both"/>
        <w:rPr>
          <w:rFonts w:ascii="Verdana" w:eastAsia="Calibri" w:hAnsi="Verdana" w:cs="Arial"/>
          <w:color w:val="000000" w:themeColor="text1"/>
          <w:sz w:val="20"/>
          <w:szCs w:val="20"/>
        </w:rPr>
      </w:pPr>
    </w:p>
    <w:p w14:paraId="402BC9AC" w14:textId="4F95CDA6" w:rsidR="002F1708" w:rsidRPr="002F1708" w:rsidRDefault="002F1708" w:rsidP="002F1708">
      <w:pPr>
        <w:snapToGrid w:val="0"/>
        <w:spacing w:after="0" w:line="240" w:lineRule="auto"/>
        <w:contextualSpacing/>
        <w:jc w:val="both"/>
        <w:rPr>
          <w:rFonts w:ascii="Verdana" w:eastAsia="Calibri" w:hAnsi="Verdana" w:cs="Arial"/>
          <w:color w:val="000000" w:themeColor="text1"/>
          <w:sz w:val="20"/>
          <w:szCs w:val="20"/>
        </w:rPr>
      </w:pPr>
      <w:r w:rsidRPr="002F1708">
        <w:rPr>
          <w:rFonts w:ascii="Verdana" w:eastAsia="Calibri" w:hAnsi="Verdana" w:cs="Arial"/>
          <w:color w:val="000000" w:themeColor="text1"/>
          <w:sz w:val="20"/>
          <w:szCs w:val="20"/>
        </w:rPr>
        <w:t>Por ello, esta Agencia ha sostenido que, por regla general, las entidades no pueden exigir como requisito habilitante que el proponente tenga residencia en el lugar donde se ejecutará el contrato, pues afecta la libre competencia de los Procesos de Contratación y es una cláusula discriminatoria, sin dejar de lado que no garantiza la aptitud del proponente para ejecutar el objeto contractual; análisis que resulta igualmente procedente frente a la exigencia de contar con una sucursal en un territorio determinado como condición para participar.</w:t>
      </w:r>
    </w:p>
    <w:p w14:paraId="7CAAAE94" w14:textId="77777777" w:rsidR="002F1708" w:rsidRDefault="002F1708" w:rsidP="002F1708">
      <w:pPr>
        <w:snapToGrid w:val="0"/>
        <w:contextualSpacing/>
        <w:jc w:val="both"/>
        <w:rPr>
          <w:rFonts w:ascii="Verdana" w:eastAsia="Calibri" w:hAnsi="Verdana" w:cs="Arial"/>
          <w:color w:val="000000" w:themeColor="text1"/>
          <w:sz w:val="20"/>
          <w:szCs w:val="20"/>
        </w:rPr>
      </w:pPr>
    </w:p>
    <w:p w14:paraId="6AE4A8D8" w14:textId="1B75437C" w:rsidR="002F1708" w:rsidRPr="002F1708" w:rsidRDefault="002F1708" w:rsidP="002F1708">
      <w:pPr>
        <w:snapToGrid w:val="0"/>
        <w:spacing w:after="0" w:line="240" w:lineRule="auto"/>
        <w:contextualSpacing/>
        <w:jc w:val="both"/>
        <w:rPr>
          <w:rFonts w:ascii="Verdana" w:eastAsia="Calibri" w:hAnsi="Verdana" w:cs="Arial"/>
          <w:color w:val="000000" w:themeColor="text1"/>
          <w:sz w:val="20"/>
          <w:szCs w:val="20"/>
        </w:rPr>
      </w:pPr>
      <w:r w:rsidRPr="002F1708">
        <w:rPr>
          <w:rFonts w:ascii="Verdana" w:eastAsia="Calibri" w:hAnsi="Verdana" w:cs="Arial"/>
          <w:color w:val="000000" w:themeColor="text1"/>
          <w:sz w:val="20"/>
          <w:szCs w:val="20"/>
        </w:rPr>
        <w:t xml:space="preserve">Lo anterior se corrobora al advertir que, incluso tratándose de sociedades extranjeras, la constitución de sucursal en Colombia solo es obligatoria cuando se resulta adjudicatario en Procesos de Contratación que tengan por objeto la construcción de obras o la prestación de servicios, por lo que resultaría aún más gravoso imponer tal exigencia a una sociedad nacional como requisito de participación o habilitación. En el mismo sentido, el Consejo de Estado, en sentencia del 19 de mayo de 2025, concluyó que la determinación del domicilio de los proponentes en un municipio como requisito técnico de habilitación que resultaba inadecuado para cumplir la finalidad alegada por la </w:t>
      </w:r>
      <w:proofErr w:type="gramStart"/>
      <w:r w:rsidRPr="002F1708">
        <w:rPr>
          <w:rFonts w:ascii="Verdana" w:eastAsia="Calibri" w:hAnsi="Verdana" w:cs="Arial"/>
          <w:color w:val="000000" w:themeColor="text1"/>
          <w:sz w:val="20"/>
          <w:szCs w:val="20"/>
        </w:rPr>
        <w:t>entidad,</w:t>
      </w:r>
      <w:proofErr w:type="gramEnd"/>
      <w:r w:rsidRPr="002F1708">
        <w:rPr>
          <w:rFonts w:ascii="Verdana" w:eastAsia="Calibri" w:hAnsi="Verdana" w:cs="Arial"/>
          <w:color w:val="000000" w:themeColor="text1"/>
          <w:sz w:val="20"/>
          <w:szCs w:val="20"/>
        </w:rPr>
        <w:t xml:space="preserve"> constituyó una exigencia infundada que configura una regla ajena a la selección objetiva, en tanto establece un supuesto que limita, sin justificación, la participación de multiplicidad de oferentes.</w:t>
      </w:r>
    </w:p>
    <w:p w14:paraId="026A397B" w14:textId="77777777" w:rsidR="002F1708" w:rsidRPr="002F1708" w:rsidRDefault="002F1708" w:rsidP="002F1708">
      <w:pPr>
        <w:snapToGrid w:val="0"/>
        <w:spacing w:after="0" w:line="240" w:lineRule="auto"/>
        <w:contextualSpacing/>
        <w:jc w:val="both"/>
        <w:rPr>
          <w:rFonts w:ascii="Verdana" w:eastAsia="Calibri" w:hAnsi="Verdana" w:cs="Arial"/>
          <w:sz w:val="20"/>
          <w:szCs w:val="20"/>
          <w:lang w:val="es-ES" w:eastAsia="es-ES"/>
        </w:rPr>
      </w:pPr>
    </w:p>
    <w:p w14:paraId="36E6EB47" w14:textId="6CC525AA" w:rsidR="002F1708" w:rsidRPr="002F1708" w:rsidRDefault="002F1708" w:rsidP="002F1708">
      <w:pPr>
        <w:snapToGrid w:val="0"/>
        <w:spacing w:after="0" w:line="240" w:lineRule="auto"/>
        <w:contextualSpacing/>
        <w:jc w:val="both"/>
        <w:rPr>
          <w:rFonts w:ascii="Verdana" w:eastAsia="Calibri" w:hAnsi="Verdana" w:cs="Arial"/>
          <w:b/>
          <w:bCs/>
          <w:lang w:val="es-ES" w:eastAsia="es-ES"/>
        </w:rPr>
      </w:pPr>
      <w:r w:rsidRPr="002F1708">
        <w:rPr>
          <w:rFonts w:ascii="Verdana" w:eastAsia="Calibri" w:hAnsi="Verdana" w:cs="Arial"/>
          <w:b/>
          <w:bCs/>
          <w:lang w:val="es-ES" w:eastAsia="es-ES"/>
        </w:rPr>
        <w:t>REQUISITOS HABILITANTES – Límites – Adecuación y proporcionalidad</w:t>
      </w:r>
    </w:p>
    <w:p w14:paraId="05B97CE8" w14:textId="77777777" w:rsidR="002F1708" w:rsidRDefault="002F1708" w:rsidP="002F1708">
      <w:pPr>
        <w:snapToGrid w:val="0"/>
        <w:contextualSpacing/>
        <w:jc w:val="both"/>
        <w:rPr>
          <w:rFonts w:ascii="Verdana" w:eastAsia="Calibri" w:hAnsi="Verdana" w:cs="Arial"/>
          <w:color w:val="000000" w:themeColor="text1"/>
          <w:sz w:val="20"/>
          <w:szCs w:val="20"/>
          <w:lang w:eastAsia="es-ES"/>
        </w:rPr>
      </w:pPr>
    </w:p>
    <w:p w14:paraId="2B6F650E" w14:textId="49E8DED5" w:rsidR="002F1708" w:rsidRPr="002F1708" w:rsidRDefault="002F1708" w:rsidP="002F1708">
      <w:pPr>
        <w:snapToGrid w:val="0"/>
        <w:spacing w:after="0" w:line="240" w:lineRule="auto"/>
        <w:contextualSpacing/>
        <w:jc w:val="both"/>
        <w:rPr>
          <w:rFonts w:ascii="Verdana" w:eastAsia="Calibri" w:hAnsi="Verdana" w:cs="Arial"/>
          <w:color w:val="000000" w:themeColor="text1"/>
          <w:sz w:val="20"/>
          <w:szCs w:val="20"/>
        </w:rPr>
      </w:pPr>
      <w:r w:rsidRPr="002F1708">
        <w:rPr>
          <w:rFonts w:ascii="Verdana" w:eastAsia="Calibri" w:hAnsi="Verdana" w:cs="Arial"/>
          <w:color w:val="000000" w:themeColor="text1"/>
          <w:sz w:val="20"/>
          <w:szCs w:val="20"/>
          <w:lang w:eastAsia="es-ES"/>
        </w:rPr>
        <w:t>En suma, es claro que la autonomía de la entidad para establecer los requisitos habilitantes y sus medios de acreditación no implica una facultad irrestricta o arbitraria. L</w:t>
      </w:r>
      <w:r w:rsidRPr="002F1708">
        <w:rPr>
          <w:rFonts w:ascii="Verdana" w:eastAsia="Calibri" w:hAnsi="Verdana" w:cs="Arial"/>
          <w:color w:val="000000"/>
          <w:sz w:val="20"/>
          <w:szCs w:val="20"/>
          <w:lang w:eastAsia="es-ES_tradnl"/>
        </w:rPr>
        <w:t xml:space="preserve">as Entidades Estatales deben establecer los requisitos habilitantes de forma </w:t>
      </w:r>
      <w:r w:rsidRPr="002F1708">
        <w:rPr>
          <w:rFonts w:ascii="Verdana" w:eastAsia="Calibri" w:hAnsi="Verdana" w:cs="Arial"/>
          <w:i/>
          <w:iCs/>
          <w:color w:val="000000"/>
          <w:sz w:val="20"/>
          <w:szCs w:val="20"/>
          <w:lang w:eastAsia="es-ES_tradnl"/>
        </w:rPr>
        <w:t>adecuada y proporcional</w:t>
      </w:r>
      <w:r w:rsidRPr="002F1708">
        <w:rPr>
          <w:rFonts w:ascii="Verdana" w:eastAsia="Calibri" w:hAnsi="Verdana" w:cs="Arial"/>
          <w:color w:val="000000"/>
          <w:sz w:val="20"/>
          <w:szCs w:val="20"/>
          <w:lang w:eastAsia="es-ES_tradnl"/>
        </w:rPr>
        <w:t xml:space="preserve"> a la naturaleza y valor del contrato. Que deban ser </w:t>
      </w:r>
      <w:r w:rsidRPr="002F1708">
        <w:rPr>
          <w:rFonts w:ascii="Verdana" w:eastAsia="Calibri" w:hAnsi="Verdana" w:cs="Arial"/>
          <w:i/>
          <w:iCs/>
          <w:color w:val="000000"/>
          <w:sz w:val="20"/>
          <w:szCs w:val="20"/>
          <w:lang w:eastAsia="es-ES_tradnl"/>
        </w:rPr>
        <w:t>adecuados</w:t>
      </w:r>
      <w:r w:rsidRPr="002F1708">
        <w:rPr>
          <w:rFonts w:ascii="Verdana" w:eastAsia="Calibri" w:hAnsi="Verdana" w:cs="Arial"/>
          <w:color w:val="000000"/>
          <w:sz w:val="20"/>
          <w:szCs w:val="20"/>
          <w:lang w:eastAsia="es-ES_tradnl"/>
        </w:rPr>
        <w:t xml:space="preserve">, significa que los requisitos habilitantes que se contemplen deben tener una relación directa con el objeto del contrato, de suerte que su acreditación sea efectiva para demostrar que el proponente es idóneo para ejecutar el contrato. A su vez, los requisitos que se establezcan deben ser </w:t>
      </w:r>
      <w:r w:rsidRPr="002F1708">
        <w:rPr>
          <w:rFonts w:ascii="Verdana" w:eastAsia="Calibri" w:hAnsi="Verdana" w:cs="Arial"/>
          <w:i/>
          <w:iCs/>
          <w:color w:val="000000"/>
          <w:sz w:val="20"/>
          <w:szCs w:val="20"/>
          <w:lang w:eastAsia="es-ES_tradnl"/>
        </w:rPr>
        <w:t>proporcionales</w:t>
      </w:r>
      <w:r w:rsidRPr="002F1708">
        <w:rPr>
          <w:rFonts w:ascii="Verdana" w:eastAsia="Calibri" w:hAnsi="Verdana" w:cs="Arial"/>
          <w:color w:val="000000"/>
          <w:sz w:val="20"/>
          <w:szCs w:val="20"/>
          <w:lang w:eastAsia="es-ES_tradnl"/>
        </w:rPr>
        <w:t xml:space="preserve"> a las condiciones del contrato, de tal manera que los mismos no establezcan condiciones más allá de las necesarias para verificar la idoneidad requerida de los proponentes respecto del objeto ofertado, ya que lo contrario limita la libre concurrencia. </w:t>
      </w:r>
    </w:p>
    <w:p w14:paraId="0EAA0430" w14:textId="77777777" w:rsidR="002F1708" w:rsidRDefault="002F1708" w:rsidP="002F1708">
      <w:pPr>
        <w:spacing w:line="276" w:lineRule="auto"/>
        <w:jc w:val="both"/>
        <w:rPr>
          <w:rFonts w:ascii="Verdana" w:eastAsia="Calibri" w:hAnsi="Verdana" w:cs="Arial"/>
          <w:lang w:val="es-ES" w:eastAsia="es-ES"/>
        </w:rPr>
      </w:pPr>
    </w:p>
    <w:p w14:paraId="0382403C" w14:textId="77777777" w:rsidR="002F1708" w:rsidRDefault="002F1708" w:rsidP="00DA6B62">
      <w:pPr>
        <w:spacing w:after="0"/>
        <w:rPr>
          <w:rFonts w:ascii="Verdana" w:hAnsi="Verdana"/>
          <w:lang w:val="es-ES"/>
        </w:rPr>
      </w:pPr>
    </w:p>
    <w:p w14:paraId="10795AC9" w14:textId="77777777" w:rsidR="002F1708" w:rsidRDefault="002F1708" w:rsidP="00DA6B62">
      <w:pPr>
        <w:spacing w:after="0"/>
        <w:rPr>
          <w:rFonts w:ascii="Verdana" w:hAnsi="Verdana"/>
          <w:lang w:val="es-ES"/>
        </w:rPr>
      </w:pPr>
    </w:p>
    <w:p w14:paraId="007A1A7D" w14:textId="77777777" w:rsidR="002F1708" w:rsidRDefault="002F1708" w:rsidP="00DA6B62">
      <w:pPr>
        <w:spacing w:after="0"/>
        <w:rPr>
          <w:rFonts w:ascii="Verdana" w:hAnsi="Verdana"/>
          <w:lang w:val="es-ES"/>
        </w:rPr>
      </w:pPr>
    </w:p>
    <w:p w14:paraId="08355637" w14:textId="77777777" w:rsidR="002F1708" w:rsidRDefault="002F1708" w:rsidP="00DA6B62">
      <w:pPr>
        <w:spacing w:after="0"/>
        <w:rPr>
          <w:rFonts w:ascii="Verdana" w:hAnsi="Verdana"/>
          <w:lang w:val="es-ES"/>
        </w:rPr>
      </w:pPr>
    </w:p>
    <w:p w14:paraId="097411F7" w14:textId="77777777" w:rsidR="002F1708" w:rsidRDefault="002F1708" w:rsidP="00DA6B62">
      <w:pPr>
        <w:spacing w:after="0"/>
        <w:rPr>
          <w:rFonts w:ascii="Verdana" w:hAnsi="Verdana"/>
          <w:lang w:val="es-ES"/>
        </w:rPr>
      </w:pPr>
    </w:p>
    <w:p w14:paraId="28C604E3" w14:textId="77777777" w:rsidR="002F1708" w:rsidRDefault="002F1708" w:rsidP="00DA6B62">
      <w:pPr>
        <w:spacing w:after="0"/>
        <w:rPr>
          <w:rFonts w:ascii="Verdana" w:hAnsi="Verdana"/>
          <w:lang w:val="es-ES"/>
        </w:rPr>
      </w:pPr>
    </w:p>
    <w:p w14:paraId="1D1F12F0" w14:textId="77777777" w:rsidR="002F1708" w:rsidRDefault="002F1708" w:rsidP="00DA6B62">
      <w:pPr>
        <w:spacing w:after="0"/>
        <w:rPr>
          <w:rFonts w:ascii="Verdana" w:hAnsi="Verdana"/>
          <w:lang w:val="es-ES"/>
        </w:rPr>
      </w:pPr>
    </w:p>
    <w:p w14:paraId="72997A17" w14:textId="77777777" w:rsidR="002F1708" w:rsidRDefault="002F1708" w:rsidP="00DA6B62">
      <w:pPr>
        <w:spacing w:after="0"/>
        <w:rPr>
          <w:rFonts w:ascii="Verdana" w:hAnsi="Verdana"/>
          <w:lang w:val="es-ES"/>
        </w:rPr>
      </w:pPr>
    </w:p>
    <w:p w14:paraId="2C5EC487" w14:textId="77777777" w:rsidR="002F1708" w:rsidRDefault="002F1708" w:rsidP="00DA6B62">
      <w:pPr>
        <w:spacing w:after="0"/>
        <w:rPr>
          <w:rFonts w:ascii="Verdana" w:hAnsi="Verdana"/>
          <w:lang w:val="es-ES"/>
        </w:rPr>
      </w:pPr>
    </w:p>
    <w:p w14:paraId="676981BB" w14:textId="77777777" w:rsidR="002F1708" w:rsidRDefault="002F1708" w:rsidP="00DA6B62">
      <w:pPr>
        <w:spacing w:after="0"/>
        <w:rPr>
          <w:rFonts w:ascii="Verdana" w:hAnsi="Verdana"/>
          <w:lang w:val="es-ES"/>
        </w:rPr>
      </w:pPr>
    </w:p>
    <w:p w14:paraId="60AF1866" w14:textId="77777777" w:rsidR="002F1708" w:rsidRDefault="002F1708" w:rsidP="00DA6B62">
      <w:pPr>
        <w:spacing w:after="0"/>
        <w:rPr>
          <w:rFonts w:ascii="Verdana" w:hAnsi="Verdana"/>
          <w:lang w:val="es-ES"/>
        </w:rPr>
      </w:pPr>
    </w:p>
    <w:p w14:paraId="3BAD4670" w14:textId="77777777" w:rsidR="002F1708" w:rsidRDefault="002F1708" w:rsidP="00DA6B62">
      <w:pPr>
        <w:spacing w:after="0"/>
        <w:rPr>
          <w:rFonts w:ascii="Verdana" w:hAnsi="Verdana"/>
          <w:lang w:val="es-ES"/>
        </w:rPr>
      </w:pPr>
    </w:p>
    <w:p w14:paraId="595AE2DD" w14:textId="77777777" w:rsidR="002F1708" w:rsidRDefault="002F1708" w:rsidP="00DA6B62">
      <w:pPr>
        <w:spacing w:after="0"/>
        <w:rPr>
          <w:rFonts w:ascii="Verdana" w:hAnsi="Verdana"/>
          <w:lang w:val="es-ES"/>
        </w:rPr>
      </w:pPr>
    </w:p>
    <w:p w14:paraId="30AFA5E3" w14:textId="77777777" w:rsidR="002F1708" w:rsidRDefault="002F1708" w:rsidP="00DA6B62">
      <w:pPr>
        <w:spacing w:after="0"/>
        <w:rPr>
          <w:rFonts w:ascii="Verdana" w:hAnsi="Verdana"/>
          <w:lang w:val="es-ES"/>
        </w:rPr>
      </w:pPr>
    </w:p>
    <w:p w14:paraId="6EF295DB" w14:textId="77777777" w:rsidR="002F1708" w:rsidRDefault="002F1708" w:rsidP="00DA6B62">
      <w:pPr>
        <w:spacing w:after="0"/>
        <w:rPr>
          <w:rFonts w:ascii="Verdana" w:hAnsi="Verdana"/>
          <w:lang w:val="es-ES"/>
        </w:rPr>
      </w:pPr>
    </w:p>
    <w:p w14:paraId="231FA4B3" w14:textId="77777777" w:rsidR="002F1708" w:rsidRDefault="002F1708" w:rsidP="00DA6B62">
      <w:pPr>
        <w:spacing w:after="0"/>
        <w:rPr>
          <w:rFonts w:ascii="Verdana" w:hAnsi="Verdana"/>
          <w:lang w:val="es-ES"/>
        </w:rPr>
      </w:pPr>
    </w:p>
    <w:p w14:paraId="230F0FBE" w14:textId="77777777" w:rsidR="002F1708" w:rsidRDefault="002F1708" w:rsidP="00DA6B62">
      <w:pPr>
        <w:spacing w:after="0"/>
        <w:rPr>
          <w:rFonts w:ascii="Verdana" w:hAnsi="Verdana"/>
          <w:lang w:val="es-ES"/>
        </w:rPr>
      </w:pPr>
    </w:p>
    <w:p w14:paraId="6F70D5E8" w14:textId="77777777" w:rsidR="002F1708" w:rsidRDefault="002F1708" w:rsidP="00DA6B62">
      <w:pPr>
        <w:spacing w:after="0"/>
        <w:rPr>
          <w:rFonts w:ascii="Verdana" w:hAnsi="Verdana"/>
          <w:lang w:val="es-ES"/>
        </w:rPr>
      </w:pPr>
    </w:p>
    <w:p w14:paraId="46E90025" w14:textId="77777777" w:rsidR="002F1708" w:rsidRDefault="002F1708" w:rsidP="00DA6B62">
      <w:pPr>
        <w:spacing w:after="0"/>
        <w:rPr>
          <w:rFonts w:ascii="Verdana" w:hAnsi="Verdana"/>
          <w:lang w:val="es-ES"/>
        </w:rPr>
      </w:pPr>
    </w:p>
    <w:p w14:paraId="5BE681A6" w14:textId="77777777" w:rsidR="002F1708" w:rsidRDefault="002F1708" w:rsidP="00DA6B62">
      <w:pPr>
        <w:spacing w:after="0"/>
        <w:rPr>
          <w:rFonts w:ascii="Verdana" w:hAnsi="Verdana"/>
          <w:lang w:val="es-ES"/>
        </w:rPr>
      </w:pPr>
    </w:p>
    <w:p w14:paraId="273EE53C" w14:textId="77777777" w:rsidR="002F1708" w:rsidRDefault="002F1708" w:rsidP="00DA6B62">
      <w:pPr>
        <w:spacing w:after="0"/>
        <w:rPr>
          <w:rFonts w:ascii="Verdana" w:hAnsi="Verdana"/>
          <w:lang w:val="es-ES"/>
        </w:rPr>
      </w:pPr>
    </w:p>
    <w:p w14:paraId="4671D4ED" w14:textId="77777777" w:rsidR="002F1708" w:rsidRDefault="002F1708" w:rsidP="00DA6B62">
      <w:pPr>
        <w:spacing w:after="0"/>
        <w:rPr>
          <w:rFonts w:ascii="Verdana" w:hAnsi="Verdana"/>
          <w:lang w:val="es-ES"/>
        </w:rPr>
      </w:pPr>
    </w:p>
    <w:p w14:paraId="2FC7369A" w14:textId="77777777" w:rsidR="002F1708" w:rsidRDefault="002F1708" w:rsidP="00DA6B62">
      <w:pPr>
        <w:spacing w:after="0"/>
        <w:rPr>
          <w:rFonts w:ascii="Verdana" w:hAnsi="Verdana"/>
          <w:lang w:val="es-ES"/>
        </w:rPr>
      </w:pPr>
    </w:p>
    <w:p w14:paraId="28B99D37" w14:textId="77777777" w:rsidR="002F1708" w:rsidRDefault="002F1708" w:rsidP="00DA6B62">
      <w:pPr>
        <w:spacing w:after="0"/>
        <w:rPr>
          <w:rFonts w:ascii="Verdana" w:hAnsi="Verdana"/>
          <w:lang w:val="es-ES"/>
        </w:rPr>
      </w:pPr>
    </w:p>
    <w:p w14:paraId="37BFB727" w14:textId="77777777" w:rsidR="002F1708" w:rsidRDefault="002F1708" w:rsidP="00DA6B62">
      <w:pPr>
        <w:spacing w:after="0"/>
        <w:rPr>
          <w:rFonts w:ascii="Verdana" w:hAnsi="Verdana"/>
          <w:lang w:val="es-ES"/>
        </w:rPr>
      </w:pPr>
    </w:p>
    <w:p w14:paraId="068C7132" w14:textId="73D1192D" w:rsidR="00DA6B62" w:rsidRPr="00ED6485" w:rsidRDefault="00DA6B62" w:rsidP="00DA6B62">
      <w:pPr>
        <w:spacing w:after="0"/>
        <w:rPr>
          <w:rFonts w:ascii="Verdana" w:hAnsi="Verdana"/>
          <w:lang w:val="es-ES"/>
        </w:rPr>
      </w:pPr>
      <w:r w:rsidRPr="00ED6485">
        <w:rPr>
          <w:rFonts w:ascii="Verdana" w:hAnsi="Verdana"/>
          <w:lang w:val="es-ES"/>
        </w:rPr>
        <w:lastRenderedPageBreak/>
        <w:t xml:space="preserve">Bogotá D.C., </w:t>
      </w:r>
      <w:r w:rsidR="002F1708">
        <w:rPr>
          <w:rFonts w:ascii="Verdana" w:hAnsi="Verdana"/>
          <w:lang w:val="es-ES"/>
        </w:rPr>
        <w:t>20 de agosto de 2026</w:t>
      </w:r>
      <w:r w:rsidRPr="00ED6485">
        <w:rPr>
          <w:rFonts w:ascii="Verdana" w:hAnsi="Verdana"/>
          <w:lang w:val="es-ES"/>
        </w:rPr>
        <w:tab/>
      </w:r>
    </w:p>
    <w:p w14:paraId="54DF4515" w14:textId="77777777" w:rsidR="00DA6B62" w:rsidRPr="00ED6485" w:rsidRDefault="00DA6B62" w:rsidP="00DA6B62">
      <w:pPr>
        <w:spacing w:after="0"/>
        <w:rPr>
          <w:rFonts w:ascii="Verdana" w:hAnsi="Verdana"/>
          <w:lang w:val="es-ES"/>
        </w:rPr>
      </w:pPr>
    </w:p>
    <w:p w14:paraId="146A2022" w14:textId="714C375A" w:rsidR="00DA6B62" w:rsidRPr="00ED6485" w:rsidRDefault="002F1708" w:rsidP="00DA6B62">
      <w:pPr>
        <w:spacing w:after="0" w:line="240" w:lineRule="auto"/>
        <w:jc w:val="both"/>
        <w:rPr>
          <w:rFonts w:ascii="Verdana" w:eastAsia="Calibri" w:hAnsi="Verdana" w:cs="Arial"/>
          <w:color w:val="000000" w:themeColor="text1"/>
          <w:lang w:val="es-ES" w:eastAsia="es-ES"/>
        </w:rPr>
      </w:pPr>
      <w:r>
        <w:rPr>
          <w:rFonts w:ascii="Verdana" w:eastAsia="Calibri" w:hAnsi="Verdana" w:cs="Arial"/>
          <w:noProof/>
          <w:color w:val="000000" w:themeColor="text1"/>
          <w:lang w:eastAsia="es-ES"/>
        </w:rPr>
        <w:drawing>
          <wp:anchor distT="0" distB="0" distL="114300" distR="114300" simplePos="0" relativeHeight="251659265" behindDoc="0" locked="0" layoutInCell="1" allowOverlap="1" wp14:anchorId="08C3C5FE" wp14:editId="4ECFE89E">
            <wp:simplePos x="0" y="0"/>
            <wp:positionH relativeFrom="column">
              <wp:posOffset>2966720</wp:posOffset>
            </wp:positionH>
            <wp:positionV relativeFrom="paragraph">
              <wp:posOffset>95885</wp:posOffset>
            </wp:positionV>
            <wp:extent cx="2503805" cy="683260"/>
            <wp:effectExtent l="0" t="0" r="0" b="2540"/>
            <wp:wrapSquare wrapText="bothSides"/>
            <wp:docPr id="1013880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80471" name="Picture 1013880471"/>
                    <pic:cNvPicPr/>
                  </pic:nvPicPr>
                  <pic:blipFill>
                    <a:blip r:embed="rId10">
                      <a:extLst>
                        <a:ext uri="{28A0092B-C50C-407E-A947-70E740481C1C}">
                          <a14:useLocalDpi xmlns:a14="http://schemas.microsoft.com/office/drawing/2010/main" val="0"/>
                        </a:ext>
                      </a:extLst>
                    </a:blip>
                    <a:stretch>
                      <a:fillRect/>
                    </a:stretch>
                  </pic:blipFill>
                  <pic:spPr>
                    <a:xfrm>
                      <a:off x="0" y="0"/>
                      <a:ext cx="2503805" cy="683260"/>
                    </a:xfrm>
                    <a:prstGeom prst="rect">
                      <a:avLst/>
                    </a:prstGeom>
                  </pic:spPr>
                </pic:pic>
              </a:graphicData>
            </a:graphic>
            <wp14:sizeRelH relativeFrom="page">
              <wp14:pctWidth>0</wp14:pctWidth>
            </wp14:sizeRelH>
            <wp14:sizeRelV relativeFrom="page">
              <wp14:pctHeight>0</wp14:pctHeight>
            </wp14:sizeRelV>
          </wp:anchor>
        </w:drawing>
      </w:r>
      <w:r w:rsidR="00DA6B62" w:rsidRPr="00ED6485">
        <w:rPr>
          <w:rFonts w:ascii="Verdana" w:eastAsia="Calibri" w:hAnsi="Verdana" w:cs="Arial"/>
          <w:color w:val="000000" w:themeColor="text1"/>
          <w:lang w:val="es-ES" w:eastAsia="es-ES"/>
        </w:rPr>
        <w:t>Señor</w:t>
      </w:r>
    </w:p>
    <w:p w14:paraId="465F623D" w14:textId="55B2982A" w:rsidR="00DA6B62" w:rsidRDefault="00DA6B62" w:rsidP="00DA6B62">
      <w:pPr>
        <w:spacing w:after="0" w:line="240" w:lineRule="auto"/>
        <w:jc w:val="both"/>
        <w:rPr>
          <w:rFonts w:ascii="Verdana" w:eastAsia="Calibri" w:hAnsi="Verdana" w:cs="Arial"/>
          <w:b/>
          <w:color w:val="000000" w:themeColor="text1"/>
          <w:lang w:eastAsia="es-ES"/>
        </w:rPr>
      </w:pPr>
      <w:r w:rsidRPr="00BC088D">
        <w:rPr>
          <w:rFonts w:ascii="Verdana" w:eastAsia="Calibri" w:hAnsi="Verdana" w:cs="Arial"/>
          <w:b/>
          <w:color w:val="000000" w:themeColor="text1"/>
          <w:lang w:eastAsia="es-ES"/>
        </w:rPr>
        <w:t xml:space="preserve">Hernán Felipe Pineda Medina </w:t>
      </w:r>
    </w:p>
    <w:p w14:paraId="5448863E" w14:textId="452681BE" w:rsidR="00DA6B62" w:rsidRPr="00BC088D" w:rsidRDefault="00DA6B62" w:rsidP="00DA6B62">
      <w:pPr>
        <w:spacing w:after="0" w:line="240" w:lineRule="auto"/>
        <w:jc w:val="both"/>
        <w:rPr>
          <w:rFonts w:ascii="Verdana" w:eastAsia="Calibri" w:hAnsi="Verdana" w:cs="Arial"/>
          <w:color w:val="000000" w:themeColor="text1"/>
          <w:lang w:eastAsia="es-ES"/>
        </w:rPr>
      </w:pPr>
      <w:r w:rsidRPr="00BC088D">
        <w:rPr>
          <w:rFonts w:ascii="Verdana" w:eastAsia="Calibri" w:hAnsi="Verdana" w:cs="Arial"/>
          <w:color w:val="000000" w:themeColor="text1"/>
          <w:lang w:eastAsia="es-ES"/>
        </w:rPr>
        <w:t xml:space="preserve">Seguros De Vida Aurora S.A </w:t>
      </w:r>
    </w:p>
    <w:p w14:paraId="7D52C852" w14:textId="77777777" w:rsidR="00DA6B62" w:rsidRPr="00BC088D" w:rsidRDefault="00DA6B62" w:rsidP="00DA6B62">
      <w:pPr>
        <w:spacing w:after="0" w:line="240" w:lineRule="auto"/>
        <w:jc w:val="both"/>
        <w:rPr>
          <w:rFonts w:ascii="Verdana" w:eastAsia="Calibri" w:hAnsi="Verdana" w:cs="Arial"/>
          <w:color w:val="000000" w:themeColor="text1"/>
          <w:lang w:eastAsia="es-ES"/>
        </w:rPr>
      </w:pPr>
      <w:r w:rsidRPr="00BC088D">
        <w:rPr>
          <w:rFonts w:ascii="Verdana" w:eastAsia="Calibri" w:hAnsi="Verdana" w:cs="Arial"/>
          <w:color w:val="000000" w:themeColor="text1"/>
          <w:lang w:eastAsia="es-ES"/>
        </w:rPr>
        <w:t xml:space="preserve">henan.pineda@segurosaurora.com </w:t>
      </w:r>
    </w:p>
    <w:p w14:paraId="6BDBDCC9" w14:textId="77777777" w:rsidR="00DA6B62" w:rsidRPr="00ED6485" w:rsidRDefault="00DA6B62" w:rsidP="00DA6B62">
      <w:pPr>
        <w:spacing w:after="0" w:line="240" w:lineRule="auto"/>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Bogotá D.C.</w:t>
      </w:r>
    </w:p>
    <w:p w14:paraId="6CB1F38B" w14:textId="77777777" w:rsidR="00DA6B62" w:rsidRPr="00ED6485" w:rsidRDefault="00DA6B62" w:rsidP="00DA6B62">
      <w:pPr>
        <w:spacing w:after="0" w:line="240" w:lineRule="auto"/>
        <w:jc w:val="both"/>
        <w:rPr>
          <w:rFonts w:ascii="Verdana" w:eastAsia="Calibri" w:hAnsi="Verdana" w:cs="Arial"/>
          <w:color w:val="000000" w:themeColor="text1"/>
          <w:lang w:val="es-ES" w:eastAsia="es-ES"/>
        </w:rPr>
      </w:pPr>
    </w:p>
    <w:p w14:paraId="01D90453" w14:textId="77777777" w:rsidR="00DA6B62" w:rsidRPr="00ED6485" w:rsidRDefault="00DA6B62" w:rsidP="00DA6B62">
      <w:pPr>
        <w:spacing w:after="0" w:line="240" w:lineRule="auto"/>
        <w:rPr>
          <w:rFonts w:ascii="Verdana" w:eastAsia="Calibri" w:hAnsi="Verdana" w:cs="Arial"/>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DA6B62" w:rsidRPr="00ED6485" w14:paraId="07541E15" w14:textId="77777777" w:rsidTr="00BD657F">
        <w:trPr>
          <w:gridAfter w:val="1"/>
          <w:wAfter w:w="4179" w:type="dxa"/>
          <w:trHeight w:val="304"/>
        </w:trPr>
        <w:tc>
          <w:tcPr>
            <w:tcW w:w="2689" w:type="dxa"/>
          </w:tcPr>
          <w:p w14:paraId="7D879C1F" w14:textId="77777777" w:rsidR="00DA6B62" w:rsidRPr="00ED6485" w:rsidRDefault="00DA6B62" w:rsidP="00BD657F">
            <w:pPr>
              <w:jc w:val="both"/>
              <w:rPr>
                <w:rFonts w:ascii="Verdana" w:eastAsia="Calibri" w:hAnsi="Verdana" w:cs="Arial"/>
                <w:b/>
                <w:bCs/>
                <w:color w:val="000000" w:themeColor="text1"/>
                <w:lang w:val="es-ES" w:eastAsia="es-ES_tradnl"/>
              </w:rPr>
            </w:pPr>
          </w:p>
        </w:tc>
        <w:tc>
          <w:tcPr>
            <w:tcW w:w="6100" w:type="dxa"/>
          </w:tcPr>
          <w:p w14:paraId="567D4567" w14:textId="6328EDA6" w:rsidR="00DA6B62" w:rsidRPr="00ED6485" w:rsidRDefault="00DA6B62" w:rsidP="00BD657F">
            <w:pPr>
              <w:jc w:val="both"/>
              <w:rPr>
                <w:rFonts w:ascii="Verdana" w:eastAsia="Calibri" w:hAnsi="Verdana" w:cs="Arial"/>
                <w:b/>
                <w:bCs/>
                <w:color w:val="000000" w:themeColor="text1"/>
                <w:lang w:val="es-ES" w:eastAsia="es-ES"/>
              </w:rPr>
            </w:pPr>
            <w:r w:rsidRPr="00ED6485">
              <w:rPr>
                <w:rFonts w:ascii="Verdana" w:eastAsia="Calibri" w:hAnsi="Verdana" w:cs="Arial"/>
                <w:b/>
                <w:bCs/>
                <w:color w:val="000000" w:themeColor="text1"/>
                <w:lang w:val="es-ES" w:eastAsia="es-ES"/>
              </w:rPr>
              <w:t>Concepto C-</w:t>
            </w:r>
            <w:r w:rsidR="00F078FD">
              <w:rPr>
                <w:rFonts w:ascii="Verdana" w:eastAsia="Calibri" w:hAnsi="Verdana" w:cs="Arial"/>
                <w:b/>
                <w:bCs/>
                <w:color w:val="000000" w:themeColor="text1"/>
                <w:lang w:val="es-ES" w:eastAsia="es-ES"/>
              </w:rPr>
              <w:t>1095</w:t>
            </w:r>
            <w:r w:rsidRPr="00ED6485">
              <w:rPr>
                <w:rFonts w:ascii="Verdana" w:eastAsia="Calibri" w:hAnsi="Verdana" w:cs="Arial"/>
                <w:b/>
                <w:bCs/>
                <w:color w:val="000000" w:themeColor="text1"/>
                <w:lang w:val="es-ES" w:eastAsia="es-ES"/>
              </w:rPr>
              <w:t xml:space="preserve"> de 2026</w:t>
            </w:r>
          </w:p>
          <w:p w14:paraId="1EDC5FCE" w14:textId="77777777" w:rsidR="00DA6B62" w:rsidRPr="00ED6485" w:rsidRDefault="00DA6B62" w:rsidP="00BD657F">
            <w:pPr>
              <w:jc w:val="both"/>
              <w:rPr>
                <w:rFonts w:ascii="Verdana" w:eastAsia="Calibri" w:hAnsi="Verdana" w:cs="Arial"/>
                <w:b/>
                <w:bCs/>
                <w:color w:val="000000" w:themeColor="text1"/>
                <w:lang w:val="es-ES" w:eastAsia="es-ES"/>
              </w:rPr>
            </w:pPr>
          </w:p>
        </w:tc>
      </w:tr>
      <w:tr w:rsidR="00DA6B62" w:rsidRPr="00ED6485" w14:paraId="4765EF21" w14:textId="77777777" w:rsidTr="00BD657F">
        <w:trPr>
          <w:trHeight w:val="1422"/>
        </w:trPr>
        <w:tc>
          <w:tcPr>
            <w:tcW w:w="2689" w:type="dxa"/>
          </w:tcPr>
          <w:p w14:paraId="4112C09A" w14:textId="77777777" w:rsidR="00DA6B62" w:rsidRPr="00ED6485" w:rsidRDefault="00DA6B62" w:rsidP="00BD657F">
            <w:pPr>
              <w:jc w:val="both"/>
              <w:rPr>
                <w:rFonts w:ascii="Verdana" w:eastAsia="Calibri" w:hAnsi="Verdana" w:cs="Arial"/>
                <w:color w:val="000000" w:themeColor="text1"/>
                <w:lang w:val="es-ES" w:eastAsia="es-ES_tradnl"/>
              </w:rPr>
            </w:pPr>
            <w:r w:rsidRPr="00ED6485">
              <w:rPr>
                <w:rFonts w:ascii="Verdana" w:eastAsia="Calibri" w:hAnsi="Verdana" w:cs="Arial"/>
                <w:b/>
                <w:color w:val="000000" w:themeColor="text1"/>
                <w:lang w:val="es-ES" w:eastAsia="es-ES_tradnl"/>
              </w:rPr>
              <w:t>Temas:</w:t>
            </w:r>
            <w:r w:rsidRPr="00ED6485">
              <w:rPr>
                <w:rFonts w:ascii="Verdana" w:eastAsia="Calibri" w:hAnsi="Verdana" w:cs="Arial"/>
                <w:color w:val="000000" w:themeColor="text1"/>
                <w:lang w:val="es-ES" w:eastAsia="es-ES_tradnl"/>
              </w:rPr>
              <w:t xml:space="preserve">                   </w:t>
            </w:r>
          </w:p>
        </w:tc>
        <w:tc>
          <w:tcPr>
            <w:tcW w:w="6100" w:type="dxa"/>
          </w:tcPr>
          <w:p w14:paraId="0773BDE6" w14:textId="77777777" w:rsidR="00DA6B62" w:rsidRDefault="00DA6B62" w:rsidP="00BD657F">
            <w:pPr>
              <w:spacing w:line="276" w:lineRule="auto"/>
              <w:jc w:val="both"/>
              <w:rPr>
                <w:rFonts w:ascii="Verdana" w:eastAsia="Calibri" w:hAnsi="Verdana" w:cs="Arial"/>
                <w:lang w:val="es-ES" w:eastAsia="es-ES"/>
              </w:rPr>
            </w:pPr>
            <w:r w:rsidRPr="00077A34">
              <w:rPr>
                <w:rFonts w:ascii="Verdana" w:eastAsia="Calibri" w:hAnsi="Verdana" w:cs="Arial"/>
                <w:lang w:val="es-ES" w:eastAsia="es-ES"/>
              </w:rPr>
              <w:t>REQUISITOS HABILITANTES</w:t>
            </w:r>
            <w:r>
              <w:rPr>
                <w:rFonts w:ascii="Verdana" w:eastAsia="Calibri" w:hAnsi="Verdana" w:cs="Arial"/>
                <w:lang w:val="es-ES" w:eastAsia="es-ES"/>
              </w:rPr>
              <w:t xml:space="preserve"> </w:t>
            </w:r>
            <w:r w:rsidRPr="00077A34">
              <w:rPr>
                <w:rFonts w:ascii="Verdana" w:eastAsia="Calibri" w:hAnsi="Verdana" w:cs="Arial"/>
                <w:lang w:val="es-ES" w:eastAsia="es-ES"/>
              </w:rPr>
              <w:t>–</w:t>
            </w:r>
            <w:r>
              <w:rPr>
                <w:rFonts w:ascii="Verdana" w:eastAsia="Calibri" w:hAnsi="Verdana" w:cs="Arial"/>
                <w:lang w:val="es-ES" w:eastAsia="es-ES"/>
              </w:rPr>
              <w:t xml:space="preserve"> Acreditación </w:t>
            </w:r>
            <w:r w:rsidRPr="00077A34">
              <w:rPr>
                <w:rFonts w:ascii="Verdana" w:eastAsia="Calibri" w:hAnsi="Verdana" w:cs="Arial"/>
                <w:lang w:val="es-ES" w:eastAsia="es-ES"/>
              </w:rPr>
              <w:t>–</w:t>
            </w:r>
            <w:r>
              <w:rPr>
                <w:rFonts w:ascii="Verdana" w:eastAsia="Calibri" w:hAnsi="Verdana" w:cs="Arial"/>
                <w:lang w:val="es-ES" w:eastAsia="es-ES"/>
              </w:rPr>
              <w:t xml:space="preserve"> Líder o representante del proponente plural /</w:t>
            </w:r>
            <w:r w:rsidRPr="00077A34">
              <w:rPr>
                <w:rFonts w:ascii="Verdana" w:eastAsia="Calibri" w:hAnsi="Verdana" w:cs="Arial"/>
                <w:lang w:val="es-ES" w:eastAsia="es-ES"/>
              </w:rPr>
              <w:t xml:space="preserve"> REQUISITOS HABILITANTES</w:t>
            </w:r>
            <w:r>
              <w:rPr>
                <w:rFonts w:ascii="Verdana" w:eastAsia="Calibri" w:hAnsi="Verdana" w:cs="Arial"/>
                <w:lang w:val="es-ES" w:eastAsia="es-ES"/>
              </w:rPr>
              <w:t xml:space="preserve"> </w:t>
            </w:r>
            <w:r w:rsidRPr="00077A34">
              <w:rPr>
                <w:rFonts w:ascii="Verdana" w:eastAsia="Calibri" w:hAnsi="Verdana" w:cs="Arial"/>
                <w:lang w:val="es-ES" w:eastAsia="es-ES"/>
              </w:rPr>
              <w:t>–</w:t>
            </w:r>
            <w:r>
              <w:rPr>
                <w:rFonts w:ascii="Verdana" w:eastAsia="Calibri" w:hAnsi="Verdana" w:cs="Arial"/>
                <w:lang w:val="es-ES" w:eastAsia="es-ES"/>
              </w:rPr>
              <w:t xml:space="preserve"> Sucursal en lugar de ejecución </w:t>
            </w:r>
            <w:r w:rsidRPr="00077A34">
              <w:rPr>
                <w:rFonts w:ascii="Verdana" w:eastAsia="Calibri" w:hAnsi="Verdana" w:cs="Arial"/>
                <w:lang w:val="es-ES" w:eastAsia="es-ES"/>
              </w:rPr>
              <w:t>–</w:t>
            </w:r>
            <w:r>
              <w:rPr>
                <w:rFonts w:ascii="Verdana" w:eastAsia="Calibri" w:hAnsi="Verdana" w:cs="Arial"/>
                <w:lang w:val="es-ES" w:eastAsia="es-ES"/>
              </w:rPr>
              <w:t xml:space="preserve"> Alcance /</w:t>
            </w:r>
            <w:r w:rsidRPr="00077A34">
              <w:rPr>
                <w:rFonts w:ascii="Verdana" w:eastAsia="Calibri" w:hAnsi="Verdana" w:cs="Arial"/>
                <w:lang w:val="es-ES" w:eastAsia="es-ES"/>
              </w:rPr>
              <w:t xml:space="preserve"> REQUISITOS HABILITANTES</w:t>
            </w:r>
            <w:r>
              <w:rPr>
                <w:rFonts w:ascii="Verdana" w:eastAsia="Calibri" w:hAnsi="Verdana" w:cs="Arial"/>
                <w:lang w:val="es-ES" w:eastAsia="es-ES"/>
              </w:rPr>
              <w:t xml:space="preserve"> </w:t>
            </w:r>
            <w:r w:rsidRPr="00077A34">
              <w:rPr>
                <w:rFonts w:ascii="Verdana" w:eastAsia="Calibri" w:hAnsi="Verdana" w:cs="Arial"/>
                <w:lang w:val="es-ES" w:eastAsia="es-ES"/>
              </w:rPr>
              <w:t>–</w:t>
            </w:r>
            <w:r>
              <w:rPr>
                <w:rFonts w:ascii="Verdana" w:eastAsia="Calibri" w:hAnsi="Verdana" w:cs="Arial"/>
                <w:lang w:val="es-ES" w:eastAsia="es-ES"/>
              </w:rPr>
              <w:t xml:space="preserve"> Límites </w:t>
            </w:r>
            <w:r w:rsidRPr="00077A34">
              <w:rPr>
                <w:rFonts w:ascii="Verdana" w:eastAsia="Calibri" w:hAnsi="Verdana" w:cs="Arial"/>
                <w:lang w:val="es-ES" w:eastAsia="es-ES"/>
              </w:rPr>
              <w:t>–</w:t>
            </w:r>
            <w:r>
              <w:rPr>
                <w:rFonts w:ascii="Verdana" w:eastAsia="Calibri" w:hAnsi="Verdana" w:cs="Arial"/>
                <w:lang w:val="es-ES" w:eastAsia="es-ES"/>
              </w:rPr>
              <w:t xml:space="preserve"> Adecuación y proporcionalidad</w:t>
            </w:r>
          </w:p>
          <w:p w14:paraId="7E48CDE2" w14:textId="77777777" w:rsidR="00DA6B62" w:rsidRPr="00ED6485" w:rsidRDefault="00DA6B62" w:rsidP="00BD657F">
            <w:pPr>
              <w:spacing w:line="276" w:lineRule="auto"/>
              <w:jc w:val="both"/>
              <w:rPr>
                <w:rFonts w:ascii="Verdana" w:eastAsia="Calibri" w:hAnsi="Verdana" w:cs="Arial"/>
                <w:color w:val="000000" w:themeColor="text1"/>
                <w:lang w:val="es-ES" w:eastAsia="es-ES"/>
              </w:rPr>
            </w:pPr>
          </w:p>
        </w:tc>
        <w:tc>
          <w:tcPr>
            <w:tcW w:w="4179" w:type="dxa"/>
          </w:tcPr>
          <w:p w14:paraId="4A0F532F" w14:textId="77777777" w:rsidR="00DA6B62" w:rsidRPr="00ED6485" w:rsidRDefault="00DA6B62" w:rsidP="00BD657F">
            <w:pPr>
              <w:spacing w:line="276" w:lineRule="auto"/>
              <w:jc w:val="both"/>
              <w:rPr>
                <w:rFonts w:ascii="Verdana" w:eastAsia="Calibri" w:hAnsi="Verdana" w:cs="Arial"/>
                <w:b/>
                <w:bCs/>
                <w:color w:val="000000" w:themeColor="text1"/>
                <w:lang w:val="es-ES" w:eastAsia="es-ES"/>
              </w:rPr>
            </w:pPr>
          </w:p>
          <w:p w14:paraId="48F7041F" w14:textId="77777777" w:rsidR="00DA6B62" w:rsidRPr="00ED6485" w:rsidRDefault="00DA6B62" w:rsidP="00BD657F">
            <w:pPr>
              <w:rPr>
                <w:rFonts w:ascii="Verdana" w:hAnsi="Verdana"/>
                <w:lang w:val="es-ES"/>
              </w:rPr>
            </w:pPr>
          </w:p>
        </w:tc>
      </w:tr>
      <w:tr w:rsidR="00DA6B62" w:rsidRPr="00ED6485" w14:paraId="7052A65D" w14:textId="77777777" w:rsidTr="00BD657F">
        <w:trPr>
          <w:gridAfter w:val="1"/>
          <w:wAfter w:w="4179" w:type="dxa"/>
        </w:trPr>
        <w:tc>
          <w:tcPr>
            <w:tcW w:w="2689" w:type="dxa"/>
          </w:tcPr>
          <w:p w14:paraId="2C93A4F9" w14:textId="77777777" w:rsidR="00DA6B62" w:rsidRPr="00ED6485" w:rsidRDefault="00DA6B62" w:rsidP="00BD657F">
            <w:pPr>
              <w:jc w:val="both"/>
              <w:rPr>
                <w:rFonts w:ascii="Verdana" w:eastAsia="Calibri" w:hAnsi="Verdana" w:cs="Arial"/>
                <w:b/>
                <w:color w:val="000000" w:themeColor="text1"/>
                <w:lang w:val="es-ES" w:eastAsia="es-ES_tradnl"/>
              </w:rPr>
            </w:pPr>
            <w:r w:rsidRPr="00ED6485">
              <w:rPr>
                <w:rFonts w:ascii="Verdana" w:eastAsia="Calibri" w:hAnsi="Verdana" w:cs="Arial"/>
                <w:b/>
                <w:color w:val="000000" w:themeColor="text1"/>
                <w:lang w:val="es-ES" w:eastAsia="es-ES_tradnl"/>
              </w:rPr>
              <w:t>Radicación:</w:t>
            </w:r>
            <w:r w:rsidRPr="00ED6485">
              <w:rPr>
                <w:rFonts w:ascii="Verdana" w:eastAsia="Calibri" w:hAnsi="Verdana" w:cs="Arial"/>
                <w:color w:val="000000" w:themeColor="text1"/>
                <w:lang w:val="es-ES" w:eastAsia="es-ES_tradnl"/>
              </w:rPr>
              <w:t xml:space="preserve">               </w:t>
            </w:r>
          </w:p>
        </w:tc>
        <w:tc>
          <w:tcPr>
            <w:tcW w:w="6100" w:type="dxa"/>
          </w:tcPr>
          <w:p w14:paraId="372CB215" w14:textId="52BFA9B7" w:rsidR="00DA6B62" w:rsidRPr="0012288A" w:rsidRDefault="00DA6B62" w:rsidP="00BD657F">
            <w:pPr>
              <w:jc w:val="both"/>
              <w:rPr>
                <w:rFonts w:ascii="Verdana" w:eastAsia="Calibri" w:hAnsi="Verdana" w:cs="Arial"/>
                <w:color w:val="000000" w:themeColor="text1"/>
                <w:lang w:eastAsia="es-ES_tradnl"/>
              </w:rPr>
            </w:pPr>
            <w:r w:rsidRPr="00ED6485">
              <w:rPr>
                <w:rFonts w:ascii="Verdana" w:eastAsia="Calibri" w:hAnsi="Verdana" w:cs="Arial"/>
                <w:color w:val="000000" w:themeColor="text1"/>
                <w:lang w:val="es-ES" w:eastAsia="es-ES_tradnl"/>
              </w:rPr>
              <w:t xml:space="preserve">Respuesta a </w:t>
            </w:r>
            <w:r w:rsidR="003E03B4" w:rsidRPr="00ED6485">
              <w:rPr>
                <w:rFonts w:ascii="Verdana" w:eastAsia="Calibri" w:hAnsi="Verdana" w:cs="Arial"/>
                <w:color w:val="000000" w:themeColor="text1"/>
                <w:lang w:val="es-ES" w:eastAsia="es-ES_tradnl"/>
              </w:rPr>
              <w:t>las consultas</w:t>
            </w:r>
            <w:r w:rsidRPr="00ED6485">
              <w:rPr>
                <w:rFonts w:ascii="Verdana" w:eastAsia="Calibri" w:hAnsi="Verdana" w:cs="Arial"/>
                <w:color w:val="000000" w:themeColor="text1"/>
                <w:lang w:val="es-ES" w:eastAsia="es-ES_tradnl"/>
              </w:rPr>
              <w:t xml:space="preserve"> con radicado</w:t>
            </w:r>
            <w:r>
              <w:rPr>
                <w:rFonts w:ascii="Verdana" w:eastAsia="Calibri" w:hAnsi="Verdana" w:cs="Arial"/>
                <w:color w:val="000000" w:themeColor="text1"/>
                <w:lang w:val="es-ES" w:eastAsia="es-ES_tradnl"/>
              </w:rPr>
              <w:t>s</w:t>
            </w:r>
            <w:r w:rsidRPr="00ED6485">
              <w:rPr>
                <w:rFonts w:ascii="Verdana" w:eastAsia="Calibri" w:hAnsi="Verdana" w:cs="Arial"/>
                <w:color w:val="000000" w:themeColor="text1"/>
                <w:lang w:val="es-ES" w:eastAsia="es-ES_tradnl"/>
              </w:rPr>
              <w:t xml:space="preserve"> No. </w:t>
            </w:r>
            <w:r w:rsidRPr="0010343B">
              <w:rPr>
                <w:rFonts w:ascii="Verdana" w:eastAsia="Calibri" w:hAnsi="Verdana" w:cs="Arial"/>
                <w:color w:val="000000" w:themeColor="text1"/>
                <w:lang w:val="es-ES" w:eastAsia="es-ES_tradnl"/>
              </w:rPr>
              <w:t>1_2026_07_09_009103</w:t>
            </w:r>
            <w:r>
              <w:rPr>
                <w:rFonts w:ascii="Verdana" w:eastAsia="Calibri" w:hAnsi="Verdana" w:cs="Arial"/>
                <w:color w:val="000000" w:themeColor="text1"/>
                <w:lang w:val="es-ES" w:eastAsia="es-ES_tradnl"/>
              </w:rPr>
              <w:t xml:space="preserve"> y 1</w:t>
            </w:r>
            <w:r w:rsidRPr="0012288A">
              <w:rPr>
                <w:rFonts w:ascii="Verdana" w:eastAsia="Calibri" w:hAnsi="Verdana" w:cs="Arial"/>
                <w:color w:val="000000" w:themeColor="text1"/>
                <w:lang w:eastAsia="es-ES_tradnl"/>
              </w:rPr>
              <w:t>_2026_07_08_009094 (</w:t>
            </w:r>
            <w:r w:rsidR="003E03B4" w:rsidRPr="0012288A">
              <w:rPr>
                <w:rFonts w:ascii="Verdana" w:eastAsia="Calibri" w:hAnsi="Verdana" w:cs="Arial"/>
                <w:color w:val="000000" w:themeColor="text1"/>
                <w:lang w:eastAsia="es-ES_tradnl"/>
              </w:rPr>
              <w:t>acumuladas</w:t>
            </w:r>
            <w:r w:rsidRPr="0012288A">
              <w:rPr>
                <w:rFonts w:ascii="Verdana" w:eastAsia="Calibri" w:hAnsi="Verdana" w:cs="Arial"/>
                <w:color w:val="000000" w:themeColor="text1"/>
                <w:lang w:eastAsia="es-ES_tradnl"/>
              </w:rPr>
              <w:t>)</w:t>
            </w:r>
          </w:p>
          <w:p w14:paraId="48B8B05C" w14:textId="77777777" w:rsidR="00DA6B62" w:rsidRPr="00ED6485" w:rsidRDefault="00DA6B62" w:rsidP="00BD657F">
            <w:pPr>
              <w:jc w:val="both"/>
              <w:rPr>
                <w:rFonts w:ascii="Verdana" w:eastAsia="Calibri" w:hAnsi="Verdana" w:cs="Arial"/>
                <w:color w:val="000000" w:themeColor="text1"/>
                <w:lang w:val="es-ES" w:eastAsia="es-ES_tradnl"/>
              </w:rPr>
            </w:pPr>
          </w:p>
        </w:tc>
      </w:tr>
    </w:tbl>
    <w:p w14:paraId="2DC54209" w14:textId="77777777" w:rsidR="00DA6B62" w:rsidRPr="00ED6485" w:rsidRDefault="00DA6B62" w:rsidP="00DA6B62">
      <w:pPr>
        <w:spacing w:after="0" w:line="276" w:lineRule="auto"/>
        <w:jc w:val="both"/>
        <w:rPr>
          <w:rFonts w:ascii="Verdana" w:eastAsia="Calibri" w:hAnsi="Verdana" w:cs="Arial"/>
          <w:color w:val="000000" w:themeColor="text1"/>
          <w:lang w:val="es-ES" w:eastAsia="es-ES_tradnl"/>
        </w:rPr>
      </w:pPr>
    </w:p>
    <w:p w14:paraId="03831DAD" w14:textId="77777777" w:rsidR="00DA6B62" w:rsidRPr="00ED6485" w:rsidRDefault="00DA6B62" w:rsidP="00DA6B62">
      <w:pPr>
        <w:spacing w:after="0" w:line="240" w:lineRule="auto"/>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o</w:t>
      </w:r>
      <w:r w:rsidRPr="00ED6485">
        <w:rPr>
          <w:rFonts w:ascii="Verdana" w:eastAsia="Calibri" w:hAnsi="Verdana" w:cs="Arial"/>
          <w:color w:val="000000" w:themeColor="text1"/>
          <w:lang w:val="es-ES" w:eastAsia="es-ES"/>
        </w:rPr>
        <w:t xml:space="preserve"> Señor </w:t>
      </w:r>
      <w:r>
        <w:rPr>
          <w:rFonts w:ascii="Verdana" w:eastAsia="Calibri" w:hAnsi="Verdana" w:cs="Arial"/>
          <w:color w:val="000000" w:themeColor="text1"/>
          <w:lang w:val="es-ES" w:eastAsia="es-ES"/>
        </w:rPr>
        <w:t>Pineda</w:t>
      </w:r>
      <w:r w:rsidRPr="00ED6485">
        <w:rPr>
          <w:rFonts w:ascii="Verdana" w:eastAsia="Calibri" w:hAnsi="Verdana" w:cs="Arial"/>
          <w:color w:val="000000" w:themeColor="text1"/>
          <w:lang w:val="es-ES" w:eastAsia="es-ES"/>
        </w:rPr>
        <w:t>:</w:t>
      </w:r>
    </w:p>
    <w:p w14:paraId="5816377C" w14:textId="77777777" w:rsidR="00DA6B62" w:rsidRPr="00ED6485" w:rsidRDefault="00DA6B62" w:rsidP="00DA6B62">
      <w:pPr>
        <w:tabs>
          <w:tab w:val="left" w:pos="3768"/>
        </w:tabs>
        <w:spacing w:after="0" w:line="276" w:lineRule="auto"/>
        <w:jc w:val="both"/>
        <w:rPr>
          <w:rFonts w:ascii="Verdana" w:eastAsia="Calibri" w:hAnsi="Verdana" w:cs="Arial"/>
          <w:color w:val="000000" w:themeColor="text1"/>
          <w:lang w:val="es-ES" w:eastAsia="es-ES"/>
        </w:rPr>
      </w:pPr>
    </w:p>
    <w:p w14:paraId="675B6E61" w14:textId="77777777" w:rsidR="00DA6B62" w:rsidRPr="00ED6485" w:rsidRDefault="00DA6B62" w:rsidP="00DA6B62">
      <w:pPr>
        <w:spacing w:after="0" w:line="276" w:lineRule="auto"/>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En ejercicio de la competencia otorgada por los artículos 3, numeral 5º, y 11, numeral 8º, del Decreto Ley 4170 de 2011,</w:t>
      </w:r>
      <w:r w:rsidRPr="00ED6485">
        <w:rPr>
          <w:rFonts w:ascii="Verdana" w:eastAsia="Arial MT" w:hAnsi="Verdana" w:cs="Arial MT"/>
          <w:color w:val="000000" w:themeColor="text1"/>
          <w:lang w:val="es-ES" w:eastAsia="es-ES"/>
        </w:rPr>
        <w:t xml:space="preserve"> </w:t>
      </w:r>
      <w:r w:rsidRPr="00ED6485">
        <w:rPr>
          <w:rFonts w:ascii="Verdana" w:hAnsi="Verdana" w:cs="Arial"/>
          <w:color w:val="000000" w:themeColor="text1"/>
          <w:lang w:val="es-ES"/>
        </w:rPr>
        <w:t xml:space="preserve">así como lo establecido en el artículo 4 de la Resolución 1707 de 2018 expedida por esta Entidad, la Agencia Nacional de Contratación Pública – Colombia Compra Eficiente– responde su solicitud de concepto del </w:t>
      </w:r>
      <w:r>
        <w:rPr>
          <w:rFonts w:ascii="Verdana" w:hAnsi="Verdana" w:cs="Arial"/>
          <w:color w:val="000000" w:themeColor="text1"/>
          <w:lang w:val="es-ES"/>
        </w:rPr>
        <w:t>09 de julio</w:t>
      </w:r>
      <w:r w:rsidRPr="00ED6485">
        <w:rPr>
          <w:rFonts w:ascii="Verdana" w:hAnsi="Verdana" w:cs="Arial"/>
          <w:color w:val="000000" w:themeColor="text1"/>
          <w:lang w:val="es-ES"/>
        </w:rPr>
        <w:t xml:space="preserve"> de 2026, en la cual manifiesta lo siguiente:</w:t>
      </w:r>
      <w:r w:rsidRPr="00ED6485">
        <w:rPr>
          <w:rFonts w:ascii="Verdana" w:eastAsia="Calibri" w:hAnsi="Verdana" w:cs="Arial"/>
          <w:color w:val="000000" w:themeColor="text1"/>
          <w:lang w:val="es-ES" w:eastAsia="es-ES"/>
        </w:rPr>
        <w:t xml:space="preserve"> </w:t>
      </w:r>
    </w:p>
    <w:p w14:paraId="39A67361" w14:textId="77777777" w:rsidR="00DA6B62" w:rsidRPr="00ED6485" w:rsidRDefault="00DA6B62" w:rsidP="00DA6B62">
      <w:pPr>
        <w:spacing w:after="0" w:line="276" w:lineRule="auto"/>
        <w:jc w:val="both"/>
        <w:rPr>
          <w:rFonts w:ascii="Verdana" w:eastAsia="Calibri" w:hAnsi="Verdana" w:cs="Arial"/>
          <w:color w:val="000000" w:themeColor="text1"/>
          <w:lang w:val="es-ES" w:eastAsia="es-ES"/>
        </w:rPr>
      </w:pPr>
    </w:p>
    <w:p w14:paraId="41A5188B" w14:textId="77777777" w:rsidR="00DA6B62" w:rsidRPr="00BC088D" w:rsidRDefault="00DA6B62" w:rsidP="00DA6B62">
      <w:pPr>
        <w:spacing w:after="0"/>
        <w:ind w:left="709" w:right="709"/>
        <w:contextualSpacing/>
        <w:jc w:val="both"/>
        <w:rPr>
          <w:rFonts w:ascii="Verdana" w:eastAsia="Century Gothic" w:hAnsi="Verdana" w:cs="Century Gothic"/>
          <w:i/>
          <w:color w:val="000000" w:themeColor="text1"/>
          <w:sz w:val="20"/>
          <w:szCs w:val="20"/>
        </w:rPr>
      </w:pPr>
      <w:r>
        <w:rPr>
          <w:rFonts w:ascii="Verdana" w:eastAsia="Century Gothic" w:hAnsi="Verdana" w:cs="Century Gothic"/>
          <w:i/>
          <w:color w:val="000000" w:themeColor="text1"/>
          <w:sz w:val="20"/>
          <w:szCs w:val="20"/>
          <w:lang w:val="es-ES"/>
        </w:rPr>
        <w:t xml:space="preserve">“[…] </w:t>
      </w:r>
      <w:r w:rsidRPr="00BC088D">
        <w:rPr>
          <w:rFonts w:ascii="Verdana" w:eastAsia="Century Gothic" w:hAnsi="Verdana" w:cs="Century Gothic"/>
          <w:i/>
          <w:color w:val="000000" w:themeColor="text1"/>
          <w:sz w:val="20"/>
          <w:szCs w:val="20"/>
        </w:rPr>
        <w:t xml:space="preserve">1. ¿Es jurídicamente procedente que, en un Proceso de Contratación de seguros, el requisito habilitante de sucursal, agencia u oficina abierta al público sea acreditado por cualquiera de los integrantes de una unión temporal, en proporción a su porcentaje de participación, sin que dicha acreditación deba recaer necesariamente en el integrante designado como líder o representante de la estructura plural? </w:t>
      </w:r>
    </w:p>
    <w:p w14:paraId="75AB7132" w14:textId="77777777" w:rsidR="00DA6B62" w:rsidRPr="00BC088D" w:rsidRDefault="00DA6B62" w:rsidP="00DA6B62">
      <w:pPr>
        <w:spacing w:after="0"/>
        <w:ind w:left="709" w:right="709"/>
        <w:contextualSpacing/>
        <w:jc w:val="both"/>
        <w:rPr>
          <w:rFonts w:ascii="Verdana" w:eastAsia="Century Gothic" w:hAnsi="Verdana" w:cs="Century Gothic"/>
          <w:i/>
          <w:color w:val="000000" w:themeColor="text1"/>
          <w:sz w:val="20"/>
          <w:szCs w:val="20"/>
        </w:rPr>
      </w:pPr>
      <w:r w:rsidRPr="00BC088D">
        <w:rPr>
          <w:rFonts w:ascii="Verdana" w:eastAsia="Century Gothic" w:hAnsi="Verdana" w:cs="Century Gothic"/>
          <w:i/>
          <w:color w:val="000000" w:themeColor="text1"/>
          <w:sz w:val="20"/>
          <w:szCs w:val="20"/>
        </w:rPr>
        <w:t xml:space="preserve">2. ¿Resulta ajustado al artículo 7 de la Ley 80 de 1993 y al Decreto 1082 de 2015 que una entidad estatal exija, en el pliego de condiciones, que sea exclusivamente el integrante líder de la unión temporal quien acredite individualmente la sucursal o la experiencia específica, en lugar de admitir </w:t>
      </w:r>
      <w:r w:rsidRPr="00BC088D">
        <w:rPr>
          <w:rFonts w:ascii="Verdana" w:eastAsia="Century Gothic" w:hAnsi="Verdana" w:cs="Century Gothic"/>
          <w:i/>
          <w:color w:val="000000" w:themeColor="text1"/>
          <w:sz w:val="20"/>
          <w:szCs w:val="20"/>
        </w:rPr>
        <w:lastRenderedPageBreak/>
        <w:t xml:space="preserve">la sumatoria o ponderación de dichos requisitos entre todos los integrantes según su porcentaje de participación? </w:t>
      </w:r>
    </w:p>
    <w:p w14:paraId="4D229029" w14:textId="77777777" w:rsidR="00DA6B62" w:rsidRPr="00BC088D" w:rsidRDefault="00DA6B62" w:rsidP="00DA6B62">
      <w:pPr>
        <w:spacing w:after="0"/>
        <w:ind w:left="709" w:right="709"/>
        <w:contextualSpacing/>
        <w:jc w:val="both"/>
        <w:rPr>
          <w:rFonts w:ascii="Verdana" w:eastAsia="Century Gothic" w:hAnsi="Verdana" w:cs="Century Gothic"/>
          <w:i/>
          <w:color w:val="000000" w:themeColor="text1"/>
          <w:sz w:val="20"/>
          <w:szCs w:val="20"/>
        </w:rPr>
      </w:pPr>
      <w:r w:rsidRPr="00BC088D">
        <w:rPr>
          <w:rFonts w:ascii="Verdana" w:eastAsia="Century Gothic" w:hAnsi="Verdana" w:cs="Century Gothic"/>
          <w:i/>
          <w:color w:val="000000" w:themeColor="text1"/>
          <w:sz w:val="20"/>
          <w:szCs w:val="20"/>
        </w:rPr>
        <w:t>3. ¿Debe entenderse que el criterio de proporcionalidad reconocido por Colombia Compra Eficiente para la acreditación de la experiencia de los proponentes plurales es igualmente aplicable, por identidad de razón, a otros requisitos habilitantes de naturaleza análoga como la sucursal o la infraestructura territorial exigidos en los pliegos de condiciones de procesos de contratación de seguros?</w:t>
      </w:r>
      <w:r w:rsidRPr="00ED6485">
        <w:rPr>
          <w:rFonts w:ascii="Verdana" w:eastAsia="Century Gothic" w:hAnsi="Verdana" w:cs="Century Gothic"/>
          <w:i/>
          <w:iCs/>
          <w:color w:val="000000" w:themeColor="text1"/>
          <w:sz w:val="20"/>
          <w:szCs w:val="20"/>
          <w:lang w:val="es-ES"/>
        </w:rPr>
        <w:t>”</w:t>
      </w:r>
    </w:p>
    <w:p w14:paraId="42015E9E" w14:textId="77777777" w:rsidR="00DA6B62" w:rsidRPr="00ED6485" w:rsidRDefault="00DA6B62" w:rsidP="00DA6B62">
      <w:pPr>
        <w:spacing w:after="0"/>
        <w:ind w:right="709"/>
        <w:contextualSpacing/>
        <w:jc w:val="both"/>
        <w:rPr>
          <w:rFonts w:ascii="Verdana" w:eastAsia="Century Gothic" w:hAnsi="Verdana" w:cs="Century Gothic"/>
          <w:i/>
          <w:color w:val="000000" w:themeColor="text1"/>
          <w:sz w:val="20"/>
          <w:szCs w:val="20"/>
          <w:lang w:val="es-ES"/>
        </w:rPr>
      </w:pPr>
    </w:p>
    <w:p w14:paraId="4997B88D" w14:textId="77777777" w:rsidR="00DA6B62" w:rsidRPr="00ED6485" w:rsidRDefault="00DA6B62" w:rsidP="00DA6B62">
      <w:pPr>
        <w:spacing w:after="0" w:line="276" w:lineRule="auto"/>
        <w:contextualSpacing/>
        <w:jc w:val="both"/>
        <w:rPr>
          <w:rFonts w:ascii="Verdana" w:eastAsia="Calibri" w:hAnsi="Verdana" w:cs="Arial"/>
          <w:color w:val="000000" w:themeColor="text1"/>
          <w:szCs w:val="24"/>
          <w:lang w:val="es-ES" w:eastAsia="es-ES_tradnl"/>
        </w:rPr>
      </w:pPr>
      <w:r w:rsidRPr="00ED6485">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D6485">
        <w:rPr>
          <w:rFonts w:ascii="Verdana" w:eastAsia="Calibri" w:hAnsi="Verdana" w:cs="Arial"/>
          <w:color w:val="000000" w:themeColor="text1"/>
          <w:szCs w:val="24"/>
          <w:lang w:val="es-ES" w:eastAsia="es-ES_tradnl"/>
        </w:rPr>
        <w:tab/>
      </w:r>
    </w:p>
    <w:p w14:paraId="5C8FDB4D" w14:textId="77777777" w:rsidR="00DA6B62" w:rsidRPr="00ED6485" w:rsidRDefault="00DA6B62" w:rsidP="00DA6B62">
      <w:pPr>
        <w:spacing w:before="120" w:after="120" w:line="276" w:lineRule="auto"/>
        <w:ind w:firstLine="709"/>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color w:val="000000" w:themeColor="text1"/>
          <w:lang w:val="es-ES" w:eastAsia="es-ES"/>
        </w:rPr>
        <w:t>los</w:t>
      </w:r>
      <w:r w:rsidRPr="00ED6485">
        <w:rPr>
          <w:rFonts w:ascii="Verdana" w:eastAsia="Calibri" w:hAnsi="Verdana" w:cs="Arial"/>
          <w:color w:val="000000" w:themeColor="text1"/>
          <w:lang w:val="es-ES" w:eastAsia="es-ES"/>
        </w:rPr>
        <w:t xml:space="preserve"> problema</w:t>
      </w:r>
      <w:r>
        <w:rPr>
          <w:rFonts w:ascii="Verdana" w:eastAsia="Calibri" w:hAnsi="Verdana" w:cs="Arial"/>
          <w:color w:val="000000" w:themeColor="text1"/>
          <w:lang w:val="es-ES" w:eastAsia="es-ES"/>
        </w:rPr>
        <w:t>s</w:t>
      </w:r>
      <w:r w:rsidRPr="00ED6485">
        <w:rPr>
          <w:rFonts w:ascii="Verdana" w:eastAsia="Calibri" w:hAnsi="Verdana" w:cs="Arial"/>
          <w:color w:val="000000" w:themeColor="text1"/>
          <w:lang w:val="es-ES" w:eastAsia="es-ES"/>
        </w:rPr>
        <w:t xml:space="preserve"> jurídico</w:t>
      </w:r>
      <w:r>
        <w:rPr>
          <w:rFonts w:ascii="Verdana" w:eastAsia="Calibri" w:hAnsi="Verdana" w:cs="Arial"/>
          <w:color w:val="000000" w:themeColor="text1"/>
          <w:lang w:val="es-ES" w:eastAsia="es-ES"/>
        </w:rPr>
        <w:t>s</w:t>
      </w:r>
      <w:r w:rsidRPr="00ED6485">
        <w:rPr>
          <w:rFonts w:ascii="Verdana" w:eastAsia="Calibri" w:hAnsi="Verdana" w:cs="Arial"/>
          <w:color w:val="000000" w:themeColor="text1"/>
          <w:lang w:val="es-ES" w:eastAsia="es-ES"/>
        </w:rPr>
        <w:t xml:space="preserve"> de su consulta. </w:t>
      </w:r>
    </w:p>
    <w:p w14:paraId="15DD1043" w14:textId="77777777" w:rsidR="00DA6B62" w:rsidRPr="00ED6485" w:rsidRDefault="00DA6B62" w:rsidP="00DA6B62">
      <w:pPr>
        <w:spacing w:after="0" w:line="276" w:lineRule="auto"/>
        <w:jc w:val="both"/>
        <w:rPr>
          <w:rFonts w:ascii="Verdana" w:eastAsia="Calibri" w:hAnsi="Verdana" w:cs="Arial"/>
          <w:color w:val="000000" w:themeColor="text1"/>
          <w:lang w:val="es-ES" w:eastAsia="es-ES"/>
        </w:rPr>
      </w:pPr>
    </w:p>
    <w:p w14:paraId="5CC59468" w14:textId="77777777" w:rsidR="00DA6B62" w:rsidRPr="00ED6485" w:rsidRDefault="00DA6B62" w:rsidP="00DA6B6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Problema planteado:</w:t>
      </w:r>
    </w:p>
    <w:p w14:paraId="22DB5138" w14:textId="77777777" w:rsidR="00DA6B62" w:rsidRPr="00ED6485" w:rsidRDefault="00DA6B62" w:rsidP="00DA6B62">
      <w:pPr>
        <w:tabs>
          <w:tab w:val="left" w:pos="426"/>
        </w:tabs>
        <w:spacing w:after="0" w:line="276" w:lineRule="auto"/>
        <w:jc w:val="both"/>
        <w:rPr>
          <w:rFonts w:ascii="Verdana" w:eastAsia="Century Gothic" w:hAnsi="Verdana" w:cs="Century Gothic"/>
          <w:color w:val="000000" w:themeColor="text1"/>
          <w:lang w:val="es-ES"/>
        </w:rPr>
      </w:pPr>
    </w:p>
    <w:p w14:paraId="52C79959" w14:textId="246E8BB0" w:rsidR="00DA6B62" w:rsidRPr="008062CB" w:rsidRDefault="00DA6B62" w:rsidP="00DA6B62">
      <w:pPr>
        <w:spacing w:after="0" w:line="276" w:lineRule="auto"/>
        <w:jc w:val="both"/>
        <w:rPr>
          <w:rFonts w:ascii="Verdana" w:eastAsia="Calibri" w:hAnsi="Verdana" w:cs="Arial"/>
          <w:color w:val="7030A0"/>
          <w:lang w:val="es-ES"/>
        </w:rPr>
      </w:pPr>
      <w:r w:rsidRPr="00ED6485">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 xml:space="preserve">los </w:t>
      </w:r>
      <w:r w:rsidRPr="00ED6485">
        <w:rPr>
          <w:rFonts w:ascii="Verdana" w:eastAsia="Century Gothic" w:hAnsi="Verdana" w:cs="Century Gothic"/>
          <w:color w:val="000000" w:themeColor="text1"/>
        </w:rPr>
        <w:t>siguiente</w:t>
      </w:r>
      <w:r>
        <w:rPr>
          <w:rFonts w:ascii="Verdana" w:eastAsia="Century Gothic" w:hAnsi="Verdana" w:cs="Century Gothic"/>
          <w:color w:val="000000" w:themeColor="text1"/>
        </w:rPr>
        <w:t>s</w:t>
      </w:r>
      <w:r w:rsidRPr="00ED6485">
        <w:rPr>
          <w:rFonts w:ascii="Verdana" w:eastAsia="Century Gothic" w:hAnsi="Verdana" w:cs="Century Gothic"/>
          <w:color w:val="000000" w:themeColor="text1"/>
        </w:rPr>
        <w:t xml:space="preserve"> problema</w:t>
      </w:r>
      <w:r>
        <w:rPr>
          <w:rFonts w:ascii="Verdana" w:eastAsia="Century Gothic" w:hAnsi="Verdana" w:cs="Century Gothic"/>
          <w:color w:val="000000" w:themeColor="text1"/>
        </w:rPr>
        <w:t>s</w:t>
      </w:r>
      <w:r w:rsidRPr="00ED6485">
        <w:rPr>
          <w:rFonts w:ascii="Verdana" w:eastAsia="Century Gothic" w:hAnsi="Verdana" w:cs="Century Gothic"/>
          <w:color w:val="000000" w:themeColor="text1"/>
        </w:rPr>
        <w:t xml:space="preserve"> jurídic</w:t>
      </w:r>
      <w:r>
        <w:rPr>
          <w:rFonts w:ascii="Verdana" w:eastAsia="Century Gothic" w:hAnsi="Verdana" w:cs="Century Gothic"/>
          <w:color w:val="000000" w:themeColor="text1"/>
        </w:rPr>
        <w:t>os</w:t>
      </w:r>
      <w:r w:rsidRPr="00ED6485">
        <w:rPr>
          <w:rFonts w:ascii="Verdana" w:eastAsia="Century Gothic" w:hAnsi="Verdana" w:cs="Century Gothic"/>
          <w:color w:val="000000" w:themeColor="text1"/>
        </w:rPr>
        <w:t>:</w:t>
      </w:r>
      <w:r>
        <w:rPr>
          <w:rFonts w:ascii="Verdana" w:eastAsia="Century Gothic" w:hAnsi="Verdana" w:cs="Century Gothic"/>
          <w:color w:val="000000" w:themeColor="text1"/>
        </w:rPr>
        <w:t xml:space="preserve"> i) ¿Cómo deben acreditar </w:t>
      </w:r>
      <w:r>
        <w:rPr>
          <w:rFonts w:ascii="Verdana" w:eastAsia="Century Gothic" w:hAnsi="Verdana" w:cs="Century Gothic"/>
        </w:rPr>
        <w:t>las uniones temporales la experiencia en un proceso de contratación estatal?;</w:t>
      </w:r>
      <w:r w:rsidR="00D177C5">
        <w:rPr>
          <w:rFonts w:ascii="Verdana" w:eastAsia="Century Gothic" w:hAnsi="Verdana" w:cs="Century Gothic"/>
        </w:rPr>
        <w:t xml:space="preserve"> </w:t>
      </w:r>
      <w:proofErr w:type="spellStart"/>
      <w:r>
        <w:rPr>
          <w:rFonts w:ascii="Verdana" w:eastAsia="Century Gothic" w:hAnsi="Verdana" w:cs="Century Gothic"/>
        </w:rPr>
        <w:t>ii</w:t>
      </w:r>
      <w:proofErr w:type="spellEnd"/>
      <w:r>
        <w:rPr>
          <w:rFonts w:ascii="Verdana" w:eastAsia="Century Gothic" w:hAnsi="Verdana" w:cs="Century Gothic"/>
        </w:rPr>
        <w:t xml:space="preserve">) </w:t>
      </w:r>
      <w:r>
        <w:rPr>
          <w:rFonts w:ascii="Verdana" w:eastAsia="Verdana" w:hAnsi="Verdana" w:cs="Verdana"/>
          <w:lang w:val="es-ES"/>
        </w:rPr>
        <w:t>¿las entidades pueden exigir como requisito habilitante que el proponente cuente con una sucursal en el lugar de ejecución del contrato?</w:t>
      </w:r>
      <w:r>
        <w:rPr>
          <w:rFonts w:ascii="Verdana" w:eastAsia="Century Gothic" w:hAnsi="Verdana" w:cs="Century Gothic"/>
        </w:rPr>
        <w:t xml:space="preserve">; y </w:t>
      </w:r>
      <w:proofErr w:type="spellStart"/>
      <w:r>
        <w:rPr>
          <w:rFonts w:ascii="Verdana" w:eastAsia="Century Gothic" w:hAnsi="Verdana" w:cs="Century Gothic"/>
        </w:rPr>
        <w:t>iii</w:t>
      </w:r>
      <w:proofErr w:type="spellEnd"/>
      <w:r>
        <w:rPr>
          <w:rFonts w:ascii="Verdana" w:eastAsia="Century Gothic" w:hAnsi="Verdana" w:cs="Century Gothic"/>
        </w:rPr>
        <w:t xml:space="preserve">) ¿puede la entidad contratante exigir </w:t>
      </w:r>
      <w:r>
        <w:rPr>
          <w:rFonts w:ascii="Verdana" w:eastAsia="Century Gothic" w:hAnsi="Verdana" w:cs="Century Gothic"/>
          <w:color w:val="000000" w:themeColor="text1"/>
        </w:rPr>
        <w:t xml:space="preserve">que únicamente el integrante “líder” de la unión temporal acredite la experiencia </w:t>
      </w:r>
      <w:r>
        <w:rPr>
          <w:rFonts w:ascii="Verdana" w:eastAsia="Century Gothic" w:hAnsi="Verdana" w:cs="Century Gothic"/>
          <w:color w:val="000000" w:themeColor="text1"/>
        </w:rPr>
        <w:lastRenderedPageBreak/>
        <w:t>y la sucursal exigida, en lugar de permitir la acreditación por cualquiera de sus miembros o en proporción a su participación en el proponente plural?</w:t>
      </w:r>
    </w:p>
    <w:p w14:paraId="4E52DA86" w14:textId="77777777" w:rsidR="00DA6B62" w:rsidRPr="00ED6485" w:rsidRDefault="00DA6B62" w:rsidP="00DA6B62">
      <w:pPr>
        <w:spacing w:after="0" w:line="276" w:lineRule="auto"/>
        <w:jc w:val="both"/>
        <w:rPr>
          <w:rFonts w:ascii="Verdana" w:eastAsia="Calibri" w:hAnsi="Verdana" w:cs="Arial"/>
          <w:color w:val="000000" w:themeColor="text1"/>
          <w:lang w:val="es-ES"/>
        </w:rPr>
      </w:pPr>
    </w:p>
    <w:p w14:paraId="5B9635CC" w14:textId="77777777" w:rsidR="00DA6B62" w:rsidRPr="00ED6485" w:rsidRDefault="00DA6B62" w:rsidP="00DA6B6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Respuesta:</w:t>
      </w:r>
    </w:p>
    <w:p w14:paraId="2C9ABB43" w14:textId="77777777" w:rsidR="00DA6B62" w:rsidRPr="00ED6485" w:rsidRDefault="00DA6B62" w:rsidP="00DA6B62">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A6B62" w:rsidRPr="00ED6485" w14:paraId="144B9762" w14:textId="77777777" w:rsidTr="00BD657F">
        <w:tc>
          <w:tcPr>
            <w:tcW w:w="8828" w:type="dxa"/>
          </w:tcPr>
          <w:p w14:paraId="470EBF3F" w14:textId="77777777" w:rsidR="00DA6B62" w:rsidRPr="00F9120E" w:rsidRDefault="00DA6B62" w:rsidP="00BD657F">
            <w:pPr>
              <w:spacing w:before="120"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
              </w:rPr>
              <w:t>i. T</w:t>
            </w:r>
            <w:r w:rsidRPr="00F9120E">
              <w:rPr>
                <w:rFonts w:ascii="Verdana" w:eastAsia="Calibri" w:hAnsi="Verdana" w:cs="Arial"/>
                <w:color w:val="000000" w:themeColor="text1"/>
                <w:lang w:val="es-ES"/>
              </w:rPr>
              <w:t xml:space="preserve">al como lo señala esta Agencia en el “Manual </w:t>
            </w:r>
            <w:r w:rsidRPr="00F9120E">
              <w:rPr>
                <w:rFonts w:ascii="Verdana" w:eastAsia="Calibri" w:hAnsi="Verdana" w:cs="Arial"/>
                <w:lang w:val="es-ES"/>
              </w:rPr>
              <w:t>para determinar y verificar los requisitos habilitantes en los procesos de contratación”</w:t>
            </w:r>
            <w:r>
              <w:rPr>
                <w:rStyle w:val="Refdenotaalpie"/>
                <w:rFonts w:ascii="Verdana" w:eastAsia="Calibri" w:hAnsi="Verdana" w:cs="Arial"/>
                <w:lang w:val="es-ES"/>
              </w:rPr>
              <w:footnoteReference w:id="2"/>
            </w:r>
            <w:r w:rsidRPr="00F9120E">
              <w:rPr>
                <w:rFonts w:ascii="Verdana" w:eastAsia="Calibri" w:hAnsi="Verdana" w:cs="Arial"/>
                <w:lang w:val="es-ES"/>
              </w:rPr>
              <w:t xml:space="preserve">, </w:t>
            </w:r>
            <w:r>
              <w:rPr>
                <w:rFonts w:ascii="Verdana" w:eastAsia="Calibri" w:hAnsi="Verdana" w:cs="Arial"/>
                <w:color w:val="000000" w:themeColor="text1"/>
              </w:rPr>
              <w:t>l</w:t>
            </w:r>
            <w:r w:rsidRPr="00FC7C3B">
              <w:rPr>
                <w:rFonts w:ascii="Verdana" w:eastAsia="Calibri" w:hAnsi="Verdana" w:cs="Arial"/>
                <w:color w:val="000000" w:themeColor="text1"/>
              </w:rPr>
              <w:t>as Entidades Estatales contratantes, como responsables de la estructuración de los Procesos de Contratación, son autónomas para establecer los requisitos habilitantes de experiencia, de acuerdo con el estudio realizado en marco del análisis del sector</w:t>
            </w:r>
            <w:r w:rsidRPr="00F9120E">
              <w:rPr>
                <w:rStyle w:val="Refdenotaalpie"/>
                <w:rFonts w:ascii="Verdana" w:eastAsia="Calibri" w:hAnsi="Verdana" w:cs="Arial"/>
                <w:color w:val="000000" w:themeColor="text1"/>
                <w:lang w:val="es-ES"/>
              </w:rPr>
              <w:footnoteReference w:id="3"/>
            </w:r>
            <w:r w:rsidRPr="00F9120E">
              <w:rPr>
                <w:rFonts w:ascii="Verdana" w:eastAsia="Calibri" w:hAnsi="Verdana" w:cs="Arial"/>
                <w:color w:val="000000" w:themeColor="text1"/>
                <w:lang w:val="es-ES"/>
              </w:rPr>
              <w:t xml:space="preserve">. En este aspecto, </w:t>
            </w:r>
            <w:r w:rsidRPr="00F9120E">
              <w:rPr>
                <w:rFonts w:ascii="Verdana" w:eastAsia="Calibri" w:hAnsi="Verdana" w:cs="Arial"/>
                <w:lang w:val="es-ES"/>
              </w:rPr>
              <w:t xml:space="preserve">las Entidades gozan de total autonomía para fijar las condiciones habilitantes y las reglas, </w:t>
            </w:r>
            <w:r w:rsidRPr="002C6496">
              <w:rPr>
                <w:rFonts w:ascii="Verdana" w:eastAsia="Calibri" w:hAnsi="Verdana" w:cs="Arial"/>
                <w:i/>
                <w:iCs/>
                <w:lang w:val="es-ES"/>
              </w:rPr>
              <w:t>cuidando en todo caso que no se limiten los principios de participación, libre competencia y concurrencia</w:t>
            </w:r>
            <w:r w:rsidRPr="00F9120E">
              <w:rPr>
                <w:rFonts w:ascii="Verdana" w:eastAsia="Calibri" w:hAnsi="Verdana" w:cs="Arial"/>
                <w:lang w:val="es-ES"/>
              </w:rPr>
              <w:t xml:space="preserve">. </w:t>
            </w:r>
            <w:r>
              <w:rPr>
                <w:rFonts w:ascii="Verdana" w:eastAsia="Calibri" w:hAnsi="Verdana" w:cs="Arial"/>
                <w:lang w:val="es-ES"/>
              </w:rPr>
              <w:t>E</w:t>
            </w:r>
            <w:r w:rsidRPr="00F9120E">
              <w:rPr>
                <w:rFonts w:ascii="Verdana" w:eastAsia="Calibri" w:hAnsi="Verdana" w:cs="Arial"/>
                <w:lang w:val="es-ES"/>
              </w:rPr>
              <w:t>l uso de esta potestad debe quedar reflejada en los pliegos de condiciones o documentos equivalentes, en los cuales las Entidades Estatales deben manifestar con claridad l</w:t>
            </w:r>
            <w:r>
              <w:rPr>
                <w:rFonts w:ascii="Verdana" w:eastAsia="Calibri" w:hAnsi="Verdana" w:cs="Arial"/>
                <w:lang w:val="es-ES"/>
              </w:rPr>
              <w:t xml:space="preserve">as exigencias relativas a la experiencia </w:t>
            </w:r>
            <w:r w:rsidRPr="00F9120E">
              <w:rPr>
                <w:rFonts w:ascii="Verdana" w:eastAsia="Calibri" w:hAnsi="Verdana" w:cs="Arial"/>
                <w:lang w:val="es-ES"/>
              </w:rPr>
              <w:t>que deben acreditar los proponentes plurales y la metodología para verificarlos con respecto a cada integrante.</w:t>
            </w:r>
          </w:p>
          <w:p w14:paraId="1BCBBFC9" w14:textId="77777777" w:rsidR="00DA6B62" w:rsidRDefault="00DA6B62" w:rsidP="00BD657F">
            <w:pPr>
              <w:spacing w:before="120" w:after="120" w:line="276" w:lineRule="auto"/>
              <w:ind w:firstLine="709"/>
              <w:jc w:val="both"/>
              <w:rPr>
                <w:rFonts w:ascii="Verdana" w:eastAsia="Calibri" w:hAnsi="Verdana" w:cs="Arial"/>
                <w:lang w:val="es-ES"/>
              </w:rPr>
            </w:pPr>
            <w:r>
              <w:rPr>
                <w:rFonts w:ascii="Verdana" w:eastAsia="Calibri" w:hAnsi="Verdana" w:cs="Arial"/>
                <w:lang w:val="es-ES"/>
              </w:rPr>
              <w:t>Por lo tanto</w:t>
            </w:r>
            <w:r w:rsidRPr="00F9120E">
              <w:rPr>
                <w:rFonts w:ascii="Verdana" w:eastAsia="Calibri" w:hAnsi="Verdana" w:cs="Arial"/>
                <w:lang w:val="es-ES"/>
              </w:rPr>
              <w:t xml:space="preserve">, la forma de acreditación </w:t>
            </w:r>
            <w:r>
              <w:rPr>
                <w:rFonts w:ascii="Verdana" w:eastAsia="Calibri" w:hAnsi="Verdana" w:cs="Arial"/>
                <w:lang w:val="es-ES"/>
              </w:rPr>
              <w:t xml:space="preserve">de </w:t>
            </w:r>
            <w:r w:rsidRPr="00F9120E">
              <w:rPr>
                <w:rFonts w:ascii="Verdana" w:eastAsia="Calibri" w:hAnsi="Verdana" w:cs="Arial"/>
                <w:lang w:val="es-ES"/>
              </w:rPr>
              <w:t>los requisitos habilitantes para los integrantes de proponentes plurales debe ser la establecida por la Entidad Estatal en los estudios previos y pliegos de condiciones</w:t>
            </w:r>
            <w:r>
              <w:rPr>
                <w:rFonts w:ascii="Verdana" w:eastAsia="Calibri" w:hAnsi="Verdana" w:cs="Arial"/>
                <w:lang w:val="es-ES"/>
              </w:rPr>
              <w:t>,</w:t>
            </w:r>
            <w:r w:rsidRPr="00F9120E">
              <w:rPr>
                <w:rFonts w:ascii="Verdana" w:eastAsia="Calibri" w:hAnsi="Verdana" w:cs="Arial"/>
                <w:lang w:val="es-ES"/>
              </w:rPr>
              <w:t xml:space="preserve"> de acuerdo con la necesidad a contratar</w:t>
            </w:r>
            <w:r>
              <w:rPr>
                <w:rFonts w:ascii="Verdana" w:eastAsia="Calibri" w:hAnsi="Verdana" w:cs="Arial"/>
                <w:lang w:val="es-ES"/>
              </w:rPr>
              <w:t xml:space="preserve"> y el análisis del sector. En este marco, nada obsta para que la entidad estatal contratante </w:t>
            </w:r>
            <w:r w:rsidRPr="00E15BAA">
              <w:rPr>
                <w:rFonts w:ascii="Verdana" w:eastAsia="Calibri" w:hAnsi="Verdana" w:cs="Arial"/>
                <w:lang w:val="es-ES"/>
              </w:rPr>
              <w:t xml:space="preserve">en relación con la experiencia de los proponentes plurales </w:t>
            </w:r>
            <w:r>
              <w:rPr>
                <w:rFonts w:ascii="Verdana" w:eastAsia="Calibri" w:hAnsi="Verdana" w:cs="Arial"/>
                <w:lang w:val="es-ES"/>
              </w:rPr>
              <w:t xml:space="preserve">indique que aquella se acreditará con la </w:t>
            </w:r>
            <w:r w:rsidRPr="00E15BAA">
              <w:rPr>
                <w:rFonts w:ascii="Verdana" w:eastAsia="Calibri" w:hAnsi="Verdana" w:cs="Arial"/>
                <w:lang w:val="es-ES"/>
              </w:rPr>
              <w:t>suma</w:t>
            </w:r>
            <w:r>
              <w:rPr>
                <w:rFonts w:ascii="Verdana" w:eastAsia="Calibri" w:hAnsi="Verdana" w:cs="Arial"/>
                <w:lang w:val="es-ES"/>
              </w:rPr>
              <w:t xml:space="preserve">toria de la experiencia demostrada </w:t>
            </w:r>
            <w:r w:rsidRPr="00E15BAA">
              <w:rPr>
                <w:rFonts w:ascii="Verdana" w:eastAsia="Calibri" w:hAnsi="Verdana" w:cs="Arial"/>
                <w:lang w:val="es-ES"/>
              </w:rPr>
              <w:t>por cada miembro del consorcio o de la unión temporal</w:t>
            </w:r>
            <w:r>
              <w:rPr>
                <w:rFonts w:ascii="Verdana" w:eastAsia="Calibri" w:hAnsi="Verdana" w:cs="Arial"/>
                <w:lang w:val="es-ES"/>
              </w:rPr>
              <w:t xml:space="preserve">, </w:t>
            </w:r>
            <w:r w:rsidRPr="00E15BAA">
              <w:rPr>
                <w:rFonts w:ascii="Verdana" w:eastAsia="Calibri" w:hAnsi="Verdana" w:cs="Arial"/>
                <w:lang w:val="es-ES"/>
              </w:rPr>
              <w:t>que</w:t>
            </w:r>
            <w:r>
              <w:rPr>
                <w:rFonts w:ascii="Verdana" w:eastAsia="Calibri" w:hAnsi="Verdana" w:cs="Arial"/>
                <w:lang w:val="es-ES"/>
              </w:rPr>
              <w:t xml:space="preserve"> </w:t>
            </w:r>
            <w:r w:rsidRPr="00E15BAA">
              <w:rPr>
                <w:rFonts w:ascii="Verdana" w:eastAsia="Calibri" w:hAnsi="Verdana" w:cs="Arial"/>
                <w:lang w:val="es-ES"/>
              </w:rPr>
              <w:t>cada miembro del proponente plural deba acreditar la experiencia requerida en el procedimiento</w:t>
            </w:r>
            <w:r>
              <w:rPr>
                <w:rFonts w:ascii="Verdana" w:eastAsia="Calibri" w:hAnsi="Verdana" w:cs="Arial"/>
                <w:lang w:val="es-ES"/>
              </w:rPr>
              <w:t xml:space="preserve"> o que la experiencia puede ser acreditada por uno de los miembros. </w:t>
            </w:r>
          </w:p>
          <w:p w14:paraId="72894B12" w14:textId="77777777" w:rsidR="00DA6B62" w:rsidRDefault="00DA6B62" w:rsidP="00BD657F">
            <w:pPr>
              <w:spacing w:before="120" w:after="120" w:line="276" w:lineRule="auto"/>
              <w:ind w:firstLine="709"/>
              <w:jc w:val="both"/>
              <w:rPr>
                <w:rFonts w:ascii="Verdana" w:eastAsia="Calibri" w:hAnsi="Verdana" w:cs="Arial"/>
                <w:lang w:val="es-ES"/>
              </w:rPr>
            </w:pPr>
            <w:r>
              <w:rPr>
                <w:rFonts w:ascii="Verdana" w:eastAsia="Calibri" w:hAnsi="Verdana" w:cs="Arial"/>
              </w:rPr>
              <w:t xml:space="preserve">Sin embargo, la decisión de requerir que la experiencia sea acreditada por el “lider” o “representante” del proponente plural debe estar fundamentada, conforme al </w:t>
            </w:r>
            <w:r w:rsidRPr="00F9120E">
              <w:rPr>
                <w:rFonts w:ascii="Verdana" w:eastAsia="Calibri" w:hAnsi="Verdana" w:cs="Arial"/>
                <w:color w:val="000000" w:themeColor="text1"/>
                <w:lang w:val="es-ES"/>
              </w:rPr>
              <w:t xml:space="preserve">artículo 2.2.1.1.1.6.2 del Decreto 1082 de 2015, </w:t>
            </w:r>
            <w:r>
              <w:rPr>
                <w:rFonts w:ascii="Verdana" w:eastAsia="Calibri" w:hAnsi="Verdana" w:cs="Arial"/>
                <w:color w:val="000000" w:themeColor="text1"/>
                <w:lang w:val="es-ES"/>
              </w:rPr>
              <w:lastRenderedPageBreak/>
              <w:t xml:space="preserve">en </w:t>
            </w:r>
            <w:r w:rsidRPr="00F9120E">
              <w:rPr>
                <w:rFonts w:ascii="Verdana" w:eastAsia="Calibri" w:hAnsi="Verdana" w:cs="Arial"/>
                <w:color w:val="000000" w:themeColor="text1"/>
                <w:lang w:val="es-ES"/>
              </w:rPr>
              <w:t>la naturaleza</w:t>
            </w:r>
            <w:r>
              <w:rPr>
                <w:rFonts w:ascii="Verdana" w:eastAsia="Calibri" w:hAnsi="Verdana" w:cs="Arial"/>
                <w:color w:val="000000" w:themeColor="text1"/>
                <w:lang w:val="es-ES"/>
              </w:rPr>
              <w:t xml:space="preserve"> y</w:t>
            </w:r>
            <w:r w:rsidRPr="00F9120E">
              <w:rPr>
                <w:rFonts w:ascii="Verdana" w:eastAsia="Calibri" w:hAnsi="Verdana" w:cs="Arial"/>
                <w:color w:val="000000" w:themeColor="text1"/>
                <w:lang w:val="es-ES"/>
              </w:rPr>
              <w:t xml:space="preserve"> el valor del contrato, la forma de pago, los riesgos asociados, el plazo y la complejidad de ejecución del objeto</w:t>
            </w:r>
            <w:r>
              <w:rPr>
                <w:rFonts w:ascii="Verdana" w:eastAsia="Calibri" w:hAnsi="Verdana" w:cs="Arial"/>
                <w:color w:val="000000" w:themeColor="text1"/>
                <w:lang w:val="es-ES"/>
              </w:rPr>
              <w:t>, de modo que no soslaye el deber de selección objetiva y la libre concurrencia.</w:t>
            </w:r>
            <w:r>
              <w:rPr>
                <w:rFonts w:ascii="Verdana" w:eastAsia="Calibri" w:hAnsi="Verdana" w:cs="Arial"/>
                <w:lang w:val="es-ES"/>
              </w:rPr>
              <w:t xml:space="preserve"> Si bien las entidades tienen la autonomía para determinar la experiencia y su forma de acreditación, los criterios o mecanismos que adopten para lo anterior deben estar justificados por una planeación adecuada, de modo que resulten razonables y proporcionales, y no impongan barreras injustificadas a la participación y a la libre competencia, o constituyan una vulneración del deber de selección objetiva.</w:t>
            </w:r>
          </w:p>
          <w:p w14:paraId="1811F591" w14:textId="77777777" w:rsidR="00DA6B62" w:rsidRDefault="00DA6B62" w:rsidP="00BD657F">
            <w:pPr>
              <w:spacing w:after="120" w:line="276" w:lineRule="auto"/>
              <w:jc w:val="both"/>
              <w:rPr>
                <w:rFonts w:ascii="Verdana" w:eastAsia="Calibri" w:hAnsi="Verdana" w:cs="Arial"/>
                <w:color w:val="000000" w:themeColor="text1"/>
              </w:rPr>
            </w:pPr>
            <w:r w:rsidRPr="00186863">
              <w:rPr>
                <w:rFonts w:ascii="Verdana" w:eastAsia="Calibri" w:hAnsi="Verdana" w:cs="Arial"/>
                <w:bCs/>
                <w:color w:val="000000" w:themeColor="text1"/>
              </w:rPr>
              <w:t>ii.</w:t>
            </w:r>
            <w:r w:rsidRPr="00662818">
              <w:rPr>
                <w:rFonts w:ascii="Verdana" w:eastAsia="Calibri" w:hAnsi="Verdana" w:cs="Arial"/>
                <w:color w:val="000000" w:themeColor="text1"/>
              </w:rPr>
              <w:t xml:space="preserve"> Con las excepciones previstas en el ordenamiento jurídico, los principios de igualdad y </w:t>
            </w:r>
            <w:r>
              <w:rPr>
                <w:rFonts w:ascii="Verdana" w:eastAsia="Calibri" w:hAnsi="Verdana" w:cs="Arial"/>
                <w:color w:val="000000" w:themeColor="text1"/>
              </w:rPr>
              <w:t xml:space="preserve">libre </w:t>
            </w:r>
            <w:r w:rsidRPr="00662818">
              <w:rPr>
                <w:rFonts w:ascii="Verdana" w:eastAsia="Calibri" w:hAnsi="Verdana" w:cs="Arial"/>
                <w:color w:val="000000" w:themeColor="text1"/>
              </w:rPr>
              <w:t xml:space="preserve">concurrencia rigen en los procedimientos de selección competitivos de las entidades sometidas al Estatuto General de Contratación de la Administración Pública, de modo que estas deben garantizar la pluralidad de oferentes como condición necesaria para escoger la oferta más favorable a sus intereses. </w:t>
            </w:r>
          </w:p>
          <w:p w14:paraId="04067141" w14:textId="77777777" w:rsidR="00DA6B62" w:rsidRDefault="00DA6B62" w:rsidP="00BD657F">
            <w:pPr>
              <w:spacing w:after="120" w:line="276" w:lineRule="auto"/>
              <w:ind w:firstLine="736"/>
              <w:jc w:val="both"/>
              <w:rPr>
                <w:rFonts w:ascii="Verdana" w:eastAsia="Calibri" w:hAnsi="Verdana" w:cs="Arial"/>
                <w:color w:val="000000" w:themeColor="text1"/>
              </w:rPr>
            </w:pPr>
            <w:r w:rsidRPr="00662818">
              <w:rPr>
                <w:rFonts w:ascii="Verdana" w:eastAsia="Calibri" w:hAnsi="Verdana" w:cs="Arial"/>
                <w:color w:val="000000" w:themeColor="text1"/>
              </w:rPr>
              <w:t>Por ello, esta Agencia ha sostenido que, por regla general, las entidades no pueden exigir como requisito habilitante que el proponente tenga residencia en el lugar donde se ejecutará el contrato, pues afecta la libre competencia de los Procesos de Contratación y es una cláusula discriminatoria, sin dejar de lado que no garantiza la aptitud del proponente para ejecutar el objeto contractual; análisis que resulta igualmente procedente frente a la exigencia de contar con una sucursal en un territorio determinado como condición para participar.</w:t>
            </w:r>
          </w:p>
          <w:p w14:paraId="06337939" w14:textId="77777777" w:rsidR="00DA6B62" w:rsidRPr="00662818" w:rsidRDefault="00DA6B62" w:rsidP="00BD657F">
            <w:pPr>
              <w:spacing w:after="120" w:line="276" w:lineRule="auto"/>
              <w:ind w:firstLine="736"/>
              <w:jc w:val="both"/>
              <w:rPr>
                <w:rFonts w:ascii="Verdana" w:eastAsia="Calibri" w:hAnsi="Verdana" w:cs="Arial"/>
                <w:color w:val="000000" w:themeColor="text1"/>
              </w:rPr>
            </w:pPr>
            <w:r w:rsidRPr="00662818">
              <w:rPr>
                <w:rFonts w:ascii="Verdana" w:eastAsia="Calibri" w:hAnsi="Verdana" w:cs="Arial"/>
                <w:color w:val="000000" w:themeColor="text1"/>
              </w:rPr>
              <w:t xml:space="preserve">Lo anterior se corrobora al advertir que, incluso tratándose de sociedades extranjeras, la constitución de sucursal en Colombia solo es obligatoria cuando se resulta adjudicatario en Procesos de Contratación que tengan por objeto la construcción de obras o la prestación de servicios, por lo que resultaría aún más gravoso imponer tal exigencia a una sociedad nacional como requisito de participación o habilitación. En el mismo sentido, el Consejo de Estado, en sentencia del 19 de mayo de 2025, concluyó que la determinación del domicilio de los proponentes en un municipio como requisito técnico de habilitación </w:t>
            </w:r>
            <w:r>
              <w:rPr>
                <w:rFonts w:ascii="Verdana" w:eastAsia="Calibri" w:hAnsi="Verdana" w:cs="Arial"/>
                <w:color w:val="000000" w:themeColor="text1"/>
              </w:rPr>
              <w:t xml:space="preserve">que resultaba inadecuado para cumplir la finalidad alegada por la </w:t>
            </w:r>
            <w:proofErr w:type="gramStart"/>
            <w:r>
              <w:rPr>
                <w:rFonts w:ascii="Verdana" w:eastAsia="Calibri" w:hAnsi="Verdana" w:cs="Arial"/>
                <w:color w:val="000000" w:themeColor="text1"/>
              </w:rPr>
              <w:t>entidad,</w:t>
            </w:r>
            <w:proofErr w:type="gramEnd"/>
            <w:r>
              <w:rPr>
                <w:rFonts w:ascii="Verdana" w:eastAsia="Calibri" w:hAnsi="Verdana" w:cs="Arial"/>
                <w:color w:val="000000" w:themeColor="text1"/>
              </w:rPr>
              <w:t xml:space="preserve"> constituyó</w:t>
            </w:r>
            <w:r w:rsidRPr="00662818">
              <w:rPr>
                <w:rFonts w:ascii="Verdana" w:eastAsia="Calibri" w:hAnsi="Verdana" w:cs="Arial"/>
                <w:color w:val="000000" w:themeColor="text1"/>
              </w:rPr>
              <w:t xml:space="preserve"> una exigencia infundada que configura una regla ajena a la selección objetiva, en tanto establece un supuesto que limita, sin justificación, la participación de multiplicidad de oferentes.</w:t>
            </w:r>
          </w:p>
          <w:p w14:paraId="7FBE326E" w14:textId="77777777" w:rsidR="00DA6B62" w:rsidRDefault="00DA6B62" w:rsidP="00BD657F">
            <w:pPr>
              <w:spacing w:after="120" w:line="276" w:lineRule="auto"/>
              <w:jc w:val="both"/>
              <w:rPr>
                <w:rFonts w:ascii="Verdana" w:eastAsia="Calibri" w:hAnsi="Verdana" w:cs="Arial"/>
                <w:color w:val="000000" w:themeColor="text1"/>
              </w:rPr>
            </w:pPr>
            <w:r w:rsidRPr="00186863">
              <w:rPr>
                <w:rFonts w:ascii="Verdana" w:eastAsia="Calibri" w:hAnsi="Verdana" w:cs="Arial"/>
                <w:bCs/>
                <w:color w:val="000000" w:themeColor="text1"/>
              </w:rPr>
              <w:lastRenderedPageBreak/>
              <w:t>iii.</w:t>
            </w:r>
            <w:r w:rsidRPr="00662818">
              <w:rPr>
                <w:rFonts w:ascii="Verdana" w:eastAsia="Calibri" w:hAnsi="Verdana" w:cs="Arial"/>
                <w:color w:val="000000" w:themeColor="text1"/>
              </w:rPr>
              <w:t xml:space="preserve"> Ni el artículo 7 de la Ley 80 de 1993 ni el Decreto 1082 de 2015 atribuyen efectos a la designación de un integrante como "líder", pues el marco jurídico se refiere al representante de la estructura plural, como una figura de interlocución y administración. En consecuencia, si bien la Entidad Estatal conserva autonomía para establecer los requisitos habilitantes y sus medios de acreditación, debe ser cuidadosa al fijar reglas que exijan que uno solo de los miembros del proponente plural acredite la experiencia requerida, o que califiquen a dicho integrante por su posición de "líder" o "representante" en el acuerdo asociativo, pues tal exigencia puede no resultar proporcional ni razonable frente a las características del Proceso de Contratación, en especial si no guarda relación con el porcentaje de participación de los integrantes ni con las reglas sobre responsabilidad que ya establece la normativa. </w:t>
            </w:r>
          </w:p>
          <w:p w14:paraId="3EA1A50A" w14:textId="77777777" w:rsidR="00DA6B62" w:rsidRDefault="00DA6B62" w:rsidP="00BD657F">
            <w:pPr>
              <w:spacing w:after="120" w:line="276" w:lineRule="auto"/>
              <w:ind w:firstLine="736"/>
              <w:jc w:val="both"/>
              <w:rPr>
                <w:rFonts w:ascii="Verdana" w:eastAsia="Calibri" w:hAnsi="Verdana" w:cs="Arial"/>
                <w:color w:val="000000" w:themeColor="text1"/>
              </w:rPr>
            </w:pPr>
            <w:r w:rsidRPr="00662818">
              <w:rPr>
                <w:rFonts w:ascii="Verdana" w:eastAsia="Calibri" w:hAnsi="Verdana" w:cs="Arial"/>
                <w:color w:val="000000" w:themeColor="text1"/>
              </w:rPr>
              <w:t>Así, al determinar los requisitos habilitantes y su forma de acreditación por parte de los proponentes plurales, la cuestión no es si la entidad puede o no establecer exigencias individualizadas para los integrantes, sino si las reglas que para ello determine guardan relación de adecuación y proporcionalidad frente al Proceso de Contratación y con el objetivo de determinar la idoneidad del futuro contratista, sin que la autonomía de la entidad implique una facultad irrestricta o arbitraria.</w:t>
            </w:r>
          </w:p>
          <w:p w14:paraId="5A454CDE" w14:textId="77777777" w:rsidR="00DA6B62" w:rsidRPr="00662818" w:rsidRDefault="00DA6B62" w:rsidP="00BD657F">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lang w:eastAsia="es-ES"/>
              </w:rPr>
              <w:t xml:space="preserve">En suma, </w:t>
            </w:r>
            <w:r w:rsidRPr="00406DA8">
              <w:rPr>
                <w:rFonts w:ascii="Verdana" w:eastAsia="Calibri" w:hAnsi="Verdana" w:cs="Arial"/>
                <w:color w:val="000000" w:themeColor="text1"/>
                <w:lang w:eastAsia="es-ES"/>
              </w:rPr>
              <w:t>es claro que la autonomía de la entidad para establecer los requisitos habilitantes y sus medios de acreditación no implica una facultad irrestricta o arbitraria.</w:t>
            </w:r>
            <w:r>
              <w:rPr>
                <w:rFonts w:ascii="Verdana" w:eastAsia="Calibri" w:hAnsi="Verdana" w:cs="Arial"/>
                <w:color w:val="000000" w:themeColor="text1"/>
                <w:lang w:eastAsia="es-ES"/>
              </w:rPr>
              <w:t xml:space="preserve"> L</w:t>
            </w:r>
            <w:r w:rsidRPr="00053BD7">
              <w:rPr>
                <w:rFonts w:ascii="Verdana" w:eastAsia="Calibri" w:hAnsi="Verdana" w:cs="Arial"/>
                <w:color w:val="000000"/>
                <w:lang w:eastAsia="es-ES_tradnl"/>
              </w:rPr>
              <w:t xml:space="preserve">as Entidades Estatales deben establecer los requisitos habilitantes de forma </w:t>
            </w:r>
            <w:r w:rsidRPr="00406DA8">
              <w:rPr>
                <w:rFonts w:ascii="Verdana" w:eastAsia="Calibri" w:hAnsi="Verdana" w:cs="Arial"/>
                <w:i/>
                <w:iCs/>
                <w:color w:val="000000"/>
                <w:lang w:eastAsia="es-ES_tradnl"/>
              </w:rPr>
              <w:t>adecuada y proporcional</w:t>
            </w:r>
            <w:r w:rsidRPr="00053BD7">
              <w:rPr>
                <w:rFonts w:ascii="Verdana" w:eastAsia="Calibri" w:hAnsi="Verdana" w:cs="Arial"/>
                <w:color w:val="000000"/>
                <w:lang w:eastAsia="es-ES_tradnl"/>
              </w:rPr>
              <w:t xml:space="preserve"> a la naturaleza y valor del contrato. Que deban ser </w:t>
            </w:r>
            <w:r w:rsidRPr="00406DA8">
              <w:rPr>
                <w:rFonts w:ascii="Verdana" w:eastAsia="Calibri" w:hAnsi="Verdana" w:cs="Arial"/>
                <w:i/>
                <w:iCs/>
                <w:color w:val="000000"/>
                <w:lang w:eastAsia="es-ES_tradnl"/>
              </w:rPr>
              <w:t>adecuados</w:t>
            </w:r>
            <w:r w:rsidRPr="00053BD7">
              <w:rPr>
                <w:rFonts w:ascii="Verdana" w:eastAsia="Calibri" w:hAnsi="Verdana" w:cs="Arial"/>
                <w:color w:val="000000"/>
                <w:lang w:eastAsia="es-ES_tradnl"/>
              </w:rPr>
              <w:t xml:space="preserve">, significa que los requisitos habilitantes que se contemplen deben tener una relación directa con el objeto del contrato, de suerte que su acreditación sea efectiva para demostrar que el proponente es idóneo para ejecutar el contrato. A su vez, los requisitos que se establezcan deben ser </w:t>
            </w:r>
            <w:r w:rsidRPr="00406DA8">
              <w:rPr>
                <w:rFonts w:ascii="Verdana" w:eastAsia="Calibri" w:hAnsi="Verdana" w:cs="Arial"/>
                <w:i/>
                <w:iCs/>
                <w:color w:val="000000"/>
                <w:lang w:eastAsia="es-ES_tradnl"/>
              </w:rPr>
              <w:t>proporcionales</w:t>
            </w:r>
            <w:r w:rsidRPr="00053BD7">
              <w:rPr>
                <w:rFonts w:ascii="Verdana" w:eastAsia="Calibri" w:hAnsi="Verdana" w:cs="Arial"/>
                <w:color w:val="000000"/>
                <w:lang w:eastAsia="es-ES_tradnl"/>
              </w:rPr>
              <w:t xml:space="preserve"> a las condiciones del contrato, de tal manera que los mismos no establezcan condiciones más allá de las necesarias para verificar la idoneidad requerida de los proponentes respecto del objeto ofertado, ya que lo contrario limita la libre concurrencia. </w:t>
            </w:r>
          </w:p>
          <w:p w14:paraId="2FA2D17E" w14:textId="77777777" w:rsidR="00DA6B62" w:rsidRPr="001123C3" w:rsidRDefault="00DA6B62" w:rsidP="00BD657F">
            <w:pPr>
              <w:spacing w:after="120" w:line="276" w:lineRule="auto"/>
              <w:ind w:firstLine="739"/>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Al </w:t>
            </w:r>
            <w:r w:rsidRPr="00ED6485">
              <w:rPr>
                <w:rFonts w:ascii="Verdana" w:hAnsi="Verdana" w:cs="Arial"/>
                <w:lang w:val="es-ES" w:eastAsia="es-ES"/>
              </w:rPr>
              <w:t xml:space="preserve">margen de la explicación precedente debe advertirse que el análisis requerido para resolver problemas específicos debe realizarse por quienes tengan interés en ello, de acuerdo con lo explicado en la aclaración preliminar del presente oficio. De esta manera, las afirmaciones aquí realizadas no </w:t>
            </w:r>
            <w:r w:rsidRPr="00ED6485">
              <w:rPr>
                <w:rFonts w:ascii="Verdana" w:hAnsi="Verdana" w:cs="Arial"/>
                <w:lang w:val="es-ES" w:eastAsia="es-ES"/>
              </w:rPr>
              <w:lastRenderedPageBreak/>
              <w:t>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r>
              <w:rPr>
                <w:rFonts w:ascii="Verdana" w:hAnsi="Verdana" w:cs="Arial"/>
                <w:lang w:val="es-ES" w:eastAsia="es-ES"/>
              </w:rPr>
              <w:t xml:space="preserve">. </w:t>
            </w:r>
            <w:r w:rsidRPr="00ED6485">
              <w:rPr>
                <w:rFonts w:ascii="Verdana" w:hAnsi="Verdana" w:cs="Arial"/>
                <w:lang w:val="es-ES" w:eastAsia="es-ES"/>
              </w:rPr>
              <w:t xml:space="preserve">Dentro de este marco, la Entidad Estatal definirá en cada caso concreto lo relacionado con el tema objeto de consulta. </w:t>
            </w:r>
          </w:p>
        </w:tc>
      </w:tr>
    </w:tbl>
    <w:p w14:paraId="32FB3E74" w14:textId="77777777" w:rsidR="00DA6B62" w:rsidRPr="00ED6485" w:rsidRDefault="00DA6B62" w:rsidP="00DA6B62">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6B97B64A" w14:textId="77777777" w:rsidR="00DA6B62" w:rsidRPr="00ED6485" w:rsidRDefault="00DA6B62" w:rsidP="00DA6B6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Razones de la respuesta:</w:t>
      </w:r>
    </w:p>
    <w:p w14:paraId="36392008" w14:textId="77777777" w:rsidR="00DA6B62" w:rsidRPr="00ED6485" w:rsidRDefault="00DA6B62" w:rsidP="00DA6B62">
      <w:pPr>
        <w:spacing w:after="0" w:line="276" w:lineRule="auto"/>
        <w:jc w:val="both"/>
        <w:rPr>
          <w:rFonts w:ascii="Verdana" w:eastAsia="Calibri" w:hAnsi="Verdana" w:cs="Arial"/>
          <w:color w:val="000000" w:themeColor="text1"/>
          <w:lang w:val="es-ES"/>
        </w:rPr>
      </w:pPr>
    </w:p>
    <w:p w14:paraId="488EA327" w14:textId="77777777" w:rsidR="00DA6B62" w:rsidRPr="00ED6485" w:rsidRDefault="00DA6B62" w:rsidP="00DA6B62">
      <w:pPr>
        <w:spacing w:after="0" w:line="276" w:lineRule="auto"/>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Lo anterior se sustenta en las siguientes consideraciones: </w:t>
      </w:r>
    </w:p>
    <w:p w14:paraId="2315FD9D" w14:textId="77777777" w:rsidR="00DA6B62" w:rsidRPr="00ED6485" w:rsidRDefault="00DA6B62" w:rsidP="00DA6B62">
      <w:pPr>
        <w:spacing w:after="0" w:line="276" w:lineRule="auto"/>
        <w:jc w:val="both"/>
        <w:rPr>
          <w:rFonts w:ascii="Verdana" w:eastAsia="Calibri" w:hAnsi="Verdana" w:cs="Arial"/>
          <w:lang w:val="es-ES"/>
        </w:rPr>
      </w:pPr>
    </w:p>
    <w:p w14:paraId="1DAF3FD6" w14:textId="77777777" w:rsidR="00DA6B62" w:rsidRPr="00F9120E" w:rsidRDefault="00DA6B62" w:rsidP="00DA6B62">
      <w:pPr>
        <w:spacing w:before="120" w:after="120" w:line="276" w:lineRule="auto"/>
        <w:jc w:val="both"/>
        <w:rPr>
          <w:rFonts w:ascii="Verdana" w:eastAsia="Calibri" w:hAnsi="Verdana" w:cs="Arial"/>
          <w:color w:val="000000" w:themeColor="text1"/>
          <w:lang w:val="es-ES"/>
        </w:rPr>
      </w:pPr>
      <w:r w:rsidRPr="00ED6485">
        <w:rPr>
          <w:rFonts w:ascii="Verdana" w:hAnsi="Verdana" w:cs="Arial"/>
          <w:lang w:val="es-ES"/>
        </w:rPr>
        <w:t xml:space="preserve">i. </w:t>
      </w:r>
      <w:r w:rsidRPr="00F9120E">
        <w:rPr>
          <w:rFonts w:ascii="Verdana" w:eastAsia="Calibri" w:hAnsi="Verdana" w:cs="Arial"/>
          <w:color w:val="000000" w:themeColor="text1"/>
          <w:lang w:val="es-ES"/>
        </w:rPr>
        <w:t xml:space="preserve">Los </w:t>
      </w:r>
      <w:r w:rsidRPr="00F9120E">
        <w:rPr>
          <w:rFonts w:ascii="Verdana" w:eastAsia="Calibri" w:hAnsi="Verdana" w:cs="Arial"/>
          <w:i/>
          <w:iCs/>
          <w:color w:val="000000" w:themeColor="text1"/>
          <w:lang w:val="es-ES"/>
        </w:rPr>
        <w:t>requisitos habilitantes</w:t>
      </w:r>
      <w:r w:rsidRPr="00F9120E">
        <w:rPr>
          <w:rFonts w:ascii="Verdana" w:eastAsia="Calibri" w:hAnsi="Verdana" w:cs="Arial"/>
          <w:color w:val="000000" w:themeColor="text1"/>
          <w:lang w:val="es-ES"/>
        </w:rPr>
        <w:t xml:space="preserve"> son exigencias para la participación en los procedimientos de selección, establecidas en disposiciones normativas, de carácter legal o reglamentario, o contenidas en el acto administrativo que regula las reglas de la convocatoria, es decir, en el pliego de condiciones o su documento equivalente. Se diferencian de los </w:t>
      </w:r>
      <w:r w:rsidRPr="00F9120E">
        <w:rPr>
          <w:rFonts w:ascii="Verdana" w:eastAsia="Calibri" w:hAnsi="Verdana" w:cs="Arial"/>
          <w:i/>
          <w:iCs/>
          <w:color w:val="000000" w:themeColor="text1"/>
          <w:lang w:val="es-ES"/>
        </w:rPr>
        <w:t>criterios de evaluación</w:t>
      </w:r>
      <w:r w:rsidRPr="00F9120E">
        <w:rPr>
          <w:rFonts w:ascii="Verdana" w:eastAsia="Calibri" w:hAnsi="Verdana" w:cs="Arial"/>
          <w:color w:val="000000" w:themeColor="text1"/>
          <w:lang w:val="es-ES"/>
        </w:rPr>
        <w:t xml:space="preserve"> –también conocidos como </w:t>
      </w:r>
      <w:r w:rsidRPr="00F9120E">
        <w:rPr>
          <w:rFonts w:ascii="Verdana" w:eastAsia="Calibri" w:hAnsi="Verdana" w:cs="Arial"/>
          <w:i/>
          <w:iCs/>
          <w:color w:val="000000" w:themeColor="text1"/>
          <w:lang w:val="es-ES"/>
        </w:rPr>
        <w:t>criterios de calificación</w:t>
      </w:r>
      <w:r w:rsidRPr="00F9120E">
        <w:rPr>
          <w:rFonts w:ascii="Verdana" w:eastAsia="Calibri" w:hAnsi="Verdana" w:cs="Arial"/>
          <w:color w:val="000000" w:themeColor="text1"/>
          <w:lang w:val="es-ES"/>
        </w:rPr>
        <w:t xml:space="preserve">– en que la Entidad Estatal define estos factores para la asignación de puntaje en la comparación de las ofertas con el fin de establecer el orden de elegibilidad y la propuesta ganadora. </w:t>
      </w:r>
    </w:p>
    <w:p w14:paraId="6730B960" w14:textId="77777777" w:rsidR="00DA6B62" w:rsidRPr="00F9120E" w:rsidRDefault="00DA6B62" w:rsidP="00DA6B62">
      <w:pPr>
        <w:spacing w:before="120" w:after="120" w:line="276" w:lineRule="auto"/>
        <w:ind w:firstLine="708"/>
        <w:jc w:val="both"/>
        <w:rPr>
          <w:rFonts w:ascii="Verdana" w:eastAsia="Calibri" w:hAnsi="Verdana" w:cs="Arial"/>
          <w:color w:val="000000" w:themeColor="text1"/>
          <w:lang w:val="es-ES"/>
        </w:rPr>
      </w:pPr>
      <w:r w:rsidRPr="00F9120E">
        <w:rPr>
          <w:rFonts w:ascii="Verdana" w:eastAsia="Calibri" w:hAnsi="Verdana" w:cs="Arial"/>
          <w:color w:val="000000" w:themeColor="text1"/>
          <w:lang w:val="es-ES"/>
        </w:rPr>
        <w:t>En efecto, los requisitos habilitantes constituyen obligaciones que los proponentes deben cumplir y acreditar para participar en el procedimiento de selección, por lo que no son objeto de evaluación a través de la asignación de un puntaje que determine el orden de escogencia. En contraste, los requisitos habilitantes constituyen criterios previos a la evaluación, de manera que quienes no los acrediten no pueden continuar en el procedimiento de selección. Esto sin perjuicio del derecho que tienen los oferentes de subsanar los defectos que presenten en la prueba de tales requisitos, de conformidad con el artículo 5, parágrafos 1º al 4º, de la Ley 1150 de 2007.</w:t>
      </w:r>
    </w:p>
    <w:p w14:paraId="53448066" w14:textId="77777777" w:rsidR="00DA6B62" w:rsidRPr="00F9120E" w:rsidRDefault="00DA6B62" w:rsidP="00DA6B62">
      <w:pPr>
        <w:spacing w:before="120" w:after="120" w:line="276" w:lineRule="auto"/>
        <w:ind w:firstLine="709"/>
        <w:jc w:val="both"/>
        <w:rPr>
          <w:rFonts w:ascii="Verdana" w:eastAsia="Calibri" w:hAnsi="Verdana" w:cs="Arial"/>
          <w:color w:val="000000" w:themeColor="text1"/>
          <w:lang w:val="es-ES"/>
        </w:rPr>
      </w:pPr>
      <w:r w:rsidRPr="00F9120E">
        <w:rPr>
          <w:rFonts w:ascii="Verdana" w:eastAsia="Calibri" w:hAnsi="Verdana" w:cs="Arial"/>
          <w:lang w:val="es-ES"/>
        </w:rPr>
        <w:t xml:space="preserve">Al respecto, el inciso primero del artículo 5 de la Ley 1150 de 2007 dispone los factores de escogencia y calificación que deben indicarse en los pliegos de condiciones. Además, </w:t>
      </w:r>
      <w:r w:rsidRPr="00F9120E">
        <w:rPr>
          <w:rFonts w:ascii="Verdana" w:eastAsia="Calibri" w:hAnsi="Verdana" w:cs="Arial"/>
          <w:color w:val="000000" w:themeColor="text1"/>
          <w:lang w:val="es-ES"/>
        </w:rPr>
        <w:t xml:space="preserve">el mencionado artículo señala que es </w:t>
      </w:r>
      <w:r w:rsidRPr="00F9120E">
        <w:rPr>
          <w:rFonts w:ascii="Verdana" w:eastAsia="Calibri" w:hAnsi="Verdana" w:cs="Arial"/>
          <w:i/>
          <w:iCs/>
          <w:color w:val="000000" w:themeColor="text1"/>
          <w:lang w:val="es-ES"/>
        </w:rPr>
        <w:t>“</w:t>
      </w:r>
      <w:r w:rsidRPr="00F9120E">
        <w:rPr>
          <w:rFonts w:ascii="Verdana" w:eastAsia="Calibri" w:hAnsi="Verdana" w:cs="Arial"/>
          <w:color w:val="000000" w:themeColor="text1"/>
          <w:lang w:val="es-ES"/>
        </w:rPr>
        <w:t>objetiva la selección en la cual la escogencia se haga al ofrecimiento más favorable a la entidad y a los fines que ella busca, sin tener en consideración factores de afecto o de interés y, en general, cualquier clase de motivación subjetiva</w:t>
      </w:r>
      <w:r w:rsidRPr="00F9120E">
        <w:rPr>
          <w:rFonts w:ascii="Verdana" w:eastAsia="Calibri" w:hAnsi="Verdana" w:cs="Arial"/>
          <w:i/>
          <w:iCs/>
          <w:color w:val="000000" w:themeColor="text1"/>
          <w:lang w:val="es-ES"/>
        </w:rPr>
        <w:t>”</w:t>
      </w:r>
      <w:r w:rsidRPr="00F9120E">
        <w:rPr>
          <w:rFonts w:ascii="Verdana" w:eastAsia="Calibri" w:hAnsi="Verdana" w:cs="Arial"/>
          <w:color w:val="000000" w:themeColor="text1"/>
          <w:lang w:val="es-ES"/>
        </w:rPr>
        <w:t xml:space="preserve">. De este modo, los </w:t>
      </w:r>
      <w:r w:rsidRPr="00F9120E">
        <w:rPr>
          <w:rFonts w:ascii="Verdana" w:eastAsia="Calibri" w:hAnsi="Verdana" w:cs="Arial"/>
          <w:color w:val="000000" w:themeColor="text1"/>
          <w:lang w:val="es-ES"/>
        </w:rPr>
        <w:lastRenderedPageBreak/>
        <w:t xml:space="preserve">factores de que establezcan las entidades en los pliegos de condiciones o sus documentos equivalentes deberán tener en cuenta, entre otras cuestiones, lo </w:t>
      </w:r>
      <w:r>
        <w:rPr>
          <w:rFonts w:ascii="Verdana" w:eastAsia="Calibri" w:hAnsi="Verdana" w:cs="Arial"/>
          <w:color w:val="000000" w:themeColor="text1"/>
          <w:lang w:val="es-ES"/>
        </w:rPr>
        <w:t xml:space="preserve">dispuesto </w:t>
      </w:r>
      <w:r w:rsidRPr="00F9120E">
        <w:rPr>
          <w:rFonts w:ascii="Verdana" w:eastAsia="Calibri" w:hAnsi="Verdana" w:cs="Arial"/>
          <w:color w:val="000000" w:themeColor="text1"/>
          <w:lang w:val="es-ES"/>
        </w:rPr>
        <w:t xml:space="preserve">en esta norma. </w:t>
      </w:r>
    </w:p>
    <w:p w14:paraId="05FEB1CF" w14:textId="77777777" w:rsidR="00DA6B62" w:rsidRDefault="00DA6B62" w:rsidP="00DA6B62">
      <w:pPr>
        <w:spacing w:before="120" w:after="0" w:line="276" w:lineRule="auto"/>
        <w:ind w:firstLine="709"/>
        <w:jc w:val="both"/>
        <w:rPr>
          <w:rFonts w:ascii="Verdana" w:eastAsia="Calibri" w:hAnsi="Verdana" w:cs="Arial"/>
          <w:color w:val="000000" w:themeColor="text1"/>
          <w:lang w:val="es-ES"/>
        </w:rPr>
      </w:pPr>
      <w:r w:rsidRPr="00F9120E">
        <w:rPr>
          <w:rFonts w:ascii="Verdana" w:eastAsia="Calibri" w:hAnsi="Verdana" w:cs="Arial"/>
          <w:color w:val="000000" w:themeColor="text1"/>
          <w:lang w:val="es-ES"/>
        </w:rPr>
        <w:t xml:space="preserve">El numeral 1º del artículo referido establece que en los procesos de selección de contratistas serán objeto de verificación, como requisitos habilitantes, </w:t>
      </w:r>
      <w:r w:rsidRPr="00652279">
        <w:rPr>
          <w:rFonts w:ascii="Verdana" w:eastAsia="Calibri" w:hAnsi="Verdana" w:cs="Arial"/>
          <w:color w:val="000000" w:themeColor="text1"/>
          <w:lang w:val="es-ES"/>
        </w:rPr>
        <w:t>entre otros</w:t>
      </w:r>
      <w:r w:rsidRPr="00F9120E">
        <w:rPr>
          <w:rFonts w:ascii="Verdana" w:eastAsia="Calibri" w:hAnsi="Verdana" w:cs="Arial"/>
          <w:color w:val="000000" w:themeColor="text1"/>
          <w:lang w:val="es-ES"/>
        </w:rPr>
        <w:t>, los siguientes: (i) la capacidad jurídica, (</w:t>
      </w:r>
      <w:proofErr w:type="spellStart"/>
      <w:r w:rsidRPr="00F9120E">
        <w:rPr>
          <w:rFonts w:ascii="Verdana" w:eastAsia="Calibri" w:hAnsi="Verdana" w:cs="Arial"/>
          <w:color w:val="000000" w:themeColor="text1"/>
          <w:lang w:val="es-ES"/>
        </w:rPr>
        <w:t>ii</w:t>
      </w:r>
      <w:proofErr w:type="spellEnd"/>
      <w:r w:rsidRPr="00F9120E">
        <w:rPr>
          <w:rFonts w:ascii="Verdana" w:eastAsia="Calibri" w:hAnsi="Verdana" w:cs="Arial"/>
          <w:color w:val="000000" w:themeColor="text1"/>
          <w:lang w:val="es-ES"/>
        </w:rPr>
        <w:t>) la experiencia, (</w:t>
      </w:r>
      <w:proofErr w:type="spellStart"/>
      <w:r w:rsidRPr="00F9120E">
        <w:rPr>
          <w:rFonts w:ascii="Verdana" w:eastAsia="Calibri" w:hAnsi="Verdana" w:cs="Arial"/>
          <w:color w:val="000000" w:themeColor="text1"/>
          <w:lang w:val="es-ES"/>
        </w:rPr>
        <w:t>iii</w:t>
      </w:r>
      <w:proofErr w:type="spellEnd"/>
      <w:r w:rsidRPr="00F9120E">
        <w:rPr>
          <w:rFonts w:ascii="Verdana" w:eastAsia="Calibri" w:hAnsi="Verdana" w:cs="Arial"/>
          <w:color w:val="000000" w:themeColor="text1"/>
          <w:lang w:val="es-ES"/>
        </w:rPr>
        <w:t>) la capacidad financiera y (</w:t>
      </w:r>
      <w:proofErr w:type="spellStart"/>
      <w:r w:rsidRPr="00F9120E">
        <w:rPr>
          <w:rFonts w:ascii="Verdana" w:eastAsia="Calibri" w:hAnsi="Verdana" w:cs="Arial"/>
          <w:color w:val="000000" w:themeColor="text1"/>
          <w:lang w:val="es-ES"/>
        </w:rPr>
        <w:t>iv</w:t>
      </w:r>
      <w:proofErr w:type="spellEnd"/>
      <w:r w:rsidRPr="00F9120E">
        <w:rPr>
          <w:rFonts w:ascii="Verdana" w:eastAsia="Calibri" w:hAnsi="Verdana" w:cs="Arial"/>
          <w:color w:val="000000" w:themeColor="text1"/>
          <w:lang w:val="es-ES"/>
        </w:rPr>
        <w:t xml:space="preserve">) la capacidad de organización. Al respecto, la norma citada dispone: </w:t>
      </w:r>
    </w:p>
    <w:p w14:paraId="16F80321" w14:textId="77777777" w:rsidR="00DA6B62" w:rsidRPr="00F9120E" w:rsidRDefault="00DA6B62" w:rsidP="00DA6B62">
      <w:pPr>
        <w:spacing w:after="0" w:line="276" w:lineRule="auto"/>
        <w:ind w:firstLine="709"/>
        <w:jc w:val="both"/>
        <w:rPr>
          <w:rFonts w:ascii="Verdana" w:eastAsia="Calibri" w:hAnsi="Verdana" w:cs="Arial"/>
          <w:color w:val="000000" w:themeColor="text1"/>
          <w:lang w:val="es-ES"/>
        </w:rPr>
      </w:pPr>
    </w:p>
    <w:p w14:paraId="439CD3EB" w14:textId="77777777" w:rsidR="00DA6B62" w:rsidRPr="00C21359" w:rsidRDefault="00DA6B62" w:rsidP="00DA6B62">
      <w:pPr>
        <w:spacing w:line="240" w:lineRule="auto"/>
        <w:ind w:left="709" w:right="709"/>
        <w:jc w:val="both"/>
        <w:rPr>
          <w:rFonts w:ascii="Verdana" w:eastAsia="Calibri" w:hAnsi="Verdana" w:cs="Arial"/>
          <w:color w:val="000000" w:themeColor="text1"/>
          <w:sz w:val="20"/>
          <w:szCs w:val="20"/>
          <w:lang w:val="es-ES"/>
        </w:rPr>
      </w:pPr>
      <w:r w:rsidRPr="00C21359">
        <w:rPr>
          <w:rFonts w:ascii="Verdana" w:eastAsia="Calibri" w:hAnsi="Verdana" w:cs="Arial"/>
          <w:color w:val="000000" w:themeColor="text1"/>
          <w:sz w:val="20"/>
          <w:szCs w:val="20"/>
          <w:lang w:val="es-ES"/>
        </w:rPr>
        <w:t xml:space="preserve">“Artículo 5. De la Selección Objetiva. </w:t>
      </w:r>
    </w:p>
    <w:p w14:paraId="727AAA6C" w14:textId="77777777" w:rsidR="00DA6B62" w:rsidRPr="00C21359" w:rsidRDefault="00DA6B62" w:rsidP="00DA6B62">
      <w:pPr>
        <w:spacing w:after="120" w:line="240" w:lineRule="auto"/>
        <w:ind w:left="709" w:right="709"/>
        <w:jc w:val="both"/>
        <w:rPr>
          <w:rFonts w:ascii="Verdana" w:eastAsia="Calibri" w:hAnsi="Verdana" w:cs="Arial"/>
          <w:color w:val="000000" w:themeColor="text1"/>
          <w:sz w:val="20"/>
          <w:szCs w:val="20"/>
          <w:lang w:val="es-ES"/>
        </w:rPr>
      </w:pPr>
      <w:r w:rsidRPr="00C21359">
        <w:rPr>
          <w:rFonts w:ascii="Verdana" w:eastAsia="Calibri" w:hAnsi="Verdana" w:cs="Arial"/>
          <w:color w:val="000000" w:themeColor="text1"/>
          <w:sz w:val="20"/>
          <w:szCs w:val="20"/>
          <w:lang w:val="es-ES"/>
        </w:rPr>
        <w:t>[…]</w:t>
      </w:r>
    </w:p>
    <w:p w14:paraId="66E8D915" w14:textId="77777777" w:rsidR="00DA6B62" w:rsidRPr="00C21359" w:rsidRDefault="00DA6B62" w:rsidP="00DA6B62">
      <w:pPr>
        <w:spacing w:after="120" w:line="240" w:lineRule="auto"/>
        <w:ind w:left="709" w:right="709"/>
        <w:jc w:val="both"/>
        <w:rPr>
          <w:rFonts w:ascii="Verdana" w:eastAsia="Calibri" w:hAnsi="Verdana" w:cs="Arial"/>
          <w:color w:val="000000" w:themeColor="text1"/>
          <w:sz w:val="20"/>
          <w:szCs w:val="20"/>
          <w:lang w:val="es-ES"/>
        </w:rPr>
      </w:pPr>
      <w:r w:rsidRPr="00C21359">
        <w:rPr>
          <w:rFonts w:ascii="Verdana" w:eastAsia="Calibri" w:hAnsi="Verdana" w:cs="Arial"/>
          <w:color w:val="000000" w:themeColor="text1"/>
          <w:sz w:val="20"/>
          <w:szCs w:val="20"/>
          <w:lang w:val="es-ES"/>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 […]”.</w:t>
      </w:r>
    </w:p>
    <w:p w14:paraId="0DDCF18B" w14:textId="77777777" w:rsidR="00DA6B62" w:rsidRPr="00F9120E" w:rsidRDefault="00DA6B62" w:rsidP="00DA6B62">
      <w:pPr>
        <w:spacing w:before="120" w:after="120" w:line="276" w:lineRule="auto"/>
        <w:ind w:firstLine="708"/>
        <w:jc w:val="both"/>
        <w:rPr>
          <w:rFonts w:ascii="Verdana" w:eastAsia="Calibri" w:hAnsi="Verdana" w:cs="Arial"/>
          <w:color w:val="000000" w:themeColor="text1"/>
          <w:lang w:val="es-ES"/>
        </w:rPr>
      </w:pPr>
      <w:r w:rsidRPr="00F9120E">
        <w:rPr>
          <w:rFonts w:ascii="Verdana" w:eastAsia="Calibri" w:hAnsi="Verdana" w:cs="Arial"/>
          <w:color w:val="000000" w:themeColor="text1"/>
          <w:lang w:val="es-ES"/>
        </w:rPr>
        <w:t xml:space="preserve">Conforme lo ha sostenido esta Agencia en distintos conceptos, los requisitos habilitantes establecidos en el artículo 5, numeral 1, de la Ley 1150 de 2007 son de carácter </w:t>
      </w:r>
      <w:r w:rsidRPr="00F9120E">
        <w:rPr>
          <w:rFonts w:ascii="Verdana" w:eastAsia="Calibri" w:hAnsi="Verdana" w:cs="Arial"/>
          <w:i/>
          <w:iCs/>
          <w:color w:val="000000" w:themeColor="text1"/>
          <w:lang w:val="es-ES"/>
        </w:rPr>
        <w:t xml:space="preserve">enunciativo </w:t>
      </w:r>
      <w:r w:rsidRPr="00F9120E">
        <w:rPr>
          <w:rFonts w:ascii="Verdana" w:eastAsia="Calibri" w:hAnsi="Verdana" w:cs="Arial"/>
          <w:color w:val="000000" w:themeColor="text1"/>
          <w:lang w:val="es-ES"/>
        </w:rPr>
        <w:t xml:space="preserve">y no taxativo. Esta interpretación legal se resume en los siguientes argumentos: por un lado, esta norma no contiene una expresión como “únicamente” o “solo” al referirse a los requisitos habilitantes, sino que señala de forma </w:t>
      </w:r>
      <w:r>
        <w:rPr>
          <w:rFonts w:ascii="Verdana" w:eastAsia="Calibri" w:hAnsi="Verdana" w:cs="Arial"/>
          <w:color w:val="000000" w:themeColor="text1"/>
          <w:lang w:val="es-ES"/>
        </w:rPr>
        <w:t>enunciativa</w:t>
      </w:r>
      <w:r w:rsidRPr="00F9120E">
        <w:rPr>
          <w:rFonts w:ascii="Verdana" w:eastAsia="Calibri" w:hAnsi="Verdana" w:cs="Arial"/>
          <w:color w:val="000000" w:themeColor="text1"/>
          <w:lang w:val="es-ES"/>
        </w:rPr>
        <w:t xml:space="preserve"> que el listado puede comprender los requisitos enunciados “entre otros”; por otra parte, una lectura integral de las normas que regulan la contratación estatal</w:t>
      </w:r>
      <w:r>
        <w:rPr>
          <w:rFonts w:ascii="Verdana" w:eastAsia="Calibri" w:hAnsi="Verdana" w:cs="Arial"/>
          <w:color w:val="000000" w:themeColor="text1"/>
          <w:lang w:val="es-ES"/>
        </w:rPr>
        <w:t>,</w:t>
      </w:r>
      <w:r w:rsidRPr="00F9120E">
        <w:rPr>
          <w:rFonts w:ascii="Verdana" w:eastAsia="Calibri" w:hAnsi="Verdana" w:cs="Arial"/>
          <w:color w:val="000000" w:themeColor="text1"/>
          <w:lang w:val="es-ES"/>
        </w:rPr>
        <w:t xml:space="preserve"> permite concluir que existen otras condiciones que los proponentes deben cumplir para la contratación con una Entidad Estatal, como es el caso de la capacidad residual a la que se refiere el artículo 6º de la Ley 1150 de 2007</w:t>
      </w:r>
      <w:r w:rsidRPr="00F9120E">
        <w:rPr>
          <w:rStyle w:val="Refdenotaalpie"/>
          <w:rFonts w:ascii="Verdana" w:eastAsia="Calibri" w:hAnsi="Verdana" w:cs="Arial"/>
          <w:color w:val="000000" w:themeColor="text1"/>
          <w:lang w:val="es-ES"/>
        </w:rPr>
        <w:footnoteReference w:id="4"/>
      </w:r>
      <w:r w:rsidRPr="00F9120E">
        <w:rPr>
          <w:rFonts w:ascii="Verdana" w:eastAsia="Calibri" w:hAnsi="Verdana" w:cs="Arial"/>
          <w:color w:val="000000" w:themeColor="text1"/>
          <w:lang w:val="es-ES"/>
        </w:rPr>
        <w:t>.</w:t>
      </w:r>
    </w:p>
    <w:p w14:paraId="702B1F16" w14:textId="77777777" w:rsidR="00DA6B62" w:rsidRPr="00F9120E" w:rsidRDefault="00DA6B62" w:rsidP="00DA6B62">
      <w:pPr>
        <w:widowControl w:val="0"/>
        <w:autoSpaceDE w:val="0"/>
        <w:autoSpaceDN w:val="0"/>
        <w:spacing w:before="120" w:after="120" w:line="276" w:lineRule="auto"/>
        <w:ind w:firstLine="709"/>
        <w:jc w:val="both"/>
        <w:rPr>
          <w:rFonts w:ascii="Verdana" w:eastAsia="Calibri" w:hAnsi="Verdana" w:cs="Arial"/>
          <w:color w:val="000000" w:themeColor="text1"/>
          <w:lang w:val="es-ES"/>
        </w:rPr>
      </w:pPr>
      <w:r w:rsidRPr="00F9120E">
        <w:rPr>
          <w:rFonts w:ascii="Verdana" w:eastAsia="Calibri" w:hAnsi="Verdana" w:cs="Arial"/>
          <w:color w:val="000000" w:themeColor="text1"/>
          <w:lang w:val="es-ES"/>
        </w:rPr>
        <w:lastRenderedPageBreak/>
        <w:t xml:space="preserve">En consecuencia, corresponde a las Entidades Estatales, durante la etapa de planeación del contrato, estudiar y determinar los requisitos habilitantes que establecerán en los pliegos de condiciones, los cuales deben fijarse de forma </w:t>
      </w:r>
      <w:r w:rsidRPr="00C21359">
        <w:rPr>
          <w:rFonts w:ascii="Verdana" w:eastAsia="Calibri" w:hAnsi="Verdana" w:cs="Arial"/>
          <w:i/>
          <w:iCs/>
          <w:color w:val="000000" w:themeColor="text1"/>
          <w:lang w:val="es-ES"/>
        </w:rPr>
        <w:t>adecuada y proporcional</w:t>
      </w:r>
      <w:r w:rsidRPr="00F9120E">
        <w:rPr>
          <w:rFonts w:ascii="Verdana" w:eastAsia="Calibri" w:hAnsi="Verdana" w:cs="Arial"/>
          <w:color w:val="000000" w:themeColor="text1"/>
          <w:lang w:val="es-ES"/>
        </w:rPr>
        <w:t>. Según el artículo 2.2.1.1.1.6.2 del Decreto 1082 de 2015, las entidades deben hacer lo anterior</w:t>
      </w:r>
      <w:r>
        <w:rPr>
          <w:rFonts w:ascii="Verdana" w:eastAsia="Calibri" w:hAnsi="Verdana" w:cs="Arial"/>
          <w:color w:val="000000" w:themeColor="text1"/>
          <w:lang w:val="es-ES"/>
        </w:rPr>
        <w:t>,</w:t>
      </w:r>
      <w:r w:rsidRPr="00F9120E">
        <w:rPr>
          <w:rFonts w:ascii="Verdana" w:eastAsia="Calibri" w:hAnsi="Verdana" w:cs="Arial"/>
          <w:color w:val="000000" w:themeColor="text1"/>
          <w:lang w:val="es-ES"/>
        </w:rPr>
        <w:t xml:space="preserve"> de acuerdo </w:t>
      </w:r>
      <w:bookmarkStart w:id="1" w:name="_Hlk182863897"/>
      <w:r w:rsidRPr="00F9120E">
        <w:rPr>
          <w:rFonts w:ascii="Verdana" w:eastAsia="Calibri" w:hAnsi="Verdana" w:cs="Arial"/>
          <w:color w:val="000000" w:themeColor="text1"/>
          <w:lang w:val="es-ES"/>
        </w:rPr>
        <w:t>con la naturaleza, el valor del contrato, la forma de pago, los riesgos asociados, el plazo y la complejidad de ejecución del objeto</w:t>
      </w:r>
      <w:r w:rsidRPr="00F9120E">
        <w:rPr>
          <w:rStyle w:val="Refdenotaalpie"/>
          <w:rFonts w:ascii="Verdana" w:eastAsia="Calibri" w:hAnsi="Verdana" w:cs="Arial"/>
          <w:color w:val="000000" w:themeColor="text1"/>
          <w:lang w:val="es-ES"/>
        </w:rPr>
        <w:footnoteReference w:id="5"/>
      </w:r>
      <w:r w:rsidRPr="00F9120E">
        <w:rPr>
          <w:rFonts w:ascii="Verdana" w:eastAsia="Calibri" w:hAnsi="Verdana" w:cs="Arial"/>
          <w:color w:val="000000" w:themeColor="text1"/>
          <w:lang w:val="es-ES"/>
        </w:rPr>
        <w:t>.</w:t>
      </w:r>
      <w:bookmarkEnd w:id="1"/>
      <w:r w:rsidRPr="00F9120E">
        <w:rPr>
          <w:rFonts w:ascii="Verdana" w:eastAsia="Calibri" w:hAnsi="Verdana" w:cs="Arial"/>
          <w:color w:val="000000" w:themeColor="text1"/>
          <w:lang w:val="es-ES"/>
        </w:rPr>
        <w:t xml:space="preserve"> Esta facultad, además implica que las entidades deben establecer </w:t>
      </w:r>
      <w:r w:rsidRPr="00392359">
        <w:rPr>
          <w:rFonts w:ascii="Verdana" w:eastAsia="Calibri" w:hAnsi="Verdana" w:cs="Arial"/>
          <w:color w:val="000000" w:themeColor="text1"/>
          <w:lang w:val="es-ES"/>
        </w:rPr>
        <w:t>la forma</w:t>
      </w:r>
      <w:r w:rsidRPr="00F9120E">
        <w:rPr>
          <w:rFonts w:ascii="Verdana" w:eastAsia="Calibri" w:hAnsi="Verdana" w:cs="Arial"/>
          <w:color w:val="000000" w:themeColor="text1"/>
          <w:lang w:val="es-ES"/>
        </w:rPr>
        <w:t xml:space="preserve"> en que los proponentes acreditarán estos requisitos y la manera en que la entidad verificará su cumplimiento. </w:t>
      </w:r>
    </w:p>
    <w:p w14:paraId="415474AC" w14:textId="77777777" w:rsidR="00DA6B62" w:rsidRDefault="00DA6B62" w:rsidP="00DA6B62">
      <w:pPr>
        <w:spacing w:before="120" w:after="120" w:line="276" w:lineRule="auto"/>
        <w:ind w:firstLine="709"/>
        <w:jc w:val="both"/>
        <w:rPr>
          <w:rFonts w:ascii="Verdana" w:eastAsia="Calibri" w:hAnsi="Verdana" w:cs="Arial"/>
          <w:lang w:eastAsia="es-CO"/>
        </w:rPr>
      </w:pPr>
      <w:r w:rsidRPr="00F9120E">
        <w:rPr>
          <w:rFonts w:ascii="Verdana" w:eastAsia="Calibri" w:hAnsi="Verdana" w:cs="Arial"/>
          <w:color w:val="000000"/>
          <w:lang w:val="es-ES" w:eastAsia="es-ES_tradnl"/>
        </w:rPr>
        <w:t xml:space="preserve">Ahora bien, dentro de los requisitos habilitantes se destaca la </w:t>
      </w:r>
      <w:r>
        <w:rPr>
          <w:rFonts w:ascii="Verdana" w:eastAsia="Calibri" w:hAnsi="Verdana" w:cs="Arial"/>
          <w:color w:val="000000"/>
          <w:lang w:val="es-ES" w:eastAsia="es-ES_tradnl"/>
        </w:rPr>
        <w:t>experiencia</w:t>
      </w:r>
      <w:r w:rsidRPr="00F9120E">
        <w:rPr>
          <w:rFonts w:ascii="Verdana" w:eastAsia="Calibri" w:hAnsi="Verdana" w:cs="Arial"/>
          <w:lang w:val="es-ES"/>
        </w:rPr>
        <w:t xml:space="preserve">. </w:t>
      </w:r>
      <w:r>
        <w:rPr>
          <w:rFonts w:ascii="Verdana" w:eastAsia="Calibri" w:hAnsi="Verdana" w:cs="Arial"/>
          <w:lang w:val="es-ES"/>
        </w:rPr>
        <w:t xml:space="preserve">Como lo indica </w:t>
      </w:r>
      <w:r w:rsidRPr="00574EF1">
        <w:rPr>
          <w:rFonts w:ascii="Verdana" w:eastAsia="Calibri" w:hAnsi="Verdana" w:cs="Arial"/>
          <w:lang w:eastAsia="es-CO"/>
        </w:rPr>
        <w:t>el “</w:t>
      </w:r>
      <w:r w:rsidRPr="00574EF1">
        <w:rPr>
          <w:rFonts w:ascii="Verdana" w:eastAsia="Calibri" w:hAnsi="Verdana" w:cs="Arial"/>
          <w:i/>
          <w:iCs/>
          <w:lang w:eastAsia="es-CO"/>
        </w:rPr>
        <w:t>Manual para determinar y verificar requisitos habilitantes en los procesos de contratación”</w:t>
      </w:r>
      <w:r>
        <w:rPr>
          <w:rStyle w:val="Refdenotaalpie"/>
          <w:rFonts w:ascii="Verdana" w:eastAsia="Calibri" w:hAnsi="Verdana" w:cs="Arial"/>
          <w:i/>
          <w:iCs/>
          <w:lang w:eastAsia="es-CO"/>
        </w:rPr>
        <w:footnoteReference w:id="6"/>
      </w:r>
      <w:r w:rsidRPr="00574EF1">
        <w:rPr>
          <w:rFonts w:ascii="Verdana" w:eastAsia="Calibri" w:hAnsi="Verdana" w:cs="Arial"/>
          <w:i/>
          <w:iCs/>
          <w:lang w:eastAsia="es-CO"/>
        </w:rPr>
        <w:t>,</w:t>
      </w:r>
      <w:r w:rsidRPr="00574EF1">
        <w:rPr>
          <w:rFonts w:ascii="Verdana" w:eastAsia="Calibri" w:hAnsi="Verdana" w:cs="Arial"/>
          <w:lang w:eastAsia="es-CO"/>
        </w:rPr>
        <w:t xml:space="preserve"> </w:t>
      </w:r>
      <w:r>
        <w:rPr>
          <w:rFonts w:ascii="Verdana" w:eastAsia="Calibri" w:hAnsi="Verdana" w:cs="Arial"/>
          <w:lang w:eastAsia="es-CO"/>
        </w:rPr>
        <w:t xml:space="preserve">expedido por la Agencia Nacional de Contratación Pública, </w:t>
      </w:r>
      <w:r w:rsidRPr="00574EF1">
        <w:rPr>
          <w:rFonts w:ascii="Verdana" w:eastAsia="Calibri" w:hAnsi="Verdana" w:cs="Arial"/>
          <w:lang w:eastAsia="es-CO"/>
        </w:rPr>
        <w:t>la experiencia</w:t>
      </w:r>
      <w:r>
        <w:rPr>
          <w:rFonts w:ascii="Verdana" w:eastAsia="Calibri" w:hAnsi="Verdana" w:cs="Arial"/>
          <w:lang w:eastAsia="es-CO"/>
        </w:rPr>
        <w:t xml:space="preserve"> </w:t>
      </w:r>
      <w:r w:rsidRPr="005E6288">
        <w:rPr>
          <w:rFonts w:ascii="Verdana" w:eastAsia="Calibri" w:hAnsi="Verdana" w:cs="Arial"/>
          <w:lang w:eastAsia="es-CO"/>
        </w:rPr>
        <w:t xml:space="preserve">debe ser entendida como el conocimiento del proponente derivado de su participación previa en actividades iguales o similares a las previstas en el objeto del contrato con contratantes públicos, privados, nacionales o extranjeros. </w:t>
      </w:r>
    </w:p>
    <w:p w14:paraId="600CB0B1" w14:textId="77777777" w:rsidR="00DA6B62" w:rsidRPr="00FC7C3B" w:rsidRDefault="00DA6B62" w:rsidP="00DA6B62">
      <w:pPr>
        <w:spacing w:before="120" w:after="120" w:line="276" w:lineRule="auto"/>
        <w:ind w:firstLine="709"/>
        <w:jc w:val="both"/>
        <w:rPr>
          <w:rFonts w:ascii="Verdana" w:eastAsia="Calibri" w:hAnsi="Verdana" w:cs="Arial"/>
          <w:lang w:eastAsia="es-CO"/>
        </w:rPr>
      </w:pPr>
      <w:r w:rsidRPr="005E6288">
        <w:rPr>
          <w:rFonts w:ascii="Verdana" w:eastAsia="Calibri" w:hAnsi="Verdana" w:cs="Arial"/>
          <w:lang w:eastAsia="es-CO"/>
        </w:rPr>
        <w:t xml:space="preserve">La experiencia puede ser adquirida directamente de manera singularizada o </w:t>
      </w:r>
      <w:r>
        <w:rPr>
          <w:rFonts w:ascii="Verdana" w:eastAsia="Calibri" w:hAnsi="Verdana" w:cs="Arial"/>
          <w:lang w:eastAsia="es-CO"/>
        </w:rPr>
        <w:t xml:space="preserve">de manera asociada </w:t>
      </w:r>
      <w:r w:rsidRPr="005E6288">
        <w:rPr>
          <w:rFonts w:ascii="Verdana" w:eastAsia="Calibri" w:hAnsi="Verdana" w:cs="Arial"/>
          <w:lang w:eastAsia="es-CO"/>
        </w:rPr>
        <w:t>con otras personas, como es el caso de los proponentes plurales, cuya experiencia no deja de ser personal, sino que, por tratarse de esquemas asociativos, se evalúa de forma proporcional a la participación de los miembros en los respectivos consorcios y/o uniones temporales</w:t>
      </w:r>
      <w:r w:rsidRPr="00574EF1">
        <w:rPr>
          <w:rFonts w:ascii="Verdana" w:eastAsia="Calibri" w:hAnsi="Verdana" w:cs="Arial"/>
          <w:vertAlign w:val="superscript"/>
          <w:lang w:eastAsia="es-CO"/>
        </w:rPr>
        <w:footnoteReference w:id="7"/>
      </w:r>
      <w:r w:rsidRPr="00574EF1">
        <w:rPr>
          <w:rFonts w:ascii="Verdana" w:eastAsia="Calibri" w:hAnsi="Verdana" w:cs="Arial"/>
          <w:lang w:eastAsia="es-CO"/>
        </w:rPr>
        <w:t>.</w:t>
      </w:r>
      <w:r>
        <w:rPr>
          <w:rFonts w:ascii="Verdana" w:eastAsia="Calibri" w:hAnsi="Verdana" w:cs="Arial"/>
          <w:lang w:eastAsia="es-CO"/>
        </w:rPr>
        <w:t xml:space="preserve"> </w:t>
      </w:r>
      <w:r w:rsidRPr="00F9120E">
        <w:rPr>
          <w:rFonts w:ascii="Verdana" w:eastAsia="Calibri" w:hAnsi="Verdana" w:cs="Arial"/>
          <w:color w:val="000000"/>
          <w:lang w:val="es-ES" w:eastAsia="es-ES_tradnl"/>
        </w:rPr>
        <w:t xml:space="preserve">Para este fin, la Entidad Estatal, como responsable de la estructuración de su procedimiento de selección, es autónoma para determinar </w:t>
      </w:r>
      <w:r>
        <w:rPr>
          <w:rFonts w:ascii="Verdana" w:eastAsia="Calibri" w:hAnsi="Verdana" w:cs="Arial"/>
          <w:color w:val="000000"/>
          <w:lang w:val="es-ES" w:eastAsia="es-ES_tradnl"/>
        </w:rPr>
        <w:t xml:space="preserve">los requisitos para acreditar la </w:t>
      </w:r>
      <w:r>
        <w:rPr>
          <w:rFonts w:ascii="Verdana" w:eastAsia="Calibri" w:hAnsi="Verdana" w:cs="Arial"/>
          <w:color w:val="000000"/>
          <w:lang w:val="es-ES" w:eastAsia="es-ES_tradnl"/>
        </w:rPr>
        <w:lastRenderedPageBreak/>
        <w:t xml:space="preserve">experiencia </w:t>
      </w:r>
      <w:r w:rsidRPr="00F9120E">
        <w:rPr>
          <w:rFonts w:ascii="Verdana" w:eastAsia="Calibri" w:hAnsi="Verdana" w:cs="Arial"/>
          <w:color w:val="000000"/>
          <w:lang w:val="es-ES" w:eastAsia="es-ES_tradnl"/>
        </w:rPr>
        <w:t>de acuerdo con el objeto contractual que pretende satisfacer. No obstante, en atención a lo dispuesto en el artículo 2.2.1.1.1.6.2 del Decreto 1082 de 2015, debe establecerla con sustento en el estudio del sector</w:t>
      </w:r>
      <w:r w:rsidRPr="00F9120E">
        <w:rPr>
          <w:rFonts w:ascii="Verdana" w:hAnsi="Verdana" w:cs="Arial"/>
          <w:color w:val="000000"/>
          <w:vertAlign w:val="superscript"/>
          <w:lang w:val="es-ES" w:eastAsia="es-ES_tradnl"/>
        </w:rPr>
        <w:footnoteReference w:id="8"/>
      </w:r>
      <w:r w:rsidRPr="00F9120E">
        <w:rPr>
          <w:rFonts w:ascii="Verdana" w:eastAsia="Calibri" w:hAnsi="Verdana" w:cs="Arial"/>
          <w:color w:val="000000"/>
          <w:lang w:val="es-ES" w:eastAsia="es-ES_tradnl"/>
        </w:rPr>
        <w:t xml:space="preserve"> y sus componentes, como la identificación de riesgos, el mercado y precio del bien, obra o servicio a contratar</w:t>
      </w:r>
      <w:r w:rsidRPr="00F9120E">
        <w:rPr>
          <w:rFonts w:ascii="Verdana" w:hAnsi="Verdana" w:cs="Arial"/>
          <w:color w:val="000000"/>
          <w:vertAlign w:val="superscript"/>
          <w:lang w:val="es-ES" w:eastAsia="es-ES_tradnl"/>
        </w:rPr>
        <w:footnoteReference w:id="9"/>
      </w:r>
      <w:r w:rsidRPr="00F9120E">
        <w:rPr>
          <w:rFonts w:ascii="Verdana" w:eastAsia="Calibri" w:hAnsi="Verdana" w:cs="Arial"/>
          <w:color w:val="000000"/>
          <w:lang w:val="es-ES" w:eastAsia="es-ES_tradnl"/>
        </w:rPr>
        <w:t>.</w:t>
      </w:r>
    </w:p>
    <w:p w14:paraId="61E357B5" w14:textId="77777777" w:rsidR="00DA6B62" w:rsidRPr="00F9120E" w:rsidRDefault="00DA6B62" w:rsidP="00DA6B62">
      <w:pPr>
        <w:spacing w:before="120" w:after="120" w:line="276" w:lineRule="auto"/>
        <w:ind w:firstLine="709"/>
        <w:jc w:val="both"/>
        <w:rPr>
          <w:rFonts w:ascii="Verdana" w:hAnsi="Verdana"/>
          <w:color w:val="000000" w:themeColor="text1"/>
          <w:lang w:val="es-ES"/>
        </w:rPr>
      </w:pPr>
      <w:r>
        <w:rPr>
          <w:rFonts w:ascii="Verdana" w:hAnsi="Verdana"/>
          <w:color w:val="000000" w:themeColor="text1"/>
          <w:lang w:val="es-ES"/>
        </w:rPr>
        <w:t>T</w:t>
      </w:r>
      <w:r w:rsidRPr="00F9120E">
        <w:rPr>
          <w:rFonts w:ascii="Verdana" w:hAnsi="Verdana"/>
          <w:color w:val="000000" w:themeColor="text1"/>
          <w:lang w:val="es-ES"/>
        </w:rPr>
        <w:t>eniendo en cuenta que su pregunta está relacionada con</w:t>
      </w:r>
      <w:r>
        <w:rPr>
          <w:rFonts w:ascii="Verdana" w:hAnsi="Verdana"/>
          <w:color w:val="000000" w:themeColor="text1"/>
          <w:lang w:val="es-ES"/>
        </w:rPr>
        <w:t xml:space="preserve"> la experiencia de los miembros que integran un proponente plural</w:t>
      </w:r>
      <w:r w:rsidRPr="00F9120E">
        <w:rPr>
          <w:rFonts w:ascii="Verdana" w:hAnsi="Verdana"/>
          <w:color w:val="000000" w:themeColor="text1"/>
          <w:lang w:val="es-ES"/>
        </w:rPr>
        <w:t xml:space="preserve">, como los consorcios y uniones temporales, así como la forma en la que las entidades verifican </w:t>
      </w:r>
      <w:r>
        <w:rPr>
          <w:rFonts w:ascii="Verdana" w:hAnsi="Verdana"/>
          <w:color w:val="000000" w:themeColor="text1"/>
          <w:lang w:val="es-ES"/>
        </w:rPr>
        <w:t>la experiencia</w:t>
      </w:r>
      <w:r w:rsidRPr="00F9120E">
        <w:rPr>
          <w:rFonts w:ascii="Verdana" w:hAnsi="Verdana"/>
          <w:color w:val="000000" w:themeColor="text1"/>
          <w:lang w:val="es-ES"/>
        </w:rPr>
        <w:t xml:space="preserve">, es necesario definir esas figuras asociativas y determinar los lineamientos expedidos por esta Agencia </w:t>
      </w:r>
      <w:r>
        <w:rPr>
          <w:rFonts w:ascii="Verdana" w:hAnsi="Verdana"/>
          <w:color w:val="000000" w:themeColor="text1"/>
          <w:lang w:val="es-ES"/>
        </w:rPr>
        <w:t xml:space="preserve">con </w:t>
      </w:r>
      <w:r w:rsidRPr="00F9120E">
        <w:rPr>
          <w:rFonts w:ascii="Verdana" w:hAnsi="Verdana"/>
          <w:color w:val="000000" w:themeColor="text1"/>
          <w:lang w:val="es-ES"/>
        </w:rPr>
        <w:t xml:space="preserve">respecto a este requisito habilitante. </w:t>
      </w:r>
    </w:p>
    <w:p w14:paraId="69A899B0" w14:textId="77777777" w:rsidR="00DA6B62" w:rsidRPr="00F9120E" w:rsidRDefault="00DA6B62" w:rsidP="00DA6B62">
      <w:pPr>
        <w:spacing w:before="120" w:after="120" w:line="276" w:lineRule="auto"/>
        <w:jc w:val="both"/>
        <w:rPr>
          <w:rFonts w:ascii="Verdana" w:eastAsia="Calibri" w:hAnsi="Verdana" w:cs="Arial"/>
          <w:color w:val="000000" w:themeColor="text1"/>
          <w:lang w:val="es-ES"/>
        </w:rPr>
      </w:pPr>
      <w:proofErr w:type="spellStart"/>
      <w:r>
        <w:rPr>
          <w:rFonts w:ascii="Verdana" w:hAnsi="Verdana"/>
          <w:color w:val="000000" w:themeColor="text1"/>
          <w:lang w:val="es-ES"/>
        </w:rPr>
        <w:t>ii</w:t>
      </w:r>
      <w:proofErr w:type="spellEnd"/>
      <w:r>
        <w:rPr>
          <w:rFonts w:ascii="Verdana" w:hAnsi="Verdana"/>
          <w:color w:val="000000" w:themeColor="text1"/>
          <w:lang w:val="es-ES"/>
        </w:rPr>
        <w:t xml:space="preserve">. </w:t>
      </w:r>
      <w:r w:rsidRPr="00F9120E">
        <w:rPr>
          <w:rFonts w:ascii="Verdana" w:hAnsi="Verdana"/>
          <w:color w:val="000000" w:themeColor="text1"/>
          <w:lang w:val="es-ES"/>
        </w:rPr>
        <w:t>El artículo 7 de la Ley 80 de 1993 define a los proponentes plurales como la unión de dos o más personas que presentan la misma propuesta para la adjudicación, celebración y ejecución de un contrato, pero cuya responsabilidad por las obligaciones derivadas de la propuesta y el contrato es diferente</w:t>
      </w:r>
      <w:r w:rsidRPr="00F9120E">
        <w:rPr>
          <w:rStyle w:val="Refdenotaalpie"/>
          <w:rFonts w:ascii="Verdana" w:hAnsi="Verdana"/>
          <w:color w:val="000000" w:themeColor="text1"/>
          <w:lang w:val="es-ES"/>
        </w:rPr>
        <w:footnoteReference w:id="10"/>
      </w:r>
      <w:r w:rsidRPr="00F9120E">
        <w:rPr>
          <w:rFonts w:ascii="Verdana" w:hAnsi="Verdana"/>
          <w:color w:val="000000" w:themeColor="text1"/>
          <w:lang w:val="es-ES"/>
        </w:rPr>
        <w:t xml:space="preserve">. En efecto, </w:t>
      </w:r>
      <w:r w:rsidRPr="00F9120E">
        <w:rPr>
          <w:rFonts w:ascii="Verdana" w:eastAsia="Calibri" w:hAnsi="Verdana" w:cs="Arial"/>
          <w:color w:val="000000" w:themeColor="text1"/>
          <w:lang w:val="es-ES"/>
        </w:rPr>
        <w:t>los consorcios y las uniones temporales son mecanismos de asociación fundamentados en la colaboración empresarial, mediante los cuales sus integrantes se unen y organizan en forma conjunta para lograr con mayor eficacia la obtención del derecho a ser adjudicatarios de un contrato estatal, compartiendo recursos de toda índole para su ejecución, así como las utilidades y los riesgos.</w:t>
      </w:r>
    </w:p>
    <w:p w14:paraId="041CD41A" w14:textId="77777777" w:rsidR="00DA6B62" w:rsidRPr="00F9120E" w:rsidRDefault="00DA6B62" w:rsidP="00DA6B62">
      <w:pPr>
        <w:spacing w:before="120" w:after="120" w:line="276" w:lineRule="auto"/>
        <w:ind w:firstLine="708"/>
        <w:jc w:val="both"/>
        <w:rPr>
          <w:rFonts w:ascii="Verdana" w:hAnsi="Verdana"/>
          <w:color w:val="000000" w:themeColor="text1"/>
          <w:lang w:val="es-ES"/>
        </w:rPr>
      </w:pPr>
      <w:r w:rsidRPr="00F9120E">
        <w:rPr>
          <w:rFonts w:ascii="Verdana" w:eastAsia="Calibri" w:hAnsi="Verdana" w:cs="Arial"/>
          <w:color w:val="000000" w:themeColor="text1"/>
          <w:lang w:val="es-ES"/>
        </w:rPr>
        <w:t xml:space="preserve">En efecto, los proponentes plurales pueden participar en los procesos de contratación por medio de uniones temporales y consorcios. Los consorcios se </w:t>
      </w:r>
      <w:r w:rsidRPr="00F9120E">
        <w:rPr>
          <w:rFonts w:ascii="Verdana" w:eastAsia="Calibri" w:hAnsi="Verdana" w:cs="Arial"/>
          <w:color w:val="000000" w:themeColor="text1"/>
          <w:lang w:val="es-ES"/>
        </w:rPr>
        <w:lastRenderedPageBreak/>
        <w:t>refieren a las situaciones en que dos o más personas en forma conjunta presentan una misma propuesta para la adjudicación, celebración y ejecución de un contrato, respondiendo solidariamente</w:t>
      </w:r>
      <w:r w:rsidRPr="00F9120E">
        <w:rPr>
          <w:rFonts w:ascii="Verdana" w:eastAsia="Calibri" w:hAnsi="Verdana" w:cs="Arial"/>
          <w:i/>
          <w:iCs/>
          <w:color w:val="000000" w:themeColor="text1"/>
          <w:lang w:val="es-ES"/>
        </w:rPr>
        <w:t xml:space="preserve"> </w:t>
      </w:r>
      <w:r w:rsidRPr="00F9120E">
        <w:rPr>
          <w:rFonts w:ascii="Verdana" w:eastAsia="Calibri" w:hAnsi="Verdana" w:cs="Arial"/>
          <w:color w:val="000000" w:themeColor="text1"/>
          <w:lang w:val="es-ES"/>
        </w:rPr>
        <w:t xml:space="preserve">por todas y cada una de las obligaciones derivadas de la propuesta y del contrato. En atención dicha solidaridad, las actuaciones, hechos y omisiones que se presenten </w:t>
      </w:r>
      <w:r w:rsidRPr="00F9120E">
        <w:rPr>
          <w:rFonts w:ascii="Verdana" w:eastAsia="Calibri" w:hAnsi="Verdana" w:cs="Arial"/>
          <w:i/>
          <w:iCs/>
          <w:color w:val="000000" w:themeColor="text1"/>
          <w:lang w:val="es-ES"/>
        </w:rPr>
        <w:t>en desarrollo de la propuesta y del contrato</w:t>
      </w:r>
      <w:r w:rsidRPr="00F9120E">
        <w:rPr>
          <w:rFonts w:ascii="Verdana" w:eastAsia="Calibri" w:hAnsi="Verdana" w:cs="Arial"/>
          <w:color w:val="000000" w:themeColor="text1"/>
          <w:lang w:val="es-ES"/>
        </w:rPr>
        <w:t xml:space="preserve">, afectarán </w:t>
      </w:r>
      <w:r w:rsidRPr="00F9120E">
        <w:rPr>
          <w:rFonts w:ascii="Verdana" w:eastAsia="Calibri" w:hAnsi="Verdana" w:cs="Arial"/>
          <w:i/>
          <w:iCs/>
          <w:color w:val="000000" w:themeColor="text1"/>
          <w:lang w:val="es-ES"/>
        </w:rPr>
        <w:t>a todos</w:t>
      </w:r>
      <w:r w:rsidRPr="00F9120E">
        <w:rPr>
          <w:rFonts w:ascii="Verdana" w:eastAsia="Calibri" w:hAnsi="Verdana" w:cs="Arial"/>
          <w:color w:val="000000" w:themeColor="text1"/>
          <w:lang w:val="es-ES"/>
        </w:rPr>
        <w:t xml:space="preserve"> los integrantes del Consorcio.</w:t>
      </w:r>
      <w:r w:rsidRPr="00F9120E">
        <w:rPr>
          <w:rFonts w:ascii="Verdana" w:hAnsi="Verdana"/>
          <w:color w:val="000000" w:themeColor="text1"/>
          <w:lang w:val="es-ES"/>
        </w:rPr>
        <w:t xml:space="preserve"> </w:t>
      </w:r>
      <w:r>
        <w:rPr>
          <w:rFonts w:ascii="Verdana" w:hAnsi="Verdana"/>
          <w:color w:val="000000" w:themeColor="text1"/>
          <w:lang w:val="es-ES"/>
        </w:rPr>
        <w:t>L</w:t>
      </w:r>
      <w:r w:rsidRPr="00F9120E">
        <w:rPr>
          <w:rFonts w:ascii="Verdana" w:hAnsi="Verdana"/>
          <w:color w:val="000000" w:themeColor="text1"/>
          <w:lang w:val="es-ES"/>
        </w:rPr>
        <w:t>a Corte Constitucional, en la sentencia C-414 del 22 de septiembre de 1994 señaló que el consorcio es una figura propia del derecho privado, utilizado como un instrumento de cooperación entre empresas, que les permita unir esfuerzos para la celebración y ejecución de un contrato con el Estado, sin que por ello pierdan su individualidad</w:t>
      </w:r>
      <w:r w:rsidRPr="00F9120E">
        <w:rPr>
          <w:rFonts w:ascii="Verdana" w:hAnsi="Verdana"/>
          <w:color w:val="000000" w:themeColor="text1"/>
          <w:spacing w:val="-6"/>
          <w:lang w:val="es-ES"/>
        </w:rPr>
        <w:t xml:space="preserve"> </w:t>
      </w:r>
      <w:r w:rsidRPr="00F9120E">
        <w:rPr>
          <w:rFonts w:ascii="Verdana" w:hAnsi="Verdana"/>
          <w:color w:val="000000" w:themeColor="text1"/>
          <w:lang w:val="es-ES"/>
        </w:rPr>
        <w:t>jurídica</w:t>
      </w:r>
      <w:r w:rsidRPr="00F9120E">
        <w:rPr>
          <w:rStyle w:val="Refdenotaalpie"/>
          <w:rFonts w:ascii="Verdana" w:hAnsi="Verdana"/>
          <w:color w:val="000000" w:themeColor="text1"/>
          <w:lang w:val="es-ES"/>
        </w:rPr>
        <w:footnoteReference w:id="11"/>
      </w:r>
      <w:r w:rsidRPr="00F9120E">
        <w:rPr>
          <w:rFonts w:ascii="Verdana" w:hAnsi="Verdana"/>
          <w:color w:val="000000" w:themeColor="text1"/>
          <w:lang w:val="es-ES"/>
        </w:rPr>
        <w:t>.</w:t>
      </w:r>
    </w:p>
    <w:p w14:paraId="610190C8" w14:textId="77777777" w:rsidR="00DA6B62" w:rsidRPr="00F9120E" w:rsidRDefault="00DA6B62" w:rsidP="00DA6B62">
      <w:pPr>
        <w:spacing w:before="120" w:after="120" w:line="276" w:lineRule="auto"/>
        <w:ind w:firstLine="708"/>
        <w:jc w:val="both"/>
        <w:rPr>
          <w:rFonts w:ascii="Verdana" w:eastAsia="Calibri" w:hAnsi="Verdana" w:cs="Arial"/>
          <w:color w:val="000000" w:themeColor="text1"/>
          <w:lang w:val="es-ES"/>
        </w:rPr>
      </w:pPr>
      <w:r w:rsidRPr="00F9120E">
        <w:rPr>
          <w:rFonts w:ascii="Verdana" w:eastAsia="Calibri" w:hAnsi="Verdana" w:cs="Arial"/>
          <w:color w:val="000000" w:themeColor="text1"/>
          <w:lang w:val="es-ES"/>
        </w:rPr>
        <w:t xml:space="preserve">Por otra parte, según el artículo 7 de la Ley 80 de 1993, las uniones temporales se refieren a las situaciones en que dos o más personas en forma conjunta presentan una misma propuesta para la adjudicación, celebración y ejecución de un contrato, respondiendo solidariamente por el cumplimiento total de la propuesta y del objeto contratado, pero las sanciones por el incumplimiento de las obligaciones derivadas de la propuesta y del contrato se imponen de acuerdo con la participación en la ejecución de </w:t>
      </w:r>
      <w:r w:rsidRPr="00F9120E">
        <w:rPr>
          <w:rFonts w:ascii="Verdana" w:eastAsia="Calibri" w:hAnsi="Verdana" w:cs="Arial"/>
          <w:i/>
          <w:iCs/>
          <w:color w:val="000000" w:themeColor="text1"/>
          <w:lang w:val="es-ES"/>
        </w:rPr>
        <w:t>cada uno de los miembros</w:t>
      </w:r>
      <w:r w:rsidRPr="00F9120E">
        <w:rPr>
          <w:rFonts w:ascii="Verdana" w:eastAsia="Calibri" w:hAnsi="Verdana" w:cs="Arial"/>
          <w:color w:val="000000" w:themeColor="text1"/>
          <w:lang w:val="es-ES"/>
        </w:rPr>
        <w:t xml:space="preserve"> de la unión temporal.  </w:t>
      </w:r>
    </w:p>
    <w:p w14:paraId="141C305C" w14:textId="77777777" w:rsidR="00DA6B62" w:rsidRPr="00F9120E" w:rsidRDefault="00DA6B62" w:rsidP="00DA6B62">
      <w:pPr>
        <w:spacing w:before="120" w:after="120" w:line="276" w:lineRule="auto"/>
        <w:ind w:firstLine="709"/>
        <w:jc w:val="both"/>
        <w:rPr>
          <w:rFonts w:ascii="Verdana" w:eastAsia="Calibri" w:hAnsi="Verdana" w:cs="Arial"/>
          <w:color w:val="000000" w:themeColor="text1"/>
          <w:lang w:val="es-ES"/>
        </w:rPr>
      </w:pPr>
      <w:r w:rsidRPr="00F9120E">
        <w:rPr>
          <w:rFonts w:ascii="Verdana" w:hAnsi="Verdana"/>
          <w:color w:val="000000" w:themeColor="text1"/>
          <w:lang w:val="es-ES"/>
        </w:rPr>
        <w:t xml:space="preserve">De esta manera, la Ley 80 de 1993 permite que dos o más personas naturales o jurídicas se agrupen para la presentación de una propuesta y la celebración de un contrato con una </w:t>
      </w:r>
      <w:r>
        <w:rPr>
          <w:rFonts w:ascii="Verdana" w:hAnsi="Verdana"/>
          <w:color w:val="000000" w:themeColor="text1"/>
          <w:lang w:val="es-ES"/>
        </w:rPr>
        <w:t>E</w:t>
      </w:r>
      <w:r w:rsidRPr="00F9120E">
        <w:rPr>
          <w:rFonts w:ascii="Verdana" w:hAnsi="Verdana"/>
          <w:color w:val="000000" w:themeColor="text1"/>
          <w:lang w:val="es-ES"/>
        </w:rPr>
        <w:t xml:space="preserve">ntidad </w:t>
      </w:r>
      <w:r>
        <w:rPr>
          <w:rFonts w:ascii="Verdana" w:hAnsi="Verdana"/>
          <w:color w:val="000000" w:themeColor="text1"/>
          <w:lang w:val="es-ES"/>
        </w:rPr>
        <w:t>E</w:t>
      </w:r>
      <w:r w:rsidRPr="00F9120E">
        <w:rPr>
          <w:rFonts w:ascii="Verdana" w:hAnsi="Verdana"/>
          <w:color w:val="000000" w:themeColor="text1"/>
          <w:lang w:val="es-ES"/>
        </w:rPr>
        <w:t xml:space="preserve">statal. En esto, los miembros del consorcio o la unión temporal conservan su individualidad jurídica, pues el proponente plural no genera una persona jurídica distinta a sus integrantes. </w:t>
      </w:r>
      <w:r w:rsidRPr="00F9120E">
        <w:rPr>
          <w:rFonts w:ascii="Verdana" w:eastAsia="Calibri" w:hAnsi="Verdana" w:cs="Arial"/>
          <w:color w:val="000000" w:themeColor="text1"/>
          <w:lang w:val="es-ES"/>
        </w:rPr>
        <w:t xml:space="preserve">Sin embargo, aunque no son personas jurídicas, son sujetos con capacidad para contratar, para ejecutar las obligaciones y recibir los derechos que emanan del contrato y para interrelacionarse con la Entidad Estatal contratante en todo lo relacionado con el objeto del contrato y su desarrollo. </w:t>
      </w:r>
    </w:p>
    <w:p w14:paraId="1877FBE3" w14:textId="77777777" w:rsidR="00DA6B62" w:rsidRDefault="00DA6B62" w:rsidP="00DA6B62">
      <w:pPr>
        <w:spacing w:before="120" w:after="120" w:line="276" w:lineRule="auto"/>
        <w:ind w:firstLine="708"/>
        <w:jc w:val="both"/>
        <w:rPr>
          <w:rFonts w:ascii="Verdana" w:hAnsi="Verdana"/>
          <w:color w:val="000000" w:themeColor="text1"/>
          <w:lang w:val="es-ES"/>
        </w:rPr>
      </w:pPr>
      <w:r w:rsidRPr="00F9120E">
        <w:rPr>
          <w:rFonts w:ascii="Verdana" w:eastAsia="Calibri" w:hAnsi="Verdana" w:cs="Arial"/>
          <w:lang w:val="es-ES"/>
        </w:rPr>
        <w:lastRenderedPageBreak/>
        <w:t xml:space="preserve">De lo anterior se deriva que el Estatuto General de Contratación de la Administración Pública contempla la participación de los proponentes plurales </w:t>
      </w:r>
      <w:r w:rsidRPr="00F9120E">
        <w:rPr>
          <w:rFonts w:ascii="Verdana" w:eastAsia="Calibri" w:hAnsi="Verdana" w:cs="Arial"/>
          <w:i/>
          <w:iCs/>
          <w:lang w:val="es-ES"/>
        </w:rPr>
        <w:t>conservando en todo caso su individualidad jurídica</w:t>
      </w:r>
      <w:r w:rsidRPr="00F9120E">
        <w:rPr>
          <w:rFonts w:ascii="Verdana" w:eastAsia="Calibri" w:hAnsi="Verdana" w:cs="Arial"/>
          <w:lang w:val="es-ES"/>
        </w:rPr>
        <w:t xml:space="preserve">, de modo que el proponente plural no constituye una persona en sí misma. Como resultado de lo anterior, los requisitos habilitantes de los proponentes plurales deben ser evaluados respecto </w:t>
      </w:r>
      <w:r w:rsidRPr="00F9120E">
        <w:rPr>
          <w:rFonts w:ascii="Verdana" w:eastAsia="Calibri" w:hAnsi="Verdana" w:cs="Arial"/>
          <w:i/>
          <w:iCs/>
          <w:lang w:val="es-ES"/>
        </w:rPr>
        <w:t>de cada miembro</w:t>
      </w:r>
      <w:r w:rsidRPr="00F9120E">
        <w:rPr>
          <w:rFonts w:ascii="Verdana" w:eastAsia="Calibri" w:hAnsi="Verdana" w:cs="Arial"/>
          <w:lang w:val="es-ES"/>
        </w:rPr>
        <w:t>, sin que ello desconozca la finalidad de esta figura, que es unir esfuerzos.</w:t>
      </w:r>
      <w:r w:rsidRPr="00F9120E">
        <w:rPr>
          <w:rFonts w:ascii="Verdana" w:hAnsi="Verdana"/>
          <w:color w:val="000000" w:themeColor="text1"/>
          <w:lang w:val="es-ES"/>
        </w:rPr>
        <w:t xml:space="preserve"> Así pues, la naturaleza jurídica de </w:t>
      </w:r>
      <w:r>
        <w:rPr>
          <w:rFonts w:ascii="Verdana" w:hAnsi="Verdana"/>
          <w:color w:val="000000" w:themeColor="text1"/>
          <w:lang w:val="es-ES"/>
        </w:rPr>
        <w:t xml:space="preserve">las uniones temporales </w:t>
      </w:r>
      <w:r w:rsidRPr="00F9120E">
        <w:rPr>
          <w:rFonts w:ascii="Verdana" w:hAnsi="Verdana"/>
          <w:color w:val="000000" w:themeColor="text1"/>
          <w:lang w:val="es-ES"/>
        </w:rPr>
        <w:t xml:space="preserve">supone que requisitos habilitantes como la </w:t>
      </w:r>
      <w:r>
        <w:rPr>
          <w:rFonts w:ascii="Verdana" w:hAnsi="Verdana"/>
          <w:color w:val="000000" w:themeColor="text1"/>
          <w:lang w:val="es-ES"/>
        </w:rPr>
        <w:t>experiencia</w:t>
      </w:r>
      <w:r w:rsidRPr="00F9120E">
        <w:rPr>
          <w:rFonts w:ascii="Verdana" w:hAnsi="Verdana"/>
          <w:color w:val="000000" w:themeColor="text1"/>
          <w:lang w:val="es-ES"/>
        </w:rPr>
        <w:t xml:space="preserve"> deba ser evaluada con respecto a cada uno de sus integrantes, de acuerdo con lo registrado en su RUP.</w:t>
      </w:r>
    </w:p>
    <w:p w14:paraId="4E06EB5C" w14:textId="77777777" w:rsidR="00DA6B62" w:rsidRPr="00F9120E" w:rsidRDefault="00DA6B62" w:rsidP="00DA6B62">
      <w:pPr>
        <w:spacing w:before="120" w:after="120" w:line="276" w:lineRule="auto"/>
        <w:ind w:firstLine="709"/>
        <w:jc w:val="both"/>
        <w:rPr>
          <w:rFonts w:ascii="Verdana" w:eastAsia="Calibri" w:hAnsi="Verdana" w:cs="Arial"/>
          <w:color w:val="000000" w:themeColor="text1"/>
          <w:lang w:val="es-ES"/>
        </w:rPr>
      </w:pPr>
      <w:r w:rsidRPr="00F9120E">
        <w:rPr>
          <w:rFonts w:ascii="Verdana" w:eastAsia="Calibri" w:hAnsi="Verdana" w:cs="Arial"/>
          <w:color w:val="000000" w:themeColor="text1"/>
          <w:lang w:val="es-ES"/>
        </w:rPr>
        <w:t xml:space="preserve">De cualquier modo, tal como lo señala esta Agencia en el “Manual </w:t>
      </w:r>
      <w:r w:rsidRPr="00F9120E">
        <w:rPr>
          <w:rFonts w:ascii="Verdana" w:eastAsia="Calibri" w:hAnsi="Verdana" w:cs="Arial"/>
          <w:lang w:val="es-ES"/>
        </w:rPr>
        <w:t>para determinar y verificar los requisitos habilitantes en los procesos de contratación”</w:t>
      </w:r>
      <w:r>
        <w:rPr>
          <w:rStyle w:val="Refdenotaalpie"/>
          <w:rFonts w:ascii="Verdana" w:eastAsia="Calibri" w:hAnsi="Verdana" w:cs="Arial"/>
          <w:lang w:val="es-ES"/>
        </w:rPr>
        <w:footnoteReference w:id="12"/>
      </w:r>
      <w:r w:rsidRPr="00F9120E">
        <w:rPr>
          <w:rFonts w:ascii="Verdana" w:eastAsia="Calibri" w:hAnsi="Verdana" w:cs="Arial"/>
          <w:lang w:val="es-ES"/>
        </w:rPr>
        <w:t xml:space="preserve">, </w:t>
      </w:r>
      <w:r>
        <w:rPr>
          <w:rFonts w:ascii="Verdana" w:eastAsia="Calibri" w:hAnsi="Verdana" w:cs="Arial"/>
          <w:color w:val="000000" w:themeColor="text1"/>
        </w:rPr>
        <w:t>l</w:t>
      </w:r>
      <w:r w:rsidRPr="00FC7C3B">
        <w:rPr>
          <w:rFonts w:ascii="Verdana" w:eastAsia="Calibri" w:hAnsi="Verdana" w:cs="Arial"/>
          <w:color w:val="000000" w:themeColor="text1"/>
        </w:rPr>
        <w:t>as Entidades Estatales contratantes, como responsables de la estructuración de los Procesos de Contratación, son autónomas para establecer los requisitos habilitantes de experiencia, de acuerdo con el estudio realizado en marco del análisis del sector</w:t>
      </w:r>
      <w:r w:rsidRPr="00F9120E">
        <w:rPr>
          <w:rStyle w:val="Refdenotaalpie"/>
          <w:rFonts w:ascii="Verdana" w:eastAsia="Calibri" w:hAnsi="Verdana" w:cs="Arial"/>
          <w:color w:val="000000" w:themeColor="text1"/>
          <w:lang w:val="es-ES"/>
        </w:rPr>
        <w:footnoteReference w:id="13"/>
      </w:r>
      <w:r w:rsidRPr="00F9120E">
        <w:rPr>
          <w:rFonts w:ascii="Verdana" w:eastAsia="Calibri" w:hAnsi="Verdana" w:cs="Arial"/>
          <w:color w:val="000000" w:themeColor="text1"/>
          <w:lang w:val="es-ES"/>
        </w:rPr>
        <w:t xml:space="preserve">. En este aspecto, </w:t>
      </w:r>
      <w:r w:rsidRPr="00F9120E">
        <w:rPr>
          <w:rFonts w:ascii="Verdana" w:eastAsia="Calibri" w:hAnsi="Verdana" w:cs="Arial"/>
          <w:lang w:val="es-ES"/>
        </w:rPr>
        <w:t xml:space="preserve">las Entidades Estatales gozan de total autonomía para fijar las condiciones habilitantes y las reglas, </w:t>
      </w:r>
      <w:r w:rsidRPr="002C6496">
        <w:rPr>
          <w:rFonts w:ascii="Verdana" w:eastAsia="Calibri" w:hAnsi="Verdana" w:cs="Arial"/>
          <w:i/>
          <w:iCs/>
          <w:lang w:val="es-ES"/>
        </w:rPr>
        <w:t>cuidando en todo caso que no se limiten los principios de participación, libre competencia y concurrencia</w:t>
      </w:r>
      <w:r w:rsidRPr="00F9120E">
        <w:rPr>
          <w:rFonts w:ascii="Verdana" w:eastAsia="Calibri" w:hAnsi="Verdana" w:cs="Arial"/>
          <w:lang w:val="es-ES"/>
        </w:rPr>
        <w:t xml:space="preserve">. </w:t>
      </w:r>
      <w:r>
        <w:rPr>
          <w:rFonts w:ascii="Verdana" w:eastAsia="Calibri" w:hAnsi="Verdana" w:cs="Arial"/>
          <w:lang w:val="es-ES"/>
        </w:rPr>
        <w:t>E</w:t>
      </w:r>
      <w:r w:rsidRPr="00F9120E">
        <w:rPr>
          <w:rFonts w:ascii="Verdana" w:eastAsia="Calibri" w:hAnsi="Verdana" w:cs="Arial"/>
          <w:lang w:val="es-ES"/>
        </w:rPr>
        <w:t>l uso de esta potestad debe quedar reflejada en los pliegos de condiciones o documentos equivalentes, en los cuales las Entidades Estatales deben manifestar con claridad l</w:t>
      </w:r>
      <w:r>
        <w:rPr>
          <w:rFonts w:ascii="Verdana" w:eastAsia="Calibri" w:hAnsi="Verdana" w:cs="Arial"/>
          <w:lang w:val="es-ES"/>
        </w:rPr>
        <w:t xml:space="preserve">as exigencias relativas a la experiencia </w:t>
      </w:r>
      <w:r w:rsidRPr="00F9120E">
        <w:rPr>
          <w:rFonts w:ascii="Verdana" w:eastAsia="Calibri" w:hAnsi="Verdana" w:cs="Arial"/>
          <w:lang w:val="es-ES"/>
        </w:rPr>
        <w:t>que deben acreditar los proponentes plurales, y la metodología para verificarlos con respecto a cada integrante.</w:t>
      </w:r>
    </w:p>
    <w:p w14:paraId="7A801597" w14:textId="77777777" w:rsidR="00DA6B62" w:rsidRDefault="00DA6B62" w:rsidP="00DA6B62">
      <w:pPr>
        <w:spacing w:before="120" w:after="120" w:line="276" w:lineRule="auto"/>
        <w:ind w:firstLine="709"/>
        <w:jc w:val="both"/>
        <w:rPr>
          <w:rFonts w:ascii="Verdana" w:eastAsia="Calibri" w:hAnsi="Verdana" w:cs="Arial"/>
          <w:lang w:val="es-ES"/>
        </w:rPr>
      </w:pPr>
      <w:r>
        <w:rPr>
          <w:rFonts w:ascii="Verdana" w:eastAsia="Calibri" w:hAnsi="Verdana" w:cs="Arial"/>
          <w:lang w:val="es-ES"/>
        </w:rPr>
        <w:t>Por lo tanto</w:t>
      </w:r>
      <w:r w:rsidRPr="00F9120E">
        <w:rPr>
          <w:rFonts w:ascii="Verdana" w:eastAsia="Calibri" w:hAnsi="Verdana" w:cs="Arial"/>
          <w:lang w:val="es-ES"/>
        </w:rPr>
        <w:t xml:space="preserve">, la forma de acreditación </w:t>
      </w:r>
      <w:r>
        <w:rPr>
          <w:rFonts w:ascii="Verdana" w:eastAsia="Calibri" w:hAnsi="Verdana" w:cs="Arial"/>
          <w:lang w:val="es-ES"/>
        </w:rPr>
        <w:t xml:space="preserve">de </w:t>
      </w:r>
      <w:r w:rsidRPr="00F9120E">
        <w:rPr>
          <w:rFonts w:ascii="Verdana" w:eastAsia="Calibri" w:hAnsi="Verdana" w:cs="Arial"/>
          <w:lang w:val="es-ES"/>
        </w:rPr>
        <w:t>los requisitos habilitantes para los integrantes de proponentes plurales debe ser la establecida por la Entidad Estatal en los estudios previos y pliegos de condiciones</w:t>
      </w:r>
      <w:r>
        <w:rPr>
          <w:rFonts w:ascii="Verdana" w:eastAsia="Calibri" w:hAnsi="Verdana" w:cs="Arial"/>
          <w:lang w:val="es-ES"/>
        </w:rPr>
        <w:t>,</w:t>
      </w:r>
      <w:r w:rsidRPr="00F9120E">
        <w:rPr>
          <w:rFonts w:ascii="Verdana" w:eastAsia="Calibri" w:hAnsi="Verdana" w:cs="Arial"/>
          <w:lang w:val="es-ES"/>
        </w:rPr>
        <w:t xml:space="preserve"> de acuerdo con la necesidad a contratar. El Decreto 1082 de 2015 en su artículo 2.2.1.1.1.6.1 señala el deber de las Entidades Estatales de realizar durante la etapa de planeación el análisis necesario para conocer el sector relativo al objeto del Proceso de Contratación desde la perspectiva legal, comercial, </w:t>
      </w:r>
      <w:r w:rsidRPr="00FA6BF2">
        <w:rPr>
          <w:rFonts w:ascii="Verdana" w:eastAsia="Calibri" w:hAnsi="Verdana" w:cs="Arial"/>
          <w:lang w:val="es-ES"/>
        </w:rPr>
        <w:t>financiera,</w:t>
      </w:r>
      <w:r w:rsidRPr="00F9120E">
        <w:rPr>
          <w:rFonts w:ascii="Verdana" w:eastAsia="Calibri" w:hAnsi="Verdana" w:cs="Arial"/>
          <w:lang w:val="es-ES"/>
        </w:rPr>
        <w:t xml:space="preserve"> organizacional, técnica, y de análisis de Riesgo, dejando constancia de este análisis en los Documentos del Proceso, por lo cual la determinación y las </w:t>
      </w:r>
      <w:r w:rsidRPr="00F9120E">
        <w:rPr>
          <w:rFonts w:ascii="Verdana" w:eastAsia="Calibri" w:hAnsi="Verdana" w:cs="Arial"/>
          <w:lang w:val="es-ES"/>
        </w:rPr>
        <w:lastRenderedPageBreak/>
        <w:t xml:space="preserve">condiciones exigidas para </w:t>
      </w:r>
      <w:r>
        <w:rPr>
          <w:rFonts w:ascii="Verdana" w:eastAsia="Calibri" w:hAnsi="Verdana" w:cs="Arial"/>
          <w:lang w:val="es-ES"/>
        </w:rPr>
        <w:t xml:space="preserve">determinar </w:t>
      </w:r>
      <w:r w:rsidRPr="00F9120E">
        <w:rPr>
          <w:rFonts w:ascii="Verdana" w:eastAsia="Calibri" w:hAnsi="Verdana" w:cs="Arial"/>
          <w:lang w:val="es-ES"/>
        </w:rPr>
        <w:t xml:space="preserve">la </w:t>
      </w:r>
      <w:r>
        <w:rPr>
          <w:rFonts w:ascii="Verdana" w:eastAsia="Calibri" w:hAnsi="Verdana" w:cs="Arial"/>
          <w:lang w:val="es-ES"/>
        </w:rPr>
        <w:t>experiencia</w:t>
      </w:r>
      <w:r w:rsidRPr="00F9120E">
        <w:rPr>
          <w:rFonts w:ascii="Verdana" w:eastAsia="Calibri" w:hAnsi="Verdana" w:cs="Arial"/>
          <w:lang w:val="es-ES"/>
        </w:rPr>
        <w:t xml:space="preserve"> se encuentra a cargo de la entidad contratante. </w:t>
      </w:r>
    </w:p>
    <w:p w14:paraId="1EC934A6" w14:textId="77777777" w:rsidR="00DA6B62" w:rsidRDefault="00DA6B62" w:rsidP="00DA6B62">
      <w:pPr>
        <w:spacing w:line="276" w:lineRule="auto"/>
        <w:ind w:firstLine="709"/>
        <w:jc w:val="both"/>
        <w:rPr>
          <w:rFonts w:ascii="Verdana" w:eastAsia="Calibri" w:hAnsi="Verdana" w:cs="Arial"/>
          <w:lang w:val="es-ES"/>
        </w:rPr>
      </w:pPr>
      <w:r>
        <w:rPr>
          <w:rFonts w:ascii="Verdana" w:eastAsia="Calibri" w:hAnsi="Verdana" w:cs="Arial"/>
          <w:lang w:val="es-ES"/>
        </w:rPr>
        <w:t xml:space="preserve">De acuerdo con lo anterior, </w:t>
      </w:r>
      <w:r w:rsidRPr="00E15BAA">
        <w:rPr>
          <w:rFonts w:ascii="Verdana" w:eastAsia="Calibri" w:hAnsi="Verdana" w:cs="Arial"/>
          <w:lang w:val="es-ES"/>
        </w:rPr>
        <w:t xml:space="preserve">los proponentes plurales deberán aportar el acta de conformación consorcial o el acta de conformación de unión temporal indicando claramente la individualización de la persona natural o jurídica, el porcentaje de participación y demás compromisos entre las partes </w:t>
      </w:r>
      <w:r w:rsidRPr="081E2AC1">
        <w:rPr>
          <w:rFonts w:ascii="Verdana" w:eastAsia="Calibri" w:hAnsi="Verdana" w:cs="Arial"/>
          <w:lang w:val="es-ES"/>
        </w:rPr>
        <w:t>seg</w:t>
      </w:r>
      <w:r>
        <w:rPr>
          <w:rFonts w:ascii="Verdana" w:eastAsia="Calibri" w:hAnsi="Verdana" w:cs="Arial"/>
          <w:lang w:val="es-ES"/>
        </w:rPr>
        <w:t>ú</w:t>
      </w:r>
      <w:r w:rsidRPr="081E2AC1">
        <w:rPr>
          <w:rFonts w:ascii="Verdana" w:eastAsia="Calibri" w:hAnsi="Verdana" w:cs="Arial"/>
          <w:lang w:val="es-ES"/>
        </w:rPr>
        <w:t xml:space="preserve">n con lo previsto </w:t>
      </w:r>
      <w:r w:rsidRPr="00E15BAA">
        <w:rPr>
          <w:rFonts w:ascii="Verdana" w:eastAsia="Calibri" w:hAnsi="Verdana" w:cs="Arial"/>
          <w:lang w:val="es-ES"/>
        </w:rPr>
        <w:t>en los pliegos de condiciones y anexos del proceso contractual.</w:t>
      </w:r>
      <w:r>
        <w:rPr>
          <w:rFonts w:ascii="Verdana" w:eastAsia="Calibri" w:hAnsi="Verdana" w:cs="Arial"/>
          <w:lang w:val="es-ES"/>
        </w:rPr>
        <w:t xml:space="preserve"> Ahora bien, nada obsta para que la entidad estatal contratante </w:t>
      </w:r>
      <w:r w:rsidRPr="00E15BAA">
        <w:rPr>
          <w:rFonts w:ascii="Verdana" w:eastAsia="Calibri" w:hAnsi="Verdana" w:cs="Arial"/>
          <w:lang w:val="es-ES"/>
        </w:rPr>
        <w:t xml:space="preserve">en relación con la experiencia de los proponentes plurales </w:t>
      </w:r>
      <w:r>
        <w:rPr>
          <w:rFonts w:ascii="Verdana" w:eastAsia="Calibri" w:hAnsi="Verdana" w:cs="Arial"/>
          <w:lang w:val="es-ES"/>
        </w:rPr>
        <w:t xml:space="preserve">indique que aquella se acreditará con la </w:t>
      </w:r>
      <w:r w:rsidRPr="00E15BAA">
        <w:rPr>
          <w:rFonts w:ascii="Verdana" w:eastAsia="Calibri" w:hAnsi="Verdana" w:cs="Arial"/>
          <w:lang w:val="es-ES"/>
        </w:rPr>
        <w:t>suma</w:t>
      </w:r>
      <w:r>
        <w:rPr>
          <w:rFonts w:ascii="Verdana" w:eastAsia="Calibri" w:hAnsi="Verdana" w:cs="Arial"/>
          <w:lang w:val="es-ES"/>
        </w:rPr>
        <w:t xml:space="preserve">toria de la experiencia demostrada </w:t>
      </w:r>
      <w:r w:rsidRPr="00E15BAA">
        <w:rPr>
          <w:rFonts w:ascii="Verdana" w:eastAsia="Calibri" w:hAnsi="Verdana" w:cs="Arial"/>
          <w:lang w:val="es-ES"/>
        </w:rPr>
        <w:t>por cada miembro del consorcio o de la unión temporal</w:t>
      </w:r>
      <w:r>
        <w:rPr>
          <w:rFonts w:ascii="Verdana" w:eastAsia="Calibri" w:hAnsi="Verdana" w:cs="Arial"/>
          <w:lang w:val="es-ES"/>
        </w:rPr>
        <w:t xml:space="preserve">, </w:t>
      </w:r>
      <w:r w:rsidRPr="00E15BAA">
        <w:rPr>
          <w:rFonts w:ascii="Verdana" w:eastAsia="Calibri" w:hAnsi="Verdana" w:cs="Arial"/>
          <w:lang w:val="es-ES"/>
        </w:rPr>
        <w:t>que</w:t>
      </w:r>
      <w:r>
        <w:rPr>
          <w:rFonts w:ascii="Verdana" w:eastAsia="Calibri" w:hAnsi="Verdana" w:cs="Arial"/>
          <w:lang w:val="es-ES"/>
        </w:rPr>
        <w:t xml:space="preserve"> </w:t>
      </w:r>
      <w:r w:rsidRPr="00E15BAA">
        <w:rPr>
          <w:rFonts w:ascii="Verdana" w:eastAsia="Calibri" w:hAnsi="Verdana" w:cs="Arial"/>
          <w:lang w:val="es-ES"/>
        </w:rPr>
        <w:t>cada miembro del proponente plural deba acreditar la experiencia requerida en el procedimiento</w:t>
      </w:r>
      <w:r>
        <w:rPr>
          <w:rFonts w:ascii="Verdana" w:eastAsia="Calibri" w:hAnsi="Verdana" w:cs="Arial"/>
          <w:lang w:val="es-ES"/>
        </w:rPr>
        <w:t xml:space="preserve"> o que la experiencia puede ser acreditada por uno de los miembros. Se reitera que las entidades tienen la autonomía para determinar la experiencia y su forma de acreditación; sin embargo, los criterios o mecanismos que adopten para lo anterior deben estar fundamentados en una planeación adecuada, de modo que resulten razonables y proporcionales, y no impongan barreras injustificadas a la participación y a la libre competencia, o constituyan una vulneración del deber de selección objetiva. </w:t>
      </w:r>
    </w:p>
    <w:p w14:paraId="27F58246" w14:textId="77777777" w:rsidR="00DA6B62" w:rsidRDefault="00DA6B62" w:rsidP="00DA6B62">
      <w:pPr>
        <w:spacing w:line="276" w:lineRule="auto"/>
        <w:ind w:firstLine="709"/>
        <w:jc w:val="both"/>
        <w:rPr>
          <w:rFonts w:ascii="Verdana" w:eastAsia="Calibri" w:hAnsi="Verdana" w:cs="Arial"/>
        </w:rPr>
      </w:pPr>
      <w:r>
        <w:rPr>
          <w:rFonts w:ascii="Verdana" w:eastAsia="Calibri" w:hAnsi="Verdana" w:cs="Arial"/>
          <w:lang w:val="es-ES"/>
        </w:rPr>
        <w:t xml:space="preserve">En la determinación de lo anterior, se recomienda a las entidades tener en cuenta lo dispuesto en el “Manual </w:t>
      </w:r>
      <w:r w:rsidRPr="007616FA">
        <w:rPr>
          <w:rFonts w:ascii="Verdana" w:eastAsia="Calibri" w:hAnsi="Verdana" w:cs="Arial"/>
        </w:rPr>
        <w:t>para determinar y verificar los requisitos habilitantes en los procesos de contratació</w:t>
      </w:r>
      <w:r>
        <w:rPr>
          <w:rFonts w:ascii="Verdana" w:eastAsia="Calibri" w:hAnsi="Verdana" w:cs="Arial"/>
        </w:rPr>
        <w:t xml:space="preserve">n” elaborado por la </w:t>
      </w:r>
      <w:r w:rsidRPr="007616FA">
        <w:rPr>
          <w:rFonts w:ascii="Verdana" w:eastAsia="Calibri" w:hAnsi="Verdana" w:cs="Arial"/>
        </w:rPr>
        <w:t xml:space="preserve">Agencia Nacional </w:t>
      </w:r>
      <w:r>
        <w:rPr>
          <w:rFonts w:ascii="Verdana" w:eastAsia="Calibri" w:hAnsi="Verdana" w:cs="Arial"/>
        </w:rPr>
        <w:t>d</w:t>
      </w:r>
      <w:r w:rsidRPr="007616FA">
        <w:rPr>
          <w:rFonts w:ascii="Verdana" w:eastAsia="Calibri" w:hAnsi="Verdana" w:cs="Arial"/>
        </w:rPr>
        <w:t xml:space="preserve">e Contratación Pública </w:t>
      </w:r>
      <w:r>
        <w:rPr>
          <w:rFonts w:ascii="Verdana" w:eastAsia="Calibri" w:hAnsi="Verdana" w:cs="Arial"/>
        </w:rPr>
        <w:t xml:space="preserve">– </w:t>
      </w:r>
      <w:r w:rsidRPr="007616FA">
        <w:rPr>
          <w:rFonts w:ascii="Verdana" w:eastAsia="Calibri" w:hAnsi="Verdana" w:cs="Arial"/>
        </w:rPr>
        <w:t>Colombia Compra Eficiente</w:t>
      </w:r>
      <w:r>
        <w:rPr>
          <w:rStyle w:val="Refdenotaalpie"/>
          <w:rFonts w:ascii="Verdana" w:eastAsia="Calibri" w:hAnsi="Verdana" w:cs="Arial"/>
        </w:rPr>
        <w:footnoteReference w:id="14"/>
      </w:r>
      <w:r>
        <w:rPr>
          <w:rFonts w:ascii="Verdana" w:eastAsia="Calibri" w:hAnsi="Verdana" w:cs="Arial"/>
        </w:rPr>
        <w:t>. Sobre la acreditación de experiencia por parte de proponentes plurales, el documento señala lo siguiente:</w:t>
      </w:r>
    </w:p>
    <w:p w14:paraId="1093733A" w14:textId="77777777" w:rsidR="00DA6B62" w:rsidRDefault="00DA6B62" w:rsidP="00DA6B62">
      <w:pPr>
        <w:spacing w:after="0" w:line="240" w:lineRule="auto"/>
        <w:ind w:left="709" w:right="709"/>
        <w:jc w:val="both"/>
        <w:rPr>
          <w:rFonts w:ascii="Verdana" w:eastAsia="Calibri" w:hAnsi="Verdana" w:cs="Arial"/>
          <w:sz w:val="20"/>
          <w:szCs w:val="20"/>
        </w:rPr>
      </w:pPr>
      <w:r w:rsidRPr="007616FA">
        <w:rPr>
          <w:rFonts w:ascii="Verdana" w:eastAsia="Calibri" w:hAnsi="Verdana" w:cs="Arial"/>
          <w:sz w:val="20"/>
          <w:szCs w:val="20"/>
        </w:rPr>
        <w:t>“[…] la experiencia de los oferentes plurales debe ser proporcional a la participación de cada uno de sus integrantes en el consorcio o unión temporal. Sin perjuicio del carácter personal de la experiencia, entre los integrantes del oferente plural la experiencia se puede compartir, sin que implique que la experiencia compartida con alguna de las partes se entienda como propia. Dentro del procedimiento contractual se reflejará que uno de los integrantes del proponente plural comparte la experiencia de otra. Esto es claro en el caso de las figuras asociativas donde se verificará en el documento privado de constitución”</w:t>
      </w:r>
    </w:p>
    <w:p w14:paraId="03B8299A" w14:textId="77777777" w:rsidR="00DA6B62" w:rsidRPr="007616FA" w:rsidRDefault="00DA6B62" w:rsidP="00DA6B62">
      <w:pPr>
        <w:spacing w:after="0" w:line="240" w:lineRule="auto"/>
        <w:ind w:left="709" w:right="709"/>
        <w:jc w:val="both"/>
        <w:rPr>
          <w:rFonts w:ascii="Verdana" w:eastAsia="Calibri" w:hAnsi="Verdana" w:cs="Arial"/>
          <w:sz w:val="20"/>
          <w:szCs w:val="20"/>
          <w:lang w:val="es-ES"/>
        </w:rPr>
      </w:pPr>
    </w:p>
    <w:p w14:paraId="4B20AEE5" w14:textId="77777777" w:rsidR="00DA6B62" w:rsidRDefault="00DA6B62" w:rsidP="00DA6B62">
      <w:pPr>
        <w:spacing w:line="276" w:lineRule="auto"/>
        <w:ind w:firstLine="709"/>
        <w:jc w:val="both"/>
        <w:rPr>
          <w:rFonts w:ascii="Verdana" w:eastAsia="Calibri" w:hAnsi="Verdana" w:cs="Arial"/>
          <w:lang w:val="es-ES"/>
        </w:rPr>
      </w:pPr>
      <w:r>
        <w:rPr>
          <w:rFonts w:ascii="Verdana" w:eastAsia="Calibri" w:hAnsi="Verdana" w:cs="Arial"/>
          <w:lang w:val="es-ES"/>
        </w:rPr>
        <w:lastRenderedPageBreak/>
        <w:t xml:space="preserve">Respecto al supuesto objeto de consulta, lo anterior implica </w:t>
      </w:r>
      <w:proofErr w:type="gramStart"/>
      <w:r>
        <w:rPr>
          <w:rFonts w:ascii="Verdana" w:eastAsia="Calibri" w:hAnsi="Verdana" w:cs="Arial"/>
          <w:lang w:val="es-ES"/>
        </w:rPr>
        <w:t>que</w:t>
      </w:r>
      <w:proofErr w:type="gramEnd"/>
      <w:r>
        <w:rPr>
          <w:rFonts w:ascii="Verdana" w:eastAsia="Calibri" w:hAnsi="Verdana" w:cs="Arial"/>
          <w:lang w:val="es-ES"/>
        </w:rPr>
        <w:t xml:space="preserve"> si bien la entidad contratante tiene la autonomía para establecer los requisitos técnicos y habilitantes, las decisiones que adopte deben estar justificadas y fundamentadas en el resultado de la etapa de planeación. En efecto, la entidad contratante bien puede definir las reglas de acreditación que deben cumplir los integrantes en función de distintos factores; sin embargo, debe ser cuidadosa en establecer reglas como que uno solo de los miembros del proponente plural acredite la experiencia requerida o aquellas que califiquen a dicho integrante por su posición de “</w:t>
      </w:r>
      <w:proofErr w:type="spellStart"/>
      <w:r>
        <w:rPr>
          <w:rFonts w:ascii="Verdana" w:eastAsia="Calibri" w:hAnsi="Verdana" w:cs="Arial"/>
          <w:lang w:val="es-ES"/>
        </w:rPr>
        <w:t>lider</w:t>
      </w:r>
      <w:proofErr w:type="spellEnd"/>
      <w:r>
        <w:rPr>
          <w:rFonts w:ascii="Verdana" w:eastAsia="Calibri" w:hAnsi="Verdana" w:cs="Arial"/>
          <w:lang w:val="es-ES"/>
        </w:rPr>
        <w:t>” o “representante” en el acuerdo asociativo,</w:t>
      </w:r>
      <w:r w:rsidRPr="004A0421">
        <w:t xml:space="preserve"> </w:t>
      </w:r>
      <w:r w:rsidRPr="004A0421">
        <w:rPr>
          <w:rFonts w:ascii="Verdana" w:eastAsia="Calibri" w:hAnsi="Verdana" w:cs="Arial"/>
        </w:rPr>
        <w:t xml:space="preserve">pues tal exigencia puede no resultar proporcional ni razonable frente a las características del </w:t>
      </w:r>
      <w:r>
        <w:rPr>
          <w:rFonts w:ascii="Verdana" w:eastAsia="Calibri" w:hAnsi="Verdana" w:cs="Arial"/>
        </w:rPr>
        <w:t>P</w:t>
      </w:r>
      <w:r w:rsidRPr="004A0421">
        <w:rPr>
          <w:rFonts w:ascii="Verdana" w:eastAsia="Calibri" w:hAnsi="Verdana" w:cs="Arial"/>
        </w:rPr>
        <w:t xml:space="preserve">roceso de </w:t>
      </w:r>
      <w:r>
        <w:rPr>
          <w:rFonts w:ascii="Verdana" w:eastAsia="Calibri" w:hAnsi="Verdana" w:cs="Arial"/>
        </w:rPr>
        <w:t>C</w:t>
      </w:r>
      <w:r w:rsidRPr="004A0421">
        <w:rPr>
          <w:rFonts w:ascii="Verdana" w:eastAsia="Calibri" w:hAnsi="Verdana" w:cs="Arial"/>
        </w:rPr>
        <w:t>ontratación,</w:t>
      </w:r>
      <w:r>
        <w:rPr>
          <w:rFonts w:ascii="Verdana" w:eastAsia="Calibri" w:hAnsi="Verdana" w:cs="Arial"/>
          <w:lang w:val="es-ES"/>
        </w:rPr>
        <w:t xml:space="preserve"> en especial si no guarda relación con el porcentaje de participación de los integrantes ni con las reglas frente a la responsabilidad que ya establece normativa. Un ejemplo de ello es que establezca un requisito en el que se exija que un integrante con el porcentaje </w:t>
      </w:r>
      <w:r w:rsidRPr="004A0421">
        <w:rPr>
          <w:rFonts w:ascii="Verdana" w:eastAsia="Calibri" w:hAnsi="Verdana" w:cs="Arial"/>
        </w:rPr>
        <w:t>de participación</w:t>
      </w:r>
      <w:r>
        <w:rPr>
          <w:rFonts w:ascii="Verdana" w:eastAsia="Calibri" w:hAnsi="Verdana" w:cs="Arial"/>
        </w:rPr>
        <w:t xml:space="preserve"> minoritario</w:t>
      </w:r>
      <w:r w:rsidRPr="004A0421">
        <w:rPr>
          <w:rFonts w:ascii="Verdana" w:eastAsia="Calibri" w:hAnsi="Verdana" w:cs="Arial"/>
        </w:rPr>
        <w:t xml:space="preserve">, pero designado como "líder", </w:t>
      </w:r>
      <w:r>
        <w:rPr>
          <w:rFonts w:ascii="Verdana" w:eastAsia="Calibri" w:hAnsi="Verdana" w:cs="Arial"/>
        </w:rPr>
        <w:t xml:space="preserve">acredite </w:t>
      </w:r>
      <w:r w:rsidRPr="004A0421">
        <w:rPr>
          <w:rFonts w:ascii="Verdana" w:eastAsia="Calibri" w:hAnsi="Verdana" w:cs="Arial"/>
        </w:rPr>
        <w:t>la totalidad de la experiencia requerida por la entidad.</w:t>
      </w:r>
    </w:p>
    <w:p w14:paraId="3FE258A4" w14:textId="77777777" w:rsidR="00DA6B62" w:rsidRPr="00ED33F4" w:rsidRDefault="00DA6B62" w:rsidP="00DA6B62">
      <w:pPr>
        <w:spacing w:line="276" w:lineRule="auto"/>
        <w:ind w:firstLine="709"/>
        <w:jc w:val="both"/>
        <w:rPr>
          <w:rFonts w:ascii="Verdana" w:eastAsia="Calibri" w:hAnsi="Verdana" w:cs="Arial"/>
        </w:rPr>
      </w:pPr>
      <w:r>
        <w:rPr>
          <w:rFonts w:ascii="Verdana" w:eastAsia="Calibri" w:hAnsi="Verdana" w:cs="Arial"/>
          <w:color w:val="000000" w:themeColor="text1"/>
          <w:lang w:val="es-ES"/>
        </w:rPr>
        <w:t>Adicionalmente, es importante resaltar que</w:t>
      </w:r>
      <w:r>
        <w:rPr>
          <w:rFonts w:ascii="Verdana" w:eastAsia="Calibri" w:hAnsi="Verdana" w:cs="Arial"/>
        </w:rPr>
        <w:t xml:space="preserve"> n</w:t>
      </w:r>
      <w:r w:rsidRPr="00ED33F4">
        <w:rPr>
          <w:rFonts w:ascii="Verdana" w:eastAsia="Calibri" w:hAnsi="Verdana" w:cs="Arial"/>
        </w:rPr>
        <w:t xml:space="preserve">i el artículo 7 de la Ley 80 de 1993, ni el Decreto 1082 de 2015, atribuyen efectos a la designación de un integrante como "líder". </w:t>
      </w:r>
      <w:r>
        <w:rPr>
          <w:rFonts w:ascii="Verdana" w:eastAsia="Calibri" w:hAnsi="Verdana" w:cs="Arial"/>
        </w:rPr>
        <w:t xml:space="preserve">El marco jurídico </w:t>
      </w:r>
      <w:r w:rsidRPr="00ED33F4">
        <w:rPr>
          <w:rFonts w:ascii="Verdana" w:eastAsia="Calibri" w:hAnsi="Verdana" w:cs="Arial"/>
        </w:rPr>
        <w:t xml:space="preserve">se refiere al </w:t>
      </w:r>
      <w:r w:rsidRPr="00ED33F4">
        <w:rPr>
          <w:rFonts w:ascii="Verdana" w:eastAsia="Calibri" w:hAnsi="Verdana" w:cs="Arial"/>
          <w:i/>
        </w:rPr>
        <w:t>representante</w:t>
      </w:r>
      <w:r w:rsidRPr="00ED33F4">
        <w:rPr>
          <w:rFonts w:ascii="Verdana" w:eastAsia="Calibri" w:hAnsi="Verdana" w:cs="Arial"/>
        </w:rPr>
        <w:t xml:space="preserve"> de la estructura plural</w:t>
      </w:r>
      <w:r>
        <w:rPr>
          <w:rFonts w:ascii="Verdana" w:eastAsia="Calibri" w:hAnsi="Verdana" w:cs="Arial"/>
        </w:rPr>
        <w:t xml:space="preserve">, como una </w:t>
      </w:r>
      <w:r w:rsidRPr="00ED33F4">
        <w:rPr>
          <w:rFonts w:ascii="Verdana" w:eastAsia="Calibri" w:hAnsi="Verdana" w:cs="Arial"/>
        </w:rPr>
        <w:t>figura de interlocución y administración</w:t>
      </w:r>
      <w:r>
        <w:rPr>
          <w:rFonts w:ascii="Verdana" w:eastAsia="Calibri" w:hAnsi="Verdana" w:cs="Arial"/>
        </w:rPr>
        <w:t xml:space="preserve">. En este sentido, la decisión de requerir que la experiencia sea acreditada por el “lider” o “representante” del proponente plural debe estar fundamentada, conforme al </w:t>
      </w:r>
      <w:r w:rsidRPr="00F9120E">
        <w:rPr>
          <w:rFonts w:ascii="Verdana" w:eastAsia="Calibri" w:hAnsi="Verdana" w:cs="Arial"/>
          <w:color w:val="000000" w:themeColor="text1"/>
          <w:lang w:val="es-ES"/>
        </w:rPr>
        <w:t xml:space="preserve">artículo 2.2.1.1.1.6.2 del Decreto 1082 de 2015, </w:t>
      </w:r>
      <w:r>
        <w:rPr>
          <w:rFonts w:ascii="Verdana" w:eastAsia="Calibri" w:hAnsi="Verdana" w:cs="Arial"/>
          <w:color w:val="000000" w:themeColor="text1"/>
          <w:lang w:val="es-ES"/>
        </w:rPr>
        <w:t xml:space="preserve">en </w:t>
      </w:r>
      <w:r w:rsidRPr="00F9120E">
        <w:rPr>
          <w:rFonts w:ascii="Verdana" w:eastAsia="Calibri" w:hAnsi="Verdana" w:cs="Arial"/>
          <w:color w:val="000000" w:themeColor="text1"/>
          <w:lang w:val="es-ES"/>
        </w:rPr>
        <w:t>la naturaleza</w:t>
      </w:r>
      <w:r>
        <w:rPr>
          <w:rFonts w:ascii="Verdana" w:eastAsia="Calibri" w:hAnsi="Verdana" w:cs="Arial"/>
          <w:color w:val="000000" w:themeColor="text1"/>
          <w:lang w:val="es-ES"/>
        </w:rPr>
        <w:t xml:space="preserve"> y</w:t>
      </w:r>
      <w:r w:rsidRPr="00F9120E">
        <w:rPr>
          <w:rFonts w:ascii="Verdana" w:eastAsia="Calibri" w:hAnsi="Verdana" w:cs="Arial"/>
          <w:color w:val="000000" w:themeColor="text1"/>
          <w:lang w:val="es-ES"/>
        </w:rPr>
        <w:t xml:space="preserve"> el valor del contrato, la forma de pago, los riesgos asociados, el plazo y la complejidad de ejecución del objeto</w:t>
      </w:r>
      <w:r>
        <w:rPr>
          <w:rFonts w:ascii="Verdana" w:eastAsia="Calibri" w:hAnsi="Verdana" w:cs="Arial"/>
          <w:color w:val="000000" w:themeColor="text1"/>
          <w:lang w:val="es-ES"/>
        </w:rPr>
        <w:t>, de modo que no soslaye el deber de selección objetiva y la libre concurrencia.</w:t>
      </w:r>
      <w:r>
        <w:rPr>
          <w:rFonts w:ascii="Verdana" w:eastAsia="Calibri" w:hAnsi="Verdana" w:cs="Arial"/>
        </w:rPr>
        <w:t xml:space="preserve"> En este sentido, al establecer los requisitos de experiencia y su forma de acreditación por parte de los proponentes plurales, la cuestión no es si la entidad puede o no establecer exigencias individualizadas para los integrantes, sino si las reglas que para ello determine guardan relación de adecuación y proporcionalidad frente al Proceso de Contratación y con el objetivo de determinar la idoneidad del futuro contratista.</w:t>
      </w:r>
    </w:p>
    <w:p w14:paraId="696F500F" w14:textId="77777777" w:rsidR="00DA6B62" w:rsidRDefault="00DA6B62" w:rsidP="00DA6B62">
      <w:pPr>
        <w:spacing w:after="120" w:line="276" w:lineRule="auto"/>
        <w:jc w:val="both"/>
        <w:rPr>
          <w:rFonts w:ascii="Verdana" w:eastAsia="Calibri" w:hAnsi="Verdana" w:cs="Arial"/>
          <w:lang w:val="es-MX"/>
        </w:rPr>
      </w:pPr>
      <w:proofErr w:type="spellStart"/>
      <w:r>
        <w:rPr>
          <w:rFonts w:ascii="Verdana" w:eastAsia="Calibri" w:hAnsi="Verdana" w:cs="Arial"/>
          <w:lang w:val="es-ES"/>
        </w:rPr>
        <w:t>iii</w:t>
      </w:r>
      <w:proofErr w:type="spellEnd"/>
      <w:r>
        <w:rPr>
          <w:rFonts w:ascii="Verdana" w:eastAsia="Calibri" w:hAnsi="Verdana" w:cs="Arial"/>
          <w:lang w:val="es-ES"/>
        </w:rPr>
        <w:t xml:space="preserve">. </w:t>
      </w:r>
      <w:r>
        <w:rPr>
          <w:rFonts w:ascii="Verdana" w:eastAsia="Calibri" w:hAnsi="Verdana" w:cs="Arial"/>
          <w:lang w:val="es-MX"/>
        </w:rPr>
        <w:t xml:space="preserve">Similar es el análisis aplicable en el caso del segundo problema jurídico planteado, en cuanto a que los requisitos que establezca la Entidad Estatal deben resultar proporcionales y adecuados, de modo que no impongan barreras innecesarias a la libre competencia o limiten la selección objetiva. </w:t>
      </w:r>
    </w:p>
    <w:p w14:paraId="6E5F5066" w14:textId="77777777" w:rsidR="00DA6B62" w:rsidRPr="00E40017" w:rsidRDefault="00DA6B62" w:rsidP="00DA6B62">
      <w:pPr>
        <w:spacing w:after="0" w:line="276" w:lineRule="auto"/>
        <w:ind w:firstLine="709"/>
        <w:jc w:val="both"/>
        <w:rPr>
          <w:rFonts w:ascii="Verdana" w:eastAsia="Calibri" w:hAnsi="Verdana" w:cs="Arial"/>
          <w:lang w:val="es-MX"/>
        </w:rPr>
      </w:pPr>
      <w:r w:rsidRPr="00BD16FF">
        <w:rPr>
          <w:rFonts w:ascii="Verdana" w:eastAsia="Calibri" w:hAnsi="Verdana" w:cs="Arial"/>
          <w:lang w:val="es-MX"/>
        </w:rPr>
        <w:lastRenderedPageBreak/>
        <w:t xml:space="preserve">En el marco de lo anterior, </w:t>
      </w:r>
      <w:r w:rsidRPr="00BD16FF">
        <w:rPr>
          <w:rFonts w:ascii="Verdana" w:eastAsia="Calibri" w:hAnsi="Verdana" w:cs="Arial"/>
          <w:color w:val="000000" w:themeColor="text1"/>
        </w:rPr>
        <w:t xml:space="preserve">salvo las convocatorias limitadas a Mipymes nacionales o territoriales que corresponden a excepciones establecidas por el legislador, los principios de igualdad y concurrencia rigen en los procedimientos de selección competitivos de las entidades sometidas al Estatuto General de Contratación de la Administración Pública. Con las excepciones previstas en el ordenamiento jurídico, </w:t>
      </w:r>
      <w:r w:rsidRPr="00E40017">
        <w:rPr>
          <w:rFonts w:ascii="Verdana" w:eastAsia="Calibri" w:hAnsi="Verdana" w:cs="Arial"/>
          <w:color w:val="000000" w:themeColor="text1"/>
        </w:rPr>
        <w:t>esto significa que las Entidades Estatales deben garantizar la pluralidad de oferentes como condición necesaria para escoger la oferta más favorable a los intereses de la entidad. Esta prohibición de trato discriminatorio respecto a la posibilidad que tienen los proponentes de presentarse a las licitaciones o concursos, por ejemplo, con respecto al lugar de operación o domicilio, es acorde al principio de selección objetiva, el cual define el artículo 5 de la Ley 1150 de 2007 como la escogencia realizada sin tener en consideración factores de afecto o de interés y, en general, cualquier clase de motivación subjetiva. En el mismo sentido, la doctrina considera que:</w:t>
      </w:r>
    </w:p>
    <w:p w14:paraId="599C4A0C" w14:textId="77777777" w:rsidR="00DA6B62" w:rsidRPr="00E40017" w:rsidRDefault="00DA6B62" w:rsidP="00DA6B62">
      <w:pPr>
        <w:spacing w:after="0" w:line="276" w:lineRule="auto"/>
        <w:jc w:val="both"/>
        <w:rPr>
          <w:rFonts w:ascii="Verdana" w:eastAsia="Calibri" w:hAnsi="Verdana" w:cs="Arial"/>
          <w:color w:val="000000" w:themeColor="text1"/>
        </w:rPr>
      </w:pPr>
    </w:p>
    <w:p w14:paraId="5BD184E6" w14:textId="77777777" w:rsidR="00DA6B62" w:rsidRPr="004A0421" w:rsidRDefault="00DA6B62" w:rsidP="00DA6B62">
      <w:pPr>
        <w:spacing w:after="0" w:line="240" w:lineRule="auto"/>
        <w:ind w:left="709" w:right="709"/>
        <w:jc w:val="both"/>
        <w:rPr>
          <w:rFonts w:ascii="Verdana" w:eastAsia="Calibri" w:hAnsi="Verdana" w:cs="Arial"/>
          <w:color w:val="000000" w:themeColor="text1"/>
          <w:sz w:val="20"/>
          <w:szCs w:val="20"/>
        </w:rPr>
      </w:pPr>
      <w:r w:rsidRPr="00E40017">
        <w:rPr>
          <w:rFonts w:ascii="Verdana" w:eastAsia="Calibri" w:hAnsi="Verdana" w:cs="Arial"/>
          <w:color w:val="000000" w:themeColor="text1"/>
          <w:sz w:val="21"/>
          <w:szCs w:val="21"/>
        </w:rPr>
        <w:t>“</w:t>
      </w:r>
      <w:r w:rsidRPr="004A0421">
        <w:rPr>
          <w:rFonts w:ascii="Verdana" w:eastAsia="Calibri" w:hAnsi="Verdana" w:cs="Arial"/>
          <w:color w:val="000000" w:themeColor="text1"/>
          <w:sz w:val="20"/>
          <w:szCs w:val="20"/>
        </w:rPr>
        <w:t>La concurrencia tiene por objeto lograr que al procedimiento licitatorio se presente la mayor cantidad posible de oferentes; porque si lo que la Administración pretende para satisfacer en la mejor forma sus intereses públicos, es contratar con el particular que ofrezca las mejores garantías para el cumplimiento del objeto contractual, es necesario que a la compulsa hayan podido acudir todos los interesados en participar que estén capacitados para brindar la prestación requerida.</w:t>
      </w:r>
    </w:p>
    <w:p w14:paraId="0FE463E5" w14:textId="77777777" w:rsidR="00DA6B62" w:rsidRPr="004A0421" w:rsidRDefault="00DA6B62" w:rsidP="00DA6B62">
      <w:pPr>
        <w:spacing w:after="120" w:line="240" w:lineRule="auto"/>
        <w:ind w:left="709" w:right="709"/>
        <w:jc w:val="both"/>
        <w:rPr>
          <w:rFonts w:ascii="Verdana" w:eastAsia="Calibri" w:hAnsi="Verdana" w:cs="Arial"/>
          <w:color w:val="000000" w:themeColor="text1"/>
          <w:sz w:val="20"/>
          <w:szCs w:val="20"/>
        </w:rPr>
      </w:pPr>
      <w:r w:rsidRPr="004A0421">
        <w:rPr>
          <w:rFonts w:ascii="Verdana" w:eastAsia="Calibri" w:hAnsi="Verdana" w:cs="Arial"/>
          <w:color w:val="000000" w:themeColor="text1"/>
          <w:sz w:val="20"/>
          <w:szCs w:val="20"/>
        </w:rPr>
        <w:t>[…]</w:t>
      </w:r>
    </w:p>
    <w:p w14:paraId="47D8F0BA" w14:textId="77777777" w:rsidR="00DA6B62" w:rsidRPr="004A0421" w:rsidRDefault="00DA6B62" w:rsidP="00DA6B62">
      <w:pPr>
        <w:spacing w:after="120" w:line="240" w:lineRule="auto"/>
        <w:ind w:left="709" w:right="709"/>
        <w:jc w:val="both"/>
        <w:rPr>
          <w:rFonts w:ascii="Verdana" w:eastAsia="Calibri" w:hAnsi="Verdana" w:cs="Arial"/>
          <w:color w:val="000000" w:themeColor="text1"/>
          <w:sz w:val="20"/>
          <w:szCs w:val="20"/>
        </w:rPr>
      </w:pPr>
      <w:r w:rsidRPr="004A0421">
        <w:rPr>
          <w:rFonts w:ascii="Verdana" w:eastAsia="Calibri" w:hAnsi="Verdana" w:cs="Arial"/>
          <w:color w:val="000000" w:themeColor="text1"/>
          <w:sz w:val="20"/>
          <w:szCs w:val="20"/>
        </w:rPr>
        <w:t>La concurrencia no significa enfrentamiento en el sentido de disputa entre los interesados, ella no supone el litigio en el sentido técnico procesal; es decir, que no hay litis, porque los participantes no acuden ante la autoridad administrativa para que ésta resuelva, como juez, un conflicto jurídico; los participantes son, en realidad, proponentes cuya actividad se limita, en principio, a presentar sus antecedentes y propuestas, en orden al emprendimiento licitado.</w:t>
      </w:r>
    </w:p>
    <w:p w14:paraId="6897F3AC" w14:textId="77777777" w:rsidR="00DA6B62" w:rsidRPr="004A0421" w:rsidRDefault="00DA6B62" w:rsidP="00DA6B62">
      <w:pPr>
        <w:spacing w:after="0" w:line="240" w:lineRule="auto"/>
        <w:ind w:left="709" w:right="709"/>
        <w:jc w:val="both"/>
        <w:rPr>
          <w:rFonts w:ascii="Verdana" w:eastAsia="Calibri" w:hAnsi="Verdana" w:cs="Arial"/>
          <w:color w:val="000000" w:themeColor="text1"/>
          <w:sz w:val="20"/>
          <w:szCs w:val="20"/>
        </w:rPr>
      </w:pPr>
      <w:r w:rsidRPr="004A0421">
        <w:rPr>
          <w:rFonts w:ascii="Verdana" w:eastAsia="Calibri" w:hAnsi="Verdana" w:cs="Arial"/>
          <w:color w:val="000000" w:themeColor="text1"/>
          <w:sz w:val="20"/>
          <w:szCs w:val="20"/>
        </w:rPr>
        <w:t>Existe, sí, oposición, la que consiste en un procedimiento selectivo que da lugar a que se comparen y evalúen las distintas ofertas, para escoger de entre ellas la más conveniente; pero no se da entre los postulantes una situación de contienda, sino, en todo caso, de competencia industrial, comercial, profesional, técnica o de todas ellas combinadas, entre quienes aspiran a ser admitidos en igualdad de condiciones en ese procedimiento y tratados con equidad”</w:t>
      </w:r>
      <w:r w:rsidRPr="004A0421">
        <w:rPr>
          <w:rStyle w:val="Refdenotaalpie"/>
          <w:rFonts w:ascii="Verdana" w:eastAsia="Calibri" w:hAnsi="Verdana" w:cs="Arial"/>
          <w:color w:val="000000" w:themeColor="text1"/>
          <w:sz w:val="20"/>
          <w:szCs w:val="20"/>
        </w:rPr>
        <w:footnoteReference w:id="15"/>
      </w:r>
      <w:r w:rsidRPr="004A0421">
        <w:rPr>
          <w:rFonts w:ascii="Verdana" w:eastAsia="Calibri" w:hAnsi="Verdana" w:cs="Arial"/>
          <w:color w:val="000000" w:themeColor="text1"/>
          <w:sz w:val="20"/>
          <w:szCs w:val="20"/>
        </w:rPr>
        <w:t>.</w:t>
      </w:r>
    </w:p>
    <w:p w14:paraId="286C011A" w14:textId="77777777" w:rsidR="00DA6B62" w:rsidRPr="004A0421" w:rsidRDefault="00DA6B62" w:rsidP="00DA6B62">
      <w:pPr>
        <w:spacing w:after="0" w:line="276" w:lineRule="auto"/>
        <w:jc w:val="both"/>
        <w:rPr>
          <w:rFonts w:ascii="Verdana" w:eastAsia="Calibri" w:hAnsi="Verdana" w:cs="Arial"/>
          <w:color w:val="000000" w:themeColor="text1"/>
          <w:sz w:val="20"/>
          <w:szCs w:val="20"/>
        </w:rPr>
      </w:pPr>
    </w:p>
    <w:p w14:paraId="52730056" w14:textId="77777777" w:rsidR="00DA6B62" w:rsidRPr="00E40017" w:rsidRDefault="00DA6B62" w:rsidP="00DA6B62">
      <w:pPr>
        <w:spacing w:after="120" w:line="276" w:lineRule="auto"/>
        <w:ind w:firstLine="708"/>
        <w:jc w:val="both"/>
        <w:rPr>
          <w:rFonts w:ascii="Verdana" w:eastAsia="Calibri" w:hAnsi="Verdana" w:cs="Arial"/>
          <w:color w:val="000000" w:themeColor="text1"/>
        </w:rPr>
      </w:pPr>
      <w:r w:rsidRPr="00E40017">
        <w:rPr>
          <w:rFonts w:ascii="Verdana" w:eastAsia="Calibri" w:hAnsi="Verdana" w:cs="Arial"/>
          <w:color w:val="000000" w:themeColor="text1"/>
        </w:rPr>
        <w:t>El principio jurídico de la libre concurrencia garantiza la oposición entre los oferentes, y –como contrapartida– establece una prohibición para el Estado de restringir su participación</w:t>
      </w:r>
      <w:r w:rsidRPr="00E40017">
        <w:rPr>
          <w:rStyle w:val="Refdenotaalpie"/>
          <w:rFonts w:ascii="Verdana" w:eastAsia="Calibri" w:hAnsi="Verdana" w:cs="Arial"/>
          <w:color w:val="000000" w:themeColor="text1"/>
        </w:rPr>
        <w:footnoteReference w:id="16"/>
      </w:r>
      <w:r w:rsidRPr="00E40017">
        <w:rPr>
          <w:rFonts w:ascii="Verdana" w:eastAsia="Calibri" w:hAnsi="Verdana" w:cs="Arial"/>
          <w:color w:val="000000" w:themeColor="text1"/>
        </w:rPr>
        <w:t>. En esta perspectiva, es una derivación del principio de igualdad, pues supone la intervención del mayor número de candidatos en un régimen de libre competencia. Ambos se concretan en la prohibición de limitar la presentación de ofertas, pues son importantes para evitar discriminaciones, por ejemplo, por razón de la nacionalidad pretendiendo favorecer a los nacionales frente a extranjeros, y también se oponen a la exigencia de criterios de territorialidad que vulneren la libertad de empresa en una economía de mercado</w:t>
      </w:r>
      <w:r w:rsidRPr="00E40017">
        <w:rPr>
          <w:rStyle w:val="Refdenotaalpie"/>
          <w:rFonts w:ascii="Verdana" w:eastAsia="Calibri" w:hAnsi="Verdana" w:cs="Arial"/>
          <w:color w:val="000000" w:themeColor="text1"/>
        </w:rPr>
        <w:footnoteReference w:id="17"/>
      </w:r>
      <w:r w:rsidRPr="00E40017">
        <w:rPr>
          <w:rFonts w:ascii="Verdana" w:eastAsia="Calibri" w:hAnsi="Verdana" w:cs="Arial"/>
          <w:color w:val="000000" w:themeColor="text1"/>
        </w:rPr>
        <w:t xml:space="preserve">. </w:t>
      </w:r>
    </w:p>
    <w:p w14:paraId="20E0BE6F" w14:textId="77777777" w:rsidR="00DA6B62" w:rsidRDefault="00DA6B62" w:rsidP="00DA6B62">
      <w:pPr>
        <w:spacing w:after="120" w:line="276" w:lineRule="auto"/>
        <w:ind w:firstLine="708"/>
        <w:jc w:val="both"/>
        <w:rPr>
          <w:rFonts w:ascii="Verdana" w:eastAsia="Century Gothic" w:hAnsi="Verdana" w:cs="Century Gothic"/>
          <w:i/>
          <w:color w:val="000000" w:themeColor="text1"/>
          <w:sz w:val="20"/>
          <w:szCs w:val="20"/>
        </w:rPr>
      </w:pPr>
      <w:r w:rsidRPr="00E40017">
        <w:rPr>
          <w:rFonts w:ascii="Verdana" w:eastAsia="Calibri" w:hAnsi="Verdana" w:cs="Arial"/>
          <w:color w:val="000000" w:themeColor="text1"/>
        </w:rPr>
        <w:t>Por ello, en el Concepto</w:t>
      </w:r>
      <w:r w:rsidRPr="00E40017">
        <w:rPr>
          <w:rFonts w:ascii="Verdana" w:eastAsia="Calibri" w:hAnsi="Verdana" w:cs="Arial"/>
          <w:color w:val="000000" w:themeColor="text1"/>
          <w:lang w:val="es-ES"/>
        </w:rPr>
        <w:t xml:space="preserve"> 2201913000006511 del 3 de septiembre de 2019 </w:t>
      </w:r>
      <w:r w:rsidRPr="00E40017">
        <w:rPr>
          <w:rFonts w:ascii="Verdana" w:eastAsia="Calibri" w:hAnsi="Verdana" w:cs="Arial"/>
          <w:color w:val="000000" w:themeColor="text1"/>
        </w:rPr>
        <w:t>y en el C–032 del 16 de abril de 2024, la Agencia</w:t>
      </w:r>
      <w:r w:rsidRPr="00E40017">
        <w:rPr>
          <w:rFonts w:ascii="Verdana" w:eastAsia="Calibri" w:hAnsi="Verdana" w:cs="Arial"/>
          <w:color w:val="000000" w:themeColor="text1"/>
          <w:lang w:val="es-ES"/>
        </w:rPr>
        <w:t xml:space="preserve"> sostuvo que, por regla general, las entidades no pueden exigir como requisito habilitante que el proponente tenga residencia en el lugar donde se ejecutará el contrato, pues afecta la libre competencia de los procesos de contratación y es una cláusula discriminatoria, sin dejar de lado que no garantiza la aptitud del proponente para ejecutar el objeto del contrato</w:t>
      </w:r>
      <w:r w:rsidRPr="00E40017">
        <w:rPr>
          <w:rStyle w:val="Refdenotaalpie"/>
          <w:rFonts w:ascii="Verdana" w:eastAsia="Calibri" w:hAnsi="Verdana" w:cs="Arial"/>
          <w:color w:val="000000" w:themeColor="text1"/>
          <w:lang w:val="es-ES"/>
        </w:rPr>
        <w:footnoteReference w:id="18"/>
      </w:r>
      <w:r w:rsidRPr="00E40017">
        <w:rPr>
          <w:rFonts w:ascii="Verdana" w:eastAsia="Calibri" w:hAnsi="Verdana" w:cs="Arial"/>
          <w:color w:val="000000" w:themeColor="text1"/>
          <w:lang w:val="es-ES"/>
        </w:rPr>
        <w:t xml:space="preserve"> </w:t>
      </w:r>
      <w:r w:rsidRPr="00E40017">
        <w:rPr>
          <w:rStyle w:val="Refdenotaalpie"/>
          <w:rFonts w:ascii="Verdana" w:eastAsia="Calibri" w:hAnsi="Verdana" w:cs="Arial"/>
          <w:color w:val="000000" w:themeColor="text1"/>
          <w:lang w:val="es-ES"/>
        </w:rPr>
        <w:footnoteReference w:id="19"/>
      </w:r>
      <w:r w:rsidRPr="00E40017">
        <w:rPr>
          <w:rFonts w:ascii="Verdana" w:eastAsia="Calibri" w:hAnsi="Verdana" w:cs="Arial"/>
          <w:color w:val="000000" w:themeColor="text1"/>
          <w:lang w:val="es-ES"/>
        </w:rPr>
        <w:t xml:space="preserve">; análisis que también es procedente con respecto a la </w:t>
      </w:r>
      <w:r w:rsidRPr="00E40017">
        <w:rPr>
          <w:rFonts w:ascii="Verdana" w:eastAsia="Calibri" w:hAnsi="Verdana" w:cs="Arial"/>
          <w:color w:val="000000" w:themeColor="text1"/>
          <w:lang w:val="es-ES"/>
        </w:rPr>
        <w:lastRenderedPageBreak/>
        <w:t>inclusión de requisitos como el referido en su consulta frente a la existencia de una sucursal como requisito para participar en el Proceso de Contratación.</w:t>
      </w:r>
      <w:r w:rsidRPr="00E40017">
        <w:rPr>
          <w:rFonts w:ascii="Verdana" w:eastAsia="Century Gothic" w:hAnsi="Verdana" w:cs="Century Gothic"/>
          <w:i/>
          <w:color w:val="000000" w:themeColor="text1"/>
          <w:sz w:val="20"/>
          <w:szCs w:val="20"/>
        </w:rPr>
        <w:t xml:space="preserve"> </w:t>
      </w:r>
    </w:p>
    <w:p w14:paraId="68F65DF9" w14:textId="77777777" w:rsidR="00DA6B62" w:rsidRDefault="00DA6B62" w:rsidP="00DA6B62">
      <w:pPr>
        <w:spacing w:after="120" w:line="276" w:lineRule="auto"/>
        <w:ind w:right="51" w:firstLine="709"/>
        <w:jc w:val="both"/>
        <w:rPr>
          <w:rFonts w:ascii="Verdana" w:eastAsia="Calibri" w:hAnsi="Verdana" w:cs="Arial"/>
          <w:color w:val="000000" w:themeColor="text1"/>
        </w:rPr>
      </w:pPr>
      <w:r w:rsidRPr="001E77F1">
        <w:rPr>
          <w:rFonts w:ascii="Verdana" w:eastAsia="Calibri" w:hAnsi="Verdana" w:cs="Arial"/>
          <w:color w:val="000000" w:themeColor="text1"/>
          <w:lang w:val="es-MX"/>
        </w:rPr>
        <w:t>Muestra de lo anterior es que incluso en el caso de las sociedades extranjeras, frente a las cuales el artículo 471</w:t>
      </w:r>
      <w:r w:rsidRPr="00E40017">
        <w:rPr>
          <w:rFonts w:ascii="Verdana" w:hAnsi="Verdana" w:cs="Arial"/>
          <w:color w:val="000000" w:themeColor="text1"/>
        </w:rPr>
        <w:t xml:space="preserve"> del Código de Comercio impone que deban establecer una sucursal con domicilio en el territorio nacional, la </w:t>
      </w:r>
      <w:r w:rsidRPr="00E40017">
        <w:rPr>
          <w:rFonts w:ascii="Verdana" w:eastAsia="Calibri" w:hAnsi="Verdana" w:cs="Arial"/>
          <w:color w:val="000000" w:themeColor="text1"/>
        </w:rPr>
        <w:t>Agencia Nacional de Contratación Pública – Colombia Compra Eficiente ha precisado que “</w:t>
      </w:r>
      <w:r w:rsidRPr="00E40017">
        <w:rPr>
          <w:rFonts w:ascii="Verdana" w:eastAsia="Calibri" w:hAnsi="Verdana" w:cs="Arial"/>
          <w:color w:val="000000" w:themeColor="text1"/>
          <w:lang w:val="es-MX"/>
        </w:rPr>
        <w:t>Para la presentación de la oferta no será necesario que se constituya una sucursal en Colombia pues esto solo es obligatorio si se resulta adjudicatario en Procesos de Contratación que tengan por objeto la construcción de obras o la prestación de servicios, pues en estos dos casos, se entiende que la persona jurídica extranjera está ejerciendo negocios permanentes en Colombia”</w:t>
      </w:r>
      <w:r w:rsidRPr="00E40017">
        <w:rPr>
          <w:rStyle w:val="Refdenotaalpie"/>
          <w:rFonts w:ascii="Verdana" w:hAnsi="Verdana" w:cs="Arial"/>
          <w:color w:val="000000" w:themeColor="text1"/>
        </w:rPr>
        <w:footnoteReference w:id="20"/>
      </w:r>
      <w:r w:rsidRPr="00E40017">
        <w:rPr>
          <w:rFonts w:ascii="Verdana" w:eastAsia="Calibri" w:hAnsi="Verdana" w:cs="Arial"/>
          <w:color w:val="000000" w:themeColor="text1"/>
          <w:lang w:val="es-MX"/>
        </w:rPr>
        <w:t>.</w:t>
      </w:r>
      <w:r w:rsidRPr="00E40017">
        <w:rPr>
          <w:rFonts w:ascii="Verdana" w:eastAsia="Calibri" w:hAnsi="Verdana" w:cs="Arial"/>
          <w:color w:val="000000" w:themeColor="text1"/>
        </w:rPr>
        <w:t xml:space="preserve"> En efecto, resultaría aún más gravoso exigir a una sociedad nacional, frente a la cual la norma no lo impone, la constitución o existencia previa de una sucursal en un territorio específico, como requisito para la participación o habilitación en el marco de un Proceso de Contratación estatal. </w:t>
      </w:r>
    </w:p>
    <w:p w14:paraId="4E7FF565" w14:textId="77777777" w:rsidR="00DA6B62" w:rsidRDefault="00DA6B62" w:rsidP="00DA6B62">
      <w:pPr>
        <w:spacing w:after="120" w:line="276" w:lineRule="auto"/>
        <w:ind w:right="51" w:firstLine="709"/>
        <w:jc w:val="both"/>
        <w:rPr>
          <w:rFonts w:ascii="Verdana" w:eastAsia="Calibri" w:hAnsi="Verdana" w:cs="Arial"/>
          <w:color w:val="000000" w:themeColor="text1"/>
        </w:rPr>
      </w:pPr>
      <w:r>
        <w:rPr>
          <w:rFonts w:ascii="Verdana" w:eastAsia="Calibri" w:hAnsi="Verdana" w:cs="Arial"/>
          <w:color w:val="000000" w:themeColor="text1"/>
        </w:rPr>
        <w:t xml:space="preserve">En esta línea, el Consejo de Estado en sentencia del 19 de mayo de 2025 analizó </w:t>
      </w:r>
      <w:r w:rsidRPr="00F04B42">
        <w:rPr>
          <w:rFonts w:ascii="Verdana" w:eastAsia="Calibri" w:hAnsi="Verdana" w:cs="Arial"/>
          <w:color w:val="000000" w:themeColor="text1"/>
        </w:rPr>
        <w:t xml:space="preserve">si </w:t>
      </w:r>
      <w:r>
        <w:rPr>
          <w:rFonts w:ascii="Verdana" w:eastAsia="Calibri" w:hAnsi="Verdana" w:cs="Arial"/>
          <w:color w:val="000000" w:themeColor="text1"/>
        </w:rPr>
        <w:t>un</w:t>
      </w:r>
      <w:r w:rsidRPr="00F04B42">
        <w:rPr>
          <w:rFonts w:ascii="Verdana" w:eastAsia="Calibri" w:hAnsi="Verdana" w:cs="Arial"/>
          <w:color w:val="000000" w:themeColor="text1"/>
        </w:rPr>
        <w:t xml:space="preserve"> pliego de condiciones </w:t>
      </w:r>
      <w:r>
        <w:rPr>
          <w:rFonts w:ascii="Verdana" w:eastAsia="Calibri" w:hAnsi="Verdana" w:cs="Arial"/>
          <w:color w:val="000000" w:themeColor="text1"/>
        </w:rPr>
        <w:t xml:space="preserve">que incluyó como requisito el </w:t>
      </w:r>
      <w:r w:rsidRPr="00F04B42">
        <w:rPr>
          <w:rFonts w:ascii="Verdana" w:eastAsia="Calibri" w:hAnsi="Verdana" w:cs="Arial"/>
          <w:color w:val="000000" w:themeColor="text1"/>
        </w:rPr>
        <w:t xml:space="preserve">domicilio </w:t>
      </w:r>
      <w:r>
        <w:rPr>
          <w:rFonts w:ascii="Verdana" w:eastAsia="Calibri" w:hAnsi="Verdana" w:cs="Arial"/>
          <w:color w:val="000000" w:themeColor="text1"/>
        </w:rPr>
        <w:t xml:space="preserve">en un lugar específico desconoció </w:t>
      </w:r>
      <w:r w:rsidRPr="00F04B42">
        <w:rPr>
          <w:rFonts w:ascii="Verdana" w:eastAsia="Calibri" w:hAnsi="Verdana" w:cs="Arial"/>
          <w:color w:val="000000" w:themeColor="text1"/>
        </w:rPr>
        <w:t>el principio de selección objetiva</w:t>
      </w:r>
      <w:r>
        <w:rPr>
          <w:rFonts w:ascii="Verdana" w:eastAsia="Calibri" w:hAnsi="Verdana" w:cs="Arial"/>
          <w:color w:val="000000" w:themeColor="text1"/>
        </w:rPr>
        <w:t xml:space="preserve">. Para lo anterior, el Consejo de Estado consideró relevante analizar si </w:t>
      </w:r>
      <w:r w:rsidRPr="00F04B42">
        <w:rPr>
          <w:rFonts w:ascii="Verdana" w:eastAsia="Calibri" w:hAnsi="Verdana" w:cs="Arial"/>
          <w:color w:val="000000" w:themeColor="text1"/>
        </w:rPr>
        <w:t>el </w:t>
      </w:r>
      <w:r w:rsidRPr="004A0421">
        <w:rPr>
          <w:rFonts w:ascii="Verdana" w:eastAsia="Calibri" w:hAnsi="Verdana" w:cs="Arial"/>
          <w:color w:val="000000" w:themeColor="text1"/>
        </w:rPr>
        <w:t>domicilio</w:t>
      </w:r>
      <w:r w:rsidRPr="00F04B42">
        <w:rPr>
          <w:rFonts w:ascii="Verdana" w:eastAsia="Calibri" w:hAnsi="Verdana" w:cs="Arial"/>
          <w:i/>
          <w:iCs/>
          <w:color w:val="000000" w:themeColor="text1"/>
        </w:rPr>
        <w:t> </w:t>
      </w:r>
      <w:r w:rsidRPr="00F04B42">
        <w:rPr>
          <w:rFonts w:ascii="Verdana" w:eastAsia="Calibri" w:hAnsi="Verdana" w:cs="Arial"/>
          <w:color w:val="000000" w:themeColor="text1"/>
        </w:rPr>
        <w:t>permitía cumplir el objeto y finalidades por las cuales se estableció la regla de habilitación técnica</w:t>
      </w:r>
      <w:r>
        <w:rPr>
          <w:rFonts w:ascii="Verdana" w:eastAsia="Calibri" w:hAnsi="Verdana" w:cs="Arial"/>
          <w:color w:val="000000" w:themeColor="text1"/>
        </w:rPr>
        <w:t>, al respecto señaló que:</w:t>
      </w:r>
    </w:p>
    <w:p w14:paraId="1DF5F8AA" w14:textId="77777777" w:rsidR="00DA6B62" w:rsidRPr="00FE0B99" w:rsidRDefault="00DA6B62" w:rsidP="00DA6B62">
      <w:pPr>
        <w:spacing w:after="120" w:line="240" w:lineRule="auto"/>
        <w:ind w:left="709" w:right="709"/>
        <w:jc w:val="both"/>
        <w:rPr>
          <w:rFonts w:ascii="Verdana" w:eastAsia="Calibri" w:hAnsi="Verdana" w:cs="Arial"/>
          <w:color w:val="000000" w:themeColor="text1"/>
          <w:sz w:val="20"/>
          <w:szCs w:val="20"/>
        </w:rPr>
      </w:pPr>
      <w:r w:rsidRPr="00FE0B99">
        <w:rPr>
          <w:rFonts w:ascii="Verdana" w:eastAsia="Calibri" w:hAnsi="Verdana" w:cs="Arial"/>
          <w:color w:val="000000" w:themeColor="text1"/>
          <w:sz w:val="20"/>
          <w:szCs w:val="20"/>
        </w:rPr>
        <w:t>[…] conforme a tal atributo, no se advierte de qué manera la exigencia de que las personas jurídicas proponentes tuvieran domicilio principal en el Municipio podía generar los efectos que dijo perseguir la entidad, para justificar la discriminación positiva que se estaba incluyendo en la regla habilitante </w:t>
      </w:r>
      <w:r w:rsidRPr="00FE0B99">
        <w:rPr>
          <w:rFonts w:ascii="Verdana" w:eastAsia="Calibri" w:hAnsi="Verdana" w:cs="Arial"/>
          <w:i/>
          <w:iCs/>
          <w:color w:val="000000" w:themeColor="text1"/>
          <w:sz w:val="20"/>
          <w:szCs w:val="20"/>
        </w:rPr>
        <w:t>sub examine</w:t>
      </w:r>
      <w:r w:rsidRPr="00FE0B99">
        <w:rPr>
          <w:rFonts w:ascii="Verdana" w:eastAsia="Calibri" w:hAnsi="Verdana" w:cs="Arial"/>
          <w:color w:val="000000" w:themeColor="text1"/>
          <w:sz w:val="20"/>
          <w:szCs w:val="20"/>
        </w:rPr>
        <w:t xml:space="preserve">. Lo anterior, si se tiene en cuenta que la determinación de tal lugar guarda conexión con la ejecución de los derechos sociales, sin una vinculación efectiva con la prestación de la </w:t>
      </w:r>
      <w:r w:rsidRPr="00FE0B99">
        <w:rPr>
          <w:rFonts w:ascii="Verdana" w:eastAsia="Calibri" w:hAnsi="Verdana" w:cs="Arial"/>
          <w:color w:val="000000" w:themeColor="text1"/>
          <w:sz w:val="20"/>
          <w:szCs w:val="20"/>
        </w:rPr>
        <w:lastRenderedPageBreak/>
        <w:t>actividad prevista en los estatutos sociales y habilitada por la autoridad competente, que era el objeto mismo del proceso de selección.</w:t>
      </w:r>
    </w:p>
    <w:p w14:paraId="0051447D" w14:textId="77777777" w:rsidR="00DA6B62" w:rsidRPr="00710298" w:rsidRDefault="00DA6B62" w:rsidP="00DA6B62">
      <w:pPr>
        <w:spacing w:after="120" w:line="240" w:lineRule="auto"/>
        <w:ind w:left="709" w:right="709"/>
        <w:jc w:val="both"/>
        <w:rPr>
          <w:rFonts w:ascii="Verdana" w:eastAsia="Calibri" w:hAnsi="Verdana" w:cs="Arial"/>
          <w:color w:val="000000" w:themeColor="text1"/>
          <w:sz w:val="20"/>
          <w:szCs w:val="20"/>
        </w:rPr>
      </w:pPr>
      <w:r w:rsidRPr="00FE0B99">
        <w:rPr>
          <w:rFonts w:ascii="Verdana" w:eastAsia="Calibri" w:hAnsi="Verdana" w:cs="Arial"/>
          <w:color w:val="000000" w:themeColor="text1"/>
          <w:sz w:val="20"/>
          <w:szCs w:val="20"/>
        </w:rPr>
        <w:t xml:space="preserve">[…]  </w:t>
      </w:r>
      <w:r w:rsidRPr="00710298">
        <w:rPr>
          <w:rFonts w:ascii="Verdana" w:eastAsia="Calibri" w:hAnsi="Verdana" w:cs="Arial"/>
          <w:color w:val="000000" w:themeColor="text1"/>
          <w:sz w:val="20"/>
          <w:szCs w:val="20"/>
        </w:rPr>
        <w:t>Ante la constatación de que el domicilio de las personas jurídicas sólo tiene relevancia para el desarrollo de sus órganos sociales –sin perjuicio de los efectos asociados a aspectos procesales–, la Sala no encuentra que la ejecución de una</w:t>
      </w:r>
      <w:r w:rsidRPr="00FE0B99">
        <w:rPr>
          <w:rFonts w:ascii="Montserrat" w:hAnsi="Montserrat"/>
          <w:color w:val="555555"/>
          <w:spacing w:val="2"/>
          <w:sz w:val="20"/>
          <w:szCs w:val="20"/>
          <w:shd w:val="clear" w:color="auto" w:fill="FFFFFF"/>
        </w:rPr>
        <w:t xml:space="preserve"> </w:t>
      </w:r>
      <w:r w:rsidRPr="00FE0B99">
        <w:rPr>
          <w:rFonts w:ascii="Verdana" w:eastAsia="Calibri" w:hAnsi="Verdana" w:cs="Arial"/>
          <w:color w:val="000000" w:themeColor="text1"/>
          <w:sz w:val="20"/>
          <w:szCs w:val="20"/>
        </w:rPr>
        <w:t>actividad consagrada como parte de su objeto social pueda verse obstaculizada ante el hecho de tener que prestar el servicio en un territorio distinto al de su domicilio principal.</w:t>
      </w:r>
    </w:p>
    <w:p w14:paraId="48BD21C3" w14:textId="77777777" w:rsidR="00DA6B62" w:rsidRDefault="00DA6B62" w:rsidP="00DA6B62">
      <w:pPr>
        <w:spacing w:after="120" w:line="240" w:lineRule="auto"/>
        <w:ind w:left="709" w:right="709"/>
        <w:jc w:val="both"/>
        <w:rPr>
          <w:rFonts w:ascii="Verdana" w:eastAsia="Calibri" w:hAnsi="Verdana" w:cs="Arial"/>
          <w:color w:val="000000" w:themeColor="text1"/>
          <w:sz w:val="20"/>
          <w:szCs w:val="20"/>
        </w:rPr>
      </w:pPr>
      <w:r w:rsidRPr="00FE0B99">
        <w:rPr>
          <w:rFonts w:ascii="Verdana" w:eastAsia="Calibri" w:hAnsi="Verdana" w:cs="Arial"/>
          <w:color w:val="000000" w:themeColor="text1"/>
          <w:sz w:val="20"/>
          <w:szCs w:val="20"/>
        </w:rPr>
        <w:t xml:space="preserve">[…] </w:t>
      </w:r>
      <w:r w:rsidRPr="00710298">
        <w:rPr>
          <w:rFonts w:ascii="Verdana" w:eastAsia="Calibri" w:hAnsi="Verdana" w:cs="Arial"/>
          <w:color w:val="000000" w:themeColor="text1"/>
          <w:sz w:val="20"/>
          <w:szCs w:val="20"/>
        </w:rPr>
        <w:t>Por tanto, la Sala no encuentra razones valederas que justifiquen la decisión de la Administración de hacer del domicilio un requisito habilitante de orden técnico, pues no se tienen luces de la forma en que tal atributo podría respaldar la prestación del servicio y permitiera sortear las eventualidades (aducidas como fundamento de tal inclusión), para garantizar que el </w:t>
      </w:r>
      <w:r w:rsidRPr="00710298">
        <w:rPr>
          <w:rFonts w:ascii="Verdana" w:eastAsia="Calibri" w:hAnsi="Verdana" w:cs="Arial"/>
          <w:i/>
          <w:color w:val="000000" w:themeColor="text1"/>
          <w:sz w:val="20"/>
          <w:szCs w:val="20"/>
        </w:rPr>
        <w:t>"tiempo de respuesta sea más corto, al tener la disposición de los vehículos dentro del área urbana y rural de la entidad contratante", </w:t>
      </w:r>
      <w:r w:rsidRPr="00710298">
        <w:rPr>
          <w:rFonts w:ascii="Verdana" w:eastAsia="Calibri" w:hAnsi="Verdana" w:cs="Arial"/>
          <w:color w:val="000000" w:themeColor="text1"/>
          <w:sz w:val="20"/>
          <w:szCs w:val="20"/>
        </w:rPr>
        <w:t>pues tal objetivo, realmente, hace parte del ámbito de la operatividad del proponente y no de la conformación del domicilio en la sede de municipio demandado.</w:t>
      </w:r>
    </w:p>
    <w:p w14:paraId="1AC51215" w14:textId="77777777" w:rsidR="00DA6B62" w:rsidRDefault="00DA6B62" w:rsidP="00DA6B62">
      <w:pPr>
        <w:spacing w:after="0" w:line="240" w:lineRule="auto"/>
        <w:ind w:left="709" w:right="709"/>
        <w:jc w:val="both"/>
        <w:rPr>
          <w:rFonts w:ascii="Verdana" w:eastAsia="Calibri" w:hAnsi="Verdana" w:cs="Arial"/>
          <w:color w:val="000000" w:themeColor="text1"/>
          <w:sz w:val="20"/>
          <w:szCs w:val="20"/>
        </w:rPr>
      </w:pPr>
      <w:r>
        <w:rPr>
          <w:rFonts w:ascii="Verdana" w:eastAsia="Calibri" w:hAnsi="Verdana" w:cs="Arial"/>
          <w:color w:val="000000" w:themeColor="text1"/>
          <w:sz w:val="20"/>
          <w:szCs w:val="20"/>
        </w:rPr>
        <w:t xml:space="preserve">[…] </w:t>
      </w:r>
      <w:r w:rsidRPr="00710298">
        <w:rPr>
          <w:rFonts w:ascii="Verdana" w:eastAsia="Calibri" w:hAnsi="Verdana" w:cs="Arial"/>
          <w:color w:val="000000" w:themeColor="text1"/>
          <w:sz w:val="20"/>
          <w:szCs w:val="20"/>
        </w:rPr>
        <w:t>En suma, la determinación del domicilio de los proponentes en el Municipio como requisito técnico de habilitación resulta en una exigencia infundada, pues dicho atributo no se corresponde con las razones aducidas para su exigencia, no afecta la prestación del servicio por contratar, tampoco concierne a un elemento sin el cual no puede efectuarse la prestación del servicio de transporte escolar; por el contrario, lo que se advierte es que éste configura una regla ajena a la selección objetiva, en tanto que establece un supuesto que limita, sin justificación, la participación de multiplicidad de oferentes al proceso de contratación</w:t>
      </w:r>
      <w:r>
        <w:rPr>
          <w:rStyle w:val="Refdenotaalpie"/>
          <w:rFonts w:ascii="Verdana" w:eastAsia="Calibri" w:hAnsi="Verdana" w:cs="Arial"/>
          <w:color w:val="000000" w:themeColor="text1"/>
          <w:sz w:val="20"/>
          <w:szCs w:val="20"/>
        </w:rPr>
        <w:footnoteReference w:id="21"/>
      </w:r>
      <w:r w:rsidRPr="00710298">
        <w:rPr>
          <w:rFonts w:ascii="Verdana" w:eastAsia="Calibri" w:hAnsi="Verdana" w:cs="Arial"/>
          <w:color w:val="000000" w:themeColor="text1"/>
          <w:sz w:val="20"/>
          <w:szCs w:val="20"/>
        </w:rPr>
        <w:t>.</w:t>
      </w:r>
    </w:p>
    <w:p w14:paraId="15536222" w14:textId="77777777" w:rsidR="00DA6B62" w:rsidRPr="004A0421" w:rsidRDefault="00DA6B62" w:rsidP="00DA6B62">
      <w:pPr>
        <w:spacing w:after="0" w:line="240" w:lineRule="auto"/>
        <w:ind w:left="709" w:right="709"/>
        <w:jc w:val="both"/>
        <w:rPr>
          <w:rFonts w:ascii="Verdana" w:eastAsia="Calibri" w:hAnsi="Verdana" w:cs="Arial"/>
          <w:color w:val="000000" w:themeColor="text1"/>
          <w:sz w:val="20"/>
          <w:szCs w:val="20"/>
        </w:rPr>
      </w:pPr>
    </w:p>
    <w:p w14:paraId="3AE8762A" w14:textId="77777777" w:rsidR="00DA6B62" w:rsidRPr="00FE0B99" w:rsidRDefault="00DA6B62" w:rsidP="00DA6B62">
      <w:pPr>
        <w:spacing w:after="120" w:line="276" w:lineRule="auto"/>
        <w:ind w:firstLine="708"/>
        <w:jc w:val="both"/>
        <w:rPr>
          <w:rFonts w:ascii="Verdana" w:eastAsia="Calibri" w:hAnsi="Verdana" w:cs="Arial"/>
          <w:color w:val="000000" w:themeColor="text1"/>
        </w:rPr>
      </w:pPr>
      <w:r w:rsidRPr="00FE0B99">
        <w:rPr>
          <w:rFonts w:ascii="Verdana" w:eastAsia="Century Gothic" w:hAnsi="Verdana" w:cs="Century Gothic"/>
          <w:iCs/>
          <w:color w:val="000000" w:themeColor="text1"/>
        </w:rPr>
        <w:t>La Sala razonó que el domicilio es un atributo cuya relevancia se agota en el funcionamiento de los órganos sociales, sin vinculación efectiva con la ejecución de la actividad contratada; que la finalidad invocada por la entidad pertenec</w:t>
      </w:r>
      <w:r>
        <w:rPr>
          <w:rFonts w:ascii="Verdana" w:eastAsia="Century Gothic" w:hAnsi="Verdana" w:cs="Century Gothic"/>
          <w:iCs/>
          <w:color w:val="000000" w:themeColor="text1"/>
        </w:rPr>
        <w:t>ía</w:t>
      </w:r>
      <w:r w:rsidRPr="00FE0B99">
        <w:rPr>
          <w:rFonts w:ascii="Verdana" w:eastAsia="Century Gothic" w:hAnsi="Verdana" w:cs="Century Gothic"/>
          <w:iCs/>
          <w:color w:val="000000" w:themeColor="text1"/>
        </w:rPr>
        <w:t xml:space="preserve"> al ámbito operativo del proponente y podía asegurarse mediante obligaciones contractuales; y que la exigencia limitaba sin justificación la participación de múltiples oferentes, desconociendo los principios de selección objetiva, transparencia y libre concurrencia. Adicionalmente, es importante resaltar que la Sala rechazó expresamente el argumento de la entidad según el cual</w:t>
      </w:r>
      <w:r w:rsidRPr="00FE0B99">
        <w:rPr>
          <w:rFonts w:ascii="Verdana" w:eastAsia="Calibri" w:hAnsi="Verdana" w:cs="Arial"/>
          <w:color w:val="000000" w:themeColor="text1"/>
        </w:rPr>
        <w:t xml:space="preserve"> </w:t>
      </w:r>
      <w:r w:rsidRPr="00710298">
        <w:rPr>
          <w:rFonts w:ascii="Verdana" w:eastAsia="Calibri" w:hAnsi="Verdana" w:cs="Arial"/>
          <w:color w:val="000000" w:themeColor="text1"/>
        </w:rPr>
        <w:t>el requisito relacionado con el domicilio se venía informando en anteriores procesos</w:t>
      </w:r>
      <w:r w:rsidRPr="00FE0B99">
        <w:rPr>
          <w:rFonts w:ascii="Verdana" w:eastAsia="Calibri" w:hAnsi="Verdana" w:cs="Arial"/>
          <w:color w:val="000000" w:themeColor="text1"/>
        </w:rPr>
        <w:t>, de modo</w:t>
      </w:r>
      <w:r w:rsidRPr="00710298">
        <w:rPr>
          <w:rFonts w:ascii="Verdana" w:eastAsia="Calibri" w:hAnsi="Verdana" w:cs="Arial"/>
          <w:color w:val="000000" w:themeColor="text1"/>
        </w:rPr>
        <w:t xml:space="preserve"> que los proponentes habrían alcanzado a hacer su inscripción </w:t>
      </w:r>
      <w:r>
        <w:rPr>
          <w:rFonts w:ascii="Verdana" w:eastAsia="Calibri" w:hAnsi="Verdana" w:cs="Arial"/>
          <w:color w:val="000000" w:themeColor="text1"/>
        </w:rPr>
        <w:lastRenderedPageBreak/>
        <w:t>y cumplir el requisito en l</w:t>
      </w:r>
      <w:r w:rsidRPr="00710298">
        <w:rPr>
          <w:rFonts w:ascii="Verdana" w:eastAsia="Calibri" w:hAnsi="Verdana" w:cs="Arial"/>
          <w:color w:val="000000" w:themeColor="text1"/>
        </w:rPr>
        <w:t>a forma exigida</w:t>
      </w:r>
      <w:r w:rsidRPr="00FE0B99">
        <w:rPr>
          <w:rFonts w:ascii="Verdana" w:eastAsia="Calibri" w:hAnsi="Verdana" w:cs="Arial"/>
          <w:color w:val="000000" w:themeColor="text1"/>
        </w:rPr>
        <w:t>. Sobre est</w:t>
      </w:r>
      <w:r>
        <w:rPr>
          <w:rFonts w:ascii="Verdana" w:eastAsia="Calibri" w:hAnsi="Verdana" w:cs="Arial"/>
          <w:color w:val="000000" w:themeColor="text1"/>
        </w:rPr>
        <w:t>o</w:t>
      </w:r>
      <w:r w:rsidRPr="00FE0B99">
        <w:rPr>
          <w:rFonts w:ascii="Verdana" w:eastAsia="Calibri" w:hAnsi="Verdana" w:cs="Arial"/>
          <w:color w:val="000000" w:themeColor="text1"/>
        </w:rPr>
        <w:t xml:space="preserve"> resaltó que “</w:t>
      </w:r>
      <w:r w:rsidRPr="00710298">
        <w:rPr>
          <w:rFonts w:ascii="Verdana" w:eastAsia="Calibri" w:hAnsi="Verdana" w:cs="Arial"/>
          <w:i/>
          <w:color w:val="000000" w:themeColor="text1"/>
        </w:rPr>
        <w:t>La Administración no puede establecer requisitos carentes de función legal y al pretender sustentarlos en la posibilidad física de hacerlo (v. gr. abrir una sucursal) no es más que otra evidencia de su mero capricho</w:t>
      </w:r>
      <w:r w:rsidRPr="00FE0B99">
        <w:rPr>
          <w:rFonts w:ascii="Verdana" w:eastAsia="Calibri" w:hAnsi="Verdana" w:cs="Arial"/>
          <w:color w:val="000000" w:themeColor="text1"/>
        </w:rPr>
        <w:t>”.</w:t>
      </w:r>
    </w:p>
    <w:p w14:paraId="0309EB80" w14:textId="77777777" w:rsidR="00DA6B62" w:rsidRPr="00710298" w:rsidRDefault="00DA6B62" w:rsidP="00DA6B62">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lang w:eastAsia="es-ES"/>
        </w:rPr>
        <w:t xml:space="preserve">En suma, </w:t>
      </w:r>
      <w:r w:rsidRPr="00406DA8">
        <w:rPr>
          <w:rFonts w:ascii="Verdana" w:eastAsia="Calibri" w:hAnsi="Verdana" w:cs="Arial"/>
          <w:color w:val="000000" w:themeColor="text1"/>
          <w:lang w:eastAsia="es-ES"/>
        </w:rPr>
        <w:t>es claro que la autonomía de la entidad para establecer los requisitos habilitantes y sus medios de acreditación no implica una facultad irrestricta o arbitraria.</w:t>
      </w:r>
      <w:r>
        <w:rPr>
          <w:rFonts w:ascii="Verdana" w:eastAsia="Calibri" w:hAnsi="Verdana" w:cs="Arial"/>
          <w:color w:val="000000" w:themeColor="text1"/>
          <w:lang w:eastAsia="es-ES"/>
        </w:rPr>
        <w:t xml:space="preserve"> Tal como lo señala esta Agencia en el “M</w:t>
      </w:r>
      <w:r w:rsidRPr="00053BD7">
        <w:rPr>
          <w:rFonts w:ascii="Verdana" w:eastAsia="Calibri" w:hAnsi="Verdana" w:cs="Arial"/>
          <w:color w:val="000000" w:themeColor="text1"/>
          <w:lang w:eastAsia="es-ES"/>
        </w:rPr>
        <w:t>anual para determinar y verificar los requisitos habilitantes en los procesos de contratación</w:t>
      </w:r>
      <w:r>
        <w:rPr>
          <w:rFonts w:ascii="Verdana" w:eastAsia="Calibri" w:hAnsi="Verdana" w:cs="Arial"/>
          <w:color w:val="000000" w:themeColor="text1"/>
          <w:lang w:eastAsia="es-ES"/>
        </w:rPr>
        <w:t xml:space="preserve">”, </w:t>
      </w:r>
      <w:r>
        <w:rPr>
          <w:rFonts w:ascii="Verdana" w:eastAsia="Calibri" w:hAnsi="Verdana" w:cs="Arial"/>
          <w:color w:val="000000"/>
          <w:lang w:eastAsia="es-ES_tradnl"/>
        </w:rPr>
        <w:t>l</w:t>
      </w:r>
      <w:r w:rsidRPr="00053BD7">
        <w:rPr>
          <w:rFonts w:ascii="Verdana" w:eastAsia="Calibri" w:hAnsi="Verdana" w:cs="Arial"/>
          <w:color w:val="000000"/>
          <w:lang w:eastAsia="es-ES_tradnl"/>
        </w:rPr>
        <w:t xml:space="preserve">as Entidades Estatales deben establecer los requisitos habilitantes de forma </w:t>
      </w:r>
      <w:r w:rsidRPr="00406DA8">
        <w:rPr>
          <w:rFonts w:ascii="Verdana" w:eastAsia="Calibri" w:hAnsi="Verdana" w:cs="Arial"/>
          <w:i/>
          <w:iCs/>
          <w:color w:val="000000"/>
          <w:lang w:eastAsia="es-ES_tradnl"/>
        </w:rPr>
        <w:t>adecuada y proporcional</w:t>
      </w:r>
      <w:r w:rsidRPr="00053BD7">
        <w:rPr>
          <w:rFonts w:ascii="Verdana" w:eastAsia="Calibri" w:hAnsi="Verdana" w:cs="Arial"/>
          <w:color w:val="000000"/>
          <w:lang w:eastAsia="es-ES_tradnl"/>
        </w:rPr>
        <w:t xml:space="preserve"> a la naturaleza y valor del contrato. Que deban ser </w:t>
      </w:r>
      <w:r w:rsidRPr="00406DA8">
        <w:rPr>
          <w:rFonts w:ascii="Verdana" w:eastAsia="Calibri" w:hAnsi="Verdana" w:cs="Arial"/>
          <w:i/>
          <w:iCs/>
          <w:color w:val="000000"/>
          <w:lang w:eastAsia="es-ES_tradnl"/>
        </w:rPr>
        <w:t>adecuados</w:t>
      </w:r>
      <w:r w:rsidRPr="00053BD7">
        <w:rPr>
          <w:rFonts w:ascii="Verdana" w:eastAsia="Calibri" w:hAnsi="Verdana" w:cs="Arial"/>
          <w:color w:val="000000"/>
          <w:lang w:eastAsia="es-ES_tradnl"/>
        </w:rPr>
        <w:t xml:space="preserve">, significa que los requisitos habilitantes que se contemplen deben tener una relación directa con el objeto del contrato, de suerte que su acreditación sea efectiva para demostrar que el proponente es idóneo para ejecutar el contrato. A su vez, los requisitos que se establezcan deben ser </w:t>
      </w:r>
      <w:r w:rsidRPr="00406DA8">
        <w:rPr>
          <w:rFonts w:ascii="Verdana" w:eastAsia="Calibri" w:hAnsi="Verdana" w:cs="Arial"/>
          <w:i/>
          <w:iCs/>
          <w:color w:val="000000"/>
          <w:lang w:eastAsia="es-ES_tradnl"/>
        </w:rPr>
        <w:t>proporcionales</w:t>
      </w:r>
      <w:r w:rsidRPr="00053BD7">
        <w:rPr>
          <w:rFonts w:ascii="Verdana" w:eastAsia="Calibri" w:hAnsi="Verdana" w:cs="Arial"/>
          <w:color w:val="000000"/>
          <w:lang w:eastAsia="es-ES_tradnl"/>
        </w:rPr>
        <w:t xml:space="preserve"> a las condiciones del contrato, de tal manera que los mismos no establezcan condiciones más allá de las necesarias para verificar la idoneidad requerida de los proponentes respecto del objeto ofertado, ya que lo contrario limita la libre concurrencia. </w:t>
      </w:r>
    </w:p>
    <w:p w14:paraId="2E9C307E" w14:textId="77777777" w:rsidR="00DA6B62" w:rsidRPr="00FE0B99" w:rsidRDefault="00DA6B62" w:rsidP="00DA6B62">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Dentro de este marco, el referido Manual señala que, p</w:t>
      </w:r>
      <w:r w:rsidRPr="00053BD7">
        <w:rPr>
          <w:rFonts w:ascii="Verdana" w:eastAsia="Calibri" w:hAnsi="Verdana" w:cs="Arial"/>
          <w:color w:val="000000"/>
          <w:lang w:eastAsia="es-ES_tradnl"/>
        </w:rPr>
        <w:t>ara fijar estos requisitos</w:t>
      </w:r>
      <w:r>
        <w:rPr>
          <w:rFonts w:ascii="Verdana" w:eastAsia="Calibri" w:hAnsi="Verdana" w:cs="Arial"/>
          <w:color w:val="000000"/>
          <w:lang w:eastAsia="es-ES_tradnl"/>
        </w:rPr>
        <w:t>,</w:t>
      </w:r>
      <w:r w:rsidRPr="00053BD7">
        <w:rPr>
          <w:rFonts w:ascii="Verdana" w:eastAsia="Calibri" w:hAnsi="Verdana" w:cs="Arial"/>
          <w:color w:val="000000"/>
          <w:lang w:eastAsia="es-ES_tradnl"/>
        </w:rPr>
        <w:t xml:space="preserve"> la Entidad Estatal debe tener como parámetros: (i) el Riesgo del Proceso de Contratación; (</w:t>
      </w:r>
      <w:proofErr w:type="spellStart"/>
      <w:r w:rsidRPr="00053BD7">
        <w:rPr>
          <w:rFonts w:ascii="Verdana" w:eastAsia="Calibri" w:hAnsi="Verdana" w:cs="Arial"/>
          <w:color w:val="000000"/>
          <w:lang w:eastAsia="es-ES_tradnl"/>
        </w:rPr>
        <w:t>ii</w:t>
      </w:r>
      <w:proofErr w:type="spellEnd"/>
      <w:r w:rsidRPr="00053BD7">
        <w:rPr>
          <w:rFonts w:ascii="Verdana" w:eastAsia="Calibri" w:hAnsi="Verdana" w:cs="Arial"/>
          <w:color w:val="000000"/>
          <w:lang w:eastAsia="es-ES_tradnl"/>
        </w:rPr>
        <w:t>) el valor del contrato objeto del Proceso de Contratación; (</w:t>
      </w:r>
      <w:proofErr w:type="spellStart"/>
      <w:r w:rsidRPr="00053BD7">
        <w:rPr>
          <w:rFonts w:ascii="Verdana" w:eastAsia="Calibri" w:hAnsi="Verdana" w:cs="Arial"/>
          <w:color w:val="000000"/>
          <w:lang w:eastAsia="es-ES_tradnl"/>
        </w:rPr>
        <w:t>iii</w:t>
      </w:r>
      <w:proofErr w:type="spellEnd"/>
      <w:r w:rsidRPr="00053BD7">
        <w:rPr>
          <w:rFonts w:ascii="Verdana" w:eastAsia="Calibri" w:hAnsi="Verdana" w:cs="Arial"/>
          <w:color w:val="000000"/>
          <w:lang w:eastAsia="es-ES_tradnl"/>
        </w:rPr>
        <w:t>) el análisis del sector económico respectivo; y (</w:t>
      </w:r>
      <w:proofErr w:type="spellStart"/>
      <w:r w:rsidRPr="00053BD7">
        <w:rPr>
          <w:rFonts w:ascii="Verdana" w:eastAsia="Calibri" w:hAnsi="Verdana" w:cs="Arial"/>
          <w:color w:val="000000"/>
          <w:lang w:eastAsia="es-ES_tradnl"/>
        </w:rPr>
        <w:t>iv</w:t>
      </w:r>
      <w:proofErr w:type="spellEnd"/>
      <w:r w:rsidRPr="00053BD7">
        <w:rPr>
          <w:rFonts w:ascii="Verdana" w:eastAsia="Calibri" w:hAnsi="Verdana" w:cs="Arial"/>
          <w:color w:val="000000"/>
          <w:lang w:eastAsia="es-ES_tradnl"/>
        </w:rPr>
        <w:t xml:space="preserve">) el conocimiento de fondo de los posibles oferentes desde la perspectiva comercial. </w:t>
      </w:r>
      <w:r>
        <w:rPr>
          <w:rFonts w:ascii="Verdana" w:eastAsia="Calibri" w:hAnsi="Verdana" w:cs="Arial"/>
          <w:color w:val="000000"/>
          <w:lang w:eastAsia="es-ES_tradnl"/>
        </w:rPr>
        <w:t xml:space="preserve">En consecuencia, la exigencia o determinación de requisitos y mecanismos de acreditación como los señalados en su consulta podrá depender de la complejidad del </w:t>
      </w:r>
      <w:r w:rsidRPr="00053BD7">
        <w:rPr>
          <w:rFonts w:ascii="Verdana" w:eastAsia="Calibri" w:hAnsi="Verdana" w:cs="Arial"/>
          <w:color w:val="000000"/>
          <w:lang w:eastAsia="es-ES_tradnl"/>
        </w:rPr>
        <w:t>Proceso de Contratación</w:t>
      </w:r>
      <w:r>
        <w:rPr>
          <w:rFonts w:ascii="Verdana" w:eastAsia="Calibri" w:hAnsi="Verdana" w:cs="Arial"/>
          <w:color w:val="000000"/>
          <w:lang w:eastAsia="es-ES_tradnl"/>
        </w:rPr>
        <w:t xml:space="preserve"> y, en todo caso, deberá estar justificada en dichos parámetros.  </w:t>
      </w:r>
    </w:p>
    <w:p w14:paraId="38FD24F2" w14:textId="77777777" w:rsidR="00DA6B62" w:rsidRPr="00ED6485" w:rsidRDefault="00DA6B62" w:rsidP="00DA6B62">
      <w:pPr>
        <w:tabs>
          <w:tab w:val="left" w:pos="426"/>
        </w:tabs>
        <w:spacing w:after="120" w:line="276" w:lineRule="auto"/>
        <w:ind w:firstLine="709"/>
        <w:jc w:val="both"/>
        <w:rPr>
          <w:rFonts w:ascii="Verdana" w:hAnsi="Verdana" w:cs="Arial"/>
          <w:lang w:val="es-ES" w:eastAsia="es-ES"/>
        </w:rPr>
      </w:pPr>
      <w:r w:rsidRPr="00ED6485">
        <w:rPr>
          <w:rFonts w:ascii="Verdana" w:eastAsia="Calibri" w:hAnsi="Verdana" w:cs="Arial"/>
          <w:color w:val="000000" w:themeColor="text1"/>
          <w:lang w:val="es-ES"/>
        </w:rPr>
        <w:t xml:space="preserve">Al </w:t>
      </w:r>
      <w:r w:rsidRPr="00ED6485">
        <w:rPr>
          <w:rFonts w:ascii="Verdana" w:hAnsi="Verdana" w:cs="Arial"/>
          <w:lang w:val="es-ES" w:eastAsia="es-ES"/>
        </w:rPr>
        <w:t xml:space="preserve">margen de la explicación precedente debe advertirse que el análisis requerido para resolver problemas específicos debe realizarse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w:t>
      </w:r>
      <w:r w:rsidRPr="00ED6485">
        <w:rPr>
          <w:rFonts w:ascii="Verdana" w:hAnsi="Verdana" w:cs="Arial"/>
          <w:lang w:val="es-ES" w:eastAsia="es-ES"/>
        </w:rPr>
        <w:lastRenderedPageBreak/>
        <w:t>los interesados en adoptar la decisión correspondiente y, en caso de conflicto, a las autoridades judiciales, fiscales y disciplinarias.</w:t>
      </w:r>
    </w:p>
    <w:p w14:paraId="627F3A38" w14:textId="77777777" w:rsidR="00DA6B62" w:rsidRPr="005D7743" w:rsidRDefault="00DA6B62" w:rsidP="00DA6B62">
      <w:pPr>
        <w:tabs>
          <w:tab w:val="left" w:pos="426"/>
        </w:tabs>
        <w:spacing w:after="120" w:line="276" w:lineRule="auto"/>
        <w:ind w:firstLine="709"/>
        <w:jc w:val="both"/>
        <w:rPr>
          <w:rFonts w:ascii="Verdana" w:eastAsia="Calibri" w:hAnsi="Verdana" w:cs="Times New Roman"/>
          <w:lang w:val="es-ES"/>
        </w:rPr>
      </w:pPr>
      <w:r w:rsidRPr="00ED6485">
        <w:rPr>
          <w:rFonts w:ascii="Verdana" w:hAnsi="Verdana" w:cs="Arial"/>
          <w:lang w:val="es-ES" w:eastAsia="es-ES"/>
        </w:rPr>
        <w:t xml:space="preserve">Dentro de este marco, la Entidad Estatal definirá en cada caso concreto lo relacionado con el tema objeto de consulta. </w:t>
      </w:r>
      <w:r w:rsidRPr="00ED6485">
        <w:rPr>
          <w:rFonts w:ascii="Verdana" w:hAnsi="Verdana" w:cs="Arial"/>
          <w:color w:val="000000" w:themeColor="text1"/>
          <w:lang w:val="es-ES"/>
        </w:rPr>
        <w:t>Al tratarse de un análisis que debe realizarse en un procedimiento contractual específico, esta Agencia no puede definir un criterio universal y absoluto por vía consultiva, sino que brinda elementos de carácter general para que</w:t>
      </w:r>
      <w:r w:rsidRPr="00ED6485">
        <w:rPr>
          <w:rFonts w:ascii="Verdana" w:eastAsia="Calibri" w:hAnsi="Verdana" w:cs="Times New Roman"/>
          <w:lang w:val="es-ES"/>
        </w:rPr>
        <w:t xml:space="preserv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45E95C2C" w14:textId="77777777" w:rsidR="00DA6B62" w:rsidRPr="00ED6485" w:rsidRDefault="00DA6B62" w:rsidP="00DA6B6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Referencias normativas, jurisprudenciales y otras fuentes:</w:t>
      </w:r>
    </w:p>
    <w:p w14:paraId="2481D80E" w14:textId="77777777" w:rsidR="00DA6B62" w:rsidRPr="00ED6485" w:rsidRDefault="00DA6B62" w:rsidP="00DA6B62">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A6B62" w:rsidRPr="00ED6485" w14:paraId="3CF8491C" w14:textId="77777777" w:rsidTr="00BD657F">
        <w:trPr>
          <w:trHeight w:val="870"/>
        </w:trPr>
        <w:tc>
          <w:tcPr>
            <w:tcW w:w="8647" w:type="dxa"/>
          </w:tcPr>
          <w:p w14:paraId="54CFA4F6" w14:textId="6084F690" w:rsidR="00DA6B62" w:rsidRPr="001668FE" w:rsidRDefault="00DA6B62" w:rsidP="001668FE">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Constitución Política. Artículos 29, 267 y 268.</w:t>
            </w:r>
          </w:p>
        </w:tc>
      </w:tr>
    </w:tbl>
    <w:p w14:paraId="1C19858D" w14:textId="77777777" w:rsidR="00DA6B62" w:rsidRPr="00ED6485" w:rsidRDefault="00DA6B62" w:rsidP="00DA6B62">
      <w:pPr>
        <w:widowControl w:val="0"/>
        <w:autoSpaceDE w:val="0"/>
        <w:autoSpaceDN w:val="0"/>
        <w:spacing w:after="0" w:line="276" w:lineRule="auto"/>
        <w:jc w:val="both"/>
        <w:rPr>
          <w:rFonts w:ascii="Verdana" w:hAnsi="Verdana" w:cs="Arial"/>
          <w:color w:val="000000" w:themeColor="text1"/>
          <w:lang w:val="es-ES"/>
        </w:rPr>
      </w:pPr>
    </w:p>
    <w:p w14:paraId="1A25258D" w14:textId="77777777" w:rsidR="00DA6B62" w:rsidRPr="00ED6485" w:rsidRDefault="00DA6B62" w:rsidP="00DA6B6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Doctrina de la Agencia Nacional de Contratación Pública:</w:t>
      </w:r>
    </w:p>
    <w:p w14:paraId="1E1E55F6" w14:textId="77777777" w:rsidR="00DA6B62" w:rsidRPr="00ED6485" w:rsidRDefault="00DA6B62" w:rsidP="00DA6B62">
      <w:pPr>
        <w:widowControl w:val="0"/>
        <w:autoSpaceDE w:val="0"/>
        <w:autoSpaceDN w:val="0"/>
        <w:spacing w:after="0" w:line="276" w:lineRule="auto"/>
        <w:jc w:val="both"/>
        <w:rPr>
          <w:rFonts w:ascii="Verdana" w:hAnsi="Verdana" w:cs="Arial"/>
          <w:color w:val="000000" w:themeColor="text1"/>
          <w:lang w:val="es-ES"/>
        </w:rPr>
      </w:pPr>
    </w:p>
    <w:p w14:paraId="0CD479A4" w14:textId="77777777" w:rsidR="00DA6B62" w:rsidRPr="00ED6485" w:rsidRDefault="00DA6B62" w:rsidP="00DA6B62">
      <w:pPr>
        <w:ind w:left="3"/>
        <w:jc w:val="both"/>
        <w:rPr>
          <w:rStyle w:val="normaltextrun"/>
          <w:rFonts w:ascii="Verdana" w:eastAsia="Calibri" w:hAnsi="Verdana" w:cs="Arial"/>
          <w:b/>
          <w:bCs/>
          <w:color w:val="000000" w:themeColor="text1"/>
          <w:lang w:val="es-ES" w:eastAsia="es-ES"/>
        </w:rPr>
      </w:pPr>
      <w:r w:rsidRPr="00ED6485">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ED6485">
        <w:rPr>
          <w:rStyle w:val="normaltextrun"/>
          <w:rFonts w:ascii="Verdana" w:hAnsi="Verdana"/>
          <w:color w:val="000000" w:themeColor="text1"/>
          <w:shd w:val="clear" w:color="auto" w:fill="FFFFFF"/>
          <w:lang w:val="es-ES"/>
        </w:rPr>
        <w:t>sobre</w:t>
      </w:r>
      <w:r>
        <w:rPr>
          <w:rStyle w:val="normaltextrun"/>
          <w:rFonts w:ascii="Verdana" w:hAnsi="Verdana"/>
          <w:color w:val="000000" w:themeColor="text1"/>
          <w:shd w:val="clear" w:color="auto" w:fill="FFFFFF"/>
          <w:lang w:val="es-ES"/>
        </w:rPr>
        <w:t xml:space="preserve"> </w:t>
      </w:r>
      <w:r w:rsidRPr="001C48C8">
        <w:rPr>
          <w:rFonts w:ascii="Verdana" w:hAnsi="Verdana" w:cs="Arial"/>
          <w:bCs/>
          <w:shd w:val="clear" w:color="auto" w:fill="FFFFFF"/>
        </w:rPr>
        <w:t>la acreditación de experiencia por parte de integrantes de proponentes plurales</w:t>
      </w:r>
      <w:r>
        <w:rPr>
          <w:rFonts w:ascii="Verdana" w:hAnsi="Verdana" w:cs="Arial"/>
          <w:bCs/>
          <w:shd w:val="clear" w:color="auto" w:fill="FFFFFF"/>
        </w:rPr>
        <w:t xml:space="preserve"> </w:t>
      </w:r>
      <w:r w:rsidRPr="001C48C8">
        <w:rPr>
          <w:rFonts w:ascii="Verdana" w:hAnsi="Verdana" w:cs="Arial"/>
          <w:bCs/>
          <w:shd w:val="clear" w:color="auto" w:fill="FFFFFF"/>
        </w:rPr>
        <w:t xml:space="preserve">en los conceptos </w:t>
      </w:r>
      <w:r w:rsidRPr="001C48C8">
        <w:rPr>
          <w:rFonts w:ascii="Verdana" w:hAnsi="Verdana"/>
          <w:lang w:val="es-ES"/>
        </w:rPr>
        <w:t xml:space="preserve">C-124 del 12 de mayo de 2023, C-167 del 5 de junio de 2023, </w:t>
      </w:r>
      <w:r w:rsidRPr="001C48C8">
        <w:rPr>
          <w:rFonts w:ascii="Verdana" w:hAnsi="Verdana" w:cs="Arial"/>
          <w:bCs/>
          <w:shd w:val="clear" w:color="auto" w:fill="FFFFFF"/>
        </w:rPr>
        <w:t xml:space="preserve">C-648 del 6 de noviembre de 2024, C-1002 del 30 de enero de 2025, </w:t>
      </w:r>
      <w:r>
        <w:rPr>
          <w:rFonts w:ascii="Verdana" w:hAnsi="Verdana" w:cs="Arial"/>
          <w:bCs/>
          <w:shd w:val="clear" w:color="auto" w:fill="FFFFFF"/>
        </w:rPr>
        <w:t xml:space="preserve">C-128 del 26 de junio de 2025, </w:t>
      </w:r>
      <w:r w:rsidRPr="001C48C8">
        <w:rPr>
          <w:rFonts w:ascii="Verdana" w:hAnsi="Verdana" w:cs="Arial"/>
          <w:bCs/>
          <w:shd w:val="clear" w:color="auto" w:fill="FFFFFF"/>
        </w:rPr>
        <w:t>C-568 del 24 de junio de 2025</w:t>
      </w:r>
      <w:r>
        <w:rPr>
          <w:rFonts w:ascii="Verdana" w:hAnsi="Verdana" w:cs="Arial"/>
          <w:bCs/>
          <w:shd w:val="clear" w:color="auto" w:fill="FFFFFF"/>
        </w:rPr>
        <w:t xml:space="preserve"> y C-698 del 14 de julio de 2025</w:t>
      </w:r>
      <w:r w:rsidRPr="00ED6485">
        <w:rPr>
          <w:rStyle w:val="normaltextrun"/>
          <w:rFonts w:ascii="Verdana" w:hAnsi="Verdana"/>
          <w:color w:val="000000" w:themeColor="text1"/>
          <w:lang w:val="es-ES"/>
        </w:rPr>
        <w:t xml:space="preserve">. </w:t>
      </w:r>
      <w:r w:rsidRPr="00ED6485">
        <w:rPr>
          <w:rStyle w:val="normaltextrun"/>
          <w:rFonts w:ascii="Verdana" w:hAnsi="Verdana"/>
          <w:shd w:val="clear" w:color="auto" w:fill="FFFFFF"/>
          <w:lang w:val="es-ES"/>
        </w:rPr>
        <w:t>Estos</w:t>
      </w:r>
      <w:r w:rsidRPr="00ED6485">
        <w:rPr>
          <w:rFonts w:ascii="Verdana" w:hAnsi="Verdana"/>
          <w:lang w:val="es-ES"/>
        </w:rPr>
        <w:t xml:space="preserve"> y otros conceptos se encuentran disponibles para consulta en</w:t>
      </w:r>
      <w:r w:rsidRPr="00ED6485">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1" w:history="1">
        <w:r w:rsidRPr="00ED6485">
          <w:rPr>
            <w:rStyle w:val="Hipervnculo"/>
            <w:rFonts w:ascii="Verdana" w:hAnsi="Verdana" w:cs="Arial"/>
            <w:shd w:val="clear" w:color="auto" w:fill="FFFFFF"/>
            <w:lang w:val="es-ES"/>
          </w:rPr>
          <w:t>https://relatoria.colombiacompra.gov.co/busqueda/conceptos</w:t>
        </w:r>
      </w:hyperlink>
      <w:r w:rsidRPr="00ED6485">
        <w:rPr>
          <w:rStyle w:val="normaltextrun"/>
          <w:rFonts w:ascii="Verdana" w:hAnsi="Verdana" w:cs="Arial"/>
          <w:shd w:val="clear" w:color="auto" w:fill="FFFFFF"/>
          <w:lang w:val="es-ES"/>
        </w:rPr>
        <w:t>.</w:t>
      </w:r>
      <w:r w:rsidRPr="00ED6485">
        <w:rPr>
          <w:rStyle w:val="normaltextrun"/>
          <w:rFonts w:ascii="Verdana" w:hAnsi="Verdana" w:cs="Arial"/>
          <w:color w:val="FF0000"/>
          <w:shd w:val="clear" w:color="auto" w:fill="FFFFFF"/>
          <w:lang w:val="es-ES"/>
        </w:rPr>
        <w:t xml:space="preserve"> </w:t>
      </w:r>
    </w:p>
    <w:p w14:paraId="4E4B2FB1" w14:textId="77777777" w:rsidR="00DA6B62" w:rsidRPr="00ED6485" w:rsidRDefault="00DA6B62" w:rsidP="00DA6B62">
      <w:pPr>
        <w:ind w:left="3"/>
        <w:jc w:val="both"/>
        <w:rPr>
          <w:rFonts w:ascii="Verdana" w:eastAsia="Calibri" w:hAnsi="Verdana" w:cs="Arial"/>
          <w:b/>
          <w:bCs/>
          <w:color w:val="000000" w:themeColor="text1"/>
          <w:lang w:val="es-ES" w:eastAsia="es-ES"/>
        </w:rPr>
      </w:pPr>
      <w:r w:rsidRPr="00ED6485">
        <w:rPr>
          <w:rFonts w:ascii="Verdana" w:hAnsi="Verdana"/>
          <w:lang w:val="es-ES"/>
        </w:rPr>
        <w:t>Las garantías no son un requisito formal: son el instrumento con el que se protege el patrimonio público frente a los riesgos del contrato. Por ello, la Agencia Nacional de Contratación Pública –Colombia Compra Eficiente</w:t>
      </w:r>
      <w:proofErr w:type="gramStart"/>
      <w:r w:rsidRPr="00ED6485">
        <w:rPr>
          <w:rFonts w:ascii="Verdana" w:hAnsi="Verdana"/>
          <w:lang w:val="es-ES"/>
        </w:rPr>
        <w:t>–  invita</w:t>
      </w:r>
      <w:proofErr w:type="gramEnd"/>
      <w:r w:rsidRPr="00ED6485">
        <w:rPr>
          <w:rFonts w:ascii="Verdana" w:hAnsi="Verdana"/>
          <w:lang w:val="es-ES"/>
        </w:rPr>
        <w:t xml:space="preserve"> a consultar la nueva versión de la </w:t>
      </w:r>
      <w:r w:rsidRPr="00ED6485">
        <w:rPr>
          <w:rFonts w:ascii="Verdana" w:hAnsi="Verdana"/>
          <w:b/>
          <w:lang w:val="es-ES"/>
        </w:rPr>
        <w:t>Guía para la Exigencia y Constitución de Garantías en los Procesos de Contratación</w:t>
      </w:r>
      <w:r w:rsidRPr="00ED6485">
        <w:rPr>
          <w:rFonts w:ascii="Verdana" w:hAnsi="Verdana"/>
          <w:lang w:val="es-ES"/>
        </w:rPr>
        <w:t xml:space="preserve">, dirigida a las entidades sometidas al EGCAP y a las de regímenes exceptuados, así como a proveedores y órganos de control. Encontrará orientaciones sobre las clases de garantías admisibles, la correspondencia entre riesgos asignados y amparos exigidos, su </w:t>
      </w:r>
      <w:r w:rsidRPr="00ED6485">
        <w:rPr>
          <w:rFonts w:ascii="Verdana" w:hAnsi="Verdana"/>
          <w:lang w:val="es-ES"/>
        </w:rPr>
        <w:lastRenderedPageBreak/>
        <w:t>suficiencia y vigencia, y el procedimiento para hacerlas efectivas. Consúltala aquí: </w:t>
      </w:r>
      <w:hyperlink r:id="rId12" w:tgtFrame="_blank" w:tooltip="Original URL: https://www.colombiacompra.gov.co/archivos/manual/guia-de-garantias-en-procesos-de-contratacion. Click or tap if you trust this link." w:history="1">
        <w:r w:rsidRPr="00ED6485">
          <w:rPr>
            <w:rStyle w:val="Hipervnculo"/>
            <w:rFonts w:ascii="Verdana" w:hAnsi="Verdana"/>
            <w:lang w:val="es-ES"/>
          </w:rPr>
          <w:t>https://www.colombiacompra.gov.co/archivos/manual/guia-de-garantias-en-procesos-de-contratacion</w:t>
        </w:r>
      </w:hyperlink>
    </w:p>
    <w:p w14:paraId="35716C19" w14:textId="77777777" w:rsidR="00DA6B62" w:rsidRPr="00ED6485" w:rsidRDefault="00DA6B62" w:rsidP="00DA6B62">
      <w:pPr>
        <w:spacing w:after="0" w:line="276" w:lineRule="auto"/>
        <w:jc w:val="both"/>
        <w:rPr>
          <w:rFonts w:ascii="Verdana" w:hAnsi="Verdana"/>
          <w:lang w:val="es-ES"/>
        </w:rPr>
      </w:pPr>
    </w:p>
    <w:p w14:paraId="5B4CC9E8" w14:textId="77777777" w:rsidR="00DA6B62" w:rsidRPr="00ED6485" w:rsidRDefault="00DA6B62" w:rsidP="00DA6B62">
      <w:pPr>
        <w:spacing w:after="0" w:line="276" w:lineRule="auto"/>
        <w:jc w:val="both"/>
        <w:rPr>
          <w:rFonts w:ascii="Verdana" w:hAnsi="Verdana"/>
          <w:lang w:val="es-ES"/>
        </w:rPr>
      </w:pPr>
      <w:r w:rsidRPr="00ED6485">
        <w:rPr>
          <w:rFonts w:ascii="Verdana" w:hAnsi="Verdana"/>
          <w:lang w:val="es-ES"/>
        </w:rPr>
        <w:t xml:space="preserve">De otro lado, </w:t>
      </w:r>
      <w:r>
        <w:rPr>
          <w:rFonts w:ascii="Verdana" w:hAnsi="Verdana"/>
          <w:lang w:val="es-ES"/>
        </w:rPr>
        <w:t>l</w:t>
      </w:r>
      <w:r w:rsidRPr="00ED6485">
        <w:rPr>
          <w:rFonts w:ascii="Verdana" w:hAnsi="Verdana"/>
          <w:lang w:val="es-ES"/>
        </w:rPr>
        <w:t>e contamos que el Decreto 287 del 19 de marzo de 2026 sustituyó los artículos 2.2.1.2.4.2.6., 2.2.1.2.4.2.7. y 2.2.1.2.4.2.8. del Decreto 1082 de 2015 y estructuró el </w:t>
      </w:r>
      <w:r w:rsidRPr="00ED6485">
        <w:rPr>
          <w:rFonts w:ascii="Verdana" w:hAnsi="Verdana"/>
          <w:b/>
          <w:lang w:val="es-ES"/>
        </w:rPr>
        <w:t>Sistema Integral de Preferencias en favor de las personas con discapacidad</w:t>
      </w:r>
      <w:r w:rsidRPr="00ED6485">
        <w:rPr>
          <w:rFonts w:ascii="Verdana" w:hAnsi="Verdana"/>
          <w:lang w:val="es-ES"/>
        </w:rPr>
        <w:t>, en cumplimiento del artículo 13 de la Ley Estatutaria 1618 de 2013. Para orientar su aplicación, esta Agencia expidió la </w:t>
      </w:r>
      <w:r w:rsidRPr="00ED6485">
        <w:rPr>
          <w:rFonts w:ascii="Verdana" w:hAnsi="Verdana"/>
          <w:b/>
          <w:lang w:val="es-ES"/>
        </w:rPr>
        <w:t>Circular Externa 003 del 12 de mayo de 2026, </w:t>
      </w:r>
      <w:r w:rsidRPr="00ED6485">
        <w:rPr>
          <w:rFonts w:ascii="Verdana" w:hAnsi="Verdana"/>
          <w:lang w:val="es-ES"/>
        </w:rPr>
        <w:t>en la que precisa quiénes son los beneficiarios, las cinco medidas que integran el sistema y su obligatoriedad según la modalidad de selección, y el régimen de transición aplicable a los procesos en curso. Consúlt</w:t>
      </w:r>
      <w:r>
        <w:rPr>
          <w:rFonts w:ascii="Verdana" w:hAnsi="Verdana"/>
          <w:lang w:val="es-ES"/>
        </w:rPr>
        <w:t>e</w:t>
      </w:r>
      <w:r w:rsidRPr="00ED6485">
        <w:rPr>
          <w:rFonts w:ascii="Verdana" w:hAnsi="Verdana"/>
          <w:lang w:val="es-ES"/>
        </w:rPr>
        <w:t>la aquí: </w:t>
      </w:r>
      <w:hyperlink r:id="rId13" w:tgtFrame="_blank" w:tooltip="Original URL: https://www.colombiacompra.gov.co/archivos/circular/circular-externa-003-de-2026. Click or tap if you trust this link." w:history="1">
        <w:r w:rsidRPr="00ED6485">
          <w:rPr>
            <w:rStyle w:val="Hipervnculo"/>
            <w:rFonts w:ascii="Verdana" w:hAnsi="Verdana"/>
            <w:lang w:val="es-ES"/>
          </w:rPr>
          <w:t>https://www.colombiacompra.gov.co/archivos/circular/circular-externa-003-de-2026</w:t>
        </w:r>
      </w:hyperlink>
    </w:p>
    <w:p w14:paraId="2BEAA66B" w14:textId="77777777" w:rsidR="00DA6B62" w:rsidRPr="00ED6485" w:rsidRDefault="00DA6B62" w:rsidP="00DA6B62">
      <w:pPr>
        <w:spacing w:after="0" w:line="276" w:lineRule="auto"/>
        <w:jc w:val="both"/>
        <w:rPr>
          <w:rFonts w:ascii="Verdana" w:hAnsi="Verdana"/>
          <w:lang w:val="es-ES"/>
        </w:rPr>
      </w:pPr>
    </w:p>
    <w:p w14:paraId="63FF283E" w14:textId="77777777" w:rsidR="00DA6B62" w:rsidRPr="00ED6485" w:rsidRDefault="00DA6B62" w:rsidP="00DA6B62">
      <w:pPr>
        <w:spacing w:after="0" w:line="276" w:lineRule="auto"/>
        <w:jc w:val="both"/>
        <w:rPr>
          <w:rFonts w:ascii="Verdana" w:hAnsi="Verdana"/>
          <w:lang w:val="es-ES"/>
        </w:rPr>
      </w:pPr>
      <w:r w:rsidRPr="00ED6485">
        <w:rPr>
          <w:rFonts w:ascii="Verdana" w:hAnsi="Verdana"/>
          <w:lang w:val="es-ES"/>
        </w:rPr>
        <w:t>Recuerd</w:t>
      </w:r>
      <w:r>
        <w:rPr>
          <w:rFonts w:ascii="Verdana" w:hAnsi="Verdana"/>
          <w:lang w:val="es-ES"/>
        </w:rPr>
        <w:t>e</w:t>
      </w:r>
      <w:r w:rsidRPr="00ED6485">
        <w:rPr>
          <w:rFonts w:ascii="Verdana" w:hAnsi="Verdana"/>
          <w:lang w:val="es-ES"/>
        </w:rPr>
        <w:t xml:space="preserve"> también que la</w:t>
      </w:r>
      <w:r w:rsidRPr="00ED6485">
        <w:rPr>
          <w:rFonts w:ascii="Verdana" w:hAnsi="Verdana"/>
          <w:b/>
          <w:lang w:val="es-ES"/>
        </w:rPr>
        <w:t> información sobre sanciones e inhabilidades </w:t>
      </w:r>
      <w:r w:rsidRPr="00ED6485">
        <w:rPr>
          <w:rFonts w:ascii="Verdana" w:hAnsi="Verdana"/>
          <w:lang w:val="es-ES"/>
        </w:rPr>
        <w:t>solo cumple su función preventiva si llega oportunamente a los registros públicos. Sobre este deber, esta Agencia expidió la </w:t>
      </w:r>
      <w:r w:rsidRPr="00ED6485">
        <w:rPr>
          <w:rFonts w:ascii="Verdana" w:hAnsi="Verdana"/>
          <w:b/>
          <w:lang w:val="es-ES"/>
        </w:rPr>
        <w:t>Circular Externa 002 del 5 de mayo de 2026,</w:t>
      </w:r>
      <w:r w:rsidRPr="00ED6485">
        <w:rPr>
          <w:rFonts w:ascii="Verdana" w:hAnsi="Verdana"/>
          <w:lang w:val="es-ES"/>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w:t>
      </w:r>
      <w:r>
        <w:rPr>
          <w:rFonts w:ascii="Verdana" w:hAnsi="Verdana"/>
          <w:lang w:val="es-ES"/>
        </w:rPr>
        <w:t>e</w:t>
      </w:r>
      <w:r w:rsidRPr="00ED6485">
        <w:rPr>
          <w:rFonts w:ascii="Verdana" w:hAnsi="Verdana"/>
          <w:lang w:val="es-ES"/>
        </w:rPr>
        <w:t>la aquí: </w:t>
      </w:r>
      <w:hyperlink r:id="rId14" w:tgtFrame="_blank" w:tooltip="Original URL: https://www.colombiacompra.gov.co/archivos/circular/circular-externa-002-de-2026. Click or tap if you trust this link." w:history="1">
        <w:r w:rsidRPr="00ED6485">
          <w:rPr>
            <w:rStyle w:val="Hipervnculo"/>
            <w:rFonts w:ascii="Verdana" w:hAnsi="Verdana"/>
            <w:lang w:val="es-ES"/>
          </w:rPr>
          <w:t>https://www.colombiacompra.gov.co/archivos/circular/circular-externa-002-de-2026</w:t>
        </w:r>
      </w:hyperlink>
    </w:p>
    <w:p w14:paraId="4EB7B667" w14:textId="77777777" w:rsidR="00DA6B62" w:rsidRPr="00ED6485" w:rsidRDefault="00DA6B62" w:rsidP="00DA6B62">
      <w:pPr>
        <w:spacing w:after="0" w:line="276" w:lineRule="auto"/>
        <w:jc w:val="both"/>
        <w:rPr>
          <w:rFonts w:ascii="Verdana" w:hAnsi="Verdana"/>
          <w:lang w:val="es-ES"/>
        </w:rPr>
      </w:pPr>
    </w:p>
    <w:p w14:paraId="78DD6C20" w14:textId="77777777" w:rsidR="00DA6B62" w:rsidRPr="00ED6485" w:rsidRDefault="00DA6B62" w:rsidP="00DA6B62">
      <w:pPr>
        <w:spacing w:after="0" w:line="276" w:lineRule="auto"/>
        <w:jc w:val="both"/>
        <w:rPr>
          <w:rFonts w:ascii="Verdana" w:hAnsi="Verdana"/>
          <w:lang w:val="es-ES"/>
        </w:rPr>
      </w:pPr>
      <w:r w:rsidRPr="00ED6485">
        <w:rPr>
          <w:rFonts w:ascii="Verdana" w:hAnsi="Verdana"/>
          <w:lang w:val="es-ES"/>
        </w:rPr>
        <w:t>Finalmente, si quiere seguir de cerca la actividad de la Agencia, la tercera edición de 2026 del</w:t>
      </w:r>
      <w:r w:rsidRPr="00ED6485">
        <w:rPr>
          <w:rFonts w:ascii="Verdana" w:hAnsi="Verdana"/>
          <w:b/>
          <w:lang w:val="es-ES"/>
        </w:rPr>
        <w:t> Radar de la Compra Pública</w:t>
      </w:r>
      <w:r w:rsidRPr="00ED6485">
        <w:rPr>
          <w:rFonts w:ascii="Verdana" w:hAnsi="Verdana"/>
          <w:lang w:val="es-ES"/>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w:t>
      </w:r>
      <w:r>
        <w:rPr>
          <w:rFonts w:ascii="Verdana" w:hAnsi="Verdana"/>
          <w:lang w:val="es-ES"/>
        </w:rPr>
        <w:t>ue</w:t>
      </w:r>
      <w:r w:rsidRPr="00ED6485">
        <w:rPr>
          <w:rFonts w:ascii="Verdana" w:hAnsi="Verdana"/>
          <w:lang w:val="es-ES"/>
        </w:rPr>
        <w:t>lo aquí: </w:t>
      </w:r>
      <w:hyperlink r:id="rId15" w:tgtFrame="_blank" w:tooltip="Original URL: https://www.colombiacompra.gov.co/archivos/boletin/boletin-edicion-n-3-de-2026-radar-de-la-compra-publica. Click or tap if you trust this link." w:history="1">
        <w:r w:rsidRPr="00ED6485">
          <w:rPr>
            <w:rStyle w:val="Hipervnculo"/>
            <w:rFonts w:ascii="Verdana" w:hAnsi="Verdana"/>
            <w:lang w:val="es-ES"/>
          </w:rPr>
          <w:t>https://www.colombiacompra.gov.co/archivos/boletin/boletin-edicion-n-3-de-2026-radar-de-la-compra-publica</w:t>
        </w:r>
      </w:hyperlink>
      <w:r w:rsidRPr="00ED6485">
        <w:rPr>
          <w:rFonts w:ascii="Verdana" w:hAnsi="Verdana"/>
          <w:lang w:val="es-ES"/>
        </w:rPr>
        <w:t>"</w:t>
      </w:r>
    </w:p>
    <w:p w14:paraId="6189F83E" w14:textId="77777777" w:rsidR="00DA6B62" w:rsidRPr="00ED6485" w:rsidRDefault="00DA6B62" w:rsidP="00DA6B62">
      <w:pPr>
        <w:spacing w:after="0" w:line="276" w:lineRule="auto"/>
        <w:jc w:val="both"/>
        <w:rPr>
          <w:rFonts w:ascii="Verdana" w:hAnsi="Verdana"/>
          <w:lang w:val="es-ES"/>
        </w:rPr>
      </w:pPr>
    </w:p>
    <w:p w14:paraId="05053CAB" w14:textId="77777777" w:rsidR="00DA6B62" w:rsidRPr="00ED6485" w:rsidRDefault="00DA6B62" w:rsidP="00DA6B62">
      <w:pPr>
        <w:spacing w:after="0" w:line="276" w:lineRule="auto"/>
        <w:jc w:val="both"/>
        <w:rPr>
          <w:rFonts w:ascii="Verdana" w:hAnsi="Verdana"/>
          <w:lang w:val="es-ES"/>
        </w:rPr>
      </w:pPr>
      <w:r w:rsidRPr="00ED6485">
        <w:rPr>
          <w:rFonts w:ascii="Verdana" w:hAnsi="Verdana"/>
          <w:lang w:val="es-ES"/>
        </w:rPr>
        <w:t xml:space="preserve">Por último, lo invitamos a seguirnos en las redes sociales en las cuales se difunde información institucional: </w:t>
      </w:r>
    </w:p>
    <w:p w14:paraId="34F50CF1" w14:textId="77777777" w:rsidR="00DA6B62" w:rsidRPr="00ED6485" w:rsidRDefault="00DA6B62" w:rsidP="00DA6B62">
      <w:pPr>
        <w:spacing w:after="0" w:line="276" w:lineRule="auto"/>
        <w:jc w:val="both"/>
        <w:rPr>
          <w:rFonts w:ascii="Verdana" w:hAnsi="Verdana"/>
          <w:lang w:val="es-ES"/>
        </w:rPr>
      </w:pPr>
    </w:p>
    <w:p w14:paraId="37FE4275" w14:textId="77777777" w:rsidR="00DA6B62" w:rsidRPr="00ED6485" w:rsidRDefault="00DA6B62" w:rsidP="00DA6B62">
      <w:pPr>
        <w:spacing w:after="0" w:line="276" w:lineRule="auto"/>
        <w:jc w:val="both"/>
        <w:rPr>
          <w:rFonts w:ascii="Verdana" w:hAnsi="Verdana"/>
          <w:lang w:val="es-ES"/>
        </w:rPr>
      </w:pPr>
      <w:r w:rsidRPr="00ED6485">
        <w:rPr>
          <w:rFonts w:ascii="Verdana" w:hAnsi="Verdana"/>
          <w:lang w:val="es-ES"/>
        </w:rPr>
        <w:t xml:space="preserve">Twitter: </w:t>
      </w:r>
      <w:r w:rsidRPr="00ED6485">
        <w:rPr>
          <w:rStyle w:val="Hipervnculo"/>
          <w:rFonts w:ascii="Verdana" w:hAnsi="Verdana" w:cs="Arial"/>
          <w:shd w:val="clear" w:color="auto" w:fill="FFFFFF"/>
          <w:lang w:val="es-ES"/>
        </w:rPr>
        <w:t>@colombiacompra</w:t>
      </w:r>
      <w:r w:rsidRPr="00ED6485">
        <w:rPr>
          <w:rFonts w:ascii="Verdana" w:hAnsi="Verdana"/>
          <w:color w:val="4472C4" w:themeColor="accent1"/>
          <w:lang w:val="es-ES"/>
        </w:rPr>
        <w:t xml:space="preserve"> </w:t>
      </w:r>
    </w:p>
    <w:p w14:paraId="3048523B" w14:textId="77777777" w:rsidR="00DA6B62" w:rsidRPr="00ED6485" w:rsidRDefault="00DA6B62" w:rsidP="00DA6B62">
      <w:pPr>
        <w:spacing w:after="0" w:line="276" w:lineRule="auto"/>
        <w:jc w:val="both"/>
        <w:rPr>
          <w:rFonts w:ascii="Verdana" w:hAnsi="Verdana"/>
          <w:lang w:val="es-ES"/>
        </w:rPr>
      </w:pPr>
      <w:r w:rsidRPr="00ED6485">
        <w:rPr>
          <w:rFonts w:ascii="Verdana" w:hAnsi="Verdana"/>
          <w:lang w:val="es-ES"/>
        </w:rPr>
        <w:t xml:space="preserve">Facebook: </w:t>
      </w:r>
      <w:proofErr w:type="spellStart"/>
      <w:r w:rsidRPr="00ED6485">
        <w:rPr>
          <w:rStyle w:val="Hipervnculo"/>
          <w:rFonts w:ascii="Verdana" w:hAnsi="Verdana" w:cs="Arial"/>
          <w:shd w:val="clear" w:color="auto" w:fill="FFFFFF"/>
          <w:lang w:val="es-ES"/>
        </w:rPr>
        <w:t>ColombiaCompraEficiente</w:t>
      </w:r>
      <w:proofErr w:type="spellEnd"/>
    </w:p>
    <w:p w14:paraId="61875F19" w14:textId="77777777" w:rsidR="00DA6B62" w:rsidRPr="00ED6485" w:rsidRDefault="00DA6B62" w:rsidP="00DA6B62">
      <w:pPr>
        <w:spacing w:after="0" w:line="276" w:lineRule="auto"/>
        <w:jc w:val="both"/>
        <w:rPr>
          <w:rFonts w:ascii="Verdana" w:hAnsi="Verdana"/>
          <w:lang w:val="es-ES"/>
        </w:rPr>
      </w:pPr>
      <w:r w:rsidRPr="00ED6485">
        <w:rPr>
          <w:rFonts w:ascii="Verdana" w:hAnsi="Verdana"/>
          <w:lang w:val="es-ES"/>
        </w:rPr>
        <w:t xml:space="preserve">LinkedIn: </w:t>
      </w:r>
      <w:r w:rsidRPr="00ED6485">
        <w:rPr>
          <w:rStyle w:val="Hipervnculo"/>
          <w:rFonts w:ascii="Verdana" w:hAnsi="Verdana" w:cs="Arial"/>
          <w:shd w:val="clear" w:color="auto" w:fill="FFFFFF"/>
          <w:lang w:val="es-ES"/>
        </w:rPr>
        <w:t xml:space="preserve">Agencia Nacional de Contratación Pública - Colombia Compra Eficiente </w:t>
      </w:r>
      <w:r w:rsidRPr="00ED6485">
        <w:rPr>
          <w:rFonts w:ascii="Verdana" w:hAnsi="Verdana"/>
          <w:lang w:val="es-ES"/>
        </w:rPr>
        <w:t xml:space="preserve">Instagram: </w:t>
      </w:r>
      <w:r w:rsidRPr="00ED6485">
        <w:rPr>
          <w:rStyle w:val="Hipervnculo"/>
          <w:rFonts w:ascii="Verdana" w:hAnsi="Verdana" w:cs="Arial"/>
          <w:shd w:val="clear" w:color="auto" w:fill="FFFFFF"/>
          <w:lang w:val="es-ES"/>
        </w:rPr>
        <w:t>@colombiacompraeficiente_cce</w:t>
      </w:r>
    </w:p>
    <w:p w14:paraId="21582EBB" w14:textId="77777777" w:rsidR="00DA6B62" w:rsidRPr="00ED6485" w:rsidRDefault="00DA6B62" w:rsidP="00DA6B62">
      <w:pPr>
        <w:widowControl w:val="0"/>
        <w:autoSpaceDE w:val="0"/>
        <w:autoSpaceDN w:val="0"/>
        <w:spacing w:after="0" w:line="276" w:lineRule="auto"/>
        <w:jc w:val="both"/>
        <w:rPr>
          <w:rFonts w:ascii="Verdana" w:hAnsi="Verdana" w:cs="Arial"/>
          <w:color w:val="000000" w:themeColor="text1"/>
          <w:lang w:val="es-ES"/>
        </w:rPr>
      </w:pPr>
    </w:p>
    <w:p w14:paraId="4F057DF2" w14:textId="77777777" w:rsidR="00DA6B62" w:rsidRPr="00ED6485" w:rsidRDefault="00DA6B62" w:rsidP="00DA6B62">
      <w:pPr>
        <w:widowControl w:val="0"/>
        <w:autoSpaceDE w:val="0"/>
        <w:autoSpaceDN w:val="0"/>
        <w:spacing w:after="0" w:line="276" w:lineRule="auto"/>
        <w:jc w:val="both"/>
        <w:rPr>
          <w:rFonts w:ascii="Verdana" w:hAnsi="Verdana" w:cs="Arial"/>
          <w:color w:val="000000" w:themeColor="text1"/>
          <w:lang w:val="es-ES"/>
        </w:rPr>
      </w:pPr>
      <w:r w:rsidRPr="00ED6485">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0BD87BB" w14:textId="77777777" w:rsidR="00DA6B62" w:rsidRPr="00ED6485" w:rsidRDefault="00DA6B62" w:rsidP="00DA6B62">
      <w:pPr>
        <w:widowControl w:val="0"/>
        <w:autoSpaceDE w:val="0"/>
        <w:autoSpaceDN w:val="0"/>
        <w:spacing w:after="0" w:line="276" w:lineRule="auto"/>
        <w:jc w:val="both"/>
        <w:rPr>
          <w:rFonts w:ascii="Verdana" w:hAnsi="Verdana" w:cs="Arial"/>
          <w:color w:val="000000" w:themeColor="text1"/>
          <w:lang w:val="es-ES"/>
        </w:rPr>
      </w:pPr>
    </w:p>
    <w:p w14:paraId="220CCA1B" w14:textId="5479C381" w:rsidR="00DA6B62" w:rsidRDefault="00DA6B62" w:rsidP="00DA6B62">
      <w:pPr>
        <w:spacing w:after="0" w:line="276" w:lineRule="auto"/>
        <w:rPr>
          <w:rFonts w:ascii="Verdana" w:hAnsi="Verdana" w:cs="Arial"/>
          <w:color w:val="000000" w:themeColor="text1"/>
          <w:lang w:val="es-ES" w:eastAsia="es-CO"/>
        </w:rPr>
      </w:pPr>
      <w:r w:rsidRPr="00ED6485">
        <w:rPr>
          <w:rFonts w:ascii="Verdana" w:eastAsia="Times New Roman" w:hAnsi="Verdana" w:cs="Arial"/>
          <w:color w:val="000000" w:themeColor="text1"/>
          <w:lang w:val="es-ES" w:eastAsia="es-CO"/>
        </w:rPr>
        <w:t>Atentamente,</w:t>
      </w:r>
      <w:r w:rsidRPr="00ED6485">
        <w:rPr>
          <w:rFonts w:ascii="Verdana" w:hAnsi="Verdana" w:cs="Arial"/>
          <w:color w:val="000000" w:themeColor="text1"/>
          <w:lang w:val="es-ES" w:eastAsia="es-CO"/>
        </w:rPr>
        <w:t xml:space="preserve"> </w:t>
      </w:r>
    </w:p>
    <w:p w14:paraId="007F8438" w14:textId="4EAE769A" w:rsidR="002F1708" w:rsidRPr="00ED6485" w:rsidRDefault="002F1708" w:rsidP="00DA6B62">
      <w:pPr>
        <w:spacing w:after="0" w:line="276" w:lineRule="auto"/>
        <w:rPr>
          <w:rFonts w:ascii="Verdana" w:hAnsi="Verdana" w:cs="Arial"/>
          <w:color w:val="000000" w:themeColor="text1"/>
          <w:lang w:val="es-ES" w:eastAsia="es-CO"/>
        </w:rPr>
      </w:pPr>
      <w:r w:rsidRPr="002C3AD6">
        <w:rPr>
          <w:rFonts w:ascii="Century Gothic" w:hAnsi="Century Gothic"/>
          <w:noProof/>
        </w:rPr>
        <w:drawing>
          <wp:anchor distT="0" distB="0" distL="114300" distR="114300" simplePos="0" relativeHeight="251661313" behindDoc="0" locked="0" layoutInCell="1" allowOverlap="1" wp14:anchorId="1608CD5C" wp14:editId="711FE066">
            <wp:simplePos x="0" y="0"/>
            <wp:positionH relativeFrom="column">
              <wp:posOffset>1208868</wp:posOffset>
            </wp:positionH>
            <wp:positionV relativeFrom="paragraph">
              <wp:posOffset>84552</wp:posOffset>
            </wp:positionV>
            <wp:extent cx="3772426" cy="1400370"/>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3772426" cy="1400370"/>
                    </a:xfrm>
                    <a:prstGeom prst="rect">
                      <a:avLst/>
                    </a:prstGeom>
                  </pic:spPr>
                </pic:pic>
              </a:graphicData>
            </a:graphic>
            <wp14:sizeRelH relativeFrom="page">
              <wp14:pctWidth>0</wp14:pctWidth>
            </wp14:sizeRelH>
            <wp14:sizeRelV relativeFrom="page">
              <wp14:pctHeight>0</wp14:pctHeight>
            </wp14:sizeRelV>
          </wp:anchor>
        </w:drawing>
      </w:r>
    </w:p>
    <w:p w14:paraId="5FB237FC" w14:textId="77777777" w:rsidR="00DA6B62" w:rsidRPr="00ED6485" w:rsidRDefault="00DA6B62" w:rsidP="00DA6B62">
      <w:pPr>
        <w:spacing w:line="276" w:lineRule="auto"/>
        <w:rPr>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A6B62" w:rsidRPr="00ED6485" w14:paraId="6A24C319" w14:textId="77777777" w:rsidTr="00BD657F">
        <w:trPr>
          <w:trHeight w:val="315"/>
        </w:trPr>
        <w:tc>
          <w:tcPr>
            <w:tcW w:w="893" w:type="dxa"/>
            <w:vAlign w:val="center"/>
            <w:hideMark/>
          </w:tcPr>
          <w:p w14:paraId="531AB801" w14:textId="77777777" w:rsidR="00DA6B62" w:rsidRPr="00ED6485" w:rsidRDefault="00DA6B62" w:rsidP="00BD657F">
            <w:pPr>
              <w:contextualSpacing/>
              <w:rPr>
                <w:rFonts w:ascii="Verdana" w:hAnsi="Verdana" w:cs="Arial"/>
                <w:sz w:val="15"/>
                <w:szCs w:val="15"/>
                <w:lang w:val="es-ES" w:eastAsia="es-ES"/>
              </w:rPr>
            </w:pPr>
            <w:r w:rsidRPr="00ED6485">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4311E910" w14:textId="77777777" w:rsidR="00DA6B62" w:rsidRPr="00ED6485" w:rsidRDefault="00DA6B62" w:rsidP="00BD657F">
            <w:pPr>
              <w:contextualSpacing/>
              <w:rPr>
                <w:rFonts w:ascii="Verdana" w:eastAsia="Arial" w:hAnsi="Verdana" w:cs="Arial"/>
                <w:color w:val="000000" w:themeColor="text1"/>
                <w:sz w:val="15"/>
                <w:szCs w:val="15"/>
                <w:lang w:val="es-ES"/>
              </w:rPr>
            </w:pPr>
            <w:r w:rsidRPr="00ED6485">
              <w:rPr>
                <w:rFonts w:ascii="Verdana" w:eastAsia="Arial" w:hAnsi="Verdana" w:cs="Arial"/>
                <w:color w:val="000000" w:themeColor="text1"/>
                <w:sz w:val="15"/>
                <w:szCs w:val="15"/>
                <w:lang w:val="es-ES"/>
              </w:rPr>
              <w:t>Anamaría Bonilla Prieto</w:t>
            </w:r>
          </w:p>
          <w:p w14:paraId="2126D777" w14:textId="77777777" w:rsidR="00DA6B62" w:rsidRPr="00ED6485" w:rsidRDefault="00DA6B62" w:rsidP="00BD657F">
            <w:pPr>
              <w:contextualSpacing/>
              <w:rPr>
                <w:rFonts w:ascii="Verdana" w:eastAsia="Arial" w:hAnsi="Verdana" w:cs="Arial"/>
                <w:sz w:val="15"/>
                <w:szCs w:val="15"/>
                <w:lang w:val="es-ES"/>
              </w:rPr>
            </w:pPr>
            <w:r w:rsidRPr="00ED6485">
              <w:rPr>
                <w:rStyle w:val="normaltextrun"/>
                <w:rFonts w:ascii="Verdana" w:eastAsia="Arial" w:hAnsi="Verdana" w:cs="Arial"/>
                <w:color w:val="000000" w:themeColor="text1"/>
                <w:sz w:val="15"/>
                <w:szCs w:val="15"/>
                <w:lang w:val="es-ES"/>
              </w:rPr>
              <w:t xml:space="preserve">Contratista de la Subdirección </w:t>
            </w:r>
            <w:r w:rsidRPr="00ED6485">
              <w:rPr>
                <w:rStyle w:val="normaltextrun"/>
                <w:rFonts w:ascii="Verdana" w:eastAsia="Arial" w:hAnsi="Verdana" w:cs="Arial"/>
                <w:sz w:val="15"/>
                <w:szCs w:val="15"/>
                <w:lang w:val="es-ES"/>
              </w:rPr>
              <w:t>de Gestión Contractual</w:t>
            </w:r>
          </w:p>
        </w:tc>
      </w:tr>
      <w:tr w:rsidR="00DA6B62" w:rsidRPr="00ED6485" w14:paraId="42E5F15F" w14:textId="77777777" w:rsidTr="00BD657F">
        <w:trPr>
          <w:trHeight w:val="330"/>
        </w:trPr>
        <w:tc>
          <w:tcPr>
            <w:tcW w:w="893" w:type="dxa"/>
            <w:vAlign w:val="center"/>
            <w:hideMark/>
          </w:tcPr>
          <w:p w14:paraId="1F5D923E" w14:textId="77777777" w:rsidR="00DA6B62" w:rsidRPr="00ED6485" w:rsidRDefault="00DA6B62" w:rsidP="00BD657F">
            <w:pPr>
              <w:contextualSpacing/>
              <w:rPr>
                <w:rFonts w:ascii="Verdana" w:hAnsi="Verdana" w:cs="Arial"/>
                <w:sz w:val="15"/>
                <w:szCs w:val="15"/>
                <w:lang w:val="es-ES" w:eastAsia="es-ES"/>
              </w:rPr>
            </w:pPr>
            <w:r w:rsidRPr="00ED6485">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3C0072C" w14:textId="77777777" w:rsidR="00DA6B62" w:rsidRPr="00ED6485" w:rsidRDefault="00DA6B62" w:rsidP="00BD657F">
            <w:pPr>
              <w:contextualSpacing/>
              <w:rPr>
                <w:rFonts w:ascii="Verdana" w:eastAsia="Arial" w:hAnsi="Verdana" w:cs="Arial"/>
                <w:color w:val="000000" w:themeColor="text1"/>
                <w:sz w:val="15"/>
                <w:szCs w:val="15"/>
                <w:lang w:val="es-ES"/>
              </w:rPr>
            </w:pPr>
            <w:r w:rsidRPr="00ED6485">
              <w:rPr>
                <w:rFonts w:ascii="Verdana" w:eastAsia="Arial" w:hAnsi="Verdana" w:cs="Arial"/>
                <w:color w:val="000000" w:themeColor="text1"/>
                <w:sz w:val="15"/>
                <w:szCs w:val="15"/>
                <w:lang w:val="es-ES"/>
              </w:rPr>
              <w:t>Alejandro Sarmiento Cantillo</w:t>
            </w:r>
          </w:p>
          <w:p w14:paraId="58E01B18" w14:textId="77777777" w:rsidR="00DA6B62" w:rsidRPr="00ED6485" w:rsidRDefault="00DA6B62" w:rsidP="00BD657F">
            <w:pPr>
              <w:pStyle w:val="paragraph"/>
              <w:spacing w:before="0" w:beforeAutospacing="0" w:after="0" w:afterAutospacing="0"/>
              <w:contextualSpacing/>
              <w:textAlignment w:val="baseline"/>
              <w:rPr>
                <w:rFonts w:ascii="Verdana" w:hAnsi="Verdana" w:cs="Segoe UI"/>
                <w:sz w:val="15"/>
                <w:szCs w:val="15"/>
                <w:lang w:val="es-ES"/>
              </w:rPr>
            </w:pPr>
            <w:r w:rsidRPr="00ED6485">
              <w:rPr>
                <w:rFonts w:ascii="Verdana" w:eastAsia="Arial" w:hAnsi="Verdana" w:cs="Arial"/>
                <w:color w:val="000000" w:themeColor="text1"/>
                <w:sz w:val="15"/>
                <w:szCs w:val="15"/>
                <w:lang w:val="es-ES"/>
              </w:rPr>
              <w:t>Gestor T1 – 15 de la Subdirección de Gestión Contractual</w:t>
            </w:r>
            <w:r w:rsidRPr="00ED6485">
              <w:rPr>
                <w:rFonts w:ascii="Verdana" w:hAnsi="Verdana" w:cs="Segoe UI"/>
                <w:sz w:val="15"/>
                <w:szCs w:val="15"/>
                <w:lang w:val="es-ES"/>
              </w:rPr>
              <w:t> </w:t>
            </w:r>
          </w:p>
          <w:p w14:paraId="287C4814" w14:textId="77777777" w:rsidR="00DA6B62" w:rsidRPr="00ED6485" w:rsidRDefault="00DA6B62" w:rsidP="00BD657F">
            <w:pPr>
              <w:pStyle w:val="paragraph"/>
              <w:spacing w:before="0" w:beforeAutospacing="0" w:after="0" w:afterAutospacing="0"/>
              <w:contextualSpacing/>
              <w:textAlignment w:val="baseline"/>
              <w:rPr>
                <w:rFonts w:ascii="Verdana" w:hAnsi="Verdana" w:cs="Segoe UI"/>
                <w:sz w:val="15"/>
                <w:szCs w:val="15"/>
                <w:lang w:val="es-ES"/>
              </w:rPr>
            </w:pPr>
          </w:p>
        </w:tc>
      </w:tr>
      <w:tr w:rsidR="00DA6B62" w:rsidRPr="00ED6485" w14:paraId="117C6741" w14:textId="77777777" w:rsidTr="00BD657F">
        <w:trPr>
          <w:trHeight w:val="300"/>
        </w:trPr>
        <w:tc>
          <w:tcPr>
            <w:tcW w:w="893" w:type="dxa"/>
            <w:vAlign w:val="center"/>
          </w:tcPr>
          <w:p w14:paraId="0A6995A4" w14:textId="77777777" w:rsidR="00DA6B62" w:rsidRPr="00ED6485" w:rsidRDefault="00DA6B62" w:rsidP="00BD657F">
            <w:pPr>
              <w:contextualSpacing/>
              <w:rPr>
                <w:rFonts w:ascii="Verdana" w:hAnsi="Verdana" w:cs="Arial"/>
                <w:sz w:val="15"/>
                <w:szCs w:val="15"/>
                <w:lang w:val="es-ES" w:eastAsia="es-ES"/>
              </w:rPr>
            </w:pPr>
            <w:r w:rsidRPr="00ED6485">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F9E7D09" w14:textId="77777777" w:rsidR="00DA6B62" w:rsidRPr="00ED6485" w:rsidRDefault="00DA6B62" w:rsidP="00BD657F">
            <w:pPr>
              <w:contextualSpacing/>
              <w:rPr>
                <w:rFonts w:ascii="Verdana" w:eastAsia="Calibri" w:hAnsi="Verdana" w:cs="Arial"/>
                <w:sz w:val="16"/>
                <w:szCs w:val="16"/>
                <w:lang w:val="es-ES" w:eastAsia="es-ES"/>
              </w:rPr>
            </w:pPr>
            <w:r w:rsidRPr="00ED6485">
              <w:rPr>
                <w:rFonts w:ascii="Verdana" w:eastAsia="Calibri" w:hAnsi="Verdana" w:cs="Arial"/>
                <w:sz w:val="16"/>
                <w:szCs w:val="16"/>
                <w:lang w:val="es-ES" w:eastAsia="es-ES"/>
              </w:rPr>
              <w:t>Carolina Quintero Gacharná</w:t>
            </w:r>
          </w:p>
          <w:p w14:paraId="4E2F8E8C" w14:textId="77777777" w:rsidR="00DA6B62" w:rsidRPr="00ED6485" w:rsidRDefault="00DA6B62" w:rsidP="00BD657F">
            <w:pPr>
              <w:contextualSpacing/>
              <w:rPr>
                <w:rFonts w:ascii="Verdana" w:eastAsia="Calibri" w:hAnsi="Verdana" w:cs="Arial"/>
                <w:sz w:val="15"/>
                <w:szCs w:val="15"/>
                <w:lang w:val="es-ES" w:eastAsia="es-ES"/>
              </w:rPr>
            </w:pPr>
            <w:r w:rsidRPr="00ED6485">
              <w:rPr>
                <w:rFonts w:ascii="Verdana" w:eastAsia="Calibri" w:hAnsi="Verdana" w:cs="Arial"/>
                <w:sz w:val="16"/>
                <w:szCs w:val="16"/>
                <w:lang w:val="es-ES" w:eastAsia="es-ES"/>
              </w:rPr>
              <w:t>Subdirectora de Gestión Contractual ANCP – CCE</w:t>
            </w:r>
          </w:p>
        </w:tc>
      </w:tr>
      <w:bookmarkEnd w:id="0"/>
    </w:tbl>
    <w:p w14:paraId="35307373" w14:textId="77777777" w:rsidR="00DA6B62" w:rsidRPr="00ED6485" w:rsidRDefault="00DA6B62" w:rsidP="00DA6B62">
      <w:pPr>
        <w:rPr>
          <w:lang w:val="es-ES"/>
        </w:rPr>
      </w:pPr>
    </w:p>
    <w:p w14:paraId="1EC9BFD9" w14:textId="77777777" w:rsidR="00DA6B62" w:rsidRPr="00DB2B86" w:rsidRDefault="00DA6B62" w:rsidP="00DA6B62"/>
    <w:p w14:paraId="0F293BF4" w14:textId="1E99ECCD" w:rsidR="00127233" w:rsidRPr="00B263E7" w:rsidRDefault="00127233" w:rsidP="00B263E7"/>
    <w:sectPr w:rsidR="00127233" w:rsidRPr="00B263E7"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F0537" w14:textId="77777777" w:rsidR="00781F80" w:rsidRDefault="00781F80" w:rsidP="004A1847">
      <w:pPr>
        <w:spacing w:after="0" w:line="240" w:lineRule="auto"/>
      </w:pPr>
      <w:r>
        <w:separator/>
      </w:r>
    </w:p>
  </w:endnote>
  <w:endnote w:type="continuationSeparator" w:id="0">
    <w:p w14:paraId="1744F46C" w14:textId="77777777" w:rsidR="00781F80" w:rsidRDefault="00781F80" w:rsidP="004A1847">
      <w:pPr>
        <w:spacing w:after="0" w:line="240" w:lineRule="auto"/>
      </w:pPr>
      <w:r>
        <w:continuationSeparator/>
      </w:r>
    </w:p>
  </w:endnote>
  <w:endnote w:type="continuationNotice" w:id="1">
    <w:p w14:paraId="77A4E3D9" w14:textId="77777777" w:rsidR="00781F80" w:rsidRDefault="00781F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orbe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53912" w14:textId="77777777" w:rsidR="00781F80" w:rsidRDefault="00781F80" w:rsidP="004A1847">
      <w:pPr>
        <w:spacing w:after="0" w:line="240" w:lineRule="auto"/>
      </w:pPr>
      <w:r>
        <w:separator/>
      </w:r>
    </w:p>
  </w:footnote>
  <w:footnote w:type="continuationSeparator" w:id="0">
    <w:p w14:paraId="7AF2D5A7" w14:textId="77777777" w:rsidR="00781F80" w:rsidRDefault="00781F80" w:rsidP="004A1847">
      <w:pPr>
        <w:spacing w:after="0" w:line="240" w:lineRule="auto"/>
      </w:pPr>
      <w:r>
        <w:continuationSeparator/>
      </w:r>
    </w:p>
  </w:footnote>
  <w:footnote w:type="continuationNotice" w:id="1">
    <w:p w14:paraId="560C3BEF" w14:textId="77777777" w:rsidR="00781F80" w:rsidRDefault="00781F80">
      <w:pPr>
        <w:spacing w:after="0" w:line="240" w:lineRule="auto"/>
      </w:pPr>
    </w:p>
  </w:footnote>
  <w:footnote w:id="2">
    <w:p w14:paraId="1440DF48" w14:textId="77777777" w:rsidR="00DA6B62" w:rsidRPr="00C7298A" w:rsidRDefault="00DA6B62" w:rsidP="00DA6B62">
      <w:pPr>
        <w:pStyle w:val="Textonotapie"/>
        <w:ind w:firstLine="709"/>
        <w:rPr>
          <w:rFonts w:ascii="Verdana" w:hAnsi="Verdana"/>
          <w:sz w:val="14"/>
          <w:szCs w:val="14"/>
        </w:rPr>
      </w:pPr>
      <w:r w:rsidRPr="00C7298A">
        <w:rPr>
          <w:rStyle w:val="Refdenotaalpie"/>
          <w:rFonts w:ascii="Verdana" w:hAnsi="Verdana"/>
          <w:sz w:val="14"/>
          <w:szCs w:val="14"/>
        </w:rPr>
        <w:footnoteRef/>
      </w:r>
      <w:r w:rsidRPr="00C7298A">
        <w:rPr>
          <w:rFonts w:ascii="Verdana" w:hAnsi="Verdana"/>
          <w:sz w:val="14"/>
          <w:szCs w:val="14"/>
        </w:rPr>
        <w:t xml:space="preserve"> En </w:t>
      </w:r>
      <w:hyperlink r:id="rId1" w:history="1">
        <w:r w:rsidRPr="00C7298A">
          <w:rPr>
            <w:rStyle w:val="Hipervnculo"/>
            <w:rFonts w:ascii="Verdana" w:hAnsi="Verdana"/>
            <w:sz w:val="14"/>
            <w:szCs w:val="14"/>
            <w:lang w:val="es-CO"/>
          </w:rPr>
          <w:t>cce-eicp-ma-04._manual_requisitos_habilitantes_v3_29-09-2023.pdf</w:t>
        </w:r>
      </w:hyperlink>
    </w:p>
    <w:p w14:paraId="17C2983D" w14:textId="77777777" w:rsidR="00DA6B62" w:rsidRPr="00C7298A" w:rsidRDefault="00DA6B62" w:rsidP="00DA6B62">
      <w:pPr>
        <w:pStyle w:val="Textonotapie"/>
      </w:pPr>
    </w:p>
  </w:footnote>
  <w:footnote w:id="3">
    <w:p w14:paraId="1F570FCA" w14:textId="77777777" w:rsidR="00DA6B62" w:rsidRPr="00AE683E" w:rsidRDefault="00DA6B62" w:rsidP="00DA6B62">
      <w:pPr>
        <w:pStyle w:val="Textonotapie"/>
        <w:ind w:firstLine="708"/>
        <w:contextualSpacing/>
        <w:jc w:val="both"/>
        <w:rPr>
          <w:rFonts w:ascii="Verdana" w:hAnsi="Verdana"/>
          <w:sz w:val="14"/>
          <w:szCs w:val="14"/>
          <w:lang w:val="es-ES"/>
        </w:rPr>
      </w:pPr>
      <w:r w:rsidRPr="00AE683E">
        <w:rPr>
          <w:rStyle w:val="Refdenotaalpie"/>
          <w:rFonts w:ascii="Verdana" w:hAnsi="Verdana"/>
          <w:sz w:val="14"/>
          <w:szCs w:val="14"/>
        </w:rPr>
        <w:footnoteRef/>
      </w:r>
      <w:r w:rsidRPr="00AE683E">
        <w:rPr>
          <w:rFonts w:ascii="Verdana" w:hAnsi="Verdana"/>
          <w:sz w:val="14"/>
          <w:szCs w:val="14"/>
        </w:rPr>
        <w:t xml:space="preserve"> Agencia Nacional de Contratación Pública – Colombia Compra Eficiente, </w:t>
      </w:r>
      <w:r w:rsidRPr="00AE683E">
        <w:rPr>
          <w:rFonts w:ascii="Verdana" w:hAnsi="Verdana"/>
          <w:sz w:val="14"/>
          <w:szCs w:val="14"/>
          <w:lang w:val="es-CO"/>
        </w:rPr>
        <w:t xml:space="preserve">Manual para determinar y verificar los requisitos habilitantes en los procesos de contratación, Disponible en: </w:t>
      </w:r>
      <w:hyperlink r:id="rId2" w:history="1">
        <w:r w:rsidRPr="00AE683E">
          <w:rPr>
            <w:rStyle w:val="Hipervnculo"/>
            <w:rFonts w:ascii="Verdana" w:hAnsi="Verdana"/>
            <w:sz w:val="14"/>
            <w:szCs w:val="14"/>
          </w:rPr>
          <w:t>https://www.colombiacompra.gov.co/wp-content/uploads/2024/08/cce-eicp-ma-04._manual_requisitos_habilitantes_v3_29-09-2023.pdf</w:t>
        </w:r>
      </w:hyperlink>
      <w:r w:rsidRPr="00AE683E">
        <w:rPr>
          <w:rFonts w:ascii="Verdana" w:hAnsi="Verdana"/>
          <w:sz w:val="14"/>
          <w:szCs w:val="14"/>
        </w:rPr>
        <w:t xml:space="preserve"> </w:t>
      </w:r>
    </w:p>
  </w:footnote>
  <w:footnote w:id="4">
    <w:p w14:paraId="6A0571A0" w14:textId="77777777" w:rsidR="00DA6B62" w:rsidRPr="00BF0229" w:rsidRDefault="00DA6B62" w:rsidP="00DA6B62">
      <w:pPr>
        <w:pStyle w:val="Textonotapie"/>
        <w:ind w:firstLine="709"/>
        <w:contextualSpacing/>
        <w:jc w:val="both"/>
        <w:rPr>
          <w:rFonts w:ascii="Verdana" w:hAnsi="Verdana"/>
          <w:sz w:val="14"/>
          <w:szCs w:val="14"/>
          <w:lang w:val="es-CO"/>
        </w:rPr>
      </w:pPr>
      <w:r w:rsidRPr="00BF0229">
        <w:rPr>
          <w:rStyle w:val="Refdenotaalpie"/>
          <w:rFonts w:ascii="Verdana" w:hAnsi="Verdana"/>
          <w:sz w:val="14"/>
          <w:szCs w:val="14"/>
        </w:rPr>
        <w:footnoteRef/>
      </w:r>
      <w:r w:rsidRPr="00BF0229">
        <w:rPr>
          <w:rFonts w:ascii="Verdana" w:hAnsi="Verdana"/>
          <w:sz w:val="14"/>
          <w:szCs w:val="14"/>
        </w:rPr>
        <w:t xml:space="preserve"> </w:t>
      </w:r>
      <w:r w:rsidRPr="00BF0229">
        <w:rPr>
          <w:rFonts w:ascii="Verdana" w:hAnsi="Verdana"/>
          <w:sz w:val="14"/>
          <w:szCs w:val="14"/>
          <w:lang w:val="es-ES"/>
        </w:rPr>
        <w:t>“</w:t>
      </w:r>
      <w:r w:rsidRPr="00BF0229">
        <w:rPr>
          <w:rFonts w:ascii="Verdana" w:hAnsi="Verdana"/>
          <w:sz w:val="14"/>
          <w:szCs w:val="14"/>
          <w:lang w:val="es-CO"/>
        </w:rPr>
        <w:t>Para poder participar en los procesos de selección de los contratos de obra, la capacidad residual del proponente o K de contratación deberá ser igual o superior al que la entidad haya establecido para el efecto en los pliegos de condiciones</w:t>
      </w:r>
      <w:r>
        <w:rPr>
          <w:rFonts w:ascii="Verdana" w:hAnsi="Verdana"/>
          <w:sz w:val="14"/>
          <w:szCs w:val="14"/>
          <w:lang w:val="es-CO"/>
        </w:rPr>
        <w:t>.</w:t>
      </w:r>
    </w:p>
    <w:p w14:paraId="6DE4FEA2" w14:textId="77777777" w:rsidR="00DA6B62" w:rsidRDefault="00DA6B62" w:rsidP="00DA6B62">
      <w:pPr>
        <w:pStyle w:val="Textonotapie"/>
        <w:contextualSpacing/>
        <w:jc w:val="both"/>
        <w:rPr>
          <w:rFonts w:ascii="Verdana" w:hAnsi="Verdana"/>
          <w:sz w:val="14"/>
          <w:szCs w:val="14"/>
          <w:lang w:val="es-CO"/>
        </w:rPr>
      </w:pPr>
      <w:r w:rsidRPr="00BF0229">
        <w:rPr>
          <w:rFonts w:ascii="Verdana" w:hAnsi="Verdana"/>
          <w:sz w:val="14"/>
          <w:szCs w:val="14"/>
          <w:lang w:val="es-CO"/>
        </w:rPr>
        <w:t>Para establecer</w:t>
      </w:r>
      <w:r w:rsidRPr="00BF0229">
        <w:rPr>
          <w:rFonts w:ascii="Verdana" w:hAnsi="Verdana"/>
          <w:sz w:val="14"/>
          <w:szCs w:val="14"/>
          <w:lang w:val="es-CO"/>
        </w:rPr>
        <w:t xml:space="preserve">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05098231" w14:textId="77777777" w:rsidR="00DA6B62" w:rsidRPr="00BF0229" w:rsidRDefault="00DA6B62" w:rsidP="00DA6B62">
      <w:pPr>
        <w:pStyle w:val="Textonotapie"/>
        <w:contextualSpacing/>
        <w:jc w:val="both"/>
        <w:rPr>
          <w:rFonts w:ascii="Verdana" w:hAnsi="Verdana"/>
          <w:sz w:val="14"/>
          <w:szCs w:val="14"/>
          <w:lang w:val="es-CO"/>
        </w:rPr>
      </w:pPr>
    </w:p>
  </w:footnote>
  <w:footnote w:id="5">
    <w:p w14:paraId="58D456A9" w14:textId="77777777" w:rsidR="00DA6B62" w:rsidRDefault="00DA6B62" w:rsidP="00DA6B62">
      <w:pPr>
        <w:pStyle w:val="Textonotapie"/>
        <w:ind w:firstLine="709"/>
        <w:contextualSpacing/>
        <w:jc w:val="both"/>
        <w:rPr>
          <w:rFonts w:ascii="Verdana" w:hAnsi="Verdana"/>
          <w:sz w:val="14"/>
          <w:szCs w:val="14"/>
        </w:rPr>
      </w:pPr>
      <w:r w:rsidRPr="00BF0229">
        <w:rPr>
          <w:rStyle w:val="Refdenotaalpie"/>
          <w:rFonts w:ascii="Verdana" w:hAnsi="Verdana"/>
          <w:sz w:val="14"/>
          <w:szCs w:val="14"/>
        </w:rPr>
        <w:footnoteRef/>
      </w:r>
      <w:r w:rsidRPr="00BF0229">
        <w:rPr>
          <w:rFonts w:ascii="Verdana" w:hAnsi="Verdana"/>
          <w:sz w:val="14"/>
          <w:szCs w:val="14"/>
        </w:rPr>
        <w:t xml:space="preserve">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p w14:paraId="650D6876" w14:textId="77777777" w:rsidR="00DA6B62" w:rsidRPr="00BF0229" w:rsidRDefault="00DA6B62" w:rsidP="00DA6B62">
      <w:pPr>
        <w:pStyle w:val="Textonotapie"/>
        <w:ind w:firstLine="567"/>
        <w:contextualSpacing/>
        <w:jc w:val="both"/>
        <w:rPr>
          <w:rFonts w:ascii="Verdana" w:hAnsi="Verdana"/>
          <w:sz w:val="14"/>
          <w:szCs w:val="14"/>
          <w:lang w:val="es-CO"/>
        </w:rPr>
      </w:pPr>
    </w:p>
  </w:footnote>
  <w:footnote w:id="6">
    <w:p w14:paraId="4E6D5341" w14:textId="77777777" w:rsidR="00DA6B62" w:rsidRDefault="00DA6B62" w:rsidP="00DA6B62">
      <w:pPr>
        <w:pStyle w:val="Textonotapie"/>
        <w:ind w:firstLine="709"/>
        <w:rPr>
          <w:rFonts w:ascii="Verdana" w:hAnsi="Verdana"/>
          <w:sz w:val="14"/>
          <w:szCs w:val="14"/>
        </w:rPr>
      </w:pPr>
      <w:r w:rsidRPr="00556F73">
        <w:rPr>
          <w:rStyle w:val="Refdenotaalpie"/>
          <w:rFonts w:ascii="Verdana" w:hAnsi="Verdana"/>
          <w:sz w:val="14"/>
          <w:szCs w:val="14"/>
        </w:rPr>
        <w:footnoteRef/>
      </w:r>
      <w:r w:rsidRPr="00556F73">
        <w:rPr>
          <w:rFonts w:ascii="Verdana" w:hAnsi="Verdana"/>
          <w:sz w:val="14"/>
          <w:szCs w:val="14"/>
        </w:rPr>
        <w:t xml:space="preserve"> En </w:t>
      </w:r>
      <w:hyperlink r:id="rId3" w:history="1">
        <w:r w:rsidRPr="00556F73">
          <w:rPr>
            <w:rStyle w:val="Hipervnculo"/>
            <w:rFonts w:ascii="Verdana" w:hAnsi="Verdana"/>
            <w:sz w:val="14"/>
            <w:szCs w:val="14"/>
            <w:lang w:val="es-CO"/>
          </w:rPr>
          <w:t>cce-eicp-ma-04._manual_requisitos_habilitantes_v3_29-09-2023.pdf</w:t>
        </w:r>
      </w:hyperlink>
    </w:p>
    <w:p w14:paraId="531FBD07" w14:textId="77777777" w:rsidR="00DA6B62" w:rsidRPr="00556F73" w:rsidRDefault="00DA6B62" w:rsidP="00DA6B62">
      <w:pPr>
        <w:pStyle w:val="Textonotapie"/>
        <w:ind w:firstLine="709"/>
        <w:rPr>
          <w:rFonts w:ascii="Verdana" w:hAnsi="Verdana"/>
          <w:sz w:val="14"/>
          <w:szCs w:val="14"/>
        </w:rPr>
      </w:pPr>
    </w:p>
  </w:footnote>
  <w:footnote w:id="7">
    <w:p w14:paraId="03A39C46" w14:textId="77777777" w:rsidR="00DA6B62" w:rsidRPr="005E6288" w:rsidRDefault="00DA6B62" w:rsidP="00DA6B62">
      <w:pPr>
        <w:pStyle w:val="Textonotapie"/>
        <w:ind w:firstLine="708"/>
        <w:jc w:val="both"/>
        <w:rPr>
          <w:rFonts w:ascii="Verdana" w:hAnsi="Verdana" w:cs="Arial"/>
          <w:sz w:val="14"/>
          <w:szCs w:val="14"/>
        </w:rPr>
      </w:pPr>
      <w:r w:rsidRPr="005E6288">
        <w:rPr>
          <w:rStyle w:val="Refdenotaalpie"/>
          <w:rFonts w:ascii="Verdana" w:hAnsi="Verdana" w:cs="Arial"/>
          <w:sz w:val="14"/>
          <w:szCs w:val="14"/>
        </w:rPr>
        <w:footnoteRef/>
      </w:r>
      <w:r w:rsidRPr="005E6288">
        <w:rPr>
          <w:rFonts w:ascii="Verdana" w:hAnsi="Verdana" w:cs="Arial"/>
          <w:sz w:val="14"/>
          <w:szCs w:val="14"/>
        </w:rPr>
        <w:t xml:space="preserve"> Colombia Compra Eficiente, Manual para determinar y verificar requisitos habilitantes en los procesos de contratación: </w:t>
      </w:r>
    </w:p>
    <w:p w14:paraId="36AEDE08" w14:textId="77777777" w:rsidR="00DA6B62" w:rsidRPr="005E6288" w:rsidRDefault="00DA6B62" w:rsidP="00DA6B62">
      <w:pPr>
        <w:pStyle w:val="Textonotapie"/>
        <w:ind w:firstLine="708"/>
        <w:jc w:val="both"/>
        <w:rPr>
          <w:rFonts w:ascii="Verdana" w:hAnsi="Verdana" w:cs="Arial"/>
          <w:sz w:val="14"/>
          <w:szCs w:val="14"/>
        </w:rPr>
      </w:pPr>
      <w:r w:rsidRPr="005E6288">
        <w:rPr>
          <w:rFonts w:ascii="Verdana" w:hAnsi="Verdana" w:cs="Arial"/>
          <w:sz w:val="14"/>
          <w:szCs w:val="14"/>
        </w:rPr>
        <w:t>[...]</w:t>
      </w:r>
    </w:p>
    <w:p w14:paraId="6D88A003" w14:textId="77777777" w:rsidR="00DA6B62" w:rsidRPr="005E6288" w:rsidRDefault="00DA6B62" w:rsidP="00DA6B62">
      <w:pPr>
        <w:pStyle w:val="Textonotapie"/>
        <w:ind w:firstLine="708"/>
        <w:jc w:val="both"/>
        <w:rPr>
          <w:rFonts w:ascii="Verdana" w:hAnsi="Verdana" w:cs="Arial"/>
          <w:sz w:val="14"/>
          <w:szCs w:val="14"/>
        </w:rPr>
      </w:pPr>
      <w:r w:rsidRPr="005E6288">
        <w:rPr>
          <w:rFonts w:ascii="Verdana" w:hAnsi="Verdana" w:cs="Arial"/>
          <w:sz w:val="14"/>
          <w:szCs w:val="14"/>
        </w:rPr>
        <w:t xml:space="preserve">La experiencia requerida en un Proceso de Contratación debe ser adecuada y proporcional a la naturaleza del contrato y su valor. La experiencia es adecuada cuando es afín al tipo de actividades previstas en el objeto del contrato a celebrar. Por ejemplo, si el Proceso de Contratación es para un servicio de aseo general, el proponente debe tener experiencia en el servicio de aseo, sin que sea relevante el lugar en el cual ha prestado el servicio o quién ha sido el contratante. </w:t>
      </w:r>
    </w:p>
    <w:p w14:paraId="2D6F7B64" w14:textId="77777777" w:rsidR="00DA6B62" w:rsidRPr="005E6288" w:rsidRDefault="00DA6B62" w:rsidP="00DA6B62">
      <w:pPr>
        <w:pStyle w:val="Textonotapie"/>
        <w:ind w:firstLine="708"/>
        <w:jc w:val="both"/>
        <w:rPr>
          <w:rFonts w:ascii="Verdana" w:hAnsi="Verdana" w:cs="Arial"/>
          <w:sz w:val="14"/>
          <w:szCs w:val="14"/>
        </w:rPr>
      </w:pPr>
      <w:r w:rsidRPr="005E6288">
        <w:rPr>
          <w:rFonts w:ascii="Verdana" w:hAnsi="Verdana" w:cs="Arial"/>
          <w:sz w:val="14"/>
          <w:szCs w:val="14"/>
        </w:rPr>
        <w:t>La experiencia es proporcional cuando tiene relación con el alcance, la cuantía y complejidad del contrato a celebrar. Por ejemplo, en un Proceso de Contratación de obra pública con un presupuesto oficial de 100 SMMLV, la experiencia exigida es proporcional si la Entidad Estatal exige que los proponentes hayan participado en Procesos de Contratación de 50 SMMLV del mismo tipo de obra.</w:t>
      </w:r>
    </w:p>
    <w:p w14:paraId="28DD7F2D" w14:textId="77777777" w:rsidR="00DA6B62" w:rsidRDefault="00DA6B62" w:rsidP="00DA6B62">
      <w:pPr>
        <w:pStyle w:val="Textonotapie"/>
        <w:ind w:firstLine="708"/>
        <w:jc w:val="both"/>
        <w:rPr>
          <w:rFonts w:ascii="Verdana" w:hAnsi="Verdana" w:cs="Arial"/>
          <w:sz w:val="14"/>
          <w:szCs w:val="14"/>
        </w:rPr>
      </w:pPr>
      <w:r w:rsidRPr="005E6288">
        <w:rPr>
          <w:rFonts w:ascii="Verdana" w:hAnsi="Verdana" w:cs="Arial"/>
          <w:sz w:val="14"/>
          <w:szCs w:val="14"/>
        </w:rPr>
        <w:t>[...]”.</w:t>
      </w:r>
    </w:p>
    <w:p w14:paraId="54649EA3" w14:textId="77777777" w:rsidR="00DA6B62" w:rsidRPr="00AD628E" w:rsidRDefault="00DA6B62" w:rsidP="00DA6B62">
      <w:pPr>
        <w:pStyle w:val="Textonotapie"/>
        <w:ind w:firstLine="708"/>
        <w:jc w:val="both"/>
        <w:rPr>
          <w:rFonts w:ascii="Verdana" w:hAnsi="Verdana" w:cs="Arial"/>
          <w:sz w:val="12"/>
          <w:szCs w:val="12"/>
        </w:rPr>
      </w:pPr>
    </w:p>
  </w:footnote>
  <w:footnote w:id="8">
    <w:p w14:paraId="3326C362" w14:textId="77777777" w:rsidR="00DA6B62" w:rsidRDefault="00DA6B62" w:rsidP="00DA6B62">
      <w:pPr>
        <w:pStyle w:val="Textonotapie"/>
        <w:ind w:firstLine="709"/>
        <w:contextualSpacing/>
        <w:jc w:val="both"/>
        <w:rPr>
          <w:rFonts w:ascii="Verdana" w:eastAsia="Calibri" w:hAnsi="Verdana" w:cs="Arial"/>
          <w:color w:val="000000"/>
          <w:sz w:val="14"/>
          <w:szCs w:val="14"/>
          <w:lang w:val="es-ES_tradnl" w:eastAsia="es-ES_tradnl"/>
        </w:rPr>
      </w:pPr>
      <w:r w:rsidRPr="00AE683E">
        <w:rPr>
          <w:rFonts w:ascii="Verdana" w:eastAsia="Calibri" w:hAnsi="Verdana" w:cs="Arial"/>
          <w:color w:val="000000"/>
          <w:sz w:val="14"/>
          <w:szCs w:val="14"/>
          <w:vertAlign w:val="superscript"/>
          <w:lang w:val="es-ES_tradnl" w:eastAsia="es-ES_tradnl"/>
        </w:rPr>
        <w:footnoteRef/>
      </w:r>
      <w:r w:rsidRPr="00AE683E">
        <w:rPr>
          <w:rFonts w:ascii="Verdana" w:eastAsia="Calibri" w:hAnsi="Verdana" w:cs="Arial"/>
          <w:color w:val="000000"/>
          <w:sz w:val="14"/>
          <w:szCs w:val="14"/>
          <w:vertAlign w:val="superscript"/>
          <w:lang w:val="es-ES_tradnl" w:eastAsia="es-ES_tradnl"/>
        </w:rPr>
        <w:t xml:space="preserve"> </w:t>
      </w:r>
      <w:r w:rsidRPr="00AE683E">
        <w:rPr>
          <w:rFonts w:ascii="Verdana" w:eastAsia="Calibri" w:hAnsi="Verdana" w:cs="Arial"/>
          <w:color w:val="000000"/>
          <w:sz w:val="14"/>
          <w:szCs w:val="14"/>
          <w:lang w:val="es-ES_tradnl" w:eastAsia="es-ES_tradnl"/>
        </w:rPr>
        <w:t>Para la realización de los respectivos análisis del sector de los Procesos de Contratación, esta Agencia recomienda tener en cuenta la última modificación de la “Guía de Elaboración de Estudios del Sector”, que puede ser consultada en el siguiente enlace:</w:t>
      </w:r>
      <w:r w:rsidRPr="00AE683E">
        <w:rPr>
          <w:rFonts w:ascii="Verdana" w:hAnsi="Verdana"/>
          <w:sz w:val="14"/>
          <w:szCs w:val="14"/>
        </w:rPr>
        <w:t xml:space="preserve"> </w:t>
      </w:r>
      <w:hyperlink r:id="rId4" w:history="1">
        <w:r w:rsidRPr="00C0107F">
          <w:rPr>
            <w:rStyle w:val="Hipervnculo"/>
            <w:rFonts w:ascii="Verdana" w:eastAsia="Calibri" w:hAnsi="Verdana" w:cs="Arial"/>
            <w:sz w:val="14"/>
            <w:szCs w:val="14"/>
            <w:lang w:val="es-ES_tradnl" w:eastAsia="es-ES_tradnl"/>
          </w:rPr>
          <w:t>https://www.colombiacompra.gov.co/manuales-guias-y-pliegos-tipo/manuales-y-guias</w:t>
        </w:r>
      </w:hyperlink>
      <w:r>
        <w:rPr>
          <w:rFonts w:ascii="Verdana" w:eastAsia="Calibri" w:hAnsi="Verdana" w:cs="Arial"/>
          <w:color w:val="000000"/>
          <w:sz w:val="14"/>
          <w:szCs w:val="14"/>
          <w:lang w:val="es-ES_tradnl" w:eastAsia="es-ES_tradnl"/>
        </w:rPr>
        <w:t>.</w:t>
      </w:r>
    </w:p>
    <w:p w14:paraId="71225D37" w14:textId="77777777" w:rsidR="00DA6B62" w:rsidRPr="00AE683E" w:rsidRDefault="00DA6B62" w:rsidP="00DA6B62">
      <w:pPr>
        <w:pStyle w:val="Textonotapie"/>
        <w:ind w:firstLine="709"/>
        <w:contextualSpacing/>
        <w:jc w:val="both"/>
        <w:rPr>
          <w:rFonts w:ascii="Verdana" w:eastAsia="Calibri" w:hAnsi="Verdana" w:cs="Arial"/>
          <w:color w:val="000000"/>
          <w:sz w:val="14"/>
          <w:szCs w:val="14"/>
          <w:lang w:val="es-ES_tradnl" w:eastAsia="es-ES_tradnl"/>
        </w:rPr>
      </w:pPr>
    </w:p>
  </w:footnote>
  <w:footnote w:id="9">
    <w:p w14:paraId="4E5F0648" w14:textId="77777777" w:rsidR="00DA6B62" w:rsidRDefault="00DA6B62" w:rsidP="00DA6B62">
      <w:pPr>
        <w:pStyle w:val="Textonotapie"/>
        <w:ind w:firstLine="709"/>
        <w:contextualSpacing/>
        <w:jc w:val="both"/>
        <w:rPr>
          <w:rFonts w:ascii="Verdana" w:eastAsia="Calibri" w:hAnsi="Verdana" w:cs="Arial"/>
          <w:color w:val="000000"/>
          <w:sz w:val="14"/>
          <w:szCs w:val="14"/>
          <w:lang w:val="es-ES_tradnl" w:eastAsia="es-ES_tradnl"/>
        </w:rPr>
      </w:pPr>
      <w:r w:rsidRPr="00AE683E">
        <w:rPr>
          <w:rFonts w:ascii="Verdana" w:eastAsia="Calibri" w:hAnsi="Verdana" w:cs="Arial"/>
          <w:color w:val="000000"/>
          <w:sz w:val="14"/>
          <w:szCs w:val="14"/>
          <w:vertAlign w:val="superscript"/>
          <w:lang w:val="es-ES_tradnl" w:eastAsia="es-ES_tradnl"/>
        </w:rPr>
        <w:footnoteRef/>
      </w:r>
      <w:r w:rsidRPr="00AE683E">
        <w:rPr>
          <w:rFonts w:ascii="Verdana" w:eastAsia="Calibri" w:hAnsi="Verdana" w:cs="Arial"/>
          <w:color w:val="000000"/>
          <w:sz w:val="14"/>
          <w:szCs w:val="14"/>
          <w:lang w:val="es-ES_tradnl" w:eastAsia="es-ES_tradnl"/>
        </w:rPr>
        <w:t xml:space="preserve"> Decreto 1082 de 2015: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p w14:paraId="2E80E960" w14:textId="77777777" w:rsidR="00DA6B62" w:rsidRPr="00AE683E" w:rsidRDefault="00DA6B62" w:rsidP="00DA6B62">
      <w:pPr>
        <w:pStyle w:val="Textonotapie"/>
        <w:ind w:firstLine="709"/>
        <w:contextualSpacing/>
        <w:jc w:val="both"/>
        <w:rPr>
          <w:rFonts w:ascii="Verdana" w:eastAsia="Calibri" w:hAnsi="Verdana" w:cs="Arial"/>
          <w:color w:val="000000"/>
          <w:sz w:val="14"/>
          <w:szCs w:val="14"/>
          <w:lang w:val="es-ES_tradnl" w:eastAsia="es-ES_tradnl"/>
        </w:rPr>
      </w:pPr>
    </w:p>
  </w:footnote>
  <w:footnote w:id="10">
    <w:p w14:paraId="2285CCF6" w14:textId="77777777" w:rsidR="00DA6B62" w:rsidRPr="00AE683E" w:rsidRDefault="00DA6B62" w:rsidP="00DA6B62">
      <w:pPr>
        <w:pStyle w:val="Textoindependiente"/>
        <w:ind w:right="49" w:firstLine="709"/>
        <w:contextualSpacing/>
        <w:jc w:val="both"/>
        <w:rPr>
          <w:color w:val="000000" w:themeColor="text1"/>
          <w:sz w:val="14"/>
          <w:szCs w:val="14"/>
        </w:rPr>
      </w:pPr>
      <w:r w:rsidRPr="00AE683E">
        <w:rPr>
          <w:rStyle w:val="Refdenotaalpie"/>
          <w:sz w:val="14"/>
          <w:szCs w:val="14"/>
        </w:rPr>
        <w:footnoteRef/>
      </w:r>
      <w:r w:rsidRPr="00AE683E">
        <w:rPr>
          <w:sz w:val="14"/>
          <w:szCs w:val="14"/>
        </w:rPr>
        <w:t xml:space="preserve"> </w:t>
      </w:r>
      <w:r w:rsidRPr="00AE683E">
        <w:rPr>
          <w:color w:val="000000" w:themeColor="text1"/>
          <w:sz w:val="14"/>
          <w:szCs w:val="14"/>
        </w:rPr>
        <w:t>Ley 80 de 1993: “Artículo 7. De los consorcios y uniones temporales. Para los</w:t>
      </w:r>
      <w:r>
        <w:rPr>
          <w:color w:val="000000" w:themeColor="text1"/>
          <w:sz w:val="14"/>
          <w:szCs w:val="14"/>
        </w:rPr>
        <w:t xml:space="preserve"> efectos</w:t>
      </w:r>
      <w:r w:rsidRPr="00AE683E">
        <w:rPr>
          <w:color w:val="000000" w:themeColor="text1"/>
          <w:sz w:val="14"/>
          <w:szCs w:val="14"/>
        </w:rPr>
        <w:t xml:space="preserve"> de esta ley se entiende por: […]</w:t>
      </w:r>
    </w:p>
    <w:p w14:paraId="0214BEFB" w14:textId="77777777" w:rsidR="00DA6B62" w:rsidRPr="00AE683E" w:rsidRDefault="00DA6B62" w:rsidP="00DA6B62">
      <w:pPr>
        <w:pStyle w:val="Textoindependiente"/>
        <w:ind w:right="49" w:firstLine="709"/>
        <w:contextualSpacing/>
        <w:jc w:val="both"/>
        <w:rPr>
          <w:color w:val="000000" w:themeColor="text1"/>
          <w:sz w:val="14"/>
          <w:szCs w:val="14"/>
        </w:rPr>
      </w:pPr>
      <w:r w:rsidRPr="00AE683E">
        <w:rPr>
          <w:color w:val="000000" w:themeColor="text1"/>
          <w:sz w:val="14"/>
          <w:szCs w:val="14"/>
        </w:rPr>
        <w:t>1. Consorcio: Cuando dos o más personas en forma conjunta presentan una misma propuesta para la adjudicación, celebración y ejecución de un contrato, respondiendo solidariamente de todas y cada una de las obligaciones derivadas de la propuesta y del contrato. En consecuencia, las actuaciones, hechos y omisiones que se presenten en desarrollo de la propuesta y del contrato, afectarán a todos los miembros que lo conforman.</w:t>
      </w:r>
    </w:p>
    <w:p w14:paraId="70EF4CD7" w14:textId="77777777" w:rsidR="00DA6B62" w:rsidRDefault="00DA6B62" w:rsidP="00DA6B62">
      <w:pPr>
        <w:pStyle w:val="Textoindependiente"/>
        <w:ind w:right="49" w:firstLine="709"/>
        <w:contextualSpacing/>
        <w:jc w:val="both"/>
        <w:rPr>
          <w:color w:val="000000" w:themeColor="text1"/>
          <w:sz w:val="14"/>
          <w:szCs w:val="14"/>
        </w:rPr>
      </w:pPr>
      <w:r w:rsidRPr="00AE683E">
        <w:rPr>
          <w:color w:val="000000" w:themeColor="text1"/>
          <w:sz w:val="14"/>
          <w:szCs w:val="14"/>
        </w:rPr>
        <w:t>2. Unión Temporal: Cuando dos o más personas en forma conjunta presentan una misma propuesta para la adjudicación, celebración y ejecución de un contrato, respondiendo solidariamente por el cumplimiento total de la propuesta y del objeto contratado, pero las sanciones por el incumplimiento de las obligaciones derivadas de la propuesta y del contrato se impondrán de acuerdo con la participación en la ejecución de cada uno de los miembros de la unión temporal”.</w:t>
      </w:r>
    </w:p>
    <w:p w14:paraId="2763D403" w14:textId="77777777" w:rsidR="00DA6B62" w:rsidRPr="00AE683E" w:rsidRDefault="00DA6B62" w:rsidP="00DA6B62">
      <w:pPr>
        <w:pStyle w:val="Textoindependiente"/>
        <w:ind w:right="49" w:firstLine="709"/>
        <w:contextualSpacing/>
        <w:jc w:val="both"/>
        <w:rPr>
          <w:color w:val="000000" w:themeColor="text1"/>
          <w:sz w:val="14"/>
          <w:szCs w:val="14"/>
        </w:rPr>
      </w:pPr>
    </w:p>
  </w:footnote>
  <w:footnote w:id="11">
    <w:p w14:paraId="3BC943E4" w14:textId="77777777" w:rsidR="00DA6B62" w:rsidRPr="00AE683E" w:rsidRDefault="00DA6B62" w:rsidP="00DA6B62">
      <w:pPr>
        <w:pStyle w:val="Textoindependiente"/>
        <w:ind w:right="51" w:firstLine="709"/>
        <w:contextualSpacing/>
        <w:jc w:val="both"/>
        <w:rPr>
          <w:color w:val="000000" w:themeColor="text1"/>
          <w:sz w:val="14"/>
          <w:szCs w:val="14"/>
        </w:rPr>
      </w:pPr>
      <w:r w:rsidRPr="00AE683E">
        <w:rPr>
          <w:rStyle w:val="Refdenotaalpie"/>
          <w:sz w:val="14"/>
          <w:szCs w:val="14"/>
        </w:rPr>
        <w:footnoteRef/>
      </w:r>
      <w:r w:rsidRPr="00AE683E">
        <w:rPr>
          <w:sz w:val="14"/>
          <w:szCs w:val="14"/>
        </w:rPr>
        <w:t xml:space="preserve"> </w:t>
      </w:r>
      <w:r w:rsidRPr="00AE683E">
        <w:rPr>
          <w:color w:val="000000" w:themeColor="text1"/>
          <w:sz w:val="14"/>
          <w:szCs w:val="14"/>
        </w:rPr>
        <w:t>Corte Constitucional, sentencia C-414 del 22 de septiembre de 1996, M.P. Antonio Barrera Carbonell: “El consorcio es una figura propia del derecho privado, utilizado ordinariamente como un instrumento de cooperación entre empresas, cuando requieren asumir una tarea económica particularmente importante, que les permita distribuirse de algún modo los riesgos que pueda implicar la actividad que se acomete, aunar recursos financieros y tecnológicos, y mejorar la disponibilidad de equipos, según el caso, pero conservando los consorciados su independencia jurídica.</w:t>
      </w:r>
    </w:p>
    <w:p w14:paraId="333E62A3" w14:textId="77777777" w:rsidR="00DA6B62" w:rsidRPr="00AE683E" w:rsidRDefault="00DA6B62" w:rsidP="00DA6B62">
      <w:pPr>
        <w:pStyle w:val="Textoindependiente"/>
        <w:ind w:right="49"/>
        <w:contextualSpacing/>
        <w:jc w:val="both"/>
        <w:rPr>
          <w:color w:val="000000" w:themeColor="text1"/>
          <w:sz w:val="14"/>
          <w:szCs w:val="14"/>
        </w:rPr>
      </w:pPr>
      <w:r w:rsidRPr="00AE683E">
        <w:rPr>
          <w:color w:val="000000" w:themeColor="text1"/>
          <w:sz w:val="14"/>
          <w:szCs w:val="14"/>
        </w:rPr>
        <w:t>El artículo 7o. de la mencionada ley se refiere al consorcio, pero en lugar de definir su contenido esencial, ofrece una relación descriptiva de la figura señalando los elementos instrumentales y vinculantes que lo conforman; según la ley,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w:t>
      </w:r>
      <w:r w:rsidRPr="00AE683E">
        <w:rPr>
          <w:color w:val="000000" w:themeColor="text1"/>
          <w:spacing w:val="-6"/>
          <w:sz w:val="14"/>
          <w:szCs w:val="14"/>
        </w:rPr>
        <w:t xml:space="preserve"> </w:t>
      </w:r>
      <w:r w:rsidRPr="00AE683E">
        <w:rPr>
          <w:color w:val="000000" w:themeColor="text1"/>
          <w:sz w:val="14"/>
          <w:szCs w:val="14"/>
        </w:rPr>
        <w:t>contractuales”.</w:t>
      </w:r>
    </w:p>
  </w:footnote>
  <w:footnote w:id="12">
    <w:p w14:paraId="7B5AD4C3" w14:textId="77777777" w:rsidR="00DA6B62" w:rsidRPr="00C7298A" w:rsidRDefault="00DA6B62" w:rsidP="00DA6B62">
      <w:pPr>
        <w:pStyle w:val="Textonotapie"/>
        <w:ind w:firstLine="709"/>
        <w:rPr>
          <w:rFonts w:ascii="Verdana" w:hAnsi="Verdana"/>
          <w:sz w:val="14"/>
          <w:szCs w:val="14"/>
        </w:rPr>
      </w:pPr>
      <w:r w:rsidRPr="00C7298A">
        <w:rPr>
          <w:rStyle w:val="Refdenotaalpie"/>
          <w:rFonts w:ascii="Verdana" w:hAnsi="Verdana"/>
          <w:sz w:val="14"/>
          <w:szCs w:val="14"/>
        </w:rPr>
        <w:footnoteRef/>
      </w:r>
      <w:r w:rsidRPr="00C7298A">
        <w:rPr>
          <w:rFonts w:ascii="Verdana" w:hAnsi="Verdana"/>
          <w:sz w:val="14"/>
          <w:szCs w:val="14"/>
        </w:rPr>
        <w:t xml:space="preserve"> En </w:t>
      </w:r>
      <w:hyperlink r:id="rId5" w:history="1">
        <w:r w:rsidRPr="00C7298A">
          <w:rPr>
            <w:rStyle w:val="Hipervnculo"/>
            <w:rFonts w:ascii="Verdana" w:hAnsi="Verdana"/>
            <w:sz w:val="14"/>
            <w:szCs w:val="14"/>
            <w:lang w:val="es-CO"/>
          </w:rPr>
          <w:t>cce-eicp-ma-04._manual_requisitos_habilitantes_v3_29-09-2023.pdf</w:t>
        </w:r>
      </w:hyperlink>
    </w:p>
    <w:p w14:paraId="66A13CF7" w14:textId="77777777" w:rsidR="00DA6B62" w:rsidRPr="00C7298A" w:rsidRDefault="00DA6B62" w:rsidP="00DA6B62">
      <w:pPr>
        <w:pStyle w:val="Textonotapie"/>
      </w:pPr>
    </w:p>
  </w:footnote>
  <w:footnote w:id="13">
    <w:p w14:paraId="52ACC0F2" w14:textId="77777777" w:rsidR="00DA6B62" w:rsidRPr="00AE683E" w:rsidRDefault="00DA6B62" w:rsidP="00DA6B62">
      <w:pPr>
        <w:pStyle w:val="Textonotapie"/>
        <w:ind w:firstLine="708"/>
        <w:contextualSpacing/>
        <w:jc w:val="both"/>
        <w:rPr>
          <w:rFonts w:ascii="Verdana" w:hAnsi="Verdana"/>
          <w:sz w:val="14"/>
          <w:szCs w:val="14"/>
          <w:lang w:val="es-ES"/>
        </w:rPr>
      </w:pPr>
      <w:r w:rsidRPr="00AE683E">
        <w:rPr>
          <w:rStyle w:val="Refdenotaalpie"/>
          <w:rFonts w:ascii="Verdana" w:hAnsi="Verdana"/>
          <w:sz w:val="14"/>
          <w:szCs w:val="14"/>
        </w:rPr>
        <w:footnoteRef/>
      </w:r>
      <w:r w:rsidRPr="00AE683E">
        <w:rPr>
          <w:rFonts w:ascii="Verdana" w:hAnsi="Verdana"/>
          <w:sz w:val="14"/>
          <w:szCs w:val="14"/>
        </w:rPr>
        <w:t xml:space="preserve"> Agencia Nacional de Contratación Pública – Colombia Compra Eficiente, </w:t>
      </w:r>
      <w:r w:rsidRPr="00AE683E">
        <w:rPr>
          <w:rFonts w:ascii="Verdana" w:hAnsi="Verdana"/>
          <w:sz w:val="14"/>
          <w:szCs w:val="14"/>
          <w:lang w:val="es-CO"/>
        </w:rPr>
        <w:t xml:space="preserve">Manual para determinar y verificar los requisitos habilitantes en los procesos de contratación, Disponible en: </w:t>
      </w:r>
      <w:hyperlink r:id="rId6" w:history="1">
        <w:r w:rsidRPr="00AE683E">
          <w:rPr>
            <w:rStyle w:val="Hipervnculo"/>
            <w:rFonts w:ascii="Verdana" w:hAnsi="Verdana"/>
            <w:sz w:val="14"/>
            <w:szCs w:val="14"/>
          </w:rPr>
          <w:t>https://www.colombiacompra.gov.co/wp-content/uploads/2024/08/cce-eicp-ma-04._manual_requisitos_habilitantes_v3_29-09-2023.pdf</w:t>
        </w:r>
      </w:hyperlink>
      <w:r w:rsidRPr="00AE683E">
        <w:rPr>
          <w:rFonts w:ascii="Verdana" w:hAnsi="Verdana"/>
          <w:sz w:val="14"/>
          <w:szCs w:val="14"/>
        </w:rPr>
        <w:t xml:space="preserve"> </w:t>
      </w:r>
    </w:p>
  </w:footnote>
  <w:footnote w:id="14">
    <w:p w14:paraId="4872EF5C" w14:textId="77777777" w:rsidR="00DA6B62" w:rsidRPr="007616FA" w:rsidRDefault="00DA6B62" w:rsidP="00DA6B62">
      <w:pPr>
        <w:pStyle w:val="Textonotapie"/>
        <w:ind w:firstLine="708"/>
        <w:rPr>
          <w:lang w:val="es-ES"/>
        </w:rPr>
      </w:pPr>
      <w:r>
        <w:rPr>
          <w:rStyle w:val="Refdenotaalpie"/>
        </w:rPr>
        <w:footnoteRef/>
      </w:r>
      <w:r>
        <w:t xml:space="preserve"> Disponible en: </w:t>
      </w:r>
      <w:hyperlink r:id="rId7" w:history="1">
        <w:r w:rsidRPr="00FE499B">
          <w:rPr>
            <w:rStyle w:val="Hipervnculo"/>
          </w:rPr>
          <w:t>https://www.colombiacompra.gov.co/wp-content/uploads/2024/08/cce-eicp-ma-04._manual_requisitos_habilitantes_v3_29-09-2023.pdf</w:t>
        </w:r>
      </w:hyperlink>
      <w:r>
        <w:t xml:space="preserve"> </w:t>
      </w:r>
    </w:p>
  </w:footnote>
  <w:footnote w:id="15">
    <w:p w14:paraId="7C558864" w14:textId="77777777" w:rsidR="00DA6B62" w:rsidRPr="00E40017" w:rsidRDefault="00DA6B62" w:rsidP="00DA6B62">
      <w:pPr>
        <w:pStyle w:val="Textonotapie"/>
        <w:ind w:firstLine="708"/>
        <w:jc w:val="both"/>
        <w:rPr>
          <w:rFonts w:ascii="Verdana" w:hAnsi="Verdana" w:cs="Arial"/>
          <w:sz w:val="15"/>
          <w:szCs w:val="15"/>
        </w:rPr>
      </w:pPr>
      <w:r w:rsidRPr="00E40017">
        <w:rPr>
          <w:rStyle w:val="Refdenotaalpie"/>
          <w:rFonts w:ascii="Verdana" w:hAnsi="Verdana" w:cs="Arial"/>
          <w:sz w:val="15"/>
          <w:szCs w:val="15"/>
        </w:rPr>
        <w:footnoteRef/>
      </w:r>
      <w:r w:rsidRPr="00E40017">
        <w:rPr>
          <w:rFonts w:ascii="Verdana" w:hAnsi="Verdana" w:cs="Arial"/>
          <w:sz w:val="15"/>
          <w:szCs w:val="15"/>
        </w:rPr>
        <w:t xml:space="preserve"> COMADIRA, Julio Rodolfo. La licitación pública como procedimiento administrativo especial: protección jurídica al oferente. En: El procedimiento administrativo y el control judicial de la administración pública. Madrid: Instituto Nacional de Administración Pública, 2001. pp. 305-307.</w:t>
      </w:r>
    </w:p>
  </w:footnote>
  <w:footnote w:id="16">
    <w:p w14:paraId="785E5AB6" w14:textId="77777777" w:rsidR="00DA6B62" w:rsidRPr="00E40017" w:rsidRDefault="00DA6B62" w:rsidP="00DA6B62">
      <w:pPr>
        <w:pStyle w:val="Textonotapie"/>
        <w:ind w:firstLine="708"/>
        <w:jc w:val="both"/>
        <w:rPr>
          <w:rFonts w:ascii="Verdana" w:hAnsi="Verdana" w:cs="Arial"/>
          <w:sz w:val="15"/>
          <w:szCs w:val="15"/>
        </w:rPr>
      </w:pPr>
      <w:r w:rsidRPr="00E40017">
        <w:rPr>
          <w:rStyle w:val="Refdenotaalpie"/>
          <w:rFonts w:ascii="Verdana" w:hAnsi="Verdana" w:cs="Arial"/>
          <w:sz w:val="15"/>
          <w:szCs w:val="15"/>
        </w:rPr>
        <w:footnoteRef/>
      </w:r>
      <w:r w:rsidRPr="00E40017">
        <w:rPr>
          <w:rFonts w:ascii="Verdana" w:hAnsi="Verdana" w:cs="Arial"/>
          <w:sz w:val="15"/>
          <w:szCs w:val="15"/>
        </w:rPr>
        <w:t xml:space="preserve"> Cfr. DROMI, Roberto. La licitación pública. Buenos Aires: Ciudad Argentina, 1980. p. 134. Para ESCOBAR GIL, “La finalidad del principio es doble: en primer término, asegura a los asociados la igualdad de oportunidades promoviendo la participación del mayor número de oferentes, </w:t>
      </w:r>
      <w:proofErr w:type="gramStart"/>
      <w:r w:rsidRPr="00E40017">
        <w:rPr>
          <w:rFonts w:ascii="Verdana" w:hAnsi="Verdana" w:cs="Arial"/>
          <w:sz w:val="15"/>
          <w:szCs w:val="15"/>
        </w:rPr>
        <w:t>y</w:t>
      </w:r>
      <w:proofErr w:type="gramEnd"/>
      <w:r w:rsidRPr="00E40017">
        <w:rPr>
          <w:rFonts w:ascii="Verdana" w:hAnsi="Verdana" w:cs="Arial"/>
          <w:sz w:val="15"/>
          <w:szCs w:val="15"/>
        </w:rPr>
        <w:t xml:space="preserve"> en segundo lugar, facilitar la selección de quien presente la propuesta más favorable en beneficio del interés público […].</w:t>
      </w:r>
    </w:p>
    <w:p w14:paraId="56CAF805" w14:textId="77777777" w:rsidR="00DA6B62" w:rsidRPr="00E40017" w:rsidRDefault="00DA6B62" w:rsidP="00DA6B62">
      <w:pPr>
        <w:pStyle w:val="Textonotapie"/>
        <w:ind w:firstLine="708"/>
        <w:jc w:val="both"/>
        <w:rPr>
          <w:rFonts w:ascii="Verdana" w:hAnsi="Verdana" w:cs="Arial"/>
          <w:sz w:val="15"/>
          <w:szCs w:val="15"/>
        </w:rPr>
      </w:pPr>
      <w:r w:rsidRPr="00E40017">
        <w:rPr>
          <w:rFonts w:ascii="Verdana" w:hAnsi="Verdana" w:cs="Arial"/>
          <w:sz w:val="15"/>
          <w:szCs w:val="15"/>
        </w:rPr>
        <w:t>[…]</w:t>
      </w:r>
    </w:p>
    <w:p w14:paraId="4399B40E" w14:textId="77777777" w:rsidR="00DA6B62" w:rsidRPr="00E40017" w:rsidRDefault="00DA6B62" w:rsidP="00DA6B62">
      <w:pPr>
        <w:pStyle w:val="Textonotapie"/>
        <w:ind w:firstLine="708"/>
        <w:jc w:val="both"/>
        <w:rPr>
          <w:rFonts w:ascii="Verdana" w:hAnsi="Verdana" w:cs="Arial"/>
          <w:sz w:val="15"/>
          <w:szCs w:val="15"/>
        </w:rPr>
      </w:pPr>
      <w:r w:rsidRPr="00E40017">
        <w:rPr>
          <w:rFonts w:ascii="Verdana" w:hAnsi="Verdana" w:cs="Arial"/>
          <w:sz w:val="15"/>
          <w:szCs w:val="15"/>
        </w:rPr>
        <w:t xml:space="preserve">Así mismo, repugna al principio de libertad de concurrencia, la fijación por parte de la Administración Pública de obstáculos y trabas a la participación de los proponentes […]” (Cfr. ESCOBAR GIL, Rodrigo. Teoría general de los contratos de la Administración Pública. Bogotá: Legis, 2000. pp. 154-155).   </w:t>
      </w:r>
    </w:p>
  </w:footnote>
  <w:footnote w:id="17">
    <w:p w14:paraId="7A9D4790" w14:textId="77777777" w:rsidR="00DA6B62" w:rsidRPr="00E40017" w:rsidRDefault="00DA6B62" w:rsidP="00DA6B62">
      <w:pPr>
        <w:pStyle w:val="Textonotapie"/>
        <w:ind w:firstLine="708"/>
        <w:jc w:val="both"/>
        <w:rPr>
          <w:rFonts w:ascii="Verdana" w:hAnsi="Verdana" w:cs="Arial"/>
          <w:sz w:val="15"/>
          <w:szCs w:val="15"/>
        </w:rPr>
      </w:pPr>
      <w:r w:rsidRPr="00E40017">
        <w:rPr>
          <w:rStyle w:val="Refdenotaalpie"/>
          <w:rFonts w:ascii="Verdana" w:hAnsi="Verdana" w:cs="Arial"/>
          <w:sz w:val="15"/>
          <w:szCs w:val="15"/>
        </w:rPr>
        <w:footnoteRef/>
      </w:r>
      <w:r w:rsidRPr="00E40017">
        <w:rPr>
          <w:rFonts w:ascii="Verdana" w:hAnsi="Verdana" w:cs="Arial"/>
          <w:sz w:val="15"/>
          <w:szCs w:val="15"/>
        </w:rPr>
        <w:t xml:space="preserve"> Cfr. RAZQUIN LIZARRAGA, Martín María. Los principios generales de la contratación pública. En: Tratado de los contratos del sector público. Tomo I. Valencia: Tirant lo Blanch, 2018. p. 194 y 210.</w:t>
      </w:r>
    </w:p>
  </w:footnote>
  <w:footnote w:id="18">
    <w:p w14:paraId="7ECF4E47" w14:textId="77777777" w:rsidR="00DA6B62" w:rsidRPr="00E40017" w:rsidRDefault="00DA6B62" w:rsidP="00DA6B62">
      <w:pPr>
        <w:pStyle w:val="Textonotapie"/>
        <w:ind w:firstLine="708"/>
        <w:jc w:val="both"/>
        <w:rPr>
          <w:rFonts w:ascii="Verdana" w:hAnsi="Verdana" w:cs="Arial"/>
          <w:sz w:val="15"/>
          <w:szCs w:val="15"/>
        </w:rPr>
      </w:pPr>
      <w:r w:rsidRPr="00E40017">
        <w:rPr>
          <w:rStyle w:val="Refdenotaalpie"/>
          <w:rFonts w:ascii="Verdana" w:hAnsi="Verdana" w:cs="Arial"/>
          <w:sz w:val="15"/>
          <w:szCs w:val="15"/>
        </w:rPr>
        <w:footnoteRef/>
      </w:r>
      <w:r w:rsidRPr="00E40017">
        <w:rPr>
          <w:rFonts w:ascii="Verdana" w:hAnsi="Verdana" w:cs="Arial"/>
          <w:sz w:val="15"/>
          <w:szCs w:val="15"/>
        </w:rPr>
        <w:t xml:space="preserve"> Respecto a los factores de evaluación, PALACIO HINCAPIÉ considera que “No puede incluirse como factor de escogencia el hecho de que el proponente resida en el domicilio de la entidad contratante, pues ello viola la igualdad de los oferentes; […] tampoco ser nacional o pertenecer a la industria nacional, pues no hay esa protección […]” (PALACIO HINCAPIÉ, Juan Ángel. La contratación de las entidades estatales. Octava edición. Medellín: Librería Jurídica Sánchez R. SAS, 2020. pp. 251-252). Por su parte, GONZÁLEZ LÓPEZ estima que “[…] sería violatorio del principio de igualdad el establecer criterios de ponderación superiores respecto de su origen local y departamental” (p. GONZÁLEZ LÓPEZ, Edgar. El pliego de condiciones en la contratación estatal: la reforma consagrada en la Ley 1150 de 2007 y sus decretos reglamentarios. Bogotá: Universidad Externado de Colombia, 2012. p. 120).</w:t>
      </w:r>
    </w:p>
    <w:p w14:paraId="71FAFA71" w14:textId="77777777" w:rsidR="00DA6B62" w:rsidRPr="00E40017" w:rsidRDefault="00DA6B62" w:rsidP="00DA6B62">
      <w:pPr>
        <w:pStyle w:val="Textonotapie"/>
        <w:ind w:firstLine="708"/>
        <w:jc w:val="both"/>
        <w:rPr>
          <w:rFonts w:ascii="Verdana" w:hAnsi="Verdana" w:cs="Arial"/>
          <w:sz w:val="15"/>
          <w:szCs w:val="15"/>
        </w:rPr>
      </w:pPr>
      <w:r w:rsidRPr="00E40017">
        <w:rPr>
          <w:rFonts w:ascii="Verdana" w:hAnsi="Verdana" w:cs="Arial"/>
          <w:sz w:val="15"/>
          <w:szCs w:val="15"/>
        </w:rPr>
        <w:t>Por ello, el Concepto 2201913000006511 del 3 de septiembre de 2019 menciona lo siguiente: “[…] si la jurisprudencia proscribió fijar este criterio como factor de evaluación, con más razón se debe prohibir como requisito habilitante, porque ellos verifican la aptitud del proponente para presentarse a un proceso de contratación y esta exigencia no determina la aptitud del proponente para ejecutar el contrato. En este sentido, las entidades estatales no deben establecer como requisito habilitante la exigencia que el proponente resida en el lugar donde se ejecutará el contrato”.</w:t>
      </w:r>
    </w:p>
  </w:footnote>
  <w:footnote w:id="19">
    <w:p w14:paraId="4466BC9C" w14:textId="77777777" w:rsidR="00DA6B62" w:rsidRPr="00E40017" w:rsidRDefault="00DA6B62" w:rsidP="00DA6B62">
      <w:pPr>
        <w:pStyle w:val="Textonotapie"/>
        <w:ind w:firstLine="708"/>
        <w:jc w:val="both"/>
        <w:rPr>
          <w:rFonts w:ascii="Verdana" w:hAnsi="Verdana" w:cs="Arial"/>
          <w:sz w:val="15"/>
          <w:szCs w:val="15"/>
        </w:rPr>
      </w:pPr>
      <w:r w:rsidRPr="00E40017">
        <w:rPr>
          <w:rStyle w:val="Refdenotaalpie"/>
          <w:rFonts w:ascii="Verdana" w:hAnsi="Verdana" w:cs="Arial"/>
          <w:sz w:val="15"/>
          <w:szCs w:val="15"/>
        </w:rPr>
        <w:footnoteRef/>
      </w:r>
      <w:r w:rsidRPr="00E40017">
        <w:rPr>
          <w:rFonts w:ascii="Verdana" w:hAnsi="Verdana" w:cs="Arial"/>
          <w:sz w:val="15"/>
          <w:szCs w:val="15"/>
        </w:rPr>
        <w:t xml:space="preserve"> Excepcionalmente, algunas normas acotan ámbitos territoriales para la ejecución </w:t>
      </w:r>
      <w:r>
        <w:rPr>
          <w:rFonts w:ascii="Verdana" w:hAnsi="Verdana" w:cs="Arial"/>
          <w:sz w:val="15"/>
          <w:szCs w:val="15"/>
        </w:rPr>
        <w:t xml:space="preserve">del </w:t>
      </w:r>
      <w:r w:rsidRPr="00E40017">
        <w:rPr>
          <w:rFonts w:ascii="Verdana" w:hAnsi="Verdana" w:cs="Arial"/>
          <w:sz w:val="15"/>
          <w:szCs w:val="15"/>
        </w:rPr>
        <w:t xml:space="preserve">negocio jurídico. Por ejemplo, el inciso primero del artículo 95 de la Ley 2166 del 2021 dispone que “Se autoriza a los entes territoriales del orden Nacional, Departamental, Distrital y municipal para celebrar directamente convenios solidarios con los Organismos de Acción Comunal con el fin de ejecutar obras hasta por la menor cuantía. Para la ejecución de estas deberán contratar con los habitantes de la comunidad”. Esta norma debe concordarse con el artículo 9 </w:t>
      </w:r>
      <w:r w:rsidRPr="00E40017">
        <w:rPr>
          <w:rFonts w:ascii="Verdana" w:hAnsi="Verdana" w:cs="Arial"/>
          <w:i/>
          <w:iCs/>
          <w:sz w:val="15"/>
          <w:szCs w:val="15"/>
        </w:rPr>
        <w:t>ibidem</w:t>
      </w:r>
      <w:r w:rsidRPr="00E40017">
        <w:rPr>
          <w:rFonts w:ascii="Verdana" w:hAnsi="Verdana" w:cs="Arial"/>
          <w:sz w:val="15"/>
          <w:szCs w:val="15"/>
        </w:rPr>
        <w:t>, el cual dispone lo siguiente: “</w:t>
      </w:r>
      <w:r w:rsidRPr="00E40017">
        <w:rPr>
          <w:rFonts w:ascii="Verdana" w:hAnsi="Verdana" w:cs="Arial"/>
          <w:i/>
          <w:iCs/>
          <w:sz w:val="15"/>
          <w:szCs w:val="15"/>
        </w:rPr>
        <w:t>Cada organismo de acción comunal desarrollará sus actividades dentro de un territorio delimitado</w:t>
      </w:r>
      <w:r w:rsidRPr="00E40017">
        <w:rPr>
          <w:rFonts w:ascii="Verdana" w:hAnsi="Verdana" w:cs="Arial"/>
          <w:sz w:val="15"/>
          <w:szCs w:val="15"/>
        </w:rPr>
        <w:t xml:space="preserve"> […]” (Énfasis fuera de texto).</w:t>
      </w:r>
    </w:p>
    <w:p w14:paraId="345E7461" w14:textId="77777777" w:rsidR="00DA6B62" w:rsidRPr="00E40017" w:rsidRDefault="00DA6B62" w:rsidP="00DA6B62">
      <w:pPr>
        <w:pStyle w:val="Textonotapie"/>
        <w:ind w:firstLine="708"/>
        <w:jc w:val="both"/>
        <w:rPr>
          <w:rFonts w:ascii="Verdana" w:hAnsi="Verdana" w:cs="Arial"/>
          <w:sz w:val="15"/>
          <w:szCs w:val="15"/>
        </w:rPr>
      </w:pPr>
      <w:r w:rsidRPr="00E40017">
        <w:rPr>
          <w:rFonts w:ascii="Verdana" w:hAnsi="Verdana" w:cs="Arial"/>
          <w:sz w:val="15"/>
          <w:szCs w:val="15"/>
        </w:rPr>
        <w:t xml:space="preserve">Asimismo, de acuerdo con el artículo 101.1 de la Ley 2294 de 2023, a través de las Asociaciones de Iniciativa Público Popular “[…] se podrá desarrollar el diseño, construcción, renovación, reparación, mejoramiento, equipamiento, gestión, operación y mantenimiento de proyectos de infraestructura y demás actividades técnicas necesarias </w:t>
      </w:r>
      <w:r w:rsidRPr="00E40017">
        <w:rPr>
          <w:rFonts w:ascii="Verdana" w:hAnsi="Verdana" w:cs="Arial"/>
          <w:i/>
          <w:iCs/>
          <w:sz w:val="15"/>
          <w:szCs w:val="15"/>
        </w:rPr>
        <w:t>para el cumplimiento del contrato en el respectivo territorio de la respectiva comunidad</w:t>
      </w:r>
      <w:r w:rsidRPr="00E40017">
        <w:rPr>
          <w:rFonts w:ascii="Verdana" w:hAnsi="Verdana" w:cs="Arial"/>
          <w:sz w:val="15"/>
          <w:szCs w:val="15"/>
        </w:rPr>
        <w:t>” (Énfasis fuera de texto).</w:t>
      </w:r>
    </w:p>
  </w:footnote>
  <w:footnote w:id="20">
    <w:p w14:paraId="26A3808F" w14:textId="77777777" w:rsidR="00DA6B62" w:rsidRPr="00E40017" w:rsidRDefault="00DA6B62" w:rsidP="00DA6B62">
      <w:pPr>
        <w:pStyle w:val="Textonotapie"/>
        <w:ind w:firstLine="709"/>
        <w:jc w:val="both"/>
        <w:rPr>
          <w:rFonts w:ascii="Verdana" w:hAnsi="Verdana" w:cs="Arial"/>
          <w:sz w:val="15"/>
          <w:szCs w:val="15"/>
        </w:rPr>
      </w:pPr>
      <w:r w:rsidRPr="00E40017">
        <w:rPr>
          <w:rStyle w:val="Refdenotaalpie"/>
          <w:rFonts w:ascii="Verdana" w:hAnsi="Verdana" w:cs="Arial"/>
          <w:sz w:val="15"/>
          <w:szCs w:val="15"/>
        </w:rPr>
        <w:footnoteRef/>
      </w:r>
      <w:r w:rsidRPr="00E40017">
        <w:rPr>
          <w:rFonts w:ascii="Verdana" w:hAnsi="Verdana"/>
          <w:sz w:val="15"/>
          <w:szCs w:val="15"/>
        </w:rPr>
        <w:t xml:space="preserve"> Agencia Nacional de Contratación Pública – Colombia Compra Eficiente. </w:t>
      </w:r>
      <w:r w:rsidRPr="00E40017">
        <w:rPr>
          <w:rFonts w:ascii="Verdana" w:hAnsi="Verdana" w:cs="Arial"/>
          <w:color w:val="000000" w:themeColor="text1"/>
          <w:sz w:val="15"/>
          <w:szCs w:val="15"/>
        </w:rPr>
        <w:t>Guía de Asuntos Corporativos en los Procesos de Contratación</w:t>
      </w:r>
      <w:r w:rsidRPr="00E40017">
        <w:rPr>
          <w:rFonts w:ascii="Verdana" w:hAnsi="Verdana"/>
          <w:sz w:val="15"/>
          <w:szCs w:val="15"/>
        </w:rPr>
        <w:t xml:space="preserve">. Disponible en: </w:t>
      </w:r>
      <w:hyperlink r:id="rId8" w:history="1">
        <w:r w:rsidRPr="00E40017">
          <w:rPr>
            <w:rStyle w:val="Hipervnculo"/>
            <w:rFonts w:ascii="Verdana" w:hAnsi="Verdana" w:cs="Arial"/>
            <w:sz w:val="15"/>
            <w:szCs w:val="15"/>
          </w:rPr>
          <w:t>https://colombiacompra.gov.co/sites/cce_public/files/cce_documents/cce_guia_asuntos_corporativos.pdf</w:t>
        </w:r>
      </w:hyperlink>
      <w:r w:rsidRPr="00E40017">
        <w:rPr>
          <w:rFonts w:ascii="Verdana" w:hAnsi="Verdana" w:cs="Arial"/>
          <w:sz w:val="15"/>
          <w:szCs w:val="15"/>
        </w:rPr>
        <w:t xml:space="preserve">. </w:t>
      </w:r>
    </w:p>
    <w:p w14:paraId="6987C730" w14:textId="77777777" w:rsidR="00DA6B62" w:rsidRPr="00E40017" w:rsidRDefault="00DA6B62" w:rsidP="00DA6B62">
      <w:pPr>
        <w:pStyle w:val="Textonotapie"/>
        <w:ind w:firstLine="709"/>
        <w:jc w:val="both"/>
        <w:rPr>
          <w:rFonts w:ascii="Verdana" w:hAnsi="Verdana" w:cs="Arial"/>
          <w:sz w:val="15"/>
          <w:szCs w:val="15"/>
          <w:lang w:val="es-ES_tradnl"/>
        </w:rPr>
      </w:pPr>
    </w:p>
  </w:footnote>
  <w:footnote w:id="21">
    <w:p w14:paraId="18F16318" w14:textId="77777777" w:rsidR="00DA6B62" w:rsidRPr="00FE0B99" w:rsidRDefault="00DA6B62" w:rsidP="00DA6B62">
      <w:pPr>
        <w:pStyle w:val="Textonotapie"/>
        <w:ind w:firstLine="708"/>
        <w:rPr>
          <w:lang w:val="es-ES"/>
        </w:rPr>
      </w:pPr>
      <w:r>
        <w:rPr>
          <w:rStyle w:val="Refdenotaalpie"/>
        </w:rPr>
        <w:footnoteRef/>
      </w:r>
      <w:r>
        <w:t xml:space="preserve"> </w:t>
      </w:r>
      <w:r w:rsidRPr="00153CE6">
        <w:rPr>
          <w:lang w:val="es-CO"/>
        </w:rPr>
        <w:t>Consejo de Estado, Sección Tercera, Subsección A, sentencia del 19 de mayo de 2025, Rad. 50001-23-33-000-2014-00061-01 (69503), M.P. José Roberto Sáchica Méndez.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129113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C0287"/>
    <w:rsid w:val="000D0334"/>
    <w:rsid w:val="000D5DA7"/>
    <w:rsid w:val="000F3EE2"/>
    <w:rsid w:val="000F6486"/>
    <w:rsid w:val="00116940"/>
    <w:rsid w:val="00125105"/>
    <w:rsid w:val="00127233"/>
    <w:rsid w:val="0015699B"/>
    <w:rsid w:val="001668FE"/>
    <w:rsid w:val="00186863"/>
    <w:rsid w:val="001A33BF"/>
    <w:rsid w:val="001E4177"/>
    <w:rsid w:val="001F0B24"/>
    <w:rsid w:val="001F5F03"/>
    <w:rsid w:val="001F7DC6"/>
    <w:rsid w:val="0022400B"/>
    <w:rsid w:val="002421BB"/>
    <w:rsid w:val="0025796E"/>
    <w:rsid w:val="002707A2"/>
    <w:rsid w:val="002951A0"/>
    <w:rsid w:val="002962BC"/>
    <w:rsid w:val="002A093D"/>
    <w:rsid w:val="002A0DD0"/>
    <w:rsid w:val="002A49AC"/>
    <w:rsid w:val="002A64FD"/>
    <w:rsid w:val="002B73EC"/>
    <w:rsid w:val="002C7A84"/>
    <w:rsid w:val="002E2BF8"/>
    <w:rsid w:val="002E4FD9"/>
    <w:rsid w:val="002F1708"/>
    <w:rsid w:val="002F494D"/>
    <w:rsid w:val="0030657A"/>
    <w:rsid w:val="003123E7"/>
    <w:rsid w:val="00322A85"/>
    <w:rsid w:val="00324168"/>
    <w:rsid w:val="00330834"/>
    <w:rsid w:val="003448F4"/>
    <w:rsid w:val="003465E8"/>
    <w:rsid w:val="00353C56"/>
    <w:rsid w:val="00374F5E"/>
    <w:rsid w:val="00377E3E"/>
    <w:rsid w:val="003A779E"/>
    <w:rsid w:val="003B77BB"/>
    <w:rsid w:val="003C3FBC"/>
    <w:rsid w:val="003D0F4D"/>
    <w:rsid w:val="003D408C"/>
    <w:rsid w:val="003D58FB"/>
    <w:rsid w:val="003D5B0D"/>
    <w:rsid w:val="003E03B4"/>
    <w:rsid w:val="003E0499"/>
    <w:rsid w:val="003E48D9"/>
    <w:rsid w:val="003E4F80"/>
    <w:rsid w:val="003E6439"/>
    <w:rsid w:val="003F3941"/>
    <w:rsid w:val="00406575"/>
    <w:rsid w:val="00414C74"/>
    <w:rsid w:val="0042722E"/>
    <w:rsid w:val="0044528D"/>
    <w:rsid w:val="00466E39"/>
    <w:rsid w:val="004A1847"/>
    <w:rsid w:val="004A305D"/>
    <w:rsid w:val="004D49B4"/>
    <w:rsid w:val="004F21C4"/>
    <w:rsid w:val="004F685F"/>
    <w:rsid w:val="005566E8"/>
    <w:rsid w:val="00574867"/>
    <w:rsid w:val="00591460"/>
    <w:rsid w:val="005A65E0"/>
    <w:rsid w:val="005C3777"/>
    <w:rsid w:val="005C5CDC"/>
    <w:rsid w:val="005D476C"/>
    <w:rsid w:val="006200BF"/>
    <w:rsid w:val="006219F8"/>
    <w:rsid w:val="006302F7"/>
    <w:rsid w:val="00636A0F"/>
    <w:rsid w:val="00646B9F"/>
    <w:rsid w:val="00665D70"/>
    <w:rsid w:val="00670A12"/>
    <w:rsid w:val="006900D9"/>
    <w:rsid w:val="00706C16"/>
    <w:rsid w:val="007340C3"/>
    <w:rsid w:val="0075235A"/>
    <w:rsid w:val="00756841"/>
    <w:rsid w:val="007649AB"/>
    <w:rsid w:val="00771D0C"/>
    <w:rsid w:val="00781F80"/>
    <w:rsid w:val="007833AC"/>
    <w:rsid w:val="007975DF"/>
    <w:rsid w:val="007A7FD0"/>
    <w:rsid w:val="007B268C"/>
    <w:rsid w:val="007B7171"/>
    <w:rsid w:val="007C0C0F"/>
    <w:rsid w:val="007C3DC2"/>
    <w:rsid w:val="007E5497"/>
    <w:rsid w:val="00806F5F"/>
    <w:rsid w:val="00820278"/>
    <w:rsid w:val="008258C9"/>
    <w:rsid w:val="00844AE9"/>
    <w:rsid w:val="00867F95"/>
    <w:rsid w:val="00882D51"/>
    <w:rsid w:val="008843B6"/>
    <w:rsid w:val="00891928"/>
    <w:rsid w:val="008A446D"/>
    <w:rsid w:val="008B25F1"/>
    <w:rsid w:val="008D180B"/>
    <w:rsid w:val="008F0EA7"/>
    <w:rsid w:val="008F1624"/>
    <w:rsid w:val="00923EEF"/>
    <w:rsid w:val="009419F9"/>
    <w:rsid w:val="0095685E"/>
    <w:rsid w:val="00961B09"/>
    <w:rsid w:val="00965334"/>
    <w:rsid w:val="0097093E"/>
    <w:rsid w:val="009A0DFA"/>
    <w:rsid w:val="009A1C6F"/>
    <w:rsid w:val="009B0B09"/>
    <w:rsid w:val="009B2D26"/>
    <w:rsid w:val="009C71FA"/>
    <w:rsid w:val="009C72E7"/>
    <w:rsid w:val="009C7F7E"/>
    <w:rsid w:val="009D3058"/>
    <w:rsid w:val="009F3A13"/>
    <w:rsid w:val="00A042CF"/>
    <w:rsid w:val="00A122D3"/>
    <w:rsid w:val="00A14468"/>
    <w:rsid w:val="00A17F13"/>
    <w:rsid w:val="00A20739"/>
    <w:rsid w:val="00A23AF9"/>
    <w:rsid w:val="00A33C78"/>
    <w:rsid w:val="00AB0ADB"/>
    <w:rsid w:val="00B00C0E"/>
    <w:rsid w:val="00B01B1A"/>
    <w:rsid w:val="00B0381D"/>
    <w:rsid w:val="00B263E7"/>
    <w:rsid w:val="00B44A47"/>
    <w:rsid w:val="00B72CD3"/>
    <w:rsid w:val="00B72FFF"/>
    <w:rsid w:val="00BC3D36"/>
    <w:rsid w:val="00BD54A6"/>
    <w:rsid w:val="00BD7F72"/>
    <w:rsid w:val="00BF7425"/>
    <w:rsid w:val="00C0473E"/>
    <w:rsid w:val="00C04FB3"/>
    <w:rsid w:val="00C11D8B"/>
    <w:rsid w:val="00C15139"/>
    <w:rsid w:val="00C330EB"/>
    <w:rsid w:val="00C50D69"/>
    <w:rsid w:val="00C5365C"/>
    <w:rsid w:val="00C754BE"/>
    <w:rsid w:val="00C76B1C"/>
    <w:rsid w:val="00C925AC"/>
    <w:rsid w:val="00CB6357"/>
    <w:rsid w:val="00CC1B26"/>
    <w:rsid w:val="00D177C5"/>
    <w:rsid w:val="00D361FD"/>
    <w:rsid w:val="00D423A2"/>
    <w:rsid w:val="00D44E26"/>
    <w:rsid w:val="00D50ACE"/>
    <w:rsid w:val="00D520D8"/>
    <w:rsid w:val="00D63AC2"/>
    <w:rsid w:val="00D7383B"/>
    <w:rsid w:val="00D7788A"/>
    <w:rsid w:val="00DA231B"/>
    <w:rsid w:val="00DA6B62"/>
    <w:rsid w:val="00DC39FC"/>
    <w:rsid w:val="00DD2952"/>
    <w:rsid w:val="00DF5254"/>
    <w:rsid w:val="00E02524"/>
    <w:rsid w:val="00E034C6"/>
    <w:rsid w:val="00E14EB2"/>
    <w:rsid w:val="00E16408"/>
    <w:rsid w:val="00E17794"/>
    <w:rsid w:val="00E20894"/>
    <w:rsid w:val="00E245AB"/>
    <w:rsid w:val="00E2764C"/>
    <w:rsid w:val="00E27F2E"/>
    <w:rsid w:val="00E50AFE"/>
    <w:rsid w:val="00E75C92"/>
    <w:rsid w:val="00E771DC"/>
    <w:rsid w:val="00E8772A"/>
    <w:rsid w:val="00E90F6B"/>
    <w:rsid w:val="00E92C27"/>
    <w:rsid w:val="00EA0E3D"/>
    <w:rsid w:val="00EC38A7"/>
    <w:rsid w:val="00EE1AA8"/>
    <w:rsid w:val="00F078FD"/>
    <w:rsid w:val="00F23FEA"/>
    <w:rsid w:val="00F31EDC"/>
    <w:rsid w:val="00F462B3"/>
    <w:rsid w:val="00F5664F"/>
    <w:rsid w:val="00F64ED1"/>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A6B62"/>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DA6B62"/>
    <w:rPr>
      <w:rFonts w:ascii="Geomanist Light" w:hAnsi="Geomanist Light"/>
      <w:lang w:val="es-ES"/>
    </w:rPr>
  </w:style>
  <w:style w:type="paragraph" w:styleId="Textoindependiente">
    <w:name w:val="Body Text"/>
    <w:basedOn w:val="Normal"/>
    <w:link w:val="TextoindependienteCar"/>
    <w:uiPriority w:val="1"/>
    <w:qFormat/>
    <w:rsid w:val="00DA6B62"/>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DA6B62"/>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olombiacompra.gov.co/sites/cce_public/files/cce_documents/cce_guia_asuntos_corporativos.pdf" TargetMode="External"/><Relationship Id="rId3" Type="http://schemas.openxmlformats.org/officeDocument/2006/relationships/hyperlink" Target="https://www.colombiacompra.gov.co/wp-content/uploads/2024/08/cce-eicp-ma-04._manual_requisitos_habilitantes_v3_29-09-2023.pdf" TargetMode="External"/><Relationship Id="rId7" Type="http://schemas.openxmlformats.org/officeDocument/2006/relationships/hyperlink" Target="https://www.colombiacompra.gov.co/wp-content/uploads/2024/08/cce-eicp-ma-04._manual_requisitos_habilitantes_v3_29-09-2023.pdf" TargetMode="External"/><Relationship Id="rId2" Type="http://schemas.openxmlformats.org/officeDocument/2006/relationships/hyperlink" Target="https://www.colombiacompra.gov.co/wp-content/uploads/2024/08/cce-eicp-ma-04._manual_requisitos_habilitantes_v3_29-09-2023.pdf" TargetMode="External"/><Relationship Id="rId1" Type="http://schemas.openxmlformats.org/officeDocument/2006/relationships/hyperlink" Target="https://www.colombiacompra.gov.co/wp-content/uploads/2024/08/cce-eicp-ma-04._manual_requisitos_habilitantes_v3_29-09-2023.pdf" TargetMode="External"/><Relationship Id="rId6" Type="http://schemas.openxmlformats.org/officeDocument/2006/relationships/hyperlink" Target="https://www.colombiacompra.gov.co/wp-content/uploads/2024/08/cce-eicp-ma-04._manual_requisitos_habilitantes_v3_29-09-2023.pdf" TargetMode="External"/><Relationship Id="rId5" Type="http://schemas.openxmlformats.org/officeDocument/2006/relationships/hyperlink" Target="https://www.colombiacompra.gov.co/wp-content/uploads/2024/08/cce-eicp-ma-04._manual_requisitos_habilitantes_v3_29-09-2023.pdf" TargetMode="External"/><Relationship Id="rId4" Type="http://schemas.openxmlformats.org/officeDocument/2006/relationships/hyperlink" Target="https://www.colombiacompra.gov.co/manuales-guias-y-pliegos-tipo/manuales-y-guia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5103D6-1C80-41DA-95E4-BD52D9E87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23</Pages>
  <Words>7904</Words>
  <Characters>43474</Characters>
  <Application>Microsoft Office Word</Application>
  <DocSecurity>0</DocSecurity>
  <Lines>362</Lines>
  <Paragraphs>102</Paragraphs>
  <ScaleCrop>false</ScaleCrop>
  <Company/>
  <LinksUpToDate>false</LinksUpToDate>
  <CharactersWithSpaces>51276</CharactersWithSpaces>
  <SharedDoc>false</SharedDoc>
  <HLinks>
    <vt:vector size="78" baseType="variant">
      <vt:variant>
        <vt:i4>2424881</vt:i4>
      </vt:variant>
      <vt:variant>
        <vt:i4>12</vt:i4>
      </vt:variant>
      <vt:variant>
        <vt:i4>0</vt:i4>
      </vt:variant>
      <vt:variant>
        <vt:i4>5</vt:i4>
      </vt:variant>
      <vt:variant>
        <vt:lpwstr>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vt:lpwstr>
      </vt:variant>
      <vt:variant>
        <vt:lpwstr/>
      </vt:variant>
      <vt:variant>
        <vt:i4>2162795</vt:i4>
      </vt:variant>
      <vt:variant>
        <vt:i4>9</vt:i4>
      </vt:variant>
      <vt:variant>
        <vt:i4>0</vt:i4>
      </vt:variant>
      <vt:variant>
        <vt:i4>5</vt:i4>
      </vt:variant>
      <vt:variant>
        <vt:lpwstr>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vt:lpwstr>
      </vt:variant>
      <vt:variant>
        <vt:lpwstr/>
      </vt:variant>
      <vt:variant>
        <vt:i4>2097259</vt:i4>
      </vt:variant>
      <vt:variant>
        <vt:i4>6</vt:i4>
      </vt:variant>
      <vt:variant>
        <vt:i4>0</vt:i4>
      </vt:variant>
      <vt:variant>
        <vt:i4>5</vt:i4>
      </vt:variant>
      <vt:variant>
        <vt:lpwstr>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vt:lpwstr>
      </vt:variant>
      <vt:variant>
        <vt:lpwstr/>
      </vt:variant>
      <vt:variant>
        <vt:i4>3145838</vt:i4>
      </vt:variant>
      <vt:variant>
        <vt:i4>3</vt:i4>
      </vt:variant>
      <vt:variant>
        <vt:i4>0</vt:i4>
      </vt:variant>
      <vt:variant>
        <vt:i4>5</vt:i4>
      </vt:variant>
      <vt:variant>
        <vt:lpwstr>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vt:lpwstr>
      </vt:variant>
      <vt:variant>
        <vt:lpwstr/>
      </vt:variant>
      <vt:variant>
        <vt:i4>7471218</vt:i4>
      </vt:variant>
      <vt:variant>
        <vt:i4>0</vt:i4>
      </vt:variant>
      <vt:variant>
        <vt:i4>0</vt:i4>
      </vt:variant>
      <vt:variant>
        <vt:i4>5</vt:i4>
      </vt:variant>
      <vt:variant>
        <vt:lpwstr>https://relatoria.colombiacompra.gov.co/busqueda/conceptos</vt:lpwstr>
      </vt:variant>
      <vt:variant>
        <vt:lpwstr/>
      </vt:variant>
      <vt:variant>
        <vt:i4>2883650</vt:i4>
      </vt:variant>
      <vt:variant>
        <vt:i4>21</vt:i4>
      </vt:variant>
      <vt:variant>
        <vt:i4>0</vt:i4>
      </vt:variant>
      <vt:variant>
        <vt:i4>5</vt:i4>
      </vt:variant>
      <vt:variant>
        <vt:lpwstr>https://colombiacompra.gov.co/sites/cce_public/files/cce_documents/cce_guia_asuntos_corporativos.pdf</vt:lpwstr>
      </vt:variant>
      <vt:variant>
        <vt:lpwstr/>
      </vt:variant>
      <vt:variant>
        <vt:i4>655414</vt:i4>
      </vt:variant>
      <vt:variant>
        <vt:i4>18</vt:i4>
      </vt:variant>
      <vt:variant>
        <vt:i4>0</vt:i4>
      </vt:variant>
      <vt:variant>
        <vt:i4>5</vt:i4>
      </vt:variant>
      <vt:variant>
        <vt:lpwstr>https://www.colombiacompra.gov.co/wp-content/uploads/2024/08/cce-eicp-ma-04._manual_requisitos_habilitantes_v3_29-09-2023.pdf</vt:lpwstr>
      </vt:variant>
      <vt:variant>
        <vt:lpwstr/>
      </vt:variant>
      <vt:variant>
        <vt:i4>655414</vt:i4>
      </vt:variant>
      <vt:variant>
        <vt:i4>15</vt:i4>
      </vt:variant>
      <vt:variant>
        <vt:i4>0</vt:i4>
      </vt:variant>
      <vt:variant>
        <vt:i4>5</vt:i4>
      </vt:variant>
      <vt:variant>
        <vt:lpwstr>https://www.colombiacompra.gov.co/wp-content/uploads/2024/08/cce-eicp-ma-04._manual_requisitos_habilitantes_v3_29-09-2023.pdf</vt:lpwstr>
      </vt:variant>
      <vt:variant>
        <vt:lpwstr/>
      </vt:variant>
      <vt:variant>
        <vt:i4>655414</vt:i4>
      </vt:variant>
      <vt:variant>
        <vt:i4>12</vt:i4>
      </vt:variant>
      <vt:variant>
        <vt:i4>0</vt:i4>
      </vt:variant>
      <vt:variant>
        <vt:i4>5</vt:i4>
      </vt:variant>
      <vt:variant>
        <vt:lpwstr>https://www.colombiacompra.gov.co/wp-content/uploads/2024/08/cce-eicp-ma-04._manual_requisitos_habilitantes_v3_29-09-2023.pdf</vt:lpwstr>
      </vt:variant>
      <vt:variant>
        <vt:lpwstr/>
      </vt:variant>
      <vt:variant>
        <vt:i4>5111895</vt:i4>
      </vt:variant>
      <vt:variant>
        <vt:i4>9</vt:i4>
      </vt:variant>
      <vt:variant>
        <vt:i4>0</vt:i4>
      </vt:variant>
      <vt:variant>
        <vt:i4>5</vt:i4>
      </vt:variant>
      <vt:variant>
        <vt:lpwstr>https://www.colombiacompra.gov.co/manuales-guias-y-pliegos-tipo/manuales-y-guias</vt:lpwstr>
      </vt:variant>
      <vt:variant>
        <vt:lpwstr/>
      </vt:variant>
      <vt:variant>
        <vt:i4>655414</vt:i4>
      </vt:variant>
      <vt:variant>
        <vt:i4>6</vt:i4>
      </vt:variant>
      <vt:variant>
        <vt:i4>0</vt:i4>
      </vt:variant>
      <vt:variant>
        <vt:i4>5</vt:i4>
      </vt:variant>
      <vt:variant>
        <vt:lpwstr>https://www.colombiacompra.gov.co/wp-content/uploads/2024/08/cce-eicp-ma-04._manual_requisitos_habilitantes_v3_29-09-2023.pdf</vt:lpwstr>
      </vt:variant>
      <vt:variant>
        <vt:lpwstr/>
      </vt:variant>
      <vt:variant>
        <vt:i4>655414</vt:i4>
      </vt:variant>
      <vt:variant>
        <vt:i4>3</vt:i4>
      </vt:variant>
      <vt:variant>
        <vt:i4>0</vt:i4>
      </vt:variant>
      <vt:variant>
        <vt:i4>5</vt:i4>
      </vt:variant>
      <vt:variant>
        <vt:lpwstr>https://www.colombiacompra.gov.co/wp-content/uploads/2024/08/cce-eicp-ma-04._manual_requisitos_habilitantes_v3_29-09-2023.pdf</vt:lpwstr>
      </vt:variant>
      <vt:variant>
        <vt:lpwstr/>
      </vt:variant>
      <vt:variant>
        <vt:i4>655414</vt:i4>
      </vt:variant>
      <vt:variant>
        <vt:i4>0</vt:i4>
      </vt:variant>
      <vt:variant>
        <vt:i4>0</vt:i4>
      </vt:variant>
      <vt:variant>
        <vt:i4>5</vt:i4>
      </vt:variant>
      <vt:variant>
        <vt:lpwstr>https://www.colombiacompra.gov.co/wp-content/uploads/2024/08/cce-eicp-ma-04._manual_requisitos_habilitantes_v3_29-09-2023.pdf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2026-08-25T23:10:00Z</dcterms:created>
  <dcterms:modified xsi:type="dcterms:W3CDTF">2026-08-26T14:03:00Z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