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112097" w14:textId="74EF52A6" w:rsidR="00BC4F8B" w:rsidRPr="00BC4F8B" w:rsidRDefault="00BC4F8B" w:rsidP="006B4B17">
      <w:pPr>
        <w:spacing w:after="0"/>
        <w:jc w:val="both"/>
        <w:rPr>
          <w:rFonts w:ascii="Verdana" w:eastAsia="Verdana" w:hAnsi="Verdana" w:cs="Verdana"/>
        </w:rPr>
      </w:pPr>
      <w:bookmarkStart w:id="0" w:name="_Hlk143780582"/>
      <w:r w:rsidRPr="00BC4F8B">
        <w:rPr>
          <w:rFonts w:ascii="Verdana" w:eastAsia="Calibri" w:hAnsi="Verdana" w:cs="Arial"/>
          <w:b/>
          <w:bCs/>
          <w:lang w:val="es-ES" w:eastAsia="es-ES"/>
        </w:rPr>
        <w:t>DOCUMENTOS TIPO DE INFRAESTRUCTURA SOCIAL – Generalidades</w:t>
      </w:r>
    </w:p>
    <w:p w14:paraId="4F1C4FBE" w14:textId="77777777" w:rsidR="00BC4F8B" w:rsidRPr="00BC4F8B" w:rsidRDefault="00BC4F8B" w:rsidP="00BC4F8B">
      <w:pPr>
        <w:shd w:val="clear" w:color="auto" w:fill="FFFFFF"/>
        <w:spacing w:after="0" w:line="276" w:lineRule="auto"/>
        <w:contextualSpacing/>
        <w:jc w:val="both"/>
        <w:rPr>
          <w:rFonts w:ascii="Verdana" w:eastAsia="Calibri" w:hAnsi="Verdana" w:cs="Arial"/>
          <w:b/>
          <w:bCs/>
          <w:lang w:val="es-ES" w:eastAsia="es-ES"/>
        </w:rPr>
      </w:pPr>
    </w:p>
    <w:p w14:paraId="0C2C14DA" w14:textId="21F42CA8" w:rsidR="00BC4F8B" w:rsidRPr="0085139F" w:rsidRDefault="000C7FE5" w:rsidP="0085139F">
      <w:pPr>
        <w:snapToGrid w:val="0"/>
        <w:spacing w:after="0" w:line="240" w:lineRule="auto"/>
        <w:jc w:val="both"/>
        <w:rPr>
          <w:rFonts w:ascii="Verdana" w:eastAsia="Calibri" w:hAnsi="Verdana" w:cs="Times New Roman"/>
          <w:sz w:val="20"/>
          <w:szCs w:val="20"/>
          <w:lang w:val="es-ES" w:eastAsia="es-MX"/>
        </w:rPr>
      </w:pPr>
      <w:r w:rsidRPr="0085139F">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1228A718" w14:textId="77777777" w:rsidR="00BC4F8B" w:rsidRPr="0085139F" w:rsidRDefault="00BC4F8B" w:rsidP="0085139F">
      <w:pPr>
        <w:snapToGrid w:val="0"/>
        <w:spacing w:after="0" w:line="240" w:lineRule="auto"/>
        <w:jc w:val="both"/>
        <w:rPr>
          <w:rFonts w:ascii="Verdana" w:eastAsia="Calibri" w:hAnsi="Verdana" w:cs="Times New Roman"/>
          <w:sz w:val="20"/>
          <w:szCs w:val="20"/>
          <w:lang w:val="es-ES" w:eastAsia="es-MX"/>
        </w:rPr>
      </w:pPr>
      <w:r w:rsidRPr="0085139F">
        <w:rPr>
          <w:rFonts w:ascii="Verdana" w:eastAsia="Arial MT" w:hAnsi="Verdana" w:cs="Arial MT"/>
          <w:sz w:val="20"/>
          <w:szCs w:val="20"/>
          <w:lang w:val="es-ES" w:eastAsia="es-MX"/>
        </w:rPr>
        <w:t>[…]</w:t>
      </w:r>
    </w:p>
    <w:p w14:paraId="3C63A978" w14:textId="37B3A3F8" w:rsidR="00BC4F8B" w:rsidRDefault="00E1554A" w:rsidP="0085139F">
      <w:pPr>
        <w:snapToGrid w:val="0"/>
        <w:spacing w:after="0" w:line="240" w:lineRule="auto"/>
        <w:jc w:val="both"/>
        <w:rPr>
          <w:rFonts w:ascii="Verdana" w:eastAsia="Calibri" w:hAnsi="Verdana" w:cs="Times New Roman"/>
          <w:sz w:val="20"/>
          <w:szCs w:val="20"/>
          <w:lang w:val="es-ES" w:eastAsia="es-MX"/>
        </w:rPr>
      </w:pPr>
      <w:r w:rsidRPr="0085139F">
        <w:rPr>
          <w:rFonts w:ascii="Verdana" w:eastAsia="Calibri" w:hAnsi="Verdana" w:cs="Times New Roman"/>
          <w:sz w:val="20"/>
          <w:szCs w:val="20"/>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609A3B38" w14:textId="77777777" w:rsidR="0085139F" w:rsidRPr="0085139F" w:rsidRDefault="0085139F" w:rsidP="0085139F">
      <w:pPr>
        <w:snapToGrid w:val="0"/>
        <w:spacing w:after="0" w:line="276" w:lineRule="auto"/>
        <w:jc w:val="both"/>
        <w:rPr>
          <w:rFonts w:ascii="Verdana" w:eastAsia="Calibri" w:hAnsi="Verdana" w:cs="Times New Roman"/>
          <w:lang w:val="es-ES" w:eastAsia="es-MX"/>
        </w:rPr>
      </w:pPr>
    </w:p>
    <w:p w14:paraId="566944EC" w14:textId="77777777" w:rsidR="00BC4F8B" w:rsidRPr="00BC4F8B" w:rsidRDefault="00BC4F8B" w:rsidP="00BC4F8B">
      <w:pPr>
        <w:shd w:val="clear" w:color="auto" w:fill="FFFFFF"/>
        <w:spacing w:after="0" w:line="276" w:lineRule="auto"/>
        <w:contextualSpacing/>
        <w:jc w:val="both"/>
        <w:rPr>
          <w:rFonts w:ascii="Verdana" w:eastAsia="Calibri" w:hAnsi="Verdana" w:cs="Arial"/>
          <w:b/>
          <w:bCs/>
          <w:lang w:val="es-ES" w:eastAsia="es-ES"/>
        </w:rPr>
      </w:pPr>
      <w:r w:rsidRPr="00BC4F8B">
        <w:rPr>
          <w:rFonts w:ascii="Verdana" w:eastAsia="Calibri" w:hAnsi="Verdana" w:cs="Arial"/>
          <w:b/>
          <w:bCs/>
          <w:lang w:val="es-ES" w:eastAsia="es-ES"/>
        </w:rPr>
        <w:t xml:space="preserve">DOCUMENTOS TIPO DE INFRAESTRUCTURA SOCIAL – Aplicación – Matriz 1 – Determinación de la experiencia  </w:t>
      </w:r>
    </w:p>
    <w:p w14:paraId="1F85F3E5" w14:textId="77777777" w:rsidR="00BC4F8B" w:rsidRPr="00BC4F8B" w:rsidRDefault="00BC4F8B" w:rsidP="00BC4F8B">
      <w:pPr>
        <w:shd w:val="clear" w:color="auto" w:fill="FFFFFF"/>
        <w:spacing w:after="0" w:line="276" w:lineRule="auto"/>
        <w:contextualSpacing/>
        <w:jc w:val="both"/>
        <w:rPr>
          <w:rFonts w:ascii="Verdana" w:eastAsia="Calibri" w:hAnsi="Verdana" w:cs="Arial"/>
          <w:b/>
          <w:lang w:val="es-MX" w:eastAsia="es-ES_tradnl"/>
        </w:rPr>
      </w:pPr>
    </w:p>
    <w:p w14:paraId="70EA49B7" w14:textId="48BC732F" w:rsidR="00BC4F8B" w:rsidRPr="0085139F" w:rsidRDefault="00847886" w:rsidP="0085139F">
      <w:pPr>
        <w:adjustRightInd w:val="0"/>
        <w:snapToGrid w:val="0"/>
        <w:spacing w:after="0" w:line="240" w:lineRule="auto"/>
        <w:jc w:val="both"/>
        <w:rPr>
          <w:rFonts w:ascii="Verdana" w:eastAsia="Calibri" w:hAnsi="Verdana" w:cs="Times New Roman"/>
          <w:sz w:val="20"/>
          <w:szCs w:val="20"/>
          <w:lang w:eastAsia="es-MX"/>
        </w:rPr>
      </w:pPr>
      <w:r w:rsidRPr="0085139F">
        <w:rPr>
          <w:rFonts w:ascii="Verdana" w:eastAsia="Calibri" w:hAnsi="Verdana" w:cs="Times New Roman"/>
          <w:sz w:val="20"/>
          <w:szCs w:val="20"/>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85139F">
        <w:rPr>
          <w:rFonts w:ascii="Verdana" w:eastAsia="Calibri" w:hAnsi="Verdana" w:cs="Times New Roman"/>
          <w:sz w:val="20"/>
          <w:szCs w:val="20"/>
          <w:lang w:eastAsia="es-MX"/>
        </w:rPr>
        <w:t>ii</w:t>
      </w:r>
      <w:proofErr w:type="spellEnd"/>
      <w:r w:rsidRPr="0085139F">
        <w:rPr>
          <w:rFonts w:ascii="Verdana" w:eastAsia="Calibri" w:hAnsi="Verdana" w:cs="Times New Roman"/>
          <w:sz w:val="20"/>
          <w:szCs w:val="20"/>
          <w:lang w:eastAsia="es-MX"/>
        </w:rPr>
        <w:t xml:space="preserve">) la actividad a contratar y </w:t>
      </w:r>
      <w:proofErr w:type="spellStart"/>
      <w:r w:rsidRPr="0085139F">
        <w:rPr>
          <w:rFonts w:ascii="Verdana" w:eastAsia="Calibri" w:hAnsi="Verdana" w:cs="Times New Roman"/>
          <w:sz w:val="20"/>
          <w:szCs w:val="20"/>
          <w:lang w:eastAsia="es-MX"/>
        </w:rPr>
        <w:t>iii</w:t>
      </w:r>
      <w:proofErr w:type="spellEnd"/>
      <w:r w:rsidRPr="0085139F">
        <w:rPr>
          <w:rFonts w:ascii="Verdana" w:eastAsia="Calibri" w:hAnsi="Verdana" w:cs="Times New Roman"/>
          <w:sz w:val="20"/>
          <w:szCs w:val="20"/>
          <w:lang w:eastAsia="es-MX"/>
        </w:rPr>
        <w:t>) la cuantía del proceso de contratación.</w:t>
      </w:r>
    </w:p>
    <w:p w14:paraId="220F28AC" w14:textId="77777777" w:rsidR="00BC4F8B" w:rsidRPr="00BC4F8B" w:rsidRDefault="00BC4F8B" w:rsidP="00BC4F8B">
      <w:pPr>
        <w:spacing w:after="0" w:line="276" w:lineRule="auto"/>
        <w:jc w:val="both"/>
        <w:rPr>
          <w:rFonts w:ascii="Verdana" w:eastAsia="Arial" w:hAnsi="Verdana" w:cs="Calibri"/>
          <w:lang w:eastAsia="es-ES"/>
        </w:rPr>
      </w:pPr>
    </w:p>
    <w:p w14:paraId="3A9802B6" w14:textId="77777777" w:rsidR="00BC4F8B" w:rsidRPr="00BC4F8B" w:rsidRDefault="00BC4F8B" w:rsidP="00BC4F8B">
      <w:pPr>
        <w:snapToGrid w:val="0"/>
        <w:spacing w:after="0" w:line="276" w:lineRule="auto"/>
        <w:jc w:val="both"/>
        <w:rPr>
          <w:rFonts w:ascii="Verdana" w:eastAsia="Aptos" w:hAnsi="Verdana" w:cs="Times New Roman"/>
          <w:b/>
          <w:bCs/>
          <w:lang w:eastAsia="es-MX"/>
        </w:rPr>
      </w:pPr>
      <w:r w:rsidRPr="00BC4F8B">
        <w:rPr>
          <w:rFonts w:ascii="Verdana" w:eastAsia="Aptos" w:hAnsi="Verdana" w:cs="Times New Roman"/>
          <w:b/>
          <w:bCs/>
          <w:lang w:eastAsia="es-MX"/>
        </w:rPr>
        <w:t>DOCUMENTOS TIPO DE INFRAESTRUCTURA SOCIAL – Actividades de instalación – Equipos de enfriamiento – Sector salud</w:t>
      </w:r>
    </w:p>
    <w:p w14:paraId="74ACCABE" w14:textId="77777777" w:rsidR="00BC4F8B" w:rsidRPr="00BC4F8B" w:rsidRDefault="00BC4F8B" w:rsidP="00BC4F8B">
      <w:pPr>
        <w:autoSpaceDE w:val="0"/>
        <w:autoSpaceDN w:val="0"/>
        <w:adjustRightInd w:val="0"/>
        <w:spacing w:after="0" w:line="276" w:lineRule="auto"/>
        <w:jc w:val="both"/>
        <w:rPr>
          <w:rFonts w:ascii="Verdana" w:eastAsia="Times New Roman" w:hAnsi="Verdana" w:cs="Calibri"/>
          <w:lang w:eastAsia="es-MX"/>
        </w:rPr>
      </w:pPr>
    </w:p>
    <w:p w14:paraId="23EAD7EE" w14:textId="72F63FCD" w:rsidR="00BC4F8B" w:rsidRPr="0085139F" w:rsidRDefault="00BC4F8B" w:rsidP="000A63ED">
      <w:pPr>
        <w:snapToGrid w:val="0"/>
        <w:spacing w:after="0" w:line="240" w:lineRule="auto"/>
        <w:jc w:val="both"/>
        <w:rPr>
          <w:rFonts w:ascii="Verdana" w:eastAsia="Aptos" w:hAnsi="Verdana" w:cs="Times New Roman"/>
          <w:kern w:val="2"/>
          <w:sz w:val="20"/>
          <w:szCs w:val="20"/>
          <w14:ligatures w14:val="standardContextual"/>
        </w:rPr>
      </w:pPr>
      <w:r w:rsidRPr="0085139F">
        <w:rPr>
          <w:rFonts w:ascii="Verdana" w:eastAsia="Aptos" w:hAnsi="Verdana" w:cs="Times New Roman"/>
          <w:kern w:val="2"/>
          <w:sz w:val="20"/>
          <w:szCs w:val="20"/>
          <w14:ligatures w14:val="standardContextual"/>
        </w:rPr>
        <w:t xml:space="preserve">[…] </w:t>
      </w:r>
      <w:r w:rsidR="00847886" w:rsidRPr="0085139F">
        <w:rPr>
          <w:rFonts w:ascii="Verdana" w:eastAsia="Aptos" w:hAnsi="Verdana" w:cs="Times New Roman"/>
          <w:kern w:val="2"/>
          <w:sz w:val="20"/>
          <w:szCs w:val="20"/>
          <w14:ligatures w14:val="standardContextual"/>
        </w:rPr>
        <w:t xml:space="preserve">soporte, cimentación, redes eléctricas e hidráulicas y obra exterior que es necesaria para instalar un equipo de enfriamiento especializado en un laboratorio de salud pública, conviene señalar que esta se podría enmarcar en las siguientes actividades de la Matriz 1: </w:t>
      </w:r>
    </w:p>
    <w:p w14:paraId="036A9783" w14:textId="77777777" w:rsidR="00BC4F8B" w:rsidRPr="0085139F" w:rsidRDefault="00BC4F8B" w:rsidP="000A63ED">
      <w:pPr>
        <w:snapToGrid w:val="0"/>
        <w:spacing w:after="0" w:line="240" w:lineRule="auto"/>
        <w:jc w:val="both"/>
        <w:rPr>
          <w:rFonts w:ascii="Verdana" w:eastAsia="Aptos" w:hAnsi="Verdana" w:cs="Times New Roman"/>
          <w:kern w:val="2"/>
          <w:sz w:val="20"/>
          <w:szCs w:val="20"/>
          <w14:ligatures w14:val="standardContextual"/>
        </w:rPr>
      </w:pPr>
      <w:r w:rsidRPr="0085139F">
        <w:rPr>
          <w:rFonts w:ascii="Verdana" w:eastAsia="Aptos" w:hAnsi="Verdana" w:cs="Times New Roman"/>
          <w:kern w:val="2"/>
          <w:sz w:val="20"/>
          <w:szCs w:val="20"/>
          <w14:ligatures w14:val="standardContextual"/>
        </w:rPr>
        <w:t>[…]</w:t>
      </w:r>
    </w:p>
    <w:p w14:paraId="5E8503C1" w14:textId="77777777" w:rsidR="000A63ED" w:rsidRDefault="00847886" w:rsidP="000A63ED">
      <w:pPr>
        <w:snapToGrid w:val="0"/>
        <w:spacing w:after="0" w:line="240" w:lineRule="auto"/>
        <w:jc w:val="both"/>
        <w:rPr>
          <w:rFonts w:ascii="Verdana" w:eastAsia="Aptos" w:hAnsi="Verdana" w:cs="Times New Roman"/>
          <w:kern w:val="2"/>
          <w:sz w:val="20"/>
          <w:szCs w:val="20"/>
          <w14:ligatures w14:val="standardContextual"/>
        </w:rPr>
      </w:pPr>
      <w:r w:rsidRPr="0085139F">
        <w:rPr>
          <w:rFonts w:ascii="Verdana" w:eastAsia="Aptos" w:hAnsi="Verdana" w:cs="Times New Roman"/>
          <w:kern w:val="2"/>
          <w:sz w:val="20"/>
          <w:szCs w:val="20"/>
          <w14:ligatures w14:val="standardContextual"/>
        </w:rPr>
        <w:t xml:space="preserve">En ese orden, para determinar si resulta obligatoria la aplicación de los Documentos Tipo de Infraestructura Social - Sector Salud, la entidad debe verificar si las actividades que integran el objeto contractual se encuentran comprendidas dentro de la Matriz 1 - Experiencia Sector Salud adoptada mediante la Resolución 539 de 2025, y de acuerdo </w:t>
      </w:r>
      <w:r w:rsidRPr="0085139F">
        <w:rPr>
          <w:rFonts w:ascii="Verdana" w:eastAsia="Aptos" w:hAnsi="Verdana" w:cs="Times New Roman"/>
          <w:kern w:val="2"/>
          <w:sz w:val="20"/>
          <w:szCs w:val="20"/>
          <w14:ligatures w14:val="standardContextual"/>
        </w:rPr>
        <w:lastRenderedPageBreak/>
        <w:t>con la información suministrada, las actividades de obra civil asociadas a la instalación del equipo especializado, tales como cimentaciones, redes eléctricas, redes hidráulicas y obras complementarias, podrían enmarcarse, entre otras, en las actividades 1.2, 1.5 y 1.9 de la Matriz de Experiencia del Sector Salud, relacionadas con adecuación, intervención e instalación de infraestructura, redes hidrosanitarias y redes eléctricas en edificaciones destinadas a la prestación de servicios de salud.  En consecuencia, con fundamento en los datos del proyecto, las actividades a ejecutar sí se encuentran comprendidas dentro de las actividades previstas en la Matriz de Experiencia, razón por la cual, corresponde la aplicación de los Documentos Tipo de Infraestructura Social - Sector Salud.</w:t>
      </w:r>
    </w:p>
    <w:p w14:paraId="116DDCE3" w14:textId="77777777" w:rsidR="000A63ED" w:rsidRDefault="000A63ED" w:rsidP="000A63ED">
      <w:pPr>
        <w:snapToGrid w:val="0"/>
        <w:spacing w:after="0" w:line="240" w:lineRule="auto"/>
        <w:jc w:val="both"/>
        <w:rPr>
          <w:rFonts w:ascii="Verdana" w:eastAsia="Aptos" w:hAnsi="Verdana" w:cs="Times New Roman"/>
          <w:kern w:val="2"/>
          <w:sz w:val="20"/>
          <w:szCs w:val="20"/>
          <w14:ligatures w14:val="standardContextual"/>
        </w:rPr>
      </w:pPr>
    </w:p>
    <w:p w14:paraId="4AFF74B4" w14:textId="3109C2DA" w:rsidR="00BC4F8B" w:rsidRPr="0085139F" w:rsidRDefault="00BC4F8B" w:rsidP="000A63ED">
      <w:pPr>
        <w:snapToGrid w:val="0"/>
        <w:spacing w:after="120" w:line="240" w:lineRule="auto"/>
        <w:jc w:val="both"/>
        <w:rPr>
          <w:rFonts w:ascii="Verdana" w:eastAsia="Aptos" w:hAnsi="Verdana" w:cs="Times New Roman"/>
          <w:kern w:val="2"/>
          <w:sz w:val="20"/>
          <w:szCs w:val="20"/>
          <w14:ligatures w14:val="standardContextual"/>
        </w:rPr>
      </w:pPr>
      <w:r w:rsidRPr="0085139F">
        <w:rPr>
          <w:rFonts w:ascii="Verdana" w:eastAsia="Aptos" w:hAnsi="Verdana" w:cs="Times New Roman"/>
          <w:kern w:val="2"/>
          <w:sz w:val="20"/>
          <w:szCs w:val="20"/>
          <w14:ligatures w14:val="standardContextual"/>
        </w:rPr>
        <w:t xml:space="preserve">[…] </w:t>
      </w:r>
      <w:r w:rsidR="00847886" w:rsidRPr="0085139F">
        <w:rPr>
          <w:rFonts w:ascii="Verdana" w:eastAsia="Aptos" w:hAnsi="Verdana" w:cs="Times New Roman"/>
          <w:kern w:val="2"/>
          <w:sz w:val="20"/>
          <w:szCs w:val="20"/>
          <w14:ligatures w14:val="standardContextual"/>
        </w:rPr>
        <w:t xml:space="preserve">teniendo en cuenta que la entidad debería revisar la Matriz de Experiencia del sector salud para validar que el objeto de su proceso se enmarque en alguna de las actividades, se ha propuesto para la parte correspondiente a la obra civil que sí se encontraría “tipificada” dentro de esta Matriz, a saber, en las actividades 1.2, 1.5 o 1.9, entre otras. Aquí, le correspondería a la Entidad la implementación del Documento Tipo del Sector Social para la modalidad de licitación de obra pública, y con respecto a exigir de forma conjunta experiencia en suministro e instalación de equipos de enfriamiento especializados, la entidad también podría optar por la combinación de experiencia descrita dentro del artículo 5 de la Resolución 539 de 2025, que establece que: </w:t>
      </w:r>
      <w:r w:rsidRPr="0085139F">
        <w:rPr>
          <w:rFonts w:ascii="Verdana" w:eastAsia="Aptos" w:hAnsi="Verdana" w:cs="Times New Roman"/>
          <w:kern w:val="2"/>
          <w:sz w:val="20"/>
          <w:szCs w:val="20"/>
          <w14:ligatures w14:val="standardContextual"/>
        </w:rPr>
        <w:t>[…]</w:t>
      </w:r>
    </w:p>
    <w:p w14:paraId="452CEB04" w14:textId="77777777" w:rsidR="00BC4F8B" w:rsidRPr="00BC4F8B" w:rsidRDefault="00BC4F8B" w:rsidP="00BC4F8B">
      <w:pPr>
        <w:snapToGrid w:val="0"/>
        <w:spacing w:after="0" w:line="240" w:lineRule="auto"/>
        <w:jc w:val="both"/>
        <w:rPr>
          <w:rFonts w:ascii="Verdana" w:eastAsia="Aptos" w:hAnsi="Verdana" w:cs="Times New Roman"/>
          <w:kern w:val="2"/>
          <w:sz w:val="20"/>
          <w:szCs w:val="20"/>
          <w:lang w:val="es-MX"/>
          <w14:ligatures w14:val="standardContextual"/>
        </w:rPr>
      </w:pPr>
    </w:p>
    <w:p w14:paraId="6740D92F" w14:textId="77777777" w:rsidR="00BC4F8B" w:rsidRPr="00BC4F8B" w:rsidRDefault="00BC4F8B" w:rsidP="00BC4F8B">
      <w:pPr>
        <w:autoSpaceDE w:val="0"/>
        <w:autoSpaceDN w:val="0"/>
        <w:adjustRightInd w:val="0"/>
        <w:snapToGrid w:val="0"/>
        <w:spacing w:after="0" w:line="240" w:lineRule="auto"/>
        <w:jc w:val="both"/>
        <w:rPr>
          <w:rFonts w:ascii="Verdana" w:eastAsia="Times New Roman" w:hAnsi="Verdana" w:cs="Calibri"/>
          <w:i/>
          <w:iCs/>
          <w:sz w:val="20"/>
          <w:szCs w:val="20"/>
          <w:lang w:val="es-ES" w:eastAsia="es-MX"/>
        </w:rPr>
      </w:pPr>
      <w:r w:rsidRPr="00BC4F8B">
        <w:rPr>
          <w:rFonts w:ascii="Verdana" w:eastAsia="Aptos" w:hAnsi="Verdana" w:cs="Times New Roman"/>
          <w:kern w:val="2"/>
          <w:sz w:val="20"/>
          <w:szCs w:val="20"/>
          <w14:ligatures w14:val="standardContextual"/>
        </w:rPr>
        <w:t xml:space="preserve"> </w:t>
      </w:r>
    </w:p>
    <w:p w14:paraId="3DD8CD05" w14:textId="77777777" w:rsidR="00BC4F8B" w:rsidRPr="00BC4F8B" w:rsidRDefault="00BC4F8B" w:rsidP="00BC4F8B">
      <w:pPr>
        <w:spacing w:after="0" w:line="240" w:lineRule="auto"/>
        <w:jc w:val="both"/>
        <w:rPr>
          <w:rFonts w:ascii="Verdana" w:eastAsia="Times New Roman" w:hAnsi="Verdana" w:cs="Calibri"/>
          <w:sz w:val="20"/>
          <w:szCs w:val="20"/>
          <w:lang w:eastAsia="es-MX"/>
        </w:rPr>
      </w:pPr>
    </w:p>
    <w:p w14:paraId="413E16B4" w14:textId="77777777" w:rsidR="00BC4F8B" w:rsidRPr="00BC4F8B" w:rsidRDefault="00BC4F8B" w:rsidP="00BC4F8B">
      <w:pPr>
        <w:snapToGrid w:val="0"/>
        <w:spacing w:after="0" w:line="240" w:lineRule="auto"/>
        <w:jc w:val="both"/>
        <w:rPr>
          <w:rFonts w:ascii="Verdana" w:eastAsia="Aptos" w:hAnsi="Verdana" w:cs="Aptos"/>
          <w:kern w:val="2"/>
          <w:sz w:val="20"/>
          <w:szCs w:val="20"/>
          <w:lang w:val="es-ES"/>
          <w14:ligatures w14:val="standardContextual"/>
        </w:rPr>
      </w:pPr>
    </w:p>
    <w:p w14:paraId="05F9C1B9" w14:textId="77777777" w:rsidR="00BC4F8B" w:rsidRPr="00BC4F8B" w:rsidRDefault="00BC4F8B" w:rsidP="00BC4F8B">
      <w:pPr>
        <w:spacing w:after="0" w:line="240" w:lineRule="auto"/>
        <w:jc w:val="both"/>
        <w:rPr>
          <w:rFonts w:ascii="Verdana" w:eastAsia="Arial" w:hAnsi="Verdana" w:cs="Calibri"/>
          <w:sz w:val="20"/>
          <w:szCs w:val="20"/>
          <w:lang w:eastAsia="es-ES"/>
        </w:rPr>
      </w:pPr>
    </w:p>
    <w:p w14:paraId="598990E0" w14:textId="77777777" w:rsidR="00BC4F8B" w:rsidRPr="00BC4F8B" w:rsidRDefault="00BC4F8B" w:rsidP="00BC4F8B">
      <w:pPr>
        <w:spacing w:after="0" w:line="240" w:lineRule="auto"/>
        <w:jc w:val="both"/>
        <w:rPr>
          <w:rFonts w:ascii="Verdana" w:eastAsia="Arial" w:hAnsi="Verdana" w:cs="Calibri"/>
          <w:sz w:val="20"/>
          <w:szCs w:val="20"/>
          <w:lang w:eastAsia="es-ES"/>
        </w:rPr>
      </w:pPr>
    </w:p>
    <w:p w14:paraId="0D87C3D6"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2C708FC8"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7548B77B"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01B3E2FF"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6D18071B"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4DD59909"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165CD35A"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0224D873"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5A906275"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701E0290"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4A5539E9"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429B7331"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609EE695"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4B00BC6B"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764929FD"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6FDCB5EF" w14:textId="77777777" w:rsidR="00BC4F8B" w:rsidRPr="00BC4F8B" w:rsidRDefault="00BC4F8B" w:rsidP="00BC4F8B">
      <w:pPr>
        <w:spacing w:after="0" w:line="240" w:lineRule="auto"/>
        <w:jc w:val="both"/>
        <w:rPr>
          <w:rFonts w:ascii="Verdana" w:eastAsia="Calibri" w:hAnsi="Verdana" w:cs="Arial"/>
          <w:color w:val="000000"/>
          <w:sz w:val="20"/>
          <w:szCs w:val="20"/>
          <w:lang w:val="es-ES" w:eastAsia="es-MX"/>
        </w:rPr>
      </w:pPr>
    </w:p>
    <w:p w14:paraId="013C88BD" w14:textId="77777777" w:rsidR="00BC4F8B" w:rsidRDefault="00BC4F8B" w:rsidP="00BC4F8B">
      <w:pPr>
        <w:spacing w:after="0" w:line="240" w:lineRule="auto"/>
        <w:jc w:val="both"/>
        <w:rPr>
          <w:rFonts w:ascii="Verdana" w:eastAsia="Calibri" w:hAnsi="Verdana" w:cs="Arial"/>
          <w:color w:val="000000"/>
          <w:sz w:val="20"/>
          <w:szCs w:val="20"/>
          <w:lang w:val="es-ES" w:eastAsia="es-MX"/>
        </w:rPr>
      </w:pPr>
    </w:p>
    <w:p w14:paraId="42F2ACE0" w14:textId="77777777" w:rsidR="00E21259" w:rsidRDefault="00E21259" w:rsidP="00BC4F8B">
      <w:pPr>
        <w:spacing w:after="0" w:line="240" w:lineRule="auto"/>
        <w:jc w:val="both"/>
        <w:rPr>
          <w:rFonts w:ascii="Verdana" w:eastAsia="Calibri" w:hAnsi="Verdana" w:cs="Arial"/>
          <w:color w:val="000000"/>
          <w:sz w:val="20"/>
          <w:szCs w:val="20"/>
          <w:lang w:val="es-ES" w:eastAsia="es-MX"/>
        </w:rPr>
      </w:pPr>
    </w:p>
    <w:p w14:paraId="6A31137B" w14:textId="77777777" w:rsidR="00E21259" w:rsidRPr="00BC4F8B" w:rsidRDefault="00E21259" w:rsidP="00BC4F8B">
      <w:pPr>
        <w:spacing w:after="0" w:line="240" w:lineRule="auto"/>
        <w:jc w:val="both"/>
        <w:rPr>
          <w:rFonts w:ascii="Verdana" w:eastAsia="Calibri" w:hAnsi="Verdana" w:cs="Arial"/>
          <w:color w:val="000000"/>
          <w:sz w:val="20"/>
          <w:szCs w:val="20"/>
          <w:lang w:val="es-ES" w:eastAsia="es-MX"/>
        </w:rPr>
      </w:pPr>
    </w:p>
    <w:p w14:paraId="3252F4CD" w14:textId="73A0D264" w:rsidR="00BC4F8B" w:rsidRPr="00BC4F8B" w:rsidRDefault="00BC4F8B" w:rsidP="00BC4F8B">
      <w:pPr>
        <w:spacing w:after="0" w:line="240" w:lineRule="auto"/>
        <w:jc w:val="both"/>
        <w:rPr>
          <w:rFonts w:ascii="Verdana" w:eastAsia="Calibri" w:hAnsi="Verdana" w:cs="Arial"/>
          <w:lang w:val="es-ES" w:eastAsia="es-MX"/>
        </w:rPr>
      </w:pPr>
      <w:r w:rsidRPr="00BC4F8B">
        <w:rPr>
          <w:rFonts w:ascii="Verdana" w:eastAsia="Verdana" w:hAnsi="Verdana" w:cs="Verdana"/>
        </w:rPr>
        <w:lastRenderedPageBreak/>
        <w:t>Bogotá D.C.,</w:t>
      </w:r>
      <w:r w:rsidR="00FC7222">
        <w:rPr>
          <w:rFonts w:ascii="Verdana" w:eastAsia="Verdana" w:hAnsi="Verdana" w:cs="Verdana"/>
        </w:rPr>
        <w:t xml:space="preserve"> 24 Agosto 2026</w:t>
      </w:r>
    </w:p>
    <w:p w14:paraId="338629FD" w14:textId="67DF3098" w:rsidR="00BC4F8B" w:rsidRPr="00BC4F8B" w:rsidRDefault="00FC7222" w:rsidP="00FC7222">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78581C25" wp14:editId="20A162C2">
            <wp:extent cx="2315707" cy="715764"/>
            <wp:effectExtent l="0" t="0" r="0" b="0"/>
            <wp:docPr id="13755168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16864" name="Imagen 1375516864"/>
                    <pic:cNvPicPr/>
                  </pic:nvPicPr>
                  <pic:blipFill>
                    <a:blip r:embed="rId10">
                      <a:extLst>
                        <a:ext uri="{28A0092B-C50C-407E-A947-70E740481C1C}">
                          <a14:useLocalDpi xmlns:a14="http://schemas.microsoft.com/office/drawing/2010/main" val="0"/>
                        </a:ext>
                      </a:extLst>
                    </a:blip>
                    <a:stretch>
                      <a:fillRect/>
                    </a:stretch>
                  </pic:blipFill>
                  <pic:spPr>
                    <a:xfrm>
                      <a:off x="0" y="0"/>
                      <a:ext cx="2334133" cy="721459"/>
                    </a:xfrm>
                    <a:prstGeom prst="rect">
                      <a:avLst/>
                    </a:prstGeom>
                  </pic:spPr>
                </pic:pic>
              </a:graphicData>
            </a:graphic>
          </wp:inline>
        </w:drawing>
      </w:r>
    </w:p>
    <w:p w14:paraId="3D059202" w14:textId="77777777" w:rsidR="00BC4F8B" w:rsidRPr="00BC4F8B" w:rsidRDefault="00BC4F8B" w:rsidP="00BC4F8B">
      <w:pPr>
        <w:spacing w:after="0" w:line="240" w:lineRule="auto"/>
        <w:jc w:val="both"/>
        <w:rPr>
          <w:rFonts w:ascii="Verdana" w:eastAsia="Calibri" w:hAnsi="Verdana" w:cs="Arial"/>
          <w:lang w:val="es-ES" w:eastAsia="es-ES"/>
        </w:rPr>
      </w:pPr>
      <w:r w:rsidRPr="00BC4F8B">
        <w:rPr>
          <w:rFonts w:ascii="Verdana" w:eastAsia="Calibri" w:hAnsi="Verdana" w:cs="Arial"/>
          <w:lang w:val="es-ES" w:eastAsia="es-ES"/>
        </w:rPr>
        <w:t>Señora</w:t>
      </w:r>
    </w:p>
    <w:p w14:paraId="19BF36AD" w14:textId="77777777" w:rsidR="00BC4F8B" w:rsidRPr="00BC4F8B" w:rsidRDefault="00BC4F8B" w:rsidP="00BC4F8B">
      <w:pPr>
        <w:spacing w:after="0" w:line="240" w:lineRule="auto"/>
        <w:rPr>
          <w:rFonts w:ascii="Verdana" w:eastAsia="Calibri" w:hAnsi="Verdana" w:cs="Arial"/>
          <w:b/>
          <w:lang w:eastAsia="es-ES_tradnl"/>
        </w:rPr>
      </w:pPr>
      <w:r w:rsidRPr="00BC4F8B">
        <w:rPr>
          <w:rFonts w:ascii="Verdana" w:eastAsia="Calibri" w:hAnsi="Verdana" w:cs="Arial"/>
          <w:b/>
          <w:lang w:eastAsia="es-ES_tradnl"/>
        </w:rPr>
        <w:t>Lina Marcela Acosta Ceballos</w:t>
      </w:r>
    </w:p>
    <w:p w14:paraId="57A141D8" w14:textId="77777777" w:rsidR="00BC4F8B" w:rsidRPr="00BC4F8B" w:rsidRDefault="00BC4F8B" w:rsidP="00BC4F8B">
      <w:pPr>
        <w:spacing w:after="0" w:line="240" w:lineRule="auto"/>
        <w:rPr>
          <w:rFonts w:ascii="Verdana" w:eastAsia="Calibri" w:hAnsi="Verdana" w:cs="Arial"/>
          <w:lang w:val="es-ES" w:eastAsia="es-ES"/>
        </w:rPr>
      </w:pPr>
      <w:r w:rsidRPr="00BC4F8B">
        <w:rPr>
          <w:rFonts w:ascii="Verdana" w:eastAsia="Calibri" w:hAnsi="Verdana" w:cs="Arial"/>
          <w:lang w:val="es-ES" w:eastAsia="es-ES"/>
        </w:rPr>
        <w:t>Subdirectora Técnica Jurídica</w:t>
      </w:r>
    </w:p>
    <w:p w14:paraId="6067E1BF" w14:textId="77777777" w:rsidR="00BC4F8B" w:rsidRPr="00BC4F8B" w:rsidRDefault="00BC4F8B" w:rsidP="00BC4F8B">
      <w:pPr>
        <w:spacing w:after="0" w:line="240" w:lineRule="auto"/>
        <w:rPr>
          <w:rFonts w:ascii="Verdana" w:eastAsia="Calibri" w:hAnsi="Verdana" w:cs="Arial"/>
          <w:lang w:val="es-ES" w:eastAsia="es-ES"/>
        </w:rPr>
      </w:pPr>
      <w:r w:rsidRPr="00BC4F8B">
        <w:rPr>
          <w:rFonts w:ascii="Verdana" w:eastAsia="Calibri" w:hAnsi="Verdana" w:cs="Arial"/>
          <w:lang w:val="es-ES" w:eastAsia="es-ES"/>
        </w:rPr>
        <w:t>Secretaría Departamental de Salud</w:t>
      </w:r>
    </w:p>
    <w:p w14:paraId="0C4C33E8" w14:textId="77777777" w:rsidR="00BC4F8B" w:rsidRPr="00BC4F8B" w:rsidRDefault="00BC4F8B" w:rsidP="00BC4F8B">
      <w:pPr>
        <w:spacing w:after="0" w:line="240" w:lineRule="auto"/>
        <w:rPr>
          <w:rFonts w:ascii="Verdana" w:eastAsia="Calibri" w:hAnsi="Verdana" w:cs="Arial"/>
          <w:lang w:val="es-ES" w:eastAsia="es-ES"/>
        </w:rPr>
      </w:pPr>
      <w:r w:rsidRPr="00BC4F8B">
        <w:rPr>
          <w:rFonts w:ascii="Verdana" w:eastAsia="Calibri" w:hAnsi="Verdana" w:cs="Arial"/>
          <w:lang w:val="es-ES" w:eastAsia="es-ES"/>
        </w:rPr>
        <w:t>Cali, Valle del Cauca</w:t>
      </w:r>
    </w:p>
    <w:p w14:paraId="627004C0" w14:textId="77777777" w:rsidR="00BC4F8B" w:rsidRPr="00BC4F8B" w:rsidRDefault="00BC4F8B" w:rsidP="00BC4F8B">
      <w:pPr>
        <w:spacing w:after="0" w:line="240" w:lineRule="auto"/>
        <w:rPr>
          <w:rFonts w:ascii="Verdana" w:eastAsia="Calibri" w:hAnsi="Verdana" w:cs="Arial"/>
          <w:b/>
          <w:bCs/>
          <w:lang w:eastAsia="es-ES_tradnl"/>
        </w:rPr>
      </w:pPr>
    </w:p>
    <w:p w14:paraId="7E731FCD" w14:textId="77777777" w:rsidR="00BC4F8B" w:rsidRPr="00BC4F8B" w:rsidRDefault="00BC4F8B" w:rsidP="00BC4F8B">
      <w:pPr>
        <w:spacing w:after="0" w:line="240" w:lineRule="auto"/>
        <w:rPr>
          <w:rFonts w:ascii="Verdana" w:eastAsia="Calibri" w:hAnsi="Verdana" w:cs="Arial"/>
          <w:b/>
          <w:bCs/>
          <w:lang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C4F8B" w:rsidRPr="00BC4F8B" w14:paraId="08C9867A" w14:textId="77777777" w:rsidTr="00C828F5">
        <w:trPr>
          <w:trHeight w:val="884"/>
        </w:trPr>
        <w:tc>
          <w:tcPr>
            <w:tcW w:w="2689" w:type="dxa"/>
          </w:tcPr>
          <w:p w14:paraId="2197E473" w14:textId="77777777" w:rsidR="00BC4F8B" w:rsidRPr="00BC4F8B" w:rsidRDefault="00BC4F8B" w:rsidP="00BC4F8B">
            <w:pPr>
              <w:spacing w:line="240" w:lineRule="exact"/>
              <w:jc w:val="both"/>
              <w:rPr>
                <w:rFonts w:ascii="Verdana" w:eastAsia="Calibri" w:hAnsi="Verdana" w:cs="Arial"/>
                <w:b/>
                <w:bCs/>
                <w:lang w:eastAsia="es-ES_tradnl"/>
              </w:rPr>
            </w:pPr>
          </w:p>
        </w:tc>
        <w:tc>
          <w:tcPr>
            <w:tcW w:w="6100" w:type="dxa"/>
          </w:tcPr>
          <w:p w14:paraId="5B23D5AF" w14:textId="77777777" w:rsidR="00BC4F8B" w:rsidRPr="00BC4F8B" w:rsidRDefault="00BC4F8B" w:rsidP="00BC4F8B">
            <w:pPr>
              <w:spacing w:line="240" w:lineRule="exact"/>
              <w:jc w:val="both"/>
              <w:rPr>
                <w:rFonts w:ascii="Verdana" w:eastAsia="Calibri" w:hAnsi="Verdana" w:cs="Arial"/>
                <w:b/>
                <w:bCs/>
                <w:lang w:val="es-ES" w:eastAsia="es-ES"/>
              </w:rPr>
            </w:pPr>
            <w:r w:rsidRPr="00BC4F8B">
              <w:rPr>
                <w:rFonts w:ascii="Verdana" w:eastAsia="Calibri" w:hAnsi="Verdana" w:cs="Arial"/>
                <w:b/>
                <w:bCs/>
                <w:lang w:val="es-ES" w:eastAsia="es-ES"/>
              </w:rPr>
              <w:t>Concepto C – 1098 de 2026</w:t>
            </w:r>
          </w:p>
        </w:tc>
      </w:tr>
      <w:tr w:rsidR="00BC4F8B" w:rsidRPr="00BC4F8B" w14:paraId="4A4DBF2A" w14:textId="77777777" w:rsidTr="00C828F5">
        <w:trPr>
          <w:trHeight w:val="884"/>
        </w:trPr>
        <w:tc>
          <w:tcPr>
            <w:tcW w:w="2689" w:type="dxa"/>
          </w:tcPr>
          <w:p w14:paraId="36389903" w14:textId="77777777" w:rsidR="00BC4F8B" w:rsidRPr="00BC4F8B" w:rsidRDefault="00BC4F8B" w:rsidP="00BC4F8B">
            <w:pPr>
              <w:spacing w:line="240" w:lineRule="exact"/>
              <w:jc w:val="both"/>
              <w:rPr>
                <w:rFonts w:ascii="Verdana" w:eastAsia="Calibri" w:hAnsi="Verdana" w:cs="Arial"/>
                <w:lang w:eastAsia="es-ES_tradnl"/>
              </w:rPr>
            </w:pPr>
            <w:r w:rsidRPr="00BC4F8B">
              <w:rPr>
                <w:rFonts w:ascii="Verdana" w:eastAsia="Calibri" w:hAnsi="Verdana" w:cs="Arial"/>
                <w:b/>
                <w:lang w:eastAsia="es-ES_tradnl"/>
              </w:rPr>
              <w:t>Temas:</w:t>
            </w:r>
            <w:r w:rsidRPr="00BC4F8B">
              <w:rPr>
                <w:rFonts w:ascii="Verdana" w:eastAsia="Calibri" w:hAnsi="Verdana" w:cs="Arial"/>
                <w:lang w:eastAsia="es-ES_tradnl"/>
              </w:rPr>
              <w:t xml:space="preserve">                   </w:t>
            </w:r>
          </w:p>
        </w:tc>
        <w:tc>
          <w:tcPr>
            <w:tcW w:w="6100" w:type="dxa"/>
          </w:tcPr>
          <w:p w14:paraId="3452E5C0" w14:textId="77777777" w:rsidR="00BC4F8B" w:rsidRPr="00BC4F8B" w:rsidRDefault="00BC4F8B" w:rsidP="00BC4F8B">
            <w:pPr>
              <w:snapToGrid w:val="0"/>
              <w:spacing w:line="276" w:lineRule="auto"/>
              <w:jc w:val="both"/>
              <w:rPr>
                <w:rFonts w:ascii="Verdana" w:eastAsia="Aptos" w:hAnsi="Verdana" w:cs="Times New Roman"/>
                <w:lang w:eastAsia="es-MX"/>
              </w:rPr>
            </w:pPr>
            <w:r w:rsidRPr="00BC4F8B">
              <w:rPr>
                <w:rFonts w:ascii="Verdana" w:eastAsia="Calibri" w:hAnsi="Verdana" w:cs="Arial"/>
                <w:lang w:val="es-ES" w:eastAsia="es-ES"/>
              </w:rPr>
              <w:t xml:space="preserve">DOCUMENTOS TIPO DE INFRAESTRUCTURA SOCIAL – Generalidades / DOCUMENTOS TIPO DE INFRAESTRUCTURA SOCIAL – Aplicación – Matriz 1 – Determinación de la experiencia / </w:t>
            </w:r>
            <w:r w:rsidRPr="00BC4F8B">
              <w:rPr>
                <w:rFonts w:ascii="Verdana" w:eastAsia="Aptos" w:hAnsi="Verdana" w:cs="Times New Roman"/>
                <w:lang w:eastAsia="es-MX"/>
              </w:rPr>
              <w:t>DOCUMENTOS TIPO DE INFRAESTRUCTURA SOCIAL – Actividades de instalación – Equipos de enfriamiento – Sector salud</w:t>
            </w:r>
          </w:p>
          <w:p w14:paraId="6B44D289" w14:textId="77777777" w:rsidR="00BC4F8B" w:rsidRPr="00BC4F8B" w:rsidRDefault="00BC4F8B" w:rsidP="00BC4F8B">
            <w:pPr>
              <w:shd w:val="clear" w:color="auto" w:fill="FFFFFF"/>
              <w:spacing w:line="276" w:lineRule="auto"/>
              <w:contextualSpacing/>
              <w:jc w:val="both"/>
              <w:rPr>
                <w:rFonts w:ascii="Verdana" w:eastAsia="Calibri" w:hAnsi="Verdana" w:cs="Arial"/>
                <w:highlight w:val="yellow"/>
                <w:lang w:val="es-ES" w:eastAsia="es-ES"/>
              </w:rPr>
            </w:pPr>
          </w:p>
        </w:tc>
      </w:tr>
      <w:tr w:rsidR="00BC4F8B" w:rsidRPr="00BC4F8B" w14:paraId="16253A92" w14:textId="77777777" w:rsidTr="00C828F5">
        <w:tc>
          <w:tcPr>
            <w:tcW w:w="2689" w:type="dxa"/>
          </w:tcPr>
          <w:p w14:paraId="23AB8F97" w14:textId="77777777" w:rsidR="00BC4F8B" w:rsidRPr="00BC4F8B" w:rsidRDefault="00BC4F8B" w:rsidP="00BC4F8B">
            <w:pPr>
              <w:spacing w:line="240" w:lineRule="exact"/>
              <w:jc w:val="both"/>
              <w:rPr>
                <w:rFonts w:ascii="Verdana" w:eastAsia="Calibri" w:hAnsi="Verdana" w:cs="Arial"/>
                <w:b/>
                <w:lang w:eastAsia="es-ES_tradnl"/>
              </w:rPr>
            </w:pPr>
            <w:r w:rsidRPr="00BC4F8B">
              <w:rPr>
                <w:rFonts w:ascii="Verdana" w:eastAsia="Calibri" w:hAnsi="Verdana" w:cs="Arial"/>
                <w:b/>
                <w:lang w:eastAsia="es-ES_tradnl"/>
              </w:rPr>
              <w:t>Radicación:</w:t>
            </w:r>
            <w:r w:rsidRPr="00BC4F8B">
              <w:rPr>
                <w:rFonts w:ascii="Verdana" w:eastAsia="Calibri" w:hAnsi="Verdana" w:cs="Arial"/>
                <w:lang w:eastAsia="es-ES_tradnl"/>
              </w:rPr>
              <w:t xml:space="preserve">               </w:t>
            </w:r>
          </w:p>
        </w:tc>
        <w:tc>
          <w:tcPr>
            <w:tcW w:w="6100" w:type="dxa"/>
          </w:tcPr>
          <w:p w14:paraId="07B06BD3" w14:textId="77777777" w:rsidR="00BC4F8B" w:rsidRPr="00BC4F8B" w:rsidRDefault="00BC4F8B" w:rsidP="00BC4F8B">
            <w:pPr>
              <w:spacing w:line="240" w:lineRule="exact"/>
              <w:jc w:val="both"/>
              <w:rPr>
                <w:rFonts w:ascii="Verdana" w:eastAsia="Calibri" w:hAnsi="Verdana" w:cs="Arial"/>
                <w:lang w:eastAsia="es-ES_tradnl"/>
              </w:rPr>
            </w:pPr>
            <w:r w:rsidRPr="00BC4F8B">
              <w:rPr>
                <w:rFonts w:ascii="Verdana" w:eastAsia="Calibri" w:hAnsi="Verdana" w:cs="Arial"/>
                <w:lang w:eastAsia="es-ES_tradnl"/>
              </w:rPr>
              <w:t>Respuesta a consulta con radicado No. 1_2026_07_09_009159</w:t>
            </w:r>
          </w:p>
        </w:tc>
      </w:tr>
    </w:tbl>
    <w:p w14:paraId="2D44C05E" w14:textId="77777777" w:rsidR="00BC4F8B" w:rsidRPr="00BC4F8B" w:rsidRDefault="00BC4F8B" w:rsidP="00BC4F8B">
      <w:pPr>
        <w:spacing w:after="0" w:line="240" w:lineRule="auto"/>
        <w:jc w:val="both"/>
        <w:rPr>
          <w:rFonts w:ascii="Verdana" w:eastAsia="Calibri" w:hAnsi="Verdana" w:cs="Arial"/>
          <w:lang w:eastAsia="es-ES_tradnl"/>
        </w:rPr>
      </w:pPr>
    </w:p>
    <w:p w14:paraId="41949B02" w14:textId="77777777" w:rsidR="00BC4F8B" w:rsidRPr="00BC4F8B" w:rsidRDefault="00BC4F8B" w:rsidP="00BC4F8B">
      <w:pPr>
        <w:spacing w:after="0" w:line="240" w:lineRule="auto"/>
        <w:jc w:val="both"/>
        <w:rPr>
          <w:rFonts w:ascii="Verdana" w:eastAsia="Calibri" w:hAnsi="Verdana" w:cs="Arial"/>
          <w:lang w:eastAsia="es-ES_tradnl"/>
        </w:rPr>
      </w:pPr>
    </w:p>
    <w:p w14:paraId="7D0B72CA" w14:textId="77777777" w:rsidR="00BC4F8B" w:rsidRPr="00BC4F8B" w:rsidRDefault="00BC4F8B" w:rsidP="00BC4F8B">
      <w:pPr>
        <w:spacing w:after="0" w:line="276" w:lineRule="auto"/>
        <w:jc w:val="both"/>
        <w:rPr>
          <w:rFonts w:ascii="Verdana" w:eastAsia="Calibri" w:hAnsi="Verdana" w:cs="Arial"/>
          <w:lang w:val="es-ES" w:eastAsia="es-ES"/>
        </w:rPr>
      </w:pPr>
      <w:r w:rsidRPr="00BC4F8B">
        <w:rPr>
          <w:rFonts w:ascii="Verdana" w:eastAsia="Calibri" w:hAnsi="Verdana" w:cs="Arial"/>
          <w:lang w:val="es-ES" w:eastAsia="es-ES"/>
        </w:rPr>
        <w:t xml:space="preserve">Estimada señora Acosta Ceballos: </w:t>
      </w:r>
    </w:p>
    <w:p w14:paraId="3B3FB222" w14:textId="77777777" w:rsidR="00BC4F8B" w:rsidRPr="00BC4F8B" w:rsidRDefault="00BC4F8B" w:rsidP="00BC4F8B">
      <w:pPr>
        <w:tabs>
          <w:tab w:val="left" w:pos="3768"/>
        </w:tabs>
        <w:spacing w:after="0" w:line="276" w:lineRule="auto"/>
        <w:jc w:val="both"/>
        <w:rPr>
          <w:rFonts w:ascii="Verdana" w:eastAsia="Calibri" w:hAnsi="Verdana" w:cs="Arial"/>
          <w:lang w:val="es-ES" w:eastAsia="es-ES"/>
        </w:rPr>
      </w:pPr>
      <w:r w:rsidRPr="00BC4F8B">
        <w:rPr>
          <w:rFonts w:ascii="Verdana" w:eastAsia="Calibri" w:hAnsi="Verdana" w:cs="Arial"/>
          <w:lang w:val="es-ES" w:eastAsia="es-ES"/>
        </w:rPr>
        <w:tab/>
      </w:r>
    </w:p>
    <w:p w14:paraId="15A19AD8" w14:textId="77777777" w:rsidR="00BC4F8B" w:rsidRPr="00BC4F8B" w:rsidRDefault="00BC4F8B" w:rsidP="00BC4F8B">
      <w:pPr>
        <w:spacing w:after="0" w:line="276" w:lineRule="auto"/>
        <w:jc w:val="both"/>
        <w:rPr>
          <w:rFonts w:ascii="Verdana" w:eastAsia="Calibri" w:hAnsi="Verdana" w:cs="Arial"/>
          <w:lang w:val="es-ES" w:eastAsia="es-ES"/>
        </w:rPr>
      </w:pPr>
      <w:r w:rsidRPr="00BC4F8B">
        <w:rPr>
          <w:rFonts w:ascii="Verdana" w:eastAsia="Calibri" w:hAnsi="Verdana" w:cs="Arial"/>
          <w:lang w:val="es-ES" w:eastAsia="es-ES"/>
        </w:rPr>
        <w:t>En ejercicio de la competencia otorgada por los artículos 3, numeral 5º, y 11, numeral 8º, del Decreto Ley 4170 de 2011,</w:t>
      </w:r>
      <w:r w:rsidRPr="00BC4F8B">
        <w:rPr>
          <w:rFonts w:ascii="Verdana" w:eastAsia="Arial MT" w:hAnsi="Verdana" w:cs="Arial MT"/>
          <w:lang w:val="es-ES" w:eastAsia="es-ES"/>
        </w:rPr>
        <w:t xml:space="preserve"> </w:t>
      </w:r>
      <w:r w:rsidRPr="00BC4F8B">
        <w:rPr>
          <w:rFonts w:ascii="Verdana" w:eastAsia="Calibri" w:hAnsi="Verdana" w:cs="Arial"/>
          <w:lang w:eastAsia="es-MX"/>
        </w:rPr>
        <w:t xml:space="preserve">así como lo establecido en la </w:t>
      </w:r>
      <w:r w:rsidRPr="00BC4F8B">
        <w:rPr>
          <w:rFonts w:ascii="Verdana" w:eastAsia="Calibri" w:hAnsi="Verdana" w:cs="Arial"/>
          <w:kern w:val="2"/>
          <w:lang w:val="es-ES_tradnl" w:eastAsia="es-MX"/>
          <w14:ligatures w14:val="standardContextual"/>
        </w:rPr>
        <w:t xml:space="preserve">Resolución No. 469 de 2025 </w:t>
      </w:r>
      <w:r w:rsidRPr="00BC4F8B">
        <w:rPr>
          <w:rFonts w:ascii="Verdana" w:eastAsia="Calibri" w:hAnsi="Verdana" w:cs="Arial"/>
          <w:kern w:val="2"/>
          <w:lang w:val="es-ES"/>
          <w14:ligatures w14:val="standardContextual"/>
        </w:rPr>
        <w:t xml:space="preserve">expedida </w:t>
      </w:r>
      <w:r w:rsidRPr="00BC4F8B">
        <w:rPr>
          <w:rFonts w:ascii="Verdana" w:eastAsia="Calibri" w:hAnsi="Verdana" w:cs="Arial"/>
          <w:lang w:eastAsia="es-MX"/>
        </w:rPr>
        <w:t xml:space="preserve">por esta Entidad, </w:t>
      </w:r>
      <w:r w:rsidRPr="00BC4F8B">
        <w:rPr>
          <w:rFonts w:ascii="Verdana" w:eastAsia="Calibri" w:hAnsi="Verdana" w:cs="Arial"/>
          <w:lang w:val="es-ES" w:eastAsia="es-ES"/>
        </w:rPr>
        <w:t>la Agencia Nacional de Contratación Pública – Colombia Compra Eficiente responde su solicitud de consulta de fecha 9 de julio de 2026, en la que manifiesta lo siguiente:</w:t>
      </w:r>
    </w:p>
    <w:p w14:paraId="73BE17CC" w14:textId="77777777" w:rsidR="00BC4F8B" w:rsidRPr="00BC4F8B" w:rsidRDefault="00BC4F8B" w:rsidP="00BC4F8B">
      <w:pPr>
        <w:spacing w:after="0" w:line="276" w:lineRule="auto"/>
        <w:jc w:val="both"/>
        <w:rPr>
          <w:rFonts w:ascii="Verdana" w:eastAsia="Calibri" w:hAnsi="Verdana" w:cs="Arial"/>
          <w:lang w:val="es-ES" w:eastAsia="es-ES"/>
        </w:rPr>
      </w:pPr>
    </w:p>
    <w:p w14:paraId="5EA3EA50"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w:t>
      </w:r>
      <w:r w:rsidRPr="00BC4F8B">
        <w:rPr>
          <w:rFonts w:ascii="Aptos" w:eastAsia="Aptos" w:hAnsi="Aptos" w:cs="Times New Roman"/>
          <w:kern w:val="2"/>
          <w:sz w:val="24"/>
          <w:szCs w:val="24"/>
          <w:lang w:val="es-ES_tradnl"/>
          <w14:ligatures w14:val="standardContextual"/>
        </w:rPr>
        <w:t xml:space="preserve">[…] </w:t>
      </w:r>
      <w:r w:rsidRPr="00BC4F8B">
        <w:rPr>
          <w:rFonts w:ascii="Verdana" w:eastAsia="Calibri" w:hAnsi="Verdana" w:cs="Arial"/>
          <w:sz w:val="21"/>
          <w:szCs w:val="21"/>
          <w:lang w:val="es-ES" w:eastAsia="es-ES"/>
        </w:rPr>
        <w:t>Una entidad territorial del orden departamental requiere adquirir e instalar un equipo de enfriamiento de ambiente para un laboratorio de salud pública departamental, de conformidad con las siguientes especificaciones técnicas:</w:t>
      </w:r>
    </w:p>
    <w:p w14:paraId="5160ECFB"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w:t>
      </w:r>
    </w:p>
    <w:p w14:paraId="0E7044EF"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lastRenderedPageBreak/>
        <w:t xml:space="preserve">Según el análisis de sector, el valor total estimado del proyecto asciende a $12,175,937,151 (Doce mil ciento setenta y cinco millones novecientos treinta y siete mil ciento cincuenta y un pesos). </w:t>
      </w:r>
    </w:p>
    <w:p w14:paraId="04113FF2"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p>
    <w:p w14:paraId="24CEE675"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 De dicho valor total, el componente de obra civil asociado a la instalación del equipo se estima en $5,627,067,551 (Cinco mil seiscientos veintisiete millones sesenta y siete mil quinientos cincuenta y un pesos).</w:t>
      </w:r>
    </w:p>
    <w:p w14:paraId="306BCB2E"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p>
    <w:p w14:paraId="325E71CA"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 La obra civil consiste únicamente en obra de soporte para el equipo - cimentación, redes eléctricas e hidráulicas y obra exterior, sin que el proyecto comprenda construcción, ampliación o remodelación de la edificación del laboratorio.</w:t>
      </w:r>
    </w:p>
    <w:p w14:paraId="6C401032"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p>
    <w:p w14:paraId="70BA48BE"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 La entidad cuenta con el Análisis del Sector correspondiente, en el cual se verificaron las condiciones de mercado tanto para el componente de obra civil como para el suministro e instalación del equipo especializado.</w:t>
      </w:r>
    </w:p>
    <w:p w14:paraId="3585A785"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p>
    <w:p w14:paraId="637874F4"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 La entidad se encuentra sometida al Estatuto General de Contratación de la Administración Pública y, en principio, a la aplicación obligatoria de documentos tipo cuando su objeto contractual se enmarque en el ámbito de aplicación de estos.</w:t>
      </w:r>
    </w:p>
    <w:p w14:paraId="1F2B941A"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w:t>
      </w:r>
    </w:p>
    <w:p w14:paraId="65DD6CA7" w14:textId="77777777" w:rsidR="00BC4F8B" w:rsidRPr="00BC4F8B" w:rsidRDefault="00BC4F8B" w:rsidP="00BC4F8B">
      <w:pPr>
        <w:spacing w:after="0" w:line="240" w:lineRule="auto"/>
        <w:ind w:left="709" w:right="709"/>
        <w:jc w:val="both"/>
        <w:rPr>
          <w:rFonts w:ascii="Verdana" w:eastAsia="Calibri" w:hAnsi="Verdana" w:cs="Arial"/>
          <w:b/>
          <w:bCs/>
          <w:sz w:val="21"/>
          <w:szCs w:val="21"/>
          <w:lang w:val="es-ES" w:eastAsia="es-ES"/>
        </w:rPr>
      </w:pPr>
      <w:r w:rsidRPr="00BC4F8B">
        <w:rPr>
          <w:rFonts w:ascii="Verdana" w:eastAsia="Calibri" w:hAnsi="Verdana" w:cs="Arial"/>
          <w:b/>
          <w:bCs/>
          <w:sz w:val="21"/>
          <w:szCs w:val="21"/>
          <w:lang w:val="es-ES" w:eastAsia="es-ES"/>
        </w:rPr>
        <w:t>III. Preguntas concretas</w:t>
      </w:r>
    </w:p>
    <w:p w14:paraId="7A9E403F"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p>
    <w:p w14:paraId="24139B36"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 xml:space="preserve">1- La obra civil de soporte (cimentación, redes eléctricas e hidráulicas y obra exterior) necesaria para instalar un equipo de enfriamiento especializado en un laboratorio de salud pública, ¿sin que medie construcción, ampliación o remodelación de edificación? </w:t>
      </w:r>
      <w:proofErr w:type="gramStart"/>
      <w:r w:rsidRPr="00BC4F8B">
        <w:rPr>
          <w:rFonts w:ascii="Verdana" w:eastAsia="Calibri" w:hAnsi="Verdana" w:cs="Arial"/>
          <w:sz w:val="21"/>
          <w:szCs w:val="21"/>
          <w:lang w:val="es-ES" w:eastAsia="es-ES"/>
        </w:rPr>
        <w:t>se enmarca dentro de</w:t>
      </w:r>
      <w:proofErr w:type="gramEnd"/>
      <w:r w:rsidRPr="00BC4F8B">
        <w:rPr>
          <w:rFonts w:ascii="Verdana" w:eastAsia="Calibri" w:hAnsi="Verdana" w:cs="Arial"/>
          <w:sz w:val="21"/>
          <w:szCs w:val="21"/>
          <w:lang w:val="es-ES" w:eastAsia="es-ES"/>
        </w:rPr>
        <w:t xml:space="preserve"> alguna de las actividades tipificadas en la Matriz 1 - Experiencia Sector Salud vigente, ¿de manera que resulte obligatoria la aplicación de los documentos tipo de infraestructura social - sector salud?</w:t>
      </w:r>
    </w:p>
    <w:p w14:paraId="1F3636DE"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p>
    <w:p w14:paraId="7DE3AABA"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2- En caso de que dicha obra civil de soporte NO se encuentre tipificada en la Matriz de Experiencia Sector Salud vigente? ¿puede la entidad estructurar el proceso como una licitación pública ordinaria - sin documentos tipo exigiendo de forma conjunta experiencia en obra civil y en suministro e instalación de equipos de enfriamiento especializados, sin que ello constituya una alusión indebida de los documentos tipo?</w:t>
      </w:r>
    </w:p>
    <w:p w14:paraId="221997BC"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p>
    <w:p w14:paraId="4ADECC01"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lastRenderedPageBreak/>
        <w:t xml:space="preserve">3- En caso de que SI resulte aplicable el documento tipo de infraestructura social - sector salud? es procedente incluir el requisito de experiencia en suministro e instalación de equipos de enfriamiento especializados como experiencia adicional en los términos del artículo 4 de la Resolución 219 de 2021 (o la norma que lo modifique, adicione o sustituya) y del artículo 2.2.1.2.6.1.5 del Decreto 1082 de 2015? ¿En particular? </w:t>
      </w:r>
      <w:proofErr w:type="gramStart"/>
      <w:r w:rsidRPr="00BC4F8B">
        <w:rPr>
          <w:rFonts w:ascii="Verdana" w:eastAsia="Calibri" w:hAnsi="Verdana" w:cs="Arial"/>
          <w:sz w:val="21"/>
          <w:szCs w:val="21"/>
          <w:lang w:val="es-ES" w:eastAsia="es-ES"/>
        </w:rPr>
        <w:t>incide en dicho análisis el hecho de que el valor del componente de suministro del equipo ($6,548,869,600 aproximadamente) sea igual o superior al del componente de obra civil ($5,627,067,551 aproximadamente), para efectos de determinar cuál de los dos componentes debe entenderse como principal y cual como accesorio del objeto contractual?</w:t>
      </w:r>
      <w:proofErr w:type="gramEnd"/>
    </w:p>
    <w:p w14:paraId="604531DB"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p>
    <w:p w14:paraId="59968330"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r w:rsidRPr="00BC4F8B">
        <w:rPr>
          <w:rFonts w:ascii="Verdana" w:eastAsia="Calibri" w:hAnsi="Verdana" w:cs="Arial"/>
          <w:sz w:val="21"/>
          <w:szCs w:val="21"/>
          <w:lang w:val="es-ES" w:eastAsia="es-ES"/>
        </w:rPr>
        <w:t>4- Cuales son los criterios objetivos mínimos que la entidad debe observar para acreditar en los estudios previos la verificación de las condiciones de mercado exigida por el numeral 1 del artículo 4 de la Resolución 219 de 2021 (artículo 2.2.1.2.6.1.5 del Decreto 1082 de 2015), tratándose de un mercado de proveedores especializados en equipos de enfriamiento para laboratorios de salud pública?</w:t>
      </w:r>
    </w:p>
    <w:p w14:paraId="7E33A01A" w14:textId="77777777" w:rsidR="00BC4F8B" w:rsidRPr="00BC4F8B" w:rsidRDefault="00BC4F8B" w:rsidP="00BC4F8B">
      <w:pPr>
        <w:spacing w:after="0" w:line="240" w:lineRule="auto"/>
        <w:ind w:left="709" w:right="709"/>
        <w:jc w:val="both"/>
        <w:rPr>
          <w:rFonts w:ascii="Verdana" w:eastAsia="Calibri" w:hAnsi="Verdana" w:cs="Arial"/>
          <w:sz w:val="21"/>
          <w:szCs w:val="21"/>
          <w:lang w:val="es-ES" w:eastAsia="es-ES"/>
        </w:rPr>
      </w:pPr>
    </w:p>
    <w:p w14:paraId="1D91F338" w14:textId="77777777" w:rsidR="00BC4F8B" w:rsidRPr="00BC4F8B" w:rsidRDefault="00BC4F8B" w:rsidP="00BC4F8B">
      <w:pPr>
        <w:spacing w:after="0" w:line="240" w:lineRule="auto"/>
        <w:ind w:left="709" w:right="709"/>
        <w:jc w:val="both"/>
        <w:rPr>
          <w:rFonts w:ascii="Aptos" w:eastAsia="Aptos" w:hAnsi="Aptos" w:cs="Times New Roman"/>
          <w:kern w:val="2"/>
          <w:sz w:val="24"/>
          <w:szCs w:val="24"/>
          <w:lang w:val="es-ES_tradnl"/>
          <w14:ligatures w14:val="standardContextual"/>
        </w:rPr>
      </w:pPr>
      <w:r w:rsidRPr="00BC4F8B">
        <w:rPr>
          <w:rFonts w:ascii="Verdana" w:eastAsia="Calibri" w:hAnsi="Verdana" w:cs="Arial"/>
          <w:sz w:val="21"/>
          <w:szCs w:val="21"/>
          <w:lang w:val="es-ES" w:eastAsia="es-ES"/>
        </w:rPr>
        <w:t xml:space="preserve">5- ¿Es jurídicamente viable fraccionar el objeto en dos procesos de selección independientes - uno de obra pública con documentos tipo y otro de suministro e instalación del equipo -, o dicha separación podría configurar una indebida planeación contractual </w:t>
      </w:r>
      <w:proofErr w:type="gramStart"/>
      <w:r w:rsidRPr="00BC4F8B">
        <w:rPr>
          <w:rFonts w:ascii="Verdana" w:eastAsia="Calibri" w:hAnsi="Verdana" w:cs="Arial"/>
          <w:sz w:val="21"/>
          <w:szCs w:val="21"/>
          <w:lang w:val="es-ES" w:eastAsia="es-ES"/>
        </w:rPr>
        <w:t>en razón de</w:t>
      </w:r>
      <w:proofErr w:type="gramEnd"/>
      <w:r w:rsidRPr="00BC4F8B">
        <w:rPr>
          <w:rFonts w:ascii="Verdana" w:eastAsia="Calibri" w:hAnsi="Verdana" w:cs="Arial"/>
          <w:sz w:val="21"/>
          <w:szCs w:val="21"/>
          <w:lang w:val="es-ES" w:eastAsia="es-ES"/>
        </w:rPr>
        <w:t xml:space="preserve"> la interdependencia técnica entre ambos componentes?”</w:t>
      </w:r>
    </w:p>
    <w:p w14:paraId="032C62DF" w14:textId="77777777" w:rsidR="00BC4F8B" w:rsidRPr="00BC4F8B" w:rsidRDefault="00BC4F8B" w:rsidP="00BC4F8B">
      <w:pPr>
        <w:spacing w:after="0" w:line="276" w:lineRule="auto"/>
        <w:ind w:left="709" w:right="709"/>
        <w:jc w:val="both"/>
        <w:rPr>
          <w:rFonts w:ascii="Verdana" w:eastAsia="Calibri" w:hAnsi="Verdana" w:cs="Arial"/>
          <w:lang w:val="es-ES" w:eastAsia="es-ES"/>
        </w:rPr>
      </w:pPr>
    </w:p>
    <w:p w14:paraId="58D9A8FA" w14:textId="77777777" w:rsidR="00BC4F8B" w:rsidRPr="00BC4F8B" w:rsidRDefault="00BC4F8B" w:rsidP="00BC4F8B">
      <w:pPr>
        <w:spacing w:after="120" w:line="276" w:lineRule="auto"/>
        <w:ind w:firstLine="709"/>
        <w:jc w:val="both"/>
        <w:rPr>
          <w:rFonts w:ascii="Verdana" w:eastAsia="Calibri" w:hAnsi="Verdana" w:cs="Arial"/>
          <w:szCs w:val="24"/>
          <w:lang w:eastAsia="es-ES_tradnl"/>
        </w:rPr>
      </w:pPr>
      <w:r w:rsidRPr="00BC4F8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4F8B">
        <w:rPr>
          <w:rFonts w:ascii="Verdana" w:eastAsia="Calibri" w:hAnsi="Verdana" w:cs="Arial"/>
          <w:szCs w:val="24"/>
          <w:lang w:eastAsia="es-ES_tradnl"/>
        </w:rPr>
        <w:tab/>
      </w:r>
    </w:p>
    <w:p w14:paraId="31345FDB" w14:textId="77777777" w:rsidR="00BC4F8B" w:rsidRPr="00BC4F8B" w:rsidRDefault="00BC4F8B" w:rsidP="00BC4F8B">
      <w:pPr>
        <w:spacing w:after="0" w:line="276" w:lineRule="auto"/>
        <w:ind w:firstLine="709"/>
        <w:jc w:val="both"/>
        <w:rPr>
          <w:rFonts w:ascii="Verdana" w:eastAsia="Calibri" w:hAnsi="Verdana" w:cs="Arial"/>
          <w:lang w:val="es-ES" w:eastAsia="es-ES"/>
        </w:rPr>
      </w:pPr>
      <w:r w:rsidRPr="00BC4F8B">
        <w:rPr>
          <w:rFonts w:ascii="Verdana" w:eastAsia="Calibri" w:hAnsi="Verdana" w:cs="Arial"/>
          <w:lang w:val="es-ES" w:eastAsia="es-ES"/>
        </w:rPr>
        <w:t xml:space="preserve">Conforme a lo expuesto, en aras de satisfacer el derecho fundamental de petición se resolverá su consulta dentro de los límites de la referida competencia </w:t>
      </w:r>
      <w:r w:rsidRPr="00BC4F8B">
        <w:rPr>
          <w:rFonts w:ascii="Verdana" w:eastAsia="Calibri" w:hAnsi="Verdana" w:cs="Arial"/>
          <w:lang w:val="es-ES" w:eastAsia="es-ES"/>
        </w:rPr>
        <w:lastRenderedPageBreak/>
        <w:t>consultiva, esto es, haciendo abstracción de las circunstancias particulares y concretas mencionadas en su petición, pero haciendo unas consideraciones sobre las normas generales relacionadas con el problema jurídico de su consulta.</w:t>
      </w:r>
      <w:r w:rsidRPr="00BC4F8B">
        <w:rPr>
          <w:rFonts w:ascii="Verdana" w:eastAsia="Calibri" w:hAnsi="Verdana" w:cs="Arial"/>
          <w:lang w:val="es-ES" w:eastAsia="es-ES"/>
        </w:rPr>
        <w:tab/>
      </w:r>
    </w:p>
    <w:p w14:paraId="414E27A8" w14:textId="77777777" w:rsidR="00BC4F8B" w:rsidRPr="00BC4F8B" w:rsidRDefault="00BC4F8B" w:rsidP="00BC4F8B">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eastAsia="es-MX"/>
        </w:rPr>
      </w:pPr>
      <w:r w:rsidRPr="00BC4F8B">
        <w:rPr>
          <w:rFonts w:ascii="Verdana" w:eastAsia="Century Gothic" w:hAnsi="Verdana" w:cs="Century Gothic"/>
          <w:b/>
          <w:bCs/>
          <w:lang w:val="es-ES" w:eastAsia="es-MX"/>
        </w:rPr>
        <w:t>Problema planteado:</w:t>
      </w:r>
    </w:p>
    <w:p w14:paraId="6E541C5D" w14:textId="77777777" w:rsidR="00BC4F8B" w:rsidRPr="00BC4F8B" w:rsidRDefault="00BC4F8B" w:rsidP="00BC4F8B">
      <w:pPr>
        <w:tabs>
          <w:tab w:val="left" w:pos="426"/>
        </w:tabs>
        <w:spacing w:after="0" w:line="276" w:lineRule="auto"/>
        <w:jc w:val="both"/>
        <w:rPr>
          <w:rFonts w:ascii="Verdana" w:eastAsia="Century Gothic" w:hAnsi="Verdana" w:cs="Century Gothic"/>
          <w:lang w:val="es-ES" w:eastAsia="es-MX"/>
        </w:rPr>
      </w:pPr>
    </w:p>
    <w:p w14:paraId="2BD10ECD" w14:textId="69A0B6F2" w:rsidR="00BC4F8B" w:rsidRPr="00BC4F8B" w:rsidRDefault="00BC4F8B" w:rsidP="00BC4F8B">
      <w:pPr>
        <w:snapToGrid w:val="0"/>
        <w:spacing w:after="0" w:line="276" w:lineRule="auto"/>
        <w:jc w:val="both"/>
        <w:rPr>
          <w:rFonts w:ascii="Verdana" w:eastAsia="Century Gothic" w:hAnsi="Verdana" w:cs="Century Gothic"/>
          <w:lang w:eastAsia="es-MX"/>
        </w:rPr>
      </w:pPr>
      <w:r w:rsidRPr="00BC4F8B">
        <w:rPr>
          <w:rFonts w:ascii="Verdana" w:eastAsia="Century Gothic" w:hAnsi="Verdana" w:cs="Century Gothic"/>
          <w:lang w:eastAsia="es-MX"/>
        </w:rPr>
        <w:t>De acuerdo con el contenido de su solicitud, esta Agencia resolverá el siguiente problema jurídico: ¿</w:t>
      </w:r>
      <w:r w:rsidR="5ED8B6EB" w:rsidRPr="00BC4F8B">
        <w:rPr>
          <w:rFonts w:ascii="Verdana" w:eastAsia="Century Gothic" w:hAnsi="Verdana" w:cs="Century Gothic"/>
          <w:lang w:eastAsia="es-MX"/>
        </w:rPr>
        <w:t>C</w:t>
      </w:r>
      <w:r w:rsidRPr="00BC4F8B">
        <w:rPr>
          <w:rFonts w:ascii="Verdana" w:eastAsia="Century Gothic" w:hAnsi="Verdana" w:cs="Century Gothic"/>
          <w:lang w:eastAsia="es-MX"/>
        </w:rPr>
        <w:t>uál es el alcance de la experiencia en lo que respecta a la instalación de</w:t>
      </w:r>
      <w:r w:rsidRPr="0E67A1DE">
        <w:rPr>
          <w:rFonts w:ascii="Aptos" w:eastAsia="Aptos" w:hAnsi="Aptos" w:cs="Times New Roman"/>
          <w:kern w:val="2"/>
          <w:sz w:val="24"/>
          <w:szCs w:val="24"/>
          <w:lang w:val="es-ES"/>
          <w14:ligatures w14:val="standardContextual"/>
        </w:rPr>
        <w:t xml:space="preserve"> </w:t>
      </w:r>
      <w:r w:rsidRPr="00BC4F8B">
        <w:rPr>
          <w:rFonts w:ascii="Verdana" w:eastAsia="Century Gothic" w:hAnsi="Verdana" w:cs="Century Gothic"/>
          <w:lang w:eastAsia="es-MX"/>
        </w:rPr>
        <w:t>un equipo de enfriamiento de ambiente para un laboratorio de salud pública departamental, de conformidad con los documentos tipo?</w:t>
      </w:r>
    </w:p>
    <w:p w14:paraId="0E31A16C" w14:textId="77777777" w:rsidR="00BC4F8B" w:rsidRPr="00BC4F8B" w:rsidRDefault="00BC4F8B" w:rsidP="00BC4F8B">
      <w:pPr>
        <w:snapToGrid w:val="0"/>
        <w:spacing w:after="0" w:line="276" w:lineRule="auto"/>
        <w:jc w:val="both"/>
        <w:rPr>
          <w:rFonts w:ascii="Verdana" w:eastAsia="Calibri" w:hAnsi="Verdana" w:cs="Arial"/>
          <w:lang w:val="es-ES" w:eastAsia="es-MX"/>
        </w:rPr>
      </w:pPr>
    </w:p>
    <w:p w14:paraId="210A62A2" w14:textId="77777777" w:rsidR="00BC4F8B" w:rsidRPr="00BC4F8B" w:rsidRDefault="00BC4F8B" w:rsidP="00BC4F8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BC4F8B">
        <w:rPr>
          <w:rFonts w:ascii="Verdana" w:eastAsia="Century Gothic" w:hAnsi="Verdana" w:cs="Century Gothic"/>
          <w:b/>
          <w:bCs/>
          <w:lang w:val="es-ES" w:eastAsia="es-MX"/>
        </w:rPr>
        <w:t>Respuesta:</w:t>
      </w:r>
    </w:p>
    <w:p w14:paraId="2676B5BF" w14:textId="77777777" w:rsidR="00BC4F8B" w:rsidRPr="00BC4F8B" w:rsidRDefault="00BC4F8B" w:rsidP="00BC4F8B">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C4F8B" w:rsidRPr="00BC4F8B" w14:paraId="73682A8C" w14:textId="77777777" w:rsidTr="00C828F5">
        <w:tc>
          <w:tcPr>
            <w:tcW w:w="8828" w:type="dxa"/>
          </w:tcPr>
          <w:p w14:paraId="33273282" w14:textId="77777777" w:rsidR="00BC4F8B" w:rsidRPr="00BC4F8B" w:rsidRDefault="00BC4F8B" w:rsidP="00BC4F8B">
            <w:pPr>
              <w:snapToGrid w:val="0"/>
              <w:spacing w:line="276" w:lineRule="auto"/>
              <w:jc w:val="both"/>
              <w:rPr>
                <w:rFonts w:ascii="Verdana" w:eastAsia="Aptos" w:hAnsi="Verdana" w:cs="Times New Roman"/>
              </w:rPr>
            </w:pPr>
            <w:r w:rsidRPr="00BC4F8B">
              <w:rPr>
                <w:rFonts w:ascii="Verdana" w:eastAsia="Aptos" w:hAnsi="Verdana" w:cs="Times New Roman"/>
              </w:rPr>
              <w:t xml:space="preserve">Teniendo en cuenta la Matriz 1 – Experiencia – Sector Salud de los documentos tipo de infraestructura social, según su primera consulta relacionada con la contratación de obra civil valorada en $5,627,067,551 aproximadamente que representa el 46% del POE y relacionada con soporte, cimentación, redes eléctricas e hidráulicas y obra exterior que es necesaria para instalar un equipo de enfriamiento especializado en un laboratorio de salud pública, conviene señalar que esta se podría enmarcar en las siguientes actividades de la Matriz 1: </w:t>
            </w:r>
          </w:p>
          <w:p w14:paraId="01C98211" w14:textId="77777777" w:rsidR="00BC4F8B" w:rsidRPr="00BC4F8B" w:rsidRDefault="00BC4F8B" w:rsidP="00BC4F8B">
            <w:pPr>
              <w:snapToGrid w:val="0"/>
              <w:spacing w:line="276" w:lineRule="auto"/>
              <w:ind w:firstLine="709"/>
              <w:jc w:val="both"/>
              <w:rPr>
                <w:rFonts w:ascii="Verdana" w:eastAsia="Aptos" w:hAnsi="Verdana" w:cs="Times New Roman"/>
              </w:rPr>
            </w:pPr>
          </w:p>
          <w:p w14:paraId="2A8F7BAD" w14:textId="77777777" w:rsidR="00BC4F8B" w:rsidRPr="00BC4F8B" w:rsidRDefault="00BC4F8B" w:rsidP="00BC4F8B">
            <w:pPr>
              <w:ind w:left="708" w:right="616"/>
              <w:jc w:val="both"/>
              <w:rPr>
                <w:rFonts w:ascii="Verdana" w:eastAsia="Aptos" w:hAnsi="Verdana" w:cs="Times New Roman"/>
                <w:i/>
                <w:iCs/>
                <w:sz w:val="21"/>
                <w:szCs w:val="21"/>
              </w:rPr>
            </w:pPr>
            <w:r w:rsidRPr="00BC4F8B">
              <w:rPr>
                <w:rFonts w:ascii="Verdana" w:eastAsia="Aptos" w:hAnsi="Verdana" w:cs="Times New Roman"/>
                <w:i/>
                <w:iCs/>
                <w:sz w:val="21"/>
                <w:szCs w:val="21"/>
              </w:rPr>
              <w:t>1.2. proyectos de adecuación y/o conservación y/o intervención y/o instalación y/o mantenimiento y/o mejoramiento y/o modificación u optimización y/o rehabilitación y/o remodelación y/o reposición y/o reparación locativa y/o restauración y/o restitución y/o terminación de edificaciones y/o lugares de atención en salud</w:t>
            </w:r>
          </w:p>
          <w:p w14:paraId="5D8869D9" w14:textId="77777777" w:rsidR="00BC4F8B" w:rsidRPr="00BC4F8B" w:rsidRDefault="00BC4F8B" w:rsidP="00BC4F8B">
            <w:pPr>
              <w:ind w:left="708" w:right="616"/>
              <w:jc w:val="both"/>
              <w:rPr>
                <w:rFonts w:ascii="Verdana" w:eastAsia="Aptos" w:hAnsi="Verdana" w:cs="Times New Roman"/>
                <w:i/>
                <w:iCs/>
                <w:sz w:val="21"/>
                <w:szCs w:val="21"/>
              </w:rPr>
            </w:pPr>
            <w:r w:rsidRPr="00BC4F8B">
              <w:rPr>
                <w:rFonts w:ascii="Verdana" w:eastAsia="Aptos" w:hAnsi="Verdana" w:cs="Times New Roman"/>
                <w:i/>
                <w:iCs/>
                <w:sz w:val="21"/>
                <w:szCs w:val="21"/>
              </w:rPr>
              <w:t xml:space="preserve">1.5.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edificaciones y/o lugares de atención en salud </w:t>
            </w:r>
          </w:p>
          <w:p w14:paraId="55519E0B" w14:textId="77777777" w:rsidR="00BC4F8B" w:rsidRPr="00BC4F8B" w:rsidRDefault="00BC4F8B" w:rsidP="00BC4F8B">
            <w:pPr>
              <w:ind w:left="708" w:right="616"/>
              <w:jc w:val="both"/>
              <w:rPr>
                <w:rFonts w:ascii="Verdana" w:eastAsia="Aptos" w:hAnsi="Verdana" w:cs="Times New Roman"/>
                <w:i/>
                <w:iCs/>
                <w:sz w:val="21"/>
                <w:szCs w:val="21"/>
              </w:rPr>
            </w:pPr>
            <w:r w:rsidRPr="00BC4F8B">
              <w:rPr>
                <w:rFonts w:ascii="Verdana" w:eastAsia="Aptos" w:hAnsi="Verdana" w:cs="Times New Roman"/>
                <w:i/>
                <w:iCs/>
                <w:sz w:val="21"/>
                <w:szCs w:val="21"/>
              </w:rPr>
              <w:t xml:space="preserve">1.9. proyectos de construcción y/o ampliación y/o reconstrucción y/o adecuación y/o conservación y/o intervención y/o instalación y/o mantenimiento y/o mejoramiento y/o modificación u optimización y/o rehabilitación y/o remodelación y/o reposición y/o reparación locativa </w:t>
            </w:r>
            <w:r w:rsidRPr="00BC4F8B">
              <w:rPr>
                <w:rFonts w:ascii="Verdana" w:eastAsia="Aptos" w:hAnsi="Verdana" w:cs="Times New Roman"/>
                <w:i/>
                <w:iCs/>
                <w:sz w:val="21"/>
                <w:szCs w:val="21"/>
              </w:rPr>
              <w:lastRenderedPageBreak/>
              <w:t>y/o restauración y/o restitución y/o terminación de redes eléctricas y/o circuitos cerrados de tv y/o sistemas de seguridad y/o redes de voz y datos y/o plantas eléctricas y/o subestaciones y/o redes de telemática y/o comunicación y/o sonido y/o telefonía y/o redes o sistemas de iluminación o luminarias interiores o exteriores de infraestructura de edificaciones y/o lugares de atención en salud</w:t>
            </w:r>
          </w:p>
          <w:p w14:paraId="372901A2" w14:textId="77777777" w:rsidR="00BC4F8B" w:rsidRPr="00BC4F8B" w:rsidRDefault="00BC4F8B" w:rsidP="00BC4F8B">
            <w:pPr>
              <w:snapToGrid w:val="0"/>
              <w:spacing w:line="276" w:lineRule="auto"/>
              <w:jc w:val="both"/>
              <w:rPr>
                <w:rFonts w:ascii="Verdana" w:eastAsia="Aptos" w:hAnsi="Verdana" w:cs="Times New Roman"/>
                <w:i/>
                <w:iCs/>
                <w:sz w:val="21"/>
                <w:szCs w:val="21"/>
                <w:lang w:val="es-MX"/>
              </w:rPr>
            </w:pPr>
          </w:p>
          <w:p w14:paraId="3B30846F" w14:textId="77777777" w:rsidR="00BC4F8B" w:rsidRPr="00BC4F8B" w:rsidRDefault="00BC4F8B" w:rsidP="00BC4F8B">
            <w:pPr>
              <w:snapToGrid w:val="0"/>
              <w:spacing w:after="120" w:line="276" w:lineRule="auto"/>
              <w:ind w:firstLine="709"/>
              <w:jc w:val="both"/>
              <w:rPr>
                <w:rFonts w:ascii="Verdana" w:eastAsia="Aptos" w:hAnsi="Verdana" w:cs="Times New Roman"/>
                <w:i/>
                <w:iCs/>
                <w:sz w:val="21"/>
                <w:szCs w:val="21"/>
              </w:rPr>
            </w:pPr>
            <w:r w:rsidRPr="00BC4F8B">
              <w:rPr>
                <w:rFonts w:ascii="Verdana" w:eastAsia="Aptos" w:hAnsi="Verdana" w:cs="Times New Roman"/>
              </w:rPr>
              <w:t>En relación con la segunda consulta, y teniendo en cuenta que la entidad debería revisar la Matriz de Experiencia del sector salud para validar que el objeto de su proceso se enmarque en alguna de las actividades, se ha propuesto para la parte correspondiente a la obra civil que sí se encontraría “tipificada” dentro de esta Matriz, a saber, en las actividades 1.2, 1.5 o 1.9, entre otras. Aquí, le correspondería a la Entidad la implementación del Documento Tipo del Sector Social para la modalidad de licitación de obra pública, y con respecto a exigir de forma conjunta experiencia en suministro e instalación de equipos de enfriamiento especializados, la entidad también podría optar por la combinación de experiencia descrita dentro del artículo 5 de la Resolución 539 de 2025.</w:t>
            </w:r>
          </w:p>
          <w:p w14:paraId="4F557555" w14:textId="77777777" w:rsidR="00BC4F8B" w:rsidRPr="00BC4F8B" w:rsidRDefault="00BC4F8B" w:rsidP="00BC4F8B">
            <w:pPr>
              <w:spacing w:line="276" w:lineRule="auto"/>
              <w:ind w:firstLine="709"/>
              <w:jc w:val="both"/>
              <w:rPr>
                <w:rFonts w:ascii="Verdana" w:eastAsia="Aptos" w:hAnsi="Verdana" w:cs="Times New Roman"/>
              </w:rPr>
            </w:pPr>
            <w:r w:rsidRPr="00BC4F8B">
              <w:rPr>
                <w:rFonts w:ascii="Verdana" w:eastAsia="Aptos" w:hAnsi="Verdana" w:cs="Times New Roman"/>
              </w:rPr>
              <w:t>Lo anterior, solicitando experiencia también en suministro y/o instalación de equipos especiales, de conformidad con la actividad 1.14 de la matriz de experiencia del sector salud:</w:t>
            </w:r>
          </w:p>
          <w:p w14:paraId="1C832402" w14:textId="77777777" w:rsidR="00BC4F8B" w:rsidRPr="00BC4F8B" w:rsidRDefault="00BC4F8B" w:rsidP="00BC4F8B">
            <w:pPr>
              <w:spacing w:line="276" w:lineRule="auto"/>
              <w:ind w:firstLine="709"/>
              <w:jc w:val="both"/>
              <w:rPr>
                <w:rFonts w:ascii="Verdana" w:eastAsia="Aptos" w:hAnsi="Verdana" w:cs="Times New Roman"/>
              </w:rPr>
            </w:pPr>
            <w:r w:rsidRPr="00BC4F8B">
              <w:rPr>
                <w:rFonts w:ascii="Verdana" w:eastAsia="Aptos" w:hAnsi="Verdana" w:cs="Times New Roman"/>
              </w:rPr>
              <w:t xml:space="preserve"> </w:t>
            </w:r>
          </w:p>
          <w:p w14:paraId="6E092A4E" w14:textId="77777777" w:rsidR="00BC4F8B" w:rsidRPr="00BC4F8B" w:rsidRDefault="00BC4F8B" w:rsidP="00BC4F8B">
            <w:pPr>
              <w:ind w:left="709" w:right="709"/>
              <w:jc w:val="both"/>
              <w:rPr>
                <w:rFonts w:ascii="Verdana" w:eastAsia="Aptos" w:hAnsi="Verdana" w:cs="Times New Roman"/>
                <w:i/>
                <w:iCs/>
                <w:sz w:val="21"/>
                <w:szCs w:val="21"/>
              </w:rPr>
            </w:pPr>
            <w:r w:rsidRPr="00BC4F8B">
              <w:rPr>
                <w:rFonts w:ascii="Verdana" w:eastAsia="Aptos" w:hAnsi="Verdana" w:cs="Times New Roman"/>
                <w:i/>
                <w:iCs/>
                <w:sz w:val="21"/>
                <w:szCs w:val="21"/>
              </w:rPr>
              <w:t>1.14. suministro y/o instalación de equipos especiales y/o electromecánicos y/o electrónicos y/o maquinaria u otros tipos de equipos para edificaciones y/o lugares de atención en salud y/o incapacidad y/o prestación de salud y/o cuidado de adulto mayor</w:t>
            </w:r>
          </w:p>
          <w:p w14:paraId="70A8DA69" w14:textId="77777777" w:rsidR="00BC4F8B" w:rsidRPr="00BC4F8B" w:rsidRDefault="00BC4F8B" w:rsidP="00BC4F8B">
            <w:pPr>
              <w:spacing w:line="276" w:lineRule="auto"/>
              <w:ind w:left="709" w:right="709"/>
              <w:jc w:val="both"/>
              <w:rPr>
                <w:rFonts w:ascii="Verdana" w:eastAsia="Aptos" w:hAnsi="Verdana" w:cs="Times New Roman"/>
                <w:i/>
                <w:iCs/>
              </w:rPr>
            </w:pPr>
          </w:p>
          <w:p w14:paraId="18CFD386" w14:textId="77777777" w:rsidR="00BC4F8B" w:rsidRPr="00BC4F8B" w:rsidRDefault="00BC4F8B" w:rsidP="00BC4F8B">
            <w:pPr>
              <w:snapToGrid w:val="0"/>
              <w:spacing w:after="120" w:line="276" w:lineRule="auto"/>
              <w:ind w:firstLine="709"/>
              <w:jc w:val="both"/>
              <w:rPr>
                <w:rFonts w:ascii="Verdana" w:eastAsia="Aptos" w:hAnsi="Verdana" w:cs="Times New Roman"/>
              </w:rPr>
            </w:pPr>
            <w:r w:rsidRPr="00BC4F8B">
              <w:rPr>
                <w:rFonts w:ascii="Verdana" w:eastAsia="Aptos" w:hAnsi="Verdana" w:cs="Times New Roman"/>
              </w:rPr>
              <w:t xml:space="preserve">Sin embargo, le correspondería a la entidad definir cuál sería la actividad principal y cuáles las actividades accesorias para solicitar la experiencia en su proceso, de conformidad con lo descrito en el numeral 3.5 del Documento Base del Sector Social.  Es decir, si las actividades objeto del contrato se encuentran comprendidas dentro de la Matriz de Experiencia del Sector Salud, la entidad deberá aplicar los Documentos Tipo correspondientes y no podría apartarse de ellos para adelantar una licitación pública. </w:t>
            </w:r>
          </w:p>
          <w:p w14:paraId="77F28C60" w14:textId="77777777" w:rsidR="00BC4F8B" w:rsidRPr="00BC4F8B" w:rsidRDefault="00BC4F8B" w:rsidP="00BC4F8B">
            <w:pPr>
              <w:snapToGrid w:val="0"/>
              <w:spacing w:after="120" w:line="276" w:lineRule="auto"/>
              <w:ind w:firstLine="709"/>
              <w:jc w:val="both"/>
              <w:rPr>
                <w:rFonts w:ascii="Verdana" w:eastAsia="Aptos" w:hAnsi="Verdana" w:cs="Times New Roman"/>
              </w:rPr>
            </w:pPr>
            <w:r w:rsidRPr="00BC4F8B">
              <w:rPr>
                <w:rFonts w:ascii="Verdana" w:eastAsia="Aptos" w:hAnsi="Verdana" w:cs="Times New Roman"/>
              </w:rPr>
              <w:t xml:space="preserve">Ahora bien, como resultado de la primera consulta, si resulta aplicable el documento tipo de infraestructura social - sector salud, para resolver su tercer interrogante de incluir el requisito de experiencia en suministro e </w:t>
            </w:r>
            <w:r w:rsidRPr="00BC4F8B">
              <w:rPr>
                <w:rFonts w:ascii="Verdana" w:eastAsia="Aptos" w:hAnsi="Verdana" w:cs="Times New Roman"/>
              </w:rPr>
              <w:lastRenderedPageBreak/>
              <w:t>instalación de equipos de enfriamiento especializados como experiencia adicional, es necesario indicar que la Resolución 539 de 2024 en su artículo cuarto estipuló la manera en la que las entidades pueden implementar, dentro de su proceso, obras, bienes o servicios adicionales a la obra pública de infraestructura social.</w:t>
            </w:r>
          </w:p>
          <w:p w14:paraId="2F0030C4" w14:textId="77777777" w:rsidR="00BC4F8B" w:rsidRPr="00BC4F8B" w:rsidRDefault="00BC4F8B" w:rsidP="00BC4F8B">
            <w:pPr>
              <w:spacing w:after="120" w:line="276" w:lineRule="auto"/>
              <w:ind w:firstLine="709"/>
              <w:jc w:val="both"/>
              <w:rPr>
                <w:rFonts w:ascii="Verdana" w:eastAsia="Aptos" w:hAnsi="Verdana" w:cs="Times New Roman"/>
              </w:rPr>
            </w:pPr>
            <w:r w:rsidRPr="00BC4F8B">
              <w:rPr>
                <w:rFonts w:ascii="Verdana" w:eastAsia="Aptos" w:hAnsi="Verdana" w:cs="Times New Roman"/>
              </w:rPr>
              <w:t>Si la entidad concluye que el proceso se encuentra sometido a los Documentos Tipo de Infraestructura Social, la incorporación de experiencia relacionada con el suministro e instalación de equipos especializados deberá analizarse a la luz del artículo 4 de la Resolución 539 de 2025.</w:t>
            </w:r>
          </w:p>
          <w:p w14:paraId="355BACA4" w14:textId="77777777" w:rsidR="00BC4F8B" w:rsidRPr="00BC4F8B" w:rsidRDefault="00BC4F8B" w:rsidP="00BC4F8B">
            <w:pPr>
              <w:spacing w:after="120" w:line="276" w:lineRule="auto"/>
              <w:ind w:firstLine="709"/>
              <w:jc w:val="both"/>
              <w:rPr>
                <w:rFonts w:ascii="Verdana" w:eastAsia="Aptos" w:hAnsi="Verdana" w:cs="Times New Roman"/>
              </w:rPr>
            </w:pPr>
            <w:r w:rsidRPr="00BC4F8B">
              <w:rPr>
                <w:rFonts w:ascii="Verdana" w:eastAsia="Aptos" w:hAnsi="Verdana" w:cs="Times New Roman"/>
              </w:rPr>
              <w:t>No obstante, debe señalarse que la Matriz de Experiencia del Sector Salud ya contempla actividades relacionadas con el suministro e instalación de equipos especiales, electromecánicos, electrónicos o maquinaria, así como sistemas de ventilación, aire acondicionado o similares. En particular, la actividad 1.14 podría resultar relevante para el análisis del caso concreto.  Por lo anterior, corresponderá a la entidad verificar inicialmente si la necesidad contractual puede satisfacerse mediante las actividades ya previstas en la Matriz de Experiencia y solo de manera excepcional, y previa justificación en los estudios previos, podría acudirse a la incorporación de experiencia adicional en los términos del artículo 4 de la Resolución 539 de 2025.</w:t>
            </w:r>
          </w:p>
          <w:p w14:paraId="18FAD677" w14:textId="77777777" w:rsidR="00BC4F8B" w:rsidRPr="00BC4F8B" w:rsidRDefault="00BC4F8B" w:rsidP="00BC4F8B">
            <w:pPr>
              <w:spacing w:after="120" w:line="276" w:lineRule="auto"/>
              <w:ind w:firstLine="709"/>
              <w:jc w:val="both"/>
              <w:rPr>
                <w:rFonts w:ascii="Verdana" w:eastAsia="Aptos" w:hAnsi="Verdana" w:cs="Times New Roman"/>
              </w:rPr>
            </w:pPr>
            <w:r w:rsidRPr="00BC4F8B">
              <w:rPr>
                <w:rFonts w:ascii="Verdana" w:eastAsia="Aptos" w:hAnsi="Verdana" w:cs="Times New Roman"/>
              </w:rPr>
              <w:t xml:space="preserve">Frente a su cuarta consulta, debe advertirse que la verificación de las condiciones de mercado debe realizarse mediante el estudio del sector y los estudios previos elaborados conforme a los artículos 2.2.1.1.1.6.1 y 2.2.1.1.1.6.2 del Decreto 1082 de 2015, garantizando que cualquier requisito adicional de experiencia preserve la pluralidad de oferentes y no limite injustificadamente la concurrencia.  En ese sentido, la entidad deberá soportar, como mínimo, la identificación y caracterización del mercado relevante, la existencia de potenciales proveedores con capacidad para ejecutar el objeto contractual, la correspondencia entre la experiencia exigida y las necesidades reales del proyecto, la razonabilidad y proporcionalidad de los requisitos establecidos, la preservación de condiciones efectivas de competencia y pluralidad de oferentes.  Para tal efecto, se recomienda consultar la Guía para la Elaboración de Estudios del Sector publicada por Colombia Compra Eficiente, publicada en la página de la ANCP-CCE en el siguiente link: </w:t>
            </w:r>
            <w:hyperlink r:id="rId11" w:history="1">
              <w:r w:rsidRPr="00BC4F8B">
                <w:rPr>
                  <w:rFonts w:ascii="Verdana" w:eastAsia="Aptos" w:hAnsi="Verdana" w:cs="Times New Roman"/>
                  <w:color w:val="467886"/>
                  <w:u w:val="single"/>
                  <w:lang w:val="es-MX"/>
                </w:rPr>
                <w:t>Guía para la Elaboración de Estudios del Sector – ANCP Colombia Compra Eficiente</w:t>
              </w:r>
            </w:hyperlink>
          </w:p>
          <w:p w14:paraId="6A024043" w14:textId="77777777" w:rsidR="00BC4F8B" w:rsidRPr="00BC4F8B" w:rsidRDefault="00BC4F8B" w:rsidP="00BC4F8B">
            <w:pPr>
              <w:spacing w:line="276" w:lineRule="auto"/>
              <w:ind w:firstLine="709"/>
              <w:jc w:val="both"/>
              <w:rPr>
                <w:rFonts w:ascii="Verdana" w:eastAsia="Aptos" w:hAnsi="Verdana" w:cs="Times New Roman"/>
              </w:rPr>
            </w:pPr>
            <w:r w:rsidRPr="00BC4F8B">
              <w:rPr>
                <w:rFonts w:ascii="Verdana" w:eastAsia="Aptos" w:hAnsi="Verdana" w:cs="Times New Roman"/>
              </w:rPr>
              <w:lastRenderedPageBreak/>
              <w:t>Para la quinta consulta, la procedencia de adelantar uno o varios procesos de contratación corresponde al análisis de planeación que efectúe la entidad en cada caso concreto.  En consecuencia, Colombia Compra Eficiente no puede pronunciarse sobre la viabilidad de estructurar el proyecto mediante uno o varios procesos específicos.  No obstante, la entidad deberá evaluar, en el marco de los principios de planeación, economía, eficiencia y responsabilidad, si las actividades de obra civil y las relacionadas con el suministro e instalación del equipo especializado constituyen prestaciones técnica y funcionalmente independientes o si, por el contrario, presentan un grado de integración que justifique su contratación conjunta. Dicho análisis deberá reflejarse y sustentarse en los estudios previos correspondientes.</w:t>
            </w:r>
          </w:p>
        </w:tc>
      </w:tr>
    </w:tbl>
    <w:p w14:paraId="7E351F63" w14:textId="77777777" w:rsidR="00BC4F8B" w:rsidRPr="00BC4F8B" w:rsidRDefault="00BC4F8B" w:rsidP="00BC4F8B">
      <w:pPr>
        <w:tabs>
          <w:tab w:val="left" w:pos="142"/>
          <w:tab w:val="left" w:pos="284"/>
        </w:tabs>
        <w:snapToGrid w:val="0"/>
        <w:spacing w:after="0" w:line="276" w:lineRule="auto"/>
        <w:jc w:val="both"/>
        <w:rPr>
          <w:rFonts w:ascii="Verdana" w:eastAsia="Century Gothic" w:hAnsi="Verdana" w:cs="Century Gothic"/>
          <w:b/>
          <w:bCs/>
          <w:lang w:val="es-ES" w:eastAsia="es-MX"/>
        </w:rPr>
      </w:pPr>
    </w:p>
    <w:p w14:paraId="570213C5" w14:textId="77777777" w:rsidR="00BC4F8B" w:rsidRPr="00BC4F8B" w:rsidRDefault="00BC4F8B" w:rsidP="00BC4F8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BC4F8B">
        <w:rPr>
          <w:rFonts w:ascii="Verdana" w:eastAsia="Century Gothic" w:hAnsi="Verdana" w:cs="Century Gothic"/>
          <w:b/>
          <w:bCs/>
          <w:lang w:val="es-ES" w:eastAsia="es-MX"/>
        </w:rPr>
        <w:t>Razones de la respuesta:</w:t>
      </w:r>
    </w:p>
    <w:p w14:paraId="05BD61AF" w14:textId="77777777" w:rsidR="00BC4F8B" w:rsidRPr="00BC4F8B" w:rsidRDefault="00BC4F8B" w:rsidP="00BC4F8B">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4D592661" w14:textId="77777777" w:rsidR="00BC4F8B" w:rsidRPr="00BC4F8B" w:rsidRDefault="00BC4F8B" w:rsidP="00BC4F8B">
      <w:pPr>
        <w:snapToGrid w:val="0"/>
        <w:spacing w:after="0" w:line="276" w:lineRule="auto"/>
        <w:jc w:val="both"/>
        <w:rPr>
          <w:rFonts w:ascii="Verdana" w:eastAsia="Calibri" w:hAnsi="Verdana" w:cs="Arial"/>
          <w:lang w:val="es-ES" w:eastAsia="es-MX"/>
        </w:rPr>
      </w:pPr>
      <w:r w:rsidRPr="00BC4F8B">
        <w:rPr>
          <w:rFonts w:ascii="Verdana" w:eastAsia="Calibri" w:hAnsi="Verdana" w:cs="Arial"/>
          <w:lang w:val="es-ES" w:eastAsia="es-MX"/>
        </w:rPr>
        <w:t xml:space="preserve">Lo anterior se sustenta en las siguientes consideraciones: </w:t>
      </w:r>
    </w:p>
    <w:p w14:paraId="70222CBB" w14:textId="77777777" w:rsidR="00BC4F8B" w:rsidRPr="00BC4F8B" w:rsidRDefault="00BC4F8B" w:rsidP="00BC4F8B">
      <w:pPr>
        <w:spacing w:after="0" w:line="276" w:lineRule="auto"/>
        <w:jc w:val="both"/>
        <w:rPr>
          <w:rFonts w:ascii="Verdana" w:eastAsia="Calibri" w:hAnsi="Verdana" w:cs="Arial"/>
          <w:lang w:val="es-ES" w:eastAsia="es-MX"/>
        </w:rPr>
      </w:pPr>
    </w:p>
    <w:p w14:paraId="6A1AE570" w14:textId="77777777" w:rsidR="00BC4F8B" w:rsidRPr="00BC4F8B" w:rsidRDefault="00BC4F8B" w:rsidP="00BC4F8B">
      <w:pPr>
        <w:snapToGrid w:val="0"/>
        <w:spacing w:after="120" w:line="276" w:lineRule="auto"/>
        <w:jc w:val="both"/>
        <w:rPr>
          <w:rFonts w:ascii="Verdana" w:eastAsia="Calibri" w:hAnsi="Verdana" w:cs="Times New Roman"/>
          <w:lang w:val="es-ES" w:eastAsia="es-MX"/>
        </w:rPr>
      </w:pPr>
      <w:r w:rsidRPr="00BC4F8B">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BC4F8B">
        <w:rPr>
          <w:rFonts w:ascii="Verdana" w:eastAsia="Calibri" w:hAnsi="Verdana" w:cs="Times New Roman"/>
          <w:lang w:val="es-ES" w:eastAsia="es-MX"/>
        </w:rPr>
        <w:tab/>
      </w:r>
    </w:p>
    <w:p w14:paraId="24E0DBEC" w14:textId="77777777" w:rsidR="00BC4F8B" w:rsidRPr="00BC4F8B" w:rsidRDefault="00BC4F8B" w:rsidP="00BC4F8B">
      <w:pPr>
        <w:snapToGrid w:val="0"/>
        <w:spacing w:after="120" w:line="276" w:lineRule="auto"/>
        <w:ind w:firstLine="709"/>
        <w:jc w:val="both"/>
        <w:rPr>
          <w:rFonts w:ascii="Verdana" w:eastAsia="Calibri" w:hAnsi="Verdana" w:cs="Times New Roman"/>
          <w:lang w:val="es-ES" w:eastAsia="es-MX"/>
        </w:rPr>
      </w:pPr>
      <w:r w:rsidRPr="00BC4F8B">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w:t>
      </w:r>
      <w:r w:rsidRPr="00BC4F8B">
        <w:rPr>
          <w:rFonts w:ascii="Verdana" w:eastAsia="Calibri" w:hAnsi="Verdana" w:cs="Times New Roman"/>
          <w:lang w:val="es-ES" w:eastAsia="es-MX"/>
        </w:rPr>
        <w:lastRenderedPageBreak/>
        <w:t xml:space="preserve">definirán concretamente cada sector, mediante los cuales se precisará de forma detallada su ámbito de aplicación.   </w:t>
      </w:r>
    </w:p>
    <w:p w14:paraId="6161A53B" w14:textId="77777777" w:rsidR="00BC4F8B" w:rsidRPr="00BC4F8B" w:rsidRDefault="00BC4F8B" w:rsidP="00BC4F8B">
      <w:pPr>
        <w:snapToGrid w:val="0"/>
        <w:spacing w:after="120" w:line="276" w:lineRule="auto"/>
        <w:ind w:firstLine="709"/>
        <w:jc w:val="both"/>
        <w:rPr>
          <w:rFonts w:ascii="Verdana" w:eastAsia="Calibri" w:hAnsi="Verdana" w:cs="Times New Roman"/>
          <w:lang w:val="es-ES" w:eastAsia="es-MX"/>
        </w:rPr>
      </w:pPr>
      <w:r w:rsidRPr="00BC4F8B">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BC4F8B">
        <w:rPr>
          <w:rFonts w:ascii="Verdana" w:eastAsia="Calibri" w:hAnsi="Verdana" w:cs="Times New Roman"/>
          <w:bCs/>
          <w:i/>
          <w:iCs/>
          <w:lang w:val="es-ES" w:eastAsia="es-MX"/>
        </w:rPr>
        <w:t>sector educ</w:t>
      </w:r>
      <w:r w:rsidRPr="00BC4F8B">
        <w:rPr>
          <w:rFonts w:ascii="Verdana" w:eastAsia="Calibri" w:hAnsi="Verdana" w:cs="Times New Roman"/>
          <w:bCs/>
          <w:i/>
          <w:lang w:val="es-ES" w:eastAsia="es-MX"/>
        </w:rPr>
        <w:t xml:space="preserve">ativo, salud, y cultura, recreación y deporte, </w:t>
      </w:r>
      <w:r w:rsidRPr="00BC4F8B">
        <w:rPr>
          <w:rFonts w:ascii="Verdana" w:eastAsia="Calibri" w:hAnsi="Verdana" w:cs="Times New Roman"/>
          <w:bCs/>
          <w:iCs/>
          <w:lang w:val="es-ES" w:eastAsia="es-MX"/>
        </w:rPr>
        <w:t>respectivamente</w:t>
      </w:r>
      <w:r w:rsidRPr="00BC4F8B">
        <w:rPr>
          <w:rFonts w:ascii="Verdana" w:eastAsia="Calibri" w:hAnsi="Verdana" w:cs="Times New Roman"/>
          <w:bCs/>
          <w:i/>
          <w:lang w:val="es-ES" w:eastAsia="es-MX"/>
        </w:rPr>
        <w:t xml:space="preserve">, </w:t>
      </w:r>
      <w:r w:rsidRPr="00BC4F8B">
        <w:rPr>
          <w:rFonts w:ascii="Verdana" w:eastAsia="Calibri" w:hAnsi="Verdana" w:cs="Times New Roman"/>
          <w:bCs/>
          <w:lang w:val="es-ES" w:eastAsia="es-MX"/>
        </w:rPr>
        <w:t xml:space="preserve">mediante las </w:t>
      </w:r>
      <w:r w:rsidRPr="00BC4F8B">
        <w:rPr>
          <w:rFonts w:ascii="Verdana" w:eastAsia="Calibri" w:hAnsi="Verdana" w:cs="Times New Roman"/>
          <w:lang w:val="es-ES" w:eastAsia="es-MX"/>
        </w:rPr>
        <w:t xml:space="preserve">Resoluciones 220, 392 y 454 de 2021. Estas Resoluciones, en el artículo 2, desarrollan el “Anexo – Glosario” y la </w:t>
      </w:r>
      <w:r w:rsidRPr="00BC4F8B">
        <w:rPr>
          <w:rFonts w:ascii="Verdana" w:eastAsia="Calibri" w:hAnsi="Verdana" w:cs="Times New Roman"/>
          <w:lang w:eastAsia="es-MX"/>
        </w:rPr>
        <w:t>“Matriz – Experiencia”</w:t>
      </w:r>
      <w:r w:rsidRPr="00BC4F8B">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7A0CA09F" w14:textId="77777777" w:rsidR="00BC4F8B" w:rsidRPr="00BC4F8B" w:rsidRDefault="00BC4F8B" w:rsidP="00BC4F8B">
      <w:pPr>
        <w:snapToGrid w:val="0"/>
        <w:spacing w:after="120" w:line="276" w:lineRule="auto"/>
        <w:ind w:firstLine="709"/>
        <w:jc w:val="both"/>
        <w:rPr>
          <w:rFonts w:ascii="Verdana" w:eastAsia="Calibri" w:hAnsi="Verdana" w:cs="Times New Roman"/>
          <w:lang w:val="es-ES" w:eastAsia="es-MX"/>
        </w:rPr>
      </w:pPr>
      <w:r w:rsidRPr="00BC4F8B">
        <w:rPr>
          <w:rFonts w:ascii="Verdana" w:eastAsia="Calibri" w:hAnsi="Verdana"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517AEBF2" w14:textId="77777777" w:rsidR="00BC4F8B" w:rsidRPr="00BC4F8B" w:rsidRDefault="00BC4F8B" w:rsidP="00BC4F8B">
      <w:pPr>
        <w:snapToGrid w:val="0"/>
        <w:spacing w:after="120" w:line="276" w:lineRule="auto"/>
        <w:ind w:firstLine="709"/>
        <w:jc w:val="both"/>
        <w:rPr>
          <w:rFonts w:ascii="Verdana" w:eastAsia="Calibri" w:hAnsi="Verdana" w:cs="Times New Roman"/>
          <w:lang w:val="es-ES" w:eastAsia="es-MX"/>
        </w:rPr>
      </w:pPr>
      <w:r w:rsidRPr="00BC4F8B">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73BA8A3D" w14:textId="77777777" w:rsidR="00BC4F8B" w:rsidRPr="00BC4F8B" w:rsidRDefault="00BC4F8B" w:rsidP="00BC4F8B">
      <w:pPr>
        <w:snapToGrid w:val="0"/>
        <w:spacing w:after="120" w:line="276" w:lineRule="auto"/>
        <w:ind w:firstLine="709"/>
        <w:jc w:val="both"/>
        <w:rPr>
          <w:rFonts w:ascii="Verdana" w:eastAsia="Calibri" w:hAnsi="Verdana" w:cs="Times New Roman"/>
          <w:lang w:eastAsia="es-MX"/>
        </w:rPr>
      </w:pPr>
      <w:r w:rsidRPr="00BC4F8B">
        <w:rPr>
          <w:rFonts w:ascii="Verdana" w:eastAsia="Calibri" w:hAnsi="Verdana" w:cs="Times New Roman"/>
          <w:lang w:eastAsia="es-MX"/>
        </w:rPr>
        <w:lastRenderedPageBreak/>
        <w:t xml:space="preserve">Para la determinación de los requisitos mínimos de experiencia según la “Matriz – Experiencia”, el documento base de los documentos tipo de infraestructura social, prescribe que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56563281" w14:textId="77777777" w:rsidR="00BC4F8B" w:rsidRPr="00BC4F8B" w:rsidRDefault="00BC4F8B" w:rsidP="00BC4F8B">
      <w:pPr>
        <w:snapToGrid w:val="0"/>
        <w:spacing w:after="120" w:line="276" w:lineRule="auto"/>
        <w:ind w:firstLine="709"/>
        <w:jc w:val="both"/>
        <w:rPr>
          <w:rFonts w:ascii="Verdana" w:eastAsia="Calibri" w:hAnsi="Verdana" w:cs="Times New Roman"/>
          <w:lang w:val="es-ES" w:eastAsia="es-MX"/>
        </w:rPr>
      </w:pPr>
      <w:r w:rsidRPr="00BC4F8B">
        <w:rPr>
          <w:rFonts w:ascii="Verdana" w:eastAsia="Calibri" w:hAnsi="Verdana" w:cs="Times New Roman"/>
          <w:lang w:val="es-ES" w:eastAsia="es-MX"/>
        </w:rPr>
        <w:t xml:space="preserve">La Matrices de Experiencia de los documentos tipo de infraestructura social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14:paraId="43DC71E1" w14:textId="77777777" w:rsidR="00BC4F8B" w:rsidRPr="00BC4F8B" w:rsidRDefault="00BC4F8B" w:rsidP="00BC4F8B">
      <w:pPr>
        <w:snapToGrid w:val="0"/>
        <w:spacing w:after="120" w:line="276" w:lineRule="auto"/>
        <w:ind w:firstLine="709"/>
        <w:jc w:val="both"/>
        <w:rPr>
          <w:rFonts w:ascii="Verdana" w:eastAsia="Calibri" w:hAnsi="Verdana" w:cs="Times New Roman"/>
          <w:lang w:val="es-ES" w:eastAsia="es-MX"/>
        </w:rPr>
      </w:pPr>
      <w:r w:rsidRPr="00BC4F8B">
        <w:rPr>
          <w:rFonts w:ascii="Verdana" w:eastAsia="Calibri" w:hAnsi="Verdana" w:cs="Times New Roman"/>
          <w:lang w:val="es-ES" w:eastAsia="es-MX"/>
        </w:rPr>
        <w:t>La experiencia específica, dependiendo del tipo de “actividad a contratar”, puede contener un “% de dimensionamiento” con la implementación de un factor (F%),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7B09979B" w14:textId="77777777" w:rsidR="00BC4F8B" w:rsidRPr="00BC4F8B" w:rsidRDefault="00BC4F8B" w:rsidP="00BC4F8B">
      <w:pPr>
        <w:adjustRightInd w:val="0"/>
        <w:snapToGrid w:val="0"/>
        <w:spacing w:after="120" w:line="276" w:lineRule="auto"/>
        <w:ind w:firstLine="709"/>
        <w:jc w:val="both"/>
        <w:rPr>
          <w:rFonts w:ascii="Verdana" w:eastAsia="Calibri" w:hAnsi="Verdana" w:cs="Times New Roman"/>
          <w:lang w:eastAsia="es-MX"/>
        </w:rPr>
      </w:pPr>
      <w:r w:rsidRPr="00BC4F8B">
        <w:rPr>
          <w:rFonts w:ascii="Verdana" w:eastAsia="Calibri" w:hAnsi="Verdana" w:cs="Times New Roman"/>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BC4F8B">
        <w:rPr>
          <w:rFonts w:ascii="Verdana" w:eastAsia="Calibri" w:hAnsi="Verdana" w:cs="Times New Roman"/>
          <w:lang w:eastAsia="es-MX"/>
        </w:rPr>
        <w:t>ii</w:t>
      </w:r>
      <w:proofErr w:type="spellEnd"/>
      <w:r w:rsidRPr="00BC4F8B">
        <w:rPr>
          <w:rFonts w:ascii="Verdana" w:eastAsia="Calibri" w:hAnsi="Verdana" w:cs="Times New Roman"/>
          <w:lang w:eastAsia="es-MX"/>
        </w:rPr>
        <w:t xml:space="preserve">) la actividad a contratar y </w:t>
      </w:r>
      <w:proofErr w:type="spellStart"/>
      <w:r w:rsidRPr="00BC4F8B">
        <w:rPr>
          <w:rFonts w:ascii="Verdana" w:eastAsia="Calibri" w:hAnsi="Verdana" w:cs="Times New Roman"/>
          <w:lang w:eastAsia="es-MX"/>
        </w:rPr>
        <w:t>iii</w:t>
      </w:r>
      <w:proofErr w:type="spellEnd"/>
      <w:r w:rsidRPr="00BC4F8B">
        <w:rPr>
          <w:rFonts w:ascii="Verdana" w:eastAsia="Calibri" w:hAnsi="Verdana" w:cs="Times New Roman"/>
          <w:lang w:eastAsia="es-MX"/>
        </w:rPr>
        <w:t>) la cuantía del proceso de contratación.</w:t>
      </w:r>
    </w:p>
    <w:p w14:paraId="3A0A1177" w14:textId="77777777" w:rsidR="00BC4F8B" w:rsidRPr="00BC4F8B" w:rsidRDefault="00BC4F8B" w:rsidP="00BC4F8B">
      <w:pPr>
        <w:autoSpaceDE w:val="0"/>
        <w:autoSpaceDN w:val="0"/>
        <w:snapToGrid w:val="0"/>
        <w:spacing w:after="120" w:line="276" w:lineRule="auto"/>
        <w:ind w:firstLine="709"/>
        <w:jc w:val="both"/>
        <w:rPr>
          <w:rFonts w:ascii="Verdana" w:eastAsia="Times New Roman" w:hAnsi="Verdana" w:cs="Calibri"/>
          <w:i/>
          <w:iCs/>
          <w:lang w:val="es-ES" w:eastAsia="es-MX"/>
        </w:rPr>
      </w:pPr>
      <w:r w:rsidRPr="00BC4F8B">
        <w:rPr>
          <w:rFonts w:ascii="Verdana" w:eastAsia="Times New Roman" w:hAnsi="Verdana" w:cs="Calibri"/>
          <w:lang w:eastAsia="es-MX"/>
        </w:rPr>
        <w:t xml:space="preserve">Ahora bien, resulta necesario mencionar que </w:t>
      </w:r>
      <w:r w:rsidRPr="00BC4F8B">
        <w:rPr>
          <w:rFonts w:ascii="Verdana" w:eastAsia="Times New Roman" w:hAnsi="Verdana" w:cs="Calibri"/>
          <w:lang w:val="es-ES" w:eastAsia="es-MX"/>
        </w:rPr>
        <w:t>el artículo 1 de la Ley 2022 de 2020 “</w:t>
      </w:r>
      <w:r w:rsidRPr="00BC4F8B">
        <w:rPr>
          <w:rFonts w:ascii="Verdana" w:eastAsia="Times New Roman" w:hAnsi="Verdana" w:cs="Calibri"/>
          <w:i/>
          <w:iCs/>
          <w:lang w:val="es-ES" w:eastAsia="es-MX"/>
        </w:rPr>
        <w:t>Por la cual modifica el artículo 4 de la Ley 1882 de 2018 y se dictan otras disposiciones</w:t>
      </w:r>
      <w:r w:rsidRPr="00BC4F8B">
        <w:rPr>
          <w:rFonts w:ascii="Verdana" w:eastAsia="Times New Roman" w:hAnsi="Verdana" w:cs="Calibri"/>
          <w:lang w:val="es-ES" w:eastAsia="es-MX"/>
        </w:rPr>
        <w:t>”,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 Esta norma señala que, “</w:t>
      </w:r>
      <w:r w:rsidRPr="00BC4F8B">
        <w:rPr>
          <w:rFonts w:ascii="Verdana" w:eastAsia="Aptos" w:hAnsi="Verdana" w:cs="Arial"/>
          <w:color w:val="000000"/>
          <w:kern w:val="2"/>
          <w:lang w:val="es-ES_tradnl"/>
          <w14:ligatures w14:val="standardContextual"/>
        </w:rPr>
        <w:t xml:space="preserve">serán de uso obligatorio los documentos tipo para los pliegos de condiciones de los procesos de selección de obras públicas, interventoría para </w:t>
      </w:r>
      <w:r w:rsidRPr="00BC4F8B">
        <w:rPr>
          <w:rFonts w:ascii="Verdana" w:eastAsia="Aptos" w:hAnsi="Verdana" w:cs="Arial"/>
          <w:color w:val="000000"/>
          <w:kern w:val="2"/>
          <w:lang w:val="es-ES_tradnl"/>
          <w14:ligatures w14:val="standardContextual"/>
        </w:rPr>
        <w:lastRenderedPageBreak/>
        <w:t>las obras públicas interventoría para consultoría de estudios y diseños para obras públicas, consultoría en ingeniería para obras”.</w:t>
      </w:r>
    </w:p>
    <w:p w14:paraId="2F4CDB52" w14:textId="77777777" w:rsidR="00BC4F8B" w:rsidRPr="00BC4F8B" w:rsidRDefault="00BC4F8B" w:rsidP="00BC4F8B">
      <w:pPr>
        <w:snapToGrid w:val="0"/>
        <w:spacing w:after="120" w:line="276" w:lineRule="auto"/>
        <w:ind w:firstLine="709"/>
        <w:jc w:val="both"/>
        <w:rPr>
          <w:rFonts w:ascii="Verdana" w:eastAsia="Aptos" w:hAnsi="Verdana" w:cs="Times New Roman"/>
          <w:kern w:val="2"/>
          <w:lang w:val="es-MX"/>
          <w14:ligatures w14:val="standardContextual"/>
        </w:rPr>
      </w:pPr>
      <w:r w:rsidRPr="00BC4F8B">
        <w:rPr>
          <w:rFonts w:ascii="Verdana" w:eastAsia="Times New Roman" w:hAnsi="Verdana" w:cs="Calibri"/>
          <w:lang w:eastAsia="es-MX"/>
        </w:rPr>
        <w:t xml:space="preserve">En ese orden, uno </w:t>
      </w:r>
      <w:r w:rsidRPr="00BC4F8B">
        <w:rPr>
          <w:rFonts w:ascii="Verdana" w:eastAsia="Aptos" w:hAnsi="Verdana" w:cs="Times New Roman"/>
          <w:kern w:val="2"/>
          <w:lang w:val="es-MX"/>
          <w14:ligatures w14:val="standardContextual"/>
        </w:rPr>
        <w:t>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se encuentra el “Anexo – Glosario”, el cual contiene las definiciones de los términos usados en los documentos del proceso. Utilizando estos dos documentos, la entidad estatal puede definir si para el objeto a contratar debe emplear los documentos tipo adoptados por esta Agencia.</w:t>
      </w:r>
    </w:p>
    <w:p w14:paraId="3286B181" w14:textId="77777777" w:rsidR="00BC4F8B" w:rsidRPr="00BC4F8B" w:rsidRDefault="00BC4F8B" w:rsidP="00BC4F8B">
      <w:pPr>
        <w:snapToGrid w:val="0"/>
        <w:spacing w:after="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Al respecto la Matriz 1 - Experiencia "Sector Salud", versión: 3 de 21 de agosto de 2025, que hace parte integral de la Resolución 539 de 2025, ha contemplado las siguientes actividades a contratar para el sector:</w:t>
      </w:r>
      <w:r w:rsidRPr="00BC4F8B">
        <w:rPr>
          <w:rFonts w:ascii="Verdana" w:eastAsia="Aptos" w:hAnsi="Verdana" w:cs="Times New Roman"/>
          <w:kern w:val="2"/>
          <w14:ligatures w14:val="standardContextual"/>
        </w:rPr>
        <w:tab/>
      </w:r>
    </w:p>
    <w:p w14:paraId="74547E19" w14:textId="77777777" w:rsidR="00BC4F8B" w:rsidRPr="00BC4F8B" w:rsidRDefault="00BC4F8B" w:rsidP="00BC4F8B">
      <w:pPr>
        <w:snapToGrid w:val="0"/>
        <w:spacing w:after="0" w:line="276" w:lineRule="auto"/>
        <w:ind w:firstLine="709"/>
        <w:jc w:val="both"/>
        <w:rPr>
          <w:rFonts w:ascii="Verdana" w:eastAsia="Aptos" w:hAnsi="Verdana" w:cs="Times New Roman"/>
          <w:kern w:val="2"/>
          <w14:ligatures w14:val="standardContextual"/>
        </w:rPr>
      </w:pPr>
    </w:p>
    <w:p w14:paraId="687675EC" w14:textId="77777777" w:rsidR="00BC4F8B" w:rsidRPr="00BC4F8B" w:rsidRDefault="00BC4F8B" w:rsidP="00BC4F8B">
      <w:pPr>
        <w:spacing w:line="240" w:lineRule="auto"/>
        <w:ind w:left="709" w:right="709"/>
        <w:jc w:val="both"/>
        <w:rPr>
          <w:rFonts w:ascii="Verdana" w:eastAsia="Aptos" w:hAnsi="Verdana" w:cs="Times New Roman"/>
          <w:b/>
          <w:bCs/>
          <w:kern w:val="2"/>
          <w:sz w:val="21"/>
          <w:szCs w:val="21"/>
          <w:u w:val="single"/>
          <w14:ligatures w14:val="standardContextual"/>
        </w:rPr>
      </w:pPr>
      <w:r w:rsidRPr="00BC4F8B">
        <w:rPr>
          <w:rFonts w:ascii="Verdana" w:eastAsia="Aptos" w:hAnsi="Verdana" w:cs="Times New Roman"/>
          <w:b/>
          <w:bCs/>
          <w:kern w:val="2"/>
          <w:sz w:val="21"/>
          <w:szCs w:val="21"/>
          <w:u w:val="single"/>
          <w14:ligatures w14:val="standardContextual"/>
        </w:rPr>
        <w:t>ACTIVIDAD A CONTRATAR:</w:t>
      </w:r>
    </w:p>
    <w:p w14:paraId="2396CDDB"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 proyectos de construcción y/o ampliación y/o reconstrucción de edificaciones y/o lugares de atención en salud y/o incapacidad y/o edificaciones destinadas a y/o prestación y/o atención de salud y/o cuidado de adulto mayor</w:t>
      </w:r>
    </w:p>
    <w:p w14:paraId="6B640C58"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1.2. proyectos de adecuación y/o conservación y/o intervención y/o instalación y/o mantenimiento y/o mejoramiento y/o modificación u optimización y/o rehabilitación y/o remodelación y/o reposición y/o reparación locativa y/o restauración y/o restitución y/o terminación de edificaciones y/o lugares de atención en salud y/o incapacidad y/o prestación y/o atención de salud y/o cuidado de adulto mayor</w:t>
      </w:r>
    </w:p>
    <w:p w14:paraId="783A783D"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1.3.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cerramiento de edificaciones y/o lugares de atención en salud y/o incapacidad y/o prestación y/o atención de salud y/o cuidado de adulto mayor</w:t>
      </w:r>
    </w:p>
    <w:p w14:paraId="7623A821"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 xml:space="preserve">1.4. proyectos de reforzamiento estructural y/o actualización sísmica y/o repotenciación estructural de edificaciones y/o lugares de atención </w:t>
      </w:r>
      <w:r w:rsidRPr="00BC4F8B">
        <w:rPr>
          <w:rFonts w:ascii="Verdana" w:eastAsia="Aptos" w:hAnsi="Verdana" w:cs="Times New Roman"/>
          <w:i/>
          <w:iCs/>
          <w:kern w:val="2"/>
          <w:sz w:val="21"/>
          <w:szCs w:val="21"/>
          <w14:ligatures w14:val="standardContextual"/>
        </w:rPr>
        <w:lastRenderedPageBreak/>
        <w:t>en salud y/o incapacidad y/o prestación y/o atención de salud y/o cuidado de adulto mayor</w:t>
      </w:r>
    </w:p>
    <w:p w14:paraId="50F5F073"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1.5.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edificaciones y/o lugares de atención en salud y/o incapacidad  y/o prestación y/o atención de salud y/o cuidado de adulto mayor</w:t>
      </w:r>
    </w:p>
    <w:p w14:paraId="06164C5D"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1.6.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comedores, zonas de almacenamiento y/o zonas de conservación de alimentos y/o zonas de alimentación de edificaciones y/o lugares de atención en salud y/o incapacidad  y/o prestación y/o atención de salud y/o cuidado de adulto mayor</w:t>
      </w:r>
    </w:p>
    <w:p w14:paraId="207C446F"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1.7.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edificaciones y/o lugares de atención en salud y/o incapacidad  y/o prestación y/o atención de salud y/o cuidado de adulto mayor</w:t>
      </w:r>
    </w:p>
    <w:p w14:paraId="5A5A1616"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asociada a  edificaciones y/o lugares de atención en salud y/o incapacidad  y/o prestación y/o atención de salud y/o cuidado de adulto mayor</w:t>
      </w:r>
    </w:p>
    <w:p w14:paraId="4D0E39EF"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 xml:space="preserve">1.9. proyectos de construcción y/o ampliación y/o reconstrucción y/o adecuación y/o conservación y/o intervención y/o instalación y/o </w:t>
      </w:r>
      <w:r w:rsidRPr="00BC4F8B">
        <w:rPr>
          <w:rFonts w:ascii="Verdana" w:eastAsia="Aptos" w:hAnsi="Verdana" w:cs="Times New Roman"/>
          <w:i/>
          <w:iCs/>
          <w:kern w:val="2"/>
          <w:sz w:val="21"/>
          <w:szCs w:val="21"/>
          <w14:ligatures w14:val="standardContextual"/>
        </w:rPr>
        <w:lastRenderedPageBreak/>
        <w:t>mantenimiento y/o mejoramiento y/o modificación u optimización y/o rehabilitación y/o remodelación y/o reposición y/o reparación locativa y/o restauración y/o restitución y/o terminación de redes eléctricas y/o circuitos cerrados de tv y/o sistemas de seguridad y/o redes de voz y datos y/o plantas eléctricas y/o subestaciones y/o redes de telemática y/o comunicación y/o sonido y/o telefonía y/o redes o sistemas de iluminación o luminarias interiores o exteriores de infraestructura de edificaciones y/o lugares de atención en salud y/o incapacidad  y/o prestación y/o atención de salud y/o cuidado de adulto mayor</w:t>
      </w:r>
    </w:p>
    <w:p w14:paraId="35D16DE7"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1.10.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parqueaderos y/o sótanos y/o vías de circulación internas de edificaciones y/o lugares de atención en salud y/o incapacidad  y/o prestación y/o atención de salud y/o cuidado de adulto mayor</w:t>
      </w:r>
    </w:p>
    <w:p w14:paraId="3E71F5DC"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1.11.proyectos de construcción y/o habilitación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zonas verdes, y/o actividades de urbanismo y/o de paisajismo asociada a edificaciones y/o lugares de atención en salud y/o incapacidad  y/o prestación de salud y/o cuidado de adulto mayor</w:t>
      </w:r>
    </w:p>
    <w:p w14:paraId="34F1C294"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1.12. proyectos de señalización y/o demarcación de parqueaderos y/o sótanos y/o vías de circulación internas asociada a edificaciones y/o lugares de atención en salud y/o incapacidad y/o prestación de salud y/o cuidado de adulto mayor</w:t>
      </w:r>
    </w:p>
    <w:p w14:paraId="39C27072"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1.13. suministro y/o instalación de dotación y/o de mobiliario interno o externo para edificaciones y/o lugares de atención en salud y/o incapacidad y/o prestación de salud y/o cuidado de adulto mayor</w:t>
      </w:r>
    </w:p>
    <w:p w14:paraId="7360A698"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1.14. suministro y/o instalación de equipos especiales y/o electromecánicos y/o electrónicos y/o maquinaria u otros tipos de equipos para edificaciones y/o lugares de atención en salud y/o incapacidad y/o prestación de salud y/o cuidado de adulto mayor</w:t>
      </w:r>
    </w:p>
    <w:p w14:paraId="5DE4059C"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 xml:space="preserve">1.15. proyectos de construcción y/o ampliación y/o reconstrucción y/o adecuación y/o conservación y/o intervención y/o instalación y/o mantenimiento y/o mejoramiento y/o modificación u optimización y/o rehabilitación y/o remodelación y/o reposición y/o reparación locativa </w:t>
      </w:r>
      <w:r w:rsidRPr="00BC4F8B">
        <w:rPr>
          <w:rFonts w:ascii="Verdana" w:eastAsia="Aptos" w:hAnsi="Verdana" w:cs="Times New Roman"/>
          <w:i/>
          <w:iCs/>
          <w:kern w:val="2"/>
          <w:sz w:val="21"/>
          <w:szCs w:val="21"/>
          <w14:ligatures w14:val="standardContextual"/>
        </w:rPr>
        <w:lastRenderedPageBreak/>
        <w:t>y/o restauración y/o restitución y/o terminación de calderas o zonas de lavanderías o similares para edificaciones y/o lugares de atención en salud y/o incapacidad y/o prestación de salud y/o cuidado de adulto mayor</w:t>
      </w:r>
    </w:p>
    <w:p w14:paraId="0FB81D32"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1.16.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o similares para edificaciones y/o lugares de atención en salud y/o incapacidad  y/o prestación de salud y/o cuidado de adulto mayor</w:t>
      </w:r>
    </w:p>
    <w:p w14:paraId="2544D3BE"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1.17.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parqueaderos y/o sótanos y/o vías de circulación internas similares para edificaciones y/o lugares de atención en salud y/o incapacidad y/o prestación  de salud y/o cuidado de adulto mayor</w:t>
      </w:r>
    </w:p>
    <w:p w14:paraId="5C7BEBED" w14:textId="77777777" w:rsidR="00BC4F8B" w:rsidRPr="00BC4F8B" w:rsidRDefault="00BC4F8B" w:rsidP="00BC4F8B">
      <w:pPr>
        <w:spacing w:after="0"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1.18. suministro y/o instalación de sistemas de aires acondicionados o sistemas de ventilación o similares para edificaciones y/o lugares de atención en salud y/o incapacidad y/o prestación de salud y/o cuidado de adulto mayor</w:t>
      </w:r>
    </w:p>
    <w:p w14:paraId="1916BD04" w14:textId="77777777" w:rsidR="00BC4F8B" w:rsidRPr="00BC4F8B" w:rsidRDefault="00BC4F8B" w:rsidP="00BC4F8B">
      <w:pPr>
        <w:spacing w:after="0" w:line="276" w:lineRule="auto"/>
        <w:ind w:left="709" w:right="709"/>
        <w:jc w:val="both"/>
        <w:rPr>
          <w:rFonts w:ascii="Verdana" w:eastAsia="Aptos" w:hAnsi="Verdana" w:cs="Times New Roman"/>
          <w:i/>
          <w:iCs/>
          <w:kern w:val="2"/>
          <w14:ligatures w14:val="standardContextual"/>
        </w:rPr>
      </w:pPr>
    </w:p>
    <w:p w14:paraId="185DF4BC" w14:textId="77777777" w:rsidR="00BC4F8B" w:rsidRPr="00BC4F8B" w:rsidRDefault="00BC4F8B" w:rsidP="00BC4F8B">
      <w:pPr>
        <w:snapToGrid w:val="0"/>
        <w:spacing w:after="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 xml:space="preserve">Así las cosas, según su primera consulta relacionada con la contratación de obra civil valorada en $5,627,067,551 aproximadamente que representa el 46% del POE y relacionada con soporte, cimentación, redes eléctricas e hidráulicas y obra exterior que es necesaria para instalar un equipo de enfriamiento especializado en un laboratorio de salud pública, conviene señalar que esta se podría enmarcar en las siguientes actividades de la Matriz 1: </w:t>
      </w:r>
    </w:p>
    <w:p w14:paraId="67827F33" w14:textId="77777777" w:rsidR="00BC4F8B" w:rsidRPr="00BC4F8B" w:rsidRDefault="00BC4F8B" w:rsidP="00BC4F8B">
      <w:pPr>
        <w:snapToGrid w:val="0"/>
        <w:spacing w:after="0" w:line="276" w:lineRule="auto"/>
        <w:ind w:firstLine="709"/>
        <w:jc w:val="both"/>
        <w:rPr>
          <w:rFonts w:ascii="Verdana" w:eastAsia="Aptos" w:hAnsi="Verdana" w:cs="Times New Roman"/>
          <w:kern w:val="2"/>
          <w14:ligatures w14:val="standardContextual"/>
        </w:rPr>
      </w:pPr>
    </w:p>
    <w:p w14:paraId="1456BC7E" w14:textId="77777777" w:rsidR="00BC4F8B" w:rsidRPr="00BC4F8B" w:rsidRDefault="00BC4F8B" w:rsidP="00BC4F8B">
      <w:pPr>
        <w:spacing w:line="240" w:lineRule="auto"/>
        <w:ind w:left="708" w:right="616"/>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1.2. proyectos de adecuación y/o conservación y/o intervención y/o instalación y/o mantenimiento y/o mejoramiento y/o modificación u optimización y/o rehabilitación y/o remodelación y/o reposición y/o reparación locativa y/o restauración y/o restitución y/o terminación de edificaciones y/o lugares de atención en salud</w:t>
      </w:r>
    </w:p>
    <w:p w14:paraId="5E89F601" w14:textId="77777777" w:rsidR="00BC4F8B" w:rsidRPr="00BC4F8B" w:rsidRDefault="00BC4F8B" w:rsidP="00BC4F8B">
      <w:pPr>
        <w:spacing w:line="240" w:lineRule="auto"/>
        <w:ind w:left="708" w:right="616"/>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 xml:space="preserve">1.5. proyectos de construcción y/o ampliación y/o reconstrucción adecuación y/o conservación y/o intervención y/o instalación y/o mantenimiento y/o mejoramiento y/o modificación u optimización y/o </w:t>
      </w:r>
      <w:r w:rsidRPr="00BC4F8B">
        <w:rPr>
          <w:rFonts w:ascii="Verdana" w:eastAsia="Aptos" w:hAnsi="Verdana" w:cs="Times New Roman"/>
          <w:i/>
          <w:iCs/>
          <w:kern w:val="2"/>
          <w:sz w:val="21"/>
          <w:szCs w:val="21"/>
          <w14:ligatures w14:val="standardContextual"/>
        </w:rPr>
        <w:lastRenderedPageBreak/>
        <w:t xml:space="preserve">rehabilitación y/o remodelación y/o reposición y/o reparación locativa y/o restauración y/o restitución y/o terminación de baterías sanitarias y/o redes hidrosanitarias y/o tanques de almacenamiento y/o sistemas de bombeo y/o redes contra incendios de edificaciones y/o lugares de atención en salud </w:t>
      </w:r>
    </w:p>
    <w:p w14:paraId="6DAF6219" w14:textId="77777777" w:rsidR="00BC4F8B" w:rsidRPr="00BC4F8B" w:rsidRDefault="00BC4F8B" w:rsidP="00BC4F8B">
      <w:pPr>
        <w:spacing w:after="0" w:line="240" w:lineRule="auto"/>
        <w:ind w:left="708" w:right="616"/>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redes de voz y datos y/o plantas eléctricas y/o subestaciones y/o redes de telemática y/o comunicación y/o sonido y/o telefonía y/o redes o sistemas de iluminación o luminarias interiores o exteriores de infraestructura de edificaciones y/o lugares de atención en salud</w:t>
      </w:r>
    </w:p>
    <w:p w14:paraId="7C533BD6" w14:textId="77777777" w:rsidR="00BC4F8B" w:rsidRPr="00BC4F8B" w:rsidRDefault="00BC4F8B" w:rsidP="00BC4F8B">
      <w:pPr>
        <w:spacing w:after="0" w:line="276" w:lineRule="auto"/>
        <w:ind w:left="708" w:right="616"/>
        <w:jc w:val="both"/>
        <w:rPr>
          <w:rFonts w:ascii="Verdana" w:eastAsia="Aptos" w:hAnsi="Verdana" w:cs="Times New Roman"/>
          <w:i/>
          <w:iCs/>
          <w:kern w:val="2"/>
          <w14:ligatures w14:val="standardContextual"/>
        </w:rPr>
      </w:pPr>
    </w:p>
    <w:p w14:paraId="202B6A2B" w14:textId="77777777" w:rsidR="00BC4F8B" w:rsidRPr="00BC4F8B" w:rsidRDefault="00BC4F8B" w:rsidP="00BC4F8B">
      <w:pPr>
        <w:snapToGrid w:val="0"/>
        <w:spacing w:after="12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En ese orden, para determinar si resulta obligatoria la aplicación de los Documentos Tipo de Infraestructura Social - Sector Salud, la entidad debe verificar si las actividades que integran el objeto contractual se encuentran comprendidas dentro de la Matriz 1 - Experiencia Sector Salud adoptada mediante la Resolución 539 de 2025, y de acuerdo con la información suministrada, las actividades de obra civil asociadas a la instalación del equipo especializado, tales como cimentaciones, redes eléctricas, redes hidráulicas y obras complementarias, podrían enmarcarse, entre otras, en las actividades 1.2, 1.5 y 1.9 de la Matriz de Experiencia del Sector Salud, relacionadas con adecuación, intervención e instalación de infraestructura, redes hidrosanitarias y redes eléctricas en edificaciones destinadas a la prestación de servicios de salud.  En consecuencia, con fundamento en los datos del proyecto, las actividades a ejecutar sí se encuentran comprendidas dentro de las actividades previstas en la Matriz de Experiencia, razón por la cual, corresponde la aplicación de los Documentos Tipo de Infraestructura Social - Sector Salud.</w:t>
      </w:r>
    </w:p>
    <w:p w14:paraId="3C94BCFA" w14:textId="77777777" w:rsidR="00BC4F8B" w:rsidRPr="00BC4F8B" w:rsidRDefault="00BC4F8B" w:rsidP="00BC4F8B">
      <w:pPr>
        <w:snapToGrid w:val="0"/>
        <w:spacing w:after="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 xml:space="preserve">En relación con la segunda consulta, y teniendo en cuenta que la entidad debería revisar la Matriz de Experiencia del sector salud para validar que el objeto de su proceso se enmarque en alguna de las actividades, se ha propuesto para la parte correspondiente a la obra civil que sí se encontraría “tipificada” dentro de esta Matriz, a saber, en las actividades 1.2, 1.5 o 1.9, entre otras. Aquí, le correspondería a la Entidad la implementación del Documento Tipo del Sector Social para la modalidad de licitación de obra pública, y con respecto a </w:t>
      </w:r>
      <w:r w:rsidRPr="00BC4F8B">
        <w:rPr>
          <w:rFonts w:ascii="Verdana" w:eastAsia="Aptos" w:hAnsi="Verdana" w:cs="Times New Roman"/>
          <w:kern w:val="2"/>
          <w14:ligatures w14:val="standardContextual"/>
        </w:rPr>
        <w:lastRenderedPageBreak/>
        <w:t xml:space="preserve">exigir de forma conjunta experiencia en suministro e instalación de equipos de enfriamiento especializados, la entidad también podría optar por la combinación de experiencia descrita dentro del artículo 5 de la Resolución 539 de 2025, que establece que: </w:t>
      </w:r>
    </w:p>
    <w:p w14:paraId="312295FE" w14:textId="77777777" w:rsidR="00BC4F8B" w:rsidRPr="00BC4F8B" w:rsidRDefault="00BC4F8B" w:rsidP="00BC4F8B">
      <w:pPr>
        <w:snapToGrid w:val="0"/>
        <w:spacing w:after="0" w:line="276" w:lineRule="auto"/>
        <w:ind w:firstLine="709"/>
        <w:jc w:val="both"/>
        <w:rPr>
          <w:rFonts w:ascii="Verdana" w:eastAsia="Aptos" w:hAnsi="Verdana" w:cs="Times New Roman"/>
          <w:kern w:val="2"/>
          <w14:ligatures w14:val="standardContextual"/>
        </w:rPr>
      </w:pPr>
    </w:p>
    <w:p w14:paraId="16E0FC94"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b/>
          <w:bCs/>
          <w:i/>
          <w:iCs/>
          <w:kern w:val="2"/>
          <w:sz w:val="21"/>
          <w:szCs w:val="21"/>
          <w14:ligatures w14:val="standardContextual"/>
        </w:rPr>
        <w:t>“Artículo 5</w:t>
      </w:r>
      <w:r w:rsidRPr="00BC4F8B">
        <w:rPr>
          <w:rFonts w:ascii="Verdana" w:eastAsia="Aptos" w:hAnsi="Verdana" w:cs="Times New Roman"/>
          <w:i/>
          <w:iCs/>
          <w:kern w:val="2"/>
          <w:sz w:val="21"/>
          <w:szCs w:val="21"/>
          <w14:ligatures w14:val="standardContextual"/>
        </w:rPr>
        <w:t xml:space="preserve">. Proyectos que contengan la ejecución de objetos contractuales cobijados por otros documentos tipo. Cuando el objeto contractual incluya actividades de obra pública de infraestructura social, en conjunto con actividades cobijadas por otros documentos tipo expedidos por la Agencia Nacional de Contratación Pública -Colombia Compra Eficiente-, la entidad deberá definir qué documentos tipo aplica dependiendo de la relevancia técnica del proyecto, impacto o el valor que representan en el presupuesto oficial.  </w:t>
      </w:r>
    </w:p>
    <w:p w14:paraId="5046824C"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 xml:space="preserve">Teniendo en cuenta los criterios anteriores, la entidad estatal debe determinar cuál documento tipo aplica. Esto sin perjuicio de que pueda utilizar las reglas de combinación de experiencia establecidas en esos documentos, siempre que ello resulte necesario con ocasión de las distintas actividades a ejecutar en el proceso de contratación, de conformidad con lo establecido en el parágrafo 1 del artículo 4 de esta resolución.  </w:t>
      </w:r>
    </w:p>
    <w:p w14:paraId="3C0170DB" w14:textId="77777777" w:rsidR="00BC4F8B" w:rsidRPr="00BC4F8B" w:rsidRDefault="00BC4F8B" w:rsidP="00BC4F8B">
      <w:pPr>
        <w:spacing w:after="0"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Parágrafo. La entidad estatal justificará en el estudio previo las razones que soportan la escogencia de un determinado documento tipo.”</w:t>
      </w:r>
    </w:p>
    <w:p w14:paraId="1E5353D5" w14:textId="77777777" w:rsidR="00BC4F8B" w:rsidRPr="00BC4F8B" w:rsidRDefault="00BC4F8B" w:rsidP="00BC4F8B">
      <w:pPr>
        <w:spacing w:after="0" w:line="240" w:lineRule="auto"/>
        <w:ind w:left="709" w:right="709"/>
        <w:jc w:val="both"/>
        <w:rPr>
          <w:rFonts w:ascii="Verdana" w:eastAsia="Aptos" w:hAnsi="Verdana" w:cs="Times New Roman"/>
          <w:i/>
          <w:iCs/>
          <w:kern w:val="2"/>
          <w14:ligatures w14:val="standardContextual"/>
        </w:rPr>
      </w:pPr>
    </w:p>
    <w:p w14:paraId="7DC3D6C9" w14:textId="77777777" w:rsidR="00BC4F8B" w:rsidRPr="00BC4F8B" w:rsidRDefault="00BC4F8B" w:rsidP="00BC4F8B">
      <w:pPr>
        <w:spacing w:after="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Lo anterior, solicitando experiencia también en suministro y/o instalación de equipos especiales, de conformidad con la actividad 1.14 de la matriz de experiencia del sector salud:</w:t>
      </w:r>
    </w:p>
    <w:p w14:paraId="5D13D700" w14:textId="77777777" w:rsidR="00BC4F8B" w:rsidRPr="00BC4F8B" w:rsidRDefault="00BC4F8B" w:rsidP="00BC4F8B">
      <w:pPr>
        <w:spacing w:after="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 xml:space="preserve"> </w:t>
      </w:r>
    </w:p>
    <w:p w14:paraId="5D2C101D" w14:textId="77777777" w:rsidR="00BC4F8B" w:rsidRPr="00BC4F8B" w:rsidRDefault="00BC4F8B" w:rsidP="00BC4F8B">
      <w:pPr>
        <w:spacing w:after="0"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1.14. suministro y/o instalación de equipos especiales y/o electromecánicos y/o electrónicos y/o maquinaria u otros tipos de equipos para edificaciones y/o lugares de atención en salud y/o incapacidad y/o prestación de salud y/o cuidado de adulto mayor</w:t>
      </w:r>
    </w:p>
    <w:p w14:paraId="7E72FEB3" w14:textId="77777777" w:rsidR="00BC4F8B" w:rsidRPr="00BC4F8B" w:rsidRDefault="00BC4F8B" w:rsidP="00BC4F8B">
      <w:pPr>
        <w:spacing w:after="0" w:line="276" w:lineRule="auto"/>
        <w:ind w:left="709" w:right="709"/>
        <w:jc w:val="both"/>
        <w:rPr>
          <w:rFonts w:ascii="Verdana" w:eastAsia="Aptos" w:hAnsi="Verdana" w:cs="Times New Roman"/>
          <w:i/>
          <w:iCs/>
          <w:kern w:val="2"/>
          <w14:ligatures w14:val="standardContextual"/>
        </w:rPr>
      </w:pPr>
    </w:p>
    <w:p w14:paraId="1CA214E3" w14:textId="77777777" w:rsidR="00BC4F8B" w:rsidRPr="00BC4F8B" w:rsidRDefault="00BC4F8B" w:rsidP="00BC4F8B">
      <w:pPr>
        <w:snapToGrid w:val="0"/>
        <w:spacing w:after="12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 xml:space="preserve">Sin embargo, le correspondería a la entidad definir cuál sería la actividad principal y cuáles las actividades accesorias para solicitar la experiencia en su proceso, de conformidad con lo descrito en el numeral 3.5 del Documento Base del Sector Social.  Es decir, si las actividades objeto del contrato se encuentran comprendidas dentro de la Matriz de Experiencia del Sector Salud, la entidad deberá aplicar los Documentos Tipo correspondientes y no podría apartarse de ellos para adelantar una licitación pública. </w:t>
      </w:r>
    </w:p>
    <w:p w14:paraId="110805AF" w14:textId="77777777" w:rsidR="00BC4F8B" w:rsidRPr="00BC4F8B" w:rsidRDefault="00BC4F8B" w:rsidP="00BC4F8B">
      <w:pPr>
        <w:snapToGrid w:val="0"/>
        <w:spacing w:after="12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lastRenderedPageBreak/>
        <w:t xml:space="preserve">En el caso planteado, y sin perjuicio del análisis particular que corresponde a la entidad, las actividades de obra civil descritas podrían encontrar correspondencia en las actividades previstas en la Matriz de Experiencia del Sector Salud. Por tanto, en principio, resultaría procedente la aplicación de los Documentos Tipo de Infraestructura Social. </w:t>
      </w:r>
    </w:p>
    <w:p w14:paraId="7BCECD68" w14:textId="77777777" w:rsidR="00BC4F8B" w:rsidRPr="00BC4F8B" w:rsidRDefault="00BC4F8B" w:rsidP="00BC4F8B">
      <w:pPr>
        <w:snapToGrid w:val="0"/>
        <w:spacing w:after="12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Adicionalmente, la entidad podrá estructurar requisitos de experiencia que reflejen integralmente las necesidades del proyecto, observando las reglas sobre combinación de experiencia y experiencia adicional previstas en la Resolución 539 de 2025 y en el Documento Base aplicable.</w:t>
      </w:r>
    </w:p>
    <w:p w14:paraId="47AB0FE2" w14:textId="77777777" w:rsidR="00BC4F8B" w:rsidRPr="00BC4F8B" w:rsidRDefault="00BC4F8B" w:rsidP="00BC4F8B">
      <w:pPr>
        <w:snapToGrid w:val="0"/>
        <w:spacing w:after="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Ahora bien, como resultado de la primera consulta, si resulta aplicable el documento tipo de infraestructura social - sector salud, para resolver su tercer interrogante de incluir el requisito de experiencia en suministro e instalación de equipos de enfriamiento especializados como experiencia adicional, es necesario indicar que la Resolución 539 de 2024 en su artículo cuarto estipuló la manera en la que las entidades pueden implementar, dentro de su proceso, obras, bienes o servicios adicionales a la obra pública de infraestructura social:  </w:t>
      </w:r>
    </w:p>
    <w:p w14:paraId="088D29BF" w14:textId="77777777" w:rsidR="00BC4F8B" w:rsidRPr="00BC4F8B" w:rsidRDefault="00BC4F8B" w:rsidP="00BC4F8B">
      <w:pPr>
        <w:snapToGrid w:val="0"/>
        <w:spacing w:after="0" w:line="276" w:lineRule="auto"/>
        <w:ind w:firstLine="709"/>
        <w:jc w:val="both"/>
        <w:rPr>
          <w:rFonts w:ascii="Verdana" w:eastAsia="Aptos" w:hAnsi="Verdana" w:cs="Times New Roman"/>
          <w:kern w:val="2"/>
          <w14:ligatures w14:val="standardContextual"/>
        </w:rPr>
      </w:pPr>
    </w:p>
    <w:p w14:paraId="2A87334B"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w:t>
      </w:r>
      <w:r w:rsidRPr="00BC4F8B">
        <w:rPr>
          <w:rFonts w:ascii="Verdana" w:eastAsia="Aptos" w:hAnsi="Verdana" w:cs="Times New Roman"/>
          <w:b/>
          <w:bCs/>
          <w:i/>
          <w:iCs/>
          <w:kern w:val="2"/>
          <w:sz w:val="21"/>
          <w:szCs w:val="21"/>
          <w14:ligatures w14:val="standardContextual"/>
        </w:rPr>
        <w:t>Artículo 4.  Obras, bienes o servicios adicionales a la obra pública de infraestructura social.</w:t>
      </w:r>
      <w:r w:rsidRPr="00BC4F8B">
        <w:rPr>
          <w:rFonts w:ascii="Verdana" w:eastAsia="Aptos" w:hAnsi="Verdana" w:cs="Times New Roman"/>
          <w:i/>
          <w:iCs/>
          <w:kern w:val="2"/>
          <w:sz w:val="21"/>
          <w:szCs w:val="21"/>
          <w14:ligatures w14:val="standardContextual"/>
        </w:rPr>
        <w:t> Cuando el objeto contractual incluya obras, bienes o servicios adicionales a la de obra pública de infraestructura social, la entidad estatal deberá aplicar los documentos tipo. Si de manera excepcional requiere incluir experiencia adicional para evaluar la idoneidad respecto de los bienes o servicios adicionales a la obra pública de infraestructura social, deberá seguir los siguientes parámetros: </w:t>
      </w:r>
    </w:p>
    <w:p w14:paraId="1FC792D9"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 1. Demostrar en los estudios previos que ha verificado las condiciones de mercado para la adquisición de las obras, bienes o servicios adicionales al componente de obra pública, de tal manera que la experiencia adicional que se exija para tales bienes o servicios procure la pluralidad de oferentes y no limite la concurrencia al proceso de contratación.  </w:t>
      </w:r>
    </w:p>
    <w:p w14:paraId="46595710"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Para tal efecto, la entidad realizará el estudio previo y el análisis del sector en los términos de los artículos 2.2.1.1.1.6.1 y 2.2.1.1.1.6.2 del Decreto 1082 de 2015, o la norma que los adicione, complemente o sustituya. </w:t>
      </w:r>
    </w:p>
    <w:p w14:paraId="6C6DDE8C"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2. Conservar los requisitos exigidos en los documentos tipo. </w:t>
      </w:r>
    </w:p>
    <w:p w14:paraId="4DFF839D"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lastRenderedPageBreak/>
        <w:t>3. Abstenerse de pedir experiencia exclusiva con entidades estatales, experiencia previa en un territorio específico, limitada en el tiempo o que incluya volúmenes o cantidades de obra específica.  </w:t>
      </w:r>
    </w:p>
    <w:p w14:paraId="5E690775"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4. Clasificar la experiencia requerida solo hasta el tercer nivel del Clasificador de Bienes y Servicios e incluir exclusivamente los códigos que estén relacionados directamente con el objeto a contratar. </w:t>
      </w:r>
    </w:p>
    <w:p w14:paraId="7E500325"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Parágrafo 1°. En los casos que el objeto contractual incluya actividades abarcadas por otros documentos tipo, la Entidad Estatal aplicará las reglas de combinación de experiencia previstas en el numeral 3.5.1 del documento base. </w:t>
      </w:r>
    </w:p>
    <w:p w14:paraId="5E959501"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 Parágrafo 2°. Para los efectos de este artículo se entiende por “obras, bienes o servicios adicionales” aquellas actividades que no están incluidas en la matriz de experiencia de los documentos tipo de infraestructura social aplicable, pero que están relacionadas con el contrato a ejecutar. Por ejemplo, en caso de que el proyecto de obra pública a ejecutar esté relacionado con infraestructura social, como es el sector educativo, pero, además, con proyectos de agua potable y saneamiento básico o con proyectos en la construcción de una vía, el servicio adicional serán las actividades de obra pública en infraestructura de agua potable y saneamiento básico o las actividades de obra pública de infraestructura de transporte. </w:t>
      </w:r>
    </w:p>
    <w:p w14:paraId="2B823D3A" w14:textId="77777777" w:rsidR="00BC4F8B" w:rsidRPr="00BC4F8B" w:rsidRDefault="00BC4F8B" w:rsidP="00BC4F8B">
      <w:pPr>
        <w:spacing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Parágrafo 3°. Para la aplicación de este artículo, se entiende por experiencia adicional aquella que no está definida en la matriz de experiencia de infraestructura social aplicable, pero que la Entidad Estatal considera necesaria para garantizar la idoneidad del contratista para la ejecución del proyecto, puesto que está relacionada con el objeto a ejecutar. </w:t>
      </w:r>
    </w:p>
    <w:p w14:paraId="3E73A932" w14:textId="77777777" w:rsidR="00BC4F8B" w:rsidRPr="00BC4F8B" w:rsidRDefault="00BC4F8B" w:rsidP="00BC4F8B">
      <w:pPr>
        <w:spacing w:after="0" w:line="240" w:lineRule="auto"/>
        <w:ind w:left="709" w:right="709"/>
        <w:jc w:val="both"/>
        <w:rPr>
          <w:rFonts w:ascii="Verdana" w:eastAsia="Aptos" w:hAnsi="Verdana" w:cs="Times New Roman"/>
          <w:i/>
          <w:iCs/>
          <w:kern w:val="2"/>
          <w:sz w:val="21"/>
          <w:szCs w:val="21"/>
          <w14:ligatures w14:val="standardContextual"/>
        </w:rPr>
      </w:pPr>
      <w:r w:rsidRPr="00BC4F8B">
        <w:rPr>
          <w:rFonts w:ascii="Verdana" w:eastAsia="Aptos" w:hAnsi="Verdana" w:cs="Times New Roman"/>
          <w:i/>
          <w:iCs/>
          <w:kern w:val="2"/>
          <w:sz w:val="21"/>
          <w:szCs w:val="21"/>
          <w14:ligatures w14:val="standardContextual"/>
        </w:rPr>
        <w:t>Parágrafo 4°. En caso de que la entidad considere pertinente la incorporación de experiencia para bienes o servicios adicionales a la obra pública, esta remplazará a una (1) de las actividades accesorias o secundarias.“</w:t>
      </w:r>
    </w:p>
    <w:p w14:paraId="762EB5CF" w14:textId="77777777" w:rsidR="00BC4F8B" w:rsidRPr="00BC4F8B" w:rsidRDefault="00BC4F8B" w:rsidP="00BC4F8B">
      <w:pPr>
        <w:spacing w:after="0" w:line="276" w:lineRule="auto"/>
        <w:ind w:left="709" w:right="709"/>
        <w:jc w:val="both"/>
        <w:rPr>
          <w:rFonts w:ascii="Verdana" w:eastAsia="Aptos" w:hAnsi="Verdana" w:cs="Times New Roman"/>
          <w:i/>
          <w:iCs/>
          <w:kern w:val="2"/>
          <w14:ligatures w14:val="standardContextual"/>
        </w:rPr>
      </w:pPr>
    </w:p>
    <w:p w14:paraId="7901AD72" w14:textId="77777777" w:rsidR="00BC4F8B" w:rsidRPr="00BC4F8B" w:rsidRDefault="00BC4F8B" w:rsidP="00BC4F8B">
      <w:pPr>
        <w:spacing w:after="12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Si la entidad concluye que el proceso se encuentra sometido a los Documentos Tipo de Infraestructura Social, la incorporación de experiencia relacionada con el suministro e instalación de equipos especializados deberá analizarse a la luz del artículo 4 de la Resolución 539 de 2025.</w:t>
      </w:r>
    </w:p>
    <w:p w14:paraId="5067FA4E" w14:textId="77777777" w:rsidR="00BC4F8B" w:rsidRPr="00BC4F8B" w:rsidRDefault="00BC4F8B" w:rsidP="00BC4F8B">
      <w:pPr>
        <w:spacing w:after="12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 xml:space="preserve">No obstante, debe señalarse que la Matriz de Experiencia del Sector Salud ya contempla actividades relacionadas con el suministro e instalación de equipos especiales, electromecánicos, electrónicos o maquinaria, así como sistemas de </w:t>
      </w:r>
      <w:r w:rsidRPr="00BC4F8B">
        <w:rPr>
          <w:rFonts w:ascii="Verdana" w:eastAsia="Aptos" w:hAnsi="Verdana" w:cs="Times New Roman"/>
          <w:kern w:val="2"/>
          <w14:ligatures w14:val="standardContextual"/>
        </w:rPr>
        <w:lastRenderedPageBreak/>
        <w:t>ventilación, aire acondicionado o similares. En particular, la actividad 1.14 podría resultar relevante para el análisis del caso concreto.  Por lo anterior, corresponderá a la entidad verificar inicialmente si la necesidad contractual puede satisfacerse mediante las actividades ya previstas en la Matriz de Experiencia y solo de manera excepcional, y previa justificación en los estudios previos, podría acudirse a la incorporación de experiencia adicional en los términos del artículo 4 de la Resolución 539 de 2025.</w:t>
      </w:r>
    </w:p>
    <w:p w14:paraId="3FFA60F8" w14:textId="77777777" w:rsidR="00BC4F8B" w:rsidRPr="00BC4F8B" w:rsidRDefault="00BC4F8B" w:rsidP="00BC4F8B">
      <w:pPr>
        <w:spacing w:after="12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Respecto de la incidencia del valor de cada componente, la Resolución 539 de 2025 dispone que la entidad debe considerar aspectos como la relevancia técnica, el impacto y la participación presupuestal de cada actividad dentro del proyecto, análisis que deberá quedar debidamente sustentado en los estudios previos.</w:t>
      </w:r>
    </w:p>
    <w:p w14:paraId="0366F3BF" w14:textId="77777777" w:rsidR="00BC4F8B" w:rsidRPr="00BC4F8B" w:rsidRDefault="00BC4F8B" w:rsidP="00BC4F8B">
      <w:pPr>
        <w:spacing w:after="12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Así las cosas y en caso de que la entidad dentro de su análisis integral de proyecto determine claramente que ni la actividad 1.14 de la matriz del sector salud, ni alguna de las matrices expedidas por parte de la Agencia abarca sus necesidades, así deberá consignarlo en sus estudios previos para, de manera excepcional, incluir experiencia adicional.</w:t>
      </w:r>
    </w:p>
    <w:p w14:paraId="1FA19E36" w14:textId="77777777" w:rsidR="00BC4F8B" w:rsidRPr="00BC4F8B" w:rsidRDefault="00BC4F8B" w:rsidP="00BC4F8B">
      <w:pPr>
        <w:spacing w:after="12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 xml:space="preserve">Para responder su cuarta consulta, debe advertirse que la verificación de las condiciones de mercado debe realizarse mediante el estudio del sector y los estudios previos elaborados conforme a los artículos 2.2.1.1.1.6.1 y 2.2.1.1.1.6.2 del Decreto 1082 de 2015, garantizando que cualquier requisito adicional de experiencia preserve la pluralidad de oferentes y no limite injustificadamente la concurrencia.  En ese sentido, la entidad deberá soportar, como mínimo, la identificación y caracterización del mercado relevante, la existencia de potenciales proveedores con capacidad para ejecutar el objeto contractual, la correspondencia entre la experiencia exigida y las necesidades reales del proyecto, la razonabilidad y proporcionalidad de los requisitos establecidos, la preservación de condiciones efectivas de competencia y pluralidad de oferentes.  Para tal efecto, se recomienda consultar la Guía para la Elaboración de Estudios del Sector publicada por Colombia Compra Eficiente, publicada en la página de la ANCP-CCE en el siguiente link: </w:t>
      </w:r>
      <w:hyperlink r:id="rId12" w:history="1">
        <w:r w:rsidRPr="00BC4F8B">
          <w:rPr>
            <w:rFonts w:ascii="Verdana" w:eastAsia="Aptos" w:hAnsi="Verdana" w:cs="Times New Roman"/>
            <w:color w:val="467886"/>
            <w:kern w:val="2"/>
            <w:u w:val="single"/>
            <w:lang w:val="es-MX"/>
            <w14:ligatures w14:val="standardContextual"/>
          </w:rPr>
          <w:t>Guía para la Elaboración de Estudios del Sector – ANCP Colombia Compra Eficiente</w:t>
        </w:r>
      </w:hyperlink>
    </w:p>
    <w:p w14:paraId="163F3D75" w14:textId="77777777" w:rsidR="00BC4F8B" w:rsidRPr="00BC4F8B" w:rsidRDefault="00BC4F8B" w:rsidP="00BC4F8B">
      <w:pPr>
        <w:spacing w:after="0" w:line="276" w:lineRule="auto"/>
        <w:ind w:firstLine="709"/>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 xml:space="preserve">Para la quinta consulta, la procedencia de adelantar uno o varios procesos de contratación corresponde al análisis de planeación que efectúe la entidad en cada caso concreto.  En consecuencia, Colombia Compra Eficiente no puede </w:t>
      </w:r>
      <w:r w:rsidRPr="00BC4F8B">
        <w:rPr>
          <w:rFonts w:ascii="Verdana" w:eastAsia="Aptos" w:hAnsi="Verdana" w:cs="Times New Roman"/>
          <w:kern w:val="2"/>
          <w14:ligatures w14:val="standardContextual"/>
        </w:rPr>
        <w:lastRenderedPageBreak/>
        <w:t>pronunciarse sobre la viabilidad de estructurar el proyecto mediante uno o varios procesos específicos.  No obstante, la entidad deberá evaluar, en el marco de los principios de planeación, economía, eficiencia y responsabilidad, si las actividades de obra civil y las relacionadas con el suministro e instalación del equipo especializado constituyen prestaciones técnica y funcionalmente independientes o si, por el contrario, presentan un grado de integración que justifique su contratación conjunta. Dicho análisis deberá reflejarse y sustentarse en los estudios previos correspondientes.</w:t>
      </w:r>
    </w:p>
    <w:p w14:paraId="1325820E" w14:textId="77777777" w:rsidR="00BC4F8B" w:rsidRPr="00BC4F8B" w:rsidRDefault="00BC4F8B" w:rsidP="00BC4F8B">
      <w:pPr>
        <w:spacing w:after="0" w:line="276" w:lineRule="auto"/>
        <w:ind w:firstLine="709"/>
        <w:jc w:val="both"/>
        <w:rPr>
          <w:rFonts w:ascii="Verdana" w:eastAsia="Aptos" w:hAnsi="Verdana" w:cs="Times New Roman"/>
          <w:kern w:val="2"/>
          <w14:ligatures w14:val="standardContextual"/>
        </w:rPr>
      </w:pPr>
    </w:p>
    <w:p w14:paraId="20FB10AE" w14:textId="77777777" w:rsidR="00BC4F8B" w:rsidRPr="00BC4F8B" w:rsidRDefault="00BC4F8B" w:rsidP="00BC4F8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BC4F8B">
        <w:rPr>
          <w:rFonts w:ascii="Verdana" w:eastAsia="Century Gothic" w:hAnsi="Verdana" w:cs="Century Gothic"/>
          <w:b/>
          <w:bCs/>
          <w:lang w:val="es-ES" w:eastAsia="es-MX"/>
        </w:rPr>
        <w:t>Referencias normativas, jurisprudenciales y otras fuentes:</w:t>
      </w:r>
    </w:p>
    <w:p w14:paraId="5ABBA286" w14:textId="77777777" w:rsidR="00BC4F8B" w:rsidRPr="00BC4F8B" w:rsidRDefault="00BC4F8B" w:rsidP="00BC4F8B">
      <w:pPr>
        <w:widowControl w:val="0"/>
        <w:autoSpaceDE w:val="0"/>
        <w:autoSpaceDN w:val="0"/>
        <w:spacing w:after="0" w:line="276" w:lineRule="auto"/>
        <w:jc w:val="both"/>
        <w:rPr>
          <w:rFonts w:ascii="Verdana" w:eastAsia="Calibri" w:hAnsi="Verdana" w:cs="Arial"/>
          <w:lang w:eastAsia="es-MX"/>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BC4F8B" w:rsidRPr="00BC4F8B" w14:paraId="25BA2D27" w14:textId="77777777" w:rsidTr="00C828F5">
        <w:trPr>
          <w:trHeight w:val="870"/>
        </w:trPr>
        <w:tc>
          <w:tcPr>
            <w:tcW w:w="8647" w:type="dxa"/>
          </w:tcPr>
          <w:p w14:paraId="6B56DB2C" w14:textId="77777777" w:rsidR="00BC4F8B" w:rsidRPr="00BC4F8B" w:rsidRDefault="00BC4F8B" w:rsidP="00BC4F8B">
            <w:pPr>
              <w:widowControl w:val="0"/>
              <w:numPr>
                <w:ilvl w:val="0"/>
                <w:numId w:val="17"/>
              </w:numPr>
              <w:autoSpaceDE w:val="0"/>
              <w:autoSpaceDN w:val="0"/>
              <w:spacing w:after="120" w:line="276" w:lineRule="auto"/>
              <w:jc w:val="both"/>
              <w:rPr>
                <w:rFonts w:ascii="Verdana" w:eastAsia="Calibri" w:hAnsi="Verdana" w:cs="Arial"/>
                <w:lang w:eastAsia="es-MX"/>
              </w:rPr>
            </w:pPr>
            <w:r w:rsidRPr="00BC4F8B">
              <w:rPr>
                <w:rFonts w:ascii="Verdana" w:eastAsia="Calibri" w:hAnsi="Verdana" w:cs="Arial"/>
                <w:lang w:eastAsia="es-MX"/>
              </w:rPr>
              <w:t>Ley 2022 de 2020, artículo 1.</w:t>
            </w:r>
          </w:p>
          <w:p w14:paraId="7E2327C8" w14:textId="77777777" w:rsidR="00BC4F8B" w:rsidRPr="00BC4F8B" w:rsidRDefault="00BC4F8B" w:rsidP="00BC4F8B">
            <w:pPr>
              <w:widowControl w:val="0"/>
              <w:numPr>
                <w:ilvl w:val="0"/>
                <w:numId w:val="17"/>
              </w:numPr>
              <w:autoSpaceDE w:val="0"/>
              <w:autoSpaceDN w:val="0"/>
              <w:spacing w:after="120" w:line="276" w:lineRule="auto"/>
              <w:jc w:val="both"/>
              <w:rPr>
                <w:rFonts w:ascii="Verdana" w:eastAsia="Calibri" w:hAnsi="Verdana" w:cs="Arial"/>
                <w:lang w:eastAsia="es-MX"/>
              </w:rPr>
            </w:pPr>
            <w:r w:rsidRPr="00BC4F8B">
              <w:rPr>
                <w:rFonts w:ascii="Verdana" w:eastAsia="Calibri" w:hAnsi="Verdana" w:cs="Arial"/>
                <w:lang w:eastAsia="es-MX"/>
              </w:rPr>
              <w:t>Documentos tipo de obra pública de infraestructura social</w:t>
            </w:r>
            <w:r w:rsidRPr="00BC4F8B">
              <w:rPr>
                <w:rFonts w:ascii="Verdana" w:eastAsia="Calibri" w:hAnsi="Verdana" w:cs="Arial"/>
                <w:i/>
                <w:iCs/>
                <w:lang w:eastAsia="es-MX"/>
              </w:rPr>
              <w:t xml:space="preserve">. </w:t>
            </w:r>
            <w:r w:rsidRPr="00BC4F8B">
              <w:rPr>
                <w:rFonts w:ascii="Verdana" w:eastAsia="Calibri" w:hAnsi="Verdana" w:cs="Arial"/>
                <w:lang w:eastAsia="es-MX"/>
              </w:rPr>
              <w:t xml:space="preserve">Disponibles en: </w:t>
            </w:r>
            <w:hyperlink r:id="rId13" w:history="1">
              <w:r w:rsidRPr="00BC4F8B">
                <w:rPr>
                  <w:rFonts w:ascii="Verdana" w:eastAsia="Calibri" w:hAnsi="Verdana" w:cs="Arial"/>
                  <w:color w:val="467886"/>
                  <w:u w:val="single"/>
                  <w:lang w:eastAsia="es-MX"/>
                </w:rPr>
                <w:t>https://www.colombiacompra.gov.co/normativa-y-relatoria/documentos-tipo</w:t>
              </w:r>
            </w:hyperlink>
            <w:r w:rsidRPr="00BC4F8B">
              <w:rPr>
                <w:rFonts w:ascii="Verdana" w:eastAsia="Calibri" w:hAnsi="Verdana" w:cs="Arial"/>
                <w:lang w:eastAsia="es-MX"/>
              </w:rPr>
              <w:t>.</w:t>
            </w:r>
            <w:r w:rsidRPr="00BC4F8B">
              <w:rPr>
                <w:rFonts w:ascii="Verdana" w:eastAsia="Calibri" w:hAnsi="Verdana" w:cs="Arial"/>
                <w:vertAlign w:val="superscript"/>
                <w:lang w:eastAsia="es-MX"/>
              </w:rPr>
              <w:t xml:space="preserve"> </w:t>
            </w:r>
          </w:p>
        </w:tc>
      </w:tr>
    </w:tbl>
    <w:p w14:paraId="7262F0A1" w14:textId="77777777" w:rsidR="00BC4F8B" w:rsidRPr="00BC4F8B" w:rsidRDefault="00BC4F8B" w:rsidP="00BC4F8B">
      <w:pPr>
        <w:tabs>
          <w:tab w:val="left" w:pos="142"/>
          <w:tab w:val="left" w:pos="284"/>
        </w:tabs>
        <w:spacing w:after="0" w:line="276" w:lineRule="auto"/>
        <w:jc w:val="both"/>
        <w:rPr>
          <w:rFonts w:ascii="Verdana" w:eastAsia="Calibri" w:hAnsi="Verdana" w:cs="Arial"/>
          <w:lang w:eastAsia="es-MX"/>
        </w:rPr>
      </w:pPr>
    </w:p>
    <w:p w14:paraId="58B64AEC" w14:textId="77777777" w:rsidR="00BC4F8B" w:rsidRPr="00BC4F8B" w:rsidRDefault="00BC4F8B" w:rsidP="00BC4F8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BC4F8B">
        <w:rPr>
          <w:rFonts w:ascii="Verdana" w:eastAsia="Century Gothic" w:hAnsi="Verdana" w:cs="Century Gothic"/>
          <w:b/>
          <w:bCs/>
          <w:lang w:val="es-ES" w:eastAsia="es-MX"/>
        </w:rPr>
        <w:t>Doctrina de la Agencia Nacional de Contratación Pública:</w:t>
      </w:r>
    </w:p>
    <w:p w14:paraId="64651214" w14:textId="77777777" w:rsidR="00BC4F8B" w:rsidRPr="00BC4F8B" w:rsidRDefault="00BC4F8B" w:rsidP="00BC4F8B">
      <w:pPr>
        <w:widowControl w:val="0"/>
        <w:autoSpaceDE w:val="0"/>
        <w:autoSpaceDN w:val="0"/>
        <w:spacing w:after="0" w:line="276" w:lineRule="auto"/>
        <w:jc w:val="both"/>
        <w:rPr>
          <w:rFonts w:ascii="Verdana" w:eastAsia="Calibri" w:hAnsi="Verdana" w:cs="Arial"/>
          <w:lang w:eastAsia="es-MX"/>
        </w:rPr>
      </w:pPr>
    </w:p>
    <w:p w14:paraId="14737B02" w14:textId="77777777" w:rsidR="00BC4F8B" w:rsidRPr="00BC4F8B" w:rsidRDefault="00BC4F8B" w:rsidP="00BC4F8B">
      <w:pPr>
        <w:widowControl w:val="0"/>
        <w:autoSpaceDE w:val="0"/>
        <w:autoSpaceDN w:val="0"/>
        <w:spacing w:after="0" w:line="276" w:lineRule="auto"/>
        <w:jc w:val="both"/>
        <w:rPr>
          <w:rFonts w:ascii="Verdana" w:eastAsia="Times New Roman" w:hAnsi="Verdana" w:cs="Arial"/>
          <w:shd w:val="clear" w:color="auto" w:fill="FFFFFF"/>
          <w:lang w:val="es-ES"/>
        </w:rPr>
      </w:pPr>
      <w:r w:rsidRPr="00BC4F8B">
        <w:rPr>
          <w:rFonts w:ascii="Verdana" w:eastAsia="Calibri" w:hAnsi="Verdana" w:cs="Arial"/>
          <w:shd w:val="clear" w:color="auto" w:fill="FFFFFF"/>
          <w:lang w:val="es-ES" w:eastAsia="es-MX"/>
        </w:rPr>
        <w:t>La Agencia Nacional de Contratación Pública – Colombia Compra Eficiente se pronunció</w:t>
      </w:r>
      <w:r w:rsidRPr="00BC4F8B">
        <w:rPr>
          <w:rFonts w:ascii="Aptos" w:eastAsia="Aptos" w:hAnsi="Aptos" w:cs="Times New Roman"/>
          <w:sz w:val="24"/>
          <w:szCs w:val="24"/>
          <w:lang w:eastAsia="es-MX"/>
        </w:rPr>
        <w:t xml:space="preserve"> </w:t>
      </w:r>
      <w:r w:rsidRPr="00BC4F8B">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C-486 del 7 de mayo de 2026, entre otros.</w:t>
      </w:r>
      <w:r w:rsidRPr="00BC4F8B">
        <w:rPr>
          <w:rFonts w:ascii="Verdana" w:eastAsia="Calibri" w:hAnsi="Verdana" w:cs="Arial"/>
          <w:color w:val="000000"/>
          <w:shd w:val="clear" w:color="auto" w:fill="FFFFFF"/>
        </w:rPr>
        <w:t xml:space="preserve">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4" w:history="1">
        <w:r w:rsidRPr="00BC4F8B">
          <w:rPr>
            <w:rFonts w:ascii="Verdana" w:eastAsia="Aptos" w:hAnsi="Verdana" w:cs="Arial"/>
            <w:color w:val="0000FF"/>
            <w:kern w:val="2"/>
            <w:u w:val="single"/>
            <w:shd w:val="clear" w:color="auto" w:fill="FFFFFF"/>
            <w14:ligatures w14:val="standardContextual"/>
          </w:rPr>
          <w:t>https://relatoria.colombiacompra.gov.co/busqueda/conceptos</w:t>
        </w:r>
      </w:hyperlink>
      <w:r w:rsidRPr="00BC4F8B">
        <w:rPr>
          <w:rFonts w:ascii="Verdana" w:eastAsia="Aptos" w:hAnsi="Verdana" w:cs="Arial"/>
          <w:kern w:val="2"/>
          <w:shd w:val="clear" w:color="auto" w:fill="FFFFFF"/>
          <w14:ligatures w14:val="standardContextual"/>
        </w:rPr>
        <w:t xml:space="preserve">. </w:t>
      </w:r>
      <w:r w:rsidRPr="00BC4F8B">
        <w:rPr>
          <w:rFonts w:ascii="Verdana" w:eastAsia="Aptos" w:hAnsi="Verdana" w:cs="Arial"/>
          <w:color w:val="FF0000"/>
          <w:kern w:val="2"/>
          <w:shd w:val="clear" w:color="auto" w:fill="FFFFFF"/>
          <w:lang w:val="es-ES"/>
          <w14:ligatures w14:val="standardContextual"/>
        </w:rPr>
        <w:t xml:space="preserve">  </w:t>
      </w:r>
    </w:p>
    <w:p w14:paraId="2D42CB3A" w14:textId="77777777" w:rsidR="00BC4F8B" w:rsidRPr="00BC4F8B" w:rsidRDefault="00BC4F8B" w:rsidP="00BC4F8B">
      <w:pPr>
        <w:spacing w:after="0" w:line="240" w:lineRule="auto"/>
        <w:jc w:val="both"/>
        <w:rPr>
          <w:rFonts w:ascii="Verdana" w:eastAsia="Calibri" w:hAnsi="Verdana" w:cs="Arial"/>
          <w:color w:val="000000"/>
          <w:shd w:val="clear" w:color="auto" w:fill="FFFFFF"/>
        </w:rPr>
      </w:pPr>
    </w:p>
    <w:p w14:paraId="767B3F31" w14:textId="77777777" w:rsidR="00BC4F8B" w:rsidRPr="00BC4F8B" w:rsidRDefault="00BC4F8B" w:rsidP="00BC4F8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C4F8B">
        <w:rPr>
          <w:rFonts w:ascii="Verdana" w:eastAsia="Calibri" w:hAnsi="Verdana" w:cs="Arial"/>
          <w:kern w:val="2"/>
          <w:shd w:val="clear" w:color="auto" w:fill="FFFFFF"/>
          <w:lang w:val="es-ES_tradnl"/>
          <w14:ligatures w14:val="standardContextual"/>
        </w:rPr>
        <w:t>La</w:t>
      </w:r>
      <w:r w:rsidRPr="00BC4F8B">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BC4F8B">
        <w:rPr>
          <w:rFonts w:ascii="Verdana" w:eastAsia="Calibri" w:hAnsi="Verdana" w:cs="Arial"/>
          <w:kern w:val="2"/>
          <w:shd w:val="clear" w:color="auto" w:fill="FFFFFF"/>
          <w:lang w:val="es-ES_tradnl"/>
          <w14:ligatures w14:val="standardContextual"/>
        </w:rPr>
        <w:t xml:space="preserve"> recomienda a todas las entidades públicas, independientemente de su </w:t>
      </w:r>
      <w:r w:rsidRPr="00BC4F8B">
        <w:rPr>
          <w:rFonts w:ascii="Verdana" w:eastAsia="Calibri" w:hAnsi="Verdana" w:cs="Arial"/>
          <w:kern w:val="2"/>
          <w:shd w:val="clear" w:color="auto" w:fill="FFFFFF"/>
          <w:lang w:val="es-ES_tradnl"/>
          <w14:ligatures w14:val="standardContextual"/>
        </w:rPr>
        <w:lastRenderedPageBreak/>
        <w:t>naturaleza, que gestionan recursos públicos, la aplicación de los </w:t>
      </w:r>
      <w:r w:rsidRPr="00BC4F8B">
        <w:rPr>
          <w:rFonts w:ascii="Verdana" w:eastAsia="Calibri" w:hAnsi="Verdana" w:cs="Arial"/>
          <w:b/>
          <w:bCs/>
          <w:kern w:val="2"/>
          <w:shd w:val="clear" w:color="auto" w:fill="FFFFFF"/>
          <w:lang w:val="es-ES_tradnl"/>
          <w14:ligatures w14:val="standardContextual"/>
        </w:rPr>
        <w:t>Documentos Tipo</w:t>
      </w:r>
      <w:r w:rsidRPr="00BC4F8B">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BC4F8B">
        <w:rPr>
          <w:rFonts w:ascii="Verdana" w:eastAsia="Calibri" w:hAnsi="Verdana" w:cs="Arial"/>
          <w:b/>
          <w:bCs/>
          <w:kern w:val="2"/>
          <w:shd w:val="clear" w:color="auto" w:fill="FFFFFF"/>
          <w:lang w:val="es-ES_tradnl"/>
          <w14:ligatures w14:val="standardContextual"/>
        </w:rPr>
        <w:t>transparencia</w:t>
      </w:r>
      <w:r w:rsidRPr="00BC4F8B">
        <w:rPr>
          <w:rFonts w:ascii="Verdana" w:eastAsia="Calibri" w:hAnsi="Verdana" w:cs="Arial"/>
          <w:kern w:val="2"/>
          <w:shd w:val="clear" w:color="auto" w:fill="FFFFFF"/>
          <w:lang w:val="es-ES_tradnl"/>
          <w14:ligatures w14:val="standardContextual"/>
        </w:rPr>
        <w:t> y promover un proceso de </w:t>
      </w:r>
      <w:r w:rsidRPr="00BC4F8B">
        <w:rPr>
          <w:rFonts w:ascii="Verdana" w:eastAsia="Calibri" w:hAnsi="Verdana" w:cs="Arial"/>
          <w:b/>
          <w:bCs/>
          <w:kern w:val="2"/>
          <w:shd w:val="clear" w:color="auto" w:fill="FFFFFF"/>
          <w:lang w:val="es-ES_tradnl"/>
          <w14:ligatures w14:val="standardContextual"/>
        </w:rPr>
        <w:t>selección objetiva</w:t>
      </w:r>
      <w:r w:rsidRPr="00BC4F8B">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13433CF" w14:textId="77777777" w:rsidR="00BC4F8B" w:rsidRPr="00BC4F8B" w:rsidRDefault="00BC4F8B" w:rsidP="00BC4F8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AB47386" w14:textId="77777777" w:rsidR="00BC4F8B" w:rsidRPr="00BC4F8B" w:rsidRDefault="00BC4F8B" w:rsidP="00BC4F8B">
      <w:pPr>
        <w:spacing w:after="0" w:line="276" w:lineRule="auto"/>
        <w:jc w:val="both"/>
        <w:rPr>
          <w:rFonts w:ascii="Verdana" w:eastAsia="Aptos" w:hAnsi="Verdana" w:cs="Times New Roman"/>
          <w:kern w:val="2"/>
          <w:lang w:val="es-ES_tradnl"/>
          <w14:ligatures w14:val="standardContextual"/>
        </w:rPr>
      </w:pPr>
      <w:r w:rsidRPr="00BC4F8B">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BC4F8B">
        <w:rPr>
          <w:rFonts w:ascii="Verdana" w:eastAsia="Aptos" w:hAnsi="Verdana" w:cs="Times New Roman"/>
          <w:b/>
          <w:bCs/>
          <w:kern w:val="2"/>
          <w14:ligatures w14:val="standardContextual"/>
        </w:rPr>
        <w:t>Guía para la Exigencia y Constitución de Garantías en los Procesos de Contratación</w:t>
      </w:r>
      <w:r w:rsidRPr="00BC4F8B">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5" w:tgtFrame="_blank" w:tooltip="Original URL: https://www.colombiacompra.gov.co/archivos/manual/guia-de-garantias-en-procesos-de-contratacion. Click or tap if you trust this link." w:history="1">
        <w:r w:rsidRPr="00BC4F8B">
          <w:rPr>
            <w:rFonts w:ascii="Verdana" w:eastAsia="Aptos" w:hAnsi="Verdana" w:cs="Times New Roman"/>
            <w:color w:val="0000FF"/>
            <w:kern w:val="2"/>
            <w:u w:val="single"/>
            <w14:ligatures w14:val="standardContextual"/>
          </w:rPr>
          <w:t>https://www.colombiacompra.gov.co/archivos/manual/guia-de-garantias-en-procesos-de-contratacion</w:t>
        </w:r>
      </w:hyperlink>
    </w:p>
    <w:p w14:paraId="77C0C819" w14:textId="77777777" w:rsidR="00BC4F8B" w:rsidRPr="00BC4F8B" w:rsidRDefault="00BC4F8B" w:rsidP="00BC4F8B">
      <w:pPr>
        <w:spacing w:after="0" w:line="276" w:lineRule="auto"/>
        <w:jc w:val="both"/>
        <w:rPr>
          <w:rFonts w:ascii="Verdana" w:eastAsia="Aptos" w:hAnsi="Verdana" w:cs="Times New Roman"/>
          <w:kern w:val="2"/>
          <w14:ligatures w14:val="standardContextual"/>
        </w:rPr>
      </w:pPr>
    </w:p>
    <w:p w14:paraId="39C960FE" w14:textId="77777777" w:rsidR="00BC4F8B" w:rsidRPr="00BC4F8B" w:rsidRDefault="00BC4F8B" w:rsidP="00BC4F8B">
      <w:pPr>
        <w:spacing w:after="0" w:line="276" w:lineRule="auto"/>
        <w:jc w:val="both"/>
        <w:rPr>
          <w:rFonts w:ascii="Verdana" w:eastAsia="Aptos" w:hAnsi="Verdana" w:cs="Times New Roman"/>
          <w:kern w:val="2"/>
          <w:lang w:val="es-ES_tradnl"/>
          <w14:ligatures w14:val="standardContextual"/>
        </w:rPr>
      </w:pPr>
      <w:r w:rsidRPr="00BC4F8B">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BC4F8B">
        <w:rPr>
          <w:rFonts w:ascii="Verdana" w:eastAsia="Aptos" w:hAnsi="Verdana" w:cs="Times New Roman"/>
          <w:b/>
          <w:bCs/>
          <w:kern w:val="2"/>
          <w14:ligatures w14:val="standardContextual"/>
        </w:rPr>
        <w:t>Sistema Integral de Preferencias en favor de las personas con discapacidad</w:t>
      </w:r>
      <w:r w:rsidRPr="00BC4F8B">
        <w:rPr>
          <w:rFonts w:ascii="Verdana" w:eastAsia="Aptos" w:hAnsi="Verdana" w:cs="Times New Roman"/>
          <w:kern w:val="2"/>
          <w14:ligatures w14:val="standardContextual"/>
        </w:rPr>
        <w:t>, en cumplimiento del artículo 13 de la Ley Estatutaria 1618 de 2013. Para orientar su aplicación, esta Agencia expidió la </w:t>
      </w:r>
      <w:r w:rsidRPr="00BC4F8B">
        <w:rPr>
          <w:rFonts w:ascii="Verdana" w:eastAsia="Aptos" w:hAnsi="Verdana" w:cs="Times New Roman"/>
          <w:b/>
          <w:bCs/>
          <w:kern w:val="2"/>
          <w14:ligatures w14:val="standardContextual"/>
        </w:rPr>
        <w:t>Circular Externa 003 del 12 de mayo de 2026, </w:t>
      </w:r>
      <w:r w:rsidRPr="00BC4F8B">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6" w:tgtFrame="_blank" w:tooltip="Original URL: https://www.colombiacompra.gov.co/archivos/circular/circular-externa-003-de-2026. Click or tap if you trust this link." w:history="1">
        <w:r w:rsidRPr="00BC4F8B">
          <w:rPr>
            <w:rFonts w:ascii="Verdana" w:eastAsia="Aptos" w:hAnsi="Verdana" w:cs="Times New Roman"/>
            <w:color w:val="0000FF"/>
            <w:kern w:val="2"/>
            <w:u w:val="single"/>
            <w14:ligatures w14:val="standardContextual"/>
          </w:rPr>
          <w:t>https://www.colombiacompra.gov.co/archivos/circular/circular-externa-003-de-2026</w:t>
        </w:r>
      </w:hyperlink>
    </w:p>
    <w:p w14:paraId="7D9AB820" w14:textId="77777777" w:rsidR="00BC4F8B" w:rsidRPr="00BC4F8B" w:rsidRDefault="00BC4F8B" w:rsidP="00BC4F8B">
      <w:pPr>
        <w:spacing w:after="0" w:line="276" w:lineRule="auto"/>
        <w:jc w:val="both"/>
        <w:rPr>
          <w:rFonts w:ascii="Verdana" w:eastAsia="Aptos" w:hAnsi="Verdana" w:cs="Times New Roman"/>
          <w:kern w:val="2"/>
          <w14:ligatures w14:val="standardContextual"/>
        </w:rPr>
      </w:pPr>
    </w:p>
    <w:p w14:paraId="3396AB3F" w14:textId="77777777" w:rsidR="00BC4F8B" w:rsidRPr="00BC4F8B" w:rsidRDefault="00BC4F8B" w:rsidP="00BC4F8B">
      <w:pPr>
        <w:spacing w:after="0" w:line="276" w:lineRule="auto"/>
        <w:jc w:val="both"/>
        <w:rPr>
          <w:rFonts w:ascii="Verdana" w:eastAsia="Aptos" w:hAnsi="Verdana" w:cs="Times New Roman"/>
          <w:kern w:val="2"/>
          <w:lang w:val="es-ES_tradnl"/>
          <w14:ligatures w14:val="standardContextual"/>
        </w:rPr>
      </w:pPr>
      <w:r w:rsidRPr="00BC4F8B">
        <w:rPr>
          <w:rFonts w:ascii="Verdana" w:eastAsia="Aptos" w:hAnsi="Verdana" w:cs="Times New Roman"/>
          <w:kern w:val="2"/>
          <w14:ligatures w14:val="standardContextual"/>
        </w:rPr>
        <w:t>Recuerde también que la</w:t>
      </w:r>
      <w:r w:rsidRPr="00BC4F8B">
        <w:rPr>
          <w:rFonts w:ascii="Verdana" w:eastAsia="Aptos" w:hAnsi="Verdana" w:cs="Times New Roman"/>
          <w:b/>
          <w:bCs/>
          <w:kern w:val="2"/>
          <w14:ligatures w14:val="standardContextual"/>
        </w:rPr>
        <w:t> información sobre sanciones e inhabilidades </w:t>
      </w:r>
      <w:r w:rsidRPr="00BC4F8B">
        <w:rPr>
          <w:rFonts w:ascii="Verdana" w:eastAsia="Aptos" w:hAnsi="Verdana" w:cs="Times New Roman"/>
          <w:kern w:val="2"/>
          <w14:ligatures w14:val="standardContextual"/>
        </w:rPr>
        <w:t>solo cumple su función preventiva si llega oportunamente a los registros públicos. Sobre este deber, esta Agencia expidió la </w:t>
      </w:r>
      <w:r w:rsidRPr="00BC4F8B">
        <w:rPr>
          <w:rFonts w:ascii="Verdana" w:eastAsia="Aptos" w:hAnsi="Verdana" w:cs="Times New Roman"/>
          <w:b/>
          <w:bCs/>
          <w:kern w:val="2"/>
          <w14:ligatures w14:val="standardContextual"/>
        </w:rPr>
        <w:t>Circular Externa 002 del 5 de mayo de 2026,</w:t>
      </w:r>
      <w:r w:rsidRPr="00BC4F8B">
        <w:rPr>
          <w:rFonts w:ascii="Verdana" w:eastAsia="Aptos" w:hAnsi="Verdana" w:cs="Times New Roman"/>
          <w:kern w:val="2"/>
          <w14:ligatures w14:val="standardContextual"/>
        </w:rPr>
        <w:t xml:space="preserve"> dirigida a todas las entidades del Estado sin distinción de su régimen </w:t>
      </w:r>
      <w:r w:rsidRPr="00BC4F8B">
        <w:rPr>
          <w:rFonts w:ascii="Verdana" w:eastAsia="Aptos" w:hAnsi="Verdana" w:cs="Times New Roman"/>
          <w:kern w:val="2"/>
          <w14:ligatures w14:val="standardContextual"/>
        </w:rPr>
        <w:lastRenderedPageBreak/>
        <w:t>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Original URL: https://www.colombiacompra.gov.co/archivos/circular/circular-externa-002-de-2026. Click or tap if you trust this link." w:history="1">
        <w:r w:rsidRPr="00BC4F8B">
          <w:rPr>
            <w:rFonts w:ascii="Verdana" w:eastAsia="Aptos" w:hAnsi="Verdana" w:cs="Times New Roman"/>
            <w:color w:val="0000FF"/>
            <w:kern w:val="2"/>
            <w:u w:val="single"/>
            <w14:ligatures w14:val="standardContextual"/>
          </w:rPr>
          <w:t>https://www.colombiacompra.gov.co/archivos/circular/circular-externa-002-de-2026</w:t>
        </w:r>
      </w:hyperlink>
    </w:p>
    <w:p w14:paraId="36346109" w14:textId="77777777" w:rsidR="00BC4F8B" w:rsidRPr="00BC4F8B" w:rsidRDefault="00BC4F8B" w:rsidP="00BC4F8B">
      <w:pPr>
        <w:spacing w:after="0" w:line="276" w:lineRule="auto"/>
        <w:jc w:val="both"/>
        <w:rPr>
          <w:rFonts w:ascii="Verdana" w:eastAsia="Aptos" w:hAnsi="Verdana" w:cs="Times New Roman"/>
          <w:kern w:val="2"/>
          <w14:ligatures w14:val="standardContextual"/>
        </w:rPr>
      </w:pPr>
    </w:p>
    <w:p w14:paraId="127B653F" w14:textId="77777777" w:rsidR="00BC4F8B" w:rsidRPr="00BC4F8B" w:rsidRDefault="00BC4F8B" w:rsidP="00BC4F8B">
      <w:pPr>
        <w:spacing w:after="0" w:line="276" w:lineRule="auto"/>
        <w:jc w:val="both"/>
        <w:rPr>
          <w:rFonts w:ascii="Verdana" w:eastAsia="Aptos" w:hAnsi="Verdana" w:cs="Times New Roman"/>
          <w:kern w:val="2"/>
          <w14:ligatures w14:val="standardContextual"/>
        </w:rPr>
      </w:pPr>
      <w:r w:rsidRPr="00BC4F8B">
        <w:rPr>
          <w:rFonts w:ascii="Verdana" w:eastAsia="Aptos" w:hAnsi="Verdana" w:cs="Times New Roman"/>
          <w:kern w:val="2"/>
          <w14:ligatures w14:val="standardContextual"/>
        </w:rPr>
        <w:t>Finalmente, si quiere seguir de cerca la actividad de la Agencia, la tercera edición de 2026 del</w:t>
      </w:r>
      <w:r w:rsidRPr="00BC4F8B">
        <w:rPr>
          <w:rFonts w:ascii="Verdana" w:eastAsia="Aptos" w:hAnsi="Verdana" w:cs="Times New Roman"/>
          <w:b/>
          <w:bCs/>
          <w:kern w:val="2"/>
          <w14:ligatures w14:val="standardContextual"/>
        </w:rPr>
        <w:t> Radar de la Compra Pública</w:t>
      </w:r>
      <w:r w:rsidRPr="00BC4F8B">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8" w:tgtFrame="_blank" w:tooltip="Original URL: https://www.colombiacompra.gov.co/archivos/boletin/boletin-edicion-n-3-de-2026-radar-de-la-compra-publica. Click or tap if you trust this link." w:history="1">
        <w:r w:rsidRPr="00BC4F8B">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22E7E699" w14:textId="77777777" w:rsidR="00BC4F8B" w:rsidRPr="00BC4F8B" w:rsidRDefault="00BC4F8B" w:rsidP="00BC4F8B">
      <w:pPr>
        <w:widowControl w:val="0"/>
        <w:autoSpaceDE w:val="0"/>
        <w:autoSpaceDN w:val="0"/>
        <w:spacing w:after="0" w:line="276" w:lineRule="auto"/>
        <w:jc w:val="both"/>
        <w:rPr>
          <w:rFonts w:ascii="Verdana" w:eastAsia="Calibri" w:hAnsi="Verdana" w:cs="Arial"/>
          <w:shd w:val="clear" w:color="auto" w:fill="FFFFFF"/>
          <w:lang w:val="es-ES_tradnl"/>
        </w:rPr>
      </w:pPr>
    </w:p>
    <w:p w14:paraId="358644B7" w14:textId="77777777" w:rsidR="00BC4F8B" w:rsidRPr="00BC4F8B" w:rsidRDefault="00BC4F8B" w:rsidP="00BC4F8B">
      <w:pPr>
        <w:spacing w:after="0" w:line="276" w:lineRule="auto"/>
        <w:jc w:val="both"/>
        <w:rPr>
          <w:rFonts w:ascii="Verdana" w:eastAsia="Calibri" w:hAnsi="Verdana" w:cs="Times New Roman"/>
          <w:lang w:val="es-ES_tradnl"/>
        </w:rPr>
      </w:pPr>
      <w:r w:rsidRPr="00BC4F8B">
        <w:rPr>
          <w:rFonts w:ascii="Verdana" w:eastAsia="Calibri" w:hAnsi="Verdana" w:cs="Times New Roman"/>
          <w:lang w:val="es-ES_tradnl"/>
        </w:rPr>
        <w:t xml:space="preserve">Por último, los invitamos a seguirnos en las redes sociales, en las cuales se difunde información institucional: </w:t>
      </w:r>
    </w:p>
    <w:p w14:paraId="7B06DEBE" w14:textId="77777777" w:rsidR="00BC4F8B" w:rsidRPr="00BC4F8B" w:rsidRDefault="00BC4F8B" w:rsidP="00BC4F8B">
      <w:pPr>
        <w:spacing w:after="0" w:line="240" w:lineRule="auto"/>
        <w:jc w:val="both"/>
        <w:rPr>
          <w:rFonts w:ascii="Verdana" w:eastAsia="Aptos" w:hAnsi="Verdana" w:cs="Times New Roman"/>
          <w:lang w:eastAsia="es-MX"/>
        </w:rPr>
      </w:pPr>
    </w:p>
    <w:p w14:paraId="519C1D0D" w14:textId="77777777" w:rsidR="00BC4F8B" w:rsidRPr="00BC4F8B" w:rsidRDefault="00BC4F8B" w:rsidP="00BC4F8B">
      <w:pPr>
        <w:spacing w:after="0" w:line="240" w:lineRule="auto"/>
        <w:jc w:val="both"/>
        <w:rPr>
          <w:rFonts w:ascii="Verdana" w:eastAsia="Aptos" w:hAnsi="Verdana" w:cs="Times New Roman"/>
          <w:lang w:eastAsia="es-MX"/>
        </w:rPr>
      </w:pPr>
      <w:r w:rsidRPr="00BC4F8B">
        <w:rPr>
          <w:rFonts w:ascii="Verdana" w:eastAsia="Aptos" w:hAnsi="Verdana" w:cs="Times New Roman"/>
          <w:lang w:eastAsia="es-MX"/>
        </w:rPr>
        <w:t xml:space="preserve">X: </w:t>
      </w:r>
      <w:r w:rsidRPr="00BC4F8B">
        <w:rPr>
          <w:rFonts w:ascii="Verdana" w:eastAsia="Calibri" w:hAnsi="Verdana" w:cs="Times New Roman"/>
          <w:color w:val="156082"/>
          <w:u w:val="single"/>
          <w:lang w:eastAsia="es-MX"/>
        </w:rPr>
        <w:t>@colombiacompra</w:t>
      </w:r>
      <w:r w:rsidRPr="00BC4F8B">
        <w:rPr>
          <w:rFonts w:ascii="Verdana" w:eastAsia="Calibri" w:hAnsi="Verdana" w:cs="Times New Roman"/>
          <w:color w:val="156082"/>
          <w:lang w:eastAsia="es-MX"/>
        </w:rPr>
        <w:t xml:space="preserve"> </w:t>
      </w:r>
    </w:p>
    <w:p w14:paraId="6D1369A4" w14:textId="77777777" w:rsidR="00BC4F8B" w:rsidRPr="00BC4F8B" w:rsidRDefault="00BC4F8B" w:rsidP="00BC4F8B">
      <w:pPr>
        <w:spacing w:after="0" w:line="240" w:lineRule="auto"/>
        <w:jc w:val="both"/>
        <w:rPr>
          <w:rFonts w:ascii="Verdana" w:eastAsia="Aptos" w:hAnsi="Verdana" w:cs="Times New Roman"/>
          <w:lang w:eastAsia="es-MX"/>
        </w:rPr>
      </w:pPr>
      <w:r w:rsidRPr="00BC4F8B">
        <w:rPr>
          <w:rFonts w:ascii="Verdana" w:eastAsia="Aptos" w:hAnsi="Verdana" w:cs="Times New Roman"/>
          <w:lang w:eastAsia="es-MX"/>
        </w:rPr>
        <w:t xml:space="preserve">Facebook: </w:t>
      </w:r>
      <w:proofErr w:type="spellStart"/>
      <w:r w:rsidRPr="00BC4F8B">
        <w:rPr>
          <w:rFonts w:ascii="Verdana" w:eastAsia="Calibri" w:hAnsi="Verdana" w:cs="Times New Roman"/>
          <w:color w:val="156082"/>
          <w:u w:val="single"/>
          <w:lang w:eastAsia="es-MX"/>
        </w:rPr>
        <w:t>ColombiaCompraEficiente</w:t>
      </w:r>
      <w:proofErr w:type="spellEnd"/>
    </w:p>
    <w:p w14:paraId="1CC8A454" w14:textId="77777777" w:rsidR="00BC4F8B" w:rsidRPr="00BC4F8B" w:rsidRDefault="00BC4F8B" w:rsidP="00BC4F8B">
      <w:pPr>
        <w:spacing w:after="0" w:line="240" w:lineRule="auto"/>
        <w:jc w:val="both"/>
        <w:rPr>
          <w:rFonts w:ascii="Verdana" w:eastAsia="Aptos" w:hAnsi="Verdana" w:cs="Times New Roman"/>
          <w:lang w:eastAsia="es-MX"/>
        </w:rPr>
      </w:pPr>
      <w:r w:rsidRPr="00BC4F8B">
        <w:rPr>
          <w:rFonts w:ascii="Verdana" w:eastAsia="Aptos" w:hAnsi="Verdana" w:cs="Times New Roman"/>
          <w:lang w:eastAsia="es-MX"/>
        </w:rPr>
        <w:t xml:space="preserve">LinkedIn: </w:t>
      </w:r>
      <w:r w:rsidRPr="00BC4F8B">
        <w:rPr>
          <w:rFonts w:ascii="Verdana" w:eastAsia="Calibri" w:hAnsi="Verdana" w:cs="Times New Roman"/>
          <w:color w:val="156082"/>
          <w:u w:val="single"/>
          <w:lang w:eastAsia="es-MX"/>
        </w:rPr>
        <w:t>Agencia Nacional de Contratación Pública - Colombia Compra Eficiente</w:t>
      </w:r>
      <w:r w:rsidRPr="00BC4F8B">
        <w:rPr>
          <w:rFonts w:ascii="Verdana" w:eastAsia="Calibri" w:hAnsi="Verdana" w:cs="Times New Roman"/>
          <w:color w:val="156082"/>
          <w:lang w:eastAsia="es-MX"/>
        </w:rPr>
        <w:t xml:space="preserve"> </w:t>
      </w:r>
      <w:r w:rsidRPr="00BC4F8B">
        <w:rPr>
          <w:rFonts w:ascii="Verdana" w:eastAsia="Aptos" w:hAnsi="Verdana" w:cs="Times New Roman"/>
          <w:lang w:eastAsia="es-MX"/>
        </w:rPr>
        <w:t xml:space="preserve">Instagram: </w:t>
      </w:r>
      <w:r w:rsidRPr="00BC4F8B">
        <w:rPr>
          <w:rFonts w:ascii="Verdana" w:eastAsia="Calibri" w:hAnsi="Verdana" w:cs="Times New Roman"/>
          <w:color w:val="156082"/>
          <w:u w:val="single"/>
          <w:lang w:eastAsia="es-MX"/>
        </w:rPr>
        <w:t>@colombiacompraeficiente_cce</w:t>
      </w:r>
    </w:p>
    <w:p w14:paraId="5854E5C8" w14:textId="77777777" w:rsidR="00BC4F8B" w:rsidRPr="00BC4F8B" w:rsidRDefault="00BC4F8B" w:rsidP="00BC4F8B">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4C001D7F" w14:textId="77777777" w:rsidR="00BC4F8B" w:rsidRPr="00BC4F8B" w:rsidRDefault="00BC4F8B" w:rsidP="00BC4F8B">
      <w:pPr>
        <w:widowControl w:val="0"/>
        <w:autoSpaceDE w:val="0"/>
        <w:autoSpaceDN w:val="0"/>
        <w:spacing w:after="0" w:line="276" w:lineRule="auto"/>
        <w:jc w:val="both"/>
        <w:rPr>
          <w:rFonts w:ascii="Verdana" w:eastAsia="Calibri" w:hAnsi="Verdana" w:cs="Arial"/>
          <w:lang w:eastAsia="es-MX"/>
        </w:rPr>
      </w:pPr>
      <w:r w:rsidRPr="00BC4F8B">
        <w:rPr>
          <w:rFonts w:ascii="Verdana" w:eastAsia="Calibri" w:hAnsi="Verdana" w:cs="Arial"/>
          <w:kern w:val="2"/>
          <w:lang w:val="es-ES_tradnl" w:eastAsia="es-MX"/>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B7863EF" w14:textId="77777777" w:rsidR="00BC4F8B" w:rsidRPr="00BC4F8B" w:rsidRDefault="00BC4F8B" w:rsidP="00BC4F8B">
      <w:pPr>
        <w:widowControl w:val="0"/>
        <w:autoSpaceDE w:val="0"/>
        <w:autoSpaceDN w:val="0"/>
        <w:spacing w:after="0" w:line="276" w:lineRule="auto"/>
        <w:jc w:val="both"/>
        <w:rPr>
          <w:rFonts w:ascii="Verdana" w:eastAsia="Calibri" w:hAnsi="Verdana" w:cs="Arial"/>
          <w:lang w:eastAsia="es-MX"/>
        </w:rPr>
      </w:pPr>
    </w:p>
    <w:p w14:paraId="149E96A7" w14:textId="77777777" w:rsidR="00BC4F8B" w:rsidRPr="00BC4F8B" w:rsidRDefault="00BC4F8B" w:rsidP="00BC4F8B">
      <w:pPr>
        <w:spacing w:after="0" w:line="240" w:lineRule="auto"/>
        <w:rPr>
          <w:rFonts w:ascii="Verdana" w:eastAsia="Calibri" w:hAnsi="Verdana" w:cs="Arial"/>
          <w:lang w:eastAsia="es-CO"/>
        </w:rPr>
      </w:pPr>
      <w:r w:rsidRPr="00BC4F8B">
        <w:rPr>
          <w:rFonts w:ascii="Verdana" w:eastAsia="Times New Roman" w:hAnsi="Verdana" w:cs="Arial"/>
          <w:lang w:eastAsia="es-CO"/>
        </w:rPr>
        <w:t>Atentamente,</w:t>
      </w:r>
      <w:r w:rsidRPr="00BC4F8B">
        <w:rPr>
          <w:rFonts w:ascii="Verdana" w:eastAsia="Calibri" w:hAnsi="Verdana" w:cs="Arial"/>
          <w:lang w:eastAsia="es-CO"/>
        </w:rPr>
        <w:t xml:space="preserve"> </w:t>
      </w:r>
    </w:p>
    <w:p w14:paraId="41232F6C" w14:textId="71270E28" w:rsidR="00BC4F8B" w:rsidRPr="00BC4F8B" w:rsidRDefault="002D2822" w:rsidP="002D2822">
      <w:pPr>
        <w:tabs>
          <w:tab w:val="left" w:pos="1320"/>
        </w:tabs>
        <w:spacing w:after="0" w:line="240" w:lineRule="auto"/>
        <w:jc w:val="center"/>
        <w:rPr>
          <w:rFonts w:ascii="Verdana" w:eastAsia="Calibri" w:hAnsi="Verdana" w:cs="Times New Roman"/>
          <w:sz w:val="24"/>
          <w:szCs w:val="24"/>
          <w:lang w:eastAsia="es-MX"/>
        </w:rPr>
      </w:pPr>
      <w:r w:rsidRPr="002C3AD6">
        <w:rPr>
          <w:rFonts w:ascii="Century Gothic" w:hAnsi="Century Gothic"/>
          <w:noProof/>
        </w:rPr>
        <w:drawing>
          <wp:inline distT="0" distB="0" distL="0" distR="0" wp14:anchorId="27EABC28" wp14:editId="7341020D">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219498" cy="1195115"/>
                    </a:xfrm>
                    <a:prstGeom prst="rect">
                      <a:avLst/>
                    </a:prstGeom>
                  </pic:spPr>
                </pic:pic>
              </a:graphicData>
            </a:graphic>
          </wp:inline>
        </w:drawing>
      </w:r>
    </w:p>
    <w:tbl>
      <w:tblPr>
        <w:tblStyle w:val="Tablaconcuadrcula1"/>
        <w:tblW w:w="6521" w:type="dxa"/>
        <w:tblLook w:val="04A0" w:firstRow="1" w:lastRow="0" w:firstColumn="1" w:lastColumn="0" w:noHBand="0" w:noVBand="1"/>
      </w:tblPr>
      <w:tblGrid>
        <w:gridCol w:w="893"/>
        <w:gridCol w:w="5628"/>
      </w:tblGrid>
      <w:tr w:rsidR="00BC4F8B" w:rsidRPr="00BC4F8B" w14:paraId="794135D1" w14:textId="77777777" w:rsidTr="00C828F5">
        <w:trPr>
          <w:trHeight w:val="315"/>
        </w:trPr>
        <w:tc>
          <w:tcPr>
            <w:tcW w:w="893" w:type="dxa"/>
            <w:tcBorders>
              <w:top w:val="nil"/>
              <w:left w:val="nil"/>
              <w:bottom w:val="nil"/>
              <w:right w:val="nil"/>
            </w:tcBorders>
            <w:vAlign w:val="center"/>
            <w:hideMark/>
          </w:tcPr>
          <w:p w14:paraId="7DDF261C" w14:textId="77777777" w:rsidR="00BC4F8B" w:rsidRPr="00BC4F8B" w:rsidRDefault="00BC4F8B" w:rsidP="00BC4F8B">
            <w:pPr>
              <w:rPr>
                <w:rFonts w:ascii="Verdana" w:eastAsia="Calibri" w:hAnsi="Verdana" w:cs="Arial"/>
                <w:sz w:val="16"/>
                <w:szCs w:val="16"/>
                <w:lang w:eastAsia="es-ES"/>
              </w:rPr>
            </w:pPr>
            <w:r w:rsidRPr="00BC4F8B">
              <w:rPr>
                <w:rFonts w:ascii="Verdana" w:eastAsia="Calibri" w:hAnsi="Verdana" w:cs="Arial"/>
                <w:sz w:val="16"/>
                <w:szCs w:val="16"/>
                <w:lang w:eastAsia="es-ES"/>
              </w:rPr>
              <w:lastRenderedPageBreak/>
              <w:t>Elaboró:</w:t>
            </w:r>
          </w:p>
        </w:tc>
        <w:tc>
          <w:tcPr>
            <w:tcW w:w="5628" w:type="dxa"/>
            <w:tcBorders>
              <w:top w:val="nil"/>
              <w:left w:val="nil"/>
              <w:bottom w:val="dotted" w:sz="4" w:space="0" w:color="7F7F7F"/>
              <w:right w:val="nil"/>
            </w:tcBorders>
            <w:vAlign w:val="center"/>
            <w:hideMark/>
          </w:tcPr>
          <w:p w14:paraId="74C6053E" w14:textId="77777777" w:rsidR="00BC4F8B" w:rsidRPr="00BC4F8B" w:rsidRDefault="00BC4F8B" w:rsidP="00BC4F8B">
            <w:pPr>
              <w:rPr>
                <w:rFonts w:ascii="Verdana" w:eastAsia="Arial" w:hAnsi="Verdana" w:cs="Arial"/>
                <w:sz w:val="16"/>
                <w:szCs w:val="16"/>
                <w:lang w:eastAsia="es-MX"/>
              </w:rPr>
            </w:pPr>
            <w:r w:rsidRPr="00BC4F8B">
              <w:rPr>
                <w:rFonts w:ascii="Verdana" w:eastAsia="Arial" w:hAnsi="Verdana" w:cs="Arial"/>
                <w:sz w:val="16"/>
                <w:szCs w:val="16"/>
                <w:lang w:eastAsia="es-MX"/>
              </w:rPr>
              <w:t>Kevin Arlid Herrera Santa</w:t>
            </w:r>
          </w:p>
          <w:p w14:paraId="6BC40C23" w14:textId="77777777" w:rsidR="00BC4F8B" w:rsidRPr="00BC4F8B" w:rsidRDefault="00BC4F8B" w:rsidP="00BC4F8B">
            <w:pPr>
              <w:rPr>
                <w:rFonts w:ascii="Verdana" w:eastAsia="Arial" w:hAnsi="Verdana" w:cs="Arial"/>
                <w:sz w:val="16"/>
                <w:szCs w:val="16"/>
                <w:lang w:eastAsia="es-MX"/>
              </w:rPr>
            </w:pPr>
            <w:r w:rsidRPr="00BC4F8B">
              <w:rPr>
                <w:rFonts w:ascii="Verdana" w:eastAsia="Arial" w:hAnsi="Verdana" w:cs="Arial"/>
                <w:sz w:val="16"/>
                <w:szCs w:val="16"/>
                <w:lang w:eastAsia="es-MX"/>
              </w:rPr>
              <w:t>Contratista de la Subdirección de Gestión Contractual</w:t>
            </w:r>
          </w:p>
          <w:p w14:paraId="5B129B37" w14:textId="77777777" w:rsidR="00BC4F8B" w:rsidRPr="00BC4F8B" w:rsidRDefault="00BC4F8B" w:rsidP="00BC4F8B">
            <w:pPr>
              <w:rPr>
                <w:rFonts w:ascii="Verdana" w:eastAsia="Arial" w:hAnsi="Verdana" w:cs="Arial"/>
                <w:sz w:val="16"/>
                <w:szCs w:val="16"/>
                <w:lang w:eastAsia="es-MX"/>
              </w:rPr>
            </w:pPr>
            <w:r w:rsidRPr="00BC4F8B">
              <w:rPr>
                <w:rFonts w:ascii="Verdana" w:eastAsia="Arial" w:hAnsi="Verdana" w:cs="Arial"/>
                <w:sz w:val="16"/>
                <w:szCs w:val="16"/>
                <w:lang w:eastAsia="es-MX"/>
              </w:rPr>
              <w:t>Alexandra Rodríguez Motta</w:t>
            </w:r>
          </w:p>
          <w:p w14:paraId="73D97A99" w14:textId="77777777" w:rsidR="00BC4F8B" w:rsidRPr="00BC4F8B" w:rsidRDefault="00BC4F8B" w:rsidP="00BC4F8B">
            <w:pPr>
              <w:rPr>
                <w:rFonts w:ascii="Verdana" w:eastAsia="Arial" w:hAnsi="Verdana" w:cs="Arial"/>
                <w:sz w:val="16"/>
                <w:szCs w:val="16"/>
                <w:lang w:eastAsia="es-MX"/>
              </w:rPr>
            </w:pPr>
            <w:r w:rsidRPr="00BC4F8B">
              <w:rPr>
                <w:rFonts w:ascii="Verdana" w:eastAsia="Arial" w:hAnsi="Verdana" w:cs="Arial"/>
                <w:sz w:val="16"/>
                <w:szCs w:val="16"/>
                <w:lang w:eastAsia="es-MX"/>
              </w:rPr>
              <w:t>Contratista de la Subdirección de Gestión Contractual</w:t>
            </w:r>
          </w:p>
        </w:tc>
      </w:tr>
      <w:tr w:rsidR="00BC4F8B" w:rsidRPr="00BC4F8B" w14:paraId="1832672B" w14:textId="77777777" w:rsidTr="00C828F5">
        <w:trPr>
          <w:trHeight w:val="330"/>
        </w:trPr>
        <w:tc>
          <w:tcPr>
            <w:tcW w:w="893" w:type="dxa"/>
            <w:tcBorders>
              <w:top w:val="nil"/>
              <w:left w:val="nil"/>
              <w:bottom w:val="nil"/>
              <w:right w:val="nil"/>
            </w:tcBorders>
            <w:vAlign w:val="center"/>
            <w:hideMark/>
          </w:tcPr>
          <w:p w14:paraId="55BA850A" w14:textId="77777777" w:rsidR="00BC4F8B" w:rsidRPr="00BC4F8B" w:rsidRDefault="00BC4F8B" w:rsidP="00BC4F8B">
            <w:pPr>
              <w:rPr>
                <w:rFonts w:ascii="Verdana" w:eastAsia="Calibri" w:hAnsi="Verdana" w:cs="Arial"/>
                <w:sz w:val="16"/>
                <w:szCs w:val="16"/>
                <w:lang w:eastAsia="es-ES"/>
              </w:rPr>
            </w:pPr>
            <w:r w:rsidRPr="00BC4F8B">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F8EC30C" w14:textId="77777777" w:rsidR="00BC4F8B" w:rsidRPr="00BC4F8B" w:rsidRDefault="00BC4F8B" w:rsidP="00BC4F8B">
            <w:pPr>
              <w:textAlignment w:val="baseline"/>
              <w:rPr>
                <w:rFonts w:ascii="Verdana" w:eastAsia="Times New Roman" w:hAnsi="Verdana" w:cs="Segoe UI"/>
                <w:sz w:val="16"/>
                <w:szCs w:val="16"/>
                <w:lang w:val="es-ES" w:eastAsia="es-ES"/>
              </w:rPr>
            </w:pPr>
            <w:r w:rsidRPr="00BC4F8B">
              <w:rPr>
                <w:rFonts w:ascii="Verdana" w:eastAsia="Times New Roman" w:hAnsi="Verdana" w:cs="Segoe UI"/>
                <w:sz w:val="16"/>
                <w:szCs w:val="16"/>
                <w:lang w:val="es-ES" w:eastAsia="es-ES"/>
              </w:rPr>
              <w:t>Martha Alicia Romero Vargas</w:t>
            </w:r>
          </w:p>
          <w:p w14:paraId="52DD8B36" w14:textId="77777777" w:rsidR="00BC4F8B" w:rsidRPr="00BC4F8B" w:rsidRDefault="00BC4F8B" w:rsidP="00BC4F8B">
            <w:pPr>
              <w:textAlignment w:val="baseline"/>
              <w:rPr>
                <w:rFonts w:ascii="Verdana" w:eastAsia="Times New Roman" w:hAnsi="Verdana" w:cs="Segoe UI"/>
                <w:sz w:val="16"/>
                <w:szCs w:val="16"/>
                <w:lang w:eastAsia="es-ES_tradnl"/>
              </w:rPr>
            </w:pPr>
            <w:r w:rsidRPr="00BC4F8B">
              <w:rPr>
                <w:rFonts w:ascii="Verdana" w:eastAsia="Times New Roman" w:hAnsi="Verdana" w:cs="Arial"/>
                <w:sz w:val="16"/>
                <w:szCs w:val="16"/>
                <w:lang w:val="es-ES_tradnl" w:eastAsia="es-ES_tradnl"/>
              </w:rPr>
              <w:t>Gestor T1-15 de la Subdirección de Gestión Contractual </w:t>
            </w:r>
          </w:p>
        </w:tc>
      </w:tr>
      <w:tr w:rsidR="00BC4F8B" w:rsidRPr="00BC4F8B" w14:paraId="37F8DF76" w14:textId="77777777" w:rsidTr="00C828F5">
        <w:trPr>
          <w:trHeight w:val="300"/>
        </w:trPr>
        <w:tc>
          <w:tcPr>
            <w:tcW w:w="893" w:type="dxa"/>
            <w:tcBorders>
              <w:top w:val="nil"/>
              <w:left w:val="nil"/>
              <w:bottom w:val="nil"/>
              <w:right w:val="nil"/>
            </w:tcBorders>
            <w:vAlign w:val="center"/>
          </w:tcPr>
          <w:p w14:paraId="60AC9A36" w14:textId="77777777" w:rsidR="00BC4F8B" w:rsidRPr="00BC4F8B" w:rsidRDefault="00BC4F8B" w:rsidP="00BC4F8B">
            <w:pPr>
              <w:rPr>
                <w:rFonts w:ascii="Verdana" w:eastAsia="Calibri" w:hAnsi="Verdana" w:cs="Arial"/>
                <w:sz w:val="16"/>
                <w:szCs w:val="16"/>
                <w:lang w:eastAsia="es-ES"/>
              </w:rPr>
            </w:pPr>
            <w:r w:rsidRPr="00BC4F8B">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58A4EF4B" w14:textId="77777777" w:rsidR="00BC4F8B" w:rsidRPr="00BC4F8B" w:rsidRDefault="00BC4F8B" w:rsidP="00BC4F8B">
            <w:pPr>
              <w:rPr>
                <w:rFonts w:ascii="Verdana" w:eastAsia="Calibri" w:hAnsi="Verdana" w:cs="Arial"/>
                <w:sz w:val="16"/>
                <w:szCs w:val="16"/>
                <w:lang w:eastAsia="es-ES"/>
              </w:rPr>
            </w:pPr>
            <w:r w:rsidRPr="00BC4F8B">
              <w:rPr>
                <w:rFonts w:ascii="Verdana" w:eastAsia="Calibri" w:hAnsi="Verdana" w:cs="Arial"/>
                <w:sz w:val="16"/>
                <w:szCs w:val="16"/>
                <w:lang w:eastAsia="es-ES"/>
              </w:rPr>
              <w:t>Carolina Quintero Gacharná</w:t>
            </w:r>
          </w:p>
          <w:p w14:paraId="4A7CFCBE" w14:textId="77777777" w:rsidR="00BC4F8B" w:rsidRPr="00BC4F8B" w:rsidRDefault="00BC4F8B" w:rsidP="00BC4F8B">
            <w:pPr>
              <w:rPr>
                <w:rFonts w:ascii="Verdana" w:eastAsia="Calibri" w:hAnsi="Verdana" w:cs="Arial"/>
                <w:sz w:val="16"/>
                <w:szCs w:val="16"/>
                <w:lang w:eastAsia="es-ES"/>
              </w:rPr>
            </w:pPr>
            <w:r w:rsidRPr="00BC4F8B">
              <w:rPr>
                <w:rFonts w:ascii="Verdana" w:eastAsia="Calibri" w:hAnsi="Verdana" w:cs="Arial"/>
                <w:sz w:val="16"/>
                <w:szCs w:val="16"/>
                <w:lang w:eastAsia="es-ES"/>
              </w:rPr>
              <w:t>Subdirectora de Gestión Contractual ANCP – CCE</w:t>
            </w:r>
          </w:p>
        </w:tc>
      </w:tr>
    </w:tbl>
    <w:p w14:paraId="69BC4D14" w14:textId="6E1CEDF2"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F19906" w14:textId="77777777" w:rsidR="00EE28BA" w:rsidRDefault="00EE28BA" w:rsidP="004A1847">
      <w:pPr>
        <w:spacing w:after="0" w:line="240" w:lineRule="auto"/>
      </w:pPr>
      <w:r>
        <w:separator/>
      </w:r>
    </w:p>
  </w:endnote>
  <w:endnote w:type="continuationSeparator" w:id="0">
    <w:p w14:paraId="7AAA7F17" w14:textId="77777777" w:rsidR="00EE28BA" w:rsidRDefault="00EE28B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78A8EA" w14:textId="77777777" w:rsidR="00EE28BA" w:rsidRDefault="00EE28BA" w:rsidP="004A1847">
      <w:pPr>
        <w:spacing w:after="0" w:line="240" w:lineRule="auto"/>
      </w:pPr>
      <w:r>
        <w:separator/>
      </w:r>
    </w:p>
  </w:footnote>
  <w:footnote w:type="continuationSeparator" w:id="0">
    <w:p w14:paraId="36D65A5F" w14:textId="77777777" w:rsidR="00EE28BA" w:rsidRDefault="00EE28BA"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3191"/>
    <w:rsid w:val="000A63ED"/>
    <w:rsid w:val="000A683E"/>
    <w:rsid w:val="000B19B9"/>
    <w:rsid w:val="000C7FE5"/>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2822"/>
    <w:rsid w:val="002E2BF8"/>
    <w:rsid w:val="002E4FD9"/>
    <w:rsid w:val="0030657A"/>
    <w:rsid w:val="00322A85"/>
    <w:rsid w:val="00324168"/>
    <w:rsid w:val="00330834"/>
    <w:rsid w:val="003448F4"/>
    <w:rsid w:val="00374F5E"/>
    <w:rsid w:val="00377E3E"/>
    <w:rsid w:val="00393D63"/>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96FAE"/>
    <w:rsid w:val="006B4B17"/>
    <w:rsid w:val="006C5871"/>
    <w:rsid w:val="00706C16"/>
    <w:rsid w:val="007340C3"/>
    <w:rsid w:val="0074430F"/>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47886"/>
    <w:rsid w:val="0085139F"/>
    <w:rsid w:val="00867F95"/>
    <w:rsid w:val="008843B6"/>
    <w:rsid w:val="00891928"/>
    <w:rsid w:val="008A446D"/>
    <w:rsid w:val="008B25F1"/>
    <w:rsid w:val="008B43A6"/>
    <w:rsid w:val="008D180B"/>
    <w:rsid w:val="008F0EA7"/>
    <w:rsid w:val="00911426"/>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67AD7"/>
    <w:rsid w:val="00B72CD3"/>
    <w:rsid w:val="00B72FFF"/>
    <w:rsid w:val="00BC3D36"/>
    <w:rsid w:val="00BC4F8B"/>
    <w:rsid w:val="00BD54A6"/>
    <w:rsid w:val="00BD7F72"/>
    <w:rsid w:val="00BE4AD7"/>
    <w:rsid w:val="00BF7425"/>
    <w:rsid w:val="00C04FB3"/>
    <w:rsid w:val="00C11D8B"/>
    <w:rsid w:val="00C15139"/>
    <w:rsid w:val="00C330EB"/>
    <w:rsid w:val="00C45B19"/>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554A"/>
    <w:rsid w:val="00E16408"/>
    <w:rsid w:val="00E20894"/>
    <w:rsid w:val="00E21259"/>
    <w:rsid w:val="00E245AB"/>
    <w:rsid w:val="00E2764C"/>
    <w:rsid w:val="00E27F2E"/>
    <w:rsid w:val="00E50AFE"/>
    <w:rsid w:val="00E75C92"/>
    <w:rsid w:val="00E771DC"/>
    <w:rsid w:val="00E8772A"/>
    <w:rsid w:val="00E90F6B"/>
    <w:rsid w:val="00E92C27"/>
    <w:rsid w:val="00EA0E3D"/>
    <w:rsid w:val="00EC38A7"/>
    <w:rsid w:val="00EE1AA8"/>
    <w:rsid w:val="00EE28BA"/>
    <w:rsid w:val="00F1543D"/>
    <w:rsid w:val="00F23FEA"/>
    <w:rsid w:val="00F31EDC"/>
    <w:rsid w:val="00F462B3"/>
    <w:rsid w:val="00F5664F"/>
    <w:rsid w:val="00F666C4"/>
    <w:rsid w:val="00F76AFC"/>
    <w:rsid w:val="00FA47C0"/>
    <w:rsid w:val="00FB5DD1"/>
    <w:rsid w:val="00FC2B5D"/>
    <w:rsid w:val="00FC5176"/>
    <w:rsid w:val="00FC7222"/>
    <w:rsid w:val="00FF1449"/>
    <w:rsid w:val="00FF7963"/>
    <w:rsid w:val="071B8F93"/>
    <w:rsid w:val="07C73DD1"/>
    <w:rsid w:val="09908A09"/>
    <w:rsid w:val="0E0AF0F4"/>
    <w:rsid w:val="0E67A1DE"/>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5ED8B6EB"/>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BC4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archivos/manual/guia-para-la-elaboracion-de-estudios-del-sector" TargetMode="External"/><Relationship Id="rId17"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archivos/manual/guia-para-la-elaboracion-de-estudios-del-sector"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26D6A1-19CD-4F32-AA39-054367F17A0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24</Pages>
  <Words>8687</Words>
  <Characters>47782</Characters>
  <Application>Microsoft Office Word</Application>
  <DocSecurity>0</DocSecurity>
  <Lines>398</Lines>
  <Paragraphs>112</Paragraphs>
  <ScaleCrop>false</ScaleCrop>
  <Company/>
  <LinksUpToDate>false</LinksUpToDate>
  <CharactersWithSpaces>56357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7</cp:revision>
  <cp:lastPrinted>2023-01-10T21:18:00Z</cp:lastPrinted>
  <dcterms:created xsi:type="dcterms:W3CDTF">2026-08-22T01:01:00Z</dcterms:created>
  <dcterms:modified xsi:type="dcterms:W3CDTF">2026-08-24T17:23:00Z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