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5E3A" w14:textId="77777777" w:rsidR="00B17E11" w:rsidRDefault="00B17E11" w:rsidP="00B17E11">
      <w:pPr>
        <w:jc w:val="both"/>
        <w:rPr>
          <w:rFonts w:ascii="Verdana" w:eastAsia="Calibri" w:hAnsi="Verdana" w:cs="Arial"/>
          <w:b/>
          <w:lang w:val="es-ES"/>
        </w:rPr>
      </w:pPr>
      <w:bookmarkStart w:id="0" w:name="_Hlk143780582"/>
      <w:r w:rsidRPr="00B17E11">
        <w:rPr>
          <w:rFonts w:ascii="Verdana" w:eastAsia="Calibri" w:hAnsi="Verdana" w:cs="Arial"/>
          <w:b/>
          <w:lang w:val="es-ES"/>
        </w:rPr>
        <w:t>MANIFESTACIÓN DE INTERÉS – Noción – Finalidad – Requisito habilitante</w:t>
      </w:r>
    </w:p>
    <w:p w14:paraId="29597861" w14:textId="77777777" w:rsidR="00173F65" w:rsidRPr="00173F65" w:rsidRDefault="00173F65" w:rsidP="00173F65">
      <w:pPr>
        <w:spacing w:after="120" w:line="240" w:lineRule="auto"/>
        <w:jc w:val="both"/>
        <w:rPr>
          <w:rFonts w:ascii="Verdana" w:eastAsia="Calibri" w:hAnsi="Verdana" w:cs="Arial"/>
          <w:sz w:val="20"/>
          <w:szCs w:val="20"/>
          <w:lang w:val="es-MX"/>
        </w:rPr>
      </w:pPr>
      <w:r w:rsidRPr="00173F65">
        <w:rPr>
          <w:rFonts w:ascii="Verdana" w:eastAsia="Calibri" w:hAnsi="Verdana" w:cs="Arial"/>
          <w:sz w:val="20"/>
          <w:szCs w:val="20"/>
          <w:lang w:val="es-MX"/>
        </w:rPr>
        <w:t>Dentro de este esquema general de la selección abreviada de menor cuantía, la “manifestación de interés” es un acto mediante el cual el interesado expresa a la entidad su intención de participar en el proceso de selección. El artículo 2.2.1.2.1.2.20 no señala la forma como debe realizarse la manifestación, por lo cual es discrecional de la entidad la forma de establecerlo, pudiendo señalar que sea por correo electrónico o una comunicación escrita, entre otras posibilidades. En todo caso, esta comunicación, mínimo, debe contener la identificación básica del interesado, junto con la manifestación de estar interesado en participar dentro del proceso de contratación respectivo.</w:t>
      </w:r>
    </w:p>
    <w:p w14:paraId="686BE0A0" w14:textId="77777777" w:rsidR="00173F65" w:rsidRPr="00173F65" w:rsidRDefault="00173F65" w:rsidP="00173F65">
      <w:pPr>
        <w:spacing w:after="120" w:line="240" w:lineRule="auto"/>
        <w:jc w:val="both"/>
        <w:rPr>
          <w:rFonts w:ascii="Verdana" w:eastAsia="Calibri" w:hAnsi="Verdana" w:cs="Arial"/>
          <w:sz w:val="20"/>
          <w:szCs w:val="20"/>
          <w:lang w:val="es-MX"/>
        </w:rPr>
      </w:pPr>
      <w:r w:rsidRPr="00173F65">
        <w:rPr>
          <w:rFonts w:ascii="Verdana" w:eastAsia="Calibri" w:hAnsi="Verdana" w:cs="Arial"/>
          <w:sz w:val="20"/>
          <w:szCs w:val="20"/>
          <w:lang w:val="es-MX"/>
        </w:rPr>
        <w:t xml:space="preserve">El numeral primero del artículo 2.2.1.2.1.2.20 del Decreto 1082 de 2015 dispone que el interesado debe manifestar su “intención” de participar en los procesos de selección abreviada de menor cuantía. Conviene precisar que el fin de esta disposición es que quienes estén interesados expresen a la entidad la intención de hacer parte del procedimiento. Por ello, la finalidad es que los interesados puedan participar, en igualdad de condiciones, en el procedimiento de contratación, de manera que, permite que expresen a la entidad pública su interés de presentarse al proceso de selección abreviada de menor cuantía. </w:t>
      </w:r>
    </w:p>
    <w:p w14:paraId="0D954D98" w14:textId="401F446E" w:rsidR="00173F65" w:rsidRPr="00173F65" w:rsidRDefault="00173F65" w:rsidP="00173F65">
      <w:pPr>
        <w:spacing w:before="120" w:after="120" w:line="240" w:lineRule="auto"/>
        <w:jc w:val="both"/>
        <w:rPr>
          <w:rFonts w:ascii="Verdana" w:eastAsia="Calibri" w:hAnsi="Verdana" w:cs="Arial"/>
          <w:sz w:val="20"/>
          <w:szCs w:val="20"/>
          <w:lang w:val="es-MX"/>
        </w:rPr>
      </w:pPr>
      <w:r w:rsidRPr="00173F65">
        <w:rPr>
          <w:rFonts w:ascii="Verdana" w:eastAsia="Calibri" w:hAnsi="Verdana" w:cs="Arial"/>
          <w:sz w:val="20"/>
          <w:szCs w:val="20"/>
          <w:lang w:val="es-MX"/>
        </w:rPr>
        <w:t xml:space="preserve">La interpretación ajustada a los principios que orientan la contratación pública es que un interesado presente una sola comunicación de intención de participar, por la razón de que el interés de vincularse al proceso es uno solo. Esta conclusión no se infiere únicamente de la redacción de la disposición analizada, que con claridad deja entrever que lo relevante es manifestar la intención del interesado como criterio para participar en el procedimiento, sino que el fin consiste en darle a los interesados la posibilidad de participar en igualdad de condiciones, por lo que no debe permitirse que un mismo interesado presente varias “manifestaciones de interés”, pues ello iría en contra de los principios que orientan la contratación pública.  </w:t>
      </w:r>
    </w:p>
    <w:p w14:paraId="50B19E7A" w14:textId="0A90F6C6" w:rsidR="00B17E11" w:rsidRPr="00173F65" w:rsidRDefault="00173F65" w:rsidP="00173F65">
      <w:pPr>
        <w:spacing w:line="240" w:lineRule="auto"/>
        <w:jc w:val="both"/>
        <w:rPr>
          <w:rFonts w:ascii="Verdana" w:eastAsia="Calibri" w:hAnsi="Verdana" w:cs="Arial"/>
          <w:b/>
          <w:sz w:val="20"/>
          <w:szCs w:val="20"/>
          <w:lang w:val="es-ES"/>
        </w:rPr>
      </w:pPr>
      <w:r w:rsidRPr="00173F65">
        <w:rPr>
          <w:rFonts w:ascii="Verdana" w:eastAsia="Calibri" w:hAnsi="Verdana" w:cs="Arial"/>
          <w:sz w:val="20"/>
          <w:szCs w:val="20"/>
          <w:lang w:val="es-MX"/>
        </w:rPr>
        <w:t>Con respecto a la manifestación de interés durante los tres días hábiles contados a partir de la fecha de apertura del proceso de contratación de selección abreviada de menor cuantía, se señala que este es una regla o requisito especial de esta modalidad, es decir, este se convierte en un requisito habilitante para participar, establecido en el reglamento. De esta manera, la manifestación de interés se constituye en un requisito habilitante, esto es, en un requisito</w:t>
      </w:r>
      <w:r w:rsidRPr="00173F65">
        <w:rPr>
          <w:rFonts w:ascii="Verdana" w:hAnsi="Verdana" w:cs="Arial"/>
          <w:sz w:val="20"/>
          <w:szCs w:val="20"/>
          <w:shd w:val="clear" w:color="auto" w:fill="FFFFFF"/>
        </w:rPr>
        <w:t xml:space="preserve"> para participar en un proceso de contratación como oferente. En efecto, </w:t>
      </w:r>
      <w:r w:rsidRPr="00173F65">
        <w:rPr>
          <w:rFonts w:ascii="Verdana" w:eastAsia="Calibri" w:hAnsi="Verdana" w:cs="Arial"/>
          <w:sz w:val="20"/>
          <w:szCs w:val="20"/>
          <w:lang w:val="es-MX"/>
        </w:rPr>
        <w:t>según lo dispuesto en el artículo 2.2.1.2.1.2.20 del Decreto 1082 de 2015</w:t>
      </w:r>
      <w:r w:rsidRPr="00173F65">
        <w:rPr>
          <w:rFonts w:ascii="Verdana" w:eastAsia="Calibri" w:hAnsi="Verdana" w:cs="Arial"/>
          <w:sz w:val="20"/>
          <w:szCs w:val="20"/>
          <w:vertAlign w:val="superscript"/>
          <w:lang w:val="es-MX"/>
        </w:rPr>
        <w:t xml:space="preserve">, </w:t>
      </w:r>
      <w:r w:rsidRPr="00173F65">
        <w:rPr>
          <w:rFonts w:ascii="Verdana" w:eastAsia="Calibri" w:hAnsi="Verdana" w:cs="Arial"/>
          <w:sz w:val="20"/>
          <w:szCs w:val="20"/>
          <w:lang w:val="es-MX"/>
        </w:rPr>
        <w:t>el procedimiento inicia con la apertura del proceso que haga la entidad, y los interesados en el procedimiento contractual deben presentar una “manifestación de interés” para participar en el mismo</w:t>
      </w:r>
      <w:r w:rsidRPr="00173F65">
        <w:rPr>
          <w:rFonts w:ascii="Verdana" w:eastAsia="Calibri" w:hAnsi="Verdana" w:cs="Arial"/>
          <w:sz w:val="20"/>
          <w:szCs w:val="20"/>
          <w:lang w:val="es-MX"/>
        </w:rPr>
        <w:t>.</w:t>
      </w:r>
    </w:p>
    <w:p w14:paraId="2337E064" w14:textId="77777777" w:rsidR="00B17E11" w:rsidRDefault="00B17E11" w:rsidP="00B17E11">
      <w:pPr>
        <w:jc w:val="both"/>
        <w:rPr>
          <w:rFonts w:ascii="Verdana" w:hAnsi="Verdana" w:cs="Arial"/>
          <w:b/>
          <w:lang w:val="es-ES" w:eastAsia="es-ES"/>
        </w:rPr>
      </w:pPr>
      <w:r w:rsidRPr="00B17E11">
        <w:rPr>
          <w:rFonts w:ascii="Verdana" w:hAnsi="Verdana" w:cs="Arial"/>
          <w:b/>
          <w:lang w:val="es-ES" w:eastAsia="es-ES"/>
        </w:rPr>
        <w:t>SUBSANABILIDAD – Aplicación – Regla general</w:t>
      </w:r>
    </w:p>
    <w:p w14:paraId="79598D70" w14:textId="77777777" w:rsidR="0088782A" w:rsidRPr="0088782A" w:rsidRDefault="0088782A" w:rsidP="0088782A">
      <w:pPr>
        <w:spacing w:before="240" w:after="120" w:line="240" w:lineRule="auto"/>
        <w:jc w:val="both"/>
        <w:rPr>
          <w:rFonts w:ascii="Verdana" w:eastAsia="Times New Roman" w:hAnsi="Verdana" w:cs="Arial"/>
          <w:bCs/>
          <w:sz w:val="20"/>
          <w:szCs w:val="20"/>
          <w:lang w:val="es-ES_tradnl" w:eastAsia="es-ES_tradnl"/>
        </w:rPr>
      </w:pPr>
      <w:r w:rsidRPr="0088782A">
        <w:rPr>
          <w:rFonts w:ascii="Verdana" w:hAnsi="Verdana" w:cs="Arial"/>
          <w:bCs/>
          <w:sz w:val="20"/>
          <w:szCs w:val="20"/>
          <w:lang w:val="es-ES" w:eastAsia="es-ES"/>
        </w:rPr>
        <w:t xml:space="preserve">[…] </w:t>
      </w:r>
      <w:r w:rsidRPr="0088782A">
        <w:rPr>
          <w:rFonts w:ascii="Verdana" w:eastAsia="Times New Roman" w:hAnsi="Verdana" w:cs="Arial"/>
          <w:bCs/>
          <w:sz w:val="20"/>
          <w:szCs w:val="20"/>
          <w:lang w:val="es-ES_tradnl" w:eastAsia="es-ES_tradnl"/>
        </w:rPr>
        <w:t xml:space="preserve">por regla general, la falta de entrega y los defectos en la acreditación de los requisitos habilitantes son aspectos subsanables. La excepción a esta regla se encuentra en la prohibición de permitir que se subsanen aspectos que otorgan puntaje, de valer la acreditación de circunstancias ocurridas con posterioridad al cierre del proceso y de </w:t>
      </w:r>
      <w:r w:rsidRPr="0088782A">
        <w:rPr>
          <w:rFonts w:ascii="Verdana" w:eastAsia="Times New Roman" w:hAnsi="Verdana" w:cs="Arial"/>
          <w:bCs/>
          <w:sz w:val="20"/>
          <w:szCs w:val="20"/>
          <w:lang w:val="es-ES_tradnl" w:eastAsia="es-ES_tradnl"/>
        </w:rPr>
        <w:lastRenderedPageBreak/>
        <w:t>permitir la entrega de la garantía de seriedad de la oferta que no fue aportada con la propuesta.</w:t>
      </w:r>
    </w:p>
    <w:p w14:paraId="3F598292" w14:textId="48A16783" w:rsidR="00B17E11" w:rsidRDefault="00B17E11" w:rsidP="00B17E11">
      <w:pPr>
        <w:jc w:val="both"/>
        <w:rPr>
          <w:rFonts w:ascii="Verdana" w:hAnsi="Verdana" w:cs="Arial"/>
          <w:b/>
          <w:lang w:val="es-ES" w:eastAsia="es-ES"/>
        </w:rPr>
      </w:pPr>
      <w:r w:rsidRPr="00B17E11">
        <w:rPr>
          <w:rFonts w:ascii="Verdana" w:hAnsi="Verdana" w:cs="Arial"/>
          <w:b/>
          <w:lang w:val="es-ES" w:eastAsia="es-ES"/>
        </w:rPr>
        <w:t>PREVALENCIA DEL DERECHO SUSTANCIAL – Principio constitucional</w:t>
      </w:r>
    </w:p>
    <w:p w14:paraId="38A93B92" w14:textId="17D330EC" w:rsidR="00553527" w:rsidRPr="00553527" w:rsidRDefault="00553527" w:rsidP="00553527">
      <w:pPr>
        <w:spacing w:after="120" w:line="240" w:lineRule="auto"/>
        <w:jc w:val="both"/>
        <w:rPr>
          <w:rFonts w:ascii="Verdana" w:eastAsia="Calibri" w:hAnsi="Verdana" w:cs="Times New Roman"/>
          <w:color w:val="000000"/>
          <w:sz w:val="20"/>
          <w:szCs w:val="20"/>
        </w:rPr>
      </w:pPr>
      <w:r w:rsidRPr="00553527">
        <w:rPr>
          <w:rFonts w:ascii="Verdana" w:eastAsia="Calibri" w:hAnsi="Verdana" w:cs="Times New Roman"/>
          <w:color w:val="000000"/>
          <w:sz w:val="20"/>
          <w:szCs w:val="20"/>
        </w:rPr>
        <w:t xml:space="preserve">[…] </w:t>
      </w:r>
      <w:r w:rsidRPr="00553527">
        <w:rPr>
          <w:rFonts w:ascii="Verdana" w:eastAsia="Calibri" w:hAnsi="Verdana" w:cs="Times New Roman"/>
          <w:color w:val="000000"/>
          <w:sz w:val="20"/>
          <w:szCs w:val="20"/>
        </w:rPr>
        <w:t xml:space="preserve">una vez verificada la ausencia de requisitos y/o documentos de la oferta, para efectos de saber si se pueden subsanar, la entidad contratante debe preguntarse, en primer lugar, si lo que hace falta es un documento que afecte la asignación de puntaje o no y, en segundo lugar, si el cumplimiento del requisito constituye una circunstancia ocurrida con anterioridad o con posterioridad al cierre del proceso. </w:t>
      </w:r>
    </w:p>
    <w:p w14:paraId="4F5F1319" w14:textId="77777777" w:rsidR="00553527" w:rsidRPr="00553527" w:rsidRDefault="00553527" w:rsidP="00553527">
      <w:pPr>
        <w:spacing w:after="120" w:line="240" w:lineRule="auto"/>
        <w:jc w:val="both"/>
        <w:rPr>
          <w:rFonts w:ascii="Verdana" w:eastAsia="Calibri" w:hAnsi="Verdana" w:cs="Times New Roman"/>
          <w:bCs/>
          <w:color w:val="000000"/>
          <w:sz w:val="20"/>
          <w:szCs w:val="20"/>
          <w:lang w:val="es-ES"/>
        </w:rPr>
      </w:pPr>
      <w:r w:rsidRPr="00553527">
        <w:rPr>
          <w:rFonts w:ascii="Verdana" w:eastAsia="Calibri" w:hAnsi="Verdana" w:cs="Times New Roman"/>
          <w:bCs/>
          <w:color w:val="000000"/>
          <w:sz w:val="20"/>
          <w:szCs w:val="20"/>
          <w:lang w:val="es-ES"/>
        </w:rPr>
        <w:t>En este punto, se concluye, que la subsanación es una institución que procura porque el oferente presente, dentro del plazo y bajo las condiciones dadas por la norma aplicable, los documentos que acrediten el cumplimiento de los requisitos exigidos como habilitantes para participar en el respectivo procedimiento de selección.</w:t>
      </w:r>
    </w:p>
    <w:p w14:paraId="0D6C95BB" w14:textId="77777777" w:rsidR="00553527" w:rsidRPr="00553527" w:rsidRDefault="00553527" w:rsidP="00553527">
      <w:pPr>
        <w:spacing w:after="120" w:line="240" w:lineRule="auto"/>
        <w:jc w:val="both"/>
        <w:rPr>
          <w:rFonts w:ascii="Verdana" w:eastAsia="Calibri" w:hAnsi="Verdana" w:cs="Times New Roman"/>
          <w:color w:val="000000"/>
          <w:sz w:val="20"/>
          <w:szCs w:val="20"/>
        </w:rPr>
      </w:pPr>
      <w:r w:rsidRPr="00553527">
        <w:rPr>
          <w:rFonts w:ascii="Verdana" w:eastAsia="Calibri" w:hAnsi="Verdana" w:cs="Times New Roman"/>
          <w:color w:val="000000"/>
          <w:sz w:val="20"/>
          <w:szCs w:val="20"/>
          <w:lang w:val="es-ES_tradnl"/>
        </w:rPr>
        <w:t>En ese contexto, la Entidad Estatal, podrá requerir al proponente para que haga la subsanación correspondiente. De ahí que, habida consideración del principio de prevalencia de lo sustancial sobre lo formal, podrán subsanarse aspectos puramente formales de las propuestas.</w:t>
      </w:r>
    </w:p>
    <w:p w14:paraId="2D8050FA" w14:textId="77777777" w:rsidR="00B17E11" w:rsidRPr="00B17E11" w:rsidRDefault="00B17E11" w:rsidP="00B17E11">
      <w:pPr>
        <w:jc w:val="both"/>
        <w:rPr>
          <w:rFonts w:ascii="Verdana" w:hAnsi="Verdana" w:cs="Arial"/>
          <w:b/>
          <w:lang w:val="es-ES" w:eastAsia="es-ES"/>
        </w:rPr>
      </w:pPr>
    </w:p>
    <w:p w14:paraId="258BA08D" w14:textId="77777777" w:rsidR="0009780D" w:rsidRDefault="0009780D">
      <w:pPr>
        <w:rPr>
          <w:rFonts w:ascii="Verdana" w:eastAsia="Verdana" w:hAnsi="Verdana" w:cs="Verdana"/>
        </w:rPr>
      </w:pPr>
      <w:r>
        <w:rPr>
          <w:rFonts w:ascii="Verdana" w:eastAsia="Verdana" w:hAnsi="Verdana" w:cs="Verdana"/>
        </w:rPr>
        <w:br w:type="page"/>
      </w:r>
    </w:p>
    <w:p w14:paraId="2B06FC26" w14:textId="25785C4D" w:rsidR="00AF6D5E" w:rsidRPr="0024624F" w:rsidRDefault="00B17E11" w:rsidP="00AF6D5E">
      <w:pPr>
        <w:spacing w:after="0"/>
        <w:rPr>
          <w:rFonts w:ascii="Verdana" w:eastAsia="Verdana" w:hAnsi="Verdana" w:cs="Verdana"/>
        </w:rPr>
      </w:pPr>
      <w:r w:rsidRPr="00B17E11">
        <w:lastRenderedPageBreak/>
        <w:drawing>
          <wp:anchor distT="0" distB="0" distL="114300" distR="114300" simplePos="0" relativeHeight="251659264" behindDoc="1" locked="0" layoutInCell="1" allowOverlap="1" wp14:anchorId="56F53CD9" wp14:editId="6FF58F42">
            <wp:simplePos x="0" y="0"/>
            <wp:positionH relativeFrom="margin">
              <wp:posOffset>3227327</wp:posOffset>
            </wp:positionH>
            <wp:positionV relativeFrom="paragraph">
              <wp:posOffset>8855</wp:posOffset>
            </wp:positionV>
            <wp:extent cx="2376033" cy="629728"/>
            <wp:effectExtent l="0" t="0" r="5715" b="0"/>
            <wp:wrapNone/>
            <wp:docPr id="2650812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81277" name=""/>
                    <pic:cNvPicPr/>
                  </pic:nvPicPr>
                  <pic:blipFill>
                    <a:blip r:embed="rId10">
                      <a:extLst>
                        <a:ext uri="{28A0092B-C50C-407E-A947-70E740481C1C}">
                          <a14:useLocalDpi xmlns:a14="http://schemas.microsoft.com/office/drawing/2010/main" val="0"/>
                        </a:ext>
                      </a:extLst>
                    </a:blip>
                    <a:stretch>
                      <a:fillRect/>
                    </a:stretch>
                  </pic:blipFill>
                  <pic:spPr>
                    <a:xfrm>
                      <a:off x="0" y="0"/>
                      <a:ext cx="2441327" cy="647033"/>
                    </a:xfrm>
                    <a:prstGeom prst="rect">
                      <a:avLst/>
                    </a:prstGeom>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Bogotá D.C.,</w:t>
      </w:r>
      <w:r>
        <w:rPr>
          <w:rFonts w:ascii="Verdana" w:eastAsia="Verdana" w:hAnsi="Verdana" w:cs="Verdana"/>
        </w:rPr>
        <w:t xml:space="preserve"> 21 Agosto 2026</w:t>
      </w:r>
      <w:r w:rsidR="00C15139">
        <w:tab/>
      </w:r>
      <w:r w:rsidR="00AF6D5E">
        <w:tab/>
      </w:r>
      <w:r w:rsidR="00AF6D5E">
        <w:tab/>
      </w:r>
      <w:r w:rsidR="00AF6D5E">
        <w:br/>
      </w:r>
      <w:r w:rsidR="00AF6D5E">
        <w:tab/>
      </w:r>
    </w:p>
    <w:p w14:paraId="46041565" w14:textId="083937D6" w:rsidR="00AF6D5E" w:rsidRPr="00A77871" w:rsidRDefault="00AF6D5E" w:rsidP="00AF6D5E">
      <w:pPr>
        <w:pStyle w:val="Sinespaciado"/>
        <w:jc w:val="both"/>
        <w:rPr>
          <w:rFonts w:ascii="Verdana" w:hAnsi="Verdana"/>
          <w:lang w:eastAsia="es-ES"/>
        </w:rPr>
      </w:pPr>
      <w:bookmarkStart w:id="1" w:name="_Hlk186494164"/>
      <w:r w:rsidRPr="00A77871">
        <w:rPr>
          <w:rFonts w:ascii="Verdana" w:hAnsi="Verdana"/>
          <w:lang w:eastAsia="es-ES"/>
        </w:rPr>
        <w:t>Señor</w:t>
      </w:r>
    </w:p>
    <w:p w14:paraId="25B5AA7F" w14:textId="0F486A43" w:rsidR="00AF6D5E" w:rsidRDefault="00EC232B" w:rsidP="00AF6D5E">
      <w:pPr>
        <w:pStyle w:val="Sinespaciado"/>
        <w:jc w:val="both"/>
        <w:rPr>
          <w:rFonts w:ascii="Verdana" w:hAnsi="Verdana" w:cs="Times New Roman"/>
          <w:b/>
          <w:bCs/>
        </w:rPr>
      </w:pPr>
      <w:r>
        <w:rPr>
          <w:rFonts w:ascii="Verdana" w:hAnsi="Verdana" w:cs="Times New Roman"/>
          <w:b/>
          <w:bCs/>
        </w:rPr>
        <w:t>Cristian Camilo Acosta López</w:t>
      </w:r>
    </w:p>
    <w:p w14:paraId="0BDB5311" w14:textId="6F7BCB27" w:rsidR="00EC232B" w:rsidRPr="00EC232B" w:rsidRDefault="00EC232B" w:rsidP="00AF6D5E">
      <w:pPr>
        <w:pStyle w:val="Sinespaciado"/>
        <w:jc w:val="both"/>
        <w:rPr>
          <w:rFonts w:ascii="Verdana" w:hAnsi="Verdana"/>
        </w:rPr>
      </w:pPr>
      <w:hyperlink r:id="rId11" w:history="1">
        <w:r w:rsidRPr="00EC232B">
          <w:rPr>
            <w:rStyle w:val="Hipervnculo"/>
            <w:rFonts w:ascii="Verdana" w:hAnsi="Verdana"/>
          </w:rPr>
          <w:t>ccamiloacosta10@hotmail.com</w:t>
        </w:r>
      </w:hyperlink>
    </w:p>
    <w:p w14:paraId="3CC833BE" w14:textId="177558C6" w:rsidR="00AF6D5E" w:rsidRPr="00700F79" w:rsidRDefault="00AF6D5E" w:rsidP="00AF6D5E">
      <w:pPr>
        <w:pStyle w:val="Sinespaciado"/>
        <w:jc w:val="both"/>
        <w:rPr>
          <w:rFonts w:ascii="Verdana" w:hAnsi="Verdana" w:cs="Times New Roman"/>
        </w:rPr>
      </w:pPr>
      <w:r>
        <w:rPr>
          <w:rFonts w:ascii="Verdana" w:hAnsi="Verdana" w:cs="Times New Roman"/>
        </w:rPr>
        <w:t>Ciudad</w:t>
      </w:r>
    </w:p>
    <w:p w14:paraId="6775C255" w14:textId="77777777" w:rsidR="00AF6D5E" w:rsidRDefault="00AF6D5E" w:rsidP="00AF6D5E">
      <w:pPr>
        <w:pStyle w:val="Sinespaciado"/>
        <w:jc w:val="both"/>
        <w:rPr>
          <w:rFonts w:ascii="Verdana" w:hAnsi="Verdana" w:cs="Times New Roman"/>
          <w:b/>
          <w:bCs/>
        </w:rPr>
      </w:pPr>
    </w:p>
    <w:p w14:paraId="2BAD2D91" w14:textId="6AC3ED24" w:rsidR="00AF6D5E" w:rsidRPr="00A77871" w:rsidRDefault="00AF6D5E" w:rsidP="00AF6D5E">
      <w:pPr>
        <w:spacing w:line="276" w:lineRule="auto"/>
        <w:jc w:val="both"/>
        <w:rPr>
          <w:rFonts w:ascii="Verdana" w:eastAsia="Calibri" w:hAnsi="Verdana" w:cs="Arial"/>
          <w:b/>
          <w:bCs/>
          <w:lang w:eastAsia="es-ES"/>
        </w:rPr>
      </w:pPr>
      <w:r w:rsidRPr="00A77871">
        <w:rPr>
          <w:rFonts w:ascii="Verdana" w:eastAsia="Calibri" w:hAnsi="Verdana" w:cs="Arial"/>
          <w:b/>
          <w:bCs/>
          <w:lang w:eastAsia="es-ES"/>
        </w:rPr>
        <w:t xml:space="preserve">                                    Concepto </w:t>
      </w:r>
      <w:r w:rsidR="00ED443B" w:rsidRPr="00ED443B">
        <w:rPr>
          <w:rFonts w:ascii="Verdana" w:eastAsia="Calibri" w:hAnsi="Verdana" w:cs="Arial"/>
          <w:b/>
          <w:bCs/>
          <w:lang w:eastAsia="es-ES"/>
        </w:rPr>
        <w:t>C-1099</w:t>
      </w:r>
      <w:r w:rsidR="00ED443B">
        <w:rPr>
          <w:rFonts w:ascii="Verdana" w:eastAsia="Calibri" w:hAnsi="Verdana" w:cs="Arial"/>
          <w:b/>
          <w:bCs/>
          <w:lang w:eastAsia="es-ES"/>
        </w:rPr>
        <w:t xml:space="preserve"> </w:t>
      </w:r>
      <w:r w:rsidRPr="00A77871">
        <w:rPr>
          <w:rFonts w:ascii="Verdana" w:eastAsia="Calibri" w:hAnsi="Verdana" w:cs="Arial"/>
          <w:b/>
          <w:bCs/>
          <w:lang w:eastAsia="es-ES"/>
        </w:rPr>
        <w:t>de 2026</w:t>
      </w: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F6D5E" w:rsidRPr="00A77871" w14:paraId="153CE1FC" w14:textId="77777777" w:rsidTr="000000EA">
        <w:trPr>
          <w:trHeight w:val="884"/>
        </w:trPr>
        <w:tc>
          <w:tcPr>
            <w:tcW w:w="2689" w:type="dxa"/>
          </w:tcPr>
          <w:p w14:paraId="2DB9E2BA" w14:textId="77777777" w:rsidR="00AF6D5E" w:rsidRPr="00A77871" w:rsidRDefault="00AF6D5E" w:rsidP="000000EA">
            <w:pPr>
              <w:spacing w:line="276" w:lineRule="auto"/>
              <w:jc w:val="both"/>
              <w:rPr>
                <w:rFonts w:ascii="Verdana" w:eastAsia="Calibri" w:hAnsi="Verdana" w:cs="Arial"/>
                <w:color w:val="000000"/>
                <w:lang w:eastAsia="es-ES_tradnl"/>
              </w:rPr>
            </w:pPr>
            <w:r w:rsidRPr="00A77871">
              <w:rPr>
                <w:rFonts w:ascii="Verdana" w:eastAsia="Calibri" w:hAnsi="Verdana" w:cs="Arial"/>
                <w:b/>
                <w:color w:val="000000"/>
                <w:lang w:eastAsia="es-ES_tradnl"/>
              </w:rPr>
              <w:t>Temas:</w:t>
            </w:r>
            <w:r w:rsidRPr="00A77871">
              <w:rPr>
                <w:rFonts w:ascii="Verdana" w:eastAsia="Calibri" w:hAnsi="Verdana" w:cs="Arial"/>
                <w:color w:val="000000"/>
                <w:lang w:eastAsia="es-ES_tradnl"/>
              </w:rPr>
              <w:t xml:space="preserve">                   </w:t>
            </w:r>
          </w:p>
        </w:tc>
        <w:tc>
          <w:tcPr>
            <w:tcW w:w="6100" w:type="dxa"/>
          </w:tcPr>
          <w:p w14:paraId="727CA2BC" w14:textId="77777777" w:rsidR="006D065E" w:rsidRPr="00357708" w:rsidRDefault="00E8474F" w:rsidP="006D065E">
            <w:pPr>
              <w:jc w:val="both"/>
              <w:rPr>
                <w:rFonts w:ascii="Verdana" w:hAnsi="Verdana" w:cs="Arial"/>
                <w:bCs/>
                <w:lang w:val="es-ES" w:eastAsia="es-ES"/>
              </w:rPr>
            </w:pPr>
            <w:r w:rsidRPr="00357708">
              <w:rPr>
                <w:rFonts w:ascii="Verdana" w:eastAsia="Calibri" w:hAnsi="Verdana" w:cs="Arial"/>
                <w:bCs/>
                <w:lang w:val="es-ES"/>
              </w:rPr>
              <w:t xml:space="preserve">MANIFESTACIÓN DE INTERÉS – Noción – Finalidad – Requisito habilitante / </w:t>
            </w:r>
            <w:r w:rsidR="001A22CF" w:rsidRPr="00357708">
              <w:rPr>
                <w:rFonts w:ascii="Verdana" w:hAnsi="Verdana" w:cs="Arial"/>
                <w:bCs/>
                <w:lang w:val="es-ES" w:eastAsia="es-ES"/>
              </w:rPr>
              <w:t>SUBSANABILIDAD – Aplicación – Regla general</w:t>
            </w:r>
            <w:r w:rsidR="006D065E" w:rsidRPr="00357708">
              <w:rPr>
                <w:rFonts w:ascii="Verdana" w:hAnsi="Verdana" w:cs="Arial"/>
                <w:bCs/>
                <w:lang w:val="es-ES" w:eastAsia="es-ES"/>
              </w:rPr>
              <w:t xml:space="preserve"> / PREVALENCIA DEL DERECHO SUSTANCIAL – Principio constitucional</w:t>
            </w:r>
          </w:p>
          <w:p w14:paraId="430AED42" w14:textId="77777777" w:rsidR="00AF6D5E" w:rsidRPr="00EB7DC9" w:rsidRDefault="00AF6D5E" w:rsidP="003D414B">
            <w:pPr>
              <w:jc w:val="both"/>
              <w:rPr>
                <w:rFonts w:ascii="Verdana" w:eastAsia="Calibri" w:hAnsi="Verdana" w:cs="Arial"/>
                <w:lang w:eastAsia="es-ES"/>
              </w:rPr>
            </w:pPr>
          </w:p>
        </w:tc>
      </w:tr>
      <w:tr w:rsidR="00AF6D5E" w:rsidRPr="00A77871" w14:paraId="0DDE63E6" w14:textId="77777777" w:rsidTr="000000EA">
        <w:tc>
          <w:tcPr>
            <w:tcW w:w="2689" w:type="dxa"/>
          </w:tcPr>
          <w:p w14:paraId="5BB62E54" w14:textId="77777777" w:rsidR="00AF6D5E" w:rsidRPr="00A77871" w:rsidRDefault="00AF6D5E" w:rsidP="000000EA">
            <w:pPr>
              <w:spacing w:line="276" w:lineRule="auto"/>
              <w:jc w:val="both"/>
              <w:rPr>
                <w:rFonts w:ascii="Verdana" w:eastAsia="Calibri" w:hAnsi="Verdana" w:cs="Arial"/>
                <w:b/>
                <w:lang w:eastAsia="es-ES_tradnl"/>
              </w:rPr>
            </w:pPr>
            <w:r w:rsidRPr="00A77871">
              <w:rPr>
                <w:rFonts w:ascii="Verdana" w:eastAsia="Calibri" w:hAnsi="Verdana" w:cs="Arial"/>
                <w:b/>
                <w:lang w:eastAsia="es-ES_tradnl"/>
              </w:rPr>
              <w:t>Radicación:</w:t>
            </w:r>
            <w:r w:rsidRPr="00A77871">
              <w:rPr>
                <w:rFonts w:ascii="Verdana" w:eastAsia="Calibri" w:hAnsi="Verdana" w:cs="Arial"/>
                <w:lang w:eastAsia="es-ES_tradnl"/>
              </w:rPr>
              <w:t xml:space="preserve">               </w:t>
            </w:r>
          </w:p>
        </w:tc>
        <w:tc>
          <w:tcPr>
            <w:tcW w:w="6100" w:type="dxa"/>
          </w:tcPr>
          <w:p w14:paraId="771C25AD" w14:textId="365845E9" w:rsidR="00AF6D5E" w:rsidRPr="00A77871" w:rsidRDefault="00AF6D5E" w:rsidP="000000EA">
            <w:pPr>
              <w:spacing w:line="276" w:lineRule="auto"/>
              <w:jc w:val="both"/>
              <w:rPr>
                <w:rFonts w:ascii="Verdana" w:eastAsia="Calibri" w:hAnsi="Verdana" w:cs="Arial"/>
                <w:lang w:eastAsia="es-ES_tradnl"/>
              </w:rPr>
            </w:pPr>
            <w:r w:rsidRPr="00A77871">
              <w:rPr>
                <w:rFonts w:ascii="Verdana" w:eastAsia="Calibri" w:hAnsi="Verdana" w:cs="Arial"/>
                <w:lang w:eastAsia="es-ES_tradnl"/>
              </w:rPr>
              <w:t xml:space="preserve">Respuesta a consultas con radicado No. </w:t>
            </w:r>
            <w:r w:rsidR="007513B7" w:rsidRPr="007513B7">
              <w:rPr>
                <w:rFonts w:ascii="Verdana" w:eastAsia="Calibri" w:hAnsi="Verdana" w:cs="Arial"/>
                <w:lang w:eastAsia="es-ES_tradnl"/>
              </w:rPr>
              <w:t>1_2026_07_09_009163</w:t>
            </w:r>
          </w:p>
        </w:tc>
      </w:tr>
    </w:tbl>
    <w:p w14:paraId="6B06216C" w14:textId="77777777" w:rsidR="00AF6D5E" w:rsidRPr="00A77871" w:rsidRDefault="00AF6D5E" w:rsidP="00AF6D5E">
      <w:pPr>
        <w:spacing w:after="0" w:line="276" w:lineRule="auto"/>
        <w:jc w:val="both"/>
        <w:rPr>
          <w:rFonts w:ascii="Verdana" w:eastAsia="Calibri" w:hAnsi="Verdana" w:cs="Arial"/>
          <w:color w:val="000000"/>
          <w:lang w:eastAsia="es-ES_tradnl"/>
        </w:rPr>
      </w:pPr>
    </w:p>
    <w:p w14:paraId="653D138F" w14:textId="06C9A66B" w:rsidR="00AF6D5E" w:rsidRPr="00A77871" w:rsidRDefault="00AF6D5E" w:rsidP="00AF6D5E">
      <w:pPr>
        <w:spacing w:line="276" w:lineRule="auto"/>
        <w:jc w:val="both"/>
        <w:rPr>
          <w:rFonts w:ascii="Verdana" w:eastAsia="Calibri" w:hAnsi="Verdana" w:cs="Arial"/>
          <w:color w:val="000000"/>
          <w:lang w:eastAsia="es-ES"/>
        </w:rPr>
      </w:pPr>
      <w:r w:rsidRPr="00A77871">
        <w:rPr>
          <w:rFonts w:ascii="Verdana" w:eastAsia="Calibri" w:hAnsi="Verdana" w:cs="Arial"/>
          <w:lang w:eastAsia="es-ES"/>
        </w:rPr>
        <w:t xml:space="preserve">Estimado </w:t>
      </w:r>
      <w:r>
        <w:rPr>
          <w:rFonts w:ascii="Verdana" w:eastAsia="Calibri" w:hAnsi="Verdana" w:cs="Arial"/>
          <w:lang w:eastAsia="es-ES"/>
        </w:rPr>
        <w:t>señor</w:t>
      </w:r>
      <w:r w:rsidR="00ED443B">
        <w:rPr>
          <w:rFonts w:ascii="Verdana" w:eastAsia="Calibri" w:hAnsi="Verdana" w:cs="Arial"/>
          <w:lang w:eastAsia="es-ES"/>
        </w:rPr>
        <w:t xml:space="preserve"> Acosta</w:t>
      </w:r>
      <w:r w:rsidRPr="00A77871">
        <w:rPr>
          <w:rFonts w:ascii="Verdana" w:eastAsia="Calibri" w:hAnsi="Verdana" w:cs="Arial"/>
          <w:lang w:eastAsia="es-ES"/>
        </w:rPr>
        <w:t>, cordial saludo</w:t>
      </w:r>
      <w:r>
        <w:rPr>
          <w:rFonts w:ascii="Verdana" w:eastAsia="Calibri" w:hAnsi="Verdana" w:cs="Arial"/>
          <w:lang w:eastAsia="es-ES"/>
        </w:rPr>
        <w:t>:</w:t>
      </w:r>
      <w:r w:rsidRPr="00A77871">
        <w:rPr>
          <w:rFonts w:ascii="Verdana" w:eastAsia="Calibri" w:hAnsi="Verdana" w:cs="Arial"/>
          <w:color w:val="000000"/>
          <w:lang w:eastAsia="es-ES"/>
        </w:rPr>
        <w:tab/>
      </w:r>
    </w:p>
    <w:p w14:paraId="7324415E" w14:textId="29E37B8E" w:rsidR="00AF6D5E" w:rsidRDefault="00AF6D5E" w:rsidP="00AF6D5E">
      <w:pPr>
        <w:spacing w:line="276" w:lineRule="auto"/>
        <w:jc w:val="both"/>
        <w:rPr>
          <w:rFonts w:ascii="Verdana" w:eastAsia="Calibri" w:hAnsi="Verdana" w:cs="Arial"/>
          <w:i/>
          <w:iCs/>
          <w:lang w:eastAsia="es-ES"/>
        </w:rPr>
      </w:pPr>
      <w:r w:rsidRPr="00A77871">
        <w:rPr>
          <w:rFonts w:ascii="Verdana" w:eastAsia="Calibri" w:hAnsi="Verdana" w:cs="Arial"/>
          <w:color w:val="000000"/>
          <w:lang w:eastAsia="es-ES"/>
        </w:rPr>
        <w:t>En ejercicio de la competencia otorgada por los artículos 3, numeral 5º, y 11, numeral 8º, del Decreto Ley 4170 de 2011,</w:t>
      </w:r>
      <w:r w:rsidRPr="00A77871">
        <w:rPr>
          <w:rFonts w:ascii="Verdana" w:eastAsia="Arial MT" w:hAnsi="Verdana" w:cs="Arial MT"/>
          <w:lang w:eastAsia="es-ES"/>
        </w:rPr>
        <w:t xml:space="preserve"> </w:t>
      </w:r>
      <w:r w:rsidRPr="00A77871">
        <w:rPr>
          <w:rFonts w:ascii="Verdana" w:eastAsia="Calibri" w:hAnsi="Verdana" w:cs="Arial"/>
        </w:rPr>
        <w:t xml:space="preserve">así como lo establecido en el artículo 4 de la Resolución 1707 de 2018 expedida por esta Entidad, </w:t>
      </w:r>
      <w:r w:rsidRPr="00A77871">
        <w:rPr>
          <w:rFonts w:ascii="Verdana" w:eastAsia="Calibri" w:hAnsi="Verdana" w:cs="Arial"/>
          <w:color w:val="000000"/>
          <w:lang w:eastAsia="es-ES"/>
        </w:rPr>
        <w:t xml:space="preserve">la Agencia Nacional de Contratación Pública – Colombia Compra Eficiente responde su solicitud de concepto del </w:t>
      </w:r>
      <w:r w:rsidR="0086321E">
        <w:rPr>
          <w:rFonts w:ascii="Verdana" w:eastAsia="Calibri" w:hAnsi="Verdana" w:cs="Arial"/>
          <w:color w:val="000000"/>
          <w:lang w:eastAsia="es-ES"/>
        </w:rPr>
        <w:t>09</w:t>
      </w:r>
      <w:r w:rsidRPr="00A77871">
        <w:rPr>
          <w:rFonts w:ascii="Verdana" w:eastAsia="Calibri" w:hAnsi="Verdana" w:cs="Arial"/>
          <w:color w:val="000000"/>
          <w:lang w:eastAsia="es-ES"/>
        </w:rPr>
        <w:t xml:space="preserve"> de </w:t>
      </w:r>
      <w:r w:rsidR="0086321E">
        <w:rPr>
          <w:rFonts w:ascii="Verdana" w:eastAsia="Calibri" w:hAnsi="Verdana" w:cs="Arial"/>
          <w:color w:val="000000"/>
          <w:lang w:eastAsia="es-ES"/>
        </w:rPr>
        <w:t>julio</w:t>
      </w:r>
      <w:r w:rsidRPr="00A77871">
        <w:rPr>
          <w:rFonts w:ascii="Verdana" w:eastAsia="Calibri" w:hAnsi="Verdana" w:cs="Arial"/>
          <w:color w:val="000000"/>
          <w:lang w:eastAsia="es-ES"/>
        </w:rPr>
        <w:t xml:space="preserve"> de 2026,</w:t>
      </w:r>
      <w:r w:rsidRPr="00A77871">
        <w:rPr>
          <w:rFonts w:ascii="Verdana" w:eastAsia="Calibri" w:hAnsi="Verdana" w:cs="Arial"/>
          <w:lang w:eastAsia="es-ES"/>
        </w:rPr>
        <w:t xml:space="preserve"> en la que manifiesta lo siguiente:</w:t>
      </w:r>
      <w:r w:rsidRPr="00A77871">
        <w:rPr>
          <w:rFonts w:ascii="Verdana" w:eastAsia="Calibri" w:hAnsi="Verdana" w:cs="Arial"/>
          <w:i/>
          <w:iCs/>
          <w:lang w:eastAsia="es-ES"/>
        </w:rPr>
        <w:t xml:space="preserve"> </w:t>
      </w:r>
      <w:bookmarkStart w:id="2" w:name="_Hlk95313578"/>
    </w:p>
    <w:p w14:paraId="7D5464B7" w14:textId="3C5EA071" w:rsidR="00AF6D5E" w:rsidRDefault="00AF6D5E" w:rsidP="006D2270">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w:t>
      </w:r>
      <w:bookmarkEnd w:id="2"/>
    </w:p>
    <w:p w14:paraId="0FB2CC19" w14:textId="77777777" w:rsidR="006D2270" w:rsidRDefault="006D2270" w:rsidP="006D2270">
      <w:pPr>
        <w:spacing w:after="0" w:line="240" w:lineRule="auto"/>
        <w:ind w:left="709" w:right="709"/>
        <w:jc w:val="both"/>
        <w:rPr>
          <w:rFonts w:ascii="Verdana" w:hAnsi="Verdana" w:cs="Arial"/>
          <w:i/>
          <w:iCs/>
          <w:sz w:val="20"/>
          <w:szCs w:val="20"/>
          <w:shd w:val="clear" w:color="auto" w:fill="FFFFFF"/>
          <w:lang w:val="es-ES"/>
        </w:rPr>
      </w:pPr>
    </w:p>
    <w:p w14:paraId="49CC8D22" w14:textId="2AFD2C27" w:rsidR="00AF6D5E" w:rsidRPr="00ED70E4" w:rsidRDefault="006D2270" w:rsidP="006D2270">
      <w:pPr>
        <w:spacing w:after="0" w:line="240" w:lineRule="auto"/>
        <w:ind w:left="709" w:right="709"/>
        <w:jc w:val="both"/>
        <w:rPr>
          <w:rFonts w:ascii="Verdana" w:hAnsi="Verdana" w:cs="Arial"/>
          <w:i/>
          <w:iCs/>
          <w:sz w:val="20"/>
          <w:szCs w:val="20"/>
          <w:shd w:val="clear" w:color="auto" w:fill="FFFFFF"/>
          <w:lang w:val="es-ES"/>
        </w:rPr>
      </w:pPr>
      <w:r w:rsidRPr="006D2270">
        <w:rPr>
          <w:rFonts w:ascii="Verdana" w:hAnsi="Verdana" w:cs="Arial"/>
          <w:i/>
          <w:iCs/>
          <w:sz w:val="20"/>
          <w:szCs w:val="20"/>
          <w:shd w:val="clear" w:color="auto" w:fill="FFFFFF"/>
        </w:rPr>
        <w:t>¿En un proceso de selección abreviada de menor cuantía, cuando el pliego de condiciones establece que la manifestación de interés debe presentarse acompañada de determinados documentos anexos — por ejemplo, para proponentes singulares: certificado de existencia y representación legal o certificado de inscripción en el registro mercantil, y copia de la cédula del representante legal; y para proponentes plurales: dichos documentos respecto de cada integrante, junto con el documento de conformación del consorcio o unión temporal — , la omisión de tales anexos implica que la manifestación de interés deba tenerse por no presentada, impidiendo la presentación de la respectiva propuesta económica, o puede considerarse válida con la sola radicación del documento de manifestación de interés, habilitando así al interesado para presentar propuesta?</w:t>
      </w:r>
      <w:r w:rsidR="00AF6D5E" w:rsidRPr="00ED70E4">
        <w:rPr>
          <w:rFonts w:ascii="Verdana" w:hAnsi="Verdana" w:cs="Arial"/>
          <w:i/>
          <w:iCs/>
          <w:sz w:val="20"/>
          <w:szCs w:val="20"/>
          <w:shd w:val="clear" w:color="auto" w:fill="FFFFFF"/>
          <w:lang w:val="es-ES"/>
        </w:rPr>
        <w:t>”</w:t>
      </w:r>
    </w:p>
    <w:p w14:paraId="474F1EAD" w14:textId="77777777" w:rsidR="00AF6D5E" w:rsidRPr="00A77871" w:rsidRDefault="00AF6D5E" w:rsidP="00AF6D5E">
      <w:pPr>
        <w:spacing w:before="240" w:after="120" w:line="276" w:lineRule="auto"/>
        <w:jc w:val="both"/>
        <w:rPr>
          <w:rFonts w:ascii="Verdana" w:eastAsia="Calibri" w:hAnsi="Verdana" w:cs="Arial"/>
          <w:color w:val="000000"/>
          <w:lang w:eastAsia="es-ES"/>
        </w:rPr>
      </w:pPr>
      <w:r w:rsidRPr="005101AB">
        <w:rPr>
          <w:rFonts w:ascii="Verdana" w:eastAsia="Calibri" w:hAnsi="Verdana" w:cs="Arial"/>
        </w:rPr>
        <w:t xml:space="preserve">De manera preliminar, resulta necesario acotar que esta entidad solo tiene competencia para responder consultas sobre la aplicación de normas de carácter </w:t>
      </w:r>
      <w:r w:rsidRPr="005101AB">
        <w:rPr>
          <w:rFonts w:ascii="Verdana" w:eastAsia="Calibri" w:hAnsi="Verdana" w:cs="Arial"/>
        </w:rPr>
        <w:lastRenderedPageBreak/>
        <w:t>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w:t>
      </w:r>
      <w:r w:rsidRPr="00A77871">
        <w:rPr>
          <w:rFonts w:ascii="Verdana" w:eastAsia="Calibri" w:hAnsi="Verdana" w:cs="Arial"/>
          <w:color w:val="000000"/>
          <w:lang w:eastAsia="es-ES"/>
        </w:rPr>
        <w:t xml:space="preserve">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77871">
        <w:rPr>
          <w:rFonts w:ascii="Verdana" w:eastAsia="Calibri" w:hAnsi="Verdana" w:cs="Arial"/>
          <w:color w:val="000000"/>
          <w:lang w:eastAsia="es-ES_tradnl"/>
        </w:rPr>
        <w:tab/>
      </w:r>
    </w:p>
    <w:p w14:paraId="4158BE12" w14:textId="77777777" w:rsidR="00AF6D5E" w:rsidRPr="00A77871" w:rsidRDefault="00AF6D5E" w:rsidP="00AF6D5E">
      <w:pPr>
        <w:spacing w:line="276" w:lineRule="auto"/>
        <w:jc w:val="both"/>
        <w:rPr>
          <w:rFonts w:ascii="Verdana" w:eastAsia="Calibri" w:hAnsi="Verdana" w:cs="Arial"/>
          <w:b/>
          <w:bCs/>
          <w:color w:val="000000"/>
          <w:lang w:eastAsia="es-ES"/>
        </w:rPr>
      </w:pPr>
      <w:r w:rsidRPr="00A77871">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problemas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jurídicos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de su consulta.</w:t>
      </w:r>
      <w:r w:rsidRPr="00A77871">
        <w:rPr>
          <w:rFonts w:ascii="Verdana" w:eastAsia="Calibri" w:hAnsi="Verdana" w:cs="Arial"/>
          <w:b/>
          <w:bCs/>
          <w:color w:val="000000"/>
          <w:lang w:eastAsia="es-ES"/>
        </w:rPr>
        <w:t xml:space="preserve"> </w:t>
      </w:r>
    </w:p>
    <w:p w14:paraId="04808F9C" w14:textId="77777777" w:rsidR="00AF6D5E" w:rsidRPr="001B415F" w:rsidRDefault="00AF6D5E" w:rsidP="00AF6D5E">
      <w:pPr>
        <w:numPr>
          <w:ilvl w:val="0"/>
          <w:numId w:val="16"/>
        </w:numPr>
        <w:tabs>
          <w:tab w:val="left" w:pos="142"/>
          <w:tab w:val="left" w:pos="284"/>
        </w:tabs>
        <w:spacing w:line="276" w:lineRule="auto"/>
        <w:ind w:left="0" w:firstLine="357"/>
        <w:contextualSpacing/>
        <w:jc w:val="both"/>
        <w:rPr>
          <w:rFonts w:ascii="Verdana" w:eastAsia="Century Gothic" w:hAnsi="Verdana" w:cs="Century Gothic"/>
        </w:rPr>
      </w:pPr>
      <w:r w:rsidRPr="001B415F">
        <w:rPr>
          <w:rFonts w:ascii="Verdana" w:eastAsia="Century Gothic" w:hAnsi="Verdana" w:cs="Century Gothic"/>
          <w:b/>
          <w:bCs/>
        </w:rPr>
        <w:t>Problema planteado:</w:t>
      </w:r>
    </w:p>
    <w:p w14:paraId="531209B2" w14:textId="379F0134" w:rsidR="00AF6D5E" w:rsidRDefault="00AF6D5E" w:rsidP="00AF6D5E">
      <w:pPr>
        <w:spacing w:before="240" w:line="276" w:lineRule="auto"/>
        <w:jc w:val="both"/>
        <w:rPr>
          <w:rFonts w:ascii="Verdana" w:eastAsia="Century Gothic" w:hAnsi="Verdana" w:cs="Century Gothic"/>
        </w:rPr>
      </w:pPr>
      <w:r w:rsidRPr="00A77871">
        <w:rPr>
          <w:rFonts w:ascii="Verdana" w:eastAsia="Century Gothic" w:hAnsi="Verdana" w:cs="Century Gothic"/>
        </w:rPr>
        <w:t xml:space="preserve">De acuerdo con el contenido de su solicitud, esta Agencia resolverá </w:t>
      </w:r>
      <w:r w:rsidR="00211059">
        <w:rPr>
          <w:rFonts w:ascii="Verdana" w:eastAsia="Century Gothic" w:hAnsi="Verdana" w:cs="Century Gothic"/>
        </w:rPr>
        <w:t>el</w:t>
      </w:r>
      <w:r w:rsidRPr="00A77871">
        <w:rPr>
          <w:rFonts w:ascii="Verdana" w:eastAsia="Century Gothic" w:hAnsi="Verdana" w:cs="Century Gothic"/>
        </w:rPr>
        <w:t xml:space="preserve"> siguiente problema jurídico</w:t>
      </w:r>
      <w:r w:rsidRPr="00C853DB">
        <w:rPr>
          <w:rFonts w:ascii="Verdana" w:eastAsia="Century Gothic" w:hAnsi="Verdana" w:cs="Century Gothic"/>
        </w:rPr>
        <w:t>:</w:t>
      </w:r>
      <w:r w:rsidRPr="008D15EE">
        <w:rPr>
          <w:rFonts w:ascii="Verdana" w:eastAsia="Century Gothic" w:hAnsi="Verdana" w:cs="Century Gothic"/>
        </w:rPr>
        <w:t xml:space="preserve"> </w:t>
      </w:r>
      <w:r w:rsidR="00211059" w:rsidRPr="00211059">
        <w:rPr>
          <w:rFonts w:ascii="Verdana" w:eastAsia="Century Gothic" w:hAnsi="Verdana" w:cs="Century Gothic"/>
        </w:rPr>
        <w:t>¿Cuál es el alcance de la omisión de los documentos exigidos en el pliego de condiciones para acompañar la manifestación de interés dentro de un proceso de selección abreviada de menor cuantía, particularmente frente a la habilitación del interesado para presentar oferta?</w:t>
      </w:r>
    </w:p>
    <w:p w14:paraId="760ACA14" w14:textId="77777777" w:rsidR="00AF6D5E" w:rsidRPr="00F946AF" w:rsidRDefault="00AF6D5E" w:rsidP="00AF6D5E">
      <w:pPr>
        <w:numPr>
          <w:ilvl w:val="0"/>
          <w:numId w:val="16"/>
        </w:numPr>
        <w:tabs>
          <w:tab w:val="left" w:pos="142"/>
          <w:tab w:val="left" w:pos="284"/>
        </w:tabs>
        <w:spacing w:line="276" w:lineRule="auto"/>
        <w:ind w:left="0" w:firstLine="357"/>
        <w:contextualSpacing/>
        <w:jc w:val="both"/>
        <w:rPr>
          <w:rFonts w:ascii="Verdana" w:eastAsia="Century Gothic" w:hAnsi="Verdana" w:cs="Century Gothic"/>
          <w:b/>
          <w:bCs/>
        </w:rPr>
      </w:pPr>
      <w:r w:rsidRPr="00F946AF">
        <w:rPr>
          <w:rFonts w:ascii="Verdana" w:eastAsia="Century Gothic" w:hAnsi="Verdana" w:cs="Century Gothic"/>
          <w:b/>
          <w:bCs/>
        </w:rPr>
        <w:t xml:space="preserve"> Respuesta:</w:t>
      </w:r>
    </w:p>
    <w:p w14:paraId="16F747FF" w14:textId="77777777" w:rsidR="00AF6D5E" w:rsidRPr="001B63C6" w:rsidRDefault="00AF6D5E" w:rsidP="00AF6D5E">
      <w:pPr>
        <w:tabs>
          <w:tab w:val="left" w:pos="142"/>
          <w:tab w:val="left" w:pos="284"/>
        </w:tabs>
        <w:spacing w:line="276" w:lineRule="auto"/>
        <w:ind w:left="357"/>
        <w:contextualSpacing/>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F6D5E" w:rsidRPr="00A77871" w14:paraId="210AFB09" w14:textId="77777777" w:rsidTr="000000EA">
        <w:trPr>
          <w:jc w:val="center"/>
        </w:trPr>
        <w:tc>
          <w:tcPr>
            <w:tcW w:w="8828" w:type="dxa"/>
          </w:tcPr>
          <w:p w14:paraId="7880711E" w14:textId="77777777" w:rsidR="00A8175F" w:rsidRDefault="00A8175F" w:rsidP="00A8175F">
            <w:pPr>
              <w:spacing w:after="120" w:line="276" w:lineRule="auto"/>
              <w:jc w:val="both"/>
              <w:rPr>
                <w:rFonts w:ascii="Verdana" w:eastAsia="Calibri" w:hAnsi="Verdana" w:cs="Arial"/>
                <w:lang w:val="es-MX"/>
              </w:rPr>
            </w:pPr>
            <w:bookmarkStart w:id="3" w:name="_Hlk171694685"/>
            <w:r>
              <w:rPr>
                <w:rFonts w:ascii="Verdana" w:eastAsia="Times New Roman" w:hAnsi="Verdana" w:cs="Arial"/>
                <w:color w:val="000000"/>
                <w:lang w:val="es-ES_tradnl" w:eastAsia="es-ES_tradnl"/>
              </w:rPr>
              <w:t>Conforme a la interpretación general de las normas del sistema de compras públicas,</w:t>
            </w:r>
            <w:r w:rsidRPr="007D48B0">
              <w:rPr>
                <w:rFonts w:ascii="Verdana" w:eastAsia="Calibri" w:hAnsi="Verdana" w:cs="Arial"/>
                <w:lang w:val="es-MX"/>
              </w:rPr>
              <w:t xml:space="preserve"> la manifestación de interés </w:t>
            </w:r>
            <w:r>
              <w:rPr>
                <w:rFonts w:ascii="Verdana" w:eastAsia="Calibri" w:hAnsi="Verdana" w:cs="Arial"/>
                <w:lang w:val="es-MX"/>
              </w:rPr>
              <w:t>en la</w:t>
            </w:r>
            <w:r w:rsidRPr="007D48B0">
              <w:rPr>
                <w:rFonts w:ascii="Verdana" w:eastAsia="Calibri" w:hAnsi="Verdana" w:cs="Arial"/>
                <w:lang w:val="es-MX"/>
              </w:rPr>
              <w:t xml:space="preserve"> selección abreviada de menor cuantía constituye en un requisito habilitante, esto es, en un requisito</w:t>
            </w:r>
            <w:r w:rsidRPr="007D48B0">
              <w:rPr>
                <w:rFonts w:ascii="Verdana" w:hAnsi="Verdana" w:cs="Arial"/>
                <w:shd w:val="clear" w:color="auto" w:fill="FFFFFF"/>
              </w:rPr>
              <w:t xml:space="preserve"> para participar en un proceso de contratación como oferente. En efecto, </w:t>
            </w:r>
            <w:r w:rsidRPr="007D48B0">
              <w:rPr>
                <w:rFonts w:ascii="Verdana" w:eastAsia="Calibri" w:hAnsi="Verdana" w:cs="Arial"/>
                <w:lang w:val="es-MX"/>
              </w:rPr>
              <w:t>según lo dispuesto en el artículo 2.2.1.2.1.2.20 del Decreto 1082 de 2015</w:t>
            </w:r>
            <w:r w:rsidRPr="007D48B0">
              <w:rPr>
                <w:rFonts w:ascii="Verdana" w:eastAsia="Calibri" w:hAnsi="Verdana" w:cs="Arial"/>
                <w:vertAlign w:val="superscript"/>
                <w:lang w:val="es-MX"/>
              </w:rPr>
              <w:t xml:space="preserve">, </w:t>
            </w:r>
            <w:r w:rsidRPr="007D48B0">
              <w:rPr>
                <w:rFonts w:ascii="Verdana" w:eastAsia="Calibri" w:hAnsi="Verdana" w:cs="Arial"/>
                <w:lang w:val="es-MX"/>
              </w:rPr>
              <w:t xml:space="preserve">el procedimiento inicia con la apertura del proceso que haga la entidad, y los interesados en el procedimiento contractual deben presentar una </w:t>
            </w:r>
            <w:r>
              <w:rPr>
                <w:rFonts w:ascii="Verdana" w:eastAsia="Calibri" w:hAnsi="Verdana" w:cs="Arial"/>
                <w:lang w:val="es-MX"/>
              </w:rPr>
              <w:t>“</w:t>
            </w:r>
            <w:r w:rsidRPr="007D48B0">
              <w:rPr>
                <w:rFonts w:ascii="Verdana" w:eastAsia="Calibri" w:hAnsi="Verdana" w:cs="Arial"/>
                <w:lang w:val="es-MX"/>
              </w:rPr>
              <w:t>manifestación de interés</w:t>
            </w:r>
            <w:r>
              <w:rPr>
                <w:rFonts w:ascii="Verdana" w:eastAsia="Calibri" w:hAnsi="Verdana" w:cs="Arial"/>
                <w:lang w:val="es-MX"/>
              </w:rPr>
              <w:t>”</w:t>
            </w:r>
            <w:r w:rsidRPr="007D48B0">
              <w:rPr>
                <w:rFonts w:ascii="Verdana" w:eastAsia="Calibri" w:hAnsi="Verdana" w:cs="Arial"/>
                <w:lang w:val="es-MX"/>
              </w:rPr>
              <w:t xml:space="preserve"> para participar en el mismo</w:t>
            </w:r>
            <w:r>
              <w:rPr>
                <w:rFonts w:ascii="Verdana" w:eastAsia="Calibri" w:hAnsi="Verdana" w:cs="Arial"/>
                <w:lang w:val="es-MX"/>
              </w:rPr>
              <w:t>.</w:t>
            </w:r>
          </w:p>
          <w:p w14:paraId="63F5A112" w14:textId="2F287A67" w:rsidR="003747C8" w:rsidRDefault="00A8175F" w:rsidP="00A8175F">
            <w:pPr>
              <w:spacing w:after="120" w:line="276" w:lineRule="auto"/>
              <w:jc w:val="both"/>
              <w:rPr>
                <w:rFonts w:ascii="Verdana" w:eastAsia="Century Gothic" w:hAnsi="Verdana" w:cs="Century Gothic"/>
                <w:bCs/>
              </w:rPr>
            </w:pPr>
            <w:r>
              <w:rPr>
                <w:rFonts w:ascii="Verdana" w:eastAsia="Calibri" w:hAnsi="Verdana" w:cs="Arial"/>
              </w:rPr>
              <w:lastRenderedPageBreak/>
              <w:t>De esta manera, s</w:t>
            </w:r>
            <w:r w:rsidRPr="007D48B0">
              <w:rPr>
                <w:rFonts w:ascii="Verdana" w:eastAsia="Calibri" w:hAnsi="Verdana" w:cs="Arial"/>
              </w:rPr>
              <w:t xml:space="preserve">in perjuicio de la regla de inalterabilidad de los documentos tipo y las condiciones de uso del SECOP </w:t>
            </w:r>
            <w:r w:rsidR="00D50701">
              <w:rPr>
                <w:rFonts w:ascii="Verdana" w:eastAsia="Calibri" w:hAnsi="Verdana" w:cs="Arial"/>
              </w:rPr>
              <w:t>II</w:t>
            </w:r>
            <w:r w:rsidRPr="007D48B0">
              <w:rPr>
                <w:rFonts w:ascii="Verdana" w:eastAsia="Calibri" w:hAnsi="Verdana" w:cs="Arial"/>
              </w:rPr>
              <w:t>, la entidad puede configurar las condiciones de la manifestación de interés en el pliego de condiciones</w:t>
            </w:r>
            <w:r w:rsidR="00D50701">
              <w:rPr>
                <w:rFonts w:ascii="Verdana" w:eastAsia="Calibri" w:hAnsi="Verdana" w:cs="Arial"/>
              </w:rPr>
              <w:t>.</w:t>
            </w:r>
          </w:p>
          <w:p w14:paraId="2101C8AF" w14:textId="5869FFA2" w:rsidR="00722153" w:rsidRDefault="00722153" w:rsidP="003747C8">
            <w:pPr>
              <w:spacing w:after="120" w:line="276" w:lineRule="auto"/>
              <w:jc w:val="both"/>
              <w:rPr>
                <w:rFonts w:ascii="Verdana" w:eastAsia="Century Gothic" w:hAnsi="Verdana" w:cs="Century Gothic"/>
                <w:bCs/>
              </w:rPr>
            </w:pPr>
            <w:r w:rsidRPr="00722153">
              <w:rPr>
                <w:rFonts w:ascii="Verdana" w:eastAsia="Century Gothic" w:hAnsi="Verdana" w:cs="Century Gothic"/>
                <w:bCs/>
              </w:rPr>
              <w:t xml:space="preserve">En consecuencia, la manifestación de interés no equivale a la oferta ni constituye, por sí sola, la acreditación integral de todos los requisitos habilitantes que deben ser verificados por la entidad respecto de los proponentes. No obstante, la manifestación de interés constituye, en sí misma, un requisito habilitante para </w:t>
            </w:r>
            <w:r w:rsidR="00DA0DF0">
              <w:rPr>
                <w:rFonts w:ascii="Verdana" w:eastAsia="Century Gothic" w:hAnsi="Verdana" w:cs="Century Gothic"/>
                <w:bCs/>
              </w:rPr>
              <w:t xml:space="preserve">poder llegar a </w:t>
            </w:r>
            <w:r w:rsidRPr="00722153">
              <w:rPr>
                <w:rFonts w:ascii="Verdana" w:eastAsia="Century Gothic" w:hAnsi="Verdana" w:cs="Century Gothic"/>
                <w:bCs/>
              </w:rPr>
              <w:t xml:space="preserve">participar </w:t>
            </w:r>
            <w:r w:rsidR="00DA0DF0">
              <w:rPr>
                <w:rFonts w:ascii="Verdana" w:eastAsia="Century Gothic" w:hAnsi="Verdana" w:cs="Century Gothic"/>
                <w:bCs/>
              </w:rPr>
              <w:t xml:space="preserve">eventualmente </w:t>
            </w:r>
            <w:r w:rsidRPr="00722153">
              <w:rPr>
                <w:rFonts w:ascii="Verdana" w:eastAsia="Century Gothic" w:hAnsi="Verdana" w:cs="Century Gothic"/>
                <w:bCs/>
              </w:rPr>
              <w:t>en el proce</w:t>
            </w:r>
            <w:r w:rsidR="00DA0DF0">
              <w:rPr>
                <w:rFonts w:ascii="Verdana" w:eastAsia="Century Gothic" w:hAnsi="Verdana" w:cs="Century Gothic"/>
                <w:bCs/>
              </w:rPr>
              <w:t>so</w:t>
            </w:r>
            <w:r w:rsidRPr="00722153">
              <w:rPr>
                <w:rFonts w:ascii="Verdana" w:eastAsia="Century Gothic" w:hAnsi="Verdana" w:cs="Century Gothic"/>
                <w:bCs/>
              </w:rPr>
              <w:t xml:space="preserve"> de selección, cuyo cumplimiento debe ser acreditado en los términos y condiciones establecidos por la entidad en los documentos del proceso. Por tanto, si bien la manifestación de interés y la acreditación de los demás requisitos habilitantes corresponden a actuaciones que pueden desarrollarse en </w:t>
            </w:r>
            <w:r w:rsidR="00DA0DF0">
              <w:rPr>
                <w:rFonts w:ascii="Verdana" w:eastAsia="Century Gothic" w:hAnsi="Verdana" w:cs="Century Gothic"/>
                <w:bCs/>
              </w:rPr>
              <w:t>hitos</w:t>
            </w:r>
            <w:r w:rsidRPr="00722153">
              <w:rPr>
                <w:rFonts w:ascii="Verdana" w:eastAsia="Century Gothic" w:hAnsi="Verdana" w:cs="Century Gothic"/>
                <w:bCs/>
              </w:rPr>
              <w:t xml:space="preserve"> y bajo condiciones diferentes dentro del proce</w:t>
            </w:r>
            <w:r w:rsidR="005D0D75">
              <w:rPr>
                <w:rFonts w:ascii="Verdana" w:eastAsia="Century Gothic" w:hAnsi="Verdana" w:cs="Century Gothic"/>
                <w:bCs/>
              </w:rPr>
              <w:t>so</w:t>
            </w:r>
            <w:r w:rsidRPr="00722153">
              <w:rPr>
                <w:rFonts w:ascii="Verdana" w:eastAsia="Century Gothic" w:hAnsi="Verdana" w:cs="Century Gothic"/>
                <w:bCs/>
              </w:rPr>
              <w:t>, ambas se integran al conjunto de requisitos que determinan la habilitación del interesado para participar en el proceso.</w:t>
            </w:r>
          </w:p>
          <w:p w14:paraId="3D5BAEC8" w14:textId="3CE10ECE"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Por esta razón, no toda exigencia documental asociada a la manifestación de interés puede ser entendida automáticamente como un requisito habilitante de la oferta, ni toda deficiencia en dicha manifestación implica, por sí misma, que el interesado carezca de capacidad jurídica, financiera, organizacional o de experiencia para presentar una oferta.</w:t>
            </w:r>
          </w:p>
          <w:p w14:paraId="0556DA2C" w14:textId="16963561"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En ejercicio de su autonomía para estructurar los procesos de contratación, la entidad estatal puede establecer en el pliego de condiciones las reglas que deben observar los interesados para participar en cada una de las etapas del procedimiento, incluyendo, cuando resulte pertinente y se encuentre jurídicamente justificado, los documentos que deben acompañar la manifestación de interés.</w:t>
            </w:r>
            <w:r w:rsidR="002B7561">
              <w:rPr>
                <w:rFonts w:ascii="Verdana" w:eastAsia="Century Gothic" w:hAnsi="Verdana" w:cs="Century Gothic"/>
                <w:bCs/>
              </w:rPr>
              <w:t xml:space="preserve"> </w:t>
            </w:r>
            <w:r w:rsidRPr="00916AC8">
              <w:rPr>
                <w:rFonts w:ascii="Verdana" w:eastAsia="Century Gothic" w:hAnsi="Verdana" w:cs="Century Gothic"/>
                <w:bCs/>
              </w:rPr>
              <w:t>No obstante, dicha facultad no es absoluta. Las exigencias previstas por la entidad deben guardar relación con el objeto y las condiciones del proceso y responder a criterios de razonabilidad, proporcionalidad y coherencia. En particular, las condiciones establecidas en el pliego deben permitir la efectiva aplicación de los principios que rigen la contratación estatal y evitar la incorporación de cargas formales que carezcan de una justificación relacionada con la finalidad de la etapa correspondiente.</w:t>
            </w:r>
          </w:p>
          <w:p w14:paraId="46A7AF8B" w14:textId="77777777"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 xml:space="preserve">Así, la entidad puede establecer requisitos para la manifestación de interés, pero debe hacerlo de manera clara y consistente, de modo que los interesados conozcan previamente las condiciones que deben cumplir para continuar en el </w:t>
            </w:r>
            <w:r w:rsidRPr="00916AC8">
              <w:rPr>
                <w:rFonts w:ascii="Verdana" w:eastAsia="Century Gothic" w:hAnsi="Verdana" w:cs="Century Gothic"/>
                <w:bCs/>
              </w:rPr>
              <w:lastRenderedPageBreak/>
              <w:t>procedimiento. Una vez fijadas las reglas del proceso, estas deben ser aplicadas de manera uniforme a los participantes, en observancia de los principios de transparencia, igualdad y selección objetiva.</w:t>
            </w:r>
          </w:p>
          <w:p w14:paraId="21A4DF30" w14:textId="7D0507C2"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En este sentido, el hecho de que el pliego exija determinados documentos para acompañar la manifestación de interés no determina, por sí sola, que tales documentos tengan la naturaleza de requisitos habilitantes</w:t>
            </w:r>
            <w:r w:rsidR="002B7561">
              <w:rPr>
                <w:rFonts w:ascii="Verdana" w:eastAsia="Century Gothic" w:hAnsi="Verdana" w:cs="Century Gothic"/>
                <w:bCs/>
              </w:rPr>
              <w:t xml:space="preserve">, pues estos, </w:t>
            </w:r>
            <w:r w:rsidRPr="00916AC8">
              <w:rPr>
                <w:rFonts w:ascii="Verdana" w:eastAsia="Century Gothic" w:hAnsi="Verdana" w:cs="Century Gothic"/>
                <w:bCs/>
              </w:rPr>
              <w:t>tienen como finalidad verificar las condiciones del proponente necesarias para participar en el proceso y se relacionan, entre otros aspectos, con su capacidad jurídica, experiencia, capacidad financiera y capacidad organizacional</w:t>
            </w:r>
            <w:r w:rsidR="00A93A49">
              <w:rPr>
                <w:rFonts w:ascii="Verdana" w:eastAsia="Century Gothic" w:hAnsi="Verdana" w:cs="Century Gothic"/>
                <w:bCs/>
              </w:rPr>
              <w:t>, como ya se ha mencionado.</w:t>
            </w:r>
          </w:p>
          <w:p w14:paraId="4D12EA89" w14:textId="77777777"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Por su parte, los documentos requeridos para acompañar la manifestación de interés pueden estar dirigidos exclusivamente a acreditar el cumplimiento de las condiciones previstas para intervenir en esa etapa del procedimiento. Por ello, frente a la omisión de uno de estos documentos, la entidad debe determinar cuál es su finalidad, qué condición pretendía acreditar y si su ausencia afecta sustancialmente la posibilidad de participación del interesado o constituye una deficiencia formal susceptible de ser subsanada.</w:t>
            </w:r>
          </w:p>
          <w:p w14:paraId="44DE5BA3" w14:textId="77777777" w:rsidR="00AF4365" w:rsidRPr="00AF4365" w:rsidRDefault="00AF4365" w:rsidP="00AF4365">
            <w:pPr>
              <w:spacing w:after="120" w:line="276" w:lineRule="auto"/>
              <w:jc w:val="both"/>
              <w:rPr>
                <w:rFonts w:ascii="Verdana" w:eastAsia="Century Gothic" w:hAnsi="Verdana" w:cs="Century Gothic"/>
                <w:bCs/>
              </w:rPr>
            </w:pPr>
            <w:r w:rsidRPr="00AF4365">
              <w:rPr>
                <w:rFonts w:ascii="Verdana" w:eastAsia="Century Gothic" w:hAnsi="Verdana" w:cs="Century Gothic"/>
                <w:bCs/>
              </w:rPr>
              <w:t>Es así como no resulta jurídicamente adecuado equiparar de manera automática la falta de un documento anexo a la manifestación de interés con la ausencia de un requisito habilitante. En consecuencia, la determinación de los efectos de dicha omisión debe atender a la naturaleza y finalidad de la exigencia establecida en el pliego de condiciones y, a partir de ello, establecer si resulta procedente su subsanación.</w:t>
            </w:r>
          </w:p>
          <w:p w14:paraId="45C87D8B" w14:textId="0DECAD06" w:rsidR="003747C8" w:rsidRPr="00916AC8" w:rsidRDefault="00AF4365" w:rsidP="003747C8">
            <w:pPr>
              <w:spacing w:after="120" w:line="276" w:lineRule="auto"/>
              <w:jc w:val="both"/>
              <w:rPr>
                <w:rFonts w:ascii="Verdana" w:eastAsia="Century Gothic" w:hAnsi="Verdana" w:cs="Century Gothic"/>
                <w:bCs/>
              </w:rPr>
            </w:pPr>
            <w:r w:rsidRPr="00AF4365">
              <w:rPr>
                <w:rFonts w:ascii="Verdana" w:eastAsia="Century Gothic" w:hAnsi="Verdana" w:cs="Century Gothic"/>
              </w:rPr>
              <w:t>En este sentido</w:t>
            </w:r>
            <w:r w:rsidRPr="00AF4365">
              <w:rPr>
                <w:rFonts w:ascii="Verdana" w:eastAsia="Century Gothic" w:hAnsi="Verdana" w:cs="Century Gothic"/>
                <w:b/>
                <w:bCs/>
              </w:rPr>
              <w:t>,</w:t>
            </w:r>
            <w:r w:rsidRPr="00AF4365">
              <w:rPr>
                <w:rFonts w:ascii="Verdana" w:eastAsia="Century Gothic" w:hAnsi="Verdana" w:cs="Century Gothic"/>
                <w:bCs/>
              </w:rPr>
              <w:t xml:space="preserve"> la posibilidad de subsanar una omisión debe analizarse a partir de las reglas generales de </w:t>
            </w:r>
            <w:proofErr w:type="spellStart"/>
            <w:r w:rsidRPr="00AF4365">
              <w:rPr>
                <w:rFonts w:ascii="Verdana" w:eastAsia="Century Gothic" w:hAnsi="Verdana" w:cs="Century Gothic"/>
                <w:bCs/>
              </w:rPr>
              <w:t>subsanabilidad</w:t>
            </w:r>
            <w:proofErr w:type="spellEnd"/>
            <w:r w:rsidRPr="00AF4365">
              <w:rPr>
                <w:rFonts w:ascii="Verdana" w:eastAsia="Century Gothic" w:hAnsi="Verdana" w:cs="Century Gothic"/>
                <w:bCs/>
              </w:rPr>
              <w:t xml:space="preserve"> aplicables a la contratación estatal y de la naturaleza de la condición que se pretende acreditar.</w:t>
            </w:r>
            <w:r w:rsidR="00F92887">
              <w:rPr>
                <w:rFonts w:ascii="Verdana" w:eastAsia="Century Gothic" w:hAnsi="Verdana" w:cs="Century Gothic"/>
                <w:bCs/>
              </w:rPr>
              <w:t xml:space="preserve"> </w:t>
            </w:r>
            <w:r w:rsidR="003747C8" w:rsidRPr="00916AC8">
              <w:rPr>
                <w:rFonts w:ascii="Verdana" w:eastAsia="Century Gothic" w:hAnsi="Verdana" w:cs="Century Gothic"/>
                <w:bCs/>
              </w:rPr>
              <w:t>En términos generales, la subsanación permite que los proponentes enmienden, corrijan o aporten los documentos necesarios para acreditar el cumplimiento de los requisitos habilitantes o de aquellos que no sean necesarios para la comparación de las ofertas, siempre que la deficiencia identificada no implique la modificación de un aspecto sustancial de la oferta ni permita acreditar una condición que no existía al momento exigido por el procedimiento.</w:t>
            </w:r>
          </w:p>
          <w:p w14:paraId="08D724AB" w14:textId="77777777" w:rsidR="003747C8" w:rsidRPr="00916AC8" w:rsidRDefault="003747C8" w:rsidP="003747C8">
            <w:pPr>
              <w:spacing w:after="120" w:line="276" w:lineRule="auto"/>
              <w:jc w:val="both"/>
              <w:rPr>
                <w:rFonts w:ascii="Verdana" w:eastAsia="Century Gothic" w:hAnsi="Verdana" w:cs="Century Gothic"/>
                <w:bCs/>
              </w:rPr>
            </w:pPr>
            <w:r w:rsidRPr="001710B1">
              <w:rPr>
                <w:rFonts w:ascii="Verdana" w:eastAsia="Century Gothic" w:hAnsi="Verdana" w:cs="Century Gothic"/>
                <w:bCs/>
              </w:rPr>
              <w:t xml:space="preserve">En ese </w:t>
            </w:r>
            <w:r>
              <w:rPr>
                <w:rFonts w:ascii="Verdana" w:eastAsia="Century Gothic" w:hAnsi="Verdana" w:cs="Century Gothic"/>
                <w:bCs/>
              </w:rPr>
              <w:t>sentido</w:t>
            </w:r>
            <w:r w:rsidRPr="001710B1">
              <w:rPr>
                <w:rFonts w:ascii="Verdana" w:eastAsia="Century Gothic" w:hAnsi="Verdana" w:cs="Century Gothic"/>
                <w:bCs/>
              </w:rPr>
              <w:t xml:space="preserve">, </w:t>
            </w:r>
            <w:r>
              <w:rPr>
                <w:rFonts w:ascii="Verdana" w:eastAsia="Century Gothic" w:hAnsi="Verdana" w:cs="Century Gothic"/>
                <w:bCs/>
              </w:rPr>
              <w:t>los documentos</w:t>
            </w:r>
            <w:r w:rsidRPr="001710B1">
              <w:rPr>
                <w:rFonts w:ascii="Verdana" w:eastAsia="Century Gothic" w:hAnsi="Verdana" w:cs="Century Gothic"/>
                <w:bCs/>
              </w:rPr>
              <w:t xml:space="preserve"> dentro de los procesos de contratación, como regla general, son subsanables siempre y cuando estos no afecten la </w:t>
            </w:r>
            <w:r w:rsidRPr="001710B1">
              <w:rPr>
                <w:rFonts w:ascii="Verdana" w:eastAsia="Century Gothic" w:hAnsi="Verdana" w:cs="Century Gothic"/>
                <w:bCs/>
              </w:rPr>
              <w:lastRenderedPageBreak/>
              <w:t>asignación de puntaje.</w:t>
            </w:r>
            <w:r w:rsidRPr="00916AC8">
              <w:rPr>
                <w:rFonts w:ascii="Verdana" w:eastAsia="Century Gothic" w:hAnsi="Verdana" w:cs="Century Gothic"/>
                <w:bCs/>
              </w:rPr>
              <w:t xml:space="preserve"> La facultad de subsanar las ofertas tiene como finalidad asegurar que prevalezca el fondo sobre la forma dentro de los procesos de contratación fortaleciendo la competencia real en los procedimientos de selección.</w:t>
            </w:r>
          </w:p>
          <w:p w14:paraId="40A659E3" w14:textId="77777777"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En contraste, no sería procedente utilizar la subsanación para permitir que un interesado adquiera con posterioridad una condición que debía cumplir previamente, ni para modificar sustancialmente su situación jurídica o las condiciones bajo las cuales manifestó su interés.</w:t>
            </w:r>
          </w:p>
          <w:p w14:paraId="66C92702" w14:textId="77777777"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Así las cosas, frente a la omisión de un documento exigido para acompañar la manifestación de interés, la entidad debe diferenciar entre la ausencia de una condición sustancial para participar y la simple falta de acreditación documental de una condición que ya existía. Esta distinción resulta determinante para establecer si procede la subsanación o si, por el contrario, la omisión impide válidamente continuar en el procedimiento.</w:t>
            </w:r>
          </w:p>
          <w:p w14:paraId="36837D15" w14:textId="77777777"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 xml:space="preserve">Ahora bien, frente a la facultad de la entidad para definir las condiciones de participación, esta, debe ejercerse en armonía con los principios que orientan la contratación estatal, como lo son el principio de legalidad, el principio de transparencia, de libre concurrencia y de la selección objetiva. </w:t>
            </w:r>
          </w:p>
          <w:p w14:paraId="72E719EB" w14:textId="77777777"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 xml:space="preserve">En consecuencia, la entidad debe aplicar las reglas del pliego de condiciones de manera coherente con la finalidad de la manifestación de interés y con el régimen de </w:t>
            </w:r>
            <w:proofErr w:type="spellStart"/>
            <w:r w:rsidRPr="00916AC8">
              <w:rPr>
                <w:rFonts w:ascii="Verdana" w:eastAsia="Century Gothic" w:hAnsi="Verdana" w:cs="Century Gothic"/>
                <w:bCs/>
              </w:rPr>
              <w:t>subsanabilidad</w:t>
            </w:r>
            <w:proofErr w:type="spellEnd"/>
            <w:r w:rsidRPr="00916AC8">
              <w:rPr>
                <w:rFonts w:ascii="Verdana" w:eastAsia="Century Gothic" w:hAnsi="Verdana" w:cs="Century Gothic"/>
                <w:bCs/>
              </w:rPr>
              <w:t>. La omisión de un documento no puede ser considerada, de manera automática, como una circunstancia que inhabilite al interesado para presentar oferta, pues previamente debe establecerse si dicho documento acreditaba una condición sustancial para participar, un requisito habilitante o simplemente una circunstancia formal susceptible de acreditación posterior.</w:t>
            </w:r>
          </w:p>
          <w:p w14:paraId="263C6DC4" w14:textId="1FE41FFA" w:rsidR="003747C8" w:rsidRPr="00916AC8" w:rsidRDefault="003747C8" w:rsidP="003747C8">
            <w:pPr>
              <w:spacing w:after="120" w:line="276" w:lineRule="auto"/>
              <w:jc w:val="both"/>
              <w:rPr>
                <w:rFonts w:ascii="Verdana" w:eastAsia="Century Gothic" w:hAnsi="Verdana" w:cs="Century Gothic"/>
                <w:bCs/>
              </w:rPr>
            </w:pPr>
            <w:r w:rsidRPr="00916AC8">
              <w:rPr>
                <w:rFonts w:ascii="Verdana" w:eastAsia="Century Gothic" w:hAnsi="Verdana" w:cs="Century Gothic"/>
                <w:bCs/>
              </w:rPr>
              <w:t>En suma, la manifestación de interés es una etapa previa y diferenciada de la presentación de la oferta, por lo que los documentos exigidos para su presentación no se confunden, por sí mismos, con los requisitos habilitantes. La entidad puede establecer las condiciones y documentos que deben acompañarla, siempre que sean claros, razonables, proporcionales y respeten los principios de legalidad, transparencia, libre concurrencia y selección objetiva.</w:t>
            </w:r>
            <w:r w:rsidR="00D04CFB">
              <w:rPr>
                <w:rFonts w:ascii="Verdana" w:eastAsia="Century Gothic" w:hAnsi="Verdana" w:cs="Century Gothic"/>
                <w:bCs/>
              </w:rPr>
              <w:t xml:space="preserve"> </w:t>
            </w:r>
            <w:r w:rsidRPr="00916AC8">
              <w:rPr>
                <w:rFonts w:ascii="Verdana" w:eastAsia="Century Gothic" w:hAnsi="Verdana" w:cs="Century Gothic"/>
                <w:bCs/>
              </w:rPr>
              <w:t xml:space="preserve">Por tanto, la omisión de un documento no implica automáticamente la imposibilidad de presentar oferta. La entidad deberá determinar su </w:t>
            </w:r>
            <w:r w:rsidRPr="00916AC8">
              <w:rPr>
                <w:rFonts w:ascii="Verdana" w:eastAsia="Century Gothic" w:hAnsi="Verdana" w:cs="Century Gothic"/>
                <w:bCs/>
              </w:rPr>
              <w:lastRenderedPageBreak/>
              <w:t>naturaleza y finalidad y establecer si se trata de una condición sustancial, un requisito habilitante o un aspecto formal susceptible de subsanación. En este último caso, podrá permitirse su acreditación posterior, siempre que la condición existiera al momento en que debía cumplirse y que la subsanación no implique adquirir extemporáneamente una condición ni modificar sustancialmente las reglas de participación.</w:t>
            </w:r>
          </w:p>
          <w:p w14:paraId="69045ECA" w14:textId="323E5781" w:rsidR="005D7C1E" w:rsidRDefault="008C3EB1" w:rsidP="00014C4E">
            <w:pPr>
              <w:tabs>
                <w:tab w:val="left" w:pos="426"/>
              </w:tabs>
              <w:spacing w:after="120" w:line="276" w:lineRule="auto"/>
              <w:jc w:val="both"/>
              <w:rPr>
                <w:rFonts w:ascii="Verdana" w:hAnsi="Verdana" w:cs="Arial"/>
              </w:rPr>
            </w:pPr>
            <w:r w:rsidRPr="00C81543">
              <w:rPr>
                <w:rFonts w:ascii="Verdana" w:hAnsi="Verdana" w:cs="Arial"/>
                <w:lang w:eastAsia="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p w14:paraId="42CF2D55" w14:textId="7FF15986" w:rsidR="00AF6D5E" w:rsidRPr="00A54773" w:rsidRDefault="002F370E" w:rsidP="00014C4E">
            <w:pPr>
              <w:tabs>
                <w:tab w:val="left" w:pos="426"/>
              </w:tabs>
              <w:spacing w:after="120" w:line="276" w:lineRule="auto"/>
              <w:jc w:val="both"/>
              <w:rPr>
                <w:rFonts w:ascii="Verdana" w:hAnsi="Verdana" w:cs="Arial"/>
                <w:lang w:val="es-ES"/>
              </w:rPr>
            </w:pPr>
            <w:r>
              <w:rPr>
                <w:rFonts w:ascii="Verdana" w:hAnsi="Verdana" w:cs="Arial"/>
              </w:rPr>
              <w:t>Finalmente,</w:t>
            </w:r>
            <w:r w:rsidR="00AF6D5E" w:rsidRPr="00A54773">
              <w:rPr>
                <w:rFonts w:ascii="Verdana" w:hAnsi="Verdana" w:cs="Arial"/>
                <w:lang w:val="es-ES"/>
              </w:rPr>
              <w:t xml:space="preserve"> es pertinente señalar que Colombia Compra Eficiente, en ejercicio de su función consultiva, no está llamada a definir criterios universales y absolutos, sino a suministrar elementos hermenéuticos de carácter general que orienten a los partícipes del Sistema de Compras y Contratación Pública en la adopción de sus decisiones, en consonancia con el principio de juridicidad. En consecuencia, corresponde a las entidades estatales, en cada caso concreto, determinar los criterios aplicables, con sujeción a los principios y normas que rigen el Estatuto General de Contratación de la Administración Pública (EGCAP).</w:t>
            </w:r>
          </w:p>
        </w:tc>
      </w:tr>
    </w:tbl>
    <w:bookmarkEnd w:id="3"/>
    <w:p w14:paraId="3D4D43FD" w14:textId="77777777" w:rsidR="00AF6D5E" w:rsidRPr="00A77871" w:rsidRDefault="00AF6D5E" w:rsidP="00AF6D5E">
      <w:pPr>
        <w:numPr>
          <w:ilvl w:val="0"/>
          <w:numId w:val="16"/>
        </w:numPr>
        <w:tabs>
          <w:tab w:val="left" w:pos="142"/>
          <w:tab w:val="left" w:pos="284"/>
        </w:tabs>
        <w:spacing w:before="240" w:line="276" w:lineRule="auto"/>
        <w:jc w:val="both"/>
        <w:rPr>
          <w:rFonts w:ascii="Verdana" w:eastAsia="Century Gothic" w:hAnsi="Verdana" w:cs="Century Gothic"/>
          <w:b/>
          <w:bCs/>
        </w:rPr>
      </w:pPr>
      <w:r w:rsidRPr="00A77871">
        <w:rPr>
          <w:rFonts w:ascii="Verdana" w:eastAsia="Century Gothic" w:hAnsi="Verdana" w:cs="Century Gothic"/>
          <w:b/>
          <w:bCs/>
        </w:rPr>
        <w:lastRenderedPageBreak/>
        <w:t>Razones de la respuesta:</w:t>
      </w:r>
    </w:p>
    <w:p w14:paraId="583611D5" w14:textId="77777777" w:rsidR="00AF6D5E" w:rsidRDefault="00AF6D5E" w:rsidP="00AF6D5E">
      <w:pPr>
        <w:spacing w:line="276" w:lineRule="auto"/>
        <w:jc w:val="both"/>
        <w:rPr>
          <w:rFonts w:ascii="Verdana" w:eastAsia="Calibri" w:hAnsi="Verdana" w:cs="Arial"/>
        </w:rPr>
      </w:pPr>
      <w:r w:rsidRPr="00454A35">
        <w:rPr>
          <w:rFonts w:ascii="Verdana" w:eastAsia="Calibri" w:hAnsi="Verdana" w:cs="Arial"/>
        </w:rPr>
        <w:t>Lo anterior se sustenta en las siguientes consideraciones:</w:t>
      </w:r>
    </w:p>
    <w:p w14:paraId="208AD3ED" w14:textId="52B3AC89" w:rsidR="00936F20" w:rsidRPr="007D48B0" w:rsidRDefault="00613F37" w:rsidP="008403D9">
      <w:pPr>
        <w:spacing w:after="120" w:line="276" w:lineRule="auto"/>
        <w:ind w:firstLine="709"/>
        <w:jc w:val="both"/>
        <w:rPr>
          <w:rFonts w:ascii="Verdana" w:eastAsia="Calibri" w:hAnsi="Verdana" w:cs="Arial"/>
        </w:rPr>
      </w:pPr>
      <w:bookmarkStart w:id="4" w:name="_Hlk39070608"/>
      <w:bookmarkStart w:id="5" w:name="_Hlk39596760"/>
      <w:r>
        <w:rPr>
          <w:rFonts w:ascii="Verdana" w:eastAsia="Calibri" w:hAnsi="Verdana" w:cs="Arial"/>
        </w:rPr>
        <w:t>E</w:t>
      </w:r>
      <w:r w:rsidR="00936F20" w:rsidRPr="007D48B0">
        <w:rPr>
          <w:rFonts w:ascii="Verdana" w:eastAsia="Calibri" w:hAnsi="Verdana" w:cs="Arial"/>
        </w:rPr>
        <w:t>l numeral 2 del artículo 2 de la Ley 1150 de 2007</w:t>
      </w:r>
      <w:bookmarkEnd w:id="4"/>
      <w:r w:rsidR="00936F20" w:rsidRPr="007D48B0">
        <w:rPr>
          <w:rFonts w:ascii="Verdana" w:eastAsia="Calibri" w:hAnsi="Verdana" w:cs="Arial"/>
        </w:rPr>
        <w:t xml:space="preserve"> dispone que</w:t>
      </w:r>
      <w:r>
        <w:rPr>
          <w:rFonts w:ascii="Verdana" w:eastAsia="Calibri" w:hAnsi="Verdana" w:cs="Arial"/>
        </w:rPr>
        <w:t>, la</w:t>
      </w:r>
      <w:r w:rsidRPr="007D48B0">
        <w:rPr>
          <w:rFonts w:ascii="Verdana" w:eastAsia="Calibri" w:hAnsi="Verdana" w:cs="Arial"/>
        </w:rPr>
        <w:t xml:space="preserve"> selección </w:t>
      </w:r>
      <w:r w:rsidR="00197ED5" w:rsidRPr="007D48B0">
        <w:rPr>
          <w:rFonts w:ascii="Verdana" w:eastAsia="Calibri" w:hAnsi="Verdana" w:cs="Arial"/>
        </w:rPr>
        <w:t>abreviada, “</w:t>
      </w:r>
      <w:r w:rsidR="00936F20" w:rsidRPr="007D48B0">
        <w:rPr>
          <w:rFonts w:ascii="Verdana" w:eastAsia="Calibri" w:hAnsi="Verdana" w:cs="Arial"/>
        </w:rPr>
        <w:t xml:space="preserve">[…] corresponde a la modalidad de selección objetiva prevista para aquellos casos en </w:t>
      </w:r>
      <w:proofErr w:type="gramStart"/>
      <w:r w:rsidR="00936F20" w:rsidRPr="007D48B0">
        <w:rPr>
          <w:rFonts w:ascii="Verdana" w:eastAsia="Calibri" w:hAnsi="Verdana" w:cs="Arial"/>
        </w:rPr>
        <w:t>que</w:t>
      </w:r>
      <w:proofErr w:type="gramEnd"/>
      <w:r w:rsidR="00936F20" w:rsidRPr="007D48B0">
        <w:rPr>
          <w:rFonts w:ascii="Verdana" w:eastAsia="Calibri" w:hAnsi="Verdana" w:cs="Arial"/>
        </w:rPr>
        <w:t xml:space="preserve"> por las características del objeto a contratar, las circunstancias de la contratación o la cuantía o destinación del bien, obra o </w:t>
      </w:r>
      <w:proofErr w:type="gramStart"/>
      <w:r w:rsidR="00936F20" w:rsidRPr="007D48B0">
        <w:rPr>
          <w:rFonts w:ascii="Verdana" w:eastAsia="Calibri" w:hAnsi="Verdana" w:cs="Arial"/>
        </w:rPr>
        <w:lastRenderedPageBreak/>
        <w:t>servicio,</w:t>
      </w:r>
      <w:proofErr w:type="gramEnd"/>
      <w:r w:rsidR="00936F20" w:rsidRPr="007D48B0">
        <w:rPr>
          <w:rFonts w:ascii="Verdana" w:eastAsia="Calibri" w:hAnsi="Verdana" w:cs="Arial"/>
        </w:rPr>
        <w:t xml:space="preserve"> puedan adelantarse procesos simplificados para garantizar la eficiencia de la gestión contractual</w:t>
      </w:r>
      <w:r w:rsidR="00936F20">
        <w:rPr>
          <w:rFonts w:ascii="Verdana" w:eastAsia="Calibri" w:hAnsi="Verdana" w:cs="Arial"/>
        </w:rPr>
        <w:t>”</w:t>
      </w:r>
      <w:r w:rsidR="00936F20" w:rsidRPr="007D48B0">
        <w:rPr>
          <w:rFonts w:ascii="Verdana" w:eastAsia="Calibri" w:hAnsi="Verdana" w:cs="Arial"/>
        </w:rPr>
        <w:t>, regulando cada una de las causales</w:t>
      </w:r>
      <w:r w:rsidR="00936F20" w:rsidRPr="007D48B0">
        <w:rPr>
          <w:rStyle w:val="Refdenotaalpie"/>
          <w:rFonts w:ascii="Verdana" w:eastAsia="Calibri" w:hAnsi="Verdana" w:cs="Arial"/>
        </w:rPr>
        <w:footnoteReference w:id="1"/>
      </w:r>
      <w:r w:rsidR="00936F20" w:rsidRPr="007D48B0">
        <w:rPr>
          <w:rFonts w:ascii="Verdana" w:eastAsia="Calibri" w:hAnsi="Verdana" w:cs="Arial"/>
        </w:rPr>
        <w:t xml:space="preserve">. </w:t>
      </w:r>
    </w:p>
    <w:p w14:paraId="08F0EC4A" w14:textId="77777777" w:rsidR="00936F20" w:rsidRPr="007D48B0" w:rsidRDefault="00936F20" w:rsidP="00936F20">
      <w:pPr>
        <w:spacing w:after="0" w:line="276" w:lineRule="auto"/>
        <w:ind w:firstLine="708"/>
        <w:jc w:val="both"/>
        <w:rPr>
          <w:rFonts w:ascii="Verdana" w:eastAsia="Calibri" w:hAnsi="Verdana" w:cs="Arial"/>
        </w:rPr>
      </w:pPr>
      <w:bookmarkStart w:id="6" w:name="_Hlk39174727"/>
      <w:r w:rsidRPr="007D48B0">
        <w:rPr>
          <w:rFonts w:ascii="Verdana" w:eastAsia="Calibri" w:hAnsi="Verdana" w:cs="Arial"/>
        </w:rPr>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 de forma tal que es un mecanismo de selección objetiva que asegura una mayor concurrencia de participantes sin sacrificar los principios de eficacia y eficiencia en el proceso de selección</w:t>
      </w:r>
      <w:bookmarkEnd w:id="5"/>
      <w:bookmarkEnd w:id="6"/>
      <w:r w:rsidRPr="007D48B0">
        <w:rPr>
          <w:rFonts w:ascii="Verdana" w:eastAsia="Calibri" w:hAnsi="Verdana" w:cs="Arial"/>
        </w:rPr>
        <w:t>. En la exposición de motivos se explica lo siguiente:</w:t>
      </w:r>
    </w:p>
    <w:p w14:paraId="1DA58769" w14:textId="77777777" w:rsidR="00936F20" w:rsidRPr="007D48B0" w:rsidRDefault="00936F20" w:rsidP="00936F20">
      <w:pPr>
        <w:spacing w:after="0" w:line="276" w:lineRule="auto"/>
        <w:jc w:val="both"/>
        <w:rPr>
          <w:rFonts w:ascii="Verdana" w:eastAsia="Calibri" w:hAnsi="Verdana" w:cs="Arial"/>
        </w:rPr>
      </w:pPr>
    </w:p>
    <w:p w14:paraId="72488748" w14:textId="77777777" w:rsidR="00936F20" w:rsidRPr="007D48B0" w:rsidRDefault="00936F20" w:rsidP="00936F20">
      <w:pPr>
        <w:spacing w:after="120" w:line="240" w:lineRule="auto"/>
        <w:ind w:left="709" w:right="709"/>
        <w:jc w:val="both"/>
        <w:rPr>
          <w:rFonts w:ascii="Verdana" w:eastAsia="Calibri" w:hAnsi="Verdana" w:cs="Arial"/>
          <w:sz w:val="21"/>
          <w:szCs w:val="21"/>
        </w:rPr>
      </w:pPr>
      <w:r>
        <w:rPr>
          <w:rFonts w:ascii="Verdana" w:eastAsia="Calibri" w:hAnsi="Verdana" w:cs="Arial"/>
          <w:sz w:val="21"/>
          <w:szCs w:val="21"/>
        </w:rPr>
        <w:t>“</w:t>
      </w:r>
      <w:r w:rsidRPr="007D48B0">
        <w:rPr>
          <w:rFonts w:ascii="Verdana" w:eastAsia="Calibri" w:hAnsi="Verdana" w:cs="Arial"/>
          <w:sz w:val="21"/>
          <w:szCs w:val="21"/>
        </w:rPr>
        <w:t>– Si bien la Licitación Pública sigue siendo la regla general, la misma pasa a reservarse para los procesos en los que la complejidad del objeto a contratar amerita la larga y cuidadosa ponderación de factores técnicos y económicos de las propuestas […].</w:t>
      </w:r>
    </w:p>
    <w:p w14:paraId="637AC193" w14:textId="77777777" w:rsidR="00936F20" w:rsidRPr="007D48B0" w:rsidRDefault="00936F20" w:rsidP="00936F20">
      <w:pPr>
        <w:spacing w:after="120" w:line="240" w:lineRule="auto"/>
        <w:ind w:left="709" w:right="709"/>
        <w:jc w:val="both"/>
        <w:rPr>
          <w:rFonts w:ascii="Verdana" w:eastAsia="Calibri" w:hAnsi="Verdana" w:cs="Arial"/>
          <w:sz w:val="21"/>
          <w:szCs w:val="21"/>
        </w:rPr>
      </w:pPr>
      <w:r w:rsidRPr="007D48B0">
        <w:rPr>
          <w:rFonts w:ascii="Verdana" w:eastAsia="Calibri" w:hAnsi="Verdana" w:cs="Arial"/>
          <w:sz w:val="21"/>
          <w:szCs w:val="21"/>
        </w:rPr>
        <w:t>– Se crea la llamada “selección abreviada”, para permitir la existencia de procedimientos de selección que, basados estrictamente en los principios cardinales de la contratación pública, permitan de manera ágil la adopción de decisiones de selección. En el sentido antedicho, las innovaciones del proceso de selección abreviada empiezan por una medida trascendental, para llevar a sólo horas los contratos referidos a la adquisición bienes de “características técnicas uniformes y de común utilización” […].</w:t>
      </w:r>
    </w:p>
    <w:p w14:paraId="77611E4F" w14:textId="77777777" w:rsidR="00936F20" w:rsidRPr="007D48B0" w:rsidRDefault="00936F20" w:rsidP="00936F20">
      <w:pPr>
        <w:spacing w:after="0" w:line="240" w:lineRule="auto"/>
        <w:ind w:left="709" w:right="709"/>
        <w:jc w:val="both"/>
        <w:rPr>
          <w:rFonts w:ascii="Verdana" w:eastAsia="Calibri" w:hAnsi="Verdana" w:cs="Arial"/>
          <w:sz w:val="21"/>
          <w:szCs w:val="21"/>
        </w:rPr>
      </w:pPr>
      <w:r w:rsidRPr="007D48B0">
        <w:rPr>
          <w:rFonts w:ascii="Verdana" w:eastAsia="Calibri" w:hAnsi="Verdana" w:cs="Arial"/>
          <w:sz w:val="21"/>
          <w:szCs w:val="21"/>
        </w:rPr>
        <w:t>– Adicionalmente en esta categoría se recoge la llamada “menor cuantía” (sólo aplicable en lo sucesivo a bienes o servicios diferentes de los anteriores), así como otros procesos que por su naturaleza o circunstancias deben ser objeto de tratamiento expedido, tales como la defensa y seguridad nacional, entre otras</w:t>
      </w:r>
      <w:r>
        <w:rPr>
          <w:rFonts w:ascii="Verdana" w:eastAsia="Calibri" w:hAnsi="Verdana" w:cs="Arial"/>
          <w:sz w:val="21"/>
          <w:szCs w:val="21"/>
        </w:rPr>
        <w:t>”</w:t>
      </w:r>
      <w:r w:rsidRPr="007D48B0">
        <w:rPr>
          <w:rStyle w:val="Refdenotaalpie"/>
          <w:rFonts w:ascii="Verdana" w:eastAsia="Calibri" w:hAnsi="Verdana" w:cs="Arial"/>
          <w:sz w:val="21"/>
          <w:szCs w:val="21"/>
        </w:rPr>
        <w:footnoteReference w:id="2"/>
      </w:r>
      <w:r w:rsidRPr="007D48B0">
        <w:rPr>
          <w:rFonts w:ascii="Verdana" w:eastAsia="Calibri" w:hAnsi="Verdana" w:cs="Arial"/>
          <w:sz w:val="21"/>
          <w:szCs w:val="21"/>
        </w:rPr>
        <w:t>.</w:t>
      </w:r>
    </w:p>
    <w:p w14:paraId="63D4AAD8" w14:textId="77777777" w:rsidR="00936F20" w:rsidRPr="007D48B0" w:rsidRDefault="00936F20" w:rsidP="00936F20">
      <w:pPr>
        <w:spacing w:after="0" w:line="276" w:lineRule="auto"/>
        <w:jc w:val="both"/>
        <w:rPr>
          <w:rFonts w:ascii="Verdana" w:eastAsia="Calibri" w:hAnsi="Verdana" w:cs="Arial"/>
        </w:rPr>
      </w:pPr>
    </w:p>
    <w:p w14:paraId="6A687956" w14:textId="1AA36A37" w:rsidR="00936F20" w:rsidRPr="007D48B0" w:rsidRDefault="00936F20" w:rsidP="00905F09">
      <w:pPr>
        <w:spacing w:after="0" w:line="276" w:lineRule="auto"/>
        <w:ind w:firstLine="708"/>
        <w:jc w:val="both"/>
        <w:rPr>
          <w:rFonts w:ascii="Verdana" w:eastAsia="Calibri" w:hAnsi="Verdana" w:cs="Arial"/>
        </w:rPr>
      </w:pPr>
      <w:bookmarkStart w:id="7" w:name="_Hlk39174841"/>
      <w:r w:rsidRPr="007D48B0">
        <w:rPr>
          <w:rFonts w:ascii="Verdana" w:eastAsia="Calibri" w:hAnsi="Verdana" w:cs="Arial"/>
        </w:rPr>
        <w:t xml:space="preserve">De esta manera, la selección abreviada se caracteriza por tener etapas un poco sencillas y términos relativamente más cortos que los de la licitación pública, lo cual se justifica por las circunstancias, la naturaleza y los objetos que se contratan a través de esta modalidad, los cuales requieren de procedimientos un poco más agiles, sencillos y eficientes. A continuación, el Decreto 1082 de 2015 desarrolla las causales, regulando el pliego de condiciones, el procedimiento, las etapas, entre otros. Según el Consejo de Estado, el propósito del legislador es </w:t>
      </w:r>
      <w:r>
        <w:rPr>
          <w:rFonts w:ascii="Verdana" w:eastAsia="Calibri" w:hAnsi="Verdana" w:cs="Arial"/>
        </w:rPr>
        <w:t>“</w:t>
      </w:r>
      <w:r w:rsidRPr="007D48B0">
        <w:rPr>
          <w:rFonts w:ascii="Verdana" w:eastAsia="Calibri" w:hAnsi="Verdana" w:cs="Arial"/>
        </w:rPr>
        <w:t>[…] proveer de mayor agilidad y eficiencia la contratación de algunos bienes o servicios, en los que es deseable la concurrencia de oferentes, pero no en los términos y condiciones de una licitación pública, sino de manera abreviada o, en términos de la ley, simplificada</w:t>
      </w:r>
      <w:r>
        <w:rPr>
          <w:rFonts w:ascii="Verdana" w:eastAsia="Calibri" w:hAnsi="Verdana" w:cs="Arial"/>
        </w:rPr>
        <w:t>”</w:t>
      </w:r>
      <w:r w:rsidRPr="007D48B0">
        <w:rPr>
          <w:rStyle w:val="Refdenotaalpie"/>
          <w:rFonts w:ascii="Verdana" w:eastAsia="Calibri" w:hAnsi="Verdana" w:cs="Arial"/>
        </w:rPr>
        <w:footnoteReference w:id="3"/>
      </w:r>
      <w:r w:rsidRPr="007D48B0">
        <w:rPr>
          <w:rFonts w:ascii="Verdana" w:eastAsia="Calibri" w:hAnsi="Verdana" w:cs="Arial"/>
        </w:rPr>
        <w:t xml:space="preserve">. </w:t>
      </w:r>
    </w:p>
    <w:p w14:paraId="4503B72D" w14:textId="4BFDD76F" w:rsidR="00936F20" w:rsidRPr="007D48B0" w:rsidRDefault="00936F20" w:rsidP="00905F09">
      <w:pPr>
        <w:spacing w:before="240" w:after="120" w:line="276" w:lineRule="auto"/>
        <w:ind w:firstLine="709"/>
        <w:jc w:val="both"/>
        <w:rPr>
          <w:rFonts w:ascii="Verdana" w:eastAsia="Calibri" w:hAnsi="Verdana" w:cs="Arial"/>
          <w:color w:val="000000" w:themeColor="text1"/>
          <w:lang w:val="es-MX"/>
        </w:rPr>
      </w:pPr>
      <w:r w:rsidRPr="007D48B0">
        <w:rPr>
          <w:rFonts w:ascii="Verdana" w:eastAsia="Calibri" w:hAnsi="Verdana" w:cs="Arial"/>
          <w:color w:val="000000" w:themeColor="text1"/>
          <w:lang w:val="es-MX"/>
        </w:rPr>
        <w:t xml:space="preserve">Conforme al literal b) del artículo 2.2 de la Ley 1150 de 2007, una de las causales de selección abreviada es la de menor cuantía. Esta se refiere a los procesos contractuales cuyo su valor es inferior a los topes que la norma señala respecto de su presupuesto anual, y se desarrolla en el Decreto único </w:t>
      </w:r>
      <w:r w:rsidRPr="007D48B0">
        <w:rPr>
          <w:rFonts w:ascii="Verdana" w:eastAsia="Calibri" w:hAnsi="Verdana" w:cs="Arial"/>
          <w:color w:val="000000" w:themeColor="text1"/>
          <w:lang w:val="es-MX"/>
        </w:rPr>
        <w:lastRenderedPageBreak/>
        <w:t>Reglamentario del Sector Planeación donde se establece su procedimiento. De esta manera, en relación con las etapas, el artículo 2.2.1.2.1.2.20 del Decreto 1082 de 2015 señala que se rige por las normas generales del título en que se encuentra ubicado dicha norma y por las especiales contenidas en ese artículo</w:t>
      </w:r>
      <w:r w:rsidRPr="007D48B0">
        <w:rPr>
          <w:rFonts w:ascii="Verdana" w:eastAsia="Calibri" w:hAnsi="Verdana" w:cs="Arial"/>
          <w:color w:val="000000" w:themeColor="text1"/>
          <w:vertAlign w:val="superscript"/>
          <w:lang w:val="es-MX"/>
        </w:rPr>
        <w:footnoteReference w:id="4"/>
      </w:r>
      <w:r w:rsidRPr="007D48B0">
        <w:rPr>
          <w:rFonts w:ascii="Verdana" w:eastAsia="Calibri" w:hAnsi="Verdana" w:cs="Arial"/>
          <w:color w:val="000000" w:themeColor="text1"/>
          <w:lang w:val="es-MX"/>
        </w:rPr>
        <w:t xml:space="preserve">. Allí se establece que luego de la apertura del procedimiento de selección, los interesados, en un término no mayor a tres (3) días hábiles, deben presentar una </w:t>
      </w:r>
      <w:r>
        <w:rPr>
          <w:rFonts w:ascii="Verdana" w:eastAsia="Calibri" w:hAnsi="Verdana" w:cs="Arial"/>
          <w:color w:val="000000" w:themeColor="text1"/>
          <w:lang w:val="es-MX"/>
        </w:rPr>
        <w:t>“</w:t>
      </w:r>
      <w:r w:rsidRPr="007D48B0">
        <w:rPr>
          <w:rFonts w:ascii="Verdana" w:eastAsia="Calibri" w:hAnsi="Verdana" w:cs="Arial"/>
          <w:color w:val="000000" w:themeColor="text1"/>
          <w:lang w:val="es-MX"/>
        </w:rPr>
        <w:t>manifestación de interés</w:t>
      </w:r>
      <w:r>
        <w:rPr>
          <w:rFonts w:ascii="Verdana" w:eastAsia="Calibri" w:hAnsi="Verdana" w:cs="Arial"/>
          <w:color w:val="000000" w:themeColor="text1"/>
          <w:lang w:val="es-MX"/>
        </w:rPr>
        <w:t>”</w:t>
      </w:r>
      <w:r w:rsidRPr="007D48B0">
        <w:rPr>
          <w:rFonts w:ascii="Verdana" w:eastAsia="Calibri" w:hAnsi="Verdana" w:cs="Arial"/>
          <w:color w:val="000000" w:themeColor="text1"/>
          <w:lang w:val="es-MX"/>
        </w:rPr>
        <w:t xml:space="preserve"> para participar en el mismo, en la forma establecida en el pliego de condiciones. </w:t>
      </w:r>
    </w:p>
    <w:p w14:paraId="3A971882" w14:textId="77777777" w:rsidR="00936F20" w:rsidRPr="007D48B0" w:rsidRDefault="00936F20" w:rsidP="00936F20">
      <w:pPr>
        <w:spacing w:before="120" w:after="120" w:line="276" w:lineRule="auto"/>
        <w:ind w:firstLine="709"/>
        <w:jc w:val="both"/>
        <w:rPr>
          <w:rFonts w:ascii="Verdana" w:eastAsia="Calibri" w:hAnsi="Verdana" w:cs="Arial"/>
          <w:color w:val="000000" w:themeColor="text1"/>
          <w:lang w:val="es-MX"/>
        </w:rPr>
      </w:pPr>
      <w:r w:rsidRPr="007D48B0">
        <w:rPr>
          <w:rFonts w:ascii="Verdana" w:eastAsia="Calibri" w:hAnsi="Verdana" w:cs="Arial"/>
          <w:color w:val="000000" w:themeColor="text1"/>
          <w:lang w:val="es-MX"/>
        </w:rPr>
        <w:t xml:space="preserve">A continuación, dependiendo de la cantidad de </w:t>
      </w:r>
      <w:r>
        <w:rPr>
          <w:rFonts w:ascii="Verdana" w:eastAsia="Calibri" w:hAnsi="Verdana" w:cs="Arial"/>
          <w:color w:val="000000" w:themeColor="text1"/>
          <w:lang w:val="es-MX"/>
        </w:rPr>
        <w:t>“</w:t>
      </w:r>
      <w:r w:rsidRPr="007D48B0">
        <w:rPr>
          <w:rFonts w:ascii="Verdana" w:eastAsia="Calibri" w:hAnsi="Verdana" w:cs="Arial"/>
          <w:color w:val="000000" w:themeColor="text1"/>
          <w:lang w:val="es-MX"/>
        </w:rPr>
        <w:t>manifestaciones de interés</w:t>
      </w:r>
      <w:r>
        <w:rPr>
          <w:rFonts w:ascii="Verdana" w:eastAsia="Calibri" w:hAnsi="Verdana" w:cs="Arial"/>
          <w:color w:val="000000" w:themeColor="text1"/>
          <w:lang w:val="es-MX"/>
        </w:rPr>
        <w:t>”</w:t>
      </w:r>
      <w:r w:rsidRPr="007D48B0">
        <w:rPr>
          <w:rFonts w:ascii="Verdana" w:eastAsia="Calibri" w:hAnsi="Verdana" w:cs="Arial"/>
          <w:color w:val="000000" w:themeColor="text1"/>
          <w:lang w:val="es-MX"/>
        </w:rPr>
        <w:t>, y lo previsto en el pliego de condiciones, donde se puede establecer si se opta o no por incluir la realización de un sorteo, si la entidad recibe más de diez (10) manifestaciones realizará el sorteo con las reglas establecidas en el pliego de condiciones, de manera que la entidad elija máximo diez (10) interesados, por lo que es necesario informarles los resultados del sorteo. Se aclara que, como se indicó, la entidad estatal debe establecer en el pliego de condiciones si hay o no lugar a sorteo y, de establecerlo, señalará la forma como se realizará el mismo, en los casos en que reciba más de diez (10) manifestaciones de interés. Si la entidad estableciera en el pliego de condiciones que no hay lugar a sorteo, ello implicará que pueden participar todos los interesados.</w:t>
      </w:r>
    </w:p>
    <w:p w14:paraId="519400ED" w14:textId="77777777" w:rsidR="00936F20" w:rsidRPr="007D48B0" w:rsidRDefault="00936F20" w:rsidP="00936F20">
      <w:pPr>
        <w:spacing w:before="120" w:after="120" w:line="276" w:lineRule="auto"/>
        <w:ind w:firstLine="709"/>
        <w:jc w:val="both"/>
        <w:rPr>
          <w:rFonts w:ascii="Verdana" w:eastAsia="Calibri" w:hAnsi="Verdana" w:cs="Arial"/>
          <w:color w:val="000000" w:themeColor="text1"/>
          <w:lang w:val="es-MX"/>
        </w:rPr>
      </w:pPr>
      <w:r w:rsidRPr="007D48B0">
        <w:rPr>
          <w:rFonts w:ascii="Verdana" w:eastAsia="Calibri" w:hAnsi="Verdana" w:cs="Arial"/>
          <w:color w:val="000000" w:themeColor="text1"/>
          <w:lang w:val="es-MX"/>
        </w:rPr>
        <w:t xml:space="preserve">Ahora bien, cuando haya lugar al sorteo, el numeral 3 del artículo referido señala que el plazo para presentar las ofertas empezará a correr el día hábil siguiente de informar a los interesados el resultado. Además, cabe aclarar que la norma no establece un plazo mínimo para presentar ofertas, por lo cual la entidad debe establecerlo en el pliego de condiciones. Una vez presentadas las </w:t>
      </w:r>
      <w:r w:rsidRPr="007D48B0">
        <w:rPr>
          <w:rFonts w:ascii="Verdana" w:eastAsia="Calibri" w:hAnsi="Verdana" w:cs="Arial"/>
          <w:color w:val="000000" w:themeColor="text1"/>
          <w:lang w:val="es-MX"/>
        </w:rPr>
        <w:lastRenderedPageBreak/>
        <w:t>ofertas, la entidad estatal debe evaluarlas y publicar el informe de evaluación, durante tres (3) días hábiles.</w:t>
      </w:r>
    </w:p>
    <w:p w14:paraId="7CD859EE" w14:textId="11502460" w:rsidR="00936F20" w:rsidRPr="007D48B0" w:rsidRDefault="00936F20" w:rsidP="001B1D0F">
      <w:pPr>
        <w:spacing w:after="120" w:line="276" w:lineRule="auto"/>
        <w:ind w:firstLine="709"/>
        <w:jc w:val="both"/>
        <w:rPr>
          <w:rFonts w:ascii="Verdana" w:eastAsia="Calibri" w:hAnsi="Verdana" w:cs="Arial"/>
          <w:lang w:val="es-MX"/>
        </w:rPr>
      </w:pPr>
      <w:r w:rsidRPr="007D48B0">
        <w:rPr>
          <w:rFonts w:ascii="Verdana" w:eastAsia="Calibri" w:hAnsi="Verdana" w:cs="Arial"/>
          <w:lang w:val="es-MX"/>
        </w:rPr>
        <w:t xml:space="preserve">Dentro de este esquema general de la selección abreviada de menor cuantía, la </w:t>
      </w:r>
      <w:r>
        <w:rPr>
          <w:rFonts w:ascii="Verdana" w:eastAsia="Calibri" w:hAnsi="Verdana" w:cs="Arial"/>
          <w:lang w:val="es-MX"/>
        </w:rPr>
        <w:t>“</w:t>
      </w:r>
      <w:r w:rsidRPr="007D48B0">
        <w:rPr>
          <w:rFonts w:ascii="Verdana" w:eastAsia="Calibri" w:hAnsi="Verdana" w:cs="Arial"/>
          <w:lang w:val="es-MX"/>
        </w:rPr>
        <w:t>manifestación de interés</w:t>
      </w:r>
      <w:r>
        <w:rPr>
          <w:rFonts w:ascii="Verdana" w:eastAsia="Calibri" w:hAnsi="Verdana" w:cs="Arial"/>
          <w:lang w:val="es-MX"/>
        </w:rPr>
        <w:t>”</w:t>
      </w:r>
      <w:r w:rsidRPr="007D48B0">
        <w:rPr>
          <w:rFonts w:ascii="Verdana" w:eastAsia="Calibri" w:hAnsi="Verdana" w:cs="Arial"/>
          <w:lang w:val="es-MX"/>
        </w:rPr>
        <w:t xml:space="preserve"> es un acto mediante el cual el interesado expresa a la entidad su intención de participar en el proceso de selección. </w:t>
      </w:r>
      <w:bookmarkStart w:id="8" w:name="_Hlk105167402"/>
      <w:r w:rsidRPr="007D48B0">
        <w:rPr>
          <w:rFonts w:ascii="Verdana" w:eastAsia="Calibri" w:hAnsi="Verdana" w:cs="Arial"/>
          <w:lang w:val="es-MX"/>
        </w:rPr>
        <w:t>El artículo 2.2.1.2.1.2.20 no señala la forma como debe realizarse la manifestación, por lo cual es discrecional de la entidad la forma de establecerlo, pudiendo señalar que sea por correo electrónico o una comunicación escrita, entre otras posibilidades. En todo caso, esta comunicación, mínimo, debe contener la identificación básica del interesado, junto con la manifestación de estar interesado en participar dentro del proceso de contratación respectivo.</w:t>
      </w:r>
      <w:bookmarkEnd w:id="8"/>
    </w:p>
    <w:p w14:paraId="12FF0416" w14:textId="33BFC0B2" w:rsidR="00936F20" w:rsidRPr="007D48B0" w:rsidRDefault="00936F20" w:rsidP="003901FC">
      <w:pPr>
        <w:spacing w:after="120" w:line="276" w:lineRule="auto"/>
        <w:ind w:firstLine="709"/>
        <w:jc w:val="both"/>
        <w:rPr>
          <w:rFonts w:ascii="Verdana" w:eastAsia="Calibri" w:hAnsi="Verdana" w:cs="Arial"/>
          <w:lang w:val="es-MX"/>
        </w:rPr>
      </w:pPr>
      <w:r w:rsidRPr="007D48B0">
        <w:rPr>
          <w:rFonts w:ascii="Verdana" w:eastAsia="Calibri" w:hAnsi="Verdana" w:cs="Arial"/>
          <w:lang w:val="es-MX"/>
        </w:rPr>
        <w:t xml:space="preserve">El numeral primero del artículo 2.2.1.2.1.2.20 del Decreto 1082 de 2015 dispone que el interesado debe manifestar su </w:t>
      </w:r>
      <w:r>
        <w:rPr>
          <w:rFonts w:ascii="Verdana" w:eastAsia="Calibri" w:hAnsi="Verdana" w:cs="Arial"/>
          <w:lang w:val="es-MX"/>
        </w:rPr>
        <w:t>“</w:t>
      </w:r>
      <w:r w:rsidRPr="007D48B0">
        <w:rPr>
          <w:rFonts w:ascii="Verdana" w:eastAsia="Calibri" w:hAnsi="Verdana" w:cs="Arial"/>
          <w:lang w:val="es-MX"/>
        </w:rPr>
        <w:t>intención</w:t>
      </w:r>
      <w:r>
        <w:rPr>
          <w:rFonts w:ascii="Verdana" w:eastAsia="Calibri" w:hAnsi="Verdana" w:cs="Arial"/>
          <w:lang w:val="es-MX"/>
        </w:rPr>
        <w:t>”</w:t>
      </w:r>
      <w:r w:rsidRPr="007D48B0">
        <w:rPr>
          <w:rFonts w:ascii="Verdana" w:eastAsia="Calibri" w:hAnsi="Verdana" w:cs="Arial"/>
          <w:lang w:val="es-MX"/>
        </w:rPr>
        <w:t xml:space="preserve"> de participar en los procesos de selección abreviada de menor cuantía. Conviene precisar que el fin de esta disposición es que quienes estén interesados expresen a la entidad la intención de hacer parte del procedimiento. Por ello, la finalidad es que los interesados puedan participar, en igualdad de condiciones, en el procedimiento de contratación, de manera que, permite que expresen a la entidad pública su interés de presentarse al proceso de selección abreviada de menor cuantía. </w:t>
      </w:r>
    </w:p>
    <w:p w14:paraId="5C4C86F3" w14:textId="77777777" w:rsidR="00936F20" w:rsidRPr="007D48B0" w:rsidRDefault="00936F20" w:rsidP="00936F20">
      <w:pPr>
        <w:spacing w:before="120" w:after="120" w:line="276" w:lineRule="auto"/>
        <w:jc w:val="both"/>
        <w:rPr>
          <w:rFonts w:ascii="Verdana" w:eastAsia="Calibri" w:hAnsi="Verdana" w:cs="Arial"/>
          <w:lang w:val="es-MX"/>
        </w:rPr>
      </w:pPr>
      <w:r w:rsidRPr="007D48B0">
        <w:rPr>
          <w:rFonts w:ascii="Verdana" w:eastAsia="Calibri" w:hAnsi="Verdana" w:cs="Arial"/>
          <w:lang w:val="es-MX"/>
        </w:rPr>
        <w:tab/>
        <w:t xml:space="preserve">La interpretación ajustada a los principios que orientan la contratación pública es que un interesado presente una sola comunicación de intención de participar, por la razón de que el interés de vincularse al proceso es uno solo. Esta conclusión no se infiere únicamente de la redacción de la disposición analizada, que con claridad deja entrever que lo relevante es manifestar la intención del interesado como criterio para participar en el procedimiento, sino que el fin consiste en darle a los interesados la posibilidad de participar en igualdad de condiciones, por lo que no debe permitirse que un mismo interesado presente varias </w:t>
      </w:r>
      <w:r>
        <w:rPr>
          <w:rFonts w:ascii="Verdana" w:eastAsia="Calibri" w:hAnsi="Verdana" w:cs="Arial"/>
          <w:lang w:val="es-MX"/>
        </w:rPr>
        <w:t>“</w:t>
      </w:r>
      <w:r w:rsidRPr="007D48B0">
        <w:rPr>
          <w:rFonts w:ascii="Verdana" w:eastAsia="Calibri" w:hAnsi="Verdana" w:cs="Arial"/>
          <w:lang w:val="es-MX"/>
        </w:rPr>
        <w:t>manifestaciones de interés</w:t>
      </w:r>
      <w:r>
        <w:rPr>
          <w:rFonts w:ascii="Verdana" w:eastAsia="Calibri" w:hAnsi="Verdana" w:cs="Arial"/>
          <w:lang w:val="es-MX"/>
        </w:rPr>
        <w:t>”</w:t>
      </w:r>
      <w:r w:rsidRPr="007D48B0">
        <w:rPr>
          <w:rFonts w:ascii="Verdana" w:eastAsia="Calibri" w:hAnsi="Verdana" w:cs="Arial"/>
          <w:lang w:val="es-MX"/>
        </w:rPr>
        <w:t xml:space="preserve">, pues ello iría en contra de los principios que orientan la contratación pública.  </w:t>
      </w:r>
    </w:p>
    <w:p w14:paraId="7EE1F2A3" w14:textId="77777777" w:rsidR="00936F20" w:rsidRDefault="00936F20" w:rsidP="00936F20">
      <w:pPr>
        <w:spacing w:before="120" w:after="0" w:line="276" w:lineRule="auto"/>
        <w:jc w:val="both"/>
        <w:rPr>
          <w:rFonts w:ascii="Verdana" w:eastAsia="Calibri" w:hAnsi="Verdana" w:cs="Arial"/>
          <w:lang w:val="es-MX"/>
        </w:rPr>
      </w:pPr>
      <w:r w:rsidRPr="007D48B0">
        <w:rPr>
          <w:rFonts w:ascii="Verdana" w:eastAsia="Calibri" w:hAnsi="Verdana" w:cs="Arial"/>
          <w:lang w:val="es-MX"/>
        </w:rPr>
        <w:tab/>
        <w:t>Con respecto a la manifestación de interés durante los tres días hábiles contados a partir de la fecha de apertura del proceso de contratación de selección abreviada de menor cuantía, se señala que este es una regla o requisito especial de esta modalidad, es decir, este se convierte en un requisito habilitante para participar, establecido en el reglamento. De esta manera, la manifestación de interés se constituye en un requisito habilitante, esto es, en un requisito</w:t>
      </w:r>
      <w:r w:rsidRPr="007D48B0">
        <w:rPr>
          <w:rFonts w:ascii="Verdana" w:hAnsi="Verdana" w:cs="Arial"/>
          <w:shd w:val="clear" w:color="auto" w:fill="FFFFFF"/>
        </w:rPr>
        <w:t xml:space="preserve"> para </w:t>
      </w:r>
      <w:r w:rsidRPr="007D48B0">
        <w:rPr>
          <w:rFonts w:ascii="Verdana" w:hAnsi="Verdana" w:cs="Arial"/>
          <w:shd w:val="clear" w:color="auto" w:fill="FFFFFF"/>
        </w:rPr>
        <w:lastRenderedPageBreak/>
        <w:t xml:space="preserve">participar en un proceso de contratación como oferente. En efecto, </w:t>
      </w:r>
      <w:r w:rsidRPr="007D48B0">
        <w:rPr>
          <w:rFonts w:ascii="Verdana" w:eastAsia="Calibri" w:hAnsi="Verdana" w:cs="Arial"/>
          <w:lang w:val="es-MX"/>
        </w:rPr>
        <w:t>según lo dispuesto en el artículo 2.2.1.2.1.2.20 del Decreto 1082 de 2015</w:t>
      </w:r>
      <w:r w:rsidRPr="007D48B0">
        <w:rPr>
          <w:rFonts w:ascii="Verdana" w:eastAsia="Calibri" w:hAnsi="Verdana" w:cs="Arial"/>
          <w:vertAlign w:val="superscript"/>
          <w:lang w:val="es-MX"/>
        </w:rPr>
        <w:t xml:space="preserve">, </w:t>
      </w:r>
      <w:r w:rsidRPr="007D48B0">
        <w:rPr>
          <w:rFonts w:ascii="Verdana" w:eastAsia="Calibri" w:hAnsi="Verdana" w:cs="Arial"/>
          <w:lang w:val="es-MX"/>
        </w:rPr>
        <w:t xml:space="preserve">el procedimiento inicia con la apertura del proceso que haga la entidad, y los interesados en el procedimiento contractual deben presentar una </w:t>
      </w:r>
      <w:r>
        <w:rPr>
          <w:rFonts w:ascii="Verdana" w:eastAsia="Calibri" w:hAnsi="Verdana" w:cs="Arial"/>
          <w:lang w:val="es-MX"/>
        </w:rPr>
        <w:t>“</w:t>
      </w:r>
      <w:r w:rsidRPr="007D48B0">
        <w:rPr>
          <w:rFonts w:ascii="Verdana" w:eastAsia="Calibri" w:hAnsi="Verdana" w:cs="Arial"/>
          <w:lang w:val="es-MX"/>
        </w:rPr>
        <w:t>manifestación de interés</w:t>
      </w:r>
      <w:r>
        <w:rPr>
          <w:rFonts w:ascii="Verdana" w:eastAsia="Calibri" w:hAnsi="Verdana" w:cs="Arial"/>
          <w:lang w:val="es-MX"/>
        </w:rPr>
        <w:t>”</w:t>
      </w:r>
      <w:r w:rsidRPr="007D48B0">
        <w:rPr>
          <w:rFonts w:ascii="Verdana" w:eastAsia="Calibri" w:hAnsi="Verdana" w:cs="Arial"/>
          <w:lang w:val="es-MX"/>
        </w:rPr>
        <w:t xml:space="preserve"> para participar en el mismo</w:t>
      </w:r>
      <w:r w:rsidRPr="007D48B0">
        <w:rPr>
          <w:rStyle w:val="Refdenotaalpie"/>
          <w:rFonts w:ascii="Verdana" w:eastAsia="Calibri" w:hAnsi="Verdana" w:cs="Arial"/>
          <w:lang w:val="es-MX"/>
        </w:rPr>
        <w:footnoteReference w:id="5"/>
      </w:r>
      <w:r w:rsidRPr="007D48B0">
        <w:rPr>
          <w:rFonts w:ascii="Verdana" w:eastAsia="Calibri" w:hAnsi="Verdana" w:cs="Arial"/>
          <w:lang w:val="es-MX"/>
        </w:rPr>
        <w:t xml:space="preserve">. </w:t>
      </w:r>
    </w:p>
    <w:p w14:paraId="034AB1BE" w14:textId="038A37A2" w:rsidR="00936F20" w:rsidRPr="00393C47" w:rsidRDefault="00936F20" w:rsidP="00DC7FBB">
      <w:pPr>
        <w:spacing w:after="0" w:line="276" w:lineRule="auto"/>
        <w:ind w:firstLine="709"/>
        <w:jc w:val="both"/>
        <w:rPr>
          <w:rFonts w:ascii="Verdana" w:eastAsia="Calibri" w:hAnsi="Verdana" w:cs="Arial"/>
        </w:rPr>
      </w:pPr>
      <w:r w:rsidRPr="007D48B0">
        <w:rPr>
          <w:rFonts w:ascii="Verdana" w:eastAsia="Calibri" w:hAnsi="Verdana" w:cs="Arial"/>
          <w:lang w:val="es-MX"/>
        </w:rPr>
        <w:t xml:space="preserve">Es importante tener en cuenta que solo quien presenta la </w:t>
      </w:r>
      <w:r>
        <w:rPr>
          <w:rFonts w:ascii="Verdana" w:eastAsia="Calibri" w:hAnsi="Verdana" w:cs="Arial"/>
          <w:lang w:val="es-MX"/>
        </w:rPr>
        <w:t>“</w:t>
      </w:r>
      <w:r w:rsidRPr="007D48B0">
        <w:rPr>
          <w:rFonts w:ascii="Verdana" w:eastAsia="Calibri" w:hAnsi="Verdana" w:cs="Arial"/>
          <w:lang w:val="es-MX"/>
        </w:rPr>
        <w:t>manifestación de interés</w:t>
      </w:r>
      <w:r>
        <w:rPr>
          <w:rFonts w:ascii="Verdana" w:eastAsia="Calibri" w:hAnsi="Verdana" w:cs="Arial"/>
          <w:lang w:val="es-MX"/>
        </w:rPr>
        <w:t>”</w:t>
      </w:r>
      <w:r w:rsidRPr="007D48B0">
        <w:rPr>
          <w:rFonts w:ascii="Verdana" w:eastAsia="Calibri" w:hAnsi="Verdana" w:cs="Arial"/>
          <w:lang w:val="es-MX"/>
        </w:rPr>
        <w:t xml:space="preserve"> puede participar en el proceso de selección con la presentación de la oferta. Tratándose de proponentes plurales, es posible que dicha manifestación provenga de cada uno de los integrantes que conformarán el proponente plural o del representante del consorcio u unión temporal. La </w:t>
      </w:r>
      <w:r w:rsidRPr="007D48B0">
        <w:rPr>
          <w:rFonts w:ascii="Verdana" w:eastAsia="Calibri" w:hAnsi="Verdana" w:cs="Arial"/>
          <w:i/>
          <w:iCs/>
          <w:lang w:val="es-MX"/>
        </w:rPr>
        <w:t>primera variante</w:t>
      </w:r>
      <w:r w:rsidRPr="007D48B0">
        <w:rPr>
          <w:rFonts w:ascii="Verdana" w:eastAsia="Calibri" w:hAnsi="Verdana" w:cs="Arial"/>
          <w:lang w:val="es-MX"/>
        </w:rPr>
        <w:t xml:space="preserve"> se recoge el numeral 2.3 del pliego de condiciones de los </w:t>
      </w:r>
      <w:r>
        <w:rPr>
          <w:rFonts w:ascii="Verdana" w:eastAsia="Calibri" w:hAnsi="Verdana" w:cs="Arial"/>
          <w:lang w:val="es-MX"/>
        </w:rPr>
        <w:t>“</w:t>
      </w:r>
      <w:r w:rsidRPr="007D48B0">
        <w:rPr>
          <w:rFonts w:ascii="Verdana" w:eastAsia="Calibri" w:hAnsi="Verdana" w:cs="Arial"/>
          <w:lang w:val="es-MX"/>
        </w:rPr>
        <w:t xml:space="preserve">Documentos Tipo – Versión </w:t>
      </w:r>
      <w:r>
        <w:rPr>
          <w:rFonts w:ascii="Verdana" w:eastAsia="Calibri" w:hAnsi="Verdana" w:cs="Arial"/>
          <w:lang w:val="es-MX"/>
        </w:rPr>
        <w:t>3”</w:t>
      </w:r>
      <w:r w:rsidRPr="007D48B0">
        <w:rPr>
          <w:rFonts w:ascii="Verdana" w:eastAsia="Calibri" w:hAnsi="Verdana" w:cs="Arial"/>
          <w:lang w:val="es-MX"/>
        </w:rPr>
        <w:t xml:space="preserve"> de menor cuantía para obras públicas de infraestructura de transporte, el cual en lo pertinente dispone que </w:t>
      </w:r>
      <w:r>
        <w:rPr>
          <w:rFonts w:ascii="Verdana" w:eastAsia="Calibri" w:hAnsi="Verdana" w:cs="Arial"/>
          <w:lang w:val="es-MX"/>
        </w:rPr>
        <w:t>“</w:t>
      </w:r>
      <w:r w:rsidRPr="007D48B0">
        <w:rPr>
          <w:rFonts w:ascii="Verdana" w:eastAsia="Calibri" w:hAnsi="Verdana" w:cs="Arial"/>
        </w:rPr>
        <w:t xml:space="preserve">Los interesados en participar en el presente proceso de selección contarán con un término de tres (3) días hábiles contados a partir de la fecha de apertura del proceso de contratación para manifestar su intención de participar. </w:t>
      </w:r>
      <w:r w:rsidRPr="0055709A">
        <w:rPr>
          <w:rFonts w:ascii="Verdana" w:eastAsia="Calibri" w:hAnsi="Verdana" w:cs="Arial"/>
        </w:rPr>
        <w:t>Los interesados deben enviar una comunicación suscrita por la persona natu</w:t>
      </w:r>
      <w:r w:rsidRPr="007D48B0">
        <w:rPr>
          <w:rFonts w:ascii="Verdana" w:eastAsia="Calibri" w:hAnsi="Verdana" w:cs="Arial"/>
        </w:rPr>
        <w:t xml:space="preserve">ral, </w:t>
      </w:r>
      <w:r w:rsidRPr="00393C47">
        <w:rPr>
          <w:rFonts w:ascii="Verdana" w:eastAsia="Calibri" w:hAnsi="Verdana" w:cs="Arial"/>
        </w:rPr>
        <w:t>el representante legal de la persona jurídica, por todos los integrantes del proponente plural (</w:t>
      </w:r>
      <w:r w:rsidRPr="00393C47">
        <w:rPr>
          <w:rFonts w:ascii="Verdana" w:eastAsia="Calibri" w:hAnsi="Verdana" w:cs="Arial"/>
        </w:rPr>
        <w:fldChar w:fldCharType="begin"/>
      </w:r>
      <w:r w:rsidRPr="00393C47">
        <w:rPr>
          <w:rFonts w:ascii="Verdana" w:eastAsia="Calibri" w:hAnsi="Verdana" w:cs="Arial"/>
        </w:rPr>
        <w:instrText xml:space="preserve"> REF _Ref25305885 \h  \* MERGEFORMAT </w:instrText>
      </w:r>
      <w:r w:rsidRPr="00393C47">
        <w:rPr>
          <w:rFonts w:ascii="Verdana" w:eastAsia="Calibri" w:hAnsi="Verdana" w:cs="Arial"/>
        </w:rPr>
      </w:r>
      <w:r w:rsidRPr="00393C47">
        <w:rPr>
          <w:rFonts w:ascii="Verdana" w:eastAsia="Calibri" w:hAnsi="Verdana" w:cs="Arial"/>
        </w:rPr>
        <w:fldChar w:fldCharType="separate"/>
      </w:r>
      <w:r w:rsidRPr="00393C47">
        <w:rPr>
          <w:rFonts w:ascii="Verdana" w:eastAsia="Calibri" w:hAnsi="Verdana" w:cs="Arial"/>
        </w:rPr>
        <w:t>Formato 10 – Carta Manifestación de Interés</w:t>
      </w:r>
      <w:r w:rsidRPr="00393C47">
        <w:rPr>
          <w:rFonts w:ascii="Verdana" w:eastAsia="Calibri" w:hAnsi="Verdana" w:cs="Arial"/>
          <w:lang w:val="es-MX"/>
        </w:rPr>
        <w:fldChar w:fldCharType="end"/>
      </w:r>
      <w:r w:rsidRPr="00393C47">
        <w:rPr>
          <w:rFonts w:ascii="Verdana" w:eastAsia="Calibri" w:hAnsi="Verdana" w:cs="Arial"/>
        </w:rPr>
        <w:t xml:space="preserve">), según corresponda, al correo electrónico, o a falta de este a la dirección física indicada en el numeral </w:t>
      </w:r>
      <w:r w:rsidRPr="00393C47">
        <w:rPr>
          <w:rFonts w:ascii="Verdana" w:eastAsia="Calibri" w:hAnsi="Verdana" w:cs="Arial"/>
        </w:rPr>
        <w:fldChar w:fldCharType="begin"/>
      </w:r>
      <w:r w:rsidRPr="00393C47">
        <w:rPr>
          <w:rFonts w:ascii="Verdana" w:eastAsia="Calibri" w:hAnsi="Verdana" w:cs="Arial"/>
        </w:rPr>
        <w:instrText xml:space="preserve"> REF _Ref25305833 \r \h  \* MERGEFORMAT </w:instrText>
      </w:r>
      <w:r w:rsidRPr="00393C47">
        <w:rPr>
          <w:rFonts w:ascii="Verdana" w:eastAsia="Calibri" w:hAnsi="Verdana" w:cs="Arial"/>
        </w:rPr>
      </w:r>
      <w:r w:rsidRPr="00393C47">
        <w:rPr>
          <w:rFonts w:ascii="Verdana" w:eastAsia="Calibri" w:hAnsi="Verdana" w:cs="Arial"/>
        </w:rPr>
        <w:fldChar w:fldCharType="separate"/>
      </w:r>
      <w:r w:rsidRPr="00393C47">
        <w:rPr>
          <w:rFonts w:ascii="Verdana" w:eastAsia="Calibri" w:hAnsi="Verdana" w:cs="Arial"/>
        </w:rPr>
        <w:t>1.3</w:t>
      </w:r>
      <w:r w:rsidRPr="00393C47">
        <w:rPr>
          <w:rFonts w:ascii="Verdana" w:eastAsia="Calibri" w:hAnsi="Verdana" w:cs="Arial"/>
          <w:lang w:val="es-MX"/>
        </w:rPr>
        <w:fldChar w:fldCharType="end"/>
      </w:r>
      <w:r w:rsidRPr="00393C47">
        <w:rPr>
          <w:rFonts w:ascii="Verdana" w:eastAsia="Calibri" w:hAnsi="Verdana" w:cs="Arial"/>
        </w:rPr>
        <w:t xml:space="preserve"> del presente pliego” (Énfasis fuera de texto)</w:t>
      </w:r>
      <w:r w:rsidRPr="00393C47">
        <w:rPr>
          <w:rStyle w:val="Refdenotaalpie"/>
          <w:rFonts w:ascii="Verdana" w:eastAsia="Calibri" w:hAnsi="Verdana" w:cs="Arial"/>
        </w:rPr>
        <w:footnoteReference w:id="6"/>
      </w:r>
      <w:r w:rsidRPr="00393C47">
        <w:rPr>
          <w:rFonts w:ascii="Verdana" w:eastAsia="Calibri" w:hAnsi="Verdana" w:cs="Arial"/>
        </w:rPr>
        <w:t xml:space="preserve">. Por lo demás, el pliego tipo indica lo siguiente: </w:t>
      </w:r>
    </w:p>
    <w:p w14:paraId="63917779" w14:textId="77777777" w:rsidR="00936F20" w:rsidRDefault="00936F20" w:rsidP="00936F20">
      <w:pPr>
        <w:spacing w:after="0" w:line="276" w:lineRule="auto"/>
        <w:jc w:val="both"/>
        <w:rPr>
          <w:rFonts w:ascii="Verdana" w:eastAsia="Calibri" w:hAnsi="Verdana" w:cs="Arial"/>
        </w:rPr>
      </w:pPr>
    </w:p>
    <w:p w14:paraId="5EA158AA" w14:textId="77777777" w:rsidR="00936F20" w:rsidRPr="006F4D6A" w:rsidRDefault="00936F20" w:rsidP="00936F20">
      <w:pPr>
        <w:spacing w:line="240" w:lineRule="auto"/>
        <w:ind w:left="709" w:right="709"/>
        <w:jc w:val="both"/>
        <w:rPr>
          <w:rFonts w:ascii="Verdana" w:eastAsia="Calibri" w:hAnsi="Verdana" w:cs="Arial"/>
          <w:sz w:val="21"/>
          <w:szCs w:val="21"/>
        </w:rPr>
      </w:pPr>
      <w:r w:rsidRPr="006F4D6A">
        <w:rPr>
          <w:rFonts w:ascii="Verdana" w:eastAsia="Calibri" w:hAnsi="Verdana" w:cs="Arial"/>
          <w:sz w:val="21"/>
          <w:szCs w:val="21"/>
        </w:rPr>
        <w:t xml:space="preserve">“La manifestación de interés constituye una condición de procedibilidad para participar, so pena de rechazo de la oferta; por lo tanto, solo </w:t>
      </w:r>
      <w:r w:rsidRPr="006F4D6A">
        <w:rPr>
          <w:rFonts w:ascii="Verdana" w:eastAsia="Calibri" w:hAnsi="Verdana" w:cs="Arial"/>
          <w:sz w:val="21"/>
          <w:szCs w:val="21"/>
        </w:rPr>
        <w:lastRenderedPageBreak/>
        <w:t>puede presentar oferta quien manifestó interés, y debe hacerlo en la forma individual o como proponente plural, según como se haya inscrito. Quienes manifiesten interés bajo la forma de proponente plural deben presentar la oferta con los integrantes inscritos, sin incluir otros. Sin embargo, es posible reducir el número de integrantes, siempre y cuando la oferta no la presente un solo miembro.</w:t>
      </w:r>
    </w:p>
    <w:p w14:paraId="6ED35E54" w14:textId="77777777" w:rsidR="00936F20" w:rsidRPr="006F4D6A" w:rsidRDefault="00936F20" w:rsidP="00936F20">
      <w:pPr>
        <w:spacing w:after="0" w:line="240" w:lineRule="auto"/>
        <w:ind w:left="709" w:right="709"/>
        <w:jc w:val="both"/>
        <w:rPr>
          <w:rFonts w:ascii="Verdana" w:eastAsia="Calibri" w:hAnsi="Verdana" w:cs="Arial"/>
          <w:sz w:val="21"/>
          <w:szCs w:val="21"/>
        </w:rPr>
      </w:pPr>
      <w:r w:rsidRPr="006F4D6A">
        <w:rPr>
          <w:rFonts w:ascii="Verdana" w:eastAsia="Calibri" w:hAnsi="Verdana" w:cs="Arial"/>
          <w:sz w:val="21"/>
          <w:szCs w:val="21"/>
        </w:rPr>
        <w:t>En caso de duplicidad de manifestación de interés, bien sea individualmente y/o como integrante de una estructura plural, se tomará como válida únicamente la primera en el tiempo, y las demás se desestimarán. Por lo tanto, tratándose de consorcios o uniones temporales donde uno o varios integrantes incurran en esta conducta, se desestimarán las demás manifestaciones de interés de los consorcios o uniones temporales donde un mismo integrante o integrantes sean coincidentes”.</w:t>
      </w:r>
    </w:p>
    <w:p w14:paraId="2EEB9602" w14:textId="77777777" w:rsidR="00942199" w:rsidRDefault="00936F20" w:rsidP="001A3048">
      <w:pPr>
        <w:spacing w:before="240" w:after="120" w:line="276" w:lineRule="auto"/>
        <w:ind w:firstLine="709"/>
        <w:jc w:val="both"/>
        <w:rPr>
          <w:rFonts w:ascii="Verdana" w:eastAsia="Times New Roman" w:hAnsi="Verdana" w:cs="Arial"/>
          <w:lang w:val="es-ES_tradnl" w:eastAsia="es-ES_tradnl"/>
        </w:rPr>
      </w:pPr>
      <w:r w:rsidRPr="007D48B0">
        <w:rPr>
          <w:rFonts w:ascii="Verdana" w:eastAsia="Calibri" w:hAnsi="Verdana" w:cs="Arial"/>
          <w:lang w:val="es-MX"/>
        </w:rPr>
        <w:tab/>
      </w:r>
      <w:r w:rsidRPr="001F0215">
        <w:rPr>
          <w:rFonts w:ascii="Verdana" w:eastAsia="Calibri" w:hAnsi="Verdana" w:cs="Arial"/>
          <w:lang w:val="es-MX"/>
        </w:rPr>
        <w:t xml:space="preserve">La segunda variable, por su parte, se recoge para los procesos adelantados en SECOP II. Esto en el entendido que los interesados deben manifestar interés utilizando el módulo correspondiente de acuerdo con la Guía para manifestar interés y la Guía para presentar Ofertas en la respectiva plataforma. Al respecto, la guía señala lo siguiente: “[…] </w:t>
      </w:r>
      <w:r w:rsidRPr="001F0215">
        <w:rPr>
          <w:rFonts w:ascii="Verdana" w:eastAsia="Calibri" w:hAnsi="Verdana" w:cs="Arial"/>
          <w:bCs/>
          <w:lang w:val="es-ES"/>
        </w:rPr>
        <w:t>p</w:t>
      </w:r>
      <w:r w:rsidRPr="001F0215">
        <w:rPr>
          <w:rFonts w:ascii="Verdana" w:eastAsia="Calibri" w:hAnsi="Verdana" w:cs="Arial"/>
        </w:rPr>
        <w:t>ara participar en Procesos de Contratación en el SECOP II como Proponente Plural (ya sea para manifestar interés, enviar observaciones, ofertas o firmar contratos), debe actuar exclusivamente desde su cuenta de Proponente Plural. Cualquier acción realizada desde la cuenta de cualquiera de los integrantes no es válida para el Proponente Plural y quedará a nombre del proponente singular”. Por lo demás, agrega que “En los Procesos de Contratación en la modalidad de Selección Abreviada de Menor Cuantía, si quiere enviar oferta como Proponente Plural, debe enviar su manifestación de interés desde la cuenta del Proponente Plural</w:t>
      </w:r>
      <w:r w:rsidRPr="007D48B0">
        <w:rPr>
          <w:rFonts w:ascii="Verdana" w:eastAsia="Calibri" w:hAnsi="Verdana" w:cs="Arial"/>
          <w:i/>
          <w:iCs/>
        </w:rPr>
        <w:t xml:space="preserve">. </w:t>
      </w:r>
      <w:r w:rsidRPr="00942199">
        <w:rPr>
          <w:rFonts w:ascii="Verdana" w:eastAsia="Times New Roman" w:hAnsi="Verdana" w:cs="Arial"/>
          <w:lang w:val="es-ES_tradnl" w:eastAsia="es-ES_tradnl"/>
        </w:rPr>
        <w:t>En el SECOP II no es posible manifestar interés como proponente singular y luego enviar la oferta como proponente plural”</w:t>
      </w:r>
      <w:r w:rsidRPr="00942199">
        <w:rPr>
          <w:rFonts w:ascii="Verdana" w:eastAsia="Times New Roman" w:hAnsi="Verdana" w:cs="Arial"/>
          <w:lang w:val="es-ES_tradnl" w:eastAsia="es-ES_tradnl"/>
        </w:rPr>
        <w:footnoteReference w:id="7"/>
      </w:r>
      <w:r w:rsidRPr="00942199">
        <w:rPr>
          <w:rFonts w:ascii="Verdana" w:eastAsia="Times New Roman" w:hAnsi="Verdana" w:cs="Arial"/>
          <w:lang w:val="es-ES_tradnl" w:eastAsia="es-ES_tradnl"/>
        </w:rPr>
        <w:t xml:space="preserve"> (Énfasis fuera de texto). </w:t>
      </w:r>
      <w:bookmarkEnd w:id="7"/>
    </w:p>
    <w:p w14:paraId="5B7BBD11" w14:textId="5A9C07FF" w:rsidR="001A3048" w:rsidRPr="00B10A68" w:rsidRDefault="00A61192" w:rsidP="001A3048">
      <w:pPr>
        <w:spacing w:before="240" w:after="120" w:line="276" w:lineRule="auto"/>
        <w:ind w:firstLine="709"/>
        <w:jc w:val="both"/>
        <w:rPr>
          <w:rFonts w:ascii="Verdana" w:eastAsia="Times New Roman" w:hAnsi="Verdana" w:cs="Arial"/>
          <w:lang w:val="es-ES_tradnl" w:eastAsia="es-ES_tradnl"/>
        </w:rPr>
      </w:pPr>
      <w:r w:rsidRPr="00942199">
        <w:rPr>
          <w:rFonts w:ascii="Verdana" w:eastAsia="Times New Roman" w:hAnsi="Verdana" w:cs="Arial"/>
          <w:lang w:val="es-ES_tradnl" w:eastAsia="es-ES_tradnl"/>
        </w:rPr>
        <w:lastRenderedPageBreak/>
        <w:t xml:space="preserve">Ahora bien, para responder de manera integral la consulta planteada, resulta pertinente referirse a la regla de la </w:t>
      </w:r>
      <w:proofErr w:type="spellStart"/>
      <w:r w:rsidRPr="00942199">
        <w:rPr>
          <w:rFonts w:ascii="Verdana" w:eastAsia="Times New Roman" w:hAnsi="Verdana" w:cs="Arial"/>
          <w:lang w:val="es-ES_tradnl" w:eastAsia="es-ES_tradnl"/>
        </w:rPr>
        <w:t>subsanabilidad</w:t>
      </w:r>
      <w:proofErr w:type="spellEnd"/>
      <w:r w:rsidRPr="00942199">
        <w:rPr>
          <w:rFonts w:ascii="Verdana" w:eastAsia="Times New Roman" w:hAnsi="Verdana" w:cs="Arial"/>
          <w:lang w:val="es-ES_tradnl" w:eastAsia="es-ES_tradnl"/>
        </w:rPr>
        <w:t xml:space="preserve"> de las ofertas en los procedimientos de selección, conforme</w:t>
      </w:r>
      <w:r w:rsidRPr="00A61192">
        <w:rPr>
          <w:rFonts w:ascii="Verdana" w:eastAsia="Calibri" w:hAnsi="Verdana" w:cs="Arial"/>
          <w:noProof/>
        </w:rPr>
        <w:t xml:space="preserve"> a la cual, </w:t>
      </w:r>
      <w:r w:rsidR="001A3048" w:rsidRPr="00B10A68">
        <w:rPr>
          <w:rFonts w:ascii="Verdana" w:eastAsia="Times New Roman" w:hAnsi="Verdana" w:cs="Arial"/>
          <w:lang w:val="es-ES_tradnl" w:eastAsia="es-ES_tradnl"/>
        </w:rPr>
        <w:t>por regla general, la falta de entrega y los defectos en la acreditación de los requisitos habilitantes son aspectos subsanables. La excepción a esta regla se encuentra en la prohibición de permitir que se subsanen aspectos que otorgan puntaje, de valer la acreditación de circunstancias ocurridas con posterioridad al cierre del proceso y de permitir la entrega de la garantía de seriedad de la oferta que no fue aportada con la propuesta.</w:t>
      </w:r>
    </w:p>
    <w:p w14:paraId="35111ADB" w14:textId="77777777" w:rsidR="001A3048" w:rsidRPr="00B10A68" w:rsidRDefault="001A3048" w:rsidP="001A3048">
      <w:pPr>
        <w:spacing w:after="120" w:line="276" w:lineRule="auto"/>
        <w:ind w:firstLine="708"/>
        <w:jc w:val="both"/>
        <w:rPr>
          <w:rFonts w:ascii="Verdana" w:eastAsia="Times New Roman" w:hAnsi="Verdana" w:cs="Arial"/>
          <w:lang w:val="es-ES" w:eastAsia="es-ES"/>
        </w:rPr>
      </w:pPr>
      <w:r w:rsidRPr="00B10A68">
        <w:rPr>
          <w:rFonts w:ascii="Verdana" w:eastAsia="Times New Roman" w:hAnsi="Verdana" w:cs="Arial"/>
          <w:lang w:val="es-ES_tradnl" w:eastAsia="es-ES_tradnl"/>
        </w:rPr>
        <w:t>La posibilidad de enmendar, corregir o subsanar los errores en los que se incurre en los documentos contentivos de la oferta es un tema que ha tenido diferentes momentos o etapas en el ordenamiento jurídico colombiano, momentos que se han expuesto de manera detallada en conceptos como el C-285 del 20 de mayo de 2022</w:t>
      </w:r>
      <w:r w:rsidRPr="00B10A68">
        <w:rPr>
          <w:rFonts w:ascii="Verdana" w:eastAsia="Times New Roman" w:hAnsi="Verdana" w:cs="Arial"/>
          <w:vertAlign w:val="superscript"/>
          <w:lang w:val="es-ES_tradnl" w:eastAsia="es-ES_tradnl"/>
        </w:rPr>
        <w:footnoteReference w:id="8"/>
      </w:r>
      <w:r w:rsidRPr="00B10A68">
        <w:rPr>
          <w:rFonts w:ascii="Verdana" w:eastAsia="Times New Roman" w:hAnsi="Verdana" w:cs="Arial"/>
          <w:lang w:val="es-ES_tradnl" w:eastAsia="es-ES_tradnl"/>
        </w:rPr>
        <w:t xml:space="preserve"> o el C-447 del 19 de septiembre de 2024</w:t>
      </w:r>
      <w:r w:rsidRPr="00B10A68">
        <w:rPr>
          <w:rFonts w:ascii="Verdana" w:eastAsia="Times New Roman" w:hAnsi="Verdana" w:cs="Arial"/>
          <w:vertAlign w:val="superscript"/>
          <w:lang w:val="es-ES_tradnl" w:eastAsia="es-ES_tradnl"/>
        </w:rPr>
        <w:footnoteReference w:id="9"/>
      </w:r>
      <w:r w:rsidRPr="00B10A68">
        <w:rPr>
          <w:rFonts w:ascii="Verdana" w:eastAsia="Times New Roman" w:hAnsi="Verdana" w:cs="Arial"/>
          <w:lang w:val="es-ES_tradnl" w:eastAsia="es-ES_tradnl"/>
        </w:rPr>
        <w:t xml:space="preserve"> los cuales, en el evento en que tenga interés, podrá consultar en los enlaces de la nota al pie. Sin embargo</w:t>
      </w:r>
      <w:r w:rsidRPr="00B10A68">
        <w:rPr>
          <w:rFonts w:ascii="Verdana" w:eastAsia="Times New Roman" w:hAnsi="Verdana" w:cs="Arial"/>
          <w:lang w:val="es-ES" w:eastAsia="es-ES"/>
        </w:rPr>
        <w:t xml:space="preserve">, a continuación, se hará referencia particularmente al último momento, que refleja la postura vigente en torno a la </w:t>
      </w:r>
      <w:proofErr w:type="spellStart"/>
      <w:r w:rsidRPr="00B10A68">
        <w:rPr>
          <w:rFonts w:ascii="Verdana" w:eastAsia="Times New Roman" w:hAnsi="Verdana" w:cs="Arial"/>
          <w:lang w:val="es-ES" w:eastAsia="es-ES"/>
        </w:rPr>
        <w:t>subsanabilidad</w:t>
      </w:r>
      <w:proofErr w:type="spellEnd"/>
      <w:r w:rsidRPr="00B10A68">
        <w:rPr>
          <w:rFonts w:ascii="Verdana" w:eastAsia="Times New Roman" w:hAnsi="Verdana" w:cs="Arial"/>
          <w:lang w:val="es-ES" w:eastAsia="es-ES"/>
        </w:rPr>
        <w:t>:</w:t>
      </w:r>
    </w:p>
    <w:p w14:paraId="6C4009B0" w14:textId="77777777" w:rsidR="001A3048" w:rsidRPr="00B10A68" w:rsidRDefault="001A3048" w:rsidP="001A3048">
      <w:pPr>
        <w:tabs>
          <w:tab w:val="left" w:pos="284"/>
        </w:tabs>
        <w:spacing w:after="0" w:line="276" w:lineRule="auto"/>
        <w:ind w:firstLine="709"/>
        <w:jc w:val="both"/>
        <w:rPr>
          <w:rFonts w:ascii="Verdana" w:eastAsia="Times New Roman" w:hAnsi="Verdana" w:cs="Arial"/>
          <w:lang w:val="es-ES_tradnl" w:eastAsia="es-CO"/>
        </w:rPr>
      </w:pPr>
      <w:r w:rsidRPr="00B10A68">
        <w:rPr>
          <w:rFonts w:ascii="Verdana" w:eastAsia="Times New Roman" w:hAnsi="Verdana" w:cs="Arial"/>
          <w:lang w:val="es-ES_tradnl" w:eastAsia="es-ES_tradnl"/>
        </w:rPr>
        <w:t xml:space="preserve">La expedición de la Ley </w:t>
      </w:r>
      <w:r w:rsidRPr="00B10A68">
        <w:rPr>
          <w:rFonts w:ascii="Verdana" w:eastAsia="Times New Roman" w:hAnsi="Verdana" w:cs="Arial"/>
          <w:lang w:val="es-ES_tradnl" w:eastAsia="es-CO"/>
        </w:rPr>
        <w:t xml:space="preserve">1882 de 2018 tuvo por finalidad la de introducir cambios y ajustes para fortalecer la contratación pública. En ese orden, mediante su artículo 5 modificó el parágrafo 1º y adicionó algunos otros, entre ellos el 3° y 4° del artículo 5 de la Ley 1150 de 2007, en los siguientes términos: </w:t>
      </w:r>
    </w:p>
    <w:p w14:paraId="6FC0A5BD" w14:textId="77777777" w:rsidR="001A3048" w:rsidRPr="00B10A68" w:rsidRDefault="001A3048" w:rsidP="001A3048">
      <w:pPr>
        <w:spacing w:after="0" w:line="276" w:lineRule="auto"/>
        <w:ind w:left="709" w:right="709"/>
        <w:jc w:val="both"/>
        <w:rPr>
          <w:rFonts w:ascii="Verdana" w:eastAsia="Times New Roman" w:hAnsi="Verdana" w:cs="Arial"/>
          <w:lang w:val="es-ES_tradnl" w:eastAsia="es-CO"/>
        </w:rPr>
      </w:pPr>
    </w:p>
    <w:p w14:paraId="4CA326CA" w14:textId="77777777" w:rsidR="001A3048" w:rsidRPr="00B10A68" w:rsidRDefault="001A3048" w:rsidP="001A3048">
      <w:pPr>
        <w:spacing w:after="0" w:line="240" w:lineRule="auto"/>
        <w:ind w:left="709" w:right="709"/>
        <w:jc w:val="both"/>
        <w:rPr>
          <w:rFonts w:ascii="Verdana" w:eastAsia="Times New Roman" w:hAnsi="Verdana" w:cs="Arial"/>
          <w:sz w:val="20"/>
          <w:szCs w:val="20"/>
          <w:lang w:val="es-ES_tradnl" w:eastAsia="es-CO"/>
        </w:rPr>
      </w:pPr>
      <w:r w:rsidRPr="00B10A68">
        <w:rPr>
          <w:rFonts w:ascii="Verdana" w:eastAsia="Times New Roman" w:hAnsi="Verdana" w:cs="Arial"/>
          <w:sz w:val="20"/>
          <w:szCs w:val="20"/>
          <w:lang w:val="es-ES_tradnl" w:eastAsia="es-CO"/>
        </w:rPr>
        <w:t xml:space="preserve">“Artículo 5°. De la selección objetiva. </w:t>
      </w:r>
    </w:p>
    <w:p w14:paraId="2A13F936" w14:textId="77777777" w:rsidR="001A3048" w:rsidRPr="00B10A68" w:rsidRDefault="001A3048" w:rsidP="001A3048">
      <w:pPr>
        <w:spacing w:after="0" w:line="240" w:lineRule="auto"/>
        <w:ind w:left="709" w:right="709"/>
        <w:jc w:val="both"/>
        <w:textAlignment w:val="baseline"/>
        <w:rPr>
          <w:rFonts w:ascii="Verdana" w:eastAsia="Times New Roman" w:hAnsi="Verdana" w:cs="Arial"/>
          <w:color w:val="000000"/>
          <w:sz w:val="20"/>
          <w:szCs w:val="20"/>
          <w:lang w:val="es-ES" w:eastAsia="es-ES_tradnl"/>
        </w:rPr>
      </w:pPr>
    </w:p>
    <w:p w14:paraId="5B4C60AF"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 xml:space="preserve">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w:t>
      </w:r>
      <w:r w:rsidRPr="00B10A68">
        <w:rPr>
          <w:rFonts w:ascii="Verdana" w:eastAsia="Times New Roman" w:hAnsi="Verdana" w:cs="Arial"/>
          <w:color w:val="000000"/>
          <w:sz w:val="20"/>
          <w:szCs w:val="20"/>
          <w:lang w:val="es-ES" w:eastAsia="es-ES_tradnl"/>
        </w:rPr>
        <w:lastRenderedPageBreak/>
        <w:t xml:space="preserve">calificación que establezcan las entidades en los pliegos de condiciones o sus </w:t>
      </w:r>
      <w:proofErr w:type="gramStart"/>
      <w:r w:rsidRPr="00B10A68">
        <w:rPr>
          <w:rFonts w:ascii="Verdana" w:eastAsia="Times New Roman" w:hAnsi="Verdana" w:cs="Arial"/>
          <w:color w:val="000000"/>
          <w:sz w:val="20"/>
          <w:szCs w:val="20"/>
          <w:lang w:val="es-ES" w:eastAsia="es-ES_tradnl"/>
        </w:rPr>
        <w:t>equivalentes,</w:t>
      </w:r>
      <w:proofErr w:type="gramEnd"/>
      <w:r w:rsidRPr="00B10A68">
        <w:rPr>
          <w:rFonts w:ascii="Verdana" w:eastAsia="Times New Roman" w:hAnsi="Verdana" w:cs="Arial"/>
          <w:color w:val="000000"/>
          <w:sz w:val="20"/>
          <w:szCs w:val="20"/>
          <w:lang w:val="es-ES" w:eastAsia="es-ES_tradnl"/>
        </w:rPr>
        <w:t xml:space="preserve"> tendrán en cuenta los siguientes criterios:</w:t>
      </w:r>
      <w:r w:rsidRPr="00B10A68">
        <w:rPr>
          <w:rFonts w:ascii="Verdana" w:eastAsia="Arial" w:hAnsi="Verdana" w:cs="Times New Roman"/>
          <w:color w:val="000000"/>
          <w:sz w:val="20"/>
          <w:szCs w:val="20"/>
          <w:lang w:eastAsia="es-ES_tradnl"/>
        </w:rPr>
        <w:t> </w:t>
      </w:r>
    </w:p>
    <w:p w14:paraId="1C261223"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7B928627"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w:t>
      </w:r>
    </w:p>
    <w:p w14:paraId="3F318446"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69AC3FE1"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u w:val="single"/>
          <w:lang w:val="es-ES" w:eastAsia="es-ES_tradnl"/>
        </w:rPr>
        <w:t xml:space="preserve">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proofErr w:type="gramStart"/>
      <w:r w:rsidRPr="00B10A68">
        <w:rPr>
          <w:rFonts w:ascii="Verdana" w:eastAsia="Times New Roman" w:hAnsi="Verdana" w:cs="Arial"/>
          <w:color w:val="000000"/>
          <w:sz w:val="20"/>
          <w:szCs w:val="20"/>
          <w:u w:val="single"/>
          <w:lang w:val="es-ES" w:eastAsia="es-ES_tradnl"/>
        </w:rPr>
        <w:t>puntaje,</w:t>
      </w:r>
      <w:proofErr w:type="gramEnd"/>
      <w:r w:rsidRPr="00B10A68">
        <w:rPr>
          <w:rFonts w:ascii="Verdana" w:eastAsia="Times New Roman" w:hAnsi="Verdana" w:cs="Arial"/>
          <w:color w:val="000000"/>
          <w:sz w:val="20"/>
          <w:szCs w:val="20"/>
          <w:u w:val="single"/>
          <w:lang w:val="es-ES" w:eastAsia="es-ES_tradnl"/>
        </w:rPr>
        <w:t xml:space="preserve"> deberán ser solicitados por las entidades estatales y deberán ser entregados por los proponentes hasta el término de traslado del informe de evaluación que corresponda a cada modalidad de selección</w:t>
      </w:r>
      <w:r w:rsidRPr="00B10A68">
        <w:rPr>
          <w:rFonts w:ascii="Verdana" w:eastAsia="Times New Roman" w:hAnsi="Verdana" w:cs="Arial"/>
          <w:color w:val="000000"/>
          <w:sz w:val="20"/>
          <w:szCs w:val="20"/>
          <w:lang w:val="es-ES" w:eastAsia="es-ES_tradnl"/>
        </w:rPr>
        <w:t xml:space="preserve">, salvo lo dispuesto para el proceso de Mínima cuantía y para el proceso de selección a través del sistema de subasta. </w:t>
      </w:r>
      <w:r w:rsidRPr="00B10A68">
        <w:rPr>
          <w:rFonts w:ascii="Verdana" w:eastAsia="Times New Roman" w:hAnsi="Verdana" w:cs="Arial"/>
          <w:color w:val="000000"/>
          <w:sz w:val="20"/>
          <w:szCs w:val="20"/>
          <w:u w:val="single"/>
          <w:lang w:val="es-ES" w:eastAsia="es-ES_tradnl"/>
        </w:rPr>
        <w:t>Serán rechazadas las ofertas de aquellos proponentes que no suministren la información y la documentación solicitada por la entidad estatal hasta el plazo anteriormente señalado.</w:t>
      </w:r>
      <w:r w:rsidRPr="00B10A68">
        <w:rPr>
          <w:rFonts w:ascii="Verdana" w:eastAsia="Arial" w:hAnsi="Verdana" w:cs="Times New Roman"/>
          <w:color w:val="000000"/>
          <w:sz w:val="20"/>
          <w:szCs w:val="20"/>
          <w:u w:val="single"/>
          <w:lang w:eastAsia="es-ES_tradnl"/>
        </w:rPr>
        <w:t> </w:t>
      </w:r>
    </w:p>
    <w:p w14:paraId="101B7B66"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0959B7AC"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u w:val="single"/>
          <w:lang w:val="es-ES" w:eastAsia="es-ES_tradnl"/>
        </w:rPr>
        <w:t>Durante el término otorgado para subsanar las ofertas, los proponentes no podrán acreditar circunstancias ocurridas con posterioridad al cierre del proceso.</w:t>
      </w:r>
      <w:r w:rsidRPr="00B10A68">
        <w:rPr>
          <w:rFonts w:ascii="Verdana" w:eastAsia="Arial" w:hAnsi="Verdana" w:cs="Times New Roman"/>
          <w:color w:val="000000"/>
          <w:sz w:val="20"/>
          <w:szCs w:val="20"/>
          <w:lang w:eastAsia="es-ES_tradnl"/>
        </w:rPr>
        <w:t> </w:t>
      </w:r>
    </w:p>
    <w:p w14:paraId="51E7FD20"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4BE6A4F1"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PARÁGRAFO 2o. Las certificaciones de sistemas de gestión de calidad no serán objeto de calificación, ni podrán establecerse como documento habilitante para participar en licitaciones o concursos.</w:t>
      </w:r>
      <w:r w:rsidRPr="00B10A68">
        <w:rPr>
          <w:rFonts w:ascii="Verdana" w:eastAsia="Arial" w:hAnsi="Verdana" w:cs="Times New Roman"/>
          <w:color w:val="000000"/>
          <w:sz w:val="20"/>
          <w:szCs w:val="20"/>
          <w:lang w:eastAsia="es-ES_tradnl"/>
        </w:rPr>
        <w:t> </w:t>
      </w:r>
    </w:p>
    <w:p w14:paraId="6A52961A"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7D555A81"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u w:val="single"/>
          <w:lang w:eastAsia="es-ES_tradnl"/>
        </w:rPr>
      </w:pPr>
      <w:r w:rsidRPr="00B10A68">
        <w:rPr>
          <w:rFonts w:ascii="Verdana" w:eastAsia="Times New Roman" w:hAnsi="Verdana" w:cs="Arial"/>
          <w:color w:val="000000"/>
          <w:sz w:val="20"/>
          <w:szCs w:val="20"/>
          <w:u w:val="single"/>
          <w:lang w:val="es-ES" w:eastAsia="es-ES_tradnl"/>
        </w:rPr>
        <w:t xml:space="preserve">PARÁGRAFO 3o. &lt;Parágrafo adicionado por el artículo 5 de la Ley 1882 de 2018. El nuevo texto es el siguiente:&gt; La no entrega de la garantía de seriedad junto con la propuesta no será subsanable y será causal de rechazo de </w:t>
      </w:r>
      <w:proofErr w:type="gramStart"/>
      <w:r w:rsidRPr="00B10A68">
        <w:rPr>
          <w:rFonts w:ascii="Verdana" w:eastAsia="Times New Roman" w:hAnsi="Verdana" w:cs="Arial"/>
          <w:color w:val="000000"/>
          <w:sz w:val="20"/>
          <w:szCs w:val="20"/>
          <w:u w:val="single"/>
          <w:lang w:val="es-ES" w:eastAsia="es-ES_tradnl"/>
        </w:rPr>
        <w:t>la misma</w:t>
      </w:r>
      <w:proofErr w:type="gramEnd"/>
      <w:r w:rsidRPr="00B10A68">
        <w:rPr>
          <w:rFonts w:ascii="Verdana" w:eastAsia="Times New Roman" w:hAnsi="Verdana" w:cs="Arial"/>
          <w:color w:val="000000"/>
          <w:sz w:val="20"/>
          <w:szCs w:val="20"/>
          <w:u w:val="single"/>
          <w:lang w:val="es-ES" w:eastAsia="es-ES_tradnl"/>
        </w:rPr>
        <w:t>.</w:t>
      </w:r>
      <w:r w:rsidRPr="00B10A68">
        <w:rPr>
          <w:rFonts w:ascii="Verdana" w:eastAsia="Arial" w:hAnsi="Verdana" w:cs="Times New Roman"/>
          <w:color w:val="000000"/>
          <w:sz w:val="20"/>
          <w:szCs w:val="20"/>
          <w:u w:val="single"/>
          <w:lang w:eastAsia="es-ES_tradnl"/>
        </w:rPr>
        <w:t> </w:t>
      </w:r>
    </w:p>
    <w:p w14:paraId="4E7DF8C1"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51BCE18C"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r w:rsidRPr="00B10A68">
        <w:rPr>
          <w:rFonts w:ascii="Verdana" w:eastAsia="Arial" w:hAnsi="Verdana" w:cs="Times New Roman"/>
          <w:color w:val="000000"/>
          <w:sz w:val="20"/>
          <w:szCs w:val="20"/>
          <w:lang w:eastAsia="es-ES_tradnl"/>
        </w:rPr>
        <w:t> </w:t>
      </w:r>
    </w:p>
    <w:p w14:paraId="5625A51B"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7D3BD033" w14:textId="77777777" w:rsidR="001A3048" w:rsidRPr="00B10A68" w:rsidRDefault="001A3048" w:rsidP="001A3048">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 [Subrayado por fuera de texto original]</w:t>
      </w:r>
    </w:p>
    <w:p w14:paraId="7AAF3B18" w14:textId="77777777" w:rsidR="001A3048" w:rsidRPr="00B10A68" w:rsidRDefault="001A3048" w:rsidP="001A3048">
      <w:pPr>
        <w:spacing w:after="0" w:line="276" w:lineRule="auto"/>
        <w:ind w:left="709" w:right="709"/>
        <w:jc w:val="both"/>
        <w:rPr>
          <w:rFonts w:ascii="Verdana" w:eastAsia="Times New Roman" w:hAnsi="Verdana" w:cs="Arial"/>
          <w:lang w:eastAsia="es-CO"/>
        </w:rPr>
      </w:pPr>
    </w:p>
    <w:p w14:paraId="2F7B109D" w14:textId="6D4A802E" w:rsidR="001A3048" w:rsidRPr="00B10A68" w:rsidRDefault="001A3048" w:rsidP="001A3048">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lastRenderedPageBreak/>
        <w:t xml:space="preserve">Como puede observarse, la Ley 1882 de 2018: i) mantiene el criterio de la Ley 80 de 1993, relativo a que todo lo que no sea necesario para la comparación de propuestas no es título suficiente para su rechazo; </w:t>
      </w:r>
      <w:proofErr w:type="spellStart"/>
      <w:r w:rsidRPr="00B10A68">
        <w:rPr>
          <w:rFonts w:ascii="Verdana" w:eastAsia="Times New Roman" w:hAnsi="Verdana" w:cs="Arial"/>
          <w:lang w:val="es-ES" w:eastAsia="es-ES"/>
        </w:rPr>
        <w:t>ii</w:t>
      </w:r>
      <w:proofErr w:type="spellEnd"/>
      <w:r w:rsidRPr="00B10A68">
        <w:rPr>
          <w:rFonts w:ascii="Verdana" w:eastAsia="Times New Roman" w:hAnsi="Verdana" w:cs="Arial"/>
          <w:lang w:val="es-ES" w:eastAsia="es-ES"/>
        </w:rPr>
        <w:t xml:space="preserve">) mantiene el criterio aclaratorio de la Ley 1150 de 2007, según el cual todo lo que no afecte la asignación de puntaje puede subsanarse; e, </w:t>
      </w:r>
      <w:proofErr w:type="spellStart"/>
      <w:r w:rsidRPr="00B10A68">
        <w:rPr>
          <w:rFonts w:ascii="Verdana" w:eastAsia="Times New Roman" w:hAnsi="Verdana" w:cs="Arial"/>
          <w:lang w:val="es-ES" w:eastAsia="es-ES"/>
        </w:rPr>
        <w:t>iii</w:t>
      </w:r>
      <w:proofErr w:type="spellEnd"/>
      <w:r w:rsidRPr="00B10A68">
        <w:rPr>
          <w:rFonts w:ascii="Verdana" w:eastAsia="Times New Roman" w:hAnsi="Verdana" w:cs="Arial"/>
          <w:lang w:val="es-ES" w:eastAsia="es-ES"/>
        </w:rPr>
        <w:t xml:space="preserve">) introduce modificaciones en relación con algunos aspectos </w:t>
      </w:r>
      <w:r w:rsidR="002C6E9B">
        <w:rPr>
          <w:rFonts w:ascii="Verdana" w:eastAsia="Times New Roman" w:hAnsi="Verdana" w:cs="Arial"/>
          <w:lang w:val="es-ES" w:eastAsia="es-ES"/>
        </w:rPr>
        <w:t>adicionales</w:t>
      </w:r>
      <w:r w:rsidRPr="00B10A68">
        <w:rPr>
          <w:rFonts w:ascii="Verdana" w:eastAsia="Times New Roman" w:hAnsi="Verdana" w:cs="Arial"/>
          <w:lang w:val="es-ES" w:eastAsia="es-ES"/>
        </w:rPr>
        <w:t xml:space="preserve">. </w:t>
      </w:r>
    </w:p>
    <w:p w14:paraId="1F392B7B" w14:textId="77777777" w:rsidR="001A3048" w:rsidRPr="00B10A68" w:rsidRDefault="001A3048" w:rsidP="001A3048">
      <w:pPr>
        <w:spacing w:after="120" w:line="276" w:lineRule="auto"/>
        <w:ind w:right="51" w:firstLine="709"/>
        <w:jc w:val="both"/>
        <w:rPr>
          <w:rFonts w:ascii="Verdana" w:eastAsia="Times New Roman" w:hAnsi="Verdana" w:cs="Arial"/>
          <w:lang w:val="es-ES_tradnl" w:eastAsia="es-ES_tradnl"/>
        </w:rPr>
      </w:pPr>
      <w:r w:rsidRPr="00ED4AA8">
        <w:rPr>
          <w:rFonts w:ascii="Verdana" w:eastAsia="Times New Roman" w:hAnsi="Verdana" w:cs="Arial"/>
          <w:lang w:val="es-ES_tradnl" w:eastAsia="es-ES_tradnl"/>
        </w:rPr>
        <w:t>La primera modificación</w:t>
      </w:r>
      <w:r w:rsidRPr="00B10A68">
        <w:rPr>
          <w:rFonts w:ascii="Verdana" w:eastAsia="Times New Roman" w:hAnsi="Verdana" w:cs="Arial"/>
          <w:i/>
          <w:iCs/>
          <w:lang w:val="es-ES_tradnl" w:eastAsia="es-ES_tradnl"/>
        </w:rPr>
        <w:t xml:space="preserve"> </w:t>
      </w:r>
      <w:r w:rsidRPr="00B10A68">
        <w:rPr>
          <w:rFonts w:ascii="Verdana" w:eastAsia="Times New Roman" w:hAnsi="Verdana" w:cs="Arial"/>
          <w:lang w:val="es-ES_tradnl" w:eastAsia="es-ES_tradnl"/>
        </w:rPr>
        <w:t>está relacionada con el ámbito temporal para ejercer la facultad de subsanar la oferta, pues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límite anterior no aplica para los procesos de mínima cuantía y para el proceso de selección a través del sistema de subasta</w:t>
      </w:r>
      <w:r w:rsidRPr="00B10A68">
        <w:rPr>
          <w:rFonts w:ascii="Verdana" w:eastAsia="Times New Roman" w:hAnsi="Verdana" w:cs="Arial"/>
          <w:vertAlign w:val="superscript"/>
          <w:lang w:val="es-ES_tradnl" w:eastAsia="es-ES_tradnl"/>
        </w:rPr>
        <w:footnoteReference w:id="10"/>
      </w:r>
      <w:r w:rsidRPr="00B10A68">
        <w:rPr>
          <w:rFonts w:ascii="Verdana" w:eastAsia="Times New Roman" w:hAnsi="Verdana" w:cs="Arial"/>
          <w:lang w:val="es-ES_tradnl" w:eastAsia="es-ES_tradnl"/>
        </w:rPr>
        <w:t>.</w:t>
      </w:r>
    </w:p>
    <w:p w14:paraId="6F45DC5B" w14:textId="77777777" w:rsidR="001A3048" w:rsidRPr="00B10A68" w:rsidRDefault="001A3048" w:rsidP="001A3048">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Frente a la regla general aplicable a los demás procesos de selección, la norma fijó un límite final para que la Administración y los oferentes subsanen los requisitos o documentos que puedan y deban ser subsanados. No obstante, lo anterior, nada impide, y la norma no lo hace, que la Administración requiera al proponente antes de publicar el informe de evaluación. En efecto, la redacción de la norma permite que la Administración solicite a los oferentes subsanar y que estos lo hagan hasta antes del término del traslado del informe de evaluación: “</w:t>
      </w:r>
      <w:r w:rsidRPr="00B10A68">
        <w:rPr>
          <w:rFonts w:ascii="Verdana" w:eastAsia="Times New Roman" w:hAnsi="Verdana" w:cs="Arial"/>
          <w:i/>
          <w:iCs/>
          <w:lang w:val="es-ES" w:eastAsia="es-ES"/>
        </w:rPr>
        <w:t>deberán ser solicitados por las entidades estatales y deberán ser entregados por los proponentes hasta el término de traslado del informe de evaluación que corresponda a cada modalidad de selección”.</w:t>
      </w:r>
      <w:r w:rsidRPr="00B10A68">
        <w:rPr>
          <w:rFonts w:ascii="Verdana" w:eastAsia="Times New Roman" w:hAnsi="Verdana" w:cs="Arial"/>
          <w:lang w:val="es-ES" w:eastAsia="es-ES"/>
        </w:rPr>
        <w:t xml:space="preserve"> </w:t>
      </w:r>
    </w:p>
    <w:p w14:paraId="5E6AE294" w14:textId="77777777" w:rsidR="001A3048" w:rsidRPr="00B10A68" w:rsidRDefault="001A3048" w:rsidP="001A3048">
      <w:pPr>
        <w:spacing w:after="120" w:line="276" w:lineRule="auto"/>
        <w:ind w:firstLine="709"/>
        <w:jc w:val="both"/>
        <w:rPr>
          <w:rFonts w:ascii="Verdana" w:eastAsia="Times New Roman" w:hAnsi="Verdana" w:cs="Arial"/>
          <w:lang w:val="es-ES_tradnl" w:eastAsia="es-ES_tradnl"/>
        </w:rPr>
      </w:pPr>
      <w:r w:rsidRPr="00B10A68">
        <w:rPr>
          <w:rFonts w:ascii="Verdana" w:eastAsia="Times New Roman" w:hAnsi="Verdana" w:cs="Arial"/>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458323A1" w14:textId="77777777" w:rsidR="001A3048" w:rsidRPr="00B10A68" w:rsidRDefault="001A3048" w:rsidP="001A3048">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lastRenderedPageBreak/>
        <w:t xml:space="preserve">Un mejor entendimiento del significado de la expresión </w:t>
      </w:r>
      <w:r w:rsidRPr="00B10A68">
        <w:rPr>
          <w:rFonts w:ascii="Verdana" w:eastAsia="Times New Roman" w:hAnsi="Verdana" w:cs="Arial"/>
          <w:i/>
          <w:lang w:val="es-ES" w:eastAsia="es-ES"/>
        </w:rPr>
        <w:t>“circunstancias ocurridas con posterioridad al cierre del proceso”</w:t>
      </w:r>
      <w:r w:rsidRPr="00B10A68">
        <w:rPr>
          <w:rFonts w:ascii="Verdana" w:eastAsia="Times New Roman" w:hAnsi="Verdana" w:cs="Arial"/>
          <w:lang w:val="es-ES" w:eastAsia="es-ES"/>
        </w:rPr>
        <w:t xml:space="preserve"> implica distinguir entre la prueba de un hecho y el hecho mismo. En el caso de la </w:t>
      </w:r>
      <w:proofErr w:type="spellStart"/>
      <w:r w:rsidRPr="00B10A68">
        <w:rPr>
          <w:rFonts w:ascii="Verdana" w:eastAsia="Times New Roman" w:hAnsi="Verdana" w:cs="Arial"/>
          <w:lang w:val="es-ES" w:eastAsia="es-ES"/>
        </w:rPr>
        <w:t>subsanabilidad</w:t>
      </w:r>
      <w:proofErr w:type="spellEnd"/>
      <w:r w:rsidRPr="00B10A68">
        <w:rPr>
          <w:rFonts w:ascii="Verdana" w:eastAsia="Times New Roman" w:hAnsi="Verdana" w:cs="Arial"/>
          <w:lang w:val="es-ES" w:eastAsia="es-ES"/>
        </w:rPr>
        <w:t xml:space="preserve">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w:t>
      </w:r>
      <w:r w:rsidRPr="00B10A68">
        <w:rPr>
          <w:rFonts w:ascii="Verdana" w:eastAsia="Times New Roman" w:hAnsi="Verdana" w:cs="Arial"/>
          <w:vertAlign w:val="superscript"/>
          <w:lang w:val="es-ES" w:eastAsia="es-ES"/>
        </w:rPr>
        <w:footnoteReference w:id="11"/>
      </w:r>
      <w:r w:rsidRPr="00B10A68">
        <w:rPr>
          <w:rFonts w:ascii="Verdana" w:eastAsia="Times New Roman" w:hAnsi="Verdana" w:cs="Arial"/>
          <w:lang w:val="es-ES" w:eastAsia="es-ES"/>
        </w:rPr>
        <w:t xml:space="preserve">. </w:t>
      </w:r>
    </w:p>
    <w:p w14:paraId="52FAA57D" w14:textId="77777777" w:rsidR="001A3048" w:rsidRPr="00B10A68" w:rsidRDefault="001A3048" w:rsidP="001A3048">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 xml:space="preserve">Por ejemplo: i) si un oferente olvidó adjuntar con su propuesta el certificado que da cuenta de su inscripción en el RUP, el requisito será subsanable siempre que la prueba allegada demuestre que el hecho, esto es, la inscripción en el registro, ocurrió con anterioridad al cierre del proceso, estando está en firme para dicho momento; </w:t>
      </w:r>
      <w:proofErr w:type="spellStart"/>
      <w:r w:rsidRPr="00B10A68">
        <w:rPr>
          <w:rFonts w:ascii="Verdana" w:eastAsia="Times New Roman" w:hAnsi="Verdana" w:cs="Arial"/>
          <w:lang w:val="es-ES" w:eastAsia="es-ES"/>
        </w:rPr>
        <w:t>ii</w:t>
      </w:r>
      <w:proofErr w:type="spellEnd"/>
      <w:r w:rsidRPr="00B10A68">
        <w:rPr>
          <w:rFonts w:ascii="Verdana" w:eastAsia="Times New Roman" w:hAnsi="Verdana" w:cs="Arial"/>
          <w:lang w:val="es-ES" w:eastAsia="es-ES"/>
        </w:rPr>
        <w:t>) si un oferente presentó la propuesta sin allegar la autorización al representante legal, por parte de la junta directiva de la sociedad, el certificado, aunque sea posterior, debe dar cuenta de que el hecho que pretende acreditar –la autorización de la junta– ocurrió antes del vencimiento del término para ofertar</w:t>
      </w:r>
      <w:r w:rsidRPr="00B10A68">
        <w:rPr>
          <w:rFonts w:ascii="Verdana" w:eastAsia="Times New Roman" w:hAnsi="Verdana" w:cs="Arial"/>
          <w:vertAlign w:val="superscript"/>
          <w:lang w:val="es-ES" w:eastAsia="es-ES"/>
        </w:rPr>
        <w:footnoteReference w:id="12"/>
      </w:r>
      <w:r w:rsidRPr="00B10A68">
        <w:rPr>
          <w:rFonts w:ascii="Verdana" w:eastAsia="Times New Roman" w:hAnsi="Verdana" w:cs="Arial"/>
          <w:lang w:val="es-ES" w:eastAsia="es-ES"/>
        </w:rPr>
        <w:t xml:space="preserve">; </w:t>
      </w:r>
      <w:proofErr w:type="spellStart"/>
      <w:r w:rsidRPr="00B10A68">
        <w:rPr>
          <w:rFonts w:ascii="Verdana" w:eastAsia="Times New Roman" w:hAnsi="Verdana" w:cs="Arial"/>
          <w:lang w:val="es-ES" w:eastAsia="es-ES"/>
        </w:rPr>
        <w:t>iii</w:t>
      </w:r>
      <w:proofErr w:type="spellEnd"/>
      <w:r w:rsidRPr="00B10A68">
        <w:rPr>
          <w:rFonts w:ascii="Verdana" w:eastAsia="Times New Roman" w:hAnsi="Verdana" w:cs="Arial"/>
          <w:lang w:val="es-ES" w:eastAsia="es-ES"/>
        </w:rPr>
        <w:t>) si un oferente no anexó el Certificado de existencia y representación legal, el documento aportado con posterioridad debe dar cuenta de que la sociedad existía antes del cierre del proceso</w:t>
      </w:r>
      <w:r w:rsidRPr="00B10A68">
        <w:rPr>
          <w:rFonts w:ascii="Verdana" w:eastAsia="Times New Roman" w:hAnsi="Verdana" w:cs="Arial"/>
          <w:vertAlign w:val="superscript"/>
          <w:lang w:val="es-ES" w:eastAsia="es-ES"/>
        </w:rPr>
        <w:footnoteReference w:id="13"/>
      </w:r>
      <w:r w:rsidRPr="00B10A68">
        <w:rPr>
          <w:rFonts w:ascii="Verdana" w:eastAsia="Times New Roman" w:hAnsi="Verdana" w:cs="Arial"/>
          <w:lang w:val="es-ES" w:eastAsia="es-ES"/>
        </w:rPr>
        <w:t xml:space="preserve">; </w:t>
      </w:r>
      <w:proofErr w:type="spellStart"/>
      <w:r w:rsidRPr="00B10A68">
        <w:rPr>
          <w:rFonts w:ascii="Verdana" w:eastAsia="Times New Roman" w:hAnsi="Verdana" w:cs="Arial"/>
          <w:lang w:val="es-ES" w:eastAsia="es-ES"/>
        </w:rPr>
        <w:t>iv</w:t>
      </w:r>
      <w:proofErr w:type="spellEnd"/>
      <w:r w:rsidRPr="00B10A68">
        <w:rPr>
          <w:rFonts w:ascii="Verdana" w:eastAsia="Times New Roman" w:hAnsi="Verdana" w:cs="Arial"/>
          <w:lang w:val="es-ES" w:eastAsia="es-ES"/>
        </w:rPr>
        <w:t xml:space="preserve">) si un oferente olvidó adjuntar un certificado que demuestra un título universitario, el documento, aunque tenga fecha posterior al cierre del proceso, debe acreditar </w:t>
      </w:r>
      <w:r w:rsidRPr="00B10A68">
        <w:rPr>
          <w:rFonts w:ascii="Verdana" w:eastAsia="Times New Roman" w:hAnsi="Verdana" w:cs="Arial"/>
          <w:lang w:val="es-ES" w:eastAsia="es-ES"/>
        </w:rPr>
        <w:lastRenderedPageBreak/>
        <w:t xml:space="preserve">que el título académico se obtuvo con anterioridad al cierre del proceso; v) si un oferente no allegó un certificado de experiencia, el documento que subsana –sin importar que tenga fecha posterior– debe demostrar que la experiencia que se pretende hacer valer se obtuvo antes de vencerse el término para presentar ofertas y vi) si el oferente olvidó firmar la propuesta o presentar una copia de ella, puede subsanar sin que con ello se entienda que acreditó una circunstancia ocurrida con posterioridad al cierre del proceso. </w:t>
      </w:r>
    </w:p>
    <w:p w14:paraId="5EBED247" w14:textId="72020192" w:rsidR="001A3048" w:rsidRPr="00B10A68" w:rsidRDefault="001A3048" w:rsidP="001A3048">
      <w:pPr>
        <w:spacing w:after="120" w:line="276" w:lineRule="auto"/>
        <w:ind w:firstLine="709"/>
        <w:jc w:val="both"/>
        <w:rPr>
          <w:rFonts w:ascii="Verdana" w:eastAsia="Calibri" w:hAnsi="Verdana" w:cs="Times New Roman"/>
          <w:color w:val="000000"/>
        </w:rPr>
      </w:pPr>
      <w:r w:rsidRPr="00B10A68">
        <w:rPr>
          <w:rFonts w:ascii="Verdana" w:eastAsia="Calibri" w:hAnsi="Verdana" w:cs="Times New Roman"/>
          <w:color w:val="000000"/>
        </w:rPr>
        <w:t xml:space="preserve">En línea con lo anterior, una vez verificada la ausencia de requisitos y/o documentos de la oferta, para efectos de saber si se pueden subsanar, la entidad contratante debe preguntarse, en primer lugar, si lo que hace falta es un documento que afecte la asignación de puntaje o no y, en segundo lugar, si el cumplimiento del requisito constituye una circunstancia ocurrida con anterioridad o con posterioridad al cierre del proceso. </w:t>
      </w:r>
    </w:p>
    <w:p w14:paraId="25F04308" w14:textId="78E7394E" w:rsidR="001A3048" w:rsidRPr="00B10A68" w:rsidRDefault="001A3048" w:rsidP="001A3048">
      <w:pPr>
        <w:spacing w:after="120" w:line="276" w:lineRule="auto"/>
        <w:ind w:firstLine="708"/>
        <w:jc w:val="both"/>
        <w:rPr>
          <w:rFonts w:ascii="Verdana" w:eastAsia="Calibri" w:hAnsi="Verdana" w:cs="Times New Roman"/>
          <w:bCs/>
          <w:color w:val="000000"/>
          <w:lang w:val="es-ES"/>
        </w:rPr>
      </w:pPr>
      <w:r w:rsidRPr="00B10A68">
        <w:rPr>
          <w:rFonts w:ascii="Verdana" w:eastAsia="Calibri" w:hAnsi="Verdana" w:cs="Times New Roman"/>
          <w:bCs/>
          <w:color w:val="000000"/>
          <w:lang w:val="es-ES"/>
        </w:rPr>
        <w:t xml:space="preserve">En este punto, se concluye, </w:t>
      </w:r>
      <w:r w:rsidR="00863943">
        <w:rPr>
          <w:rFonts w:ascii="Verdana" w:eastAsia="Calibri" w:hAnsi="Verdana" w:cs="Times New Roman"/>
          <w:bCs/>
          <w:color w:val="000000"/>
          <w:lang w:val="es-ES"/>
        </w:rPr>
        <w:t>que la subsanación</w:t>
      </w:r>
      <w:r w:rsidRPr="00B10A68">
        <w:rPr>
          <w:rFonts w:ascii="Verdana" w:eastAsia="Calibri" w:hAnsi="Verdana" w:cs="Times New Roman"/>
          <w:bCs/>
          <w:color w:val="000000"/>
          <w:lang w:val="es-ES"/>
        </w:rPr>
        <w:t xml:space="preserve"> </w:t>
      </w:r>
      <w:r w:rsidR="00910593">
        <w:rPr>
          <w:rFonts w:ascii="Verdana" w:eastAsia="Calibri" w:hAnsi="Verdana" w:cs="Times New Roman"/>
          <w:bCs/>
          <w:color w:val="000000"/>
          <w:lang w:val="es-ES"/>
        </w:rPr>
        <w:t>es</w:t>
      </w:r>
      <w:r w:rsidRPr="00B10A68">
        <w:rPr>
          <w:rFonts w:ascii="Verdana" w:eastAsia="Calibri" w:hAnsi="Verdana" w:cs="Times New Roman"/>
          <w:bCs/>
          <w:color w:val="000000"/>
          <w:lang w:val="es-ES"/>
        </w:rPr>
        <w:t xml:space="preserve"> una institución que procura porque el oferente presente, dentro del plazo y bajo las condiciones dadas por la norma aplicable, los documentos que acrediten el cumplimiento de los requisitos exigidos como habilitantes para participar en el respectivo procedimiento de selección</w:t>
      </w:r>
      <w:r w:rsidR="00910593">
        <w:rPr>
          <w:rFonts w:ascii="Verdana" w:eastAsia="Calibri" w:hAnsi="Verdana" w:cs="Times New Roman"/>
          <w:bCs/>
          <w:color w:val="000000"/>
          <w:lang w:val="es-ES"/>
        </w:rPr>
        <w:t>.</w:t>
      </w:r>
    </w:p>
    <w:p w14:paraId="29619384" w14:textId="11AF328B" w:rsidR="001A3048" w:rsidRPr="00B10A68" w:rsidRDefault="001A3048" w:rsidP="001A3048">
      <w:pPr>
        <w:spacing w:after="120" w:line="276" w:lineRule="auto"/>
        <w:ind w:firstLine="607"/>
        <w:jc w:val="both"/>
        <w:rPr>
          <w:rFonts w:ascii="Verdana" w:eastAsia="Calibri" w:hAnsi="Verdana" w:cs="Times New Roman"/>
          <w:color w:val="000000"/>
        </w:rPr>
      </w:pPr>
      <w:r w:rsidRPr="00B10A68">
        <w:rPr>
          <w:rFonts w:ascii="Verdana" w:eastAsia="Calibri" w:hAnsi="Verdana" w:cs="Times New Roman"/>
          <w:color w:val="000000"/>
          <w:lang w:val="es-ES_tradnl"/>
        </w:rPr>
        <w:t xml:space="preserve">En ese contexto, la Entidad Estatal, podrá requerir al proponente para que haga la </w:t>
      </w:r>
      <w:r w:rsidR="00661969">
        <w:rPr>
          <w:rFonts w:ascii="Verdana" w:eastAsia="Calibri" w:hAnsi="Verdana" w:cs="Times New Roman"/>
          <w:color w:val="000000"/>
          <w:lang w:val="es-ES_tradnl"/>
        </w:rPr>
        <w:t>subsanación</w:t>
      </w:r>
      <w:r w:rsidRPr="00B10A68">
        <w:rPr>
          <w:rFonts w:ascii="Verdana" w:eastAsia="Calibri" w:hAnsi="Verdana" w:cs="Times New Roman"/>
          <w:color w:val="000000"/>
          <w:lang w:val="es-ES_tradnl"/>
        </w:rPr>
        <w:t xml:space="preserve"> correspondiente. De ahí que, habida consideración del principio de prevalencia de lo sustancial sobre lo formal, podrán </w:t>
      </w:r>
      <w:r w:rsidR="00661969">
        <w:rPr>
          <w:rFonts w:ascii="Verdana" w:eastAsia="Calibri" w:hAnsi="Verdana" w:cs="Times New Roman"/>
          <w:color w:val="000000"/>
          <w:lang w:val="es-ES_tradnl"/>
        </w:rPr>
        <w:t>subsanarse</w:t>
      </w:r>
      <w:r w:rsidRPr="00B10A68">
        <w:rPr>
          <w:rFonts w:ascii="Verdana" w:eastAsia="Calibri" w:hAnsi="Verdana" w:cs="Times New Roman"/>
          <w:color w:val="000000"/>
          <w:lang w:val="es-ES_tradnl"/>
        </w:rPr>
        <w:t xml:space="preserve"> aspectos puramente formales de las propuesta</w:t>
      </w:r>
      <w:r w:rsidR="00661969">
        <w:rPr>
          <w:rFonts w:ascii="Verdana" w:eastAsia="Calibri" w:hAnsi="Verdana" w:cs="Times New Roman"/>
          <w:color w:val="000000"/>
          <w:lang w:val="es-ES_tradnl"/>
        </w:rPr>
        <w:t>s.</w:t>
      </w:r>
    </w:p>
    <w:p w14:paraId="1F64E594" w14:textId="77777777" w:rsidR="001A3048" w:rsidRPr="00414192" w:rsidRDefault="001A3048" w:rsidP="00414192">
      <w:pPr>
        <w:spacing w:after="120" w:line="276" w:lineRule="auto"/>
        <w:ind w:firstLine="607"/>
        <w:jc w:val="both"/>
        <w:rPr>
          <w:rFonts w:ascii="Verdana" w:eastAsia="Calibri" w:hAnsi="Verdana" w:cs="Times New Roman"/>
          <w:color w:val="000000"/>
          <w:lang w:val="es-ES_tradnl"/>
        </w:rPr>
      </w:pPr>
      <w:r w:rsidRPr="00414192">
        <w:rPr>
          <w:rFonts w:ascii="Verdana" w:eastAsia="Calibri" w:hAnsi="Verdana" w:cs="Times New Roman"/>
          <w:color w:val="000000"/>
          <w:lang w:val="es-ES_tradnl"/>
        </w:rPr>
        <w:t>Por último, el rechazo de las ofertas y los eventos en los que proceden han sido asuntos de los que se ha ocupado la legislación nacional en materia de contratación pública, por lo que “la competencia de las entidades estales para establecer eventos de exclusión de propuestas es de carácter residual y restringido”</w:t>
      </w:r>
      <w:r w:rsidRPr="00414192">
        <w:rPr>
          <w:rFonts w:ascii="Verdana" w:eastAsia="Calibri" w:hAnsi="Verdana" w:cs="Times New Roman"/>
          <w:color w:val="000000"/>
          <w:vertAlign w:val="superscript"/>
          <w:lang w:val="es-ES_tradnl"/>
        </w:rPr>
        <w:footnoteReference w:id="14"/>
      </w:r>
      <w:r w:rsidRPr="00414192">
        <w:rPr>
          <w:rFonts w:ascii="Verdana" w:eastAsia="Calibri" w:hAnsi="Verdana" w:cs="Times New Roman"/>
          <w:color w:val="000000"/>
          <w:lang w:val="es-ES_tradnl"/>
        </w:rPr>
        <w:t>. En ese sentido, si bien las Entidades Estatales, en ejercicio de la discrecionalidad que les corresponde en la configuración de los pliegos de condiciones, tienen competencia para determinar los requisitos que deben cumplir los proponentes para la presentación de ofertas</w:t>
      </w:r>
      <w:r w:rsidRPr="00663C81">
        <w:rPr>
          <w:rFonts w:ascii="Verdana" w:eastAsia="Calibri" w:hAnsi="Verdana" w:cs="Times New Roman"/>
          <w:color w:val="000000"/>
          <w:vertAlign w:val="superscript"/>
          <w:lang w:val="es-ES_tradnl"/>
        </w:rPr>
        <w:footnoteReference w:id="15"/>
      </w:r>
      <w:r w:rsidRPr="00414192">
        <w:rPr>
          <w:rFonts w:ascii="Verdana" w:eastAsia="Calibri" w:hAnsi="Verdana" w:cs="Times New Roman"/>
          <w:color w:val="000000"/>
          <w:lang w:val="es-ES_tradnl"/>
        </w:rPr>
        <w:t xml:space="preserve"> y regular los eventos </w:t>
      </w:r>
      <w:r w:rsidRPr="00414192">
        <w:rPr>
          <w:rFonts w:ascii="Verdana" w:eastAsia="Calibri" w:hAnsi="Verdana" w:cs="Times New Roman"/>
          <w:color w:val="000000"/>
          <w:lang w:val="es-ES_tradnl"/>
        </w:rPr>
        <w:lastRenderedPageBreak/>
        <w:t>en los que procede su rechazo</w:t>
      </w:r>
      <w:r w:rsidRPr="00414192">
        <w:rPr>
          <w:rFonts w:ascii="Verdana" w:eastAsia="Calibri" w:hAnsi="Verdana" w:cs="Times New Roman"/>
          <w:color w:val="000000"/>
          <w:vertAlign w:val="superscript"/>
          <w:lang w:val="es-ES_tradnl"/>
        </w:rPr>
        <w:footnoteReference w:id="16"/>
      </w:r>
      <w:r w:rsidRPr="00414192">
        <w:rPr>
          <w:rFonts w:ascii="Verdana" w:eastAsia="Calibri" w:hAnsi="Verdana" w:cs="Times New Roman"/>
          <w:color w:val="000000"/>
          <w:lang w:val="es-ES_tradnl"/>
        </w:rPr>
        <w:t xml:space="preserve">, el ejercicio de tales facultades encuentra ciertos límites en la ley y el reglamento, así como en los principios de razonabilidad y proporcionalidad.  </w:t>
      </w:r>
    </w:p>
    <w:p w14:paraId="7CC82233" w14:textId="77777777" w:rsidR="001A3048" w:rsidRPr="00414192" w:rsidRDefault="001A3048" w:rsidP="00414192">
      <w:pPr>
        <w:spacing w:after="120" w:line="276" w:lineRule="auto"/>
        <w:ind w:firstLine="607"/>
        <w:jc w:val="both"/>
        <w:rPr>
          <w:rFonts w:ascii="Verdana" w:eastAsia="Calibri" w:hAnsi="Verdana" w:cs="Times New Roman"/>
          <w:color w:val="000000"/>
          <w:lang w:val="es-ES"/>
        </w:rPr>
      </w:pPr>
      <w:r w:rsidRPr="4BC0FA0B">
        <w:rPr>
          <w:rFonts w:ascii="Verdana" w:eastAsia="Calibri" w:hAnsi="Verdana" w:cs="Times New Roman"/>
          <w:color w:val="000000" w:themeColor="text1"/>
          <w:lang w:val="es-ES"/>
        </w:rPr>
        <w:t xml:space="preserve">En ese entendido, uno de los límites a la facultad para establecer causales de rechazo, se encuentra en la regla de </w:t>
      </w:r>
      <w:proofErr w:type="spellStart"/>
      <w:r w:rsidRPr="4BC0FA0B">
        <w:rPr>
          <w:rFonts w:ascii="Verdana" w:eastAsia="Calibri" w:hAnsi="Verdana" w:cs="Times New Roman"/>
          <w:color w:val="000000" w:themeColor="text1"/>
          <w:lang w:val="es-ES"/>
        </w:rPr>
        <w:t>subsanabilidad</w:t>
      </w:r>
      <w:proofErr w:type="spellEnd"/>
      <w:r w:rsidRPr="4BC0FA0B">
        <w:rPr>
          <w:rFonts w:ascii="Verdana" w:eastAsia="Calibri" w:hAnsi="Verdana" w:cs="Times New Roman"/>
          <w:color w:val="000000" w:themeColor="text1"/>
          <w:lang w:val="es-ES"/>
        </w:rPr>
        <w:t xml:space="preserve"> del parágrafo 1 del artículo 5 de la Ley 1150 de 2007, según la cual “La ausencia de requisitos o la falta de documentos referentes a la futura contratación o al proponente, no necesarios para la comparación de las propuestas no servirán de título suficiente para el rechazo de los ofrecimientos hechos”, por lo que las entidades no podrán establecer causales de rechazo referentes a meros requisitos formales o rechazar las ofertas por esa razón. </w:t>
      </w:r>
    </w:p>
    <w:p w14:paraId="24D4EAA7" w14:textId="77777777" w:rsidR="001A3048" w:rsidRPr="00414192" w:rsidRDefault="001A3048" w:rsidP="00414192">
      <w:pPr>
        <w:spacing w:after="120" w:line="276" w:lineRule="auto"/>
        <w:ind w:firstLine="607"/>
        <w:jc w:val="both"/>
        <w:rPr>
          <w:rFonts w:ascii="Verdana" w:eastAsia="Calibri" w:hAnsi="Verdana" w:cs="Times New Roman"/>
          <w:color w:val="000000"/>
          <w:lang w:val="es-ES_tradnl"/>
        </w:rPr>
      </w:pPr>
      <w:r w:rsidRPr="00414192">
        <w:rPr>
          <w:rFonts w:ascii="Verdana" w:eastAsia="Calibri" w:hAnsi="Verdana" w:cs="Times New Roman"/>
          <w:color w:val="000000"/>
          <w:lang w:val="es-ES_tradnl"/>
        </w:rPr>
        <w:t>De esta manera, la jurisprudencia del Consejo de Estado ha determinado que las causales de rechazo pueden o no estar establecidas en el pliego de condiciones, sin perjuicio de que sean aplicables al proceso contractual las establecidas directamente en la ley. Así se estableció en la sentencia del 27 de abril de 2011, en los siguientes términos:</w:t>
      </w:r>
    </w:p>
    <w:p w14:paraId="173AC058" w14:textId="77777777" w:rsidR="001A3048" w:rsidRPr="00B10A68" w:rsidRDefault="001A3048" w:rsidP="001A3048">
      <w:pPr>
        <w:widowControl w:val="0"/>
        <w:spacing w:after="0" w:line="254" w:lineRule="auto"/>
        <w:ind w:firstLine="708"/>
        <w:jc w:val="both"/>
        <w:rPr>
          <w:rFonts w:ascii="Verdana" w:eastAsia="Arial" w:hAnsi="Verdana" w:cs="Arial"/>
        </w:rPr>
      </w:pPr>
    </w:p>
    <w:p w14:paraId="43F1A1DF" w14:textId="77777777" w:rsidR="001A3048" w:rsidRPr="006A332C" w:rsidRDefault="001A3048" w:rsidP="001A3048">
      <w:pPr>
        <w:widowControl w:val="0"/>
        <w:spacing w:after="0" w:line="240" w:lineRule="auto"/>
        <w:ind w:left="709" w:right="709"/>
        <w:jc w:val="both"/>
        <w:rPr>
          <w:rFonts w:ascii="Verdana" w:eastAsia="Arial" w:hAnsi="Verdana" w:cs="Arial"/>
          <w:sz w:val="20"/>
          <w:szCs w:val="20"/>
        </w:rPr>
      </w:pPr>
      <w:r w:rsidRPr="006A332C">
        <w:rPr>
          <w:rFonts w:ascii="Verdana" w:eastAsia="Arial" w:hAnsi="Verdana" w:cs="Arial"/>
          <w:sz w:val="20"/>
          <w:szCs w:val="20"/>
        </w:rPr>
        <w:t>“En efecto, la Administración puede rechazar o descalificar los ofrecimientos hechos por causales previstas en la ley; hipótesis bajo la cual, la entidad pública licitante se limita a dar por comprobado el hecho que justifica la exclusión y así lo declarará apoyada en normas legales o reglamentarias de carácter general.</w:t>
      </w:r>
    </w:p>
    <w:p w14:paraId="27DBC0CE" w14:textId="77777777" w:rsidR="001A3048" w:rsidRPr="006A332C" w:rsidRDefault="001A3048" w:rsidP="001A3048">
      <w:pPr>
        <w:widowControl w:val="0"/>
        <w:spacing w:after="0" w:line="240" w:lineRule="auto"/>
        <w:ind w:left="709" w:right="709"/>
        <w:jc w:val="both"/>
        <w:rPr>
          <w:rFonts w:ascii="Verdana" w:eastAsia="Arial" w:hAnsi="Verdana" w:cs="Arial"/>
          <w:sz w:val="20"/>
          <w:szCs w:val="20"/>
        </w:rPr>
      </w:pPr>
      <w:r w:rsidRPr="006A332C">
        <w:rPr>
          <w:rFonts w:ascii="Verdana" w:eastAsia="Arial" w:hAnsi="Verdana" w:cs="Arial"/>
          <w:sz w:val="20"/>
          <w:szCs w:val="20"/>
        </w:rPr>
        <w:t xml:space="preserve">En esta línea de pensamiento, resulta claro que el rechazo o la descalificación de ofertas no puede depender de la libre discrecionalidad de la Administración, en la medida en que el oferente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o deriven del incumplimiento de requisitos de la propuesta o de la omisión de documentos referentes a la futura contratación que sean necesarios para la comparación de las propuestas, de conformidad con lo establecido en el numeral 15 del </w:t>
      </w:r>
      <w:r w:rsidRPr="006A332C">
        <w:rPr>
          <w:rFonts w:ascii="Verdana" w:eastAsia="Arial" w:hAnsi="Verdana" w:cs="Arial"/>
          <w:sz w:val="20"/>
          <w:szCs w:val="20"/>
        </w:rPr>
        <w:lastRenderedPageBreak/>
        <w:t>artículo 25 de la Ley 80 de 1993, puesto que la causa excluyente debe ser razonable, esencial y proporcionada, toda vez que no tendría justificación excluir una propuesta por una deficiencia que no tenga incidencia alguna en la contratación.</w:t>
      </w:r>
    </w:p>
    <w:p w14:paraId="34805BAE" w14:textId="77777777" w:rsidR="001A3048" w:rsidRPr="006A332C" w:rsidRDefault="001A3048" w:rsidP="001A3048">
      <w:pPr>
        <w:widowControl w:val="0"/>
        <w:spacing w:after="0" w:line="240" w:lineRule="auto"/>
        <w:ind w:left="709" w:right="709"/>
        <w:jc w:val="both"/>
        <w:rPr>
          <w:rFonts w:ascii="Verdana" w:eastAsia="Arial" w:hAnsi="Verdana" w:cs="Arial"/>
          <w:sz w:val="20"/>
          <w:szCs w:val="20"/>
        </w:rPr>
      </w:pPr>
      <w:r w:rsidRPr="006A332C">
        <w:rPr>
          <w:rFonts w:ascii="Verdana" w:eastAsia="Arial" w:hAnsi="Verdana" w:cs="Arial"/>
          <w:sz w:val="20"/>
          <w:szCs w:val="20"/>
        </w:rPr>
        <w:t>[…]</w:t>
      </w:r>
    </w:p>
    <w:p w14:paraId="3B49E892" w14:textId="77777777" w:rsidR="001A3048" w:rsidRPr="006A332C" w:rsidRDefault="001A3048" w:rsidP="001A3048">
      <w:pPr>
        <w:widowControl w:val="0"/>
        <w:spacing w:after="0" w:line="240" w:lineRule="auto"/>
        <w:ind w:left="709" w:right="709"/>
        <w:jc w:val="both"/>
        <w:rPr>
          <w:rFonts w:ascii="Verdana" w:eastAsia="Arial" w:hAnsi="Verdana" w:cs="Arial"/>
          <w:sz w:val="20"/>
          <w:szCs w:val="20"/>
        </w:rPr>
      </w:pPr>
      <w:r w:rsidRPr="006A332C">
        <w:rPr>
          <w:rFonts w:ascii="Verdana" w:eastAsia="Arial" w:hAnsi="Verdana" w:cs="Arial"/>
          <w:sz w:val="20"/>
          <w:szCs w:val="20"/>
        </w:rPr>
        <w:t xml:space="preserve">Quiere con esto destacar la Sala que las causales de rechazo de las propuestas pueden ser legales y por lo mismo generan el efecto del descarte o exclusión de la oferta </w:t>
      </w:r>
      <w:proofErr w:type="spellStart"/>
      <w:r w:rsidRPr="006A332C">
        <w:rPr>
          <w:rFonts w:ascii="Verdana" w:eastAsia="Arial" w:hAnsi="Verdana" w:cs="Arial"/>
          <w:i/>
          <w:sz w:val="20"/>
          <w:szCs w:val="20"/>
        </w:rPr>
        <w:t>ope</w:t>
      </w:r>
      <w:proofErr w:type="spellEnd"/>
      <w:r w:rsidRPr="006A332C">
        <w:rPr>
          <w:rFonts w:ascii="Verdana" w:eastAsia="Arial" w:hAnsi="Verdana" w:cs="Arial"/>
          <w:i/>
          <w:sz w:val="20"/>
          <w:szCs w:val="20"/>
        </w:rPr>
        <w:t xml:space="preserve"> </w:t>
      </w:r>
      <w:proofErr w:type="spellStart"/>
      <w:r w:rsidRPr="006A332C">
        <w:rPr>
          <w:rFonts w:ascii="Verdana" w:eastAsia="Arial" w:hAnsi="Verdana" w:cs="Arial"/>
          <w:i/>
          <w:sz w:val="20"/>
          <w:szCs w:val="20"/>
        </w:rPr>
        <w:t>legis</w:t>
      </w:r>
      <w:proofErr w:type="spellEnd"/>
      <w:r w:rsidRPr="006A332C">
        <w:rPr>
          <w:rFonts w:ascii="Verdana" w:eastAsia="Arial" w:hAnsi="Verdana" w:cs="Arial"/>
          <w:sz w:val="20"/>
          <w:szCs w:val="20"/>
        </w:rPr>
        <w:t>, sin necesidad de que se haga referencia a las mismas en el pliego de condiciones; o también pueden las causales de rechazo de las propuestas ser establecidas expresamente por la entidad en el respectivo pliego de condiciones. Lo cierto es que, sea que las causales de 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principios de transparencia, economía y responsabilidad, así como  el deber de selección objetiva en la contratación</w:t>
      </w:r>
      <w:r w:rsidRPr="006A332C">
        <w:rPr>
          <w:rFonts w:ascii="Verdana" w:eastAsia="Arial" w:hAnsi="Verdana" w:cs="Arial"/>
          <w:sz w:val="20"/>
          <w:szCs w:val="20"/>
          <w:vertAlign w:val="superscript"/>
        </w:rPr>
        <w:footnoteReference w:id="17"/>
      </w:r>
      <w:r w:rsidRPr="006A332C">
        <w:rPr>
          <w:rFonts w:ascii="Verdana" w:eastAsia="Arial" w:hAnsi="Verdana" w:cs="Arial"/>
          <w:sz w:val="20"/>
          <w:szCs w:val="20"/>
        </w:rPr>
        <w:t>”.</w:t>
      </w:r>
    </w:p>
    <w:p w14:paraId="1D6BF206" w14:textId="77777777" w:rsidR="001A3048" w:rsidRPr="00B10A68" w:rsidRDefault="001A3048" w:rsidP="001A3048">
      <w:pPr>
        <w:widowControl w:val="0"/>
        <w:spacing w:after="0" w:line="240" w:lineRule="auto"/>
        <w:ind w:left="709" w:right="709"/>
        <w:jc w:val="both"/>
        <w:rPr>
          <w:rFonts w:ascii="Verdana" w:eastAsia="Arial" w:hAnsi="Verdana" w:cs="Arial"/>
          <w:sz w:val="21"/>
          <w:szCs w:val="21"/>
        </w:rPr>
      </w:pPr>
    </w:p>
    <w:p w14:paraId="26A7BFE1" w14:textId="0C05DC2C" w:rsidR="00565B71" w:rsidRPr="00B10A68" w:rsidRDefault="00565B71" w:rsidP="001A3048">
      <w:pPr>
        <w:widowControl w:val="0"/>
        <w:spacing w:after="120" w:line="254" w:lineRule="auto"/>
        <w:ind w:firstLine="708"/>
        <w:jc w:val="both"/>
        <w:rPr>
          <w:rFonts w:ascii="Verdana" w:eastAsia="Arial" w:hAnsi="Verdana" w:cs="Arial"/>
        </w:rPr>
      </w:pPr>
      <w:r w:rsidRPr="00B10A68">
        <w:rPr>
          <w:rFonts w:ascii="Verdana" w:eastAsia="Arial" w:hAnsi="Verdana" w:cs="Arial"/>
        </w:rPr>
        <w:t>En tales términos, la facultad de las Entidades Estatales para incluir en los pliegos de condiciones causales de rechaz</w:t>
      </w:r>
      <w:r w:rsidR="00C741CF">
        <w:rPr>
          <w:rFonts w:ascii="Verdana" w:eastAsia="Arial" w:hAnsi="Verdana" w:cs="Arial"/>
        </w:rPr>
        <w:t>o</w:t>
      </w:r>
      <w:r w:rsidRPr="00B10A68">
        <w:rPr>
          <w:rFonts w:ascii="Verdana" w:eastAsia="Arial" w:hAnsi="Verdana" w:cs="Arial"/>
        </w:rPr>
        <w:t>, no es una facultad absoluta, en la medida que se encuentra limitada por lo dispuesto en ley, al igual que por los principios de razonabilidad y proporcionalidad, los cuales exigen que las causales de rechazo que sean establecidas por la entidad, además de no contrariar el ordenamiento jurídico, no versen sobre aspectos meramente formales sin relevancia para el transcurso del proceso de selección o el perfeccionamiento del contrato.</w:t>
      </w:r>
    </w:p>
    <w:p w14:paraId="569051AF" w14:textId="396C27D4" w:rsidR="00AF6D5E" w:rsidRPr="00AB619C" w:rsidRDefault="00AF6D5E" w:rsidP="00936F20">
      <w:pPr>
        <w:spacing w:before="240" w:after="120" w:line="276" w:lineRule="auto"/>
        <w:ind w:firstLine="708"/>
        <w:jc w:val="both"/>
        <w:rPr>
          <w:rFonts w:ascii="Verdana" w:eastAsia="Calibri" w:hAnsi="Verdana" w:cs="Arial"/>
          <w:color w:val="000000" w:themeColor="text1"/>
          <w:lang w:val="es-ES"/>
        </w:rPr>
      </w:pPr>
      <w:r w:rsidRPr="00AB619C">
        <w:rPr>
          <w:rFonts w:ascii="Verdana" w:eastAsia="Calibri" w:hAnsi="Verdana" w:cs="Arial"/>
          <w:color w:val="000000" w:themeColor="text1"/>
          <w:lang w:val="es-ES"/>
        </w:rPr>
        <w:t>Al margen de la explicación precedente debe advertirse que el análisis requerido</w:t>
      </w:r>
      <w:r w:rsidRPr="001305F6">
        <w:rPr>
          <w:rFonts w:ascii="Verdana" w:eastAsia="Calibri" w:hAnsi="Verdana" w:cs="Arial"/>
          <w:bCs/>
          <w:color w:val="000000" w:themeColor="text1"/>
        </w:rPr>
        <w:t xml:space="preserve"> para resolver problemas específicos en torno a la gestión contractual debe ser realizado por quienes tengan interés</w:t>
      </w:r>
      <w:r w:rsidRPr="001305F6">
        <w:rPr>
          <w:rStyle w:val="s15"/>
          <w:rFonts w:ascii="Verdana" w:hAnsi="Verdana"/>
          <w:color w:val="000000"/>
        </w:rPr>
        <w:t xml:space="preserve"> en ello, de acuerdo con lo explicado la aclaración preliminar del presente oficio</w:t>
      </w:r>
      <w:r w:rsidRPr="001305F6">
        <w:rPr>
          <w:rFonts w:ascii="Verdana" w:eastAsia="Calibri" w:hAnsi="Verdana" w:cs="Arial"/>
          <w:bCs/>
          <w:color w:val="000000" w:themeColor="text1"/>
        </w:rPr>
        <w:t>. De</w:t>
      </w:r>
      <w:r w:rsidRPr="00E853DE">
        <w:rPr>
          <w:rFonts w:ascii="Verdana" w:eastAsia="Calibri" w:hAnsi="Verdana" w:cs="Arial"/>
          <w:bCs/>
          <w:color w:val="000000" w:themeColor="text1"/>
        </w:rPr>
        <w:t xml:space="preserv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w:t>
      </w:r>
      <w:r w:rsidRPr="00AB619C">
        <w:rPr>
          <w:rFonts w:ascii="Verdana" w:eastAsia="Calibri" w:hAnsi="Verdana" w:cs="Arial"/>
          <w:color w:val="000000" w:themeColor="text1"/>
          <w:lang w:val="es-ES"/>
        </w:rPr>
        <w:t>disciplinarias.</w:t>
      </w:r>
    </w:p>
    <w:p w14:paraId="799A87AE" w14:textId="77777777" w:rsidR="00AF6D5E" w:rsidRDefault="00AF6D5E" w:rsidP="00AF6D5E">
      <w:pPr>
        <w:spacing w:after="120" w:line="276" w:lineRule="auto"/>
        <w:ind w:firstLine="708"/>
        <w:jc w:val="both"/>
        <w:rPr>
          <w:rFonts w:ascii="Verdana" w:eastAsia="Calibri" w:hAnsi="Verdana" w:cs="Arial"/>
          <w:bCs/>
          <w:color w:val="000000" w:themeColor="text1"/>
        </w:rPr>
      </w:pPr>
      <w:r w:rsidRPr="00AB619C">
        <w:rPr>
          <w:rFonts w:ascii="Verdana" w:eastAsia="Calibri" w:hAnsi="Verdana" w:cs="Arial"/>
          <w:color w:val="000000" w:themeColor="text1"/>
          <w:lang w:val="es-ES"/>
        </w:rPr>
        <w:lastRenderedPageBreak/>
        <w:t>Dentro de este marco, la entidad contratante definirá en cada caso concreto lo relacionado con el tema objeto de consulta. Al tratarse de un análisis que debe</w:t>
      </w:r>
      <w:r w:rsidRPr="00E853DE">
        <w:rPr>
          <w:rFonts w:ascii="Verdana" w:eastAsia="Calibri" w:hAnsi="Verdana" w:cs="Arial"/>
          <w:bCs/>
          <w:color w:val="000000" w:themeColor="text1"/>
        </w:rPr>
        <w:t xml:space="preserv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r>
        <w:rPr>
          <w:rStyle w:val="s15"/>
          <w:rFonts w:ascii="Verdana" w:hAnsi="Verdana"/>
          <w:color w:val="000000"/>
        </w:rPr>
        <w:t>Esto significa que</w:t>
      </w:r>
      <w:r w:rsidRPr="00925D18">
        <w:rPr>
          <w:rStyle w:val="s15"/>
          <w:rFonts w:ascii="Verdana" w:hAnsi="Verdana"/>
          <w:color w:val="000000"/>
        </w:rPr>
        <w:t>,</w:t>
      </w:r>
      <w:r>
        <w:rPr>
          <w:rFonts w:ascii="Verdana" w:eastAsia="Calibri" w:hAnsi="Verdana" w:cs="Arial"/>
          <w:bCs/>
          <w:color w:val="000000" w:themeColor="text1"/>
        </w:rPr>
        <w:t xml:space="preserve"> fuera de la orientación del presente oficio, la ANCP – CCE carece de atribuciones normativas para desarrollar las actuaciones contractuales objeto de la solicitud</w:t>
      </w:r>
      <w:r>
        <w:rPr>
          <w:rStyle w:val="Refdenotaalpie"/>
          <w:rFonts w:ascii="Verdana" w:eastAsia="Calibri" w:hAnsi="Verdana" w:cs="Arial"/>
          <w:bCs/>
          <w:color w:val="000000" w:themeColor="text1"/>
        </w:rPr>
        <w:footnoteReference w:id="18"/>
      </w:r>
      <w:r>
        <w:rPr>
          <w:rFonts w:ascii="Verdana" w:eastAsia="Calibri" w:hAnsi="Verdana" w:cs="Arial"/>
          <w:bCs/>
          <w:color w:val="000000" w:themeColor="text1"/>
        </w:rPr>
        <w:t xml:space="preserve">. </w:t>
      </w:r>
    </w:p>
    <w:p w14:paraId="385407A3" w14:textId="77777777" w:rsidR="00AF6D5E" w:rsidRPr="00A77871" w:rsidRDefault="00AF6D5E" w:rsidP="00AF6D5E">
      <w:pPr>
        <w:numPr>
          <w:ilvl w:val="0"/>
          <w:numId w:val="16"/>
        </w:numPr>
        <w:tabs>
          <w:tab w:val="left" w:pos="142"/>
          <w:tab w:val="left" w:pos="284"/>
        </w:tabs>
        <w:spacing w:before="240" w:after="0" w:line="276" w:lineRule="auto"/>
        <w:jc w:val="both"/>
        <w:rPr>
          <w:rFonts w:ascii="Verdana" w:eastAsia="Century Gothic" w:hAnsi="Verdana" w:cs="Century Gothic"/>
          <w:b/>
          <w:bCs/>
        </w:rPr>
      </w:pPr>
      <w:r w:rsidRPr="00A77871">
        <w:rPr>
          <w:rFonts w:ascii="Verdana" w:eastAsia="Century Gothic" w:hAnsi="Verdana" w:cs="Century Gothic"/>
          <w:b/>
          <w:bCs/>
        </w:rPr>
        <w:t>Referencias normativas y jurisprudenciales:</w:t>
      </w:r>
    </w:p>
    <w:p w14:paraId="0AB5C193" w14:textId="77777777" w:rsidR="00AF6D5E" w:rsidRPr="00A77871" w:rsidRDefault="00AF6D5E" w:rsidP="00AF6D5E">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F6D5E" w:rsidRPr="00A77871" w14:paraId="55D4C574" w14:textId="77777777" w:rsidTr="000000EA">
        <w:trPr>
          <w:trHeight w:val="410"/>
          <w:jc w:val="center"/>
        </w:trPr>
        <w:tc>
          <w:tcPr>
            <w:tcW w:w="8647" w:type="dxa"/>
          </w:tcPr>
          <w:p w14:paraId="44B44849"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t>Ley 80 de 1993. Artículo 24</w:t>
            </w:r>
          </w:p>
          <w:p w14:paraId="5345F4C1"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t>Ley 1150 de 2007, artículos 2, 5 </w:t>
            </w:r>
          </w:p>
          <w:p w14:paraId="3DCB80F5"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t>Decreto 1082 de 2015.  Artículo 2.2.1.2.1.2.20, 2.2.1.1.2.1.3.</w:t>
            </w:r>
          </w:p>
          <w:p w14:paraId="431EFF9C"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p>
          <w:p w14:paraId="1740DDE3"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t>  CONSEJO DE ESTADO, Sección Tercera, Subsección C. Sentencia del 26 de febrero de 2011. C.P. Jaime Orlando Santofimio. Rad. 36.408.</w:t>
            </w:r>
          </w:p>
          <w:p w14:paraId="2E8D1B9E"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t>CONSEJO DE ESTADO. Sección Tercera Subsección B. Sentencia del 27 de abril de 2011. Expediente No. 18.293. C.P. Ponente: Ruth Stella Correa Palacio.</w:t>
            </w:r>
          </w:p>
          <w:p w14:paraId="7669412E"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t>CONSEJO DE ESTADO, Sección Tercera, Subsección C. Sentencia del 26 de febrero de 2014. C.P. Enrique Gil Botero. Rad. 25.804.</w:t>
            </w:r>
          </w:p>
          <w:p w14:paraId="3EF6782C" w14:textId="77777777" w:rsidR="005F7BD9"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t xml:space="preserve"> CONSEJO DE ESTADO. Sección Tercera. Subsección A. Sentencia del 23 de julio de 2015. </w:t>
            </w:r>
            <w:proofErr w:type="spellStart"/>
            <w:r w:rsidRPr="005F7BD9">
              <w:rPr>
                <w:rFonts w:ascii="Verdana" w:eastAsia="Calibri" w:hAnsi="Verdana"/>
                <w:lang w:val="es-CO"/>
              </w:rPr>
              <w:t>Exp</w:t>
            </w:r>
            <w:proofErr w:type="spellEnd"/>
            <w:r w:rsidRPr="005F7BD9">
              <w:rPr>
                <w:rFonts w:ascii="Verdana" w:eastAsia="Calibri" w:hAnsi="Verdana"/>
                <w:lang w:val="es-CO"/>
              </w:rPr>
              <w:t>. 36.805. C. P. Hernán Andrade Rincón</w:t>
            </w:r>
          </w:p>
          <w:p w14:paraId="2DA96001" w14:textId="0F856AC1" w:rsidR="00AF6D5E" w:rsidRPr="005F7BD9" w:rsidRDefault="005F7BD9" w:rsidP="005F7BD9">
            <w:pPr>
              <w:pStyle w:val="Prrafodelista"/>
              <w:widowControl w:val="0"/>
              <w:numPr>
                <w:ilvl w:val="0"/>
                <w:numId w:val="17"/>
              </w:numPr>
              <w:autoSpaceDE w:val="0"/>
              <w:autoSpaceDN w:val="0"/>
              <w:spacing w:after="120" w:line="276" w:lineRule="auto"/>
              <w:rPr>
                <w:rFonts w:ascii="Verdana" w:eastAsia="Calibri" w:hAnsi="Verdana"/>
                <w:lang w:val="es-CO"/>
              </w:rPr>
            </w:pPr>
            <w:r w:rsidRPr="005F7BD9">
              <w:rPr>
                <w:rFonts w:ascii="Verdana" w:eastAsia="Calibri" w:hAnsi="Verdana"/>
                <w:lang w:val="es-CO"/>
              </w:rPr>
              <w:lastRenderedPageBreak/>
              <w:t>RODRÍGUEZ TAMAYO, Mauricio Fernando. Evaluación y rechazo de ofertas en la Ley 80 de 1993. Medellín: Librería Jurídica Sánchez, 2016. p. 190.</w:t>
            </w:r>
          </w:p>
        </w:tc>
      </w:tr>
    </w:tbl>
    <w:p w14:paraId="5EA7CABB" w14:textId="77777777" w:rsidR="00AF6D5E" w:rsidRPr="00A77871" w:rsidRDefault="00AF6D5E" w:rsidP="00AF6D5E">
      <w:pPr>
        <w:widowControl w:val="0"/>
        <w:numPr>
          <w:ilvl w:val="0"/>
          <w:numId w:val="16"/>
        </w:numPr>
        <w:tabs>
          <w:tab w:val="left" w:pos="142"/>
          <w:tab w:val="left" w:pos="284"/>
        </w:tabs>
        <w:autoSpaceDE w:val="0"/>
        <w:autoSpaceDN w:val="0"/>
        <w:spacing w:before="240" w:line="276" w:lineRule="auto"/>
        <w:jc w:val="both"/>
        <w:rPr>
          <w:rFonts w:ascii="Verdana" w:eastAsia="Calibri" w:hAnsi="Verdana" w:cs="Arial"/>
          <w:color w:val="000000"/>
          <w:kern w:val="2"/>
          <w:shd w:val="clear" w:color="auto" w:fill="FFFFFF"/>
          <w14:ligatures w14:val="standardContextual"/>
        </w:rPr>
      </w:pPr>
      <w:r w:rsidRPr="00A77871">
        <w:rPr>
          <w:rFonts w:ascii="Verdana" w:eastAsia="Century Gothic" w:hAnsi="Verdana" w:cs="Century Gothic"/>
          <w:b/>
          <w:bCs/>
        </w:rPr>
        <w:lastRenderedPageBreak/>
        <w:t>Doctrina de la Agencia Nacional de Contratación Pública:</w:t>
      </w:r>
    </w:p>
    <w:p w14:paraId="66194EBC" w14:textId="20B91A1D" w:rsidR="00AF6D5E" w:rsidRPr="004014AA" w:rsidRDefault="00AF6D5E" w:rsidP="00AF6D5E">
      <w:pPr>
        <w:spacing w:after="0" w:line="276" w:lineRule="auto"/>
        <w:jc w:val="both"/>
        <w:rPr>
          <w:rFonts w:ascii="Verdana" w:hAnsi="Verdana" w:cs="Arial"/>
          <w:shd w:val="clear" w:color="auto" w:fill="FFFFFF"/>
        </w:rPr>
      </w:pPr>
      <w:r w:rsidRPr="004014AA">
        <w:rPr>
          <w:rFonts w:ascii="Verdana" w:eastAsia="Calibri" w:hAnsi="Verdana" w:cs="Arial"/>
        </w:rPr>
        <w:t xml:space="preserve">La Agencia Nacional de Contratación Pública – Colombia Compra Eficiente se ha referido </w:t>
      </w:r>
      <w:r w:rsidRPr="004014AA">
        <w:rPr>
          <w:rFonts w:ascii="Verdana" w:hAnsi="Verdana" w:cs="Arial"/>
          <w:shd w:val="clear" w:color="auto" w:fill="FFFFFF"/>
        </w:rPr>
        <w:t>sobre</w:t>
      </w:r>
      <w:r>
        <w:rPr>
          <w:rFonts w:ascii="Verdana" w:hAnsi="Verdana" w:cs="Arial"/>
          <w:shd w:val="clear" w:color="auto" w:fill="FFFFFF"/>
        </w:rPr>
        <w:t xml:space="preserve"> asuntos de similar </w:t>
      </w:r>
      <w:r w:rsidR="009B7016">
        <w:rPr>
          <w:rFonts w:ascii="Verdana" w:hAnsi="Verdana" w:cs="Arial"/>
          <w:shd w:val="clear" w:color="auto" w:fill="FFFFFF"/>
        </w:rPr>
        <w:t xml:space="preserve">naturaleza </w:t>
      </w:r>
      <w:r w:rsidR="009B7016" w:rsidRPr="004014AA">
        <w:rPr>
          <w:rFonts w:ascii="Verdana" w:hAnsi="Verdana" w:cs="Arial"/>
          <w:shd w:val="clear" w:color="auto" w:fill="FFFFFF"/>
        </w:rPr>
        <w:t>en</w:t>
      </w:r>
      <w:r>
        <w:rPr>
          <w:rFonts w:ascii="Verdana" w:hAnsi="Verdana" w:cs="Arial"/>
          <w:shd w:val="clear" w:color="auto" w:fill="FFFFFF"/>
        </w:rPr>
        <w:t xml:space="preserve"> los </w:t>
      </w:r>
      <w:r w:rsidRPr="0649344F">
        <w:rPr>
          <w:rFonts w:ascii="Verdana" w:eastAsia="Times New Roman" w:hAnsi="Verdana" w:cs="Arial"/>
          <w:color w:val="000000" w:themeColor="text1"/>
          <w:lang w:val="es-ES"/>
        </w:rPr>
        <w:t>Conceptos</w:t>
      </w:r>
      <w:r w:rsidR="009B7016">
        <w:rPr>
          <w:rFonts w:ascii="Verdana" w:eastAsia="Times New Roman" w:hAnsi="Verdana" w:cs="Arial"/>
          <w:color w:val="000000" w:themeColor="text1"/>
          <w:lang w:val="es-ES"/>
        </w:rPr>
        <w:t xml:space="preserve"> </w:t>
      </w:r>
      <w:r w:rsidR="009B7016" w:rsidRPr="00B01546">
        <w:rPr>
          <w:rFonts w:ascii="Verdana" w:eastAsia="Calibri" w:hAnsi="Verdana" w:cs="Arial"/>
          <w:lang w:val="es-ES_tradnl" w:eastAsia="es-MX"/>
        </w:rPr>
        <w:t xml:space="preserve">2201913000009634 de 2019, C-139 de 2020, C- 767 del 07 de enero de 2021, </w:t>
      </w:r>
      <w:r w:rsidR="0068287A">
        <w:rPr>
          <w:rStyle w:val="normaltextrun"/>
          <w:rFonts w:ascii="Verdana" w:hAnsi="Verdana" w:cs="Arial"/>
          <w:shd w:val="clear" w:color="auto" w:fill="FFFFFF"/>
        </w:rPr>
        <w:t xml:space="preserve">C-363 del 3 de junio de 2022, </w:t>
      </w:r>
      <w:r w:rsidR="009B7016" w:rsidRPr="00B01546">
        <w:rPr>
          <w:rFonts w:ascii="Verdana" w:eastAsia="Calibri" w:hAnsi="Verdana" w:cs="Arial"/>
          <w:lang w:val="es-ES_tradnl" w:eastAsia="es-MX"/>
        </w:rPr>
        <w:t>C-425 del 06 de julio de 2022, C-095 del 04 de mayo de 2024 y C-616 de 2024</w:t>
      </w:r>
      <w:r w:rsidRPr="0649344F">
        <w:rPr>
          <w:rFonts w:ascii="Verdana" w:eastAsia="Times New Roman" w:hAnsi="Verdana" w:cs="Arial"/>
          <w:color w:val="000000" w:themeColor="text1"/>
          <w:lang w:val="es-ES"/>
        </w:rPr>
        <w:t xml:space="preserve"> </w:t>
      </w:r>
      <w:r>
        <w:rPr>
          <w:rFonts w:ascii="Verdana" w:hAnsi="Verdana" w:cs="Arial"/>
          <w:shd w:val="clear" w:color="auto" w:fill="FFFFFF"/>
        </w:rPr>
        <w:t xml:space="preserve">entre otros. </w:t>
      </w:r>
      <w:r w:rsidRPr="004014AA">
        <w:rPr>
          <w:rFonts w:ascii="Verdana" w:hAnsi="Verdana" w:cs="Arial"/>
          <w:shd w:val="clear" w:color="auto" w:fill="FFFFFF"/>
        </w:rPr>
        <w:t>Estos</w:t>
      </w:r>
      <w:r w:rsidRPr="004014AA">
        <w:rPr>
          <w:rFonts w:ascii="Verdana" w:hAnsi="Verdana"/>
        </w:rPr>
        <w:t xml:space="preserve"> y otros se encuentran disponibles para consulta en el Sistema de relatoría de la Agencia, al cual se puede acceder a través del siguiente enlace:</w:t>
      </w:r>
      <w:r w:rsidRPr="00102547">
        <w:rPr>
          <w:rFonts w:ascii="Verdana" w:hAnsi="Verdana" w:cs="Arial"/>
          <w:shd w:val="clear" w:color="auto" w:fill="FFFFFF"/>
        </w:rPr>
        <w:t xml:space="preserve"> </w:t>
      </w:r>
      <w:hyperlink r:id="rId12" w:history="1">
        <w:r w:rsidRPr="004214CE">
          <w:rPr>
            <w:rStyle w:val="Hipervnculo"/>
            <w:rFonts w:ascii="Verdana" w:hAnsi="Verdana" w:cs="Arial"/>
            <w:shd w:val="clear" w:color="auto" w:fill="FFFFFF"/>
          </w:rPr>
          <w:t>https://relatoria.colombiacompra.gov.co/busqueda/conceptos</w:t>
        </w:r>
      </w:hyperlink>
      <w:r w:rsidRPr="001973DD">
        <w:rPr>
          <w:rFonts w:ascii="Verdana" w:hAnsi="Verdana"/>
        </w:rPr>
        <w:t>.   </w:t>
      </w:r>
    </w:p>
    <w:p w14:paraId="73EE643A" w14:textId="77777777" w:rsidR="00AF6D5E" w:rsidRPr="008725C9" w:rsidRDefault="00AF6D5E" w:rsidP="00AF6D5E">
      <w:pPr>
        <w:spacing w:before="240" w:line="276" w:lineRule="auto"/>
        <w:jc w:val="both"/>
        <w:rPr>
          <w:rFonts w:ascii="Verdana" w:hAnsi="Verdana"/>
        </w:rPr>
      </w:pPr>
      <w:r w:rsidRPr="008725C9">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8725C9">
        <w:rPr>
          <w:rFonts w:ascii="Verdana" w:hAnsi="Verdana"/>
          <w:b/>
          <w:bCs/>
        </w:rPr>
        <w:t>Guía para la Exigencia y Constitución de Garantías en los Procesos de Contratación</w:t>
      </w:r>
      <w:r w:rsidRPr="008725C9">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Dirección URL original: https://www.colombiacompra.gov.co/archivos/manual/guia-de-garantias-en-procesos-de-contratacion. Haga clic o pulse si confía en este vínculo." w:history="1">
        <w:r w:rsidRPr="008725C9">
          <w:rPr>
            <w:rStyle w:val="Hipervnculo"/>
            <w:rFonts w:ascii="Verdana" w:hAnsi="Verdana"/>
          </w:rPr>
          <w:t>https://www.colombiacompra.gov.co/archivos/manual/guia-de-garantias-en-procesos-de-contratacion</w:t>
        </w:r>
      </w:hyperlink>
    </w:p>
    <w:p w14:paraId="1B87EE6C" w14:textId="77777777" w:rsidR="00AF6D5E" w:rsidRPr="008725C9" w:rsidRDefault="00AF6D5E" w:rsidP="00AF6D5E">
      <w:pPr>
        <w:spacing w:line="276" w:lineRule="auto"/>
        <w:jc w:val="both"/>
        <w:rPr>
          <w:rFonts w:ascii="Verdana" w:hAnsi="Verdana"/>
        </w:rPr>
      </w:pPr>
      <w:r w:rsidRPr="008725C9">
        <w:rPr>
          <w:rFonts w:ascii="Verdana" w:hAnsi="Verdana"/>
        </w:rPr>
        <w:t>De otro lado, te contamos que el Decreto 287 del 19 de marzo de 2026 sustituyó los artículos 2.2.1.2.4.2.6., 2.2.1.2.4.2.7. y 2.2.1.2.4.2.8. del Decreto 1082 de 2015 y estructuró el </w:t>
      </w:r>
      <w:r w:rsidRPr="008725C9">
        <w:rPr>
          <w:rFonts w:ascii="Verdana" w:hAnsi="Verdana"/>
          <w:b/>
          <w:bCs/>
        </w:rPr>
        <w:t>Sistema Integral de Preferencias en favor de las personas con discapacidad</w:t>
      </w:r>
      <w:r w:rsidRPr="008725C9">
        <w:rPr>
          <w:rFonts w:ascii="Verdana" w:hAnsi="Verdana"/>
        </w:rPr>
        <w:t>, en cumplimiento del artículo 13 de la Ley Estatutaria 1618 de 2013. Para orientar su aplicación, esta Agencia expidió la </w:t>
      </w:r>
      <w:r w:rsidRPr="008725C9">
        <w:rPr>
          <w:rFonts w:ascii="Verdana" w:hAnsi="Verdana"/>
          <w:b/>
          <w:bCs/>
        </w:rPr>
        <w:t>Circular Externa 003 del 12 de mayo de 2026, </w:t>
      </w:r>
      <w:r w:rsidRPr="008725C9">
        <w:rPr>
          <w:rFonts w:ascii="Verdana" w:hAnsi="Verdana"/>
        </w:rPr>
        <w:t xml:space="preserve">en la que precisa quiénes son los beneficiarios, las cinco medidas que integran el sistema y su obligatoriedad según la modalidad de selección, y el régimen de transición aplicable a los procesos en curso. Consúltala </w:t>
      </w:r>
      <w:r w:rsidRPr="008725C9">
        <w:rPr>
          <w:rFonts w:ascii="Verdana" w:hAnsi="Verdana"/>
        </w:rPr>
        <w:lastRenderedPageBreak/>
        <w:t>aquí: </w:t>
      </w:r>
      <w:hyperlink r:id="rId14" w:tooltip="Dirección URL original: https://www.colombiacompra.gov.co/archivos/circular/circular-externa-003-de-2026. Haga clic o pulse si confía en este vínculo." w:history="1">
        <w:r w:rsidRPr="008725C9">
          <w:rPr>
            <w:rStyle w:val="Hipervnculo"/>
            <w:rFonts w:ascii="Verdana" w:hAnsi="Verdana"/>
          </w:rPr>
          <w:t>https://www.colombiacompra.gov.co/archivos/circular/circular-externa-003-de-2026</w:t>
        </w:r>
      </w:hyperlink>
    </w:p>
    <w:p w14:paraId="48D267B2" w14:textId="77777777" w:rsidR="00AF6D5E" w:rsidRPr="008725C9" w:rsidRDefault="00AF6D5E" w:rsidP="00AF6D5E">
      <w:pPr>
        <w:spacing w:line="276" w:lineRule="auto"/>
        <w:jc w:val="both"/>
        <w:rPr>
          <w:rFonts w:ascii="Verdana" w:hAnsi="Verdana"/>
        </w:rPr>
      </w:pPr>
      <w:r w:rsidRPr="008725C9">
        <w:rPr>
          <w:rFonts w:ascii="Verdana" w:hAnsi="Verdana"/>
        </w:rPr>
        <w:t>Recuerda también que la</w:t>
      </w:r>
      <w:r w:rsidRPr="008725C9">
        <w:rPr>
          <w:rFonts w:ascii="Verdana" w:hAnsi="Verdana"/>
          <w:b/>
          <w:bCs/>
        </w:rPr>
        <w:t> información sobre sanciones e inhabilidades </w:t>
      </w:r>
      <w:r w:rsidRPr="008725C9">
        <w:rPr>
          <w:rFonts w:ascii="Verdana" w:hAnsi="Verdana"/>
        </w:rPr>
        <w:t>solo cumple su función preventiva si llega oportunamente a los registros públicos. Sobre este deber, esta Agencia expidió la </w:t>
      </w:r>
      <w:r w:rsidRPr="008725C9">
        <w:rPr>
          <w:rFonts w:ascii="Verdana" w:hAnsi="Verdana"/>
          <w:b/>
          <w:bCs/>
        </w:rPr>
        <w:t>Circular Externa 002 del 5 de mayo de 2026,</w:t>
      </w:r>
      <w:r w:rsidRPr="008725C9">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Dirección URL original: https://www.colombiacompra.gov.co/archivos/circular/circular-externa-002-de-2026. Haga clic o pulse si confía en este vínculo." w:history="1">
        <w:r w:rsidRPr="008725C9">
          <w:rPr>
            <w:rStyle w:val="Hipervnculo"/>
            <w:rFonts w:ascii="Verdana" w:hAnsi="Verdana"/>
          </w:rPr>
          <w:t>https://www.colombiacompra.gov.co/archivos/circular/circular-externa-002-de-2026</w:t>
        </w:r>
      </w:hyperlink>
    </w:p>
    <w:p w14:paraId="4AE0F5EC" w14:textId="77777777" w:rsidR="00AF6D5E" w:rsidRPr="008725C9" w:rsidRDefault="00AF6D5E" w:rsidP="00AF6D5E">
      <w:pPr>
        <w:spacing w:line="276" w:lineRule="auto"/>
        <w:jc w:val="both"/>
        <w:rPr>
          <w:rFonts w:ascii="Verdana" w:hAnsi="Verdana"/>
        </w:rPr>
      </w:pPr>
      <w:r w:rsidRPr="008725C9">
        <w:rPr>
          <w:rFonts w:ascii="Verdana" w:hAnsi="Verdana"/>
        </w:rPr>
        <w:t>Finalmente, si quieres seguir de cerca la actividad de la Agencia, la tercera edición de 2026 del</w:t>
      </w:r>
      <w:r w:rsidRPr="008725C9">
        <w:rPr>
          <w:rFonts w:ascii="Verdana" w:hAnsi="Verdana"/>
          <w:b/>
          <w:bCs/>
        </w:rPr>
        <w:t> Radar de la Compra Pública</w:t>
      </w:r>
      <w:r w:rsidRPr="008725C9">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Dirección URL original: https://www.colombiacompra.gov.co/archivos/boletin/boletin-edicion-n-3-de-2026-radar-de-la-compra-publica. Haga clic o pulse si confía en este vínculo." w:history="1">
        <w:r w:rsidRPr="008725C9">
          <w:rPr>
            <w:rStyle w:val="Hipervnculo"/>
            <w:rFonts w:ascii="Verdana" w:hAnsi="Verdana"/>
          </w:rPr>
          <w:t>https://www.colombiacompra.gov.co/archivos/boletin/boletin-edicion-n-3-de-2026-radar-de-la-compra-publica</w:t>
        </w:r>
      </w:hyperlink>
      <w:r w:rsidRPr="008725C9">
        <w:rPr>
          <w:rFonts w:ascii="Verdana" w:hAnsi="Verdana"/>
        </w:rPr>
        <w:t>"</w:t>
      </w:r>
    </w:p>
    <w:p w14:paraId="33474BE8" w14:textId="77777777" w:rsidR="00AF6D5E" w:rsidRPr="00047700" w:rsidRDefault="00AF6D5E" w:rsidP="00AF6D5E">
      <w:pPr>
        <w:spacing w:line="276" w:lineRule="auto"/>
        <w:jc w:val="both"/>
        <w:rPr>
          <w:rFonts w:ascii="Verdana" w:hAnsi="Verdana"/>
        </w:rPr>
      </w:pPr>
      <w:r w:rsidRPr="00A77871">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w:t>
      </w:r>
      <w:r w:rsidRPr="00047700">
        <w:rPr>
          <w:rFonts w:ascii="Verdana" w:hAnsi="Verdana"/>
        </w:rPr>
        <w:t xml:space="preserve">atención: </w:t>
      </w:r>
    </w:p>
    <w:p w14:paraId="5137CFB5" w14:textId="77777777" w:rsidR="00AF6D5E" w:rsidRPr="00047700" w:rsidRDefault="00AF6D5E" w:rsidP="00AF6D5E">
      <w:pPr>
        <w:pStyle w:val="Prrafodelista"/>
        <w:numPr>
          <w:ilvl w:val="0"/>
          <w:numId w:val="18"/>
        </w:numPr>
        <w:spacing w:after="0" w:line="276" w:lineRule="auto"/>
        <w:jc w:val="both"/>
        <w:rPr>
          <w:rFonts w:ascii="Verdana" w:eastAsia="Verdana" w:hAnsi="Verdana" w:cs="Verdana"/>
          <w:color w:val="4472C4" w:themeColor="accent1"/>
          <w:u w:val="single"/>
        </w:rPr>
      </w:pPr>
      <w:r w:rsidRPr="00047700">
        <w:rPr>
          <w:rFonts w:ascii="Verdana" w:eastAsia="Verdana" w:hAnsi="Verdana" w:cs="Verdana"/>
        </w:rPr>
        <w:t xml:space="preserve">Línea nacional gratuita o servicio a la ciudadanía (Mesa de servicio): </w:t>
      </w:r>
      <w:r w:rsidRPr="00047700">
        <w:rPr>
          <w:rStyle w:val="Hipervnculo"/>
          <w:rFonts w:ascii="Verdana" w:hAnsi="Verdana"/>
          <w:lang w:val="es-CO"/>
        </w:rPr>
        <w:t>01800 0520808</w:t>
      </w:r>
    </w:p>
    <w:p w14:paraId="65283715" w14:textId="77777777" w:rsidR="00AF6D5E" w:rsidRPr="00047700" w:rsidRDefault="00AF6D5E" w:rsidP="00AF6D5E">
      <w:pPr>
        <w:pStyle w:val="Prrafodelista"/>
        <w:numPr>
          <w:ilvl w:val="0"/>
          <w:numId w:val="18"/>
        </w:numPr>
        <w:spacing w:after="0" w:line="276" w:lineRule="auto"/>
        <w:jc w:val="both"/>
        <w:rPr>
          <w:rFonts w:ascii="Verdana" w:eastAsia="Verdana" w:hAnsi="Verdana" w:cs="Verdana"/>
          <w:color w:val="4472C4" w:themeColor="accent1"/>
          <w:u w:val="single"/>
          <w:lang w:val="es-CO"/>
        </w:rPr>
      </w:pPr>
      <w:r w:rsidRPr="00047700">
        <w:rPr>
          <w:rFonts w:ascii="Verdana" w:eastAsia="Verdana" w:hAnsi="Verdana" w:cs="Verdana"/>
          <w:lang w:val="es-CO"/>
        </w:rPr>
        <w:t>Línea en Bogotá (Mesa de servicio):</w:t>
      </w:r>
      <w:r>
        <w:rPr>
          <w:rFonts w:ascii="Verdana" w:eastAsia="Verdana" w:hAnsi="Verdana" w:cs="Verdana"/>
          <w:lang w:val="es-CO"/>
        </w:rPr>
        <w:t xml:space="preserve"> </w:t>
      </w:r>
      <w:r w:rsidRPr="00047700">
        <w:rPr>
          <w:rStyle w:val="Hipervnculo"/>
          <w:rFonts w:ascii="Verdana" w:hAnsi="Verdana"/>
          <w:lang w:val="es-CO"/>
        </w:rPr>
        <w:t>+57 601 7456788</w:t>
      </w:r>
    </w:p>
    <w:p w14:paraId="52D602C9" w14:textId="77777777" w:rsidR="00AF6D5E" w:rsidRPr="00047700" w:rsidRDefault="00AF6D5E" w:rsidP="00AF6D5E">
      <w:pPr>
        <w:pStyle w:val="Prrafodelista"/>
        <w:numPr>
          <w:ilvl w:val="0"/>
          <w:numId w:val="18"/>
        </w:numPr>
        <w:spacing w:after="0" w:line="276" w:lineRule="auto"/>
        <w:jc w:val="both"/>
        <w:rPr>
          <w:rFonts w:ascii="Verdana" w:eastAsia="Verdana" w:hAnsi="Verdana" w:cs="Verdana"/>
          <w:color w:val="0000FF"/>
          <w:u w:val="single"/>
          <w:lang w:val="es-CO"/>
        </w:rPr>
      </w:pPr>
      <w:r w:rsidRPr="00047700">
        <w:rPr>
          <w:rFonts w:ascii="Verdana" w:eastAsia="Verdana" w:hAnsi="Verdana" w:cs="Verdana"/>
          <w:lang w:val="es-CO"/>
        </w:rPr>
        <w:t xml:space="preserve">Correo de radicación de correspondencia: </w:t>
      </w:r>
      <w:hyperlink r:id="rId17" w:history="1">
        <w:r w:rsidRPr="00047700">
          <w:rPr>
            <w:rStyle w:val="Hipervnculo"/>
            <w:rFonts w:ascii="Verdana" w:eastAsia="Verdana" w:hAnsi="Verdana" w:cs="Verdana"/>
            <w:lang w:val="es-CO"/>
          </w:rPr>
          <w:t>ventanilladeradicacion@colombiacompra.gov.co</w:t>
        </w:r>
      </w:hyperlink>
    </w:p>
    <w:p w14:paraId="7735B0E8" w14:textId="77777777" w:rsidR="00AF6D5E" w:rsidRPr="00047700" w:rsidRDefault="00AF6D5E" w:rsidP="00AF6D5E">
      <w:pPr>
        <w:pStyle w:val="Prrafodelista"/>
        <w:numPr>
          <w:ilvl w:val="0"/>
          <w:numId w:val="18"/>
        </w:numPr>
        <w:spacing w:line="276" w:lineRule="auto"/>
        <w:jc w:val="both"/>
        <w:rPr>
          <w:rFonts w:ascii="Verdana" w:hAnsi="Verdana"/>
        </w:rPr>
      </w:pPr>
      <w:r w:rsidRPr="00047700">
        <w:rPr>
          <w:rFonts w:ascii="Verdana" w:eastAsia="Verdana" w:hAnsi="Verdana" w:cs="Verdana"/>
          <w:lang w:val="es-CO"/>
        </w:rPr>
        <w:t xml:space="preserve">Formulario web para PQRSD: </w:t>
      </w:r>
      <w:hyperlink r:id="rId18" w:history="1">
        <w:r w:rsidRPr="00047700">
          <w:rPr>
            <w:rStyle w:val="Hipervnculo"/>
            <w:rFonts w:ascii="Verdana" w:eastAsia="Verdana" w:hAnsi="Verdana" w:cs="Verdana"/>
            <w:lang w:val="es-CO"/>
          </w:rPr>
          <w:t>https://www.colombiacompra.gov.co/pqrsd/informacion-importante-antes-de-formular-una-pqrsd</w:t>
        </w:r>
      </w:hyperlink>
    </w:p>
    <w:p w14:paraId="61D0B6F4" w14:textId="77777777" w:rsidR="00AF6D5E" w:rsidRPr="00047700" w:rsidRDefault="00AF6D5E" w:rsidP="00AF6D5E">
      <w:pPr>
        <w:spacing w:line="276" w:lineRule="auto"/>
        <w:jc w:val="both"/>
        <w:rPr>
          <w:rFonts w:ascii="Verdana" w:hAnsi="Verdana"/>
        </w:rPr>
      </w:pPr>
      <w:r w:rsidRPr="00047700">
        <w:rPr>
          <w:rFonts w:ascii="Verdana" w:hAnsi="Verdana"/>
        </w:rPr>
        <w:lastRenderedPageBreak/>
        <w:t xml:space="preserve">Evalúa el servicio que ofrece la Agencia por el canal de atención de PQRSD en el siguiente enlace: </w:t>
      </w:r>
      <w:hyperlink r:id="rId19" w:history="1">
        <w:r w:rsidRPr="00047700">
          <w:rPr>
            <w:rStyle w:val="Hipervnculo"/>
            <w:rFonts w:ascii="Verdana" w:hAnsi="Verdana"/>
          </w:rPr>
          <w:t>https://forms.office.com/r/pPHyWVs2SZ</w:t>
        </w:r>
      </w:hyperlink>
      <w:r w:rsidRPr="00047700">
        <w:rPr>
          <w:rFonts w:ascii="Verdana" w:hAnsi="Verdana"/>
        </w:rPr>
        <w:t>. ¡Ayúdanos a mejorar porque el compromiso es de todos!</w:t>
      </w:r>
    </w:p>
    <w:p w14:paraId="1F07A674" w14:textId="77777777" w:rsidR="00AF6D5E" w:rsidRPr="00047700" w:rsidRDefault="00AF6D5E" w:rsidP="00AF6D5E">
      <w:pPr>
        <w:spacing w:line="276" w:lineRule="auto"/>
        <w:jc w:val="both"/>
        <w:rPr>
          <w:rFonts w:ascii="Verdana" w:hAnsi="Verdana"/>
        </w:rPr>
      </w:pPr>
      <w:r w:rsidRPr="00047700">
        <w:rPr>
          <w:rFonts w:ascii="Verdana" w:hAnsi="Verdana"/>
        </w:rPr>
        <w:t xml:space="preserve">Por último, lo invitamos a seguirnos en las redes sociales en las cuales se difunde información institucional: </w:t>
      </w:r>
    </w:p>
    <w:p w14:paraId="038974A1" w14:textId="77777777" w:rsidR="00AF6D5E" w:rsidRPr="00047700" w:rsidRDefault="00AF6D5E" w:rsidP="00AF6D5E">
      <w:pPr>
        <w:spacing w:after="0" w:line="276" w:lineRule="auto"/>
        <w:jc w:val="both"/>
        <w:rPr>
          <w:rFonts w:ascii="Verdana" w:hAnsi="Verdana"/>
        </w:rPr>
      </w:pPr>
      <w:r w:rsidRPr="00047700">
        <w:rPr>
          <w:rFonts w:ascii="Verdana" w:hAnsi="Verdana"/>
        </w:rPr>
        <w:t xml:space="preserve">Twitter: </w:t>
      </w:r>
      <w:r w:rsidRPr="00047700">
        <w:rPr>
          <w:rStyle w:val="Hipervnculo"/>
          <w:rFonts w:ascii="Verdana" w:hAnsi="Verdana"/>
        </w:rPr>
        <w:t>@colombiacompra</w:t>
      </w:r>
      <w:r w:rsidRPr="00047700">
        <w:rPr>
          <w:rFonts w:ascii="Verdana" w:hAnsi="Verdana"/>
        </w:rPr>
        <w:t xml:space="preserve"> </w:t>
      </w:r>
    </w:p>
    <w:p w14:paraId="4B4BF8B7" w14:textId="77777777" w:rsidR="00AF6D5E" w:rsidRPr="00047700" w:rsidRDefault="00AF6D5E" w:rsidP="00AF6D5E">
      <w:pPr>
        <w:spacing w:after="0" w:line="276" w:lineRule="auto"/>
        <w:jc w:val="both"/>
        <w:rPr>
          <w:rFonts w:ascii="Verdana" w:hAnsi="Verdana"/>
        </w:rPr>
      </w:pPr>
      <w:r w:rsidRPr="00047700">
        <w:rPr>
          <w:rFonts w:ascii="Verdana" w:hAnsi="Verdana"/>
        </w:rPr>
        <w:t xml:space="preserve">Facebook: </w:t>
      </w:r>
      <w:proofErr w:type="spellStart"/>
      <w:r w:rsidRPr="00047700">
        <w:rPr>
          <w:rStyle w:val="Hipervnculo"/>
          <w:rFonts w:ascii="Verdana" w:hAnsi="Verdana"/>
        </w:rPr>
        <w:t>ColombiaCompraEficiente</w:t>
      </w:r>
      <w:proofErr w:type="spellEnd"/>
    </w:p>
    <w:p w14:paraId="3C914F1C" w14:textId="77777777" w:rsidR="00AF6D5E" w:rsidRPr="00047700" w:rsidRDefault="00AF6D5E" w:rsidP="00AF6D5E">
      <w:pPr>
        <w:spacing w:after="0" w:line="276" w:lineRule="auto"/>
        <w:jc w:val="both"/>
        <w:rPr>
          <w:rFonts w:ascii="Verdana" w:hAnsi="Verdana"/>
        </w:rPr>
      </w:pPr>
      <w:r w:rsidRPr="00047700">
        <w:rPr>
          <w:rFonts w:ascii="Verdana" w:hAnsi="Verdana"/>
        </w:rPr>
        <w:t xml:space="preserve">LinkedIn: </w:t>
      </w:r>
      <w:r w:rsidRPr="00047700">
        <w:rPr>
          <w:rStyle w:val="Hipervnculo"/>
          <w:rFonts w:ascii="Verdana" w:hAnsi="Verdana"/>
        </w:rPr>
        <w:t>Agencia Nacional de Contratación Pública - Colombia Compra Eficiente</w:t>
      </w:r>
      <w:r w:rsidRPr="00047700">
        <w:rPr>
          <w:rFonts w:ascii="Verdana" w:hAnsi="Verdana"/>
        </w:rPr>
        <w:t xml:space="preserve"> </w:t>
      </w:r>
    </w:p>
    <w:p w14:paraId="2D94BBB7" w14:textId="77777777" w:rsidR="00AF6D5E" w:rsidRPr="00047700" w:rsidRDefault="00AF6D5E" w:rsidP="00AF6D5E">
      <w:pPr>
        <w:spacing w:line="276" w:lineRule="auto"/>
        <w:jc w:val="both"/>
        <w:rPr>
          <w:rFonts w:ascii="Verdana" w:hAnsi="Verdana"/>
        </w:rPr>
      </w:pPr>
      <w:r w:rsidRPr="00047700">
        <w:rPr>
          <w:rFonts w:ascii="Verdana" w:hAnsi="Verdana"/>
        </w:rPr>
        <w:t xml:space="preserve">Instagram: </w:t>
      </w:r>
      <w:r w:rsidRPr="00047700">
        <w:rPr>
          <w:rStyle w:val="Hipervnculo"/>
          <w:rFonts w:ascii="Verdana" w:hAnsi="Verdana"/>
        </w:rPr>
        <w:t>@colombiacompraeficiente_cce</w:t>
      </w:r>
    </w:p>
    <w:p w14:paraId="3DF22D74" w14:textId="77777777" w:rsidR="00AF6D5E" w:rsidRPr="00A77871" w:rsidRDefault="00AF6D5E" w:rsidP="00AF6D5E">
      <w:pPr>
        <w:spacing w:after="0" w:line="276" w:lineRule="auto"/>
        <w:jc w:val="both"/>
        <w:rPr>
          <w:rFonts w:ascii="Verdana" w:eastAsia="Calibri" w:hAnsi="Verdana" w:cs="Times New Roman"/>
          <w:bCs/>
        </w:rPr>
      </w:pPr>
      <w:r w:rsidRPr="00A77871">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EC68A0B" w14:textId="77777777" w:rsidR="00AF6D5E" w:rsidRPr="00A77871" w:rsidRDefault="00AF6D5E" w:rsidP="00AF6D5E">
      <w:pPr>
        <w:spacing w:after="0" w:line="276" w:lineRule="auto"/>
        <w:jc w:val="both"/>
        <w:rPr>
          <w:rFonts w:ascii="Verdana" w:hAnsi="Verdana"/>
        </w:rPr>
      </w:pPr>
    </w:p>
    <w:p w14:paraId="71AA85BC" w14:textId="77777777" w:rsidR="00AF6D5E" w:rsidRPr="00A77871" w:rsidRDefault="00AF6D5E" w:rsidP="00AF6D5E">
      <w:pPr>
        <w:spacing w:after="0" w:line="276" w:lineRule="auto"/>
        <w:jc w:val="both"/>
        <w:rPr>
          <w:rFonts w:ascii="Verdana" w:eastAsia="Times New Roman" w:hAnsi="Verdana" w:cs="Arial"/>
          <w:lang w:eastAsia="es-CO"/>
        </w:rPr>
      </w:pPr>
      <w:bookmarkStart w:id="11" w:name="_Hlk117695077"/>
    </w:p>
    <w:p w14:paraId="35D970EA" w14:textId="77777777" w:rsidR="00AF6D5E" w:rsidRPr="00AC44C7" w:rsidRDefault="00AF6D5E" w:rsidP="00AF6D5E">
      <w:pPr>
        <w:spacing w:line="276" w:lineRule="auto"/>
        <w:jc w:val="both"/>
        <w:rPr>
          <w:rFonts w:ascii="Verdana" w:eastAsia="Times New Roman" w:hAnsi="Verdana" w:cs="Arial"/>
          <w:lang w:eastAsia="es-CO"/>
        </w:rPr>
      </w:pPr>
      <w:r w:rsidRPr="00A77871">
        <w:rPr>
          <w:rFonts w:ascii="Verdana" w:eastAsia="Times New Roman" w:hAnsi="Verdana" w:cs="Arial"/>
          <w:lang w:eastAsia="es-CO"/>
        </w:rPr>
        <w:t xml:space="preserve">Atentamente, </w:t>
      </w:r>
    </w:p>
    <w:p w14:paraId="47DD813F" w14:textId="770E94B3" w:rsidR="00835043" w:rsidRPr="00835043" w:rsidRDefault="00E30543" w:rsidP="00835043">
      <w:pPr>
        <w:spacing w:line="276" w:lineRule="auto"/>
        <w:jc w:val="both"/>
        <w:rPr>
          <w:rFonts w:ascii="Verdana" w:eastAsia="Times New Roman" w:hAnsi="Verdana" w:cs="Arial"/>
          <w:lang w:eastAsia="es-CO"/>
        </w:rPr>
      </w:pPr>
      <w:r w:rsidRPr="007C4748">
        <w:rPr>
          <w:rFonts w:ascii="Verdana" w:eastAsia="Times New Roman" w:hAnsi="Verdana" w:cs="Arial"/>
          <w:noProof/>
          <w:lang w:eastAsia="es-CO"/>
        </w:rPr>
        <w:drawing>
          <wp:anchor distT="0" distB="0" distL="114300" distR="114300" simplePos="0" relativeHeight="251658240" behindDoc="1" locked="0" layoutInCell="1" allowOverlap="1" wp14:anchorId="3B907A7E" wp14:editId="056B8B2C">
            <wp:simplePos x="0" y="0"/>
            <wp:positionH relativeFrom="margin">
              <wp:align>center</wp:align>
            </wp:positionH>
            <wp:positionV relativeFrom="paragraph">
              <wp:posOffset>110574</wp:posOffset>
            </wp:positionV>
            <wp:extent cx="3771900" cy="1400175"/>
            <wp:effectExtent l="0" t="0" r="0" b="9525"/>
            <wp:wrapNone/>
            <wp:docPr id="7509503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30B800E0" w14:textId="4AB0ADF6" w:rsidR="007C4748" w:rsidRPr="007C4748" w:rsidRDefault="007C4748" w:rsidP="007C4748">
      <w:pPr>
        <w:spacing w:line="276" w:lineRule="auto"/>
        <w:jc w:val="both"/>
        <w:rPr>
          <w:rFonts w:ascii="Verdana" w:eastAsia="Times New Roman" w:hAnsi="Verdana" w:cs="Arial"/>
          <w:noProof/>
          <w:lang w:eastAsia="es-CO"/>
        </w:rPr>
      </w:pPr>
    </w:p>
    <w:p w14:paraId="71CD7EF9" w14:textId="768379FB" w:rsidR="00AF6D5E" w:rsidRPr="000718A9" w:rsidRDefault="00AF6D5E" w:rsidP="00AF6D5E">
      <w:pPr>
        <w:spacing w:line="276" w:lineRule="auto"/>
        <w:jc w:val="both"/>
        <w:rPr>
          <w:rFonts w:ascii="Verdana" w:eastAsia="Times New Roman" w:hAnsi="Verdana" w:cs="Arial"/>
          <w:lang w:eastAsia="es-CO"/>
        </w:rPr>
      </w:pPr>
    </w:p>
    <w:p w14:paraId="738CF89C" w14:textId="77777777" w:rsidR="00AF6D5E" w:rsidRPr="00A77871" w:rsidRDefault="00AF6D5E" w:rsidP="00AF6D5E">
      <w:pPr>
        <w:spacing w:line="276" w:lineRule="auto"/>
        <w:jc w:val="both"/>
        <w:rPr>
          <w:rFonts w:ascii="Verdana" w:eastAsia="Times New Roman" w:hAnsi="Verdana" w:cs="Arial"/>
          <w:lang w:eastAsia="es-CO"/>
        </w:rPr>
      </w:pPr>
    </w:p>
    <w:p w14:paraId="022A7714" w14:textId="77777777" w:rsidR="00AF6D5E" w:rsidRPr="00C56632" w:rsidRDefault="00AF6D5E" w:rsidP="00AF6D5E">
      <w:pPr>
        <w:spacing w:line="276" w:lineRule="auto"/>
        <w:jc w:val="center"/>
        <w:rPr>
          <w:rFonts w:ascii="Verdana" w:eastAsia="Times New Roman" w:hAnsi="Verdana" w:cs="Arial"/>
          <w:lang w:eastAsia="es-CO"/>
        </w:rPr>
      </w:pPr>
    </w:p>
    <w:p w14:paraId="1CF3C740" w14:textId="77777777" w:rsidR="00AF6D5E" w:rsidRPr="006B1E22" w:rsidRDefault="00AF6D5E" w:rsidP="00AF6D5E">
      <w:pPr>
        <w:spacing w:line="276" w:lineRule="auto"/>
        <w:jc w:val="both"/>
        <w:rPr>
          <w:rFonts w:ascii="Verdana" w:eastAsia="Times New Roman" w:hAnsi="Verdana" w:cs="Arial"/>
          <w:lang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F6D5E" w:rsidRPr="0029279E" w14:paraId="573DC7CE" w14:textId="77777777" w:rsidTr="000000EA">
        <w:trPr>
          <w:trHeight w:val="315"/>
        </w:trPr>
        <w:tc>
          <w:tcPr>
            <w:tcW w:w="893" w:type="dxa"/>
            <w:vAlign w:val="center"/>
            <w:hideMark/>
          </w:tcPr>
          <w:bookmarkEnd w:id="11"/>
          <w:p w14:paraId="6F4DB537" w14:textId="77777777" w:rsidR="00AF6D5E" w:rsidRPr="0029279E" w:rsidRDefault="00AF6D5E" w:rsidP="000000EA">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132DEA6E" w14:textId="77777777" w:rsidR="00AF6D5E" w:rsidRPr="0029279E" w:rsidRDefault="00AF6D5E" w:rsidP="000000EA">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Ángela María Olmos Andrade</w:t>
            </w:r>
          </w:p>
          <w:p w14:paraId="638743B8" w14:textId="77777777" w:rsidR="00AF6D5E" w:rsidRPr="0029279E" w:rsidRDefault="00AF6D5E" w:rsidP="000000EA">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Analista T2 - 02 de la Subdirección de Gestión Contractual</w:t>
            </w:r>
          </w:p>
        </w:tc>
      </w:tr>
      <w:tr w:rsidR="00AF6D5E" w:rsidRPr="0029279E" w14:paraId="556ABEDD" w14:textId="77777777" w:rsidTr="000000EA">
        <w:trPr>
          <w:trHeight w:val="330"/>
        </w:trPr>
        <w:tc>
          <w:tcPr>
            <w:tcW w:w="893" w:type="dxa"/>
            <w:vAlign w:val="center"/>
            <w:hideMark/>
          </w:tcPr>
          <w:p w14:paraId="7826FB21" w14:textId="77777777" w:rsidR="00AF6D5E" w:rsidRPr="0029279E" w:rsidRDefault="00AF6D5E" w:rsidP="000000EA">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0A7D2444" w14:textId="77777777" w:rsidR="00AF6D5E" w:rsidRPr="0029279E" w:rsidRDefault="00AF6D5E" w:rsidP="000000EA">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Adriana Katherine López</w:t>
            </w:r>
            <w:r>
              <w:rPr>
                <w:rFonts w:ascii="Verdana" w:eastAsia="Times New Roman" w:hAnsi="Verdana" w:cs="Arial"/>
                <w:color w:val="000000"/>
                <w:sz w:val="16"/>
                <w:szCs w:val="16"/>
              </w:rPr>
              <w:t xml:space="preserve"> Rodríguez</w:t>
            </w:r>
          </w:p>
          <w:p w14:paraId="7DE5012B" w14:textId="77777777" w:rsidR="00AF6D5E" w:rsidRPr="0029279E" w:rsidRDefault="00AF6D5E" w:rsidP="000000EA">
            <w:pPr>
              <w:spacing w:line="276" w:lineRule="auto"/>
              <w:jc w:val="both"/>
              <w:textAlignment w:val="baseline"/>
              <w:rPr>
                <w:rFonts w:ascii="Verdana" w:eastAsia="Times New Roman" w:hAnsi="Verdana" w:cs="Arial"/>
                <w:color w:val="000000"/>
                <w:sz w:val="16"/>
                <w:szCs w:val="16"/>
              </w:rPr>
            </w:pPr>
            <w:r w:rsidRPr="0029279E">
              <w:rPr>
                <w:rFonts w:ascii="Verdana" w:eastAsia="Times New Roman" w:hAnsi="Verdana" w:cs="Arial"/>
                <w:color w:val="000000"/>
                <w:sz w:val="16"/>
                <w:szCs w:val="16"/>
              </w:rPr>
              <w:t>Contratista de la Subdirección de Gestión Contractual</w:t>
            </w:r>
          </w:p>
        </w:tc>
      </w:tr>
      <w:tr w:rsidR="00AF6D5E" w:rsidRPr="0029279E" w14:paraId="64693C95" w14:textId="77777777" w:rsidTr="000000EA">
        <w:trPr>
          <w:trHeight w:val="300"/>
        </w:trPr>
        <w:tc>
          <w:tcPr>
            <w:tcW w:w="893" w:type="dxa"/>
            <w:vAlign w:val="center"/>
            <w:hideMark/>
          </w:tcPr>
          <w:p w14:paraId="7B290204" w14:textId="77777777" w:rsidR="00AF6D5E" w:rsidRPr="0029279E" w:rsidRDefault="00AF6D5E" w:rsidP="000000EA">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6F3F5C92" w14:textId="77777777" w:rsidR="00AF6D5E" w:rsidRPr="0029279E" w:rsidRDefault="00AF6D5E" w:rsidP="000000EA">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Carolina Quintero Gacharná</w:t>
            </w:r>
          </w:p>
          <w:p w14:paraId="6CCF3676" w14:textId="77777777" w:rsidR="00AF6D5E" w:rsidRPr="0029279E" w:rsidRDefault="00AF6D5E" w:rsidP="000000EA">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Subdirectora de Gestión Contractual ANCP – CCE</w:t>
            </w:r>
          </w:p>
        </w:tc>
      </w:tr>
    </w:tbl>
    <w:p w14:paraId="344619BD" w14:textId="77777777" w:rsidR="00AF6D5E" w:rsidRPr="000E2B93" w:rsidRDefault="00AF6D5E" w:rsidP="00AF6D5E">
      <w:pPr>
        <w:spacing w:after="0" w:line="240" w:lineRule="auto"/>
        <w:jc w:val="both"/>
        <w:textAlignment w:val="baseline"/>
        <w:rPr>
          <w:rFonts w:ascii="Verdana" w:eastAsia="Verdana" w:hAnsi="Verdana" w:cs="Verdana"/>
          <w:lang w:eastAsia="es-CO"/>
        </w:rPr>
      </w:pPr>
    </w:p>
    <w:p w14:paraId="005639F0" w14:textId="77777777" w:rsidR="00AF6D5E" w:rsidRPr="000E2B93" w:rsidRDefault="00AF6D5E" w:rsidP="00AF6D5E">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1"/>
    <w:p w14:paraId="69BC4D14" w14:textId="329CAAE4" w:rsidR="00C15139"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0F293BF4" w14:textId="2B4EFE98" w:rsidR="00127233" w:rsidRPr="0015699B" w:rsidRDefault="00127233" w:rsidP="00AF6D5E">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747E" w14:textId="77777777" w:rsidR="00FE3D99" w:rsidRDefault="00FE3D99" w:rsidP="004A1847">
      <w:pPr>
        <w:spacing w:after="0" w:line="240" w:lineRule="auto"/>
      </w:pPr>
      <w:r>
        <w:separator/>
      </w:r>
    </w:p>
  </w:endnote>
  <w:endnote w:type="continuationSeparator" w:id="0">
    <w:p w14:paraId="3512C31E" w14:textId="77777777" w:rsidR="00FE3D99" w:rsidRDefault="00FE3D9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1CE42" w14:textId="77777777" w:rsidR="00FE3D99" w:rsidRDefault="00FE3D99" w:rsidP="004A1847">
      <w:pPr>
        <w:spacing w:after="0" w:line="240" w:lineRule="auto"/>
      </w:pPr>
      <w:r>
        <w:separator/>
      </w:r>
    </w:p>
  </w:footnote>
  <w:footnote w:type="continuationSeparator" w:id="0">
    <w:p w14:paraId="44941796" w14:textId="77777777" w:rsidR="00FE3D99" w:rsidRDefault="00FE3D99" w:rsidP="004A1847">
      <w:pPr>
        <w:spacing w:after="0" w:line="240" w:lineRule="auto"/>
      </w:pPr>
      <w:r>
        <w:continuationSeparator/>
      </w:r>
    </w:p>
  </w:footnote>
  <w:footnote w:id="1">
    <w:p w14:paraId="47011723" w14:textId="77777777" w:rsidR="00936F20" w:rsidRPr="007D48B0" w:rsidRDefault="00936F20" w:rsidP="00936F20">
      <w:pPr>
        <w:pStyle w:val="Textonotapie"/>
        <w:ind w:firstLine="708"/>
        <w:jc w:val="both"/>
        <w:rPr>
          <w:rFonts w:ascii="Verdana" w:hAnsi="Verdana" w:cs="Arial"/>
          <w:sz w:val="16"/>
          <w:szCs w:val="16"/>
        </w:rPr>
      </w:pPr>
      <w:r w:rsidRPr="007D48B0">
        <w:rPr>
          <w:rStyle w:val="Refdenotaalpie"/>
          <w:rFonts w:ascii="Verdana" w:hAnsi="Verdana" w:cs="Arial"/>
          <w:sz w:val="16"/>
          <w:szCs w:val="16"/>
        </w:rPr>
        <w:footnoteRef/>
      </w:r>
      <w:r w:rsidRPr="007D48B0">
        <w:rPr>
          <w:rFonts w:ascii="Verdana" w:hAnsi="Verdana" w:cs="Arial"/>
          <w:sz w:val="16"/>
          <w:szCs w:val="16"/>
        </w:rPr>
        <w:t xml:space="preserve"> El numeral 2 del artículo 2 de la Ley 1150 de 2007 prescribe: </w:t>
      </w:r>
      <w:r>
        <w:rPr>
          <w:rFonts w:ascii="Verdana" w:hAnsi="Verdana" w:cs="Arial"/>
          <w:sz w:val="16"/>
          <w:szCs w:val="16"/>
        </w:rPr>
        <w:t>“</w:t>
      </w:r>
      <w:r w:rsidRPr="007D48B0">
        <w:rPr>
          <w:rFonts w:ascii="Verdana" w:hAnsi="Verdana" w:cs="Arial"/>
          <w:sz w:val="16"/>
          <w:szCs w:val="16"/>
        </w:rPr>
        <w:t>[…] Serán causales de selección abreviada las siguientes:</w:t>
      </w:r>
    </w:p>
    <w:p w14:paraId="0FE17FD8"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a) 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w:t>
      </w:r>
    </w:p>
    <w:p w14:paraId="58F24B0C"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 xml:space="preserve">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 </w:t>
      </w:r>
    </w:p>
    <w:p w14:paraId="6235F36F"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b) La contratación de menor cuantía. Se entenderá por menor cuantía los valores que a continuación se relacionan, determinados en función de los presupuestos anuales de las entidades públicas expresados en salarios mínimos legales mensuales.</w:t>
      </w:r>
    </w:p>
    <w:p w14:paraId="4AC8CEA0"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w:t>
      </w:r>
    </w:p>
    <w:p w14:paraId="14ABC025"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c) Sin perjuicio de lo dispuesto en la Ley 100 de 1993 y en la Ley 1122 de 2007, la celebración de contratos para la prestación de servicios de salud. El reglamento interno correspondiente fijará las garantías a cargo de los contratistas. Los pagos correspondientes se podrán hacer mediante encargos fiduciarios;</w:t>
      </w:r>
    </w:p>
    <w:p w14:paraId="1BF71420"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d) La contratación cuyo proceso de licitación pública haya sido declarado desierto; en cuyo caso la entidad deberá iniciar la selección abreviada dentro de los cuatro meses siguientes a la declaración de desierta del proceso inicial;</w:t>
      </w:r>
    </w:p>
    <w:p w14:paraId="70CBCA71"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e) La enajenación de bienes del Estado, con excepción de aquellos a que se refiere la Ley 226 de 1995.</w:t>
      </w:r>
    </w:p>
    <w:p w14:paraId="55224171"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 xml:space="preserve">[…]; </w:t>
      </w:r>
    </w:p>
    <w:p w14:paraId="1E357793"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 xml:space="preserve">f) Productos de origen o destinación agropecuarios que se ofrezcan en las bolsas de productos legalmente constituidas; </w:t>
      </w:r>
    </w:p>
    <w:p w14:paraId="04390EFC"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 xml:space="preserve">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w:t>
      </w:r>
    </w:p>
    <w:p w14:paraId="1C007F17" w14:textId="77777777" w:rsidR="00936F20" w:rsidRPr="007D48B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h) 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5A1848E8" w14:textId="77777777" w:rsidR="00936F20" w:rsidRDefault="00936F20" w:rsidP="00936F20">
      <w:pPr>
        <w:pStyle w:val="Textonotapie"/>
        <w:ind w:firstLine="708"/>
        <w:jc w:val="both"/>
        <w:rPr>
          <w:rFonts w:ascii="Verdana" w:hAnsi="Verdana" w:cs="Arial"/>
          <w:sz w:val="16"/>
          <w:szCs w:val="16"/>
        </w:rPr>
      </w:pPr>
      <w:r w:rsidRPr="007D48B0">
        <w:rPr>
          <w:rFonts w:ascii="Verdana" w:hAnsi="Verdana" w:cs="Arial"/>
          <w:sz w:val="16"/>
          <w:szCs w:val="16"/>
        </w:rPr>
        <w:t>i) La contratación de bienes y servicios que se requieran para la defensa y seguridad nacional</w:t>
      </w:r>
      <w:r>
        <w:rPr>
          <w:rFonts w:ascii="Verdana" w:hAnsi="Verdana" w:cs="Arial"/>
          <w:sz w:val="16"/>
          <w:szCs w:val="16"/>
        </w:rPr>
        <w:t>.</w:t>
      </w:r>
    </w:p>
    <w:p w14:paraId="70B1C4EB" w14:textId="77777777" w:rsidR="00936F20" w:rsidRPr="007D48B0" w:rsidRDefault="00936F20" w:rsidP="00936F20">
      <w:pPr>
        <w:pStyle w:val="Textonotapie"/>
        <w:ind w:firstLine="708"/>
        <w:jc w:val="both"/>
        <w:rPr>
          <w:rFonts w:ascii="Verdana" w:hAnsi="Verdana" w:cs="Arial"/>
          <w:sz w:val="16"/>
          <w:szCs w:val="16"/>
        </w:rPr>
      </w:pPr>
      <w:r>
        <w:rPr>
          <w:rFonts w:ascii="Verdana" w:hAnsi="Verdana" w:cs="Arial"/>
          <w:sz w:val="16"/>
          <w:szCs w:val="16"/>
        </w:rPr>
        <w:t xml:space="preserve">j) </w:t>
      </w:r>
      <w:r w:rsidRPr="000B48EE">
        <w:rPr>
          <w:rFonts w:ascii="Verdana" w:hAnsi="Verdana" w:cs="Arial"/>
          <w:sz w:val="16"/>
          <w:szCs w:val="16"/>
        </w:rPr>
        <w:t>Los bienes y servicios no uniformes de común utilización por parte de las entidades públicas, para lo cual la Agencia Nacional de Contratación Pública Colombia Compra Eficiente-podrá celebrar acuerdos marco de precios y demás instrumentos de agregación de demanda. Estos acuerdos marco de precios también serán de obligatorio uso de las entidades del Estado a las que se refiere el parágrafo 5° del artículo 2° de la presente ley, modificado por el artículo 41 de la ley 1955 de 2019</w:t>
      </w:r>
      <w:r>
        <w:rPr>
          <w:rFonts w:ascii="Verdana" w:hAnsi="Verdana" w:cs="Arial"/>
          <w:sz w:val="16"/>
          <w:szCs w:val="16"/>
        </w:rPr>
        <w:t>”</w:t>
      </w:r>
      <w:r w:rsidRPr="007D48B0">
        <w:rPr>
          <w:rFonts w:ascii="Verdana" w:hAnsi="Verdana" w:cs="Arial"/>
          <w:sz w:val="16"/>
          <w:szCs w:val="16"/>
        </w:rPr>
        <w:t>.</w:t>
      </w:r>
    </w:p>
  </w:footnote>
  <w:footnote w:id="2">
    <w:p w14:paraId="6EDC6700" w14:textId="77777777" w:rsidR="00936F20" w:rsidRPr="00E75013" w:rsidRDefault="00936F20" w:rsidP="00936F20">
      <w:pPr>
        <w:pStyle w:val="Textonotapie"/>
        <w:ind w:firstLine="708"/>
        <w:jc w:val="both"/>
        <w:rPr>
          <w:rFonts w:ascii="Verdana" w:hAnsi="Verdana" w:cs="Arial"/>
          <w:sz w:val="16"/>
          <w:szCs w:val="16"/>
        </w:rPr>
      </w:pPr>
      <w:r w:rsidRPr="007D48B0">
        <w:rPr>
          <w:rStyle w:val="Refdenotaalpie"/>
          <w:rFonts w:ascii="Verdana" w:hAnsi="Verdana" w:cs="Arial"/>
          <w:sz w:val="16"/>
          <w:szCs w:val="16"/>
        </w:rPr>
        <w:footnoteRef/>
      </w:r>
      <w:r w:rsidRPr="007D48B0">
        <w:rPr>
          <w:rFonts w:ascii="Verdana" w:hAnsi="Verdana" w:cs="Arial"/>
          <w:sz w:val="16"/>
          <w:szCs w:val="16"/>
        </w:rPr>
        <w:t xml:space="preserve"> CONGRESO DE LA REPÚBLICA. Exposición de motivos de la Ley 1150 de 2007. Gaceta del Congreso No. 458 del 1º de agosto de 2005. p. 8. </w:t>
      </w:r>
    </w:p>
  </w:footnote>
  <w:footnote w:id="3">
    <w:p w14:paraId="1868601E" w14:textId="77777777" w:rsidR="00936F20" w:rsidRPr="007D48B0" w:rsidRDefault="00936F20" w:rsidP="00936F20">
      <w:pPr>
        <w:pStyle w:val="Textonotapie"/>
        <w:ind w:firstLine="708"/>
        <w:jc w:val="both"/>
        <w:rPr>
          <w:rFonts w:ascii="Verdana" w:hAnsi="Verdana" w:cs="Arial"/>
          <w:sz w:val="16"/>
          <w:szCs w:val="16"/>
        </w:rPr>
      </w:pPr>
      <w:r w:rsidRPr="007D48B0">
        <w:rPr>
          <w:rStyle w:val="Refdenotaalpie"/>
          <w:rFonts w:ascii="Verdana" w:hAnsi="Verdana" w:cs="Arial"/>
          <w:sz w:val="16"/>
          <w:szCs w:val="16"/>
        </w:rPr>
        <w:footnoteRef/>
      </w:r>
      <w:r w:rsidRPr="007D48B0">
        <w:rPr>
          <w:rFonts w:ascii="Verdana" w:hAnsi="Verdana" w:cs="Arial"/>
          <w:sz w:val="16"/>
          <w:szCs w:val="16"/>
        </w:rPr>
        <w:t xml:space="preserve"> CONSEJO DE ESTADO. Sección Tercera. Subsección A. Sentencia del 23 de julio de 2015. </w:t>
      </w:r>
      <w:proofErr w:type="spellStart"/>
      <w:r w:rsidRPr="007D48B0">
        <w:rPr>
          <w:rFonts w:ascii="Verdana" w:hAnsi="Verdana" w:cs="Arial"/>
          <w:sz w:val="16"/>
          <w:szCs w:val="16"/>
        </w:rPr>
        <w:t>Exp</w:t>
      </w:r>
      <w:proofErr w:type="spellEnd"/>
      <w:r w:rsidRPr="007D48B0">
        <w:rPr>
          <w:rFonts w:ascii="Verdana" w:hAnsi="Verdana" w:cs="Arial"/>
          <w:sz w:val="16"/>
          <w:szCs w:val="16"/>
        </w:rPr>
        <w:t xml:space="preserve">. 36.805. C. P. Hernán Andrade Rincón. </w:t>
      </w:r>
    </w:p>
  </w:footnote>
  <w:footnote w:id="4">
    <w:p w14:paraId="773C0EC6" w14:textId="77777777" w:rsidR="00936F20" w:rsidRPr="007D48B0" w:rsidRDefault="00936F20" w:rsidP="00936F20">
      <w:pPr>
        <w:pStyle w:val="Textonotapie"/>
        <w:ind w:firstLine="709"/>
        <w:jc w:val="both"/>
        <w:rPr>
          <w:rFonts w:ascii="Verdana" w:hAnsi="Verdana" w:cs="Arial"/>
          <w:color w:val="000000" w:themeColor="text1"/>
          <w:sz w:val="16"/>
          <w:szCs w:val="16"/>
        </w:rPr>
      </w:pPr>
      <w:r w:rsidRPr="007D48B0">
        <w:rPr>
          <w:rStyle w:val="Refdenotaalpie"/>
          <w:rFonts w:ascii="Verdana" w:hAnsi="Verdana" w:cs="Arial"/>
          <w:color w:val="000000" w:themeColor="text1"/>
          <w:sz w:val="16"/>
          <w:szCs w:val="16"/>
        </w:rPr>
        <w:footnoteRef/>
      </w:r>
      <w:r w:rsidRPr="007D48B0">
        <w:rPr>
          <w:rFonts w:ascii="Verdana" w:hAnsi="Verdana" w:cs="Arial"/>
          <w:color w:val="000000" w:themeColor="text1"/>
          <w:sz w:val="16"/>
          <w:szCs w:val="16"/>
        </w:rPr>
        <w:t xml:space="preserve"> Decreto 1082 de 2015.  Artículo 2.2.1.2.1.2.20. Procedimiento para la selección abreviada de menor cuantía. Además de las normas generales establecidas en el presente título, las siguientes reglas son aplicables a la selección abreviada de menor cuantía:</w:t>
      </w:r>
    </w:p>
    <w:p w14:paraId="560FC4C1" w14:textId="77777777" w:rsidR="00936F20" w:rsidRPr="007D48B0" w:rsidRDefault="00936F20" w:rsidP="00936F20">
      <w:pPr>
        <w:pStyle w:val="Textonotapie"/>
        <w:ind w:firstLine="708"/>
        <w:jc w:val="both"/>
        <w:rPr>
          <w:rFonts w:ascii="Verdana" w:hAnsi="Verdana" w:cs="Arial"/>
          <w:color w:val="000000" w:themeColor="text1"/>
          <w:sz w:val="16"/>
          <w:szCs w:val="16"/>
        </w:rPr>
      </w:pPr>
      <w:r w:rsidRPr="007D48B0">
        <w:rPr>
          <w:rFonts w:ascii="Verdana" w:hAnsi="Verdana" w:cs="Arial"/>
          <w:color w:val="000000" w:themeColor="text1"/>
          <w:sz w:val="16"/>
          <w:szCs w:val="16"/>
        </w:rPr>
        <w:t>1. En un término no mayor a tres (3) días hábiles contados a partir de la fecha de apertura del Proceso de Contratación los interesados deben manifestar su intención de participar, a través del mecanismo establecido para el efecto en los pliegos de condiciones.</w:t>
      </w:r>
    </w:p>
    <w:p w14:paraId="35FBFFA6" w14:textId="77777777" w:rsidR="00936F20" w:rsidRPr="007D48B0" w:rsidRDefault="00936F20" w:rsidP="00936F20">
      <w:pPr>
        <w:pStyle w:val="Textonotapie"/>
        <w:ind w:firstLine="709"/>
        <w:jc w:val="both"/>
        <w:rPr>
          <w:rFonts w:ascii="Verdana" w:hAnsi="Verdana" w:cs="Arial"/>
          <w:color w:val="000000" w:themeColor="text1"/>
          <w:sz w:val="16"/>
          <w:szCs w:val="16"/>
        </w:rPr>
      </w:pPr>
      <w:r w:rsidRPr="007D48B0">
        <w:rPr>
          <w:rFonts w:ascii="Verdana" w:hAnsi="Verdana" w:cs="Arial"/>
          <w:color w:val="000000" w:themeColor="text1"/>
          <w:sz w:val="16"/>
          <w:szCs w:val="16"/>
        </w:rPr>
        <w:t>2. Si la Entidad Estatal recibe más de diez (10) manifestaciones de interés puede continuar el proceso o hacer un sorteo para seleccionar máximo diez (10) interesados con quienes continuará el Proceso de Contratación. La Entidad Estatal debe establecer en los pliegos de condiciones si hay lugar a sorteo y la forma en la cual lo hará.</w:t>
      </w:r>
    </w:p>
    <w:p w14:paraId="1F8B4D7C" w14:textId="77777777" w:rsidR="00936F20" w:rsidRPr="007D48B0" w:rsidRDefault="00936F20" w:rsidP="00936F20">
      <w:pPr>
        <w:pStyle w:val="Textonotapie"/>
        <w:ind w:firstLine="709"/>
        <w:jc w:val="both"/>
        <w:rPr>
          <w:rFonts w:ascii="Verdana" w:hAnsi="Verdana" w:cs="Arial"/>
          <w:color w:val="000000" w:themeColor="text1"/>
          <w:sz w:val="16"/>
          <w:szCs w:val="16"/>
        </w:rPr>
      </w:pPr>
      <w:r w:rsidRPr="007D48B0">
        <w:rPr>
          <w:rFonts w:ascii="Verdana" w:hAnsi="Verdana" w:cs="Arial"/>
          <w:color w:val="000000" w:themeColor="text1"/>
          <w:sz w:val="16"/>
          <w:szCs w:val="16"/>
        </w:rPr>
        <w:t>3. Si hay lugar a sorteo, el plazo para la presentación de las ofertas empezará a correr el día hábil siguiente a la fecha en la cual la Entidad Estatal informe a los interesados el resultado del sorteo.</w:t>
      </w:r>
    </w:p>
    <w:p w14:paraId="3E286125" w14:textId="77777777" w:rsidR="00936F20" w:rsidRPr="007D48B0" w:rsidRDefault="00936F20" w:rsidP="00936F20">
      <w:pPr>
        <w:pStyle w:val="Textonotapie"/>
        <w:ind w:firstLine="709"/>
        <w:jc w:val="both"/>
        <w:rPr>
          <w:rFonts w:ascii="Verdana" w:hAnsi="Verdana" w:cs="Arial"/>
          <w:color w:val="000000" w:themeColor="text1"/>
          <w:sz w:val="16"/>
          <w:szCs w:val="16"/>
        </w:rPr>
      </w:pPr>
      <w:r w:rsidRPr="007D48B0">
        <w:rPr>
          <w:rFonts w:ascii="Verdana" w:hAnsi="Verdana" w:cs="Arial"/>
          <w:color w:val="000000" w:themeColor="text1"/>
          <w:sz w:val="16"/>
          <w:szCs w:val="16"/>
        </w:rPr>
        <w:t>4. La Entidad Estatal debe publicar el informe de evaluación de ofertas durante tres (3) días hábiles</w:t>
      </w:r>
      <w:r>
        <w:rPr>
          <w:rFonts w:ascii="Verdana" w:hAnsi="Verdana" w:cs="Arial"/>
          <w:color w:val="000000" w:themeColor="text1"/>
          <w:sz w:val="16"/>
          <w:szCs w:val="16"/>
        </w:rPr>
        <w:t>”.</w:t>
      </w:r>
      <w:r w:rsidRPr="007D48B0">
        <w:rPr>
          <w:rFonts w:ascii="Verdana" w:hAnsi="Verdana" w:cs="Arial"/>
          <w:color w:val="000000" w:themeColor="text1"/>
          <w:sz w:val="16"/>
          <w:szCs w:val="16"/>
        </w:rPr>
        <w:t xml:space="preserve"> </w:t>
      </w:r>
    </w:p>
  </w:footnote>
  <w:footnote w:id="5">
    <w:p w14:paraId="2E238CC7" w14:textId="77777777" w:rsidR="00936F20" w:rsidRPr="004F285C" w:rsidRDefault="00936F20" w:rsidP="00936F20">
      <w:pPr>
        <w:pStyle w:val="Textonotapie"/>
        <w:ind w:firstLine="708"/>
        <w:jc w:val="both"/>
        <w:rPr>
          <w:rFonts w:ascii="Verdana" w:eastAsiaTheme="minorEastAsia" w:hAnsi="Verdana" w:cs="Arial"/>
          <w:color w:val="000000" w:themeColor="text1"/>
          <w:sz w:val="16"/>
          <w:szCs w:val="16"/>
          <w:lang w:eastAsia="es-CO"/>
        </w:rPr>
      </w:pPr>
      <w:r w:rsidRPr="007D48B0">
        <w:rPr>
          <w:rStyle w:val="Refdenotaalpie"/>
          <w:rFonts w:ascii="Verdana" w:hAnsi="Verdana" w:cs="Arial"/>
          <w:sz w:val="16"/>
          <w:szCs w:val="16"/>
        </w:rPr>
        <w:footnoteRef/>
      </w:r>
      <w:r w:rsidRPr="007D48B0">
        <w:rPr>
          <w:rFonts w:ascii="Verdana" w:hAnsi="Verdana" w:cs="Arial"/>
          <w:sz w:val="16"/>
          <w:szCs w:val="16"/>
        </w:rPr>
        <w:t xml:space="preserve"> En armonía con lo anterior, a modo simplemente ejemplificativo, los Documentos Tipo para los procesos de selección abreviada de menor cuantía de obra pública de infraestructura de transporte, adoptados mediante la Resolución </w:t>
      </w:r>
      <w:r>
        <w:rPr>
          <w:rFonts w:ascii="Verdana" w:hAnsi="Verdana" w:cs="Arial"/>
          <w:sz w:val="16"/>
          <w:szCs w:val="16"/>
        </w:rPr>
        <w:t>463</w:t>
      </w:r>
      <w:r w:rsidRPr="007D48B0">
        <w:rPr>
          <w:rFonts w:ascii="Verdana" w:hAnsi="Verdana" w:cs="Arial"/>
          <w:sz w:val="16"/>
          <w:szCs w:val="16"/>
        </w:rPr>
        <w:t xml:space="preserve"> de 202</w:t>
      </w:r>
      <w:r>
        <w:rPr>
          <w:rFonts w:ascii="Verdana" w:hAnsi="Verdana" w:cs="Arial"/>
          <w:sz w:val="16"/>
          <w:szCs w:val="16"/>
        </w:rPr>
        <w:t>4</w:t>
      </w:r>
      <w:r w:rsidRPr="007D48B0">
        <w:rPr>
          <w:rFonts w:ascii="Verdana" w:hAnsi="Verdana" w:cs="Arial"/>
          <w:sz w:val="16"/>
          <w:szCs w:val="16"/>
        </w:rPr>
        <w:t>, por parte de la Agencia Nacional de Contratación Pública Colombia Compra Eficiente, incluyen la</w:t>
      </w:r>
      <w:r>
        <w:rPr>
          <w:rFonts w:ascii="Verdana" w:hAnsi="Verdana" w:cs="Arial"/>
          <w:sz w:val="16"/>
          <w:szCs w:val="16"/>
        </w:rPr>
        <w:t>s</w:t>
      </w:r>
      <w:r w:rsidRPr="007D48B0">
        <w:rPr>
          <w:rFonts w:ascii="Verdana" w:hAnsi="Verdana" w:cs="Arial"/>
          <w:sz w:val="16"/>
          <w:szCs w:val="16"/>
        </w:rPr>
        <w:t xml:space="preserve"> siguiente</w:t>
      </w:r>
      <w:r>
        <w:rPr>
          <w:rFonts w:ascii="Verdana" w:hAnsi="Verdana" w:cs="Arial"/>
          <w:sz w:val="16"/>
          <w:szCs w:val="16"/>
        </w:rPr>
        <w:t>s</w:t>
      </w:r>
      <w:r w:rsidRPr="007D48B0">
        <w:rPr>
          <w:rFonts w:ascii="Verdana" w:hAnsi="Verdana" w:cs="Arial"/>
          <w:sz w:val="16"/>
          <w:szCs w:val="16"/>
        </w:rPr>
        <w:t xml:space="preserve"> causal</w:t>
      </w:r>
      <w:r>
        <w:rPr>
          <w:rFonts w:ascii="Verdana" w:hAnsi="Verdana" w:cs="Arial"/>
          <w:sz w:val="16"/>
          <w:szCs w:val="16"/>
        </w:rPr>
        <w:t>es</w:t>
      </w:r>
      <w:r w:rsidRPr="007D48B0">
        <w:rPr>
          <w:rFonts w:ascii="Verdana" w:hAnsi="Verdana" w:cs="Arial"/>
          <w:sz w:val="16"/>
          <w:szCs w:val="16"/>
        </w:rPr>
        <w:t xml:space="preserve"> de rechazo en dicho pliego tipo: </w:t>
      </w:r>
      <w:r>
        <w:rPr>
          <w:rFonts w:ascii="Verdana" w:hAnsi="Verdana" w:cs="Arial"/>
          <w:sz w:val="16"/>
          <w:szCs w:val="16"/>
        </w:rPr>
        <w:t>i) “W</w:t>
      </w:r>
      <w:r w:rsidRPr="007D48B0">
        <w:rPr>
          <w:rFonts w:ascii="Verdana" w:hAnsi="Verdana" w:cs="Arial"/>
          <w:sz w:val="16"/>
          <w:szCs w:val="16"/>
        </w:rPr>
        <w:t xml:space="preserve">. </w:t>
      </w:r>
      <w:r w:rsidRPr="007D48B0">
        <w:rPr>
          <w:rFonts w:ascii="Verdana" w:eastAsiaTheme="minorEastAsia" w:hAnsi="Verdana" w:cs="Arial"/>
          <w:color w:val="000000" w:themeColor="text1"/>
          <w:sz w:val="16"/>
          <w:szCs w:val="16"/>
          <w:lang w:eastAsia="es-CO"/>
        </w:rPr>
        <w:t>Que el proponente no haya presentado la manifestación de interés para participar en el proceso de selección, y aun así haya presentado propuesta</w:t>
      </w:r>
      <w:r>
        <w:rPr>
          <w:rFonts w:ascii="Verdana" w:eastAsiaTheme="minorEastAsia" w:hAnsi="Verdana" w:cs="Arial"/>
          <w:color w:val="000000" w:themeColor="text1"/>
          <w:sz w:val="16"/>
          <w:szCs w:val="16"/>
          <w:lang w:eastAsia="es-CO"/>
        </w:rPr>
        <w:t xml:space="preserve">”, </w:t>
      </w:r>
      <w:proofErr w:type="spellStart"/>
      <w:r>
        <w:rPr>
          <w:rFonts w:ascii="Verdana" w:eastAsiaTheme="minorEastAsia" w:hAnsi="Verdana" w:cs="Arial"/>
          <w:color w:val="000000" w:themeColor="text1"/>
          <w:sz w:val="16"/>
          <w:szCs w:val="16"/>
          <w:lang w:eastAsia="es-CO"/>
        </w:rPr>
        <w:t>ii</w:t>
      </w:r>
      <w:proofErr w:type="spellEnd"/>
      <w:r>
        <w:rPr>
          <w:rFonts w:ascii="Verdana" w:eastAsiaTheme="minorEastAsia" w:hAnsi="Verdana" w:cs="Arial"/>
          <w:color w:val="000000" w:themeColor="text1"/>
          <w:sz w:val="16"/>
          <w:szCs w:val="16"/>
          <w:lang w:eastAsia="es-CO"/>
        </w:rPr>
        <w:t>) “</w:t>
      </w:r>
      <w:r w:rsidRPr="004F285C">
        <w:rPr>
          <w:rFonts w:ascii="Verdana" w:eastAsiaTheme="minorEastAsia" w:hAnsi="Verdana" w:cs="Arial"/>
          <w:color w:val="000000" w:themeColor="text1"/>
          <w:sz w:val="16"/>
          <w:szCs w:val="16"/>
          <w:lang w:eastAsia="es-CO"/>
        </w:rPr>
        <w:t>AA.</w:t>
      </w:r>
      <w:r>
        <w:rPr>
          <w:rFonts w:ascii="Verdana" w:eastAsiaTheme="minorEastAsia" w:hAnsi="Verdana" w:cs="Arial"/>
          <w:color w:val="000000" w:themeColor="text1"/>
          <w:sz w:val="16"/>
          <w:szCs w:val="16"/>
          <w:lang w:eastAsia="es-CO"/>
        </w:rPr>
        <w:t xml:space="preserve"> </w:t>
      </w:r>
      <w:r w:rsidRPr="004F285C">
        <w:rPr>
          <w:rFonts w:ascii="Verdana" w:eastAsiaTheme="minorEastAsia" w:hAnsi="Verdana" w:cs="Arial"/>
          <w:color w:val="000000" w:themeColor="text1"/>
          <w:sz w:val="16"/>
          <w:szCs w:val="16"/>
          <w:lang w:eastAsia="es-CO"/>
        </w:rPr>
        <w:t>Cuando un proponente plural presente oferta con integrantes diferentes a los que manifestaron interés, aunque se mantenga la misma cantidad de miembros</w:t>
      </w:r>
      <w:r>
        <w:rPr>
          <w:rFonts w:ascii="Verdana" w:eastAsiaTheme="minorEastAsia" w:hAnsi="Verdana" w:cs="Arial"/>
          <w:color w:val="000000" w:themeColor="text1"/>
          <w:sz w:val="16"/>
          <w:szCs w:val="16"/>
          <w:lang w:eastAsia="es-CO"/>
        </w:rPr>
        <w:t xml:space="preserve">”, </w:t>
      </w:r>
      <w:proofErr w:type="spellStart"/>
      <w:r>
        <w:rPr>
          <w:rFonts w:ascii="Verdana" w:eastAsiaTheme="minorEastAsia" w:hAnsi="Verdana" w:cs="Arial"/>
          <w:color w:val="000000" w:themeColor="text1"/>
          <w:sz w:val="16"/>
          <w:szCs w:val="16"/>
          <w:lang w:eastAsia="es-CO"/>
        </w:rPr>
        <w:t>iii</w:t>
      </w:r>
      <w:proofErr w:type="spellEnd"/>
      <w:r>
        <w:rPr>
          <w:rFonts w:ascii="Verdana" w:eastAsiaTheme="minorEastAsia" w:hAnsi="Verdana" w:cs="Arial"/>
          <w:color w:val="000000" w:themeColor="text1"/>
          <w:sz w:val="16"/>
          <w:szCs w:val="16"/>
          <w:lang w:eastAsia="es-CO"/>
        </w:rPr>
        <w:t>) “</w:t>
      </w:r>
      <w:r w:rsidRPr="004F285C">
        <w:rPr>
          <w:rFonts w:ascii="Verdana" w:eastAsiaTheme="minorEastAsia" w:hAnsi="Verdana" w:cs="Arial"/>
          <w:color w:val="000000" w:themeColor="text1"/>
          <w:sz w:val="16"/>
          <w:szCs w:val="16"/>
          <w:lang w:eastAsia="es-CO"/>
        </w:rPr>
        <w:t>BB.</w:t>
      </w:r>
      <w:r>
        <w:rPr>
          <w:rFonts w:ascii="Verdana" w:eastAsiaTheme="minorEastAsia" w:hAnsi="Verdana" w:cs="Arial"/>
          <w:color w:val="000000" w:themeColor="text1"/>
          <w:sz w:val="16"/>
          <w:szCs w:val="16"/>
          <w:lang w:eastAsia="es-CO"/>
        </w:rPr>
        <w:t xml:space="preserve"> </w:t>
      </w:r>
      <w:r w:rsidRPr="004F285C">
        <w:rPr>
          <w:rFonts w:ascii="Verdana" w:eastAsiaTheme="minorEastAsia" w:hAnsi="Verdana" w:cs="Arial"/>
          <w:color w:val="000000" w:themeColor="text1"/>
          <w:sz w:val="16"/>
          <w:szCs w:val="16"/>
          <w:lang w:eastAsia="es-CO"/>
        </w:rPr>
        <w:t>Cuando un proponente plural manifiesta interés, pero al presentar la oferta solo lo hace uno de los miembros, como proponente singular</w:t>
      </w:r>
      <w:r>
        <w:rPr>
          <w:rFonts w:ascii="Verdana" w:eastAsiaTheme="minorEastAsia" w:hAnsi="Verdana" w:cs="Arial"/>
          <w:color w:val="000000" w:themeColor="text1"/>
          <w:sz w:val="16"/>
          <w:szCs w:val="16"/>
          <w:lang w:eastAsia="es-CO"/>
        </w:rPr>
        <w:t xml:space="preserve">” y </w:t>
      </w:r>
      <w:proofErr w:type="spellStart"/>
      <w:r>
        <w:rPr>
          <w:rFonts w:ascii="Verdana" w:eastAsiaTheme="minorEastAsia" w:hAnsi="Verdana" w:cs="Arial"/>
          <w:color w:val="000000" w:themeColor="text1"/>
          <w:sz w:val="16"/>
          <w:szCs w:val="16"/>
          <w:lang w:eastAsia="es-CO"/>
        </w:rPr>
        <w:t>iv</w:t>
      </w:r>
      <w:proofErr w:type="spellEnd"/>
      <w:r>
        <w:rPr>
          <w:rFonts w:ascii="Verdana" w:eastAsiaTheme="minorEastAsia" w:hAnsi="Verdana" w:cs="Arial"/>
          <w:color w:val="000000" w:themeColor="text1"/>
          <w:sz w:val="16"/>
          <w:szCs w:val="16"/>
          <w:lang w:eastAsia="es-CO"/>
        </w:rPr>
        <w:t>) “</w:t>
      </w:r>
      <w:r w:rsidRPr="004F285C">
        <w:rPr>
          <w:rFonts w:ascii="Verdana" w:eastAsiaTheme="minorEastAsia" w:hAnsi="Verdana" w:cs="Arial"/>
          <w:color w:val="000000" w:themeColor="text1"/>
          <w:sz w:val="16"/>
          <w:szCs w:val="16"/>
          <w:lang w:eastAsia="es-CO"/>
        </w:rPr>
        <w:t>CC.</w:t>
      </w:r>
      <w:r>
        <w:rPr>
          <w:rFonts w:ascii="Verdana" w:eastAsiaTheme="minorEastAsia" w:hAnsi="Verdana" w:cs="Arial"/>
          <w:color w:val="000000" w:themeColor="text1"/>
          <w:sz w:val="16"/>
          <w:szCs w:val="16"/>
          <w:lang w:eastAsia="es-CO"/>
        </w:rPr>
        <w:t xml:space="preserve"> </w:t>
      </w:r>
      <w:r w:rsidRPr="004F285C">
        <w:rPr>
          <w:rFonts w:ascii="Verdana" w:eastAsiaTheme="minorEastAsia" w:hAnsi="Verdana" w:cs="Arial"/>
          <w:color w:val="000000" w:themeColor="text1"/>
          <w:sz w:val="16"/>
          <w:szCs w:val="16"/>
          <w:lang w:eastAsia="es-CO"/>
        </w:rPr>
        <w:t>Cuando un proponente plural presente oferta con un número de integrantes mayor de los que manifestaron interés</w:t>
      </w:r>
      <w:r>
        <w:rPr>
          <w:rFonts w:ascii="Verdana" w:eastAsiaTheme="minorEastAsia" w:hAnsi="Verdana" w:cs="Arial"/>
          <w:color w:val="000000" w:themeColor="text1"/>
          <w:sz w:val="16"/>
          <w:szCs w:val="16"/>
          <w:lang w:eastAsia="es-CO"/>
        </w:rPr>
        <w:t>”</w:t>
      </w:r>
      <w:r w:rsidRPr="007D48B0">
        <w:rPr>
          <w:rFonts w:ascii="Verdana" w:eastAsiaTheme="minorEastAsia" w:hAnsi="Verdana" w:cs="Arial"/>
          <w:color w:val="000000" w:themeColor="text1"/>
          <w:sz w:val="16"/>
          <w:szCs w:val="16"/>
          <w:lang w:eastAsia="es-CO"/>
        </w:rPr>
        <w:t>.</w:t>
      </w:r>
    </w:p>
  </w:footnote>
  <w:footnote w:id="6">
    <w:p w14:paraId="24DC7AF2" w14:textId="77777777" w:rsidR="00936F20" w:rsidRPr="007D48B0" w:rsidRDefault="00936F20" w:rsidP="00936F20">
      <w:pPr>
        <w:pStyle w:val="Textonotapie"/>
        <w:ind w:firstLine="708"/>
        <w:jc w:val="both"/>
        <w:rPr>
          <w:rFonts w:ascii="Verdana" w:hAnsi="Verdana" w:cs="Arial"/>
          <w:sz w:val="16"/>
          <w:szCs w:val="16"/>
          <w:lang w:val="es-CO"/>
        </w:rPr>
      </w:pPr>
      <w:r w:rsidRPr="007D48B0">
        <w:rPr>
          <w:rStyle w:val="Refdenotaalpie"/>
          <w:rFonts w:ascii="Verdana" w:hAnsi="Verdana" w:cs="Arial"/>
          <w:sz w:val="16"/>
          <w:szCs w:val="16"/>
        </w:rPr>
        <w:footnoteRef/>
      </w:r>
      <w:r w:rsidRPr="007D48B0">
        <w:rPr>
          <w:rFonts w:ascii="Verdana" w:hAnsi="Verdana" w:cs="Arial"/>
          <w:sz w:val="16"/>
          <w:szCs w:val="16"/>
        </w:rPr>
        <w:t xml:space="preserve"> En </w:t>
      </w:r>
      <w:r w:rsidRPr="003C6FAD">
        <w:rPr>
          <w:rFonts w:ascii="Verdana" w:hAnsi="Verdana" w:cs="Arial"/>
          <w:sz w:val="16"/>
          <w:szCs w:val="16"/>
        </w:rPr>
        <w:t>lo pertinente, el Formato 10 dispone que “</w:t>
      </w:r>
      <w:r w:rsidRPr="003C6FAD">
        <w:rPr>
          <w:rFonts w:ascii="Verdana" w:hAnsi="Verdana" w:cs="Arial"/>
          <w:sz w:val="16"/>
          <w:szCs w:val="16"/>
          <w:lang w:val="es-CO"/>
        </w:rPr>
        <w:t>Los suscritos, [nombre del Representante Legal del integrante 1] y [nombre del Representante Legal del integrante 2] debidamente autorizados para actuar en nombre y representación</w:t>
      </w:r>
      <w:r w:rsidRPr="007D48B0">
        <w:rPr>
          <w:rFonts w:ascii="Verdana" w:hAnsi="Verdana" w:cs="Arial"/>
          <w:sz w:val="16"/>
          <w:szCs w:val="16"/>
          <w:lang w:val="es-CO"/>
        </w:rPr>
        <w:t xml:space="preserve"> </w:t>
      </w:r>
      <w:r w:rsidRPr="00DC7FBB">
        <w:rPr>
          <w:rFonts w:ascii="Verdana" w:hAnsi="Verdana" w:cs="Arial"/>
          <w:sz w:val="16"/>
          <w:szCs w:val="16"/>
          <w:lang w:val="es-CO"/>
        </w:rPr>
        <w:t>de [nombre o razón social del integrante 1] y [nombre o razón social del integrante 2] [Se incluirán tantas personas naturales o jurídicas, como integrantes tenga el oferente plural], respectivamente, manifestamos nuestra intención de participar en el presente proceso de contratación, manifestación con la cual adjuntamos los documentos requeridos para acreditar la existencia de la persona jurídica o de persona natural [Según corresponda para cada uno de los integrantes],</w:t>
      </w:r>
      <w:r w:rsidRPr="007D48B0">
        <w:rPr>
          <w:rFonts w:ascii="Verdana" w:hAnsi="Verdana" w:cs="Arial"/>
          <w:sz w:val="16"/>
          <w:szCs w:val="16"/>
          <w:lang w:val="es-CO"/>
        </w:rPr>
        <w:t xml:space="preserve"> conforme a la ley y al numeral 3.3 del Documento Base</w:t>
      </w:r>
      <w:r>
        <w:rPr>
          <w:rFonts w:ascii="Verdana" w:hAnsi="Verdana" w:cs="Arial"/>
          <w:sz w:val="16"/>
          <w:szCs w:val="16"/>
          <w:lang w:val="es-CO"/>
        </w:rPr>
        <w:t>”</w:t>
      </w:r>
      <w:r w:rsidRPr="007D48B0">
        <w:rPr>
          <w:rFonts w:ascii="Verdana" w:hAnsi="Verdana" w:cs="Arial"/>
          <w:sz w:val="16"/>
          <w:szCs w:val="16"/>
          <w:lang w:val="es-CO"/>
        </w:rPr>
        <w:t>.</w:t>
      </w:r>
    </w:p>
  </w:footnote>
  <w:footnote w:id="7">
    <w:p w14:paraId="396568C9" w14:textId="77777777" w:rsidR="00936F20" w:rsidRPr="007D48B0" w:rsidRDefault="00936F20" w:rsidP="00936F20">
      <w:pPr>
        <w:pStyle w:val="Textonotapie"/>
        <w:ind w:firstLine="708"/>
        <w:jc w:val="both"/>
        <w:rPr>
          <w:rFonts w:ascii="Verdana" w:hAnsi="Verdana" w:cs="Arial"/>
          <w:bCs/>
          <w:sz w:val="16"/>
          <w:szCs w:val="16"/>
          <w:lang w:val="es-ES"/>
        </w:rPr>
      </w:pPr>
      <w:r w:rsidRPr="007D48B0">
        <w:rPr>
          <w:rStyle w:val="Refdenotaalpie"/>
          <w:rFonts w:ascii="Verdana" w:hAnsi="Verdana" w:cs="Arial"/>
          <w:sz w:val="16"/>
          <w:szCs w:val="16"/>
        </w:rPr>
        <w:footnoteRef/>
      </w:r>
      <w:r w:rsidRPr="007D48B0">
        <w:rPr>
          <w:rFonts w:ascii="Verdana" w:hAnsi="Verdana" w:cs="Arial"/>
          <w:sz w:val="16"/>
          <w:szCs w:val="16"/>
        </w:rPr>
        <w:t xml:space="preserve"> Bajo esta orientación, </w:t>
      </w:r>
      <w:r w:rsidRPr="007D48B0">
        <w:rPr>
          <w:rFonts w:ascii="Verdana" w:hAnsi="Verdana" w:cs="Arial"/>
          <w:sz w:val="16"/>
          <w:szCs w:val="16"/>
          <w:lang w:val="es-CO"/>
        </w:rPr>
        <w:t xml:space="preserve">la Agencia </w:t>
      </w:r>
      <w:r w:rsidRPr="007D48B0">
        <w:rPr>
          <w:rFonts w:ascii="Verdana" w:hAnsi="Verdana" w:cs="Arial"/>
          <w:bCs/>
          <w:sz w:val="16"/>
          <w:szCs w:val="16"/>
          <w:lang w:val="es-ES"/>
        </w:rPr>
        <w:t xml:space="preserve">ha indicado en la Guía de Creación de proponentes plurales en el SECOP II, así como en la Guía para manifestar interés en el </w:t>
      </w:r>
      <w:proofErr w:type="spellStart"/>
      <w:r w:rsidRPr="007D48B0">
        <w:rPr>
          <w:rFonts w:ascii="Verdana" w:hAnsi="Verdana" w:cs="Arial"/>
          <w:bCs/>
          <w:sz w:val="16"/>
          <w:szCs w:val="16"/>
          <w:lang w:val="es-ES"/>
        </w:rPr>
        <w:t>Secop</w:t>
      </w:r>
      <w:proofErr w:type="spellEnd"/>
      <w:r w:rsidRPr="007D48B0">
        <w:rPr>
          <w:rFonts w:ascii="Verdana" w:hAnsi="Verdana" w:cs="Arial"/>
          <w:bCs/>
          <w:sz w:val="16"/>
          <w:szCs w:val="16"/>
          <w:lang w:val="es-ES"/>
        </w:rPr>
        <w:t xml:space="preserve"> II, que </w:t>
      </w:r>
      <w:r>
        <w:rPr>
          <w:rFonts w:ascii="Verdana" w:hAnsi="Verdana" w:cs="Arial"/>
          <w:bCs/>
          <w:sz w:val="16"/>
          <w:szCs w:val="16"/>
          <w:lang w:val="es-ES"/>
        </w:rPr>
        <w:t>“</w:t>
      </w:r>
      <w:bookmarkStart w:id="9" w:name="_Hlk105162039"/>
      <w:r w:rsidRPr="007D48B0">
        <w:rPr>
          <w:rFonts w:ascii="Verdana" w:hAnsi="Verdana" w:cs="Arial"/>
          <w:bCs/>
          <w:sz w:val="16"/>
          <w:szCs w:val="16"/>
          <w:lang w:val="es-ES"/>
        </w:rPr>
        <w:t>p</w:t>
      </w:r>
      <w:r w:rsidRPr="007D48B0">
        <w:rPr>
          <w:rFonts w:ascii="Verdana" w:hAnsi="Verdana" w:cs="Arial"/>
          <w:sz w:val="16"/>
          <w:szCs w:val="16"/>
          <w:lang w:val="es-CO"/>
        </w:rPr>
        <w:t>ara participar en Procesos de Contratación en el SECOP II como Proponente Plural (ya sea para manifestar interés, enviar observaciones, ofertas o firmar contratos), debe actuar exclusivamente desde su cuenta de Proponente Plural. Cualquier acción realizada desde la cuenta de cualquiera de los integrantes no es válida para el Proponente Plural y quedará a nombre del proponente singular</w:t>
      </w:r>
      <w:bookmarkEnd w:id="9"/>
      <w:r w:rsidRPr="007D48B0">
        <w:rPr>
          <w:rFonts w:ascii="Verdana" w:hAnsi="Verdana" w:cs="Arial"/>
          <w:sz w:val="16"/>
          <w:szCs w:val="16"/>
          <w:lang w:val="es-CO"/>
        </w:rPr>
        <w:t xml:space="preserve">. </w:t>
      </w:r>
    </w:p>
    <w:p w14:paraId="0271BCD1" w14:textId="77777777" w:rsidR="00936F20" w:rsidRDefault="00936F20" w:rsidP="00936F20">
      <w:pPr>
        <w:pStyle w:val="Textonotapie"/>
        <w:ind w:firstLine="708"/>
        <w:jc w:val="both"/>
        <w:rPr>
          <w:rFonts w:ascii="Verdana" w:hAnsi="Verdana" w:cs="Arial"/>
          <w:sz w:val="16"/>
          <w:szCs w:val="16"/>
          <w:lang w:val="es-CO"/>
        </w:rPr>
      </w:pPr>
      <w:bookmarkStart w:id="10" w:name="_Hlk105162089"/>
      <w:r w:rsidRPr="007D48B0">
        <w:rPr>
          <w:rFonts w:ascii="Verdana" w:hAnsi="Verdana" w:cs="Arial"/>
          <w:i/>
          <w:iCs/>
          <w:sz w:val="16"/>
          <w:szCs w:val="16"/>
          <w:lang w:val="es-CO"/>
        </w:rPr>
        <w:t>En los Procesos de Contratación en la modalidad de Selección Abreviada de Menor Cuantía, si quiere enviar oferta como Proponente Plural, debe enviar su manifestación de interés desde la cuenta del Proponente Plural. En el SECOP II no es posible manifestar interés como proponente singular y luego enviar la oferta como proponente plural</w:t>
      </w:r>
      <w:bookmarkEnd w:id="10"/>
      <w:r>
        <w:rPr>
          <w:rFonts w:ascii="Verdana" w:hAnsi="Verdana" w:cs="Arial"/>
          <w:sz w:val="16"/>
          <w:szCs w:val="16"/>
          <w:lang w:val="es-CO"/>
        </w:rPr>
        <w:t>”</w:t>
      </w:r>
      <w:r w:rsidRPr="007D48B0">
        <w:rPr>
          <w:rFonts w:ascii="Verdana" w:hAnsi="Verdana" w:cs="Arial"/>
          <w:sz w:val="16"/>
          <w:szCs w:val="16"/>
          <w:lang w:val="es-CO"/>
        </w:rPr>
        <w:t xml:space="preserve"> (Cfr. </w:t>
      </w:r>
      <w:hyperlink r:id="rId1" w:history="1">
        <w:r w:rsidRPr="007D48B0">
          <w:rPr>
            <w:rStyle w:val="Hipervnculo"/>
            <w:rFonts w:ascii="Verdana" w:hAnsi="Verdana" w:cs="Arial"/>
            <w:color w:val="44546A" w:themeColor="text2"/>
            <w:sz w:val="16"/>
            <w:szCs w:val="16"/>
            <w:lang w:val="es-CO"/>
          </w:rPr>
          <w:t>https://www.colombiacompra.gov.co/sites/cce_public/files/cce_step/cce-sec-gi-06provppproponenteplural07-09-2020.pdf</w:t>
        </w:r>
      </w:hyperlink>
      <w:r w:rsidRPr="007D48B0">
        <w:rPr>
          <w:rFonts w:ascii="Verdana" w:hAnsi="Verdana" w:cs="Arial"/>
          <w:sz w:val="16"/>
          <w:szCs w:val="16"/>
          <w:lang w:val="es-CO"/>
        </w:rPr>
        <w:t>, énfasis fuera de texto)</w:t>
      </w:r>
      <w:r>
        <w:rPr>
          <w:rFonts w:ascii="Verdana" w:hAnsi="Verdana" w:cs="Arial"/>
          <w:sz w:val="16"/>
          <w:szCs w:val="16"/>
          <w:lang w:val="es-CO"/>
        </w:rPr>
        <w:t>.</w:t>
      </w:r>
    </w:p>
    <w:p w14:paraId="60655093" w14:textId="77777777" w:rsidR="00936F20" w:rsidRPr="007D48B0" w:rsidRDefault="00936F20" w:rsidP="00936F20">
      <w:pPr>
        <w:pStyle w:val="Textonotapie"/>
        <w:ind w:firstLine="708"/>
        <w:jc w:val="both"/>
        <w:rPr>
          <w:rFonts w:ascii="Verdana" w:hAnsi="Verdana" w:cs="Arial"/>
          <w:sz w:val="16"/>
          <w:szCs w:val="16"/>
          <w:lang w:val="es-CO"/>
        </w:rPr>
      </w:pPr>
      <w:r>
        <w:rPr>
          <w:rFonts w:ascii="Verdana" w:hAnsi="Verdana" w:cs="Arial"/>
          <w:sz w:val="16"/>
          <w:szCs w:val="16"/>
          <w:lang w:val="es-CO"/>
        </w:rPr>
        <w:t xml:space="preserve">Igualmente, el inciso final del numeral 2.3 del pliego de condiciones de los “Documentos Tipo – Versión 3” de selección </w:t>
      </w:r>
      <w:r w:rsidRPr="00580117">
        <w:rPr>
          <w:rFonts w:ascii="Verdana" w:hAnsi="Verdana" w:cs="Arial"/>
          <w:sz w:val="16"/>
          <w:szCs w:val="16"/>
          <w:lang w:val="es-CO"/>
        </w:rPr>
        <w:t>abreviada de menor cuantía para obras de infraestructura de transporte dispone que “[En los procesos de contratación adelantados por SECOP II el proponente plural debe manifestar interés utilizando el módulo correspondiente de acuerdo con la Guía para manifestar interés y la Guía para presentar Ofertas en el SECOP II, y no podrá hacerlo si solamente manifestó interés uno de los miembros del proponente plural desde su cuenta singular]”.</w:t>
      </w:r>
    </w:p>
  </w:footnote>
  <w:footnote w:id="8">
    <w:p w14:paraId="50E9945F" w14:textId="04B0F69A" w:rsidR="001A3048" w:rsidRPr="00580117" w:rsidRDefault="001A3048" w:rsidP="00580117">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Concepto C-285 del 20 de mayo de 2022. Consultar en: </w:t>
      </w:r>
      <w:hyperlink r:id="rId2" w:history="1">
        <w:r>
          <w:rPr>
            <w:rStyle w:val="Hipervnculo"/>
            <w:rFonts w:ascii="Verdana" w:hAnsi="Verdana"/>
            <w:sz w:val="16"/>
            <w:szCs w:val="16"/>
          </w:rPr>
          <w:t>https://relatoria.colombiacompra.gov.co/conceptos/c-285-de-2022/</w:t>
        </w:r>
      </w:hyperlink>
    </w:p>
  </w:footnote>
  <w:footnote w:id="9">
    <w:p w14:paraId="2BEDE55E" w14:textId="77777777" w:rsidR="001A3048" w:rsidRDefault="001A3048" w:rsidP="001A3048">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Concepto C-447 del 19 de septiembre de 2024. Consultar en: </w:t>
      </w:r>
      <w:hyperlink r:id="rId3" w:history="1">
        <w:r>
          <w:rPr>
            <w:rStyle w:val="Hipervnculo"/>
            <w:rFonts w:ascii="Verdana" w:hAnsi="Verdana"/>
            <w:sz w:val="16"/>
            <w:szCs w:val="16"/>
          </w:rPr>
          <w:t>https://relatoria.colombiacompra.gov.co/conceptos/c-447-de-2024/</w:t>
        </w:r>
      </w:hyperlink>
      <w:r>
        <w:rPr>
          <w:rFonts w:ascii="Verdana" w:hAnsi="Verdana"/>
          <w:sz w:val="16"/>
          <w:szCs w:val="16"/>
        </w:rPr>
        <w:t xml:space="preserve"> </w:t>
      </w:r>
    </w:p>
    <w:p w14:paraId="60850D5B" w14:textId="77777777" w:rsidR="001A3048" w:rsidRDefault="001A3048" w:rsidP="001A3048">
      <w:pPr>
        <w:pStyle w:val="Textonotapie"/>
        <w:jc w:val="both"/>
        <w:rPr>
          <w:rFonts w:ascii="Verdana" w:hAnsi="Verdana"/>
          <w:sz w:val="16"/>
          <w:szCs w:val="16"/>
        </w:rPr>
      </w:pPr>
    </w:p>
  </w:footnote>
  <w:footnote w:id="10">
    <w:p w14:paraId="1968DD2B" w14:textId="394216B8" w:rsidR="001A3048" w:rsidRDefault="001A3048" w:rsidP="003320E9">
      <w:pPr>
        <w:pStyle w:val="Textonotapie"/>
        <w:ind w:firstLine="709"/>
        <w:jc w:val="both"/>
        <w:rPr>
          <w:rFonts w:ascii="Verdana" w:hAnsi="Verdana" w:cs="Arial"/>
          <w:color w:val="000000"/>
          <w:sz w:val="16"/>
          <w:szCs w:val="16"/>
        </w:rPr>
      </w:pPr>
      <w:r>
        <w:rPr>
          <w:rStyle w:val="Refdenotaalpie"/>
          <w:rFonts w:ascii="Verdana" w:hAnsi="Verdana" w:cs="Arial"/>
          <w:color w:val="000000"/>
          <w:sz w:val="16"/>
          <w:szCs w:val="16"/>
        </w:rPr>
        <w:footnoteRef/>
      </w:r>
      <w:r>
        <w:rPr>
          <w:rStyle w:val="Refdenotaalpie"/>
          <w:rFonts w:ascii="Verdana" w:hAnsi="Verdana" w:cs="Arial"/>
          <w:color w:val="000000"/>
          <w:sz w:val="16"/>
          <w:szCs w:val="16"/>
        </w:rPr>
        <w:t xml:space="preserve"> </w:t>
      </w:r>
      <w:r>
        <w:rPr>
          <w:rFonts w:ascii="Verdana" w:hAnsi="Verdana" w:cs="Arial"/>
          <w:color w:val="000000"/>
          <w:sz w:val="16"/>
          <w:szCs w:val="16"/>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footnote>
  <w:footnote w:id="11">
    <w:p w14:paraId="0F2178B1" w14:textId="77777777" w:rsidR="001A3048" w:rsidRDefault="001A3048" w:rsidP="001A3048">
      <w:pPr>
        <w:pStyle w:val="Textonotapie"/>
        <w:ind w:firstLine="709"/>
        <w:jc w:val="both"/>
        <w:rPr>
          <w:rFonts w:ascii="Verdana" w:hAnsi="Verdana" w:cs="Arial"/>
          <w:color w:val="000000"/>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hAnsi="Verdana" w:cs="Arial"/>
          <w:color w:val="000000"/>
          <w:sz w:val="16"/>
          <w:szCs w:val="16"/>
        </w:rPr>
        <w:t xml:space="preserve">En armonía con lo anterior, actualmente la Circular Externa Única de Colombia Compra Eficiente señala lo siguiente: “De otro lado, cabe destacar que, de conformidad con el artículo 5 de la Ley 1882 de 2018, durante el término otorgado para subsanar, los proponentes no podrán acreditar circunstancias ocurridas luego del cierre del proceso. De esta manera, es subsanable la prueba de todas las circunstancias ocurridas antes del vencimiento del término para presentar las ofertas, por lo que no se podrán acreditar circunstancias ocurridas con posterioridad a dicho momento. </w:t>
      </w:r>
    </w:p>
    <w:p w14:paraId="69E20F69" w14:textId="7025E880" w:rsidR="001A3048" w:rsidRDefault="001A3048" w:rsidP="001A3048">
      <w:pPr>
        <w:pStyle w:val="Textonotapie"/>
        <w:ind w:firstLine="709"/>
        <w:jc w:val="both"/>
        <w:rPr>
          <w:rFonts w:ascii="Verdana" w:hAnsi="Verdana" w:cs="Arial"/>
          <w:color w:val="000000"/>
          <w:sz w:val="16"/>
          <w:szCs w:val="16"/>
        </w:rPr>
      </w:pPr>
      <w:r>
        <w:rPr>
          <w:rFonts w:ascii="Verdana" w:hAnsi="Verdana" w:cs="Arial"/>
          <w:color w:val="000000"/>
          <w:sz w:val="16"/>
          <w:szCs w:val="16"/>
        </w:rPr>
        <w:t xml:space="preserve">Lo anterior quiere decir que no es la prueba lo que debe ser anterior al cierre del proceso, sino el hecho que esta acredita. En ese sentido, ante la solicitud de la Administración de subsanar un requisito, el documento podría estar fechado con posterioridad al vencimiento del término para recibir propuestas, con la condición de que el hecho que acredite haya ocurrido antes, esto es, que no sea una circunstancia ocurrida con posterioridad al cierre del proceso. Un mejor entendimiento del significado de la expresión «circunstancias ocurridas con posterioridad al cierre del proceso» implica distinguir entre la prueba de un hecho y el hecho mismo. En el caso de la </w:t>
      </w:r>
      <w:proofErr w:type="spellStart"/>
      <w:r>
        <w:rPr>
          <w:rFonts w:ascii="Verdana" w:hAnsi="Verdana" w:cs="Arial"/>
          <w:color w:val="000000"/>
          <w:sz w:val="16"/>
          <w:szCs w:val="16"/>
        </w:rPr>
        <w:t>subsanabilidad</w:t>
      </w:r>
      <w:proofErr w:type="spellEnd"/>
      <w:r>
        <w:rPr>
          <w:rFonts w:ascii="Verdana" w:hAnsi="Verdana" w:cs="Arial"/>
          <w:color w:val="000000"/>
          <w:sz w:val="16"/>
          <w:szCs w:val="16"/>
        </w:rPr>
        <w:t xml:space="preserve"> de las ofertas, una cosa es el requisito habilitante o el elemento de la propuesta que permite cumplir determinada exigencia del pliego de condiciones –o documento equivalente– y otra su prueba. Lo que prohíbe la norma es que se subsanen requisitos que no estaban materialmente cumplidos al momento del cierre del proceso”. Disponible en: </w:t>
      </w:r>
      <w:hyperlink r:id="rId4" w:history="1">
        <w:r>
          <w:rPr>
            <w:rStyle w:val="Hipervnculo"/>
            <w:rFonts w:ascii="Verdana" w:hAnsi="Verdana" w:cs="Arial"/>
            <w:sz w:val="16"/>
            <w:szCs w:val="16"/>
          </w:rPr>
          <w:t>https://www.colombiacompra.gov.co/circulares?page=2</w:t>
        </w:r>
      </w:hyperlink>
      <w:r>
        <w:rPr>
          <w:rStyle w:val="Hipervnculo"/>
          <w:rFonts w:ascii="Verdana" w:hAnsi="Verdana" w:cs="Arial"/>
          <w:color w:val="000000"/>
          <w:sz w:val="16"/>
          <w:szCs w:val="16"/>
        </w:rPr>
        <w:t xml:space="preserve"> </w:t>
      </w:r>
    </w:p>
  </w:footnote>
  <w:footnote w:id="12">
    <w:p w14:paraId="207623CF" w14:textId="77777777" w:rsidR="001A3048" w:rsidRDefault="001A3048" w:rsidP="001A3048">
      <w:pPr>
        <w:pStyle w:val="Textonotapie"/>
        <w:ind w:firstLine="709"/>
        <w:jc w:val="both"/>
        <w:rPr>
          <w:rFonts w:ascii="Verdana" w:hAnsi="Verdana" w:cs="Arial"/>
          <w:color w:val="000000"/>
          <w:sz w:val="16"/>
          <w:szCs w:val="16"/>
        </w:rPr>
      </w:pPr>
      <w:r>
        <w:rPr>
          <w:rStyle w:val="Refdenotaalpie"/>
          <w:rFonts w:ascii="Verdana" w:hAnsi="Verdana" w:cs="Arial"/>
          <w:color w:val="000000"/>
          <w:sz w:val="16"/>
          <w:szCs w:val="16"/>
        </w:rPr>
        <w:footnoteRef/>
      </w:r>
      <w:r>
        <w:rPr>
          <w:rFonts w:ascii="Verdana" w:hAnsi="Verdana" w:cs="Arial"/>
          <w:color w:val="000000"/>
          <w:sz w:val="16"/>
          <w:szCs w:val="16"/>
        </w:rPr>
        <w:t xml:space="preserve"> Ver CONSEJO DE ESTADO, Sección Tercera, Subsección C. Sentencia del 26 de febrero de 2011. C.P. Jaime Orlando Santofimio. Rad. 36.408. </w:t>
      </w:r>
    </w:p>
  </w:footnote>
  <w:footnote w:id="13">
    <w:p w14:paraId="4D9FBB97" w14:textId="77777777" w:rsidR="001A3048" w:rsidRDefault="001A3048" w:rsidP="001A3048">
      <w:pPr>
        <w:pStyle w:val="Textonotapie"/>
        <w:ind w:firstLine="709"/>
        <w:jc w:val="both"/>
        <w:rPr>
          <w:rFonts w:ascii="Verdana" w:hAnsi="Verdana" w:cs="Arial"/>
          <w:color w:val="000000"/>
          <w:sz w:val="16"/>
          <w:szCs w:val="16"/>
        </w:rPr>
      </w:pPr>
      <w:r>
        <w:rPr>
          <w:rStyle w:val="Refdenotaalpie"/>
          <w:rFonts w:ascii="Verdana" w:hAnsi="Verdana" w:cs="Arial"/>
          <w:color w:val="000000"/>
          <w:sz w:val="16"/>
          <w:szCs w:val="16"/>
        </w:rPr>
        <w:footnoteRef/>
      </w:r>
      <w:r>
        <w:rPr>
          <w:rFonts w:ascii="Verdana" w:hAnsi="Verdana" w:cs="Arial"/>
          <w:color w:val="000000"/>
          <w:sz w:val="16"/>
          <w:szCs w:val="16"/>
        </w:rPr>
        <w:t xml:space="preserve"> Ver CONSEJO DE ESTADO, Sección Tercera, Subsección C. Sentencia del 26 de febrero de 2014. C.P. Enrique Gil Botero. Rad. 25.804. </w:t>
      </w:r>
    </w:p>
    <w:p w14:paraId="03EC7131" w14:textId="77777777" w:rsidR="001A3048" w:rsidRDefault="001A3048" w:rsidP="001A3048">
      <w:pPr>
        <w:pStyle w:val="Textonotapie"/>
        <w:ind w:firstLine="709"/>
        <w:jc w:val="both"/>
        <w:rPr>
          <w:rFonts w:ascii="Verdana" w:hAnsi="Verdana" w:cs="Arial"/>
          <w:color w:val="000000"/>
          <w:sz w:val="16"/>
          <w:szCs w:val="16"/>
        </w:rPr>
      </w:pPr>
    </w:p>
  </w:footnote>
  <w:footnote w:id="14">
    <w:p w14:paraId="612413F4" w14:textId="6A6FED9A"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hAnsi="Verdana" w:cs="Arial"/>
          <w:color w:val="000000" w:themeColor="text1"/>
          <w:sz w:val="16"/>
          <w:szCs w:val="16"/>
          <w:vertAlign w:val="superscript"/>
        </w:rPr>
        <w:footnoteRef/>
      </w:r>
      <w:r w:rsidRPr="00E8380C">
        <w:rPr>
          <w:rFonts w:ascii="Verdana" w:eastAsia="Arial" w:hAnsi="Verdana" w:cs="Arial"/>
          <w:color w:val="000000" w:themeColor="text1"/>
          <w:sz w:val="16"/>
          <w:szCs w:val="16"/>
          <w:lang w:val="pt-PT"/>
        </w:rPr>
        <w:t xml:space="preserve">  </w:t>
      </w:r>
      <w:r w:rsidRPr="00E8380C">
        <w:rPr>
          <w:rFonts w:ascii="Verdana" w:eastAsia="Arial" w:hAnsi="Verdana" w:cs="Arial"/>
          <w:color w:val="000000" w:themeColor="text1"/>
          <w:sz w:val="16"/>
          <w:szCs w:val="16"/>
          <w:lang w:val="pt-PT"/>
        </w:rPr>
        <w:t xml:space="preserve">RODRÍGUEZ TAMAYO, Mauricio Fernando. </w:t>
      </w:r>
      <w:r>
        <w:rPr>
          <w:rFonts w:ascii="Verdana" w:eastAsia="Arial" w:hAnsi="Verdana" w:cs="Arial"/>
          <w:color w:val="000000" w:themeColor="text1"/>
          <w:sz w:val="16"/>
          <w:szCs w:val="16"/>
        </w:rPr>
        <w:t xml:space="preserve">Evaluación y rechazo de ofertas en la Ley 80 de 1993. Medellín: Librería Jurídica Sánchez, 2016. p. 190. </w:t>
      </w:r>
    </w:p>
  </w:footnote>
  <w:footnote w:id="15">
    <w:p w14:paraId="401E6EED" w14:textId="77777777"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hAnsi="Verdana" w:cs="Arial"/>
          <w:color w:val="000000" w:themeColor="text1"/>
          <w:sz w:val="16"/>
          <w:szCs w:val="16"/>
          <w:vertAlign w:val="superscript"/>
        </w:rPr>
        <w:footnoteRef/>
      </w:r>
      <w:r>
        <w:rPr>
          <w:rFonts w:ascii="Verdana" w:eastAsia="Arial" w:hAnsi="Verdana" w:cs="Arial"/>
          <w:color w:val="000000" w:themeColor="text1"/>
          <w:sz w:val="16"/>
          <w:szCs w:val="16"/>
        </w:rPr>
        <w:t xml:space="preserve">  Ley 80 de 1993 “</w:t>
      </w:r>
      <w:r>
        <w:rPr>
          <w:rFonts w:ascii="Verdana" w:eastAsia="Arial" w:hAnsi="Verdana" w:cs="Arial"/>
          <w:bCs/>
          <w:color w:val="000000" w:themeColor="text1"/>
          <w:sz w:val="16"/>
          <w:szCs w:val="16"/>
        </w:rPr>
        <w:t>Articulo 24. Del principio de transparencia. </w:t>
      </w:r>
      <w:r>
        <w:rPr>
          <w:rFonts w:ascii="Verdana" w:eastAsia="Arial" w:hAnsi="Verdana" w:cs="Arial"/>
          <w:color w:val="000000" w:themeColor="text1"/>
          <w:sz w:val="16"/>
          <w:szCs w:val="16"/>
        </w:rPr>
        <w:t xml:space="preserve">En virtud de este principio: </w:t>
      </w:r>
    </w:p>
    <w:p w14:paraId="6A925A87" w14:textId="77777777"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eastAsia="Arial" w:hAnsi="Verdana" w:cs="Arial"/>
          <w:color w:val="000000" w:themeColor="text1"/>
          <w:sz w:val="16"/>
          <w:szCs w:val="16"/>
        </w:rPr>
        <w:t>[…]</w:t>
      </w:r>
    </w:p>
    <w:p w14:paraId="0BA7E47B" w14:textId="77777777"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eastAsia="Arial" w:hAnsi="Verdana" w:cs="Arial"/>
          <w:color w:val="000000" w:themeColor="text1"/>
          <w:sz w:val="16"/>
          <w:szCs w:val="16"/>
        </w:rPr>
        <w:t>5o. En los pliegos de condiciones:</w:t>
      </w:r>
    </w:p>
    <w:p w14:paraId="42F50AB1" w14:textId="77777777"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eastAsia="Arial" w:hAnsi="Verdana" w:cs="Arial"/>
          <w:color w:val="000000" w:themeColor="text1"/>
          <w:sz w:val="16"/>
          <w:szCs w:val="16"/>
        </w:rPr>
        <w:t>[…]</w:t>
      </w:r>
    </w:p>
    <w:p w14:paraId="3EDA6E1B" w14:textId="6787D71D"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eastAsia="Arial" w:hAnsi="Verdana" w:cs="Arial"/>
          <w:color w:val="000000" w:themeColor="text1"/>
          <w:sz w:val="16"/>
          <w:szCs w:val="16"/>
        </w:rPr>
        <w:t>b) Se definirán reglas objetivas, justas, claras y completas que permitan la confección de ofrecimientos de la misma índole, aseguren una escogencia objetiva y eviten la declaratoria de desierta de la licitación […]”.</w:t>
      </w:r>
    </w:p>
  </w:footnote>
  <w:footnote w:id="16">
    <w:p w14:paraId="5CBEE9F5" w14:textId="77777777"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hAnsi="Verdana" w:cs="Arial"/>
          <w:color w:val="000000" w:themeColor="text1"/>
          <w:sz w:val="16"/>
          <w:szCs w:val="16"/>
          <w:vertAlign w:val="superscript"/>
        </w:rPr>
        <w:footnoteRef/>
      </w:r>
      <w:r>
        <w:rPr>
          <w:rFonts w:ascii="Verdana" w:eastAsia="Arial" w:hAnsi="Verdana" w:cs="Arial"/>
          <w:color w:val="000000" w:themeColor="text1"/>
          <w:sz w:val="16"/>
          <w:szCs w:val="16"/>
        </w:rPr>
        <w:t xml:space="preserve"> Decreto 1082 de 2015 “Artículo 2.2.1.1.2.1.3. Pliegos de condiciones. Los pliegos de condiciones deben contener por lo menos la siguiente información</w:t>
      </w:r>
    </w:p>
    <w:p w14:paraId="23224847" w14:textId="77777777"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eastAsia="Arial" w:hAnsi="Verdana" w:cs="Arial"/>
          <w:color w:val="000000" w:themeColor="text1"/>
          <w:sz w:val="16"/>
          <w:szCs w:val="16"/>
        </w:rPr>
        <w:t>[…]</w:t>
      </w:r>
    </w:p>
    <w:p w14:paraId="753B9153" w14:textId="77777777"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eastAsia="Arial" w:hAnsi="Verdana" w:cs="Arial"/>
          <w:color w:val="000000" w:themeColor="text1"/>
          <w:sz w:val="16"/>
          <w:szCs w:val="16"/>
        </w:rPr>
        <w:t>6. Las causas que dan lugar a rechazar una oferta […]”</w:t>
      </w:r>
    </w:p>
  </w:footnote>
  <w:footnote w:id="17">
    <w:p w14:paraId="6C461AC6" w14:textId="044AE755" w:rsidR="001A3048" w:rsidRDefault="001A3048" w:rsidP="001A3048">
      <w:pPr>
        <w:spacing w:after="0" w:line="240" w:lineRule="auto"/>
        <w:ind w:firstLine="709"/>
        <w:jc w:val="both"/>
        <w:rPr>
          <w:rFonts w:ascii="Verdana" w:eastAsia="Arial" w:hAnsi="Verdana" w:cs="Arial"/>
          <w:color w:val="000000" w:themeColor="text1"/>
          <w:sz w:val="16"/>
          <w:szCs w:val="16"/>
        </w:rPr>
      </w:pPr>
      <w:r>
        <w:rPr>
          <w:rFonts w:ascii="Verdana" w:hAnsi="Verdana" w:cs="Arial"/>
          <w:color w:val="000000" w:themeColor="text1"/>
          <w:sz w:val="16"/>
          <w:szCs w:val="16"/>
          <w:vertAlign w:val="superscript"/>
        </w:rPr>
        <w:footnoteRef/>
      </w:r>
      <w:r>
        <w:rPr>
          <w:rFonts w:ascii="Verdana" w:eastAsia="Arial" w:hAnsi="Verdana" w:cs="Arial"/>
          <w:color w:val="000000" w:themeColor="text1"/>
          <w:sz w:val="16"/>
          <w:szCs w:val="16"/>
        </w:rPr>
        <w:t xml:space="preserve"> CONSEJO DE ESTADO. Sección Tercera Subsección B. Sentencia del 27 de abril de 2011. Expediente No. 18.293. C.P. Ponente: Ruth Stella Correa Palacio. </w:t>
      </w:r>
    </w:p>
  </w:footnote>
  <w:footnote w:id="18">
    <w:p w14:paraId="77BD0A73" w14:textId="07458DC0" w:rsidR="00AF6D5E" w:rsidRPr="00F26E5F" w:rsidRDefault="00AF6D5E" w:rsidP="00AF6D5E">
      <w:pPr>
        <w:pStyle w:val="Textonotapie"/>
        <w:ind w:firstLine="708"/>
        <w:jc w:val="both"/>
        <w:rPr>
          <w:rFonts w:ascii="Verdana" w:hAnsi="Verdana"/>
          <w:sz w:val="16"/>
          <w:szCs w:val="16"/>
        </w:rPr>
      </w:pPr>
      <w:r w:rsidRPr="00F26E5F">
        <w:rPr>
          <w:rStyle w:val="Refdenotaalpie"/>
          <w:rFonts w:ascii="Verdana" w:hAnsi="Verdana"/>
          <w:sz w:val="16"/>
          <w:szCs w:val="16"/>
        </w:rPr>
        <w:footnoteRef/>
      </w:r>
      <w:r w:rsidRPr="00F26E5F">
        <w:rPr>
          <w:rFonts w:ascii="Verdana" w:hAnsi="Verdana"/>
          <w:sz w:val="16"/>
          <w:szCs w:val="16"/>
        </w:rPr>
        <w:t xml:space="preserve"> </w:t>
      </w:r>
      <w:r>
        <w:rPr>
          <w:rFonts w:ascii="Verdana" w:hAnsi="Verdana"/>
          <w:sz w:val="16"/>
          <w:szCs w:val="16"/>
        </w:rPr>
        <w:t xml:space="preserve">Para la doctrina, “[…] </w:t>
      </w:r>
      <w:r w:rsidRPr="00F26E5F">
        <w:rPr>
          <w:rFonts w:ascii="Verdana" w:hAnsi="Verdana"/>
          <w:sz w:val="16"/>
          <w:szCs w:val="16"/>
        </w:rPr>
        <w:t>ni el objeto (art. 2.º) ni las funciones (art. 3.º) que</w:t>
      </w:r>
      <w:r>
        <w:rPr>
          <w:rFonts w:ascii="Verdana" w:hAnsi="Verdana"/>
          <w:sz w:val="16"/>
          <w:szCs w:val="16"/>
        </w:rPr>
        <w:t xml:space="preserve"> </w:t>
      </w:r>
      <w:r w:rsidRPr="00F26E5F">
        <w:rPr>
          <w:rFonts w:ascii="Verdana" w:hAnsi="Verdana"/>
          <w:sz w:val="16"/>
          <w:szCs w:val="16"/>
        </w:rPr>
        <w:t>la ley de creación confió a la Agencia (</w:t>
      </w:r>
      <w:proofErr w:type="spellStart"/>
      <w:r w:rsidR="005F7BD9" w:rsidRPr="00F26E5F">
        <w:rPr>
          <w:rFonts w:ascii="Verdana" w:hAnsi="Verdana"/>
          <w:sz w:val="16"/>
          <w:szCs w:val="16"/>
        </w:rPr>
        <w:t>Dcto</w:t>
      </w:r>
      <w:proofErr w:type="spellEnd"/>
      <w:r w:rsidR="005F7BD9" w:rsidRPr="00F26E5F">
        <w:rPr>
          <w:rFonts w:ascii="Verdana" w:hAnsi="Verdana"/>
          <w:sz w:val="16"/>
          <w:szCs w:val="16"/>
        </w:rPr>
        <w:t>. -</w:t>
      </w:r>
      <w:r w:rsidRPr="00F26E5F">
        <w:rPr>
          <w:rFonts w:ascii="Verdana" w:hAnsi="Verdana"/>
          <w:sz w:val="16"/>
          <w:szCs w:val="16"/>
        </w:rPr>
        <w:t>Ley 4170/11)</w:t>
      </w:r>
      <w:r>
        <w:rPr>
          <w:rFonts w:ascii="Verdana" w:hAnsi="Verdana"/>
          <w:sz w:val="16"/>
          <w:szCs w:val="16"/>
        </w:rPr>
        <w:t xml:space="preserve"> </w:t>
      </w:r>
      <w:r w:rsidRPr="00F26E5F">
        <w:rPr>
          <w:rFonts w:ascii="Verdana" w:hAnsi="Verdana"/>
          <w:sz w:val="16"/>
          <w:szCs w:val="16"/>
        </w:rPr>
        <w:t>comprenden competencias normativas sobre la contratación.</w:t>
      </w:r>
      <w:r>
        <w:rPr>
          <w:rFonts w:ascii="Verdana" w:hAnsi="Verdana"/>
          <w:sz w:val="16"/>
          <w:szCs w:val="16"/>
        </w:rPr>
        <w:t xml:space="preserve"> </w:t>
      </w:r>
      <w:r w:rsidRPr="00F26E5F">
        <w:rPr>
          <w:rFonts w:ascii="Verdana" w:hAnsi="Verdana"/>
          <w:sz w:val="16"/>
          <w:szCs w:val="16"/>
        </w:rPr>
        <w:t>Aunque el numeral 2.º del artículo 3.º le confiere las funciones</w:t>
      </w:r>
      <w:r>
        <w:rPr>
          <w:rFonts w:ascii="Verdana" w:hAnsi="Verdana"/>
          <w:sz w:val="16"/>
          <w:szCs w:val="16"/>
        </w:rPr>
        <w:t xml:space="preserve"> </w:t>
      </w:r>
      <w:r w:rsidRPr="00F26E5F">
        <w:rPr>
          <w:rFonts w:ascii="Verdana" w:hAnsi="Verdana"/>
          <w:sz w:val="16"/>
          <w:szCs w:val="16"/>
        </w:rPr>
        <w:t xml:space="preserve">de </w:t>
      </w:r>
      <w:r>
        <w:rPr>
          <w:rFonts w:ascii="Verdana" w:hAnsi="Verdana"/>
          <w:sz w:val="16"/>
          <w:szCs w:val="16"/>
        </w:rPr>
        <w:t>‘</w:t>
      </w:r>
      <w:r w:rsidRPr="00F26E5F">
        <w:rPr>
          <w:rFonts w:ascii="Verdana" w:hAnsi="Verdana"/>
          <w:sz w:val="16"/>
          <w:szCs w:val="16"/>
        </w:rPr>
        <w:t>desarrollar, implementar […] normas […] que faciliten</w:t>
      </w:r>
      <w:r>
        <w:rPr>
          <w:rFonts w:ascii="Verdana" w:hAnsi="Verdana"/>
          <w:sz w:val="16"/>
          <w:szCs w:val="16"/>
        </w:rPr>
        <w:t xml:space="preserve"> </w:t>
      </w:r>
      <w:r w:rsidRPr="00F26E5F">
        <w:rPr>
          <w:rFonts w:ascii="Verdana" w:hAnsi="Verdana"/>
          <w:sz w:val="16"/>
          <w:szCs w:val="16"/>
        </w:rPr>
        <w:t>las compras y contratación pública del Estado y promuevan las mejores prácticas</w:t>
      </w:r>
      <w:r>
        <w:rPr>
          <w:rFonts w:ascii="Verdana" w:hAnsi="Verdana"/>
          <w:sz w:val="16"/>
          <w:szCs w:val="16"/>
        </w:rPr>
        <w:t>’</w:t>
      </w:r>
      <w:r w:rsidRPr="00F26E5F">
        <w:rPr>
          <w:rFonts w:ascii="Verdana" w:hAnsi="Verdana"/>
          <w:sz w:val="16"/>
          <w:szCs w:val="16"/>
        </w:rPr>
        <w:t>, ello no puede concebirse como</w:t>
      </w:r>
      <w:r>
        <w:rPr>
          <w:rFonts w:ascii="Verdana" w:hAnsi="Verdana"/>
          <w:sz w:val="16"/>
          <w:szCs w:val="16"/>
        </w:rPr>
        <w:t xml:space="preserve"> </w:t>
      </w:r>
      <w:r w:rsidRPr="00F26E5F">
        <w:rPr>
          <w:rFonts w:ascii="Verdana" w:hAnsi="Verdana"/>
          <w:sz w:val="16"/>
          <w:szCs w:val="16"/>
        </w:rPr>
        <w:t>una competencia específicamente normativa. Su misión de</w:t>
      </w:r>
      <w:r>
        <w:rPr>
          <w:rFonts w:ascii="Verdana" w:hAnsi="Verdana"/>
          <w:sz w:val="16"/>
          <w:szCs w:val="16"/>
        </w:rPr>
        <w:t xml:space="preserve"> </w:t>
      </w:r>
      <w:r w:rsidRPr="00F26E5F">
        <w:rPr>
          <w:rFonts w:ascii="Verdana" w:hAnsi="Verdana"/>
          <w:sz w:val="16"/>
          <w:szCs w:val="16"/>
        </w:rPr>
        <w:t>carácter técnico es promover las mejores condiciones de</w:t>
      </w:r>
      <w:r>
        <w:rPr>
          <w:rFonts w:ascii="Verdana" w:hAnsi="Verdana"/>
          <w:sz w:val="16"/>
          <w:szCs w:val="16"/>
        </w:rPr>
        <w:t xml:space="preserve"> </w:t>
      </w:r>
      <w:r w:rsidRPr="00F26E5F">
        <w:rPr>
          <w:rFonts w:ascii="Verdana" w:hAnsi="Verdana"/>
          <w:sz w:val="16"/>
          <w:szCs w:val="16"/>
        </w:rPr>
        <w:t>contratación, lo que comprende la realización de estudios</w:t>
      </w:r>
      <w:r>
        <w:rPr>
          <w:rFonts w:ascii="Verdana" w:hAnsi="Verdana"/>
          <w:sz w:val="16"/>
          <w:szCs w:val="16"/>
        </w:rPr>
        <w:t xml:space="preserve"> </w:t>
      </w:r>
      <w:r w:rsidRPr="00F26E5F">
        <w:rPr>
          <w:rFonts w:ascii="Verdana" w:hAnsi="Verdana"/>
          <w:sz w:val="16"/>
          <w:szCs w:val="16"/>
        </w:rPr>
        <w:t>y diagnósticos (</w:t>
      </w:r>
      <w:proofErr w:type="spellStart"/>
      <w:r w:rsidRPr="00F26E5F">
        <w:rPr>
          <w:rFonts w:ascii="Verdana" w:hAnsi="Verdana"/>
          <w:sz w:val="16"/>
          <w:szCs w:val="16"/>
        </w:rPr>
        <w:t>num</w:t>
      </w:r>
      <w:proofErr w:type="spellEnd"/>
      <w:r w:rsidRPr="00F26E5F">
        <w:rPr>
          <w:rFonts w:ascii="Verdana" w:hAnsi="Verdana"/>
          <w:sz w:val="16"/>
          <w:szCs w:val="16"/>
        </w:rPr>
        <w:t>. 4.º), la difusión de normas, reglas y</w:t>
      </w:r>
      <w:r>
        <w:rPr>
          <w:rFonts w:ascii="Verdana" w:hAnsi="Verdana"/>
          <w:sz w:val="16"/>
          <w:szCs w:val="16"/>
        </w:rPr>
        <w:t xml:space="preserve"> </w:t>
      </w:r>
      <w:r w:rsidRPr="00F26E5F">
        <w:rPr>
          <w:rFonts w:ascii="Verdana" w:hAnsi="Verdana"/>
          <w:sz w:val="16"/>
          <w:szCs w:val="16"/>
        </w:rPr>
        <w:t>procedimientos (</w:t>
      </w:r>
      <w:proofErr w:type="spellStart"/>
      <w:r w:rsidRPr="00F26E5F">
        <w:rPr>
          <w:rFonts w:ascii="Verdana" w:hAnsi="Verdana"/>
          <w:sz w:val="16"/>
          <w:szCs w:val="16"/>
        </w:rPr>
        <w:t>num</w:t>
      </w:r>
      <w:proofErr w:type="spellEnd"/>
      <w:r w:rsidRPr="00F26E5F">
        <w:rPr>
          <w:rFonts w:ascii="Verdana" w:hAnsi="Verdana"/>
          <w:sz w:val="16"/>
          <w:szCs w:val="16"/>
        </w:rPr>
        <w:t>. 10), el brindar apoyo a entidades</w:t>
      </w:r>
      <w:r>
        <w:rPr>
          <w:rFonts w:ascii="Verdana" w:hAnsi="Verdana"/>
          <w:sz w:val="16"/>
          <w:szCs w:val="16"/>
        </w:rPr>
        <w:t xml:space="preserve"> </w:t>
      </w:r>
      <w:r w:rsidRPr="00F26E5F">
        <w:rPr>
          <w:rFonts w:ascii="Verdana" w:hAnsi="Verdana"/>
          <w:sz w:val="16"/>
          <w:szCs w:val="16"/>
        </w:rPr>
        <w:t>territoriales (</w:t>
      </w:r>
      <w:proofErr w:type="spellStart"/>
      <w:r w:rsidRPr="00F26E5F">
        <w:rPr>
          <w:rFonts w:ascii="Verdana" w:hAnsi="Verdana"/>
          <w:sz w:val="16"/>
          <w:szCs w:val="16"/>
        </w:rPr>
        <w:t>num</w:t>
      </w:r>
      <w:proofErr w:type="spellEnd"/>
      <w:r w:rsidRPr="00F26E5F">
        <w:rPr>
          <w:rFonts w:ascii="Verdana" w:hAnsi="Verdana"/>
          <w:sz w:val="16"/>
          <w:szCs w:val="16"/>
        </w:rPr>
        <w:t>. 11) y la promoción de políticas y normas ante el Gobierno Nacional (</w:t>
      </w:r>
      <w:proofErr w:type="spellStart"/>
      <w:r w:rsidRPr="00F26E5F">
        <w:rPr>
          <w:rFonts w:ascii="Verdana" w:hAnsi="Verdana"/>
          <w:sz w:val="16"/>
          <w:szCs w:val="16"/>
        </w:rPr>
        <w:t>num</w:t>
      </w:r>
      <w:proofErr w:type="spellEnd"/>
      <w:r w:rsidRPr="00F26E5F">
        <w:rPr>
          <w:rFonts w:ascii="Verdana" w:hAnsi="Verdana"/>
          <w:sz w:val="16"/>
          <w:szCs w:val="16"/>
        </w:rPr>
        <w:t>. 1.º). Estas labores de</w:t>
      </w:r>
      <w:r>
        <w:rPr>
          <w:rFonts w:ascii="Verdana" w:hAnsi="Verdana"/>
          <w:sz w:val="16"/>
          <w:szCs w:val="16"/>
        </w:rPr>
        <w:t xml:space="preserve"> </w:t>
      </w:r>
      <w:r w:rsidRPr="00F26E5F">
        <w:rPr>
          <w:rFonts w:ascii="Verdana" w:hAnsi="Verdana"/>
          <w:sz w:val="16"/>
          <w:szCs w:val="16"/>
        </w:rPr>
        <w:t>apoyo, tanto a las entidades contratantes como al Gobierno</w:t>
      </w:r>
      <w:r>
        <w:rPr>
          <w:rFonts w:ascii="Verdana" w:hAnsi="Verdana"/>
          <w:sz w:val="16"/>
          <w:szCs w:val="16"/>
        </w:rPr>
        <w:t xml:space="preserve"> </w:t>
      </w:r>
      <w:r w:rsidRPr="00F26E5F">
        <w:rPr>
          <w:rFonts w:ascii="Verdana" w:hAnsi="Verdana"/>
          <w:sz w:val="16"/>
          <w:szCs w:val="16"/>
        </w:rPr>
        <w:t>Nacional, no comportan una función normativa propia</w:t>
      </w:r>
      <w:r>
        <w:rPr>
          <w:rFonts w:ascii="Verdana" w:hAnsi="Verdana"/>
          <w:sz w:val="16"/>
          <w:szCs w:val="16"/>
        </w:rPr>
        <w:t xml:space="preserve"> […]” (Cfr. BENAVIDES, José Luis</w:t>
      </w:r>
      <w:r w:rsidRPr="00F26E5F">
        <w:rPr>
          <w:rFonts w:ascii="Verdana" w:hAnsi="Verdana"/>
          <w:sz w:val="16"/>
          <w:szCs w:val="16"/>
        </w:rPr>
        <w:t>.</w:t>
      </w:r>
      <w:r>
        <w:rPr>
          <w:rFonts w:ascii="Verdana" w:hAnsi="Verdana"/>
          <w:sz w:val="16"/>
          <w:szCs w:val="16"/>
        </w:rPr>
        <w:t xml:space="preserve"> Contratos públicos. Estudios. Bogotá: Universidad Externado de Colombia, 2014. p.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E38308B"/>
    <w:multiLevelType w:val="hybridMultilevel"/>
    <w:tmpl w:val="F66C4276"/>
    <w:lvl w:ilvl="0" w:tplc="5DD8B4F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934292"/>
    <w:multiLevelType w:val="hybridMultilevel"/>
    <w:tmpl w:val="80909676"/>
    <w:lvl w:ilvl="0" w:tplc="D452D83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9AE221C"/>
    <w:multiLevelType w:val="hybridMultilevel"/>
    <w:tmpl w:val="5C988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F371B4A"/>
    <w:multiLevelType w:val="hybridMultilevel"/>
    <w:tmpl w:val="F79E1380"/>
    <w:lvl w:ilvl="0" w:tplc="240A000F">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5"/>
  </w:num>
  <w:num w:numId="7" w16cid:durableId="1946422806">
    <w:abstractNumId w:val="5"/>
  </w:num>
  <w:num w:numId="8" w16cid:durableId="152644682">
    <w:abstractNumId w:val="14"/>
  </w:num>
  <w:num w:numId="9" w16cid:durableId="1317221377">
    <w:abstractNumId w:val="7"/>
  </w:num>
  <w:num w:numId="10" w16cid:durableId="1471245386">
    <w:abstractNumId w:val="13"/>
  </w:num>
  <w:num w:numId="11" w16cid:durableId="289172385">
    <w:abstractNumId w:val="8"/>
  </w:num>
  <w:num w:numId="12" w16cid:durableId="1470781324">
    <w:abstractNumId w:val="0"/>
  </w:num>
  <w:num w:numId="13" w16cid:durableId="1512908409">
    <w:abstractNumId w:val="3"/>
  </w:num>
  <w:num w:numId="14" w16cid:durableId="895897244">
    <w:abstractNumId w:val="16"/>
  </w:num>
  <w:num w:numId="15" w16cid:durableId="390349800">
    <w:abstractNumId w:val="12"/>
  </w:num>
  <w:num w:numId="16" w16cid:durableId="2040160837">
    <w:abstractNumId w:val="11"/>
  </w:num>
  <w:num w:numId="17" w16cid:durableId="903610564">
    <w:abstractNumId w:val="10"/>
  </w:num>
  <w:num w:numId="18" w16cid:durableId="136338707">
    <w:abstractNumId w:val="9"/>
  </w:num>
  <w:num w:numId="19" w16cid:durableId="119298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0EA"/>
    <w:rsid w:val="00014C4E"/>
    <w:rsid w:val="00016F78"/>
    <w:rsid w:val="00046945"/>
    <w:rsid w:val="00061B2A"/>
    <w:rsid w:val="00073FF4"/>
    <w:rsid w:val="00076D80"/>
    <w:rsid w:val="00082362"/>
    <w:rsid w:val="00090B3F"/>
    <w:rsid w:val="00090D85"/>
    <w:rsid w:val="0009780D"/>
    <w:rsid w:val="000A683E"/>
    <w:rsid w:val="000B19B9"/>
    <w:rsid w:val="000C3013"/>
    <w:rsid w:val="000C683D"/>
    <w:rsid w:val="000D0334"/>
    <w:rsid w:val="000D5DA7"/>
    <w:rsid w:val="000F6486"/>
    <w:rsid w:val="00116940"/>
    <w:rsid w:val="0012427E"/>
    <w:rsid w:val="00125105"/>
    <w:rsid w:val="00127233"/>
    <w:rsid w:val="0015699B"/>
    <w:rsid w:val="00173F65"/>
    <w:rsid w:val="00197ED5"/>
    <w:rsid w:val="001A22CF"/>
    <w:rsid w:val="001A3048"/>
    <w:rsid w:val="001A33BF"/>
    <w:rsid w:val="001B1D0F"/>
    <w:rsid w:val="001B4172"/>
    <w:rsid w:val="001E4177"/>
    <w:rsid w:val="001E49DE"/>
    <w:rsid w:val="001E5608"/>
    <w:rsid w:val="001F0215"/>
    <w:rsid w:val="001F0B24"/>
    <w:rsid w:val="001F1D97"/>
    <w:rsid w:val="001F7DC6"/>
    <w:rsid w:val="00211059"/>
    <w:rsid w:val="0022400B"/>
    <w:rsid w:val="00233765"/>
    <w:rsid w:val="002421BB"/>
    <w:rsid w:val="002479C7"/>
    <w:rsid w:val="002560C8"/>
    <w:rsid w:val="0025796E"/>
    <w:rsid w:val="0026793A"/>
    <w:rsid w:val="002707A2"/>
    <w:rsid w:val="00287A13"/>
    <w:rsid w:val="002951A0"/>
    <w:rsid w:val="002962BC"/>
    <w:rsid w:val="002A01DF"/>
    <w:rsid w:val="002A093D"/>
    <w:rsid w:val="002A0DD0"/>
    <w:rsid w:val="002A49AC"/>
    <w:rsid w:val="002A64FD"/>
    <w:rsid w:val="002B7561"/>
    <w:rsid w:val="002C6E9B"/>
    <w:rsid w:val="002C7A84"/>
    <w:rsid w:val="002E2BF8"/>
    <w:rsid w:val="002E4FD9"/>
    <w:rsid w:val="002F370E"/>
    <w:rsid w:val="0030657A"/>
    <w:rsid w:val="00307619"/>
    <w:rsid w:val="00313813"/>
    <w:rsid w:val="00322A85"/>
    <w:rsid w:val="00324168"/>
    <w:rsid w:val="00330834"/>
    <w:rsid w:val="003320E9"/>
    <w:rsid w:val="003406EE"/>
    <w:rsid w:val="003448F4"/>
    <w:rsid w:val="00357708"/>
    <w:rsid w:val="003711E1"/>
    <w:rsid w:val="003747C8"/>
    <w:rsid w:val="00374F5E"/>
    <w:rsid w:val="003779D1"/>
    <w:rsid w:val="00377E3E"/>
    <w:rsid w:val="00384259"/>
    <w:rsid w:val="003901FC"/>
    <w:rsid w:val="00393C47"/>
    <w:rsid w:val="003A779E"/>
    <w:rsid w:val="003C6FAD"/>
    <w:rsid w:val="003D0F4D"/>
    <w:rsid w:val="003D414B"/>
    <w:rsid w:val="003D5B0D"/>
    <w:rsid w:val="003E0499"/>
    <w:rsid w:val="003E4F80"/>
    <w:rsid w:val="003E6439"/>
    <w:rsid w:val="003F3941"/>
    <w:rsid w:val="00406575"/>
    <w:rsid w:val="00406DEF"/>
    <w:rsid w:val="00414192"/>
    <w:rsid w:val="00414C74"/>
    <w:rsid w:val="0042722E"/>
    <w:rsid w:val="0043584D"/>
    <w:rsid w:val="0044528D"/>
    <w:rsid w:val="00466E39"/>
    <w:rsid w:val="004910D2"/>
    <w:rsid w:val="00497E89"/>
    <w:rsid w:val="004A1847"/>
    <w:rsid w:val="004A305D"/>
    <w:rsid w:val="004E0BA1"/>
    <w:rsid w:val="004F21C4"/>
    <w:rsid w:val="004F685F"/>
    <w:rsid w:val="00513C64"/>
    <w:rsid w:val="00526A94"/>
    <w:rsid w:val="00553527"/>
    <w:rsid w:val="005566E8"/>
    <w:rsid w:val="0055709A"/>
    <w:rsid w:val="00565B71"/>
    <w:rsid w:val="00566F69"/>
    <w:rsid w:val="00574867"/>
    <w:rsid w:val="00580117"/>
    <w:rsid w:val="00591460"/>
    <w:rsid w:val="005A65E0"/>
    <w:rsid w:val="005C3777"/>
    <w:rsid w:val="005C5CDC"/>
    <w:rsid w:val="005D0271"/>
    <w:rsid w:val="005D0D75"/>
    <w:rsid w:val="005D476C"/>
    <w:rsid w:val="005D7C1E"/>
    <w:rsid w:val="005E3199"/>
    <w:rsid w:val="005F7BD9"/>
    <w:rsid w:val="00613F37"/>
    <w:rsid w:val="006200BF"/>
    <w:rsid w:val="006219F8"/>
    <w:rsid w:val="006302F7"/>
    <w:rsid w:val="00631126"/>
    <w:rsid w:val="00635CB8"/>
    <w:rsid w:val="00646B9F"/>
    <w:rsid w:val="00647235"/>
    <w:rsid w:val="00661969"/>
    <w:rsid w:val="00663C81"/>
    <w:rsid w:val="00665D70"/>
    <w:rsid w:val="0068287A"/>
    <w:rsid w:val="006900D9"/>
    <w:rsid w:val="006B7FC6"/>
    <w:rsid w:val="006C284F"/>
    <w:rsid w:val="006D065E"/>
    <w:rsid w:val="006D2270"/>
    <w:rsid w:val="006D7AAF"/>
    <w:rsid w:val="006F292F"/>
    <w:rsid w:val="00706C16"/>
    <w:rsid w:val="00722153"/>
    <w:rsid w:val="007340C3"/>
    <w:rsid w:val="00741CC8"/>
    <w:rsid w:val="007513B7"/>
    <w:rsid w:val="0075235A"/>
    <w:rsid w:val="00756841"/>
    <w:rsid w:val="007649AB"/>
    <w:rsid w:val="007655FC"/>
    <w:rsid w:val="00771D0C"/>
    <w:rsid w:val="007833AC"/>
    <w:rsid w:val="007B268C"/>
    <w:rsid w:val="007B7171"/>
    <w:rsid w:val="007C0C0F"/>
    <w:rsid w:val="007C3DC2"/>
    <w:rsid w:val="007C44FF"/>
    <w:rsid w:val="007C4748"/>
    <w:rsid w:val="007E5497"/>
    <w:rsid w:val="00806F5F"/>
    <w:rsid w:val="0081531D"/>
    <w:rsid w:val="00820278"/>
    <w:rsid w:val="008258C9"/>
    <w:rsid w:val="00835043"/>
    <w:rsid w:val="008403D9"/>
    <w:rsid w:val="00844AE9"/>
    <w:rsid w:val="00855B94"/>
    <w:rsid w:val="0086321E"/>
    <w:rsid w:val="00863943"/>
    <w:rsid w:val="00867F95"/>
    <w:rsid w:val="008843B6"/>
    <w:rsid w:val="0088782A"/>
    <w:rsid w:val="00891928"/>
    <w:rsid w:val="008A446D"/>
    <w:rsid w:val="008A755E"/>
    <w:rsid w:val="008B25F1"/>
    <w:rsid w:val="008C3EB1"/>
    <w:rsid w:val="008D180B"/>
    <w:rsid w:val="008D3F42"/>
    <w:rsid w:val="008E7A94"/>
    <w:rsid w:val="008F0EA7"/>
    <w:rsid w:val="00905F09"/>
    <w:rsid w:val="00910593"/>
    <w:rsid w:val="00916AC8"/>
    <w:rsid w:val="00923EEF"/>
    <w:rsid w:val="00925864"/>
    <w:rsid w:val="00936F20"/>
    <w:rsid w:val="009419F9"/>
    <w:rsid w:val="00942199"/>
    <w:rsid w:val="0095685E"/>
    <w:rsid w:val="00961B09"/>
    <w:rsid w:val="00964E77"/>
    <w:rsid w:val="00965334"/>
    <w:rsid w:val="0097093E"/>
    <w:rsid w:val="0097209A"/>
    <w:rsid w:val="009A0DFA"/>
    <w:rsid w:val="009A1C6F"/>
    <w:rsid w:val="009A5218"/>
    <w:rsid w:val="009B2D26"/>
    <w:rsid w:val="009B7016"/>
    <w:rsid w:val="009C71FA"/>
    <w:rsid w:val="009C72E7"/>
    <w:rsid w:val="009C7F7E"/>
    <w:rsid w:val="009D3058"/>
    <w:rsid w:val="009F3A13"/>
    <w:rsid w:val="00A0479C"/>
    <w:rsid w:val="00A122D3"/>
    <w:rsid w:val="00A14468"/>
    <w:rsid w:val="00A17F13"/>
    <w:rsid w:val="00A20739"/>
    <w:rsid w:val="00A23AF9"/>
    <w:rsid w:val="00A33C78"/>
    <w:rsid w:val="00A50A3C"/>
    <w:rsid w:val="00A61192"/>
    <w:rsid w:val="00A61A8F"/>
    <w:rsid w:val="00A8175F"/>
    <w:rsid w:val="00A93A49"/>
    <w:rsid w:val="00A94A28"/>
    <w:rsid w:val="00AB0ADB"/>
    <w:rsid w:val="00AF4365"/>
    <w:rsid w:val="00AF6D5E"/>
    <w:rsid w:val="00B00C0E"/>
    <w:rsid w:val="00B01B1A"/>
    <w:rsid w:val="00B0381D"/>
    <w:rsid w:val="00B075A4"/>
    <w:rsid w:val="00B17E11"/>
    <w:rsid w:val="00B44A47"/>
    <w:rsid w:val="00B61710"/>
    <w:rsid w:val="00B72CD3"/>
    <w:rsid w:val="00B72FFF"/>
    <w:rsid w:val="00BA79EA"/>
    <w:rsid w:val="00BA7AA7"/>
    <w:rsid w:val="00BC1CA3"/>
    <w:rsid w:val="00BC3D36"/>
    <w:rsid w:val="00BD54A6"/>
    <w:rsid w:val="00BD7F72"/>
    <w:rsid w:val="00BE3BD0"/>
    <w:rsid w:val="00BE5DFB"/>
    <w:rsid w:val="00BF7425"/>
    <w:rsid w:val="00C04FB3"/>
    <w:rsid w:val="00C11D8B"/>
    <w:rsid w:val="00C15139"/>
    <w:rsid w:val="00C24E10"/>
    <w:rsid w:val="00C330EB"/>
    <w:rsid w:val="00C50D69"/>
    <w:rsid w:val="00C5365C"/>
    <w:rsid w:val="00C741CF"/>
    <w:rsid w:val="00C754BE"/>
    <w:rsid w:val="00C76B1C"/>
    <w:rsid w:val="00C84C92"/>
    <w:rsid w:val="00C925AC"/>
    <w:rsid w:val="00C94A6D"/>
    <w:rsid w:val="00CB6357"/>
    <w:rsid w:val="00CC1B26"/>
    <w:rsid w:val="00CC2D7C"/>
    <w:rsid w:val="00D04CFB"/>
    <w:rsid w:val="00D361FD"/>
    <w:rsid w:val="00D423A2"/>
    <w:rsid w:val="00D44E26"/>
    <w:rsid w:val="00D50701"/>
    <w:rsid w:val="00D520D8"/>
    <w:rsid w:val="00D63AC2"/>
    <w:rsid w:val="00D66C58"/>
    <w:rsid w:val="00D7383B"/>
    <w:rsid w:val="00D7788A"/>
    <w:rsid w:val="00DA0DF0"/>
    <w:rsid w:val="00DA231B"/>
    <w:rsid w:val="00DA33BA"/>
    <w:rsid w:val="00DC39FC"/>
    <w:rsid w:val="00DC7FBB"/>
    <w:rsid w:val="00DD40F7"/>
    <w:rsid w:val="00DF5254"/>
    <w:rsid w:val="00DF7595"/>
    <w:rsid w:val="00E02524"/>
    <w:rsid w:val="00E1545D"/>
    <w:rsid w:val="00E16408"/>
    <w:rsid w:val="00E20894"/>
    <w:rsid w:val="00E245AB"/>
    <w:rsid w:val="00E2764C"/>
    <w:rsid w:val="00E27F2E"/>
    <w:rsid w:val="00E30543"/>
    <w:rsid w:val="00E50AFE"/>
    <w:rsid w:val="00E614DF"/>
    <w:rsid w:val="00E75C92"/>
    <w:rsid w:val="00E771DC"/>
    <w:rsid w:val="00E83669"/>
    <w:rsid w:val="00E8474F"/>
    <w:rsid w:val="00E8772A"/>
    <w:rsid w:val="00E87A89"/>
    <w:rsid w:val="00E90F6B"/>
    <w:rsid w:val="00E92C27"/>
    <w:rsid w:val="00EA0E3D"/>
    <w:rsid w:val="00EA349F"/>
    <w:rsid w:val="00EC232B"/>
    <w:rsid w:val="00EC38A7"/>
    <w:rsid w:val="00ED443B"/>
    <w:rsid w:val="00ED4AA8"/>
    <w:rsid w:val="00EE1AA8"/>
    <w:rsid w:val="00F02B99"/>
    <w:rsid w:val="00F134F3"/>
    <w:rsid w:val="00F23FEA"/>
    <w:rsid w:val="00F31EDC"/>
    <w:rsid w:val="00F462B3"/>
    <w:rsid w:val="00F5664F"/>
    <w:rsid w:val="00F666C4"/>
    <w:rsid w:val="00F76AFC"/>
    <w:rsid w:val="00F77EB7"/>
    <w:rsid w:val="00F92887"/>
    <w:rsid w:val="00FA47C0"/>
    <w:rsid w:val="00FB5DD1"/>
    <w:rsid w:val="00FC2B5D"/>
    <w:rsid w:val="00FE3D99"/>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BC0FA0B"/>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11CDE321-5DF0-4204-A744-8CEECB18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AF6D5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F6D5E"/>
    <w:rPr>
      <w:rFonts w:ascii="Geomanist Light" w:hAnsi="Geomanist Light"/>
      <w:lang w:val="es-ES"/>
    </w:rPr>
  </w:style>
  <w:style w:type="paragraph" w:styleId="Sinespaciado">
    <w:name w:val="No Spacing"/>
    <w:uiPriority w:val="1"/>
    <w:qFormat/>
    <w:rsid w:val="00AF6D5E"/>
    <w:pPr>
      <w:spacing w:after="0" w:line="240" w:lineRule="auto"/>
    </w:pPr>
  </w:style>
  <w:style w:type="character" w:customStyle="1" w:styleId="s15">
    <w:name w:val="s15"/>
    <w:basedOn w:val="Fuentedeprrafopredeter"/>
    <w:rsid w:val="00AF6D5E"/>
  </w:style>
  <w:style w:type="character" w:styleId="Refdecomentario">
    <w:name w:val="annotation reference"/>
    <w:basedOn w:val="Fuentedeprrafopredeter"/>
    <w:uiPriority w:val="99"/>
    <w:semiHidden/>
    <w:unhideWhenUsed/>
    <w:rsid w:val="006B7FC6"/>
    <w:rPr>
      <w:sz w:val="16"/>
      <w:szCs w:val="16"/>
    </w:rPr>
  </w:style>
  <w:style w:type="paragraph" w:styleId="Textocomentario">
    <w:name w:val="annotation text"/>
    <w:basedOn w:val="Normal"/>
    <w:link w:val="TextocomentarioCar"/>
    <w:uiPriority w:val="99"/>
    <w:unhideWhenUsed/>
    <w:rsid w:val="006B7FC6"/>
    <w:pPr>
      <w:spacing w:line="240" w:lineRule="auto"/>
    </w:pPr>
    <w:rPr>
      <w:sz w:val="20"/>
      <w:szCs w:val="20"/>
    </w:rPr>
  </w:style>
  <w:style w:type="character" w:customStyle="1" w:styleId="TextocomentarioCar">
    <w:name w:val="Texto comentario Car"/>
    <w:basedOn w:val="Fuentedeprrafopredeter"/>
    <w:link w:val="Textocomentario"/>
    <w:uiPriority w:val="99"/>
    <w:rsid w:val="006B7FC6"/>
    <w:rPr>
      <w:sz w:val="20"/>
      <w:szCs w:val="20"/>
    </w:rPr>
  </w:style>
  <w:style w:type="paragraph" w:styleId="Asuntodelcomentario">
    <w:name w:val="annotation subject"/>
    <w:basedOn w:val="Textocomentario"/>
    <w:next w:val="Textocomentario"/>
    <w:link w:val="AsuntodelcomentarioCar"/>
    <w:uiPriority w:val="99"/>
    <w:semiHidden/>
    <w:unhideWhenUsed/>
    <w:rsid w:val="006B7FC6"/>
    <w:rPr>
      <w:b/>
      <w:bCs/>
    </w:rPr>
  </w:style>
  <w:style w:type="character" w:customStyle="1" w:styleId="AsuntodelcomentarioCar">
    <w:name w:val="Asunto del comentario Car"/>
    <w:basedOn w:val="TextocomentarioCar"/>
    <w:link w:val="Asuntodelcomentario"/>
    <w:uiPriority w:val="99"/>
    <w:semiHidden/>
    <w:rsid w:val="006B7F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camiloacosta10@hot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relatoria.colombiacompra.gov.co/conceptos/c-447-de-2024/" TargetMode="External"/><Relationship Id="rId2" Type="http://schemas.openxmlformats.org/officeDocument/2006/relationships/hyperlink" Target="https://relatoria.colombiacompra.gov.co/conceptos/c-285-de-2022/" TargetMode="External"/><Relationship Id="rId1" Type="http://schemas.openxmlformats.org/officeDocument/2006/relationships/hyperlink" Target="https://www.colombiacompra.gov.co/sites/cce_public/files/cce_step/cce-sec-gi-06provppproponenteplural07-09-2020.pdf" TargetMode="External"/><Relationship Id="rId4" Type="http://schemas.openxmlformats.org/officeDocument/2006/relationships/hyperlink" Target="https://www.colombiacompra.gov.co/circulares?page=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EBF76-DA6D-44AF-A301-3B7EAE10CAEF}"/>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22</TotalTime>
  <Pages>25</Pages>
  <Words>8327</Words>
  <Characters>45804</Characters>
  <Application>Microsoft Office Word</Application>
  <DocSecurity>0</DocSecurity>
  <Lines>381</Lines>
  <Paragraphs>108</Paragraphs>
  <ScaleCrop>false</ScaleCrop>
  <Company/>
  <LinksUpToDate>false</LinksUpToDate>
  <CharactersWithSpaces>54023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10</cp:revision>
  <cp:lastPrinted>2023-01-10T18:18:00Z</cp:lastPrinted>
  <dcterms:created xsi:type="dcterms:W3CDTF">2026-08-21T19:46:00Z</dcterms:created>
  <dcterms:modified xsi:type="dcterms:W3CDTF">2026-08-24T15:34:00Z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