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AFCD" w14:textId="77777777" w:rsidR="002A0DD0" w:rsidRPr="00E02524" w:rsidRDefault="002A0DD0" w:rsidP="30821638">
      <w:pPr>
        <w:spacing w:after="0" w:line="240" w:lineRule="auto"/>
        <w:jc w:val="both"/>
        <w:rPr>
          <w:rFonts w:ascii="Verdana" w:eastAsia="Verdana" w:hAnsi="Verdana" w:cs="Verdana"/>
          <w:b/>
          <w:bCs/>
          <w:lang w:val="es-MX"/>
        </w:rPr>
      </w:pPr>
      <w:bookmarkStart w:id="0" w:name="_Hlk143780582"/>
    </w:p>
    <w:p w14:paraId="6C28D8B6" w14:textId="77777777" w:rsidR="00B041C0" w:rsidRPr="000C5E3A" w:rsidRDefault="00B041C0" w:rsidP="00B041C0">
      <w:pPr>
        <w:jc w:val="both"/>
        <w:rPr>
          <w:rFonts w:ascii="Verdana" w:eastAsia="Calibri" w:hAnsi="Verdana" w:cs="Calibri"/>
          <w:b/>
          <w:bCs/>
          <w:lang w:val="es-ES"/>
        </w:rPr>
      </w:pPr>
      <w:r w:rsidRPr="000C5E3A">
        <w:rPr>
          <w:rFonts w:ascii="Verdana" w:eastAsia="Calibri" w:hAnsi="Verdana" w:cs="Calibri"/>
          <w:b/>
          <w:bCs/>
          <w:lang w:val="es-ES"/>
        </w:rPr>
        <w:t xml:space="preserve">CAPACIDAD RESIDUAL – Definición </w:t>
      </w:r>
    </w:p>
    <w:p w14:paraId="760EA045" w14:textId="77777777" w:rsidR="00B041C0" w:rsidRPr="000A5AC6" w:rsidRDefault="00B041C0" w:rsidP="00B041C0">
      <w:pPr>
        <w:jc w:val="both"/>
        <w:rPr>
          <w:rFonts w:ascii="Verdana" w:eastAsia="Calibri" w:hAnsi="Verdana" w:cs="Calibri"/>
          <w:sz w:val="20"/>
          <w:szCs w:val="20"/>
        </w:rPr>
      </w:pPr>
      <w:r w:rsidRPr="000A5AC6">
        <w:rPr>
          <w:rFonts w:ascii="Verdana" w:eastAsia="Calibri" w:hAnsi="Verdana" w:cs="Calibri"/>
          <w:sz w:val="20"/>
          <w:szCs w:val="20"/>
        </w:rPr>
        <w:t xml:space="preserve">La Capacidad Residual o K de Contratación es la aptitud de un oferente para cumplir oportuna y cabalmente con el objeto de un contrato de obra, sin que sus otros compromisos contractuales afecten su habilidad de responder con el contrato objeto del Proceso de Contratación. </w:t>
      </w:r>
    </w:p>
    <w:p w14:paraId="2A277579" w14:textId="77777777" w:rsidR="00B041C0" w:rsidRPr="002017DA" w:rsidRDefault="00B041C0" w:rsidP="00B041C0">
      <w:pPr>
        <w:jc w:val="both"/>
        <w:rPr>
          <w:rFonts w:ascii="Verdana" w:eastAsia="Calibri" w:hAnsi="Verdana" w:cs="Calibri"/>
          <w:sz w:val="20"/>
          <w:szCs w:val="20"/>
        </w:rPr>
      </w:pPr>
      <w:r w:rsidRPr="000A5AC6">
        <w:rPr>
          <w:rFonts w:ascii="Verdana" w:eastAsia="Calibri" w:hAnsi="Verdana" w:cs="Calibri"/>
          <w:sz w:val="20"/>
          <w:szCs w:val="20"/>
        </w:rPr>
        <w:t>El artículo 2.2.1.1.1.3.1 del Decreto 1082 de 2015 define la capacidad residual como: “Aptitud de un oferente para cumplir oportuna y cabalmente con el objeto de un contrato de obra, sin que sus otros compromisos contractuales afecten su habilidad de cumplir con el contrato que está en proceso de selección”.</w:t>
      </w:r>
    </w:p>
    <w:p w14:paraId="46D266EB" w14:textId="77777777" w:rsidR="00B041C0" w:rsidRPr="000C5E3A" w:rsidRDefault="00B041C0" w:rsidP="00B041C0">
      <w:pPr>
        <w:jc w:val="both"/>
        <w:rPr>
          <w:rFonts w:ascii="Verdana" w:eastAsia="Calibri" w:hAnsi="Verdana" w:cs="Calibri"/>
          <w:b/>
          <w:bCs/>
          <w:lang w:val="es-ES"/>
        </w:rPr>
      </w:pPr>
      <w:r w:rsidRPr="000C5E3A">
        <w:rPr>
          <w:rFonts w:ascii="Verdana" w:eastAsia="Calibri" w:hAnsi="Verdana" w:cs="Calibri"/>
          <w:b/>
          <w:bCs/>
          <w:lang w:val="es-ES"/>
        </w:rPr>
        <w:t xml:space="preserve">CAPACIDAD RESIDUAL – Acreditación - Pliego de condiciones </w:t>
      </w:r>
    </w:p>
    <w:p w14:paraId="10C3158C" w14:textId="77777777" w:rsidR="00B041C0" w:rsidRPr="000C5E3A" w:rsidRDefault="00B041C0" w:rsidP="00B041C0">
      <w:pPr>
        <w:jc w:val="both"/>
        <w:rPr>
          <w:rFonts w:ascii="Verdana" w:eastAsia="Calibri" w:hAnsi="Verdana" w:cs="Calibri"/>
          <w:sz w:val="20"/>
          <w:szCs w:val="20"/>
        </w:rPr>
      </w:pPr>
      <w:r w:rsidRPr="000C5E3A">
        <w:rPr>
          <w:rFonts w:ascii="Verdana" w:eastAsia="Calibri" w:hAnsi="Verdana" w:cs="Calibri"/>
          <w:sz w:val="20"/>
          <w:szCs w:val="20"/>
        </w:rPr>
        <w:t xml:space="preserve">Es importante indicar que la Capacidad Residual de contratación únicamente es exigido para los contratos de obra pública; por lo tanto, en los Documentos del Proceso de obra pública, la Entidad Estatal debe establecer un requisito adicional a los requisitos habilitantes como lo es la Capacidad Residual o K de Contratación, la cual deben cumplir los interesados en participar en un Proceso de Contratación. </w:t>
      </w:r>
    </w:p>
    <w:p w14:paraId="271E5CF9" w14:textId="77777777" w:rsidR="00B041C0" w:rsidRPr="000C5E3A" w:rsidRDefault="00B041C0" w:rsidP="00B041C0">
      <w:pPr>
        <w:spacing w:after="0" w:line="240" w:lineRule="auto"/>
        <w:jc w:val="both"/>
        <w:rPr>
          <w:rFonts w:ascii="Verdana" w:eastAsia="Calibri" w:hAnsi="Verdana" w:cs="Calibri"/>
          <w:sz w:val="20"/>
          <w:szCs w:val="20"/>
          <w:lang w:val="es-ES"/>
        </w:rPr>
      </w:pPr>
      <w:r w:rsidRPr="000C5E3A">
        <w:rPr>
          <w:rFonts w:ascii="Verdana" w:eastAsia="Calibri" w:hAnsi="Verdana" w:cs="Calibri"/>
          <w:sz w:val="20"/>
          <w:szCs w:val="20"/>
        </w:rPr>
        <w:t>De esta manera las entidades estatales deberán establecer en los documentos del proceso la forma en la cual los proponentes deben acreditar los indicadores exigidos que no están incluidos en el RUP […] La capacidad residual de contratación es uno de aquellos requisitos no acreditables a través del RUP, de tal manera que la entidad estatal fijará las condiciones y requisitos en el pliego de condiciones o en los documentos del proceso a través del cual el proponente deberá ceñirse al cumplimiento y allegar toda información ordenada, en los términos y la forma en que hayan sido señalados, con el fin de que la entidad pueda calcular la Capacidad Residual del proponente y verificar si cumple o no con la requerida en el Proceso de Contratación que adelanta.</w:t>
      </w:r>
    </w:p>
    <w:p w14:paraId="52E19060" w14:textId="77777777" w:rsidR="00B041C0" w:rsidRPr="000C5E3A" w:rsidRDefault="00B041C0" w:rsidP="00B041C0">
      <w:pPr>
        <w:spacing w:after="0" w:line="240" w:lineRule="auto"/>
        <w:jc w:val="both"/>
        <w:rPr>
          <w:rFonts w:ascii="Verdana" w:eastAsia="Calibri" w:hAnsi="Verdana" w:cs="Calibri"/>
          <w:sz w:val="20"/>
          <w:szCs w:val="20"/>
          <w:lang w:val="es-ES"/>
        </w:rPr>
      </w:pPr>
    </w:p>
    <w:p w14:paraId="326C9D80" w14:textId="77777777" w:rsidR="00B041C0" w:rsidRPr="000C5E3A" w:rsidRDefault="00B041C0" w:rsidP="00B041C0">
      <w:pPr>
        <w:jc w:val="both"/>
        <w:rPr>
          <w:rFonts w:ascii="Verdana" w:eastAsia="Calibri" w:hAnsi="Verdana" w:cs="Calibri"/>
          <w:b/>
          <w:bCs/>
          <w:lang w:val="es-ES"/>
        </w:rPr>
      </w:pPr>
      <w:r w:rsidRPr="000C5E3A">
        <w:rPr>
          <w:rFonts w:ascii="Verdana" w:eastAsia="Calibri" w:hAnsi="Verdana" w:cs="Calibri"/>
          <w:b/>
          <w:bCs/>
          <w:lang w:val="es-ES"/>
        </w:rPr>
        <w:t>CAPACIDAD RESIDUAL – Causal de rechazo</w:t>
      </w:r>
    </w:p>
    <w:p w14:paraId="0BE2FD30" w14:textId="77777777" w:rsidR="00B041C0" w:rsidRPr="000C5E3A" w:rsidRDefault="00B041C0" w:rsidP="00B041C0">
      <w:pPr>
        <w:jc w:val="both"/>
        <w:rPr>
          <w:rFonts w:ascii="Verdana" w:eastAsia="Calibri" w:hAnsi="Verdana" w:cs="Calibri"/>
          <w:sz w:val="20"/>
          <w:szCs w:val="20"/>
        </w:rPr>
      </w:pPr>
      <w:r w:rsidRPr="000C5E3A">
        <w:rPr>
          <w:rFonts w:ascii="Verdana" w:eastAsia="Calibri" w:hAnsi="Verdana" w:cs="Calibri"/>
          <w:sz w:val="20"/>
          <w:szCs w:val="20"/>
        </w:rPr>
        <w:t>Las causales de rechazo son las establecidas en la Ley y las fijadas por la entidad estatal en los pliegos de condiciones. Sin embargo, en ejercicio de dicha facultad, a las entidades no les es dable fijar causales de rechazo que soslayen o afecten la selección objetiva en la contratación.</w:t>
      </w:r>
    </w:p>
    <w:p w14:paraId="1E17CB12" w14:textId="77777777" w:rsidR="00B041C0" w:rsidRPr="000C5E3A" w:rsidRDefault="00B041C0" w:rsidP="00B041C0">
      <w:pPr>
        <w:spacing w:after="0" w:line="240" w:lineRule="auto"/>
        <w:jc w:val="both"/>
        <w:rPr>
          <w:rFonts w:ascii="Verdana" w:eastAsia="Calibri" w:hAnsi="Verdana" w:cs="Calibri"/>
          <w:sz w:val="20"/>
          <w:szCs w:val="20"/>
          <w:lang w:val="es-ES"/>
        </w:rPr>
      </w:pPr>
      <w:r w:rsidRPr="000C5E3A">
        <w:rPr>
          <w:rFonts w:ascii="Verdana" w:eastAsia="Calibri" w:hAnsi="Verdana" w:cs="Calibri"/>
          <w:sz w:val="20"/>
          <w:szCs w:val="20"/>
        </w:rPr>
        <w:t>De acuerdo con lo anterior, las entidades públicas como directoras de sus procesos de contratación son autónomas en estipular en sus pliegos de condiciones o documentos equivalentes, las causales de rechazo que considere pertinentes, siempre que no contradigan la Ley y los principios que rigen en materia de contratación, en los casos en que los requisitos habilitantes, entre ellos el referido a la capacidad residual de contratación, no reúnan las exigencias descritas en los citados pliegos de condiciones o documentos equivalentes.</w:t>
      </w:r>
    </w:p>
    <w:p w14:paraId="11D62099" w14:textId="77777777" w:rsidR="00B041C0" w:rsidRPr="002017DA" w:rsidRDefault="00B041C0" w:rsidP="00B041C0">
      <w:pPr>
        <w:spacing w:after="0" w:line="240" w:lineRule="auto"/>
        <w:jc w:val="both"/>
        <w:rPr>
          <w:rFonts w:ascii="Verdana" w:eastAsia="Calibri" w:hAnsi="Verdana" w:cs="Calibri"/>
          <w:sz w:val="20"/>
          <w:szCs w:val="20"/>
          <w:lang w:val="es-ES"/>
        </w:rPr>
      </w:pPr>
    </w:p>
    <w:p w14:paraId="5EAD43C1" w14:textId="77777777" w:rsidR="00B041C0" w:rsidRPr="002017DA" w:rsidRDefault="00B041C0" w:rsidP="00B041C0">
      <w:pPr>
        <w:jc w:val="both"/>
        <w:rPr>
          <w:rFonts w:ascii="Verdana" w:eastAsia="Calibri" w:hAnsi="Verdana" w:cs="Calibri"/>
          <w:b/>
          <w:bCs/>
          <w:lang w:val="es-ES"/>
        </w:rPr>
      </w:pPr>
      <w:r w:rsidRPr="002017DA">
        <w:rPr>
          <w:rFonts w:ascii="Verdana" w:eastAsia="Calibri" w:hAnsi="Verdana" w:cs="Calibri"/>
          <w:b/>
          <w:bCs/>
          <w:lang w:val="es-ES"/>
        </w:rPr>
        <w:lastRenderedPageBreak/>
        <w:t>CAPACIDAD RESIDUAL – Documentos Tipo</w:t>
      </w:r>
    </w:p>
    <w:p w14:paraId="380D2977" w14:textId="77777777" w:rsidR="00B041C0" w:rsidRPr="000C5E3A" w:rsidRDefault="00B041C0" w:rsidP="00B041C0">
      <w:pPr>
        <w:jc w:val="both"/>
        <w:rPr>
          <w:rFonts w:ascii="Verdana" w:eastAsia="Calibri" w:hAnsi="Verdana" w:cs="Arial"/>
          <w:sz w:val="20"/>
          <w:szCs w:val="20"/>
          <w:lang w:eastAsia="es-ES"/>
        </w:rPr>
      </w:pPr>
      <w:r w:rsidRPr="000C5E3A">
        <w:rPr>
          <w:rFonts w:ascii="Verdana" w:eastAsia="Calibri" w:hAnsi="Verdana" w:cs="Arial"/>
          <w:sz w:val="20"/>
          <w:szCs w:val="20"/>
          <w:lang w:val="es-ES" w:eastAsia="es-ES"/>
        </w:rPr>
        <w:t>[…] dichos D</w:t>
      </w:r>
      <w:r w:rsidRPr="000C5E3A">
        <w:rPr>
          <w:rFonts w:ascii="Verdana" w:eastAsia="Calibri" w:hAnsi="Verdana" w:cs="Arial"/>
          <w:sz w:val="20"/>
          <w:szCs w:val="20"/>
          <w:lang w:eastAsia="es-ES"/>
        </w:rPr>
        <w:t>ocumentos Tipo expedidos por esta Agencia en ejercicio de la potestad otorgada por la Ley 2022 de 2020, son de obligatoria observancia para las Entidades Estatales sometidas al Estatuto General de Contratación de la Administración Pública. Debido a esto tales entidades deben aplicar de manera forzosa los Documentos Tipo para desarrollar los Procesos de Contratación en los objetos y modalidades cobijadas por los Documentos Tipo.</w:t>
      </w:r>
    </w:p>
    <w:p w14:paraId="6BFC98B6" w14:textId="77777777" w:rsidR="00B041C0" w:rsidRPr="002017DA" w:rsidRDefault="00B041C0" w:rsidP="00B041C0">
      <w:pPr>
        <w:jc w:val="both"/>
        <w:rPr>
          <w:rFonts w:ascii="Verdana" w:eastAsia="Calibri" w:hAnsi="Verdana" w:cs="Calibri"/>
          <w:b/>
          <w:bCs/>
          <w:lang w:val="es-ES"/>
        </w:rPr>
      </w:pPr>
      <w:r w:rsidRPr="002017DA">
        <w:rPr>
          <w:rFonts w:ascii="Verdana" w:eastAsia="Calibri" w:hAnsi="Verdana" w:cs="Calibri"/>
          <w:b/>
          <w:bCs/>
          <w:lang w:val="es-ES"/>
        </w:rPr>
        <w:t xml:space="preserve">CAPACIDAD RESIDUAL </w:t>
      </w:r>
      <w:r w:rsidRPr="007B6842">
        <w:rPr>
          <w:rFonts w:ascii="Verdana" w:eastAsia="Calibri" w:hAnsi="Verdana" w:cs="Calibri"/>
          <w:b/>
          <w:bCs/>
          <w:lang w:val="es-ES"/>
        </w:rPr>
        <w:t>–</w:t>
      </w:r>
      <w:r w:rsidRPr="002017DA">
        <w:rPr>
          <w:rFonts w:ascii="Verdana" w:eastAsia="Calibri" w:hAnsi="Verdana" w:cs="Calibri"/>
          <w:b/>
          <w:bCs/>
          <w:lang w:val="es-ES"/>
        </w:rPr>
        <w:t xml:space="preserve"> Causales de rechazo de la oferta </w:t>
      </w:r>
    </w:p>
    <w:p w14:paraId="547B8031" w14:textId="77777777" w:rsidR="00B041C0" w:rsidRPr="000C5E3A" w:rsidRDefault="00B041C0" w:rsidP="00B041C0">
      <w:pPr>
        <w:jc w:val="both"/>
        <w:rPr>
          <w:rFonts w:ascii="Verdana" w:eastAsia="Calibri" w:hAnsi="Verdana" w:cs="Arial"/>
          <w:sz w:val="20"/>
          <w:szCs w:val="20"/>
          <w:lang w:eastAsia="es-ES"/>
        </w:rPr>
      </w:pPr>
      <w:r w:rsidRPr="000C5E3A">
        <w:rPr>
          <w:rFonts w:ascii="Verdana" w:eastAsia="Calibri" w:hAnsi="Verdana" w:cs="Arial"/>
          <w:sz w:val="20"/>
          <w:szCs w:val="20"/>
          <w:lang w:eastAsia="es-ES"/>
        </w:rPr>
        <w:t>El numeral 3.11 del documento base de obra de infraestructura de transporte para procesos de licitación pública – Versión 4, establece como requisito habilitante la capacidad residual. En este documento tipo se establecen al menos tres causales de rechazo en el numeral 1.15 que se relacionan con la capacidad residual como requisito habilitante, esto es, los literales E, H y X.</w:t>
      </w:r>
    </w:p>
    <w:p w14:paraId="20F1BE3B" w14:textId="77777777" w:rsidR="00B041C0" w:rsidRPr="000C5E3A" w:rsidRDefault="00B041C0" w:rsidP="00B041C0">
      <w:pPr>
        <w:jc w:val="both"/>
        <w:rPr>
          <w:rFonts w:ascii="Verdana" w:eastAsia="Calibri" w:hAnsi="Verdana" w:cs="Arial"/>
          <w:sz w:val="20"/>
          <w:szCs w:val="20"/>
          <w:lang w:eastAsia="es-ES"/>
        </w:rPr>
      </w:pPr>
      <w:r w:rsidRPr="000C5E3A">
        <w:rPr>
          <w:rFonts w:ascii="Verdana" w:eastAsia="Calibri" w:hAnsi="Verdana" w:cs="Arial"/>
          <w:sz w:val="20"/>
          <w:szCs w:val="20"/>
          <w:lang w:eastAsia="es-ES"/>
        </w:rPr>
        <w:t>[…] La causal del literal X del numeral 1.15 solamente aplica cuando el proponente no informa todos los contratos que tiene en ejecución antes del cierre. Por ejemplo, si el contratista tiene en ejecución diez contratos, esta causal de rechazo aplica si el contratista reporta nueve o un numero diferente a diez. Por tanto, la configuración de la causal de rechazo del literal X es objetiva, pues solo aplica ante la omisión del proponente de informar el número total de contratos en ejecución antes del cierre del proceso, es decir, opera también cuando no se aporte con la oferta el Formato 5 debidamente diligenciado.</w:t>
      </w:r>
    </w:p>
    <w:p w14:paraId="751B9C85" w14:textId="77777777" w:rsidR="00B041C0" w:rsidRPr="000C5E3A" w:rsidRDefault="00B041C0" w:rsidP="00B041C0">
      <w:pPr>
        <w:jc w:val="both"/>
        <w:rPr>
          <w:rFonts w:ascii="Verdana" w:eastAsia="Calibri" w:hAnsi="Verdana" w:cs="Arial"/>
          <w:sz w:val="20"/>
          <w:szCs w:val="20"/>
          <w:lang w:eastAsia="es-ES"/>
        </w:rPr>
      </w:pPr>
      <w:r w:rsidRPr="000C5E3A">
        <w:rPr>
          <w:rFonts w:ascii="Verdana" w:eastAsia="Calibri" w:hAnsi="Verdana" w:cs="Arial"/>
          <w:sz w:val="20"/>
          <w:szCs w:val="20"/>
          <w:lang w:eastAsia="es-ES"/>
        </w:rPr>
        <w:t>[…] En relación con las reglas de subsanabilidad de las ofertas de la Ley 1150 de 2007, es necesario precisar que solo habrá lugar a subsanar en los eventos en los que el proponente omite información sobre los contratos informados, esto es, en el evento de la causal del literal E.</w:t>
      </w:r>
    </w:p>
    <w:p w14:paraId="3F509845" w14:textId="77777777" w:rsidR="00B041C0" w:rsidRPr="000C5E3A" w:rsidRDefault="00B041C0" w:rsidP="00B041C0">
      <w:pPr>
        <w:jc w:val="both"/>
        <w:rPr>
          <w:rFonts w:ascii="Verdana" w:eastAsia="Calibri" w:hAnsi="Verdana" w:cs="Arial"/>
          <w:sz w:val="20"/>
          <w:szCs w:val="20"/>
          <w:lang w:eastAsia="es-ES"/>
        </w:rPr>
      </w:pPr>
      <w:r w:rsidRPr="000C5E3A">
        <w:rPr>
          <w:rFonts w:ascii="Verdana" w:eastAsia="Calibri" w:hAnsi="Verdana" w:cs="Arial"/>
          <w:sz w:val="20"/>
          <w:szCs w:val="20"/>
          <w:lang w:eastAsia="es-ES"/>
        </w:rPr>
        <w:t>[…] En relación con la causal de rechazo del literal H del numeral 1.15. del documento base, consistente en aportar “(…) información inexacta sobre la cual pueda existir una posible falsedad (…)”, más no en la ausencia de la información que podría haberse tomado del contrato viciado de falsedad. En este caso, no se trata de información inexacta que tenga la connotación de falsedad por lo que no habría lugar a rechazo de la propuesta por esta causal si el proponente se equivoca en el diligenciamiento de la información específica de un contrato previamente incluido en el formato respectivo, se considera que la entidad podrá requerirlo para que aclare la información y, en caso de no atender dicho requerimiento, revisar si se configuraría la causal de rechazo de la propuesta por la causal prevista en el literal E del numeral 1.15.</w:t>
      </w:r>
    </w:p>
    <w:p w14:paraId="11EE75F2" w14:textId="77777777" w:rsidR="00B041C0" w:rsidRPr="002017DA" w:rsidRDefault="00B041C0" w:rsidP="00B041C0">
      <w:pPr>
        <w:jc w:val="both"/>
        <w:rPr>
          <w:rFonts w:ascii="Verdana" w:eastAsia="Calibri" w:hAnsi="Verdana" w:cs="Calibri"/>
          <w:b/>
          <w:bCs/>
          <w:lang w:val="es-ES"/>
        </w:rPr>
      </w:pPr>
      <w:r w:rsidRPr="002017DA">
        <w:rPr>
          <w:rFonts w:ascii="Verdana" w:eastAsia="Calibri" w:hAnsi="Verdana" w:cs="Calibri"/>
          <w:b/>
          <w:bCs/>
          <w:lang w:val="es-ES"/>
        </w:rPr>
        <w:t xml:space="preserve">SALDOS DE CONTRATOS EN EJECUCIÓN – Requisito Habilitante – Subsanación </w:t>
      </w:r>
      <w:r w:rsidRPr="007B6842">
        <w:rPr>
          <w:rFonts w:ascii="Verdana" w:eastAsia="Calibri" w:hAnsi="Verdana" w:cs="Calibri"/>
          <w:b/>
          <w:bCs/>
          <w:lang w:val="es-ES"/>
        </w:rPr>
        <w:t>–</w:t>
      </w:r>
      <w:r w:rsidRPr="002017DA">
        <w:rPr>
          <w:rFonts w:ascii="Verdana" w:eastAsia="Calibri" w:hAnsi="Verdana" w:cs="Calibri"/>
          <w:b/>
          <w:bCs/>
          <w:lang w:val="es-ES"/>
        </w:rPr>
        <w:t xml:space="preserve"> Deber de reportar la totalidad de contratos</w:t>
      </w:r>
    </w:p>
    <w:p w14:paraId="042F8774" w14:textId="77777777" w:rsidR="00B041C0" w:rsidRPr="002017DA" w:rsidRDefault="00B041C0" w:rsidP="00B041C0">
      <w:pPr>
        <w:spacing w:after="0" w:line="240" w:lineRule="auto"/>
        <w:jc w:val="both"/>
        <w:rPr>
          <w:rFonts w:ascii="Verdana" w:eastAsia="Calibri" w:hAnsi="Verdana" w:cs="Arial"/>
          <w:sz w:val="20"/>
          <w:szCs w:val="20"/>
          <w:lang w:val="es-ES" w:eastAsia="es-ES"/>
        </w:rPr>
      </w:pPr>
      <w:r w:rsidRPr="002017DA">
        <w:rPr>
          <w:rFonts w:ascii="Verdana" w:eastAsia="Calibri" w:hAnsi="Verdana" w:cs="Arial"/>
          <w:sz w:val="20"/>
          <w:szCs w:val="20"/>
          <w:lang w:eastAsia="es-ES"/>
        </w:rPr>
        <w:lastRenderedPageBreak/>
        <w:t>[…] los saldos pendientes se derivan de las obligaciones que se encuentran en ejecución al momento de la presentación de la oferta y se refieren a contratos cuyo objeto sea la ejecución de obras civiles. Se aclara que deben tenerse en cuenta los contratos sin acta de inicio, pues el criterio determinante para establecer si un contrato se encuentra en ejecución no lo determina el acta, sino que el mismo contrato obligue al proponente, tal como se establece en la Guía indicada. Además, los saldos pendientes por ejecutar de los contratos afectados por una suspensión constituyen, también, información relevante para calcular la capacidad residual del proponente “CRP”. Lo anterior, en la medida en que la ejecución de los contratos en principio suspendidos puede, eventualmente, afectar la aptitud del oferente para cumplir con el contrato ofertado, razón por la que, ante la posibilidad de que tales contratos se reanuden, la Guía estimó necesario evaluar los saldos pendientes por ejecutar de tales contratos para determinar si el proponente cumple con la capacidad residual requerida.</w:t>
      </w:r>
    </w:p>
    <w:p w14:paraId="2E6C2C02" w14:textId="77777777" w:rsidR="00B041C0" w:rsidRPr="002017DA" w:rsidRDefault="00B041C0" w:rsidP="00B041C0">
      <w:pPr>
        <w:spacing w:after="0" w:line="240" w:lineRule="auto"/>
        <w:jc w:val="both"/>
        <w:rPr>
          <w:rFonts w:ascii="Verdana" w:hAnsi="Verdana"/>
          <w:sz w:val="20"/>
          <w:szCs w:val="20"/>
          <w:lang w:val="es-ES"/>
        </w:rPr>
      </w:pPr>
    </w:p>
    <w:p w14:paraId="06E10B6B" w14:textId="77777777" w:rsidR="00B041C0" w:rsidRPr="002017DA" w:rsidRDefault="00B041C0" w:rsidP="00B041C0">
      <w:pPr>
        <w:spacing w:after="0" w:line="240" w:lineRule="auto"/>
        <w:jc w:val="both"/>
        <w:rPr>
          <w:rFonts w:ascii="Verdana" w:hAnsi="Verdana"/>
          <w:sz w:val="20"/>
          <w:szCs w:val="20"/>
        </w:rPr>
      </w:pPr>
      <w:r w:rsidRPr="002017DA">
        <w:rPr>
          <w:rFonts w:ascii="Verdana" w:hAnsi="Verdana"/>
          <w:sz w:val="20"/>
          <w:szCs w:val="20"/>
          <w:lang w:val="es-ES"/>
        </w:rPr>
        <w:t xml:space="preserve">[…] </w:t>
      </w:r>
      <w:r w:rsidRPr="002017DA">
        <w:rPr>
          <w:rFonts w:ascii="Verdana" w:hAnsi="Verdana"/>
          <w:sz w:val="20"/>
          <w:szCs w:val="20"/>
        </w:rPr>
        <w:t>De este modo, para acreditar el factor saldos de los contratos en ejecución “SCE”, como lo establece la Guía, el proponente debe presentar la lista de contratos de obras civiles en ejecución, tanto a nivel nacional como internacional señalando: i) el valor del contrato; ii) el plazo del contrato en meses; iii) la fecha de inicio de las obras objeto del contrato (día, mes, año); iv) si la obra la ejecuta un consorcio, unión temporal o sociedad de propósito especial, junto con el porcentaje de participación del oferente que presenta el certificado; v) si el contrato se encuentra suspendido, y si es así, la fecha de suspensión.</w:t>
      </w:r>
    </w:p>
    <w:p w14:paraId="027FAE50" w14:textId="77777777" w:rsidR="00B041C0" w:rsidRDefault="00B041C0" w:rsidP="00B041C0">
      <w:pPr>
        <w:spacing w:after="0" w:line="240" w:lineRule="auto"/>
        <w:jc w:val="both"/>
        <w:rPr>
          <w:rFonts w:ascii="Verdana" w:hAnsi="Verdana"/>
        </w:rPr>
      </w:pPr>
    </w:p>
    <w:p w14:paraId="774EED81" w14:textId="77777777" w:rsidR="00B041C0" w:rsidRDefault="00B041C0" w:rsidP="00B041C0">
      <w:pPr>
        <w:spacing w:after="0" w:line="240" w:lineRule="auto"/>
        <w:jc w:val="both"/>
        <w:rPr>
          <w:rFonts w:ascii="Verdana" w:hAnsi="Verdana"/>
        </w:rPr>
      </w:pPr>
      <w:r w:rsidRPr="008A6EBB">
        <w:rPr>
          <w:rFonts w:ascii="Verdana" w:eastAsia="Arial" w:hAnsi="Verdana" w:cs="Arial"/>
          <w:b/>
          <w:bCs/>
        </w:rPr>
        <w:t xml:space="preserve">CÁLCULO DE LA CAPACIDAD RESIDUAL – </w:t>
      </w:r>
      <w:r>
        <w:rPr>
          <w:rFonts w:ascii="Verdana" w:eastAsia="Arial" w:hAnsi="Verdana" w:cs="Arial"/>
          <w:b/>
          <w:bCs/>
        </w:rPr>
        <w:t>Saldos de contratos en ejecución</w:t>
      </w:r>
    </w:p>
    <w:p w14:paraId="29FA61C8" w14:textId="77777777" w:rsidR="00B041C0" w:rsidRDefault="00B041C0" w:rsidP="00B041C0">
      <w:pPr>
        <w:spacing w:after="0" w:line="240" w:lineRule="auto"/>
        <w:jc w:val="both"/>
        <w:rPr>
          <w:rFonts w:ascii="Verdana" w:hAnsi="Verdana"/>
        </w:rPr>
      </w:pPr>
    </w:p>
    <w:p w14:paraId="05860010" w14:textId="77777777" w:rsidR="00B041C0" w:rsidRDefault="00B041C0" w:rsidP="00B041C0">
      <w:pPr>
        <w:spacing w:after="0" w:line="240" w:lineRule="auto"/>
        <w:jc w:val="both"/>
      </w:pPr>
      <w:r w:rsidRPr="009D6B1F">
        <w:rPr>
          <w:rFonts w:ascii="Verdana" w:hAnsi="Verdana"/>
          <w:sz w:val="20"/>
          <w:szCs w:val="20"/>
        </w:rPr>
        <w:t>[…] conforme a las definiciones previstas en la Guía para Determinar y Verificar la Capacidad Residual del Proponente en los Procesos de Contratación de Obra Pública y el subnumeral II del literal E del numeral 3.11.2 del documento base dispone que “Los contratos de obras civiles en ejecución son aquellos que a la fecha de presentación de la oferta obligan al proponente con entidades estatales y con entidades privadas para ejecutar obras civiles. Estas incluyen las obras civiles de los contratos de concesión y los contratos de obra suscritos con concesionarios, así como, los contratos suspendidos y aquellos que no tengan acta de inicio. No se entenderán como contratos en ejecución los que se encuentren en liquidación”.</w:t>
      </w:r>
      <w:r w:rsidRPr="000A13A4">
        <w:t xml:space="preserve"> </w:t>
      </w:r>
    </w:p>
    <w:p w14:paraId="00BD2774" w14:textId="77777777" w:rsidR="00B041C0" w:rsidRDefault="00B041C0" w:rsidP="00B041C0">
      <w:pPr>
        <w:spacing w:after="0" w:line="240" w:lineRule="auto"/>
        <w:jc w:val="both"/>
      </w:pPr>
    </w:p>
    <w:p w14:paraId="739F451C" w14:textId="77777777" w:rsidR="00B041C0" w:rsidRPr="000A13A4" w:rsidRDefault="00B041C0" w:rsidP="00B041C0">
      <w:pPr>
        <w:spacing w:after="0" w:line="240" w:lineRule="auto"/>
        <w:jc w:val="both"/>
        <w:rPr>
          <w:b/>
          <w:bCs/>
        </w:rPr>
      </w:pPr>
      <w:r w:rsidRPr="000A13A4">
        <w:rPr>
          <w:rFonts w:ascii="Verdana" w:hAnsi="Verdana"/>
          <w:b/>
          <w:bCs/>
        </w:rPr>
        <w:t xml:space="preserve">CAPACIDAD RESIDUAL – </w:t>
      </w:r>
      <w:r>
        <w:rPr>
          <w:rFonts w:ascii="Verdana" w:hAnsi="Verdana"/>
          <w:b/>
          <w:bCs/>
        </w:rPr>
        <w:t>E</w:t>
      </w:r>
      <w:r w:rsidRPr="000A13A4">
        <w:rPr>
          <w:rFonts w:ascii="Verdana" w:hAnsi="Verdana"/>
          <w:b/>
          <w:bCs/>
        </w:rPr>
        <w:t>xistencia o no de acta de inicio</w:t>
      </w:r>
    </w:p>
    <w:p w14:paraId="402B3750" w14:textId="77777777" w:rsidR="00B041C0" w:rsidRDefault="00B041C0" w:rsidP="00B041C0">
      <w:pPr>
        <w:spacing w:after="0" w:line="240" w:lineRule="auto"/>
        <w:jc w:val="both"/>
      </w:pPr>
    </w:p>
    <w:p w14:paraId="54F5CBE8" w14:textId="77777777" w:rsidR="00B041C0" w:rsidRPr="000A13A4" w:rsidRDefault="00B041C0" w:rsidP="00B041C0">
      <w:pPr>
        <w:spacing w:after="0" w:line="240" w:lineRule="auto"/>
        <w:jc w:val="both"/>
        <w:rPr>
          <w:rFonts w:ascii="Verdana" w:hAnsi="Verdana"/>
          <w:sz w:val="20"/>
          <w:szCs w:val="20"/>
        </w:rPr>
      </w:pPr>
      <w:r>
        <w:rPr>
          <w:rFonts w:ascii="Verdana" w:hAnsi="Verdana"/>
          <w:sz w:val="20"/>
          <w:szCs w:val="20"/>
        </w:rPr>
        <w:t>L</w:t>
      </w:r>
      <w:r w:rsidRPr="000A13A4">
        <w:rPr>
          <w:rFonts w:ascii="Verdana" w:hAnsi="Verdana"/>
          <w:sz w:val="20"/>
          <w:szCs w:val="20"/>
        </w:rPr>
        <w:t>a existencia o inexistencia del acta de inicio no constituye el criterio jurídico que determina si un contrato debe ser considerado para efectos de la Capacidad Residual. El elemento relevante es que exista un vínculo contractual que obligue al proponente a ejecutar obras civiles.</w:t>
      </w:r>
    </w:p>
    <w:p w14:paraId="749C66EF" w14:textId="77777777" w:rsidR="00B041C0" w:rsidRPr="000A13A4" w:rsidRDefault="00B041C0" w:rsidP="00B041C0">
      <w:pPr>
        <w:spacing w:after="0" w:line="240" w:lineRule="auto"/>
        <w:jc w:val="both"/>
        <w:rPr>
          <w:rFonts w:ascii="Verdana" w:hAnsi="Verdana"/>
          <w:sz w:val="20"/>
          <w:szCs w:val="20"/>
        </w:rPr>
      </w:pPr>
      <w:r w:rsidRPr="000A13A4">
        <w:rPr>
          <w:rFonts w:ascii="Verdana" w:hAnsi="Verdana"/>
          <w:sz w:val="20"/>
          <w:szCs w:val="20"/>
        </w:rPr>
        <w:t xml:space="preserve">        En el mismo sentido el mencionado Concepto C-132 del 18 de febrero 2026 señaló que la definición de contratos en ejecución comprende los contratos perfeccionados, </w:t>
      </w:r>
      <w:r w:rsidRPr="000A13A4">
        <w:rPr>
          <w:rFonts w:ascii="Verdana" w:hAnsi="Verdana"/>
          <w:sz w:val="20"/>
          <w:szCs w:val="20"/>
        </w:rPr>
        <w:lastRenderedPageBreak/>
        <w:t>incluso aquellos que estén suspendidos o no tengan acta de inicio, pero que “están fuera de esta los procesos de selección adjudicados”.</w:t>
      </w:r>
    </w:p>
    <w:p w14:paraId="2F25CEFE" w14:textId="77777777" w:rsidR="00B041C0" w:rsidRPr="009D6B1F" w:rsidRDefault="00B041C0" w:rsidP="00B041C0">
      <w:pPr>
        <w:spacing w:after="0" w:line="240" w:lineRule="auto"/>
        <w:jc w:val="both"/>
        <w:rPr>
          <w:rFonts w:ascii="Verdana" w:hAnsi="Verdana"/>
          <w:sz w:val="20"/>
          <w:szCs w:val="20"/>
        </w:rPr>
      </w:pPr>
      <w:r w:rsidRPr="000A13A4">
        <w:rPr>
          <w:rFonts w:ascii="Verdana" w:hAnsi="Verdana"/>
          <w:sz w:val="20"/>
          <w:szCs w:val="20"/>
        </w:rPr>
        <w:t xml:space="preserve">        En consecuencia, los contratos meramente adjudicados antes de la presentación de la oferta, pero que no se encuentren perfeccionados, no deben ser incluidos en el cálculo del SCE. Por el contrario, si antes de la presentación de la oferta el contrato ya se encontraba perfeccionado y constituye una obligación del proponente para ejecutar obras civiles, deberá ser informado y considerado en la determinación de la Capacidad Residual, aun cuando no cuente con acta de inicio.</w:t>
      </w:r>
    </w:p>
    <w:p w14:paraId="5882BCF7" w14:textId="77777777" w:rsidR="00B041C0" w:rsidRDefault="00B041C0" w:rsidP="00B041C0">
      <w:pPr>
        <w:spacing w:after="0" w:line="240" w:lineRule="auto"/>
        <w:jc w:val="both"/>
        <w:rPr>
          <w:rFonts w:ascii="Verdana" w:eastAsia="Calibri" w:hAnsi="Verdana" w:cs="Arial"/>
          <w:b/>
          <w:bCs/>
          <w:lang w:val="es-ES" w:eastAsia="es-ES"/>
        </w:rPr>
      </w:pPr>
    </w:p>
    <w:p w14:paraId="2A982FA4" w14:textId="77777777" w:rsidR="00B041C0" w:rsidRDefault="00B041C0" w:rsidP="00B041C0">
      <w:pPr>
        <w:spacing w:after="0" w:line="240" w:lineRule="auto"/>
        <w:jc w:val="both"/>
        <w:rPr>
          <w:rFonts w:ascii="Verdana" w:eastAsia="Calibri" w:hAnsi="Verdana" w:cs="Arial"/>
          <w:b/>
          <w:bCs/>
          <w:lang w:val="es-ES" w:eastAsia="es-ES"/>
        </w:rPr>
      </w:pPr>
    </w:p>
    <w:p w14:paraId="2B686D3D" w14:textId="77777777" w:rsidR="00B041C0" w:rsidRDefault="00B041C0" w:rsidP="00B041C0">
      <w:pPr>
        <w:spacing w:after="0" w:line="240" w:lineRule="auto"/>
        <w:jc w:val="both"/>
        <w:rPr>
          <w:rFonts w:ascii="Verdana" w:eastAsia="Calibri" w:hAnsi="Verdana" w:cs="Arial"/>
          <w:b/>
          <w:bCs/>
          <w:lang w:val="es-ES" w:eastAsia="es-ES"/>
        </w:rPr>
      </w:pPr>
    </w:p>
    <w:p w14:paraId="60337BA6" w14:textId="77777777" w:rsidR="00B041C0" w:rsidRDefault="00B041C0" w:rsidP="00B041C0">
      <w:pPr>
        <w:spacing w:after="0" w:line="240" w:lineRule="auto"/>
        <w:jc w:val="both"/>
        <w:rPr>
          <w:rFonts w:ascii="Verdana" w:eastAsia="Calibri" w:hAnsi="Verdana" w:cs="Arial"/>
          <w:b/>
          <w:bCs/>
          <w:lang w:val="es-ES" w:eastAsia="es-ES"/>
        </w:rPr>
      </w:pPr>
    </w:p>
    <w:p w14:paraId="321B7BE1" w14:textId="77777777" w:rsidR="00B041C0" w:rsidRDefault="00B041C0" w:rsidP="00B041C0">
      <w:pPr>
        <w:spacing w:after="0" w:line="240" w:lineRule="auto"/>
        <w:jc w:val="both"/>
        <w:rPr>
          <w:rFonts w:ascii="Verdana" w:eastAsia="Calibri" w:hAnsi="Verdana" w:cs="Arial"/>
          <w:b/>
          <w:bCs/>
          <w:lang w:val="es-ES" w:eastAsia="es-ES"/>
        </w:rPr>
      </w:pPr>
    </w:p>
    <w:p w14:paraId="636C21C8" w14:textId="77777777" w:rsidR="00B041C0" w:rsidRDefault="00B041C0" w:rsidP="00B041C0">
      <w:pPr>
        <w:spacing w:after="0" w:line="240" w:lineRule="auto"/>
        <w:jc w:val="both"/>
        <w:rPr>
          <w:rFonts w:ascii="Verdana" w:eastAsia="Calibri" w:hAnsi="Verdana" w:cs="Arial"/>
          <w:b/>
          <w:bCs/>
          <w:lang w:val="es-ES" w:eastAsia="es-ES"/>
        </w:rPr>
      </w:pPr>
    </w:p>
    <w:p w14:paraId="4658D497" w14:textId="77777777" w:rsidR="00B041C0" w:rsidRDefault="00B041C0" w:rsidP="00B041C0">
      <w:pPr>
        <w:spacing w:after="0" w:line="240" w:lineRule="auto"/>
        <w:jc w:val="both"/>
        <w:rPr>
          <w:rFonts w:ascii="Verdana" w:eastAsia="Calibri" w:hAnsi="Verdana" w:cs="Arial"/>
          <w:b/>
          <w:bCs/>
          <w:lang w:val="es-ES" w:eastAsia="es-ES"/>
        </w:rPr>
      </w:pPr>
    </w:p>
    <w:p w14:paraId="58E08403" w14:textId="77777777" w:rsidR="00B041C0" w:rsidRDefault="00B041C0" w:rsidP="00B041C0">
      <w:pPr>
        <w:spacing w:after="0" w:line="240" w:lineRule="auto"/>
        <w:jc w:val="both"/>
        <w:rPr>
          <w:rFonts w:ascii="Verdana" w:eastAsia="Calibri" w:hAnsi="Verdana" w:cs="Arial"/>
          <w:b/>
          <w:bCs/>
          <w:lang w:val="es-ES" w:eastAsia="es-ES"/>
        </w:rPr>
      </w:pPr>
    </w:p>
    <w:p w14:paraId="38355B28" w14:textId="77777777" w:rsidR="00B041C0" w:rsidRDefault="00B041C0" w:rsidP="00B041C0">
      <w:pPr>
        <w:spacing w:after="0" w:line="240" w:lineRule="auto"/>
        <w:jc w:val="both"/>
        <w:rPr>
          <w:rFonts w:ascii="Verdana" w:eastAsia="Calibri" w:hAnsi="Verdana" w:cs="Arial"/>
          <w:b/>
          <w:bCs/>
          <w:lang w:val="es-ES" w:eastAsia="es-ES"/>
        </w:rPr>
      </w:pPr>
    </w:p>
    <w:p w14:paraId="71F6CEDE" w14:textId="77777777" w:rsidR="00B041C0" w:rsidRDefault="00B041C0" w:rsidP="00B041C0">
      <w:pPr>
        <w:spacing w:after="0" w:line="240" w:lineRule="auto"/>
        <w:jc w:val="both"/>
        <w:rPr>
          <w:rFonts w:ascii="Verdana" w:eastAsia="Calibri" w:hAnsi="Verdana" w:cs="Arial"/>
          <w:b/>
          <w:bCs/>
          <w:lang w:val="es-ES" w:eastAsia="es-ES"/>
        </w:rPr>
      </w:pPr>
    </w:p>
    <w:p w14:paraId="246B037A" w14:textId="77777777" w:rsidR="00B041C0" w:rsidRDefault="00B041C0" w:rsidP="00B041C0">
      <w:pPr>
        <w:spacing w:after="0" w:line="240" w:lineRule="auto"/>
        <w:jc w:val="both"/>
        <w:rPr>
          <w:rFonts w:ascii="Verdana" w:eastAsia="Calibri" w:hAnsi="Verdana" w:cs="Arial"/>
          <w:b/>
          <w:bCs/>
          <w:lang w:val="es-ES" w:eastAsia="es-ES"/>
        </w:rPr>
      </w:pPr>
    </w:p>
    <w:p w14:paraId="3871174B" w14:textId="77777777" w:rsidR="00B041C0" w:rsidRDefault="00B041C0" w:rsidP="00B041C0">
      <w:pPr>
        <w:spacing w:after="0" w:line="240" w:lineRule="auto"/>
        <w:jc w:val="both"/>
        <w:rPr>
          <w:rFonts w:ascii="Verdana" w:eastAsia="Calibri" w:hAnsi="Verdana" w:cs="Arial"/>
          <w:b/>
          <w:bCs/>
          <w:lang w:val="es-ES" w:eastAsia="es-ES"/>
        </w:rPr>
      </w:pPr>
    </w:p>
    <w:p w14:paraId="65976605" w14:textId="77777777" w:rsidR="00B041C0" w:rsidRDefault="00B041C0" w:rsidP="00B041C0">
      <w:pPr>
        <w:spacing w:after="0" w:line="240" w:lineRule="auto"/>
        <w:jc w:val="both"/>
        <w:rPr>
          <w:rFonts w:ascii="Verdana" w:eastAsia="Calibri" w:hAnsi="Verdana" w:cs="Arial"/>
          <w:b/>
          <w:bCs/>
          <w:lang w:val="es-ES" w:eastAsia="es-ES"/>
        </w:rPr>
      </w:pPr>
    </w:p>
    <w:p w14:paraId="7C31BC7B" w14:textId="77777777" w:rsidR="00B041C0" w:rsidRDefault="00B041C0" w:rsidP="00B041C0">
      <w:pPr>
        <w:spacing w:after="0" w:line="240" w:lineRule="auto"/>
        <w:jc w:val="both"/>
        <w:rPr>
          <w:rFonts w:ascii="Verdana" w:eastAsia="Calibri" w:hAnsi="Verdana" w:cs="Arial"/>
          <w:b/>
          <w:bCs/>
          <w:lang w:val="es-ES" w:eastAsia="es-ES"/>
        </w:rPr>
      </w:pPr>
    </w:p>
    <w:p w14:paraId="1B18C5C1" w14:textId="77777777" w:rsidR="00B041C0" w:rsidRDefault="00B041C0" w:rsidP="00B041C0">
      <w:pPr>
        <w:spacing w:after="0" w:line="240" w:lineRule="auto"/>
        <w:jc w:val="both"/>
        <w:rPr>
          <w:rFonts w:ascii="Verdana" w:eastAsia="Calibri" w:hAnsi="Verdana" w:cs="Arial"/>
          <w:b/>
          <w:bCs/>
          <w:lang w:val="es-ES" w:eastAsia="es-ES"/>
        </w:rPr>
      </w:pPr>
    </w:p>
    <w:p w14:paraId="20673563" w14:textId="77777777" w:rsidR="00B041C0" w:rsidRDefault="00B041C0" w:rsidP="00B041C0">
      <w:pPr>
        <w:spacing w:after="0" w:line="240" w:lineRule="auto"/>
        <w:jc w:val="both"/>
        <w:rPr>
          <w:rFonts w:ascii="Verdana" w:eastAsia="Calibri" w:hAnsi="Verdana" w:cs="Arial"/>
          <w:b/>
          <w:bCs/>
          <w:lang w:val="es-ES" w:eastAsia="es-ES"/>
        </w:rPr>
      </w:pPr>
    </w:p>
    <w:p w14:paraId="3277DA40" w14:textId="77777777" w:rsidR="00B041C0" w:rsidRDefault="00B041C0" w:rsidP="00B041C0">
      <w:pPr>
        <w:spacing w:after="0" w:line="240" w:lineRule="auto"/>
        <w:jc w:val="both"/>
        <w:rPr>
          <w:rFonts w:ascii="Verdana" w:eastAsia="Calibri" w:hAnsi="Verdana" w:cs="Arial"/>
          <w:b/>
          <w:bCs/>
          <w:lang w:val="es-ES" w:eastAsia="es-ES"/>
        </w:rPr>
      </w:pPr>
    </w:p>
    <w:p w14:paraId="3AFCA76F" w14:textId="77777777" w:rsidR="00B041C0" w:rsidRDefault="00B041C0" w:rsidP="00B041C0">
      <w:pPr>
        <w:spacing w:after="0" w:line="240" w:lineRule="auto"/>
        <w:jc w:val="both"/>
        <w:rPr>
          <w:rFonts w:ascii="Verdana" w:eastAsia="Calibri" w:hAnsi="Verdana" w:cs="Arial"/>
          <w:b/>
          <w:bCs/>
          <w:lang w:val="es-ES" w:eastAsia="es-ES"/>
        </w:rPr>
      </w:pPr>
    </w:p>
    <w:p w14:paraId="09B03388" w14:textId="77777777" w:rsidR="00B041C0" w:rsidRDefault="00B041C0" w:rsidP="00B041C0">
      <w:pPr>
        <w:spacing w:after="0" w:line="240" w:lineRule="auto"/>
        <w:jc w:val="both"/>
        <w:rPr>
          <w:rFonts w:ascii="Verdana" w:eastAsia="Calibri" w:hAnsi="Verdana" w:cs="Arial"/>
          <w:b/>
          <w:bCs/>
          <w:lang w:val="es-ES" w:eastAsia="es-ES"/>
        </w:rPr>
      </w:pPr>
    </w:p>
    <w:p w14:paraId="47B59297" w14:textId="77777777" w:rsidR="00B041C0" w:rsidRDefault="00B041C0" w:rsidP="00B041C0">
      <w:pPr>
        <w:spacing w:after="0" w:line="240" w:lineRule="auto"/>
        <w:jc w:val="both"/>
        <w:rPr>
          <w:rFonts w:ascii="Verdana" w:eastAsia="Calibri" w:hAnsi="Verdana" w:cs="Arial"/>
          <w:b/>
          <w:bCs/>
          <w:lang w:val="es-ES" w:eastAsia="es-ES"/>
        </w:rPr>
      </w:pPr>
    </w:p>
    <w:p w14:paraId="1BC58ED0" w14:textId="77777777" w:rsidR="00B041C0" w:rsidRDefault="00B041C0" w:rsidP="00B041C0">
      <w:pPr>
        <w:spacing w:after="0" w:line="240" w:lineRule="auto"/>
        <w:jc w:val="both"/>
        <w:rPr>
          <w:rFonts w:ascii="Verdana" w:eastAsia="Calibri" w:hAnsi="Verdana" w:cs="Arial"/>
          <w:b/>
          <w:bCs/>
          <w:lang w:val="es-ES" w:eastAsia="es-ES"/>
        </w:rPr>
      </w:pPr>
    </w:p>
    <w:p w14:paraId="050480E1" w14:textId="77777777" w:rsidR="00B041C0" w:rsidRDefault="00B041C0" w:rsidP="00B041C0">
      <w:pPr>
        <w:spacing w:after="0" w:line="240" w:lineRule="auto"/>
        <w:jc w:val="both"/>
        <w:rPr>
          <w:rFonts w:ascii="Verdana" w:eastAsia="Calibri" w:hAnsi="Verdana" w:cs="Arial"/>
          <w:b/>
          <w:bCs/>
          <w:lang w:val="es-ES" w:eastAsia="es-ES"/>
        </w:rPr>
      </w:pPr>
    </w:p>
    <w:p w14:paraId="18D0FDE0" w14:textId="77777777" w:rsidR="00B041C0" w:rsidRDefault="00B041C0" w:rsidP="00B041C0">
      <w:pPr>
        <w:spacing w:after="0" w:line="240" w:lineRule="auto"/>
        <w:jc w:val="both"/>
        <w:rPr>
          <w:rFonts w:ascii="Verdana" w:eastAsia="Calibri" w:hAnsi="Verdana" w:cs="Arial"/>
          <w:b/>
          <w:bCs/>
          <w:lang w:val="es-ES" w:eastAsia="es-ES"/>
        </w:rPr>
      </w:pPr>
    </w:p>
    <w:p w14:paraId="24A82E74" w14:textId="77777777" w:rsidR="00B041C0" w:rsidRDefault="00B041C0" w:rsidP="00B041C0">
      <w:pPr>
        <w:spacing w:after="0" w:line="240" w:lineRule="auto"/>
        <w:jc w:val="both"/>
        <w:rPr>
          <w:rFonts w:ascii="Verdana" w:eastAsia="Calibri" w:hAnsi="Verdana" w:cs="Arial"/>
          <w:b/>
          <w:bCs/>
          <w:lang w:val="es-ES" w:eastAsia="es-ES"/>
        </w:rPr>
      </w:pPr>
    </w:p>
    <w:p w14:paraId="630AD4D5" w14:textId="77777777" w:rsidR="00B041C0" w:rsidRDefault="00B041C0" w:rsidP="00B041C0">
      <w:pPr>
        <w:spacing w:after="0" w:line="240" w:lineRule="auto"/>
        <w:jc w:val="both"/>
        <w:rPr>
          <w:rFonts w:ascii="Verdana" w:eastAsia="Calibri" w:hAnsi="Verdana" w:cs="Arial"/>
          <w:b/>
          <w:bCs/>
          <w:lang w:val="es-ES" w:eastAsia="es-ES"/>
        </w:rPr>
      </w:pPr>
    </w:p>
    <w:p w14:paraId="3193CE2A" w14:textId="77777777" w:rsidR="00B041C0" w:rsidRDefault="00B041C0" w:rsidP="00B041C0">
      <w:pPr>
        <w:spacing w:after="0"/>
        <w:rPr>
          <w:rFonts w:ascii="Verdana" w:hAnsi="Verdana"/>
          <w:lang w:val="es-ES"/>
        </w:rPr>
      </w:pPr>
    </w:p>
    <w:p w14:paraId="0E58F27C" w14:textId="77777777" w:rsidR="00B041C0" w:rsidRDefault="00B041C0" w:rsidP="00B041C0">
      <w:pPr>
        <w:spacing w:line="240" w:lineRule="auto"/>
        <w:jc w:val="both"/>
        <w:rPr>
          <w:rFonts w:ascii="Verdana" w:eastAsia="Calibri" w:hAnsi="Verdana" w:cs="Arial"/>
          <w:color w:val="000000" w:themeColor="text1"/>
          <w:sz w:val="20"/>
          <w:szCs w:val="20"/>
        </w:rPr>
      </w:pPr>
    </w:p>
    <w:p w14:paraId="055B2EA1" w14:textId="77777777" w:rsidR="00B041C0" w:rsidRDefault="00B041C0" w:rsidP="00B041C0">
      <w:pPr>
        <w:spacing w:line="240" w:lineRule="auto"/>
        <w:jc w:val="both"/>
        <w:rPr>
          <w:rFonts w:ascii="Verdana" w:eastAsia="Calibri" w:hAnsi="Verdana" w:cs="Arial"/>
          <w:color w:val="000000" w:themeColor="text1"/>
          <w:sz w:val="20"/>
          <w:szCs w:val="20"/>
        </w:rPr>
      </w:pPr>
    </w:p>
    <w:p w14:paraId="16189714" w14:textId="77777777" w:rsidR="00B041C0" w:rsidRDefault="00B041C0" w:rsidP="00B041C0">
      <w:pPr>
        <w:spacing w:line="240" w:lineRule="auto"/>
        <w:jc w:val="both"/>
        <w:rPr>
          <w:rFonts w:ascii="Verdana" w:eastAsia="Calibri" w:hAnsi="Verdana" w:cs="Arial"/>
          <w:color w:val="000000" w:themeColor="text1"/>
          <w:sz w:val="20"/>
          <w:szCs w:val="20"/>
        </w:rPr>
      </w:pPr>
    </w:p>
    <w:p w14:paraId="4868A3C5" w14:textId="77777777" w:rsidR="00B041C0" w:rsidRDefault="00B041C0" w:rsidP="00B041C0">
      <w:pPr>
        <w:spacing w:line="240" w:lineRule="auto"/>
        <w:jc w:val="both"/>
        <w:rPr>
          <w:rFonts w:ascii="Verdana" w:eastAsia="Calibri" w:hAnsi="Verdana" w:cs="Arial"/>
          <w:color w:val="000000" w:themeColor="text1"/>
          <w:sz w:val="20"/>
          <w:szCs w:val="20"/>
        </w:rPr>
      </w:pPr>
    </w:p>
    <w:p w14:paraId="715F9DAC" w14:textId="77777777" w:rsidR="00B041C0" w:rsidRDefault="00B041C0" w:rsidP="00B041C0">
      <w:pPr>
        <w:spacing w:line="240" w:lineRule="auto"/>
        <w:jc w:val="both"/>
        <w:rPr>
          <w:rFonts w:ascii="Verdana" w:eastAsia="Calibri" w:hAnsi="Verdana" w:cs="Arial"/>
          <w:color w:val="000000" w:themeColor="text1"/>
          <w:sz w:val="20"/>
          <w:szCs w:val="20"/>
        </w:rPr>
      </w:pPr>
    </w:p>
    <w:p w14:paraId="7C30B8E8" w14:textId="77777777" w:rsidR="00B041C0" w:rsidRPr="008254D8" w:rsidRDefault="00B041C0" w:rsidP="00B041C0">
      <w:pPr>
        <w:spacing w:line="240" w:lineRule="auto"/>
        <w:jc w:val="both"/>
        <w:rPr>
          <w:rFonts w:ascii="Verdana" w:eastAsia="Calibri" w:hAnsi="Verdana" w:cs="Arial"/>
          <w:color w:val="000000" w:themeColor="text1"/>
          <w:sz w:val="20"/>
          <w:szCs w:val="20"/>
        </w:rPr>
      </w:pPr>
    </w:p>
    <w:p w14:paraId="74328BFF" w14:textId="77777777" w:rsidR="00B041C0" w:rsidRPr="00265991" w:rsidRDefault="00B041C0" w:rsidP="00B041C0">
      <w:pPr>
        <w:contextualSpacing/>
        <w:jc w:val="both"/>
        <w:rPr>
          <w:rFonts w:ascii="Verdana" w:hAnsi="Verdana" w:cs="Arial"/>
          <w:b/>
          <w:lang w:eastAsia="es-ES" w:bidi="es-ES"/>
        </w:rPr>
      </w:pPr>
    </w:p>
    <w:p w14:paraId="5231AF3F" w14:textId="77777777" w:rsidR="00B041C0" w:rsidRPr="0015699B" w:rsidRDefault="00B041C0" w:rsidP="00B041C0">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Bogotá D.C., </w:t>
      </w:r>
      <w:r>
        <w:rPr>
          <w:rFonts w:ascii="Verdana" w:eastAsia="Verdana" w:hAnsi="Verdana" w:cs="Verdana"/>
          <w:color w:val="000000" w:themeColor="text1"/>
          <w:lang w:val="es"/>
        </w:rPr>
        <w:t>24</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agosto</w:t>
      </w:r>
      <w:r w:rsidRPr="39124533">
        <w:rPr>
          <w:rFonts w:ascii="Verdana" w:eastAsia="Verdana" w:hAnsi="Verdana" w:cs="Verdana"/>
          <w:color w:val="000000" w:themeColor="text1"/>
          <w:lang w:val="es"/>
        </w:rPr>
        <w:t xml:space="preserve"> de 2026</w:t>
      </w:r>
    </w:p>
    <w:p w14:paraId="571CD63B" w14:textId="77777777" w:rsidR="00B041C0" w:rsidRPr="0015699B" w:rsidRDefault="00B041C0" w:rsidP="00B041C0">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0853872E" w14:textId="7E9D857F" w:rsidR="00B041C0" w:rsidRDefault="005F1688" w:rsidP="005F1688">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176ABBF5" wp14:editId="024DD2D2">
            <wp:extent cx="3057525" cy="895350"/>
            <wp:effectExtent l="0" t="0" r="9525" b="0"/>
            <wp:docPr id="17314222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7525" cy="895350"/>
                    </a:xfrm>
                    <a:prstGeom prst="rect">
                      <a:avLst/>
                    </a:prstGeom>
                    <a:noFill/>
                    <a:ln>
                      <a:noFill/>
                    </a:ln>
                  </pic:spPr>
                </pic:pic>
              </a:graphicData>
            </a:graphic>
          </wp:inline>
        </w:drawing>
      </w:r>
    </w:p>
    <w:p w14:paraId="1035356B" w14:textId="77777777" w:rsidR="005F1688" w:rsidRPr="0015699B" w:rsidRDefault="005F1688" w:rsidP="00B041C0">
      <w:pPr>
        <w:spacing w:after="0" w:line="240" w:lineRule="auto"/>
        <w:jc w:val="both"/>
        <w:textAlignment w:val="baseline"/>
        <w:rPr>
          <w:rFonts w:ascii="Verdana" w:eastAsia="Verdana" w:hAnsi="Verdana" w:cs="Verdana"/>
          <w:color w:val="000000" w:themeColor="text1"/>
          <w:lang w:val="es"/>
        </w:rPr>
      </w:pPr>
    </w:p>
    <w:p w14:paraId="077598DA" w14:textId="77777777" w:rsidR="00B041C0" w:rsidRDefault="00B041C0" w:rsidP="00B041C0">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r>
        <w:rPr>
          <w:rFonts w:ascii="Verdana" w:eastAsia="Verdana" w:hAnsi="Verdana" w:cs="Verdana"/>
          <w:color w:val="000000" w:themeColor="text1"/>
          <w:lang w:val="es"/>
        </w:rPr>
        <w:t>a</w:t>
      </w:r>
    </w:p>
    <w:p w14:paraId="45758BF5" w14:textId="77777777" w:rsidR="00B041C0" w:rsidRPr="00031208" w:rsidRDefault="00B041C0" w:rsidP="00B041C0">
      <w:pPr>
        <w:spacing w:after="0" w:line="240" w:lineRule="auto"/>
        <w:jc w:val="both"/>
        <w:textAlignment w:val="baseline"/>
        <w:rPr>
          <w:rFonts w:ascii="Verdana" w:eastAsia="Verdana" w:hAnsi="Verdana" w:cs="Verdana"/>
          <w:color w:val="000000" w:themeColor="text1"/>
          <w:lang w:val="es"/>
        </w:rPr>
      </w:pPr>
      <w:r w:rsidRPr="00031208">
        <w:rPr>
          <w:rFonts w:ascii="Verdana" w:eastAsia="Verdana" w:hAnsi="Verdana" w:cs="Verdana"/>
          <w:b/>
          <w:bCs/>
        </w:rPr>
        <w:t>DANIELA PRADA ALMEIDA</w:t>
      </w:r>
    </w:p>
    <w:p w14:paraId="498708A6" w14:textId="77777777" w:rsidR="00B041C0" w:rsidRPr="00842DC4" w:rsidRDefault="00B041C0" w:rsidP="00B041C0">
      <w:pPr>
        <w:spacing w:after="0" w:line="240" w:lineRule="auto"/>
        <w:jc w:val="both"/>
        <w:textAlignment w:val="baseline"/>
        <w:rPr>
          <w:rFonts w:ascii="Verdana" w:eastAsia="Verdana" w:hAnsi="Verdana" w:cs="Verdana"/>
          <w:lang w:val="es"/>
        </w:rPr>
      </w:pPr>
      <w:r w:rsidRPr="00031208">
        <w:rPr>
          <w:rFonts w:ascii="Verdana" w:eastAsia="Verdana" w:hAnsi="Verdana" w:cs="Verdana"/>
          <w:color w:val="0000FF"/>
          <w:u w:val="single"/>
        </w:rPr>
        <w:t>dpradaa@ufpso.edu.co</w:t>
      </w:r>
    </w:p>
    <w:p w14:paraId="5C63AF8E" w14:textId="77777777" w:rsidR="00B041C0" w:rsidRPr="00842DC4" w:rsidRDefault="00B041C0" w:rsidP="00B041C0">
      <w:pPr>
        <w:spacing w:after="0" w:line="240" w:lineRule="auto"/>
        <w:jc w:val="both"/>
        <w:textAlignment w:val="baseline"/>
        <w:rPr>
          <w:rFonts w:ascii="Verdana" w:eastAsia="Verdana" w:hAnsi="Verdana" w:cs="Verdana"/>
          <w:lang w:val="es"/>
        </w:rPr>
      </w:pPr>
      <w:r>
        <w:rPr>
          <w:rFonts w:ascii="Verdana" w:eastAsia="Verdana" w:hAnsi="Verdana" w:cs="Verdana"/>
          <w:lang w:val="es"/>
        </w:rPr>
        <w:t>Ocaña (Norte de Santander)</w:t>
      </w:r>
    </w:p>
    <w:p w14:paraId="7752BFF6" w14:textId="77777777" w:rsidR="00B041C0" w:rsidRPr="003D5882" w:rsidRDefault="00B041C0" w:rsidP="00B041C0">
      <w:pPr>
        <w:spacing w:after="0" w:line="240" w:lineRule="auto"/>
        <w:jc w:val="both"/>
        <w:textAlignment w:val="baseline"/>
        <w:rPr>
          <w:rFonts w:ascii="Verdana" w:hAnsi="Verdana"/>
        </w:rPr>
      </w:pPr>
      <w:r w:rsidRPr="39124533">
        <w:rPr>
          <w:rFonts w:ascii="Verdana" w:eastAsia="Verdana" w:hAnsi="Verdana" w:cs="Verdana"/>
          <w:b/>
          <w:bCs/>
          <w:color w:val="000000" w:themeColor="text1"/>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B041C0" w14:paraId="157F28F5" w14:textId="77777777" w:rsidTr="00F9429A">
        <w:trPr>
          <w:trHeight w:val="615"/>
        </w:trPr>
        <w:tc>
          <w:tcPr>
            <w:tcW w:w="2265" w:type="dxa"/>
            <w:shd w:val="clear" w:color="auto" w:fill="FFFFFF" w:themeFill="background1"/>
            <w:tcMar>
              <w:left w:w="108" w:type="dxa"/>
              <w:right w:w="108" w:type="dxa"/>
            </w:tcMar>
          </w:tcPr>
          <w:p w14:paraId="3C9B375B" w14:textId="77777777" w:rsidR="00B041C0" w:rsidRDefault="00B041C0" w:rsidP="00F9429A">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29A7629F" w14:textId="77777777" w:rsidR="00B041C0" w:rsidRDefault="00B041C0" w:rsidP="00F9429A">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1101</w:t>
            </w:r>
            <w:r w:rsidRPr="40A87941">
              <w:rPr>
                <w:rFonts w:ascii="Verdana" w:eastAsia="Verdana" w:hAnsi="Verdana" w:cs="Verdana"/>
                <w:b/>
                <w:bCs/>
                <w:color w:val="000000" w:themeColor="text1"/>
                <w:lang w:val="es"/>
              </w:rPr>
              <w:t xml:space="preserve"> de 2026</w:t>
            </w:r>
          </w:p>
        </w:tc>
      </w:tr>
      <w:tr w:rsidR="00B041C0" w14:paraId="561451B6" w14:textId="77777777" w:rsidTr="00F9429A">
        <w:trPr>
          <w:trHeight w:val="1065"/>
        </w:trPr>
        <w:tc>
          <w:tcPr>
            <w:tcW w:w="2265" w:type="dxa"/>
            <w:shd w:val="clear" w:color="auto" w:fill="FFFFFF" w:themeFill="background1"/>
            <w:tcMar>
              <w:left w:w="108" w:type="dxa"/>
              <w:right w:w="108" w:type="dxa"/>
            </w:tcMar>
          </w:tcPr>
          <w:p w14:paraId="4A530583" w14:textId="77777777" w:rsidR="00B041C0" w:rsidRDefault="00B041C0" w:rsidP="00F9429A">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6E074981" w14:textId="77777777" w:rsidR="00B041C0" w:rsidRPr="000A13A4" w:rsidRDefault="00B041C0" w:rsidP="00F9429A">
            <w:pPr>
              <w:jc w:val="both"/>
              <w:rPr>
                <w:b/>
                <w:bCs/>
              </w:rPr>
            </w:pPr>
            <w:r w:rsidRPr="002464F2">
              <w:rPr>
                <w:rFonts w:ascii="Verdana" w:eastAsia="Calibri" w:hAnsi="Verdana" w:cs="Calibri"/>
                <w:lang w:val="es-ES"/>
              </w:rPr>
              <w:t>CAPACIDAD RESIDUAL</w:t>
            </w:r>
            <w:r>
              <w:rPr>
                <w:rFonts w:ascii="Verdana" w:eastAsia="Calibri" w:hAnsi="Verdana" w:cs="Calibri"/>
                <w:lang w:val="es-ES"/>
              </w:rPr>
              <w:t xml:space="preserve"> – Definición /CAPACIDAD RESIDUAL – Acreditación - Pliego de condiciones / CAPACIDAD RESIDUAL – Causal de rechazo /</w:t>
            </w:r>
            <w:r>
              <w:rPr>
                <w:rFonts w:ascii="Verdana" w:eastAsia="Calibri" w:hAnsi="Verdana" w:cs="Arial"/>
                <w:lang w:val="es-ES" w:eastAsia="es-ES"/>
              </w:rPr>
              <w:t xml:space="preserve"> </w:t>
            </w:r>
            <w:r w:rsidRPr="0030535E">
              <w:rPr>
                <w:rFonts w:ascii="Verdana" w:eastAsia="Calibri" w:hAnsi="Verdana" w:cs="Arial"/>
                <w:lang w:val="es-ES" w:eastAsia="es-ES"/>
              </w:rPr>
              <w:t xml:space="preserve">CAPACIDAD RESIDUAL – Documentos Tipo – Causales de rechazo de la oferta / SALDOS DE CONTRATOS EN EJECUCIÓN – Requisito Habilitante – Subsanación </w:t>
            </w:r>
            <w:r>
              <w:rPr>
                <w:rFonts w:ascii="Verdana" w:eastAsia="Calibri" w:hAnsi="Verdana" w:cs="Arial"/>
                <w:lang w:val="es-ES" w:eastAsia="es-ES"/>
              </w:rPr>
              <w:t xml:space="preserve">- </w:t>
            </w:r>
            <w:r w:rsidRPr="0030535E">
              <w:rPr>
                <w:rFonts w:ascii="Verdana" w:eastAsia="Calibri" w:hAnsi="Verdana" w:cs="Arial"/>
                <w:lang w:val="es-ES" w:eastAsia="es-ES"/>
              </w:rPr>
              <w:t>Deber de reportar la totalidad de contratos</w:t>
            </w:r>
            <w:r>
              <w:rPr>
                <w:rFonts w:ascii="Verdana" w:hAnsi="Verdana" w:cs="Arial"/>
                <w:lang w:eastAsia="es-CO"/>
              </w:rPr>
              <w:t>.</w:t>
            </w:r>
            <w:r w:rsidRPr="008A6EBB">
              <w:rPr>
                <w:rFonts w:ascii="Verdana" w:eastAsia="Arial" w:hAnsi="Verdana" w:cs="Arial"/>
                <w:b/>
                <w:bCs/>
              </w:rPr>
              <w:t xml:space="preserve"> </w:t>
            </w:r>
            <w:r w:rsidRPr="002017DA">
              <w:rPr>
                <w:rFonts w:ascii="Verdana" w:eastAsia="Arial" w:hAnsi="Verdana" w:cs="Arial"/>
              </w:rPr>
              <w:t>CÁLCULO DE LA CAPACIDAD RESIDUAL – Saldos de contratos en ejecución</w:t>
            </w:r>
            <w:r>
              <w:rPr>
                <w:rFonts w:ascii="Verdana" w:eastAsia="Arial" w:hAnsi="Verdana" w:cs="Arial"/>
              </w:rPr>
              <w:t xml:space="preserve"> - </w:t>
            </w:r>
            <w:r w:rsidRPr="000A13A4">
              <w:rPr>
                <w:rFonts w:ascii="Verdana" w:hAnsi="Verdana"/>
              </w:rPr>
              <w:t>CAPACIDAD RESIDUAL – Existencia o no de acta de inicio</w:t>
            </w:r>
          </w:p>
          <w:p w14:paraId="289BCEAE" w14:textId="77777777" w:rsidR="00B041C0" w:rsidRPr="00D3067E" w:rsidRDefault="00B041C0" w:rsidP="00F9429A">
            <w:pPr>
              <w:jc w:val="both"/>
              <w:rPr>
                <w:rFonts w:ascii="Verdana" w:hAnsi="Verdana" w:cs="Arial"/>
                <w:lang w:eastAsia="es-CO"/>
              </w:rPr>
            </w:pPr>
          </w:p>
          <w:p w14:paraId="7C54A394" w14:textId="77777777" w:rsidR="00B041C0" w:rsidRPr="00D931A0" w:rsidRDefault="00B041C0" w:rsidP="00F9429A">
            <w:pPr>
              <w:spacing w:line="276" w:lineRule="auto"/>
              <w:jc w:val="both"/>
              <w:rPr>
                <w:highlight w:val="yellow"/>
              </w:rPr>
            </w:pPr>
          </w:p>
        </w:tc>
      </w:tr>
      <w:tr w:rsidR="00B041C0" w14:paraId="58CD441D" w14:textId="77777777" w:rsidTr="00F9429A">
        <w:trPr>
          <w:trHeight w:val="660"/>
        </w:trPr>
        <w:tc>
          <w:tcPr>
            <w:tcW w:w="2265" w:type="dxa"/>
            <w:shd w:val="clear" w:color="auto" w:fill="FFFFFF" w:themeFill="background1"/>
            <w:tcMar>
              <w:left w:w="108" w:type="dxa"/>
              <w:right w:w="108" w:type="dxa"/>
            </w:tcMar>
          </w:tcPr>
          <w:p w14:paraId="648F9126" w14:textId="77777777" w:rsidR="00B041C0" w:rsidRDefault="00B041C0" w:rsidP="00F9429A">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72C05D6E" w14:textId="77777777" w:rsidR="00B041C0" w:rsidRDefault="00B041C0" w:rsidP="00F9429A">
            <w:pPr>
              <w:ind w:right="1"/>
              <w:jc w:val="both"/>
            </w:pPr>
            <w:r w:rsidRPr="39124533">
              <w:rPr>
                <w:rFonts w:ascii="Verdana" w:eastAsia="Verdana" w:hAnsi="Verdana" w:cs="Verdana"/>
                <w:color w:val="000000" w:themeColor="text1"/>
              </w:rPr>
              <w:t xml:space="preserve">Respuesta a consulta con radicado N.º </w:t>
            </w:r>
            <w:r w:rsidRPr="00015C35">
              <w:rPr>
                <w:rFonts w:ascii="Verdana" w:eastAsia="Verdana" w:hAnsi="Verdana" w:cs="Verdana"/>
                <w:color w:val="000000" w:themeColor="text1"/>
              </w:rPr>
              <w:t>1_2026_07_10_009168</w:t>
            </w:r>
          </w:p>
        </w:tc>
      </w:tr>
    </w:tbl>
    <w:p w14:paraId="55BAEFD0" w14:textId="77777777" w:rsidR="00B041C0" w:rsidRPr="0015699B" w:rsidRDefault="00B041C0" w:rsidP="00B041C0">
      <w:pPr>
        <w:spacing w:after="0" w:line="240" w:lineRule="auto"/>
        <w:jc w:val="both"/>
        <w:textAlignment w:val="baseline"/>
        <w:rPr>
          <w:rFonts w:ascii="Verdana" w:eastAsia="Verdana" w:hAnsi="Verdana" w:cs="Verdana"/>
          <w:b/>
          <w:bCs/>
          <w:color w:val="000000" w:themeColor="text1"/>
          <w:lang w:val="es"/>
        </w:rPr>
      </w:pPr>
    </w:p>
    <w:p w14:paraId="7F8EF240" w14:textId="77777777" w:rsidR="00B041C0" w:rsidRPr="0015699B" w:rsidRDefault="00B041C0" w:rsidP="00B041C0">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a</w:t>
      </w:r>
      <w:r w:rsidRPr="40A87941">
        <w:rPr>
          <w:rFonts w:ascii="Verdana" w:eastAsia="Verdana" w:hAnsi="Verdana" w:cs="Verdana"/>
          <w:color w:val="000000" w:themeColor="text1"/>
          <w:lang w:val="es"/>
        </w:rPr>
        <w:t xml:space="preserve"> señor</w:t>
      </w:r>
      <w:r>
        <w:rPr>
          <w:rFonts w:ascii="Verdana" w:eastAsia="Verdana" w:hAnsi="Verdana" w:cs="Verdana"/>
          <w:color w:val="000000" w:themeColor="text1"/>
          <w:lang w:val="es"/>
        </w:rPr>
        <w:t>a Prada</w:t>
      </w:r>
      <w:r w:rsidRPr="40A87941">
        <w:rPr>
          <w:rFonts w:ascii="Verdana" w:eastAsia="Verdana" w:hAnsi="Verdana" w:cs="Verdana"/>
          <w:color w:val="000000" w:themeColor="text1"/>
          <w:lang w:val="es"/>
        </w:rPr>
        <w:t>;</w:t>
      </w:r>
    </w:p>
    <w:p w14:paraId="29F06C79" w14:textId="77777777" w:rsidR="00B041C0" w:rsidRPr="0015699B" w:rsidRDefault="00B041C0" w:rsidP="00B041C0">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077E351A" w14:textId="77777777" w:rsidR="00B041C0" w:rsidRDefault="00B041C0" w:rsidP="00B041C0">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07</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0FC7E371" w14:textId="77777777" w:rsidR="00B041C0" w:rsidRDefault="00B041C0" w:rsidP="00B041C0">
      <w:pPr>
        <w:spacing w:after="120" w:line="276" w:lineRule="auto"/>
        <w:ind w:left="567" w:right="758"/>
        <w:jc w:val="both"/>
        <w:textAlignment w:val="baseline"/>
        <w:rPr>
          <w:rFonts w:ascii="Verdana" w:hAnsi="Verdana"/>
          <w:sz w:val="21"/>
          <w:szCs w:val="21"/>
        </w:rPr>
      </w:pPr>
      <w:r w:rsidRPr="00971885">
        <w:rPr>
          <w:rFonts w:ascii="Verdana" w:eastAsia="Verdana" w:hAnsi="Verdana" w:cs="Verdana"/>
          <w:color w:val="000000" w:themeColor="text1"/>
          <w:sz w:val="21"/>
          <w:szCs w:val="21"/>
        </w:rPr>
        <w:lastRenderedPageBreak/>
        <w:t>“</w:t>
      </w:r>
    </w:p>
    <w:p w14:paraId="026D13FC" w14:textId="77777777" w:rsidR="00B041C0" w:rsidRDefault="00B041C0" w:rsidP="00B041C0">
      <w:pPr>
        <w:spacing w:after="0" w:line="240" w:lineRule="auto"/>
        <w:ind w:left="567" w:right="760"/>
        <w:jc w:val="both"/>
        <w:textAlignment w:val="baseline"/>
        <w:rPr>
          <w:rFonts w:ascii="Verdana" w:eastAsia="Verdana" w:hAnsi="Verdana" w:cs="Verdana"/>
          <w:color w:val="000000" w:themeColor="text1"/>
          <w:sz w:val="21"/>
          <w:szCs w:val="21"/>
        </w:rPr>
      </w:pPr>
      <w:r>
        <w:rPr>
          <w:rFonts w:ascii="Verdana" w:hAnsi="Verdana"/>
          <w:sz w:val="21"/>
          <w:szCs w:val="21"/>
        </w:rPr>
        <w:t>M</w:t>
      </w:r>
      <w:r w:rsidRPr="00031208">
        <w:rPr>
          <w:rFonts w:ascii="Verdana" w:hAnsi="Verdana"/>
          <w:sz w:val="21"/>
          <w:szCs w:val="21"/>
        </w:rPr>
        <w:t>e aclaren con cual criterio las entidades deben calcular y</w:t>
      </w:r>
      <w:r>
        <w:rPr>
          <w:rFonts w:ascii="Verdana" w:hAnsi="Verdana"/>
          <w:sz w:val="21"/>
          <w:szCs w:val="21"/>
        </w:rPr>
        <w:t xml:space="preserve"> </w:t>
      </w:r>
      <w:r w:rsidRPr="00031208">
        <w:rPr>
          <w:rFonts w:ascii="Verdana" w:hAnsi="Verdana"/>
          <w:sz w:val="21"/>
          <w:szCs w:val="21"/>
        </w:rPr>
        <w:t>verificar la Capacidad Residual del Proponente en los procesos de</w:t>
      </w:r>
      <w:r>
        <w:rPr>
          <w:rFonts w:ascii="Verdana" w:hAnsi="Verdana"/>
          <w:sz w:val="21"/>
          <w:szCs w:val="21"/>
        </w:rPr>
        <w:t xml:space="preserve"> </w:t>
      </w:r>
      <w:r w:rsidRPr="00031208">
        <w:rPr>
          <w:rFonts w:ascii="Verdana" w:hAnsi="Verdana"/>
          <w:sz w:val="21"/>
          <w:szCs w:val="21"/>
        </w:rPr>
        <w:t>contratación en ejecución. 1. ¿Solicito se me aclare, los contratos adjudicados antes de la presentación de la oferta deben ser relacionados y tenidos cuenta en el formato de contratos en ejecución, para calcular la Capacidad Residual del Proponente? 2.</w:t>
      </w:r>
      <w:r>
        <w:rPr>
          <w:rFonts w:ascii="Verdana" w:hAnsi="Verdana"/>
          <w:sz w:val="21"/>
          <w:szCs w:val="21"/>
        </w:rPr>
        <w:t xml:space="preserve"> </w:t>
      </w:r>
      <w:r w:rsidRPr="00031208">
        <w:rPr>
          <w:rFonts w:ascii="Verdana" w:hAnsi="Verdana"/>
          <w:sz w:val="21"/>
          <w:szCs w:val="21"/>
        </w:rPr>
        <w:t>Qué fecha de inicio de contrato</w:t>
      </w:r>
      <w:r>
        <w:rPr>
          <w:rFonts w:ascii="Verdana" w:hAnsi="Verdana"/>
          <w:sz w:val="21"/>
          <w:szCs w:val="21"/>
        </w:rPr>
        <w:t xml:space="preserve"> </w:t>
      </w:r>
      <w:r w:rsidRPr="00031208">
        <w:rPr>
          <w:rFonts w:ascii="Verdana" w:hAnsi="Verdana"/>
          <w:sz w:val="21"/>
          <w:szCs w:val="21"/>
        </w:rPr>
        <w:t>debe relacionar un proponente en los formatos de K residual para los</w:t>
      </w:r>
      <w:r>
        <w:rPr>
          <w:rFonts w:ascii="Verdana" w:hAnsi="Verdana"/>
          <w:sz w:val="21"/>
          <w:szCs w:val="21"/>
        </w:rPr>
        <w:t xml:space="preserve"> </w:t>
      </w:r>
      <w:r w:rsidRPr="00031208">
        <w:rPr>
          <w:rFonts w:ascii="Verdana" w:hAnsi="Verdana"/>
          <w:sz w:val="21"/>
          <w:szCs w:val="21"/>
        </w:rPr>
        <w:t>contratos de ejecución, si el contrato como tal NO tiene acta de inicio, ¿se debe relacionar la fecha de presentación del proceso como fecha de inicio del contrato? 3. ¿Solicito se me aclare, los contratos adjudicados antes de la fecha de adjudicación de un proceso deben ser relacionados y tenidos cuenta en los contratos en ejecución, para calcular la Capacidad Residual del Proponente?</w:t>
      </w:r>
      <w:r w:rsidRPr="00971885">
        <w:rPr>
          <w:rFonts w:ascii="Verdana" w:eastAsia="Verdana" w:hAnsi="Verdana" w:cs="Verdana"/>
          <w:color w:val="000000" w:themeColor="text1"/>
          <w:sz w:val="21"/>
          <w:szCs w:val="21"/>
        </w:rPr>
        <w:t>”</w:t>
      </w:r>
    </w:p>
    <w:p w14:paraId="2DA46B49" w14:textId="77777777" w:rsidR="00B041C0" w:rsidRPr="00971885" w:rsidRDefault="00B041C0" w:rsidP="00B041C0">
      <w:pPr>
        <w:spacing w:after="0" w:line="240" w:lineRule="auto"/>
        <w:ind w:left="567" w:right="760"/>
        <w:jc w:val="both"/>
        <w:textAlignment w:val="baseline"/>
        <w:rPr>
          <w:rFonts w:ascii="Verdana" w:eastAsia="Verdana" w:hAnsi="Verdana" w:cs="Verdana"/>
          <w:color w:val="000000" w:themeColor="text1"/>
          <w:sz w:val="21"/>
          <w:szCs w:val="21"/>
          <w:lang w:val="es-ES"/>
        </w:rPr>
      </w:pPr>
    </w:p>
    <w:p w14:paraId="17B4A6F7" w14:textId="77777777" w:rsidR="00B041C0" w:rsidRPr="0015699B" w:rsidRDefault="00B041C0" w:rsidP="00B041C0">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08761B3D" w14:textId="77777777" w:rsidR="00B041C0" w:rsidRPr="0015699B" w:rsidRDefault="00B041C0" w:rsidP="00B041C0">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35FFADE8" w14:textId="77777777" w:rsidR="00B041C0" w:rsidRPr="0015699B" w:rsidRDefault="00B041C0" w:rsidP="00B041C0">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CBF6058" w14:textId="77777777" w:rsidR="00B041C0" w:rsidRPr="0015699B" w:rsidRDefault="00B041C0" w:rsidP="00B041C0">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44DFD940" w14:textId="77777777" w:rsidR="00B041C0" w:rsidRPr="0015699B" w:rsidRDefault="00B041C0" w:rsidP="00B041C0">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5A9E3873" w14:textId="77777777" w:rsidR="00B041C0" w:rsidRDefault="00B041C0" w:rsidP="00B041C0">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los</w:t>
      </w:r>
      <w:r w:rsidRPr="40A87941">
        <w:rPr>
          <w:rFonts w:ascii="Verdana" w:eastAsia="Verdana" w:hAnsi="Verdana" w:cs="Verdana"/>
          <w:color w:val="000000" w:themeColor="text1"/>
          <w:lang w:val="es"/>
        </w:rPr>
        <w:t xml:space="preserve"> siguiente</w:t>
      </w:r>
      <w:r>
        <w:rPr>
          <w:rFonts w:ascii="Verdana" w:eastAsia="Verdana" w:hAnsi="Verdana" w:cs="Verdana"/>
          <w:color w:val="000000" w:themeColor="text1"/>
          <w:lang w:val="es"/>
        </w:rPr>
        <w:t>s</w:t>
      </w:r>
      <w:r w:rsidRPr="40A87941">
        <w:rPr>
          <w:rFonts w:ascii="Verdana" w:eastAsia="Verdana" w:hAnsi="Verdana" w:cs="Verdana"/>
          <w:color w:val="000000" w:themeColor="text1"/>
          <w:lang w:val="es"/>
        </w:rPr>
        <w:t xml:space="preserve"> problema</w:t>
      </w:r>
      <w:r>
        <w:rPr>
          <w:rFonts w:ascii="Verdana" w:eastAsia="Verdana" w:hAnsi="Verdana" w:cs="Verdana"/>
          <w:color w:val="000000" w:themeColor="text1"/>
          <w:lang w:val="es"/>
        </w:rPr>
        <w:t xml:space="preserve">s </w:t>
      </w:r>
      <w:r w:rsidRPr="40A87941">
        <w:rPr>
          <w:rFonts w:ascii="Verdana" w:eastAsia="Verdana" w:hAnsi="Verdana" w:cs="Verdana"/>
          <w:color w:val="000000" w:themeColor="text1"/>
          <w:lang w:val="es"/>
        </w:rPr>
        <w:t>jurídico</w:t>
      </w:r>
      <w:r>
        <w:rPr>
          <w:rFonts w:ascii="Verdana" w:eastAsia="Verdana" w:hAnsi="Verdana" w:cs="Verdana"/>
          <w:color w:val="000000" w:themeColor="text1"/>
          <w:lang w:val="es"/>
        </w:rPr>
        <w:t>s</w:t>
      </w:r>
      <w:r w:rsidRPr="40A87941">
        <w:rPr>
          <w:rFonts w:ascii="Verdana" w:eastAsia="Verdana" w:hAnsi="Verdana" w:cs="Verdana"/>
          <w:color w:val="000000" w:themeColor="text1"/>
          <w:lang w:val="es"/>
        </w:rPr>
        <w:t>:</w:t>
      </w:r>
      <w:r>
        <w:rPr>
          <w:rFonts w:ascii="Verdana" w:eastAsia="Verdana" w:hAnsi="Verdana" w:cs="Verdana"/>
          <w:color w:val="000000" w:themeColor="text1"/>
          <w:lang w:val="es"/>
        </w:rPr>
        <w:t xml:space="preserve"> </w:t>
      </w:r>
    </w:p>
    <w:p w14:paraId="02E88992" w14:textId="77777777" w:rsidR="00B041C0" w:rsidRDefault="00B041C0" w:rsidP="00B041C0">
      <w:pPr>
        <w:spacing w:after="0" w:line="276" w:lineRule="auto"/>
        <w:jc w:val="both"/>
        <w:textAlignment w:val="baseline"/>
        <w:rPr>
          <w:rFonts w:ascii="Verdana" w:eastAsia="Verdana" w:hAnsi="Verdana" w:cs="Verdana"/>
          <w:color w:val="000000" w:themeColor="text1"/>
          <w:lang w:val="es"/>
        </w:rPr>
      </w:pPr>
    </w:p>
    <w:p w14:paraId="2DF247D5" w14:textId="77777777" w:rsidR="00B041C0" w:rsidRDefault="00B041C0" w:rsidP="00B041C0">
      <w:pPr>
        <w:spacing w:after="0" w:line="276" w:lineRule="auto"/>
        <w:jc w:val="both"/>
        <w:textAlignment w:val="baseline"/>
        <w:rPr>
          <w:rFonts w:ascii="Verdana" w:eastAsia="Verdana" w:hAnsi="Verdana" w:cs="Verdana"/>
          <w:color w:val="000000" w:themeColor="text1"/>
        </w:rPr>
      </w:pPr>
      <w:r>
        <w:rPr>
          <w:rFonts w:ascii="Verdana" w:eastAsia="Verdana" w:hAnsi="Verdana" w:cs="Verdana"/>
          <w:color w:val="000000" w:themeColor="text1"/>
        </w:rPr>
        <w:t xml:space="preserve">i) </w:t>
      </w:r>
      <w:r w:rsidRPr="00614F47">
        <w:rPr>
          <w:rFonts w:ascii="Verdana" w:eastAsia="Verdana" w:hAnsi="Verdana" w:cs="Verdana"/>
          <w:color w:val="000000" w:themeColor="text1"/>
        </w:rPr>
        <w:t>¿</w:t>
      </w:r>
      <w:r>
        <w:rPr>
          <w:rFonts w:ascii="Verdana" w:eastAsia="Verdana" w:hAnsi="Verdana" w:cs="Verdana"/>
          <w:color w:val="000000" w:themeColor="text1"/>
        </w:rPr>
        <w:t>L</w:t>
      </w:r>
      <w:r w:rsidRPr="00614F47">
        <w:rPr>
          <w:rFonts w:ascii="Verdana" w:eastAsia="Verdana" w:hAnsi="Verdana" w:cs="Verdana"/>
          <w:color w:val="000000" w:themeColor="text1"/>
        </w:rPr>
        <w:t>os contratos adjudicados antes de la presentación de la oferta deben relacionarse y tenerse en cuenta para calcular la Capacidad Residua</w:t>
      </w:r>
      <w:r>
        <w:rPr>
          <w:rFonts w:ascii="Verdana" w:eastAsia="Verdana" w:hAnsi="Verdana" w:cs="Verdana"/>
          <w:color w:val="000000" w:themeColor="text1"/>
        </w:rPr>
        <w:t>l</w:t>
      </w:r>
      <w:r w:rsidRPr="00274D3F">
        <w:rPr>
          <w:rFonts w:ascii="Verdana" w:eastAsia="Verdana" w:hAnsi="Verdana" w:cs="Verdana"/>
          <w:color w:val="000000" w:themeColor="text1"/>
        </w:rPr>
        <w:t>?</w:t>
      </w:r>
    </w:p>
    <w:p w14:paraId="42BA8D26" w14:textId="77777777" w:rsidR="00B041C0" w:rsidRDefault="00B041C0" w:rsidP="00B041C0">
      <w:pPr>
        <w:spacing w:after="0" w:line="276" w:lineRule="auto"/>
        <w:jc w:val="both"/>
        <w:textAlignment w:val="baseline"/>
        <w:rPr>
          <w:rFonts w:ascii="Verdana" w:eastAsia="Verdana" w:hAnsi="Verdana" w:cs="Verdana"/>
          <w:color w:val="000000" w:themeColor="text1"/>
        </w:rPr>
      </w:pPr>
    </w:p>
    <w:p w14:paraId="09C5C253" w14:textId="77777777" w:rsidR="00B041C0" w:rsidRDefault="00B041C0" w:rsidP="00B041C0">
      <w:pPr>
        <w:spacing w:after="0" w:line="276" w:lineRule="auto"/>
        <w:jc w:val="both"/>
        <w:textAlignment w:val="baseline"/>
        <w:rPr>
          <w:rFonts w:ascii="Verdana" w:eastAsia="Verdana" w:hAnsi="Verdana" w:cs="Verdana"/>
          <w:color w:val="000000" w:themeColor="text1"/>
        </w:rPr>
      </w:pPr>
      <w:r>
        <w:rPr>
          <w:rFonts w:ascii="Verdana" w:eastAsia="Verdana" w:hAnsi="Verdana" w:cs="Verdana"/>
          <w:color w:val="000000" w:themeColor="text1"/>
        </w:rPr>
        <w:t xml:space="preserve">ii) </w:t>
      </w:r>
      <w:r w:rsidRPr="00614F47">
        <w:rPr>
          <w:rFonts w:ascii="Verdana" w:eastAsia="Verdana" w:hAnsi="Verdana" w:cs="Verdana"/>
          <w:color w:val="000000" w:themeColor="text1"/>
        </w:rPr>
        <w:t>¿</w:t>
      </w:r>
      <w:r w:rsidRPr="00614F47">
        <w:rPr>
          <w:b/>
          <w:bCs/>
        </w:rPr>
        <w:t xml:space="preserve"> </w:t>
      </w:r>
      <w:r w:rsidRPr="00614F47">
        <w:rPr>
          <w:rFonts w:ascii="Verdana" w:eastAsia="Verdana" w:hAnsi="Verdana" w:cs="Verdana"/>
          <w:color w:val="000000" w:themeColor="text1"/>
        </w:rPr>
        <w:t>Qué fecha debe reportarse cuando un contrato se encuentra perfeccionado, pero no cuenta con acta de inicio</w:t>
      </w:r>
      <w:r w:rsidRPr="00274D3F">
        <w:rPr>
          <w:rFonts w:ascii="Verdana" w:eastAsia="Verdana" w:hAnsi="Verdana" w:cs="Verdana"/>
          <w:color w:val="000000" w:themeColor="text1"/>
        </w:rPr>
        <w:t>?</w:t>
      </w:r>
      <w:r>
        <w:rPr>
          <w:rFonts w:ascii="Verdana" w:eastAsia="Verdana" w:hAnsi="Verdana" w:cs="Verdana"/>
          <w:color w:val="000000" w:themeColor="text1"/>
        </w:rPr>
        <w:t xml:space="preserve"> ¿</w:t>
      </w:r>
      <w:r w:rsidRPr="00614F47">
        <w:rPr>
          <w:rFonts w:ascii="Verdana" w:eastAsia="Verdana" w:hAnsi="Verdana" w:cs="Verdana"/>
          <w:color w:val="000000" w:themeColor="text1"/>
        </w:rPr>
        <w:t>los contratos adjudicados con posterioridad a la presentación de la oferta, pero antes de la adjudicación del nuevo proceso, deben ser relacionados y considerados para calcular la Capacidad Residual</w:t>
      </w:r>
      <w:r w:rsidRPr="00274D3F">
        <w:rPr>
          <w:rFonts w:ascii="Verdana" w:eastAsia="Verdana" w:hAnsi="Verdana" w:cs="Verdana"/>
          <w:color w:val="000000" w:themeColor="text1"/>
        </w:rPr>
        <w:t>?</w:t>
      </w:r>
    </w:p>
    <w:p w14:paraId="02BCA3A0" w14:textId="77777777" w:rsidR="00B041C0" w:rsidRDefault="00B041C0" w:rsidP="00B041C0">
      <w:pPr>
        <w:spacing w:after="0" w:line="276" w:lineRule="auto"/>
        <w:jc w:val="both"/>
        <w:textAlignment w:val="baseline"/>
        <w:rPr>
          <w:rFonts w:ascii="Verdana" w:eastAsia="Verdana" w:hAnsi="Verdana" w:cs="Verdana"/>
          <w:color w:val="000000" w:themeColor="text1"/>
        </w:rPr>
      </w:pPr>
      <w:r>
        <w:rPr>
          <w:rFonts w:ascii="Verdana" w:eastAsia="Verdana" w:hAnsi="Verdana" w:cs="Verdana"/>
          <w:color w:val="000000" w:themeColor="text1"/>
        </w:rPr>
        <w:t xml:space="preserve"> </w:t>
      </w:r>
    </w:p>
    <w:p w14:paraId="19DDF0D1" w14:textId="77777777" w:rsidR="00B041C0" w:rsidRPr="0015699B" w:rsidRDefault="00B041C0" w:rsidP="00B041C0">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726C4489" w14:textId="77777777" w:rsidR="00B041C0" w:rsidRPr="0015699B" w:rsidRDefault="00B041C0" w:rsidP="00B041C0">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B041C0" w14:paraId="78C7D9F9" w14:textId="77777777" w:rsidTr="00F9429A">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3E8E3EF8"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i) De manera preliminar y p</w:t>
            </w:r>
            <w:r w:rsidRPr="00863D1A">
              <w:rPr>
                <w:rFonts w:ascii="Verdana" w:eastAsia="Verdana" w:hAnsi="Verdana" w:cs="Verdana"/>
              </w:rPr>
              <w:t xml:space="preserve">ara efectos de resolver la consulta, resulta necesario </w:t>
            </w:r>
            <w:r>
              <w:rPr>
                <w:rFonts w:ascii="Verdana" w:eastAsia="Verdana" w:hAnsi="Verdana" w:cs="Verdana"/>
              </w:rPr>
              <w:t>precisar que l</w:t>
            </w:r>
            <w:r w:rsidRPr="00F546B3">
              <w:rPr>
                <w:rFonts w:ascii="Verdana" w:eastAsia="Verdana" w:hAnsi="Verdana" w:cs="Verdana"/>
              </w:rPr>
              <w:t>a Capacidad Residual o K de Contratación constituye un requisito habilitante aplicable a los procesos de selección para contratos de obra pública, cuya finalidad consiste en determinar si el proponente cuenta con la aptitud suficiente para ejecutar oportunamente el contrato que pretende celebrar, sin que sus compromisos contractuales existentes afecten su capacidad para cumplir con el nuevo contrato.</w:t>
            </w:r>
          </w:p>
          <w:p w14:paraId="72128C07"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A su vez, el artículo 2.2.1.1.1.6.4 del Decreto 1082 de 2015 establece que el interesado en celebrar contratos de obra pública debe acreditar su Capacidad Residual, entre otros documentos, mediante “la lista de los contratos de obras civiles en ejecución suscritos con Entidades Estatales y con entidades privadas”, así como “la lista de los contratos de obras civiles en ejecución, suscritos por sociedades, consorcios o uniones temporales, en los cuales el proponente tenga participación”.</w:t>
            </w:r>
          </w:p>
          <w:p w14:paraId="4C92E3E0"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En este sentido, el Concepto</w:t>
            </w:r>
            <w:r w:rsidRPr="003F6D99">
              <w:rPr>
                <w:rFonts w:ascii="Verdana" w:eastAsia="Verdana" w:hAnsi="Verdana" w:cs="Verdana"/>
              </w:rPr>
              <w:t xml:space="preserve"> C-132 de</w:t>
            </w:r>
            <w:r>
              <w:rPr>
                <w:rFonts w:ascii="Verdana" w:eastAsia="Verdana" w:hAnsi="Verdana" w:cs="Verdana"/>
              </w:rPr>
              <w:t>l 18 de febrero de</w:t>
            </w:r>
            <w:r w:rsidRPr="003F6D99">
              <w:rPr>
                <w:rFonts w:ascii="Verdana" w:eastAsia="Verdana" w:hAnsi="Verdana" w:cs="Verdana"/>
              </w:rPr>
              <w:t xml:space="preserve"> 2026 </w:t>
            </w:r>
            <w:r>
              <w:rPr>
                <w:rFonts w:ascii="Verdana" w:eastAsia="Verdana" w:hAnsi="Verdana" w:cs="Verdana"/>
              </w:rPr>
              <w:t xml:space="preserve">emitido por esta Subdirección Contractual, </w:t>
            </w:r>
            <w:r w:rsidRPr="00F546B3">
              <w:rPr>
                <w:rFonts w:ascii="Verdana" w:eastAsia="Verdana" w:hAnsi="Verdana" w:cs="Verdana"/>
              </w:rPr>
              <w:t>explicó que la Capacidad Residual corresponde a la diferencia entre la capacidad de contratación del proponente y los compromisos contractuales que tenga en ejecución, destacando que el criterio tiene como finalidad determinar si los compromisos existentes pueden afectar la posibilidad del oferente de cumplir adecuadamente con el nuevo contrato.</w:t>
            </w:r>
          </w:p>
          <w:p w14:paraId="3A3CE19E"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Sobre este particular, el Concepto </w:t>
            </w:r>
            <w:r w:rsidRPr="003F6D99">
              <w:rPr>
                <w:rFonts w:ascii="Verdana" w:eastAsia="Verdana" w:hAnsi="Verdana" w:cs="Verdana"/>
              </w:rPr>
              <w:t>C-653 del 20 de junio de 2025</w:t>
            </w:r>
            <w:r w:rsidRPr="00F546B3">
              <w:rPr>
                <w:rFonts w:ascii="Verdana" w:eastAsia="Verdana" w:hAnsi="Verdana" w:cs="Verdana"/>
              </w:rPr>
              <w:t xml:space="preserve"> precisó expresamente que los contratos en ejecución incluyen “los contratos suspendidos y aquellos que no tengan acta de inicio”, y señaló que esta regla </w:t>
            </w:r>
            <w:r w:rsidRPr="00F546B3">
              <w:rPr>
                <w:rFonts w:ascii="Verdana" w:eastAsia="Verdana" w:hAnsi="Verdana" w:cs="Verdana"/>
              </w:rPr>
              <w:lastRenderedPageBreak/>
              <w:t>se encuentra en armonía con el artículo 2.2.1.1.1.6.4 del Decreto 1082 de 2015 y con la Guía de Capacidad Residual.</w:t>
            </w:r>
          </w:p>
          <w:p w14:paraId="4CA82AB0"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En el mismo sentido, el </w:t>
            </w:r>
            <w:r w:rsidRPr="003F6D99">
              <w:rPr>
                <w:rFonts w:ascii="Verdana" w:eastAsia="Verdana" w:hAnsi="Verdana" w:cs="Verdana"/>
              </w:rPr>
              <w:t>Concepto C-1438 de</w:t>
            </w:r>
            <w:r>
              <w:rPr>
                <w:rFonts w:ascii="Verdana" w:eastAsia="Verdana" w:hAnsi="Verdana" w:cs="Verdana"/>
              </w:rPr>
              <w:t>l 06 de noviembre de</w:t>
            </w:r>
            <w:r w:rsidRPr="003F6D99">
              <w:rPr>
                <w:rFonts w:ascii="Verdana" w:eastAsia="Verdana" w:hAnsi="Verdana" w:cs="Verdana"/>
              </w:rPr>
              <w:t xml:space="preserve"> 2025</w:t>
            </w:r>
            <w:r w:rsidRPr="00F546B3">
              <w:rPr>
                <w:rFonts w:ascii="Verdana" w:eastAsia="Verdana" w:hAnsi="Verdana" w:cs="Verdana"/>
              </w:rPr>
              <w:t xml:space="preserve"> señaló que:</w:t>
            </w:r>
            <w:r>
              <w:rPr>
                <w:rFonts w:ascii="Verdana" w:eastAsia="Verdana" w:hAnsi="Verdana" w:cs="Verdana"/>
              </w:rPr>
              <w:t xml:space="preserve"> </w:t>
            </w:r>
            <w:r w:rsidRPr="00F546B3">
              <w:rPr>
                <w:rFonts w:ascii="Verdana" w:eastAsia="Verdana" w:hAnsi="Verdana" w:cs="Verdana"/>
              </w:rPr>
              <w:t>“deben tenerse en cuenta los contratos sin acta de inicio, pues el criterio determinante para establecer si un contrato se encuentra en ejecución no lo determina el acta, sino que el mismo contrato obligue al proponente”.</w:t>
            </w:r>
          </w:p>
          <w:p w14:paraId="6A7A75EE"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Esta consideración resulta determinante para resolver la consulta, pues evidencia que </w:t>
            </w:r>
            <w:r w:rsidRPr="003F6D99">
              <w:rPr>
                <w:rFonts w:ascii="Verdana" w:eastAsia="Verdana" w:hAnsi="Verdana" w:cs="Verdana"/>
              </w:rPr>
              <w:t>la existencia o inexistencia del acta de inicio no constituye el criterio jurídico que determina si un contrato debe ser considerado para efectos de la Capacidad Residual. El elemento relevante es que exista un vínculo contractual que obligue al proponente a ejecutar obras civiles.</w:t>
            </w:r>
          </w:p>
          <w:p w14:paraId="770B1D0D"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En el mismo sentido</w:t>
            </w:r>
            <w:r w:rsidRPr="00F546B3">
              <w:rPr>
                <w:rFonts w:ascii="Verdana" w:eastAsia="Verdana" w:hAnsi="Verdana" w:cs="Verdana"/>
              </w:rPr>
              <w:t xml:space="preserve"> el </w:t>
            </w:r>
            <w:r>
              <w:rPr>
                <w:rFonts w:ascii="Verdana" w:eastAsia="Verdana" w:hAnsi="Verdana" w:cs="Verdana"/>
              </w:rPr>
              <w:t xml:space="preserve">mencionado </w:t>
            </w:r>
            <w:r w:rsidRPr="00F546B3">
              <w:rPr>
                <w:rFonts w:ascii="Verdana" w:eastAsia="Verdana" w:hAnsi="Verdana" w:cs="Verdana"/>
              </w:rPr>
              <w:t xml:space="preserve">Concepto </w:t>
            </w:r>
            <w:r w:rsidRPr="003F6D99">
              <w:rPr>
                <w:rFonts w:ascii="Verdana" w:eastAsia="Verdana" w:hAnsi="Verdana" w:cs="Verdana"/>
              </w:rPr>
              <w:t>C-132 del 18 de febrero 2026</w:t>
            </w:r>
            <w:r w:rsidRPr="00F546B3">
              <w:rPr>
                <w:rFonts w:ascii="Verdana" w:eastAsia="Verdana" w:hAnsi="Verdana" w:cs="Verdana"/>
              </w:rPr>
              <w:t xml:space="preserve"> </w:t>
            </w:r>
            <w:r>
              <w:rPr>
                <w:rFonts w:ascii="Verdana" w:eastAsia="Verdana" w:hAnsi="Verdana" w:cs="Verdana"/>
              </w:rPr>
              <w:t>señaló</w:t>
            </w:r>
            <w:r w:rsidRPr="00F546B3">
              <w:rPr>
                <w:rFonts w:ascii="Verdana" w:eastAsia="Verdana" w:hAnsi="Verdana" w:cs="Verdana"/>
              </w:rPr>
              <w:t xml:space="preserve"> que la definición de contratos en ejecución comprende los contratos perfeccionados, incluso aquellos que estén suspendidos o no tengan acta de inicio, pero que </w:t>
            </w:r>
            <w:r w:rsidRPr="003F6D99">
              <w:rPr>
                <w:rFonts w:ascii="Verdana" w:eastAsia="Verdana" w:hAnsi="Verdana" w:cs="Verdana"/>
              </w:rPr>
              <w:t>“están fuera de esta los procesos de selección adjudicados”.</w:t>
            </w:r>
          </w:p>
          <w:p w14:paraId="006663A7"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En consecuencia, </w:t>
            </w:r>
            <w:r w:rsidRPr="003F6D99">
              <w:rPr>
                <w:rFonts w:ascii="Verdana" w:eastAsia="Verdana" w:hAnsi="Verdana" w:cs="Verdana"/>
              </w:rPr>
              <w:t>los contratos meramente adjudicados antes de la presentación de la oferta, pero que no se encuentren perfeccionados, no deben ser incluidos en el cálculo del SCE.</w:t>
            </w:r>
            <w:r w:rsidRPr="00F546B3">
              <w:rPr>
                <w:rFonts w:ascii="Verdana" w:eastAsia="Verdana" w:hAnsi="Verdana" w:cs="Verdana"/>
              </w:rPr>
              <w:t xml:space="preserve"> Por el contrario, si antes de la presentación de la oferta el contrato ya se encontraba perfeccionado y constituye una obligación del proponente para ejecutar obras civiles, deberá ser informado y considerado en la determinación de la Capacidad Residual, aun cuando no cuente con acta de inicio.</w:t>
            </w:r>
          </w:p>
          <w:p w14:paraId="7309AEBE"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ii) </w:t>
            </w:r>
            <w:r w:rsidRPr="00F546B3">
              <w:rPr>
                <w:rFonts w:ascii="Verdana" w:eastAsia="Verdana" w:hAnsi="Verdana" w:cs="Verdana"/>
              </w:rPr>
              <w:t xml:space="preserve">Lo anterior también permite resolver el segundo interrogante. Los contratos perfeccionados que no tengan acta de inicio deben ser relacionados en los formatos correspondientes, pues la metodología expresamente contempla dentro de los contratos en ejecución aquellos que no cuentan con acta de inicio. El Concepto </w:t>
            </w:r>
            <w:r w:rsidRPr="00221513">
              <w:rPr>
                <w:rFonts w:ascii="Verdana" w:eastAsia="Verdana" w:hAnsi="Verdana" w:cs="Verdana"/>
              </w:rPr>
              <w:t>C-653 de 2025</w:t>
            </w:r>
            <w:r w:rsidRPr="00F546B3">
              <w:rPr>
                <w:rFonts w:ascii="Verdana" w:eastAsia="Verdana" w:hAnsi="Verdana" w:cs="Verdana"/>
              </w:rPr>
              <w:t xml:space="preserve"> fue claro al indicar que los contratos sin acta de inicio deben ser considerados, mientras que el Concepto </w:t>
            </w:r>
            <w:r w:rsidRPr="00221513">
              <w:rPr>
                <w:rFonts w:ascii="Verdana" w:eastAsia="Verdana" w:hAnsi="Verdana" w:cs="Verdana"/>
              </w:rPr>
              <w:t xml:space="preserve">C-132 de 2026 </w:t>
            </w:r>
            <w:r w:rsidRPr="00F546B3">
              <w:rPr>
                <w:rFonts w:ascii="Verdana" w:eastAsia="Verdana" w:hAnsi="Verdana" w:cs="Verdana"/>
              </w:rPr>
              <w:t>reiteró que la definición comprende los contratos perfeccionados, aunque “estén suspendidos o no tengan acta de inicio”.</w:t>
            </w:r>
          </w:p>
          <w:p w14:paraId="5581AE41"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Sin embargo, debe efectuarse una precisión respecto de la fecha que debe registrarse en el formato. La circunstancia de que un contrato sin acta de inicio deba ser considerado para efectos del SCE </w:t>
            </w:r>
            <w:r w:rsidRPr="00221513">
              <w:rPr>
                <w:rFonts w:ascii="Verdana" w:eastAsia="Verdana" w:hAnsi="Verdana" w:cs="Verdana"/>
              </w:rPr>
              <w:t xml:space="preserve">no significa que </w:t>
            </w:r>
            <w:r w:rsidRPr="00221513">
              <w:rPr>
                <w:rFonts w:ascii="Verdana" w:eastAsia="Verdana" w:hAnsi="Verdana" w:cs="Verdana"/>
              </w:rPr>
              <w:lastRenderedPageBreak/>
              <w:t>automáticamente deba utilizarse la fecha de suscripción o perfeccionamiento como fecha de inicio de las obras</w:t>
            </w:r>
            <w:r w:rsidRPr="00F546B3">
              <w:rPr>
                <w:rFonts w:ascii="Verdana" w:eastAsia="Verdana" w:hAnsi="Verdana" w:cs="Verdana"/>
              </w:rPr>
              <w:t>. La Guía exige reportar, entre otros datos, la “fecha de inicio de las obras objeto del contrato”. Por ello, debe diferenciarse entre la fecha de perfeccionamiento del contrato —que determina la existencia del vínculo contractual— y la fecha de inicio de las obras —que constituye un elemento para la aplicación de la metodología de cálculo del SCE—.</w:t>
            </w:r>
          </w:p>
          <w:p w14:paraId="6B06C5CF"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Así las cosas, cuando un contrato se encuentra perfeccionado, pero no tiene acta de inicio, el proponente debe reportarlo como contrato que debe ser considerado para efectos de la Capacidad Residual, pero la fecha de inicio que se registre deberá corresponder a aquella que resulte jurídicamente aplicable conforme a las condiciones pactadas en el contrato y sus documentos integrantes. </w:t>
            </w:r>
          </w:p>
          <w:p w14:paraId="7DDF7A00"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Finalmente, respecto de los contratos que se adjudican o perfeccionan después de la presentación de la oferta, debe distinguirse nuevamente entre la adjudicación y el perfeccionamiento. Si después de presentada la oferta el proponente resulta simplemente adjudicatario de otro proceso, pero el contrato no se ha perfeccionado, no existe todavía un contrato de obra civil que deba ser incluido como contrato en ejecución para efectos del SCE.</w:t>
            </w:r>
          </w:p>
          <w:p w14:paraId="0158501C"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No obstante, si antes </w:t>
            </w:r>
            <w:r w:rsidRPr="00221513">
              <w:rPr>
                <w:rFonts w:ascii="Verdana" w:eastAsia="Verdana" w:hAnsi="Verdana" w:cs="Verdana"/>
              </w:rPr>
              <w:t xml:space="preserve">del cierre del proceso de contratación se perfecciona un nuevo contrato que obligue al proponente a ejecutar obras civiles, este debe ser informado a la Entidad Estatal en los términos establecidos en los documentos del proceso. Esta precisión resulta particularmente importante </w:t>
            </w:r>
            <w:r>
              <w:rPr>
                <w:rFonts w:ascii="Verdana" w:eastAsia="Verdana" w:hAnsi="Verdana" w:cs="Verdana"/>
              </w:rPr>
              <w:t xml:space="preserve">toda vez que </w:t>
            </w:r>
            <w:r w:rsidRPr="00221513">
              <w:rPr>
                <w:rFonts w:ascii="Verdana" w:eastAsia="Verdana" w:hAnsi="Verdana" w:cs="Verdana"/>
              </w:rPr>
              <w:t>el Concepto C-132 de 2026</w:t>
            </w:r>
            <w:r w:rsidRPr="00F546B3">
              <w:rPr>
                <w:rFonts w:ascii="Verdana" w:eastAsia="Verdana" w:hAnsi="Verdana" w:cs="Verdana"/>
              </w:rPr>
              <w:t xml:space="preserve"> analizó expresamente el supuesto en que el proponente presenta su oferta antes de la fecha de cierre y, posteriormente, adquiere un nuevo compromiso contractual. Al respecto, señaló que:</w:t>
            </w:r>
            <w:r>
              <w:rPr>
                <w:rFonts w:ascii="Verdana" w:eastAsia="Verdana" w:hAnsi="Verdana" w:cs="Verdana"/>
              </w:rPr>
              <w:t xml:space="preserve"> </w:t>
            </w:r>
            <w:r w:rsidRPr="00F546B3">
              <w:rPr>
                <w:rFonts w:ascii="Verdana" w:eastAsia="Verdana" w:hAnsi="Verdana" w:cs="Verdana"/>
              </w:rPr>
              <w:t>“En el caso de que el proponente presente la oferta con antelación a la fecha de cierre, informando los contratos que hasta entonces esté ejecutando, pero antes de la fecha de cierre comienza a ejecutar otro nuevo, está en la obligación de reportarlo a la entidad”.</w:t>
            </w:r>
          </w:p>
          <w:p w14:paraId="3405EA42"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La razón de esta regla consiste en que la Capacidad Residual debe ser determinada con base en la totalidad de los compromisos contractuales que jurídicamente afectan la capacidad del proponente en el momento relevante del procedimiento. En consecuencia, el hecho de que inicialmente se haya presentado la oferta no permite al proponente omitir un contrato que </w:t>
            </w:r>
            <w:r w:rsidRPr="00F546B3">
              <w:rPr>
                <w:rFonts w:ascii="Verdana" w:eastAsia="Verdana" w:hAnsi="Verdana" w:cs="Verdana"/>
              </w:rPr>
              <w:lastRenderedPageBreak/>
              <w:t>posteriormente, pero antes del cierre, haya adquirido la condición de contrato que debe ser considerado para efectos del SCE.</w:t>
            </w:r>
          </w:p>
          <w:p w14:paraId="61F8C6A2" w14:textId="77777777" w:rsidR="00B041C0" w:rsidRPr="00F546B3" w:rsidRDefault="00B041C0" w:rsidP="00F9429A">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En este punto también resulta relevante el Concepto</w:t>
            </w:r>
            <w:r w:rsidRPr="00221513">
              <w:rPr>
                <w:rFonts w:ascii="Verdana" w:eastAsia="Verdana" w:hAnsi="Verdana" w:cs="Verdana"/>
              </w:rPr>
              <w:t xml:space="preserve"> C-1438 de 2025, que explicó que la causal de rechazo prevista en los Documentos Tipo opera cuando el proponente “no informa todos los contratos que tiene en ejecución antes del cierre”. La Agencia precisó que, por ejemplo, si el contratista tiene diez contratos en ejecución y únicamente reporta nueve, se configura la situación prevista en dicha causal.</w:t>
            </w:r>
          </w:p>
          <w:p w14:paraId="1FE92655" w14:textId="77777777" w:rsidR="00B041C0" w:rsidRPr="00F546B3" w:rsidRDefault="00B041C0" w:rsidP="00F9429A">
            <w:pPr>
              <w:spacing w:after="120" w:line="276" w:lineRule="auto"/>
              <w:jc w:val="both"/>
              <w:rPr>
                <w:rFonts w:ascii="Verdana" w:eastAsia="Verdana" w:hAnsi="Verdana" w:cs="Verdana"/>
              </w:rPr>
            </w:pPr>
            <w:r w:rsidRPr="00F546B3">
              <w:rPr>
                <w:rFonts w:ascii="Verdana" w:eastAsia="Verdana" w:hAnsi="Verdana" w:cs="Verdana"/>
              </w:rPr>
              <w:t xml:space="preserve">Por tanto, el criterio para establecer qué contratos deben ser relacionados para efectos de la Capacidad Residual </w:t>
            </w:r>
            <w:r w:rsidRPr="00221513">
              <w:rPr>
                <w:rFonts w:ascii="Verdana" w:eastAsia="Verdana" w:hAnsi="Verdana" w:cs="Verdana"/>
              </w:rPr>
              <w:t>no es la fecha de adjudicación del contrato ni, de manera aislada, la existencia del acta de inicio</w:t>
            </w:r>
            <w:r w:rsidRPr="00F546B3">
              <w:rPr>
                <w:rFonts w:ascii="Verdana" w:eastAsia="Verdana" w:hAnsi="Verdana" w:cs="Verdana"/>
              </w:rPr>
              <w:t>, sino la existencia de un contrato perfeccionado que obligue jurídicamente al proponente a ejecutar obras civiles, atendiendo al momento temporal que resulte aplicable conforme a la Ley, el Decreto 1082 de 2015, la Guía de Capacidad Residual y los Documentos Tipo que rijan el respectivo proceso.</w:t>
            </w:r>
          </w:p>
          <w:p w14:paraId="4E705535" w14:textId="77777777" w:rsidR="00B041C0" w:rsidRDefault="00B041C0" w:rsidP="00F9429A">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4681B349" w14:textId="77777777" w:rsidR="00B041C0" w:rsidRDefault="00B041C0" w:rsidP="00F9429A">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26021939" w14:textId="77777777" w:rsidR="00B041C0" w:rsidRPr="0015699B" w:rsidRDefault="00B041C0" w:rsidP="00B041C0">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398E6B9C" w14:textId="77777777" w:rsidR="00B041C0" w:rsidRPr="0015699B" w:rsidRDefault="00B041C0" w:rsidP="00B041C0">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27C31996" w14:textId="77777777" w:rsidR="00B041C0" w:rsidRPr="0015699B" w:rsidRDefault="00B041C0" w:rsidP="00B041C0">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02B96823" w14:textId="77777777" w:rsidR="00B041C0" w:rsidRPr="0015699B" w:rsidRDefault="00B041C0" w:rsidP="00B041C0">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lastRenderedPageBreak/>
        <w:t xml:space="preserve">Lo anterior se sustenta en las siguientes consideraciones: </w:t>
      </w:r>
    </w:p>
    <w:p w14:paraId="1DDCB59F" w14:textId="77777777" w:rsidR="00B041C0" w:rsidRPr="0015699B" w:rsidRDefault="00B041C0" w:rsidP="00B041C0">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3730635D" w14:textId="77777777" w:rsidR="00B041C0" w:rsidRPr="00881D8A" w:rsidRDefault="00B041C0" w:rsidP="00B041C0">
      <w:pPr>
        <w:widowControl w:val="0"/>
        <w:autoSpaceDE w:val="0"/>
        <w:autoSpaceDN w:val="0"/>
        <w:spacing w:after="120" w:line="276" w:lineRule="auto"/>
        <w:ind w:firstLine="708"/>
        <w:jc w:val="both"/>
        <w:rPr>
          <w:rFonts w:ascii="Verdana" w:eastAsia="Arial" w:hAnsi="Verdana" w:cs="Arial"/>
        </w:rPr>
      </w:pPr>
      <w:r w:rsidRPr="00881D8A">
        <w:rPr>
          <w:rFonts w:ascii="Verdana" w:eastAsia="Calibri" w:hAnsi="Verdana" w:cs="Times New Roman"/>
        </w:rPr>
        <w:t xml:space="preserve">La Capacidad Residual o K de Contratación es la aptitud de un oferente para cumplir oportuna y cabalmente con el objeto de un contrato de obra, sin que sus otros compromisos contractuales afecten su habilidad de responder con el contrato objeto del Proceso de Contratación. </w:t>
      </w:r>
    </w:p>
    <w:p w14:paraId="5660C605" w14:textId="77777777" w:rsidR="00B041C0" w:rsidRDefault="00B041C0" w:rsidP="00B041C0">
      <w:pPr>
        <w:widowControl w:val="0"/>
        <w:autoSpaceDE w:val="0"/>
        <w:autoSpaceDN w:val="0"/>
        <w:spacing w:after="120" w:line="276" w:lineRule="auto"/>
        <w:ind w:firstLine="709"/>
        <w:jc w:val="both"/>
        <w:rPr>
          <w:rFonts w:ascii="Verdana" w:eastAsia="Arial" w:hAnsi="Verdana" w:cs="Arial"/>
          <w:lang w:val="es-ES"/>
        </w:rPr>
      </w:pPr>
      <w:r w:rsidRPr="00881D8A">
        <w:rPr>
          <w:rFonts w:ascii="Verdana" w:eastAsia="Arial" w:hAnsi="Verdana" w:cs="Arial"/>
        </w:rPr>
        <w:t xml:space="preserve">El artículo 2.2.1.1.1.3.1 del Decreto 1082 de 2015 define la capacidad residual como: “Aptitud de un oferente para cumplir oportuna y cabalmente con el objeto de un contrato de obra, sin que sus otros compromisos contractuales afecten su habilidad de cumplir con el contrato que está en proceso de selección”. </w:t>
      </w:r>
      <w:r w:rsidRPr="00F67D88">
        <w:rPr>
          <w:rFonts w:ascii="Verdana" w:eastAsia="Aptos" w:hAnsi="Verdana" w:cs="Arial"/>
          <w:lang w:val="es-ES"/>
        </w:rPr>
        <w:t>Por su parte, el Consejo de Estado ha definido la capacidad residual como “la diferencia que existe entre el potencial de contratación que se tiene y los compromisos que haya adquirido y que se encuentren en ejecución, para la fecha de presentación de la oferta”</w:t>
      </w:r>
      <w:r w:rsidRPr="00F67D88">
        <w:rPr>
          <w:rFonts w:ascii="Verdana" w:eastAsia="Aptos" w:hAnsi="Verdana" w:cs="Arial"/>
          <w:vertAlign w:val="superscript"/>
          <w:lang w:val="es-ES"/>
        </w:rPr>
        <w:footnoteReference w:id="1"/>
      </w:r>
      <w:r w:rsidRPr="00F67D88">
        <w:rPr>
          <w:rFonts w:ascii="Verdana" w:eastAsia="Aptos" w:hAnsi="Verdana" w:cs="Arial"/>
          <w:lang w:val="es-ES"/>
        </w:rPr>
        <w:t>.</w:t>
      </w:r>
    </w:p>
    <w:p w14:paraId="5999827C" w14:textId="77777777" w:rsidR="00B041C0" w:rsidRPr="006A22ED" w:rsidRDefault="00B041C0" w:rsidP="00B041C0">
      <w:pPr>
        <w:widowControl w:val="0"/>
        <w:autoSpaceDE w:val="0"/>
        <w:autoSpaceDN w:val="0"/>
        <w:spacing w:after="0" w:line="276" w:lineRule="auto"/>
        <w:ind w:firstLine="709"/>
        <w:jc w:val="both"/>
        <w:rPr>
          <w:rFonts w:ascii="Verdana" w:eastAsia="Arial" w:hAnsi="Verdana" w:cs="Arial"/>
        </w:rPr>
      </w:pPr>
      <w:r w:rsidRPr="00F67D88">
        <w:rPr>
          <w:rFonts w:ascii="Verdana" w:eastAsia="Aptos" w:hAnsi="Verdana" w:cs="Arial"/>
          <w:lang w:val="es-ES"/>
        </w:rPr>
        <w:t xml:space="preserve">De esta manera, la capacidad residual se refiere a la suficiencia que tiene el proponente para asumir nuevas obligaciones que se derivan del contrato objeto del proceso de contratación, en relación con las obligaciones que ya adquirió frente a otros contratos. Por su parte, el artículo 6 de la Ley 1150 de 2007 dispone que la capacidad residual de los interesados en participar en procesos de selección para contratos de obra deberá ser igual o superior al que la entidad ha establecido en los pliegos de condiciones, en los siguientes términos: </w:t>
      </w:r>
    </w:p>
    <w:p w14:paraId="712FB2A0" w14:textId="77777777" w:rsidR="00B041C0" w:rsidRPr="00F67D88" w:rsidRDefault="00B041C0" w:rsidP="00B041C0">
      <w:pPr>
        <w:spacing w:after="0" w:line="276" w:lineRule="auto"/>
        <w:ind w:firstLine="708"/>
        <w:jc w:val="both"/>
        <w:rPr>
          <w:rFonts w:ascii="Verdana" w:eastAsia="Times New Roman" w:hAnsi="Verdana" w:cs="Arial"/>
          <w:color w:val="000000"/>
          <w:sz w:val="24"/>
          <w:szCs w:val="24"/>
          <w:lang w:val="es-MX" w:eastAsia="es-ES_tradnl"/>
        </w:rPr>
      </w:pPr>
    </w:p>
    <w:p w14:paraId="4DE48D53" w14:textId="77777777" w:rsidR="00B041C0" w:rsidRPr="00F67D88" w:rsidRDefault="00B041C0" w:rsidP="00B041C0">
      <w:pPr>
        <w:spacing w:after="120" w:line="240" w:lineRule="auto"/>
        <w:ind w:left="709" w:right="709"/>
        <w:jc w:val="both"/>
        <w:rPr>
          <w:rFonts w:ascii="Verdana" w:eastAsia="Calibri" w:hAnsi="Verdana" w:cs="Arial"/>
          <w:color w:val="000000"/>
          <w:sz w:val="21"/>
          <w:szCs w:val="21"/>
          <w:lang w:val="es-MX" w:eastAsia="es-ES_tradnl"/>
        </w:rPr>
      </w:pPr>
      <w:r w:rsidRPr="00F67D88">
        <w:rPr>
          <w:rFonts w:ascii="Verdana" w:eastAsia="Calibri" w:hAnsi="Verdana" w:cs="Arial"/>
          <w:color w:val="000000"/>
          <w:sz w:val="21"/>
          <w:szCs w:val="21"/>
          <w:lang w:val="es-MX" w:eastAsia="es-ES_tradnl"/>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540E83E4" w14:textId="77777777" w:rsidR="00B041C0" w:rsidRDefault="00B041C0" w:rsidP="00B041C0">
      <w:pPr>
        <w:spacing w:after="0" w:line="240" w:lineRule="auto"/>
        <w:ind w:left="709" w:right="709"/>
        <w:jc w:val="both"/>
        <w:rPr>
          <w:rFonts w:ascii="Verdana" w:eastAsia="Calibri" w:hAnsi="Verdana" w:cs="Arial"/>
          <w:color w:val="000000"/>
          <w:sz w:val="21"/>
          <w:szCs w:val="21"/>
          <w:lang w:val="es-MX" w:eastAsia="es-ES_tradnl"/>
        </w:rPr>
      </w:pPr>
      <w:r w:rsidRPr="00F67D88">
        <w:rPr>
          <w:rFonts w:ascii="Verdana" w:eastAsia="Calibri" w:hAnsi="Verdana" w:cs="Arial"/>
          <w:color w:val="000000"/>
          <w:sz w:val="21"/>
          <w:szCs w:val="21"/>
          <w:lang w:val="es-MX" w:eastAsia="es-ES_tradnl"/>
        </w:rPr>
        <w:t xml:space="preserve">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w:t>
      </w:r>
      <w:r w:rsidRPr="00F67D88">
        <w:rPr>
          <w:rFonts w:ascii="Verdana" w:eastAsia="Calibri" w:hAnsi="Verdana" w:cs="Arial"/>
          <w:color w:val="000000"/>
          <w:sz w:val="21"/>
          <w:szCs w:val="21"/>
          <w:lang w:val="es-MX" w:eastAsia="es-ES_tradnl"/>
        </w:rPr>
        <w:lastRenderedPageBreak/>
        <w:t>real K de contratación, en cada oportunidad. El Gobierno Nacional reglamentará la materia.</w:t>
      </w:r>
    </w:p>
    <w:p w14:paraId="4BE69A65" w14:textId="77777777" w:rsidR="00B041C0" w:rsidRDefault="00B041C0" w:rsidP="00B041C0">
      <w:pPr>
        <w:spacing w:after="0" w:line="240" w:lineRule="auto"/>
        <w:ind w:left="709" w:right="709"/>
        <w:jc w:val="both"/>
        <w:rPr>
          <w:rFonts w:ascii="Verdana" w:eastAsia="Calibri" w:hAnsi="Verdana" w:cs="Arial"/>
          <w:color w:val="000000"/>
          <w:sz w:val="21"/>
          <w:szCs w:val="21"/>
          <w:lang w:val="es-MX" w:eastAsia="es-ES_tradnl"/>
        </w:rPr>
      </w:pPr>
    </w:p>
    <w:p w14:paraId="68BDE2FD" w14:textId="77777777" w:rsidR="00B041C0" w:rsidRDefault="00B041C0" w:rsidP="00B041C0">
      <w:pPr>
        <w:snapToGrid w:val="0"/>
        <w:spacing w:after="120" w:line="276" w:lineRule="auto"/>
        <w:ind w:firstLine="709"/>
        <w:jc w:val="both"/>
        <w:rPr>
          <w:rFonts w:ascii="Verdana" w:eastAsia="Calibri" w:hAnsi="Verdana" w:cs="Arial"/>
          <w:color w:val="000000"/>
          <w:sz w:val="21"/>
          <w:szCs w:val="21"/>
          <w:lang w:eastAsia="es-ES_tradnl"/>
        </w:rPr>
      </w:pPr>
      <w:r w:rsidRPr="00F67D88">
        <w:rPr>
          <w:rFonts w:ascii="Verdana" w:eastAsia="Calibri" w:hAnsi="Verdana" w:cs="Arial"/>
          <w:color w:val="000000"/>
          <w:lang w:val="es-MX" w:eastAsia="es-ES_tradnl"/>
        </w:rPr>
        <w:t xml:space="preserve">De acuerdo con </w:t>
      </w:r>
      <w:r w:rsidRPr="00F67D88">
        <w:rPr>
          <w:rFonts w:ascii="Verdana" w:eastAsia="Calibri" w:hAnsi="Verdana" w:cs="Arial"/>
          <w:color w:val="000000"/>
          <w:lang w:eastAsia="es-ES_tradnl"/>
        </w:rPr>
        <w:t>el artículo 72 de la Ley 1682 de 2013, la “capacidad residual de contratación cuando se realicen contratos de obra pública se obtendrá de sustraer de la capacidad de contratación, el saldo del valor de los contratos en ejecución”. La “capacidad de contratación”, según se desprende de la misma disposición, “(…) se deberá calcular mediante la evaluación de los siguientes factores: Experiencia (E), Capacidad Financiera (CF), Capacidad Técnica (CT), y Capacidad de Organización (CO)”.</w:t>
      </w:r>
      <w:bookmarkStart w:id="1" w:name="_Hlk103608376"/>
    </w:p>
    <w:p w14:paraId="57B9FCFE" w14:textId="77777777" w:rsidR="00B041C0" w:rsidRDefault="00B041C0" w:rsidP="00B041C0">
      <w:pPr>
        <w:snapToGrid w:val="0"/>
        <w:spacing w:after="120" w:line="276" w:lineRule="auto"/>
        <w:ind w:firstLine="709"/>
        <w:jc w:val="both"/>
        <w:rPr>
          <w:rFonts w:ascii="Verdana" w:eastAsia="Calibri" w:hAnsi="Verdana" w:cs="Arial"/>
          <w:color w:val="000000"/>
          <w:sz w:val="21"/>
          <w:szCs w:val="21"/>
          <w:lang w:val="es-MX" w:eastAsia="es-ES_tradnl"/>
        </w:rPr>
      </w:pPr>
      <w:r w:rsidRPr="00F67D88">
        <w:rPr>
          <w:rFonts w:ascii="Verdana" w:eastAsia="Calibri" w:hAnsi="Verdana" w:cs="Arial"/>
          <w:color w:val="000000"/>
          <w:lang w:val="es-MX" w:eastAsia="es-ES_tradnl"/>
        </w:rPr>
        <w:t>Por su parte, el artículo 2.2.1.1.1.6.4 del Decreto 1082 de 2015 dispone que las entidades estatales deberán calcular la capacidad residual conforme a la metodología definida por Colombia Compre Eficiente. Para tale fines, resulta necesario tener en cuenta los factores de i) Experiencia –E–, ii) Capacidad Financiera –CF–, iii) Capacidad Técnica –CT–, iv) Capacidad de Organización y v) los Saldos de los Contratos en Ejecución –SCE–.</w:t>
      </w:r>
    </w:p>
    <w:p w14:paraId="152B8A7F" w14:textId="77777777" w:rsidR="00B041C0" w:rsidRDefault="00B041C0" w:rsidP="00B041C0">
      <w:pPr>
        <w:snapToGrid w:val="0"/>
        <w:spacing w:after="120" w:line="276" w:lineRule="auto"/>
        <w:ind w:firstLine="709"/>
        <w:jc w:val="both"/>
        <w:rPr>
          <w:rFonts w:ascii="Verdana" w:eastAsia="Calibri" w:hAnsi="Verdana" w:cs="Arial"/>
          <w:color w:val="000000"/>
          <w:sz w:val="21"/>
          <w:szCs w:val="21"/>
          <w:lang w:val="es-MX" w:eastAsia="es-ES_tradnl"/>
        </w:rPr>
      </w:pPr>
      <w:r w:rsidRPr="00F67D88">
        <w:rPr>
          <w:rFonts w:ascii="Verdana" w:eastAsia="Calibri" w:hAnsi="Verdana" w:cs="Arial"/>
          <w:color w:val="000000"/>
          <w:lang w:val="es-MX" w:eastAsia="es-ES_tradnl"/>
        </w:rPr>
        <w:t xml:space="preserve">De igual manera, </w:t>
      </w:r>
      <w:r w:rsidRPr="00F67D88">
        <w:rPr>
          <w:rFonts w:ascii="Verdana" w:eastAsia="Times New Roman" w:hAnsi="Verdana" w:cs="Arial"/>
          <w:lang w:val="es-MX" w:eastAsia="es-ES_tradnl"/>
        </w:rPr>
        <w:t>establece que el interesado en celebrar contratos de obra pública acreditará su capacidad residual con los siguientes documentos: i) la lista de los contratos de obras civiles en ejecución suscritos con entidades estatales y con entidades privadas; ii) la lista de contratos de obras civiles en ejecución, suscritos por sociedades, consorcios o uniones temporales, en los cuales el proponente tenga participación, con entidades estatales y con entidades privadas; y finalmente iii) el balance general auditado del año inmediatamente anterior y estado de resultados auditado del año en que haya obtenido el mayor ingreso operacional en los últimos cinco (5) años</w:t>
      </w:r>
      <w:bookmarkEnd w:id="1"/>
      <w:r w:rsidRPr="00F67D88">
        <w:rPr>
          <w:rFonts w:ascii="Verdana" w:eastAsia="Aptos" w:hAnsi="Verdana" w:cs="Times New Roman"/>
          <w:kern w:val="2"/>
          <w:sz w:val="24"/>
          <w:szCs w:val="24"/>
          <w:vertAlign w:val="superscript"/>
          <w:lang w:val="es-MX" w:eastAsia="es-ES_tradnl"/>
          <w14:ligatures w14:val="standardContextual"/>
        </w:rPr>
        <w:footnoteReference w:id="2"/>
      </w:r>
      <w:r w:rsidRPr="00F67D88">
        <w:rPr>
          <w:rFonts w:ascii="Verdana" w:eastAsia="Times New Roman" w:hAnsi="Verdana" w:cs="Arial"/>
          <w:lang w:val="es-MX" w:eastAsia="es-ES_tradnl"/>
        </w:rPr>
        <w:t xml:space="preserve">. </w:t>
      </w:r>
    </w:p>
    <w:p w14:paraId="426CE508" w14:textId="77777777" w:rsidR="00B041C0" w:rsidRDefault="00B041C0" w:rsidP="00B041C0">
      <w:pPr>
        <w:snapToGrid w:val="0"/>
        <w:spacing w:after="120" w:line="276" w:lineRule="auto"/>
        <w:ind w:firstLine="709"/>
        <w:jc w:val="both"/>
        <w:rPr>
          <w:rFonts w:ascii="Verdana" w:eastAsia="Calibri" w:hAnsi="Verdana" w:cs="Arial"/>
          <w:color w:val="000000"/>
          <w:sz w:val="21"/>
          <w:szCs w:val="21"/>
          <w:lang w:val="es-MX" w:eastAsia="es-ES_tradnl"/>
        </w:rPr>
      </w:pPr>
      <w:r w:rsidRPr="00F67D88">
        <w:rPr>
          <w:rFonts w:ascii="Verdana" w:eastAsia="Times New Roman" w:hAnsi="Verdana" w:cs="Arial"/>
          <w:color w:val="000000"/>
          <w:lang w:val="es-MX" w:eastAsia="es-ES_tradnl"/>
        </w:rPr>
        <w:lastRenderedPageBreak/>
        <w:t>De conformidad con lo expuesto, la Agencia Nacional de Contratación Pública – Colombia Compra Eficiente expidió la Guía para Determinar y Verificar la Capacidad Residual del Proponente en los Procesos de Contratación de Obra Pública. Este documento establece, entre otras cuestiones, que a la entidad contratante le corresponde, primero, establecer la capacidad residual del proceso de contratación “CRPC” y, segundo, determinar si los proponentes cumplen con la capacidad residual del proceso de contratación, teniendo en cuenta la información mencionada en el párrafo precedente.</w:t>
      </w:r>
    </w:p>
    <w:p w14:paraId="669B34E7" w14:textId="77777777" w:rsidR="00B041C0" w:rsidRDefault="00B041C0" w:rsidP="00B041C0">
      <w:pPr>
        <w:snapToGrid w:val="0"/>
        <w:spacing w:after="120" w:line="276" w:lineRule="auto"/>
        <w:ind w:firstLine="709"/>
        <w:jc w:val="both"/>
        <w:rPr>
          <w:rFonts w:ascii="Verdana" w:eastAsia="Calibri" w:hAnsi="Verdana" w:cs="Arial"/>
          <w:color w:val="000000"/>
          <w:sz w:val="21"/>
          <w:szCs w:val="21"/>
          <w:lang w:val="es-MX" w:eastAsia="es-ES_tradnl"/>
        </w:rPr>
      </w:pPr>
      <w:r w:rsidRPr="00F67D88">
        <w:rPr>
          <w:rFonts w:ascii="Verdana" w:eastAsia="Calibri" w:hAnsi="Verdana" w:cs="Arial"/>
          <w:bCs/>
          <w:color w:val="000000"/>
          <w:lang w:eastAsia="es-ES_tradnl"/>
        </w:rPr>
        <w:t>En relación con el primer aspecto, sobre la determinación de la capacidad residual del proceso de contratación “CRPC”, debe determinarse si el plazo del contrato es superior a doce meses. Si no lo es, la CRPC equivale al presupuesto oficial estimado del Proceso de Contratación menos el anticipo o pago anticipado cuando haya lugar. Si lo es, equivale a la proporción lineal de 12 meses del presupuesto oficial estimado menos el anticipo o pago anticipado.</w:t>
      </w:r>
    </w:p>
    <w:p w14:paraId="6B496951" w14:textId="77777777" w:rsidR="00B041C0" w:rsidRPr="006A22ED" w:rsidRDefault="00B041C0" w:rsidP="00B041C0">
      <w:pPr>
        <w:snapToGrid w:val="0"/>
        <w:spacing w:after="120" w:line="276" w:lineRule="auto"/>
        <w:ind w:firstLine="709"/>
        <w:jc w:val="both"/>
        <w:rPr>
          <w:rFonts w:ascii="Verdana" w:eastAsia="Calibri" w:hAnsi="Verdana" w:cs="Arial"/>
          <w:color w:val="000000"/>
          <w:sz w:val="21"/>
          <w:szCs w:val="21"/>
          <w:lang w:val="es-MX" w:eastAsia="es-ES_tradnl"/>
        </w:rPr>
      </w:pPr>
      <w:r w:rsidRPr="00F67D88">
        <w:rPr>
          <w:rFonts w:ascii="Verdana" w:eastAsia="Calibri" w:hAnsi="Verdana" w:cs="Arial"/>
          <w:bCs/>
          <w:color w:val="000000"/>
          <w:lang w:eastAsia="es-ES_tradnl"/>
        </w:rPr>
        <w:t xml:space="preserve">En cuanto al segundo aspecto, sobre la validación de </w:t>
      </w:r>
      <w:bookmarkStart w:id="2" w:name="_Hlk68683272"/>
      <w:r w:rsidRPr="00F67D88">
        <w:rPr>
          <w:rFonts w:ascii="Verdana" w:eastAsia="Calibri" w:hAnsi="Verdana" w:cs="Arial"/>
          <w:bCs/>
          <w:color w:val="000000"/>
          <w:lang w:eastAsia="es-ES_tradnl"/>
        </w:rPr>
        <w:t>que cada proponente cumpla con la CRPC</w:t>
      </w:r>
      <w:bookmarkEnd w:id="2"/>
      <w:r w:rsidRPr="00F67D88">
        <w:rPr>
          <w:rFonts w:ascii="Verdana" w:eastAsia="Calibri" w:hAnsi="Verdana" w:cs="Arial"/>
          <w:bCs/>
          <w:color w:val="000000"/>
          <w:lang w:eastAsia="es-ES_tradnl"/>
        </w:rPr>
        <w:t>, la entidad pública debe verificar que la capacidad residual del proponente “CRP” sea igual o superior a la capacidad referida en el párrafo precedente. De todas formas, previamente debe establecer la CRP, con fundamento en los siguientes factores: i) experiencia “E”; ii) capacidad financiera “CF”; iii) capacidad técnica “CT”, iv) capacidad de organización “CO”; y v) los saldos de los contratos en ejecución “SCE”, según la siguiente formula:</w:t>
      </w:r>
    </w:p>
    <w:p w14:paraId="7A5A3BBD" w14:textId="77777777" w:rsidR="00B041C0" w:rsidRPr="00F67D88" w:rsidRDefault="00B041C0" w:rsidP="00B041C0">
      <w:pPr>
        <w:spacing w:after="0" w:line="276" w:lineRule="auto"/>
        <w:ind w:left="720"/>
        <w:contextualSpacing/>
        <w:jc w:val="both"/>
        <w:rPr>
          <w:rFonts w:ascii="Verdana" w:eastAsia="Calibri" w:hAnsi="Verdana" w:cs="Arial"/>
          <w:bCs/>
          <w:color w:val="000000"/>
          <w:lang w:eastAsia="es-ES_tradnl"/>
        </w:rPr>
      </w:pPr>
    </w:p>
    <w:p w14:paraId="72B2B07A" w14:textId="77777777" w:rsidR="00B041C0" w:rsidRPr="00F67D88" w:rsidRDefault="00B041C0" w:rsidP="00B041C0">
      <w:pPr>
        <w:spacing w:after="0" w:line="276" w:lineRule="auto"/>
        <w:ind w:firstLine="709"/>
        <w:jc w:val="center"/>
        <w:rPr>
          <w:rFonts w:ascii="Verdana" w:eastAsia="Calibri" w:hAnsi="Verdana" w:cs="Arial"/>
          <w:bCs/>
          <w:color w:val="000000"/>
          <w:sz w:val="24"/>
          <w:szCs w:val="24"/>
          <w:lang w:eastAsia="es-ES_tradnl"/>
        </w:rPr>
      </w:pPr>
      <w:r w:rsidRPr="00F67D88">
        <w:rPr>
          <w:rFonts w:ascii="Verdana" w:eastAsia="Calibri" w:hAnsi="Verdana" w:cs="Arial"/>
          <w:bCs/>
          <w:noProof/>
          <w:color w:val="000000"/>
          <w:sz w:val="24"/>
          <w:szCs w:val="24"/>
          <w:lang w:eastAsia="es-ES_tradnl"/>
        </w:rPr>
        <w:drawing>
          <wp:inline distT="0" distB="0" distL="0" distR="0" wp14:anchorId="5835002C" wp14:editId="04548409">
            <wp:extent cx="2600344" cy="381003"/>
            <wp:effectExtent l="0" t="0" r="0" b="0"/>
            <wp:docPr id="32159840"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9840" name="Imagen 1" descr="Imagen que contiene Texto&#10;&#10;El contenido generado por IA puede ser incorrecto."/>
                    <pic:cNvPicPr/>
                  </pic:nvPicPr>
                  <pic:blipFill>
                    <a:blip r:embed="rId11"/>
                    <a:stretch>
                      <a:fillRect/>
                    </a:stretch>
                  </pic:blipFill>
                  <pic:spPr>
                    <a:xfrm>
                      <a:off x="0" y="0"/>
                      <a:ext cx="2600344" cy="381003"/>
                    </a:xfrm>
                    <a:prstGeom prst="rect">
                      <a:avLst/>
                    </a:prstGeom>
                  </pic:spPr>
                </pic:pic>
              </a:graphicData>
            </a:graphic>
          </wp:inline>
        </w:drawing>
      </w:r>
    </w:p>
    <w:p w14:paraId="4C292B09" w14:textId="77777777" w:rsidR="00B041C0" w:rsidRPr="00F67D88" w:rsidRDefault="00B041C0" w:rsidP="00B041C0">
      <w:pPr>
        <w:spacing w:after="0" w:line="276" w:lineRule="auto"/>
        <w:ind w:left="708" w:hanging="708"/>
        <w:jc w:val="both"/>
        <w:rPr>
          <w:rFonts w:ascii="Verdana" w:eastAsia="Calibri" w:hAnsi="Verdana" w:cs="Arial"/>
          <w:bCs/>
          <w:color w:val="000000"/>
          <w:sz w:val="24"/>
          <w:szCs w:val="24"/>
          <w:lang w:val="es-MX" w:eastAsia="es-ES_tradnl"/>
        </w:rPr>
      </w:pPr>
    </w:p>
    <w:p w14:paraId="6264D5B4" w14:textId="77777777" w:rsidR="00B041C0" w:rsidRPr="00F67D88" w:rsidRDefault="00B041C0" w:rsidP="00B041C0">
      <w:pPr>
        <w:spacing w:after="0" w:line="276" w:lineRule="auto"/>
        <w:ind w:firstLine="708"/>
        <w:contextualSpacing/>
        <w:jc w:val="both"/>
        <w:rPr>
          <w:rFonts w:ascii="Verdana" w:eastAsia="Calibri" w:hAnsi="Verdana" w:cs="Arial"/>
          <w:bCs/>
          <w:color w:val="000000"/>
          <w:lang w:eastAsia="es-ES_tradnl"/>
        </w:rPr>
      </w:pPr>
      <w:r w:rsidRPr="00F67D88">
        <w:rPr>
          <w:rFonts w:ascii="Verdana" w:eastAsia="Calibri" w:hAnsi="Verdana" w:cs="Arial"/>
          <w:bCs/>
          <w:color w:val="000000"/>
          <w:lang w:eastAsia="es-ES_tradnl"/>
        </w:rPr>
        <w:t xml:space="preserve">Particularmente, </w:t>
      </w:r>
      <w:bookmarkStart w:id="3" w:name="_Hlk100139879"/>
      <w:r w:rsidRPr="00F67D88">
        <w:rPr>
          <w:rFonts w:ascii="Verdana" w:eastAsia="Calibri" w:hAnsi="Verdana" w:cs="Arial"/>
          <w:bCs/>
          <w:color w:val="000000"/>
          <w:lang w:eastAsia="es-ES_tradnl"/>
        </w:rPr>
        <w:t xml:space="preserve">respecto del factor de saldos de los contratos en ejecución “SCE”, es necesario tener en cuenta que la Guía para Determinar y Verificar la Capacidad Residual del Proponente en los Procesos de Contratación </w:t>
      </w:r>
      <w:r w:rsidRPr="00F67D88">
        <w:rPr>
          <w:rFonts w:ascii="Verdana" w:eastAsia="Calibri" w:hAnsi="Verdana" w:cs="Arial"/>
          <w:bCs/>
          <w:color w:val="000000"/>
          <w:lang w:eastAsia="es-ES_tradnl"/>
        </w:rPr>
        <w:lastRenderedPageBreak/>
        <w:t>de Obra Pública, define a este factor como “</w:t>
      </w:r>
      <w:bookmarkEnd w:id="3"/>
      <w:r w:rsidRPr="00F67D88">
        <w:rPr>
          <w:rFonts w:ascii="Verdana" w:eastAsia="Calibri" w:hAnsi="Verdana" w:cs="Arial"/>
          <w:bCs/>
          <w:color w:val="000000"/>
          <w:lang w:eastAsia="es-ES_tradnl"/>
        </w:rPr>
        <w:t xml:space="preserve">la sumatoria de los saldos de los Contratos en Ejecución que tienen por ejecutar un período inferior a 360 días, es decir, 12 meses. Si el número de días por ejecutar un contrato es superior a 360 días, es decir 12 meses, el saldo del Contrato en Ejecución sólo tendrá en cuenta la proporción lineal de 12 meses”. Así mismo, define los </w:t>
      </w:r>
      <w:bookmarkStart w:id="4" w:name="_Hlk78819022"/>
      <w:r w:rsidRPr="00F67D88">
        <w:rPr>
          <w:rFonts w:ascii="Verdana" w:eastAsia="Calibri" w:hAnsi="Verdana" w:cs="Arial"/>
          <w:bCs/>
          <w:color w:val="000000"/>
          <w:lang w:eastAsia="es-ES_tradnl"/>
        </w:rPr>
        <w:t xml:space="preserve">Contratos en Ejecución </w:t>
      </w:r>
      <w:bookmarkEnd w:id="4"/>
      <w:r w:rsidRPr="00F67D88">
        <w:rPr>
          <w:rFonts w:ascii="Verdana" w:eastAsia="Calibri" w:hAnsi="Verdana" w:cs="Arial"/>
          <w:bCs/>
          <w:color w:val="000000"/>
          <w:lang w:eastAsia="es-ES_tradnl"/>
        </w:rPr>
        <w:t xml:space="preserve">de la siguiente manera:  </w:t>
      </w:r>
    </w:p>
    <w:p w14:paraId="516747A3" w14:textId="77777777" w:rsidR="00B041C0" w:rsidRPr="00F67D88" w:rsidRDefault="00B041C0" w:rsidP="00B041C0">
      <w:pPr>
        <w:spacing w:after="0" w:line="276" w:lineRule="auto"/>
        <w:ind w:firstLine="709"/>
        <w:jc w:val="both"/>
        <w:rPr>
          <w:rFonts w:ascii="Verdana" w:eastAsia="Times New Roman" w:hAnsi="Verdana" w:cs="Arial"/>
          <w:sz w:val="24"/>
          <w:szCs w:val="24"/>
          <w:lang w:eastAsia="es-ES_tradnl"/>
        </w:rPr>
      </w:pPr>
    </w:p>
    <w:p w14:paraId="02340B9D" w14:textId="77777777" w:rsidR="00B041C0" w:rsidRPr="00F67D88" w:rsidRDefault="00B041C0" w:rsidP="00B041C0">
      <w:pPr>
        <w:spacing w:after="120" w:line="240" w:lineRule="auto"/>
        <w:ind w:left="709" w:right="709"/>
        <w:jc w:val="both"/>
        <w:rPr>
          <w:rFonts w:ascii="Verdana" w:eastAsia="Times New Roman" w:hAnsi="Verdana" w:cs="Arial"/>
          <w:sz w:val="21"/>
          <w:szCs w:val="21"/>
          <w:lang w:eastAsia="es-ES_tradnl"/>
        </w:rPr>
      </w:pPr>
      <w:r w:rsidRPr="00F67D88">
        <w:rPr>
          <w:rFonts w:ascii="Verdana" w:eastAsia="Times New Roman" w:hAnsi="Verdana" w:cs="Arial"/>
          <w:sz w:val="21"/>
          <w:szCs w:val="21"/>
          <w:lang w:eastAsia="es-ES_tradnl"/>
        </w:rPr>
        <w:t xml:space="preserve">“Son los contratos que a la fecha de presentación de la oferta obligan al proponente con Entidades Estatales y con entidades privadas para ejecutar obras civiles, incluyendo la ejecución de obras civiles en los contratos de concesión y los contratos de obra suscritos con concesionarios, incluyendo los contratos que se encuentren suspendidos y aquellos que no tengan acta de inicio.   </w:t>
      </w:r>
    </w:p>
    <w:p w14:paraId="21AE3FE2" w14:textId="77777777" w:rsidR="00B041C0" w:rsidRPr="00F67D88" w:rsidRDefault="00B041C0" w:rsidP="00B041C0">
      <w:pPr>
        <w:spacing w:after="0" w:line="240" w:lineRule="auto"/>
        <w:ind w:left="709" w:right="709"/>
        <w:jc w:val="both"/>
        <w:rPr>
          <w:rFonts w:ascii="Verdana" w:eastAsia="Times New Roman" w:hAnsi="Verdana" w:cs="Arial"/>
          <w:sz w:val="21"/>
          <w:szCs w:val="21"/>
          <w:lang w:eastAsia="es-ES_tradnl"/>
        </w:rPr>
      </w:pPr>
      <w:r w:rsidRPr="00F67D88">
        <w:rPr>
          <w:rFonts w:ascii="Verdana" w:eastAsia="Times New Roman" w:hAnsi="Verdana" w:cs="Arial"/>
          <w:sz w:val="21"/>
          <w:szCs w:val="21"/>
          <w:lang w:eastAsia="es-ES_tradnl"/>
        </w:rPr>
        <w:t>No se entenderá como Contratos en Ejecución los que se encuentren en etapa de liquidación o ya fueron liquidados.”.</w:t>
      </w:r>
    </w:p>
    <w:p w14:paraId="34D57D46" w14:textId="77777777" w:rsidR="00B041C0" w:rsidRPr="00F67D88" w:rsidRDefault="00B041C0" w:rsidP="00B041C0">
      <w:pPr>
        <w:spacing w:after="0" w:line="276" w:lineRule="auto"/>
        <w:ind w:right="709"/>
        <w:jc w:val="both"/>
        <w:rPr>
          <w:rFonts w:ascii="Verdana" w:eastAsia="Times New Roman" w:hAnsi="Verdana" w:cs="Arial"/>
          <w:sz w:val="24"/>
          <w:szCs w:val="24"/>
          <w:lang w:eastAsia="es-ES_tradnl"/>
        </w:rPr>
      </w:pPr>
    </w:p>
    <w:p w14:paraId="7D33AB6F" w14:textId="77777777" w:rsidR="00B041C0" w:rsidRPr="00F67D88" w:rsidRDefault="00B041C0" w:rsidP="00B041C0">
      <w:pPr>
        <w:spacing w:after="0" w:line="276" w:lineRule="auto"/>
        <w:ind w:firstLine="708"/>
        <w:jc w:val="both"/>
        <w:rPr>
          <w:rFonts w:ascii="Verdana" w:eastAsia="Times New Roman" w:hAnsi="Verdana" w:cs="Arial"/>
          <w:lang w:val="es-MX" w:eastAsia="es-ES_tradnl"/>
        </w:rPr>
      </w:pPr>
      <w:bookmarkStart w:id="5" w:name="_Hlk100139912"/>
      <w:bookmarkStart w:id="6" w:name="_Hlk103609030"/>
      <w:r w:rsidRPr="00F67D88">
        <w:rPr>
          <w:rFonts w:ascii="Verdana" w:eastAsia="Times New Roman" w:hAnsi="Verdana" w:cs="Arial"/>
          <w:lang w:eastAsia="es-ES_tradnl"/>
        </w:rPr>
        <w:t>En este sentido, los saldos pendientes se derivan de las obligaciones que se encuentran en ejecución al momento de la presentación de la oferta y se refieren a contratos cuyo objeto sea la ejecución de obras civiles</w:t>
      </w:r>
      <w:bookmarkEnd w:id="5"/>
      <w:r w:rsidRPr="00F67D88">
        <w:rPr>
          <w:rFonts w:ascii="Verdana" w:eastAsia="Times New Roman" w:hAnsi="Verdana" w:cs="Arial"/>
          <w:lang w:eastAsia="es-ES_tradnl"/>
        </w:rPr>
        <w:t xml:space="preserve">. </w:t>
      </w:r>
      <w:bookmarkStart w:id="7" w:name="_Hlk100139986"/>
      <w:r w:rsidRPr="00F67D88">
        <w:rPr>
          <w:rFonts w:ascii="Verdana" w:eastAsia="Times New Roman" w:hAnsi="Verdana" w:cs="Arial"/>
          <w:lang w:eastAsia="es-ES_tradnl"/>
        </w:rPr>
        <w:t xml:space="preserve">Se aclara que deben tenerse en cuenta los contratos sin acta de inicio, pues el criterio determinante para establecer si un contrato se encuentra en ejecución no lo determina el acta, sino que el mismo contrato obligue al proponente, tal como se establece en la Guía indicada. Además, los saldos pendientes por ejecutar de los contratos afectados por una suspensión constituyen, también, información relevante para calcular la capacidad residual del proponente </w:t>
      </w:r>
      <w:r w:rsidRPr="00F67D88">
        <w:rPr>
          <w:rFonts w:ascii="Verdana" w:eastAsia="Calibri" w:hAnsi="Verdana" w:cs="Arial"/>
          <w:b/>
          <w:color w:val="000000"/>
          <w:lang w:eastAsia="es-ES_tradnl"/>
        </w:rPr>
        <w:t>“</w:t>
      </w:r>
      <w:r w:rsidRPr="00F67D88">
        <w:rPr>
          <w:rFonts w:ascii="Verdana" w:eastAsia="Calibri" w:hAnsi="Verdana" w:cs="Arial"/>
          <w:bCs/>
          <w:color w:val="000000"/>
          <w:lang w:eastAsia="es-ES_tradnl"/>
        </w:rPr>
        <w:t>CRP</w:t>
      </w:r>
      <w:r w:rsidRPr="00F67D88">
        <w:rPr>
          <w:rFonts w:ascii="Verdana" w:eastAsia="Calibri" w:hAnsi="Verdana" w:cs="Arial"/>
          <w:b/>
          <w:color w:val="000000"/>
          <w:lang w:eastAsia="es-ES_tradnl"/>
        </w:rPr>
        <w:t>”</w:t>
      </w:r>
      <w:r w:rsidRPr="00F67D88">
        <w:rPr>
          <w:rFonts w:ascii="Verdana" w:eastAsia="Times New Roman" w:hAnsi="Verdana" w:cs="Arial"/>
          <w:lang w:eastAsia="es-ES_tradnl"/>
        </w:rPr>
        <w:t>. Lo anterior, en la medida en que la ejecución de los contratos en principio suspendidos puede, eventualmente, afectar la aptitud del oferente para cumplir con el contrato ofertado, razón por la que, ante la posibilidad de que tales contratos se reanuden, la Guía estimó necesario evaluar los saldos pendientes por ejecutar de tales contratos para determinar si el proponente cumple con la capacidad residual requerida</w:t>
      </w:r>
      <w:bookmarkEnd w:id="6"/>
      <w:bookmarkEnd w:id="7"/>
      <w:r w:rsidRPr="00F67D88">
        <w:rPr>
          <w:rFonts w:ascii="Verdana" w:eastAsia="Times New Roman" w:hAnsi="Verdana" w:cs="Arial"/>
          <w:lang w:eastAsia="es-ES_tradnl"/>
        </w:rPr>
        <w:t xml:space="preserve">. </w:t>
      </w:r>
      <w:r w:rsidRPr="00F67D88">
        <w:rPr>
          <w:rFonts w:ascii="Verdana" w:eastAsia="Times New Roman" w:hAnsi="Verdana" w:cs="Arial"/>
          <w:lang w:val="es-MX" w:eastAsia="es-ES_tradnl"/>
        </w:rPr>
        <w:t>Por lo demás, en dicha guía también se precisa que:</w:t>
      </w:r>
    </w:p>
    <w:p w14:paraId="4244CCB1" w14:textId="77777777" w:rsidR="00B041C0" w:rsidRPr="00F67D88" w:rsidRDefault="00B041C0" w:rsidP="00B041C0">
      <w:pPr>
        <w:spacing w:after="0" w:line="276" w:lineRule="auto"/>
        <w:ind w:firstLine="709"/>
        <w:jc w:val="both"/>
        <w:rPr>
          <w:rFonts w:ascii="Verdana" w:eastAsia="Times New Roman" w:hAnsi="Verdana" w:cs="Arial"/>
          <w:sz w:val="24"/>
          <w:szCs w:val="20"/>
          <w:lang w:val="es-MX" w:eastAsia="es-ES_tradnl"/>
        </w:rPr>
      </w:pPr>
    </w:p>
    <w:p w14:paraId="646D7671" w14:textId="77777777" w:rsidR="00B041C0" w:rsidRPr="00F67D88" w:rsidRDefault="00B041C0" w:rsidP="00B041C0">
      <w:pPr>
        <w:spacing w:after="0" w:line="240" w:lineRule="auto"/>
        <w:ind w:left="709" w:right="709"/>
        <w:jc w:val="both"/>
        <w:rPr>
          <w:rFonts w:ascii="Verdana" w:eastAsia="Times New Roman" w:hAnsi="Verdana" w:cs="Arial"/>
          <w:sz w:val="21"/>
          <w:szCs w:val="21"/>
          <w:lang w:eastAsia="es-ES_tradnl"/>
        </w:rPr>
      </w:pPr>
      <w:bookmarkStart w:id="8" w:name="_Hlk100140013"/>
      <w:r w:rsidRPr="00F67D88">
        <w:rPr>
          <w:rFonts w:ascii="Verdana" w:eastAsia="Times New Roman" w:hAnsi="Verdana" w:cs="Arial"/>
          <w:sz w:val="21"/>
          <w:szCs w:val="21"/>
          <w:lang w:eastAsia="es-ES_tradnl"/>
        </w:rPr>
        <w:t xml:space="preserve">El cálculo del Saldo de los Contratos en Ejecución debe hacerse linealmente calculando una ejecución diaria equivalente al valor del contrato dividido por el plazo del contrato y si el contrato es ejecutado por una estructura plural por la participación del proponente en el respectivo contratista. Si el número de días por ejecutar en un contrato es superior a 12 meses, es decir 360 días, el Saldo del Contrato en </w:t>
      </w:r>
      <w:r w:rsidRPr="00F67D88">
        <w:rPr>
          <w:rFonts w:ascii="Verdana" w:eastAsia="Times New Roman" w:hAnsi="Verdana" w:cs="Arial"/>
          <w:sz w:val="21"/>
          <w:szCs w:val="21"/>
          <w:lang w:eastAsia="es-ES_tradnl"/>
        </w:rPr>
        <w:lastRenderedPageBreak/>
        <w:t>Ejecución (SCE) solo tendrá en cuenta la proporción lineal de 12 meses</w:t>
      </w:r>
      <w:bookmarkEnd w:id="8"/>
      <w:r w:rsidRPr="00F67D88">
        <w:rPr>
          <w:rFonts w:ascii="Verdana" w:eastAsia="Times New Roman" w:hAnsi="Verdana" w:cs="Arial"/>
          <w:sz w:val="21"/>
          <w:szCs w:val="21"/>
          <w:lang w:eastAsia="es-ES_tradnl"/>
        </w:rPr>
        <w:t>.</w:t>
      </w:r>
    </w:p>
    <w:p w14:paraId="5665CC94" w14:textId="77777777" w:rsidR="00B041C0" w:rsidRPr="00F67D88" w:rsidRDefault="00B041C0" w:rsidP="00B041C0">
      <w:pPr>
        <w:spacing w:after="120" w:line="240" w:lineRule="auto"/>
        <w:ind w:left="709" w:right="709"/>
        <w:jc w:val="both"/>
        <w:rPr>
          <w:rFonts w:ascii="Verdana" w:eastAsia="Times New Roman" w:hAnsi="Verdana" w:cs="Arial"/>
          <w:sz w:val="21"/>
          <w:szCs w:val="21"/>
          <w:lang w:val="es-MX" w:eastAsia="es-ES_tradnl"/>
        </w:rPr>
      </w:pPr>
      <w:r w:rsidRPr="00F67D88">
        <w:rPr>
          <w:rFonts w:ascii="Verdana" w:eastAsia="Times New Roman" w:hAnsi="Verdana" w:cs="Arial"/>
          <w:sz w:val="21"/>
          <w:szCs w:val="21"/>
          <w:lang w:val="es-MX" w:eastAsia="es-ES_tradnl"/>
        </w:rPr>
        <w:t>[…]</w:t>
      </w:r>
    </w:p>
    <w:p w14:paraId="1A662974" w14:textId="77777777" w:rsidR="00B041C0" w:rsidRPr="00F67D88" w:rsidRDefault="00B041C0" w:rsidP="00B041C0">
      <w:pPr>
        <w:spacing w:after="0" w:line="240" w:lineRule="auto"/>
        <w:ind w:left="709" w:right="709"/>
        <w:jc w:val="both"/>
        <w:rPr>
          <w:rFonts w:ascii="Verdana" w:eastAsia="Times New Roman" w:hAnsi="Verdana" w:cs="Arial"/>
          <w:sz w:val="21"/>
          <w:szCs w:val="21"/>
          <w:lang w:eastAsia="es-ES_tradnl"/>
        </w:rPr>
      </w:pPr>
      <w:r w:rsidRPr="00F67D88">
        <w:rPr>
          <w:rFonts w:ascii="Verdana" w:eastAsia="Times New Roman" w:hAnsi="Verdana" w:cs="Arial"/>
          <w:i/>
          <w:iCs/>
          <w:sz w:val="21"/>
          <w:szCs w:val="21"/>
          <w:lang w:eastAsia="es-ES_tradnl"/>
        </w:rPr>
        <w:t>Si un contrato se encuentra suspendido, el cálculo del Saldo del Contrato en Ejecución (SCE) de dicho contrato debe calcularse asumiendo que lo que falta por ejecutar empezará a ejecutarse en la fecha de la presentación de la oferta del Proceso de Contratación</w:t>
      </w:r>
      <w:r w:rsidRPr="00F67D88">
        <w:rPr>
          <w:rFonts w:ascii="Verdana" w:eastAsia="Times New Roman" w:hAnsi="Verdana" w:cs="Arial"/>
          <w:sz w:val="21"/>
          <w:szCs w:val="21"/>
          <w:lang w:eastAsia="es-ES_tradnl"/>
        </w:rPr>
        <w:t>. (Énfasis fuera de texto)</w:t>
      </w:r>
    </w:p>
    <w:p w14:paraId="5C50F8E4" w14:textId="77777777" w:rsidR="00B041C0" w:rsidRPr="00F67D88" w:rsidRDefault="00B041C0" w:rsidP="00B041C0">
      <w:pPr>
        <w:spacing w:after="0" w:line="276" w:lineRule="auto"/>
        <w:ind w:firstLine="709"/>
        <w:jc w:val="both"/>
        <w:rPr>
          <w:rFonts w:ascii="Verdana" w:eastAsia="Times New Roman" w:hAnsi="Verdana" w:cs="Arial"/>
          <w:sz w:val="24"/>
          <w:szCs w:val="24"/>
          <w:lang w:eastAsia="es-ES_tradnl"/>
        </w:rPr>
      </w:pPr>
    </w:p>
    <w:p w14:paraId="2969340C" w14:textId="77777777" w:rsidR="00B041C0" w:rsidRDefault="00B041C0" w:rsidP="00B041C0">
      <w:pPr>
        <w:snapToGrid w:val="0"/>
        <w:spacing w:after="120" w:line="276" w:lineRule="auto"/>
        <w:ind w:firstLine="709"/>
        <w:jc w:val="both"/>
        <w:rPr>
          <w:rFonts w:ascii="Verdana" w:eastAsia="Times New Roman" w:hAnsi="Verdana" w:cs="Arial"/>
          <w:lang w:eastAsia="es-ES_tradnl"/>
        </w:rPr>
      </w:pPr>
      <w:r w:rsidRPr="00F67D88">
        <w:rPr>
          <w:rFonts w:ascii="Verdana" w:eastAsia="Times New Roman" w:hAnsi="Verdana" w:cs="Arial"/>
          <w:lang w:eastAsia="es-ES_tradnl"/>
        </w:rPr>
        <w:t xml:space="preserve">De este modo, para acreditar el factor saldos de los contratos en ejecución “SCE”,  como lo establece la Guía, el proponente debe presentar la lista de contratos de obras civiles en ejecución, tanto a nivel nacional como internacional señalando: i) el valor del contrato; ii) el plazo del contrato en meses; iii) la fecha de inicio de las obras objeto del contrato (día, mes, año); iv) si la obra la ejecuta un consorcio, unión temporal, el porcentaje de participación del oferente que presenta el certificado; v) si el contrato se encuentra suspendido, y si es así, la fecha de suspensión. En todo caso, si el contrato está suspendido el proponente debe informar el saldo pendiente por ejecutar. Si el proponente no tiene contratos en ejecución, en el certificado debe constar expresamente esa circunstancia. </w:t>
      </w:r>
    </w:p>
    <w:p w14:paraId="43FE7571" w14:textId="77777777" w:rsidR="00B041C0" w:rsidRPr="00F67D88" w:rsidRDefault="00B041C0" w:rsidP="00B041C0">
      <w:pPr>
        <w:snapToGrid w:val="0"/>
        <w:spacing w:after="120" w:line="276" w:lineRule="auto"/>
        <w:ind w:firstLine="709"/>
        <w:jc w:val="both"/>
        <w:rPr>
          <w:rFonts w:ascii="Verdana" w:eastAsia="Times New Roman" w:hAnsi="Verdana" w:cs="Arial"/>
          <w:lang w:eastAsia="es-ES_tradnl"/>
        </w:rPr>
      </w:pPr>
      <w:r w:rsidRPr="00F67D88">
        <w:rPr>
          <w:rFonts w:ascii="Verdana" w:eastAsia="Times New Roman" w:hAnsi="Verdana" w:cs="Arial"/>
          <w:lang w:eastAsia="es-ES_tradnl"/>
        </w:rPr>
        <w:t xml:space="preserve">En concordancia con lo anterior, sobre la acreditación del factor “SCE” en los documentos tipo de licitación de obra pública para infraestructura de transporte – versión 4, </w:t>
      </w:r>
      <w:bookmarkStart w:id="9" w:name="_Hlk100140108"/>
      <w:r w:rsidRPr="00F67D88">
        <w:rPr>
          <w:rFonts w:ascii="Verdana" w:eastAsia="Times New Roman" w:hAnsi="Verdana" w:cs="Arial"/>
          <w:lang w:eastAsia="es-ES_tradnl"/>
        </w:rPr>
        <w:t>el literal E del numeral 3.11.2 del documento base</w:t>
      </w:r>
      <w:bookmarkEnd w:id="9"/>
      <w:r w:rsidRPr="00F67D88">
        <w:rPr>
          <w:rFonts w:ascii="Verdana" w:eastAsia="Times New Roman" w:hAnsi="Verdana" w:cs="Arial"/>
          <w:lang w:eastAsia="es-ES_tradnl"/>
        </w:rPr>
        <w:t xml:space="preserve"> señala lo siguiente:</w:t>
      </w:r>
    </w:p>
    <w:p w14:paraId="13EC5C07" w14:textId="77777777" w:rsidR="00B041C0" w:rsidRPr="00F67D88" w:rsidRDefault="00B041C0" w:rsidP="00B041C0">
      <w:pPr>
        <w:spacing w:after="0" w:line="276" w:lineRule="auto"/>
        <w:ind w:firstLine="709"/>
        <w:jc w:val="both"/>
        <w:rPr>
          <w:rFonts w:ascii="Verdana" w:eastAsia="Times New Roman" w:hAnsi="Verdana" w:cs="Arial"/>
          <w:lang w:eastAsia="es-ES_tradnl"/>
        </w:rPr>
      </w:pPr>
    </w:p>
    <w:p w14:paraId="6D932233" w14:textId="77777777" w:rsidR="00B041C0" w:rsidRPr="006A22ED" w:rsidRDefault="00B041C0" w:rsidP="00B041C0">
      <w:pPr>
        <w:spacing w:after="120" w:line="240" w:lineRule="auto"/>
        <w:ind w:left="709" w:right="709"/>
        <w:jc w:val="both"/>
        <w:rPr>
          <w:rFonts w:ascii="Verdana" w:eastAsia="Times New Roman" w:hAnsi="Verdana" w:cs="Arial"/>
          <w:lang w:eastAsia="es-ES_tradnl"/>
        </w:rPr>
      </w:pPr>
      <w:r>
        <w:rPr>
          <w:rFonts w:ascii="Verdana" w:eastAsia="Times New Roman" w:hAnsi="Verdana" w:cs="Arial"/>
          <w:lang w:eastAsia="es-ES_tradnl"/>
        </w:rPr>
        <w:t>“</w:t>
      </w:r>
      <w:r w:rsidRPr="00F67D88">
        <w:rPr>
          <w:rFonts w:ascii="Verdana" w:eastAsia="Times New Roman" w:hAnsi="Verdana" w:cs="Arial"/>
          <w:lang w:eastAsia="es-ES_tradnl"/>
        </w:rPr>
        <w:t xml:space="preserve">Para acreditar el factor (SCE) el Proponente tendrá en cuenta lo siguiente: </w:t>
      </w:r>
    </w:p>
    <w:p w14:paraId="4093FE6E" w14:textId="77777777" w:rsidR="00B041C0" w:rsidRPr="00F67D88" w:rsidRDefault="00B041C0" w:rsidP="00B041C0">
      <w:pPr>
        <w:spacing w:after="120" w:line="240" w:lineRule="auto"/>
        <w:ind w:left="709" w:right="709" w:firstLine="709"/>
        <w:jc w:val="both"/>
        <w:rPr>
          <w:rFonts w:ascii="Verdana" w:eastAsia="Arial," w:hAnsi="Verdana" w:cs="Arial"/>
          <w:sz w:val="21"/>
          <w:szCs w:val="21"/>
          <w:lang w:eastAsia="es-ES_tradnl"/>
        </w:rPr>
      </w:pPr>
      <w:r w:rsidRPr="00F67D88">
        <w:rPr>
          <w:rFonts w:ascii="Verdana" w:eastAsia="Arial," w:hAnsi="Verdana" w:cs="Arial"/>
          <w:sz w:val="21"/>
          <w:szCs w:val="21"/>
          <w:lang w:eastAsia="es-ES_tradnl"/>
        </w:rPr>
        <w:t>(…)</w:t>
      </w:r>
    </w:p>
    <w:p w14:paraId="08949E34" w14:textId="77777777" w:rsidR="00B041C0" w:rsidRPr="00F67D88" w:rsidRDefault="00B041C0" w:rsidP="00B041C0">
      <w:pPr>
        <w:spacing w:after="120" w:line="240" w:lineRule="auto"/>
        <w:ind w:left="1134" w:right="709" w:hanging="425"/>
        <w:jc w:val="both"/>
        <w:rPr>
          <w:rFonts w:ascii="Verdana" w:eastAsia="Arial" w:hAnsi="Verdana" w:cs="Arial"/>
          <w:sz w:val="21"/>
          <w:szCs w:val="21"/>
          <w:lang w:val="es-MX" w:eastAsia="es-ES_tradnl"/>
        </w:rPr>
      </w:pPr>
      <w:r w:rsidRPr="00F67D88">
        <w:rPr>
          <w:rFonts w:ascii="Verdana" w:eastAsia="Arial" w:hAnsi="Verdana" w:cs="Arial"/>
          <w:sz w:val="21"/>
          <w:szCs w:val="21"/>
          <w:lang w:val="es-MX" w:eastAsia="es-ES_tradnl"/>
        </w:rPr>
        <w:t>II.  Los contratos de obras civiles en ejecución son aquellos que a la fecha de presentación de la oferta obligan al proponente con entidades estatales y con entidades privadas para ejecutar obras civiles. Estas incluyen las obras civiles de los contratos de concesión y los contratos de obra suscritos con concesionarios, así como, los contratos suspendidos y aquellos que no tengan acta de inicio. No se entenderán como contratos en ejecución los que se encuentren en liquidación.</w:t>
      </w:r>
    </w:p>
    <w:p w14:paraId="4885D502" w14:textId="77777777" w:rsidR="00B041C0" w:rsidRPr="00F67D88" w:rsidRDefault="00B041C0" w:rsidP="00B041C0">
      <w:pPr>
        <w:spacing w:after="120" w:line="240" w:lineRule="auto"/>
        <w:ind w:left="1134" w:right="709" w:hanging="425"/>
        <w:jc w:val="both"/>
        <w:rPr>
          <w:rFonts w:ascii="Verdana" w:eastAsia="Arial" w:hAnsi="Verdana" w:cs="Arial"/>
          <w:sz w:val="21"/>
          <w:szCs w:val="21"/>
          <w:lang w:val="es-MX" w:eastAsia="es-ES_tradnl"/>
        </w:rPr>
      </w:pPr>
      <w:r w:rsidRPr="00F67D88">
        <w:rPr>
          <w:rFonts w:ascii="Verdana" w:eastAsia="Arial" w:hAnsi="Verdana" w:cs="Arial"/>
          <w:sz w:val="21"/>
          <w:szCs w:val="21"/>
          <w:lang w:val="es-MX" w:eastAsia="es-ES_tradnl"/>
        </w:rPr>
        <w:lastRenderedPageBreak/>
        <w:t>III.  Se tendrán en cuenta los contratos de obras civiles en ejecución suscritos por el proponente o por sociedades, consorcios o uniones temporales en los cuales el proponente tenga participación</w:t>
      </w:r>
    </w:p>
    <w:p w14:paraId="51497655" w14:textId="77777777" w:rsidR="00B041C0" w:rsidRPr="00F67D88" w:rsidRDefault="00B041C0" w:rsidP="00B041C0">
      <w:pPr>
        <w:spacing w:after="120" w:line="240" w:lineRule="auto"/>
        <w:ind w:left="1134" w:right="709" w:hanging="425"/>
        <w:jc w:val="both"/>
        <w:rPr>
          <w:rFonts w:ascii="Verdana" w:eastAsia="Arial" w:hAnsi="Verdana" w:cs="Arial"/>
          <w:i/>
          <w:iCs/>
          <w:sz w:val="21"/>
          <w:szCs w:val="21"/>
          <w:lang w:val="es-MX" w:eastAsia="es-ES_tradnl"/>
        </w:rPr>
      </w:pPr>
      <w:r w:rsidRPr="00F67D88">
        <w:rPr>
          <w:rFonts w:ascii="Verdana" w:eastAsia="Arial" w:hAnsi="Verdana" w:cs="Arial"/>
          <w:sz w:val="21"/>
          <w:szCs w:val="21"/>
          <w:lang w:val="es-MX" w:eastAsia="es-ES_tradnl"/>
        </w:rPr>
        <w:t xml:space="preserve">IV.  </w:t>
      </w:r>
      <w:bookmarkStart w:id="10" w:name="_Hlk100140218"/>
      <w:r w:rsidRPr="00F67D88">
        <w:rPr>
          <w:rFonts w:ascii="Verdana" w:eastAsia="Arial" w:hAnsi="Verdana" w:cs="Arial"/>
          <w:sz w:val="21"/>
          <w:szCs w:val="21"/>
          <w:lang w:val="es-MX" w:eastAsia="es-ES_tradnl"/>
        </w:rPr>
        <w:t>Si</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un</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contrato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se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encuentra</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suspendido,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el</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cálculo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del</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(SCE)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dicho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contrato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debe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efectuarse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asumiendo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que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lo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que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falta</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por</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ejecutar</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iniciara</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en</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la</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fecha de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presentación</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la</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oferta</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del</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Proceso de Contratación.</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Si</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el</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contrato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está</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suspendido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el</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Proponente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debe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informar</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el</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saldo</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pendiente</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por</w:t>
      </w:r>
      <w:r w:rsidRPr="00F67D88">
        <w:rPr>
          <w:rFonts w:ascii="Verdana" w:eastAsia="Arial," w:hAnsi="Verdana" w:cs="Arial"/>
          <w:sz w:val="21"/>
          <w:szCs w:val="21"/>
          <w:lang w:val="es-MX" w:eastAsia="es-ES_tradnl"/>
        </w:rPr>
        <w:t xml:space="preserve"> </w:t>
      </w:r>
      <w:r w:rsidRPr="00F67D88">
        <w:rPr>
          <w:rFonts w:ascii="Verdana" w:eastAsia="Arial" w:hAnsi="Verdana" w:cs="Arial"/>
          <w:sz w:val="21"/>
          <w:szCs w:val="21"/>
          <w:lang w:val="es-MX" w:eastAsia="es-ES_tradnl"/>
        </w:rPr>
        <w:t>ejecutar</w:t>
      </w:r>
      <w:bookmarkEnd w:id="10"/>
      <w:r w:rsidRPr="00F67D88">
        <w:rPr>
          <w:rFonts w:ascii="Verdana" w:eastAsia="Arial" w:hAnsi="Verdana" w:cs="Arial"/>
          <w:sz w:val="21"/>
          <w:szCs w:val="21"/>
          <w:lang w:val="es-MX" w:eastAsia="es-ES_tradnl"/>
        </w:rPr>
        <w:t>.</w:t>
      </w:r>
      <w:r w:rsidRPr="00F67D88">
        <w:rPr>
          <w:rFonts w:ascii="Verdana" w:eastAsia="Arial" w:hAnsi="Verdana" w:cs="Arial"/>
          <w:i/>
          <w:iCs/>
          <w:sz w:val="21"/>
          <w:szCs w:val="21"/>
          <w:lang w:val="es-MX" w:eastAsia="es-ES_tradnl"/>
        </w:rPr>
        <w:t xml:space="preserve"> </w:t>
      </w:r>
    </w:p>
    <w:p w14:paraId="0A4D7519" w14:textId="77777777" w:rsidR="00B041C0" w:rsidRPr="00F67D88" w:rsidRDefault="00B041C0" w:rsidP="00B041C0">
      <w:pPr>
        <w:spacing w:after="120" w:line="240" w:lineRule="auto"/>
        <w:ind w:left="1134" w:right="709" w:hanging="425"/>
        <w:jc w:val="both"/>
        <w:rPr>
          <w:rFonts w:ascii="Verdana" w:eastAsia="Arial" w:hAnsi="Verdana" w:cs="Arial"/>
          <w:sz w:val="21"/>
          <w:szCs w:val="21"/>
          <w:lang w:val="es-MX" w:eastAsia="es-ES_tradnl"/>
        </w:rPr>
      </w:pPr>
      <w:r w:rsidRPr="00F67D88">
        <w:rPr>
          <w:rFonts w:ascii="Verdana" w:eastAsia="Arial" w:hAnsi="Verdana" w:cs="Arial"/>
          <w:sz w:val="21"/>
          <w:szCs w:val="21"/>
          <w:lang w:val="es-MX" w:eastAsia="es-ES_tradnl"/>
        </w:rPr>
        <w:t xml:space="preserve">V.  </w:t>
      </w:r>
      <w:bookmarkStart w:id="11" w:name="_Hlk100140164"/>
      <w:r w:rsidRPr="00F67D88">
        <w:rPr>
          <w:rFonts w:ascii="Verdana" w:eastAsia="Times New Roman" w:hAnsi="Verdana" w:cs="Arial"/>
          <w:sz w:val="21"/>
          <w:szCs w:val="21"/>
          <w:lang w:eastAsia="es-ES_tradnl"/>
        </w:rPr>
        <w:t>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cálculo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factor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(SCE)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debe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hacerse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linealmente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calculando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una</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ejecución</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diaria</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equivalente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al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valor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contrato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dividido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por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plazo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contrato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expresado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en</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días.</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Este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resultado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se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multiplica</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por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número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días</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pendientes</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para</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cumplir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plazo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contrato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y</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si</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contrato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es</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ejecutado</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por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una estructura plural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por</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la</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participación</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del</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Proponente</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en</w:t>
      </w:r>
      <w:r w:rsidRPr="00F67D88">
        <w:rPr>
          <w:rFonts w:ascii="Verdana" w:eastAsia="Arial" w:hAnsi="Verdana" w:cs="Arial"/>
          <w:sz w:val="21"/>
          <w:szCs w:val="21"/>
          <w:lang w:eastAsia="es-ES_tradnl"/>
        </w:rPr>
        <w:t xml:space="preserve"> </w:t>
      </w:r>
      <w:r w:rsidRPr="00F67D88">
        <w:rPr>
          <w:rFonts w:ascii="Verdana" w:eastAsia="Times New Roman" w:hAnsi="Verdana" w:cs="Arial"/>
          <w:sz w:val="21"/>
          <w:szCs w:val="21"/>
          <w:lang w:eastAsia="es-ES_tradnl"/>
        </w:rPr>
        <w:t>la respectiva estructura</w:t>
      </w:r>
      <w:bookmarkEnd w:id="11"/>
      <w:r w:rsidRPr="00F67D88">
        <w:rPr>
          <w:rFonts w:ascii="Verdana" w:eastAsia="Times New Roman" w:hAnsi="Verdana" w:cs="Arial"/>
          <w:sz w:val="21"/>
          <w:szCs w:val="21"/>
          <w:lang w:eastAsia="es-ES_tradnl"/>
        </w:rPr>
        <w:t xml:space="preserve">. </w:t>
      </w:r>
    </w:p>
    <w:p w14:paraId="5891E7DE" w14:textId="77777777" w:rsidR="00B041C0" w:rsidRDefault="00B041C0" w:rsidP="00B041C0">
      <w:pPr>
        <w:spacing w:after="0" w:line="276" w:lineRule="auto"/>
        <w:jc w:val="both"/>
        <w:rPr>
          <w:rFonts w:ascii="Verdana" w:eastAsia="Arial," w:hAnsi="Verdana" w:cs="Arial"/>
          <w:sz w:val="24"/>
          <w:szCs w:val="24"/>
          <w:lang w:val="es-MX" w:eastAsia="es-ES_tradnl"/>
        </w:rPr>
      </w:pPr>
      <w:r w:rsidRPr="00F67D88">
        <w:rPr>
          <w:rFonts w:ascii="Verdana" w:eastAsia="Arial," w:hAnsi="Verdana" w:cs="Arial"/>
          <w:sz w:val="24"/>
          <w:szCs w:val="24"/>
          <w:lang w:val="es-MX" w:eastAsia="es-ES_tradnl"/>
        </w:rPr>
        <w:tab/>
        <w:t xml:space="preserve">     (…)”</w:t>
      </w:r>
      <w:r>
        <w:rPr>
          <w:rFonts w:ascii="Verdana" w:eastAsia="Arial," w:hAnsi="Verdana" w:cs="Arial"/>
          <w:sz w:val="24"/>
          <w:szCs w:val="24"/>
          <w:lang w:val="es-MX" w:eastAsia="es-ES_tradnl"/>
        </w:rPr>
        <w:t>.</w:t>
      </w:r>
    </w:p>
    <w:p w14:paraId="70791ACB" w14:textId="77777777" w:rsidR="00B041C0" w:rsidRDefault="00B041C0" w:rsidP="00B041C0">
      <w:pPr>
        <w:spacing w:after="0" w:line="276" w:lineRule="auto"/>
        <w:jc w:val="both"/>
        <w:rPr>
          <w:rFonts w:ascii="Verdana" w:eastAsia="Arial," w:hAnsi="Verdana" w:cs="Arial"/>
          <w:sz w:val="24"/>
          <w:szCs w:val="24"/>
          <w:lang w:val="es-MX" w:eastAsia="es-ES_tradnl"/>
        </w:rPr>
      </w:pPr>
    </w:p>
    <w:p w14:paraId="7105D434" w14:textId="77777777" w:rsidR="00B041C0" w:rsidRPr="006A22ED" w:rsidRDefault="00B041C0" w:rsidP="00B041C0">
      <w:pPr>
        <w:widowControl w:val="0"/>
        <w:autoSpaceDE w:val="0"/>
        <w:autoSpaceDN w:val="0"/>
        <w:spacing w:after="120" w:line="276" w:lineRule="auto"/>
        <w:ind w:firstLine="708"/>
        <w:jc w:val="both"/>
        <w:rPr>
          <w:rFonts w:ascii="Verdana" w:eastAsia="Arial," w:hAnsi="Verdana" w:cs="Arial"/>
          <w:sz w:val="24"/>
          <w:szCs w:val="24"/>
          <w:lang w:val="es-MX" w:eastAsia="es-ES_tradnl"/>
        </w:rPr>
      </w:pPr>
      <w:r w:rsidRPr="00F67D88">
        <w:rPr>
          <w:rFonts w:ascii="Verdana" w:eastAsia="Times New Roman" w:hAnsi="Verdana" w:cs="Arial"/>
          <w:lang w:eastAsia="es-ES_tradnl"/>
        </w:rPr>
        <w:t xml:space="preserve">Como se aprecia, los apartados transcritos del documento base están en armonía con lo dispuesto en la Guía para Determinar y Verificar la Capacidad Residual del Proponente en los Procesos de Contratación de Obra Pública, y se refieren a los contratos de obras civiles en ejecución, incluyendo a los contratos suspendidos y los que no tienen acta de inicio. Lo expuesto es congruente con el artículo 2.2.1.1.1.6.4 del Decreto 1082 de 2015, en virtud del cual, para efectos de acreditar la capacidad residual del proponente, se requiere el listado de contratos de obra civiles en ejecución suscritos con entidades estatales y con entidades privadas. </w:t>
      </w:r>
    </w:p>
    <w:p w14:paraId="07AAD5D7"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Sobre este particular, el Concepto </w:t>
      </w:r>
      <w:r w:rsidRPr="003F6D99">
        <w:rPr>
          <w:rFonts w:ascii="Verdana" w:eastAsia="Verdana" w:hAnsi="Verdana" w:cs="Verdana"/>
        </w:rPr>
        <w:t>C-653 del 20 de junio de 2025</w:t>
      </w:r>
      <w:r w:rsidRPr="00F546B3">
        <w:rPr>
          <w:rFonts w:ascii="Verdana" w:eastAsia="Verdana" w:hAnsi="Verdana" w:cs="Verdana"/>
        </w:rPr>
        <w:t xml:space="preserve"> precisó expresamente que los contratos en ejecución incluyen “los contratos suspendidos y aquellos que no tengan acta de inicio”, y señaló que esta regla se encuentra en armonía con el artículo 2.2.1.1.1.6.4 del Decreto 1082 de 2015 y con la Guía de Capacidad Residual.</w:t>
      </w:r>
    </w:p>
    <w:p w14:paraId="3FDA51D4"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En el mismo sentido, el </w:t>
      </w:r>
      <w:r w:rsidRPr="003F6D99">
        <w:rPr>
          <w:rFonts w:ascii="Verdana" w:eastAsia="Verdana" w:hAnsi="Verdana" w:cs="Verdana"/>
        </w:rPr>
        <w:t>Concepto C-1438 de</w:t>
      </w:r>
      <w:r>
        <w:rPr>
          <w:rFonts w:ascii="Verdana" w:eastAsia="Verdana" w:hAnsi="Verdana" w:cs="Verdana"/>
        </w:rPr>
        <w:t>l 06 de noviembre de</w:t>
      </w:r>
      <w:r w:rsidRPr="003F6D99">
        <w:rPr>
          <w:rFonts w:ascii="Verdana" w:eastAsia="Verdana" w:hAnsi="Verdana" w:cs="Verdana"/>
        </w:rPr>
        <w:t xml:space="preserve"> 2025</w:t>
      </w:r>
      <w:r w:rsidRPr="00F546B3">
        <w:rPr>
          <w:rFonts w:ascii="Verdana" w:eastAsia="Verdana" w:hAnsi="Verdana" w:cs="Verdana"/>
        </w:rPr>
        <w:t xml:space="preserve"> señaló que:</w:t>
      </w:r>
      <w:r>
        <w:rPr>
          <w:rFonts w:ascii="Verdana" w:eastAsia="Verdana" w:hAnsi="Verdana" w:cs="Verdana"/>
        </w:rPr>
        <w:t xml:space="preserve"> </w:t>
      </w:r>
      <w:r w:rsidRPr="00F546B3">
        <w:rPr>
          <w:rFonts w:ascii="Verdana" w:eastAsia="Verdana" w:hAnsi="Verdana" w:cs="Verdana"/>
        </w:rPr>
        <w:t>“deben tenerse en cuenta los contratos sin acta de inicio, pues el criterio determinante para establecer si un contrato se encuentra en ejecución no lo determina el acta, sino que el mismo contrato obligue al proponente”.</w:t>
      </w:r>
    </w:p>
    <w:p w14:paraId="3581F8C0"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Esta consideración resulta determinante para resolver la consulta, pues evidencia que </w:t>
      </w:r>
      <w:r w:rsidRPr="003F6D99">
        <w:rPr>
          <w:rFonts w:ascii="Verdana" w:eastAsia="Verdana" w:hAnsi="Verdana" w:cs="Verdana"/>
        </w:rPr>
        <w:t xml:space="preserve">la existencia o inexistencia del acta de inicio no constituye el </w:t>
      </w:r>
      <w:r w:rsidRPr="003F6D99">
        <w:rPr>
          <w:rFonts w:ascii="Verdana" w:eastAsia="Verdana" w:hAnsi="Verdana" w:cs="Verdana"/>
        </w:rPr>
        <w:lastRenderedPageBreak/>
        <w:t>criterio jurídico que determina si un contrato debe ser considerado para efectos de la Capacidad Residual. El elemento relevante es que exista un vínculo contractual que obligue al proponente a ejecutar obras civiles.</w:t>
      </w:r>
    </w:p>
    <w:p w14:paraId="5630A335"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En el mismo sentido</w:t>
      </w:r>
      <w:r w:rsidRPr="00F546B3">
        <w:rPr>
          <w:rFonts w:ascii="Verdana" w:eastAsia="Verdana" w:hAnsi="Verdana" w:cs="Verdana"/>
        </w:rPr>
        <w:t xml:space="preserve"> el </w:t>
      </w:r>
      <w:r>
        <w:rPr>
          <w:rFonts w:ascii="Verdana" w:eastAsia="Verdana" w:hAnsi="Verdana" w:cs="Verdana"/>
        </w:rPr>
        <w:t xml:space="preserve">mencionado </w:t>
      </w:r>
      <w:r w:rsidRPr="00F546B3">
        <w:rPr>
          <w:rFonts w:ascii="Verdana" w:eastAsia="Verdana" w:hAnsi="Verdana" w:cs="Verdana"/>
        </w:rPr>
        <w:t xml:space="preserve">Concepto </w:t>
      </w:r>
      <w:r w:rsidRPr="003F6D99">
        <w:rPr>
          <w:rFonts w:ascii="Verdana" w:eastAsia="Verdana" w:hAnsi="Verdana" w:cs="Verdana"/>
        </w:rPr>
        <w:t>C-132 del 18 de febrero 2026</w:t>
      </w:r>
      <w:r w:rsidRPr="00F546B3">
        <w:rPr>
          <w:rFonts w:ascii="Verdana" w:eastAsia="Verdana" w:hAnsi="Verdana" w:cs="Verdana"/>
        </w:rPr>
        <w:t xml:space="preserve"> </w:t>
      </w:r>
      <w:r>
        <w:rPr>
          <w:rFonts w:ascii="Verdana" w:eastAsia="Verdana" w:hAnsi="Verdana" w:cs="Verdana"/>
        </w:rPr>
        <w:t>señaló</w:t>
      </w:r>
      <w:r w:rsidRPr="00F546B3">
        <w:rPr>
          <w:rFonts w:ascii="Verdana" w:eastAsia="Verdana" w:hAnsi="Verdana" w:cs="Verdana"/>
        </w:rPr>
        <w:t xml:space="preserve"> que la definición de contratos en ejecución comprende los contratos perfeccionados, incluso aquellos que estén suspendidos o no tengan acta de inicio, pero que </w:t>
      </w:r>
      <w:r w:rsidRPr="003F6D99">
        <w:rPr>
          <w:rFonts w:ascii="Verdana" w:eastAsia="Verdana" w:hAnsi="Verdana" w:cs="Verdana"/>
        </w:rPr>
        <w:t>“están fuera de esta los procesos de selección adjudicados”.</w:t>
      </w:r>
    </w:p>
    <w:p w14:paraId="22F210B5"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En consecuencia, </w:t>
      </w:r>
      <w:r w:rsidRPr="003F6D99">
        <w:rPr>
          <w:rFonts w:ascii="Verdana" w:eastAsia="Verdana" w:hAnsi="Verdana" w:cs="Verdana"/>
        </w:rPr>
        <w:t>los contratos meramente adjudicados antes de la presentación de la oferta, pero que no se encuentren perfeccionados, no deben ser incluidos en el cálculo del SCE.</w:t>
      </w:r>
      <w:r w:rsidRPr="00F546B3">
        <w:rPr>
          <w:rFonts w:ascii="Verdana" w:eastAsia="Verdana" w:hAnsi="Verdana" w:cs="Verdana"/>
        </w:rPr>
        <w:t xml:space="preserve"> Por el contrario, si antes de la presentación de la oferta el contrato ya se encontraba perfeccionado y constituye una obligación del proponente para ejecutar obras civiles, deberá ser informado y considerado en la determinación de la Capacidad Residual, aun cuando no cuente con acta de inicio.</w:t>
      </w:r>
    </w:p>
    <w:p w14:paraId="3B77AB2C"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Lo anterior también permite resolver el segundo interrogante. Los contratos perfeccionados que no tengan acta de inicio deben ser relacionados en los formatos correspondientes, pues la metodología expresamente contempla dentro de los contratos en ejecución aquellos que no cuentan con acta de inicio. El Concepto </w:t>
      </w:r>
      <w:r w:rsidRPr="00221513">
        <w:rPr>
          <w:rFonts w:ascii="Verdana" w:eastAsia="Verdana" w:hAnsi="Verdana" w:cs="Verdana"/>
        </w:rPr>
        <w:t>C-653 de 2025</w:t>
      </w:r>
      <w:r w:rsidRPr="00F546B3">
        <w:rPr>
          <w:rFonts w:ascii="Verdana" w:eastAsia="Verdana" w:hAnsi="Verdana" w:cs="Verdana"/>
        </w:rPr>
        <w:t xml:space="preserve"> fue claro al indicar que los contratos sin acta de inicio deben ser considerados, mientras que el Concepto </w:t>
      </w:r>
      <w:r w:rsidRPr="00221513">
        <w:rPr>
          <w:rFonts w:ascii="Verdana" w:eastAsia="Verdana" w:hAnsi="Verdana" w:cs="Verdana"/>
        </w:rPr>
        <w:t xml:space="preserve">C-132 de 2026 </w:t>
      </w:r>
      <w:r w:rsidRPr="00F546B3">
        <w:rPr>
          <w:rFonts w:ascii="Verdana" w:eastAsia="Verdana" w:hAnsi="Verdana" w:cs="Verdana"/>
        </w:rPr>
        <w:t>reiteró que la definición comprende los contratos perfeccionados, aunque “estén suspendidos o no tengan acta de inicio”.</w:t>
      </w:r>
    </w:p>
    <w:p w14:paraId="78EE9265"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Sin embargo, debe efectuarse una precisión respecto de la fecha que debe registrarse en el formato. La circunstancia de que un contrato sin acta de inicio deba ser considerado para efectos del SCE </w:t>
      </w:r>
      <w:r w:rsidRPr="00221513">
        <w:rPr>
          <w:rFonts w:ascii="Verdana" w:eastAsia="Verdana" w:hAnsi="Verdana" w:cs="Verdana"/>
        </w:rPr>
        <w:t>no significa que automáticamente deba utilizarse la fecha de suscripción o perfeccionamiento como fecha de inicio de las obras</w:t>
      </w:r>
      <w:r w:rsidRPr="00F546B3">
        <w:rPr>
          <w:rFonts w:ascii="Verdana" w:eastAsia="Verdana" w:hAnsi="Verdana" w:cs="Verdana"/>
        </w:rPr>
        <w:t>. La Guía exige reportar, entre otros datos, la “fecha de inicio de las obras objeto del contrato”. Por ello, debe diferenciarse entre la fecha de perfeccionamiento del contrato —que determina la existencia del vínculo contractual— y la fecha de inicio de las obras —que constituye un elemento para la aplicación de la metodología de cálculo del SCE—.</w:t>
      </w:r>
    </w:p>
    <w:p w14:paraId="73731D9B"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Así las cosas, cuando un contrato se encuentra perfeccionado, pero no tiene acta de inicio, el proponente debe reportarlo como contrato que debe ser considerado para efectos de la Capacidad Residual, pero la fecha de inicio que </w:t>
      </w:r>
      <w:r w:rsidRPr="00F546B3">
        <w:rPr>
          <w:rFonts w:ascii="Verdana" w:eastAsia="Verdana" w:hAnsi="Verdana" w:cs="Verdana"/>
        </w:rPr>
        <w:lastRenderedPageBreak/>
        <w:t xml:space="preserve">se registre deberá corresponder a aquella que resulte jurídicamente aplicable conforme a las condiciones pactadas en el contrato y sus documentos integrantes. </w:t>
      </w:r>
    </w:p>
    <w:p w14:paraId="2243B953"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R</w:t>
      </w:r>
      <w:r w:rsidRPr="00F546B3">
        <w:rPr>
          <w:rFonts w:ascii="Verdana" w:eastAsia="Verdana" w:hAnsi="Verdana" w:cs="Verdana"/>
        </w:rPr>
        <w:t>especto de los contratos que se adjudican o perfeccionan después de la presentación de la oferta, debe distinguirse nuevamente entre la adjudicación y el perfeccionamiento. Si después de presentada la oferta el proponente resulta simplemente adjudicatario de otro proceso, pero el contrato no se ha perfeccionado, no existe todavía un contrato de obra civil que deba ser incluido como contrato en ejecución para efectos del SCE.</w:t>
      </w:r>
    </w:p>
    <w:p w14:paraId="1B295BED"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 xml:space="preserve">No obstante, si antes </w:t>
      </w:r>
      <w:r w:rsidRPr="00221513">
        <w:rPr>
          <w:rFonts w:ascii="Verdana" w:eastAsia="Verdana" w:hAnsi="Verdana" w:cs="Verdana"/>
        </w:rPr>
        <w:t xml:space="preserve">del cierre del proceso de contratación se perfecciona un nuevo contrato que obligue al proponente a ejecutar obras civiles, este debe ser informado a la Entidad Estatal en los términos establecidos en los documentos del proceso. Esta precisión resulta particularmente importante </w:t>
      </w:r>
      <w:r>
        <w:rPr>
          <w:rFonts w:ascii="Verdana" w:eastAsia="Verdana" w:hAnsi="Verdana" w:cs="Verdana"/>
        </w:rPr>
        <w:t xml:space="preserve">toda vez que </w:t>
      </w:r>
      <w:r w:rsidRPr="00221513">
        <w:rPr>
          <w:rFonts w:ascii="Verdana" w:eastAsia="Verdana" w:hAnsi="Verdana" w:cs="Verdana"/>
        </w:rPr>
        <w:t>el Concepto C-132 de 2026</w:t>
      </w:r>
      <w:r w:rsidRPr="00F546B3">
        <w:rPr>
          <w:rFonts w:ascii="Verdana" w:eastAsia="Verdana" w:hAnsi="Verdana" w:cs="Verdana"/>
        </w:rPr>
        <w:t xml:space="preserve"> analizó expresamente el supuesto en que el proponente presenta su oferta antes de la fecha de cierre y, posteriormente, adquiere un nuevo compromiso contractual. Al respecto, señaló que:</w:t>
      </w:r>
      <w:r>
        <w:rPr>
          <w:rFonts w:ascii="Verdana" w:eastAsia="Verdana" w:hAnsi="Verdana" w:cs="Verdana"/>
        </w:rPr>
        <w:t xml:space="preserve"> </w:t>
      </w:r>
      <w:r w:rsidRPr="00F546B3">
        <w:rPr>
          <w:rFonts w:ascii="Verdana" w:eastAsia="Verdana" w:hAnsi="Verdana" w:cs="Verdana"/>
        </w:rPr>
        <w:t>“En el caso de que el proponente presente la oferta con antelación a la fecha de cierre, informando los contratos que hasta entonces esté ejecutando, pero antes de la fecha de cierre comienza a ejecutar otro nuevo, está en la obligación de reportarlo a la entidad”.</w:t>
      </w:r>
    </w:p>
    <w:p w14:paraId="1CB86479"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La razón de esta regla consiste en que la Capacidad Residual debe ser determinada con base en la totalidad de los compromisos contractuales que jurídicamente afectan la capacidad del proponente en el momento relevante del procedimiento. En consecuencia, el hecho de que inicialmente se haya presentado la oferta no permite al proponente omitir un contrato que posteriormente, pero antes del cierre, haya adquirido la condición de contrato que debe ser considerado para efectos del SCE.</w:t>
      </w:r>
    </w:p>
    <w:p w14:paraId="68F33379" w14:textId="77777777" w:rsidR="00B041C0" w:rsidRPr="00F546B3" w:rsidRDefault="00B041C0" w:rsidP="00B041C0">
      <w:pPr>
        <w:spacing w:after="120" w:line="276" w:lineRule="auto"/>
        <w:jc w:val="both"/>
        <w:rPr>
          <w:rFonts w:ascii="Verdana" w:eastAsia="Verdana" w:hAnsi="Verdana" w:cs="Verdana"/>
        </w:rPr>
      </w:pPr>
      <w:r>
        <w:rPr>
          <w:rFonts w:ascii="Verdana" w:eastAsia="Verdana" w:hAnsi="Verdana" w:cs="Verdana"/>
        </w:rPr>
        <w:t xml:space="preserve">        </w:t>
      </w:r>
      <w:r w:rsidRPr="00F546B3">
        <w:rPr>
          <w:rFonts w:ascii="Verdana" w:eastAsia="Verdana" w:hAnsi="Verdana" w:cs="Verdana"/>
        </w:rPr>
        <w:t>En este punto también resulta relevante el Concepto</w:t>
      </w:r>
      <w:r w:rsidRPr="00221513">
        <w:rPr>
          <w:rFonts w:ascii="Verdana" w:eastAsia="Verdana" w:hAnsi="Verdana" w:cs="Verdana"/>
        </w:rPr>
        <w:t xml:space="preserve"> C-1438 de 2025, que explicó que la causal de rechazo prevista en los Documentos Tipo opera cuando el proponente “no informa todos los contratos que tiene en ejecución antes del cierre”. La Agencia precisó que, por ejemplo, si el contratista tiene diez contratos en ejecución y únicamente reporta nueve, se configura la situación prevista en dicha causal.</w:t>
      </w:r>
    </w:p>
    <w:p w14:paraId="550A87AA" w14:textId="77777777" w:rsidR="00B041C0" w:rsidRPr="00F546B3" w:rsidRDefault="00B041C0" w:rsidP="00B041C0">
      <w:pPr>
        <w:spacing w:after="120" w:line="276" w:lineRule="auto"/>
        <w:ind w:firstLine="708"/>
        <w:jc w:val="both"/>
        <w:rPr>
          <w:rFonts w:ascii="Verdana" w:eastAsia="Verdana" w:hAnsi="Verdana" w:cs="Verdana"/>
        </w:rPr>
      </w:pPr>
      <w:r w:rsidRPr="00F546B3">
        <w:rPr>
          <w:rFonts w:ascii="Verdana" w:eastAsia="Verdana" w:hAnsi="Verdana" w:cs="Verdana"/>
        </w:rPr>
        <w:lastRenderedPageBreak/>
        <w:t xml:space="preserve">Por tanto, el criterio para establecer qué contratos deben ser relacionados para efectos de la Capacidad Residual </w:t>
      </w:r>
      <w:r w:rsidRPr="00221513">
        <w:rPr>
          <w:rFonts w:ascii="Verdana" w:eastAsia="Verdana" w:hAnsi="Verdana" w:cs="Verdana"/>
        </w:rPr>
        <w:t>no es la fecha de adjudicación del contrato ni, de manera aislada, la existencia del acta de inicio</w:t>
      </w:r>
      <w:r w:rsidRPr="00F546B3">
        <w:rPr>
          <w:rFonts w:ascii="Verdana" w:eastAsia="Verdana" w:hAnsi="Verdana" w:cs="Verdana"/>
        </w:rPr>
        <w:t>, sino la existencia de un contrato perfeccionado que obligue jurídicamente al proponente a ejecutar obras civiles, atendiendo al momento temporal que resulte aplicable conforme a la Ley, el Decreto 1082 de 2015, la Guía de Capacidad Residual y los Documentos Tipo que rijan el respectivo proceso.</w:t>
      </w:r>
    </w:p>
    <w:p w14:paraId="10037561" w14:textId="77777777" w:rsidR="00B041C0" w:rsidRDefault="00B041C0" w:rsidP="00B041C0">
      <w:pPr>
        <w:spacing w:after="12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6FBABDF0" w14:textId="77777777" w:rsidR="00B041C0" w:rsidRDefault="00B041C0" w:rsidP="00B041C0">
      <w:pPr>
        <w:pStyle w:val="Sinespaciado"/>
        <w:spacing w:line="276" w:lineRule="auto"/>
        <w:jc w:val="both"/>
        <w:rPr>
          <w:rFonts w:ascii="Verdana" w:hAnsi="Verdana" w:cs="Arial"/>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6A1586C3" w14:textId="77777777" w:rsidR="00B041C0" w:rsidRPr="00382A33" w:rsidRDefault="00B041C0" w:rsidP="00B041C0">
      <w:pPr>
        <w:spacing w:after="0" w:line="276" w:lineRule="auto"/>
        <w:ind w:firstLine="360"/>
        <w:contextualSpacing/>
        <w:jc w:val="both"/>
        <w:rPr>
          <w:rFonts w:ascii="Verdana" w:eastAsia="Verdana" w:hAnsi="Verdana" w:cs="Verdana"/>
        </w:rPr>
      </w:pPr>
    </w:p>
    <w:p w14:paraId="56DFDA4E" w14:textId="77777777" w:rsidR="00B041C0" w:rsidRPr="0015699B" w:rsidRDefault="00B041C0" w:rsidP="00B041C0">
      <w:pPr>
        <w:spacing w:after="0" w:line="276" w:lineRule="auto"/>
        <w:ind w:firstLine="357"/>
        <w:jc w:val="both"/>
        <w:rPr>
          <w:rFonts w:ascii="Verdana" w:eastAsia="Verdana" w:hAnsi="Verdana" w:cs="Verdana"/>
          <w:lang w:val="es"/>
        </w:rPr>
      </w:pPr>
      <w:r>
        <w:rPr>
          <w:rFonts w:ascii="Verdana" w:hAnsi="Verdana"/>
        </w:rPr>
        <w:t xml:space="preserve">      </w:t>
      </w:r>
      <w:r w:rsidRPr="39124533">
        <w:rPr>
          <w:rFonts w:ascii="Verdana" w:eastAsia="Verdana" w:hAnsi="Verdana" w:cs="Verdana"/>
          <w:lang w:val="es"/>
        </w:rPr>
        <w:t xml:space="preserve"> </w:t>
      </w:r>
    </w:p>
    <w:p w14:paraId="64C6B8A7" w14:textId="77777777" w:rsidR="00B041C0" w:rsidRPr="0015699B" w:rsidRDefault="00B041C0" w:rsidP="00B041C0">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36A6C219" w14:textId="77777777" w:rsidR="00B041C0" w:rsidRPr="0015699B" w:rsidRDefault="00B041C0" w:rsidP="00B041C0">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B041C0" w14:paraId="0D83CB83" w14:textId="77777777" w:rsidTr="00F9429A">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36711458" w14:textId="77777777" w:rsidR="00B041C0" w:rsidRPr="004F4A59" w:rsidRDefault="00B041C0" w:rsidP="00B041C0">
            <w:pPr>
              <w:pStyle w:val="NormalWeb"/>
              <w:numPr>
                <w:ilvl w:val="0"/>
                <w:numId w:val="17"/>
              </w:numPr>
              <w:spacing w:before="0" w:beforeAutospacing="0" w:after="0" w:afterAutospacing="0" w:line="276" w:lineRule="auto"/>
              <w:jc w:val="both"/>
              <w:rPr>
                <w:rFonts w:ascii="Verdana" w:hAnsi="Verdana" w:cs="Arial"/>
                <w:color w:val="000000" w:themeColor="text1"/>
                <w:sz w:val="22"/>
                <w:szCs w:val="22"/>
              </w:rPr>
            </w:pPr>
            <w:r w:rsidRPr="004F4A59">
              <w:rPr>
                <w:rFonts w:ascii="Verdana" w:eastAsia="Arial" w:hAnsi="Verdana" w:cs="Arial"/>
                <w:sz w:val="22"/>
                <w:szCs w:val="22"/>
              </w:rPr>
              <w:t xml:space="preserve">Ley 1150 de 2007. Artículo 6. </w:t>
            </w:r>
          </w:p>
          <w:p w14:paraId="2B2656F3" w14:textId="77777777" w:rsidR="00B041C0" w:rsidRPr="004F4A59" w:rsidRDefault="00B041C0" w:rsidP="00B041C0">
            <w:pPr>
              <w:pStyle w:val="NormalWeb"/>
              <w:numPr>
                <w:ilvl w:val="0"/>
                <w:numId w:val="17"/>
              </w:numPr>
              <w:spacing w:before="0" w:beforeAutospacing="0" w:after="0" w:afterAutospacing="0" w:line="276" w:lineRule="auto"/>
              <w:jc w:val="both"/>
              <w:rPr>
                <w:rFonts w:ascii="Verdana" w:hAnsi="Verdana" w:cs="Arial"/>
                <w:color w:val="000000" w:themeColor="text1"/>
                <w:sz w:val="22"/>
                <w:szCs w:val="22"/>
              </w:rPr>
            </w:pPr>
            <w:r w:rsidRPr="004F4A59">
              <w:rPr>
                <w:rFonts w:ascii="Verdana" w:eastAsia="Arial" w:hAnsi="Verdana" w:cs="Arial"/>
                <w:sz w:val="22"/>
                <w:szCs w:val="22"/>
              </w:rPr>
              <w:t xml:space="preserve">Ley 1682 de 2013. </w:t>
            </w:r>
            <w:r w:rsidRPr="004F4A59">
              <w:rPr>
                <w:rFonts w:ascii="Verdana" w:hAnsi="Verdana" w:cs="Arial"/>
                <w:color w:val="000000" w:themeColor="text1"/>
                <w:sz w:val="22"/>
                <w:szCs w:val="22"/>
              </w:rPr>
              <w:t xml:space="preserve"> Artículo 3</w:t>
            </w:r>
            <w:r>
              <w:rPr>
                <w:rFonts w:ascii="Verdana" w:hAnsi="Verdana" w:cs="Arial"/>
                <w:color w:val="000000" w:themeColor="text1"/>
                <w:sz w:val="22"/>
                <w:szCs w:val="22"/>
              </w:rPr>
              <w:t xml:space="preserve"> y </w:t>
            </w:r>
            <w:r w:rsidRPr="004F4A59">
              <w:rPr>
                <w:rFonts w:ascii="Verdana" w:eastAsia="Arial" w:hAnsi="Verdana" w:cs="Arial"/>
                <w:sz w:val="22"/>
                <w:szCs w:val="22"/>
              </w:rPr>
              <w:t>72.</w:t>
            </w:r>
          </w:p>
          <w:p w14:paraId="78E28017" w14:textId="77777777" w:rsidR="00B041C0" w:rsidRDefault="00B041C0" w:rsidP="00B041C0">
            <w:pPr>
              <w:pStyle w:val="NormalWeb"/>
              <w:numPr>
                <w:ilvl w:val="0"/>
                <w:numId w:val="17"/>
              </w:numPr>
              <w:spacing w:before="0" w:beforeAutospacing="0" w:after="0" w:afterAutospacing="0" w:line="276" w:lineRule="auto"/>
              <w:jc w:val="both"/>
              <w:rPr>
                <w:rFonts w:ascii="Verdana" w:hAnsi="Verdana" w:cs="Arial"/>
                <w:color w:val="000000" w:themeColor="text1"/>
                <w:sz w:val="22"/>
                <w:szCs w:val="22"/>
              </w:rPr>
            </w:pPr>
            <w:r w:rsidRPr="004F4A59">
              <w:rPr>
                <w:rFonts w:ascii="Verdana" w:hAnsi="Verdana" w:cs="Arial"/>
                <w:color w:val="000000" w:themeColor="text1"/>
                <w:sz w:val="22"/>
                <w:szCs w:val="22"/>
              </w:rPr>
              <w:t xml:space="preserve">Decreto 1082 de 2015. Artículos 2.2.1.1.1.3.1, </w:t>
            </w:r>
            <w:r w:rsidRPr="004F4A59">
              <w:rPr>
                <w:rFonts w:ascii="Verdana" w:eastAsia="Calibri" w:hAnsi="Verdana" w:cs="Arial"/>
                <w:bCs/>
                <w:sz w:val="22"/>
                <w:szCs w:val="22"/>
                <w:lang w:eastAsia="es-ES_tradnl"/>
              </w:rPr>
              <w:t>2.2.1.1.1.5.1.</w:t>
            </w:r>
            <w:r>
              <w:rPr>
                <w:rFonts w:ascii="Verdana" w:eastAsia="Calibri" w:hAnsi="Verdana" w:cs="Arial"/>
                <w:bCs/>
                <w:sz w:val="22"/>
                <w:szCs w:val="22"/>
                <w:lang w:eastAsia="es-ES_tradnl"/>
              </w:rPr>
              <w:t xml:space="preserve">, </w:t>
            </w:r>
            <w:r w:rsidRPr="004F4A59">
              <w:rPr>
                <w:rFonts w:ascii="Verdana" w:hAnsi="Verdana" w:cs="Arial"/>
                <w:color w:val="000000" w:themeColor="text1"/>
                <w:sz w:val="22"/>
                <w:szCs w:val="22"/>
              </w:rPr>
              <w:t>2.2.1.1.1.6.4.</w:t>
            </w:r>
          </w:p>
          <w:p w14:paraId="2458EE10" w14:textId="77777777" w:rsidR="00B041C0" w:rsidRPr="00751AA3" w:rsidRDefault="00B041C0" w:rsidP="00B041C0">
            <w:pPr>
              <w:pStyle w:val="Prrafodelista"/>
              <w:numPr>
                <w:ilvl w:val="0"/>
                <w:numId w:val="17"/>
              </w:numPr>
              <w:jc w:val="both"/>
              <w:rPr>
                <w:rFonts w:ascii="Verdana" w:hAnsi="Verdana"/>
              </w:rPr>
            </w:pPr>
            <w:r w:rsidRPr="00751AA3">
              <w:rPr>
                <w:rFonts w:ascii="Verdana" w:hAnsi="Verdana"/>
              </w:rPr>
              <w:t>Consejo de Estado. Sala de lo Contencioso Administrativo. Sección Tercera. Sentencia del 27 de abril de 2011. Exp. 18.293. C.P. Ruth Stella Correa Palacio.</w:t>
            </w:r>
          </w:p>
          <w:p w14:paraId="02B1B176" w14:textId="77777777" w:rsidR="00B041C0" w:rsidRPr="00751AA3" w:rsidRDefault="00B041C0" w:rsidP="00B041C0">
            <w:pPr>
              <w:pStyle w:val="Prrafodelista"/>
              <w:numPr>
                <w:ilvl w:val="0"/>
                <w:numId w:val="17"/>
              </w:numPr>
              <w:jc w:val="both"/>
              <w:rPr>
                <w:rFonts w:ascii="Verdana" w:hAnsi="Verdana"/>
              </w:rPr>
            </w:pPr>
            <w:r w:rsidRPr="00751AA3">
              <w:rPr>
                <w:rFonts w:ascii="Verdana" w:hAnsi="Verdana"/>
              </w:rPr>
              <w:lastRenderedPageBreak/>
              <w:t>Consejo de Estado. Sala de lo Contencioso Administrativo, Sección Tercera. Sentencia del 21 de noviembre de 2013 Exp. 25397. C.P. Carlos Alberto Zambrano Barrera.</w:t>
            </w:r>
          </w:p>
          <w:p w14:paraId="75F1A094" w14:textId="77777777" w:rsidR="00B041C0" w:rsidRPr="00751AA3" w:rsidRDefault="00B041C0" w:rsidP="00B041C0">
            <w:pPr>
              <w:pStyle w:val="Prrafodelista"/>
              <w:numPr>
                <w:ilvl w:val="0"/>
                <w:numId w:val="17"/>
              </w:numPr>
              <w:jc w:val="both"/>
              <w:rPr>
                <w:rFonts w:ascii="Verdana" w:hAnsi="Verdana" w:cs="Arial"/>
                <w:color w:val="000000" w:themeColor="text1"/>
              </w:rPr>
            </w:pPr>
            <w:hyperlink r:id="rId12" w:history="1">
              <w:r w:rsidRPr="00213561">
                <w:rPr>
                  <w:rStyle w:val="Hipervnculo"/>
                  <w:rFonts w:ascii="Verdana" w:hAnsi="Verdana"/>
                </w:rPr>
                <w:t>https://www.colombiacompra.gov.co/archivos/manual/guia-para-determinar-y-verificar-la-capacidad-residual-del-proponente-en-los-procesos-de-contratacion-de-obra-publica</w:t>
              </w:r>
            </w:hyperlink>
          </w:p>
          <w:p w14:paraId="51AA4E1F" w14:textId="77777777" w:rsidR="00B041C0" w:rsidRPr="003D5882" w:rsidRDefault="00B041C0" w:rsidP="00F9429A">
            <w:pPr>
              <w:pStyle w:val="Prrafodelista"/>
              <w:spacing w:line="276" w:lineRule="auto"/>
              <w:jc w:val="both"/>
              <w:rPr>
                <w:rFonts w:ascii="Verdana" w:eastAsia="Verdana" w:hAnsi="Verdana" w:cs="Verdana"/>
                <w:lang w:val="es"/>
              </w:rPr>
            </w:pPr>
          </w:p>
        </w:tc>
      </w:tr>
    </w:tbl>
    <w:p w14:paraId="142328AD" w14:textId="77777777" w:rsidR="00B041C0" w:rsidRPr="0015699B" w:rsidRDefault="00B041C0" w:rsidP="00B041C0">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lastRenderedPageBreak/>
        <w:t xml:space="preserve"> </w:t>
      </w:r>
    </w:p>
    <w:p w14:paraId="23DC1E49" w14:textId="77777777" w:rsidR="00B041C0" w:rsidRPr="003D5882" w:rsidRDefault="00B041C0" w:rsidP="00B041C0">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4E829B27" w14:textId="77777777" w:rsidR="00B041C0" w:rsidRPr="003D5882" w:rsidRDefault="00B041C0" w:rsidP="00B041C0">
      <w:pPr>
        <w:pStyle w:val="Prrafodelista"/>
        <w:spacing w:before="1" w:after="0" w:line="240" w:lineRule="auto"/>
        <w:jc w:val="both"/>
        <w:textAlignment w:val="baseline"/>
        <w:rPr>
          <w:rFonts w:ascii="Verdana" w:eastAsia="Verdana" w:hAnsi="Verdana" w:cs="Verdana"/>
          <w:b/>
          <w:bCs/>
          <w:lang w:val="es"/>
        </w:rPr>
      </w:pPr>
    </w:p>
    <w:p w14:paraId="03870FB2" w14:textId="77777777" w:rsidR="00B041C0" w:rsidRPr="005510A2" w:rsidRDefault="00B041C0" w:rsidP="00B041C0">
      <w:pPr>
        <w:spacing w:after="0" w:line="276" w:lineRule="auto"/>
        <w:jc w:val="both"/>
        <w:rPr>
          <w:rStyle w:val="normaltextrun"/>
          <w:rFonts w:ascii="Verdana" w:hAnsi="Verdana" w:cs="Arial"/>
          <w:bCs/>
          <w:shd w:val="clear" w:color="auto" w:fill="FFFFFF"/>
        </w:rPr>
      </w:pPr>
      <w:r w:rsidRPr="00E2182C">
        <w:rPr>
          <w:rFonts w:ascii="Verdana" w:eastAsia="Calibri" w:hAnsi="Verdana" w:cs="Arial"/>
          <w:shd w:val="clear" w:color="auto" w:fill="FFFFFF"/>
          <w:lang w:val="es-ES"/>
        </w:rPr>
        <w:t>La Agencia Nacional de Contratación Pública – Colombia Compra Eficiente se pronunció</w:t>
      </w:r>
      <w:r w:rsidRPr="00E2182C">
        <w:rPr>
          <w:rFonts w:ascii="Aptos" w:eastAsia="Aptos" w:hAnsi="Aptos" w:cs="Times New Roman"/>
        </w:rPr>
        <w:t xml:space="preserve"> </w:t>
      </w:r>
      <w:r w:rsidRPr="00E2182C">
        <w:rPr>
          <w:rFonts w:ascii="Verdana" w:eastAsia="Calibri" w:hAnsi="Verdana" w:cs="Arial"/>
          <w:shd w:val="clear" w:color="auto" w:fill="FFFFFF"/>
          <w:lang w:val="es-ES"/>
        </w:rPr>
        <w:t>sobre la capacidad residual y la forma como esta se debe acreditar, en los conceptos 2201913000006275 del 27 de agosto de 2019, 2201913000009465 del 20 de diciembre de 2019, 2201913000009642 y 2201913000009640 del 26 de diciembre de 2019; así como en los conceptos C–022 del 20 de febrero de 2020, C–089 del 4 de marzo de 2020, C–112 del 16 de marzo de 2020, C–133 del 25 de marzo de 2020, C–194 del 21 de abril de 2020, C–326 del 9 de junio de 2020, C–446 del 6 de julio de 2020, C-461 del 13 de julio de 2020, C–668 del 20 de noviembre de 2020, C–742 del 16 de diciembre de 2020, C–045 del 5 de marzo de 2021, C–003 del 26 de marzo de 2021, C–121 del 31 de marzo de 2021, C–143 del 9 de abril de 2021, C–202 del 7 de mayo de 2021, C–219 del 19 de mayo de 2021, C–368 del 28 de julio de 2021, C–392 del 5 de agosto de 2021, C–513 del 23 de septiembre de 2021, C–590 del 12 de octubre de 2021, C-068 del 9 de marzo de 2022, C-220 del 22 de abril de 2022, C-351 del 23 de mayo de 2022, C-392 del 16 de junio de 2022, C-411 del 4 de diciembre de 2023</w:t>
      </w:r>
      <w:r>
        <w:rPr>
          <w:rFonts w:ascii="Verdana" w:eastAsia="Calibri" w:hAnsi="Verdana" w:cs="Arial"/>
          <w:shd w:val="clear" w:color="auto" w:fill="FFFFFF"/>
          <w:lang w:val="es-ES"/>
        </w:rPr>
        <w:t>, C-486 del 29 de mayo de 2025</w:t>
      </w:r>
      <w:r>
        <w:rPr>
          <w:rFonts w:ascii="Verdana" w:eastAsia="Calibri" w:hAnsi="Verdana" w:cs="Arial"/>
          <w:lang w:val="es-ES_tradnl" w:eastAsia="es-ES_tradnl"/>
        </w:rPr>
        <w:t xml:space="preserve"> y </w:t>
      </w:r>
      <w:r w:rsidRPr="003F6D99">
        <w:rPr>
          <w:rFonts w:ascii="Verdana" w:eastAsia="Verdana" w:hAnsi="Verdana" w:cs="Verdana"/>
        </w:rPr>
        <w:t>C-132 de</w:t>
      </w:r>
      <w:r>
        <w:rPr>
          <w:rFonts w:ascii="Verdana" w:eastAsia="Verdana" w:hAnsi="Verdana" w:cs="Verdana"/>
        </w:rPr>
        <w:t>l 18 de febrero de</w:t>
      </w:r>
      <w:r w:rsidRPr="003F6D99">
        <w:rPr>
          <w:rFonts w:ascii="Verdana" w:eastAsia="Verdana" w:hAnsi="Verdana" w:cs="Verdana"/>
        </w:rPr>
        <w:t xml:space="preserve"> 2026 </w:t>
      </w:r>
      <w:r w:rsidRPr="005510A2">
        <w:rPr>
          <w:rFonts w:ascii="Verdana" w:eastAsia="Calibri" w:hAnsi="Verdana" w:cs="Arial"/>
          <w:lang w:val="es-ES_tradnl" w:eastAsia="es-ES_tradnl"/>
        </w:rPr>
        <w:t>entre otros</w:t>
      </w:r>
      <w:r w:rsidRPr="005510A2">
        <w:rPr>
          <w:rFonts w:ascii="Verdana" w:eastAsia="Calibri" w:hAnsi="Verdana" w:cs="Arial"/>
        </w:rPr>
        <w:t xml:space="preserve">. </w:t>
      </w:r>
      <w:r w:rsidRPr="005510A2">
        <w:rPr>
          <w:rStyle w:val="normaltextrun"/>
          <w:rFonts w:ascii="Verdana" w:hAnsi="Verdana" w:cs="Arial"/>
          <w:shd w:val="clear" w:color="auto" w:fill="FFFFFF"/>
          <w:lang w:val="es-ES"/>
        </w:rPr>
        <w:t>Es</w:t>
      </w:r>
      <w:r w:rsidRPr="005510A2">
        <w:rPr>
          <w:rFonts w:ascii="Verdana" w:hAnsi="Verdana"/>
        </w:rPr>
        <w:t>tos y otros conceptos se encuentran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3" w:history="1">
        <w:r w:rsidRPr="00F766A3">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6F71E20C" w14:textId="77777777" w:rsidR="00B041C0" w:rsidRDefault="00B041C0" w:rsidP="00B041C0">
      <w:pPr>
        <w:spacing w:after="0" w:line="276" w:lineRule="auto"/>
        <w:jc w:val="both"/>
        <w:textAlignment w:val="baseline"/>
        <w:rPr>
          <w:rFonts w:ascii="Verdana" w:eastAsia="Verdana" w:hAnsi="Verdana" w:cs="Verdana"/>
        </w:rPr>
      </w:pPr>
    </w:p>
    <w:p w14:paraId="7EF9E403" w14:textId="77777777" w:rsidR="00B041C0" w:rsidRPr="00010A5F" w:rsidRDefault="00B041C0" w:rsidP="00B041C0">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Estos se encuentran disponibles para consulta en el Sistema de relatoría de la Agencia, al cual puede accederse a través del siguiente enlace:</w:t>
      </w:r>
      <w:hyperlink r:id="rId14">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53AD3875" w14:textId="77777777" w:rsidR="00B041C0" w:rsidRDefault="00B041C0" w:rsidP="00B041C0">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375BB39A" w14:textId="77777777" w:rsidR="00B041C0" w:rsidRDefault="00B041C0" w:rsidP="00B041C0">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w:t>
      </w:r>
      <w:r w:rsidRPr="054CF0A3">
        <w:rPr>
          <w:rFonts w:ascii="Verdana" w:eastAsia="Verdana" w:hAnsi="Verdana" w:cs="Verdana"/>
          <w:color w:val="000000" w:themeColor="text1"/>
        </w:rPr>
        <w:lastRenderedPageBreak/>
        <w:t xml:space="preserve">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r w:rsidRPr="054CF0A3">
          <w:rPr>
            <w:rStyle w:val="Hipervnculo"/>
            <w:rFonts w:ascii="Verdana" w:eastAsia="Verdana" w:hAnsi="Verdana" w:cs="Verdana"/>
            <w:color w:val="000000" w:themeColor="text1"/>
          </w:rPr>
          <w:t>https://www.colombiacompra.gov.co/archivos/manual/guia-de-garantias-en-procesos-de-contratacion</w:t>
        </w:r>
      </w:hyperlink>
    </w:p>
    <w:p w14:paraId="5405DF47" w14:textId="77777777" w:rsidR="00B041C0" w:rsidRDefault="00B041C0" w:rsidP="00B041C0">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6">
        <w:r w:rsidRPr="054CF0A3">
          <w:rPr>
            <w:rStyle w:val="Hipervnculo"/>
            <w:rFonts w:ascii="Verdana" w:eastAsia="Verdana" w:hAnsi="Verdana" w:cs="Verdana"/>
            <w:color w:val="000000" w:themeColor="text1"/>
          </w:rPr>
          <w:t>https://www.colombiacompra.gov.co/archivos/circular/circular-externa-003-de-2026</w:t>
        </w:r>
      </w:hyperlink>
    </w:p>
    <w:p w14:paraId="005399D0" w14:textId="77777777" w:rsidR="00B041C0" w:rsidRDefault="00B041C0" w:rsidP="00B041C0">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r w:rsidRPr="054CF0A3">
          <w:rPr>
            <w:rStyle w:val="Hipervnculo"/>
            <w:rFonts w:ascii="Verdana" w:eastAsia="Verdana" w:hAnsi="Verdana" w:cs="Verdana"/>
            <w:color w:val="000000" w:themeColor="text1"/>
          </w:rPr>
          <w:t>https://www.colombiacompra.gov.co/archivos/circular/circular-externa-002-de-2026</w:t>
        </w:r>
      </w:hyperlink>
    </w:p>
    <w:p w14:paraId="22406D12" w14:textId="77777777" w:rsidR="00B041C0" w:rsidRDefault="00B041C0" w:rsidP="00B041C0">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w:t>
      </w:r>
      <w:r w:rsidRPr="054CF0A3">
        <w:rPr>
          <w:rFonts w:ascii="Verdana" w:eastAsia="Verdana" w:hAnsi="Verdana" w:cs="Verdana"/>
          <w:color w:val="000000" w:themeColor="text1"/>
        </w:rPr>
        <w:lastRenderedPageBreak/>
        <w:t xml:space="preserve">Virtual ANCP-CCE. Descárgalo aquí: </w:t>
      </w:r>
      <w:hyperlink r:id="rId18">
        <w:r w:rsidRPr="054CF0A3">
          <w:rPr>
            <w:rStyle w:val="Hipervnculo"/>
            <w:rFonts w:ascii="Verdana" w:eastAsia="Verdana" w:hAnsi="Verdana" w:cs="Verdana"/>
            <w:color w:val="000000" w:themeColor="text1"/>
          </w:rPr>
          <w:t>https://www.colombiacompra.gov.co/archivos/boletin/boletin-edicion-n-3-de-2026-radar-de-la-compra-publica</w:t>
        </w:r>
      </w:hyperlink>
    </w:p>
    <w:p w14:paraId="1CA52156" w14:textId="77777777" w:rsidR="00B041C0" w:rsidRPr="003D5882" w:rsidRDefault="00B041C0" w:rsidP="00B041C0">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05FCA149" w14:textId="77777777" w:rsidR="00B041C0" w:rsidRPr="0015699B" w:rsidRDefault="00B041C0" w:rsidP="00B041C0">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7C4141C" w14:textId="77777777" w:rsidR="00B041C0" w:rsidRPr="0015699B" w:rsidRDefault="00B041C0" w:rsidP="00B041C0">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48443E8D" w14:textId="77777777" w:rsidR="00B041C0" w:rsidRPr="0015699B" w:rsidRDefault="00B041C0" w:rsidP="00B041C0">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t xml:space="preserve">Facebook: </w:t>
      </w:r>
      <w:r w:rsidRPr="40A87941">
        <w:rPr>
          <w:rFonts w:ascii="Verdana" w:eastAsia="Verdana" w:hAnsi="Verdana" w:cs="Verdana"/>
          <w:color w:val="000000" w:themeColor="text1"/>
          <w:u w:val="single"/>
          <w:lang w:val="es-ES"/>
        </w:rPr>
        <w:t>ColombiaCompraEficiente</w:t>
      </w:r>
    </w:p>
    <w:p w14:paraId="7D2092E4" w14:textId="77777777" w:rsidR="00B041C0" w:rsidRPr="0015699B" w:rsidRDefault="00B041C0" w:rsidP="00B041C0">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65B035B4" w14:textId="77777777" w:rsidR="00B041C0" w:rsidRPr="0015699B" w:rsidRDefault="00B041C0" w:rsidP="00B041C0">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409246A" w14:textId="77777777" w:rsidR="00B041C0" w:rsidRPr="0015699B" w:rsidRDefault="00B041C0" w:rsidP="00B041C0">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DC6D12B" w14:textId="77777777" w:rsidR="00B041C0" w:rsidRPr="0015699B" w:rsidRDefault="00B041C0" w:rsidP="00B041C0">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F535695" w14:textId="77777777" w:rsidR="00B041C0" w:rsidRPr="0015699B" w:rsidRDefault="00B041C0" w:rsidP="00B041C0">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2B2D648D" w14:textId="7650BEAB" w:rsidR="00B041C0" w:rsidRDefault="00B041C0" w:rsidP="00B041C0">
      <w:pPr>
        <w:spacing w:after="0" w:line="240" w:lineRule="auto"/>
        <w:ind w:left="2340"/>
        <w:jc w:val="both"/>
        <w:rPr>
          <w:noProof/>
        </w:rPr>
      </w:pPr>
    </w:p>
    <w:p w14:paraId="7564A8BA" w14:textId="77777777" w:rsidR="00B66900" w:rsidRDefault="00B66900" w:rsidP="00B041C0">
      <w:pPr>
        <w:spacing w:after="0" w:line="240" w:lineRule="auto"/>
        <w:ind w:left="2340"/>
        <w:jc w:val="both"/>
        <w:rPr>
          <w:noProof/>
        </w:rPr>
      </w:pPr>
    </w:p>
    <w:p w14:paraId="6DF2BCAA" w14:textId="150D5066" w:rsidR="00B66900" w:rsidRDefault="00B66900" w:rsidP="00B66900">
      <w:pPr>
        <w:spacing w:after="0" w:line="240" w:lineRule="auto"/>
        <w:ind w:left="1843"/>
        <w:jc w:val="both"/>
        <w:rPr>
          <w:noProof/>
        </w:rPr>
      </w:pPr>
      <w:r>
        <w:rPr>
          <w:noProof/>
        </w:rPr>
        <w:drawing>
          <wp:inline distT="0" distB="0" distL="0" distR="0" wp14:anchorId="7F0F70EF" wp14:editId="11BBEEA3">
            <wp:extent cx="3621405" cy="1554606"/>
            <wp:effectExtent l="0" t="0" r="0" b="7620"/>
            <wp:docPr id="15427863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1742" cy="1567629"/>
                    </a:xfrm>
                    <a:prstGeom prst="rect">
                      <a:avLst/>
                    </a:prstGeom>
                    <a:noFill/>
                    <a:ln>
                      <a:noFill/>
                    </a:ln>
                  </pic:spPr>
                </pic:pic>
              </a:graphicData>
            </a:graphic>
          </wp:inline>
        </w:drawing>
      </w:r>
    </w:p>
    <w:p w14:paraId="790AB0FA" w14:textId="77777777" w:rsidR="00B66900" w:rsidRDefault="00B66900" w:rsidP="00B041C0">
      <w:pPr>
        <w:spacing w:after="0" w:line="240" w:lineRule="auto"/>
        <w:ind w:left="2340"/>
        <w:jc w:val="both"/>
      </w:pPr>
    </w:p>
    <w:p w14:paraId="07774793" w14:textId="77777777" w:rsidR="00B041C0" w:rsidRPr="0015699B" w:rsidRDefault="00B041C0" w:rsidP="00B041C0">
      <w:pPr>
        <w:spacing w:line="276" w:lineRule="auto"/>
        <w:jc w:val="center"/>
        <w:textAlignment w:val="baseline"/>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B041C0" w14:paraId="0CB729DE" w14:textId="77777777" w:rsidTr="00F9429A">
        <w:trPr>
          <w:trHeight w:val="315"/>
        </w:trPr>
        <w:tc>
          <w:tcPr>
            <w:tcW w:w="893" w:type="dxa"/>
            <w:tcBorders>
              <w:top w:val="nil"/>
              <w:bottom w:val="nil"/>
              <w:right w:val="nil"/>
            </w:tcBorders>
            <w:tcMar>
              <w:left w:w="108" w:type="dxa"/>
              <w:right w:w="108" w:type="dxa"/>
            </w:tcMar>
            <w:vAlign w:val="center"/>
          </w:tcPr>
          <w:p w14:paraId="0601776C" w14:textId="77777777" w:rsidR="00B041C0" w:rsidRDefault="00B041C0" w:rsidP="00F9429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014F1360" w14:textId="77777777" w:rsidR="00B041C0" w:rsidRDefault="00B041C0" w:rsidP="00F9429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51A6F2A3" w14:textId="77777777" w:rsidR="00B041C0" w:rsidRDefault="00B041C0" w:rsidP="00F9429A">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B041C0" w14:paraId="2BAB28BB" w14:textId="77777777" w:rsidTr="00F9429A">
        <w:trPr>
          <w:trHeight w:val="330"/>
        </w:trPr>
        <w:tc>
          <w:tcPr>
            <w:tcW w:w="893" w:type="dxa"/>
            <w:tcBorders>
              <w:top w:val="nil"/>
              <w:bottom w:val="nil"/>
              <w:right w:val="nil"/>
            </w:tcBorders>
            <w:tcMar>
              <w:left w:w="108" w:type="dxa"/>
              <w:right w:w="108" w:type="dxa"/>
            </w:tcMar>
            <w:vAlign w:val="center"/>
          </w:tcPr>
          <w:p w14:paraId="69CDCFA3" w14:textId="77777777" w:rsidR="00B041C0" w:rsidRDefault="00B041C0" w:rsidP="00F9429A">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17A37D94" w14:textId="77777777" w:rsidR="00B041C0" w:rsidRDefault="00B041C0" w:rsidP="00F9429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Juan David Cardenas Cabeza</w:t>
            </w:r>
          </w:p>
          <w:p w14:paraId="761556AD" w14:textId="77777777" w:rsidR="00B041C0" w:rsidRDefault="00B041C0" w:rsidP="00F9429A">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B041C0" w14:paraId="780A9ADF" w14:textId="77777777" w:rsidTr="00F9429A">
        <w:trPr>
          <w:trHeight w:val="300"/>
        </w:trPr>
        <w:tc>
          <w:tcPr>
            <w:tcW w:w="893" w:type="dxa"/>
            <w:tcBorders>
              <w:top w:val="nil"/>
              <w:bottom w:val="nil"/>
              <w:right w:val="nil"/>
            </w:tcBorders>
            <w:tcMar>
              <w:left w:w="108" w:type="dxa"/>
              <w:right w:w="108" w:type="dxa"/>
            </w:tcMar>
            <w:vAlign w:val="center"/>
          </w:tcPr>
          <w:p w14:paraId="60464767" w14:textId="77777777" w:rsidR="00B041C0" w:rsidRDefault="00B041C0" w:rsidP="00F9429A">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032E2079" w14:textId="77777777" w:rsidR="00B041C0" w:rsidRDefault="00B041C0" w:rsidP="00F9429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Carolina Quintero Gacharná</w:t>
            </w:r>
          </w:p>
          <w:p w14:paraId="1BA08492" w14:textId="77777777" w:rsidR="00B041C0" w:rsidRDefault="00B041C0" w:rsidP="00F9429A">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Contractual ANCP – CCE</w:t>
            </w:r>
          </w:p>
        </w:tc>
      </w:tr>
    </w:tbl>
    <w:p w14:paraId="49E458F1" w14:textId="77777777" w:rsidR="00B041C0" w:rsidRPr="0015699B" w:rsidRDefault="00B041C0" w:rsidP="00B041C0">
      <w:pPr>
        <w:spacing w:line="257" w:lineRule="auto"/>
        <w:jc w:val="both"/>
        <w:textAlignment w:val="baseline"/>
        <w:rPr>
          <w:rFonts w:ascii="Calibri" w:eastAsia="Calibri" w:hAnsi="Calibri" w:cs="Calibri"/>
          <w:lang w:val="es-ES"/>
        </w:rPr>
      </w:pPr>
      <w:r w:rsidRPr="40A87941">
        <w:rPr>
          <w:rFonts w:ascii="Calibri" w:eastAsia="Calibri" w:hAnsi="Calibri" w:cs="Calibri"/>
          <w:lang w:val="es"/>
        </w:rPr>
        <w:t xml:space="preserve"> </w:t>
      </w:r>
    </w:p>
    <w:p w14:paraId="7C9026E2" w14:textId="77777777" w:rsidR="002A0DD0" w:rsidRPr="00B041C0" w:rsidRDefault="002A0DD0" w:rsidP="30821638">
      <w:pPr>
        <w:spacing w:after="0" w:line="240" w:lineRule="auto"/>
        <w:jc w:val="both"/>
        <w:rPr>
          <w:rFonts w:ascii="Verdana" w:eastAsia="Verdana" w:hAnsi="Verdana" w:cs="Verdana"/>
          <w:b/>
          <w:bCs/>
          <w:lang w:val="es-ES"/>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4290C69"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lastRenderedPageBreak/>
        <w:t> </w:t>
      </w:r>
      <w:bookmarkEnd w:id="0"/>
    </w:p>
    <w:sectPr w:rsidR="00C15139" w:rsidRPr="000E2B9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EFFD" w14:textId="77777777" w:rsidR="00035C38" w:rsidRDefault="00035C38" w:rsidP="004A1847">
      <w:pPr>
        <w:spacing w:after="0" w:line="240" w:lineRule="auto"/>
      </w:pPr>
      <w:r>
        <w:separator/>
      </w:r>
    </w:p>
  </w:endnote>
  <w:endnote w:type="continuationSeparator" w:id="0">
    <w:p w14:paraId="747FB0D6" w14:textId="77777777" w:rsidR="00035C38" w:rsidRDefault="00035C3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altName w:val="Arial"/>
    <w:charset w:val="00"/>
    <w:family w:val="auto"/>
    <w:pitch w:val="default"/>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0EEC" w14:textId="77777777" w:rsidR="00035C38" w:rsidRDefault="00035C38" w:rsidP="004A1847">
      <w:pPr>
        <w:spacing w:after="0" w:line="240" w:lineRule="auto"/>
      </w:pPr>
      <w:r>
        <w:separator/>
      </w:r>
    </w:p>
  </w:footnote>
  <w:footnote w:type="continuationSeparator" w:id="0">
    <w:p w14:paraId="54671561" w14:textId="77777777" w:rsidR="00035C38" w:rsidRDefault="00035C38" w:rsidP="004A1847">
      <w:pPr>
        <w:spacing w:after="0" w:line="240" w:lineRule="auto"/>
      </w:pPr>
      <w:r>
        <w:continuationSeparator/>
      </w:r>
    </w:p>
  </w:footnote>
  <w:footnote w:id="1">
    <w:p w14:paraId="3B196DFE" w14:textId="77777777" w:rsidR="00B041C0" w:rsidRPr="001741DD" w:rsidRDefault="00B041C0" w:rsidP="00B041C0">
      <w:pPr>
        <w:pStyle w:val="Textonotapie"/>
        <w:spacing w:after="120"/>
        <w:ind w:firstLine="709"/>
        <w:jc w:val="both"/>
        <w:rPr>
          <w:rFonts w:ascii="Verdana" w:hAnsi="Verdana" w:cs="Arial"/>
          <w:color w:val="000000"/>
          <w:sz w:val="18"/>
          <w:szCs w:val="18"/>
          <w:lang w:val="es-CO"/>
        </w:rPr>
      </w:pPr>
      <w:r w:rsidRPr="001741DD">
        <w:rPr>
          <w:rFonts w:ascii="Verdana" w:eastAsia="Calibri" w:hAnsi="Verdana" w:cs="Arial"/>
          <w:color w:val="000000"/>
          <w:sz w:val="18"/>
          <w:szCs w:val="18"/>
          <w:vertAlign w:val="superscript"/>
        </w:rPr>
        <w:footnoteRef/>
      </w:r>
      <w:r w:rsidRPr="001741DD">
        <w:rPr>
          <w:rFonts w:ascii="Verdana" w:eastAsia="Calibri" w:hAnsi="Verdana" w:cs="Arial"/>
          <w:color w:val="000000"/>
          <w:sz w:val="18"/>
          <w:szCs w:val="18"/>
          <w:vertAlign w:val="superscript"/>
        </w:rPr>
        <w:t xml:space="preserve"> </w:t>
      </w:r>
      <w:r w:rsidRPr="001741DD">
        <w:rPr>
          <w:rFonts w:ascii="Verdana" w:eastAsia="Calibri" w:hAnsi="Verdana" w:cs="Arial"/>
          <w:color w:val="000000"/>
          <w:sz w:val="18"/>
          <w:szCs w:val="18"/>
        </w:rPr>
        <w:t xml:space="preserve">Consejo de Estado. Sección Tercera. Sentencia del 26 de junio de 2003. Rad. 13.354. C.P: María Elena Giraldo Gómez. </w:t>
      </w:r>
    </w:p>
  </w:footnote>
  <w:footnote w:id="2">
    <w:p w14:paraId="599D8FA0" w14:textId="77777777" w:rsidR="00B041C0" w:rsidRPr="001741DD" w:rsidRDefault="00B041C0" w:rsidP="00B041C0">
      <w:pPr>
        <w:pStyle w:val="NormalWeb"/>
        <w:shd w:val="clear" w:color="auto" w:fill="FFFFFF"/>
        <w:spacing w:after="120"/>
        <w:ind w:firstLine="709"/>
        <w:jc w:val="both"/>
        <w:rPr>
          <w:rFonts w:ascii="Verdana" w:hAnsi="Verdana" w:cs="Arial"/>
          <w:sz w:val="18"/>
          <w:szCs w:val="18"/>
        </w:rPr>
      </w:pPr>
      <w:r w:rsidRPr="001741DD">
        <w:rPr>
          <w:rStyle w:val="Refdenotaalpie"/>
          <w:rFonts w:ascii="Verdana" w:hAnsi="Verdana" w:cs="Arial"/>
          <w:sz w:val="18"/>
          <w:szCs w:val="18"/>
          <w:lang w:val="es-MX"/>
        </w:rPr>
        <w:footnoteRef/>
      </w:r>
      <w:r w:rsidRPr="001741DD">
        <w:rPr>
          <w:rStyle w:val="Refdenotaalpie"/>
          <w:rFonts w:ascii="Verdana" w:hAnsi="Verdana" w:cs="Arial"/>
          <w:sz w:val="18"/>
          <w:szCs w:val="18"/>
          <w:lang w:val="es-MX"/>
        </w:rPr>
        <w:t xml:space="preserve"> </w:t>
      </w:r>
      <w:r w:rsidRPr="001741DD">
        <w:rPr>
          <w:rFonts w:ascii="Verdana" w:hAnsi="Verdana" w:cs="Arial"/>
          <w:sz w:val="18"/>
          <w:szCs w:val="18"/>
        </w:rPr>
        <w:t>“Artículo 2.2.1.1.1.6.4. Capacidad Residual: El interesado en celebrar contratos de obra pública con Entidades Estatales debe acreditar su Capacidad Residual o K de Contratación con los siguientes documentos:</w:t>
      </w:r>
    </w:p>
    <w:p w14:paraId="0C9BCB9D" w14:textId="77777777" w:rsidR="00B041C0" w:rsidRPr="001741DD" w:rsidRDefault="00B041C0" w:rsidP="00B041C0">
      <w:pPr>
        <w:shd w:val="clear" w:color="auto" w:fill="FFFFFF"/>
        <w:spacing w:after="120"/>
        <w:ind w:firstLine="709"/>
        <w:jc w:val="both"/>
        <w:rPr>
          <w:rFonts w:ascii="Verdana" w:hAnsi="Verdana" w:cs="Arial"/>
          <w:sz w:val="18"/>
          <w:szCs w:val="18"/>
        </w:rPr>
      </w:pPr>
      <w:r w:rsidRPr="001741DD">
        <w:rPr>
          <w:rFonts w:ascii="Verdana" w:hAnsi="Verdana" w:cs="Arial"/>
          <w:sz w:val="18"/>
          <w:szCs w:val="18"/>
        </w:rPr>
        <w:t>1. La lista de los contratos de obras civiles en ejecución suscritos con Entidades Estatales y con entidades privadas, así como el valor y plazo de tales contratos, incluyendo contratos de concesión y los contratos de obra suscritos con concesionarios.</w:t>
      </w:r>
    </w:p>
    <w:p w14:paraId="4FDEFB62" w14:textId="77777777" w:rsidR="00B041C0" w:rsidRPr="001741DD" w:rsidRDefault="00B041C0" w:rsidP="00B041C0">
      <w:pPr>
        <w:shd w:val="clear" w:color="auto" w:fill="FFFFFF"/>
        <w:spacing w:after="120"/>
        <w:ind w:firstLine="709"/>
        <w:jc w:val="both"/>
        <w:rPr>
          <w:rFonts w:ascii="Verdana" w:hAnsi="Verdana" w:cs="Arial"/>
          <w:sz w:val="18"/>
          <w:szCs w:val="18"/>
        </w:rPr>
      </w:pPr>
      <w:r w:rsidRPr="001741DD">
        <w:rPr>
          <w:rFonts w:ascii="Verdana" w:hAnsi="Verdana" w:cs="Arial"/>
          <w:sz w:val="18"/>
          <w:szCs w:val="18"/>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w:t>
      </w:r>
    </w:p>
    <w:p w14:paraId="385EC508" w14:textId="77777777" w:rsidR="00B041C0" w:rsidRPr="001741DD" w:rsidRDefault="00B041C0" w:rsidP="00B041C0">
      <w:pPr>
        <w:shd w:val="clear" w:color="auto" w:fill="FFFFFF"/>
        <w:spacing w:after="120"/>
        <w:ind w:firstLine="709"/>
        <w:jc w:val="both"/>
        <w:rPr>
          <w:rFonts w:ascii="Verdana" w:hAnsi="Verdana" w:cs="Arial"/>
          <w:sz w:val="18"/>
          <w:szCs w:val="18"/>
        </w:rPr>
      </w:pPr>
      <w:r w:rsidRPr="001741DD">
        <w:rPr>
          <w:rFonts w:ascii="Verdana" w:hAnsi="Verdana" w:cs="Arial"/>
          <w:sz w:val="18"/>
          <w:szCs w:val="18"/>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67C6560"/>
    <w:multiLevelType w:val="hybridMultilevel"/>
    <w:tmpl w:val="E2E279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3241427">
    <w:abstractNumId w:val="5"/>
  </w:num>
  <w:num w:numId="2" w16cid:durableId="310251309">
    <w:abstractNumId w:val="1"/>
  </w:num>
  <w:num w:numId="3" w16cid:durableId="590628360">
    <w:abstractNumId w:val="3"/>
  </w:num>
  <w:num w:numId="4" w16cid:durableId="975791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3268382">
    <w:abstractNumId w:val="1"/>
  </w:num>
  <w:num w:numId="6" w16cid:durableId="886842659">
    <w:abstractNumId w:val="13"/>
  </w:num>
  <w:num w:numId="7" w16cid:durableId="1086075630">
    <w:abstractNumId w:val="4"/>
  </w:num>
  <w:num w:numId="8" w16cid:durableId="1060783143">
    <w:abstractNumId w:val="12"/>
  </w:num>
  <w:num w:numId="9" w16cid:durableId="1511792352">
    <w:abstractNumId w:val="6"/>
  </w:num>
  <w:num w:numId="10" w16cid:durableId="1906354">
    <w:abstractNumId w:val="11"/>
  </w:num>
  <w:num w:numId="11" w16cid:durableId="404956311">
    <w:abstractNumId w:val="7"/>
  </w:num>
  <w:num w:numId="12" w16cid:durableId="1040087260">
    <w:abstractNumId w:val="0"/>
  </w:num>
  <w:num w:numId="13" w16cid:durableId="1451701087">
    <w:abstractNumId w:val="2"/>
  </w:num>
  <w:num w:numId="14" w16cid:durableId="274361709">
    <w:abstractNumId w:val="14"/>
  </w:num>
  <w:num w:numId="15" w16cid:durableId="1660890505">
    <w:abstractNumId w:val="9"/>
  </w:num>
  <w:num w:numId="16" w16cid:durableId="674963042">
    <w:abstractNumId w:val="8"/>
  </w:num>
  <w:num w:numId="17" w16cid:durableId="1175652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33F1"/>
    <w:rsid w:val="00035C3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8798B"/>
    <w:rsid w:val="004A1847"/>
    <w:rsid w:val="004A305D"/>
    <w:rsid w:val="004F21C4"/>
    <w:rsid w:val="004F685F"/>
    <w:rsid w:val="005566E8"/>
    <w:rsid w:val="00574867"/>
    <w:rsid w:val="00591460"/>
    <w:rsid w:val="005A65E0"/>
    <w:rsid w:val="005C3777"/>
    <w:rsid w:val="005C5CDC"/>
    <w:rsid w:val="005D476C"/>
    <w:rsid w:val="005F1688"/>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041C0"/>
    <w:rsid w:val="00B44A47"/>
    <w:rsid w:val="00B53684"/>
    <w:rsid w:val="00B66900"/>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041C0"/>
    <w:pPr>
      <w:spacing w:line="240" w:lineRule="exact"/>
    </w:pPr>
    <w:rPr>
      <w:vertAlign w:val="superscript"/>
    </w:rPr>
  </w:style>
  <w:style w:type="character" w:customStyle="1" w:styleId="NormalWebCar">
    <w:name w:val="Normal (Web) Car"/>
    <w:link w:val="NormalWeb"/>
    <w:uiPriority w:val="99"/>
    <w:locked/>
    <w:rsid w:val="00B041C0"/>
    <w:rPr>
      <w:rFonts w:ascii="Times New Roman" w:eastAsia="Times New Roman" w:hAnsi="Times New Roman" w:cs="Times New Roman"/>
      <w:sz w:val="24"/>
      <w:szCs w:val="24"/>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B041C0"/>
    <w:rPr>
      <w:rFonts w:ascii="Geomanist Light" w:hAnsi="Geomanist Light"/>
      <w:lang w:val="es-ES"/>
    </w:rPr>
  </w:style>
  <w:style w:type="paragraph" w:styleId="Sinespaciado">
    <w:name w:val="No Spacing"/>
    <w:aliases w:val="No Indent"/>
    <w:link w:val="SinespaciadoCar"/>
    <w:uiPriority w:val="3"/>
    <w:qFormat/>
    <w:rsid w:val="00B041C0"/>
    <w:pPr>
      <w:spacing w:after="0" w:line="240" w:lineRule="auto"/>
    </w:pPr>
  </w:style>
  <w:style w:type="character" w:customStyle="1" w:styleId="SinespaciadoCar">
    <w:name w:val="Sin espaciado Car"/>
    <w:aliases w:val="No Indent Car"/>
    <w:link w:val="Sinespaciado"/>
    <w:uiPriority w:val="3"/>
    <w:rsid w:val="00B04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archivos/manual/guia-para-determinar-y-verificar-la-capacidad-residual-del-proponente-en-los-procesos-de-contratacion-de-obra-publica" TargetMode="External"/><Relationship Id="rId17"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55A38-360D-4E23-9B54-DA501E145481}"/>
</file>

<file path=docProps/app.xml><?xml version="1.0" encoding="utf-8"?>
<Properties xmlns="http://schemas.openxmlformats.org/officeDocument/2006/extended-properties" xmlns:vt="http://schemas.openxmlformats.org/officeDocument/2006/docPropsVTypes">
  <Template>Normal</Template>
  <TotalTime>23</TotalTime>
  <Pages>23</Pages>
  <Words>7599</Words>
  <Characters>41798</Characters>
  <Application>Microsoft Office Word</Application>
  <DocSecurity>0</DocSecurity>
  <Lines>348</Lines>
  <Paragraphs>98</Paragraphs>
  <ScaleCrop>false</ScaleCrop>
  <Company/>
  <LinksUpToDate>false</LinksUpToDate>
  <CharactersWithSpaces>49299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4</cp:revision>
  <cp:lastPrinted>2023-01-10T21:18:00Z</cp:lastPrinted>
  <dcterms:created xsi:type="dcterms:W3CDTF">2026-08-26T19:31:00Z</dcterms:created>
  <dcterms:modified xsi:type="dcterms:W3CDTF">2026-08-26T19:53:00Z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