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D02C" w14:textId="77777777" w:rsidR="007E0196" w:rsidRPr="007E0196" w:rsidRDefault="007E0196" w:rsidP="00B408BB">
      <w:pPr>
        <w:spacing w:after="0" w:line="240" w:lineRule="auto"/>
        <w:jc w:val="both"/>
        <w:rPr>
          <w:rFonts w:ascii="Verdana" w:eastAsia="Verdana" w:hAnsi="Verdana" w:cs="Verdana"/>
          <w:b/>
          <w:bCs/>
          <w:lang w:val="es-ES"/>
        </w:rPr>
      </w:pPr>
      <w:bookmarkStart w:id="0" w:name="_Hlk143780582"/>
      <w:r w:rsidRPr="007E0196">
        <w:rPr>
          <w:rFonts w:ascii="Verdana" w:eastAsia="Verdana" w:hAnsi="Verdana" w:cs="Verdana"/>
          <w:b/>
          <w:bCs/>
          <w:lang w:val="es-ES"/>
        </w:rPr>
        <w:t xml:space="preserve">CONTRATO ESTATAL – Régimen jurídico </w:t>
      </w:r>
    </w:p>
    <w:p w14:paraId="37601144" w14:textId="77777777" w:rsidR="00D802D6" w:rsidRPr="00D802D6" w:rsidRDefault="00D802D6" w:rsidP="00B408BB">
      <w:pPr>
        <w:spacing w:after="0" w:line="240" w:lineRule="auto"/>
        <w:jc w:val="both"/>
        <w:rPr>
          <w:rFonts w:ascii="Verdana" w:eastAsia="Verdana" w:hAnsi="Verdana" w:cs="Verdana"/>
          <w:sz w:val="20"/>
          <w:szCs w:val="20"/>
        </w:rPr>
      </w:pPr>
    </w:p>
    <w:p w14:paraId="7AA0B2BE" w14:textId="77777777" w:rsidR="00E214D0" w:rsidRDefault="00E214D0" w:rsidP="00B408BB">
      <w:pPr>
        <w:spacing w:after="0" w:line="240" w:lineRule="auto"/>
        <w:jc w:val="both"/>
        <w:rPr>
          <w:rFonts w:ascii="Verdana" w:eastAsia="Verdana" w:hAnsi="Verdana" w:cs="Verdana"/>
          <w:sz w:val="20"/>
          <w:szCs w:val="20"/>
        </w:rPr>
      </w:pPr>
      <w:r w:rsidRPr="00E214D0">
        <w:rPr>
          <w:rFonts w:ascii="Verdana" w:eastAsia="Verdana" w:hAnsi="Verdana" w:cs="Verdana"/>
          <w:sz w:val="20"/>
          <w:szCs w:val="20"/>
          <w:lang w:val="es-ES"/>
        </w:rPr>
        <w:t xml:space="preserve">Respecto al régimen jurídico de las Entidades Estatales, es necesario tener en cuenta que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E214D0">
        <w:rPr>
          <w:rFonts w:ascii="Verdana" w:eastAsia="Verdana" w:hAnsi="Verdana" w:cs="Verdana"/>
          <w:sz w:val="20"/>
          <w:szCs w:val="20"/>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6791C795" w14:textId="77777777" w:rsidR="00E214D0" w:rsidRPr="00E214D0" w:rsidRDefault="00E214D0" w:rsidP="00B408BB">
      <w:pPr>
        <w:spacing w:after="0" w:line="240" w:lineRule="auto"/>
        <w:jc w:val="both"/>
        <w:rPr>
          <w:rFonts w:ascii="Verdana" w:eastAsia="Verdana" w:hAnsi="Verdana" w:cs="Verdana"/>
          <w:sz w:val="20"/>
          <w:szCs w:val="20"/>
        </w:rPr>
      </w:pPr>
    </w:p>
    <w:p w14:paraId="01F62A93" w14:textId="77777777" w:rsidR="00E214D0" w:rsidRPr="00E214D0" w:rsidRDefault="00E214D0" w:rsidP="00B408BB">
      <w:pPr>
        <w:spacing w:after="0" w:line="240" w:lineRule="auto"/>
        <w:jc w:val="both"/>
        <w:rPr>
          <w:rFonts w:ascii="Verdana" w:eastAsia="Verdana" w:hAnsi="Verdana" w:cs="Verdana"/>
          <w:sz w:val="20"/>
          <w:szCs w:val="20"/>
        </w:rPr>
      </w:pPr>
      <w:r w:rsidRPr="00E214D0">
        <w:rPr>
          <w:rFonts w:ascii="Verdana" w:eastAsia="Verdana" w:hAnsi="Verdana" w:cs="Verdana"/>
          <w:sz w:val="20"/>
          <w:szCs w:val="20"/>
        </w:rPr>
        <w:t>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dispone que “Las estipulaciones de los contratos serán las que, de acuerdo con las normas civiles, comerciales y las previstas en esta ley, correspondan a su esencia y naturaleza” –art. 40, inciso primero–.</w:t>
      </w:r>
    </w:p>
    <w:p w14:paraId="4D97FAE9" w14:textId="77777777" w:rsidR="00D802D6" w:rsidRPr="00E214D0" w:rsidRDefault="00D802D6" w:rsidP="00B408BB">
      <w:pPr>
        <w:spacing w:after="0" w:line="240" w:lineRule="auto"/>
        <w:jc w:val="both"/>
        <w:rPr>
          <w:rFonts w:ascii="Verdana" w:eastAsia="Verdana" w:hAnsi="Verdana" w:cs="Verdana"/>
          <w:sz w:val="20"/>
          <w:szCs w:val="20"/>
        </w:rPr>
      </w:pPr>
    </w:p>
    <w:p w14:paraId="5249C7C4" w14:textId="77777777"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 xml:space="preserve">RÉGIMEN EXCEPCIONAL – Justificación – Criterios de clasificación </w:t>
      </w:r>
    </w:p>
    <w:p w14:paraId="4D346ED4" w14:textId="77777777" w:rsidR="007E0196" w:rsidRPr="007E0196" w:rsidRDefault="007E0196" w:rsidP="00B408BB">
      <w:pPr>
        <w:spacing w:after="0" w:line="240" w:lineRule="auto"/>
        <w:jc w:val="both"/>
        <w:rPr>
          <w:rFonts w:ascii="Verdana" w:eastAsia="Verdana" w:hAnsi="Verdana" w:cs="Verdana"/>
          <w:b/>
          <w:bCs/>
          <w:lang w:val="es-ES"/>
        </w:rPr>
      </w:pPr>
    </w:p>
    <w:p w14:paraId="51E8700A" w14:textId="0C8984C4" w:rsidR="00E214D0" w:rsidRDefault="00E214D0" w:rsidP="00B408BB">
      <w:pPr>
        <w:spacing w:after="0" w:line="240" w:lineRule="auto"/>
        <w:jc w:val="both"/>
        <w:rPr>
          <w:rFonts w:ascii="Verdana" w:eastAsia="Verdana" w:hAnsi="Verdana" w:cs="Verdana"/>
          <w:sz w:val="20"/>
          <w:szCs w:val="20"/>
        </w:rPr>
      </w:pPr>
      <w:r w:rsidRPr="00D802D6">
        <w:rPr>
          <w:rFonts w:ascii="Verdana" w:eastAsia="Verdana" w:hAnsi="Verdana" w:cs="Verdana"/>
          <w:sz w:val="20"/>
          <w:szCs w:val="20"/>
        </w:rPr>
        <w:t>La existencia de entidades exceptuadas del EGCAP se ha justificado por alguna de las siguientes tres (3) circunstancias: i) facilitar la competencia económica –como ocurre actualmente respecto al régimen de los servicios públicos domiciliarios–, ii) flexibilizar el ejercicio de la función administrativa –como en los contratos del Banco de la República o los de ciencia y tecnología– o iii) establecer un régimen especial sin excluir por completo la aplicación de la Ley 80 de 1993 –como ocurre en la operaciones del crédito público–.  Para estos efectos, la doctrina ha identificado 171 entidades y contratos que manejan un régimen excepcional, los cuales se clasifican de acuerdo i) al sector económico, ii) la asignación de un esquema legal especial, iii) el objeto del contrato celebrado y iv) la existencia de fondos que administran recursos públicos.</w:t>
      </w:r>
    </w:p>
    <w:p w14:paraId="0815DF9B" w14:textId="77777777" w:rsidR="007E0196" w:rsidRPr="007E0196" w:rsidRDefault="007E0196" w:rsidP="00B408BB">
      <w:pPr>
        <w:spacing w:after="0" w:line="240" w:lineRule="auto"/>
        <w:jc w:val="both"/>
        <w:rPr>
          <w:rFonts w:ascii="Verdana" w:eastAsia="Verdana" w:hAnsi="Verdana" w:cs="Verdana"/>
          <w:b/>
          <w:bCs/>
          <w:lang w:val="es-ES"/>
        </w:rPr>
      </w:pPr>
    </w:p>
    <w:p w14:paraId="1203E72E" w14:textId="4C738DDB"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 xml:space="preserve">EMPRESAS SOCIALES DEL ESTADO– Naturaleza – régimen especial </w:t>
      </w:r>
    </w:p>
    <w:p w14:paraId="3B322508" w14:textId="77777777" w:rsidR="007E0196" w:rsidRPr="00506712" w:rsidRDefault="007E0196" w:rsidP="00B408BB">
      <w:pPr>
        <w:spacing w:after="0" w:line="240" w:lineRule="auto"/>
        <w:jc w:val="both"/>
        <w:rPr>
          <w:rFonts w:ascii="Verdana" w:eastAsia="Verdana" w:hAnsi="Verdana" w:cs="Verdana"/>
          <w:sz w:val="20"/>
          <w:szCs w:val="20"/>
          <w:lang w:val="es-ES"/>
        </w:rPr>
      </w:pPr>
    </w:p>
    <w:p w14:paraId="1CBC5C97" w14:textId="209CCA5F" w:rsidR="007E0196" w:rsidRPr="00506712" w:rsidRDefault="009B1B75" w:rsidP="00B408BB">
      <w:pPr>
        <w:spacing w:after="0" w:line="240" w:lineRule="auto"/>
        <w:jc w:val="both"/>
        <w:rPr>
          <w:rFonts w:ascii="Verdana" w:eastAsia="Verdana" w:hAnsi="Verdana" w:cs="Verdana"/>
          <w:sz w:val="20"/>
          <w:szCs w:val="20"/>
          <w:lang w:val="es-MX"/>
        </w:rPr>
      </w:pPr>
      <w:r w:rsidRPr="00506712">
        <w:rPr>
          <w:rFonts w:ascii="Verdana" w:eastAsia="Verdana" w:hAnsi="Verdana" w:cs="Verdana"/>
          <w:sz w:val="20"/>
          <w:szCs w:val="20"/>
          <w:lang w:val="es-MX"/>
        </w:rPr>
        <w:t xml:space="preserve">Una de las Entidades Estatales con régimen especial son las Empresas Sociales del Estado – ESE, sobre las que redunda el objeto de su concepto. Estas empresas han sido entendidas como Entidades Públicas que, conforme al artículo 194 de la Ley 100 de 1993, constituyen una categoría especial, descentralizada por servicios, con personería jurídica, patrimonio propio y autonomía administrativa. A través de ellas la Nación o las entidades territoriales prestan el servicio de salud de manera directa, es decir, las Empresas Sociales del Estado son, esencialmente, los hospitales públicos. El Consejo de Estado, en relación con la naturaleza jurídica de estas entidades, precisó: </w:t>
      </w:r>
      <w:r w:rsidRPr="00506712">
        <w:rPr>
          <w:rFonts w:ascii="Verdana" w:eastAsia="Verdana" w:hAnsi="Verdana" w:cs="Verdana"/>
          <w:sz w:val="20"/>
          <w:szCs w:val="20"/>
        </w:rPr>
        <w:t xml:space="preserve">“[…] Se tiene que las empresas sociales del Estado, es decir, los hospitales públicos a que se refiere la ley 100 de 1993, son entidades descentralizadas por servicios, de naturaleza jurídica especial, es decir, son entidades estatales que pertenecen a la estructura de la rama </w:t>
      </w:r>
      <w:r w:rsidRPr="00506712">
        <w:rPr>
          <w:rFonts w:ascii="Verdana" w:eastAsia="Verdana" w:hAnsi="Verdana" w:cs="Verdana"/>
          <w:sz w:val="20"/>
          <w:szCs w:val="20"/>
        </w:rPr>
        <w:lastRenderedPageBreak/>
        <w:t>ejecutiva del poder público, porque así lo disponen los arts. 38 y 68 de la ley 489 de 1998 […]”</w:t>
      </w:r>
    </w:p>
    <w:p w14:paraId="7D114230" w14:textId="77777777" w:rsidR="007E0196" w:rsidRPr="007E0196" w:rsidRDefault="007E0196" w:rsidP="00B408BB">
      <w:pPr>
        <w:spacing w:after="0" w:line="240" w:lineRule="auto"/>
        <w:jc w:val="both"/>
        <w:rPr>
          <w:rFonts w:ascii="Verdana" w:eastAsia="Verdana" w:hAnsi="Verdana" w:cs="Verdana"/>
          <w:b/>
          <w:bCs/>
          <w:lang w:val="es-ES"/>
        </w:rPr>
      </w:pPr>
    </w:p>
    <w:p w14:paraId="34DA3303" w14:textId="77777777"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 xml:space="preserve">GARANTÍAS – Régimen General de la Contratación </w:t>
      </w:r>
    </w:p>
    <w:p w14:paraId="09FE9D64" w14:textId="77777777" w:rsidR="007E0196" w:rsidRPr="00DA56B0" w:rsidRDefault="007E0196" w:rsidP="00B408BB">
      <w:pPr>
        <w:spacing w:after="0" w:line="240" w:lineRule="auto"/>
        <w:jc w:val="both"/>
        <w:rPr>
          <w:rFonts w:ascii="Verdana" w:eastAsia="Verdana" w:hAnsi="Verdana" w:cs="Verdana"/>
          <w:sz w:val="20"/>
          <w:szCs w:val="20"/>
          <w:lang w:val="es-ES"/>
        </w:rPr>
      </w:pPr>
    </w:p>
    <w:p w14:paraId="080276DB" w14:textId="77777777" w:rsidR="00DA56B0" w:rsidRDefault="00DA56B0" w:rsidP="00B408BB">
      <w:pPr>
        <w:spacing w:after="0" w:line="240" w:lineRule="auto"/>
        <w:jc w:val="both"/>
        <w:rPr>
          <w:rFonts w:ascii="Verdana" w:eastAsia="Verdana" w:hAnsi="Verdana" w:cs="Verdana"/>
          <w:sz w:val="20"/>
          <w:szCs w:val="20"/>
        </w:rPr>
      </w:pPr>
      <w:r w:rsidRPr="00DA56B0">
        <w:rPr>
          <w:rFonts w:ascii="Verdana" w:eastAsia="Verdana" w:hAnsi="Verdana" w:cs="Verdana"/>
          <w:sz w:val="20"/>
          <w:szCs w:val="20"/>
        </w:rPr>
        <w:t>A partir del entendimiento de que las Empresas Sociales del Estado se rigen por el derecho privado, no es posible aplicar de manera automática el Estatuto General de Contratación de la Administración Pública, razón por la cual el régimen de garantías previsto en dicho estatuto no les resulta aplicable por remisión general. No obstante, a modo de orientación, es pertinente recordar que en la contratación estatal las garantías cumplen una función esencial: asegurar el cumplimiento de las obligaciones derivadas del contrato y respaldar los riesgos asociados a la participación en el proceso de selección. En efecto, el artículo 7 de la Ley 1150 de 2007 aplicable a entidades de régimen especial establece que los contratistas deben constituir garantías para asegurar el cumplimiento de las obligaciones contractuales, y los proponentes para respaldar el ofrecimiento presentado, pudiendo consistir en pólizas expedidas por compañías aseguradoras, garantías bancarias u otros mecanismos permitidos por la ley y el reglamento.</w:t>
      </w:r>
    </w:p>
    <w:p w14:paraId="37105C20" w14:textId="77777777" w:rsidR="00DA56B0" w:rsidRPr="00DA56B0" w:rsidRDefault="00DA56B0" w:rsidP="00B408BB">
      <w:pPr>
        <w:spacing w:after="0" w:line="240" w:lineRule="auto"/>
        <w:jc w:val="both"/>
        <w:rPr>
          <w:rFonts w:ascii="Verdana" w:eastAsia="Verdana" w:hAnsi="Verdana" w:cs="Verdana"/>
          <w:sz w:val="20"/>
          <w:szCs w:val="20"/>
        </w:rPr>
      </w:pPr>
    </w:p>
    <w:p w14:paraId="61966F79" w14:textId="77777777" w:rsidR="00DA56B0" w:rsidRPr="00DA56B0" w:rsidRDefault="00DA56B0" w:rsidP="00B408BB">
      <w:pPr>
        <w:spacing w:after="0" w:line="240" w:lineRule="auto"/>
        <w:jc w:val="both"/>
        <w:rPr>
          <w:rFonts w:ascii="Verdana" w:eastAsia="Verdana" w:hAnsi="Verdana" w:cs="Verdana"/>
          <w:sz w:val="20"/>
          <w:szCs w:val="20"/>
        </w:rPr>
      </w:pPr>
      <w:r w:rsidRPr="00DA56B0">
        <w:rPr>
          <w:rFonts w:ascii="Verdana" w:eastAsia="Verdana" w:hAnsi="Verdana" w:cs="Verdana"/>
          <w:sz w:val="20"/>
          <w:szCs w:val="20"/>
          <w:lang w:val="es-MX"/>
        </w:rPr>
        <w:t xml:space="preserve">Las condiciones en las que debe cumplirse esta obligación fueron reglamentadas por el Decreto 1082 de 2015, el cual entre sus artículos 2.2.1.2.3.1.1. y 2.2.1.2.3.1.19 se refiere a asuntos como las clases de garantías permitidas, la indivisibilidad de estas, los diferentes riesgos que deben ser objeto de garantía, la vigencia y valores mínimos que deben cubrir los amparos, entre otros aspectos que debe cumplir las garantías constituidas por los contratistas ya sea a través de pólizas de seguro, garantías bancarías o patrimonios autónomos. </w:t>
      </w:r>
    </w:p>
    <w:p w14:paraId="04D8B617" w14:textId="77777777" w:rsidR="007E0196" w:rsidRPr="00DA56B0" w:rsidRDefault="007E0196" w:rsidP="00B408BB">
      <w:pPr>
        <w:spacing w:after="0" w:line="240" w:lineRule="auto"/>
        <w:jc w:val="both"/>
        <w:rPr>
          <w:rFonts w:ascii="Verdana" w:eastAsia="Verdana" w:hAnsi="Verdana" w:cs="Verdana"/>
          <w:b/>
          <w:bCs/>
        </w:rPr>
      </w:pPr>
    </w:p>
    <w:p w14:paraId="30A2F85B" w14:textId="07E8B0F1"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 xml:space="preserve">GARANTÍAS – Entidades de Régimen – Aplicación – Derecho Privado </w:t>
      </w:r>
    </w:p>
    <w:p w14:paraId="6B572C52" w14:textId="77777777" w:rsidR="007E0196" w:rsidRPr="007E0196" w:rsidRDefault="007E0196" w:rsidP="00B408BB">
      <w:pPr>
        <w:spacing w:after="0" w:line="240" w:lineRule="auto"/>
        <w:jc w:val="both"/>
        <w:rPr>
          <w:rFonts w:ascii="Verdana" w:eastAsia="Verdana" w:hAnsi="Verdana" w:cs="Verdana"/>
          <w:b/>
          <w:bCs/>
          <w:lang w:val="es-ES"/>
        </w:rPr>
      </w:pPr>
    </w:p>
    <w:p w14:paraId="5ED80E8F" w14:textId="67A07189" w:rsidR="00023F88" w:rsidRPr="00C94280" w:rsidRDefault="00023F88" w:rsidP="00B408BB">
      <w:pPr>
        <w:spacing w:after="0" w:line="240" w:lineRule="auto"/>
        <w:jc w:val="both"/>
        <w:rPr>
          <w:rFonts w:ascii="Verdana" w:eastAsia="Verdana" w:hAnsi="Verdana" w:cs="Verdana"/>
          <w:sz w:val="20"/>
          <w:szCs w:val="20"/>
        </w:rPr>
      </w:pPr>
      <w:r w:rsidRPr="00C94280">
        <w:rPr>
          <w:rFonts w:ascii="Verdana" w:eastAsia="Verdana" w:hAnsi="Verdana" w:cs="Verdana"/>
          <w:sz w:val="20"/>
          <w:szCs w:val="20"/>
        </w:rPr>
        <w:t>En este sentido, la “</w:t>
      </w:r>
      <w:r w:rsidRPr="00C94280">
        <w:rPr>
          <w:rFonts w:ascii="Verdana" w:eastAsia="Verdana" w:hAnsi="Verdana" w:cs="Verdana"/>
          <w:i/>
          <w:iCs/>
          <w:sz w:val="20"/>
          <w:szCs w:val="20"/>
        </w:rPr>
        <w:t xml:space="preserve">Guía para la Exigencia y Constitución de Garantías en los Procesos de Contratación” </w:t>
      </w:r>
      <w:r w:rsidRPr="00C94280">
        <w:rPr>
          <w:rFonts w:ascii="Verdana" w:eastAsia="Verdana" w:hAnsi="Verdana" w:cs="Verdana"/>
          <w:sz w:val="20"/>
          <w:szCs w:val="20"/>
        </w:rPr>
        <w:t>de esta Agencia señala que los contratos celebrados por las entidades sometidas a régimen especial se rigen por las disposiciones contenidas en su norma de creación, en su manual interno de contratación y en las reglas del derecho privado. Bajo este entendido, dichas entidades pueden exigir a sus proveedores o contratistas la constitución de las garantías previstas en el derecho privado, como las contempladas en el Código de Comercio —Decreto 410 de 1971— y en el Estatuto del Consumidor —Ley 1480 de 2011—.</w:t>
      </w:r>
    </w:p>
    <w:p w14:paraId="0C12B133" w14:textId="77777777" w:rsidR="00D24C9C" w:rsidRPr="00C94280" w:rsidRDefault="00D24C9C" w:rsidP="00B408BB">
      <w:pPr>
        <w:spacing w:after="0" w:line="240" w:lineRule="auto"/>
        <w:jc w:val="both"/>
        <w:rPr>
          <w:rFonts w:ascii="Verdana" w:eastAsia="Verdana" w:hAnsi="Verdana" w:cs="Verdana"/>
          <w:sz w:val="20"/>
          <w:szCs w:val="20"/>
        </w:rPr>
      </w:pPr>
    </w:p>
    <w:p w14:paraId="429D1EA4" w14:textId="77777777" w:rsidR="00C94280" w:rsidRDefault="00C94280" w:rsidP="00B408BB">
      <w:pPr>
        <w:spacing w:after="0" w:line="240" w:lineRule="auto"/>
        <w:jc w:val="both"/>
        <w:rPr>
          <w:rFonts w:ascii="Verdana" w:eastAsia="Verdana" w:hAnsi="Verdana" w:cs="Verdana"/>
          <w:b/>
          <w:bCs/>
        </w:rPr>
      </w:pPr>
    </w:p>
    <w:p w14:paraId="4F98E2B0" w14:textId="46EB0EA1"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GARANTÍAS – Estabilidad y Calidad de la Obra – Alcance</w:t>
      </w:r>
    </w:p>
    <w:p w14:paraId="492DCF29" w14:textId="77777777" w:rsidR="007E0196" w:rsidRPr="00C94280" w:rsidRDefault="007E0196" w:rsidP="00B408BB">
      <w:pPr>
        <w:spacing w:after="0" w:line="240" w:lineRule="auto"/>
        <w:jc w:val="both"/>
        <w:rPr>
          <w:rFonts w:ascii="Verdana" w:eastAsia="Verdana" w:hAnsi="Verdana" w:cs="Verdana"/>
          <w:sz w:val="20"/>
          <w:szCs w:val="20"/>
          <w:lang w:val="es-ES"/>
        </w:rPr>
      </w:pPr>
    </w:p>
    <w:p w14:paraId="6087E0F5" w14:textId="77777777" w:rsidR="00C94280" w:rsidRDefault="00C94280" w:rsidP="00B408BB">
      <w:pPr>
        <w:spacing w:after="0" w:line="240" w:lineRule="auto"/>
        <w:jc w:val="both"/>
        <w:rPr>
          <w:rFonts w:ascii="Verdana" w:eastAsia="Verdana" w:hAnsi="Verdana" w:cs="Verdana"/>
          <w:sz w:val="20"/>
          <w:szCs w:val="20"/>
        </w:rPr>
      </w:pPr>
      <w:r w:rsidRPr="00C94280">
        <w:rPr>
          <w:rFonts w:ascii="Verdana" w:eastAsia="Verdana" w:hAnsi="Verdana" w:cs="Verdana"/>
          <w:sz w:val="20"/>
          <w:szCs w:val="20"/>
        </w:rPr>
        <w:t>Ahora bien, dentro del alcance del amparo de estabilidad y calidad de la obra es relevante señalar que la Agencia, mediante los Conceptos C</w:t>
      </w:r>
      <w:r w:rsidRPr="00C94280">
        <w:rPr>
          <w:rFonts w:ascii="Verdana" w:eastAsia="Verdana" w:hAnsi="Verdana" w:cs="Verdana"/>
          <w:sz w:val="20"/>
          <w:szCs w:val="20"/>
        </w:rPr>
        <w:noBreakHyphen/>
        <w:t>143 del 3 de marzo de 2025 y C</w:t>
      </w:r>
      <w:r w:rsidRPr="00C94280">
        <w:rPr>
          <w:rFonts w:ascii="Verdana" w:eastAsia="Verdana" w:hAnsi="Verdana" w:cs="Verdana"/>
          <w:sz w:val="20"/>
          <w:szCs w:val="20"/>
        </w:rPr>
        <w:noBreakHyphen/>
        <w:t xml:space="preserve">1470 del 20 de noviembre de 2025, sostuvo que para declarar el siniestro asociado al amparo </w:t>
      </w:r>
      <w:r w:rsidRPr="00C94280">
        <w:rPr>
          <w:rFonts w:ascii="Verdana" w:eastAsia="Verdana" w:hAnsi="Verdana" w:cs="Verdana"/>
          <w:sz w:val="20"/>
          <w:szCs w:val="20"/>
        </w:rPr>
        <w:lastRenderedPageBreak/>
        <w:t>de estabilidad y calidad de la obra no resulta procedente acudir al procedimiento del artículo 86 de la Ley 1474 de 2011, dado que no se trata de un incumplimiento contractual ni de la imposición de multas o sanciones pactadas, sino de la activación de un amparo de la garantía única, lo cual exige aplicar el procedimiento administrativo general previsto en los artículos 34 y siguientes de la Ley 1437 de 2011. No obstante, la “</w:t>
      </w:r>
      <w:r w:rsidRPr="00C94280">
        <w:rPr>
          <w:rFonts w:ascii="Verdana" w:eastAsia="Verdana" w:hAnsi="Verdana" w:cs="Verdana"/>
          <w:i/>
          <w:iCs/>
          <w:sz w:val="20"/>
          <w:szCs w:val="20"/>
        </w:rPr>
        <w:t>Guía para la Exigencia y Constitución de Garantías en los Procesos de Contratación”</w:t>
      </w:r>
      <w:r w:rsidRPr="00C94280">
        <w:rPr>
          <w:rFonts w:ascii="Verdana" w:eastAsia="Verdana" w:hAnsi="Verdana" w:cs="Verdana"/>
          <w:sz w:val="20"/>
          <w:szCs w:val="20"/>
        </w:rPr>
        <w:t xml:space="preserve"> precisó que el artículo 86 no solo opera para imponer multas o hacer efectiva la cláusula penal, sino también para la declaratoria de incumplimiento. Ello alude a la declaratoria de incumplimiento del contrato y a la afectación del amparo de cumplimiento, supuesto distinto del amparo de estabilidad y calidad de la obra, cuyo tratamiento se precisa a continuación.</w:t>
      </w:r>
    </w:p>
    <w:p w14:paraId="699DA037" w14:textId="77777777" w:rsidR="00C94280" w:rsidRPr="00C94280" w:rsidRDefault="00C94280" w:rsidP="00B408BB">
      <w:pPr>
        <w:spacing w:after="0" w:line="240" w:lineRule="auto"/>
        <w:jc w:val="both"/>
        <w:rPr>
          <w:rFonts w:ascii="Verdana" w:eastAsia="Verdana" w:hAnsi="Verdana" w:cs="Verdana"/>
          <w:sz w:val="20"/>
          <w:szCs w:val="20"/>
        </w:rPr>
      </w:pPr>
    </w:p>
    <w:p w14:paraId="57CE09B8" w14:textId="77777777" w:rsidR="00C94280" w:rsidRDefault="00C94280" w:rsidP="00B408BB">
      <w:pPr>
        <w:spacing w:after="0" w:line="240" w:lineRule="auto"/>
        <w:jc w:val="both"/>
        <w:rPr>
          <w:rFonts w:ascii="Verdana" w:eastAsia="Verdana" w:hAnsi="Verdana" w:cs="Verdana"/>
          <w:sz w:val="20"/>
          <w:szCs w:val="20"/>
        </w:rPr>
      </w:pPr>
      <w:r w:rsidRPr="00C94280">
        <w:rPr>
          <w:rFonts w:ascii="Verdana" w:eastAsia="Verdana" w:hAnsi="Verdana" w:cs="Verdana"/>
          <w:sz w:val="20"/>
          <w:szCs w:val="20"/>
        </w:rPr>
        <w:t>Bajo este entendimiento, la Entidad Estatal sometida al régimen general de contratación puede hacer efectiva la garantía mediante un acto administrativo motivado que declare el incumplimiento y ordene el pago de los perjuicios al contratista y a su garante. Dicho acto administrativo cumple la función de reclamación ante la aseguradora, pues constituye la declaratoria del siniestro que activa la cobertura del riesgo asumido por el contratista. Este escenario aplica en casos de incumplimiento parcial o tardío de obligaciones específicas que generen perjuicios cuantificables para la Entidad.</w:t>
      </w:r>
    </w:p>
    <w:p w14:paraId="3FC33DB8" w14:textId="77777777" w:rsidR="00C94280" w:rsidRPr="00C94280" w:rsidRDefault="00C94280" w:rsidP="00B408BB">
      <w:pPr>
        <w:spacing w:after="0" w:line="240" w:lineRule="auto"/>
        <w:jc w:val="both"/>
        <w:rPr>
          <w:rFonts w:ascii="Verdana" w:eastAsia="Verdana" w:hAnsi="Verdana" w:cs="Verdana"/>
          <w:sz w:val="20"/>
          <w:szCs w:val="20"/>
        </w:rPr>
      </w:pPr>
    </w:p>
    <w:p w14:paraId="1657B535" w14:textId="201AABD8" w:rsidR="00C94280" w:rsidRPr="00C94280" w:rsidRDefault="00C94280" w:rsidP="00B408BB">
      <w:pPr>
        <w:spacing w:after="0" w:line="240" w:lineRule="auto"/>
        <w:jc w:val="both"/>
        <w:rPr>
          <w:rFonts w:ascii="Verdana" w:eastAsia="Verdana" w:hAnsi="Verdana" w:cs="Verdana"/>
          <w:sz w:val="20"/>
          <w:szCs w:val="20"/>
          <w:lang w:val="es-ES"/>
        </w:rPr>
      </w:pPr>
      <w:r w:rsidRPr="00C94280">
        <w:rPr>
          <w:rFonts w:ascii="Verdana" w:eastAsia="Verdana" w:hAnsi="Verdana" w:cs="Verdana"/>
          <w:sz w:val="20"/>
          <w:szCs w:val="20"/>
        </w:rPr>
        <w:t>El Consejo de Estado, en sentencia de 7 de febrero de 2025, proferida dentro del expediente 71.453, precisó que el amparo de estabilidad y calidad de la obra parte de comprender que las prestaciones del contrato no se limitan a la construcción bajo las condiciones en que fue encomendada, sino que también le exigen garantizar su estabilidad, en virtud de lo cual el deudor asume una obligación de resultado, de manera que responde por aquellos vicios que impidan su uso, a menos que acredite la configuración de una causa extraña como eximente de responsabilidad. De esta manera, el Consejo de Estado ha considerado que, en los eventos en los que la controversia gira en torno a la estabilidad de la obra, no se discute el incumplimiento de la obligación principal de construcción, sino la accesoria de garantizar que el resultado cumpla con la finalidad para la que fue contratada la obra y que no amenace una ruina total o parcial de la cosa, con el propósito de salvaguardar el patrimonio del acreedor que recibe una afectación por la ejecución defectuosa o tardía de las prestaciones del negocio</w:t>
      </w:r>
    </w:p>
    <w:p w14:paraId="50CFB911" w14:textId="77777777" w:rsidR="007E0196" w:rsidRPr="007E0196" w:rsidRDefault="007E0196" w:rsidP="00B408BB">
      <w:pPr>
        <w:spacing w:after="0" w:line="240" w:lineRule="auto"/>
        <w:jc w:val="both"/>
        <w:rPr>
          <w:rFonts w:ascii="Verdana" w:eastAsia="Verdana" w:hAnsi="Verdana" w:cs="Verdana"/>
          <w:b/>
          <w:bCs/>
          <w:lang w:val="es-ES"/>
        </w:rPr>
      </w:pPr>
    </w:p>
    <w:p w14:paraId="1386E04F" w14:textId="5BC0A93D" w:rsidR="001F2109"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 xml:space="preserve">GARANTÍAS – Seguros – Oportunidad </w:t>
      </w:r>
    </w:p>
    <w:p w14:paraId="226E931D" w14:textId="77777777" w:rsidR="001F2109" w:rsidRDefault="001F2109" w:rsidP="00B408BB">
      <w:pPr>
        <w:spacing w:after="0" w:line="240" w:lineRule="auto"/>
        <w:jc w:val="both"/>
        <w:rPr>
          <w:rFonts w:ascii="Verdana" w:eastAsia="Verdana" w:hAnsi="Verdana" w:cs="Verdana"/>
          <w:b/>
          <w:bCs/>
          <w:lang w:val="es-ES"/>
        </w:rPr>
      </w:pPr>
    </w:p>
    <w:p w14:paraId="092979C8" w14:textId="77777777" w:rsidR="006F3957" w:rsidRPr="006F3957" w:rsidRDefault="006F3957" w:rsidP="00B408BB">
      <w:pPr>
        <w:spacing w:after="0" w:line="240" w:lineRule="auto"/>
        <w:jc w:val="both"/>
        <w:rPr>
          <w:rFonts w:ascii="Verdana" w:eastAsia="Verdana" w:hAnsi="Verdana" w:cs="Verdana"/>
          <w:sz w:val="20"/>
          <w:szCs w:val="20"/>
        </w:rPr>
      </w:pPr>
      <w:r w:rsidRPr="006F3957">
        <w:rPr>
          <w:rFonts w:ascii="Verdana" w:eastAsia="Verdana" w:hAnsi="Verdana" w:cs="Verdana"/>
          <w:sz w:val="20"/>
          <w:szCs w:val="20"/>
        </w:rPr>
        <w:t xml:space="preserve">De igual manera, a estas reglas sobre la oportunidad en el pago de la indemnización se suman las disposiciones relativas a la prescripción de las acciones derivadas del contrato de seguro previstas en el artículo 1081 del Código de Comercio. En virtud de esta norma, la acción ordinaria prescribe en dos años contados desde el momento en que el interesado conoció o debió conocer el hecho que da lugar al siniestro, y en todo caso, opera la prescripción extraordinaria a los cinco años desde la ocurrencia de este. </w:t>
      </w:r>
    </w:p>
    <w:p w14:paraId="30E0335C" w14:textId="77777777" w:rsidR="006F3957" w:rsidRPr="006F3957" w:rsidRDefault="006F3957" w:rsidP="00B408BB">
      <w:pPr>
        <w:spacing w:after="0" w:line="240" w:lineRule="auto"/>
        <w:jc w:val="both"/>
        <w:rPr>
          <w:rFonts w:ascii="Verdana" w:eastAsia="Verdana" w:hAnsi="Verdana" w:cs="Verdana"/>
          <w:sz w:val="20"/>
          <w:szCs w:val="20"/>
        </w:rPr>
      </w:pPr>
    </w:p>
    <w:p w14:paraId="1731A15C" w14:textId="77777777" w:rsidR="006F3957" w:rsidRPr="006F3957" w:rsidRDefault="006F3957" w:rsidP="00B408BB">
      <w:pPr>
        <w:spacing w:after="0" w:line="240" w:lineRule="auto"/>
        <w:jc w:val="both"/>
        <w:rPr>
          <w:rFonts w:ascii="Verdana" w:eastAsia="Verdana" w:hAnsi="Verdana" w:cs="Verdana"/>
          <w:sz w:val="20"/>
          <w:szCs w:val="20"/>
        </w:rPr>
      </w:pPr>
      <w:r w:rsidRPr="006F3957">
        <w:rPr>
          <w:rFonts w:ascii="Verdana" w:eastAsia="Verdana" w:hAnsi="Verdana" w:cs="Verdana"/>
          <w:sz w:val="20"/>
          <w:szCs w:val="20"/>
        </w:rPr>
        <w:t xml:space="preserve">Ahora bien, si la aseguradora objeta la reclamación o no paga dentro del término del artículo 1080 del Código de Comercio, la controversia se resuelve ante el juez </w:t>
      </w:r>
      <w:r w:rsidRPr="006F3957">
        <w:rPr>
          <w:rFonts w:ascii="Verdana" w:eastAsia="Verdana" w:hAnsi="Verdana" w:cs="Verdana"/>
          <w:sz w:val="20"/>
          <w:szCs w:val="20"/>
        </w:rPr>
        <w:lastRenderedPageBreak/>
        <w:t>competente. Para tal efecto, la póliza de seguro, acompañada de la reclamación y de la prueba de la ocurrencia del siniestro y de su cuantía, presta mérito ejecutivo en los términos del artículo 1053 del Código de Comercio, de modo que la entidad puede acudir al proceso ejecutivo o, según el caso, al proceso declarativo que corresponda. Este es el mecanismo con que cuenta la entidad de régimen especial que no ejerce facultades excepcionales para hacer efectiva la garantía cuando su reclamación es objetada. Así lo ha reconocido el Consejo de Estado, Sección Tercera, Subsección B, en la sentencia del 18 de noviembre de 2021 (Exp. 48.896), al precisar que las actuaciones de la entidad de régimen privado formalizan el reclamo a la aseguradora en los términos del artículo 1080 del Código de Comercio, sin constituir ejercicio de potestades excepcionales.</w:t>
      </w:r>
    </w:p>
    <w:p w14:paraId="522DD6F0" w14:textId="77777777" w:rsidR="001F2109" w:rsidRPr="006F3957" w:rsidRDefault="001F2109" w:rsidP="00B408BB">
      <w:pPr>
        <w:spacing w:after="0" w:line="240" w:lineRule="auto"/>
        <w:jc w:val="both"/>
        <w:rPr>
          <w:rFonts w:ascii="Verdana" w:eastAsia="Verdana" w:hAnsi="Verdana" w:cs="Verdana"/>
          <w:b/>
          <w:bCs/>
        </w:rPr>
      </w:pPr>
    </w:p>
    <w:p w14:paraId="3E878989" w14:textId="070E7F14"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 xml:space="preserve">GARANTÍAS – Entidades de régimen especial – mecanismos </w:t>
      </w:r>
    </w:p>
    <w:p w14:paraId="4A50FF4F" w14:textId="77777777" w:rsidR="007E0196" w:rsidRDefault="007E0196" w:rsidP="00B408BB">
      <w:pPr>
        <w:spacing w:after="0" w:line="240" w:lineRule="auto"/>
        <w:jc w:val="both"/>
        <w:rPr>
          <w:rFonts w:ascii="Verdana" w:eastAsia="Verdana" w:hAnsi="Verdana" w:cs="Verdana"/>
          <w:b/>
          <w:bCs/>
          <w:lang w:val="es-ES"/>
        </w:rPr>
      </w:pPr>
    </w:p>
    <w:p w14:paraId="42F330F5" w14:textId="77777777" w:rsidR="00472D1B" w:rsidRPr="00C94280" w:rsidRDefault="00472D1B" w:rsidP="00B408BB">
      <w:pPr>
        <w:spacing w:after="0" w:line="240" w:lineRule="auto"/>
        <w:jc w:val="both"/>
        <w:rPr>
          <w:rFonts w:ascii="Verdana" w:eastAsia="Verdana" w:hAnsi="Verdana" w:cs="Verdana"/>
          <w:sz w:val="20"/>
          <w:szCs w:val="20"/>
        </w:rPr>
      </w:pPr>
      <w:r w:rsidRPr="00C94280">
        <w:rPr>
          <w:rFonts w:ascii="Verdana" w:eastAsia="Verdana" w:hAnsi="Verdana" w:cs="Verdana"/>
          <w:sz w:val="20"/>
          <w:szCs w:val="20"/>
          <w:lang w:val="es-ES_tradnl"/>
        </w:rPr>
        <w:t>Al respecto, es importante tener en cuenta</w:t>
      </w:r>
      <w:r w:rsidRPr="00C94280">
        <w:rPr>
          <w:rFonts w:ascii="Verdana" w:eastAsia="Verdana" w:hAnsi="Verdana" w:cs="Verdana"/>
          <w:sz w:val="20"/>
          <w:szCs w:val="20"/>
        </w:rPr>
        <w:t xml:space="preserve"> que, frente a la implementación de mecanismos de cobertura del riesgo como el contrato de seguro, su aplicación por parte de entidades de régimen especial implica ciertas distinciones en comparación con el régimen de contratación general. En este punto, cobra importancia revisar sobre el amparo de estabilidad y calidad de la obra, la cual es motivo de consulta para su aplicación en entidades de régimen especial. Para ello, se acude a la “Guía para la Exigencia y Constitución de Garantías en los Procesos de Contratación” que hace un análisis sobre las garantías en entidades sometidas el régimen general de contratación, donde el amparo de estabilidad y calidad de la obra solo aplica respecto de daños o deterioros que se manifiesten después de que la obra haya sido entregada y recibida a satisfacción por la entidad. Este amparo no puede utilizarse para cubrir reparaciones derivadas de daños atribuibles al contratista que hayan sido conocidos antes de la entrega de la obra, pues frente a esos hechos procede la reclamación por incumplimiento. Así, en la ejecución de obras contratadas por entidades estatales, es posible que, una vez recibidas formalmente, se presenten daños o deterioros materiales en las estructuras intervenidas, los cuales sí se encuentran amparados por la garantía de estabilidad y calidad.</w:t>
      </w:r>
    </w:p>
    <w:p w14:paraId="187F79BE" w14:textId="77777777" w:rsidR="00472D1B" w:rsidRPr="00472D1B" w:rsidRDefault="00472D1B" w:rsidP="00B408BB">
      <w:pPr>
        <w:spacing w:after="0" w:line="240" w:lineRule="auto"/>
        <w:jc w:val="both"/>
        <w:rPr>
          <w:rFonts w:ascii="Verdana" w:eastAsia="Verdana" w:hAnsi="Verdana" w:cs="Verdana"/>
          <w:b/>
          <w:bCs/>
        </w:rPr>
      </w:pPr>
    </w:p>
    <w:p w14:paraId="0810DD9E" w14:textId="77777777"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 xml:space="preserve">EMPRESAS SOCIALES DEL ESTADO – Régimen especial – EGCAP – Cláusulas excepcionales </w:t>
      </w:r>
    </w:p>
    <w:p w14:paraId="068DA4C3" w14:textId="77777777" w:rsidR="007E0196" w:rsidRPr="0067627A" w:rsidRDefault="007E0196" w:rsidP="00B408BB">
      <w:pPr>
        <w:spacing w:after="0" w:line="240" w:lineRule="auto"/>
        <w:jc w:val="both"/>
        <w:rPr>
          <w:rFonts w:ascii="Verdana" w:eastAsia="Verdana" w:hAnsi="Verdana" w:cs="Verdana"/>
          <w:sz w:val="20"/>
          <w:szCs w:val="20"/>
          <w:lang w:val="es-ES"/>
        </w:rPr>
      </w:pPr>
    </w:p>
    <w:p w14:paraId="730EDFF7" w14:textId="77777777" w:rsidR="0067627A" w:rsidRPr="0067627A" w:rsidRDefault="0067627A" w:rsidP="00B408BB">
      <w:pPr>
        <w:spacing w:after="0" w:line="240" w:lineRule="auto"/>
        <w:jc w:val="both"/>
        <w:rPr>
          <w:rFonts w:ascii="Verdana" w:eastAsia="Verdana" w:hAnsi="Verdana" w:cs="Verdana"/>
          <w:sz w:val="20"/>
          <w:szCs w:val="20"/>
        </w:rPr>
      </w:pPr>
      <w:r w:rsidRPr="0067627A">
        <w:rPr>
          <w:rFonts w:ascii="Verdana" w:eastAsia="Verdana" w:hAnsi="Verdana" w:cs="Verdana"/>
          <w:sz w:val="20"/>
          <w:szCs w:val="20"/>
        </w:rPr>
        <w:t xml:space="preserve">No obstante, de manera eventual deben sujetarse a las disposiciones del Estatuto General de Contratación de la Administración Pública (EGCAP), en virtud de la habilitación especial prevista en la Ley 100 de 1993, que les permite incorporar cláusulas excepcionales siempre que decidan pactarlas. Ello implica que, cuando ejercen potestades sancionatorias, les son aplicables las reglas del procedimiento administrativo establecido en el artículo 86 de la Ley 1474 de 2011. En otras palabras, la autorización legislativa para pactar las cláusulas excepcionales de la Ley 80 de 1993 conlleva la obligación de someterse tanto a las condiciones sustanciales como procedimentales de dicho régimen, incluyendo la aplicación del artículo 86 en lo relativo a las potestades </w:t>
      </w:r>
      <w:r w:rsidRPr="0067627A">
        <w:rPr>
          <w:rFonts w:ascii="Verdana" w:eastAsia="Verdana" w:hAnsi="Verdana" w:cs="Verdana"/>
          <w:sz w:val="20"/>
          <w:szCs w:val="20"/>
        </w:rPr>
        <w:lastRenderedPageBreak/>
        <w:t xml:space="preserve">sancionatorias —caducidad, imposición unilateral de multas y cláusula penal pecuniaria—. </w:t>
      </w:r>
    </w:p>
    <w:p w14:paraId="1CB30B95" w14:textId="77777777" w:rsidR="0067627A" w:rsidRPr="0067627A" w:rsidRDefault="0067627A" w:rsidP="00B408BB">
      <w:pPr>
        <w:spacing w:after="0" w:line="240" w:lineRule="auto"/>
        <w:jc w:val="both"/>
        <w:rPr>
          <w:rFonts w:ascii="Verdana" w:eastAsia="Verdana" w:hAnsi="Verdana" w:cs="Verdana"/>
          <w:sz w:val="20"/>
          <w:szCs w:val="20"/>
        </w:rPr>
      </w:pPr>
      <w:r w:rsidRPr="0067627A">
        <w:rPr>
          <w:rFonts w:ascii="Verdana" w:eastAsia="Verdana" w:hAnsi="Verdana" w:cs="Verdana"/>
          <w:iCs/>
          <w:sz w:val="20"/>
          <w:szCs w:val="20"/>
          <w:lang w:val="es-MX"/>
        </w:rPr>
        <w:t xml:space="preserve">En referencia a esta variable, se resalta que el artículo 86 precitado regula el procedimiento especial sancionatorio con que deben regirse las entidades sometidas al Estatuto General de Contratación de la Administración Pública cuando se presenten posibles incumplimientos. Al respecto, el inciso primero del mencionado artículo dispone: </w:t>
      </w:r>
      <w:r w:rsidRPr="0067627A">
        <w:rPr>
          <w:rFonts w:ascii="Verdana" w:eastAsia="Verdana" w:hAnsi="Verdana" w:cs="Verdana"/>
          <w:sz w:val="20"/>
          <w:szCs w:val="20"/>
          <w:lang w:val="es-MX"/>
        </w:rPr>
        <w:t>“</w:t>
      </w:r>
      <w:r w:rsidRPr="0067627A">
        <w:rPr>
          <w:rFonts w:ascii="Verdana" w:eastAsia="Verdana" w:hAnsi="Verdana" w:cs="Verdana"/>
          <w:sz w:val="20"/>
          <w:szCs w:val="20"/>
        </w:rPr>
        <w:t xml:space="preserve">Las entidades sometidas al Estatuto General de Contratación de la Administración Pública </w:t>
      </w:r>
      <w:r w:rsidRPr="0067627A">
        <w:rPr>
          <w:rFonts w:ascii="Verdana" w:eastAsia="Verdana" w:hAnsi="Verdana" w:cs="Verdana"/>
          <w:i/>
          <w:sz w:val="20"/>
          <w:szCs w:val="20"/>
        </w:rPr>
        <w:t>podrán declarar el incumplimiento, cuantificando los perjuicios del mismo, imponer las multas y sanciones pactadas en el contrato,</w:t>
      </w:r>
      <w:r w:rsidRPr="0067627A">
        <w:rPr>
          <w:rFonts w:ascii="Verdana" w:eastAsia="Verdana" w:hAnsi="Verdana" w:cs="Verdana"/>
          <w:sz w:val="20"/>
          <w:szCs w:val="20"/>
        </w:rPr>
        <w:t xml:space="preserve"> y hacer efectiva la cláusula penal […]</w:t>
      </w:r>
      <w:r w:rsidRPr="0067627A">
        <w:rPr>
          <w:rFonts w:ascii="Verdana" w:eastAsia="Verdana" w:hAnsi="Verdana" w:cs="Verdana"/>
          <w:iCs/>
          <w:sz w:val="20"/>
          <w:szCs w:val="20"/>
        </w:rPr>
        <w:t>” (énfasis fuera de texto)</w:t>
      </w:r>
      <w:r w:rsidRPr="0067627A">
        <w:rPr>
          <w:rFonts w:ascii="Verdana" w:eastAsia="Verdana" w:hAnsi="Verdana" w:cs="Verdana"/>
          <w:sz w:val="20"/>
          <w:szCs w:val="20"/>
        </w:rPr>
        <w:t xml:space="preserve">. En tal sentido, este es el procedimiento establecido para hacer efectivas las sanciones contractuales, como es la caducidad del contrato y la imposición unilateral de multas y cláusula penal contractual que se derivan del incumplimiento contractual. </w:t>
      </w:r>
    </w:p>
    <w:p w14:paraId="765CAEB4" w14:textId="77777777" w:rsidR="0067627A" w:rsidRPr="007E0196" w:rsidRDefault="0067627A" w:rsidP="00B408BB">
      <w:pPr>
        <w:spacing w:after="0" w:line="240" w:lineRule="auto"/>
        <w:jc w:val="both"/>
        <w:rPr>
          <w:rFonts w:ascii="Verdana" w:eastAsia="Verdana" w:hAnsi="Verdana" w:cs="Verdana"/>
          <w:b/>
          <w:bCs/>
          <w:lang w:val="es-ES"/>
        </w:rPr>
      </w:pPr>
    </w:p>
    <w:p w14:paraId="2450FB16" w14:textId="0A12993E"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
        </w:rPr>
        <w:t xml:space="preserve">MULTAS Y CLÁUSULA PENAL – Autonomía de la voluntad – Imposición unilateral – Competencia temporal </w:t>
      </w:r>
    </w:p>
    <w:p w14:paraId="63EB6966" w14:textId="77777777" w:rsidR="007E0196" w:rsidRPr="007E0196" w:rsidRDefault="007E0196" w:rsidP="00B408BB">
      <w:pPr>
        <w:spacing w:after="0" w:line="240" w:lineRule="auto"/>
        <w:jc w:val="both"/>
        <w:rPr>
          <w:rFonts w:ascii="Verdana" w:eastAsia="Verdana" w:hAnsi="Verdana" w:cs="Verdana"/>
          <w:b/>
          <w:bCs/>
          <w:lang w:val="es-ES"/>
        </w:rPr>
      </w:pPr>
    </w:p>
    <w:p w14:paraId="3EFCC551" w14:textId="77777777" w:rsidR="00343FE7" w:rsidRDefault="00343FE7" w:rsidP="00B408BB">
      <w:pPr>
        <w:spacing w:after="0" w:line="240" w:lineRule="auto"/>
        <w:jc w:val="both"/>
        <w:rPr>
          <w:rFonts w:ascii="Verdana" w:eastAsia="Verdana" w:hAnsi="Verdana" w:cs="Verdana"/>
          <w:iCs/>
          <w:sz w:val="20"/>
          <w:szCs w:val="20"/>
          <w:lang w:val="es-ES"/>
        </w:rPr>
      </w:pPr>
      <w:r w:rsidRPr="00343FE7">
        <w:rPr>
          <w:rFonts w:ascii="Verdana" w:eastAsia="Verdana" w:hAnsi="Verdana" w:cs="Verdana"/>
          <w:iCs/>
          <w:sz w:val="20"/>
          <w:szCs w:val="20"/>
          <w:lang w:val="es-ES"/>
        </w:rPr>
        <w:t>Por lo tanto, en virtud de la autonomía de la voluntad –artículo 1602 Código Civil–, las partes de un contrato, para procurar el cumplimiento de las obligaciones a su favor, pueden pactar las cláusulas contractuales de apremio y la pena adjudicable a la parte incumplida. Su naturaleza es punitiva y se causan en los eventos en los que se configure un incumplimiento contractual del deudor.</w:t>
      </w:r>
      <w:r w:rsidRPr="00343FE7">
        <w:rPr>
          <w:rFonts w:ascii="Verdana" w:eastAsia="Verdana" w:hAnsi="Verdana" w:cs="Verdana"/>
          <w:sz w:val="20"/>
          <w:szCs w:val="20"/>
          <w:lang w:val="es-ES"/>
        </w:rPr>
        <w:t xml:space="preserve"> </w:t>
      </w:r>
      <w:r w:rsidRPr="00343FE7">
        <w:rPr>
          <w:rFonts w:ascii="Verdana" w:eastAsia="Verdana" w:hAnsi="Verdana" w:cs="Verdana"/>
          <w:iCs/>
          <w:sz w:val="20"/>
          <w:szCs w:val="20"/>
          <w:lang w:val="es-ES"/>
        </w:rPr>
        <w:t xml:space="preserve">De esta manera, tanto la imposición unilateral de las multas pactadas, como la reclamación de la cláusula penal, ocurre como manifestación de las prerrogativas de control, dirección y coerción que ejerce el Estado ante un incumplimiento por parte de sus contratistas. </w:t>
      </w:r>
    </w:p>
    <w:p w14:paraId="35851DF5" w14:textId="77777777" w:rsidR="00343FE7" w:rsidRPr="00343FE7" w:rsidRDefault="00343FE7" w:rsidP="00B408BB">
      <w:pPr>
        <w:spacing w:after="0" w:line="240" w:lineRule="auto"/>
        <w:jc w:val="both"/>
        <w:rPr>
          <w:rFonts w:ascii="Verdana" w:eastAsia="Verdana" w:hAnsi="Verdana" w:cs="Verdana"/>
          <w:iCs/>
          <w:sz w:val="20"/>
          <w:szCs w:val="20"/>
          <w:lang w:val="es-ES"/>
        </w:rPr>
      </w:pPr>
    </w:p>
    <w:p w14:paraId="3BB38C7F" w14:textId="4EDB0862" w:rsidR="007E0196" w:rsidRDefault="00343FE7" w:rsidP="00B408BB">
      <w:pPr>
        <w:spacing w:after="0" w:line="240" w:lineRule="auto"/>
        <w:jc w:val="both"/>
        <w:rPr>
          <w:rFonts w:ascii="Verdana" w:eastAsia="Verdana" w:hAnsi="Verdana" w:cs="Verdana"/>
          <w:iCs/>
          <w:sz w:val="20"/>
          <w:szCs w:val="20"/>
        </w:rPr>
      </w:pPr>
      <w:r w:rsidRPr="00343FE7">
        <w:rPr>
          <w:rFonts w:ascii="Verdana" w:eastAsia="Verdana" w:hAnsi="Verdana" w:cs="Verdana"/>
          <w:iCs/>
          <w:sz w:val="20"/>
          <w:szCs w:val="20"/>
        </w:rPr>
        <w:t>En cuanto a la competencia temporal para la imposición de sanciones por incumplimientos contractuales, esta no se determina por la denominación de la medida, sino por su naturaleza jurídica y por la función que cumple dentro de la relación contractual. En este sentido, la multa debe imponerse durante la ejecución del contrato, en tanto constituye un mecanismo de coerción orientado a conminar al cooperante al cumplimiento oportuno de sus obligaciones. Su finalidad es esencialmente preventiva y correctiva, por lo que solo resulta procedente mientras el contrato se encuentra vigente y en curso de ejecución. Por su parte, la cláusula penal pecuniaria, dada su naturaleza sancionatoria y/o indemnizatoria, puede hacerse efectiva incluso una vez finalizada la relación contractual. Esta facultad se extiende hasta el plazo previsto para la liquidación del contrato, etapa en la cual la entidad puede determinar y cuantificar los perjuicios derivados del incumplimiento, siempre que así se haya estipulado en el instrumento contractual. En tal sentido, se retoma lo expuesto en el Concepto C-939 del 24 de julio de 2026, que adoptó el criterio según el cual el límite temporal se determina por la naturaleza de la medida y por el término de que dispone la administración para liquidar el negocio jurídico</w:t>
      </w:r>
      <w:r w:rsidRPr="00343FE7">
        <w:rPr>
          <w:rFonts w:ascii="Verdana" w:eastAsia="Verdana" w:hAnsi="Verdana" w:cs="Verdana"/>
          <w:iCs/>
          <w:sz w:val="20"/>
          <w:szCs w:val="20"/>
          <w:lang w:val="es-ES"/>
        </w:rPr>
        <w:t>.</w:t>
      </w:r>
      <w:r w:rsidRPr="00343FE7">
        <w:rPr>
          <w:rFonts w:ascii="Verdana" w:eastAsia="Verdana" w:hAnsi="Verdana" w:cs="Verdana"/>
          <w:iCs/>
          <w:sz w:val="20"/>
          <w:szCs w:val="20"/>
        </w:rPr>
        <w:t xml:space="preserve"> Como lo ha expresado el Consejo de Estado con respecto a estas cláusulas, resulta pertinente precisar que la potestad sancionatoria debe ejercerse de acuerdo con el tipo de medida a imponer, a la culminación de la relación negocial o la fecha prevista para la liquidación del negocio jurídico</w:t>
      </w:r>
      <w:r>
        <w:rPr>
          <w:rFonts w:ascii="Verdana" w:eastAsia="Verdana" w:hAnsi="Verdana" w:cs="Verdana"/>
          <w:iCs/>
          <w:sz w:val="20"/>
          <w:szCs w:val="20"/>
        </w:rPr>
        <w:t>.</w:t>
      </w:r>
    </w:p>
    <w:p w14:paraId="2401EEF2" w14:textId="77777777" w:rsidR="00343FE7" w:rsidRPr="00343FE7" w:rsidRDefault="00343FE7" w:rsidP="00B408BB">
      <w:pPr>
        <w:spacing w:after="0" w:line="240" w:lineRule="auto"/>
        <w:jc w:val="both"/>
        <w:rPr>
          <w:rFonts w:ascii="Verdana" w:eastAsia="Verdana" w:hAnsi="Verdana" w:cs="Verdana"/>
          <w:sz w:val="20"/>
          <w:szCs w:val="20"/>
          <w:lang w:val="es-ES"/>
        </w:rPr>
      </w:pPr>
    </w:p>
    <w:p w14:paraId="2C478C44" w14:textId="76AF0488" w:rsidR="007E0196" w:rsidRPr="007E0196" w:rsidRDefault="007E0196" w:rsidP="00B408BB">
      <w:pPr>
        <w:spacing w:after="0" w:line="240" w:lineRule="auto"/>
        <w:jc w:val="both"/>
        <w:rPr>
          <w:rFonts w:ascii="Verdana" w:eastAsia="Verdana" w:hAnsi="Verdana" w:cs="Verdana"/>
          <w:b/>
          <w:bCs/>
          <w:lang w:val="es-ES"/>
        </w:rPr>
      </w:pPr>
      <w:r w:rsidRPr="007E0196">
        <w:rPr>
          <w:rFonts w:ascii="Verdana" w:eastAsia="Verdana" w:hAnsi="Verdana" w:cs="Verdana"/>
          <w:b/>
          <w:bCs/>
          <w:lang w:val="es-ES_tradnl"/>
        </w:rPr>
        <w:t xml:space="preserve">CLÁUSULAS EXCEPCIONALES – Incumplimiento - Procedimiento Aplicable. </w:t>
      </w:r>
    </w:p>
    <w:p w14:paraId="07AC809B" w14:textId="77777777" w:rsidR="007E0196" w:rsidRPr="00343FE7" w:rsidRDefault="007E0196" w:rsidP="00B408BB">
      <w:pPr>
        <w:spacing w:after="0" w:line="240" w:lineRule="auto"/>
        <w:jc w:val="both"/>
        <w:rPr>
          <w:rFonts w:ascii="Verdana" w:eastAsia="Verdana" w:hAnsi="Verdana" w:cs="Verdana"/>
          <w:sz w:val="20"/>
          <w:szCs w:val="20"/>
          <w:lang w:val="es-ES"/>
        </w:rPr>
      </w:pPr>
    </w:p>
    <w:p w14:paraId="3E058CF3" w14:textId="26AD610D" w:rsidR="00343FE7" w:rsidRDefault="00343FE7" w:rsidP="00B408BB">
      <w:pPr>
        <w:spacing w:after="0" w:line="240" w:lineRule="auto"/>
        <w:jc w:val="both"/>
        <w:rPr>
          <w:rFonts w:ascii="Verdana" w:eastAsia="Verdana" w:hAnsi="Verdana" w:cs="Verdana"/>
          <w:bCs/>
          <w:sz w:val="20"/>
          <w:szCs w:val="20"/>
        </w:rPr>
      </w:pPr>
      <w:r w:rsidRPr="00343FE7">
        <w:rPr>
          <w:rFonts w:ascii="Verdana" w:eastAsia="Verdana" w:hAnsi="Verdana" w:cs="Verdana"/>
          <w:bCs/>
          <w:sz w:val="20"/>
          <w:szCs w:val="20"/>
        </w:rPr>
        <w:t xml:space="preserve">Como se indicó en los apartados anteriores, a las Empresas Sociales del Estado les resulta aplicable, como regla general, el régimen privado en sus relaciones contractuales. En este sentido, como lo ha expresado la “Guía para adelantar el Proceso Administrativo Sancionatorio Contractual” expresa que cuentan con régimen especial de contratación, por lo que no cuentan con la facultad excepcional de imponer sanciones a sus contratistas incumplidos. Es decir, deben acudir al juez del contrato para dirimir los incumplimientos del contrato. </w:t>
      </w:r>
    </w:p>
    <w:p w14:paraId="5EFBD152" w14:textId="77777777" w:rsidR="00343FE7" w:rsidRPr="00343FE7" w:rsidRDefault="00343FE7" w:rsidP="00B408BB">
      <w:pPr>
        <w:spacing w:after="0" w:line="240" w:lineRule="auto"/>
        <w:jc w:val="both"/>
        <w:rPr>
          <w:rFonts w:ascii="Verdana" w:eastAsia="Verdana" w:hAnsi="Verdana" w:cs="Verdana"/>
          <w:bCs/>
          <w:sz w:val="20"/>
          <w:szCs w:val="20"/>
        </w:rPr>
      </w:pPr>
    </w:p>
    <w:p w14:paraId="75FD1087" w14:textId="77777777" w:rsidR="00343FE7" w:rsidRPr="00343FE7" w:rsidRDefault="00343FE7" w:rsidP="00B408BB">
      <w:pPr>
        <w:spacing w:after="0" w:line="240" w:lineRule="auto"/>
        <w:jc w:val="both"/>
        <w:rPr>
          <w:rFonts w:ascii="Verdana" w:eastAsia="Verdana" w:hAnsi="Verdana" w:cs="Verdana"/>
          <w:bCs/>
          <w:sz w:val="20"/>
          <w:szCs w:val="20"/>
        </w:rPr>
      </w:pPr>
      <w:r w:rsidRPr="00343FE7">
        <w:rPr>
          <w:rFonts w:ascii="Verdana" w:eastAsia="Verdana" w:hAnsi="Verdana" w:cs="Verdana"/>
          <w:bCs/>
          <w:sz w:val="20"/>
          <w:szCs w:val="20"/>
        </w:rPr>
        <w:t xml:space="preserve">No obstante, de manera eventual deben sujetarse a las disposiciones del Estatuto General de Contratación de la Administración Pública (EGCAP), en virtud de la habilitación especial prevista en la Ley 100 de 1993, que les permite incorporar cláusulas excepcionales siempre que decidan pactarlas. Ello implica que, cuando ejercen potestades sancionatorias, les son aplicables las reglas del procedimiento administrativo establecido en el artículo 86 de la Ley 1474 de 2011. En otras palabras, la autorización legislativa para pactar las cláusulas excepcionales de la Ley 80 de 1993 conlleva la obligación de someterse tanto a las condiciones sustanciales como procedimentales de dicho régimen, incluyendo la aplicación del artículo 86 en lo relativo a las potestades sancionatorias —caducidad, imposición unilateral de multas y cláusula penal pecuniaria—. </w:t>
      </w:r>
    </w:p>
    <w:p w14:paraId="08700B79" w14:textId="77777777" w:rsidR="00343FE7" w:rsidRPr="00343FE7" w:rsidRDefault="00343FE7" w:rsidP="00B408BB">
      <w:pPr>
        <w:spacing w:after="0" w:line="240" w:lineRule="auto"/>
        <w:jc w:val="both"/>
        <w:rPr>
          <w:rFonts w:ascii="Verdana" w:eastAsia="Verdana" w:hAnsi="Verdana" w:cs="Verdana"/>
          <w:bCs/>
          <w:sz w:val="20"/>
          <w:szCs w:val="20"/>
        </w:rPr>
      </w:pPr>
      <w:r w:rsidRPr="00343FE7">
        <w:rPr>
          <w:rFonts w:ascii="Verdana" w:eastAsia="Verdana" w:hAnsi="Verdana" w:cs="Verdana"/>
          <w:bCs/>
          <w:iCs/>
          <w:sz w:val="20"/>
          <w:szCs w:val="20"/>
          <w:lang w:val="es-MX"/>
        </w:rPr>
        <w:t xml:space="preserve">En referencia a esta variable, se resalta que el artículo 86 precitado regula el procedimiento especial sancionatorio con que deben regirse las entidades sometidas al Estatuto General de Contratación de la Administración Pública cuando se presenten posibles incumplimientos. Al respecto, el inciso primero del mencionado artículo dispone: </w:t>
      </w:r>
      <w:r w:rsidRPr="00343FE7">
        <w:rPr>
          <w:rFonts w:ascii="Verdana" w:eastAsia="Verdana" w:hAnsi="Verdana" w:cs="Verdana"/>
          <w:bCs/>
          <w:sz w:val="20"/>
          <w:szCs w:val="20"/>
          <w:lang w:val="es-MX"/>
        </w:rPr>
        <w:t>“</w:t>
      </w:r>
      <w:r w:rsidRPr="00343FE7">
        <w:rPr>
          <w:rFonts w:ascii="Verdana" w:eastAsia="Verdana" w:hAnsi="Verdana" w:cs="Verdana"/>
          <w:bCs/>
          <w:sz w:val="20"/>
          <w:szCs w:val="20"/>
        </w:rPr>
        <w:t xml:space="preserve">Las entidades sometidas al Estatuto General de Contratación de la Administración Pública </w:t>
      </w:r>
      <w:r w:rsidRPr="00343FE7">
        <w:rPr>
          <w:rFonts w:ascii="Verdana" w:eastAsia="Verdana" w:hAnsi="Verdana" w:cs="Verdana"/>
          <w:bCs/>
          <w:i/>
          <w:sz w:val="20"/>
          <w:szCs w:val="20"/>
        </w:rPr>
        <w:t>podrán declarar el incumplimiento, cuantificando los perjuicios del mismo, imponer las multas y sanciones pactadas en el contrato,</w:t>
      </w:r>
      <w:r w:rsidRPr="00343FE7">
        <w:rPr>
          <w:rFonts w:ascii="Verdana" w:eastAsia="Verdana" w:hAnsi="Verdana" w:cs="Verdana"/>
          <w:bCs/>
          <w:sz w:val="20"/>
          <w:szCs w:val="20"/>
        </w:rPr>
        <w:t xml:space="preserve"> y hacer efectiva la cláusula penal […]</w:t>
      </w:r>
      <w:r w:rsidRPr="00343FE7">
        <w:rPr>
          <w:rFonts w:ascii="Verdana" w:eastAsia="Verdana" w:hAnsi="Verdana" w:cs="Verdana"/>
          <w:bCs/>
          <w:iCs/>
          <w:sz w:val="20"/>
          <w:szCs w:val="20"/>
        </w:rPr>
        <w:t>” (énfasis fuera de texto)</w:t>
      </w:r>
      <w:r w:rsidRPr="00343FE7">
        <w:rPr>
          <w:rFonts w:ascii="Verdana" w:eastAsia="Verdana" w:hAnsi="Verdana" w:cs="Verdana"/>
          <w:bCs/>
          <w:sz w:val="20"/>
          <w:szCs w:val="20"/>
        </w:rPr>
        <w:t xml:space="preserve">. En tal sentido, este es el procedimiento establecido para hacer efectivas las sanciones contractuales, como es la caducidad del contrato y la imposición unilateral de multas y cláusula penal contractual que se derivan del incumplimiento contractual. </w:t>
      </w:r>
    </w:p>
    <w:p w14:paraId="2DEEE2D7" w14:textId="77777777" w:rsidR="007E0196" w:rsidRDefault="007E0196" w:rsidP="00B408BB">
      <w:pPr>
        <w:spacing w:after="0" w:line="240" w:lineRule="auto"/>
        <w:rPr>
          <w:rFonts w:ascii="Verdana" w:eastAsia="Verdana" w:hAnsi="Verdana" w:cs="Verdana"/>
        </w:rPr>
      </w:pPr>
    </w:p>
    <w:p w14:paraId="1BEF917B" w14:textId="77777777" w:rsidR="00343FE7" w:rsidRDefault="00343FE7" w:rsidP="00B408BB">
      <w:pPr>
        <w:spacing w:after="0" w:line="240" w:lineRule="auto"/>
        <w:rPr>
          <w:rFonts w:ascii="Verdana" w:eastAsia="Verdana" w:hAnsi="Verdana" w:cs="Verdana"/>
        </w:rPr>
      </w:pPr>
    </w:p>
    <w:p w14:paraId="1157A0C6" w14:textId="77777777" w:rsidR="00343FE7" w:rsidRDefault="00343FE7" w:rsidP="00B408BB">
      <w:pPr>
        <w:spacing w:after="0" w:line="240" w:lineRule="auto"/>
        <w:rPr>
          <w:rFonts w:ascii="Verdana" w:eastAsia="Verdana" w:hAnsi="Verdana" w:cs="Verdana"/>
        </w:rPr>
      </w:pPr>
    </w:p>
    <w:p w14:paraId="76759D30" w14:textId="77777777" w:rsidR="00343FE7" w:rsidRDefault="00343FE7" w:rsidP="00B408BB">
      <w:pPr>
        <w:spacing w:after="0" w:line="240" w:lineRule="auto"/>
        <w:rPr>
          <w:rFonts w:ascii="Verdana" w:eastAsia="Verdana" w:hAnsi="Verdana" w:cs="Verdana"/>
        </w:rPr>
      </w:pPr>
    </w:p>
    <w:p w14:paraId="2C2DD3F1" w14:textId="77777777" w:rsidR="00B408BB" w:rsidRDefault="00B408BB" w:rsidP="00B408BB">
      <w:pPr>
        <w:spacing w:after="0" w:line="240" w:lineRule="auto"/>
        <w:rPr>
          <w:rFonts w:ascii="Verdana" w:eastAsia="Verdana" w:hAnsi="Verdana" w:cs="Verdana"/>
        </w:rPr>
      </w:pPr>
    </w:p>
    <w:p w14:paraId="2FD5F095" w14:textId="77777777" w:rsidR="00B408BB" w:rsidRDefault="00B408BB" w:rsidP="00B408BB">
      <w:pPr>
        <w:spacing w:after="0" w:line="240" w:lineRule="auto"/>
        <w:rPr>
          <w:rFonts w:ascii="Verdana" w:eastAsia="Verdana" w:hAnsi="Verdana" w:cs="Verdana"/>
        </w:rPr>
      </w:pPr>
    </w:p>
    <w:p w14:paraId="3F44169D" w14:textId="77777777" w:rsidR="00B408BB" w:rsidRDefault="00B408BB" w:rsidP="00B408BB">
      <w:pPr>
        <w:spacing w:after="0" w:line="240" w:lineRule="auto"/>
        <w:rPr>
          <w:rFonts w:ascii="Verdana" w:eastAsia="Verdana" w:hAnsi="Verdana" w:cs="Verdana"/>
        </w:rPr>
      </w:pPr>
    </w:p>
    <w:p w14:paraId="37449577" w14:textId="77777777" w:rsidR="00B408BB" w:rsidRDefault="00B408BB" w:rsidP="00B408BB">
      <w:pPr>
        <w:spacing w:after="0" w:line="240" w:lineRule="auto"/>
        <w:rPr>
          <w:rFonts w:ascii="Verdana" w:eastAsia="Verdana" w:hAnsi="Verdana" w:cs="Verdana"/>
        </w:rPr>
      </w:pPr>
    </w:p>
    <w:p w14:paraId="31040283" w14:textId="77777777" w:rsidR="00B408BB" w:rsidRDefault="00B408BB" w:rsidP="00B408BB">
      <w:pPr>
        <w:spacing w:after="0" w:line="240" w:lineRule="auto"/>
        <w:rPr>
          <w:rFonts w:ascii="Verdana" w:eastAsia="Verdana" w:hAnsi="Verdana" w:cs="Verdana"/>
        </w:rPr>
      </w:pPr>
    </w:p>
    <w:p w14:paraId="7D076C71" w14:textId="131FE52B" w:rsidR="00E85B43" w:rsidRDefault="00E85B43" w:rsidP="00E85B43">
      <w:pPr>
        <w:spacing w:after="0"/>
        <w:rPr>
          <w:rFonts w:ascii="Verdana" w:eastAsia="Calibri" w:hAnsi="Verdana" w:cs="Times New Roman"/>
        </w:rPr>
      </w:pPr>
      <w:r w:rsidRPr="30821638">
        <w:rPr>
          <w:rFonts w:ascii="Verdana" w:eastAsia="Verdana" w:hAnsi="Verdana" w:cs="Verdana"/>
        </w:rPr>
        <w:lastRenderedPageBreak/>
        <w:t xml:space="preserve">Bogotá D.C., </w:t>
      </w:r>
      <w:r w:rsidR="00F35C4F">
        <w:rPr>
          <w:rFonts w:ascii="Verdana" w:eastAsia="Verdana" w:hAnsi="Verdana" w:cs="Verdana"/>
        </w:rPr>
        <w:t>26 de agosto de 2026</w:t>
      </w:r>
      <w:r>
        <w:tab/>
      </w:r>
      <w:r>
        <w:br/>
      </w:r>
    </w:p>
    <w:p w14:paraId="20D81860" w14:textId="729C4721" w:rsidR="00E85B43" w:rsidRPr="009037F6" w:rsidRDefault="00E85B43" w:rsidP="00E85B43">
      <w:pPr>
        <w:spacing w:after="0" w:line="240" w:lineRule="auto"/>
        <w:rPr>
          <w:rFonts w:ascii="Verdana" w:eastAsia="Calibri" w:hAnsi="Verdana" w:cs="Times New Roman"/>
        </w:rPr>
      </w:pPr>
    </w:p>
    <w:p w14:paraId="1D2BCEF4" w14:textId="49A7605D" w:rsidR="00E85B43" w:rsidRPr="009037F6" w:rsidRDefault="007F27F0" w:rsidP="00E85B43">
      <w:pPr>
        <w:spacing w:after="0" w:line="240" w:lineRule="auto"/>
        <w:rPr>
          <w:rFonts w:ascii="Verdana" w:eastAsia="Calibri" w:hAnsi="Verdana" w:cs="Times New Roman"/>
        </w:rPr>
      </w:pPr>
      <w:r w:rsidRPr="00422B13">
        <w:rPr>
          <w:noProof/>
        </w:rPr>
        <w:drawing>
          <wp:anchor distT="0" distB="0" distL="114300" distR="114300" simplePos="0" relativeHeight="251658240" behindDoc="0" locked="0" layoutInCell="1" allowOverlap="1" wp14:anchorId="078B6ED7" wp14:editId="3528B40A">
            <wp:simplePos x="0" y="0"/>
            <wp:positionH relativeFrom="margin">
              <wp:align>right</wp:align>
            </wp:positionH>
            <wp:positionV relativeFrom="paragraph">
              <wp:posOffset>6350</wp:posOffset>
            </wp:positionV>
            <wp:extent cx="2552700" cy="706120"/>
            <wp:effectExtent l="0" t="0" r="0" b="0"/>
            <wp:wrapSquare wrapText="bothSides"/>
            <wp:docPr id="6927804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270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5B43" w:rsidRPr="009037F6">
        <w:rPr>
          <w:rFonts w:ascii="Verdana" w:eastAsia="Calibri" w:hAnsi="Verdana" w:cs="Times New Roman"/>
        </w:rPr>
        <w:t xml:space="preserve">Señor </w:t>
      </w:r>
    </w:p>
    <w:p w14:paraId="34AF2355" w14:textId="77777777" w:rsidR="00E85B43" w:rsidRPr="009037F6" w:rsidRDefault="00E85B43" w:rsidP="00E85B43">
      <w:pPr>
        <w:spacing w:after="0" w:line="240" w:lineRule="auto"/>
        <w:rPr>
          <w:rFonts w:ascii="Verdana" w:eastAsia="Calibri" w:hAnsi="Verdana" w:cs="Times New Roman"/>
        </w:rPr>
      </w:pPr>
      <w:r>
        <w:rPr>
          <w:rFonts w:ascii="Verdana" w:eastAsia="Calibri" w:hAnsi="Verdana" w:cs="Times New Roman"/>
          <w:b/>
        </w:rPr>
        <w:t>Ciudadano</w:t>
      </w:r>
      <w:r w:rsidRPr="009037F6">
        <w:rPr>
          <w:rFonts w:ascii="Verdana" w:eastAsia="Calibri" w:hAnsi="Verdana" w:cs="Times New Roman"/>
        </w:rPr>
        <w:t xml:space="preserve"> </w:t>
      </w:r>
    </w:p>
    <w:p w14:paraId="3DEB52AA" w14:textId="77777777" w:rsidR="00E85B43" w:rsidRPr="009037F6" w:rsidRDefault="00E85B43" w:rsidP="00E85B43">
      <w:pPr>
        <w:spacing w:after="0" w:line="240" w:lineRule="auto"/>
        <w:rPr>
          <w:rFonts w:ascii="Verdana" w:eastAsia="Calibri" w:hAnsi="Verdana" w:cs="Times New Roman"/>
        </w:rPr>
      </w:pPr>
      <w:r w:rsidRPr="009037F6">
        <w:rPr>
          <w:rFonts w:ascii="Verdana" w:eastAsia="Calibri" w:hAnsi="Verdana" w:cs="Times New Roman"/>
        </w:rPr>
        <w:t>Bogotá D.C.</w:t>
      </w:r>
    </w:p>
    <w:p w14:paraId="07CF14FC" w14:textId="77777777" w:rsidR="00E85B43" w:rsidRPr="009037F6" w:rsidRDefault="00E85B43" w:rsidP="00E85B43">
      <w:pPr>
        <w:spacing w:after="0" w:line="240" w:lineRule="auto"/>
        <w:rPr>
          <w:rFonts w:ascii="Verdana" w:eastAsia="Calibri" w:hAnsi="Verdana" w:cs="Times New Roman"/>
        </w:rPr>
      </w:pPr>
      <w:r w:rsidRPr="009037F6">
        <w:rPr>
          <w:rFonts w:ascii="Verdana" w:eastAsia="Calibri" w:hAnsi="Verdana" w:cs="Times New Roman"/>
        </w:rPr>
        <w:t xml:space="preserve"> </w:t>
      </w:r>
    </w:p>
    <w:p w14:paraId="2E64B721" w14:textId="77777777" w:rsidR="00E85B43" w:rsidRPr="009037F6" w:rsidRDefault="00E85B43" w:rsidP="00E85B43">
      <w:pPr>
        <w:spacing w:after="0" w:line="240" w:lineRule="auto"/>
        <w:rPr>
          <w:rFonts w:ascii="Verdana" w:eastAsia="Calibri" w:hAnsi="Verdana" w:cs="Times New Roman"/>
        </w:rPr>
      </w:pPr>
    </w:p>
    <w:p w14:paraId="68D22D93" w14:textId="26985A4E" w:rsidR="00E85B43" w:rsidRPr="009037F6" w:rsidRDefault="00E85B43" w:rsidP="00E85B43">
      <w:pPr>
        <w:spacing w:after="0" w:line="256" w:lineRule="auto"/>
        <w:rPr>
          <w:rFonts w:ascii="Verdana" w:eastAsia="Calibri" w:hAnsi="Verdana" w:cs="Times New Roman"/>
          <w:b/>
          <w:bCs/>
          <w:lang w:val="es-ES"/>
        </w:rPr>
      </w:pPr>
      <w:r w:rsidRPr="009037F6">
        <w:rPr>
          <w:rFonts w:ascii="Verdana" w:eastAsia="Calibri" w:hAnsi="Verdana" w:cs="Times New Roman"/>
          <w:b/>
          <w:bCs/>
          <w:lang w:val="es-ES"/>
        </w:rPr>
        <w:t xml:space="preserve">                                    Concepto C</w:t>
      </w:r>
      <w:r w:rsidR="007F27F0">
        <w:rPr>
          <w:rFonts w:ascii="Verdana" w:eastAsia="Calibri" w:hAnsi="Verdana" w:cs="Times New Roman"/>
          <w:b/>
          <w:bCs/>
          <w:lang w:val="es-ES"/>
        </w:rPr>
        <w:t>-</w:t>
      </w:r>
      <w:r w:rsidRPr="009037F6">
        <w:rPr>
          <w:rFonts w:ascii="Verdana" w:eastAsia="Calibri" w:hAnsi="Verdana" w:cs="Times New Roman"/>
          <w:b/>
          <w:bCs/>
          <w:lang w:val="es-ES"/>
        </w:rPr>
        <w:t>1</w:t>
      </w:r>
      <w:r>
        <w:rPr>
          <w:rFonts w:ascii="Verdana" w:eastAsia="Calibri" w:hAnsi="Verdana" w:cs="Times New Roman"/>
          <w:b/>
          <w:bCs/>
          <w:lang w:val="es-ES"/>
        </w:rPr>
        <w:t>102</w:t>
      </w:r>
      <w:r w:rsidRPr="009037F6">
        <w:rPr>
          <w:rFonts w:ascii="Verdana" w:eastAsia="Calibri" w:hAnsi="Verdana" w:cs="Times New Roman"/>
          <w:b/>
          <w:bCs/>
          <w:lang w:val="es-ES"/>
        </w:rPr>
        <w:t xml:space="preserve"> de 202</w:t>
      </w:r>
      <w:r>
        <w:rPr>
          <w:rFonts w:ascii="Verdana" w:eastAsia="Calibri" w:hAnsi="Verdana" w:cs="Times New Roman"/>
          <w:b/>
          <w:bCs/>
          <w:lang w:val="es-ES"/>
        </w:rPr>
        <w:t>6</w:t>
      </w:r>
    </w:p>
    <w:p w14:paraId="622B5045" w14:textId="77777777" w:rsidR="00E85B43" w:rsidRPr="009037F6" w:rsidRDefault="00E85B43" w:rsidP="00E85B43">
      <w:pPr>
        <w:spacing w:after="0" w:line="256"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E85B43" w:rsidRPr="009037F6" w14:paraId="77BB3EE5" w14:textId="77777777" w:rsidTr="00F525BA">
        <w:trPr>
          <w:trHeight w:val="645"/>
        </w:trPr>
        <w:tc>
          <w:tcPr>
            <w:tcW w:w="2685" w:type="dxa"/>
            <w:hideMark/>
          </w:tcPr>
          <w:p w14:paraId="32B3482D" w14:textId="77777777" w:rsidR="00E85B43" w:rsidRPr="009037F6" w:rsidRDefault="00E85B43" w:rsidP="00F525BA">
            <w:pPr>
              <w:spacing w:line="256" w:lineRule="auto"/>
              <w:rPr>
                <w:rFonts w:ascii="Verdana" w:hAnsi="Verdana"/>
                <w:b/>
                <w:bCs/>
                <w:lang w:val="es-ES_tradnl"/>
              </w:rPr>
            </w:pPr>
            <w:r w:rsidRPr="009037F6">
              <w:rPr>
                <w:rFonts w:ascii="Verdana" w:hAnsi="Verdana"/>
                <w:b/>
                <w:bCs/>
                <w:lang w:val="es-ES_tradnl"/>
              </w:rPr>
              <w:t xml:space="preserve">Temas:                  </w:t>
            </w:r>
          </w:p>
        </w:tc>
        <w:tc>
          <w:tcPr>
            <w:tcW w:w="6241" w:type="dxa"/>
            <w:hideMark/>
          </w:tcPr>
          <w:p w14:paraId="22E4A969" w14:textId="00E9D815" w:rsidR="00E85B43" w:rsidRDefault="00E85B43" w:rsidP="00F525BA">
            <w:pPr>
              <w:snapToGrid w:val="0"/>
              <w:spacing w:line="276" w:lineRule="auto"/>
              <w:contextualSpacing/>
              <w:jc w:val="both"/>
              <w:rPr>
                <w:rFonts w:ascii="Verdana" w:hAnsi="Verdana" w:cs="Arial"/>
                <w:color w:val="000000" w:themeColor="text1"/>
                <w:lang w:val="es-ES"/>
              </w:rPr>
            </w:pPr>
            <w:r w:rsidRPr="00D12219">
              <w:rPr>
                <w:rFonts w:ascii="Verdana" w:hAnsi="Verdana" w:cs="Arial"/>
                <w:lang w:val="es-ES" w:eastAsia="es-ES"/>
              </w:rPr>
              <w:t xml:space="preserve">CONTRATO ESTATAL – Régimen jurídico / RÉGIMEN EXCEPCIONAL – Justificación – Criterios de clasificación / EMPRESAS SOCIALES DEL ESTADO– Naturaleza – régimen especial / </w:t>
            </w:r>
            <w:r>
              <w:rPr>
                <w:rFonts w:ascii="Verdana" w:hAnsi="Verdana" w:cs="Arial"/>
                <w:lang w:val="es-ES" w:eastAsia="es-ES"/>
              </w:rPr>
              <w:t xml:space="preserve">GARANTÍAS – Régimen General de la Contratación / GARANTÍAS – Entidades de Régimen – Aplicación – Derecho Privado / </w:t>
            </w:r>
            <w:r>
              <w:rPr>
                <w:rFonts w:ascii="Verdana" w:hAnsi="Verdana" w:cs="Arial"/>
                <w:bCs/>
                <w:lang w:val="es-ES" w:eastAsia="es-ES"/>
              </w:rPr>
              <w:t xml:space="preserve">GARANTÍAS – Estabilidad y Calidad de la Obra – Alcance / GARANTÍAS – Seguros – Oportunidad / GARANTÍAS – Entidades de régimen especial – mecanismos / </w:t>
            </w:r>
            <w:r w:rsidRPr="00D12219">
              <w:rPr>
                <w:rFonts w:ascii="Verdana" w:hAnsi="Verdana" w:cs="Arial"/>
                <w:lang w:val="es-ES" w:eastAsia="es-ES"/>
              </w:rPr>
              <w:t xml:space="preserve">EMPRESAS SOCIALES DEL ESTADO – Régimen especial – EGCAP – Cláusulas excepcionales </w:t>
            </w:r>
            <w:r w:rsidRPr="00D12219">
              <w:rPr>
                <w:rFonts w:ascii="Verdana" w:hAnsi="Verdana" w:cs="Arial"/>
                <w:lang w:val="es-ES_tradnl" w:eastAsia="es-ES"/>
              </w:rPr>
              <w:t>/</w:t>
            </w:r>
            <w:r w:rsidRPr="00100317">
              <w:rPr>
                <w:rFonts w:ascii="Verdana" w:eastAsiaTheme="minorHAnsi" w:hAnsi="Verdana" w:cs="Arial"/>
                <w:lang w:val="es-ES" w:eastAsia="es-ES"/>
              </w:rPr>
              <w:t xml:space="preserve"> </w:t>
            </w:r>
            <w:r w:rsidRPr="00100317">
              <w:rPr>
                <w:rFonts w:ascii="Verdana" w:hAnsi="Verdana" w:cs="Arial"/>
                <w:lang w:val="es-ES" w:eastAsia="es-ES"/>
              </w:rPr>
              <w:t>MULTAS Y CLÁUSULA PENAL – Autonomía de la voluntad – Imposición unilateral</w:t>
            </w:r>
            <w:r>
              <w:rPr>
                <w:rFonts w:ascii="Verdana" w:hAnsi="Verdana" w:cs="Arial"/>
                <w:lang w:val="es-ES" w:eastAsia="es-ES"/>
              </w:rPr>
              <w:t xml:space="preserve"> – Competencia temporal /</w:t>
            </w:r>
            <w:r w:rsidRPr="00D12219">
              <w:rPr>
                <w:rFonts w:ascii="Verdana" w:hAnsi="Verdana" w:cs="Arial"/>
                <w:lang w:val="es-ES_tradnl" w:eastAsia="es-ES"/>
              </w:rPr>
              <w:t xml:space="preserve"> CLÁUSULAS EXCEPCIONALES – Incumplimiento </w:t>
            </w:r>
            <w:r w:rsidR="007F27F0" w:rsidRPr="007F27F0">
              <w:rPr>
                <w:rFonts w:ascii="Verdana" w:hAnsi="Verdana" w:cs="Arial"/>
                <w:b/>
                <w:bCs/>
                <w:lang w:val="es-ES" w:eastAsia="es-ES"/>
              </w:rPr>
              <w:t>–</w:t>
            </w:r>
            <w:r w:rsidRPr="00D12219">
              <w:rPr>
                <w:rFonts w:ascii="Verdana" w:hAnsi="Verdana" w:cs="Arial"/>
                <w:lang w:val="es-ES_tradnl" w:eastAsia="es-ES"/>
              </w:rPr>
              <w:t xml:space="preserve"> Procedimiento Aplicable</w:t>
            </w:r>
          </w:p>
          <w:p w14:paraId="3943EA6D" w14:textId="77777777" w:rsidR="00E85B43" w:rsidRPr="00100317" w:rsidRDefault="00E85B43" w:rsidP="00F525BA">
            <w:pPr>
              <w:snapToGrid w:val="0"/>
              <w:spacing w:line="276" w:lineRule="auto"/>
              <w:contextualSpacing/>
              <w:jc w:val="both"/>
              <w:rPr>
                <w:rFonts w:ascii="Verdana" w:hAnsi="Verdana" w:cs="Arial"/>
                <w:lang w:val="es-ES" w:eastAsia="es-ES"/>
              </w:rPr>
            </w:pPr>
          </w:p>
        </w:tc>
        <w:tc>
          <w:tcPr>
            <w:tcW w:w="6237" w:type="dxa"/>
          </w:tcPr>
          <w:p w14:paraId="7D8523CC" w14:textId="77777777" w:rsidR="00E85B43" w:rsidRPr="009037F6" w:rsidRDefault="00E85B43" w:rsidP="00F525BA">
            <w:pPr>
              <w:spacing w:line="276" w:lineRule="auto"/>
              <w:rPr>
                <w:rFonts w:ascii="Verdana" w:hAnsi="Verdana"/>
                <w:lang w:val="es-ES"/>
              </w:rPr>
            </w:pPr>
          </w:p>
        </w:tc>
      </w:tr>
      <w:tr w:rsidR="00E85B43" w:rsidRPr="009037F6" w14:paraId="6E2786BD" w14:textId="77777777" w:rsidTr="00F525BA">
        <w:tc>
          <w:tcPr>
            <w:tcW w:w="2685" w:type="dxa"/>
          </w:tcPr>
          <w:p w14:paraId="6568C5B5" w14:textId="77777777" w:rsidR="00E85B43" w:rsidRPr="009037F6" w:rsidRDefault="00E85B43" w:rsidP="00F525BA">
            <w:pPr>
              <w:spacing w:line="256" w:lineRule="auto"/>
              <w:rPr>
                <w:rFonts w:ascii="Verdana" w:hAnsi="Verdana"/>
                <w:b/>
                <w:bCs/>
                <w:lang w:val="es-ES_tradnl"/>
              </w:rPr>
            </w:pPr>
            <w:r w:rsidRPr="009037F6">
              <w:rPr>
                <w:rFonts w:ascii="Verdana" w:hAnsi="Verdana"/>
                <w:b/>
                <w:bCs/>
                <w:lang w:val="es-ES_tradnl"/>
              </w:rPr>
              <w:t xml:space="preserve">Radicación:               </w:t>
            </w:r>
          </w:p>
        </w:tc>
        <w:tc>
          <w:tcPr>
            <w:tcW w:w="6241" w:type="dxa"/>
          </w:tcPr>
          <w:p w14:paraId="7F75ADF5" w14:textId="77777777" w:rsidR="00E85B43" w:rsidRPr="009037F6" w:rsidRDefault="00E85B43" w:rsidP="00F525BA">
            <w:pPr>
              <w:spacing w:line="257" w:lineRule="auto"/>
              <w:jc w:val="both"/>
              <w:rPr>
                <w:rFonts w:ascii="Verdana" w:hAnsi="Verdana"/>
                <w:lang w:val="es-ES_tradnl"/>
              </w:rPr>
            </w:pPr>
            <w:r w:rsidRPr="009037F6">
              <w:rPr>
                <w:rFonts w:ascii="Verdana" w:hAnsi="Verdana"/>
                <w:lang w:val="es-ES_tradnl"/>
              </w:rPr>
              <w:t xml:space="preserve">Respuesta a consulta con radicados No </w:t>
            </w:r>
            <w:r w:rsidRPr="00A10576">
              <w:rPr>
                <w:rFonts w:ascii="Verdana" w:hAnsi="Verdana"/>
              </w:rPr>
              <w:t>1_2026_07_10_009174</w:t>
            </w:r>
          </w:p>
          <w:p w14:paraId="609F7DD9" w14:textId="77777777" w:rsidR="00E85B43" w:rsidRPr="009037F6" w:rsidRDefault="00E85B43" w:rsidP="00F525BA">
            <w:pPr>
              <w:spacing w:line="257" w:lineRule="auto"/>
              <w:jc w:val="both"/>
              <w:rPr>
                <w:rFonts w:ascii="Verdana" w:hAnsi="Verdana"/>
              </w:rPr>
            </w:pPr>
          </w:p>
          <w:p w14:paraId="61ABD2C2" w14:textId="77777777" w:rsidR="00E85B43" w:rsidRPr="009037F6" w:rsidRDefault="00E85B43" w:rsidP="00F525BA">
            <w:pPr>
              <w:spacing w:line="257" w:lineRule="auto"/>
              <w:jc w:val="both"/>
              <w:rPr>
                <w:rFonts w:ascii="Verdana" w:hAnsi="Verdana"/>
              </w:rPr>
            </w:pPr>
          </w:p>
        </w:tc>
        <w:tc>
          <w:tcPr>
            <w:tcW w:w="6237" w:type="dxa"/>
          </w:tcPr>
          <w:p w14:paraId="17C15005" w14:textId="77777777" w:rsidR="00E85B43" w:rsidRPr="009037F6" w:rsidRDefault="00E85B43" w:rsidP="00F525BA">
            <w:pPr>
              <w:spacing w:line="256" w:lineRule="auto"/>
              <w:rPr>
                <w:rFonts w:ascii="Verdana" w:hAnsi="Verdana"/>
              </w:rPr>
            </w:pPr>
          </w:p>
        </w:tc>
      </w:tr>
    </w:tbl>
    <w:p w14:paraId="7D68DFF7" w14:textId="77777777" w:rsidR="00E85B43" w:rsidRDefault="00E85B43" w:rsidP="00E85B43">
      <w:pPr>
        <w:spacing w:after="0" w:line="256" w:lineRule="auto"/>
        <w:rPr>
          <w:rFonts w:ascii="Verdana" w:eastAsia="Calibri" w:hAnsi="Verdana" w:cs="Times New Roman"/>
          <w:lang w:val="es-ES"/>
        </w:rPr>
      </w:pPr>
      <w:r w:rsidRPr="009037F6">
        <w:rPr>
          <w:rFonts w:ascii="Verdana" w:eastAsia="Calibri" w:hAnsi="Verdana" w:cs="Times New Roman"/>
          <w:lang w:val="es-ES"/>
        </w:rPr>
        <w:t xml:space="preserve">Estimado </w:t>
      </w:r>
      <w:r>
        <w:rPr>
          <w:rFonts w:ascii="Verdana" w:eastAsia="Calibri" w:hAnsi="Verdana" w:cs="Times New Roman"/>
          <w:lang w:val="es-ES"/>
        </w:rPr>
        <w:t>ciudadano</w:t>
      </w:r>
    </w:p>
    <w:p w14:paraId="3B6508BB" w14:textId="77777777" w:rsidR="00E85B43" w:rsidRPr="009037F6" w:rsidRDefault="00E85B43" w:rsidP="00E85B43">
      <w:pPr>
        <w:spacing w:after="0" w:line="256" w:lineRule="auto"/>
        <w:rPr>
          <w:rFonts w:ascii="Verdana" w:eastAsia="Calibri" w:hAnsi="Verdana" w:cs="Times New Roman"/>
          <w:lang w:val="es-ES"/>
        </w:rPr>
      </w:pPr>
    </w:p>
    <w:p w14:paraId="2E0CCD78" w14:textId="77777777" w:rsidR="00E85B43" w:rsidRPr="009037F6" w:rsidRDefault="00E85B43" w:rsidP="00E85B43">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N° 469 del 2025 expedida por esta Agencia, </w:t>
      </w:r>
      <w:r w:rsidRPr="009037F6">
        <w:rPr>
          <w:rFonts w:ascii="Verdana" w:eastAsia="Calibri" w:hAnsi="Verdana" w:cs="Times New Roman"/>
          <w:bCs/>
          <w:lang w:val="es-ES" w:bidi="es-ES"/>
        </w:rPr>
        <w:t>responde la solicitud de consulta del</w:t>
      </w:r>
      <w:r>
        <w:rPr>
          <w:rFonts w:ascii="Verdana" w:eastAsia="Calibri" w:hAnsi="Verdana" w:cs="Times New Roman"/>
          <w:bCs/>
          <w:lang w:val="es-ES" w:bidi="es-ES"/>
        </w:rPr>
        <w:t xml:space="preserve"> 10 de julio de 2026</w:t>
      </w:r>
      <w:r w:rsidRPr="009037F6">
        <w:rPr>
          <w:rFonts w:ascii="Verdana" w:eastAsia="Calibri" w:hAnsi="Verdana" w:cs="Times New Roman"/>
          <w:bCs/>
          <w:lang w:val="es-ES" w:bidi="es-ES"/>
        </w:rPr>
        <w:t xml:space="preserve">, en la cual manifiesta: </w:t>
      </w:r>
    </w:p>
    <w:p w14:paraId="3C333EC6" w14:textId="77777777" w:rsidR="00E85B43" w:rsidRPr="00AD0303" w:rsidRDefault="00E85B43" w:rsidP="00E85B43">
      <w:pPr>
        <w:spacing w:after="0" w:line="240" w:lineRule="auto"/>
        <w:ind w:right="709"/>
        <w:jc w:val="both"/>
        <w:rPr>
          <w:rFonts w:ascii="Verdana" w:eastAsia="Calibri" w:hAnsi="Verdana" w:cs="Times New Roman"/>
          <w:bCs/>
          <w:sz w:val="20"/>
          <w:szCs w:val="20"/>
          <w:lang w:bidi="es-ES"/>
        </w:rPr>
      </w:pPr>
    </w:p>
    <w:p w14:paraId="14FC0507"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r w:rsidRPr="00AD0303">
        <w:rPr>
          <w:rFonts w:ascii="Verdana" w:eastAsia="Calibri" w:hAnsi="Verdana" w:cs="Times New Roman"/>
          <w:bCs/>
          <w:sz w:val="20"/>
          <w:szCs w:val="20"/>
          <w:lang w:bidi="es-ES"/>
        </w:rPr>
        <w:lastRenderedPageBreak/>
        <w:t>1. ¿Cuál es el procedimiento administrativo a que están facultadas las Empresas Sociales del Estado (E.S.E.) para hacer efectiva la garantía de estabilidad y calidad de la obra?</w:t>
      </w:r>
    </w:p>
    <w:p w14:paraId="2359A1E1"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p>
    <w:p w14:paraId="40A40164"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r w:rsidRPr="00AD0303">
        <w:rPr>
          <w:rFonts w:ascii="Verdana" w:eastAsia="Calibri" w:hAnsi="Verdana" w:cs="Times New Roman"/>
          <w:bCs/>
          <w:sz w:val="20"/>
          <w:szCs w:val="20"/>
          <w:lang w:bidi="es-ES"/>
        </w:rPr>
        <w:t>2. ¿Están obligadas las Empresas Sociales del Estado (E.S.E.), cuyo régimen contractual general es el derecho privado, a adelantar el procedimiento administrativo sancionatorio previsto en el artículo 86 de la Ley 1474 de 2011 para hacer efectiva la garantía de estabilidad y calidad de la obra frente a una compañía de seguros?</w:t>
      </w:r>
    </w:p>
    <w:p w14:paraId="6ED62C32"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p>
    <w:p w14:paraId="296A7652"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r w:rsidRPr="00AD0303">
        <w:rPr>
          <w:rFonts w:ascii="Verdana" w:eastAsia="Calibri" w:hAnsi="Verdana" w:cs="Times New Roman"/>
          <w:bCs/>
          <w:sz w:val="20"/>
          <w:szCs w:val="20"/>
          <w:lang w:bidi="es-ES"/>
        </w:rPr>
        <w:t>3. Ante la ocurrencia de un daño o deterioro de la obra durante el período de vigencia del amparo de estabilidad, y bajo un contrato regulado por el derecho privado, ¿cuál es el procedimiento legal que debe adelantar la E.S.E. para reclamar y hacer efectiva la indemnización por parte de la aseguradora? ¿Es viable realizar la reclamación bajo las normas del Código de Comercio (Art. 1077) sin necesidad de un acto administrativo previo de declaración de incumplimiento o siniestro?</w:t>
      </w:r>
    </w:p>
    <w:p w14:paraId="744A00E0"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p>
    <w:p w14:paraId="56109074"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r w:rsidRPr="00AD0303">
        <w:rPr>
          <w:rFonts w:ascii="Verdana" w:eastAsia="Calibri" w:hAnsi="Verdana" w:cs="Times New Roman"/>
          <w:bCs/>
          <w:sz w:val="20"/>
          <w:szCs w:val="20"/>
          <w:lang w:bidi="es-ES"/>
        </w:rPr>
        <w:t>4. En caso de que la aseguradora objete la reclamación argumentando la falta de un procedimiento administrativo bajo el Estatuto General de Contratación Pública, ¿qué lineamientos o mecanismos alternos de solución de controversias o acciones judiciales despliega el régimen especial de derecho privado para las entidades exceptuadas?</w:t>
      </w:r>
    </w:p>
    <w:p w14:paraId="54828E60"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p>
    <w:p w14:paraId="2F9CE9B8"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r w:rsidRPr="00AD0303">
        <w:rPr>
          <w:rFonts w:ascii="Verdana" w:eastAsia="Calibri" w:hAnsi="Verdana" w:cs="Times New Roman"/>
          <w:bCs/>
          <w:sz w:val="20"/>
          <w:szCs w:val="20"/>
          <w:lang w:bidi="es-ES"/>
        </w:rPr>
        <w:t>5. ¿Las Empresas Sociales del Estado pueden adelantar los procedimientos del Estatuto General de Contratación, con la declaratoria de incumplimiento y la afectación de las garantías, en estabilidad de la obra, después de que el contrato ya finalizó su ejecución?</w:t>
      </w:r>
    </w:p>
    <w:p w14:paraId="31BF0073"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p>
    <w:p w14:paraId="078115FF"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r w:rsidRPr="00AD0303">
        <w:rPr>
          <w:rFonts w:ascii="Verdana" w:eastAsia="Calibri" w:hAnsi="Verdana" w:cs="Times New Roman"/>
          <w:bCs/>
          <w:sz w:val="20"/>
          <w:szCs w:val="20"/>
          <w:lang w:bidi="es-ES"/>
        </w:rPr>
        <w:t>6. ¿Si las Empresas Sociales del Estado pactaron en el contrato de obra la cláusula penal, la misma se puede hacer efectiva en el procedimiento de declaratoria de incumplimiento?</w:t>
      </w:r>
    </w:p>
    <w:p w14:paraId="7E357F6C"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p>
    <w:p w14:paraId="65663D61"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r w:rsidRPr="00AD0303">
        <w:rPr>
          <w:rFonts w:ascii="Verdana" w:eastAsia="Calibri" w:hAnsi="Verdana" w:cs="Times New Roman"/>
          <w:bCs/>
          <w:sz w:val="20"/>
          <w:szCs w:val="20"/>
          <w:lang w:bidi="es-ES"/>
        </w:rPr>
        <w:t>7. ¿Qué otras facultades están establecidas por las Empresas Sociales del Estado en los procedimientos administrativos de declaratoria de incumplimientos?</w:t>
      </w:r>
    </w:p>
    <w:p w14:paraId="1E4DA8DA"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p>
    <w:p w14:paraId="24537B47" w14:textId="77777777" w:rsidR="00E85B43" w:rsidRPr="00AD0303" w:rsidRDefault="00E85B43" w:rsidP="00E85B43">
      <w:pPr>
        <w:spacing w:after="0" w:line="240" w:lineRule="auto"/>
        <w:ind w:left="709" w:right="709"/>
        <w:jc w:val="both"/>
        <w:rPr>
          <w:rFonts w:ascii="Verdana" w:eastAsia="Calibri" w:hAnsi="Verdana" w:cs="Times New Roman"/>
          <w:bCs/>
          <w:sz w:val="20"/>
          <w:szCs w:val="20"/>
          <w:lang w:bidi="es-ES"/>
        </w:rPr>
      </w:pPr>
      <w:r w:rsidRPr="00AD0303">
        <w:rPr>
          <w:rFonts w:ascii="Verdana" w:eastAsia="Calibri" w:hAnsi="Verdana" w:cs="Times New Roman"/>
          <w:bCs/>
          <w:sz w:val="20"/>
          <w:szCs w:val="20"/>
          <w:lang w:bidi="es-ES"/>
        </w:rPr>
        <w:t>8. ¿Qué normativa deben aplicar las Empresas Sociales del Estado en los procedimientos administrativos de declaratoria de incumplimientos y los mismos en que tiempos se deben llevar a cabo durante la ejecución contractual o incluso después de recibir la obra?</w:t>
      </w:r>
    </w:p>
    <w:p w14:paraId="31AD2298" w14:textId="77777777" w:rsidR="00E85B43" w:rsidRPr="009037F6" w:rsidRDefault="00E85B43" w:rsidP="00E85B43">
      <w:pPr>
        <w:spacing w:after="0" w:line="240" w:lineRule="auto"/>
        <w:ind w:right="709"/>
        <w:jc w:val="both"/>
        <w:rPr>
          <w:rFonts w:ascii="Verdana" w:eastAsia="Calibri" w:hAnsi="Verdana" w:cs="Times New Roman"/>
          <w:bCs/>
          <w:sz w:val="21"/>
          <w:szCs w:val="21"/>
          <w:lang w:bidi="es-ES"/>
        </w:rPr>
      </w:pPr>
    </w:p>
    <w:p w14:paraId="5A14E5DA" w14:textId="77777777" w:rsidR="00E85B43" w:rsidRPr="009037F6" w:rsidRDefault="00E85B43" w:rsidP="00E85B43">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 xml:space="preserve">De manera preliminar, resulta necesario acotar que esta entidad solo tiene competencia para responder consultas sobre la aplicación de normas de carácter </w:t>
      </w:r>
      <w:r w:rsidRPr="009037F6">
        <w:rPr>
          <w:rFonts w:ascii="Verdana" w:eastAsia="Calibri" w:hAnsi="Verdana" w:cs="Times New Roman"/>
          <w:lang w:val="es-ES"/>
        </w:rPr>
        <w:lastRenderedPageBreak/>
        <w:t>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6EC2C4B8" w14:textId="77777777" w:rsidR="00E85B43" w:rsidRPr="009037F6" w:rsidRDefault="00E85B43" w:rsidP="00E85B43">
      <w:pPr>
        <w:spacing w:after="12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4101AF98" w14:textId="77777777" w:rsidR="00E85B43" w:rsidRPr="009037F6" w:rsidRDefault="00E85B43" w:rsidP="00E85B43">
      <w:pPr>
        <w:spacing w:after="0" w:line="256" w:lineRule="auto"/>
        <w:rPr>
          <w:rFonts w:ascii="Verdana" w:eastAsia="Calibri" w:hAnsi="Verdana" w:cs="Times New Roman"/>
          <w:lang w:val="es-ES"/>
        </w:rPr>
      </w:pPr>
    </w:p>
    <w:p w14:paraId="78BA31A8" w14:textId="77777777" w:rsidR="00E85B43" w:rsidRPr="009037F6" w:rsidRDefault="00E85B43" w:rsidP="00E85B43">
      <w:pPr>
        <w:numPr>
          <w:ilvl w:val="0"/>
          <w:numId w:val="16"/>
        </w:numPr>
        <w:spacing w:after="0" w:line="256" w:lineRule="auto"/>
        <w:contextualSpacing/>
        <w:rPr>
          <w:rFonts w:ascii="Verdana" w:eastAsia="Calibri" w:hAnsi="Verdana" w:cs="Times New Roman"/>
          <w:b/>
          <w:bCs/>
          <w:lang w:val="es-ES"/>
        </w:rPr>
      </w:pPr>
      <w:r w:rsidRPr="009037F6">
        <w:rPr>
          <w:rFonts w:ascii="Verdana" w:eastAsia="Calibri" w:hAnsi="Verdana" w:cs="Times New Roman"/>
          <w:b/>
          <w:bCs/>
          <w:lang w:val="es-ES"/>
        </w:rPr>
        <w:t>Problema planteado:</w:t>
      </w:r>
    </w:p>
    <w:p w14:paraId="1A0FF943" w14:textId="77777777" w:rsidR="00E85B43" w:rsidRPr="009037F6" w:rsidRDefault="00E85B43" w:rsidP="00E85B43">
      <w:pPr>
        <w:spacing w:after="0" w:line="256" w:lineRule="auto"/>
        <w:rPr>
          <w:rFonts w:ascii="Verdana" w:eastAsia="Calibri" w:hAnsi="Verdana" w:cs="Times New Roman"/>
        </w:rPr>
      </w:pPr>
    </w:p>
    <w:p w14:paraId="71DA434C" w14:textId="77777777" w:rsidR="00E85B43" w:rsidRPr="00F31183" w:rsidRDefault="00E85B43" w:rsidP="00E85B43">
      <w:pPr>
        <w:spacing w:after="0" w:line="276" w:lineRule="auto"/>
        <w:jc w:val="both"/>
        <w:rPr>
          <w:rFonts w:ascii="Verdana" w:eastAsia="Calibri" w:hAnsi="Verdana" w:cs="Times New Roman"/>
          <w:bCs/>
          <w:iCs/>
        </w:rPr>
      </w:pPr>
      <w:r w:rsidRPr="009037F6">
        <w:rPr>
          <w:rFonts w:ascii="Verdana" w:eastAsia="Calibri" w:hAnsi="Verdana" w:cs="Times New Roman"/>
        </w:rPr>
        <w:t>De acuerdo con el contenido de sus solicitudes, esta Agencia procede a resolver los siguientes problemas jurídicos</w:t>
      </w:r>
      <w:r w:rsidRPr="009037F6">
        <w:rPr>
          <w:rFonts w:ascii="Verdana" w:eastAsia="Calibri" w:hAnsi="Verdana" w:cs="Times New Roman"/>
          <w:iCs/>
          <w:lang w:val="es-ES"/>
        </w:rPr>
        <w:t xml:space="preserve">: </w:t>
      </w:r>
      <w:r>
        <w:rPr>
          <w:rFonts w:ascii="Verdana" w:eastAsia="Calibri" w:hAnsi="Verdana" w:cs="Times New Roman"/>
          <w:iCs/>
          <w:lang w:val="es-ES"/>
        </w:rPr>
        <w:t xml:space="preserve">i) </w:t>
      </w:r>
      <w:r w:rsidRPr="00A50080">
        <w:rPr>
          <w:rFonts w:ascii="Verdana" w:eastAsia="Calibri" w:hAnsi="Verdana" w:cs="Times New Roman"/>
          <w:iCs/>
        </w:rPr>
        <w:t>¿Cuál es el procedimiento que deben adelantar las Empresas Sociales del Estado, bajo su régimen especial de derecho privado, para hacer efectiva la garantía de estabilidad y calidad de la obra frente al contratista o la aseguradora, y hasta qué punto están facultadas para declarar el incumplimiento y afectar las garantías una vez finalizada la ejecución contractual?</w:t>
      </w:r>
      <w:r w:rsidRPr="00E60A4F">
        <w:rPr>
          <w:rFonts w:ascii="Verdana" w:eastAsia="Calibri" w:hAnsi="Verdana" w:cs="Times New Roman"/>
          <w:iCs/>
        </w:rPr>
        <w:t xml:space="preserve"> </w:t>
      </w:r>
      <w:r>
        <w:rPr>
          <w:rFonts w:ascii="Verdana" w:eastAsia="Calibri" w:hAnsi="Verdana" w:cs="Times New Roman"/>
          <w:iCs/>
        </w:rPr>
        <w:t xml:space="preserve">ii) </w:t>
      </w:r>
      <w:r w:rsidRPr="005A09F9">
        <w:rPr>
          <w:rFonts w:ascii="Verdana" w:eastAsia="Calibri" w:hAnsi="Verdana" w:cs="Times New Roman"/>
          <w:iCs/>
        </w:rPr>
        <w:t>¿Qué normativa resulta aplicable a las Empresas Sociales del Estado en los procedimientos administrativos de declaratoria de incumplimiento, incluyendo la efectividad de la cláusula penal pactada en los contratos de obra y el ejercicio de las demás facultades sancionatorias previstas en el artículo 86 de la Ley 1474 de 2011, y en qué momentos dichos procedimientos pueden adelantarse durante la ejecución contractual o incluso con posterioridad al recibo de la obra?</w:t>
      </w:r>
    </w:p>
    <w:p w14:paraId="5D54B125" w14:textId="77777777" w:rsidR="00E85B43" w:rsidRPr="009037F6" w:rsidRDefault="00E85B43" w:rsidP="00E85B43">
      <w:pPr>
        <w:spacing w:after="0" w:line="276" w:lineRule="auto"/>
        <w:jc w:val="both"/>
        <w:rPr>
          <w:rFonts w:ascii="Verdana" w:eastAsia="Calibri" w:hAnsi="Verdana" w:cs="Times New Roman"/>
          <w:i/>
          <w:iCs/>
          <w:lang w:val="es-ES"/>
        </w:rPr>
      </w:pPr>
    </w:p>
    <w:p w14:paraId="151CC012" w14:textId="77777777" w:rsidR="00E85B43" w:rsidRPr="009037F6" w:rsidRDefault="00E85B43" w:rsidP="00E85B43">
      <w:pPr>
        <w:numPr>
          <w:ilvl w:val="0"/>
          <w:numId w:val="16"/>
        </w:numPr>
        <w:spacing w:after="0" w:line="256" w:lineRule="auto"/>
        <w:contextualSpacing/>
        <w:rPr>
          <w:rFonts w:ascii="Verdana" w:eastAsia="Calibri" w:hAnsi="Verdana" w:cs="Times New Roman"/>
          <w:b/>
          <w:bCs/>
          <w:lang w:val="es-ES"/>
        </w:rPr>
      </w:pPr>
      <w:r w:rsidRPr="009037F6">
        <w:rPr>
          <w:rFonts w:ascii="Verdana" w:eastAsia="Calibri" w:hAnsi="Verdana" w:cs="Times New Roman"/>
          <w:b/>
          <w:bCs/>
          <w:lang w:val="es-ES"/>
        </w:rPr>
        <w:lastRenderedPageBreak/>
        <w:t>Respuesta:</w:t>
      </w:r>
    </w:p>
    <w:p w14:paraId="0B012E09" w14:textId="77777777" w:rsidR="00E85B43" w:rsidRPr="009037F6" w:rsidRDefault="00E85B43" w:rsidP="00E85B43">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E85B43" w:rsidRPr="009037F6" w14:paraId="0D19B5F1" w14:textId="77777777" w:rsidTr="00F525BA">
        <w:trPr>
          <w:trHeight w:val="345"/>
          <w:jc w:val="center"/>
        </w:trPr>
        <w:tc>
          <w:tcPr>
            <w:tcW w:w="8784" w:type="dxa"/>
            <w:tcBorders>
              <w:bottom w:val="single" w:sz="4" w:space="0" w:color="auto"/>
            </w:tcBorders>
          </w:tcPr>
          <w:p w14:paraId="474FCB49" w14:textId="77777777" w:rsidR="00E85B43" w:rsidRPr="009037F6" w:rsidRDefault="00E85B43" w:rsidP="00F525BA">
            <w:pPr>
              <w:widowControl w:val="0"/>
              <w:autoSpaceDE w:val="0"/>
              <w:autoSpaceDN w:val="0"/>
              <w:spacing w:before="120" w:after="120" w:line="276" w:lineRule="auto"/>
              <w:jc w:val="both"/>
              <w:rPr>
                <w:rFonts w:ascii="Verdana" w:hAnsi="Verdana"/>
              </w:rPr>
            </w:pPr>
            <w:r w:rsidRPr="009037F6">
              <w:rPr>
                <w:rFonts w:ascii="Verdana" w:hAnsi="Verdana"/>
              </w:rPr>
              <w:t xml:space="preserve">En cuanto a los problemas jurídicos, objeto de consulta, se expresa lo siguiente: </w:t>
            </w:r>
          </w:p>
          <w:p w14:paraId="5B369C50" w14:textId="77777777" w:rsidR="00E85B43" w:rsidRPr="001E7D72" w:rsidRDefault="00E85B43" w:rsidP="00F525BA">
            <w:pPr>
              <w:spacing w:after="120" w:line="276" w:lineRule="auto"/>
              <w:jc w:val="both"/>
              <w:rPr>
                <w:rFonts w:ascii="Verdana" w:eastAsia="Calibri" w:hAnsi="Verdana" w:cs="Arial"/>
              </w:rPr>
            </w:pPr>
            <w:r>
              <w:rPr>
                <w:rFonts w:ascii="Verdana" w:eastAsia="Times New Roman" w:hAnsi="Verdana"/>
              </w:rPr>
              <w:t xml:space="preserve">i. </w:t>
            </w:r>
            <w:r>
              <w:rPr>
                <w:rFonts w:ascii="Verdana" w:eastAsia="Calibri" w:hAnsi="Verdana" w:cs="Arial"/>
                <w:color w:val="000000" w:themeColor="text1"/>
              </w:rPr>
              <w:t>En relación con el primer problema jurídico, se señala que l</w:t>
            </w:r>
            <w:r w:rsidRPr="001E7D72">
              <w:rPr>
                <w:rFonts w:ascii="Verdana" w:eastAsia="Calibri" w:hAnsi="Verdana" w:cs="Arial"/>
              </w:rPr>
              <w:t xml:space="preserve">as Empresas Sociales del Estado, al estar sometidas a un régimen especial de derecho privado, no aplican de manera automática el Estatuto General de Contratación de la Administración Pública. En </w:t>
            </w:r>
            <w:r>
              <w:rPr>
                <w:rFonts w:ascii="Verdana" w:eastAsia="Calibri" w:hAnsi="Verdana" w:cs="Arial"/>
              </w:rPr>
              <w:t>tal sentido</w:t>
            </w:r>
            <w:r w:rsidRPr="001E7D72">
              <w:rPr>
                <w:rFonts w:ascii="Verdana" w:eastAsia="Calibri" w:hAnsi="Verdana" w:cs="Arial"/>
              </w:rPr>
              <w:t>, el régimen de garantías previsto en dicho estatuto no les resulta aplicable por remisión general. Así, cuando estas entidades constituyen la garantía de estabilidad y calidad de la obra —usualmente mediante póliza de seguros—, esta debe cubrir los perjuicios derivados de vicios ocultos, mala calidad de la obra o de los materiales, así como defectos técnicos que se manifiesten con posterioridad al recibo. La cobertura debe extenderse al término que la entidad considere suficiente, previo análisis de riesgos, y siempre bajo las reglas del derecho privado.</w:t>
            </w:r>
          </w:p>
          <w:p w14:paraId="59179F60" w14:textId="77777777" w:rsidR="00E85B43" w:rsidRPr="001E7D72" w:rsidRDefault="00E85B43" w:rsidP="00F525BA">
            <w:pPr>
              <w:spacing w:after="120" w:line="276" w:lineRule="auto"/>
              <w:ind w:firstLine="708"/>
              <w:jc w:val="both"/>
              <w:rPr>
                <w:rFonts w:ascii="Verdana" w:eastAsia="Calibri" w:hAnsi="Verdana" w:cs="Arial"/>
              </w:rPr>
            </w:pPr>
            <w:r w:rsidRPr="001E7D72">
              <w:rPr>
                <w:rFonts w:ascii="Verdana" w:eastAsia="Calibri" w:hAnsi="Verdana" w:cs="Arial"/>
              </w:rPr>
              <w:t>En este marco, el procedimiento para la declaratoria del siniestro y el cobro de la póliza de cumplimiento corresponde al régimen del Código de Comercio</w:t>
            </w:r>
            <w:r>
              <w:rPr>
                <w:rFonts w:ascii="Verdana" w:eastAsia="Calibri" w:hAnsi="Verdana" w:cs="Arial"/>
              </w:rPr>
              <w:t>, como la ha expresado recientemente la “Guía para la exigencia y constitución de garantías en los procesos de contratación” de esta Agencia</w:t>
            </w:r>
            <w:r w:rsidRPr="001E7D72">
              <w:rPr>
                <w:rFonts w:ascii="Verdana" w:eastAsia="Calibri" w:hAnsi="Verdana" w:cs="Arial"/>
              </w:rPr>
              <w:t>. El artículo 1077 establece que el asegurado debe demostrar tanto la ocurrencia del siniestro como la cuantía de la pérdida. Esto implica que las E</w:t>
            </w:r>
            <w:r>
              <w:rPr>
                <w:rFonts w:ascii="Verdana" w:eastAsia="Calibri" w:hAnsi="Verdana" w:cs="Arial"/>
              </w:rPr>
              <w:t>SE</w:t>
            </w:r>
            <w:r w:rsidRPr="001E7D72">
              <w:rPr>
                <w:rFonts w:ascii="Verdana" w:eastAsia="Calibri" w:hAnsi="Verdana" w:cs="Arial"/>
              </w:rPr>
              <w:t>, al carecer de facultades para expedir actos administrativos de declaratoria de siniestro, deben acudir directamente a la aseguradora, como cualquier sujeto de derecho privado, acreditando los hechos y los perjuicios derivados. La diferencia con las entidades sometidas al régimen general es que estas últimas sí pueden declarar unilateralmente el siniestro y afectar las garantías.</w:t>
            </w:r>
            <w:r w:rsidRPr="00175757">
              <w:rPr>
                <w:rFonts w:ascii="Verdana" w:eastAsia="Calibri" w:hAnsi="Verdana" w:cs="Arial"/>
              </w:rPr>
              <w:t xml:space="preserve"> </w:t>
            </w:r>
            <w:r w:rsidRPr="00175757">
              <w:rPr>
                <w:rFonts w:ascii="Verdana" w:hAnsi="Verdana" w:cs="Arial"/>
              </w:rPr>
              <w:t>Si la aseguradora objeta la reclamación, la entidad debe acudir al juez competente; para ello, la póliza presta mérito ejecutivo conforme al artículo 1053 del Código de Comercio.</w:t>
            </w:r>
          </w:p>
          <w:p w14:paraId="7A49F871" w14:textId="77777777" w:rsidR="00E85B43" w:rsidRPr="001E7D72" w:rsidRDefault="00E85B43" w:rsidP="00F525BA">
            <w:pPr>
              <w:spacing w:after="120" w:line="276" w:lineRule="auto"/>
              <w:ind w:firstLine="708"/>
              <w:jc w:val="both"/>
              <w:rPr>
                <w:rFonts w:ascii="Verdana" w:eastAsia="Calibri" w:hAnsi="Verdana" w:cs="Arial"/>
              </w:rPr>
            </w:pPr>
            <w:r w:rsidRPr="001E7D72">
              <w:rPr>
                <w:rFonts w:ascii="Verdana" w:eastAsia="Calibri" w:hAnsi="Verdana" w:cs="Arial"/>
              </w:rPr>
              <w:t xml:space="preserve">De igual modo, el artículo 1078 del Código de Comercio dispone que, si el asegurado incumple sus obligaciones en caso de siniestro, el asegurador solo podrá deducir de la indemnización los perjuicios causados por dicho incumplimiento. La mala fe del asegurado o beneficiario en la reclamación acarrea la pérdida del derecho al pago. Por su parte, el artículo 1080, </w:t>
            </w:r>
            <w:r w:rsidRPr="001E7D72">
              <w:rPr>
                <w:rFonts w:ascii="Verdana" w:eastAsia="Calibri" w:hAnsi="Verdana" w:cs="Arial"/>
              </w:rPr>
              <w:lastRenderedPageBreak/>
              <w:t>modificado por la Ley 510 de 1999, obliga al asegurador a pagar la indemnización dentro del mes siguiente a la acreditación del derecho, incluso extrajudicialmente, y en caso de mora, reconocer intereses equivalentes al bancario corriente aumentado en la mitad. El contrato de reaseguro no altera estas obligaciones, y el asegurado puede reclamar perjuicios adicionales por la mora.</w:t>
            </w:r>
          </w:p>
          <w:p w14:paraId="02CD0DB3" w14:textId="77777777" w:rsidR="00E85B43" w:rsidRDefault="00E85B43" w:rsidP="00F525BA">
            <w:pPr>
              <w:spacing w:after="120" w:line="276" w:lineRule="auto"/>
              <w:ind w:firstLine="708"/>
              <w:jc w:val="both"/>
              <w:rPr>
                <w:rFonts w:ascii="Verdana" w:eastAsia="Calibri" w:hAnsi="Verdana" w:cs="Arial"/>
              </w:rPr>
            </w:pPr>
            <w:r w:rsidRPr="001E7D72">
              <w:rPr>
                <w:rFonts w:ascii="Verdana" w:eastAsia="Calibri" w:hAnsi="Verdana" w:cs="Arial"/>
              </w:rPr>
              <w:t>A estas reglas se suman las disposiciones del artículo 1081 del Código de Comercio sobre prescripción de las acciones derivadas del contrato de seguro: la acción ordinaria prescribe en dos años desde el conocimiento del siniestro, y la extraordinaria en cinco años desde su ocurrencia. Además, el numeral 3 del artículo 2060 del Código Civil establece la responsabilidad del constructor por la ruina o perecimiento de la obra durante diez años posteriores a su entrega, por vicios de construcción, del suelo o de los materiales. Esto significa que, una vez vencida la póliza de estabilidad y calidad, subsiste la responsabilidad legal del contratista hasta completar el término decenal.</w:t>
            </w:r>
            <w:r>
              <w:rPr>
                <w:rFonts w:ascii="Verdana" w:eastAsia="Calibri" w:hAnsi="Verdana" w:cs="Arial"/>
              </w:rPr>
              <w:t xml:space="preserve"> En consecuencia</w:t>
            </w:r>
            <w:r w:rsidRPr="001E7D72">
              <w:rPr>
                <w:rFonts w:ascii="Verdana" w:eastAsia="Calibri" w:hAnsi="Verdana" w:cs="Arial"/>
              </w:rPr>
              <w:t xml:space="preserve">, </w:t>
            </w:r>
            <w:r w:rsidRPr="00882587">
              <w:rPr>
                <w:rFonts w:ascii="Verdana" w:eastAsia="Calibri" w:hAnsi="Verdana" w:cs="Arial"/>
              </w:rPr>
              <w:t>las Empresas Sociales del Estado deben regirse, en principio, por las normas del contrato de seguro y del derecho privado para la declaratoria y reclamación de siniestros, sin que resulte procedente acudir de manera automática al Estatuto General de Contratación</w:t>
            </w:r>
            <w:r>
              <w:rPr>
                <w:rFonts w:ascii="Verdana" w:eastAsia="Calibri" w:hAnsi="Verdana" w:cs="Arial"/>
              </w:rPr>
              <w:t>.</w:t>
            </w:r>
          </w:p>
          <w:p w14:paraId="0F934F3E" w14:textId="77777777" w:rsidR="00E85B43" w:rsidRPr="00E37514" w:rsidRDefault="00E85B43" w:rsidP="00F525BA">
            <w:pPr>
              <w:spacing w:after="120" w:line="276" w:lineRule="auto"/>
              <w:ind w:firstLine="708"/>
              <w:jc w:val="both"/>
              <w:rPr>
                <w:rFonts w:ascii="Verdana" w:eastAsia="Calibri" w:hAnsi="Verdana" w:cs="Arial"/>
              </w:rPr>
            </w:pPr>
            <w:r>
              <w:rPr>
                <w:rFonts w:ascii="Verdana" w:eastAsia="Calibri" w:hAnsi="Verdana" w:cs="Arial"/>
              </w:rPr>
              <w:t>S</w:t>
            </w:r>
            <w:r w:rsidRPr="00882587">
              <w:rPr>
                <w:rFonts w:ascii="Verdana" w:eastAsia="Calibri" w:hAnsi="Verdana" w:cs="Arial"/>
              </w:rPr>
              <w:t xml:space="preserve">in embargo, el artículo 195.6 de la Ley 100 de 1993 les otorga la facultad de pactar potestades exorbitantes —multas, cláusula penal pecuniaria, caducidad y declaratoria unilateral del siniestro—, cuyo ejercicio comporta dos consecuencias: de un lado, la inclusión de cláusulas excepcionales en sus contratos no constituye una obligación imperativa, sino una decisión que debe adoptarse de manera consciente en la fase de planeación, atendiendo a la naturaleza del </w:t>
            </w:r>
            <w:r>
              <w:rPr>
                <w:rFonts w:ascii="Verdana" w:eastAsia="Calibri" w:hAnsi="Verdana" w:cs="Arial"/>
              </w:rPr>
              <w:t>contrato</w:t>
            </w:r>
            <w:r w:rsidRPr="00882587">
              <w:rPr>
                <w:rFonts w:ascii="Verdana" w:eastAsia="Calibri" w:hAnsi="Verdana" w:cs="Arial"/>
              </w:rPr>
              <w:t xml:space="preserve"> y a las necesidades de la entidad</w:t>
            </w:r>
            <w:r>
              <w:rPr>
                <w:rFonts w:ascii="Verdana" w:eastAsia="Calibri" w:hAnsi="Verdana" w:cs="Arial"/>
              </w:rPr>
              <w:t xml:space="preserve">, como se considera en la </w:t>
            </w:r>
            <w:r w:rsidRPr="00A47864">
              <w:rPr>
                <w:rFonts w:ascii="Verdana" w:eastAsia="Arial" w:hAnsi="Verdana" w:cs="Arial"/>
                <w:lang w:val="es-ES"/>
              </w:rPr>
              <w:t>Resolución No. 5185 de 2013, modificada por la Resolución 1440 del 14 de agosto de 2024, mediante la cual se fijan los lineamientos</w:t>
            </w:r>
            <w:r w:rsidRPr="00A47864">
              <w:rPr>
                <w:rFonts w:ascii="Verdana" w:eastAsia="Arial" w:hAnsi="Verdana" w:cs="Arial"/>
                <w:spacing w:val="1"/>
                <w:lang w:val="es-ES"/>
              </w:rPr>
              <w:t xml:space="preserve"> </w:t>
            </w:r>
            <w:r w:rsidRPr="00A47864">
              <w:rPr>
                <w:rFonts w:ascii="Verdana" w:eastAsia="Arial" w:hAnsi="Verdana" w:cs="Arial"/>
                <w:lang w:val="es-ES"/>
              </w:rPr>
              <w:t>para</w:t>
            </w:r>
            <w:r w:rsidRPr="00A47864">
              <w:rPr>
                <w:rFonts w:ascii="Verdana" w:eastAsia="Arial" w:hAnsi="Verdana" w:cs="Arial"/>
                <w:spacing w:val="-10"/>
                <w:lang w:val="es-ES"/>
              </w:rPr>
              <w:t xml:space="preserve"> </w:t>
            </w:r>
            <w:r w:rsidRPr="00A47864">
              <w:rPr>
                <w:rFonts w:ascii="Verdana" w:eastAsia="Arial" w:hAnsi="Verdana" w:cs="Arial"/>
                <w:lang w:val="es-ES"/>
              </w:rPr>
              <w:t>que</w:t>
            </w:r>
            <w:r w:rsidRPr="00A47864">
              <w:rPr>
                <w:rFonts w:ascii="Verdana" w:eastAsia="Arial" w:hAnsi="Verdana" w:cs="Arial"/>
                <w:spacing w:val="-10"/>
                <w:lang w:val="es-ES"/>
              </w:rPr>
              <w:t xml:space="preserve"> </w:t>
            </w:r>
            <w:r w:rsidRPr="00A47864">
              <w:rPr>
                <w:rFonts w:ascii="Verdana" w:eastAsia="Arial" w:hAnsi="Verdana" w:cs="Arial"/>
                <w:lang w:val="es-ES"/>
              </w:rPr>
              <w:t>tales</w:t>
            </w:r>
            <w:r w:rsidRPr="00A47864">
              <w:rPr>
                <w:rFonts w:ascii="Verdana" w:eastAsia="Arial" w:hAnsi="Verdana" w:cs="Arial"/>
                <w:spacing w:val="-10"/>
                <w:lang w:val="es-ES"/>
              </w:rPr>
              <w:t xml:space="preserve"> </w:t>
            </w:r>
            <w:r w:rsidRPr="00A47864">
              <w:rPr>
                <w:rFonts w:ascii="Verdana" w:eastAsia="Arial" w:hAnsi="Verdana" w:cs="Arial"/>
                <w:lang w:val="es-ES"/>
              </w:rPr>
              <w:t>entidades</w:t>
            </w:r>
            <w:r w:rsidRPr="00A47864">
              <w:rPr>
                <w:rFonts w:ascii="Verdana" w:eastAsia="Arial" w:hAnsi="Verdana" w:cs="Arial"/>
                <w:spacing w:val="-10"/>
                <w:lang w:val="es-ES"/>
              </w:rPr>
              <w:t xml:space="preserve"> </w:t>
            </w:r>
            <w:r w:rsidRPr="00A47864">
              <w:rPr>
                <w:rFonts w:ascii="Verdana" w:eastAsia="Arial" w:hAnsi="Verdana" w:cs="Arial"/>
                <w:lang w:val="es-ES"/>
              </w:rPr>
              <w:t>adopten</w:t>
            </w:r>
            <w:r w:rsidRPr="00A47864">
              <w:rPr>
                <w:rFonts w:ascii="Verdana" w:eastAsia="Arial" w:hAnsi="Verdana" w:cs="Arial"/>
                <w:spacing w:val="-10"/>
                <w:lang w:val="es-ES"/>
              </w:rPr>
              <w:t xml:space="preserve"> </w:t>
            </w:r>
            <w:r w:rsidRPr="00A47864">
              <w:rPr>
                <w:rFonts w:ascii="Verdana" w:eastAsia="Arial" w:hAnsi="Verdana" w:cs="Arial"/>
                <w:lang w:val="es-ES"/>
              </w:rPr>
              <w:t>los</w:t>
            </w:r>
            <w:r w:rsidRPr="00A47864">
              <w:rPr>
                <w:rFonts w:ascii="Verdana" w:eastAsia="Arial" w:hAnsi="Verdana" w:cs="Arial"/>
                <w:spacing w:val="-10"/>
                <w:lang w:val="es-ES"/>
              </w:rPr>
              <w:t xml:space="preserve"> </w:t>
            </w:r>
            <w:r w:rsidRPr="00A47864">
              <w:rPr>
                <w:rFonts w:ascii="Verdana" w:eastAsia="Arial" w:hAnsi="Verdana" w:cs="Arial"/>
                <w:lang w:val="es-ES"/>
              </w:rPr>
              <w:t>manuales</w:t>
            </w:r>
            <w:r w:rsidRPr="00A47864">
              <w:rPr>
                <w:rFonts w:ascii="Verdana" w:eastAsia="Arial" w:hAnsi="Verdana" w:cs="Arial"/>
                <w:spacing w:val="-10"/>
                <w:lang w:val="es-ES"/>
              </w:rPr>
              <w:t xml:space="preserve"> </w:t>
            </w:r>
            <w:r w:rsidRPr="00A47864">
              <w:rPr>
                <w:rFonts w:ascii="Verdana" w:eastAsia="Arial" w:hAnsi="Verdana" w:cs="Arial"/>
                <w:lang w:val="es-ES"/>
              </w:rPr>
              <w:t>de</w:t>
            </w:r>
            <w:r w:rsidRPr="00A47864">
              <w:rPr>
                <w:rFonts w:ascii="Verdana" w:eastAsia="Arial" w:hAnsi="Verdana" w:cs="Arial"/>
                <w:spacing w:val="-10"/>
                <w:lang w:val="es-ES"/>
              </w:rPr>
              <w:t xml:space="preserve"> </w:t>
            </w:r>
            <w:r w:rsidRPr="00A47864">
              <w:rPr>
                <w:rFonts w:ascii="Verdana" w:eastAsia="Arial" w:hAnsi="Verdana" w:cs="Arial"/>
                <w:lang w:val="es-ES"/>
              </w:rPr>
              <w:t>contratación</w:t>
            </w:r>
            <w:r w:rsidRPr="00A47864">
              <w:rPr>
                <w:rFonts w:ascii="Verdana" w:eastAsia="Arial" w:hAnsi="Verdana" w:cs="Arial"/>
                <w:spacing w:val="-10"/>
                <w:lang w:val="es-ES"/>
              </w:rPr>
              <w:t xml:space="preserve"> </w:t>
            </w:r>
            <w:r w:rsidRPr="00A47864">
              <w:rPr>
                <w:rFonts w:ascii="Verdana" w:eastAsia="Arial" w:hAnsi="Verdana" w:cs="Arial"/>
                <w:lang w:val="es-ES"/>
              </w:rPr>
              <w:t>que</w:t>
            </w:r>
            <w:r w:rsidRPr="00A47864">
              <w:rPr>
                <w:rFonts w:ascii="Verdana" w:eastAsia="Arial" w:hAnsi="Verdana" w:cs="Arial"/>
                <w:spacing w:val="-9"/>
                <w:lang w:val="es-ES"/>
              </w:rPr>
              <w:t xml:space="preserve"> </w:t>
            </w:r>
            <w:r w:rsidRPr="00A47864">
              <w:rPr>
                <w:rFonts w:ascii="Verdana" w:eastAsia="Arial" w:hAnsi="Verdana" w:cs="Arial"/>
                <w:lang w:val="es-ES"/>
              </w:rPr>
              <w:t>regirán</w:t>
            </w:r>
            <w:r w:rsidRPr="00A47864">
              <w:rPr>
                <w:rFonts w:ascii="Verdana" w:eastAsia="Arial" w:hAnsi="Verdana" w:cs="Arial"/>
                <w:spacing w:val="-10"/>
                <w:lang w:val="es-ES"/>
              </w:rPr>
              <w:t xml:space="preserve"> </w:t>
            </w:r>
            <w:r w:rsidRPr="00A47864">
              <w:rPr>
                <w:rFonts w:ascii="Verdana" w:eastAsia="Arial" w:hAnsi="Verdana" w:cs="Arial"/>
                <w:lang w:val="es-ES"/>
              </w:rPr>
              <w:t>su</w:t>
            </w:r>
            <w:r w:rsidRPr="00A47864">
              <w:rPr>
                <w:rFonts w:ascii="Verdana" w:eastAsia="Arial" w:hAnsi="Verdana" w:cs="Arial"/>
                <w:spacing w:val="-10"/>
                <w:lang w:val="es-ES"/>
              </w:rPr>
              <w:t xml:space="preserve"> </w:t>
            </w:r>
            <w:r w:rsidRPr="00A47864">
              <w:rPr>
                <w:rFonts w:ascii="Verdana" w:eastAsia="Arial" w:hAnsi="Verdana" w:cs="Arial"/>
                <w:lang w:val="es-ES"/>
              </w:rPr>
              <w:t>actividad</w:t>
            </w:r>
            <w:r w:rsidRPr="00A47864">
              <w:rPr>
                <w:rFonts w:ascii="Verdana" w:eastAsia="Arial" w:hAnsi="Verdana" w:cs="Arial"/>
                <w:spacing w:val="-59"/>
                <w:lang w:val="es-ES"/>
              </w:rPr>
              <w:t xml:space="preserve"> </w:t>
            </w:r>
            <w:r w:rsidRPr="00A47864">
              <w:rPr>
                <w:rFonts w:ascii="Verdana" w:eastAsia="Arial" w:hAnsi="Verdana" w:cs="Arial"/>
                <w:lang w:val="es-ES"/>
              </w:rPr>
              <w:t>contractual</w:t>
            </w:r>
            <w:r>
              <w:rPr>
                <w:rFonts w:ascii="Verdana" w:eastAsia="Arial" w:hAnsi="Verdana" w:cs="Arial"/>
                <w:lang w:val="es-ES"/>
              </w:rPr>
              <w:t>, por parte del Ministerio de Salud</w:t>
            </w:r>
            <w:r w:rsidRPr="00882587">
              <w:rPr>
                <w:rFonts w:ascii="Verdana" w:eastAsia="Calibri" w:hAnsi="Verdana" w:cs="Arial"/>
              </w:rPr>
              <w:t>; y de otro</w:t>
            </w:r>
            <w:r>
              <w:rPr>
                <w:rFonts w:ascii="Verdana" w:eastAsia="Calibri" w:hAnsi="Verdana" w:cs="Arial"/>
              </w:rPr>
              <w:t xml:space="preserve"> lado</w:t>
            </w:r>
            <w:r w:rsidRPr="00882587">
              <w:rPr>
                <w:rFonts w:ascii="Verdana" w:eastAsia="Calibri" w:hAnsi="Verdana" w:cs="Arial"/>
              </w:rPr>
              <w:t xml:space="preserve">, cuando ejercen potestades sancionatorias, deben someterse al procedimiento administrativo especial previsto en el artículo 86 de la Ley 1474 de 2011, de modo que la habilitación legislativa para pactar las cláusulas excepcionales de la Ley 80 de 1993 implica la obligación correlativa de observar tanto las condiciones sustantivas como las procedimentales de dicho </w:t>
            </w:r>
            <w:r w:rsidRPr="00882587">
              <w:rPr>
                <w:rFonts w:ascii="Verdana" w:eastAsia="Calibri" w:hAnsi="Verdana" w:cs="Arial"/>
              </w:rPr>
              <w:lastRenderedPageBreak/>
              <w:t>régimen, incluyendo la aplicación del artículo 86 en lo relativo a la caducidad, la imposición unilateral de multas y la cláusula penal pecuniaria</w:t>
            </w:r>
            <w:r>
              <w:rPr>
                <w:rFonts w:ascii="Verdana" w:eastAsia="Calibri" w:hAnsi="Verdana" w:cs="Arial"/>
              </w:rPr>
              <w:t xml:space="preserve"> (Respuestas a las preguntas de la 1 a la 5). </w:t>
            </w:r>
          </w:p>
          <w:p w14:paraId="2153AE62" w14:textId="77777777" w:rsidR="00E85B43" w:rsidRPr="00591166" w:rsidRDefault="00E85B43" w:rsidP="00F525BA">
            <w:pPr>
              <w:spacing w:before="120" w:after="120" w:line="276" w:lineRule="auto"/>
              <w:jc w:val="both"/>
              <w:rPr>
                <w:rFonts w:ascii="Verdana" w:eastAsia="Times New Roman" w:hAnsi="Verdana"/>
              </w:rPr>
            </w:pPr>
            <w:r w:rsidRPr="00E576A5">
              <w:rPr>
                <w:rFonts w:ascii="Verdana" w:eastAsia="Times New Roman" w:hAnsi="Verdana"/>
              </w:rPr>
              <w:t>ii.</w:t>
            </w:r>
            <w:r>
              <w:rPr>
                <w:rFonts w:ascii="Verdana" w:eastAsia="Times New Roman" w:hAnsi="Verdana"/>
              </w:rPr>
              <w:t xml:space="preserve"> En relación con el segundo problema jurídico, se expresa que </w:t>
            </w:r>
            <w:r w:rsidRPr="00100317">
              <w:rPr>
                <w:rFonts w:ascii="Verdana" w:eastAsia="Times New Roman" w:hAnsi="Verdana"/>
              </w:rPr>
              <w:t>las Empresas Sociales del Estado pactan válidamente en el contrato de obra una cláusula penal pecuniaria, esta puede hacerse efectiva dentro del procedimiento administrativo de declaratoria de incumplimiento, siempre que la entidad cuente con habilitación legal o contractual para ejercer potestades unilaterales y se garantice el debido proceso</w:t>
            </w:r>
            <w:r>
              <w:rPr>
                <w:rFonts w:ascii="Verdana" w:eastAsia="Times New Roman" w:hAnsi="Verdana"/>
              </w:rPr>
              <w:t>, como lo ha expresado la “Guía para adelantar el Procedimiento Sancionatorio Contractual” que expidió recientemente la Agencia</w:t>
            </w:r>
            <w:r w:rsidRPr="00100317">
              <w:rPr>
                <w:rFonts w:ascii="Verdana" w:eastAsia="Times New Roman" w:hAnsi="Verdana"/>
              </w:rPr>
              <w:t>. En efecto, el artículo 86 de la Ley 1474 de 2011 prevé un procedimiento especial que faculta a las entidades sometidas al Estatuto General de Contratación para: i) declarar el incumplimiento del contrato, cuantificando los perjuicios derivados; ii) imponer las multas y sanciones pactadas; y iii) hacer efectiva la cláusula penal pecuniaria cuando haya sido incluida en el contrato. Así, las Empresas Sociales del Estado que deciden incorporar cláusulas excepcionales en virtud del artículo 195.6 de la Ley 100 de 1993 deben someterse al régimen procedimental del artículo 86, lo que les otorga un conjunto de facultades sancionatorias —caducidad, multas, cláusula penal y declaratoria de incumplimiento— que refuerzan su capacidad de protección del interés público en la ejecución contractual.</w:t>
            </w:r>
          </w:p>
          <w:p w14:paraId="22559A34" w14:textId="77777777" w:rsidR="00E85B43" w:rsidRDefault="00E85B43" w:rsidP="00F525BA">
            <w:pPr>
              <w:spacing w:after="120" w:line="276" w:lineRule="auto"/>
              <w:ind w:firstLine="709"/>
              <w:jc w:val="both"/>
              <w:rPr>
                <w:rFonts w:ascii="Verdana" w:eastAsia="Times New Roman" w:hAnsi="Verdana" w:cs="Arial"/>
                <w:iCs/>
                <w:lang w:eastAsia="es-ES_tradnl"/>
              </w:rPr>
            </w:pPr>
            <w:r>
              <w:rPr>
                <w:rFonts w:ascii="Verdana" w:eastAsia="Times New Roman" w:hAnsi="Verdana"/>
              </w:rPr>
              <w:t xml:space="preserve">En este contexto, debe tenerse presente </w:t>
            </w:r>
            <w:r>
              <w:rPr>
                <w:rFonts w:ascii="Verdana" w:hAnsi="Verdana" w:cs="Arial"/>
                <w:iCs/>
                <w:lang w:eastAsia="es-ES_tradnl"/>
              </w:rPr>
              <w:t>en torno a</w:t>
            </w:r>
            <w:r w:rsidRPr="00BE4AA0">
              <w:rPr>
                <w:rFonts w:ascii="Verdana" w:hAnsi="Verdana" w:cs="Arial"/>
                <w:iCs/>
                <w:lang w:eastAsia="es-ES_tradnl"/>
              </w:rPr>
              <w:t xml:space="preserve"> la competencia temporal para la imposición de sanciones por incumplimientos contractuales, esta no se determina por la denominación de la medida, sino por su naturaleza jurídica y por la función que cumple dentro de la relación contractual. </w:t>
            </w:r>
            <w:r w:rsidRPr="00BE4AA0">
              <w:rPr>
                <w:rFonts w:ascii="Verdana" w:eastAsia="Times New Roman" w:hAnsi="Verdana" w:cs="Arial"/>
                <w:iCs/>
                <w:lang w:eastAsia="es-ES_tradnl"/>
              </w:rPr>
              <w:t>En este sentido, la multa debe imponerse durante la ejecución del con</w:t>
            </w:r>
            <w:r>
              <w:rPr>
                <w:rFonts w:ascii="Verdana" w:eastAsia="Times New Roman" w:hAnsi="Verdana" w:cs="Arial"/>
                <w:iCs/>
                <w:lang w:eastAsia="es-ES_tradnl"/>
              </w:rPr>
              <w:t>trato</w:t>
            </w:r>
            <w:r w:rsidRPr="00BE4AA0">
              <w:rPr>
                <w:rFonts w:ascii="Verdana" w:eastAsia="Times New Roman" w:hAnsi="Verdana" w:cs="Arial"/>
                <w:iCs/>
                <w:lang w:eastAsia="es-ES_tradnl"/>
              </w:rPr>
              <w:t>, en tanto constituye un mecanismo de coerción orientado a conminar al cooperante al cumplimiento oportuno de sus obligaciones. Su finalidad es esencialmente preventiva y correctiva, por lo que solo resulta procedente mientras el c</w:t>
            </w:r>
            <w:r>
              <w:rPr>
                <w:rFonts w:ascii="Verdana" w:eastAsia="Times New Roman" w:hAnsi="Verdana" w:cs="Arial"/>
                <w:iCs/>
                <w:lang w:eastAsia="es-ES_tradnl"/>
              </w:rPr>
              <w:t>ontrato</w:t>
            </w:r>
            <w:r w:rsidRPr="00BE4AA0">
              <w:rPr>
                <w:rFonts w:ascii="Verdana" w:eastAsia="Times New Roman" w:hAnsi="Verdana" w:cs="Arial"/>
                <w:iCs/>
                <w:lang w:eastAsia="es-ES_tradnl"/>
              </w:rPr>
              <w:t xml:space="preserve"> se encuentra vigente y en curso de ejecución.</w:t>
            </w:r>
            <w:r w:rsidRPr="00BE4AA0">
              <w:rPr>
                <w:rFonts w:ascii="Verdana" w:hAnsi="Verdana" w:cs="Arial"/>
                <w:iCs/>
                <w:lang w:eastAsia="es-ES_tradnl"/>
              </w:rPr>
              <w:t xml:space="preserve"> </w:t>
            </w:r>
            <w:r w:rsidRPr="00BE4AA0">
              <w:rPr>
                <w:rFonts w:ascii="Verdana" w:eastAsia="Times New Roman" w:hAnsi="Verdana" w:cs="Arial"/>
                <w:iCs/>
                <w:lang w:eastAsia="es-ES_tradnl"/>
              </w:rPr>
              <w:t>Por su parte, la cláusula penal pecuniaria, dada su naturaleza sancionatoria y/o indemnizatoria, puede hacerse efectiva incluso una vez finalizada la relación contractual. Esta facultad se extiende hasta el plazo previsto para la liquidación del</w:t>
            </w:r>
            <w:r>
              <w:rPr>
                <w:rFonts w:ascii="Verdana" w:eastAsia="Times New Roman" w:hAnsi="Verdana" w:cs="Arial"/>
                <w:iCs/>
                <w:lang w:eastAsia="es-ES_tradnl"/>
              </w:rPr>
              <w:t xml:space="preserve"> contrato</w:t>
            </w:r>
            <w:r w:rsidRPr="00BE4AA0">
              <w:rPr>
                <w:rFonts w:ascii="Verdana" w:eastAsia="Times New Roman" w:hAnsi="Verdana" w:cs="Arial"/>
                <w:iCs/>
                <w:lang w:eastAsia="es-ES_tradnl"/>
              </w:rPr>
              <w:t xml:space="preserve">, etapa en la cual la entidad puede determinar y </w:t>
            </w:r>
            <w:r w:rsidRPr="00BE4AA0">
              <w:rPr>
                <w:rFonts w:ascii="Verdana" w:eastAsia="Times New Roman" w:hAnsi="Verdana" w:cs="Arial"/>
                <w:iCs/>
                <w:lang w:eastAsia="es-ES_tradnl"/>
              </w:rPr>
              <w:lastRenderedPageBreak/>
              <w:t xml:space="preserve">cuantificar los perjuicios derivados del incumplimiento, siempre que así se haya estipulado en el instrumento contractual. </w:t>
            </w:r>
          </w:p>
          <w:p w14:paraId="490983FF" w14:textId="77777777" w:rsidR="00E85B43" w:rsidRPr="005A09F9" w:rsidRDefault="00E85B43" w:rsidP="00F525BA">
            <w:pPr>
              <w:spacing w:after="120" w:line="276" w:lineRule="auto"/>
              <w:ind w:firstLine="709"/>
              <w:jc w:val="both"/>
              <w:rPr>
                <w:rFonts w:ascii="Verdana" w:eastAsia="Times New Roman" w:hAnsi="Verdana" w:cs="Arial"/>
                <w:iCs/>
                <w:lang w:eastAsia="es-ES_tradnl"/>
              </w:rPr>
            </w:pPr>
            <w:r>
              <w:rPr>
                <w:rFonts w:ascii="Verdana" w:eastAsia="Times New Roman" w:hAnsi="Verdana" w:cs="Arial"/>
                <w:iCs/>
                <w:lang w:eastAsia="es-ES_tradnl"/>
              </w:rPr>
              <w:t xml:space="preserve">Ahora bien, </w:t>
            </w:r>
            <w:r w:rsidRPr="005A09F9">
              <w:rPr>
                <w:rFonts w:ascii="Verdana" w:eastAsia="Times New Roman" w:hAnsi="Verdana" w:cs="Arial"/>
                <w:iCs/>
                <w:lang w:eastAsia="es-ES_tradnl"/>
              </w:rPr>
              <w:t>Durante la vigencia de las garantías de estabilidad y calidad en las entidades de régimen especial, estas deben fijar un plazo razonable conforme al análisis realizado en la etapa precontractual. En el régimen general, dicho término se encuentra regulado por el Decreto 1082 de 2015, modificado por el Decreto 399 de 2021, que establece una cobertura mínima de cinco años contados desde el recibo de la obra, sin perjuicio de la responsabilidad decenal prevista en el artículo 2060 del Código Civil</w:t>
            </w:r>
            <w:r>
              <w:rPr>
                <w:rFonts w:ascii="Verdana" w:eastAsia="Times New Roman" w:hAnsi="Verdana" w:cs="Arial"/>
                <w:iCs/>
                <w:lang w:eastAsia="es-ES_tradnl"/>
              </w:rPr>
              <w:t xml:space="preserve"> (Respuestas de las preguntas de la 6 a la 8). </w:t>
            </w:r>
          </w:p>
        </w:tc>
      </w:tr>
    </w:tbl>
    <w:p w14:paraId="2E658C09" w14:textId="77777777" w:rsidR="00E85B43" w:rsidRPr="009037F6" w:rsidRDefault="00E85B43" w:rsidP="00E85B43">
      <w:pPr>
        <w:spacing w:after="0" w:line="276" w:lineRule="auto"/>
        <w:jc w:val="both"/>
        <w:rPr>
          <w:rFonts w:ascii="Verdana" w:eastAsia="Calibri" w:hAnsi="Verdana" w:cs="Arial"/>
          <w:bCs/>
          <w:color w:val="000000" w:themeColor="text1"/>
        </w:rPr>
      </w:pPr>
    </w:p>
    <w:p w14:paraId="08B9F291" w14:textId="77777777" w:rsidR="00E85B43" w:rsidRPr="009037F6" w:rsidRDefault="00E85B43" w:rsidP="00E85B43">
      <w:pPr>
        <w:numPr>
          <w:ilvl w:val="0"/>
          <w:numId w:val="16"/>
        </w:numPr>
        <w:tabs>
          <w:tab w:val="left" w:pos="2268"/>
        </w:tabs>
        <w:spacing w:after="0" w:line="256" w:lineRule="auto"/>
        <w:rPr>
          <w:rFonts w:ascii="Verdana" w:eastAsia="Calibri" w:hAnsi="Verdana" w:cs="Times New Roman"/>
          <w:b/>
          <w:bCs/>
          <w:lang w:val="es-ES"/>
        </w:rPr>
      </w:pPr>
      <w:r w:rsidRPr="009037F6">
        <w:rPr>
          <w:rFonts w:ascii="Verdana" w:eastAsia="Calibri" w:hAnsi="Verdana" w:cs="Times New Roman"/>
          <w:b/>
          <w:bCs/>
          <w:lang w:val="es-ES"/>
        </w:rPr>
        <w:t>Razones de la respuesta:</w:t>
      </w:r>
    </w:p>
    <w:p w14:paraId="609B481D" w14:textId="77777777" w:rsidR="00E85B43" w:rsidRPr="009037F6" w:rsidRDefault="00E85B43" w:rsidP="00E85B43">
      <w:pPr>
        <w:spacing w:after="0" w:line="256" w:lineRule="auto"/>
        <w:rPr>
          <w:rFonts w:ascii="Verdana" w:eastAsia="Calibri" w:hAnsi="Verdana" w:cs="Times New Roman"/>
          <w:b/>
          <w:bCs/>
          <w:lang w:val="es-ES"/>
        </w:rPr>
      </w:pPr>
    </w:p>
    <w:p w14:paraId="402A7D84" w14:textId="77777777" w:rsidR="00E85B43" w:rsidRPr="009037F6" w:rsidRDefault="00E85B43" w:rsidP="00E85B43">
      <w:pPr>
        <w:spacing w:after="0" w:line="276" w:lineRule="auto"/>
        <w:jc w:val="both"/>
        <w:rPr>
          <w:rFonts w:ascii="Verdana" w:eastAsia="Calibri" w:hAnsi="Verdana" w:cs="Arial"/>
          <w:lang w:val="es-ES"/>
        </w:rPr>
      </w:pPr>
      <w:r w:rsidRPr="009037F6">
        <w:rPr>
          <w:rFonts w:ascii="Verdana" w:eastAsia="Calibri" w:hAnsi="Verdana" w:cs="Arial"/>
          <w:lang w:val="es-ES"/>
        </w:rPr>
        <w:t>Lo anterior se sustenta en las siguientes consideraciones:</w:t>
      </w:r>
    </w:p>
    <w:p w14:paraId="391E09E5" w14:textId="77777777" w:rsidR="00E85B43" w:rsidRPr="00415608" w:rsidRDefault="00E85B43" w:rsidP="00E85B43">
      <w:pPr>
        <w:spacing w:after="0" w:line="276" w:lineRule="auto"/>
        <w:jc w:val="both"/>
        <w:rPr>
          <w:rFonts w:ascii="Verdana" w:eastAsia="Calibri" w:hAnsi="Verdana" w:cs="Arial"/>
          <w:lang w:val="es-ES"/>
        </w:rPr>
      </w:pPr>
    </w:p>
    <w:p w14:paraId="506E60F8" w14:textId="77777777" w:rsidR="00E85B43" w:rsidRPr="00501E29" w:rsidRDefault="00E85B43" w:rsidP="00E85B43">
      <w:pPr>
        <w:spacing w:after="120" w:line="276" w:lineRule="auto"/>
        <w:jc w:val="both"/>
        <w:rPr>
          <w:rFonts w:ascii="Verdana" w:hAnsi="Verdana" w:cs="Arial"/>
        </w:rPr>
      </w:pPr>
      <w:r w:rsidRPr="00501E29">
        <w:rPr>
          <w:rFonts w:ascii="Verdana" w:eastAsia="Calibri" w:hAnsi="Verdana" w:cs="Arial"/>
          <w:bCs/>
          <w:lang w:val="es-ES_tradnl"/>
        </w:rPr>
        <w:t xml:space="preserve">i. </w:t>
      </w:r>
      <w:r w:rsidRPr="00501E29">
        <w:rPr>
          <w:rFonts w:ascii="Verdana" w:eastAsia="Calibri" w:hAnsi="Verdana" w:cs="Arial"/>
          <w:lang w:val="es-ES"/>
        </w:rPr>
        <w:t>Respecto al régimen jurídico</w:t>
      </w:r>
      <w:r>
        <w:rPr>
          <w:rFonts w:ascii="Verdana" w:eastAsia="Calibri" w:hAnsi="Verdana" w:cs="Arial"/>
          <w:lang w:val="es-ES"/>
        </w:rPr>
        <w:t xml:space="preserve"> de las </w:t>
      </w:r>
      <w:r w:rsidRPr="0089671A">
        <w:rPr>
          <w:rFonts w:ascii="Verdana" w:eastAsia="Calibri" w:hAnsi="Verdana" w:cs="Arial"/>
          <w:lang w:val="es-ES"/>
        </w:rPr>
        <w:t>Entidades Estatales</w:t>
      </w:r>
      <w:r w:rsidRPr="00501E29">
        <w:rPr>
          <w:rFonts w:ascii="Verdana" w:eastAsia="Calibri" w:hAnsi="Verdana" w:cs="Arial"/>
          <w:lang w:val="es-ES"/>
        </w:rPr>
        <w:t xml:space="preserve">, es necesario tener en cuenta que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501E29">
        <w:rPr>
          <w:rFonts w:ascii="Verdana" w:hAnsi="Verdana" w:cs="Arial"/>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358AEE93" w14:textId="77777777" w:rsidR="00E85B43" w:rsidRPr="00501E29" w:rsidRDefault="00E85B43" w:rsidP="00E85B43">
      <w:pPr>
        <w:spacing w:after="120" w:line="276" w:lineRule="auto"/>
        <w:ind w:firstLine="709"/>
        <w:jc w:val="both"/>
        <w:rPr>
          <w:rFonts w:ascii="Verdana" w:hAnsi="Verdana" w:cs="Arial"/>
        </w:rPr>
      </w:pPr>
      <w:r w:rsidRPr="00501E29">
        <w:rPr>
          <w:rFonts w:ascii="Verdana" w:hAnsi="Verdana" w:cs="Arial"/>
        </w:rPr>
        <w:t>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w:t>
      </w:r>
      <w:r>
        <w:rPr>
          <w:rFonts w:ascii="Verdana" w:hAnsi="Verdana" w:cs="Arial"/>
        </w:rPr>
        <w:t>tonomía de la voluntad” –art. 32</w:t>
      </w:r>
      <w:r w:rsidRPr="00501E29">
        <w:rPr>
          <w:rFonts w:ascii="Verdana" w:hAnsi="Verdana" w:cs="Arial"/>
        </w:rPr>
        <w:t>, inciso primero–. Asimismo, dispone que “Las estipulaciones de los contratos serán las que</w:t>
      </w:r>
      <w:r>
        <w:rPr>
          <w:rFonts w:ascii="Verdana" w:hAnsi="Verdana" w:cs="Arial"/>
        </w:rPr>
        <w:t>,</w:t>
      </w:r>
      <w:r w:rsidRPr="00501E29">
        <w:rPr>
          <w:rFonts w:ascii="Verdana" w:hAnsi="Verdana" w:cs="Arial"/>
        </w:rPr>
        <w:t xml:space="preserve"> de acuerdo con las normas civiles, comerciales y las previstas en esta ley, correspondan a su esencia y naturaleza” –art. 40, inciso primero–.</w:t>
      </w:r>
    </w:p>
    <w:p w14:paraId="2DEF4722" w14:textId="77777777" w:rsidR="00E85B43" w:rsidRPr="00501E29" w:rsidRDefault="00E85B43" w:rsidP="00E85B43">
      <w:pPr>
        <w:spacing w:after="0" w:line="276" w:lineRule="auto"/>
        <w:ind w:firstLine="708"/>
        <w:jc w:val="both"/>
        <w:rPr>
          <w:rFonts w:ascii="Verdana" w:hAnsi="Verdana" w:cs="Arial"/>
        </w:rPr>
      </w:pPr>
      <w:r w:rsidRPr="00501E29">
        <w:rPr>
          <w:rFonts w:ascii="Verdana" w:hAnsi="Verdana" w:cs="Arial"/>
        </w:rPr>
        <w:t>De esta manera, los contratos de las entidades s</w:t>
      </w:r>
      <w:r>
        <w:rPr>
          <w:rFonts w:ascii="Verdana" w:hAnsi="Verdana" w:cs="Arial"/>
        </w:rPr>
        <w:t>ujetas</w:t>
      </w:r>
      <w:r w:rsidRPr="00501E29">
        <w:rPr>
          <w:rFonts w:ascii="Verdana" w:hAnsi="Verdana" w:cs="Arial"/>
        </w:rPr>
        <w:t xml:space="preserve"> al Estatuto General de Contratación se rigen generalmente por el derecho privado y </w:t>
      </w:r>
      <w:r w:rsidRPr="00501E29">
        <w:rPr>
          <w:rFonts w:ascii="Verdana" w:hAnsi="Verdana" w:cs="Arial"/>
        </w:rPr>
        <w:lastRenderedPageBreak/>
        <w:t>excepcionalmente por el derecho público, pues las normas civiles y comerciales son el derecho común de los contratos estatales</w:t>
      </w:r>
      <w:r w:rsidRPr="00501E29">
        <w:rPr>
          <w:rStyle w:val="Refdenotaalpie"/>
          <w:rFonts w:ascii="Verdana" w:hAnsi="Verdana" w:cs="Arial"/>
        </w:rPr>
        <w:footnoteReference w:id="1"/>
      </w:r>
      <w:r w:rsidRPr="00501E29">
        <w:rPr>
          <w:rFonts w:ascii="Verdana" w:hAnsi="Verdana" w:cs="Arial"/>
        </w:rPr>
        <w:t>. Para la doctrina, la mixtura del régimen contractual:</w:t>
      </w:r>
    </w:p>
    <w:p w14:paraId="4F88B300" w14:textId="77777777" w:rsidR="00E85B43" w:rsidRPr="00501E29" w:rsidRDefault="00E85B43" w:rsidP="00E85B43">
      <w:pPr>
        <w:spacing w:after="0" w:line="276" w:lineRule="auto"/>
        <w:ind w:firstLine="709"/>
        <w:jc w:val="both"/>
        <w:rPr>
          <w:rFonts w:ascii="Verdana" w:hAnsi="Verdana" w:cs="Arial"/>
        </w:rPr>
      </w:pPr>
    </w:p>
    <w:p w14:paraId="4A47E410" w14:textId="77777777" w:rsidR="00E85B43" w:rsidRDefault="00E85B43" w:rsidP="00E85B43">
      <w:pPr>
        <w:spacing w:after="0" w:line="240" w:lineRule="auto"/>
        <w:ind w:left="709" w:right="709"/>
        <w:jc w:val="both"/>
        <w:rPr>
          <w:rFonts w:ascii="Verdana" w:hAnsi="Verdana" w:cs="Arial"/>
          <w:sz w:val="21"/>
          <w:szCs w:val="21"/>
        </w:rPr>
      </w:pPr>
      <w:r w:rsidRPr="00501E29">
        <w:rPr>
          <w:rFonts w:ascii="Verdana" w:hAnsi="Verdana" w:cs="Arial"/>
          <w:sz w:val="21"/>
          <w:szCs w:val="21"/>
        </w:rPr>
        <w:t>“[…] no hace otra cosa que aprovechar ciertos principios rectores de la contratación general que aunque tengan su consagración en códigos de derecho privado como el civil o el comercial, no son propios y exclusivos de este derecho. Baste pensar en los requisitos de consentimiento válido, objeto y causa lícitos, capacidad, elementos esenciales según la naturaleza de cada contrato, responsabilidad, naturaleza de las obligaciones emanadas de los mismos, etc. etc. Extremos éstos que de derecho privado no tienen sino su presentación formal o el nombre y que la tradición, desde su origen romano, se acostumbró a calificarlos así y a no preocuparse por su cuestionamiento o definición.</w:t>
      </w:r>
    </w:p>
    <w:p w14:paraId="43050437" w14:textId="77777777" w:rsidR="00E85B43" w:rsidRDefault="00E85B43" w:rsidP="00E85B43">
      <w:pPr>
        <w:spacing w:after="0" w:line="240" w:lineRule="auto"/>
        <w:ind w:left="709" w:right="709"/>
        <w:jc w:val="both"/>
        <w:rPr>
          <w:rFonts w:ascii="Verdana" w:hAnsi="Verdana" w:cs="Arial"/>
          <w:sz w:val="21"/>
          <w:szCs w:val="21"/>
        </w:rPr>
      </w:pPr>
    </w:p>
    <w:p w14:paraId="327F99FB" w14:textId="77777777" w:rsidR="00E85B43" w:rsidRPr="000876F0" w:rsidRDefault="00E85B43" w:rsidP="00E85B43">
      <w:pPr>
        <w:spacing w:after="0" w:line="240" w:lineRule="auto"/>
        <w:ind w:left="709" w:right="709"/>
        <w:jc w:val="both"/>
        <w:rPr>
          <w:rFonts w:ascii="Verdana" w:hAnsi="Verdana" w:cs="Arial"/>
          <w:sz w:val="21"/>
          <w:szCs w:val="21"/>
        </w:rPr>
      </w:pPr>
      <w:r w:rsidRPr="00501E29">
        <w:rPr>
          <w:rFonts w:ascii="Verdana" w:hAnsi="Verdana" w:cs="Arial"/>
          <w:sz w:val="21"/>
          <w:szCs w:val="21"/>
        </w:rPr>
        <w:t>En otras palabras, extremos como los indicados no son ni de derecho público ni de derecho privado, sino, simplemente, de derecho propio, aplicables a toda relación contractual, con prescindencia de la naturaleza de los sujetos involucrados en la misma”</w:t>
      </w:r>
      <w:r w:rsidRPr="00501E29">
        <w:rPr>
          <w:rStyle w:val="Refdenotaalpie"/>
          <w:rFonts w:ascii="Verdana" w:hAnsi="Verdana" w:cs="Arial"/>
          <w:sz w:val="21"/>
          <w:szCs w:val="21"/>
        </w:rPr>
        <w:footnoteReference w:id="2"/>
      </w:r>
      <w:r w:rsidRPr="00501E29">
        <w:rPr>
          <w:rFonts w:ascii="Verdana" w:hAnsi="Verdana" w:cs="Arial"/>
          <w:sz w:val="21"/>
          <w:szCs w:val="21"/>
        </w:rPr>
        <w:t xml:space="preserve">. </w:t>
      </w:r>
    </w:p>
    <w:p w14:paraId="64431084" w14:textId="77777777" w:rsidR="00E85B43" w:rsidRPr="00501E29" w:rsidRDefault="00E85B43" w:rsidP="00E85B43">
      <w:pPr>
        <w:spacing w:after="0" w:line="276" w:lineRule="auto"/>
        <w:ind w:left="709" w:right="709"/>
        <w:jc w:val="both"/>
        <w:rPr>
          <w:rFonts w:ascii="Verdana" w:hAnsi="Verdana" w:cs="Arial"/>
        </w:rPr>
      </w:pPr>
      <w:r w:rsidRPr="00501E29">
        <w:rPr>
          <w:rFonts w:ascii="Verdana" w:hAnsi="Verdana" w:cs="Arial"/>
        </w:rPr>
        <w:t xml:space="preserve"> </w:t>
      </w:r>
    </w:p>
    <w:p w14:paraId="7BDD8C17" w14:textId="77777777" w:rsidR="00E85B43" w:rsidRDefault="00E85B43" w:rsidP="00E85B43">
      <w:pPr>
        <w:spacing w:after="120" w:line="276" w:lineRule="auto"/>
        <w:jc w:val="both"/>
        <w:rPr>
          <w:rFonts w:ascii="Verdana" w:hAnsi="Verdana" w:cs="Arial"/>
        </w:rPr>
      </w:pPr>
      <w:r w:rsidRPr="00501E29">
        <w:rPr>
          <w:rFonts w:ascii="Verdana" w:hAnsi="Verdana" w:cs="Arial"/>
        </w:rPr>
        <w:tab/>
        <w:t>Ello no implica una privatización absoluta del régimen contractual de las entidades públicas, pues la Ley 80 de 1993 –entre otros aspectos– regula 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w:t>
      </w:r>
    </w:p>
    <w:p w14:paraId="7D543D05" w14:textId="77777777" w:rsidR="00E85B43" w:rsidRPr="00D4240A" w:rsidRDefault="00E85B43" w:rsidP="00E85B43">
      <w:pPr>
        <w:spacing w:after="120" w:line="276" w:lineRule="auto"/>
        <w:ind w:firstLine="709"/>
        <w:jc w:val="both"/>
        <w:rPr>
          <w:rFonts w:ascii="Verdana" w:hAnsi="Verdana" w:cs="Arial"/>
        </w:rPr>
      </w:pPr>
      <w:r w:rsidRPr="00D4240A">
        <w:rPr>
          <w:rFonts w:ascii="Verdana" w:hAnsi="Verdana" w:cs="Arial"/>
        </w:rPr>
        <w:t xml:space="preserve">No obstante, aunque tenga una influencia limitada, las </w:t>
      </w:r>
      <w:r w:rsidRPr="00D4240A">
        <w:rPr>
          <w:rFonts w:ascii="Verdana" w:hAnsi="Verdana" w:cs="Arial"/>
          <w:i/>
          <w:iCs/>
        </w:rPr>
        <w:t>entidades del régimen exceptuado</w:t>
      </w:r>
      <w:r w:rsidRPr="00D4240A">
        <w:rPr>
          <w:rFonts w:ascii="Verdana" w:hAnsi="Verdana" w:cs="Arial"/>
        </w:rPr>
        <w:t xml:space="preserve"> no se deslingan por completo de las normas de derecho público. Esto en la medida que el inciso primero del artículo 13 de la Ley 1150 de 2007 prescribe lo siguiente: “Las entidades estatales que por disposición legal </w:t>
      </w:r>
      <w:r w:rsidRPr="00D4240A">
        <w:rPr>
          <w:rFonts w:ascii="Verdana" w:hAnsi="Verdana" w:cs="Arial"/>
        </w:rPr>
        <w:lastRenderedPageBreak/>
        <w:t>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23B5F3F6" w14:textId="77777777" w:rsidR="00E85B43" w:rsidRDefault="00E85B43" w:rsidP="00E85B43">
      <w:pPr>
        <w:spacing w:after="0" w:line="276" w:lineRule="auto"/>
        <w:ind w:firstLine="708"/>
        <w:jc w:val="both"/>
        <w:rPr>
          <w:rFonts w:ascii="Verdana" w:hAnsi="Verdana" w:cs="Arial"/>
        </w:rPr>
      </w:pPr>
      <w:r w:rsidRPr="00D4240A">
        <w:rPr>
          <w:rFonts w:ascii="Verdana" w:hAnsi="Verdana" w:cs="Arial"/>
        </w:rPr>
        <w:t>La existencia de entidades exceptuadas del EGCAP se ha justificado por alguna de las siguientes tres (3) circunstancias: i) facilitar la competencia económica –como ocurre actualmente respecto al régimen de los servicios públicos domiciliarios–, ii) flexibilizar el ejercicio de la función administrativa –como en los contratos del Banco de la República o los de ciencia y tecnología– o iii) establecer un régimen especial sin excluir por completo la aplicación de la Ley 80 de 1993 –como ocurre en la operaciones del crédito público–</w:t>
      </w:r>
      <w:r w:rsidRPr="00D4240A">
        <w:rPr>
          <w:rStyle w:val="Refdenotaalpie"/>
          <w:rFonts w:ascii="Verdana" w:hAnsi="Verdana" w:cs="Arial"/>
        </w:rPr>
        <w:footnoteReference w:id="3"/>
      </w:r>
      <w:r w:rsidRPr="00D4240A">
        <w:rPr>
          <w:rFonts w:ascii="Verdana" w:hAnsi="Verdana" w:cs="Arial"/>
        </w:rPr>
        <w:t>.  Para estos efectos, la doctrina ha identificado 171 entidades y contratos que manejan un régimen excepcional, los cuales se clasifican de acuerdo i) al sector económico, ii) la asignación de un esquema legal especial, iii) el objeto del contrato celebrado y iv) la existencia de fondos que administran recursos públicos</w:t>
      </w:r>
      <w:r w:rsidRPr="00D4240A">
        <w:rPr>
          <w:rStyle w:val="Refdenotaalpie"/>
          <w:rFonts w:ascii="Verdana" w:hAnsi="Verdana" w:cs="Arial"/>
        </w:rPr>
        <w:footnoteReference w:id="4"/>
      </w:r>
      <w:r w:rsidRPr="00D4240A">
        <w:rPr>
          <w:rFonts w:ascii="Verdana" w:hAnsi="Verdana" w:cs="Arial"/>
        </w:rPr>
        <w:t>.</w:t>
      </w:r>
    </w:p>
    <w:p w14:paraId="165CE3AF" w14:textId="77777777" w:rsidR="00E85B43" w:rsidRDefault="00E85B43" w:rsidP="00E85B43">
      <w:pPr>
        <w:spacing w:after="0" w:line="276" w:lineRule="auto"/>
        <w:jc w:val="both"/>
        <w:rPr>
          <w:rFonts w:ascii="Verdana" w:hAnsi="Verdana" w:cs="Arial"/>
          <w:bCs/>
          <w:lang w:val="es-MX"/>
        </w:rPr>
      </w:pPr>
    </w:p>
    <w:p w14:paraId="049776B6" w14:textId="77777777" w:rsidR="00E85B43" w:rsidRPr="003A1844" w:rsidRDefault="00E85B43" w:rsidP="00E85B43">
      <w:pPr>
        <w:spacing w:after="0" w:line="276" w:lineRule="auto"/>
        <w:jc w:val="both"/>
        <w:rPr>
          <w:rFonts w:ascii="Verdana" w:hAnsi="Verdana" w:cs="Arial"/>
          <w:lang w:val="es-MX"/>
        </w:rPr>
      </w:pPr>
      <w:r w:rsidRPr="0094448B">
        <w:rPr>
          <w:rFonts w:ascii="Verdana" w:eastAsia="Arial MT" w:hAnsi="Verdana" w:cs="Arial MT"/>
          <w:lang w:val="es-ES"/>
        </w:rPr>
        <w:t xml:space="preserve">ii. </w:t>
      </w:r>
      <w:r w:rsidRPr="003A1844">
        <w:rPr>
          <w:rFonts w:ascii="Verdana" w:hAnsi="Verdana" w:cs="Arial"/>
          <w:lang w:val="es-MX"/>
        </w:rPr>
        <w:t>Una de las Entidades Estatales con régimen especial son las Empresas Sociales del Estado – ESE, sobre las que redunda el objeto de su concepto. Estas empresas han sido entendidas como Entidades Públicas que, conforme al artículo 194 de la Ley 100 de 1993, constituyen una categoría especial, descentralizada por servicios, con personería jurídica, patrimonio propio y autonomía administrativa</w:t>
      </w:r>
      <w:r w:rsidRPr="003A1844">
        <w:rPr>
          <w:rFonts w:ascii="Verdana" w:hAnsi="Verdana" w:cs="Arial"/>
          <w:vertAlign w:val="superscript"/>
          <w:lang w:val="es-MX"/>
        </w:rPr>
        <w:footnoteReference w:id="5"/>
      </w:r>
      <w:r w:rsidRPr="003A1844">
        <w:rPr>
          <w:rFonts w:ascii="Verdana" w:hAnsi="Verdana" w:cs="Arial"/>
          <w:lang w:val="es-MX"/>
        </w:rPr>
        <w:t xml:space="preserve">. A través de ellas la Nación o las entidades territoriales prestan el servicio de salud de manera directa, es decir, las Empresas Sociales del Estado son, esencialmente, los hospitales públicos. El Consejo de Estado, en relación con la naturaleza jurídica de estas entidades, precisó: </w:t>
      </w:r>
    </w:p>
    <w:p w14:paraId="41B1D831" w14:textId="77777777" w:rsidR="00E85B43" w:rsidRPr="003A1844" w:rsidRDefault="00E85B43" w:rsidP="00E85B43">
      <w:pPr>
        <w:spacing w:after="0" w:line="276" w:lineRule="auto"/>
        <w:ind w:firstLine="709"/>
        <w:jc w:val="both"/>
        <w:rPr>
          <w:rFonts w:ascii="Verdana" w:hAnsi="Verdana" w:cs="Arial"/>
          <w:lang w:val="es-MX"/>
        </w:rPr>
      </w:pPr>
    </w:p>
    <w:p w14:paraId="5EBFB2DB" w14:textId="77777777" w:rsidR="00E85B43" w:rsidRPr="003A1844" w:rsidRDefault="00E85B43" w:rsidP="00E85B43">
      <w:pPr>
        <w:spacing w:after="0" w:line="240" w:lineRule="auto"/>
        <w:ind w:left="709" w:right="709"/>
        <w:jc w:val="both"/>
        <w:rPr>
          <w:rFonts w:ascii="Verdana" w:eastAsia="Calibri" w:hAnsi="Verdana" w:cs="Arial"/>
          <w:sz w:val="20"/>
          <w:szCs w:val="20"/>
        </w:rPr>
      </w:pPr>
      <w:r w:rsidRPr="003A1844">
        <w:rPr>
          <w:rFonts w:ascii="Verdana" w:eastAsia="Calibri" w:hAnsi="Verdana" w:cs="Arial"/>
          <w:sz w:val="20"/>
          <w:szCs w:val="20"/>
        </w:rPr>
        <w:lastRenderedPageBreak/>
        <w:t>“[…] Se tiene que las empresas sociales del Estado, es decir, los hospitales públicos a que se refiere la ley 100 de 1993, son entidades descentralizadas por servicios, de naturaleza jurídica especial, es decir, son entidades estatales que pertenecen a la estructura de la rama ejecutiva del poder público, porque así lo disponen los arts. 38 y 68 de la ley 489 de 1998 […]”</w:t>
      </w:r>
      <w:r w:rsidRPr="003A1844">
        <w:rPr>
          <w:rFonts w:ascii="Verdana" w:eastAsia="Calibri" w:hAnsi="Verdana" w:cs="Arial"/>
          <w:sz w:val="20"/>
          <w:szCs w:val="20"/>
          <w:vertAlign w:val="superscript"/>
        </w:rPr>
        <w:footnoteReference w:id="6"/>
      </w:r>
      <w:r w:rsidRPr="003A1844">
        <w:rPr>
          <w:rFonts w:ascii="Verdana" w:eastAsia="Calibri" w:hAnsi="Verdana" w:cs="Arial"/>
          <w:sz w:val="20"/>
          <w:szCs w:val="20"/>
        </w:rPr>
        <w:t xml:space="preserve">. </w:t>
      </w:r>
    </w:p>
    <w:p w14:paraId="7B3D5A57" w14:textId="77777777" w:rsidR="00E85B43" w:rsidRPr="003A1844" w:rsidRDefault="00E85B43" w:rsidP="00E85B43">
      <w:pPr>
        <w:spacing w:after="0" w:line="276" w:lineRule="auto"/>
        <w:ind w:left="709" w:right="709"/>
        <w:jc w:val="both"/>
        <w:rPr>
          <w:rFonts w:ascii="Verdana" w:eastAsia="Calibri" w:hAnsi="Verdana" w:cs="Arial"/>
        </w:rPr>
      </w:pPr>
    </w:p>
    <w:p w14:paraId="7BBFB330" w14:textId="77777777" w:rsidR="00E85B43" w:rsidRPr="003A1844" w:rsidRDefault="00E85B43" w:rsidP="00E85B43">
      <w:pPr>
        <w:widowControl w:val="0"/>
        <w:autoSpaceDE w:val="0"/>
        <w:autoSpaceDN w:val="0"/>
        <w:spacing w:after="120" w:line="276" w:lineRule="auto"/>
        <w:ind w:right="102" w:firstLine="709"/>
        <w:jc w:val="both"/>
        <w:rPr>
          <w:rFonts w:ascii="Verdana" w:eastAsia="Arial" w:hAnsi="Verdana" w:cs="Arial"/>
          <w:lang w:val="es-ES"/>
        </w:rPr>
      </w:pPr>
      <w:r>
        <w:rPr>
          <w:rFonts w:ascii="Verdana" w:eastAsia="Arial" w:hAnsi="Verdana" w:cs="Arial"/>
          <w:lang w:val="es-ES"/>
        </w:rPr>
        <w:t>De la cita precedente</w:t>
      </w:r>
      <w:r w:rsidRPr="003A1844">
        <w:rPr>
          <w:rFonts w:ascii="Verdana" w:eastAsia="Arial" w:hAnsi="Verdana" w:cs="Arial"/>
          <w:lang w:val="es-ES"/>
        </w:rPr>
        <w:t xml:space="preserve"> puede concluir</w:t>
      </w:r>
      <w:r>
        <w:rPr>
          <w:rFonts w:ascii="Verdana" w:eastAsia="Arial" w:hAnsi="Verdana" w:cs="Arial"/>
          <w:lang w:val="es-ES"/>
        </w:rPr>
        <w:t>se</w:t>
      </w:r>
      <w:r w:rsidRPr="003A1844">
        <w:rPr>
          <w:rFonts w:ascii="Verdana" w:eastAsia="Arial" w:hAnsi="Verdana" w:cs="Arial"/>
          <w:lang w:val="es-ES"/>
        </w:rPr>
        <w:t xml:space="preserve"> entonces que, las Empresas Sociales del Estado </w:t>
      </w:r>
      <w:r w:rsidRPr="003A1844">
        <w:rPr>
          <w:rFonts w:ascii="Verdana" w:eastAsia="Arial" w:hAnsi="Verdana" w:cs="Arial"/>
          <w:lang w:val="es-MX"/>
        </w:rPr>
        <w:t>–ESE–</w:t>
      </w:r>
      <w:r w:rsidRPr="003A1844">
        <w:rPr>
          <w:rFonts w:ascii="Verdana" w:eastAsia="Arial" w:hAnsi="Verdana" w:cs="Arial"/>
          <w:lang w:val="es-ES"/>
        </w:rPr>
        <w:t xml:space="preserve"> son una categoría especial de Entidades Públicas que hacen parte de la estructura de la Rama Ejecutiva del poder público. En este mismo sentido, el artículo 38 de la Ley 489 de 1998, en el que se consagran los organismos y entidades que integran la rama ejecutiva del poder público, dispuso en el literal d) del numeral 2 que las Empresas Sociales del Estado hacen parte del sector descentralizado por servicios de esta rama del poder público. </w:t>
      </w:r>
    </w:p>
    <w:p w14:paraId="044A34BF" w14:textId="77777777" w:rsidR="00E85B43" w:rsidRPr="003A1844" w:rsidRDefault="00E85B43" w:rsidP="00E85B43">
      <w:pPr>
        <w:spacing w:after="120" w:line="276" w:lineRule="auto"/>
        <w:ind w:firstLine="709"/>
        <w:jc w:val="both"/>
        <w:rPr>
          <w:rFonts w:ascii="Verdana" w:hAnsi="Verdana" w:cs="Arial"/>
        </w:rPr>
      </w:pPr>
      <w:r w:rsidRPr="003A1844">
        <w:rPr>
          <w:rFonts w:ascii="Verdana" w:hAnsi="Verdana" w:cs="Arial"/>
        </w:rPr>
        <w:t xml:space="preserve">Por su parte, en lo que a materia contractual se refiere, de conformidad con el numeral 6 del artículo 195 de la Ley 100 de 1993, el régimen de contratación de las </w:t>
      </w:r>
      <w:r w:rsidRPr="003A1844">
        <w:rPr>
          <w:rFonts w:ascii="Verdana" w:hAnsi="Verdana" w:cs="Arial"/>
          <w:lang w:val="es-MX"/>
        </w:rPr>
        <w:t>–ESE–</w:t>
      </w:r>
      <w:r w:rsidRPr="003A1844">
        <w:rPr>
          <w:rFonts w:ascii="Verdana" w:hAnsi="Verdana"/>
        </w:rPr>
        <w:t xml:space="preserve"> </w:t>
      </w:r>
      <w:r w:rsidRPr="003A1844">
        <w:rPr>
          <w:rFonts w:ascii="Verdana" w:hAnsi="Verdana" w:cs="Arial"/>
        </w:rPr>
        <w:t xml:space="preserve">es el de derecho privado, es decir, se rige por las disposiciones contenidas en el Código de Comercio y en el Código Civil, aplicables en lo que resulten pertinentes, salvo en las materias particularmente reguladas </w:t>
      </w:r>
      <w:r w:rsidRPr="003A1844">
        <w:rPr>
          <w:rFonts w:ascii="Verdana" w:eastAsia="Calibri" w:hAnsi="Verdana" w:cs="Arial"/>
        </w:rPr>
        <w:t xml:space="preserve">por el derecho público. </w:t>
      </w:r>
      <w:r w:rsidRPr="003A1844">
        <w:rPr>
          <w:rFonts w:ascii="Verdana" w:hAnsi="Verdana" w:cs="Arial"/>
        </w:rPr>
        <w:t xml:space="preserve">La norma referida prescribe que: “En materia contractual se regirá por el derecho privado, </w:t>
      </w:r>
      <w:r w:rsidRPr="00E2011B">
        <w:rPr>
          <w:rFonts w:ascii="Verdana" w:hAnsi="Verdana" w:cs="Arial"/>
          <w:i/>
        </w:rPr>
        <w:t>pero podrá discrecionalmente utilizar las cláusulas exorbitantes previstas en el estatuto general de contratación de la administración pública”</w:t>
      </w:r>
      <w:r>
        <w:rPr>
          <w:rFonts w:ascii="Verdana" w:hAnsi="Verdana" w:cs="Arial"/>
        </w:rPr>
        <w:t xml:space="preserve"> (énfasis fuera de texto). </w:t>
      </w:r>
    </w:p>
    <w:p w14:paraId="2DD6440D" w14:textId="77777777" w:rsidR="00E85B43" w:rsidRPr="003A1844" w:rsidRDefault="00E85B43" w:rsidP="00E85B43">
      <w:pPr>
        <w:widowControl w:val="0"/>
        <w:autoSpaceDE w:val="0"/>
        <w:autoSpaceDN w:val="0"/>
        <w:spacing w:after="0" w:line="276" w:lineRule="auto"/>
        <w:ind w:right="102" w:firstLine="709"/>
        <w:jc w:val="both"/>
        <w:rPr>
          <w:rFonts w:ascii="Verdana" w:eastAsia="Arial" w:hAnsi="Verdana" w:cs="Arial"/>
          <w:lang w:val="es-ES"/>
        </w:rPr>
      </w:pPr>
      <w:r w:rsidRPr="003A1844">
        <w:rPr>
          <w:rFonts w:ascii="Verdana" w:eastAsia="Arial" w:hAnsi="Verdana" w:cs="Arial"/>
          <w:lang w:val="es-ES"/>
        </w:rPr>
        <w:t xml:space="preserve">En consecuencia, </w:t>
      </w:r>
      <w:r w:rsidRPr="003A1844">
        <w:rPr>
          <w:rFonts w:ascii="Verdana" w:eastAsia="Calibri" w:hAnsi="Verdana" w:cs="Arial"/>
          <w:color w:val="000000" w:themeColor="text1"/>
          <w:lang w:val="es-MX"/>
        </w:rPr>
        <w:t xml:space="preserve">las </w:t>
      </w:r>
      <w:r w:rsidRPr="003A1844">
        <w:rPr>
          <w:rFonts w:ascii="Verdana" w:eastAsia="Arial" w:hAnsi="Verdana" w:cs="Arial"/>
          <w:lang w:val="es-MX"/>
        </w:rPr>
        <w:t>–ESE–</w:t>
      </w:r>
      <w:r w:rsidRPr="003A1844">
        <w:rPr>
          <w:rFonts w:ascii="Verdana" w:eastAsia="Arial" w:hAnsi="Verdana" w:cs="Arial"/>
          <w:lang w:val="es-ES"/>
        </w:rPr>
        <w:t xml:space="preserve"> </w:t>
      </w:r>
      <w:r w:rsidRPr="003A1844">
        <w:rPr>
          <w:rFonts w:ascii="Verdana" w:eastAsia="Calibri" w:hAnsi="Verdana" w:cs="Arial"/>
          <w:color w:val="000000" w:themeColor="text1"/>
          <w:lang w:val="es-MX"/>
        </w:rPr>
        <w:t xml:space="preserve">no están sometidas al EGCAP ni a las normas que lo reglamentan o complementan, ya que, por disposición expresa de la norma transcrita, sus </w:t>
      </w:r>
      <w:r w:rsidRPr="003A1844">
        <w:rPr>
          <w:rFonts w:ascii="Verdana" w:eastAsia="Arial" w:hAnsi="Verdana" w:cs="Arial"/>
          <w:lang w:val="es-ES"/>
        </w:rPr>
        <w:t>contratos se rigen por el derecho privado. Sin embargo, esta circunstancia no implica la inobservancia de los principios de la función administrativa y la gestión fiscal, teniendo en cuenta que su objet</w:t>
      </w:r>
      <w:r>
        <w:rPr>
          <w:rFonts w:ascii="Verdana" w:eastAsia="Arial" w:hAnsi="Verdana" w:cs="Arial"/>
          <w:lang w:val="es-ES"/>
        </w:rPr>
        <w:t>o, conforme a la Sentencia C-665</w:t>
      </w:r>
      <w:r w:rsidRPr="003A1844">
        <w:rPr>
          <w:rFonts w:ascii="Verdana" w:eastAsia="Arial" w:hAnsi="Verdana" w:cs="Arial"/>
          <w:lang w:val="es-ES"/>
        </w:rPr>
        <w:t xml:space="preserve"> de 2000 de la Corte Constitucional, corresponde a la prestación del servicio de salud a cargo del Estado o como parte del servicio de seguridad social</w:t>
      </w:r>
      <w:r w:rsidRPr="003A1844">
        <w:rPr>
          <w:rFonts w:ascii="Verdana" w:eastAsia="Arial" w:hAnsi="Verdana" w:cs="Arial"/>
          <w:vertAlign w:val="superscript"/>
          <w:lang w:val="es-ES"/>
        </w:rPr>
        <w:footnoteReference w:id="7"/>
      </w:r>
      <w:r w:rsidRPr="003A1844">
        <w:rPr>
          <w:rFonts w:ascii="Verdana" w:eastAsia="Arial" w:hAnsi="Verdana" w:cs="Arial"/>
          <w:lang w:val="es-ES"/>
        </w:rPr>
        <w:t xml:space="preserve">. En esta misma línea, el artículo 83 de la Ley 489 de 1998, </w:t>
      </w:r>
      <w:r w:rsidRPr="003A1844">
        <w:rPr>
          <w:rFonts w:ascii="Verdana" w:eastAsia="Arial" w:hAnsi="Verdana" w:cs="Arial"/>
          <w:lang w:val="es-ES"/>
        </w:rPr>
        <w:lastRenderedPageBreak/>
        <w:t>dispuso lo</w:t>
      </w:r>
      <w:r w:rsidRPr="003A1844">
        <w:rPr>
          <w:rFonts w:ascii="Verdana" w:eastAsia="Arial" w:hAnsi="Verdana" w:cs="Arial"/>
          <w:spacing w:val="-12"/>
          <w:lang w:val="es-ES"/>
        </w:rPr>
        <w:t xml:space="preserve"> </w:t>
      </w:r>
      <w:r w:rsidRPr="003A1844">
        <w:rPr>
          <w:rFonts w:ascii="Verdana" w:eastAsia="Arial" w:hAnsi="Verdana" w:cs="Arial"/>
          <w:lang w:val="es-ES"/>
        </w:rPr>
        <w:t>siguiente:</w:t>
      </w:r>
    </w:p>
    <w:p w14:paraId="0FFD7733" w14:textId="77777777" w:rsidR="00E85B43" w:rsidRPr="003A1844" w:rsidRDefault="00E85B43" w:rsidP="00E85B43">
      <w:pPr>
        <w:widowControl w:val="0"/>
        <w:autoSpaceDE w:val="0"/>
        <w:autoSpaceDN w:val="0"/>
        <w:spacing w:after="0" w:line="276" w:lineRule="auto"/>
        <w:ind w:right="102" w:firstLine="709"/>
        <w:jc w:val="both"/>
        <w:rPr>
          <w:rFonts w:ascii="Verdana" w:eastAsia="Arial" w:hAnsi="Verdana" w:cs="Arial"/>
          <w:lang w:val="es-ES"/>
        </w:rPr>
      </w:pPr>
    </w:p>
    <w:p w14:paraId="09D29627" w14:textId="77777777" w:rsidR="00E85B43" w:rsidRPr="003A1844" w:rsidRDefault="00E85B43" w:rsidP="00E85B43">
      <w:pPr>
        <w:widowControl w:val="0"/>
        <w:autoSpaceDE w:val="0"/>
        <w:autoSpaceDN w:val="0"/>
        <w:spacing w:after="0" w:line="240" w:lineRule="auto"/>
        <w:ind w:left="709" w:right="709"/>
        <w:jc w:val="both"/>
        <w:rPr>
          <w:rFonts w:ascii="Verdana" w:eastAsia="Arial" w:hAnsi="Verdana" w:cs="Arial"/>
          <w:sz w:val="20"/>
          <w:szCs w:val="20"/>
          <w:lang w:val="es-ES"/>
        </w:rPr>
      </w:pPr>
      <w:r w:rsidRPr="003A1844">
        <w:rPr>
          <w:rFonts w:ascii="Verdana" w:eastAsia="Arial" w:hAnsi="Verdana" w:cs="Arial"/>
          <w:sz w:val="20"/>
          <w:szCs w:val="20"/>
          <w:lang w:val="es-ES"/>
        </w:rPr>
        <w:t>“Artículo 83. Empresas sociales del Estado. Las empresas sociales del Estado, creadas por la Nación o por las entidades territoriales para la prestación en forma directa de servicios de salud, se sujetan al régimen previsto en la Ley 100 de 1993, la Ley 344 de 1996 y en la presente Ley en los aspectos no regulados por dichas leyes y a las normas que las complementen, sustituyan o</w:t>
      </w:r>
      <w:r w:rsidRPr="003A1844">
        <w:rPr>
          <w:rFonts w:ascii="Verdana" w:eastAsia="Arial" w:hAnsi="Verdana" w:cs="Arial"/>
          <w:spacing w:val="-1"/>
          <w:sz w:val="20"/>
          <w:szCs w:val="20"/>
          <w:lang w:val="es-ES"/>
        </w:rPr>
        <w:t xml:space="preserve"> </w:t>
      </w:r>
      <w:r w:rsidRPr="003A1844">
        <w:rPr>
          <w:rFonts w:ascii="Verdana" w:eastAsia="Arial" w:hAnsi="Verdana" w:cs="Arial"/>
          <w:sz w:val="20"/>
          <w:szCs w:val="20"/>
          <w:lang w:val="es-ES"/>
        </w:rPr>
        <w:t>adicionen.”</w:t>
      </w:r>
    </w:p>
    <w:p w14:paraId="6ED7199A" w14:textId="77777777" w:rsidR="00E85B43" w:rsidRPr="003A1844" w:rsidRDefault="00E85B43" w:rsidP="00E85B43">
      <w:pPr>
        <w:widowControl w:val="0"/>
        <w:autoSpaceDE w:val="0"/>
        <w:autoSpaceDN w:val="0"/>
        <w:spacing w:after="0" w:line="276" w:lineRule="auto"/>
        <w:jc w:val="both"/>
        <w:rPr>
          <w:rFonts w:ascii="Verdana" w:eastAsia="Arial" w:hAnsi="Verdana" w:cs="Arial"/>
          <w:lang w:val="es-ES"/>
        </w:rPr>
      </w:pPr>
    </w:p>
    <w:p w14:paraId="4CFE1511" w14:textId="77777777" w:rsidR="00E85B43" w:rsidRPr="003A1844" w:rsidRDefault="00E85B43" w:rsidP="00E85B43">
      <w:pPr>
        <w:tabs>
          <w:tab w:val="left" w:pos="709"/>
        </w:tabs>
        <w:spacing w:after="120" w:line="276" w:lineRule="auto"/>
        <w:jc w:val="both"/>
        <w:rPr>
          <w:rFonts w:ascii="Verdana" w:eastAsia="Calibri" w:hAnsi="Verdana" w:cs="Arial"/>
          <w:color w:val="000000" w:themeColor="text1"/>
        </w:rPr>
      </w:pPr>
      <w:r w:rsidRPr="003A1844">
        <w:rPr>
          <w:rFonts w:ascii="Verdana" w:eastAsia="Calibri" w:hAnsi="Verdana" w:cs="Arial"/>
          <w:color w:val="000000" w:themeColor="text1"/>
          <w:lang w:val="es-ES"/>
        </w:rPr>
        <w:tab/>
        <w:t xml:space="preserve">Esta también ha sido la interpretación del Ministerio de Salud y Protección Social, que en el Concepto No. </w:t>
      </w:r>
      <w:r w:rsidRPr="003A1844">
        <w:rPr>
          <w:rFonts w:ascii="Verdana" w:eastAsia="Calibri" w:hAnsi="Verdana" w:cs="Arial"/>
          <w:color w:val="000000" w:themeColor="text1"/>
        </w:rPr>
        <w:t>201942301304712</w:t>
      </w:r>
      <w:r w:rsidRPr="003A1844">
        <w:rPr>
          <w:rFonts w:ascii="Verdana" w:eastAsia="Calibri" w:hAnsi="Verdana" w:cs="Arial"/>
          <w:color w:val="000000" w:themeColor="text1"/>
          <w:lang w:val="es-ES"/>
        </w:rPr>
        <w:t xml:space="preserve"> de 2019, reiterando lo expuesto por la Sala de Consulta y Servicio Civil del Consejo de Estado</w:t>
      </w:r>
      <w:r w:rsidRPr="003A1844">
        <w:rPr>
          <w:rFonts w:ascii="Verdana" w:eastAsia="Calibri" w:hAnsi="Verdana" w:cs="Arial"/>
          <w:color w:val="000000" w:themeColor="text1"/>
          <w:vertAlign w:val="superscript"/>
          <w:lang w:val="es-ES"/>
        </w:rPr>
        <w:footnoteReference w:id="8"/>
      </w:r>
      <w:r w:rsidRPr="003A1844">
        <w:rPr>
          <w:rFonts w:ascii="Verdana" w:eastAsia="Calibri" w:hAnsi="Verdana" w:cs="Arial"/>
          <w:color w:val="000000" w:themeColor="text1"/>
          <w:lang w:val="es-ES"/>
        </w:rPr>
        <w:t xml:space="preserve">, expresó que “[…] </w:t>
      </w:r>
      <w:r w:rsidRPr="003A1844">
        <w:rPr>
          <w:rFonts w:ascii="Verdana" w:eastAsia="Calibri" w:hAnsi="Verdana" w:cs="Arial"/>
          <w:color w:val="000000" w:themeColor="text1"/>
        </w:rPr>
        <w:t>el régimen de contratación de las Empresas Sociales del Estado, está sometido al derecho privado por disposición legal y la facultad discrecional de pactar las cláusulas excepcionales dota a las mentadas entidades de herramientas especiales para garantizar ciertos fines”</w:t>
      </w:r>
      <w:r w:rsidRPr="003A1844">
        <w:rPr>
          <w:rFonts w:ascii="Verdana" w:eastAsia="Calibri" w:hAnsi="Verdana" w:cs="Arial"/>
          <w:color w:val="000000" w:themeColor="text1"/>
          <w:vertAlign w:val="superscript"/>
          <w:lang w:val="es-ES"/>
        </w:rPr>
        <w:footnoteReference w:id="9"/>
      </w:r>
      <w:r w:rsidRPr="003A1844">
        <w:rPr>
          <w:rFonts w:ascii="Verdana" w:eastAsia="Calibri" w:hAnsi="Verdana" w:cs="Arial"/>
          <w:color w:val="000000" w:themeColor="text1"/>
          <w:lang w:val="es-ES"/>
        </w:rPr>
        <w:t xml:space="preserve">. </w:t>
      </w:r>
    </w:p>
    <w:p w14:paraId="4A7B0B36" w14:textId="77777777" w:rsidR="00E85B43" w:rsidRPr="003A1844" w:rsidRDefault="00E85B43" w:rsidP="00E85B43">
      <w:pPr>
        <w:spacing w:after="120" w:line="276" w:lineRule="auto"/>
        <w:ind w:firstLine="709"/>
        <w:jc w:val="both"/>
        <w:rPr>
          <w:rFonts w:ascii="Verdana" w:hAnsi="Verdana" w:cs="Arial"/>
          <w:lang w:val="es-ES"/>
        </w:rPr>
      </w:pPr>
      <w:r w:rsidRPr="003A1844">
        <w:rPr>
          <w:rFonts w:ascii="Verdana" w:hAnsi="Verdana"/>
        </w:rPr>
        <w:t xml:space="preserve">En consecuencia, por mandato del legislador, el régimen jurídico de los contratos de las </w:t>
      </w:r>
      <w:r w:rsidRPr="003A1844">
        <w:rPr>
          <w:rFonts w:ascii="Verdana" w:hAnsi="Verdana" w:cs="Arial"/>
          <w:lang w:val="es-MX"/>
        </w:rPr>
        <w:t>–ESE–</w:t>
      </w:r>
      <w:r w:rsidRPr="003A1844">
        <w:rPr>
          <w:rFonts w:ascii="Verdana" w:hAnsi="Verdana"/>
        </w:rPr>
        <w:t xml:space="preserve"> constituye una de las excepciones legales existentes para la aplicación del EGCAP. Esta excepción permite que dichas empresas se sustraigan de las normas que regulan la actividad contractual de las Entidades Estatales a que hace referencia el artículo 2° de la Ley 80 de 1993. Sin perjuicio de lo anterior, la exclusión de las </w:t>
      </w:r>
      <w:r w:rsidRPr="003A1844">
        <w:rPr>
          <w:rFonts w:ascii="Verdana" w:hAnsi="Verdana" w:cs="Arial"/>
          <w:lang w:val="es-MX"/>
        </w:rPr>
        <w:t>–ESE–</w:t>
      </w:r>
      <w:r w:rsidRPr="003A1844">
        <w:rPr>
          <w:rFonts w:ascii="Verdana" w:hAnsi="Verdana"/>
        </w:rPr>
        <w:t xml:space="preserve">, frente al régimen jurídico contractual general de las Entidades Estatales, no ha sido absoluta, toda vez que intervienen en la prestación de servicios de salud, como actores dentro de un servicio público bajo responsabilidad del Estado, en los términos del artículo 49 de la Constitución Política. Además, de tiempo atrás en el ordenamiento jurídico colombiano se reconoció que las entidades exceptuadas del EGCAP debían </w:t>
      </w:r>
      <w:r w:rsidRPr="003A1844">
        <w:rPr>
          <w:rFonts w:ascii="Verdana" w:hAnsi="Verdana"/>
        </w:rPr>
        <w:lastRenderedPageBreak/>
        <w:t>respetar los principios de la función administrativa, tesis que luego fue acogida por el legislador con la expedición de la Ley 1150 de 2007.</w:t>
      </w:r>
    </w:p>
    <w:p w14:paraId="6D69EEE1" w14:textId="77777777" w:rsidR="00E85B43" w:rsidRPr="003A1844" w:rsidRDefault="00E85B43" w:rsidP="00E85B43">
      <w:pPr>
        <w:spacing w:after="120" w:line="276" w:lineRule="auto"/>
        <w:ind w:firstLine="709"/>
        <w:jc w:val="both"/>
        <w:rPr>
          <w:rFonts w:ascii="Verdana" w:hAnsi="Verdana" w:cs="Arial"/>
          <w:sz w:val="20"/>
          <w:szCs w:val="20"/>
          <w:lang w:val="es-MX"/>
        </w:rPr>
      </w:pPr>
      <w:r w:rsidRPr="003A1844">
        <w:rPr>
          <w:rFonts w:ascii="Verdana" w:hAnsi="Verdana" w:cs="Arial"/>
          <w:lang w:val="es-MX"/>
        </w:rPr>
        <w:t>Como se señaló anteriormente, el régimen de derecho privado que, por regla general, caracteriza a los regímenes especiales no implica la ausencia de elementos de derecho público que tienen como fin último garantizar que los regímenes especiales de contratación también se ordenen hacia la consecución de los fines del Estado. Estos elementos de derecho público encuentran su manifestación tanto en forma de reglas como de principios. En relación con este segundo tipo, esto es, principios de derecho público aplicables a regímenes especiales de contratación, la norma por excelencia es el artículo 13 de la Ley 1150 de 2007</w:t>
      </w:r>
      <w:r w:rsidRPr="003A1844">
        <w:rPr>
          <w:rFonts w:ascii="Verdana" w:hAnsi="Verdana" w:cs="Arial"/>
          <w:sz w:val="20"/>
          <w:szCs w:val="20"/>
          <w:lang w:val="es-MX"/>
        </w:rPr>
        <w:t xml:space="preserve">. </w:t>
      </w:r>
    </w:p>
    <w:p w14:paraId="13FE2CE5" w14:textId="77777777" w:rsidR="00E85B43" w:rsidRDefault="00E85B43" w:rsidP="00E85B43">
      <w:pPr>
        <w:spacing w:after="0" w:line="276" w:lineRule="auto"/>
        <w:ind w:firstLine="709"/>
        <w:jc w:val="both"/>
        <w:rPr>
          <w:rFonts w:ascii="Verdana" w:hAnsi="Verdana" w:cs="Arial"/>
          <w:lang w:val="es-MX"/>
        </w:rPr>
      </w:pPr>
      <w:r w:rsidRPr="003A1844">
        <w:rPr>
          <w:rFonts w:ascii="Verdana" w:hAnsi="Verdana" w:cs="Arial"/>
          <w:lang w:val="es-MX"/>
        </w:rPr>
        <w:t>Al referirse al régimen contractual de las –ESE–, la Sección Tercera del Consejo de Estado manifestó que “la entidad estatal debe observar en su actuación, precontractual y contractual, los principios que la Constitución Política le impone, en desarrollo de lo cual le asiste la obligación de obrar con igualdad, moralidad, eficacia, economía, celeridad, imparcialidad y publicidad, en todas las etapas de la realización del contrato estatal”. De esta forma, aunque los contratos suscritos por las –ESE–</w:t>
      </w:r>
      <w:r w:rsidRPr="003A1844">
        <w:rPr>
          <w:rFonts w:ascii="Verdana" w:hAnsi="Verdana"/>
        </w:rPr>
        <w:t xml:space="preserve"> </w:t>
      </w:r>
      <w:r w:rsidRPr="003A1844">
        <w:rPr>
          <w:rFonts w:ascii="Verdana" w:hAnsi="Verdana" w:cs="Arial"/>
          <w:lang w:val="es-MX"/>
        </w:rPr>
        <w:t>están excluidos del EGCAP, lo cierto es que no se rigen exclusivamente por el derecho civil y comercial, pues, conforme al artículo 13 de la Ley 1150 de 2007, a estos les aplican tanto los principios de la función administrativa y de la gestión fiscal, así como el régimen de inhabilidades e incompatibilidades, temáticas tratadas y reguladas en el referido estatuto</w:t>
      </w:r>
      <w:r>
        <w:rPr>
          <w:rFonts w:ascii="Verdana" w:hAnsi="Verdana" w:cs="Arial"/>
          <w:lang w:val="es-MX"/>
        </w:rPr>
        <w:t>, así como el deber de publicar en la plataforma transaccional SECOP II</w:t>
      </w:r>
      <w:r w:rsidRPr="003A1844">
        <w:rPr>
          <w:rFonts w:ascii="Verdana" w:hAnsi="Verdana" w:cs="Arial"/>
          <w:lang w:val="es-MX"/>
        </w:rPr>
        <w:t>.</w:t>
      </w:r>
      <w:r>
        <w:rPr>
          <w:rFonts w:ascii="Verdana" w:hAnsi="Verdana" w:cs="Arial"/>
          <w:lang w:val="es-MX"/>
        </w:rPr>
        <w:t xml:space="preserve"> Al respecto, el artículo 13 de la Ley 1150 de 2007 modificado por el artículo 53 de la Ley 2195 de 2022:</w:t>
      </w:r>
    </w:p>
    <w:p w14:paraId="190D0A1C" w14:textId="77777777" w:rsidR="00E85B43" w:rsidRDefault="00E85B43" w:rsidP="00E85B43">
      <w:pPr>
        <w:spacing w:after="0" w:line="276" w:lineRule="auto"/>
        <w:ind w:left="709" w:right="709"/>
        <w:jc w:val="both"/>
        <w:rPr>
          <w:rFonts w:ascii="Verdana" w:hAnsi="Verdana" w:cs="Arial"/>
          <w:lang w:val="es-MX"/>
        </w:rPr>
      </w:pPr>
    </w:p>
    <w:p w14:paraId="2449A180" w14:textId="77777777" w:rsidR="00E85B43" w:rsidRPr="00D0186F" w:rsidRDefault="00E85B43" w:rsidP="00E85B43">
      <w:pPr>
        <w:spacing w:after="0" w:line="240" w:lineRule="auto"/>
        <w:ind w:left="709" w:right="709"/>
        <w:jc w:val="both"/>
        <w:rPr>
          <w:rFonts w:ascii="Verdana" w:hAnsi="Verdana" w:cs="Arial"/>
          <w:bCs/>
          <w:sz w:val="20"/>
          <w:szCs w:val="20"/>
        </w:rPr>
      </w:pPr>
      <w:r w:rsidRPr="00D0186F">
        <w:rPr>
          <w:rFonts w:ascii="Verdana" w:hAnsi="Verdana" w:cs="Arial"/>
          <w:bCs/>
          <w:sz w:val="20"/>
          <w:szCs w:val="20"/>
        </w:rPr>
        <w:t>“Artículo 13. PRINCIPIOS GENERALES DE LA ACTIVIDAD CONTRACTUAL PARA ENTIDADES NO SOMETIDAS AL ESTATUTO GENERAL DE CONTRATACIÓN DE LA ADMINISTRACIÓN PÚBLICA.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37C5705C" w14:textId="77777777" w:rsidR="00E85B43" w:rsidRPr="00D0186F" w:rsidRDefault="00E85B43" w:rsidP="00E85B43">
      <w:pPr>
        <w:spacing w:after="0" w:line="240" w:lineRule="auto"/>
        <w:ind w:left="709" w:right="709" w:firstLine="709"/>
        <w:jc w:val="both"/>
        <w:rPr>
          <w:rFonts w:ascii="Verdana" w:hAnsi="Verdana" w:cs="Arial"/>
          <w:bCs/>
          <w:sz w:val="20"/>
          <w:szCs w:val="20"/>
        </w:rPr>
      </w:pPr>
    </w:p>
    <w:p w14:paraId="2C74507D" w14:textId="77777777" w:rsidR="00E85B43" w:rsidRPr="00D0186F" w:rsidRDefault="00E85B43" w:rsidP="00E85B43">
      <w:pPr>
        <w:spacing w:after="0" w:line="240" w:lineRule="auto"/>
        <w:ind w:left="709" w:right="709"/>
        <w:jc w:val="both"/>
        <w:rPr>
          <w:rFonts w:ascii="Verdana" w:hAnsi="Verdana" w:cs="Arial"/>
          <w:bCs/>
          <w:i/>
          <w:iCs/>
          <w:sz w:val="20"/>
          <w:szCs w:val="20"/>
        </w:rPr>
      </w:pPr>
      <w:r w:rsidRPr="00D0186F">
        <w:rPr>
          <w:rFonts w:ascii="Verdana" w:hAnsi="Verdana" w:cs="Arial"/>
          <w:bCs/>
          <w:i/>
          <w:iCs/>
          <w:sz w:val="20"/>
          <w:szCs w:val="20"/>
        </w:rPr>
        <w:t>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postcontractual.</w:t>
      </w:r>
    </w:p>
    <w:p w14:paraId="0540A7CD" w14:textId="77777777" w:rsidR="00E85B43" w:rsidRPr="00D0186F" w:rsidRDefault="00E85B43" w:rsidP="00E85B43">
      <w:pPr>
        <w:spacing w:after="0" w:line="240" w:lineRule="auto"/>
        <w:ind w:left="709" w:right="709"/>
        <w:jc w:val="both"/>
        <w:rPr>
          <w:rFonts w:ascii="Verdana" w:hAnsi="Verdana" w:cs="Arial"/>
          <w:bCs/>
          <w:i/>
          <w:iCs/>
          <w:sz w:val="20"/>
          <w:szCs w:val="20"/>
        </w:rPr>
      </w:pPr>
    </w:p>
    <w:p w14:paraId="1C721587" w14:textId="77777777" w:rsidR="00E85B43" w:rsidRPr="00D0186F" w:rsidRDefault="00E85B43" w:rsidP="00E85B43">
      <w:pPr>
        <w:spacing w:after="0" w:line="240" w:lineRule="auto"/>
        <w:ind w:left="709" w:right="709"/>
        <w:jc w:val="both"/>
        <w:rPr>
          <w:rFonts w:ascii="Verdana" w:hAnsi="Verdana" w:cs="Arial"/>
          <w:bCs/>
          <w:i/>
          <w:iCs/>
          <w:sz w:val="20"/>
          <w:szCs w:val="20"/>
        </w:rPr>
      </w:pPr>
      <w:r w:rsidRPr="00D0186F">
        <w:rPr>
          <w:rFonts w:ascii="Verdana" w:hAnsi="Verdana" w:cs="Arial"/>
          <w:bCs/>
          <w:sz w:val="20"/>
          <w:szCs w:val="20"/>
        </w:rPr>
        <w:t>A partir de la entrada en vigencia de la presente Ley, se establecerá un periodo de transición de seis (6) meses, para que las entidades den cumplimiento efectivo a lo aquí establecido”. (Cursiva fuera del original).</w:t>
      </w:r>
    </w:p>
    <w:p w14:paraId="5FB09C68" w14:textId="77777777" w:rsidR="00E85B43" w:rsidRPr="00BA51C0" w:rsidRDefault="00E85B43" w:rsidP="00E85B43">
      <w:pPr>
        <w:spacing w:after="0" w:line="276" w:lineRule="auto"/>
        <w:ind w:firstLine="709"/>
        <w:jc w:val="both"/>
        <w:rPr>
          <w:rFonts w:ascii="Verdana" w:hAnsi="Verdana" w:cs="Arial"/>
          <w:bCs/>
          <w:lang w:val="es-ES_tradnl"/>
        </w:rPr>
      </w:pPr>
    </w:p>
    <w:p w14:paraId="156D1CBF" w14:textId="77777777" w:rsidR="00E85B43" w:rsidRPr="00177A05" w:rsidRDefault="00E85B43" w:rsidP="00E85B43">
      <w:pPr>
        <w:spacing w:after="120" w:line="276" w:lineRule="auto"/>
        <w:ind w:firstLine="709"/>
        <w:jc w:val="both"/>
        <w:rPr>
          <w:rFonts w:ascii="Verdana" w:hAnsi="Verdana" w:cs="Arial"/>
          <w:bCs/>
          <w:iCs/>
        </w:rPr>
      </w:pPr>
      <w:r w:rsidRPr="00BA51C0">
        <w:rPr>
          <w:rFonts w:ascii="Verdana" w:hAnsi="Verdana" w:cs="Arial"/>
          <w:bCs/>
          <w:lang w:val="es-ES"/>
        </w:rPr>
        <w:t xml:space="preserve">De la disposición transcrita, se deriva la interpretación de que a pesar que el régimen que aplican sea el derecho privado, tiene limitaciones dentro del derecho público como son los principios de la función administrativa y de la gestión fiscal y reglas del régimen de inhabilidades e incompatibilidades, así como el deber </w:t>
      </w:r>
      <w:r w:rsidRPr="00BA51C0">
        <w:rPr>
          <w:rFonts w:ascii="Verdana" w:hAnsi="Verdana" w:cs="Arial"/>
          <w:bCs/>
          <w:i/>
          <w:iCs/>
        </w:rPr>
        <w:t xml:space="preserve">de </w:t>
      </w:r>
      <w:r w:rsidRPr="00BA51C0">
        <w:rPr>
          <w:rFonts w:ascii="Verdana" w:hAnsi="Verdana" w:cs="Arial"/>
          <w:bCs/>
          <w:iCs/>
        </w:rPr>
        <w:t xml:space="preserve">publicar los documentos relacionados con su actividad contractual en el Sistema Electrónico para la Contratación Pública –SECOP II– o la plataforma transaccional que haga sus veces, sin perjuicio de las demás reglas que les aplique a la sociedad de economía exceptuada del EGCAP. </w:t>
      </w:r>
      <w:r w:rsidRPr="003A1844">
        <w:rPr>
          <w:rFonts w:ascii="Verdana" w:eastAsia="Calibri" w:hAnsi="Verdana" w:cs="Arial"/>
          <w:color w:val="000000" w:themeColor="text1"/>
          <w:lang w:val="es-ES_tradnl"/>
        </w:rPr>
        <w:t>Lo anterior es reafirmado por el Consejo de Estado en el caso particular de los manuales de contratación, que contiene algunas reglas que deben seguir las entidades con régimen especial en su actividad contractual:</w:t>
      </w:r>
    </w:p>
    <w:p w14:paraId="15F4927F" w14:textId="77777777" w:rsidR="00E85B43" w:rsidRPr="003A1844" w:rsidRDefault="00E85B43" w:rsidP="00E85B43">
      <w:pPr>
        <w:spacing w:after="0" w:line="240" w:lineRule="auto"/>
        <w:jc w:val="both"/>
        <w:rPr>
          <w:rFonts w:ascii="Verdana" w:eastAsia="Calibri" w:hAnsi="Verdana" w:cs="Arial"/>
          <w:color w:val="000000" w:themeColor="text1"/>
          <w:lang w:val="es-ES_tradnl"/>
        </w:rPr>
      </w:pPr>
    </w:p>
    <w:p w14:paraId="62A4D412" w14:textId="77777777" w:rsidR="00E85B43" w:rsidRPr="00D0186F" w:rsidRDefault="00E85B43" w:rsidP="00E85B43">
      <w:pPr>
        <w:spacing w:after="0" w:line="240" w:lineRule="auto"/>
        <w:ind w:left="709" w:right="709"/>
        <w:jc w:val="both"/>
        <w:rPr>
          <w:rFonts w:ascii="Verdana" w:eastAsia="Calibri" w:hAnsi="Verdana" w:cs="Arial"/>
          <w:color w:val="000000" w:themeColor="text1"/>
          <w:sz w:val="20"/>
          <w:szCs w:val="20"/>
          <w:lang w:val="es-ES_tradnl"/>
        </w:rPr>
      </w:pPr>
      <w:r w:rsidRPr="00D0186F">
        <w:rPr>
          <w:rFonts w:ascii="Verdana" w:eastAsia="Calibri" w:hAnsi="Verdana" w:cs="Arial"/>
          <w:color w:val="000000" w:themeColor="text1"/>
          <w:sz w:val="20"/>
          <w:szCs w:val="20"/>
          <w:lang w:val="es-ES_tradnl"/>
        </w:rPr>
        <w:t>“[...] en la contratación de las entidades excluidas de la Ley 80 se distinguen perfectamente dos ordenamientos jurídicos: uno prevalente, el derecho privado, que aporta todas sus instituciones, reglas y principios y las pone al servicio de los contratos de dichas entidades; y otro, secundario, referido a los principios de la función administrativa y de la gestión fiscal —pero no a la Ley 80 de 1993, con sus reglas particulares—, que inspiran al régimen anterior con valores propios del derecho público.</w:t>
      </w:r>
    </w:p>
    <w:p w14:paraId="6868B0BF" w14:textId="77777777" w:rsidR="00E85B43" w:rsidRPr="00D0186F" w:rsidRDefault="00E85B43" w:rsidP="00E85B43">
      <w:pPr>
        <w:spacing w:after="0" w:line="240" w:lineRule="auto"/>
        <w:ind w:left="709" w:right="709"/>
        <w:jc w:val="both"/>
        <w:rPr>
          <w:rFonts w:ascii="Verdana" w:eastAsia="Calibri" w:hAnsi="Verdana" w:cs="Arial"/>
          <w:color w:val="000000" w:themeColor="text1"/>
          <w:sz w:val="20"/>
          <w:szCs w:val="20"/>
          <w:lang w:val="es-ES_tradnl"/>
        </w:rPr>
      </w:pPr>
    </w:p>
    <w:p w14:paraId="1351730B" w14:textId="77777777" w:rsidR="00E85B43" w:rsidRPr="00D0186F" w:rsidRDefault="00E85B43" w:rsidP="00E85B43">
      <w:pPr>
        <w:spacing w:after="0" w:line="240" w:lineRule="auto"/>
        <w:ind w:left="709" w:right="709"/>
        <w:jc w:val="both"/>
        <w:rPr>
          <w:rFonts w:ascii="Verdana" w:eastAsia="Calibri" w:hAnsi="Verdana" w:cs="Arial"/>
          <w:color w:val="000000" w:themeColor="text1"/>
          <w:sz w:val="20"/>
          <w:szCs w:val="20"/>
          <w:lang w:val="es-ES"/>
        </w:rPr>
      </w:pPr>
      <w:r w:rsidRPr="00D0186F">
        <w:rPr>
          <w:rFonts w:ascii="Verdana" w:eastAsia="Calibri" w:hAnsi="Verdana" w:cs="Arial"/>
          <w:color w:val="000000" w:themeColor="text1"/>
          <w:sz w:val="20"/>
          <w:szCs w:val="20"/>
          <w:lang w:val="es-ES"/>
        </w:rPr>
        <w:t>La Sala entiende que el régimen preponderante domina y aporta el gran volumen de normas contractuales y que el régimen inspirador influye y ayuda a interpretar, pero también transforma parte de esas instituciones, porque se suma a ellas, lo que no siempre se logra conservando intacta la institución privada sino introduciéndole modificaciones”</w:t>
      </w:r>
      <w:r w:rsidRPr="00D0186F">
        <w:rPr>
          <w:rFonts w:ascii="Verdana" w:eastAsia="Calibri" w:hAnsi="Verdana" w:cs="Arial"/>
          <w:color w:val="000000" w:themeColor="text1"/>
          <w:sz w:val="20"/>
          <w:szCs w:val="20"/>
          <w:vertAlign w:val="superscript"/>
          <w:lang w:val="es-ES_tradnl"/>
        </w:rPr>
        <w:footnoteReference w:id="10"/>
      </w:r>
      <w:r w:rsidRPr="00D0186F">
        <w:rPr>
          <w:rFonts w:ascii="Verdana" w:eastAsia="Calibri" w:hAnsi="Verdana" w:cs="Arial"/>
          <w:color w:val="000000" w:themeColor="text1"/>
          <w:sz w:val="20"/>
          <w:szCs w:val="20"/>
          <w:lang w:val="es-ES"/>
        </w:rPr>
        <w:t>.</w:t>
      </w:r>
    </w:p>
    <w:p w14:paraId="36B736CD" w14:textId="77777777" w:rsidR="00E85B43" w:rsidRPr="003A1844" w:rsidRDefault="00E85B43" w:rsidP="00E85B43">
      <w:pPr>
        <w:spacing w:after="0" w:line="276" w:lineRule="auto"/>
        <w:ind w:firstLine="709"/>
        <w:jc w:val="both"/>
        <w:rPr>
          <w:rFonts w:ascii="Verdana" w:hAnsi="Verdana" w:cs="Arial"/>
          <w:lang w:val="es-ES_tradnl"/>
        </w:rPr>
      </w:pPr>
    </w:p>
    <w:p w14:paraId="2DBE2D17" w14:textId="77777777" w:rsidR="00E85B43" w:rsidRPr="003A1844" w:rsidRDefault="00E85B43" w:rsidP="00E85B43">
      <w:pPr>
        <w:spacing w:after="120" w:line="276" w:lineRule="auto"/>
        <w:ind w:firstLine="709"/>
        <w:jc w:val="both"/>
        <w:rPr>
          <w:rFonts w:ascii="Verdana" w:eastAsia="Arial" w:hAnsi="Verdana" w:cs="Arial"/>
        </w:rPr>
      </w:pPr>
      <w:r w:rsidRPr="003A1844">
        <w:rPr>
          <w:rFonts w:ascii="Verdana" w:eastAsia="Arial" w:hAnsi="Verdana" w:cs="Arial"/>
        </w:rPr>
        <w:t xml:space="preserve">Ahora bien, puede decirse que una de las reglas para las </w:t>
      </w:r>
      <w:r w:rsidRPr="003A1844">
        <w:rPr>
          <w:rFonts w:ascii="Verdana" w:hAnsi="Verdana" w:cs="Arial"/>
          <w:lang w:val="es-MX"/>
        </w:rPr>
        <w:t>–ESE–</w:t>
      </w:r>
      <w:r w:rsidRPr="003A1844">
        <w:rPr>
          <w:rFonts w:ascii="Verdana" w:eastAsia="Arial" w:hAnsi="Verdana" w:cs="Arial"/>
        </w:rPr>
        <w:t>, derivada de las normas de derecho público estudiadas, consiste en el deber de expedir un manual de contratación. En este documento deben concretarse los principios de la función administrativa y de la gestión fiscal, así como determinarse la manera concreta como dichos principios orientarán el derecho privado en el ejercicio de la actividad contractual. De esta manera, los potenciales oferentes podrán identificar las reglas que aplica la entidad en sus procesos contractuales.</w:t>
      </w:r>
    </w:p>
    <w:p w14:paraId="73D4A44B" w14:textId="77777777" w:rsidR="00E85B43" w:rsidRDefault="00E85B43" w:rsidP="00E85B43">
      <w:pPr>
        <w:spacing w:after="0" w:line="276" w:lineRule="auto"/>
        <w:ind w:firstLine="709"/>
        <w:jc w:val="both"/>
        <w:rPr>
          <w:rFonts w:ascii="Verdana" w:eastAsia="Calibri" w:hAnsi="Verdana" w:cs="Arial"/>
          <w:color w:val="000000" w:themeColor="text1"/>
          <w:lang w:val="es-ES"/>
        </w:rPr>
      </w:pPr>
      <w:r w:rsidRPr="006C5F09">
        <w:rPr>
          <w:rFonts w:ascii="Verdana" w:eastAsia="Calibri" w:hAnsi="Verdana" w:cs="Arial"/>
          <w:color w:val="000000" w:themeColor="text1"/>
        </w:rPr>
        <w:t>Teniendo en cuenta este escenario, la regla general indica que las Empresas Sociales del Estado se rigen por el derecho privado, salvo en aquellos eventos en los que el ordenamiento jurídico establece remisiones obligatorias, como ocurre con el artículo 13 de la Ley 1150 de 2007 y con el artículo 195.6 de la Ley 100 de 1993. Este último les confiere la facultad discrecional de pactar cláusulas excepcionales, dotándolas de herramientas especiales para asegurar la consecución de determinados fines públicos y fortalecer su capacidad de gestión contractual.</w:t>
      </w:r>
    </w:p>
    <w:p w14:paraId="3FAFC263" w14:textId="77777777" w:rsidR="00E85B43" w:rsidRDefault="00E85B43" w:rsidP="00E85B43">
      <w:pPr>
        <w:spacing w:after="0" w:line="276" w:lineRule="auto"/>
        <w:jc w:val="both"/>
        <w:rPr>
          <w:rFonts w:ascii="Verdana" w:eastAsia="Calibri" w:hAnsi="Verdana" w:cs="Arial"/>
          <w:color w:val="000000" w:themeColor="text1"/>
          <w:lang w:val="es-ES"/>
        </w:rPr>
      </w:pPr>
    </w:p>
    <w:p w14:paraId="54C13498" w14:textId="77777777" w:rsidR="00E85B43" w:rsidRPr="00864215" w:rsidRDefault="00E85B43" w:rsidP="00E85B43">
      <w:pPr>
        <w:spacing w:line="276" w:lineRule="auto"/>
        <w:jc w:val="both"/>
        <w:rPr>
          <w:rFonts w:ascii="Verdana" w:eastAsia="Calibri" w:hAnsi="Verdana" w:cs="Arial"/>
          <w:color w:val="000000" w:themeColor="text1"/>
        </w:rPr>
      </w:pPr>
      <w:r>
        <w:rPr>
          <w:rFonts w:ascii="Verdana" w:eastAsia="Calibri" w:hAnsi="Verdana" w:cs="Arial"/>
          <w:color w:val="000000" w:themeColor="text1"/>
          <w:lang w:val="es-ES"/>
        </w:rPr>
        <w:t xml:space="preserve">iii. </w:t>
      </w:r>
      <w:r w:rsidRPr="00005CE1">
        <w:rPr>
          <w:rFonts w:ascii="Verdana" w:eastAsia="Calibri" w:hAnsi="Verdana" w:cs="Arial"/>
          <w:color w:val="000000" w:themeColor="text1"/>
        </w:rPr>
        <w:t>A partir del entendimiento de que las Empresas Sociales del Estado se rigen por el derecho privado, no es posible aplicar de manera automática el Estatuto General de Contratación de la Administración Pública, razón por la cual el régimen de garantías previsto en dicho estatuto no les resulta aplicable por remisión general. No obstante, a modo de orientación, es pertinente recordar que en la contratación estatal las garantías cumplen una función esencial: asegurar el cumplimiento de las obligaciones derivadas del contrato y respaldar los riesgos asociados a la participación en el proceso de selección. En efecto, el artículo 7 de la Ley 1150 de 2007</w:t>
      </w:r>
      <w:r>
        <w:rPr>
          <w:rFonts w:ascii="Verdana" w:eastAsia="Calibri" w:hAnsi="Verdana" w:cs="Arial"/>
          <w:color w:val="000000" w:themeColor="text1"/>
        </w:rPr>
        <w:t xml:space="preserve"> aplicable a entidades de régimen especial</w:t>
      </w:r>
      <w:r w:rsidRPr="00005CE1">
        <w:rPr>
          <w:rFonts w:ascii="Verdana" w:eastAsia="Calibri" w:hAnsi="Verdana" w:cs="Arial"/>
          <w:color w:val="000000" w:themeColor="text1"/>
        </w:rPr>
        <w:t xml:space="preserve"> establece que los contratistas deben constituir garantías para asegurar el cumplimiento de las obligaciones contractuales, y los proponentes para respaldar el ofrecimiento presentado, pudiendo consistir en pólizas expedidas por compañías aseguradoras, garantías bancarias u otros mecanismos permitidos por la ley y el reglamento.</w:t>
      </w:r>
    </w:p>
    <w:p w14:paraId="130B82E3" w14:textId="77777777" w:rsidR="00E85B43" w:rsidRPr="00864215" w:rsidRDefault="00E85B43" w:rsidP="00E85B43">
      <w:pPr>
        <w:spacing w:before="120" w:line="276" w:lineRule="auto"/>
        <w:ind w:firstLine="708"/>
        <w:jc w:val="both"/>
        <w:rPr>
          <w:rFonts w:ascii="Verdana" w:eastAsia="Calibri" w:hAnsi="Verdana" w:cs="Arial"/>
          <w:color w:val="000000" w:themeColor="text1"/>
        </w:rPr>
      </w:pPr>
      <w:r w:rsidRPr="00864215">
        <w:rPr>
          <w:rFonts w:ascii="Verdana" w:eastAsia="Calibri" w:hAnsi="Verdana" w:cs="Arial"/>
          <w:lang w:val="es-MX"/>
        </w:rPr>
        <w:t xml:space="preserve">Las condiciones en las que debe cumplirse esta obligación fueron reglamentadas por el Decreto 1082 de 2015, el cual entre sus artículos 2.2.1.2.3.1.1. y 2.2.1.2.3.1.19 se refiere a asuntos como las clases de garantías permitidas, la indivisibilidad de estas, los diferentes riesgos que deben ser objeto </w:t>
      </w:r>
      <w:r w:rsidRPr="00864215">
        <w:rPr>
          <w:rFonts w:ascii="Verdana" w:eastAsia="Calibri" w:hAnsi="Verdana" w:cs="Arial"/>
          <w:lang w:val="es-MX"/>
        </w:rPr>
        <w:lastRenderedPageBreak/>
        <w:t xml:space="preserve">de garantía, la vigencia y valores mínimos que deben cubrir los amparos, entre otros aspectos que debe cumplir las garantías constituidas por los contratistas ya sea a través de pólizas de seguro, garantías bancarías o patrimonios autónomos. </w:t>
      </w:r>
    </w:p>
    <w:p w14:paraId="3BA905DF" w14:textId="77777777" w:rsidR="00E85B43" w:rsidRDefault="00E85B43" w:rsidP="00E85B43">
      <w:pPr>
        <w:spacing w:before="120" w:line="276" w:lineRule="auto"/>
        <w:ind w:firstLine="708"/>
        <w:jc w:val="both"/>
        <w:rPr>
          <w:rFonts w:ascii="Verdana" w:eastAsia="Calibri" w:hAnsi="Verdana" w:cs="Arial"/>
        </w:rPr>
      </w:pPr>
      <w:r w:rsidRPr="00864215">
        <w:rPr>
          <w:rFonts w:ascii="Verdana" w:eastAsia="Calibri" w:hAnsi="Verdana" w:cs="Arial"/>
          <w:lang w:val="es-ES_tradnl"/>
        </w:rPr>
        <w:t>De acuerdo a con esto, l</w:t>
      </w:r>
      <w:r w:rsidRPr="00864215">
        <w:rPr>
          <w:rFonts w:ascii="Verdana" w:eastAsia="Calibri" w:hAnsi="Verdana" w:cs="Arial"/>
        </w:rPr>
        <w:t>os proponentes o contratistas, para garantizar el cumplimiento de sus obligaciones frente a Entidades Estatales en materia contractual, pueden otorgar, a su elección, las garantías mediante los siguientes mecanismos de cobertura de los riesgos: i) contratos de seguro, que por su esencia, es el medio más usado para amparar los riesgos contractuales; ii) fiducia mercantil de garantía, que es un contrato que suscribe el oferente, contratista o un tercero como fideicomitente con una sociedad fiduciaria para transferir la propiedad de uno o más bienes o derechos con los cuales se integra un patrimonio autónomo, con el fin de salvaguardar con ellos o con su producido las obligaciones del oferente o contratista con la Entidad Estatal beneficiaria</w:t>
      </w:r>
      <w:r w:rsidRPr="00864215">
        <w:rPr>
          <w:rFonts w:ascii="Verdana" w:eastAsia="Calibri" w:hAnsi="Verdana" w:cs="Arial"/>
          <w:vertAlign w:val="superscript"/>
        </w:rPr>
        <w:footnoteReference w:id="11"/>
      </w:r>
      <w:r w:rsidRPr="00864215">
        <w:rPr>
          <w:rFonts w:ascii="Verdana" w:eastAsia="Calibri" w:hAnsi="Verdana" w:cs="Arial"/>
        </w:rPr>
        <w:t xml:space="preserve">;  iii) garantías bancarias o cartas de crédito </w:t>
      </w:r>
      <w:r w:rsidRPr="00864215">
        <w:rPr>
          <w:rFonts w:ascii="Verdana" w:eastAsia="Calibri" w:hAnsi="Verdana" w:cs="Arial"/>
          <w:i/>
          <w:iCs/>
        </w:rPr>
        <w:t>stand</w:t>
      </w:r>
      <w:r w:rsidRPr="00864215">
        <w:rPr>
          <w:rFonts w:ascii="Verdana" w:eastAsia="Calibri" w:hAnsi="Verdana" w:cs="Arial"/>
        </w:rPr>
        <w:t xml:space="preserve"> </w:t>
      </w:r>
      <w:r w:rsidRPr="00864215">
        <w:rPr>
          <w:rFonts w:ascii="Verdana" w:eastAsia="Calibri" w:hAnsi="Verdana" w:cs="Arial"/>
          <w:i/>
          <w:iCs/>
        </w:rPr>
        <w:t>by</w:t>
      </w:r>
      <w:r w:rsidRPr="00864215">
        <w:rPr>
          <w:rFonts w:ascii="Verdana" w:eastAsia="Calibri" w:hAnsi="Verdana" w:cs="Arial"/>
        </w:rPr>
        <w:t>, que consisten en compromisos irrevocables o incondicionales asumidos por una entidad financiera de pagar una suma determinada de dinero</w:t>
      </w:r>
      <w:r w:rsidRPr="00864215">
        <w:rPr>
          <w:rFonts w:ascii="Verdana" w:eastAsia="Calibri" w:hAnsi="Verdana" w:cs="Arial"/>
          <w:vertAlign w:val="superscript"/>
        </w:rPr>
        <w:footnoteReference w:id="12"/>
      </w:r>
      <w:r w:rsidRPr="00864215">
        <w:rPr>
          <w:rFonts w:ascii="Verdana" w:eastAsia="Calibri" w:hAnsi="Verdana" w:cs="Arial"/>
        </w:rPr>
        <w:t>. La suficiencia y la vigencia de las garantías deben ser las reguladas en los artículos 2.2.1.2.3.1.9 a 2.2.1.2.3.1.16 del Decreto 1082 de 2015.</w:t>
      </w:r>
    </w:p>
    <w:p w14:paraId="5E5319D2" w14:textId="77777777" w:rsidR="00E85B43" w:rsidRPr="00570FBC" w:rsidRDefault="00E85B43" w:rsidP="00E85B43">
      <w:pPr>
        <w:spacing w:before="120" w:line="276" w:lineRule="auto"/>
        <w:ind w:firstLine="708"/>
        <w:jc w:val="both"/>
        <w:rPr>
          <w:rFonts w:ascii="Verdana" w:eastAsia="Calibri" w:hAnsi="Verdana" w:cs="Arial"/>
        </w:rPr>
      </w:pPr>
      <w:r>
        <w:rPr>
          <w:rFonts w:ascii="Verdana" w:hAnsi="Verdana" w:cs="Arial"/>
          <w:color w:val="000000" w:themeColor="text1"/>
        </w:rPr>
        <w:t>En este aspecto, se resalta e</w:t>
      </w:r>
      <w:r w:rsidRPr="009037F6">
        <w:rPr>
          <w:rFonts w:ascii="Verdana" w:eastAsia="Times New Roman" w:hAnsi="Verdana" w:cs="Arial"/>
          <w:color w:val="000000" w:themeColor="text1"/>
          <w:lang w:eastAsia="es-CO"/>
        </w:rPr>
        <w:t>l artículo 2.2.1.3.1.7 del Decreto 1082 de 2015 prescribe que la garantía de cumplimiento debe cubrir: i) el buen manejo y correcta inversión del anticipo; ii) la devolución del pago anticipado; iii) el cumplimiento del contrato; iv) el pago de salarios, prestaciones sociales legales e indemnizaciones laborales; v)  la estabilidad y calidad de la obra; vi) la calidad del servicio; vii) la calidad y correcto funcionamiento de los bienes; y viii) los demás incumplimientos de las obligaciones que la entidad estatal considere deben ser amparados</w:t>
      </w:r>
      <w:r w:rsidRPr="009037F6">
        <w:rPr>
          <w:rFonts w:ascii="Verdana" w:eastAsia="Times New Roman" w:hAnsi="Verdana" w:cs="Arial"/>
          <w:color w:val="000000" w:themeColor="text1"/>
          <w:vertAlign w:val="superscript"/>
          <w:lang w:eastAsia="es-CO"/>
        </w:rPr>
        <w:footnoteReference w:id="13"/>
      </w:r>
      <w:r w:rsidRPr="009037F6">
        <w:rPr>
          <w:rFonts w:ascii="Verdana" w:eastAsia="Times New Roman" w:hAnsi="Verdana" w:cs="Arial"/>
          <w:color w:val="000000" w:themeColor="text1"/>
          <w:lang w:eastAsia="es-CO"/>
        </w:rPr>
        <w:t xml:space="preserve">. Esto además de la póliza de responsabilidad civil </w:t>
      </w:r>
      <w:r w:rsidRPr="009037F6">
        <w:rPr>
          <w:rFonts w:ascii="Verdana" w:eastAsia="Times New Roman" w:hAnsi="Verdana" w:cs="Arial"/>
          <w:color w:val="000000" w:themeColor="text1"/>
          <w:lang w:eastAsia="es-CO"/>
        </w:rPr>
        <w:lastRenderedPageBreak/>
        <w:t xml:space="preserve">extracontractual en los contratos de obra, así en aquellos en que por su objeto o naturaleza se considere necesario con ocasión de los riesgos previstos en el negocio, de acuerdo con el artículo 2.2.1.2.3.1.8 </w:t>
      </w:r>
      <w:r w:rsidRPr="009037F6">
        <w:rPr>
          <w:rFonts w:ascii="Verdana" w:eastAsia="Times New Roman" w:hAnsi="Verdana" w:cs="Arial"/>
          <w:i/>
          <w:iCs/>
          <w:color w:val="000000" w:themeColor="text1"/>
          <w:lang w:eastAsia="es-CO"/>
        </w:rPr>
        <w:t>ibidem</w:t>
      </w:r>
      <w:r w:rsidRPr="009037F6">
        <w:rPr>
          <w:rFonts w:ascii="Verdana" w:eastAsia="Times New Roman" w:hAnsi="Verdana" w:cs="Arial"/>
          <w:color w:val="000000" w:themeColor="text1"/>
          <w:lang w:eastAsia="es-CO"/>
        </w:rPr>
        <w:t xml:space="preserve">. </w:t>
      </w:r>
    </w:p>
    <w:p w14:paraId="35127704" w14:textId="77777777" w:rsidR="00E85B43" w:rsidRDefault="00E85B43" w:rsidP="00E85B43">
      <w:pPr>
        <w:spacing w:before="120" w:after="120" w:line="276" w:lineRule="auto"/>
        <w:ind w:firstLine="709"/>
        <w:jc w:val="both"/>
        <w:rPr>
          <w:rFonts w:ascii="Verdana" w:eastAsia="Calibri" w:hAnsi="Verdana" w:cs="Arial"/>
          <w:color w:val="000000" w:themeColor="text1"/>
        </w:rPr>
      </w:pPr>
      <w:r w:rsidRPr="00864215">
        <w:rPr>
          <w:rFonts w:ascii="Verdana" w:eastAsia="Calibri" w:hAnsi="Verdana" w:cs="Arial"/>
          <w:color w:val="000000" w:themeColor="text1"/>
        </w:rPr>
        <w:t>Con todo, en respuesta a la consulta de la referencia, debe indicar</w:t>
      </w:r>
      <w:r>
        <w:rPr>
          <w:rFonts w:ascii="Verdana" w:eastAsia="Calibri" w:hAnsi="Verdana" w:cs="Arial"/>
          <w:color w:val="000000" w:themeColor="text1"/>
        </w:rPr>
        <w:t>se</w:t>
      </w:r>
      <w:r w:rsidRPr="00864215">
        <w:rPr>
          <w:rFonts w:ascii="Verdana" w:eastAsia="Calibri" w:hAnsi="Verdana" w:cs="Arial"/>
          <w:color w:val="000000" w:themeColor="text1"/>
        </w:rPr>
        <w:t xml:space="preserve"> que este régimen de garantías aplica respecto de los contratos sometidos al Estatuto General de Contratación de la Administración Pública. Esto significa que, estas regulaciones no resultan </w:t>
      </w:r>
      <w:r w:rsidRPr="00864215">
        <w:rPr>
          <w:rFonts w:ascii="Verdana" w:eastAsia="Calibri" w:hAnsi="Verdana" w:cs="Arial"/>
          <w:i/>
          <w:iCs/>
          <w:color w:val="000000" w:themeColor="text1"/>
        </w:rPr>
        <w:t xml:space="preserve">per se </w:t>
      </w:r>
      <w:r w:rsidRPr="00864215">
        <w:rPr>
          <w:rFonts w:ascii="Verdana" w:eastAsia="Calibri" w:hAnsi="Verdana" w:cs="Arial"/>
          <w:color w:val="000000" w:themeColor="text1"/>
        </w:rPr>
        <w:t>aplicables a las entidades estatales que están sometidas a regímenes especiales</w:t>
      </w:r>
      <w:r>
        <w:rPr>
          <w:rFonts w:ascii="Verdana" w:eastAsia="Calibri" w:hAnsi="Verdana" w:cs="Arial"/>
          <w:color w:val="000000" w:themeColor="text1"/>
        </w:rPr>
        <w:t>, como es el caso de las Empresas Sociales del Estado</w:t>
      </w:r>
      <w:r w:rsidRPr="00864215">
        <w:rPr>
          <w:rFonts w:ascii="Verdana" w:eastAsia="Calibri" w:hAnsi="Verdana" w:cs="Arial"/>
          <w:color w:val="000000" w:themeColor="text1"/>
        </w:rPr>
        <w:t>, dado que están llamadas a aplicar los mecanismos de cobertura del riesgo que resulten pertinentes de acuerdo con lo establecidos en estatuto interno de contratación.</w:t>
      </w:r>
    </w:p>
    <w:p w14:paraId="206C933F" w14:textId="77777777" w:rsidR="00E85B43" w:rsidRPr="0027519F" w:rsidRDefault="00E85B43" w:rsidP="00E85B43">
      <w:pPr>
        <w:spacing w:before="120" w:after="120" w:line="276" w:lineRule="auto"/>
        <w:ind w:firstLine="709"/>
        <w:jc w:val="both"/>
        <w:rPr>
          <w:rFonts w:ascii="Verdana" w:hAnsi="Verdana"/>
        </w:rPr>
      </w:pPr>
      <w:r w:rsidRPr="00001BE9">
        <w:rPr>
          <w:rFonts w:ascii="Verdana" w:hAnsi="Verdana"/>
        </w:rPr>
        <w:t xml:space="preserve">En este sentido, la </w:t>
      </w:r>
      <w:r>
        <w:rPr>
          <w:rFonts w:ascii="Verdana" w:hAnsi="Verdana"/>
        </w:rPr>
        <w:t>“</w:t>
      </w:r>
      <w:r w:rsidRPr="00001BE9">
        <w:rPr>
          <w:rFonts w:ascii="Verdana" w:hAnsi="Verdana"/>
          <w:i/>
          <w:iCs/>
        </w:rPr>
        <w:t>Guía para la Exigencia y Constitución de Garantías en los Procesos de Contratación</w:t>
      </w:r>
      <w:r>
        <w:rPr>
          <w:rFonts w:ascii="Verdana" w:hAnsi="Verdana"/>
          <w:i/>
          <w:iCs/>
        </w:rPr>
        <w:t xml:space="preserve">” </w:t>
      </w:r>
      <w:r>
        <w:rPr>
          <w:rFonts w:ascii="Verdana" w:hAnsi="Verdana"/>
        </w:rPr>
        <w:t>de esta Agencia</w:t>
      </w:r>
      <w:r w:rsidRPr="00001BE9">
        <w:rPr>
          <w:rFonts w:ascii="Verdana" w:hAnsi="Verdana"/>
        </w:rPr>
        <w:t xml:space="preserve"> señala que los contratos celebrados por las entidades sometidas a régimen especial se rigen por las disposiciones contenidas en su norma de creación, en su manual interno de </w:t>
      </w:r>
      <w:r w:rsidRPr="00001BE9">
        <w:rPr>
          <w:rFonts w:ascii="Verdana" w:hAnsi="Verdana"/>
        </w:rPr>
        <w:lastRenderedPageBreak/>
        <w:t>contratación y en las reglas del derecho privado. Bajo este entendido, dichas entidades pueden exigir a sus proveedores o contratistas la constitución de las garantías previstas en el derecho privado, como las contempladas en el Código de Comercio —Decreto 410 de 1971— y en el Estatuto del Consumidor —Ley 1480 de 2011—</w:t>
      </w:r>
      <w:r>
        <w:rPr>
          <w:rStyle w:val="Refdenotaalpie"/>
          <w:rFonts w:ascii="Verdana" w:hAnsi="Verdana"/>
        </w:rPr>
        <w:footnoteReference w:id="14"/>
      </w:r>
      <w:r w:rsidRPr="00001BE9">
        <w:rPr>
          <w:rFonts w:ascii="Verdana" w:hAnsi="Verdana"/>
        </w:rPr>
        <w:t>.</w:t>
      </w:r>
    </w:p>
    <w:p w14:paraId="0059939C" w14:textId="77777777" w:rsidR="00E85B43" w:rsidRPr="00953C30" w:rsidRDefault="00E85B43" w:rsidP="00E85B43">
      <w:pPr>
        <w:spacing w:after="120" w:line="276" w:lineRule="auto"/>
        <w:ind w:firstLine="708"/>
        <w:jc w:val="both"/>
        <w:rPr>
          <w:rFonts w:ascii="Verdana" w:eastAsia="Calibri" w:hAnsi="Verdana" w:cs="Arial"/>
        </w:rPr>
      </w:pPr>
      <w:r w:rsidRPr="00864215">
        <w:rPr>
          <w:rFonts w:ascii="Verdana" w:eastAsia="Calibri" w:hAnsi="Verdana" w:cs="Arial"/>
          <w:color w:val="000000" w:themeColor="text1"/>
          <w:lang w:val="es-ES_tradnl"/>
        </w:rPr>
        <w:t>Al respecto, es importante tener en cuenta</w:t>
      </w:r>
      <w:r w:rsidRPr="00864215">
        <w:rPr>
          <w:rFonts w:ascii="Verdana" w:eastAsia="Calibri" w:hAnsi="Verdana" w:cs="Arial"/>
        </w:rPr>
        <w:t xml:space="preserve"> que, frente a la implementación de mecanismos de cobertura del riesgo como el contrato de seguro, su aplicación por parte de entidades de régimen especial implica ciertas distinciones en comparación con el régimen de contratación general. </w:t>
      </w:r>
      <w:r>
        <w:rPr>
          <w:rFonts w:ascii="Verdana" w:eastAsia="Calibri" w:hAnsi="Verdana" w:cs="Arial"/>
        </w:rPr>
        <w:t>En este punto, cobra importancia revisar sobre el amparo de estabilidad y calidad de la obra, la cual es motivo de consulta para su aplicación en entidades de régimen especial. Para ello</w:t>
      </w:r>
      <w:r>
        <w:rPr>
          <w:rFonts w:ascii="Verdana" w:eastAsia="Times New Roman" w:hAnsi="Verdana" w:cs="Arial"/>
          <w:color w:val="000000" w:themeColor="text1"/>
          <w:lang w:eastAsia="es-CO"/>
        </w:rPr>
        <w:t>, se acude a la “</w:t>
      </w:r>
      <w:r w:rsidRPr="00881D66">
        <w:rPr>
          <w:rFonts w:ascii="Verdana" w:eastAsia="Times New Roman" w:hAnsi="Verdana" w:cs="Arial"/>
          <w:color w:val="000000" w:themeColor="text1"/>
          <w:lang w:eastAsia="es-CO"/>
        </w:rPr>
        <w:t>Guía para la Exigencia</w:t>
      </w:r>
      <w:r>
        <w:rPr>
          <w:rFonts w:ascii="Verdana" w:eastAsia="Times New Roman" w:hAnsi="Verdana" w:cs="Arial"/>
          <w:color w:val="000000" w:themeColor="text1"/>
          <w:lang w:eastAsia="es-CO"/>
        </w:rPr>
        <w:t xml:space="preserve"> </w:t>
      </w:r>
      <w:r w:rsidRPr="00881D66">
        <w:rPr>
          <w:rFonts w:ascii="Verdana" w:eastAsia="Times New Roman" w:hAnsi="Verdana" w:cs="Arial"/>
          <w:color w:val="000000" w:themeColor="text1"/>
          <w:lang w:eastAsia="es-CO"/>
        </w:rPr>
        <w:t>y Constitución de Garantías en</w:t>
      </w:r>
      <w:r>
        <w:rPr>
          <w:rFonts w:ascii="Verdana" w:eastAsia="Times New Roman" w:hAnsi="Verdana" w:cs="Arial"/>
          <w:color w:val="000000" w:themeColor="text1"/>
          <w:lang w:eastAsia="es-CO"/>
        </w:rPr>
        <w:t xml:space="preserve"> </w:t>
      </w:r>
      <w:r w:rsidRPr="00881D66">
        <w:rPr>
          <w:rFonts w:ascii="Verdana" w:eastAsia="Times New Roman" w:hAnsi="Verdana" w:cs="Arial"/>
          <w:color w:val="000000" w:themeColor="text1"/>
          <w:lang w:eastAsia="es-CO"/>
        </w:rPr>
        <w:t>los Procesos de Contratación</w:t>
      </w:r>
      <w:r>
        <w:rPr>
          <w:rFonts w:ascii="Verdana" w:eastAsia="Times New Roman" w:hAnsi="Verdana" w:cs="Arial"/>
          <w:color w:val="000000" w:themeColor="text1"/>
          <w:lang w:eastAsia="es-CO"/>
        </w:rPr>
        <w:t xml:space="preserve">” que hace un análisis sobre las garantías en entidades sometidas el régimen general de contratación, donde el amparo de estabilidad y calidad de la obra </w:t>
      </w:r>
      <w:r w:rsidRPr="00DD684F">
        <w:rPr>
          <w:rFonts w:ascii="Verdana" w:eastAsia="Times New Roman" w:hAnsi="Verdana" w:cs="Arial"/>
          <w:color w:val="000000" w:themeColor="text1"/>
          <w:lang w:eastAsia="es-CO"/>
        </w:rPr>
        <w:t xml:space="preserve">solo </w:t>
      </w:r>
      <w:r>
        <w:rPr>
          <w:rFonts w:ascii="Verdana" w:eastAsia="Times New Roman" w:hAnsi="Verdana" w:cs="Arial"/>
          <w:color w:val="000000" w:themeColor="text1"/>
          <w:lang w:eastAsia="es-CO"/>
        </w:rPr>
        <w:t>aplic</w:t>
      </w:r>
      <w:r w:rsidRPr="00566C30">
        <w:rPr>
          <w:rFonts w:ascii="Verdana" w:eastAsia="Times New Roman" w:hAnsi="Verdana" w:cs="Arial"/>
          <w:color w:val="000000" w:themeColor="text1"/>
          <w:lang w:eastAsia="es-CO"/>
        </w:rPr>
        <w:t>a respecto de daños o deterioros que se manifiesten después de que la obra haya sido entregada y recibida a satisfacción por la entidad. E</w:t>
      </w:r>
      <w:r>
        <w:rPr>
          <w:rFonts w:ascii="Verdana" w:eastAsia="Times New Roman" w:hAnsi="Verdana" w:cs="Arial"/>
          <w:color w:val="000000" w:themeColor="text1"/>
          <w:lang w:eastAsia="es-CO"/>
        </w:rPr>
        <w:t xml:space="preserve">ste </w:t>
      </w:r>
      <w:r w:rsidRPr="00566C30">
        <w:rPr>
          <w:rFonts w:ascii="Verdana" w:eastAsia="Times New Roman" w:hAnsi="Verdana" w:cs="Arial"/>
          <w:color w:val="000000" w:themeColor="text1"/>
          <w:lang w:eastAsia="es-CO"/>
        </w:rPr>
        <w:t>amparo no puede utilizarse para cubrir reparaciones derivadas de daños atribuibles al contratista que hayan sido conocidos antes de la entrega de la obra, pues frente a esos hechos procede la reclamación por incumplimiento. Así, en la ejecución de obras contratadas por entidades estatales, es posible que, una vez recibidas formalmente, se presenten daños o deterioros materiales en las estructuras intervenidas, los cuales sí se encuentran amparados por la garantía de estabilidad y calidad</w:t>
      </w:r>
      <w:r>
        <w:rPr>
          <w:rStyle w:val="Refdenotaalpie"/>
          <w:rFonts w:ascii="Verdana" w:eastAsia="Times New Roman" w:hAnsi="Verdana" w:cs="Arial"/>
          <w:color w:val="000000" w:themeColor="text1"/>
          <w:lang w:eastAsia="es-CO"/>
        </w:rPr>
        <w:footnoteReference w:id="15"/>
      </w:r>
      <w:r w:rsidRPr="00566C30">
        <w:rPr>
          <w:rFonts w:ascii="Verdana" w:eastAsia="Times New Roman" w:hAnsi="Verdana" w:cs="Arial"/>
          <w:color w:val="000000" w:themeColor="text1"/>
          <w:lang w:eastAsia="es-CO"/>
        </w:rPr>
        <w:t>.</w:t>
      </w:r>
    </w:p>
    <w:p w14:paraId="0780723C" w14:textId="77777777" w:rsidR="00E85B43" w:rsidRDefault="00E85B43" w:rsidP="00E85B43">
      <w:pPr>
        <w:spacing w:after="120" w:line="276" w:lineRule="auto"/>
        <w:ind w:firstLine="708"/>
        <w:jc w:val="both"/>
        <w:rPr>
          <w:rFonts w:ascii="Verdana" w:eastAsia="Times New Roman" w:hAnsi="Verdana" w:cs="Arial"/>
          <w:color w:val="000000" w:themeColor="text1"/>
          <w:lang w:eastAsia="es-CO"/>
        </w:rPr>
      </w:pPr>
      <w:r>
        <w:rPr>
          <w:rFonts w:ascii="Verdana" w:eastAsia="Times New Roman" w:hAnsi="Verdana" w:cs="Arial"/>
          <w:color w:val="000000" w:themeColor="text1"/>
          <w:lang w:eastAsia="es-CO"/>
        </w:rPr>
        <w:t>En tal sentido, l</w:t>
      </w:r>
      <w:r w:rsidRPr="00C3185D">
        <w:rPr>
          <w:rFonts w:ascii="Verdana" w:eastAsia="Times New Roman" w:hAnsi="Verdana" w:cs="Arial"/>
          <w:color w:val="000000" w:themeColor="text1"/>
          <w:lang w:eastAsia="es-CO"/>
        </w:rPr>
        <w:t xml:space="preserve">as situaciones amparadas por esta garantía comprenden los perjuicios derivados de la existencia de vicios ocultos, mala calidad de la obra o de los materiales utilizados, así como defectos, deficiencias técnicas o fallas que no hayan sido advertidas por la Entidad al momento de recibir la obra, o que se manifiesten posteriormente. En todos estos </w:t>
      </w:r>
      <w:r>
        <w:rPr>
          <w:rFonts w:ascii="Verdana" w:eastAsia="Times New Roman" w:hAnsi="Verdana" w:cs="Arial"/>
          <w:color w:val="000000" w:themeColor="text1"/>
          <w:lang w:eastAsia="es-CO"/>
        </w:rPr>
        <w:t>eventos</w:t>
      </w:r>
      <w:r w:rsidRPr="00C3185D">
        <w:rPr>
          <w:rFonts w:ascii="Verdana" w:eastAsia="Times New Roman" w:hAnsi="Verdana" w:cs="Arial"/>
          <w:color w:val="000000" w:themeColor="text1"/>
          <w:lang w:eastAsia="es-CO"/>
        </w:rPr>
        <w:t>, el amparo de estabilidad y calidad cubre los daños que se revelan con posterioridad al recibo a satisfacción.</w:t>
      </w:r>
    </w:p>
    <w:p w14:paraId="65AB21DE" w14:textId="77777777" w:rsidR="00E85B43" w:rsidRPr="009037F6" w:rsidRDefault="00E85B43" w:rsidP="00E85B43">
      <w:pPr>
        <w:spacing w:after="0" w:line="276" w:lineRule="auto"/>
        <w:ind w:firstLine="708"/>
        <w:jc w:val="both"/>
        <w:rPr>
          <w:rFonts w:ascii="Verdana" w:eastAsia="Times New Roman" w:hAnsi="Verdana" w:cs="Arial"/>
          <w:color w:val="000000" w:themeColor="text1"/>
          <w:lang w:eastAsia="es-CO"/>
        </w:rPr>
      </w:pPr>
      <w:r>
        <w:rPr>
          <w:rFonts w:ascii="Verdana" w:eastAsia="Times New Roman" w:hAnsi="Verdana" w:cs="Arial"/>
          <w:color w:val="000000" w:themeColor="text1"/>
          <w:lang w:eastAsia="es-CO"/>
        </w:rPr>
        <w:lastRenderedPageBreak/>
        <w:t xml:space="preserve">En torno a esta, el </w:t>
      </w:r>
      <w:r w:rsidRPr="009037F6">
        <w:rPr>
          <w:rFonts w:ascii="Verdana" w:eastAsia="Times New Roman" w:hAnsi="Verdana" w:cs="Arial"/>
          <w:color w:val="000000" w:themeColor="text1"/>
          <w:lang w:eastAsia="es-CO"/>
        </w:rPr>
        <w:t>artículo 2.2.1.2.3.1.14 del Decreto 1082 de 2015 –después de la modificación del artículo 3 del Decreto 399 de 2021– regula la suficiencia de</w:t>
      </w:r>
      <w:r>
        <w:rPr>
          <w:rFonts w:ascii="Verdana" w:eastAsia="Times New Roman" w:hAnsi="Verdana" w:cs="Arial"/>
          <w:color w:val="000000" w:themeColor="text1"/>
          <w:lang w:eastAsia="es-CO"/>
        </w:rPr>
        <w:t xml:space="preserve"> dicho</w:t>
      </w:r>
      <w:r w:rsidRPr="009037F6">
        <w:rPr>
          <w:rFonts w:ascii="Verdana" w:eastAsia="Times New Roman" w:hAnsi="Verdana" w:cs="Arial"/>
          <w:color w:val="000000" w:themeColor="text1"/>
          <w:lang w:eastAsia="es-CO"/>
        </w:rPr>
        <w:t xml:space="preserve"> amparo. Para efectos de la vigencia y el monto, el inciso primero dispone que “Esta garantía debe estar vigente por un término no inferior a cinco (5) años contados a partir de la fecha en la cual la Entidad Estatal recibe a satisfacción la obra. La Entidad Estatal debe determinar el valor asegurado de esta garantía en los documentos del proceso, de acuerdo con el objeto, la cuantía, la naturaleza y las obligaciones contenidas en el contrato a celebrar”. No obstante, en lo que atañe al plazo, la norma consagra una excepción, puesto que la norma faculta a la entidad para establecer una garantía por un plazo inferior a cinco (5) años, sin que la misma tenga una duración inferior a uno (1). Para estos efectos, los incisos segundo y tercero disponen lo siguiente:</w:t>
      </w:r>
    </w:p>
    <w:p w14:paraId="713F2118" w14:textId="77777777" w:rsidR="00E85B43" w:rsidRPr="009037F6" w:rsidRDefault="00E85B43" w:rsidP="00E85B43">
      <w:pPr>
        <w:spacing w:after="0" w:line="276" w:lineRule="auto"/>
        <w:ind w:firstLine="708"/>
        <w:jc w:val="both"/>
        <w:rPr>
          <w:rFonts w:ascii="Verdana" w:eastAsia="Times New Roman" w:hAnsi="Verdana" w:cs="Arial"/>
          <w:color w:val="000000" w:themeColor="text1"/>
          <w:lang w:eastAsia="es-CO"/>
        </w:rPr>
      </w:pPr>
    </w:p>
    <w:p w14:paraId="1DE5965F" w14:textId="77777777" w:rsidR="00E85B43" w:rsidRPr="00933C60" w:rsidRDefault="00E85B43" w:rsidP="00E85B43">
      <w:pPr>
        <w:spacing w:after="0" w:line="240" w:lineRule="auto"/>
        <w:ind w:left="709" w:right="709"/>
        <w:jc w:val="both"/>
        <w:rPr>
          <w:rFonts w:ascii="Verdana" w:eastAsia="Times New Roman" w:hAnsi="Verdana" w:cs="Arial"/>
          <w:color w:val="000000" w:themeColor="text1"/>
          <w:sz w:val="20"/>
          <w:szCs w:val="20"/>
          <w:lang w:eastAsia="es-CO"/>
        </w:rPr>
      </w:pPr>
      <w:r w:rsidRPr="00933C60">
        <w:rPr>
          <w:rFonts w:ascii="Verdana" w:eastAsia="Times New Roman" w:hAnsi="Verdana" w:cs="Arial"/>
          <w:color w:val="000000" w:themeColor="text1"/>
          <w:sz w:val="20"/>
          <w:szCs w:val="20"/>
          <w:lang w:eastAsia="es-CO"/>
        </w:rPr>
        <w:t>“La Entidad Estatal puede aceptar que esta garantía tenga una vigencia inferior a cinco (5) años previa justificación técnica de un experto en la materia objeto del contrato, lo cual se debe reflejar en los documentos del proceso. Como consecuencia del análisis anterior y según la complejidad técnica del contrato a celebrar, esta garantía podrá tener una vigencia inferior a cinco (5) años y en todo caso de mínimo un (1) año.</w:t>
      </w:r>
    </w:p>
    <w:p w14:paraId="0BC68FB5" w14:textId="77777777" w:rsidR="00E85B43" w:rsidRPr="00933C60" w:rsidRDefault="00E85B43" w:rsidP="00E85B43">
      <w:pPr>
        <w:spacing w:after="0" w:line="240" w:lineRule="auto"/>
        <w:ind w:left="709" w:right="709"/>
        <w:jc w:val="both"/>
        <w:rPr>
          <w:rFonts w:ascii="Verdana" w:eastAsia="Times New Roman" w:hAnsi="Verdana" w:cs="Arial"/>
          <w:color w:val="000000" w:themeColor="text1"/>
          <w:sz w:val="20"/>
          <w:szCs w:val="20"/>
          <w:lang w:eastAsia="es-CO"/>
        </w:rPr>
      </w:pPr>
      <w:r w:rsidRPr="00933C60">
        <w:rPr>
          <w:rFonts w:ascii="Verdana" w:eastAsia="Times New Roman" w:hAnsi="Verdana" w:cs="Arial"/>
          <w:color w:val="000000" w:themeColor="text1"/>
          <w:sz w:val="20"/>
          <w:szCs w:val="20"/>
          <w:lang w:eastAsia="es-CO"/>
        </w:rPr>
        <w:t xml:space="preserve">Para establecer la complejidad técnica del proyecto, y por ende la vigencia de la garantía de estabilidad y calidad de la obra por un término inferior a los cinco (5) años, la justificación técnica del experto en la materia objeto del contrato tendrá en consideración variables como las siguientes: el tipo de actividades que serán realizadas, la experticia técnica requerida, el alcance físico de las obras, entre otros, pero sin limitarse únicamente a la cuantía del proceso”. </w:t>
      </w:r>
    </w:p>
    <w:p w14:paraId="5B83DA62" w14:textId="77777777" w:rsidR="00E85B43" w:rsidRPr="009037F6" w:rsidRDefault="00E85B43" w:rsidP="00E85B43">
      <w:pPr>
        <w:spacing w:after="0" w:line="276" w:lineRule="auto"/>
        <w:jc w:val="both"/>
        <w:rPr>
          <w:rFonts w:ascii="Verdana" w:eastAsia="Times New Roman" w:hAnsi="Verdana" w:cs="Arial"/>
          <w:color w:val="000000" w:themeColor="text1"/>
          <w:lang w:eastAsia="es-CO"/>
        </w:rPr>
      </w:pPr>
    </w:p>
    <w:p w14:paraId="6C5DD450" w14:textId="77777777" w:rsidR="00E85B43" w:rsidRDefault="00E85B43" w:rsidP="00E85B43">
      <w:pPr>
        <w:spacing w:after="120" w:line="276" w:lineRule="auto"/>
        <w:ind w:firstLine="708"/>
        <w:jc w:val="both"/>
        <w:rPr>
          <w:rFonts w:ascii="Verdana" w:eastAsia="Times New Roman" w:hAnsi="Verdana" w:cs="Arial"/>
          <w:color w:val="000000" w:themeColor="text1"/>
          <w:lang w:eastAsia="es-CO"/>
        </w:rPr>
      </w:pPr>
      <w:r w:rsidRPr="009037F6">
        <w:rPr>
          <w:rFonts w:ascii="Verdana" w:eastAsia="Times New Roman" w:hAnsi="Verdana" w:cs="Arial"/>
          <w:color w:val="000000" w:themeColor="text1"/>
          <w:lang w:eastAsia="es-CO"/>
        </w:rPr>
        <w:t xml:space="preserve">Para precisar el alcance de este apartado, es necesario tener cuenta que el artículo 28 del Código Civil dispone que “Las palabras de la ley se entenderán en su sentido natural y obvio, según el uso general de las mismas palabras; pero cuando el legislador las haya definido expresamente para ciertas materias, se les dará en éstas su significado legal”. De esta manera, dentro de las definiciones del Diccionario de la Real Academia Española, puede entenderse la palabra “experto” como una persona “Especializada o con grandes conocimientos en una materia”, quien deberá entender los aspectos involucrados en el objeto del contrato. </w:t>
      </w:r>
    </w:p>
    <w:p w14:paraId="66A704C9" w14:textId="77777777" w:rsidR="00E85B43" w:rsidRDefault="00E85B43" w:rsidP="00E85B43">
      <w:pPr>
        <w:spacing w:after="120" w:line="276" w:lineRule="auto"/>
        <w:ind w:firstLine="708"/>
        <w:jc w:val="both"/>
        <w:rPr>
          <w:rFonts w:ascii="Verdana" w:eastAsia="Times New Roman" w:hAnsi="Verdana" w:cs="Arial"/>
          <w:color w:val="000000" w:themeColor="text1"/>
          <w:lang w:eastAsia="es-CO"/>
        </w:rPr>
      </w:pPr>
      <w:r w:rsidRPr="009037F6">
        <w:rPr>
          <w:rFonts w:ascii="Verdana" w:eastAsia="Times New Roman" w:hAnsi="Verdana" w:cs="Arial"/>
          <w:color w:val="000000" w:themeColor="text1"/>
          <w:lang w:eastAsia="es-CO"/>
        </w:rPr>
        <w:t xml:space="preserve">Esta persona deberá emitir la “justificación”, entendida como la “Prueba convincente de algo”, de acuerdo con su área profesional. Sin limitarse a la </w:t>
      </w:r>
      <w:r w:rsidRPr="009037F6">
        <w:rPr>
          <w:rFonts w:ascii="Verdana" w:eastAsia="Times New Roman" w:hAnsi="Verdana" w:cs="Arial"/>
          <w:color w:val="000000" w:themeColor="text1"/>
          <w:lang w:eastAsia="es-CO"/>
        </w:rPr>
        <w:lastRenderedPageBreak/>
        <w:t>cuantía del proceso, la justificación técnica se relaciona con “[…] el tipo de actividades que serán realizadas, la experticia técnica requerida, el alcance físico de las obras, entre otros […]”. Con fundamento en la opinión del experto, la entidad encargada del proceso de selección definirá si existe una justificación razonable para constituir la garantía de estabilidad y calidad de la obra por un término inferior a cinco (5) años.</w:t>
      </w:r>
      <w:r>
        <w:rPr>
          <w:rFonts w:ascii="Verdana" w:eastAsia="Times New Roman" w:hAnsi="Verdana" w:cs="Arial"/>
          <w:color w:val="000000" w:themeColor="text1"/>
          <w:lang w:eastAsia="es-CO"/>
        </w:rPr>
        <w:t xml:space="preserve"> </w:t>
      </w:r>
      <w:r w:rsidRPr="009037F6">
        <w:rPr>
          <w:rFonts w:ascii="Verdana" w:eastAsia="Times New Roman" w:hAnsi="Verdana" w:cs="Arial"/>
          <w:color w:val="000000" w:themeColor="text1"/>
          <w:lang w:eastAsia="es-CO"/>
        </w:rPr>
        <w:t xml:space="preserve">Como dispone la norma en comento, este análisis “[…] se debe reflejar en los documentos del proceso […]”. Dicho concepto se encuentra definido en el artículo 2.2.1.1.1.3.1 del Decreto 1082 de 2015, modificado por el artículo 1° del Decreto 142 de 2023. Esta norma dispone que son documentos del proceso “(a) los estudios y documentos previos; (b) el aviso de convocatoria; (c) los pliegos de condiciones o la invitación; (d) las Adendas; (e) la oferta; (f) el informe de evaluación; (g) el contrato; y cualquier otro documento expedido por la Entidad Estatal durante el Proceso de Contratación”. </w:t>
      </w:r>
    </w:p>
    <w:p w14:paraId="306F7973" w14:textId="77777777" w:rsidR="00E85B43" w:rsidRPr="00605514" w:rsidRDefault="00E85B43" w:rsidP="00E85B43">
      <w:pPr>
        <w:spacing w:before="120" w:line="276" w:lineRule="auto"/>
        <w:ind w:firstLine="708"/>
        <w:jc w:val="both"/>
        <w:rPr>
          <w:rFonts w:ascii="Verdana" w:eastAsia="Calibri" w:hAnsi="Verdana" w:cs="Arial"/>
          <w:color w:val="000000" w:themeColor="text1"/>
        </w:rPr>
      </w:pPr>
      <w:r>
        <w:rPr>
          <w:rFonts w:ascii="Verdana" w:eastAsia="Times New Roman" w:hAnsi="Verdana" w:cs="Arial"/>
          <w:color w:val="000000" w:themeColor="text1"/>
          <w:lang w:eastAsia="es-CO"/>
        </w:rPr>
        <w:t xml:space="preserve">Ahora bien, dentro del alcance del amparo de estabilidad y calidad de la obra </w:t>
      </w:r>
      <w:r w:rsidRPr="00605514">
        <w:rPr>
          <w:rFonts w:ascii="Verdana" w:eastAsia="Calibri" w:hAnsi="Verdana" w:cs="Arial"/>
          <w:color w:val="000000" w:themeColor="text1"/>
        </w:rPr>
        <w:t>es relevante señalar que la Agencia, mediante los Conceptos C</w:t>
      </w:r>
      <w:r w:rsidRPr="00605514">
        <w:rPr>
          <w:rFonts w:ascii="Verdana" w:eastAsia="Calibri" w:hAnsi="Verdana" w:cs="Arial"/>
          <w:color w:val="000000" w:themeColor="text1"/>
        </w:rPr>
        <w:noBreakHyphen/>
        <w:t>143 del 3 de marzo de 2025 y C</w:t>
      </w:r>
      <w:r w:rsidRPr="00605514">
        <w:rPr>
          <w:rFonts w:ascii="Verdana" w:eastAsia="Calibri" w:hAnsi="Verdana" w:cs="Arial"/>
          <w:color w:val="000000" w:themeColor="text1"/>
        </w:rPr>
        <w:noBreakHyphen/>
        <w:t xml:space="preserve">1470 del 20 de noviembre de 2025, sostuvo que para declarar el siniestro asociado al amparo de estabilidad y calidad de la obra </w:t>
      </w:r>
      <w:r w:rsidRPr="00F54E91">
        <w:rPr>
          <w:rFonts w:ascii="Verdana" w:eastAsia="Calibri" w:hAnsi="Verdana" w:cs="Arial"/>
          <w:color w:val="000000" w:themeColor="text1"/>
        </w:rPr>
        <w:t>no resulta procedente</w:t>
      </w:r>
      <w:r w:rsidRPr="00605514">
        <w:rPr>
          <w:rFonts w:ascii="Verdana" w:eastAsia="Calibri" w:hAnsi="Verdana" w:cs="Arial"/>
          <w:color w:val="000000" w:themeColor="text1"/>
        </w:rPr>
        <w:t xml:space="preserve"> acudir al procedimiento del artículo 86 de la Ley 1474 de 2011, dado que no se trata de un incumplimiento contractual ni de la imposición de multas o sanciones pactadas, sino de la activación de un amparo de la garantía única, lo cual exige aplicar el procedimiento administrativo general previsto en los artículos 34 y siguientes de la Ley 1437 de 2011. No obstante, la </w:t>
      </w:r>
      <w:r>
        <w:rPr>
          <w:rFonts w:ascii="Verdana" w:eastAsia="Calibri" w:hAnsi="Verdana" w:cs="Arial"/>
          <w:color w:val="000000" w:themeColor="text1"/>
        </w:rPr>
        <w:t>“</w:t>
      </w:r>
      <w:r w:rsidRPr="00605514">
        <w:rPr>
          <w:rFonts w:ascii="Verdana" w:eastAsia="Calibri" w:hAnsi="Verdana" w:cs="Arial"/>
          <w:i/>
          <w:iCs/>
          <w:color w:val="000000" w:themeColor="text1"/>
        </w:rPr>
        <w:t>Guía para la Exigencia y Constitución de Garantías en los Procesos de Contratación</w:t>
      </w:r>
      <w:r>
        <w:rPr>
          <w:rFonts w:ascii="Verdana" w:eastAsia="Calibri" w:hAnsi="Verdana" w:cs="Arial"/>
          <w:i/>
          <w:iCs/>
          <w:color w:val="000000" w:themeColor="text1"/>
        </w:rPr>
        <w:t>”</w:t>
      </w:r>
      <w:r w:rsidRPr="00605514">
        <w:rPr>
          <w:rFonts w:ascii="Verdana" w:eastAsia="Calibri" w:hAnsi="Verdana" w:cs="Arial"/>
          <w:color w:val="000000" w:themeColor="text1"/>
        </w:rPr>
        <w:t xml:space="preserve"> precisó que el artículo 86 no solo opera para imponer multas o hacer efectiva la cláusula penal, sino también para la declaratoria de incumplimiento.</w:t>
      </w:r>
      <w:r w:rsidRPr="00312E14">
        <w:rPr>
          <w:rFonts w:ascii="Verdana" w:eastAsia="Calibri" w:hAnsi="Verdana" w:cs="Arial"/>
          <w:color w:val="000000" w:themeColor="text1"/>
        </w:rPr>
        <w:t xml:space="preserve"> </w:t>
      </w:r>
      <w:r w:rsidRPr="00312E14">
        <w:rPr>
          <w:rFonts w:ascii="Verdana" w:hAnsi="Verdana" w:cs="Arial"/>
        </w:rPr>
        <w:t>Ello alude a la declaratoria de incumplimiento del contrato y a la afectación del amparo de cumplimiento, supuesto distinto del amparo de estabilidad y calidad de la obra, cuyo tratamiento se precisa a continuación.</w:t>
      </w:r>
    </w:p>
    <w:p w14:paraId="3F92EFDE" w14:textId="77777777" w:rsidR="00E85B43" w:rsidRDefault="00E85B43" w:rsidP="00E85B43">
      <w:pPr>
        <w:spacing w:before="120" w:line="276" w:lineRule="auto"/>
        <w:ind w:firstLine="708"/>
        <w:jc w:val="both"/>
        <w:rPr>
          <w:rFonts w:ascii="Verdana" w:eastAsia="Calibri" w:hAnsi="Verdana" w:cs="Arial"/>
          <w:color w:val="000000" w:themeColor="text1"/>
        </w:rPr>
      </w:pPr>
      <w:r w:rsidRPr="00605514">
        <w:rPr>
          <w:rFonts w:ascii="Verdana" w:eastAsia="Calibri" w:hAnsi="Verdana" w:cs="Arial"/>
          <w:color w:val="000000" w:themeColor="text1"/>
        </w:rPr>
        <w:t>Bajo este entendimiento, la Entidad Estatal</w:t>
      </w:r>
      <w:r>
        <w:rPr>
          <w:rFonts w:ascii="Verdana" w:eastAsia="Calibri" w:hAnsi="Verdana" w:cs="Arial"/>
          <w:color w:val="000000" w:themeColor="text1"/>
        </w:rPr>
        <w:t xml:space="preserve"> sometida al régimen general de contratación</w:t>
      </w:r>
      <w:r w:rsidRPr="00605514">
        <w:rPr>
          <w:rFonts w:ascii="Verdana" w:eastAsia="Calibri" w:hAnsi="Verdana" w:cs="Arial"/>
          <w:color w:val="000000" w:themeColor="text1"/>
        </w:rPr>
        <w:t xml:space="preserve"> puede hacer efectiva la garantía mediante un </w:t>
      </w:r>
      <w:r w:rsidRPr="00F54E91">
        <w:rPr>
          <w:rFonts w:ascii="Verdana" w:eastAsia="Calibri" w:hAnsi="Verdana" w:cs="Arial"/>
          <w:color w:val="000000" w:themeColor="text1"/>
        </w:rPr>
        <w:t>acto administrativo motivado</w:t>
      </w:r>
      <w:r w:rsidRPr="00605514">
        <w:rPr>
          <w:rFonts w:ascii="Verdana" w:eastAsia="Calibri" w:hAnsi="Verdana" w:cs="Arial"/>
          <w:color w:val="000000" w:themeColor="text1"/>
        </w:rPr>
        <w:t xml:space="preserve"> que declare el incumplimiento y ordene el pago de los perjuicios al contratista y a su garante. Dicho acto administrativo cumple la función de </w:t>
      </w:r>
      <w:r w:rsidRPr="00F54E91">
        <w:rPr>
          <w:rFonts w:ascii="Verdana" w:eastAsia="Calibri" w:hAnsi="Verdana" w:cs="Arial"/>
          <w:color w:val="000000" w:themeColor="text1"/>
        </w:rPr>
        <w:t xml:space="preserve">reclamación </w:t>
      </w:r>
      <w:r w:rsidRPr="00605514">
        <w:rPr>
          <w:rFonts w:ascii="Verdana" w:eastAsia="Calibri" w:hAnsi="Verdana" w:cs="Arial"/>
          <w:color w:val="000000" w:themeColor="text1"/>
        </w:rPr>
        <w:t xml:space="preserve">ante la aseguradora, pues constituye la declaratoria del siniestro que activa la cobertura del riesgo asumido por el contratista. Este escenario </w:t>
      </w:r>
      <w:r w:rsidRPr="00605514">
        <w:rPr>
          <w:rFonts w:ascii="Verdana" w:eastAsia="Calibri" w:hAnsi="Verdana" w:cs="Arial"/>
          <w:color w:val="000000" w:themeColor="text1"/>
        </w:rPr>
        <w:lastRenderedPageBreak/>
        <w:t>aplica en casos de incumplimiento parcial o tardío de obligaciones específicas que generen perjuicios cuantificables para la Entidad.</w:t>
      </w:r>
    </w:p>
    <w:p w14:paraId="0308EF3E" w14:textId="77777777" w:rsidR="00E85B43" w:rsidRDefault="00E85B43" w:rsidP="00E85B43">
      <w:pPr>
        <w:spacing w:after="0" w:line="276" w:lineRule="auto"/>
        <w:ind w:firstLine="709"/>
        <w:jc w:val="both"/>
        <w:rPr>
          <w:rFonts w:ascii="Verdana" w:eastAsia="Calibri" w:hAnsi="Verdana" w:cs="Arial"/>
          <w:color w:val="000000" w:themeColor="text1"/>
        </w:rPr>
      </w:pPr>
      <w:r w:rsidRPr="00312E14">
        <w:rPr>
          <w:rFonts w:ascii="Verdana" w:eastAsia="Calibri" w:hAnsi="Verdana" w:cs="Arial"/>
          <w:color w:val="000000" w:themeColor="text1"/>
        </w:rPr>
        <w:t xml:space="preserve">El </w:t>
      </w:r>
      <w:r>
        <w:rPr>
          <w:rFonts w:ascii="Verdana" w:eastAsia="Calibri" w:hAnsi="Verdana" w:cs="Arial"/>
          <w:color w:val="000000" w:themeColor="text1"/>
        </w:rPr>
        <w:t>Consejo de Estado</w:t>
      </w:r>
      <w:r w:rsidRPr="00312E14">
        <w:rPr>
          <w:rFonts w:ascii="Verdana" w:eastAsia="Calibri" w:hAnsi="Verdana" w:cs="Arial"/>
          <w:color w:val="000000" w:themeColor="text1"/>
        </w:rPr>
        <w:t xml:space="preserve">, en </w:t>
      </w:r>
      <w:r>
        <w:rPr>
          <w:rFonts w:ascii="Verdana" w:eastAsia="Calibri" w:hAnsi="Verdana" w:cs="Arial"/>
          <w:color w:val="000000" w:themeColor="text1"/>
        </w:rPr>
        <w:t xml:space="preserve">sentencia </w:t>
      </w:r>
      <w:r w:rsidRPr="00312E14">
        <w:rPr>
          <w:rFonts w:ascii="Verdana" w:eastAsia="Calibri" w:hAnsi="Verdana" w:cs="Arial"/>
          <w:color w:val="000000" w:themeColor="text1"/>
        </w:rPr>
        <w:t xml:space="preserve">de 7 de febrero de 2025, proferida dentro del </w:t>
      </w:r>
      <w:r>
        <w:rPr>
          <w:rFonts w:ascii="Verdana" w:eastAsia="Calibri" w:hAnsi="Verdana" w:cs="Arial"/>
          <w:color w:val="000000" w:themeColor="text1"/>
        </w:rPr>
        <w:t xml:space="preserve">expediente </w:t>
      </w:r>
      <w:r w:rsidRPr="00312E14">
        <w:rPr>
          <w:rFonts w:ascii="Verdana" w:eastAsia="Calibri" w:hAnsi="Verdana" w:cs="Arial"/>
          <w:color w:val="000000" w:themeColor="text1"/>
        </w:rPr>
        <w:t>71.453, precisó que</w:t>
      </w:r>
      <w:r>
        <w:rPr>
          <w:rFonts w:ascii="Verdana" w:eastAsia="Calibri" w:hAnsi="Verdana" w:cs="Arial"/>
          <w:color w:val="000000" w:themeColor="text1"/>
        </w:rPr>
        <w:t xml:space="preserve"> el amparo de estabilidad y calidad de la obra parte de comprender que las prestaciones del contrato no se limitan a la construcción bajo las condiciones en que fue encomendada, </w:t>
      </w:r>
      <w:r w:rsidRPr="00251833">
        <w:rPr>
          <w:rFonts w:ascii="Verdana" w:eastAsia="Calibri" w:hAnsi="Verdana" w:cs="Arial"/>
          <w:color w:val="000000" w:themeColor="text1"/>
        </w:rPr>
        <w:t>sino que también le exigen garantizar su estabilidad, en virtud de lo cual el deudor asume una obligación de resultado, de manera que responde por aquellos vicios que impidan su uso, a menos que acredite la configuración de una causa extraña como eximente de responsabilidad</w:t>
      </w:r>
      <w:r>
        <w:rPr>
          <w:rStyle w:val="Refdenotaalpie"/>
          <w:rFonts w:ascii="Verdana" w:eastAsia="Calibri" w:hAnsi="Verdana" w:cs="Arial"/>
          <w:color w:val="000000" w:themeColor="text1"/>
        </w:rPr>
        <w:footnoteReference w:id="16"/>
      </w:r>
      <w:r w:rsidRPr="00251833">
        <w:rPr>
          <w:rFonts w:ascii="Verdana" w:eastAsia="Calibri" w:hAnsi="Verdana" w:cs="Arial"/>
          <w:color w:val="000000" w:themeColor="text1"/>
        </w:rPr>
        <w:t xml:space="preserve">. </w:t>
      </w:r>
      <w:r>
        <w:rPr>
          <w:rFonts w:ascii="Verdana" w:eastAsia="Calibri" w:hAnsi="Verdana" w:cs="Arial"/>
          <w:color w:val="000000" w:themeColor="text1"/>
        </w:rPr>
        <w:t xml:space="preserve">De esta manera, el Consejo de Estado </w:t>
      </w:r>
      <w:r w:rsidRPr="00251833">
        <w:rPr>
          <w:rFonts w:ascii="Verdana" w:eastAsia="Calibri" w:hAnsi="Verdana" w:cs="Arial"/>
          <w:color w:val="000000" w:themeColor="text1"/>
        </w:rPr>
        <w:t xml:space="preserve">ha considerado que, en los </w:t>
      </w:r>
      <w:r>
        <w:rPr>
          <w:rFonts w:ascii="Verdana" w:eastAsia="Calibri" w:hAnsi="Verdana" w:cs="Arial"/>
          <w:color w:val="000000" w:themeColor="text1"/>
        </w:rPr>
        <w:t>eventos</w:t>
      </w:r>
      <w:r w:rsidRPr="00251833">
        <w:rPr>
          <w:rFonts w:ascii="Verdana" w:eastAsia="Calibri" w:hAnsi="Verdana" w:cs="Arial"/>
          <w:color w:val="000000" w:themeColor="text1"/>
        </w:rPr>
        <w:t xml:space="preserve"> en los que la controversia gira en torno a la estabilidad de la obra, no se discute el incumplimiento de la obligación principal de construcción, sino la accesoria de garantizar que el resultado cumpla con la finalidad para la que fue contratada la obra y que no amenace una ruina total o parcial de la cosa, </w:t>
      </w:r>
      <w:r>
        <w:rPr>
          <w:rFonts w:ascii="Verdana" w:eastAsia="Calibri" w:hAnsi="Verdana" w:cs="Arial"/>
          <w:color w:val="000000" w:themeColor="text1"/>
        </w:rPr>
        <w:t xml:space="preserve">con el propósito de salvaguardar </w:t>
      </w:r>
      <w:r w:rsidRPr="00251833">
        <w:rPr>
          <w:rFonts w:ascii="Verdana" w:eastAsia="Calibri" w:hAnsi="Verdana" w:cs="Arial"/>
          <w:color w:val="000000" w:themeColor="text1"/>
        </w:rPr>
        <w:t xml:space="preserve">el patrimonio del acreedor que recibe una afectación por la ejecución defectuosa o tardía de las prestaciones del negocio. </w:t>
      </w:r>
      <w:r>
        <w:rPr>
          <w:rFonts w:ascii="Verdana" w:eastAsia="Calibri" w:hAnsi="Verdana" w:cs="Arial"/>
          <w:color w:val="000000" w:themeColor="text1"/>
        </w:rPr>
        <w:t>En este sentido, el Consejo de Estado ha expresado:</w:t>
      </w:r>
    </w:p>
    <w:p w14:paraId="08CEDDF7" w14:textId="77777777" w:rsidR="00E85B43" w:rsidRDefault="00E85B43" w:rsidP="00C474BF">
      <w:pPr>
        <w:spacing w:after="0" w:line="276" w:lineRule="auto"/>
        <w:ind w:firstLine="709"/>
        <w:jc w:val="both"/>
        <w:rPr>
          <w:rFonts w:ascii="Verdana" w:eastAsia="Calibri" w:hAnsi="Verdana" w:cs="Arial"/>
          <w:color w:val="000000" w:themeColor="text1"/>
        </w:rPr>
      </w:pPr>
    </w:p>
    <w:p w14:paraId="0326084E" w14:textId="77777777" w:rsidR="00E85B43" w:rsidRDefault="00E85B43" w:rsidP="00C474BF">
      <w:pPr>
        <w:spacing w:after="0" w:line="240" w:lineRule="auto"/>
        <w:ind w:left="709" w:right="709"/>
        <w:jc w:val="both"/>
        <w:rPr>
          <w:rFonts w:ascii="Verdana" w:eastAsia="Calibri" w:hAnsi="Verdana" w:cs="Arial"/>
          <w:color w:val="000000" w:themeColor="text1"/>
          <w:sz w:val="20"/>
          <w:szCs w:val="20"/>
        </w:rPr>
      </w:pPr>
      <w:r w:rsidRPr="0001656B">
        <w:rPr>
          <w:rFonts w:ascii="Verdana" w:eastAsia="Calibri" w:hAnsi="Verdana" w:cs="Arial"/>
          <w:color w:val="000000" w:themeColor="text1"/>
          <w:sz w:val="20"/>
          <w:szCs w:val="20"/>
        </w:rPr>
        <w:t>[…] una vez finiquitada y entregada la obra surge a cargo del contratista -como obligación accesoria- el deber de subsanar las fallas que se presenten durante el término de la garantía, “de manera que, al exigirse su cumplimiento, no se cuestiona si las obligaciones axiales del contrato fueron satisfechas -o no- en la forma y tiempo debidos; lo que está en discusión es el incumplimiento de una prestación accesoria posterior a la extinción de aquéllas, es decir, se trata de una obligación postcontractual”. Ante el incumplimiento de dicha obligación accesoria, la Administración se encuentra facultada para declarar la ocurrencia del siniestro y hacer efectivo el amparo de estabilidad de la obra, para lo cual, desde luego, no resulta necesario que previamente declare el incumplimiento de obligaciones postcontractuales, en la medida en que la afectación de dicho amparo derivará directamente de la verificación objetiva del incumplimiento de esa obligación</w:t>
      </w:r>
      <w:r>
        <w:rPr>
          <w:rStyle w:val="Refdenotaalpie"/>
          <w:rFonts w:ascii="Verdana" w:eastAsia="Calibri" w:hAnsi="Verdana" w:cs="Arial"/>
          <w:color w:val="000000" w:themeColor="text1"/>
          <w:sz w:val="20"/>
          <w:szCs w:val="20"/>
        </w:rPr>
        <w:footnoteReference w:id="17"/>
      </w:r>
      <w:r w:rsidRPr="0001656B">
        <w:rPr>
          <w:rFonts w:ascii="Verdana" w:eastAsia="Calibri" w:hAnsi="Verdana" w:cs="Arial"/>
          <w:color w:val="000000" w:themeColor="text1"/>
          <w:sz w:val="20"/>
          <w:szCs w:val="20"/>
        </w:rPr>
        <w:t>.</w:t>
      </w:r>
    </w:p>
    <w:p w14:paraId="65194BF3" w14:textId="77777777" w:rsidR="00E85B43" w:rsidRPr="0001656B" w:rsidRDefault="00E85B43" w:rsidP="00C474BF">
      <w:pPr>
        <w:spacing w:after="0" w:line="240" w:lineRule="auto"/>
        <w:ind w:left="709" w:right="709"/>
        <w:jc w:val="both"/>
        <w:rPr>
          <w:rFonts w:ascii="Verdana" w:eastAsia="Calibri" w:hAnsi="Verdana" w:cs="Arial"/>
          <w:color w:val="000000" w:themeColor="text1"/>
          <w:sz w:val="20"/>
          <w:szCs w:val="20"/>
        </w:rPr>
      </w:pPr>
    </w:p>
    <w:p w14:paraId="16839FFF" w14:textId="77777777" w:rsidR="00E85B43" w:rsidRDefault="00E85B43" w:rsidP="00E85B43">
      <w:pPr>
        <w:spacing w:line="276" w:lineRule="auto"/>
        <w:ind w:firstLine="709"/>
        <w:jc w:val="both"/>
        <w:rPr>
          <w:rFonts w:ascii="Verdana" w:eastAsia="Calibri" w:hAnsi="Verdana" w:cs="Arial"/>
          <w:color w:val="000000" w:themeColor="text1"/>
        </w:rPr>
      </w:pPr>
      <w:r w:rsidRPr="0001656B">
        <w:rPr>
          <w:rFonts w:ascii="Verdana" w:eastAsia="Calibri" w:hAnsi="Verdana" w:cs="Arial"/>
          <w:color w:val="000000" w:themeColor="text1"/>
        </w:rPr>
        <w:t xml:space="preserve">En este contexto, el incumplimiento de la obligación accesoria de subsanar las fallas que se presenten durante el término de la garantía constituye un </w:t>
      </w:r>
      <w:r w:rsidRPr="0001656B">
        <w:rPr>
          <w:rFonts w:ascii="Verdana" w:eastAsia="Calibri" w:hAnsi="Verdana" w:cs="Arial"/>
          <w:color w:val="000000" w:themeColor="text1"/>
        </w:rPr>
        <w:lastRenderedPageBreak/>
        <w:t>supuesto autónomo frente al cumplimiento de las obligaciones principales del contrato. Se trata de una prestación de naturaleza postcontractual, cuyo incumplimiento habilita d</w:t>
      </w:r>
      <w:r>
        <w:rPr>
          <w:rFonts w:ascii="Verdana" w:eastAsia="Calibri" w:hAnsi="Verdana" w:cs="Arial"/>
          <w:color w:val="000000" w:themeColor="text1"/>
        </w:rPr>
        <w:t>e forma directa</w:t>
      </w:r>
      <w:r w:rsidRPr="0001656B">
        <w:rPr>
          <w:rFonts w:ascii="Verdana" w:eastAsia="Calibri" w:hAnsi="Verdana" w:cs="Arial"/>
          <w:color w:val="000000" w:themeColor="text1"/>
        </w:rPr>
        <w:t xml:space="preserve"> a la Administración para declarar la ocurrencia del siniestro y hacer efectivo el amparo de estabilidad de la obra, sin que resulte necesario un pronunciamiento previo sobre el incumplimiento de dichas obligaciones accesorias. La afectación de la garantía, en consecuencia, deriva de la verificación objetiva del incumplimiento de esta obligación posterior, y no de la insatisfacción de las prestaciones esenciales del contrato.</w:t>
      </w:r>
      <w:r>
        <w:rPr>
          <w:rFonts w:ascii="Verdana" w:eastAsia="Calibri" w:hAnsi="Verdana" w:cs="Arial"/>
          <w:color w:val="000000" w:themeColor="text1"/>
        </w:rPr>
        <w:t xml:space="preserve"> </w:t>
      </w:r>
    </w:p>
    <w:p w14:paraId="529DC0BE" w14:textId="77777777" w:rsidR="00E85B43" w:rsidRDefault="00E85B43" w:rsidP="00E85B43">
      <w:pPr>
        <w:spacing w:before="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Como ya se expresó, el procedimiento aplicable para entidades de régimen general es la d</w:t>
      </w:r>
      <w:r w:rsidRPr="00605514">
        <w:rPr>
          <w:rFonts w:ascii="Verdana" w:eastAsia="Calibri" w:hAnsi="Verdana" w:cs="Arial"/>
          <w:color w:val="000000" w:themeColor="text1"/>
        </w:rPr>
        <w:t>el artículo 86</w:t>
      </w:r>
      <w:r>
        <w:rPr>
          <w:rFonts w:ascii="Verdana" w:eastAsia="Calibri" w:hAnsi="Verdana" w:cs="Arial"/>
          <w:color w:val="000000" w:themeColor="text1"/>
        </w:rPr>
        <w:t>, que</w:t>
      </w:r>
      <w:r w:rsidRPr="00605514">
        <w:rPr>
          <w:rFonts w:ascii="Verdana" w:eastAsia="Calibri" w:hAnsi="Verdana" w:cs="Arial"/>
          <w:color w:val="000000" w:themeColor="text1"/>
        </w:rPr>
        <w:t xml:space="preserve"> establece un trámite especial para el ejercicio de facultades sancionatorias en materia contractual</w:t>
      </w:r>
      <w:r>
        <w:rPr>
          <w:rStyle w:val="Refdenotaalpie"/>
          <w:rFonts w:ascii="Verdana" w:eastAsia="Calibri" w:hAnsi="Verdana" w:cs="Arial"/>
          <w:color w:val="000000" w:themeColor="text1"/>
        </w:rPr>
        <w:footnoteReference w:id="18"/>
      </w:r>
      <w:r w:rsidRPr="00605514">
        <w:rPr>
          <w:rFonts w:ascii="Verdana" w:eastAsia="Calibri" w:hAnsi="Verdana" w:cs="Arial"/>
          <w:color w:val="000000" w:themeColor="text1"/>
        </w:rPr>
        <w:t>. Ante la evidencia de un presunto incumplimiento, la Entidad debe citar a audiencia al contratista, exponiendo de manera precisa los hechos que sustentan la posible infracción, las normas o cláusulas presuntamente vulneradas y las consecuencias jurídicas que podrían derivarse, con fundamento en los informes de supervisión o interventoría que acrediten las circunstancias constitutivas del incumplimiento.</w:t>
      </w:r>
      <w:r>
        <w:rPr>
          <w:rFonts w:ascii="Verdana" w:eastAsia="Calibri" w:hAnsi="Verdana" w:cs="Arial"/>
          <w:color w:val="000000" w:themeColor="text1"/>
        </w:rPr>
        <w:t xml:space="preserve"> </w:t>
      </w:r>
      <w:r w:rsidRPr="00FB60A2">
        <w:rPr>
          <w:rFonts w:ascii="Verdana" w:hAnsi="Verdana" w:cs="Arial"/>
        </w:rPr>
        <w:t xml:space="preserve">En efecto, este procedimiento es aplicable para imponer multas, declarar la caducidad y hacer efectiva la cláusula penal pecuniaria, así como para declarar el incumplimiento del contrato y afectar el amparo de cumplimiento que de él se deriva. En cambio, tratándose del amparo de estabilidad y calidad de la obra, la declaratoria del siniestro no persigue declarar el incumplimiento del contrato —ejecutado y recibido a satisfacción— ni imponer una sanción, sino verificar la materialización de un riesgo posterior. Por ello, en armonía con la línea de los Conceptos C-143 del 3 de marzo de 2025 y C-1470 del 20 de noviembre de 2025 y con la jurisprudencia del Consejo de Estado antes citada, su declaratoria se surte por el procedimiento administrativo general de los artículos 34 y siguientes de la Ley 1437 de 2011, con plena observancia del debido proceso, sin que </w:t>
      </w:r>
      <w:r w:rsidRPr="00FB60A2">
        <w:rPr>
          <w:rFonts w:ascii="Verdana" w:hAnsi="Verdana" w:cs="Arial"/>
        </w:rPr>
        <w:lastRenderedPageBreak/>
        <w:t>resulte obligatorio agotar el trámite del artículo 86. En consecuencia, esta Agencia mantiene la tesis de dichos conceptos, ahora reforzada por el pronunciamiento del Consejo de Estado.</w:t>
      </w:r>
    </w:p>
    <w:p w14:paraId="08F82154" w14:textId="77777777" w:rsidR="00E85B43" w:rsidRPr="00C5653E" w:rsidRDefault="00E85B43" w:rsidP="00E85B43">
      <w:pPr>
        <w:spacing w:after="120" w:line="276" w:lineRule="auto"/>
        <w:ind w:firstLine="708"/>
        <w:jc w:val="both"/>
        <w:rPr>
          <w:rFonts w:ascii="Verdana" w:eastAsia="Times New Roman" w:hAnsi="Verdana" w:cs="Arial"/>
          <w:color w:val="000000" w:themeColor="text1"/>
          <w:lang w:eastAsia="es-CO"/>
        </w:rPr>
      </w:pPr>
      <w:r>
        <w:rPr>
          <w:rFonts w:ascii="Verdana" w:eastAsia="Calibri" w:hAnsi="Verdana" w:cs="Arial"/>
          <w:color w:val="000000" w:themeColor="text1"/>
        </w:rPr>
        <w:t>Ahora bien, t</w:t>
      </w:r>
      <w:r w:rsidRPr="00C5653E">
        <w:rPr>
          <w:rFonts w:ascii="Verdana" w:eastAsia="Calibri" w:hAnsi="Verdana" w:cs="Arial"/>
          <w:color w:val="000000" w:themeColor="text1"/>
        </w:rPr>
        <w:t>ratándose de entidades de régimen especial, al momento de constituir la garantía</w:t>
      </w:r>
      <w:r>
        <w:rPr>
          <w:rFonts w:ascii="Verdana" w:eastAsia="Calibri" w:hAnsi="Verdana" w:cs="Arial"/>
          <w:color w:val="000000" w:themeColor="text1"/>
        </w:rPr>
        <w:t xml:space="preserve"> de estabilidad y calidad de la obra</w:t>
      </w:r>
      <w:r w:rsidRPr="00C5653E">
        <w:rPr>
          <w:rFonts w:ascii="Verdana" w:eastAsia="Calibri" w:hAnsi="Verdana" w:cs="Arial"/>
          <w:color w:val="000000" w:themeColor="text1"/>
        </w:rPr>
        <w:t xml:space="preserve"> —generalmente mediante póliza de seguros— se entiende que esta debe cubrir los perjuicios derivados de vicios ocultos, de la mala calidad de la obra o de los materiales empleados, así como de defectos, deficiencias técnicas o fallas que no hayan sido advertidas por la entidad al recibir la obra, o que se manifiesten con posterioridad. En todos estos supuestos, </w:t>
      </w:r>
      <w:r>
        <w:rPr>
          <w:rFonts w:ascii="Verdana" w:eastAsia="Calibri" w:hAnsi="Verdana" w:cs="Arial"/>
          <w:color w:val="000000" w:themeColor="text1"/>
        </w:rPr>
        <w:t xml:space="preserve">la garantía </w:t>
      </w:r>
      <w:r w:rsidRPr="00C5653E">
        <w:rPr>
          <w:rFonts w:ascii="Verdana" w:eastAsia="Calibri" w:hAnsi="Verdana" w:cs="Arial"/>
          <w:color w:val="000000" w:themeColor="text1"/>
        </w:rPr>
        <w:t xml:space="preserve">de estabilidad y calidad </w:t>
      </w:r>
      <w:r>
        <w:rPr>
          <w:rFonts w:ascii="Verdana" w:eastAsia="Calibri" w:hAnsi="Verdana" w:cs="Arial"/>
          <w:color w:val="000000" w:themeColor="text1"/>
        </w:rPr>
        <w:t xml:space="preserve">debe proteger </w:t>
      </w:r>
      <w:r w:rsidRPr="00C5653E">
        <w:rPr>
          <w:rFonts w:ascii="Verdana" w:eastAsia="Calibri" w:hAnsi="Verdana" w:cs="Arial"/>
          <w:color w:val="000000" w:themeColor="text1"/>
        </w:rPr>
        <w:t>los daños que se revelan después del recibo a satisfacción</w:t>
      </w:r>
      <w:r>
        <w:rPr>
          <w:rFonts w:ascii="Verdana" w:eastAsia="Calibri" w:hAnsi="Verdana" w:cs="Arial"/>
          <w:color w:val="000000" w:themeColor="text1"/>
        </w:rPr>
        <w:t xml:space="preserve">, y el término de suficiencia y cobertura que consideren pertinente, previo análisis por parte de la entidad. De igual modo, el procedimiento aplicable es el definido por las reglas del Código de Comercio, por lo que no es posible acudir a la facultad que tienen las entidades de régimen general de declarar unilateralmente el siniestro.  </w:t>
      </w:r>
    </w:p>
    <w:p w14:paraId="32234100" w14:textId="77777777" w:rsidR="00E85B43" w:rsidRDefault="00E85B43" w:rsidP="00E85B43">
      <w:pPr>
        <w:spacing w:after="120" w:line="276" w:lineRule="auto"/>
        <w:ind w:firstLine="708"/>
        <w:jc w:val="both"/>
        <w:rPr>
          <w:rFonts w:ascii="Verdana" w:eastAsia="Times New Roman" w:hAnsi="Verdana" w:cs="Arial"/>
          <w:color w:val="000000" w:themeColor="text1"/>
          <w:lang w:eastAsia="es-CO"/>
        </w:rPr>
      </w:pPr>
      <w:r w:rsidRPr="00110116">
        <w:rPr>
          <w:rFonts w:ascii="Verdana" w:eastAsia="Times New Roman" w:hAnsi="Verdana" w:cs="Arial"/>
          <w:color w:val="000000" w:themeColor="text1"/>
          <w:lang w:eastAsia="es-CO"/>
        </w:rPr>
        <w:t xml:space="preserve">Adicionalmente, es pertinente recordar que el numeral 3 del artículo 2060 del Código Civil atribuye al constructor la responsabilidad por el perecimiento o la ruina, total o parcial, de la obra ocasionada por vicios de construcción, del suelo o de los materiales empleados, durante los diez </w:t>
      </w:r>
      <w:r>
        <w:rPr>
          <w:rFonts w:ascii="Verdana" w:eastAsia="Times New Roman" w:hAnsi="Verdana" w:cs="Arial"/>
          <w:color w:val="000000" w:themeColor="text1"/>
          <w:lang w:eastAsia="es-CO"/>
        </w:rPr>
        <w:t xml:space="preserve">(10) </w:t>
      </w:r>
      <w:r w:rsidRPr="00110116">
        <w:rPr>
          <w:rFonts w:ascii="Verdana" w:eastAsia="Times New Roman" w:hAnsi="Verdana" w:cs="Arial"/>
          <w:color w:val="000000" w:themeColor="text1"/>
          <w:lang w:eastAsia="es-CO"/>
        </w:rPr>
        <w:t xml:space="preserve">años siguientes a su entrega. En </w:t>
      </w:r>
      <w:r>
        <w:rPr>
          <w:rFonts w:ascii="Verdana" w:eastAsia="Times New Roman" w:hAnsi="Verdana" w:cs="Arial"/>
          <w:color w:val="000000" w:themeColor="text1"/>
          <w:lang w:eastAsia="es-CO"/>
        </w:rPr>
        <w:t>esta línea</w:t>
      </w:r>
      <w:r w:rsidRPr="00110116">
        <w:rPr>
          <w:rFonts w:ascii="Verdana" w:eastAsia="Times New Roman" w:hAnsi="Verdana" w:cs="Arial"/>
          <w:color w:val="000000" w:themeColor="text1"/>
          <w:lang w:eastAsia="es-CO"/>
        </w:rPr>
        <w:t>, una vez finalizada la vigencia del amparo de estabilidad y calidad —que cubre los daños que se presenten en la obra recibida a satisfacción dentro del plazo pactado— subsiste la responsabilidad legal del contratista por el tiempo restante hasta completar dicho término decenal. Así, por ejemplo, si en la construcción de un puente peatonal se pacta un amparo de estabilidad y calidad con una vigencia de cinco años contados desde el recibo a satisfacción, una vez concluida esa cobertura continuará vigente por cinco años más la responsabilidad del contratista conforme al artículo 2060.</w:t>
      </w:r>
    </w:p>
    <w:p w14:paraId="0D815A4B" w14:textId="77777777" w:rsidR="00E85B43" w:rsidRDefault="00E85B43" w:rsidP="00E85B43">
      <w:pPr>
        <w:spacing w:after="120" w:line="276" w:lineRule="auto"/>
        <w:ind w:firstLine="708"/>
        <w:jc w:val="both"/>
        <w:rPr>
          <w:rFonts w:ascii="Verdana" w:eastAsia="Times New Roman" w:hAnsi="Verdana" w:cs="Arial"/>
          <w:color w:val="000000" w:themeColor="text1"/>
          <w:lang w:eastAsia="es-CO"/>
        </w:rPr>
      </w:pPr>
      <w:r w:rsidRPr="00530C2D">
        <w:rPr>
          <w:rFonts w:ascii="Verdana" w:eastAsia="Times New Roman" w:hAnsi="Verdana" w:cs="Arial"/>
          <w:color w:val="000000" w:themeColor="text1"/>
          <w:lang w:eastAsia="es-CO"/>
        </w:rPr>
        <w:t xml:space="preserve">La regla prevista en el artículo 2060 del Código Civil resulta aplicable también a las entidades sometidas a régimen especial, en tanto constituye una disposición de derecho privado que atribuye al constructor la responsabilidad por el perecimiento o la ruina —total o parcial— de la obra ocasionada por vicios de construcción, del suelo o de los materiales empleados, durante los diez (10) años siguientes a su entrega. En este sentido, una vez concluida la vigencia del amparo de estabilidad y calidad —que cubre los daños manifestados en la obra </w:t>
      </w:r>
      <w:r w:rsidRPr="00530C2D">
        <w:rPr>
          <w:rFonts w:ascii="Verdana" w:eastAsia="Times New Roman" w:hAnsi="Verdana" w:cs="Arial"/>
          <w:color w:val="000000" w:themeColor="text1"/>
          <w:lang w:eastAsia="es-CO"/>
        </w:rPr>
        <w:lastRenderedPageBreak/>
        <w:t>recibida a satisfacción dentro del plazo pactado— subsiste la responsabilidad legal del contratista por el tiempo restante hasta completar el término decenal establecido en la norma.</w:t>
      </w:r>
    </w:p>
    <w:p w14:paraId="3671B90D" w14:textId="77777777" w:rsidR="00E85B43" w:rsidRPr="004256C4" w:rsidRDefault="00E85B43" w:rsidP="00E85B43">
      <w:pPr>
        <w:spacing w:after="120" w:line="276" w:lineRule="auto"/>
        <w:ind w:firstLine="709"/>
        <w:jc w:val="both"/>
        <w:rPr>
          <w:rFonts w:ascii="Verdana" w:eastAsia="Times New Roman" w:hAnsi="Verdana" w:cs="Times New Roman"/>
        </w:rPr>
      </w:pPr>
      <w:r w:rsidRPr="004256C4">
        <w:rPr>
          <w:rFonts w:ascii="Verdana" w:eastAsia="Times New Roman" w:hAnsi="Verdana" w:cs="Times New Roman"/>
        </w:rPr>
        <w:t xml:space="preserve">En relación con la oportunidad para que la Entidad Estatal declare el siniestro, </w:t>
      </w:r>
      <w:r>
        <w:rPr>
          <w:rFonts w:ascii="Verdana" w:eastAsia="Times New Roman" w:hAnsi="Verdana" w:cs="Times New Roman"/>
        </w:rPr>
        <w:t xml:space="preserve">la Agencia acudiendo a la </w:t>
      </w:r>
      <w:r w:rsidRPr="00BD7224">
        <w:rPr>
          <w:rFonts w:ascii="Verdana" w:eastAsia="Times New Roman" w:hAnsi="Verdana" w:cs="Times New Roman"/>
        </w:rPr>
        <w:t xml:space="preserve">“Guía para la Exigencia y Constitución de Garantías en los Procesos de Contratación” </w:t>
      </w:r>
      <w:r>
        <w:rPr>
          <w:rFonts w:ascii="Verdana" w:eastAsia="Times New Roman" w:hAnsi="Verdana" w:cs="Times New Roman"/>
        </w:rPr>
        <w:t xml:space="preserve">que retoma lo consolidado por </w:t>
      </w:r>
      <w:r w:rsidRPr="004256C4">
        <w:rPr>
          <w:rFonts w:ascii="Verdana" w:eastAsia="Times New Roman" w:hAnsi="Verdana" w:cs="Times New Roman"/>
        </w:rPr>
        <w:t>el Consejo de Estado</w:t>
      </w:r>
      <w:r>
        <w:rPr>
          <w:rStyle w:val="Refdenotaalpie"/>
          <w:rFonts w:ascii="Verdana" w:eastAsia="Times New Roman" w:hAnsi="Verdana" w:cs="Times New Roman"/>
        </w:rPr>
        <w:footnoteReference w:id="19"/>
      </w:r>
      <w:r w:rsidRPr="004256C4">
        <w:rPr>
          <w:rFonts w:ascii="Verdana" w:eastAsia="Times New Roman" w:hAnsi="Verdana" w:cs="Times New Roman"/>
        </w:rPr>
        <w:t xml:space="preserve"> ha precisado que la competencia temporal se rige por los términos de prescripción de la acción derivada del contrato de seguro previstos en el artículo 1081 del Código de Comercio. Conforme a esta disposición, desde el momento en que la entidad conoce —o debió conocer— el hecho que origina la actuación dispone de dos años para expedir el acto administrativo que declare la ocurrencia del siniestro y determine su cuantía. Adicionalmente, el acto administrativo debe emitirse dentro de los cinco años siguientes a la ocurrencia del siniestro, pues vencido este plazo </w:t>
      </w:r>
      <w:r>
        <w:rPr>
          <w:rFonts w:ascii="Verdana" w:eastAsia="Times New Roman" w:hAnsi="Verdana" w:cs="Times New Roman"/>
        </w:rPr>
        <w:t xml:space="preserve">aplica </w:t>
      </w:r>
      <w:r w:rsidRPr="004256C4">
        <w:rPr>
          <w:rFonts w:ascii="Verdana" w:eastAsia="Times New Roman" w:hAnsi="Verdana" w:cs="Times New Roman"/>
        </w:rPr>
        <w:t>la prescripción extraordinaria de la acción a favor de la Entidad Estatal.</w:t>
      </w:r>
    </w:p>
    <w:p w14:paraId="43D4FE57" w14:textId="77777777" w:rsidR="00E85B43" w:rsidRPr="004256C4" w:rsidRDefault="00E85B43" w:rsidP="00E85B43">
      <w:pPr>
        <w:spacing w:after="120" w:line="276" w:lineRule="auto"/>
        <w:ind w:firstLine="709"/>
        <w:jc w:val="both"/>
        <w:rPr>
          <w:rFonts w:ascii="Verdana" w:eastAsia="Times New Roman" w:hAnsi="Verdana" w:cs="Times New Roman"/>
        </w:rPr>
      </w:pPr>
      <w:r w:rsidRPr="004256C4">
        <w:rPr>
          <w:rFonts w:ascii="Verdana" w:eastAsia="Times New Roman" w:hAnsi="Verdana" w:cs="Times New Roman"/>
        </w:rPr>
        <w:t>En consecuencia, para evitar la prescripción, la Entidad Estatal debe expedir el acto administrativo que declara el siniestro dentro de los dos años siguientes al conocimiento de los hechos que materializan el riesgo amparado. Este criterio ha sido reiterado por la Agencia en el Concepto C</w:t>
      </w:r>
      <w:r w:rsidRPr="004256C4">
        <w:rPr>
          <w:rFonts w:ascii="Verdana" w:eastAsia="Times New Roman" w:hAnsi="Verdana" w:cs="Times New Roman"/>
        </w:rPr>
        <w:noBreakHyphen/>
        <w:t>055 de 2025, en el cual se precisó que la materialización del riesgo asegurable debe ocurrir dentro de la vigencia de la garantía para que el garante esté obligado a su reparación. No obstante, la declaratoria del siniestro puede efectuarse fuera de la vigencia de la garantía, siempre que —tratándose de pólizas de seguro— se expida el acto administrativo dentro del término de dos años contados desde el conocimiento del hecho que dio lugar al siniestro.</w:t>
      </w:r>
    </w:p>
    <w:p w14:paraId="5D2E288B" w14:textId="77777777" w:rsidR="00E85B43" w:rsidRPr="004256C4" w:rsidRDefault="00E85B43" w:rsidP="00E85B43">
      <w:pPr>
        <w:spacing w:after="120" w:line="276" w:lineRule="auto"/>
        <w:ind w:firstLine="709"/>
        <w:jc w:val="both"/>
        <w:rPr>
          <w:rFonts w:ascii="Verdana" w:eastAsia="Times New Roman" w:hAnsi="Verdana" w:cs="Times New Roman"/>
        </w:rPr>
      </w:pPr>
      <w:r w:rsidRPr="004256C4">
        <w:rPr>
          <w:rFonts w:ascii="Verdana" w:eastAsia="Times New Roman" w:hAnsi="Verdana" w:cs="Times New Roman"/>
        </w:rPr>
        <w:t>Asimismo, es importante recordar que, conforme al artículo 1096 del Código de Comercio, la aseguradora que paga una indemnización se subroga por ministerio de la ley, hasta el valor indemnizado, en los derechos del asegurado frente a las personas responsables del siniestro. Esto implica que, una vez realizada la indemnización, la aseguradora sustituye a la Entidad Estatal en las acciones que procedan contra el contratista o proponente que ocasionó el daño, garantizando así la recuperación de los recursos públicos comprometidos.</w:t>
      </w:r>
    </w:p>
    <w:p w14:paraId="4ED64DA3" w14:textId="77777777" w:rsidR="00E85B43" w:rsidRPr="006B3925" w:rsidRDefault="00E85B43" w:rsidP="00E85B43">
      <w:pPr>
        <w:spacing w:after="120" w:line="276" w:lineRule="auto"/>
        <w:ind w:firstLine="709"/>
        <w:jc w:val="both"/>
        <w:rPr>
          <w:rFonts w:ascii="Verdana" w:eastAsia="Times New Roman" w:hAnsi="Verdana" w:cs="Times New Roman"/>
        </w:rPr>
      </w:pPr>
      <w:r w:rsidRPr="004256C4">
        <w:rPr>
          <w:rFonts w:ascii="Verdana" w:eastAsia="Times New Roman" w:hAnsi="Verdana" w:cs="Times New Roman"/>
        </w:rPr>
        <w:lastRenderedPageBreak/>
        <w:t>En suma, la oportunidad para declarar el siniestro se encuentra estrictamente delimitada por los términos de prescripción ordinaria y extraordinaria previstos en el Código de Comercio, y la actuación administrativa debe ajustarse a dichos plazos para preservar la eficacia de la garantía y la posibilidad de repetición contra el contratista responsable. La declaratoria del siniestro, aun cuando se produzca fuera de la vigencia de la póliza, conserva plena validez siempre que se expida dentro de los términos legales, asegurando la protección patrimonial de la Entidad Estatal y la operatividad del mecanismo de subrogación legal.</w:t>
      </w:r>
    </w:p>
    <w:p w14:paraId="0E6D4AB2" w14:textId="77777777" w:rsidR="00E85B43" w:rsidRDefault="00E85B43" w:rsidP="00E85B43">
      <w:pPr>
        <w:spacing w:after="120" w:line="276" w:lineRule="auto"/>
        <w:ind w:firstLine="708"/>
        <w:jc w:val="both"/>
        <w:rPr>
          <w:rFonts w:ascii="Verdana" w:eastAsia="Calibri" w:hAnsi="Verdana" w:cs="Arial"/>
        </w:rPr>
      </w:pPr>
      <w:r>
        <w:rPr>
          <w:rFonts w:ascii="Verdana" w:eastAsia="Calibri" w:hAnsi="Verdana" w:cs="Arial"/>
        </w:rPr>
        <w:t xml:space="preserve">Con respecto a </w:t>
      </w:r>
      <w:r w:rsidRPr="00864215">
        <w:rPr>
          <w:rFonts w:ascii="Verdana" w:eastAsia="Calibri" w:hAnsi="Verdana" w:cs="Arial"/>
        </w:rPr>
        <w:t>la declaratoria del siniestro que da lugar al cobro de la póliza de cumplimiento, las entidades de régimen especial deben seguir</w:t>
      </w:r>
      <w:r>
        <w:rPr>
          <w:rFonts w:ascii="Verdana" w:eastAsia="Calibri" w:hAnsi="Verdana" w:cs="Arial"/>
        </w:rPr>
        <w:t>, en principio,</w:t>
      </w:r>
      <w:r w:rsidRPr="00864215">
        <w:rPr>
          <w:rFonts w:ascii="Verdana" w:eastAsia="Calibri" w:hAnsi="Verdana" w:cs="Arial"/>
        </w:rPr>
        <w:t xml:space="preserve"> las normas del Código de Comercio. Sobre el particular este establece en su artículo 1077 que le corresponde al asegurado demostrar la ocurrencia del siniestro, así como la cuantía de la pérdida. Esto resulta relevante, considerando que, de acuerdo con lo antes explicado, las entidades estatales de régimen especial no tienen la posibilidad de expedir actos administrativos tendientes declarar el incumplimiento, materializar el siniestro y hacer efectivo el amparo de la póliza del seguro de cumplimiento. Por lo tanto, una entidad estatal cuyos actos y contratos se rijan por el derecho privado, deberá realizar las mismas actuaciones que el resto de los sujetos de derecho privado; así, para el caso del contrato de seguros, deberá acudir a la aseguradora con el fin de demostrar la ocurrencia del siniestro y la cuantía de los perjuicios</w:t>
      </w:r>
      <w:r w:rsidRPr="00864215">
        <w:rPr>
          <w:rFonts w:ascii="Verdana" w:eastAsia="Calibri" w:hAnsi="Verdana" w:cs="Arial"/>
          <w:vertAlign w:val="superscript"/>
        </w:rPr>
        <w:footnoteReference w:id="20"/>
      </w:r>
      <w:r w:rsidRPr="00864215">
        <w:rPr>
          <w:rFonts w:ascii="Verdana" w:eastAsia="Calibri" w:hAnsi="Verdana" w:cs="Arial"/>
        </w:rPr>
        <w:t xml:space="preserve">.  </w:t>
      </w:r>
    </w:p>
    <w:p w14:paraId="11D75866" w14:textId="77777777" w:rsidR="00E85B43" w:rsidRDefault="00E85B43" w:rsidP="00E85B43">
      <w:pPr>
        <w:spacing w:after="120" w:line="276" w:lineRule="auto"/>
        <w:ind w:firstLine="708"/>
        <w:jc w:val="both"/>
        <w:rPr>
          <w:rFonts w:ascii="Verdana" w:eastAsia="Calibri" w:hAnsi="Verdana" w:cs="Arial"/>
        </w:rPr>
      </w:pPr>
      <w:r>
        <w:rPr>
          <w:rFonts w:ascii="Verdana" w:eastAsia="Calibri" w:hAnsi="Verdana" w:cs="Arial"/>
        </w:rPr>
        <w:t xml:space="preserve">En este escenario, es importante señalar que el artículo 1078 del Código de Comercio dispone que si el asegurado o el beneficiario incumplieren las obligaciones que les corresponden en caso de siniestro, el asegurador sólo podrá deducir de la indemnización el valor de los perjuicios que le cause dicho incumplimiento. En este aspecto, se señala que la mala fe del asegurado o del beneficiario en la reclamación o comprobación del derecho al pago de determinado siniestro, causará la pérdida de tal derecho. Así mismo, el artículo 1080 alude a la oportunidad para el pago de la indemnización: </w:t>
      </w:r>
    </w:p>
    <w:p w14:paraId="0D66EA58" w14:textId="77777777" w:rsidR="00E85B43" w:rsidRPr="00926C3B" w:rsidRDefault="00E85B43" w:rsidP="00E85B43">
      <w:pPr>
        <w:spacing w:after="0" w:line="240" w:lineRule="auto"/>
        <w:ind w:left="709" w:right="709"/>
        <w:jc w:val="both"/>
        <w:rPr>
          <w:rFonts w:ascii="Verdana" w:eastAsia="Calibri" w:hAnsi="Verdana" w:cs="Arial"/>
          <w:sz w:val="20"/>
          <w:szCs w:val="20"/>
        </w:rPr>
      </w:pPr>
      <w:r w:rsidRPr="00926C3B">
        <w:rPr>
          <w:rFonts w:ascii="Verdana" w:eastAsia="Calibri" w:hAnsi="Verdana" w:cs="Arial"/>
          <w:sz w:val="20"/>
          <w:szCs w:val="20"/>
        </w:rPr>
        <w:t>&lt;Inciso modificado por el parágrafo del Artículo </w:t>
      </w:r>
      <w:hyperlink r:id="rId12" w:anchor="111" w:history="1">
        <w:r w:rsidRPr="00926C3B">
          <w:rPr>
            <w:rStyle w:val="Hipervnculo"/>
            <w:rFonts w:ascii="Verdana" w:eastAsia="Calibri" w:hAnsi="Verdana" w:cs="Arial"/>
            <w:color w:val="auto"/>
            <w:sz w:val="20"/>
            <w:szCs w:val="20"/>
            <w:u w:val="none"/>
          </w:rPr>
          <w:t>111</w:t>
        </w:r>
      </w:hyperlink>
      <w:r w:rsidRPr="00926C3B">
        <w:rPr>
          <w:rFonts w:ascii="Verdana" w:eastAsia="Calibri" w:hAnsi="Verdana" w:cs="Arial"/>
          <w:sz w:val="20"/>
          <w:szCs w:val="20"/>
        </w:rPr>
        <w:t xml:space="preserve"> de la Ley 510 de 1999. El nuevo texto es el siguiente:&gt; El asegurador estará obligado a efectuar el pago del siniestro dentro del mes siguiente a la fecha en que </w:t>
      </w:r>
      <w:r w:rsidRPr="00926C3B">
        <w:rPr>
          <w:rFonts w:ascii="Verdana" w:eastAsia="Calibri" w:hAnsi="Verdana" w:cs="Arial"/>
          <w:sz w:val="20"/>
          <w:szCs w:val="20"/>
        </w:rPr>
        <w:lastRenderedPageBreak/>
        <w:t>el asegurado o beneficiario acredite, aún extrajudicialmente, su derecho ante el asegurador de acuerdo con el artículo </w:t>
      </w:r>
      <w:hyperlink r:id="rId13" w:anchor="1077" w:history="1">
        <w:r w:rsidRPr="00926C3B">
          <w:rPr>
            <w:rStyle w:val="Hipervnculo"/>
            <w:rFonts w:ascii="Verdana" w:eastAsia="Calibri" w:hAnsi="Verdana" w:cs="Arial"/>
            <w:color w:val="auto"/>
            <w:sz w:val="20"/>
            <w:szCs w:val="20"/>
            <w:u w:val="none"/>
          </w:rPr>
          <w:t>1077</w:t>
        </w:r>
      </w:hyperlink>
      <w:r w:rsidRPr="00926C3B">
        <w:rPr>
          <w:rFonts w:ascii="Verdana" w:eastAsia="Calibri" w:hAnsi="Verdana" w:cs="Arial"/>
          <w:sz w:val="20"/>
          <w:szCs w:val="20"/>
        </w:rPr>
        <w:t>. Vencido este plazo, el asegurador reconocerá y pagará al asegurado o beneficiario, además de la obligación a su cargo y sobre el importe de ella, un interés moratorio igual al certificado como bancario corriente por la Superintendencia Bancaria aumentado en la mitad.</w:t>
      </w:r>
    </w:p>
    <w:p w14:paraId="4038E8AB" w14:textId="77777777" w:rsidR="00E85B43" w:rsidRDefault="00E85B43" w:rsidP="00E85B43">
      <w:pPr>
        <w:spacing w:after="0" w:line="240" w:lineRule="auto"/>
        <w:ind w:left="709" w:right="709"/>
        <w:jc w:val="both"/>
        <w:rPr>
          <w:rFonts w:ascii="Verdana" w:eastAsia="Calibri" w:hAnsi="Verdana" w:cs="Arial"/>
          <w:sz w:val="20"/>
          <w:szCs w:val="20"/>
        </w:rPr>
      </w:pPr>
    </w:p>
    <w:p w14:paraId="6242B286" w14:textId="77777777" w:rsidR="00E85B43" w:rsidRPr="00926C3B" w:rsidRDefault="00E85B43" w:rsidP="00E85B43">
      <w:pPr>
        <w:spacing w:after="0" w:line="240" w:lineRule="auto"/>
        <w:ind w:left="709" w:right="709"/>
        <w:jc w:val="both"/>
        <w:rPr>
          <w:rFonts w:ascii="Verdana" w:eastAsia="Calibri" w:hAnsi="Verdana" w:cs="Arial"/>
          <w:sz w:val="20"/>
          <w:szCs w:val="20"/>
        </w:rPr>
      </w:pPr>
      <w:r w:rsidRPr="00926C3B">
        <w:rPr>
          <w:rFonts w:ascii="Verdana" w:eastAsia="Calibri" w:hAnsi="Verdana" w:cs="Arial"/>
          <w:sz w:val="20"/>
          <w:szCs w:val="20"/>
        </w:rPr>
        <w:t>El contrato de reaseguro no varía el contrato de seguro celebrado entre tomador y asegurador, y la oportunidad en el pago de éste, en caso de siniestro, no podrá diferirse a pretexto del reaseguro.</w:t>
      </w:r>
    </w:p>
    <w:p w14:paraId="33C7A6AE" w14:textId="77777777" w:rsidR="00E85B43" w:rsidRPr="00926C3B" w:rsidRDefault="00E85B43" w:rsidP="00E85B43">
      <w:pPr>
        <w:spacing w:after="0" w:line="240" w:lineRule="auto"/>
        <w:ind w:left="709" w:right="709"/>
        <w:jc w:val="both"/>
        <w:rPr>
          <w:rFonts w:ascii="Verdana" w:eastAsia="Calibri" w:hAnsi="Verdana" w:cs="Arial"/>
          <w:sz w:val="20"/>
          <w:szCs w:val="20"/>
        </w:rPr>
      </w:pPr>
      <w:r w:rsidRPr="00926C3B">
        <w:rPr>
          <w:rFonts w:ascii="Verdana" w:eastAsia="Calibri" w:hAnsi="Verdana" w:cs="Arial"/>
          <w:sz w:val="20"/>
          <w:szCs w:val="20"/>
        </w:rPr>
        <w:t>El asegurado o el beneficiario tendrán derecho a demandar, en lugar de los intereses a que se refiere el inciso anterior &lt;inciso primero original del artículo&gt;, la indemnización de perjuicios causados por la mora del asegurador.</w:t>
      </w:r>
    </w:p>
    <w:p w14:paraId="0D523F8D" w14:textId="77777777" w:rsidR="00E85B43" w:rsidRDefault="00E85B43" w:rsidP="00E85B43">
      <w:pPr>
        <w:spacing w:after="120" w:line="276" w:lineRule="auto"/>
        <w:ind w:firstLine="708"/>
        <w:jc w:val="both"/>
        <w:rPr>
          <w:rFonts w:ascii="Verdana" w:eastAsia="Calibri" w:hAnsi="Verdana" w:cs="Arial"/>
        </w:rPr>
      </w:pPr>
    </w:p>
    <w:p w14:paraId="275CABA3" w14:textId="77777777" w:rsidR="00E85B43" w:rsidRPr="00F31183" w:rsidRDefault="00E85B43" w:rsidP="00E85B43">
      <w:pPr>
        <w:spacing w:after="120" w:line="276" w:lineRule="auto"/>
        <w:ind w:firstLine="708"/>
        <w:jc w:val="both"/>
        <w:rPr>
          <w:rFonts w:ascii="Verdana" w:eastAsia="Calibri" w:hAnsi="Verdana" w:cs="Arial"/>
        </w:rPr>
      </w:pPr>
      <w:r>
        <w:rPr>
          <w:rFonts w:ascii="Verdana" w:eastAsia="Calibri" w:hAnsi="Verdana" w:cs="Arial"/>
        </w:rPr>
        <w:t>A partir de lo expuesto, e</w:t>
      </w:r>
      <w:r w:rsidRPr="00F31183">
        <w:rPr>
          <w:rFonts w:ascii="Verdana" w:eastAsia="Calibri" w:hAnsi="Verdana" w:cs="Arial"/>
        </w:rPr>
        <w:t>l artículo 1080 del Código de Comercio, modificado por la Ley 510 de 1999, establece que el asegurador está obligado a efectuar el pago de la indemnización dentro del mes siguiente a la fecha en que el asegurado o beneficiario acredite su derecho, incluso de manera extrajudicial, conforme al artículo 1077. Si el asegurador incumple este plazo, deberá reconocer intereses moratorios equivalentes al interés bancario corriente certificado por la Superintendencia Bancaria, aumentado en la mitad. Además, se precisa que el contrato de reaseguro no altera las obligaciones derivadas del contrato de seguro celebrado entre el tomador y el asegurador, de modo que el pago oportuno del siniestro no puede diferirse bajo el pretexto de la existencia de un reaseguro. El asegurado o beneficiario, por su parte, conserva la facultad de reclamar la indemnización de perjuicios ocasionados por la mora del asegurador en lugar de los intereses moratorios.</w:t>
      </w:r>
    </w:p>
    <w:p w14:paraId="29315486" w14:textId="77777777" w:rsidR="00E85B43" w:rsidRPr="00F31183" w:rsidRDefault="00E85B43" w:rsidP="00E85B43">
      <w:pPr>
        <w:spacing w:after="120" w:line="276" w:lineRule="auto"/>
        <w:ind w:firstLine="708"/>
        <w:jc w:val="both"/>
        <w:rPr>
          <w:rFonts w:ascii="Verdana" w:eastAsia="Calibri" w:hAnsi="Verdana" w:cs="Arial"/>
        </w:rPr>
      </w:pPr>
      <w:r w:rsidRPr="00F31183">
        <w:rPr>
          <w:rFonts w:ascii="Verdana" w:eastAsia="Calibri" w:hAnsi="Verdana" w:cs="Arial"/>
        </w:rPr>
        <w:t>De igual manera, a estas reglas sobre la oportunidad en el pago de la indemnización se suman las disposiciones relativas a la prescripción de las acciones derivadas del contrato de seguro previstas en el artículo 1081 del Código de Comercio. En virtud de esta norma, la acción ordinaria prescribe en dos años contados desde el momento en que el interesado conoció o debió conocer el hecho que da lugar al siniestro, y en todo caso, opera la prescripción extraordinaria a los cinco años desde la ocurrencia de</w:t>
      </w:r>
      <w:r>
        <w:rPr>
          <w:rFonts w:ascii="Verdana" w:eastAsia="Calibri" w:hAnsi="Verdana" w:cs="Arial"/>
        </w:rPr>
        <w:t xml:space="preserve"> este</w:t>
      </w:r>
      <w:r w:rsidRPr="00F31183">
        <w:rPr>
          <w:rFonts w:ascii="Verdana" w:eastAsia="Calibri" w:hAnsi="Verdana" w:cs="Arial"/>
        </w:rPr>
        <w:t xml:space="preserve">. </w:t>
      </w:r>
    </w:p>
    <w:p w14:paraId="440B3973" w14:textId="101330D1" w:rsidR="00E85B43" w:rsidRPr="00F31183" w:rsidRDefault="00E85B43" w:rsidP="00E85B43">
      <w:pPr>
        <w:spacing w:after="120" w:line="276" w:lineRule="auto"/>
        <w:ind w:firstLine="708"/>
        <w:jc w:val="both"/>
        <w:rPr>
          <w:rFonts w:ascii="Verdana" w:eastAsia="Calibri" w:hAnsi="Verdana" w:cs="Arial"/>
        </w:rPr>
      </w:pPr>
      <w:r w:rsidRPr="00354352">
        <w:rPr>
          <w:rFonts w:ascii="Verdana" w:hAnsi="Verdana" w:cs="Arial"/>
        </w:rPr>
        <w:t xml:space="preserve">Ahora bien, si la aseguradora objeta la reclamación o no paga dentro del término del artículo 1080 del Código de Comercio, la controversia se resuelve </w:t>
      </w:r>
      <w:r w:rsidRPr="00354352">
        <w:rPr>
          <w:rFonts w:ascii="Verdana" w:hAnsi="Verdana" w:cs="Arial"/>
        </w:rPr>
        <w:lastRenderedPageBreak/>
        <w:t>ante el juez competente. Para tal efecto, la póliza de seguro, acompañada de la reclamación y de la prueba de la ocurrencia del siniestro y de su cuantía, presta mérito ejecutivo en los términos del artículo 1053 del Código de Comercio, de modo que la entidad puede acudir al proceso ejecutivo o, según el caso, al proceso declarativo que corresponda. Este es el mecanismo con que cuenta la entidad de régimen especial que no ejerce facultades excepcionales para hacer efectiva la garantía cuando su reclamación es objetada. Así lo ha reconocido el Consejo de Estado, Sección Tercera, Subsección B, en la sentencia del 18 de noviembre de 2021 (Exp. 48.896), al precisar que las actuaciones de la entidad de régimen privado formalizan el reclamo a la aseguradora en los términos del artículo 1080 del Código de Comercio, sin constituir ejercicio de potestades excepcionales.</w:t>
      </w:r>
    </w:p>
    <w:p w14:paraId="7DA7DA6C" w14:textId="77777777" w:rsidR="00E85B43" w:rsidRDefault="00E85B43" w:rsidP="00E85B43">
      <w:pPr>
        <w:spacing w:after="120" w:line="276" w:lineRule="auto"/>
        <w:ind w:firstLine="708"/>
        <w:jc w:val="both"/>
        <w:rPr>
          <w:rFonts w:ascii="Verdana" w:eastAsia="Calibri" w:hAnsi="Verdana" w:cs="Arial"/>
        </w:rPr>
      </w:pPr>
      <w:r>
        <w:rPr>
          <w:rFonts w:ascii="Verdana" w:eastAsia="Calibri" w:hAnsi="Verdana" w:cs="Arial"/>
        </w:rPr>
        <w:t xml:space="preserve">En suma, se señala que </w:t>
      </w:r>
      <w:r w:rsidRPr="003C372D">
        <w:rPr>
          <w:rFonts w:ascii="Verdana" w:eastAsia="Calibri" w:hAnsi="Verdana" w:cs="Arial"/>
        </w:rPr>
        <w:t>las Empresas Sociales del Estado,</w:t>
      </w:r>
      <w:r>
        <w:rPr>
          <w:rFonts w:ascii="Verdana" w:eastAsia="Calibri" w:hAnsi="Verdana" w:cs="Arial"/>
        </w:rPr>
        <w:t xml:space="preserve"> en principio,</w:t>
      </w:r>
      <w:r w:rsidRPr="003C372D">
        <w:rPr>
          <w:rFonts w:ascii="Verdana" w:eastAsia="Calibri" w:hAnsi="Verdana" w:cs="Arial"/>
        </w:rPr>
        <w:t xml:space="preserve"> como entidades de régimen especial, se sujetan a las reglas generales aplicables al procedimiento, a la declaratoria de ocurrencia del siniestro y a los demás aspectos propios del contrato de seguro. Sin embargo, conforme a lo expuesto en consideraciones anteriores, el artículo 195.6 de la Ley 100 de 1993 les otorga la facultad discrecional de pactar potestades exorbitantes, entre las que se incluyen la imposición de multas, la cláusula penal pecuniaria, la caducidad y la declaratoria unilateral del siniestro, entre otras. Estos aspectos serán objeto de análisis en el apartado siguiente.</w:t>
      </w:r>
      <w:r>
        <w:rPr>
          <w:rFonts w:ascii="Verdana" w:eastAsia="Calibri" w:hAnsi="Verdana" w:cs="Arial"/>
        </w:rPr>
        <w:t xml:space="preserve"> </w:t>
      </w:r>
    </w:p>
    <w:p w14:paraId="2B7365C9" w14:textId="77777777" w:rsidR="00E85B43" w:rsidRPr="003C372D" w:rsidRDefault="00E85B43" w:rsidP="00E85B43">
      <w:pPr>
        <w:tabs>
          <w:tab w:val="left" w:pos="567"/>
        </w:tabs>
        <w:spacing w:after="0" w:line="276" w:lineRule="auto"/>
        <w:ind w:firstLine="567"/>
        <w:jc w:val="both"/>
        <w:rPr>
          <w:rFonts w:ascii="Verdana" w:eastAsia="Calibri" w:hAnsi="Verdana" w:cs="Arial"/>
        </w:rPr>
      </w:pPr>
    </w:p>
    <w:p w14:paraId="05148FF0" w14:textId="77777777" w:rsidR="00E85B43" w:rsidRPr="00CC7195" w:rsidRDefault="00E85B43" w:rsidP="00E85B43">
      <w:pPr>
        <w:spacing w:after="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iv. En torno a la aplicabilidad de las cláusulas excepcionales, </w:t>
      </w:r>
      <w:r w:rsidRPr="3957B322">
        <w:rPr>
          <w:rFonts w:ascii="Verdana" w:eastAsia="Calibri" w:hAnsi="Verdana" w:cs="Arial"/>
          <w:color w:val="000000" w:themeColor="text1"/>
          <w:lang w:val="es-ES"/>
        </w:rPr>
        <w:t>debe tener</w:t>
      </w:r>
      <w:r>
        <w:rPr>
          <w:rFonts w:ascii="Verdana" w:eastAsia="Calibri" w:hAnsi="Verdana" w:cs="Arial"/>
          <w:color w:val="000000" w:themeColor="text1"/>
          <w:lang w:val="es-ES"/>
        </w:rPr>
        <w:t>se</w:t>
      </w:r>
      <w:r w:rsidRPr="3957B322">
        <w:rPr>
          <w:rFonts w:ascii="Verdana" w:eastAsia="Calibri" w:hAnsi="Verdana" w:cs="Arial"/>
          <w:color w:val="000000" w:themeColor="text1"/>
          <w:lang w:val="es-ES"/>
        </w:rPr>
        <w:t xml:space="preserve"> en cuenta que </w:t>
      </w:r>
      <w:r>
        <w:rPr>
          <w:rFonts w:ascii="Verdana" w:eastAsia="Calibri" w:hAnsi="Verdana" w:cs="Arial"/>
          <w:color w:val="000000" w:themeColor="text1"/>
          <w:lang w:val="es-ES"/>
        </w:rPr>
        <w:t>dichas cláusulas no están</w:t>
      </w:r>
      <w:r w:rsidRPr="3957B322">
        <w:rPr>
          <w:rFonts w:ascii="Verdana" w:eastAsia="Calibri" w:hAnsi="Verdana" w:cs="Arial"/>
          <w:color w:val="000000" w:themeColor="text1"/>
          <w:lang w:val="es-ES"/>
        </w:rPr>
        <w:t xml:space="preserve"> contempladas en el derecho común; estas se encuentran limitadas no solo al uso del Estatuto General de Contratación de la Administración Pública sino a algunos tipos de contratos específicos. En ese sentido, la única forma en que una entidad sujeta a un régimen especial pueda usar estas cláusulas es si su norma de creación lo establece. De modo que si una Entidad sujeta al régimen especial requiere sancionar o dar por terminado el contrato debe acudir al juez competente.</w:t>
      </w:r>
    </w:p>
    <w:p w14:paraId="00E29B58" w14:textId="77777777" w:rsidR="00E85B43" w:rsidRPr="00FD4874" w:rsidRDefault="00E85B43" w:rsidP="00E85B43">
      <w:pPr>
        <w:spacing w:before="120" w:line="276" w:lineRule="auto"/>
        <w:ind w:right="49" w:firstLine="709"/>
        <w:jc w:val="both"/>
        <w:rPr>
          <w:rFonts w:ascii="Verdana" w:hAnsi="Verdana" w:cs="Arial"/>
          <w:iCs/>
          <w:color w:val="000000" w:themeColor="text1"/>
        </w:rPr>
      </w:pPr>
      <w:r w:rsidRPr="00FD4874">
        <w:rPr>
          <w:rFonts w:ascii="Verdana" w:eastAsia="Calibri" w:hAnsi="Verdana" w:cs="Arial"/>
          <w:color w:val="000000" w:themeColor="text1"/>
          <w:lang w:val="es-ES"/>
        </w:rPr>
        <w:t xml:space="preserve">El hecho de que dichos entes tengan un régimen de contratación especial implica que en los contratos que celebren no resulta </w:t>
      </w:r>
      <w:r>
        <w:rPr>
          <w:rFonts w:ascii="Verdana" w:eastAsia="Calibri" w:hAnsi="Verdana" w:cs="Arial"/>
          <w:color w:val="000000" w:themeColor="text1"/>
          <w:lang w:val="es-ES"/>
        </w:rPr>
        <w:t>viable incorporar las cláusulas</w:t>
      </w:r>
      <w:r w:rsidRPr="00FD4874">
        <w:rPr>
          <w:rFonts w:ascii="Verdana" w:eastAsia="Calibri" w:hAnsi="Verdana" w:cs="Arial"/>
          <w:color w:val="000000" w:themeColor="text1"/>
          <w:lang w:val="es-ES"/>
        </w:rPr>
        <w:t xml:space="preserve"> exorbitantes o excepcionales, </w:t>
      </w:r>
      <w:r w:rsidRPr="003E2347">
        <w:rPr>
          <w:rFonts w:ascii="Verdana" w:hAnsi="Verdana" w:cs="Arial"/>
          <w:iCs/>
          <w:color w:val="000000" w:themeColor="text1"/>
        </w:rPr>
        <w:t xml:space="preserve">con base en las cuales la entidades sometidas al EGCAP ejercen la dirección general del contrato y realizan las </w:t>
      </w:r>
      <w:r w:rsidRPr="003E2347">
        <w:rPr>
          <w:rFonts w:ascii="Verdana" w:hAnsi="Verdana" w:cs="Arial"/>
          <w:iCs/>
          <w:color w:val="000000" w:themeColor="text1"/>
        </w:rPr>
        <w:lastRenderedPageBreak/>
        <w:t xml:space="preserve">actividades propias de vigilancia y control, entre las que se encuentran: i) las cláusulas excepcionales del artículo 14 de la Ley 80 de 1993, donde se encuentran la terminación unilateral, la interpretación unilateral, la modificación unilateral, la caducidad y la reversión, las cuales se desarrollan en los artículos 15 a 19 </w:t>
      </w:r>
      <w:r w:rsidRPr="003E2347">
        <w:rPr>
          <w:rFonts w:ascii="Verdana" w:hAnsi="Verdana" w:cs="Arial"/>
          <w:i/>
          <w:color w:val="000000" w:themeColor="text1"/>
        </w:rPr>
        <w:t>ibidem</w:t>
      </w:r>
      <w:r w:rsidRPr="003E2347">
        <w:rPr>
          <w:rFonts w:ascii="Verdana" w:hAnsi="Verdana" w:cs="Arial"/>
          <w:iCs/>
          <w:color w:val="000000" w:themeColor="text1"/>
        </w:rPr>
        <w:t xml:space="preserve">; </w:t>
      </w:r>
      <w:r w:rsidRPr="00EF4B98">
        <w:rPr>
          <w:rFonts w:ascii="Verdana" w:hAnsi="Verdana" w:cs="Arial"/>
          <w:iCs/>
          <w:color w:val="000000" w:themeColor="text1"/>
        </w:rPr>
        <w:t xml:space="preserve">ii) en otras disposiciones también se encuentran establecidas otras potestades exorbitantes, como la liquidación unilateral y la declaratoria unilateral del siniestro; </w:t>
      </w:r>
      <w:r>
        <w:rPr>
          <w:rFonts w:ascii="Verdana" w:hAnsi="Verdana" w:cs="Arial"/>
          <w:iCs/>
          <w:color w:val="000000" w:themeColor="text1"/>
        </w:rPr>
        <w:t>y i</w:t>
      </w:r>
      <w:r w:rsidRPr="003E2347">
        <w:rPr>
          <w:rFonts w:ascii="Verdana" w:hAnsi="Verdana" w:cs="Arial"/>
          <w:iCs/>
          <w:color w:val="000000" w:themeColor="text1"/>
        </w:rPr>
        <w:t xml:space="preserve">ii) en otras disposiciones también se encuentran establecidas otras </w:t>
      </w:r>
      <w:r>
        <w:rPr>
          <w:rFonts w:ascii="Verdana" w:hAnsi="Verdana" w:cs="Arial"/>
          <w:iCs/>
          <w:color w:val="000000" w:themeColor="text1"/>
        </w:rPr>
        <w:t xml:space="preserve">las </w:t>
      </w:r>
      <w:r w:rsidRPr="003E2347">
        <w:rPr>
          <w:rFonts w:ascii="Verdana" w:hAnsi="Verdana" w:cs="Arial"/>
          <w:iCs/>
          <w:color w:val="000000" w:themeColor="text1"/>
        </w:rPr>
        <w:t xml:space="preserve">cláusulas excepcionales de </w:t>
      </w:r>
      <w:r w:rsidRPr="003E2347">
        <w:rPr>
          <w:rFonts w:ascii="Verdana" w:hAnsi="Verdana" w:cs="Arial"/>
          <w:i/>
          <w:color w:val="000000" w:themeColor="text1"/>
        </w:rPr>
        <w:t>imposición unilateral</w:t>
      </w:r>
      <w:r w:rsidRPr="003E2347">
        <w:rPr>
          <w:rFonts w:ascii="Verdana" w:hAnsi="Verdana" w:cs="Arial"/>
          <w:iCs/>
          <w:color w:val="000000" w:themeColor="text1"/>
        </w:rPr>
        <w:t xml:space="preserve"> de las cláusulas penales y de multas, cuya exorbitancia se refiere a su imposición unilateral</w:t>
      </w:r>
      <w:r>
        <w:rPr>
          <w:rFonts w:ascii="Verdana" w:hAnsi="Verdana" w:cs="Arial"/>
          <w:iCs/>
          <w:color w:val="000000" w:themeColor="text1"/>
        </w:rPr>
        <w:t>, a pesar que se ha discutido sobre su naturaleza o no exorbitante</w:t>
      </w:r>
      <w:r w:rsidRPr="00FD4874">
        <w:rPr>
          <w:rFonts w:ascii="Verdana" w:hAnsi="Verdana" w:cs="Arial"/>
          <w:iCs/>
          <w:color w:val="000000" w:themeColor="text1"/>
        </w:rPr>
        <w:t xml:space="preserve">. </w:t>
      </w:r>
    </w:p>
    <w:p w14:paraId="106E3871" w14:textId="77777777" w:rsidR="00E85B43" w:rsidRDefault="00E85B43" w:rsidP="00E85B43">
      <w:pPr>
        <w:spacing w:before="120" w:line="276" w:lineRule="auto"/>
        <w:ind w:right="142" w:firstLine="709"/>
        <w:jc w:val="both"/>
        <w:rPr>
          <w:rFonts w:ascii="Verdana" w:hAnsi="Verdana" w:cs="Arial"/>
          <w:iCs/>
          <w:color w:val="000000" w:themeColor="text1"/>
        </w:rPr>
      </w:pPr>
      <w:r w:rsidRPr="003E2347">
        <w:rPr>
          <w:rFonts w:ascii="Verdana" w:hAnsi="Verdana" w:cs="Arial"/>
          <w:iCs/>
          <w:color w:val="000000" w:themeColor="text1"/>
        </w:rPr>
        <w:t>Este último grupo de potestades excepcionales –</w:t>
      </w:r>
      <w:r w:rsidRPr="003E2347">
        <w:rPr>
          <w:rFonts w:ascii="Verdana" w:hAnsi="Verdana" w:cs="Arial"/>
          <w:i/>
          <w:color w:val="000000" w:themeColor="text1"/>
        </w:rPr>
        <w:t>imposición unilateral</w:t>
      </w:r>
      <w:r w:rsidRPr="003E2347">
        <w:rPr>
          <w:rFonts w:ascii="Verdana" w:hAnsi="Verdana" w:cs="Arial"/>
          <w:iCs/>
          <w:color w:val="000000" w:themeColor="text1"/>
        </w:rPr>
        <w:t xml:space="preserve"> de la multa o la cláusula penal– cuenta con una particular combinación entre el principio de legalidad y la autonomía de la voluntad, de tal suerte que si bien el legislador autorizó a las entidades para declarar el incumplimiento con la intención de multar al contratista para conminarlo al cumplimiento o para hacer efectiva la cláusula penal, es indispensable que uno u otro caso se hayan pactado en el contrato</w:t>
      </w:r>
      <w:r w:rsidRPr="003E2347">
        <w:rPr>
          <w:rFonts w:ascii="Verdana" w:hAnsi="Verdana" w:cs="Arial"/>
          <w:color w:val="000000" w:themeColor="text1"/>
          <w:vertAlign w:val="superscript"/>
        </w:rPr>
        <w:footnoteReference w:id="21"/>
      </w:r>
      <w:r w:rsidRPr="003E2347">
        <w:rPr>
          <w:rFonts w:ascii="Verdana" w:hAnsi="Verdana" w:cs="Arial"/>
          <w:iCs/>
          <w:color w:val="000000" w:themeColor="text1"/>
        </w:rPr>
        <w:t>. No obstante, cumplido el requisito del pacto en el contrato, las entidades estatales sometidas al Estatuto General de Contratación de la Administración Pública –Leyes 80 de 1993 y 1150 de 2007, y sus modificaciones, en adelante EGCAP–, por ministerio de la ley –artículo 17 de la Ley 1150 de 2007–, se entienden investidas de la prerrogativa de imposición unilateral. Se reitera que la exorbitancia de las dos cláusulas transcritas –cláusula penal y multas– se refiere a su imposición unilateral; no a su pacto, que es posible en virtud de las normas civiles y comerciales.</w:t>
      </w:r>
    </w:p>
    <w:p w14:paraId="6F7806BD" w14:textId="77777777" w:rsidR="00E85B43" w:rsidRPr="00BE4AA0" w:rsidRDefault="00E85B43" w:rsidP="00E85B43">
      <w:pPr>
        <w:spacing w:after="120" w:line="276" w:lineRule="auto"/>
        <w:jc w:val="both"/>
        <w:rPr>
          <w:rFonts w:ascii="Verdana" w:eastAsia="Calibri" w:hAnsi="Verdana" w:cs="Arial"/>
          <w:color w:val="000000" w:themeColor="text1"/>
          <w:lang w:val="es-ES"/>
        </w:rPr>
      </w:pPr>
      <w:r>
        <w:rPr>
          <w:rFonts w:ascii="Verdana" w:hAnsi="Verdana" w:cs="Arial"/>
          <w:bCs/>
          <w:color w:val="000000" w:themeColor="text1"/>
        </w:rPr>
        <w:tab/>
        <w:t>Para entender un poco más sobre estas, se señala que l</w:t>
      </w:r>
      <w:r w:rsidRPr="00BE4AA0">
        <w:rPr>
          <w:rFonts w:ascii="Verdana" w:eastAsia="Times New Roman" w:hAnsi="Verdana" w:cs="Arial"/>
          <w:iCs/>
          <w:lang w:val="es-ES" w:eastAsia="es-ES_tradnl"/>
        </w:rPr>
        <w:t xml:space="preserve">as </w:t>
      </w:r>
      <w:r w:rsidRPr="00BE4AA0">
        <w:rPr>
          <w:rFonts w:ascii="Verdana" w:eastAsia="Times New Roman" w:hAnsi="Verdana" w:cs="Arial"/>
          <w:i/>
          <w:lang w:val="es-ES" w:eastAsia="es-ES_tradnl"/>
        </w:rPr>
        <w:t>multas</w:t>
      </w:r>
      <w:r w:rsidRPr="00BE4AA0">
        <w:rPr>
          <w:rFonts w:ascii="Verdana" w:eastAsia="Times New Roman" w:hAnsi="Verdana" w:cs="Arial"/>
          <w:iCs/>
          <w:lang w:val="es-ES" w:eastAsia="es-ES_tradnl"/>
        </w:rPr>
        <w:t xml:space="preserve"> proceden en todo contrato estatal siempre que se hayan pactado, y tienen un carácter conminatorio. Por otra parte, según lo dispuesto en el artículo 1592 del Código Civil, la </w:t>
      </w:r>
      <w:r w:rsidRPr="00BE4AA0">
        <w:rPr>
          <w:rFonts w:ascii="Verdana" w:eastAsia="Times New Roman" w:hAnsi="Verdana" w:cs="Arial"/>
          <w:i/>
          <w:lang w:val="es-ES" w:eastAsia="es-ES_tradnl"/>
        </w:rPr>
        <w:t>cláusula penal</w:t>
      </w:r>
      <w:r w:rsidRPr="00BE4AA0">
        <w:rPr>
          <w:rFonts w:ascii="Verdana" w:eastAsia="Times New Roman" w:hAnsi="Verdana" w:cs="Arial"/>
          <w:iCs/>
          <w:lang w:val="es-ES" w:eastAsia="es-ES_tradnl"/>
        </w:rPr>
        <w:t xml:space="preserve"> es aquella en que “</w:t>
      </w:r>
      <w:r w:rsidRPr="00BE4AA0">
        <w:rPr>
          <w:rFonts w:ascii="Verdana" w:eastAsia="Times New Roman" w:hAnsi="Verdana" w:cs="Arial"/>
          <w:lang w:val="es-ES" w:eastAsia="es-ES_tradnl"/>
        </w:rPr>
        <w:t>una persona, para asegurar el cumplimiento de una obligación, se sujeta a una pena que consiste en dar o hacer algo en caso de no ejecutar o retardar la obligación principal</w:t>
      </w:r>
      <w:r w:rsidRPr="00BE4AA0">
        <w:rPr>
          <w:rFonts w:ascii="Verdana" w:eastAsia="Times New Roman" w:hAnsi="Verdana" w:cs="Arial"/>
          <w:i/>
          <w:iCs/>
          <w:lang w:val="es-ES" w:eastAsia="es-ES_tradnl"/>
        </w:rPr>
        <w:t xml:space="preserve">”. </w:t>
      </w:r>
      <w:r w:rsidRPr="00BE4AA0">
        <w:rPr>
          <w:rFonts w:ascii="Verdana" w:eastAsia="Times New Roman" w:hAnsi="Verdana" w:cs="Arial"/>
          <w:lang w:val="es-ES" w:eastAsia="es-ES_tradnl"/>
        </w:rPr>
        <w:t xml:space="preserve">De esta forma, es una obligación accesoria en la que el contratista se compromete a pagar una suma de dinero estimada de manera previa en caso de un </w:t>
      </w:r>
      <w:r w:rsidRPr="00BE4AA0">
        <w:rPr>
          <w:rFonts w:ascii="Verdana" w:eastAsia="Times New Roman" w:hAnsi="Verdana" w:cs="Arial"/>
          <w:lang w:val="es-ES" w:eastAsia="es-ES_tradnl"/>
        </w:rPr>
        <w:lastRenderedPageBreak/>
        <w:t>incumplimiento de las obligaciones</w:t>
      </w:r>
      <w:r w:rsidRPr="00BE4AA0">
        <w:rPr>
          <w:rFonts w:ascii="Verdana" w:eastAsia="Times New Roman" w:hAnsi="Verdana" w:cs="Arial"/>
          <w:iCs/>
          <w:lang w:val="es-ES" w:eastAsia="es-ES_tradnl"/>
        </w:rPr>
        <w:t xml:space="preserve">. </w:t>
      </w:r>
      <w:r w:rsidRPr="00BE4AA0">
        <w:rPr>
          <w:rFonts w:ascii="Verdana" w:eastAsia="Calibri" w:hAnsi="Verdana" w:cs="Arial"/>
          <w:color w:val="000000" w:themeColor="text1"/>
          <w:lang w:val="es-ES"/>
        </w:rPr>
        <w:t xml:space="preserve">Así, se ha entendido que la cláusula penal puede cumplir varias funciones, a saber: i) estimación anticipada de perjuicios; ii) medio de apremio al deudor, y iii) caución o garantía del cumplimiento de la obligación principal. </w:t>
      </w:r>
    </w:p>
    <w:p w14:paraId="6AA77522" w14:textId="77777777" w:rsidR="00E85B43" w:rsidRPr="00BE4AA0" w:rsidRDefault="00E85B43" w:rsidP="00E85B43">
      <w:pPr>
        <w:spacing w:after="0" w:line="276" w:lineRule="auto"/>
        <w:ind w:firstLine="709"/>
        <w:jc w:val="both"/>
        <w:rPr>
          <w:rFonts w:ascii="Verdana" w:eastAsia="Calibri" w:hAnsi="Verdana" w:cs="Arial"/>
          <w:color w:val="000000" w:themeColor="text1"/>
          <w:lang w:val="es-ES"/>
        </w:rPr>
      </w:pPr>
      <w:r w:rsidRPr="00BE4AA0">
        <w:rPr>
          <w:rFonts w:ascii="Verdana" w:hAnsi="Verdana" w:cs="Arial"/>
          <w:iCs/>
          <w:color w:val="000000" w:themeColor="text1"/>
        </w:rPr>
        <w:t>En este punto, conviene resaltar lo dicho por la Sección Tercera del Consejo de Estado, en relación con las diferencias entre las multas y la cláusula penal, esto es: “Aunque las multas y la cláusula penal pecuniaria tienen una finalidad común –en lo sustancial–, que se concreta en el logro de los objetivos propuestos en el contrato; se diferencian en que la multa por regla general es conminatoria del cumplimiento de las obligaciones en razón al acaecimiento de incumplimientos parciales; la cláusula penal constituye en principio una tasación anticipada de perjuicios, a raíz de la declaratoria de caducidad o del incumplimiento definitivo del contrato”</w:t>
      </w:r>
      <w:r w:rsidRPr="00BE4AA0">
        <w:rPr>
          <w:rFonts w:ascii="Verdana" w:hAnsi="Verdana" w:cs="Arial"/>
          <w:color w:val="000000" w:themeColor="text1"/>
          <w:vertAlign w:val="superscript"/>
        </w:rPr>
        <w:footnoteReference w:id="22"/>
      </w:r>
      <w:r w:rsidRPr="00BE4AA0">
        <w:rPr>
          <w:rFonts w:ascii="Verdana" w:hAnsi="Verdana" w:cs="Arial"/>
          <w:iCs/>
          <w:color w:val="000000" w:themeColor="text1"/>
        </w:rPr>
        <w:t>.</w:t>
      </w:r>
      <w:r w:rsidRPr="00BE4AA0">
        <w:rPr>
          <w:rFonts w:ascii="Verdana" w:eastAsia="Calibri" w:hAnsi="Verdana" w:cs="Arial"/>
          <w:color w:val="000000" w:themeColor="text1"/>
        </w:rPr>
        <w:t xml:space="preserve"> Al respecto, l</w:t>
      </w:r>
      <w:r w:rsidRPr="00BE4AA0">
        <w:rPr>
          <w:rFonts w:ascii="Verdana" w:eastAsia="Calibri" w:hAnsi="Verdana" w:cs="Arial"/>
          <w:color w:val="000000" w:themeColor="text1"/>
          <w:lang w:val="es-ES"/>
        </w:rPr>
        <w:t xml:space="preserve">a Sala de Casación Civil de la Corte Suprema de Justicia sobre la naturaleza de la cláusula penal, expresó: </w:t>
      </w:r>
    </w:p>
    <w:p w14:paraId="3545944F" w14:textId="77777777" w:rsidR="00E85B43" w:rsidRPr="00BE4AA0" w:rsidRDefault="00E85B43" w:rsidP="00E85B43">
      <w:pPr>
        <w:spacing w:after="0" w:line="240" w:lineRule="auto"/>
        <w:ind w:left="709" w:right="709" w:firstLine="709"/>
        <w:jc w:val="both"/>
        <w:rPr>
          <w:rFonts w:ascii="Verdana" w:eastAsia="Calibri" w:hAnsi="Verdana" w:cs="Arial"/>
          <w:color w:val="000000" w:themeColor="text1"/>
          <w:sz w:val="20"/>
          <w:szCs w:val="20"/>
          <w:lang w:val="es-ES"/>
        </w:rPr>
      </w:pPr>
      <w:r w:rsidRPr="00BE4AA0">
        <w:rPr>
          <w:rFonts w:ascii="Arial" w:eastAsia="Calibri" w:hAnsi="Arial" w:cs="Arial"/>
          <w:color w:val="000000" w:themeColor="text1"/>
          <w:sz w:val="21"/>
          <w:szCs w:val="21"/>
          <w:lang w:val="es-ES"/>
        </w:rPr>
        <w:br/>
      </w:r>
      <w:r w:rsidRPr="00BE4AA0">
        <w:rPr>
          <w:rFonts w:ascii="Verdana" w:eastAsia="Calibri" w:hAnsi="Verdana" w:cs="Arial"/>
          <w:color w:val="000000" w:themeColor="text1"/>
          <w:sz w:val="20"/>
          <w:szCs w:val="20"/>
          <w:lang w:val="es-ES"/>
        </w:rPr>
        <w:t>[E]n el ámbito de la dogmática jurídica civil, se denomina «cláusula penal» al acuerdo de las partes sobre la estimación de los perjuicios compensatorios o moratorios, para el evento del incumplimiento del convenio o la mora en la satisfacción de las obligaciones derivadas del mismo, recibiendo en el primer caso el nombre de «cláusula penal compensatoria» y en el segundo, «cláusula penal moratoria»; así mismo se reconoce, que cumple la función complementaria de apremiar al deudor para el adecuado cumplimiento de la prestación. En virtud de lo anterior, cabe señalar, que dicho pacto tiene el carácter de una «obligación accesoria», en cuanto tiene por objeto asegurar el cumplimiento de otra obligación; igualmente, constituye una «obligación condicional», porque la pena solo se debe ante el incumplimiento o retardo de la «obligación principal»; y también puede representar una liquidación convencional y anticipada de los perjuicios en caso de configurarse alguno de tales supuestos.</w:t>
      </w:r>
      <w:r w:rsidRPr="00BE4AA0">
        <w:rPr>
          <w:rFonts w:ascii="Verdana" w:eastAsia="Calibri" w:hAnsi="Verdana" w:cs="Arial"/>
          <w:color w:val="000000" w:themeColor="text1"/>
          <w:sz w:val="20"/>
          <w:szCs w:val="20"/>
          <w:vertAlign w:val="superscript"/>
          <w:lang w:val="es-ES"/>
        </w:rPr>
        <w:footnoteReference w:id="23"/>
      </w:r>
    </w:p>
    <w:p w14:paraId="4957774F" w14:textId="77777777" w:rsidR="00E85B43" w:rsidRPr="00BE4AA0" w:rsidRDefault="00E85B43" w:rsidP="00E85B43">
      <w:pPr>
        <w:spacing w:after="120" w:line="240" w:lineRule="auto"/>
        <w:ind w:left="709" w:right="709" w:firstLine="709"/>
        <w:jc w:val="both"/>
        <w:rPr>
          <w:rFonts w:ascii="Verdana" w:hAnsi="Verdana" w:cs="Arial"/>
          <w:iCs/>
          <w:sz w:val="20"/>
          <w:szCs w:val="20"/>
          <w:lang w:val="es-ES" w:eastAsia="es-ES_tradnl"/>
        </w:rPr>
      </w:pPr>
    </w:p>
    <w:p w14:paraId="3B88FF05" w14:textId="77777777" w:rsidR="00E85B43" w:rsidRPr="00BE4AA0" w:rsidRDefault="00E85B43" w:rsidP="00E85B43">
      <w:pPr>
        <w:spacing w:after="120" w:line="276" w:lineRule="auto"/>
        <w:ind w:firstLine="709"/>
        <w:jc w:val="both"/>
        <w:rPr>
          <w:rFonts w:ascii="Verdana" w:eastAsia="Batang" w:hAnsi="Verdana" w:cs="Arial"/>
          <w:iCs/>
          <w:lang w:val="es-ES" w:eastAsia="es-ES"/>
        </w:rPr>
      </w:pPr>
      <w:r w:rsidRPr="00BE4AA0">
        <w:rPr>
          <w:rFonts w:ascii="Verdana" w:eastAsia="Times New Roman" w:hAnsi="Verdana" w:cs="Arial"/>
          <w:iCs/>
          <w:lang w:val="es-ES"/>
        </w:rPr>
        <w:t xml:space="preserve">En tal sentido, es importante destacar que la cláusula penal es un elemento accidental en los contratos porque se pacta de común acuerdo por las partes, de conformidad con el principio de la autonomía de la voluntad. Al </w:t>
      </w:r>
      <w:r w:rsidRPr="00BE4AA0">
        <w:rPr>
          <w:rFonts w:ascii="Verdana" w:eastAsia="Times New Roman" w:hAnsi="Verdana" w:cs="Arial"/>
          <w:iCs/>
          <w:lang w:val="es-ES"/>
        </w:rPr>
        <w:lastRenderedPageBreak/>
        <w:t>respecto, la doctrina expresa: “La cláusula penal pecuniaria se constituye en una tasación anticipada de perjuicios ocasionados por el incumplimiento del deudor de la obligación principal del contrato […]”</w:t>
      </w:r>
      <w:r w:rsidRPr="00BE4AA0">
        <w:rPr>
          <w:rFonts w:ascii="Verdana" w:eastAsia="Times New Roman" w:hAnsi="Verdana" w:cs="Arial"/>
          <w:iCs/>
          <w:vertAlign w:val="superscript"/>
          <w:lang w:val="es-ES"/>
        </w:rPr>
        <w:footnoteReference w:id="24"/>
      </w:r>
      <w:r w:rsidRPr="00BE4AA0">
        <w:rPr>
          <w:rFonts w:ascii="Verdana" w:eastAsia="Times New Roman" w:hAnsi="Verdana" w:cs="Arial"/>
          <w:iCs/>
          <w:lang w:val="es-ES"/>
        </w:rPr>
        <w:t xml:space="preserve">. </w:t>
      </w:r>
      <w:r w:rsidRPr="00BE4AA0">
        <w:rPr>
          <w:rFonts w:ascii="Verdana" w:eastAsia="Times New Roman" w:hAnsi="Verdana" w:cs="Arial"/>
          <w:lang w:val="es-ES" w:eastAsia="x-none"/>
        </w:rPr>
        <w:t>Asimismo, el Consejo de Estado plantea que:</w:t>
      </w:r>
      <w:r w:rsidRPr="00BE4AA0">
        <w:rPr>
          <w:rFonts w:ascii="Verdana" w:eastAsia="Times New Roman" w:hAnsi="Verdana" w:cs="Arial"/>
          <w:iCs/>
          <w:lang w:val="es-ES"/>
        </w:rPr>
        <w:t xml:space="preserve"> “</w:t>
      </w:r>
      <w:r w:rsidRPr="00BE4AA0">
        <w:rPr>
          <w:rFonts w:ascii="Verdana" w:eastAsia="Batang" w:hAnsi="Verdana" w:cs="Arial"/>
          <w:iCs/>
          <w:lang w:val="es-ES" w:eastAsia="es-ES"/>
        </w:rPr>
        <w:t>Con la imposición y ejecución de la cláusula penal se penaliza al contratista, por el incumplimiento grave del contrato, constituyendo una verdadera indemnización, que aunque parcial es definitiva, pues con ella se resarcen los perjuicios, o parte de ellos, a favor de la parte que ha cumplido el negocio</w:t>
      </w:r>
      <w:r w:rsidRPr="00BE4AA0">
        <w:rPr>
          <w:rFonts w:ascii="Verdana" w:eastAsia="Times New Roman" w:hAnsi="Verdana" w:cs="Arial"/>
          <w:iCs/>
          <w:lang w:val="es-ES"/>
        </w:rPr>
        <w:t>”</w:t>
      </w:r>
      <w:r w:rsidRPr="00BE4AA0">
        <w:rPr>
          <w:rFonts w:ascii="Verdana" w:eastAsia="Batang" w:hAnsi="Verdana" w:cs="Arial"/>
          <w:iCs/>
          <w:vertAlign w:val="superscript"/>
          <w:lang w:val="es-ES" w:eastAsia="es-ES"/>
        </w:rPr>
        <w:footnoteReference w:id="25"/>
      </w:r>
      <w:r w:rsidRPr="00BE4AA0">
        <w:rPr>
          <w:rFonts w:ascii="Verdana" w:eastAsia="Batang" w:hAnsi="Verdana" w:cs="Arial"/>
          <w:iCs/>
          <w:lang w:val="es-ES" w:eastAsia="es-ES"/>
        </w:rPr>
        <w:t>.</w:t>
      </w:r>
    </w:p>
    <w:p w14:paraId="11AC3D2F" w14:textId="77777777" w:rsidR="00E85B43" w:rsidRPr="00BE4AA0" w:rsidRDefault="00E85B43" w:rsidP="00E85B43">
      <w:pPr>
        <w:spacing w:after="120" w:line="276" w:lineRule="auto"/>
        <w:ind w:firstLine="709"/>
        <w:jc w:val="both"/>
        <w:rPr>
          <w:rFonts w:ascii="Verdana" w:eastAsia="Times New Roman" w:hAnsi="Verdana" w:cs="Arial"/>
          <w:iCs/>
          <w:lang w:val="es-ES" w:eastAsia="es-ES_tradnl"/>
        </w:rPr>
      </w:pPr>
      <w:r w:rsidRPr="00BE4AA0">
        <w:rPr>
          <w:rFonts w:ascii="Verdana" w:eastAsia="Batang" w:hAnsi="Verdana" w:cs="Arial"/>
          <w:iCs/>
          <w:lang w:val="es-ES" w:eastAsia="es-ES"/>
        </w:rPr>
        <w:t>Por lo tanto, en virtud de la autonomía de la voluntad –artículo 1602 Código Civil–, las partes de un contrato, para procurar el cumplimiento de las obligaciones a su favor, pueden pactar las cláusulas contractuales de apremio y la pena adjudicable a la parte incumplida. Su naturaleza es punitiva y se causan en los eventos en los que se configure un incumplimiento contractual del deudor.</w:t>
      </w:r>
      <w:r w:rsidRPr="00BE4AA0">
        <w:rPr>
          <w:rFonts w:ascii="Verdana" w:eastAsia="Calibri" w:hAnsi="Verdana" w:cs="Arial"/>
          <w:color w:val="000000" w:themeColor="text1"/>
          <w:lang w:val="es-ES"/>
        </w:rPr>
        <w:t xml:space="preserve"> </w:t>
      </w:r>
      <w:r w:rsidRPr="00BE4AA0">
        <w:rPr>
          <w:rFonts w:ascii="Verdana" w:eastAsia="Times New Roman" w:hAnsi="Verdana" w:cs="Arial"/>
          <w:iCs/>
          <w:lang w:val="es-ES" w:eastAsia="es-ES_tradnl"/>
        </w:rPr>
        <w:t xml:space="preserve">De esta manera, tanto la imposición unilateral de las multas pactadas, como la reclamación de la cláusula penal, ocurre como manifestación de las prerrogativas de control, dirección y coerción que ejerce el Estado ante un incumplimiento por parte de sus contratistas. </w:t>
      </w:r>
    </w:p>
    <w:p w14:paraId="17B3E9CD" w14:textId="77777777" w:rsidR="00E85B43" w:rsidRPr="00CA155B" w:rsidRDefault="00E85B43" w:rsidP="00E85B43">
      <w:pPr>
        <w:spacing w:after="120" w:line="276" w:lineRule="auto"/>
        <w:ind w:firstLine="709"/>
        <w:jc w:val="both"/>
        <w:rPr>
          <w:rFonts w:ascii="Verdana" w:hAnsi="Verdana" w:cs="Arial"/>
          <w:iCs/>
          <w:lang w:eastAsia="es-ES_tradnl"/>
        </w:rPr>
      </w:pPr>
      <w:r w:rsidRPr="00BE4AA0">
        <w:rPr>
          <w:rFonts w:ascii="Verdana" w:hAnsi="Verdana" w:cs="Arial"/>
          <w:iCs/>
          <w:lang w:eastAsia="es-ES_tradnl"/>
        </w:rPr>
        <w:t xml:space="preserve">En cuanto a la competencia temporal para la imposición de sanciones por incumplimientos contractuales, esta no se determina por la denominación de la medida, sino por su naturaleza jurídica y por la función que cumple dentro de la relación contractual. </w:t>
      </w:r>
      <w:r w:rsidRPr="00BE4AA0">
        <w:rPr>
          <w:rFonts w:ascii="Verdana" w:eastAsia="Times New Roman" w:hAnsi="Verdana" w:cs="Arial"/>
          <w:iCs/>
          <w:lang w:eastAsia="es-ES_tradnl"/>
        </w:rPr>
        <w:t>En este sentido, la multa debe imponerse durante la ejecución del con</w:t>
      </w:r>
      <w:r>
        <w:rPr>
          <w:rFonts w:ascii="Verdana" w:eastAsia="Times New Roman" w:hAnsi="Verdana" w:cs="Arial"/>
          <w:iCs/>
          <w:lang w:eastAsia="es-ES_tradnl"/>
        </w:rPr>
        <w:t>trato</w:t>
      </w:r>
      <w:r w:rsidRPr="00BE4AA0">
        <w:rPr>
          <w:rFonts w:ascii="Verdana" w:eastAsia="Times New Roman" w:hAnsi="Verdana" w:cs="Arial"/>
          <w:iCs/>
          <w:lang w:eastAsia="es-ES_tradnl"/>
        </w:rPr>
        <w:t>, en tanto constituye un mecanismo de coerción orientado a conminar al cooperante al cumplimiento oportuno de sus obligaciones. Su finalidad es esencialmente preventiva y correctiva, por lo que solo resulta procedente mientras el c</w:t>
      </w:r>
      <w:r>
        <w:rPr>
          <w:rFonts w:ascii="Verdana" w:eastAsia="Times New Roman" w:hAnsi="Verdana" w:cs="Arial"/>
          <w:iCs/>
          <w:lang w:eastAsia="es-ES_tradnl"/>
        </w:rPr>
        <w:t>ontrato</w:t>
      </w:r>
      <w:r w:rsidRPr="00BE4AA0">
        <w:rPr>
          <w:rFonts w:ascii="Verdana" w:eastAsia="Times New Roman" w:hAnsi="Verdana" w:cs="Arial"/>
          <w:iCs/>
          <w:lang w:eastAsia="es-ES_tradnl"/>
        </w:rPr>
        <w:t xml:space="preserve"> se encuentra vigente y en curso de ejecución.</w:t>
      </w:r>
      <w:r w:rsidRPr="00BE4AA0">
        <w:rPr>
          <w:rFonts w:ascii="Verdana" w:hAnsi="Verdana" w:cs="Arial"/>
          <w:iCs/>
          <w:lang w:eastAsia="es-ES_tradnl"/>
        </w:rPr>
        <w:t xml:space="preserve"> </w:t>
      </w:r>
      <w:r w:rsidRPr="00BE4AA0">
        <w:rPr>
          <w:rFonts w:ascii="Verdana" w:eastAsia="Times New Roman" w:hAnsi="Verdana" w:cs="Arial"/>
          <w:iCs/>
          <w:lang w:eastAsia="es-ES_tradnl"/>
        </w:rPr>
        <w:t xml:space="preserve">Por su parte, la cláusula penal pecuniaria, dada su naturaleza sancionatoria y/o indemnizatoria, puede hacerse efectiva incluso una vez finalizada la relación contractual. Esta facultad se extiende hasta el plazo previsto para la liquidación </w:t>
      </w:r>
      <w:r w:rsidRPr="00BE4AA0">
        <w:rPr>
          <w:rFonts w:ascii="Verdana" w:eastAsia="Times New Roman" w:hAnsi="Verdana" w:cs="Arial"/>
          <w:iCs/>
          <w:lang w:eastAsia="es-ES_tradnl"/>
        </w:rPr>
        <w:lastRenderedPageBreak/>
        <w:t>del</w:t>
      </w:r>
      <w:r>
        <w:rPr>
          <w:rFonts w:ascii="Verdana" w:eastAsia="Times New Roman" w:hAnsi="Verdana" w:cs="Arial"/>
          <w:iCs/>
          <w:lang w:eastAsia="es-ES_tradnl"/>
        </w:rPr>
        <w:t xml:space="preserve"> contrato</w:t>
      </w:r>
      <w:r w:rsidRPr="00BE4AA0">
        <w:rPr>
          <w:rFonts w:ascii="Verdana" w:eastAsia="Times New Roman" w:hAnsi="Verdana" w:cs="Arial"/>
          <w:iCs/>
          <w:lang w:eastAsia="es-ES_tradnl"/>
        </w:rPr>
        <w:t xml:space="preserve">, etapa en la cual la entidad puede determinar y cuantificar los perjuicios derivados del incumplimiento, siempre que así se haya estipulado en el instrumento contractual. </w:t>
      </w:r>
      <w:r>
        <w:rPr>
          <w:rFonts w:ascii="Verdana" w:eastAsia="Times New Roman" w:hAnsi="Verdana" w:cs="Arial"/>
          <w:iCs/>
          <w:lang w:eastAsia="es-ES_tradnl"/>
        </w:rPr>
        <w:t>En tal sentido, se retoma lo expuesto en el Concepto C-939 del 24 de julio de 2026, que</w:t>
      </w:r>
      <w:r w:rsidRPr="00BE4AA0">
        <w:rPr>
          <w:rFonts w:ascii="Verdana" w:eastAsia="Times New Roman" w:hAnsi="Verdana" w:cs="Arial"/>
          <w:iCs/>
          <w:lang w:eastAsia="es-ES_tradnl"/>
        </w:rPr>
        <w:t xml:space="preserve"> </w:t>
      </w:r>
      <w:r>
        <w:rPr>
          <w:rFonts w:ascii="Verdana" w:eastAsia="Times New Roman" w:hAnsi="Verdana" w:cs="Arial"/>
          <w:iCs/>
          <w:lang w:eastAsia="es-ES_tradnl"/>
        </w:rPr>
        <w:t xml:space="preserve">adoptó </w:t>
      </w:r>
      <w:r w:rsidRPr="00BE4AA0">
        <w:rPr>
          <w:rFonts w:ascii="Verdana" w:eastAsia="Times New Roman" w:hAnsi="Verdana" w:cs="Arial"/>
          <w:iCs/>
          <w:lang w:eastAsia="es-ES_tradnl"/>
        </w:rPr>
        <w:t>el criterio según el cual el límite temporal se determina por la naturaleza de la medida y por el término de que dispone la administración para liquidar el negocio jurídico</w:t>
      </w:r>
      <w:r w:rsidRPr="00BE4AA0">
        <w:rPr>
          <w:rFonts w:ascii="Verdana" w:eastAsia="Times New Roman" w:hAnsi="Verdana" w:cs="Arial"/>
          <w:iCs/>
          <w:lang w:val="es-ES" w:eastAsia="es-ES_tradnl"/>
        </w:rPr>
        <w:t>.</w:t>
      </w:r>
      <w:r>
        <w:rPr>
          <w:rFonts w:ascii="Verdana" w:hAnsi="Verdana" w:cs="Arial"/>
          <w:iCs/>
          <w:lang w:eastAsia="es-ES_tradnl"/>
        </w:rPr>
        <w:t xml:space="preserve"> </w:t>
      </w:r>
      <w:r w:rsidRPr="00BE4AA0">
        <w:rPr>
          <w:rFonts w:ascii="Verdana" w:eastAsia="Times New Roman" w:hAnsi="Verdana" w:cs="Arial"/>
          <w:iCs/>
          <w:lang w:eastAsia="es-ES_tradnl"/>
        </w:rPr>
        <w:t>Como lo ha expresado el Consejo de Estado con respecto a estas cláusulas, resulta pertinente precisar que la potestad sancionatoria debe ejercerse de acuerdo con el tipo de medida a imponer, a la culminación de la relación negocial o la fecha prevista para la liquidación del negocio jurídico</w:t>
      </w:r>
      <w:r w:rsidRPr="00BE4AA0">
        <w:rPr>
          <w:rFonts w:ascii="Verdana" w:eastAsia="Times New Roman" w:hAnsi="Verdana" w:cs="Arial"/>
          <w:iCs/>
          <w:vertAlign w:val="superscript"/>
          <w:lang w:eastAsia="es-ES_tradnl"/>
        </w:rPr>
        <w:footnoteReference w:id="26"/>
      </w:r>
      <w:r w:rsidRPr="00BE4AA0">
        <w:rPr>
          <w:rFonts w:ascii="Verdana" w:eastAsia="Times New Roman" w:hAnsi="Verdana" w:cs="Arial"/>
          <w:iCs/>
          <w:lang w:eastAsia="es-ES_tradnl"/>
        </w:rPr>
        <w:t xml:space="preserve">. </w:t>
      </w:r>
    </w:p>
    <w:p w14:paraId="6C1D1A03" w14:textId="77777777" w:rsidR="00E85B43" w:rsidRDefault="00E85B43" w:rsidP="00E85B43">
      <w:pPr>
        <w:spacing w:line="276" w:lineRule="auto"/>
        <w:ind w:firstLine="708"/>
        <w:jc w:val="both"/>
        <w:rPr>
          <w:rFonts w:ascii="Verdana" w:eastAsia="Calibri" w:hAnsi="Verdana" w:cs="Arial"/>
          <w:color w:val="000000" w:themeColor="text1"/>
          <w:lang w:val="es-ES_tradnl"/>
        </w:rPr>
      </w:pPr>
      <w:r>
        <w:rPr>
          <w:rFonts w:ascii="Verdana" w:eastAsia="Calibri" w:hAnsi="Verdana" w:cs="Arial"/>
          <w:color w:val="000000" w:themeColor="text1"/>
        </w:rPr>
        <w:t>Ahora bien, para</w:t>
      </w:r>
      <w:r w:rsidRPr="003E2347">
        <w:rPr>
          <w:rFonts w:ascii="Verdana" w:eastAsia="Calibri" w:hAnsi="Verdana" w:cs="Arial"/>
          <w:color w:val="000000" w:themeColor="text1"/>
        </w:rPr>
        <w:t xml:space="preserve"> el ejercicio de estas potestades exorbitantes en particular, el</w:t>
      </w:r>
      <w:r w:rsidRPr="003E2347">
        <w:rPr>
          <w:rFonts w:ascii="Verdana" w:eastAsia="Calibri" w:hAnsi="Verdana" w:cs="Arial"/>
          <w:color w:val="000000" w:themeColor="text1"/>
          <w:lang w:val="es-ES_tradnl"/>
        </w:rPr>
        <w:t xml:space="preserve"> artículo 86 de la Ley 1474 de 2011 regula un procedimiento administrativo sancionatorio dirigido a sujetos específicos: las entidades sometidas al Estatuto General de Contratación de la Administración Pública, es decir, a la Ley 80 de 1993 y a la Ley 1150 de 2007</w:t>
      </w:r>
      <w:r w:rsidRPr="003E2347">
        <w:rPr>
          <w:rStyle w:val="Refdenotaalpie"/>
          <w:rFonts w:ascii="Verdana" w:eastAsia="Calibri" w:hAnsi="Verdana" w:cs="Arial"/>
          <w:color w:val="000000" w:themeColor="text1"/>
          <w:lang w:val="es-ES_tradnl"/>
        </w:rPr>
        <w:footnoteReference w:id="27"/>
      </w:r>
      <w:r w:rsidRPr="003E2347">
        <w:rPr>
          <w:rFonts w:ascii="Verdana" w:eastAsia="Calibri" w:hAnsi="Verdana" w:cs="Arial"/>
          <w:color w:val="000000" w:themeColor="text1"/>
          <w:lang w:val="es-ES_tradnl"/>
        </w:rPr>
        <w:t xml:space="preserve">. Así se desprende del primer </w:t>
      </w:r>
      <w:r w:rsidRPr="003E2347">
        <w:rPr>
          <w:rFonts w:ascii="Verdana" w:eastAsia="Calibri" w:hAnsi="Verdana" w:cs="Arial"/>
          <w:color w:val="000000" w:themeColor="text1"/>
          <w:lang w:val="es-ES_tradnl"/>
        </w:rPr>
        <w:lastRenderedPageBreak/>
        <w:t>inciso de aquel artículo, que dice: “</w:t>
      </w:r>
      <w:r w:rsidRPr="003E2347">
        <w:rPr>
          <w:rFonts w:ascii="Verdana" w:eastAsia="Calibri" w:hAnsi="Verdana" w:cs="Arial"/>
          <w:i/>
          <w:color w:val="000000" w:themeColor="text1"/>
          <w:lang w:val="es-ES_tradnl"/>
        </w:rPr>
        <w:t>Las entidades sometidas al Estatuto General de Contratación de la Administración Pública</w:t>
      </w:r>
      <w:r w:rsidRPr="003E2347">
        <w:rPr>
          <w:rFonts w:ascii="Verdana" w:eastAsia="Calibri" w:hAnsi="Verdana" w:cs="Arial"/>
          <w:color w:val="000000" w:themeColor="text1"/>
          <w:lang w:val="es-ES_tradnl"/>
        </w:rPr>
        <w:t xml:space="preserve"> podrán declarar el incumplimiento, cuantificando los perjuicios del mismo, imponer las multas y sanciones pactadas en el contrato, y hacer efectiva la cláusula penal. Para tal efecto observarán el siguiente procedimiento […]”. De ahí que, solo por esta razón, sea fácil concluir que las entidades de régimen e</w:t>
      </w:r>
      <w:r>
        <w:rPr>
          <w:rFonts w:ascii="Verdana" w:eastAsia="Calibri" w:hAnsi="Verdana" w:cs="Arial"/>
          <w:color w:val="000000" w:themeColor="text1"/>
          <w:lang w:val="es-ES_tradnl"/>
        </w:rPr>
        <w:t xml:space="preserve">special en materia contractual </w:t>
      </w:r>
      <w:r w:rsidRPr="003E2347">
        <w:rPr>
          <w:rFonts w:ascii="Verdana" w:eastAsia="Calibri" w:hAnsi="Verdana" w:cs="Arial"/>
          <w:color w:val="000000" w:themeColor="text1"/>
          <w:lang w:val="es-ES_tradnl"/>
        </w:rPr>
        <w:t>no pueden aplicar el procedimiento administrativo sancionatorio regulado en el artículo 86 de la Ley 1474 de 2011, al no ser entidades sometidas al Estatuto General de Contratación de la Administración Pública</w:t>
      </w:r>
      <w:r w:rsidRPr="003E2347">
        <w:rPr>
          <w:rStyle w:val="Refdenotaalpie"/>
          <w:rFonts w:ascii="Verdana" w:eastAsia="Calibri" w:hAnsi="Verdana" w:cs="Arial"/>
          <w:color w:val="000000" w:themeColor="text1"/>
          <w:lang w:val="es-ES_tradnl"/>
        </w:rPr>
        <w:footnoteReference w:id="28"/>
      </w:r>
      <w:r w:rsidRPr="003E2347">
        <w:rPr>
          <w:rFonts w:ascii="Verdana" w:eastAsia="Calibri" w:hAnsi="Verdana" w:cs="Arial"/>
          <w:color w:val="000000" w:themeColor="text1"/>
          <w:lang w:val="es-ES_tradnl"/>
        </w:rPr>
        <w:t xml:space="preserve">, sino, por el contrario, entidades exceptuadas de este. </w:t>
      </w:r>
    </w:p>
    <w:p w14:paraId="337BDC4D" w14:textId="77777777" w:rsidR="00E85B43" w:rsidRDefault="00E85B43" w:rsidP="00E85B43">
      <w:pPr>
        <w:spacing w:line="276" w:lineRule="auto"/>
        <w:ind w:firstLine="708"/>
        <w:jc w:val="both"/>
        <w:rPr>
          <w:rFonts w:ascii="Verdana" w:eastAsia="Calibri" w:hAnsi="Verdana" w:cs="Arial"/>
          <w:color w:val="000000" w:themeColor="text1"/>
        </w:rPr>
      </w:pPr>
      <w:r w:rsidRPr="00D42EEE">
        <w:rPr>
          <w:rFonts w:ascii="Verdana" w:eastAsia="Calibri" w:hAnsi="Verdana" w:cs="Arial"/>
          <w:color w:val="000000" w:themeColor="text1"/>
          <w:lang w:val="es-ES_tradnl"/>
        </w:rPr>
        <w:t xml:space="preserve">Ahora bien, hay entidades de régimen especial que tienen la competencia para hacer uso </w:t>
      </w:r>
      <w:r>
        <w:rPr>
          <w:rFonts w:ascii="Verdana" w:eastAsia="Calibri" w:hAnsi="Verdana" w:cs="Arial"/>
          <w:color w:val="000000" w:themeColor="text1"/>
          <w:lang w:val="es-ES_tradnl"/>
        </w:rPr>
        <w:t>de cláusulas excepcionales, son</w:t>
      </w:r>
      <w:r w:rsidRPr="00D42EEE">
        <w:rPr>
          <w:rFonts w:ascii="Verdana" w:eastAsia="Calibri" w:hAnsi="Verdana" w:cs="Arial"/>
          <w:color w:val="000000" w:themeColor="text1"/>
          <w:lang w:val="es-ES_tradnl"/>
        </w:rPr>
        <w:t xml:space="preserve"> las empresas prestadoras de </w:t>
      </w:r>
      <w:r w:rsidRPr="00D42EEE">
        <w:rPr>
          <w:rFonts w:ascii="Verdana" w:eastAsia="Calibri" w:hAnsi="Verdana" w:cs="Arial"/>
          <w:color w:val="000000" w:themeColor="text1"/>
          <w:lang w:val="es-ES_tradnl"/>
        </w:rPr>
        <w:lastRenderedPageBreak/>
        <w:t>servicios públicos domiciliarios</w:t>
      </w:r>
      <w:r w:rsidRPr="00D42EEE">
        <w:rPr>
          <w:rStyle w:val="Refdenotaalpie"/>
          <w:rFonts w:ascii="Verdana" w:eastAsia="Calibri" w:hAnsi="Verdana" w:cs="Arial"/>
          <w:color w:val="000000" w:themeColor="text1"/>
          <w:lang w:val="es-ES_tradnl"/>
        </w:rPr>
        <w:footnoteReference w:id="29"/>
      </w:r>
      <w:r w:rsidRPr="00D42EEE">
        <w:rPr>
          <w:rFonts w:ascii="Verdana" w:eastAsia="Calibri" w:hAnsi="Verdana" w:cs="Arial"/>
          <w:color w:val="000000" w:themeColor="text1"/>
          <w:lang w:val="es-ES_tradnl"/>
        </w:rPr>
        <w:t xml:space="preserve"> y las empresas sociales del Estado</w:t>
      </w:r>
      <w:r w:rsidRPr="00D42EEE">
        <w:rPr>
          <w:rStyle w:val="Refdenotaalpie"/>
          <w:rFonts w:ascii="Verdana" w:eastAsia="Calibri" w:hAnsi="Verdana" w:cs="Arial"/>
          <w:color w:val="000000" w:themeColor="text1"/>
          <w:lang w:val="es-ES_tradnl"/>
        </w:rPr>
        <w:footnoteReference w:id="30"/>
      </w:r>
      <w:r>
        <w:rPr>
          <w:rFonts w:ascii="Verdana" w:eastAsia="Calibri" w:hAnsi="Verdana" w:cs="Arial"/>
          <w:color w:val="000000" w:themeColor="text1"/>
          <w:lang w:val="es-ES_tradnl"/>
        </w:rPr>
        <w:t xml:space="preserve">, entre otras. En torno a las empresas sociales del Estado </w:t>
      </w:r>
      <w:r>
        <w:rPr>
          <w:rFonts w:ascii="Verdana" w:eastAsia="Calibri" w:hAnsi="Verdana" w:cs="Arial"/>
          <w:color w:val="000000" w:themeColor="text1"/>
        </w:rPr>
        <w:t xml:space="preserve">la regla aplicable </w:t>
      </w:r>
      <w:r w:rsidRPr="009428FB">
        <w:rPr>
          <w:rFonts w:ascii="Verdana" w:eastAsia="Calibri" w:hAnsi="Verdana" w:cs="Arial"/>
          <w:color w:val="000000" w:themeColor="text1"/>
        </w:rPr>
        <w:t>es el derecho privado, salvo lo relacionado con cláusulas exorbitantes, materia en relación con la cual están habilitadas para aplicar las disposiciones del EGCAP, como lo prevé el citado artículo 195, numeral 6 de la Ley 100 de 1993.</w:t>
      </w:r>
      <w:r>
        <w:rPr>
          <w:rFonts w:ascii="Verdana" w:eastAsia="Calibri" w:hAnsi="Verdana" w:cs="Arial"/>
          <w:color w:val="000000" w:themeColor="text1"/>
        </w:rPr>
        <w:t xml:space="preserve"> Al respecto, la Sala de Consulta y Servicio Civil del Consejo de Estado expresa:  </w:t>
      </w:r>
    </w:p>
    <w:p w14:paraId="31BF4F83" w14:textId="77777777" w:rsidR="00E85B43" w:rsidRPr="00C13A62" w:rsidRDefault="00E85B43" w:rsidP="00E85B43">
      <w:pPr>
        <w:spacing w:after="0" w:line="240" w:lineRule="auto"/>
        <w:ind w:left="709" w:right="709"/>
        <w:jc w:val="both"/>
        <w:rPr>
          <w:rFonts w:ascii="Verdana" w:eastAsia="Calibri" w:hAnsi="Verdana" w:cs="Arial"/>
          <w:i/>
          <w:iCs/>
          <w:color w:val="000000" w:themeColor="text1"/>
          <w:sz w:val="20"/>
          <w:szCs w:val="20"/>
        </w:rPr>
      </w:pPr>
      <w:r w:rsidRPr="00C13A62">
        <w:rPr>
          <w:rFonts w:ascii="Verdana" w:eastAsia="Calibri" w:hAnsi="Verdana" w:cs="Arial"/>
          <w:i/>
          <w:iCs/>
          <w:color w:val="000000" w:themeColor="text1"/>
          <w:sz w:val="20"/>
          <w:szCs w:val="20"/>
        </w:rPr>
        <w:t xml:space="preserve">En principio, por ser las empresas sociales del estado entidades estatales y constituir la ley 80 un estatuto denominado "general de contratación de la administración pública", pudiera concluirse que su aplicación es universal para toda clase de entes públicos; sin embargo, tal apreciación no se compadece con la potestad del legislador para establecer excepciones a tal régimen, como lo hizo en el caso de estas empresas. </w:t>
      </w:r>
    </w:p>
    <w:p w14:paraId="135A30C1" w14:textId="77777777" w:rsidR="00E85B43" w:rsidRPr="00C13A62" w:rsidRDefault="00E85B43" w:rsidP="00E85B43">
      <w:pPr>
        <w:spacing w:after="0" w:line="240" w:lineRule="auto"/>
        <w:ind w:left="709" w:right="709"/>
        <w:jc w:val="both"/>
        <w:rPr>
          <w:rFonts w:ascii="Verdana" w:eastAsia="Calibri" w:hAnsi="Verdana" w:cs="Arial"/>
          <w:i/>
          <w:iCs/>
          <w:color w:val="000000" w:themeColor="text1"/>
          <w:sz w:val="20"/>
          <w:szCs w:val="20"/>
        </w:rPr>
      </w:pPr>
      <w:r w:rsidRPr="00C13A62">
        <w:rPr>
          <w:rFonts w:ascii="Verdana" w:eastAsia="Calibri" w:hAnsi="Verdana" w:cs="Arial"/>
          <w:i/>
          <w:iCs/>
          <w:color w:val="000000" w:themeColor="text1"/>
          <w:sz w:val="20"/>
          <w:szCs w:val="20"/>
        </w:rPr>
        <w:t xml:space="preserve">El carácter excepcional de la regulación, se refleja inequívocamente en la locución "discrecionalmente", ya que mientras los demás contratos estatales deben, de manera general, contener tales cláusulas, en los sometidos al régimen de las empresas sociales sólo se pactarán cuando así estas lo dispongan. Además, si con dicha expresión al Estado se le otorga la facultad para pactar o imponer las referidas cláusulas, sin distinguir su razón, es porque a él se reserva el privilegio de incluirlas cuando lo estime conveniente, esto es, cuando las reglas de derecho privado no le otorguen la garantía para la prestación del servicio público correspondiente. </w:t>
      </w:r>
    </w:p>
    <w:p w14:paraId="060D1FA1" w14:textId="77777777" w:rsidR="00E85B43" w:rsidRPr="00C13A62" w:rsidRDefault="00E85B43" w:rsidP="00E85B43">
      <w:pPr>
        <w:spacing w:after="0" w:line="240" w:lineRule="auto"/>
        <w:ind w:left="709" w:right="709"/>
        <w:jc w:val="both"/>
        <w:rPr>
          <w:rFonts w:ascii="Verdana" w:eastAsia="Calibri" w:hAnsi="Verdana" w:cs="Arial"/>
          <w:i/>
          <w:iCs/>
          <w:color w:val="000000" w:themeColor="text1"/>
          <w:sz w:val="20"/>
          <w:szCs w:val="20"/>
        </w:rPr>
      </w:pPr>
      <w:r w:rsidRPr="00C13A62">
        <w:rPr>
          <w:rFonts w:ascii="Verdana" w:eastAsia="Calibri" w:hAnsi="Verdana" w:cs="Arial"/>
          <w:i/>
          <w:iCs/>
          <w:color w:val="000000" w:themeColor="text1"/>
          <w:sz w:val="20"/>
          <w:szCs w:val="20"/>
        </w:rPr>
        <w:t xml:space="preserve">Por lo demás, dicha discrecionalidad encuentra su fundamento en la multiplicidad de objetos contractuales que pueden incidir o no en la prestación del servicio público, circunstancia que la administración deberá </w:t>
      </w:r>
      <w:r w:rsidRPr="00C13A62">
        <w:rPr>
          <w:rFonts w:ascii="Verdana" w:eastAsia="Calibri" w:hAnsi="Verdana" w:cs="Arial"/>
          <w:i/>
          <w:iCs/>
          <w:color w:val="000000" w:themeColor="text1"/>
          <w:sz w:val="20"/>
          <w:szCs w:val="20"/>
        </w:rPr>
        <w:lastRenderedPageBreak/>
        <w:t>tener presente al momento de determinar si incluye o no las cláusulas excepcionales</w:t>
      </w:r>
      <w:r w:rsidRPr="00C13A62">
        <w:rPr>
          <w:rStyle w:val="Refdenotaalpie"/>
          <w:rFonts w:ascii="Verdana" w:eastAsia="Calibri" w:hAnsi="Verdana" w:cs="Arial"/>
          <w:i/>
          <w:iCs/>
          <w:color w:val="000000" w:themeColor="text1"/>
          <w:sz w:val="20"/>
          <w:szCs w:val="20"/>
        </w:rPr>
        <w:footnoteReference w:id="31"/>
      </w:r>
      <w:r w:rsidRPr="00C13A62">
        <w:rPr>
          <w:rFonts w:ascii="Verdana" w:eastAsia="Calibri" w:hAnsi="Verdana" w:cs="Arial"/>
          <w:i/>
          <w:iCs/>
          <w:color w:val="000000" w:themeColor="text1"/>
          <w:sz w:val="20"/>
          <w:szCs w:val="20"/>
        </w:rPr>
        <w:t xml:space="preserve">. </w:t>
      </w:r>
    </w:p>
    <w:p w14:paraId="408309DA" w14:textId="77777777" w:rsidR="00E85B43" w:rsidRPr="00FB4C06" w:rsidRDefault="00E85B43" w:rsidP="00E85B43">
      <w:pPr>
        <w:spacing w:after="0" w:line="276" w:lineRule="auto"/>
        <w:ind w:left="709" w:right="709"/>
        <w:jc w:val="both"/>
        <w:rPr>
          <w:rFonts w:ascii="Verdana" w:eastAsia="Calibri" w:hAnsi="Verdana" w:cs="Arial"/>
          <w:color w:val="000000" w:themeColor="text1"/>
          <w:sz w:val="21"/>
          <w:szCs w:val="21"/>
        </w:rPr>
      </w:pPr>
    </w:p>
    <w:p w14:paraId="7E1DCA08" w14:textId="77777777" w:rsidR="00E85B43" w:rsidRPr="0083282B" w:rsidRDefault="00E85B43" w:rsidP="00E85B43">
      <w:pPr>
        <w:widowControl w:val="0"/>
        <w:autoSpaceDE w:val="0"/>
        <w:autoSpaceDN w:val="0"/>
        <w:spacing w:after="120" w:line="276" w:lineRule="auto"/>
        <w:ind w:firstLine="708"/>
        <w:jc w:val="both"/>
        <w:rPr>
          <w:rFonts w:ascii="Verdana" w:eastAsia="Arial" w:hAnsi="Verdana" w:cs="Arial"/>
        </w:rPr>
      </w:pPr>
      <w:r>
        <w:rPr>
          <w:rFonts w:ascii="Verdana" w:eastAsia="Calibri" w:hAnsi="Verdana" w:cs="Arial"/>
          <w:color w:val="000000" w:themeColor="text1"/>
        </w:rPr>
        <w:t>En esta medida,</w:t>
      </w:r>
      <w:r>
        <w:rPr>
          <w:rFonts w:ascii="Verdana" w:hAnsi="Verdana" w:cs="Arial"/>
          <w:bCs/>
          <w:color w:val="000000" w:themeColor="text1"/>
          <w:lang w:val="es-ES"/>
        </w:rPr>
        <w:t xml:space="preserve"> </w:t>
      </w:r>
      <w:r w:rsidRPr="007B07B6">
        <w:rPr>
          <w:rFonts w:ascii="Verdana" w:hAnsi="Verdana" w:cs="Arial"/>
          <w:bCs/>
          <w:color w:val="000000" w:themeColor="text1"/>
        </w:rPr>
        <w:t xml:space="preserve">las </w:t>
      </w:r>
      <w:r>
        <w:rPr>
          <w:rFonts w:ascii="Verdana" w:hAnsi="Verdana" w:cs="Arial"/>
          <w:bCs/>
          <w:color w:val="000000" w:themeColor="text1"/>
        </w:rPr>
        <w:t>ESE debe</w:t>
      </w:r>
      <w:r w:rsidRPr="007B07B6">
        <w:rPr>
          <w:rFonts w:ascii="Verdana" w:hAnsi="Verdana" w:cs="Arial"/>
          <w:bCs/>
          <w:color w:val="000000" w:themeColor="text1"/>
        </w:rPr>
        <w:t xml:space="preserve">n aplicar las disposiciones del EGCAP, </w:t>
      </w:r>
      <w:r>
        <w:rPr>
          <w:rFonts w:ascii="Verdana" w:hAnsi="Verdana" w:cs="Arial"/>
          <w:bCs/>
          <w:color w:val="000000" w:themeColor="text1"/>
        </w:rPr>
        <w:t>por especial regulación</w:t>
      </w:r>
      <w:r w:rsidRPr="007B07B6">
        <w:rPr>
          <w:rFonts w:ascii="Verdana" w:hAnsi="Verdana" w:cs="Arial"/>
          <w:bCs/>
          <w:color w:val="000000" w:themeColor="text1"/>
        </w:rPr>
        <w:t xml:space="preserve"> de la Ley 100, que autoriza a estas empresas a incorporar las cláusulas excepcionales,</w:t>
      </w:r>
      <w:r>
        <w:rPr>
          <w:rFonts w:ascii="Verdana" w:hAnsi="Verdana" w:cs="Arial"/>
          <w:bCs/>
          <w:color w:val="000000" w:themeColor="text1"/>
        </w:rPr>
        <w:t xml:space="preserve"> siempre que decidan aplicarlas. Para entender este ejercicio, se acude a </w:t>
      </w:r>
      <w:r w:rsidRPr="00A47864">
        <w:rPr>
          <w:rFonts w:ascii="Verdana" w:eastAsia="Arial" w:hAnsi="Verdana" w:cs="Arial"/>
          <w:lang w:val="es-ES"/>
        </w:rPr>
        <w:t>la Resolución No. 5185 de 2013, modificada por la Resolución 1440 del 14 de agosto de 2024</w:t>
      </w:r>
      <w:r w:rsidRPr="00A47864">
        <w:rPr>
          <w:rFonts w:ascii="Verdana" w:eastAsia="Arial" w:hAnsi="Verdana" w:cs="Arial"/>
          <w:vertAlign w:val="superscript"/>
          <w:lang w:val="es-ES"/>
        </w:rPr>
        <w:footnoteReference w:id="32"/>
      </w:r>
      <w:r w:rsidRPr="00A47864">
        <w:rPr>
          <w:rFonts w:ascii="Verdana" w:eastAsia="Arial" w:hAnsi="Verdana" w:cs="Arial"/>
          <w:lang w:val="es-ES"/>
        </w:rPr>
        <w:t>, mediante la cual se fijan los lineamientos</w:t>
      </w:r>
      <w:r w:rsidRPr="00A47864">
        <w:rPr>
          <w:rFonts w:ascii="Verdana" w:eastAsia="Arial" w:hAnsi="Verdana" w:cs="Arial"/>
          <w:spacing w:val="1"/>
          <w:lang w:val="es-ES"/>
        </w:rPr>
        <w:t xml:space="preserve"> </w:t>
      </w:r>
      <w:r w:rsidRPr="00A47864">
        <w:rPr>
          <w:rFonts w:ascii="Verdana" w:eastAsia="Arial" w:hAnsi="Verdana" w:cs="Arial"/>
          <w:lang w:val="es-ES"/>
        </w:rPr>
        <w:t>para</w:t>
      </w:r>
      <w:r w:rsidRPr="00A47864">
        <w:rPr>
          <w:rFonts w:ascii="Verdana" w:eastAsia="Arial" w:hAnsi="Verdana" w:cs="Arial"/>
          <w:spacing w:val="-10"/>
          <w:lang w:val="es-ES"/>
        </w:rPr>
        <w:t xml:space="preserve"> </w:t>
      </w:r>
      <w:r w:rsidRPr="00A47864">
        <w:rPr>
          <w:rFonts w:ascii="Verdana" w:eastAsia="Arial" w:hAnsi="Verdana" w:cs="Arial"/>
          <w:lang w:val="es-ES"/>
        </w:rPr>
        <w:t>que</w:t>
      </w:r>
      <w:r w:rsidRPr="00A47864">
        <w:rPr>
          <w:rFonts w:ascii="Verdana" w:eastAsia="Arial" w:hAnsi="Verdana" w:cs="Arial"/>
          <w:spacing w:val="-10"/>
          <w:lang w:val="es-ES"/>
        </w:rPr>
        <w:t xml:space="preserve"> </w:t>
      </w:r>
      <w:r w:rsidRPr="00A47864">
        <w:rPr>
          <w:rFonts w:ascii="Verdana" w:eastAsia="Arial" w:hAnsi="Verdana" w:cs="Arial"/>
          <w:lang w:val="es-ES"/>
        </w:rPr>
        <w:t>tales</w:t>
      </w:r>
      <w:r w:rsidRPr="00A47864">
        <w:rPr>
          <w:rFonts w:ascii="Verdana" w:eastAsia="Arial" w:hAnsi="Verdana" w:cs="Arial"/>
          <w:spacing w:val="-10"/>
          <w:lang w:val="es-ES"/>
        </w:rPr>
        <w:t xml:space="preserve"> </w:t>
      </w:r>
      <w:r w:rsidRPr="00A47864">
        <w:rPr>
          <w:rFonts w:ascii="Verdana" w:eastAsia="Arial" w:hAnsi="Verdana" w:cs="Arial"/>
          <w:lang w:val="es-ES"/>
        </w:rPr>
        <w:t>entidades</w:t>
      </w:r>
      <w:r w:rsidRPr="00A47864">
        <w:rPr>
          <w:rFonts w:ascii="Verdana" w:eastAsia="Arial" w:hAnsi="Verdana" w:cs="Arial"/>
          <w:spacing w:val="-10"/>
          <w:lang w:val="es-ES"/>
        </w:rPr>
        <w:t xml:space="preserve"> </w:t>
      </w:r>
      <w:r w:rsidRPr="00A47864">
        <w:rPr>
          <w:rFonts w:ascii="Verdana" w:eastAsia="Arial" w:hAnsi="Verdana" w:cs="Arial"/>
          <w:lang w:val="es-ES"/>
        </w:rPr>
        <w:t>adopten</w:t>
      </w:r>
      <w:r w:rsidRPr="00A47864">
        <w:rPr>
          <w:rFonts w:ascii="Verdana" w:eastAsia="Arial" w:hAnsi="Verdana" w:cs="Arial"/>
          <w:spacing w:val="-10"/>
          <w:lang w:val="es-ES"/>
        </w:rPr>
        <w:t xml:space="preserve"> </w:t>
      </w:r>
      <w:r w:rsidRPr="00A47864">
        <w:rPr>
          <w:rFonts w:ascii="Verdana" w:eastAsia="Arial" w:hAnsi="Verdana" w:cs="Arial"/>
          <w:lang w:val="es-ES"/>
        </w:rPr>
        <w:t>los</w:t>
      </w:r>
      <w:r w:rsidRPr="00A47864">
        <w:rPr>
          <w:rFonts w:ascii="Verdana" w:eastAsia="Arial" w:hAnsi="Verdana" w:cs="Arial"/>
          <w:spacing w:val="-10"/>
          <w:lang w:val="es-ES"/>
        </w:rPr>
        <w:t xml:space="preserve"> </w:t>
      </w:r>
      <w:r w:rsidRPr="00A47864">
        <w:rPr>
          <w:rFonts w:ascii="Verdana" w:eastAsia="Arial" w:hAnsi="Verdana" w:cs="Arial"/>
          <w:lang w:val="es-ES"/>
        </w:rPr>
        <w:t>manuales</w:t>
      </w:r>
      <w:r w:rsidRPr="00A47864">
        <w:rPr>
          <w:rFonts w:ascii="Verdana" w:eastAsia="Arial" w:hAnsi="Verdana" w:cs="Arial"/>
          <w:spacing w:val="-10"/>
          <w:lang w:val="es-ES"/>
        </w:rPr>
        <w:t xml:space="preserve"> </w:t>
      </w:r>
      <w:r w:rsidRPr="00A47864">
        <w:rPr>
          <w:rFonts w:ascii="Verdana" w:eastAsia="Arial" w:hAnsi="Verdana" w:cs="Arial"/>
          <w:lang w:val="es-ES"/>
        </w:rPr>
        <w:t>de</w:t>
      </w:r>
      <w:r w:rsidRPr="00A47864">
        <w:rPr>
          <w:rFonts w:ascii="Verdana" w:eastAsia="Arial" w:hAnsi="Verdana" w:cs="Arial"/>
          <w:spacing w:val="-10"/>
          <w:lang w:val="es-ES"/>
        </w:rPr>
        <w:t xml:space="preserve"> </w:t>
      </w:r>
      <w:r w:rsidRPr="00A47864">
        <w:rPr>
          <w:rFonts w:ascii="Verdana" w:eastAsia="Arial" w:hAnsi="Verdana" w:cs="Arial"/>
          <w:lang w:val="es-ES"/>
        </w:rPr>
        <w:t>contratación</w:t>
      </w:r>
      <w:r w:rsidRPr="00A47864">
        <w:rPr>
          <w:rFonts w:ascii="Verdana" w:eastAsia="Arial" w:hAnsi="Verdana" w:cs="Arial"/>
          <w:spacing w:val="-10"/>
          <w:lang w:val="es-ES"/>
        </w:rPr>
        <w:t xml:space="preserve"> </w:t>
      </w:r>
      <w:r w:rsidRPr="00A47864">
        <w:rPr>
          <w:rFonts w:ascii="Verdana" w:eastAsia="Arial" w:hAnsi="Verdana" w:cs="Arial"/>
          <w:lang w:val="es-ES"/>
        </w:rPr>
        <w:t>que</w:t>
      </w:r>
      <w:r w:rsidRPr="00A47864">
        <w:rPr>
          <w:rFonts w:ascii="Verdana" w:eastAsia="Arial" w:hAnsi="Verdana" w:cs="Arial"/>
          <w:spacing w:val="-9"/>
          <w:lang w:val="es-ES"/>
        </w:rPr>
        <w:t xml:space="preserve"> </w:t>
      </w:r>
      <w:r w:rsidRPr="00A47864">
        <w:rPr>
          <w:rFonts w:ascii="Verdana" w:eastAsia="Arial" w:hAnsi="Verdana" w:cs="Arial"/>
          <w:lang w:val="es-ES"/>
        </w:rPr>
        <w:t>regirán</w:t>
      </w:r>
      <w:r w:rsidRPr="00A47864">
        <w:rPr>
          <w:rFonts w:ascii="Verdana" w:eastAsia="Arial" w:hAnsi="Verdana" w:cs="Arial"/>
          <w:spacing w:val="-10"/>
          <w:lang w:val="es-ES"/>
        </w:rPr>
        <w:t xml:space="preserve"> </w:t>
      </w:r>
      <w:r w:rsidRPr="00A47864">
        <w:rPr>
          <w:rFonts w:ascii="Verdana" w:eastAsia="Arial" w:hAnsi="Verdana" w:cs="Arial"/>
          <w:lang w:val="es-ES"/>
        </w:rPr>
        <w:t>su</w:t>
      </w:r>
      <w:r w:rsidRPr="00A47864">
        <w:rPr>
          <w:rFonts w:ascii="Verdana" w:eastAsia="Arial" w:hAnsi="Verdana" w:cs="Arial"/>
          <w:spacing w:val="-10"/>
          <w:lang w:val="es-ES"/>
        </w:rPr>
        <w:t xml:space="preserve"> </w:t>
      </w:r>
      <w:r w:rsidRPr="00A47864">
        <w:rPr>
          <w:rFonts w:ascii="Verdana" w:eastAsia="Arial" w:hAnsi="Verdana" w:cs="Arial"/>
          <w:lang w:val="es-ES"/>
        </w:rPr>
        <w:t>actividad</w:t>
      </w:r>
      <w:r w:rsidRPr="00A47864">
        <w:rPr>
          <w:rFonts w:ascii="Verdana" w:eastAsia="Arial" w:hAnsi="Verdana" w:cs="Arial"/>
          <w:spacing w:val="-59"/>
          <w:lang w:val="es-ES"/>
        </w:rPr>
        <w:t xml:space="preserve"> </w:t>
      </w:r>
      <w:r w:rsidRPr="00A47864">
        <w:rPr>
          <w:rFonts w:ascii="Verdana" w:eastAsia="Arial" w:hAnsi="Verdana" w:cs="Arial"/>
          <w:lang w:val="es-ES"/>
        </w:rPr>
        <w:t>contractual. Este acto administrativo, dictado en ejercicio de las facultades conferidas</w:t>
      </w:r>
      <w:r w:rsidRPr="00A47864">
        <w:rPr>
          <w:rFonts w:ascii="Verdana" w:eastAsia="Arial" w:hAnsi="Verdana" w:cs="Arial"/>
          <w:spacing w:val="1"/>
          <w:lang w:val="es-ES"/>
        </w:rPr>
        <w:t xml:space="preserve"> </w:t>
      </w:r>
      <w:r w:rsidRPr="00A47864">
        <w:rPr>
          <w:rFonts w:ascii="Verdana" w:eastAsia="Arial" w:hAnsi="Verdana" w:cs="Arial"/>
          <w:lang w:val="es-ES"/>
        </w:rPr>
        <w:t>por el artículo 76 de la Ley 1438 de 2011</w:t>
      </w:r>
      <w:r w:rsidRPr="00A47864">
        <w:rPr>
          <w:rFonts w:ascii="Verdana" w:eastAsia="Arial" w:hAnsi="Verdana" w:cs="Arial"/>
          <w:vertAlign w:val="superscript"/>
          <w:lang w:val="es-ES"/>
        </w:rPr>
        <w:footnoteReference w:id="33"/>
      </w:r>
      <w:r w:rsidRPr="00A47864">
        <w:rPr>
          <w:rFonts w:ascii="Verdana" w:eastAsia="Arial" w:hAnsi="Verdana" w:cs="Arial"/>
          <w:lang w:val="es-ES"/>
        </w:rPr>
        <w:t xml:space="preserve">, contiene varios criterios que </w:t>
      </w:r>
      <w:r>
        <w:rPr>
          <w:rFonts w:ascii="Verdana" w:eastAsia="Arial" w:hAnsi="Verdana" w:cs="Arial"/>
          <w:lang w:val="es-ES"/>
        </w:rPr>
        <w:t xml:space="preserve">deberán tenerse </w:t>
      </w:r>
      <w:r w:rsidRPr="00A47864">
        <w:rPr>
          <w:rFonts w:ascii="Verdana" w:eastAsia="Arial" w:hAnsi="Verdana" w:cs="Arial"/>
          <w:lang w:val="es-ES"/>
        </w:rPr>
        <w:t>cuenta</w:t>
      </w:r>
      <w:r>
        <w:rPr>
          <w:rFonts w:ascii="Verdana" w:eastAsia="Arial" w:hAnsi="Verdana" w:cs="Arial"/>
          <w:lang w:val="es-ES"/>
        </w:rPr>
        <w:t xml:space="preserve"> en el momento de adoptar</w:t>
      </w:r>
      <w:r w:rsidRPr="00A47864">
        <w:rPr>
          <w:rFonts w:ascii="Verdana" w:eastAsia="Arial" w:hAnsi="Verdana" w:cs="Arial"/>
          <w:spacing w:val="-1"/>
          <w:lang w:val="es-ES"/>
        </w:rPr>
        <w:t xml:space="preserve"> </w:t>
      </w:r>
      <w:r w:rsidRPr="00A47864">
        <w:rPr>
          <w:rFonts w:ascii="Verdana" w:eastAsia="Arial" w:hAnsi="Verdana" w:cs="Arial"/>
          <w:lang w:val="es-ES"/>
        </w:rPr>
        <w:t>los</w:t>
      </w:r>
      <w:r w:rsidRPr="00A47864">
        <w:rPr>
          <w:rFonts w:ascii="Verdana" w:eastAsia="Arial" w:hAnsi="Verdana" w:cs="Arial"/>
          <w:spacing w:val="-1"/>
          <w:lang w:val="es-ES"/>
        </w:rPr>
        <w:t xml:space="preserve"> </w:t>
      </w:r>
      <w:r w:rsidRPr="00A47864">
        <w:rPr>
          <w:rFonts w:ascii="Verdana" w:eastAsia="Arial" w:hAnsi="Verdana" w:cs="Arial"/>
          <w:lang w:val="es-ES"/>
        </w:rPr>
        <w:t>manuales</w:t>
      </w:r>
      <w:r w:rsidRPr="00A47864">
        <w:rPr>
          <w:rFonts w:ascii="Verdana" w:eastAsia="Arial" w:hAnsi="Verdana" w:cs="Arial"/>
          <w:spacing w:val="-1"/>
          <w:lang w:val="es-ES"/>
        </w:rPr>
        <w:t xml:space="preserve"> </w:t>
      </w:r>
      <w:r w:rsidRPr="00A47864">
        <w:rPr>
          <w:rFonts w:ascii="Verdana" w:eastAsia="Arial" w:hAnsi="Verdana" w:cs="Arial"/>
          <w:lang w:val="es-ES"/>
        </w:rPr>
        <w:t>de</w:t>
      </w:r>
      <w:r w:rsidRPr="00A47864">
        <w:rPr>
          <w:rFonts w:ascii="Verdana" w:eastAsia="Arial" w:hAnsi="Verdana" w:cs="Arial"/>
          <w:spacing w:val="-2"/>
          <w:lang w:val="es-ES"/>
        </w:rPr>
        <w:t xml:space="preserve"> </w:t>
      </w:r>
      <w:r w:rsidRPr="00A47864">
        <w:rPr>
          <w:rFonts w:ascii="Verdana" w:eastAsia="Arial" w:hAnsi="Verdana" w:cs="Arial"/>
          <w:lang w:val="es-ES"/>
        </w:rPr>
        <w:t>contratación.</w:t>
      </w:r>
      <w:r>
        <w:rPr>
          <w:rFonts w:ascii="Verdana" w:eastAsia="Arial" w:hAnsi="Verdana" w:cs="Arial"/>
          <w:lang w:val="es-ES"/>
        </w:rPr>
        <w:t xml:space="preserve"> En tal sentido, puede destacarse que, en la fase de planeación, las ESE deben contemplar: “[…] </w:t>
      </w:r>
      <w:r w:rsidRPr="004710AF">
        <w:rPr>
          <w:rFonts w:ascii="Verdana" w:eastAsia="Arial" w:hAnsi="Verdana" w:cs="Arial"/>
        </w:rPr>
        <w:t>La aplicación o no de las cláusulas excepcionales previstas en el Estatuto General de la Administración Pública</w:t>
      </w:r>
      <w:r>
        <w:rPr>
          <w:rFonts w:ascii="Verdana" w:eastAsia="Arial" w:hAnsi="Verdana" w:cs="Arial"/>
        </w:rPr>
        <w:t xml:space="preserve">” –artículo 9.17 de </w:t>
      </w:r>
      <w:r w:rsidRPr="00A23641">
        <w:rPr>
          <w:rFonts w:ascii="Verdana" w:eastAsia="Arial" w:hAnsi="Verdana" w:cs="Arial"/>
          <w:lang w:val="es-ES"/>
        </w:rPr>
        <w:t>la Resolución No. 5185 de 2013, modificada por la Resolución 1440 del 14 de agosto de 2024</w:t>
      </w:r>
      <w:r>
        <w:rPr>
          <w:rFonts w:ascii="Verdana" w:eastAsia="Arial" w:hAnsi="Verdana" w:cs="Arial"/>
        </w:rPr>
        <w:t xml:space="preserve">–; así como en la fase de ejecución se establece: “[…] </w:t>
      </w:r>
      <w:r w:rsidRPr="00492DC2">
        <w:rPr>
          <w:rFonts w:ascii="Verdana" w:eastAsia="Arial" w:hAnsi="Verdana" w:cs="Arial"/>
        </w:rPr>
        <w:t>La obligación de hacer efectivas las cláusulas excepcionales, en caso de haberlas pactado en los contratos, cuando haya lugar a ello, dentro del plazo del con</w:t>
      </w:r>
      <w:r>
        <w:rPr>
          <w:rFonts w:ascii="Verdana" w:eastAsia="Arial" w:hAnsi="Verdana" w:cs="Arial"/>
        </w:rPr>
        <w:t xml:space="preserve">trato” –artículo 12.4. de la Resolución No 5185 de 2013-. Ante este escenario, las ESE deben tener en cuenta en la estipulación de cláusulas excepcionales, así como en la aplicación de los contratos que suscribe.  </w:t>
      </w:r>
    </w:p>
    <w:p w14:paraId="57DC8CF1" w14:textId="77777777" w:rsidR="00E85B43" w:rsidRDefault="00E85B43" w:rsidP="00E85B43">
      <w:pPr>
        <w:spacing w:after="120" w:line="276" w:lineRule="auto"/>
        <w:ind w:firstLine="709"/>
        <w:jc w:val="both"/>
        <w:rPr>
          <w:rFonts w:ascii="Verdana" w:eastAsia="Calibri" w:hAnsi="Verdana" w:cs="Arial"/>
          <w:color w:val="000000" w:themeColor="text1"/>
          <w:lang w:val="es-ES"/>
        </w:rPr>
      </w:pPr>
      <w:r w:rsidRPr="009428FB">
        <w:rPr>
          <w:rFonts w:ascii="Verdana" w:eastAsia="Calibri" w:hAnsi="Verdana" w:cs="Arial"/>
          <w:color w:val="000000" w:themeColor="text1"/>
          <w:lang w:val="es-ES"/>
        </w:rPr>
        <w:lastRenderedPageBreak/>
        <w:t xml:space="preserve">Esta también ha sido la interpretación del Ministerio de la Protección Social, que en Concepto No. </w:t>
      </w:r>
      <w:r w:rsidRPr="009428FB">
        <w:rPr>
          <w:rFonts w:ascii="Verdana" w:eastAsia="Calibri" w:hAnsi="Verdana" w:cs="Arial"/>
          <w:color w:val="000000" w:themeColor="text1"/>
        </w:rPr>
        <w:t>201942301304712</w:t>
      </w:r>
      <w:r w:rsidRPr="009428FB">
        <w:rPr>
          <w:rFonts w:ascii="Verdana" w:eastAsia="Calibri" w:hAnsi="Verdana" w:cs="Arial"/>
          <w:color w:val="000000" w:themeColor="text1"/>
          <w:lang w:val="es-ES"/>
        </w:rPr>
        <w:t xml:space="preserve"> de 2019, en reiteración de lo expuesto por la Sala de Consulta y Servicio Civil del Consejo de Estado</w:t>
      </w:r>
      <w:r w:rsidRPr="009428FB">
        <w:rPr>
          <w:rFonts w:ascii="Verdana" w:eastAsia="Calibri" w:hAnsi="Verdana" w:cs="Arial"/>
          <w:color w:val="000000" w:themeColor="text1"/>
          <w:vertAlign w:val="superscript"/>
          <w:lang w:val="es-ES"/>
        </w:rPr>
        <w:footnoteReference w:id="34"/>
      </w:r>
      <w:r w:rsidRPr="009428FB">
        <w:rPr>
          <w:rFonts w:ascii="Verdana" w:eastAsia="Calibri" w:hAnsi="Verdana" w:cs="Arial"/>
          <w:color w:val="000000" w:themeColor="text1"/>
          <w:lang w:val="es-ES"/>
        </w:rPr>
        <w:t xml:space="preserve">, expresó que “[…] </w:t>
      </w:r>
      <w:r w:rsidRPr="009428FB">
        <w:rPr>
          <w:rFonts w:ascii="Verdana" w:eastAsia="Calibri" w:hAnsi="Verdana" w:cs="Arial"/>
          <w:color w:val="000000" w:themeColor="text1"/>
        </w:rPr>
        <w:t>el régimen de contratación de las Empresas Sociales del Estado, está sometido al derecho privado por disposición legal y la facultad discrecional de pactar las cláusulas excepcionales dota a las mentadas entidades de herramientas especiales para garantizar ciertos fines”</w:t>
      </w:r>
      <w:r w:rsidRPr="009428FB">
        <w:rPr>
          <w:rFonts w:ascii="Verdana" w:eastAsia="Calibri" w:hAnsi="Verdana" w:cs="Arial"/>
          <w:color w:val="000000" w:themeColor="text1"/>
          <w:vertAlign w:val="superscript"/>
          <w:lang w:val="es-ES"/>
        </w:rPr>
        <w:footnoteReference w:id="35"/>
      </w:r>
      <w:r w:rsidRPr="009428FB">
        <w:rPr>
          <w:rFonts w:ascii="Verdana" w:eastAsia="Calibri" w:hAnsi="Verdana" w:cs="Arial"/>
          <w:color w:val="000000" w:themeColor="text1"/>
          <w:lang w:val="es-ES"/>
        </w:rPr>
        <w:t>.</w:t>
      </w:r>
    </w:p>
    <w:p w14:paraId="4317D317" w14:textId="77777777" w:rsidR="00E85B43" w:rsidRPr="009428FB" w:rsidRDefault="00E85B43" w:rsidP="00E85B43">
      <w:pPr>
        <w:spacing w:after="0" w:line="276" w:lineRule="auto"/>
        <w:ind w:firstLine="709"/>
        <w:jc w:val="both"/>
        <w:rPr>
          <w:rFonts w:ascii="Verdana" w:eastAsia="Calibri" w:hAnsi="Verdana" w:cs="Arial"/>
          <w:color w:val="000000" w:themeColor="text1"/>
          <w:lang w:val="es-ES"/>
        </w:rPr>
      </w:pPr>
      <w:r w:rsidRPr="003A29CD">
        <w:rPr>
          <w:rFonts w:ascii="Verdana" w:eastAsia="Calibri" w:hAnsi="Verdana" w:cs="Arial"/>
          <w:color w:val="000000" w:themeColor="text1"/>
        </w:rPr>
        <w:t>En conclusión, la incorporación de cláusulas excepcionales en los contratos celebrados por las Empresas Sociales del Estado no constituye una obligación automática, sino una decisión que debe adoptarse de manera consciente en la fase de planeación, atendiendo a la naturaleza del contrato y a las necesidades de la entidad. Una vez pactadas, dichas cláusulas adquieren plena eficacia y obligan a la Administración a aplicarlas en la fase de ejecución, conforme a lo previsto en la normativa vigente. De esta manera, la estipulación de cláusulas excepcionales se erige como un instrumento de control y garantía que exige un análisis previo y responsable, en aras de asegurar la correcta gestión contractual y la protección del interés público.</w:t>
      </w:r>
    </w:p>
    <w:p w14:paraId="0409F585" w14:textId="77777777" w:rsidR="00E85B43" w:rsidRDefault="00E85B43" w:rsidP="00E85B43">
      <w:pPr>
        <w:spacing w:after="0" w:line="276" w:lineRule="auto"/>
        <w:jc w:val="both"/>
        <w:rPr>
          <w:rFonts w:ascii="Verdana" w:hAnsi="Verdana" w:cs="Arial"/>
          <w:bCs/>
          <w:color w:val="000000" w:themeColor="text1"/>
          <w:lang w:val="es-ES"/>
        </w:rPr>
      </w:pPr>
    </w:p>
    <w:p w14:paraId="0D1CB2D5" w14:textId="77777777" w:rsidR="00E85B43" w:rsidRDefault="00E85B43" w:rsidP="00E85B43">
      <w:pPr>
        <w:spacing w:after="120" w:line="276" w:lineRule="auto"/>
        <w:jc w:val="both"/>
        <w:rPr>
          <w:rFonts w:ascii="Verdana" w:hAnsi="Verdana" w:cs="Arial"/>
          <w:bCs/>
          <w:color w:val="000000" w:themeColor="text1"/>
        </w:rPr>
      </w:pPr>
      <w:r>
        <w:rPr>
          <w:rFonts w:ascii="Verdana" w:hAnsi="Verdana" w:cs="Arial"/>
          <w:bCs/>
          <w:color w:val="000000" w:themeColor="text1"/>
          <w:lang w:val="es-ES"/>
        </w:rPr>
        <w:t xml:space="preserve">v. </w:t>
      </w:r>
      <w:r w:rsidRPr="00CA155B">
        <w:rPr>
          <w:rFonts w:ascii="Verdana" w:hAnsi="Verdana" w:cs="Arial"/>
          <w:bCs/>
          <w:color w:val="000000" w:themeColor="text1"/>
        </w:rPr>
        <w:t>Como se indicó en los apartados anteriores, a las Empresas Sociales del Estado les resulta aplicable, como regla general, el régimen privado en sus relaciones contractuales.</w:t>
      </w:r>
      <w:r>
        <w:rPr>
          <w:rFonts w:ascii="Verdana" w:hAnsi="Verdana" w:cs="Arial"/>
          <w:bCs/>
          <w:color w:val="000000" w:themeColor="text1"/>
        </w:rPr>
        <w:t xml:space="preserve"> En este sentido, como lo ha expresado la “Guía para adelantar el Proceso Administrativo Sancionatorio Contractual” expresa que cuentan con </w:t>
      </w:r>
      <w:r w:rsidRPr="005A5D56">
        <w:rPr>
          <w:rFonts w:ascii="Verdana" w:hAnsi="Verdana" w:cs="Arial"/>
          <w:bCs/>
          <w:color w:val="000000" w:themeColor="text1"/>
        </w:rPr>
        <w:t>régimen especial de contratación</w:t>
      </w:r>
      <w:r>
        <w:rPr>
          <w:rFonts w:ascii="Verdana" w:hAnsi="Verdana" w:cs="Arial"/>
          <w:bCs/>
          <w:color w:val="000000" w:themeColor="text1"/>
        </w:rPr>
        <w:t xml:space="preserve">, por lo que no </w:t>
      </w:r>
      <w:r w:rsidRPr="005A5D56">
        <w:rPr>
          <w:rFonts w:ascii="Verdana" w:hAnsi="Verdana" w:cs="Arial"/>
          <w:bCs/>
          <w:color w:val="000000" w:themeColor="text1"/>
        </w:rPr>
        <w:t>cuentan con la facultad excepcional de imponer</w:t>
      </w:r>
      <w:r>
        <w:rPr>
          <w:rFonts w:ascii="Verdana" w:hAnsi="Verdana" w:cs="Arial"/>
          <w:bCs/>
          <w:color w:val="000000" w:themeColor="text1"/>
        </w:rPr>
        <w:t xml:space="preserve"> </w:t>
      </w:r>
      <w:r w:rsidRPr="005A5D56">
        <w:rPr>
          <w:rFonts w:ascii="Verdana" w:hAnsi="Verdana" w:cs="Arial"/>
          <w:bCs/>
          <w:color w:val="000000" w:themeColor="text1"/>
        </w:rPr>
        <w:t xml:space="preserve">sanciones a sus contratistas incumplidos. </w:t>
      </w:r>
      <w:r>
        <w:rPr>
          <w:rFonts w:ascii="Verdana" w:hAnsi="Verdana" w:cs="Arial"/>
          <w:bCs/>
          <w:color w:val="000000" w:themeColor="text1"/>
        </w:rPr>
        <w:t>Es decir, deben acudir al juez del contrato para dirimir los incumplimientos del contrato</w:t>
      </w:r>
      <w:r>
        <w:rPr>
          <w:rStyle w:val="Refdenotaalpie"/>
          <w:rFonts w:ascii="Verdana" w:hAnsi="Verdana" w:cs="Arial"/>
          <w:bCs/>
          <w:color w:val="000000" w:themeColor="text1"/>
        </w:rPr>
        <w:footnoteReference w:id="36"/>
      </w:r>
      <w:r>
        <w:rPr>
          <w:rFonts w:ascii="Verdana" w:hAnsi="Verdana" w:cs="Arial"/>
          <w:bCs/>
          <w:color w:val="000000" w:themeColor="text1"/>
        </w:rPr>
        <w:t xml:space="preserve">. </w:t>
      </w:r>
    </w:p>
    <w:p w14:paraId="21053BBF" w14:textId="77777777" w:rsidR="00E85B43" w:rsidRPr="005A5D56" w:rsidRDefault="00E85B43" w:rsidP="00E85B43">
      <w:pPr>
        <w:spacing w:after="120" w:line="276" w:lineRule="auto"/>
        <w:ind w:firstLine="708"/>
        <w:jc w:val="both"/>
        <w:rPr>
          <w:rFonts w:ascii="Verdana" w:hAnsi="Verdana" w:cs="Arial"/>
          <w:bCs/>
          <w:color w:val="000000" w:themeColor="text1"/>
        </w:rPr>
      </w:pPr>
      <w:r w:rsidRPr="00CA155B">
        <w:rPr>
          <w:rFonts w:ascii="Verdana" w:hAnsi="Verdana" w:cs="Arial"/>
          <w:bCs/>
          <w:color w:val="000000" w:themeColor="text1"/>
        </w:rPr>
        <w:t xml:space="preserve">No obstante, de manera eventual deben sujetarse a las disposiciones del Estatuto General de Contratación de la Administración Pública (EGCAP), en </w:t>
      </w:r>
      <w:r w:rsidRPr="00CA155B">
        <w:rPr>
          <w:rFonts w:ascii="Verdana" w:hAnsi="Verdana" w:cs="Arial"/>
          <w:bCs/>
          <w:color w:val="000000" w:themeColor="text1"/>
        </w:rPr>
        <w:lastRenderedPageBreak/>
        <w:t>virtud de la habilitación especial prevista en la Ley 100 de 1993, que les permite incorporar cláusulas excepcionales siempre que decidan pactarlas. Ello implica que, cuando ejercen potestades sancionatorias, les son aplicables las reglas del procedimiento administrativo establecido en el artículo 86 de la Ley 1474 de 2011. En otras palabras, la autorización legislativa para pactar las cláusulas excepcionales de la Ley 80 de 1993 conlleva la obligación de someterse tanto a las condiciones sustanciales como procedimentales de dicho régimen, incluyendo la aplicación del artículo 86 en lo relativo a las potestades sancionatorias —caducidad, imposición unilateral de multas y cláusula penal pecuniaria—.</w:t>
      </w:r>
      <w:r w:rsidRPr="0083282B">
        <w:rPr>
          <w:rFonts w:ascii="Verdana" w:hAnsi="Verdana" w:cs="Arial"/>
          <w:bCs/>
          <w:color w:val="000000" w:themeColor="text1"/>
        </w:rPr>
        <w:t xml:space="preserve"> </w:t>
      </w:r>
    </w:p>
    <w:p w14:paraId="60D1C1DC" w14:textId="77777777" w:rsidR="00E85B43" w:rsidRPr="0083282B" w:rsidRDefault="00E85B43" w:rsidP="00E85B43">
      <w:pPr>
        <w:spacing w:before="120" w:after="120" w:line="276" w:lineRule="auto"/>
        <w:ind w:firstLine="708"/>
        <w:jc w:val="both"/>
        <w:rPr>
          <w:rFonts w:ascii="Verdana" w:hAnsi="Verdana" w:cs="Arial"/>
          <w:bCs/>
          <w:color w:val="000000" w:themeColor="text1"/>
        </w:rPr>
      </w:pPr>
      <w:r>
        <w:rPr>
          <w:rFonts w:ascii="Verdana" w:hAnsi="Verdana" w:cs="Arial"/>
          <w:bCs/>
          <w:iCs/>
          <w:color w:val="000000" w:themeColor="text1"/>
          <w:lang w:val="es-MX"/>
        </w:rPr>
        <w:t xml:space="preserve">En referencia a esta variable, se resalta que el artículo 86 precitado </w:t>
      </w:r>
      <w:r w:rsidRPr="005A7B33">
        <w:rPr>
          <w:rFonts w:ascii="Verdana" w:hAnsi="Verdana" w:cs="Arial"/>
          <w:bCs/>
          <w:iCs/>
          <w:color w:val="000000" w:themeColor="text1"/>
          <w:lang w:val="es-MX"/>
        </w:rPr>
        <w:t xml:space="preserve">regula el procedimiento especial sancionatorio con que deben regirse las entidades sometidas al Estatuto General de Contratación de la Administración Pública cuando se presenten posibles incumplimientos. Al respecto, el inciso primero del mencionado artículo dispone: </w:t>
      </w:r>
      <w:r>
        <w:rPr>
          <w:rFonts w:ascii="Verdana" w:hAnsi="Verdana" w:cs="Arial"/>
          <w:bCs/>
          <w:color w:val="000000" w:themeColor="text1"/>
          <w:lang w:val="es-MX"/>
        </w:rPr>
        <w:t>“</w:t>
      </w:r>
      <w:r w:rsidRPr="005A7B33">
        <w:rPr>
          <w:rFonts w:ascii="Verdana" w:hAnsi="Verdana" w:cs="Arial"/>
          <w:bCs/>
          <w:color w:val="000000" w:themeColor="text1"/>
        </w:rPr>
        <w:t xml:space="preserve">Las entidades sometidas al Estatuto General de Contratación de la Administración Pública </w:t>
      </w:r>
      <w:r w:rsidRPr="00EE75A1">
        <w:rPr>
          <w:rFonts w:ascii="Verdana" w:hAnsi="Verdana" w:cs="Arial"/>
          <w:bCs/>
          <w:i/>
          <w:color w:val="000000" w:themeColor="text1"/>
        </w:rPr>
        <w:t>podrán declarar el incumplimiento, cuantificando los perjuicios del mismo, imponer las multas y sanciones pactadas en el contrato,</w:t>
      </w:r>
      <w:r w:rsidRPr="005A7B33">
        <w:rPr>
          <w:rFonts w:ascii="Verdana" w:hAnsi="Verdana" w:cs="Arial"/>
          <w:bCs/>
          <w:color w:val="000000" w:themeColor="text1"/>
        </w:rPr>
        <w:t xml:space="preserve"> y hacer efectiva la cláusula penal […]</w:t>
      </w:r>
      <w:r>
        <w:rPr>
          <w:rFonts w:ascii="Verdana" w:hAnsi="Verdana" w:cs="Arial"/>
          <w:bCs/>
          <w:iCs/>
          <w:color w:val="000000" w:themeColor="text1"/>
        </w:rPr>
        <w:t>” (énfasis fuera de texto)</w:t>
      </w:r>
      <w:r w:rsidRPr="005A7B33">
        <w:rPr>
          <w:rFonts w:ascii="Verdana" w:hAnsi="Verdana" w:cs="Arial"/>
          <w:bCs/>
          <w:color w:val="000000" w:themeColor="text1"/>
        </w:rPr>
        <w:t xml:space="preserve">. En tal sentido, este es el procedimiento establecido para hacer efectivas las sanciones contractuales, </w:t>
      </w:r>
      <w:r>
        <w:rPr>
          <w:rFonts w:ascii="Verdana" w:hAnsi="Verdana" w:cs="Arial"/>
          <w:bCs/>
          <w:color w:val="000000" w:themeColor="text1"/>
        </w:rPr>
        <w:t xml:space="preserve">como es la </w:t>
      </w:r>
      <w:r w:rsidRPr="005A7B33">
        <w:rPr>
          <w:rFonts w:ascii="Verdana" w:hAnsi="Verdana" w:cs="Arial"/>
          <w:bCs/>
          <w:color w:val="000000" w:themeColor="text1"/>
        </w:rPr>
        <w:t>caducidad del contrato</w:t>
      </w:r>
      <w:r>
        <w:rPr>
          <w:rFonts w:ascii="Verdana" w:hAnsi="Verdana" w:cs="Arial"/>
          <w:bCs/>
          <w:color w:val="000000" w:themeColor="text1"/>
        </w:rPr>
        <w:t xml:space="preserve"> y la imposición unilateral de multas y cláusula penal contractual que se derivan del incumplimiento contractual</w:t>
      </w:r>
      <w:r w:rsidRPr="005A7B33">
        <w:rPr>
          <w:rFonts w:ascii="Verdana" w:hAnsi="Verdana" w:cs="Arial"/>
          <w:bCs/>
          <w:color w:val="000000" w:themeColor="text1"/>
        </w:rPr>
        <w:t xml:space="preserve">. </w:t>
      </w:r>
    </w:p>
    <w:p w14:paraId="6A070CF4" w14:textId="77777777" w:rsidR="00E85B43" w:rsidRPr="009037F6" w:rsidRDefault="00E85B43" w:rsidP="00E85B43">
      <w:pPr>
        <w:spacing w:after="0" w:line="276" w:lineRule="auto"/>
        <w:ind w:firstLine="709"/>
        <w:jc w:val="both"/>
        <w:rPr>
          <w:rFonts w:ascii="Verdana" w:eastAsia="Calibri" w:hAnsi="Verdana" w:cs="Arial"/>
          <w:color w:val="000000" w:themeColor="text1"/>
          <w:lang w:val="es-ES"/>
        </w:rPr>
      </w:pPr>
      <w:r w:rsidRPr="004F246A">
        <w:rPr>
          <w:rFonts w:ascii="Verdana" w:eastAsia="Times New Roman" w:hAnsi="Verdana" w:cs="Arial"/>
          <w:iCs/>
          <w:color w:val="000000"/>
          <w:szCs w:val="24"/>
          <w:lang w:val="es-ES_tradnl" w:eastAsia="es-ES_tradnl"/>
        </w:rPr>
        <w:t>Cabe destacar que esta norma no cualifica o se circunscribe a ciertos tipos de incumplimiento. En consecuencia, la declaratoria de cualquier incumplimiento, sea total o parcial, o independiente de su gravedad, debe realizarse con plena observancia de las reglas procedimentales del artículo 86 de la Ley 1474 de 2011. Est</w:t>
      </w:r>
      <w:r>
        <w:rPr>
          <w:rFonts w:ascii="Verdana" w:eastAsia="Times New Roman" w:hAnsi="Verdana" w:cs="Arial"/>
          <w:iCs/>
          <w:color w:val="000000"/>
          <w:szCs w:val="24"/>
          <w:lang w:val="es-ES_tradnl" w:eastAsia="es-ES_tradnl"/>
        </w:rPr>
        <w:t>o es así como consecuencia del “</w:t>
      </w:r>
      <w:r w:rsidRPr="004F246A">
        <w:rPr>
          <w:rFonts w:ascii="Verdana" w:eastAsia="Times New Roman" w:hAnsi="Verdana" w:cs="Arial"/>
          <w:iCs/>
          <w:color w:val="000000"/>
          <w:szCs w:val="24"/>
          <w:lang w:val="es-ES_tradnl" w:eastAsia="es-ES_tradnl"/>
        </w:rPr>
        <w:t>principio general de interpretación jurídica según el cual donde la norma no distingue, no le corresponde dist</w:t>
      </w:r>
      <w:r>
        <w:rPr>
          <w:rFonts w:ascii="Verdana" w:eastAsia="Times New Roman" w:hAnsi="Verdana" w:cs="Arial"/>
          <w:iCs/>
          <w:color w:val="000000"/>
          <w:szCs w:val="24"/>
          <w:lang w:val="es-ES_tradnl" w:eastAsia="es-ES_tradnl"/>
        </w:rPr>
        <w:t>inguir al intérprete”</w:t>
      </w:r>
      <w:r w:rsidRPr="004F246A">
        <w:rPr>
          <w:rFonts w:ascii="Verdana" w:eastAsia="Times New Roman" w:hAnsi="Verdana" w:cs="Arial"/>
          <w:color w:val="000000"/>
          <w:sz w:val="24"/>
          <w:szCs w:val="24"/>
          <w:vertAlign w:val="superscript"/>
          <w:lang w:eastAsia="es-ES_tradnl"/>
        </w:rPr>
        <w:footnoteReference w:id="37"/>
      </w:r>
      <w:r w:rsidRPr="004F246A">
        <w:rPr>
          <w:rFonts w:ascii="Verdana" w:eastAsia="Times New Roman" w:hAnsi="Verdana" w:cs="Arial"/>
          <w:iCs/>
          <w:color w:val="000000"/>
          <w:szCs w:val="24"/>
          <w:lang w:val="es-ES_tradnl" w:eastAsia="es-ES_tradnl"/>
        </w:rPr>
        <w:t>. A la misma conclusión se llega si se tiene en consideración la necesidad de</w:t>
      </w:r>
      <w:r>
        <w:rPr>
          <w:rFonts w:ascii="Verdana" w:eastAsia="Times New Roman" w:hAnsi="Verdana" w:cs="Arial"/>
          <w:iCs/>
          <w:color w:val="000000"/>
          <w:szCs w:val="24"/>
          <w:lang w:val="es-ES_tradnl" w:eastAsia="es-ES_tradnl"/>
        </w:rPr>
        <w:t xml:space="preserve"> respetar el debido proceso en “</w:t>
      </w:r>
      <w:r w:rsidRPr="004F246A">
        <w:rPr>
          <w:rFonts w:ascii="Verdana" w:eastAsia="Times New Roman" w:hAnsi="Verdana" w:cs="Arial"/>
          <w:iCs/>
          <w:color w:val="000000"/>
          <w:szCs w:val="24"/>
          <w:lang w:val="es-ES_tradnl" w:eastAsia="es-ES_tradnl"/>
        </w:rPr>
        <w:t xml:space="preserve">todas </w:t>
      </w:r>
      <w:r>
        <w:rPr>
          <w:rFonts w:ascii="Verdana" w:eastAsia="Times New Roman" w:hAnsi="Verdana" w:cs="Arial"/>
          <w:iCs/>
          <w:color w:val="000000"/>
          <w:szCs w:val="24"/>
          <w:lang w:val="es-ES_tradnl" w:eastAsia="es-ES_tradnl"/>
        </w:rPr>
        <w:t>las actuaciones administrativas”</w:t>
      </w:r>
      <w:r w:rsidRPr="004F246A">
        <w:rPr>
          <w:rFonts w:ascii="Verdana" w:eastAsia="Times New Roman" w:hAnsi="Verdana" w:cs="Arial"/>
          <w:iCs/>
          <w:color w:val="000000"/>
          <w:szCs w:val="24"/>
          <w:lang w:val="es-ES_tradnl" w:eastAsia="es-ES_tradnl"/>
        </w:rPr>
        <w:t xml:space="preserve"> como lo </w:t>
      </w:r>
      <w:r>
        <w:rPr>
          <w:rFonts w:ascii="Verdana" w:eastAsia="Times New Roman" w:hAnsi="Verdana" w:cs="Arial"/>
          <w:iCs/>
          <w:color w:val="000000"/>
          <w:szCs w:val="24"/>
          <w:lang w:val="es-ES_tradnl" w:eastAsia="es-ES_tradnl"/>
        </w:rPr>
        <w:t>dispone el artículo 29 de la Constitución Política. En efecto, e</w:t>
      </w:r>
      <w:r>
        <w:rPr>
          <w:rFonts w:ascii="Verdana" w:eastAsia="Calibri" w:hAnsi="Verdana" w:cs="Arial"/>
          <w:color w:val="000000" w:themeColor="text1"/>
          <w:lang w:val="es-ES"/>
        </w:rPr>
        <w:t>l artículo 86 de la Ley 1474 de 2011</w:t>
      </w:r>
      <w:r w:rsidRPr="009037F6">
        <w:rPr>
          <w:rFonts w:ascii="Verdana" w:eastAsia="Calibri" w:hAnsi="Verdana" w:cs="Arial"/>
          <w:color w:val="000000" w:themeColor="text1"/>
          <w:lang w:val="es-ES"/>
        </w:rPr>
        <w:t xml:space="preserve"> desarrolla el procedimiento de la siguiente manera:</w:t>
      </w:r>
    </w:p>
    <w:p w14:paraId="2B88EC65" w14:textId="77777777" w:rsidR="00E85B43" w:rsidRPr="009037F6" w:rsidRDefault="00E85B43" w:rsidP="00E85B43">
      <w:pPr>
        <w:spacing w:after="0" w:line="276" w:lineRule="auto"/>
        <w:ind w:firstLine="709"/>
        <w:jc w:val="both"/>
        <w:rPr>
          <w:rFonts w:ascii="Verdana" w:eastAsia="Calibri" w:hAnsi="Verdana" w:cs="Arial"/>
          <w:color w:val="000000" w:themeColor="text1"/>
          <w:lang w:val="es-ES"/>
        </w:rPr>
      </w:pPr>
    </w:p>
    <w:p w14:paraId="3EE1ACEB" w14:textId="77777777" w:rsidR="00E85B43" w:rsidRPr="009037F6" w:rsidRDefault="00E85B43" w:rsidP="00E85B43">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lastRenderedPageBreak/>
        <w:t>“Artículo 86. Imposición de multas, sanciones y declaratorias de incumplimiento. Las entidades sometidas al Estatuto General de Contratación de la Administración Pública podrán declarar el incumplimiento, cuantificando los perjuicios del mismo, imponer las multas y sanciones pactadas en el contrato, y hacer efectiva la cláusula penal. Para tal efecto observarán el siguiente procedimiento:</w:t>
      </w:r>
    </w:p>
    <w:p w14:paraId="72B37F1F" w14:textId="77777777" w:rsidR="00E85B43" w:rsidRPr="009037F6" w:rsidRDefault="00E85B43" w:rsidP="00E85B43">
      <w:pPr>
        <w:spacing w:line="240" w:lineRule="auto"/>
        <w:ind w:left="709" w:right="709"/>
        <w:contextualSpacing/>
        <w:jc w:val="both"/>
        <w:rPr>
          <w:rFonts w:ascii="Verdana" w:hAnsi="Verdana" w:cs="Arial"/>
          <w:iCs/>
          <w:color w:val="000000" w:themeColor="text1"/>
          <w:sz w:val="20"/>
          <w:szCs w:val="20"/>
          <w:lang w:val="es-ES"/>
        </w:rPr>
      </w:pPr>
    </w:p>
    <w:p w14:paraId="6B20BA9A" w14:textId="77777777" w:rsidR="00E85B43" w:rsidRPr="009037F6" w:rsidRDefault="00E85B43" w:rsidP="00E85B43">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a) Evidenciado un posible incumplimiento de las obligaciones a cargo del contratista, la entidad pública lo citará a audiencia para debatir lo ocurrido. En la citación,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atendida la naturaleza del contrato y la periodicidad establecida para el cumplimiento de las obligaciones contractuales. En el evento en que la garantía de cumplimiento consista en póliza de seguros, el garante será citado de la misma manera;</w:t>
      </w:r>
    </w:p>
    <w:p w14:paraId="61A386FA" w14:textId="77777777" w:rsidR="00E85B43" w:rsidRPr="009037F6" w:rsidRDefault="00E85B43" w:rsidP="00E85B43">
      <w:pPr>
        <w:spacing w:line="240" w:lineRule="auto"/>
        <w:ind w:left="709" w:right="709"/>
        <w:contextualSpacing/>
        <w:jc w:val="both"/>
        <w:rPr>
          <w:rFonts w:ascii="Verdana" w:hAnsi="Verdana"/>
          <w:sz w:val="20"/>
          <w:szCs w:val="20"/>
          <w:lang w:val="es-ES"/>
        </w:rPr>
      </w:pPr>
    </w:p>
    <w:p w14:paraId="597E075A" w14:textId="77777777" w:rsidR="00E85B43" w:rsidRPr="009037F6" w:rsidRDefault="00E85B43" w:rsidP="00E85B43">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b) En desarrollo de la audiencia, el jefe de la entidad o su delegado, presentará las circunstancias de hecho que motivan la actuación, enunciará las posibles normas o cláusulas posiblemente violadas y las consecuencias que podrían derivarse para el contratista en desarrollo de la actuación. Acto seguido se concederá el uso de la palabra al representante legal del contratista o a quien lo represente, y al garante, para que presenten sus descargos, en desarrollo de lo cual podrá rendir las explicaciones del caso, aportar pruebas y controvertir las presentadas por la entidad;</w:t>
      </w:r>
    </w:p>
    <w:p w14:paraId="52ECDC10" w14:textId="77777777" w:rsidR="00E85B43" w:rsidRPr="009037F6" w:rsidRDefault="00E85B43" w:rsidP="00E85B43">
      <w:pPr>
        <w:spacing w:line="240" w:lineRule="auto"/>
        <w:ind w:left="709" w:right="709"/>
        <w:contextualSpacing/>
        <w:jc w:val="both"/>
        <w:rPr>
          <w:rFonts w:ascii="Verdana" w:hAnsi="Verdana" w:cs="Arial"/>
          <w:iCs/>
          <w:color w:val="000000" w:themeColor="text1"/>
          <w:sz w:val="20"/>
          <w:szCs w:val="20"/>
          <w:lang w:val="es-ES"/>
        </w:rPr>
      </w:pPr>
    </w:p>
    <w:p w14:paraId="63C33FE1" w14:textId="77777777" w:rsidR="00E85B43" w:rsidRPr="009037F6" w:rsidRDefault="00E85B43" w:rsidP="00E85B43">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c) 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14:paraId="5476946C" w14:textId="77777777" w:rsidR="00E85B43" w:rsidRPr="009037F6" w:rsidRDefault="00E85B43" w:rsidP="00E85B43">
      <w:pPr>
        <w:spacing w:line="240" w:lineRule="auto"/>
        <w:ind w:left="709" w:right="709"/>
        <w:contextualSpacing/>
        <w:jc w:val="both"/>
        <w:rPr>
          <w:rFonts w:ascii="Verdana" w:hAnsi="Verdana" w:cs="Arial"/>
          <w:iCs/>
          <w:color w:val="000000" w:themeColor="text1"/>
          <w:sz w:val="20"/>
          <w:szCs w:val="20"/>
          <w:lang w:val="es-ES"/>
        </w:rPr>
      </w:pPr>
    </w:p>
    <w:p w14:paraId="6428CC79" w14:textId="77777777" w:rsidR="00E85B43" w:rsidRPr="009037F6" w:rsidRDefault="00E85B43" w:rsidP="00E85B43">
      <w:pPr>
        <w:spacing w:after="0"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 xml:space="preserve">d) En cualquier momento del desarrollo de la audiencia, el jefe de la entidad o su delegado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w:t>
      </w:r>
      <w:r w:rsidRPr="009037F6">
        <w:rPr>
          <w:rFonts w:ascii="Verdana" w:hAnsi="Verdana" w:cs="Arial"/>
          <w:iCs/>
          <w:color w:val="000000" w:themeColor="text1"/>
          <w:sz w:val="20"/>
          <w:szCs w:val="20"/>
          <w:lang w:val="es-ES"/>
        </w:rPr>
        <w:lastRenderedPageBreak/>
        <w:t>La entidad podrá dar por terminado el procedimiento en cualquier momento, si por algún medio tiene conocimiento de la cesación de situación de incumplimiento.”</w:t>
      </w:r>
    </w:p>
    <w:p w14:paraId="0C39249D" w14:textId="77777777" w:rsidR="00E85B43" w:rsidRPr="009037F6" w:rsidRDefault="00E85B43" w:rsidP="00E85B43">
      <w:pPr>
        <w:spacing w:after="0" w:line="240" w:lineRule="auto"/>
        <w:ind w:left="709" w:right="709"/>
        <w:contextualSpacing/>
        <w:jc w:val="both"/>
        <w:rPr>
          <w:rFonts w:ascii="Verdana" w:hAnsi="Verdana" w:cs="Arial"/>
          <w:iCs/>
          <w:color w:val="000000" w:themeColor="text1"/>
          <w:sz w:val="20"/>
          <w:szCs w:val="20"/>
          <w:lang w:val="es-ES"/>
        </w:rPr>
      </w:pPr>
    </w:p>
    <w:p w14:paraId="073E48AC" w14:textId="77777777" w:rsidR="00E85B43" w:rsidRPr="009037F6" w:rsidRDefault="00E85B43" w:rsidP="00E85B43">
      <w:pPr>
        <w:spacing w:after="120" w:line="276" w:lineRule="auto"/>
        <w:ind w:firstLine="708"/>
        <w:jc w:val="both"/>
        <w:rPr>
          <w:rFonts w:ascii="Verdana" w:eastAsia="Times New Roman" w:hAnsi="Verdana" w:cs="Arial"/>
          <w:lang w:val="es-ES" w:eastAsia="es-ES"/>
          <w14:ligatures w14:val="standardContextual"/>
        </w:rPr>
      </w:pPr>
      <w:r w:rsidRPr="009037F6">
        <w:rPr>
          <w:rFonts w:ascii="Verdana" w:eastAsia="Times New Roman" w:hAnsi="Verdana" w:cs="Arial"/>
          <w:lang w:val="es-ES" w:eastAsia="es-ES"/>
          <w14:ligatures w14:val="standardContextual"/>
        </w:rPr>
        <w:t xml:space="preserve">De conformidad con lo anterior, el artículo 86 de la Ley 1474 de 2011 establece como etapas del procedimiento que deben seguir las Entidades Estatales: </w:t>
      </w:r>
      <w:r w:rsidRPr="009037F6">
        <w:rPr>
          <w:rFonts w:ascii="Verdana" w:hAnsi="Verdana" w:cs="Arial"/>
          <w:bCs/>
          <w:iCs/>
          <w:color w:val="000000" w:themeColor="text1"/>
          <w:lang w:val="es-MX"/>
        </w:rPr>
        <w:t>i) c</w:t>
      </w:r>
      <w:r w:rsidRPr="009037F6">
        <w:rPr>
          <w:rFonts w:ascii="Verdana" w:hAnsi="Verdana" w:cs="Arial"/>
          <w:bCs/>
          <w:i/>
          <w:iCs/>
          <w:color w:val="000000" w:themeColor="text1"/>
          <w:lang w:val="es-MX"/>
        </w:rPr>
        <w:t>itación a audiencia</w:t>
      </w:r>
      <w:r w:rsidRPr="009037F6">
        <w:rPr>
          <w:rFonts w:ascii="Verdana" w:hAnsi="Verdana" w:cs="Arial"/>
          <w:bCs/>
          <w:iCs/>
          <w:color w:val="000000" w:themeColor="text1"/>
          <w:lang w:val="es-MX"/>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En esta línea, el informe de supervisión o de interventoría sirve como insumo que debe tener en el momento de declarar el incumplimiento. En todo caso, </w:t>
      </w:r>
      <w:r w:rsidRPr="009037F6">
        <w:rPr>
          <w:rFonts w:ascii="Verdana" w:hAnsi="Verdana" w:cs="Arial"/>
          <w:bCs/>
          <w:iCs/>
          <w:color w:val="000000" w:themeColor="text1"/>
        </w:rPr>
        <w:t>el Consejo de Estado ha expresado que el informe del interventor no puede entenderse como el único o exclusivo insumo para declarar la responsabilidad del contratista, puesto que la ley no establece una tarifa probatoria sobre el particular, y porque aun existiendo, la entidad debe verificar su certeza y analizarlo con las demás pruebas allegadas al procedimiento administrativo sancionatorio</w:t>
      </w:r>
      <w:r w:rsidRPr="009037F6">
        <w:rPr>
          <w:rFonts w:ascii="Verdana" w:hAnsi="Verdana" w:cs="Arial"/>
          <w:bCs/>
          <w:iCs/>
          <w:color w:val="000000" w:themeColor="text1"/>
          <w:vertAlign w:val="superscript"/>
        </w:rPr>
        <w:footnoteReference w:id="38"/>
      </w:r>
      <w:r w:rsidRPr="009037F6">
        <w:rPr>
          <w:rFonts w:ascii="Verdana" w:hAnsi="Verdana" w:cs="Arial"/>
          <w:bCs/>
          <w:iCs/>
          <w:color w:val="000000" w:themeColor="text1"/>
        </w:rPr>
        <w:t>.</w:t>
      </w:r>
      <w:r w:rsidRPr="009037F6">
        <w:rPr>
          <w:rFonts w:ascii="Verdana" w:hAnsi="Verdana" w:cs="Arial"/>
          <w:bCs/>
          <w:iCs/>
          <w:color w:val="000000" w:themeColor="text1"/>
          <w:lang w:val="es-MX"/>
        </w:rPr>
        <w:t xml:space="preserve"> ii) </w:t>
      </w:r>
      <w:r w:rsidRPr="009037F6">
        <w:rPr>
          <w:rFonts w:ascii="Verdana" w:hAnsi="Verdana" w:cs="Arial"/>
          <w:bCs/>
          <w:i/>
          <w:iCs/>
          <w:color w:val="000000" w:themeColor="text1"/>
          <w:lang w:val="es-MX"/>
        </w:rPr>
        <w:t>Audiencia</w:t>
      </w:r>
      <w:r w:rsidRPr="009037F6">
        <w:rPr>
          <w:rFonts w:ascii="Verdana" w:hAnsi="Verdana" w:cs="Arial"/>
          <w:bCs/>
          <w:iCs/>
          <w:color w:val="000000" w:themeColor="text1"/>
          <w:lang w:val="es-MX"/>
        </w:rPr>
        <w:t xml:space="preserve">.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rindan las explicaciones del caso; y iii) </w:t>
      </w:r>
      <w:r w:rsidRPr="009037F6">
        <w:rPr>
          <w:rFonts w:ascii="Verdana" w:hAnsi="Verdana" w:cs="Arial"/>
          <w:bCs/>
          <w:i/>
          <w:iCs/>
          <w:color w:val="000000" w:themeColor="text1"/>
          <w:lang w:val="es-MX"/>
        </w:rPr>
        <w:t>Decisión</w:t>
      </w:r>
      <w:r w:rsidRPr="009037F6">
        <w:rPr>
          <w:rFonts w:ascii="Verdana" w:hAnsi="Verdana" w:cs="Arial"/>
          <w:bCs/>
          <w:iCs/>
          <w:color w:val="000000" w:themeColor="text1"/>
          <w:lang w:val="es-MX"/>
        </w:rPr>
        <w:t xml:space="preserve">. Debe estar contenida en resolución motivada donde se consigne, por un lado, lo ocurrido en el desarrollo de la diligencia y, por el otro, lo relativo a la imposición de las sanciones o la declaratoria de incumplimiento del contrato estatal. Contra la decisión únicamente procede el recurso de reposición que se interpondrá, sustentará y decidirá en la misma diligencia. Ambas decisiones se entenderán notificadas en audiencia. En este caso, el acto que contiene la decisión tendrá la naturaleza de ser un acto administrativo. </w:t>
      </w:r>
    </w:p>
    <w:p w14:paraId="7B769359" w14:textId="77777777" w:rsidR="00E85B43" w:rsidRPr="009037F6" w:rsidRDefault="00E85B43" w:rsidP="00E85B43">
      <w:pPr>
        <w:spacing w:after="120" w:line="276" w:lineRule="auto"/>
        <w:ind w:firstLine="709"/>
        <w:jc w:val="both"/>
        <w:rPr>
          <w:rFonts w:ascii="Verdana" w:eastAsia="Calibri" w:hAnsi="Verdana" w:cs="Arial"/>
          <w:color w:val="000000" w:themeColor="text1"/>
          <w:lang w:val="es-ES"/>
        </w:rPr>
      </w:pPr>
      <w:r w:rsidRPr="009037F6">
        <w:rPr>
          <w:rFonts w:ascii="Verdana" w:eastAsia="Calibri" w:hAnsi="Verdana" w:cs="Arial"/>
          <w:color w:val="000000" w:themeColor="text1"/>
          <w:lang w:val="es-ES"/>
        </w:rPr>
        <w:t>El artículo 86 de la Ley 1474 de 2011 estableció de manera expresa que las entidades sometidas al EGCAP pueden adelantar ese procedimiento en los siguientes supuestos: 1) para declarar el incumplimiento, cuantificando los perjuicios d</w:t>
      </w:r>
      <w:r>
        <w:rPr>
          <w:rFonts w:ascii="Verdana" w:eastAsia="Calibri" w:hAnsi="Verdana" w:cs="Arial"/>
          <w:color w:val="000000" w:themeColor="text1"/>
          <w:lang w:val="es-ES"/>
        </w:rPr>
        <w:t>e esto</w:t>
      </w:r>
      <w:r w:rsidRPr="009037F6">
        <w:rPr>
          <w:rFonts w:ascii="Verdana" w:eastAsia="Calibri" w:hAnsi="Verdana" w:cs="Arial"/>
          <w:color w:val="000000" w:themeColor="text1"/>
          <w:lang w:val="es-ES"/>
        </w:rPr>
        <w:t xml:space="preserve">. En cuanto a la declaración del incumplimiento es importante </w:t>
      </w:r>
      <w:r w:rsidRPr="009037F6">
        <w:rPr>
          <w:rFonts w:ascii="Verdana" w:eastAsia="Calibri" w:hAnsi="Verdana" w:cs="Arial"/>
          <w:color w:val="000000" w:themeColor="text1"/>
          <w:lang w:val="es-ES"/>
        </w:rPr>
        <w:lastRenderedPageBreak/>
        <w:t xml:space="preserve">tener en cuenta la caducidad como potestad exorbitante que se aplica por un incumplimiento grave y tardío de ciertos tipos contractuales; 2) imponer las multas y sanciones pactadas en el contrato, y 3) hacer efectiva la cláusula penal cuando haya sido pactada. En consecuencia, la Ley 1474 de 2011 atribuyó expresamente la competencia a las entidades para adelantar el procedimiento del artículo 86 en los tres supuestos antedichos, independientemente considerados. </w:t>
      </w:r>
    </w:p>
    <w:p w14:paraId="0EFFA543" w14:textId="77777777" w:rsidR="00E85B43" w:rsidRPr="009037F6" w:rsidRDefault="00E85B43" w:rsidP="00E85B43">
      <w:pPr>
        <w:spacing w:after="120" w:line="276" w:lineRule="auto"/>
        <w:ind w:firstLine="709"/>
        <w:jc w:val="both"/>
        <w:rPr>
          <w:rFonts w:ascii="Verdana" w:eastAsia="Calibri" w:hAnsi="Verdana" w:cs="Arial"/>
          <w:color w:val="000000" w:themeColor="text1"/>
          <w:lang w:val="es-ES"/>
        </w:rPr>
      </w:pPr>
      <w:r w:rsidRPr="009037F6">
        <w:rPr>
          <w:rFonts w:ascii="Verdana" w:eastAsia="Calibri" w:hAnsi="Verdana" w:cs="Arial"/>
          <w:color w:val="000000" w:themeColor="text1"/>
          <w:lang w:val="es-ES"/>
        </w:rPr>
        <w:t xml:space="preserve">Esto es congruente con la redacción de otros apartes del artículo, como es el caso del literal c) del artículo 86, según el cual mediante resolución motivada la entidad decidirá sobre “la imposición o no de la multa, sanción </w:t>
      </w:r>
      <w:r w:rsidRPr="009037F6">
        <w:rPr>
          <w:rFonts w:ascii="Verdana" w:eastAsia="Calibri" w:hAnsi="Verdana" w:cs="Arial"/>
          <w:color w:val="000000" w:themeColor="text1"/>
          <w:u w:val="single"/>
          <w:lang w:val="es-ES"/>
        </w:rPr>
        <w:t>o declaratoria de incumplimiento</w:t>
      </w:r>
      <w:r w:rsidRPr="009037F6">
        <w:rPr>
          <w:rFonts w:ascii="Verdana" w:eastAsia="Calibri" w:hAnsi="Verdana" w:cs="Arial"/>
          <w:color w:val="000000" w:themeColor="text1"/>
          <w:lang w:val="es-ES"/>
        </w:rPr>
        <w:t xml:space="preserve">” [Énfasis propio]. Así como con lo dispuesto en el artículo 99 de la Ley 1437 de 2011 –Código de Procedimiento Administrativo y de lo Contencioso Administrativo–, el cual estableció́ como documentos que prestan mérito ejecutivo en favor del Estado “[l]os contratos o los documentos en que constan sus garantías, junto con el acto administrativo que declara el incumplimiento </w:t>
      </w:r>
      <w:r w:rsidRPr="009037F6">
        <w:rPr>
          <w:rFonts w:ascii="Verdana" w:eastAsia="Calibri" w:hAnsi="Verdana" w:cs="Arial"/>
          <w:color w:val="000000" w:themeColor="text1"/>
          <w:u w:val="single"/>
          <w:lang w:val="es-ES"/>
        </w:rPr>
        <w:t>o</w:t>
      </w:r>
      <w:r w:rsidRPr="009037F6">
        <w:rPr>
          <w:rFonts w:ascii="Verdana" w:eastAsia="Calibri" w:hAnsi="Verdana" w:cs="Arial"/>
          <w:color w:val="000000" w:themeColor="text1"/>
          <w:lang w:val="es-ES"/>
        </w:rPr>
        <w:t xml:space="preserve"> la caducidad”.</w:t>
      </w:r>
      <w:r w:rsidRPr="009037F6">
        <w:rPr>
          <w:rFonts w:ascii="EhrhardtMTStd" w:eastAsia="Times New Roman" w:hAnsi="EhrhardtMTStd" w:cs="Times New Roman"/>
          <w:highlight w:val="yellow"/>
          <w:lang w:val="es-ES"/>
        </w:rPr>
        <w:t xml:space="preserve"> </w:t>
      </w:r>
    </w:p>
    <w:p w14:paraId="0073AC6C" w14:textId="77777777" w:rsidR="00E85B43" w:rsidRPr="00851A60" w:rsidRDefault="00E85B43" w:rsidP="00E85B43">
      <w:pPr>
        <w:spacing w:before="120" w:after="120" w:line="276" w:lineRule="auto"/>
        <w:ind w:firstLine="708"/>
        <w:jc w:val="both"/>
        <w:rPr>
          <w:rFonts w:ascii="Verdana" w:eastAsia="Calibri" w:hAnsi="Verdana" w:cs="Arial"/>
          <w:bCs/>
          <w:lang w:val="es-MX"/>
        </w:rPr>
      </w:pPr>
      <w:r w:rsidRPr="00851A60">
        <w:rPr>
          <w:rFonts w:ascii="Verdana" w:eastAsia="Calibri" w:hAnsi="Verdana" w:cs="Arial"/>
          <w:lang w:val="es-ES"/>
        </w:rPr>
        <w:t xml:space="preserve">En concordancia con lo explicado previamente, las entidades adelantarán el procedimiento establecido en el referido artículo 86 con el fin ejercer unilateralmente la potestad de imponer las multas y hacer efectiva la cláusula penal, cuando hayan sido incluidas en el contrato en virtud de la autonomía de la voluntad. Sin embargo, la facultad de aplicar el procedimiento no está limitada a estos supuestos, pues el artículo 86 señala que las entidades sometidas al EGCAP podrán, además de lo anterior, emplearlo para declarar el incumplimiento del contrato, cuantificando los perjuicios. Así mismo, dentro del marco de la declaratoria de incumplimiento puede encontrarse la caducidad como </w:t>
      </w:r>
      <w:r w:rsidRPr="00851A60">
        <w:rPr>
          <w:rFonts w:ascii="Verdana" w:eastAsia="Calibri" w:hAnsi="Verdana" w:cs="Arial"/>
          <w:iCs/>
          <w:lang w:val="es-MX"/>
        </w:rPr>
        <w:t xml:space="preserve">la sanción más severa que existe en la contratación estatal. Particularmente, se impone al contratista cuando incurre en un incumplimiento de sus obligaciones, que afecte de manera grave y directa la ejecución del contrato y evidencie que puede conducir a su paralización. Su propósito consiste en sancionar al contratista y, a su vez, permitirle a la entidad continuar con la ejecución por otros medios, regulados en el artículo 18 de la Ley 80 de 1993. </w:t>
      </w:r>
    </w:p>
    <w:p w14:paraId="70AA5DBC" w14:textId="77777777" w:rsidR="00E85B43" w:rsidRDefault="00E85B43" w:rsidP="00E85B43">
      <w:pPr>
        <w:spacing w:before="120" w:after="120" w:line="276" w:lineRule="auto"/>
        <w:ind w:firstLine="709"/>
        <w:jc w:val="both"/>
        <w:rPr>
          <w:rFonts w:ascii="Verdana" w:eastAsia="Calibri" w:hAnsi="Verdana" w:cs="Arial"/>
          <w:lang w:val="es-ES"/>
        </w:rPr>
      </w:pPr>
      <w:r w:rsidRPr="00851A60">
        <w:rPr>
          <w:rFonts w:ascii="Verdana" w:eastAsia="Calibri" w:hAnsi="Verdana" w:cs="Arial"/>
          <w:lang w:val="es-ES"/>
        </w:rPr>
        <w:t xml:space="preserve">Teniendo en cuenta lo explicado, la declaratoria unilateral del siniestro en está precedida por la declaratoria del incumplimiento del contrato, lo cual hace procedente el procedimiento administrativo del artículo 86 de la Ley 1474 de </w:t>
      </w:r>
      <w:r w:rsidRPr="00851A60">
        <w:rPr>
          <w:rFonts w:ascii="Verdana" w:eastAsia="Calibri" w:hAnsi="Verdana" w:cs="Arial"/>
          <w:lang w:val="es-ES"/>
        </w:rPr>
        <w:lastRenderedPageBreak/>
        <w:t>2011. La jurisprudencia explica que, al declarar el siniestro, la Administración no ejerce una potestad sancionadora</w:t>
      </w:r>
      <w:r w:rsidRPr="00851A60">
        <w:rPr>
          <w:rFonts w:ascii="Verdana" w:eastAsia="Calibri" w:hAnsi="Verdana" w:cs="Arial"/>
          <w:vertAlign w:val="superscript"/>
          <w:lang w:val="es-ES"/>
        </w:rPr>
        <w:footnoteReference w:id="39"/>
      </w:r>
      <w:r w:rsidRPr="00851A60">
        <w:rPr>
          <w:rFonts w:ascii="Verdana" w:eastAsia="Calibri" w:hAnsi="Verdana" w:cs="Arial"/>
          <w:lang w:val="es-ES"/>
        </w:rPr>
        <w:t xml:space="preserve">. En esta medida, no se trata de una pena de carácter legal o convencional, porque no pretende terminar anormalmente el contrato –caducidad–, ni estima anticipadamente los perjuicios derivados del incumplimiento –cláusula penal–, como tampoco son medios coercitivos de apremio –multas–. Todo lo contrario, su función es salvaguardar el interés público y proteger patrimonialmente a la Administración frente a los eventuales incumplimientos imputables al contratista. </w:t>
      </w:r>
    </w:p>
    <w:p w14:paraId="52DADF78" w14:textId="77777777" w:rsidR="00E85B43" w:rsidRPr="00851A60" w:rsidRDefault="00E85B43" w:rsidP="00E85B43">
      <w:pPr>
        <w:spacing w:before="120" w:after="0" w:line="276" w:lineRule="auto"/>
        <w:ind w:firstLine="709"/>
        <w:jc w:val="both"/>
        <w:rPr>
          <w:rFonts w:ascii="Verdana" w:eastAsia="Calibri" w:hAnsi="Verdana" w:cs="Arial"/>
          <w:lang w:val="es-ES"/>
        </w:rPr>
      </w:pPr>
      <w:r w:rsidRPr="00903393">
        <w:rPr>
          <w:rFonts w:ascii="Verdana" w:eastAsia="Calibri" w:hAnsi="Verdana" w:cs="Arial"/>
        </w:rPr>
        <w:t>A partir de estas precisiones, se concluye que las Empresas Sociales del Estado tienen la potestad de ejercer facultades sancionadoras, aplicando el procedimiento previsto en el artículo 86 de la Ley 1474 de 2011, siempre que dichas potestades hayan sido pactadas en el contrato. No obstante, el régimen de garantías establecido en el artículo 7 de la Ley 1150 de 2007 y en el Decreto 1082 de 2015 no opera de manera automática para estas entidades, pues su aplicación depende de las condiciones propias del mercado asegurador y de las reglas del derecho privado que rigen la contratación de pólizas.</w:t>
      </w:r>
      <w:r>
        <w:rPr>
          <w:rFonts w:ascii="Verdana" w:eastAsia="Calibri" w:hAnsi="Verdana" w:cs="Arial"/>
          <w:lang w:val="es-ES"/>
        </w:rPr>
        <w:t xml:space="preserve"> </w:t>
      </w:r>
    </w:p>
    <w:p w14:paraId="31BBF2CF" w14:textId="77777777" w:rsidR="00E85B43" w:rsidRPr="003A29CD" w:rsidRDefault="00E85B43" w:rsidP="00E85B43">
      <w:pPr>
        <w:spacing w:after="0" w:line="276" w:lineRule="auto"/>
        <w:jc w:val="both"/>
        <w:rPr>
          <w:rFonts w:ascii="Verdana" w:eastAsia="Calibri" w:hAnsi="Verdana" w:cs="Arial"/>
          <w:color w:val="EE0000"/>
          <w:lang w:val="es-ES"/>
        </w:rPr>
      </w:pPr>
    </w:p>
    <w:p w14:paraId="125EBE7A" w14:textId="77777777" w:rsidR="00E85B43" w:rsidRPr="009037F6" w:rsidRDefault="00E85B43" w:rsidP="00E85B43">
      <w:pPr>
        <w:spacing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t>vi</w:t>
      </w:r>
      <w:r w:rsidRPr="009037F6">
        <w:rPr>
          <w:rFonts w:ascii="Verdana" w:eastAsia="Calibri" w:hAnsi="Verdana" w:cs="Arial"/>
          <w:color w:val="000000" w:themeColor="text1"/>
          <w:lang w:val="es-ES"/>
        </w:rPr>
        <w:t xml:space="preserve">. Al </w:t>
      </w:r>
      <w:r w:rsidRPr="009037F6">
        <w:rPr>
          <w:rFonts w:ascii="Verdana" w:hAnsi="Verdana" w:cs="Arial"/>
          <w:lang w:val="es-ES_tradnl" w:eastAsia="es-ES"/>
        </w:rPr>
        <w:t>margen de la explicación precedente debe advertirse que el análisis requerido para resolver problemas específicos en torno a los amparos propios de la garantía única de cumplimiento y a sus procedimientos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7BE088A" w14:textId="77777777" w:rsidR="00E85B43" w:rsidRPr="009037F6" w:rsidRDefault="00E85B43" w:rsidP="00E85B43">
      <w:pPr>
        <w:spacing w:after="0" w:line="276" w:lineRule="auto"/>
        <w:ind w:firstLine="709"/>
        <w:jc w:val="both"/>
        <w:rPr>
          <w:rFonts w:ascii="Verdana" w:hAnsi="Verdana" w:cs="Arial"/>
          <w:lang w:val="es-ES" w:eastAsia="es-ES"/>
        </w:rPr>
      </w:pPr>
      <w:r w:rsidRPr="009037F6">
        <w:rPr>
          <w:rFonts w:ascii="Verdana" w:hAnsi="Verdana" w:cs="Arial"/>
          <w:lang w:val="es-ES" w:eastAsia="es-ES"/>
        </w:rPr>
        <w:t xml:space="preserve">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w:t>
      </w:r>
      <w:r w:rsidRPr="009037F6">
        <w:rPr>
          <w:rFonts w:ascii="Verdana" w:hAnsi="Verdana" w:cs="Arial"/>
          <w:lang w:val="es-ES" w:eastAsia="es-ES"/>
        </w:rPr>
        <w:lastRenderedPageBreak/>
        <w:t>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305A7525" w14:textId="77777777" w:rsidR="00E85B43" w:rsidRPr="009037F6" w:rsidRDefault="00E85B43" w:rsidP="00E85B43">
      <w:pPr>
        <w:spacing w:after="0" w:line="276" w:lineRule="auto"/>
        <w:jc w:val="both"/>
        <w:rPr>
          <w:rFonts w:ascii="Verdana" w:eastAsia="Calibri" w:hAnsi="Verdana" w:cs="Arial"/>
          <w:lang w:val="es-ES" w:eastAsia="es-MX"/>
        </w:rPr>
      </w:pPr>
    </w:p>
    <w:p w14:paraId="194CCC35" w14:textId="77777777" w:rsidR="00E85B43" w:rsidRPr="009037F6" w:rsidRDefault="00E85B43" w:rsidP="00E85B43">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Referencias normativas</w:t>
      </w:r>
      <w:r>
        <w:rPr>
          <w:rFonts w:ascii="Verdana" w:eastAsia="Century Gothic" w:hAnsi="Verdana" w:cs="Century Gothic"/>
          <w:b/>
          <w:bCs/>
          <w:lang w:val="es-ES"/>
        </w:rPr>
        <w:t>:</w:t>
      </w:r>
    </w:p>
    <w:p w14:paraId="3242D6D6" w14:textId="77777777" w:rsidR="00E85B43" w:rsidRPr="009037F6" w:rsidRDefault="00E85B43" w:rsidP="00E85B43">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85B43" w:rsidRPr="009037F6" w14:paraId="50D9F03C" w14:textId="77777777" w:rsidTr="00F525BA">
        <w:trPr>
          <w:trHeight w:val="487"/>
          <w:jc w:val="center"/>
        </w:trPr>
        <w:tc>
          <w:tcPr>
            <w:tcW w:w="8647" w:type="dxa"/>
          </w:tcPr>
          <w:p w14:paraId="49389174" w14:textId="77777777" w:rsidR="00E85B43" w:rsidRPr="00F873CE"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873CE">
              <w:rPr>
                <w:rFonts w:ascii="Verdana" w:hAnsi="Verdana" w:cs="Arial"/>
              </w:rPr>
              <w:t>Constitución Política de 1991, artículo 29.</w:t>
            </w:r>
          </w:p>
          <w:p w14:paraId="1A30F472" w14:textId="77777777" w:rsidR="00E85B43" w:rsidRPr="009037F6"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Ley 80 de 1993, artículos, 2, 13, 14</w:t>
            </w:r>
            <w:r>
              <w:rPr>
                <w:rFonts w:ascii="Verdana" w:eastAsia="Arial MT" w:hAnsi="Verdana" w:cs="Arial"/>
                <w:lang w:val="es-ES" w:eastAsia="es-ES" w:bidi="es-ES"/>
              </w:rPr>
              <w:t xml:space="preserve"> al 18</w:t>
            </w:r>
            <w:r w:rsidRPr="009037F6">
              <w:rPr>
                <w:rFonts w:ascii="Verdana" w:eastAsia="Arial MT" w:hAnsi="Verdana" w:cs="Arial"/>
                <w:lang w:val="es-ES" w:eastAsia="es-ES" w:bidi="es-ES"/>
              </w:rPr>
              <w:t>, 32</w:t>
            </w:r>
            <w:r>
              <w:rPr>
                <w:rFonts w:ascii="Verdana" w:eastAsia="Arial MT" w:hAnsi="Verdana" w:cs="Arial"/>
                <w:lang w:val="es-ES" w:eastAsia="es-ES" w:bidi="es-ES"/>
              </w:rPr>
              <w:t xml:space="preserve"> y 40</w:t>
            </w:r>
            <w:r w:rsidRPr="009037F6">
              <w:rPr>
                <w:rFonts w:ascii="Verdana" w:eastAsia="Arial MT" w:hAnsi="Verdana" w:cs="Arial"/>
                <w:lang w:val="es-ES" w:eastAsia="es-ES" w:bidi="es-ES"/>
              </w:rPr>
              <w:t>.</w:t>
            </w:r>
          </w:p>
          <w:p w14:paraId="631E8311" w14:textId="77777777" w:rsidR="00E85B43" w:rsidRPr="00F873CE" w:rsidRDefault="00E85B43" w:rsidP="00F525BA">
            <w:pPr>
              <w:widowControl w:val="0"/>
              <w:numPr>
                <w:ilvl w:val="0"/>
                <w:numId w:val="17"/>
              </w:numPr>
              <w:spacing w:before="120" w:after="120" w:line="276" w:lineRule="auto"/>
              <w:jc w:val="both"/>
              <w:rPr>
                <w:rFonts w:ascii="Verdana" w:eastAsia="Arial MT" w:hAnsi="Verdana" w:cs="Arial"/>
                <w:lang w:val="es-ES" w:eastAsia="es-ES" w:bidi="es-ES"/>
              </w:rPr>
            </w:pPr>
            <w:r w:rsidRPr="00F873CE">
              <w:rPr>
                <w:rFonts w:ascii="Verdana" w:eastAsia="Arial MT" w:hAnsi="Verdana" w:cs="Arial"/>
                <w:lang w:val="es-ES" w:eastAsia="es-ES" w:bidi="es-ES"/>
              </w:rPr>
              <w:t>Ley 100 de 1993, artículos 194 y 195.</w:t>
            </w:r>
          </w:p>
          <w:p w14:paraId="24971239" w14:textId="77777777" w:rsidR="00E85B43" w:rsidRPr="009037F6"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Ley 1150 de 2007, artículos 7</w:t>
            </w:r>
            <w:r>
              <w:rPr>
                <w:rFonts w:ascii="Verdana" w:eastAsia="Arial MT" w:hAnsi="Verdana" w:cs="Arial"/>
                <w:lang w:val="es-ES" w:eastAsia="es-ES" w:bidi="es-ES"/>
              </w:rPr>
              <w:t>, 13</w:t>
            </w:r>
            <w:r w:rsidRPr="009037F6">
              <w:rPr>
                <w:rFonts w:ascii="Verdana" w:eastAsia="Arial MT" w:hAnsi="Verdana" w:cs="Arial"/>
                <w:lang w:val="es-ES" w:eastAsia="es-ES" w:bidi="es-ES"/>
              </w:rPr>
              <w:t xml:space="preserve"> y 17. </w:t>
            </w:r>
          </w:p>
          <w:p w14:paraId="52A2CF86" w14:textId="77777777" w:rsidR="00E85B43" w:rsidRPr="00F873CE"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873CE">
              <w:rPr>
                <w:rFonts w:ascii="Verdana" w:eastAsia="Arial MT" w:hAnsi="Verdana" w:cs="Arial"/>
                <w:lang w:val="es-ES" w:eastAsia="es-ES" w:bidi="es-ES"/>
              </w:rPr>
              <w:t>Ley 1437 de 2011, artículos 34, 35, 37 y 99.</w:t>
            </w:r>
          </w:p>
          <w:p w14:paraId="4B003812" w14:textId="77777777" w:rsidR="00E85B43" w:rsidRPr="00F873CE" w:rsidRDefault="00E85B43" w:rsidP="00F525BA">
            <w:pPr>
              <w:widowControl w:val="0"/>
              <w:numPr>
                <w:ilvl w:val="0"/>
                <w:numId w:val="17"/>
              </w:numPr>
              <w:spacing w:before="120" w:after="120" w:line="276" w:lineRule="auto"/>
              <w:jc w:val="both"/>
              <w:rPr>
                <w:rFonts w:ascii="Verdana" w:eastAsia="Verdana" w:hAnsi="Verdana" w:cs="Verdana"/>
                <w:lang w:val="es"/>
              </w:rPr>
            </w:pPr>
            <w:r w:rsidRPr="00F873CE">
              <w:rPr>
                <w:rFonts w:ascii="Verdana" w:eastAsia="Verdana" w:hAnsi="Verdana" w:cs="Verdana"/>
                <w:lang w:val="es"/>
              </w:rPr>
              <w:t xml:space="preserve">Ley 1438 de 2011, artículo 76. </w:t>
            </w:r>
          </w:p>
          <w:p w14:paraId="6273F60F" w14:textId="77777777" w:rsidR="00E85B43" w:rsidRPr="00F873CE" w:rsidRDefault="00E85B43" w:rsidP="00E85B43">
            <w:pPr>
              <w:pStyle w:val="Prrafodelista"/>
              <w:numPr>
                <w:ilvl w:val="0"/>
                <w:numId w:val="17"/>
              </w:numPr>
              <w:spacing w:line="276" w:lineRule="auto"/>
              <w:jc w:val="both"/>
              <w:rPr>
                <w:rFonts w:ascii="Verdana" w:eastAsia="Verdana" w:hAnsi="Verdana" w:cs="Verdana"/>
              </w:rPr>
            </w:pPr>
            <w:r w:rsidRPr="00F873CE">
              <w:rPr>
                <w:rFonts w:ascii="Verdana" w:eastAsia="Verdana" w:hAnsi="Verdana" w:cs="Verdana"/>
                <w:lang w:val="es"/>
              </w:rPr>
              <w:t xml:space="preserve">Ley 1474 de 2011, artículo 86. </w:t>
            </w:r>
          </w:p>
          <w:p w14:paraId="15B39064" w14:textId="77777777" w:rsidR="00E85B43" w:rsidRPr="00F873CE" w:rsidRDefault="00E85B43" w:rsidP="00F525BA">
            <w:pPr>
              <w:widowControl w:val="0"/>
              <w:numPr>
                <w:ilvl w:val="0"/>
                <w:numId w:val="17"/>
              </w:numPr>
              <w:spacing w:before="120" w:after="120" w:line="276" w:lineRule="auto"/>
              <w:jc w:val="both"/>
              <w:rPr>
                <w:rFonts w:ascii="Verdana" w:eastAsia="Arial MT" w:hAnsi="Verdana" w:cs="Arial"/>
                <w:lang w:val="es-ES"/>
              </w:rPr>
            </w:pPr>
            <w:r w:rsidRPr="00F873CE">
              <w:rPr>
                <w:rFonts w:ascii="Verdana" w:eastAsia="Arial MT" w:hAnsi="Verdana" w:cs="Arial"/>
                <w:lang w:val="es-ES"/>
              </w:rPr>
              <w:t>Resolución No. 5185 de 2013 del Ministerio de Salud.</w:t>
            </w:r>
          </w:p>
          <w:p w14:paraId="24B7183C" w14:textId="77777777" w:rsidR="00E85B43" w:rsidRPr="00F873CE" w:rsidRDefault="00E85B43" w:rsidP="00F525BA">
            <w:pPr>
              <w:pStyle w:val="Prrafodelista"/>
              <w:numPr>
                <w:ilvl w:val="0"/>
                <w:numId w:val="17"/>
              </w:numPr>
              <w:spacing w:before="120" w:after="120" w:line="276" w:lineRule="auto"/>
              <w:jc w:val="both"/>
              <w:rPr>
                <w:rFonts w:ascii="Verdana" w:eastAsia="Arial MT" w:hAnsi="Verdana" w:cs="Arial"/>
              </w:rPr>
            </w:pPr>
            <w:r w:rsidRPr="00F873CE">
              <w:rPr>
                <w:rFonts w:ascii="Verdana" w:eastAsia="Arial MT" w:hAnsi="Verdana" w:cs="Arial"/>
              </w:rPr>
              <w:t>Resolución 1440 de 2024 del Ministerio de Salud.</w:t>
            </w:r>
          </w:p>
          <w:p w14:paraId="1F29695A" w14:textId="77777777" w:rsidR="00E85B43" w:rsidRPr="00F873CE"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873CE">
              <w:rPr>
                <w:rFonts w:ascii="Verdana" w:eastAsia="Arial MT" w:hAnsi="Verdana" w:cs="Arial"/>
                <w:lang w:val="es-ES" w:eastAsia="es-ES" w:bidi="es-ES"/>
              </w:rPr>
              <w:t>Código Civil, artículos 28, 1501, 1592, 1602 y 2060.</w:t>
            </w:r>
          </w:p>
          <w:p w14:paraId="12BB53FA" w14:textId="77777777" w:rsidR="00E85B43" w:rsidRPr="009037F6"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873CE">
              <w:rPr>
                <w:rFonts w:ascii="Verdana" w:eastAsia="Arial MT" w:hAnsi="Verdana" w:cs="Arial"/>
                <w:lang w:val="es-ES" w:eastAsia="es-ES" w:bidi="es-ES"/>
              </w:rPr>
              <w:t>Código de Comercio, artículos 1053, 1077 al 1081 y 1096.</w:t>
            </w:r>
            <w:r>
              <w:rPr>
                <w:rFonts w:ascii="Verdana" w:eastAsia="Arial MT" w:hAnsi="Verdana" w:cs="Arial"/>
                <w:lang w:val="es-ES" w:eastAsia="es-ES" w:bidi="es-ES"/>
              </w:rPr>
              <w:t xml:space="preserve"> </w:t>
            </w:r>
          </w:p>
          <w:p w14:paraId="37914CBA" w14:textId="77777777" w:rsidR="00E85B43" w:rsidRPr="00F873CE"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 xml:space="preserve">Decreto 1082 de 2015, artículos 2.2.1.1.1.6.1, 2.2.1.1.2.1.1 y 2.2.1.1.2.1.3 y 2.2.1.2.3.1.1 a 2.2.1.2.3.1.19.  </w:t>
            </w:r>
          </w:p>
          <w:p w14:paraId="5C394A2B" w14:textId="77777777" w:rsidR="00E85B43" w:rsidRPr="00F873CE"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873CE">
              <w:rPr>
                <w:rFonts w:ascii="Verdana" w:hAnsi="Verdana" w:cs="Arial"/>
              </w:rPr>
              <w:t>Ley 510 de 1999, artículo 111.</w:t>
            </w:r>
          </w:p>
          <w:p w14:paraId="1CDF4238" w14:textId="77777777" w:rsidR="00E85B43" w:rsidRPr="00F873CE"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873CE">
              <w:rPr>
                <w:rFonts w:ascii="Verdana" w:hAnsi="Verdana" w:cs="Arial"/>
              </w:rPr>
              <w:t>Decreto 399 de 2021, artículo 3.</w:t>
            </w:r>
          </w:p>
          <w:p w14:paraId="3BFC15B7" w14:textId="77777777" w:rsidR="00E85B43" w:rsidRPr="0036554F" w:rsidRDefault="00E85B43" w:rsidP="00F525BA">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873CE">
              <w:rPr>
                <w:rFonts w:ascii="Verdana" w:hAnsi="Verdana" w:cs="Arial"/>
              </w:rPr>
              <w:t>Decreto 142 de 2023, artículo 1.</w:t>
            </w:r>
          </w:p>
        </w:tc>
      </w:tr>
    </w:tbl>
    <w:p w14:paraId="53E21712" w14:textId="77777777" w:rsidR="00E85B43" w:rsidRPr="009037F6" w:rsidRDefault="00E85B43" w:rsidP="00E85B43">
      <w:pPr>
        <w:widowControl w:val="0"/>
        <w:autoSpaceDE w:val="0"/>
        <w:autoSpaceDN w:val="0"/>
        <w:spacing w:after="0" w:line="276" w:lineRule="auto"/>
        <w:jc w:val="both"/>
        <w:rPr>
          <w:rFonts w:ascii="Verdana" w:hAnsi="Verdana" w:cs="Arial"/>
        </w:rPr>
      </w:pPr>
    </w:p>
    <w:p w14:paraId="239BEF3F" w14:textId="77777777" w:rsidR="00E85B43" w:rsidRPr="009037F6" w:rsidRDefault="00E85B43" w:rsidP="00E85B43">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30361855" w14:textId="77777777" w:rsidR="00E85B43" w:rsidRPr="009037F6" w:rsidRDefault="00E85B43" w:rsidP="00E85B43">
      <w:pPr>
        <w:widowControl w:val="0"/>
        <w:autoSpaceDE w:val="0"/>
        <w:autoSpaceDN w:val="0"/>
        <w:spacing w:after="0" w:line="276" w:lineRule="auto"/>
        <w:jc w:val="both"/>
        <w:rPr>
          <w:rFonts w:ascii="Verdana" w:hAnsi="Verdana" w:cs="Arial"/>
        </w:rPr>
      </w:pPr>
    </w:p>
    <w:p w14:paraId="2650438E" w14:textId="77777777" w:rsidR="00E85B43" w:rsidRPr="009037F6" w:rsidRDefault="00E85B43" w:rsidP="00E85B43">
      <w:pPr>
        <w:widowControl w:val="0"/>
        <w:autoSpaceDE w:val="0"/>
        <w:autoSpaceDN w:val="0"/>
        <w:spacing w:after="0" w:line="276" w:lineRule="auto"/>
        <w:jc w:val="both"/>
        <w:rPr>
          <w:rFonts w:ascii="Verdana" w:hAnsi="Verdana" w:cs="Arial"/>
          <w:shd w:val="clear" w:color="auto" w:fill="FFFFFF"/>
        </w:rPr>
      </w:pPr>
      <w:r>
        <w:rPr>
          <w:rFonts w:ascii="Verdana" w:hAnsi="Verdana" w:cs="Arial"/>
          <w:bCs/>
          <w:shd w:val="clear" w:color="auto" w:fill="FFFFFF"/>
        </w:rPr>
        <w:t>La</w:t>
      </w:r>
      <w:r w:rsidRPr="00041187">
        <w:rPr>
          <w:rFonts w:ascii="Verdana" w:hAnsi="Verdana" w:cs="Arial"/>
          <w:bCs/>
          <w:shd w:val="clear" w:color="auto" w:fill="FFFFFF"/>
        </w:rPr>
        <w:t xml:space="preserve"> Agencia Nacional de Contratación Pública – Colombia Compra Eficiente estudió la potestad sancionatoria de las Entidades Estatales y el procedimiento </w:t>
      </w:r>
      <w:r w:rsidRPr="00041187">
        <w:rPr>
          <w:rFonts w:ascii="Verdana" w:hAnsi="Verdana" w:cs="Arial"/>
          <w:bCs/>
          <w:shd w:val="clear" w:color="auto" w:fill="FFFFFF"/>
        </w:rPr>
        <w:lastRenderedPageBreak/>
        <w:t>administrativo que deben efectuar para declarar el incumplimiento y aplicar las sanciones correspondientes, destacando la necesidad de garantizar el debido proceso, en los conceptos C-147 del 17 de marzo de 2020, C-219 del 29 de abril de 2020, C-434 del 29 de julio de 2020, C-569 del 31 de agosto de 2020, C-641 del 4 de noviembre de 2020, C-060 del 8 de marzo de 2021, C-528 del 5 de abril de 2021, C-420 del 25 de agosto de 2022, C- 720 del 25 de enero de 2022, C-085 del 29 de abril  de 2022 C-125 del 23 de marzo de 2022, C-195 del 12 de abril de 2022, C-208 del 26 de abril de 2022, C-238 del 27 de abril de 2022, C-866 del 20 de diciembre de 2022, C-034 de 09 de marzo de 2023, C-140 del 13 de junio de 2023, C-227 del 07 de julio del 2023 y C-047 del 25 de abril de 2024</w:t>
      </w:r>
      <w:r>
        <w:rPr>
          <w:rFonts w:ascii="Verdana" w:hAnsi="Verdana" w:cs="Arial"/>
          <w:bCs/>
          <w:shd w:val="clear" w:color="auto" w:fill="FFFFFF"/>
        </w:rPr>
        <w:t>, C-1127 del 29 de julio de 2026, entre otros</w:t>
      </w:r>
      <w:r w:rsidRPr="00041187">
        <w:rPr>
          <w:rFonts w:ascii="Verdana" w:hAnsi="Verdana" w:cs="Arial"/>
          <w:bCs/>
          <w:shd w:val="clear" w:color="auto" w:fill="FFFFFF"/>
          <w:lang w:val="es-ES"/>
        </w:rPr>
        <w:t xml:space="preserve">. Asimismo, </w:t>
      </w:r>
      <w:r>
        <w:rPr>
          <w:rFonts w:ascii="Verdana" w:hAnsi="Verdana" w:cs="Arial"/>
          <w:bCs/>
          <w:shd w:val="clear" w:color="auto" w:fill="FFFFFF"/>
          <w:lang w:val="es-ES"/>
        </w:rPr>
        <w:t xml:space="preserve">en el Concepto C-1208 del 7 de octubre de 2025 se realizó un análisis de la potestad sancionatoria de las Empresas Sociales del Estado con fundamento en el artículo 195, numeral 6° de la Ley 100 de 1993. </w:t>
      </w:r>
      <w:r w:rsidRPr="009037F6">
        <w:rPr>
          <w:rFonts w:ascii="Verdana" w:eastAsia="Calibri" w:hAnsi="Verdana" w:cs="Arial"/>
          <w:lang w:val="es-ES"/>
        </w:rPr>
        <w:t xml:space="preserve">La Agencia Nacional de Contratación Pública – Colombia Compra Eficiente se ha pronunciado </w:t>
      </w:r>
      <w:r w:rsidRPr="009037F6">
        <w:rPr>
          <w:rFonts w:ascii="Verdana" w:eastAsia="Calibri" w:hAnsi="Verdana" w:cs="Arial"/>
          <w:shd w:val="clear" w:color="auto" w:fill="FFFFFF"/>
        </w:rPr>
        <w:t>sobre el régimen de garantías en los Conceptos 2201913000009075 del 9 de diciembre de 2019, C-080 del 8 de abril de 2021, C-525 del 27 de septiembre de 2021, C-567 del 08 de octubre del 2021, C-036 del 28 de febrero del 2022, C-126 de 25 de marzo de 2022, C-583 del 19 de octubre de 2022, C-584 del 26 de septiembre de 2022, C-712 del 13 de octubre de 2022 y C-845 del 7 de diciembre de 2022, C-036 del 31 de marzo de 2023, C-386 del 31 de enero de 2024, C-306 del 12 de agosto de 2024, C-055 del 30 de enero de 2025, C-099 del 21 de febrero de 2025, C-1282 del 26 de septiembre de 2025</w:t>
      </w:r>
      <w:r w:rsidRPr="009037F6">
        <w:rPr>
          <w:rFonts w:ascii="Verdana" w:hAnsi="Verdana" w:cs="Arial"/>
          <w:bCs/>
          <w:shd w:val="clear" w:color="auto" w:fill="FFFFFF"/>
        </w:rPr>
        <w:t xml:space="preserve">. </w:t>
      </w:r>
      <w:r w:rsidRPr="009037F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703C6DC8" w14:textId="77777777" w:rsidR="00E85B43" w:rsidRPr="009037F6" w:rsidRDefault="00E85B43" w:rsidP="00E85B43">
      <w:pPr>
        <w:spacing w:after="0" w:line="256" w:lineRule="auto"/>
        <w:jc w:val="both"/>
        <w:rPr>
          <w:rFonts w:ascii="Verdana" w:eastAsia="Calibri" w:hAnsi="Verdana" w:cs="Times New Roman"/>
        </w:rPr>
      </w:pPr>
      <w:hyperlink r:id="rId14" w:history="1">
        <w:r w:rsidRPr="009037F6">
          <w:rPr>
            <w:rFonts w:ascii="Verdana" w:eastAsia="Calibri" w:hAnsi="Verdana" w:cs="Times New Roman"/>
            <w:color w:val="0000FF"/>
            <w:u w:val="single"/>
            <w:lang w:val="es-ES"/>
          </w:rPr>
          <w:t>https://relatoria.colombiacompra.gov.co/busqueda/conceptos</w:t>
        </w:r>
      </w:hyperlink>
      <w:r w:rsidRPr="009037F6">
        <w:rPr>
          <w:rFonts w:ascii="Verdana" w:eastAsia="Calibri" w:hAnsi="Verdana" w:cs="Times New Roman"/>
        </w:rPr>
        <w:t xml:space="preserve">. </w:t>
      </w:r>
    </w:p>
    <w:p w14:paraId="594C91A2" w14:textId="77777777" w:rsidR="00E85B43" w:rsidRDefault="00E85B43" w:rsidP="00E85B43">
      <w:pPr>
        <w:widowControl w:val="0"/>
        <w:autoSpaceDE w:val="0"/>
        <w:autoSpaceDN w:val="0"/>
        <w:spacing w:after="0" w:line="276" w:lineRule="auto"/>
        <w:jc w:val="both"/>
        <w:rPr>
          <w:rFonts w:ascii="Verdana" w:eastAsia="Calibri" w:hAnsi="Verdana" w:cs="Times New Roman"/>
        </w:rPr>
      </w:pPr>
    </w:p>
    <w:p w14:paraId="697BD6FB" w14:textId="77777777" w:rsidR="00E85B43" w:rsidRPr="003D5C91" w:rsidRDefault="00E85B43" w:rsidP="00E85B43">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xml:space="preserve">, dirigida a las entidades sometidas al EGCAP y a las de regímenes exceptuados, así como a proveedores y órganos de control. Encontrarás orientaciones sobre las clases de garantías </w:t>
      </w:r>
      <w:r w:rsidRPr="003D5C91">
        <w:rPr>
          <w:rFonts w:ascii="Verdana" w:eastAsia="Calibri" w:hAnsi="Verdana" w:cs="Arial"/>
          <w:color w:val="000000"/>
          <w:lang w:eastAsia="es-ES_tradnl"/>
        </w:rPr>
        <w:lastRenderedPageBreak/>
        <w:t>admisibles, la correspondencia entre riesgos asignados y amparos exigidos, su suficiencia y vigencia, y el procedimiento para hacerlas efectivas. Consúltala aquí: </w:t>
      </w:r>
      <w:hyperlink r:id="rId15"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4EF340F0" w14:textId="77777777" w:rsidR="00E85B43" w:rsidRDefault="00E85B43" w:rsidP="00E85B43">
      <w:pPr>
        <w:spacing w:after="0" w:line="276" w:lineRule="auto"/>
        <w:jc w:val="both"/>
        <w:rPr>
          <w:rFonts w:ascii="Verdana" w:eastAsia="Calibri" w:hAnsi="Verdana" w:cs="Arial"/>
          <w:color w:val="000000"/>
          <w:lang w:eastAsia="es-ES_tradnl"/>
        </w:rPr>
      </w:pPr>
    </w:p>
    <w:p w14:paraId="650F0449" w14:textId="77777777" w:rsidR="00E85B43" w:rsidRPr="003D5C91" w:rsidRDefault="00E85B43" w:rsidP="00E85B43">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6"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0C246134" w14:textId="77777777" w:rsidR="00E85B43" w:rsidRDefault="00E85B43" w:rsidP="00E85B43">
      <w:pPr>
        <w:spacing w:after="0" w:line="276" w:lineRule="auto"/>
        <w:jc w:val="both"/>
        <w:rPr>
          <w:rFonts w:ascii="Verdana" w:eastAsia="Calibri" w:hAnsi="Verdana" w:cs="Arial"/>
          <w:color w:val="000000"/>
          <w:lang w:eastAsia="es-ES_tradnl"/>
        </w:rPr>
      </w:pPr>
    </w:p>
    <w:p w14:paraId="6AB1C4F4" w14:textId="77777777" w:rsidR="00E85B43" w:rsidRDefault="00E85B43" w:rsidP="00E85B43">
      <w:pPr>
        <w:spacing w:after="0" w:line="276"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40DDC644" w14:textId="77777777" w:rsidR="00E85B43" w:rsidRPr="003D5C91" w:rsidRDefault="00E85B43" w:rsidP="00E85B43">
      <w:pPr>
        <w:spacing w:after="0" w:line="276" w:lineRule="auto"/>
        <w:jc w:val="both"/>
        <w:rPr>
          <w:rFonts w:ascii="Verdana" w:eastAsia="Calibri" w:hAnsi="Verdana" w:cs="Arial"/>
          <w:color w:val="000000"/>
          <w:lang w:eastAsia="es-ES_tradnl"/>
        </w:rPr>
      </w:pPr>
    </w:p>
    <w:p w14:paraId="170C01B0" w14:textId="77777777" w:rsidR="00E85B43" w:rsidRPr="003D5C91" w:rsidRDefault="00E85B43" w:rsidP="00E85B43">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w:t>
      </w:r>
      <w:r w:rsidRPr="003D5C91">
        <w:rPr>
          <w:rFonts w:ascii="Verdana" w:eastAsia="Calibri" w:hAnsi="Verdana" w:cs="Arial"/>
          <w:color w:val="000000"/>
          <w:lang w:eastAsia="es-ES_tradnl"/>
        </w:rPr>
        <w:lastRenderedPageBreak/>
        <w:t>aquí: </w:t>
      </w:r>
      <w:hyperlink r:id="rId18"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42A96E64" w14:textId="77777777" w:rsidR="00E85B43" w:rsidRDefault="00E85B43" w:rsidP="00E85B43">
      <w:pPr>
        <w:spacing w:after="0"/>
        <w:jc w:val="both"/>
        <w:rPr>
          <w:rFonts w:ascii="Verdana" w:hAnsi="Verdana"/>
        </w:rPr>
      </w:pPr>
    </w:p>
    <w:p w14:paraId="78FCC7AB" w14:textId="77777777" w:rsidR="00E85B43" w:rsidRPr="00116940" w:rsidRDefault="00E85B43" w:rsidP="00E85B43">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1484E70E" w14:textId="77777777" w:rsidR="00E85B43" w:rsidRPr="00116940" w:rsidRDefault="00E85B43" w:rsidP="00E85B43">
      <w:pPr>
        <w:spacing w:after="0"/>
        <w:jc w:val="both"/>
        <w:rPr>
          <w:rFonts w:ascii="Verdana" w:hAnsi="Verdana"/>
        </w:rPr>
      </w:pPr>
    </w:p>
    <w:p w14:paraId="49A0C858" w14:textId="77777777" w:rsidR="00E85B43" w:rsidRPr="00116940" w:rsidRDefault="00E85B43" w:rsidP="00E85B43">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3832C404" w14:textId="77777777" w:rsidR="00E85B43" w:rsidRPr="00116940" w:rsidRDefault="00E85B43" w:rsidP="00E85B43">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0E96A473" w14:textId="77777777" w:rsidR="00E85B43" w:rsidRPr="00116940" w:rsidRDefault="00E85B43" w:rsidP="00E85B4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9">
        <w:r w:rsidRPr="00116940">
          <w:rPr>
            <w:rStyle w:val="Hipervnculo"/>
            <w:rFonts w:ascii="Verdana" w:eastAsia="Verdana" w:hAnsi="Verdana" w:cs="Verdana"/>
            <w:lang w:val="es-MX"/>
          </w:rPr>
          <w:t>ventanilladeradicacion@colombiacompra.gov.co</w:t>
        </w:r>
      </w:hyperlink>
    </w:p>
    <w:p w14:paraId="442F7ED5" w14:textId="77777777" w:rsidR="00E85B43" w:rsidRPr="00116940" w:rsidRDefault="00E85B43" w:rsidP="00E85B4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20">
        <w:r w:rsidRPr="00116940">
          <w:rPr>
            <w:rStyle w:val="Hipervnculo"/>
            <w:rFonts w:ascii="Verdana" w:eastAsia="Verdana" w:hAnsi="Verdana" w:cs="Verdana"/>
            <w:lang w:val="es-MX"/>
          </w:rPr>
          <w:t>https://www.colombiacompra.gov.co/pqrsd/informacion-importante-antes-de-formular-una-pqrsd</w:t>
        </w:r>
      </w:hyperlink>
    </w:p>
    <w:p w14:paraId="6D218DEA" w14:textId="77777777" w:rsidR="00E85B43" w:rsidRPr="00116940" w:rsidRDefault="00E85B43" w:rsidP="00E85B43">
      <w:pPr>
        <w:spacing w:after="0" w:line="240" w:lineRule="auto"/>
        <w:ind w:left="720"/>
        <w:jc w:val="both"/>
        <w:rPr>
          <w:rFonts w:ascii="Verdana" w:hAnsi="Verdana"/>
        </w:rPr>
      </w:pPr>
    </w:p>
    <w:p w14:paraId="3B4E305C" w14:textId="77777777" w:rsidR="00E85B43" w:rsidRPr="00116940" w:rsidRDefault="00E85B43" w:rsidP="00E85B43">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1"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41A2180E" w14:textId="77777777" w:rsidR="00E85B43" w:rsidRPr="00116940" w:rsidRDefault="00E85B43" w:rsidP="00E85B43">
      <w:pPr>
        <w:spacing w:after="0" w:line="240" w:lineRule="auto"/>
        <w:rPr>
          <w:rFonts w:ascii="Verdana" w:hAnsi="Verdana"/>
        </w:rPr>
      </w:pPr>
    </w:p>
    <w:p w14:paraId="0281BABD" w14:textId="77777777" w:rsidR="00E85B43" w:rsidRPr="00116940" w:rsidRDefault="00E85B43" w:rsidP="00E85B43">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5E59C7B" w14:textId="77777777" w:rsidR="00E85B43" w:rsidRPr="00116940" w:rsidRDefault="00E85B43" w:rsidP="00E85B43">
      <w:pPr>
        <w:spacing w:after="0" w:line="240" w:lineRule="auto"/>
        <w:jc w:val="both"/>
        <w:rPr>
          <w:rFonts w:ascii="Verdana" w:hAnsi="Verdana"/>
        </w:rPr>
      </w:pPr>
    </w:p>
    <w:p w14:paraId="14B100E4" w14:textId="77777777" w:rsidR="00E85B43" w:rsidRPr="00116940" w:rsidRDefault="00E85B43" w:rsidP="00E85B43">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657BEC04" w14:textId="77777777" w:rsidR="00E85B43" w:rsidRPr="00116940" w:rsidRDefault="00E85B43" w:rsidP="00E85B43">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5E1A3057" w14:textId="77777777" w:rsidR="00E85B43" w:rsidRPr="00116940" w:rsidRDefault="00E85B43" w:rsidP="00E85B43">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DBD601C" w14:textId="77777777" w:rsidR="00E85B43" w:rsidRPr="00116940" w:rsidRDefault="00E85B43" w:rsidP="00E85B43">
      <w:pPr>
        <w:spacing w:after="0" w:line="240" w:lineRule="auto"/>
        <w:jc w:val="both"/>
        <w:rPr>
          <w:rFonts w:ascii="Verdana" w:hAnsi="Verdana"/>
        </w:rPr>
      </w:pPr>
    </w:p>
    <w:p w14:paraId="551CD83B" w14:textId="77777777" w:rsidR="00E85B43" w:rsidRPr="009037F6" w:rsidRDefault="00E85B43" w:rsidP="00E85B43">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EA022E7" w14:textId="77777777" w:rsidR="00E85B43" w:rsidRPr="00492C4A" w:rsidRDefault="00E85B43" w:rsidP="00E85B43">
      <w:pPr>
        <w:spacing w:after="0" w:line="256" w:lineRule="auto"/>
        <w:jc w:val="both"/>
        <w:rPr>
          <w:rFonts w:ascii="Verdana" w:eastAsia="Calibri" w:hAnsi="Verdana" w:cs="Times New Roman"/>
          <w:lang w:val="es-ES_tradnl"/>
        </w:rPr>
      </w:pPr>
    </w:p>
    <w:p w14:paraId="7067DF17" w14:textId="77777777" w:rsidR="00E85B43" w:rsidRDefault="00E85B43" w:rsidP="00E85B43">
      <w:pPr>
        <w:spacing w:after="0" w:line="256" w:lineRule="auto"/>
        <w:jc w:val="both"/>
        <w:rPr>
          <w:rFonts w:ascii="Verdana" w:eastAsia="Calibri" w:hAnsi="Verdana" w:cs="Times New Roman"/>
          <w:lang w:val="en-US"/>
        </w:rPr>
      </w:pPr>
      <w:r w:rsidRPr="009037F6">
        <w:rPr>
          <w:rFonts w:ascii="Verdana" w:eastAsia="Calibri" w:hAnsi="Verdana" w:cs="Times New Roman"/>
        </w:rPr>
        <w:t>Atentamente,</w:t>
      </w:r>
    </w:p>
    <w:p w14:paraId="5BE67A21" w14:textId="2F560EAA" w:rsidR="00E85B43" w:rsidRDefault="00E85B43" w:rsidP="00E85B43">
      <w:pPr>
        <w:spacing w:after="0" w:line="256" w:lineRule="auto"/>
        <w:jc w:val="center"/>
        <w:rPr>
          <w:rFonts w:ascii="Century Gothic" w:hAnsi="Century Gothic"/>
          <w:noProof/>
          <w:sz w:val="16"/>
          <w:szCs w:val="16"/>
          <w:lang w:val="en-US"/>
        </w:rPr>
      </w:pPr>
    </w:p>
    <w:p w14:paraId="33E818BC" w14:textId="60D59F9A" w:rsidR="00E85B43" w:rsidRPr="002961A6" w:rsidRDefault="007E0196" w:rsidP="00E85B43">
      <w:pPr>
        <w:spacing w:after="0" w:line="256" w:lineRule="auto"/>
        <w:jc w:val="center"/>
        <w:rPr>
          <w:rFonts w:ascii="Century Gothic" w:hAnsi="Century Gothic"/>
          <w:noProof/>
          <w:sz w:val="16"/>
          <w:szCs w:val="16"/>
          <w:lang w:val="en-US"/>
        </w:rPr>
      </w:pPr>
      <w:r w:rsidRPr="002C3AD6">
        <w:rPr>
          <w:rFonts w:ascii="Century Gothic" w:hAnsi="Century Gothic"/>
          <w:noProof/>
          <w:lang w:val="en-US"/>
        </w:rPr>
        <w:lastRenderedPageBreak/>
        <w:drawing>
          <wp:inline distT="0" distB="0" distL="0" distR="0" wp14:anchorId="7E58BE1E" wp14:editId="2D8289AC">
            <wp:extent cx="3670300" cy="1423554"/>
            <wp:effectExtent l="0" t="0" r="6350" b="571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2"/>
                    <a:stretch>
                      <a:fillRect/>
                    </a:stretch>
                  </pic:blipFill>
                  <pic:spPr>
                    <a:xfrm>
                      <a:off x="0" y="0"/>
                      <a:ext cx="3891299" cy="1509270"/>
                    </a:xfrm>
                    <a:prstGeom prst="rect">
                      <a:avLst/>
                    </a:prstGeom>
                  </pic:spPr>
                </pic:pic>
              </a:graphicData>
            </a:graphic>
          </wp:inline>
        </w:drawing>
      </w: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E85B43" w:rsidRPr="00D56F8A" w14:paraId="269BBFB0" w14:textId="77777777" w:rsidTr="00F525BA">
        <w:trPr>
          <w:trHeight w:val="409"/>
        </w:trPr>
        <w:tc>
          <w:tcPr>
            <w:tcW w:w="817" w:type="dxa"/>
            <w:tcBorders>
              <w:top w:val="nil"/>
              <w:left w:val="nil"/>
              <w:bottom w:val="nil"/>
              <w:right w:val="nil"/>
            </w:tcBorders>
            <w:vAlign w:val="center"/>
            <w:hideMark/>
          </w:tcPr>
          <w:p w14:paraId="6A09A87B"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0F915BC4"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567A22F4"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E85B43" w:rsidRPr="00D56F8A" w14:paraId="7E375C7F" w14:textId="77777777" w:rsidTr="00F525BA">
        <w:trPr>
          <w:trHeight w:val="409"/>
        </w:trPr>
        <w:tc>
          <w:tcPr>
            <w:tcW w:w="817" w:type="dxa"/>
            <w:tcBorders>
              <w:top w:val="nil"/>
              <w:left w:val="nil"/>
              <w:bottom w:val="nil"/>
              <w:right w:val="nil"/>
            </w:tcBorders>
            <w:vAlign w:val="center"/>
            <w:hideMark/>
          </w:tcPr>
          <w:p w14:paraId="40157CA2"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135B2773"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2B051D07"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E85B43" w:rsidRPr="00D56F8A" w14:paraId="1CDF7E81" w14:textId="77777777" w:rsidTr="00F525BA">
        <w:trPr>
          <w:trHeight w:val="389"/>
        </w:trPr>
        <w:tc>
          <w:tcPr>
            <w:tcW w:w="817" w:type="dxa"/>
            <w:tcBorders>
              <w:top w:val="nil"/>
              <w:left w:val="nil"/>
              <w:bottom w:val="nil"/>
              <w:right w:val="nil"/>
            </w:tcBorders>
            <w:vAlign w:val="center"/>
            <w:hideMark/>
          </w:tcPr>
          <w:p w14:paraId="2CE474DD"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53641E85"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42F3C529" w14:textId="77777777" w:rsidR="00E85B43" w:rsidRPr="00D56F8A" w:rsidRDefault="00E85B43" w:rsidP="00F525BA">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tbl>
    <w:p w14:paraId="4504CEB7" w14:textId="77777777" w:rsidR="00E85B43" w:rsidRPr="000E2B93" w:rsidRDefault="00E85B43" w:rsidP="00E85B43">
      <w:pPr>
        <w:spacing w:after="0" w:line="240" w:lineRule="auto"/>
        <w:textAlignment w:val="baseline"/>
        <w:rPr>
          <w:rFonts w:ascii="Verdana" w:eastAsia="Verdana" w:hAnsi="Verdana" w:cs="Verdana"/>
          <w:lang w:eastAsia="es-CO"/>
        </w:rPr>
      </w:pPr>
    </w:p>
    <w:bookmarkEnd w:id="0"/>
    <w:p w14:paraId="73C61EC8" w14:textId="1F7BFC0D" w:rsidR="00EB224C" w:rsidRPr="000D0628" w:rsidRDefault="00EB224C" w:rsidP="000D0628">
      <w:pPr>
        <w:spacing w:after="0" w:line="240" w:lineRule="auto"/>
        <w:textAlignment w:val="baseline"/>
        <w:rPr>
          <w:rFonts w:ascii="Verdana" w:eastAsia="Verdana" w:hAnsi="Verdana" w:cs="Verdana"/>
          <w:lang w:eastAsia="es-CO"/>
        </w:rPr>
      </w:pPr>
    </w:p>
    <w:sectPr w:rsidR="00EB224C" w:rsidRPr="000D0628"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8A12C" w14:textId="77777777" w:rsidR="0022428A" w:rsidRDefault="0022428A" w:rsidP="004A1847">
      <w:pPr>
        <w:spacing w:after="0" w:line="240" w:lineRule="auto"/>
      </w:pPr>
      <w:r>
        <w:separator/>
      </w:r>
    </w:p>
  </w:endnote>
  <w:endnote w:type="continuationSeparator" w:id="0">
    <w:p w14:paraId="74AF9FCC" w14:textId="77777777" w:rsidR="0022428A" w:rsidRDefault="0022428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Batang">
    <w:panose1 w:val="02030600000101010101"/>
    <w:charset w:val="81"/>
    <w:family w:val="roman"/>
    <w:pitch w:val="variable"/>
    <w:sig w:usb0="B00002AF" w:usb1="69D77CFB" w:usb2="00000030" w:usb3="00000000" w:csb0="0008009F" w:csb1="00000000"/>
  </w:font>
  <w:font w:name="EhrhardtMTStd">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4290AB2A"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FD1DDC" w:rsidRPr="00FD1DDC">
      <w:rPr>
        <w:rFonts w:ascii="Verdana" w:eastAsiaTheme="minorEastAsia" w:hAnsi="Verdana"/>
        <w:b/>
        <w:bCs/>
        <w:noProof/>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0D52" w14:textId="77777777" w:rsidR="0022428A" w:rsidRDefault="0022428A" w:rsidP="004A1847">
      <w:pPr>
        <w:spacing w:after="0" w:line="240" w:lineRule="auto"/>
      </w:pPr>
      <w:r>
        <w:separator/>
      </w:r>
    </w:p>
  </w:footnote>
  <w:footnote w:type="continuationSeparator" w:id="0">
    <w:p w14:paraId="22F67286" w14:textId="77777777" w:rsidR="0022428A" w:rsidRDefault="0022428A" w:rsidP="004A1847">
      <w:pPr>
        <w:spacing w:after="0" w:line="240" w:lineRule="auto"/>
      </w:pPr>
      <w:r>
        <w:continuationSeparator/>
      </w:r>
    </w:p>
  </w:footnote>
  <w:footnote w:id="1">
    <w:p w14:paraId="23396E21" w14:textId="77777777" w:rsidR="00E85B43" w:rsidRPr="007D1B9D" w:rsidRDefault="00E85B43" w:rsidP="00E85B43">
      <w:pPr>
        <w:pStyle w:val="Textonotapie"/>
        <w:ind w:firstLine="708"/>
        <w:jc w:val="both"/>
        <w:rPr>
          <w:rFonts w:ascii="Verdana" w:hAnsi="Verdana" w:cs="Arial"/>
          <w:sz w:val="16"/>
          <w:szCs w:val="16"/>
          <w:lang w:val="es-ES"/>
        </w:rPr>
      </w:pPr>
      <w:r w:rsidRPr="007D1B9D">
        <w:rPr>
          <w:rStyle w:val="Refdenotaalpie"/>
          <w:rFonts w:ascii="Verdana" w:hAnsi="Verdana" w:cs="Arial"/>
          <w:sz w:val="16"/>
          <w:szCs w:val="16"/>
          <w:vertAlign w:val="baseline"/>
        </w:rPr>
        <w:footnoteRef/>
      </w:r>
      <w:r w:rsidRPr="007D1B9D">
        <w:rPr>
          <w:rFonts w:ascii="Verdana" w:hAnsi="Verdana" w:cs="Arial"/>
          <w:sz w:val="16"/>
          <w:szCs w:val="16"/>
        </w:rPr>
        <w:t xml:space="preserve"> Cfr. BENAVIDES, José Luis. El contrato estatal: entre el derecho público y el derecho privado. Segunda edición. Bogotá: Universidad Externado de Colombia, 2009. pp. 78-79.      </w:t>
      </w:r>
    </w:p>
  </w:footnote>
  <w:footnote w:id="2">
    <w:p w14:paraId="6D42BB88" w14:textId="77777777" w:rsidR="00E85B43" w:rsidRPr="007D1B9D" w:rsidRDefault="00E85B43" w:rsidP="00E85B43">
      <w:pPr>
        <w:pStyle w:val="Textonotapie"/>
        <w:ind w:firstLine="708"/>
        <w:jc w:val="both"/>
        <w:rPr>
          <w:rFonts w:ascii="Verdana" w:hAnsi="Verdana" w:cs="Arial"/>
          <w:sz w:val="16"/>
          <w:szCs w:val="16"/>
          <w:lang w:val="es-ES"/>
        </w:rPr>
      </w:pPr>
      <w:r w:rsidRPr="007D1B9D">
        <w:rPr>
          <w:rStyle w:val="Refdenotaalpie"/>
          <w:rFonts w:ascii="Verdana" w:hAnsi="Verdana" w:cs="Arial"/>
          <w:sz w:val="16"/>
          <w:szCs w:val="16"/>
          <w:vertAlign w:val="baseline"/>
        </w:rPr>
        <w:footnoteRef/>
      </w:r>
      <w:r w:rsidRPr="007D1B9D">
        <w:rPr>
          <w:rFonts w:ascii="Verdana" w:hAnsi="Verdana" w:cs="Arial"/>
          <w:sz w:val="16"/>
          <w:szCs w:val="16"/>
        </w:rPr>
        <w:t xml:space="preserve"> BETANCUR JARAMILLO, Carlos. Derecho procesal administrativo. Octava edición. Medellín: Señal Editora, 2013. p. 627. </w:t>
      </w:r>
    </w:p>
  </w:footnote>
  <w:footnote w:id="3">
    <w:p w14:paraId="34213E8D" w14:textId="77777777" w:rsidR="00E85B43" w:rsidRPr="007D1B9D" w:rsidRDefault="00E85B43" w:rsidP="00E85B43">
      <w:pPr>
        <w:pStyle w:val="Textonotapie"/>
        <w:ind w:firstLine="708"/>
        <w:jc w:val="both"/>
        <w:rPr>
          <w:rFonts w:ascii="Verdana" w:hAnsi="Verdana" w:cs="Arial"/>
          <w:sz w:val="16"/>
          <w:szCs w:val="16"/>
        </w:rPr>
      </w:pPr>
      <w:r w:rsidRPr="007D1B9D">
        <w:rPr>
          <w:rStyle w:val="Refdenotaalpie"/>
          <w:rFonts w:ascii="Verdana" w:hAnsi="Verdana" w:cs="Arial"/>
          <w:sz w:val="16"/>
          <w:szCs w:val="16"/>
          <w:vertAlign w:val="baseline"/>
        </w:rPr>
        <w:footnoteRef/>
      </w:r>
      <w:r w:rsidRPr="007D1B9D">
        <w:rPr>
          <w:rFonts w:ascii="Verdana" w:hAnsi="Verdana" w:cs="Arial"/>
          <w:sz w:val="16"/>
          <w:szCs w:val="16"/>
        </w:rPr>
        <w:t xml:space="preserve"> JOJOA BOLAÑOS, Alexander. Los regímenes exceptuados en los contratos estatales. Bogotá: Grupo Editorial Ibáñez, 2012. p. 89.</w:t>
      </w:r>
    </w:p>
  </w:footnote>
  <w:footnote w:id="4">
    <w:p w14:paraId="7A6981A8" w14:textId="77777777" w:rsidR="00E85B43" w:rsidRPr="007D1B9D" w:rsidRDefault="00E85B43" w:rsidP="00E85B43">
      <w:pPr>
        <w:pStyle w:val="Textonotapie"/>
        <w:ind w:firstLine="708"/>
        <w:jc w:val="both"/>
        <w:rPr>
          <w:rFonts w:ascii="Verdana" w:hAnsi="Verdana" w:cs="Arial"/>
          <w:sz w:val="16"/>
          <w:szCs w:val="16"/>
        </w:rPr>
      </w:pPr>
      <w:r w:rsidRPr="007D1B9D">
        <w:rPr>
          <w:rStyle w:val="Refdenotaalpie"/>
          <w:rFonts w:ascii="Verdana" w:hAnsi="Verdana" w:cs="Arial"/>
          <w:sz w:val="16"/>
          <w:szCs w:val="16"/>
          <w:vertAlign w:val="baseline"/>
        </w:rPr>
        <w:footnoteRef/>
      </w:r>
      <w:r w:rsidRPr="007D1B9D">
        <w:rPr>
          <w:rFonts w:ascii="Verdana" w:hAnsi="Verdana" w:cs="Arial"/>
          <w:sz w:val="16"/>
          <w:szCs w:val="16"/>
        </w:rPr>
        <w:t xml:space="preserve"> BARRETO MORENO, Antonio Alejandro. El derecho de la compra pública: estudio jurídico de un mercado imperfecto. Bogotá: Legis, 2019. pp. 281 y ss.</w:t>
      </w:r>
    </w:p>
  </w:footnote>
  <w:footnote w:id="5">
    <w:p w14:paraId="3CA01373" w14:textId="77777777" w:rsidR="00E85B43" w:rsidRPr="007D1B9D" w:rsidRDefault="00E85B43" w:rsidP="00E85B43">
      <w:pPr>
        <w:pStyle w:val="Textonotapie"/>
        <w:ind w:firstLine="709"/>
        <w:jc w:val="both"/>
        <w:rPr>
          <w:rFonts w:ascii="Verdana" w:hAnsi="Verdana" w:cs="Arial"/>
          <w:sz w:val="16"/>
          <w:szCs w:val="16"/>
          <w:lang w:val="es-ES"/>
        </w:rPr>
      </w:pPr>
      <w:r w:rsidRPr="007D1B9D">
        <w:rPr>
          <w:rStyle w:val="Refdenotaalpie"/>
          <w:rFonts w:ascii="Verdana" w:hAnsi="Verdana" w:cs="Arial"/>
          <w:sz w:val="16"/>
          <w:szCs w:val="16"/>
        </w:rPr>
        <w:footnoteRef/>
      </w:r>
      <w:r w:rsidRPr="007D1B9D">
        <w:rPr>
          <w:rFonts w:ascii="Verdana" w:hAnsi="Verdana" w:cs="Arial"/>
          <w:sz w:val="16"/>
          <w:szCs w:val="16"/>
        </w:rPr>
        <w:t xml:space="preserve"> </w:t>
      </w:r>
      <w:r w:rsidRPr="007D1B9D">
        <w:rPr>
          <w:rFonts w:ascii="Verdana" w:hAnsi="Verdana" w:cs="Arial"/>
          <w:sz w:val="16"/>
          <w:szCs w:val="16"/>
          <w:lang w:val="es-ES"/>
        </w:rPr>
        <w:t>“</w:t>
      </w:r>
      <w:r w:rsidRPr="007D1B9D">
        <w:rPr>
          <w:rFonts w:ascii="Verdana" w:hAnsi="Verdana" w:cs="Arial"/>
          <w:sz w:val="16"/>
          <w:szCs w:val="16"/>
        </w:rPr>
        <w:t>Artículo 194. Naturaleza. La prestación de servicios de salud en forma directa por la Nación o por las entidades territoriales, se hará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r w:rsidRPr="007D1B9D">
        <w:rPr>
          <w:rFonts w:ascii="Verdana" w:hAnsi="Verdana" w:cs="Arial"/>
          <w:sz w:val="16"/>
          <w:szCs w:val="16"/>
          <w:lang w:val="es-ES"/>
        </w:rPr>
        <w:t>”.</w:t>
      </w:r>
    </w:p>
  </w:footnote>
  <w:footnote w:id="6">
    <w:p w14:paraId="641701B6" w14:textId="77777777" w:rsidR="00E85B43" w:rsidRPr="007D1B9D" w:rsidRDefault="00E85B43" w:rsidP="00E85B43">
      <w:pPr>
        <w:pStyle w:val="Textonotapie"/>
        <w:ind w:firstLine="709"/>
        <w:jc w:val="both"/>
        <w:rPr>
          <w:rFonts w:ascii="Verdana" w:hAnsi="Verdana" w:cs="Arial"/>
          <w:sz w:val="16"/>
          <w:szCs w:val="16"/>
        </w:rPr>
      </w:pPr>
      <w:r w:rsidRPr="007D1B9D">
        <w:rPr>
          <w:rStyle w:val="Refdenotaalpie"/>
          <w:rFonts w:ascii="Verdana" w:hAnsi="Verdana" w:cs="Arial"/>
          <w:sz w:val="16"/>
          <w:szCs w:val="16"/>
        </w:rPr>
        <w:footnoteRef/>
      </w:r>
      <w:r w:rsidRPr="007D1B9D">
        <w:rPr>
          <w:rFonts w:ascii="Verdana" w:hAnsi="Verdana" w:cs="Arial"/>
          <w:sz w:val="16"/>
          <w:szCs w:val="16"/>
        </w:rPr>
        <w:t xml:space="preserve"> Consejo de Estado. Sección Tercera. Sentencia 18 de febrero de 2010. CP, Enrique Gil Botero. Exp. 37004. </w:t>
      </w:r>
    </w:p>
    <w:p w14:paraId="61A98246" w14:textId="77777777" w:rsidR="00E85B43" w:rsidRPr="007D1B9D" w:rsidRDefault="00E85B43" w:rsidP="00E85B43">
      <w:pPr>
        <w:pStyle w:val="Textonotapie"/>
        <w:ind w:firstLine="709"/>
        <w:jc w:val="both"/>
        <w:rPr>
          <w:rFonts w:ascii="Verdana" w:hAnsi="Verdana" w:cs="Arial"/>
          <w:sz w:val="16"/>
          <w:szCs w:val="16"/>
        </w:rPr>
      </w:pPr>
    </w:p>
  </w:footnote>
  <w:footnote w:id="7">
    <w:p w14:paraId="3EF7AB7E" w14:textId="77777777" w:rsidR="00E85B43" w:rsidRPr="007D1B9D" w:rsidRDefault="00E85B43" w:rsidP="00E85B43">
      <w:pPr>
        <w:pStyle w:val="Textonotapie"/>
        <w:ind w:firstLine="709"/>
        <w:jc w:val="both"/>
        <w:rPr>
          <w:rFonts w:ascii="Verdana" w:hAnsi="Verdana" w:cs="Arial"/>
          <w:color w:val="000000"/>
          <w:sz w:val="16"/>
          <w:szCs w:val="16"/>
        </w:rPr>
      </w:pPr>
      <w:r w:rsidRPr="007D1B9D">
        <w:rPr>
          <w:rStyle w:val="Refdenotaalpie"/>
          <w:rFonts w:ascii="Verdana" w:hAnsi="Verdana" w:cs="Arial"/>
          <w:sz w:val="16"/>
          <w:szCs w:val="16"/>
        </w:rPr>
        <w:footnoteRef/>
      </w:r>
      <w:r w:rsidRPr="007D1B9D">
        <w:rPr>
          <w:rFonts w:ascii="Verdana" w:hAnsi="Verdana" w:cs="Arial"/>
          <w:sz w:val="16"/>
          <w:szCs w:val="16"/>
        </w:rPr>
        <w:t xml:space="preserve"> En sentencia C-665 de 2000, la Corte Constitucional se pronunció, así: </w:t>
      </w:r>
      <w:r w:rsidRPr="007D1B9D">
        <w:rPr>
          <w:rFonts w:ascii="Verdana" w:hAnsi="Verdana" w:cs="Arial"/>
          <w:sz w:val="16"/>
          <w:szCs w:val="16"/>
          <w:lang w:val="es-ES_tradnl"/>
        </w:rPr>
        <w:t>“</w:t>
      </w:r>
      <w:r w:rsidRPr="007D1B9D">
        <w:rPr>
          <w:rFonts w:ascii="Verdana" w:hAnsi="Verdana" w:cs="Arial"/>
          <w:color w:val="000000"/>
          <w:sz w:val="16"/>
          <w:szCs w:val="16"/>
        </w:rPr>
        <w:t>En los términos del artículo 49 de la Constitución Política, la atención de la salud y el saneamiento ambiental son servicios públicos a cargo del Estado; al cual corresponde organizarlos, dirigirlos y reglamentarlos conforme a los principios de eficiencia, universalidad y solidaridad. Igualmente es deber del Estado establecer las políticas para la prestación de servicios de salud por entidades privadas y ejercer su vigilancia y control. Debe también el Estado señalar las competencias de la Nación, las entidades territoriales y los particulares y determinar los aportes a su cargo en los términos y condiciones señalados en la ley</w:t>
      </w:r>
      <w:r w:rsidRPr="007D1B9D">
        <w:rPr>
          <w:rFonts w:ascii="Verdana" w:hAnsi="Verdana" w:cs="Arial"/>
          <w:sz w:val="16"/>
          <w:szCs w:val="16"/>
          <w:lang w:val="es-ES_tradnl"/>
        </w:rPr>
        <w:t>”</w:t>
      </w:r>
      <w:r w:rsidRPr="007D1B9D">
        <w:rPr>
          <w:rFonts w:ascii="Verdana" w:hAnsi="Verdana" w:cs="Arial"/>
          <w:color w:val="000000"/>
          <w:sz w:val="16"/>
          <w:szCs w:val="16"/>
        </w:rPr>
        <w:t xml:space="preserve"> (Corte Constitucional. Sentencia C-665 de 2000. M.P. José Gregorio Hernández Galindo)</w:t>
      </w:r>
    </w:p>
  </w:footnote>
  <w:footnote w:id="8">
    <w:p w14:paraId="3E7AE87A"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Style w:val="Refdenotaalpie"/>
          <w:rFonts w:ascii="Verdana" w:hAnsi="Verdana" w:cs="Arial"/>
          <w:color w:val="000000" w:themeColor="text1"/>
          <w:sz w:val="16"/>
          <w:szCs w:val="16"/>
        </w:rPr>
        <w:footnoteRef/>
      </w:r>
      <w:r w:rsidRPr="007D1B9D">
        <w:rPr>
          <w:rFonts w:ascii="Verdana" w:hAnsi="Verdana" w:cs="Arial"/>
          <w:color w:val="000000" w:themeColor="text1"/>
          <w:sz w:val="16"/>
          <w:szCs w:val="16"/>
        </w:rPr>
        <w:t xml:space="preserve"> Consejo de Estado. Sala de Consulta y Servicio Civil. Concepto del 27 de agosto de 1998, Rad. 1.127, C.P. Javier Henao Hidrón. </w:t>
      </w:r>
      <w:r w:rsidRPr="007D1B9D">
        <w:rPr>
          <w:rFonts w:ascii="Verdana" w:hAnsi="Verdana" w:cs="Arial"/>
          <w:color w:val="000000" w:themeColor="text1"/>
          <w:sz w:val="16"/>
          <w:szCs w:val="16"/>
          <w:lang w:val="es-CO"/>
        </w:rPr>
        <w:t>Rad. 1.127</w:t>
      </w:r>
      <w:r w:rsidRPr="007D1B9D">
        <w:rPr>
          <w:rFonts w:ascii="Verdana" w:hAnsi="Verdana" w:cs="Arial"/>
          <w:color w:val="000000" w:themeColor="text1"/>
          <w:sz w:val="16"/>
          <w:szCs w:val="16"/>
        </w:rPr>
        <w:t xml:space="preserve">; y </w:t>
      </w:r>
      <w:r w:rsidRPr="007D1B9D">
        <w:rPr>
          <w:rFonts w:ascii="Verdana" w:hAnsi="Verdana" w:cs="Arial"/>
          <w:color w:val="000000" w:themeColor="text1"/>
          <w:sz w:val="16"/>
          <w:szCs w:val="16"/>
          <w:lang w:val="es-CO"/>
        </w:rPr>
        <w:t>concepto del 6 de abril de 2000, C.P. Flavio Augusto Rodriguez Arce. Rad. 1.263.</w:t>
      </w:r>
    </w:p>
  </w:footnote>
  <w:footnote w:id="9">
    <w:p w14:paraId="0C3552C9" w14:textId="77777777" w:rsidR="00E85B43" w:rsidRPr="007D1B9D" w:rsidRDefault="00E85B43" w:rsidP="00E85B43">
      <w:pPr>
        <w:pStyle w:val="Textonotapie"/>
        <w:ind w:firstLine="709"/>
        <w:jc w:val="both"/>
        <w:rPr>
          <w:rFonts w:ascii="Verdana" w:hAnsi="Verdana" w:cs="Arial"/>
          <w:color w:val="000000" w:themeColor="text1"/>
          <w:sz w:val="16"/>
          <w:szCs w:val="16"/>
        </w:rPr>
      </w:pPr>
      <w:r w:rsidRPr="007D1B9D">
        <w:rPr>
          <w:rStyle w:val="Refdenotaalpie"/>
          <w:rFonts w:ascii="Verdana" w:hAnsi="Verdana" w:cs="Arial"/>
          <w:color w:val="000000" w:themeColor="text1"/>
          <w:sz w:val="16"/>
          <w:szCs w:val="16"/>
        </w:rPr>
        <w:footnoteRef/>
      </w:r>
      <w:r w:rsidRPr="007D1B9D">
        <w:rPr>
          <w:rFonts w:ascii="Verdana" w:hAnsi="Verdana" w:cs="Arial"/>
          <w:color w:val="000000" w:themeColor="text1"/>
          <w:sz w:val="16"/>
          <w:szCs w:val="16"/>
        </w:rPr>
        <w:t xml:space="preserve"> Ministerio de Salud y la Protección Social. Concepto del 16 de agosto de 2019. Expediente No. 201942301304712. </w:t>
      </w:r>
    </w:p>
  </w:footnote>
  <w:footnote w:id="10">
    <w:p w14:paraId="74B5A0EA" w14:textId="77777777" w:rsidR="00E85B43" w:rsidRPr="007D1B9D" w:rsidRDefault="00E85B43" w:rsidP="00E85B43">
      <w:pPr>
        <w:pStyle w:val="Textonotapie"/>
        <w:ind w:firstLine="709"/>
        <w:jc w:val="both"/>
        <w:rPr>
          <w:rFonts w:ascii="Verdana" w:hAnsi="Verdana" w:cs="Arial"/>
          <w:color w:val="000000" w:themeColor="text1"/>
          <w:sz w:val="16"/>
          <w:szCs w:val="16"/>
        </w:rPr>
      </w:pPr>
      <w:r w:rsidRPr="007D1B9D">
        <w:rPr>
          <w:rStyle w:val="Refdenotaalpie"/>
          <w:rFonts w:ascii="Verdana" w:hAnsi="Verdana" w:cs="Arial"/>
          <w:color w:val="000000" w:themeColor="text1"/>
          <w:sz w:val="16"/>
          <w:szCs w:val="16"/>
        </w:rPr>
        <w:footnoteRef/>
      </w:r>
      <w:r w:rsidRPr="007D1B9D">
        <w:rPr>
          <w:rFonts w:ascii="Verdana" w:hAnsi="Verdana" w:cs="Arial"/>
          <w:color w:val="000000" w:themeColor="text1"/>
          <w:sz w:val="16"/>
          <w:szCs w:val="16"/>
        </w:rPr>
        <w:t xml:space="preserve"> Consejo de Estado. Sección Tercera. Subsección A. Sentencia del 24 de octubre de 2016. C.P. Marta Nubia Velásquez Rico. </w:t>
      </w:r>
      <w:r w:rsidRPr="007D1B9D">
        <w:rPr>
          <w:rFonts w:ascii="Verdana" w:hAnsi="Verdana" w:cs="Arial"/>
          <w:color w:val="000000" w:themeColor="text1"/>
          <w:sz w:val="16"/>
          <w:szCs w:val="16"/>
          <w:lang w:val="es-CO"/>
        </w:rPr>
        <w:t>Exp. 45.607.</w:t>
      </w:r>
    </w:p>
  </w:footnote>
  <w:footnote w:id="11">
    <w:p w14:paraId="76EB1E2D" w14:textId="77777777" w:rsidR="00E85B43" w:rsidRPr="007D1B9D" w:rsidRDefault="00E85B43" w:rsidP="00E85B43">
      <w:pPr>
        <w:pStyle w:val="Textonotapie"/>
        <w:ind w:firstLine="708"/>
        <w:jc w:val="both"/>
        <w:rPr>
          <w:rFonts w:ascii="Verdana" w:hAnsi="Verdana" w:cs="Arial"/>
          <w:sz w:val="16"/>
          <w:szCs w:val="16"/>
        </w:rPr>
      </w:pPr>
      <w:r w:rsidRPr="007D1B9D">
        <w:rPr>
          <w:rStyle w:val="Refdenotaalpie"/>
          <w:rFonts w:ascii="Verdana" w:hAnsi="Verdana" w:cs="Arial"/>
          <w:sz w:val="16"/>
          <w:szCs w:val="16"/>
        </w:rPr>
        <w:footnoteRef/>
      </w:r>
      <w:r w:rsidRPr="007D1B9D">
        <w:rPr>
          <w:rFonts w:ascii="Verdana" w:hAnsi="Verdana" w:cs="Arial"/>
          <w:sz w:val="16"/>
          <w:szCs w:val="16"/>
        </w:rPr>
        <w:t xml:space="preserve"> Agencia Nacional de Contratación Pública –Colombia Compra Eficiente–. Guía de garantías en procesos de contratación. p. 12. Disponible en: </w:t>
      </w:r>
      <w:hyperlink r:id="rId1" w:history="1">
        <w:r w:rsidRPr="007D1B9D">
          <w:rPr>
            <w:rStyle w:val="Hipervnculo"/>
            <w:rFonts w:ascii="Verdana" w:hAnsi="Verdana"/>
            <w:sz w:val="16"/>
            <w:szCs w:val="16"/>
          </w:rPr>
          <w:t>https://www.colombiacompra.gov.co/manuales-guias-y-pliegos-tipo/manuales-y-guias</w:t>
        </w:r>
      </w:hyperlink>
      <w:r w:rsidRPr="007D1B9D">
        <w:rPr>
          <w:rFonts w:ascii="Verdana" w:hAnsi="Verdana" w:cs="Arial"/>
          <w:sz w:val="16"/>
          <w:szCs w:val="16"/>
        </w:rPr>
        <w:t xml:space="preserve">. </w:t>
      </w:r>
    </w:p>
    <w:p w14:paraId="34F19737" w14:textId="77777777" w:rsidR="00E85B43" w:rsidRPr="007D1B9D" w:rsidRDefault="00E85B43" w:rsidP="00E85B43">
      <w:pPr>
        <w:pStyle w:val="Textonotapie"/>
        <w:ind w:firstLine="708"/>
        <w:jc w:val="both"/>
        <w:rPr>
          <w:rFonts w:ascii="Verdana" w:hAnsi="Verdana" w:cs="Arial"/>
          <w:sz w:val="16"/>
          <w:szCs w:val="16"/>
          <w:lang w:val="es-CO"/>
        </w:rPr>
      </w:pPr>
    </w:p>
  </w:footnote>
  <w:footnote w:id="12">
    <w:p w14:paraId="3342DDFE" w14:textId="77777777" w:rsidR="00E85B43" w:rsidRPr="007D1B9D" w:rsidRDefault="00E85B43" w:rsidP="00E85B43">
      <w:pPr>
        <w:pStyle w:val="Textonotapie"/>
        <w:ind w:firstLine="708"/>
        <w:jc w:val="both"/>
        <w:rPr>
          <w:rFonts w:ascii="Verdana" w:hAnsi="Verdana" w:cs="Arial"/>
          <w:sz w:val="16"/>
          <w:szCs w:val="16"/>
        </w:rPr>
      </w:pPr>
      <w:r w:rsidRPr="007D1B9D">
        <w:rPr>
          <w:rStyle w:val="Refdenotaalpie"/>
          <w:rFonts w:ascii="Verdana" w:hAnsi="Verdana" w:cs="Arial"/>
          <w:sz w:val="16"/>
          <w:szCs w:val="16"/>
        </w:rPr>
        <w:footnoteRef/>
      </w:r>
      <w:r w:rsidRPr="007D1B9D">
        <w:rPr>
          <w:rFonts w:ascii="Verdana" w:hAnsi="Verdana" w:cs="Arial"/>
          <w:sz w:val="16"/>
          <w:szCs w:val="16"/>
        </w:rPr>
        <w:t xml:space="preserve"> Ibidem., p. 17. La guía además señala en relación con las garantías bancarias y cartas de crédito stand by, que “El compromiso del emisor es pagar al primer requerimiento del beneficiario de la garantía, por lo cual no es necesario que la Entidad Estatal demuestre que el incumplimiento efectivamente ha ocurrido, pero antes de cobrar este tipo de garantías, la Entidad Estatal debe llevar a cabo el procedimiento previsto por la ley para declarar el incumplimiento respecto del oferente o contratista”.</w:t>
      </w:r>
    </w:p>
  </w:footnote>
  <w:footnote w:id="13">
    <w:p w14:paraId="274B17EA"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Style w:val="Refdenotaalpie"/>
          <w:rFonts w:ascii="Verdana" w:hAnsi="Verdana" w:cs="Arial"/>
          <w:color w:val="000000" w:themeColor="text1"/>
          <w:sz w:val="16"/>
          <w:szCs w:val="16"/>
        </w:rPr>
        <w:footnoteRef/>
      </w:r>
      <w:r w:rsidRPr="007D1B9D">
        <w:rPr>
          <w:rFonts w:ascii="Verdana" w:hAnsi="Verdana" w:cs="Arial"/>
          <w:color w:val="000000" w:themeColor="text1"/>
          <w:sz w:val="16"/>
          <w:szCs w:val="16"/>
        </w:rPr>
        <w:t xml:space="preserve"> </w:t>
      </w:r>
      <w:r w:rsidRPr="007D1B9D">
        <w:rPr>
          <w:rFonts w:ascii="Verdana" w:hAnsi="Verdana" w:cs="Arial"/>
          <w:color w:val="000000" w:themeColor="text1"/>
          <w:sz w:val="16"/>
          <w:szCs w:val="16"/>
          <w:lang w:val="es-CO"/>
        </w:rPr>
        <w:t xml:space="preserve">“Artículo 2.2.1.2.3.1.7. Garantía de cumplimiento. La garantía de cumplimiento del contrato debe cubrir: </w:t>
      </w:r>
    </w:p>
    <w:p w14:paraId="06E14028" w14:textId="77777777" w:rsidR="00E85B43" w:rsidRPr="007D1B9D" w:rsidRDefault="00E85B43" w:rsidP="00E85B43">
      <w:pPr>
        <w:pStyle w:val="Textonotapie"/>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  </w:t>
      </w:r>
      <w:r w:rsidRPr="007D1B9D">
        <w:rPr>
          <w:rFonts w:ascii="Verdana" w:hAnsi="Verdana" w:cs="Arial"/>
          <w:color w:val="000000" w:themeColor="text1"/>
          <w:sz w:val="16"/>
          <w:szCs w:val="16"/>
          <w:lang w:val="es-CO"/>
        </w:rPr>
        <w:tab/>
        <w:t>1. Buen manejo y correcta inversión del anticipo. Este amparo cubre los perjuicios sufridos por la Entidad Estatal con ocasión de: (i) la no inversión del anticipo; (ii) el uso indebido del anticipo; y (iii) la apropiación indebida de los recursos recibidos en calidad de anticipo</w:t>
      </w:r>
    </w:p>
    <w:p w14:paraId="0A66F156"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2. Devolución del pago anticipado. Este amparo cubre los perjuicios sufridos por la Entidad Estatal por la no devolución total o parcial del dinero entregado al contratista a título de pago anticipado, cuando a ello hubiere lugar. </w:t>
      </w:r>
    </w:p>
    <w:p w14:paraId="2A452990"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3. Cumplimiento del contrato. Este amparo cubre a la Entidad Estatal de los perjuicios derivados de: </w:t>
      </w:r>
    </w:p>
    <w:p w14:paraId="3A58516E" w14:textId="77777777" w:rsidR="00E85B43" w:rsidRPr="007D1B9D" w:rsidRDefault="00E85B43" w:rsidP="00E85B43">
      <w:pPr>
        <w:pStyle w:val="Textonotapie"/>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  </w:t>
      </w:r>
      <w:r w:rsidRPr="007D1B9D">
        <w:rPr>
          <w:rFonts w:ascii="Verdana" w:hAnsi="Verdana" w:cs="Arial"/>
          <w:color w:val="000000" w:themeColor="text1"/>
          <w:sz w:val="16"/>
          <w:szCs w:val="16"/>
          <w:lang w:val="es-CO"/>
        </w:rPr>
        <w:tab/>
        <w:t xml:space="preserve">3.1. El incumplimiento total o parcial del contrato, cuando el incumplimiento es imputable al contratista; </w:t>
      </w:r>
    </w:p>
    <w:p w14:paraId="6938B3D0" w14:textId="77777777" w:rsidR="00E85B43" w:rsidRPr="007D1B9D" w:rsidRDefault="00E85B43" w:rsidP="00E85B43">
      <w:pPr>
        <w:pStyle w:val="Textonotapie"/>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  </w:t>
      </w:r>
      <w:r w:rsidRPr="007D1B9D">
        <w:rPr>
          <w:rFonts w:ascii="Verdana" w:hAnsi="Verdana" w:cs="Arial"/>
          <w:color w:val="000000" w:themeColor="text1"/>
          <w:sz w:val="16"/>
          <w:szCs w:val="16"/>
          <w:lang w:val="es-CO"/>
        </w:rPr>
        <w:tab/>
        <w:t xml:space="preserve">3.2. El cumplimiento tardío o defectuoso del contrato, cuando el incumplimiento es imputable al contratista; </w:t>
      </w:r>
    </w:p>
    <w:p w14:paraId="3F571E03"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3.3. Los daños imputables al contratista por entregas parciales de la obra, cuando el contrato no prevé entregas parciales; y </w:t>
      </w:r>
    </w:p>
    <w:p w14:paraId="0C271EB4"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3.4. El pago del valor de las multas y de la cláusula penal pecuniaria. </w:t>
      </w:r>
    </w:p>
    <w:p w14:paraId="53D1890D"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4. Pago de salarios, prestaciones sociales legales e indemnizaciones laborales. Este amparo debe cubrir a la Entidad Estatal de los perjuicios ocasionados por el incumplimiento de las obligaciones laborales del contratista derivadas de la contratación del personal utilizado en el territorio nacional para la ejecución del contrato amparado. </w:t>
      </w:r>
    </w:p>
    <w:p w14:paraId="28839144"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La Entidad Estatal no debe exigir una garantía para cubrir este Riesgo en los contratos que se ejecuten fuera del territorio nacional con personal contratado bajo un régimen jurídico distinto al colombiano. </w:t>
      </w:r>
    </w:p>
    <w:p w14:paraId="5A689380"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5. Estabilidad y calidad de la obra. Este amparo cubre a la Entidad Estatal de los perjuicios ocasionados por cualquier tipo de daño o deterioro, imputable al contratista, sufrido por la obra entregada a satisfacción. </w:t>
      </w:r>
    </w:p>
    <w:p w14:paraId="78EF7F5F"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6. Calidad del servicio. Este amparo cubre a la Entidad Estatal por los perjuicios derivados de la deficiente calidad del servicio prestado. </w:t>
      </w:r>
    </w:p>
    <w:p w14:paraId="16F6529B"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 xml:space="preserve">7. Calidad y correcto funcionamiento de los bienes. Este amparo debe cubrir la calidad y el correcto funcionamiento de los bienes que recibe la Entidad Estatal en cumplimiento de un contrato. </w:t>
      </w:r>
    </w:p>
    <w:p w14:paraId="02CBB7CA"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Fonts w:ascii="Verdana" w:hAnsi="Verdana" w:cs="Arial"/>
          <w:color w:val="000000" w:themeColor="text1"/>
          <w:sz w:val="16"/>
          <w:szCs w:val="16"/>
          <w:lang w:val="es-CO"/>
        </w:rPr>
        <w:t>8. Los demás incumplimientos de obligaciones que la Entidad Estatal considere deben ser amparados de manera proporcional y acorde a la naturaleza del contrato”.</w:t>
      </w:r>
    </w:p>
    <w:p w14:paraId="5C566BB1"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p>
  </w:footnote>
  <w:footnote w:id="14">
    <w:p w14:paraId="7A6E3EB0" w14:textId="77777777" w:rsidR="00E85B43" w:rsidRPr="007D1B9D" w:rsidRDefault="00E85B43" w:rsidP="00E85B43">
      <w:pPr>
        <w:pStyle w:val="Textonotapie"/>
        <w:ind w:firstLine="708"/>
        <w:jc w:val="both"/>
        <w:rPr>
          <w:rFonts w:ascii="Verdana" w:hAnsi="Verdana"/>
          <w:sz w:val="16"/>
          <w:szCs w:val="16"/>
        </w:rPr>
      </w:pPr>
      <w:r w:rsidRPr="007D1B9D">
        <w:rPr>
          <w:rStyle w:val="Refdenotaalpie"/>
          <w:rFonts w:ascii="Verdana" w:hAnsi="Verdana"/>
          <w:sz w:val="16"/>
          <w:szCs w:val="16"/>
        </w:rPr>
        <w:footnoteRef/>
      </w:r>
      <w:r w:rsidRPr="007D1B9D">
        <w:rPr>
          <w:rFonts w:ascii="Verdana" w:hAnsi="Verdana"/>
          <w:sz w:val="16"/>
          <w:szCs w:val="16"/>
        </w:rPr>
        <w:t xml:space="preserve"> </w:t>
      </w:r>
      <w:r w:rsidRPr="007D1B9D">
        <w:rPr>
          <w:rFonts w:ascii="Verdana" w:hAnsi="Verdana"/>
          <w:sz w:val="16"/>
          <w:szCs w:val="16"/>
          <w:lang w:val="es-CO"/>
        </w:rPr>
        <w:t>Agencia Nacional de Contratación Pública – Colombia Compra Eficiente. Guía para la Exigencia y Constitución de Garantías en los Procesos de Contratación. Disponible en línea:</w:t>
      </w:r>
      <w:r w:rsidRPr="007D1B9D">
        <w:rPr>
          <w:rFonts w:ascii="Verdana" w:hAnsi="Verdana"/>
          <w:sz w:val="16"/>
          <w:szCs w:val="16"/>
        </w:rPr>
        <w:t xml:space="preserve"> </w:t>
      </w:r>
      <w:hyperlink r:id="rId2" w:history="1">
        <w:r w:rsidRPr="007D1B9D">
          <w:rPr>
            <w:rStyle w:val="Hipervnculo"/>
            <w:rFonts w:ascii="Verdana" w:hAnsi="Verdana"/>
            <w:sz w:val="16"/>
            <w:szCs w:val="16"/>
            <w:lang w:val="es-CO"/>
          </w:rPr>
          <w:t>https://www.colombiacompra.gov.co/normativa-y-relatoria/guias-y-manuales</w:t>
        </w:r>
      </w:hyperlink>
      <w:r w:rsidRPr="007D1B9D">
        <w:rPr>
          <w:rFonts w:ascii="Verdana" w:hAnsi="Verdana"/>
          <w:sz w:val="16"/>
          <w:szCs w:val="16"/>
          <w:lang w:val="es-CO"/>
        </w:rPr>
        <w:t xml:space="preserve">. p. </w:t>
      </w:r>
      <w:r w:rsidRPr="007D1B9D">
        <w:rPr>
          <w:rFonts w:ascii="Verdana" w:hAnsi="Verdana"/>
          <w:sz w:val="16"/>
          <w:szCs w:val="16"/>
        </w:rPr>
        <w:t>109</w:t>
      </w:r>
    </w:p>
  </w:footnote>
  <w:footnote w:id="15">
    <w:p w14:paraId="7267F187" w14:textId="77777777" w:rsidR="00E85B43" w:rsidRPr="007D1B9D" w:rsidRDefault="00E85B43" w:rsidP="00E85B43">
      <w:pPr>
        <w:pStyle w:val="Textonotapie"/>
        <w:ind w:firstLine="708"/>
        <w:jc w:val="both"/>
        <w:rPr>
          <w:rFonts w:ascii="Verdana" w:hAnsi="Verdana"/>
          <w:sz w:val="16"/>
          <w:szCs w:val="16"/>
          <w:lang w:val="es-CO"/>
        </w:rPr>
      </w:pPr>
      <w:r w:rsidRPr="007D1B9D">
        <w:rPr>
          <w:rStyle w:val="Refdenotaalpie"/>
          <w:rFonts w:ascii="Verdana" w:hAnsi="Verdana"/>
          <w:sz w:val="16"/>
          <w:szCs w:val="16"/>
        </w:rPr>
        <w:footnoteRef/>
      </w:r>
      <w:r w:rsidRPr="007D1B9D">
        <w:rPr>
          <w:rFonts w:ascii="Verdana" w:hAnsi="Verdana"/>
          <w:sz w:val="16"/>
          <w:szCs w:val="16"/>
        </w:rPr>
        <w:t xml:space="preserve"> Ibidem, </w:t>
      </w:r>
      <w:r w:rsidRPr="007D1B9D">
        <w:rPr>
          <w:rFonts w:ascii="Verdana" w:hAnsi="Verdana"/>
          <w:sz w:val="16"/>
          <w:szCs w:val="16"/>
          <w:lang w:val="es-CO"/>
        </w:rPr>
        <w:t>p. 56.</w:t>
      </w:r>
    </w:p>
  </w:footnote>
  <w:footnote w:id="16">
    <w:p w14:paraId="18A9B12C" w14:textId="77777777" w:rsidR="00E85B43" w:rsidRPr="007D1B9D" w:rsidRDefault="00E85B43" w:rsidP="00E85B43">
      <w:pPr>
        <w:pStyle w:val="Textonotapie"/>
        <w:ind w:firstLine="708"/>
        <w:jc w:val="both"/>
        <w:rPr>
          <w:rFonts w:ascii="Verdana" w:hAnsi="Verdana"/>
          <w:sz w:val="16"/>
          <w:szCs w:val="16"/>
        </w:rPr>
      </w:pPr>
      <w:r w:rsidRPr="007D1B9D">
        <w:rPr>
          <w:rStyle w:val="Refdenotaalpie"/>
          <w:rFonts w:ascii="Verdana" w:hAnsi="Verdana"/>
          <w:sz w:val="16"/>
          <w:szCs w:val="16"/>
        </w:rPr>
        <w:footnoteRef/>
      </w:r>
      <w:r w:rsidRPr="007D1B9D">
        <w:rPr>
          <w:rFonts w:ascii="Verdana" w:hAnsi="Verdana"/>
          <w:sz w:val="16"/>
          <w:szCs w:val="16"/>
        </w:rPr>
        <w:t xml:space="preserve"> Consejo de Estado. Sección Tercera. Subsección A. Sentencia del 7 de febrero de 2025. C.P.  Fernando Alexei Pardo Flórez. Exp. 71.453. </w:t>
      </w:r>
    </w:p>
  </w:footnote>
  <w:footnote w:id="17">
    <w:p w14:paraId="40FE9277" w14:textId="77777777" w:rsidR="00E85B43" w:rsidRPr="007D1B9D" w:rsidRDefault="00E85B43" w:rsidP="00E85B43">
      <w:pPr>
        <w:pStyle w:val="Textonotapie"/>
        <w:ind w:firstLine="708"/>
        <w:jc w:val="both"/>
        <w:rPr>
          <w:rFonts w:ascii="Verdana" w:hAnsi="Verdana"/>
          <w:sz w:val="16"/>
          <w:szCs w:val="16"/>
        </w:rPr>
      </w:pPr>
      <w:r w:rsidRPr="007D1B9D">
        <w:rPr>
          <w:rStyle w:val="Refdenotaalpie"/>
          <w:rFonts w:ascii="Verdana" w:hAnsi="Verdana"/>
          <w:sz w:val="16"/>
          <w:szCs w:val="16"/>
        </w:rPr>
        <w:footnoteRef/>
      </w:r>
      <w:r w:rsidRPr="007D1B9D">
        <w:rPr>
          <w:rFonts w:ascii="Verdana" w:hAnsi="Verdana"/>
          <w:sz w:val="16"/>
          <w:szCs w:val="16"/>
        </w:rPr>
        <w:t xml:space="preserve"> Consejo de Estado. Sección Tercera. Subsección C. Sentencia del 11 de agosto de 2025. C.P. Nicolas Yepes Corrales. Exp. 71.554. </w:t>
      </w:r>
    </w:p>
  </w:footnote>
  <w:footnote w:id="18">
    <w:p w14:paraId="0145C2E4" w14:textId="77777777" w:rsidR="00E85B43" w:rsidRPr="007D1B9D" w:rsidRDefault="00E85B43" w:rsidP="00E85B43">
      <w:pPr>
        <w:pStyle w:val="Textonotapie"/>
        <w:ind w:firstLine="708"/>
        <w:jc w:val="both"/>
        <w:rPr>
          <w:rFonts w:ascii="Verdana" w:hAnsi="Verdana"/>
          <w:sz w:val="16"/>
          <w:szCs w:val="16"/>
        </w:rPr>
      </w:pPr>
      <w:r w:rsidRPr="007D1B9D">
        <w:rPr>
          <w:rStyle w:val="Refdenotaalpie"/>
          <w:rFonts w:ascii="Verdana" w:hAnsi="Verdana"/>
          <w:sz w:val="16"/>
          <w:szCs w:val="16"/>
        </w:rPr>
        <w:footnoteRef/>
      </w:r>
      <w:r w:rsidRPr="007D1B9D">
        <w:rPr>
          <w:rFonts w:ascii="Verdana" w:hAnsi="Verdana"/>
          <w:sz w:val="16"/>
          <w:szCs w:val="16"/>
        </w:rPr>
        <w:t xml:space="preserve"> En torno al procedimiento, el Consejo de Estado ha expresado: “</w:t>
      </w:r>
      <w:r w:rsidRPr="007D1B9D">
        <w:rPr>
          <w:rFonts w:ascii="Verdana" w:hAnsi="Verdana"/>
          <w:sz w:val="16"/>
          <w:szCs w:val="16"/>
          <w:lang w:val="es-CO"/>
        </w:rPr>
        <w:t xml:space="preserve">Ahora bien, tal y como lo ha señalado esta Subsección, en  lo que concierne a la  declaratoria de ocurrencia del siniestro de calidad -que no tiene carácter  sancionatorio-, es importante precisar que, derivado de su naturaleza  eminentemente indemnizatoria, no es menester que las entidades públicas, previo  a la adopción de su decisión, adelanten una actuación administrativa contractual o  un procedimiento administrativo en estricto sentido. Al contratista y a la compañía  de seguros, con el propósito de garantizar su derecho al debido proceso, se les  debe permitir impugnar el acto administrativo que declara la ocurrencia del siniestro  a través de la interposición del recurso de reposición, para que puedan controvertir </w:t>
      </w:r>
      <w:r w:rsidRPr="007D1B9D">
        <w:rPr>
          <w:rFonts w:ascii="Verdana" w:hAnsi="Verdana"/>
          <w:sz w:val="16"/>
          <w:szCs w:val="16"/>
        </w:rPr>
        <w:t xml:space="preserve">las razones aducidas por la Administración, así como las pruebas que las sustentan  y también para que </w:t>
      </w:r>
      <w:r w:rsidRPr="007D1B9D">
        <w:rPr>
          <w:rFonts w:ascii="Verdana" w:hAnsi="Verdana"/>
          <w:sz w:val="16"/>
          <w:szCs w:val="16"/>
          <w:lang w:val="es-CO"/>
        </w:rPr>
        <w:t xml:space="preserve">aporten las que estimen convenientes” (Consejo de Estado. Sección Tercera. Subsección C. Sentencia del 11 de agosto de 2025. C.P. Nicolas Yepes Corrales. Exp. 71.554). </w:t>
      </w:r>
    </w:p>
    <w:p w14:paraId="6C524844" w14:textId="77777777" w:rsidR="00E85B43" w:rsidRPr="007D1B9D" w:rsidRDefault="00E85B43" w:rsidP="00E85B43">
      <w:pPr>
        <w:pStyle w:val="Textonotapie"/>
        <w:ind w:firstLine="708"/>
        <w:jc w:val="both"/>
        <w:rPr>
          <w:rFonts w:ascii="Verdana" w:hAnsi="Verdana"/>
          <w:sz w:val="16"/>
          <w:szCs w:val="16"/>
        </w:rPr>
      </w:pPr>
    </w:p>
  </w:footnote>
  <w:footnote w:id="19">
    <w:p w14:paraId="2BAB55B0" w14:textId="77777777" w:rsidR="00E85B43" w:rsidRPr="007D1B9D" w:rsidRDefault="00E85B43" w:rsidP="00E85B43">
      <w:pPr>
        <w:pStyle w:val="Textonotapie"/>
        <w:ind w:firstLine="708"/>
        <w:jc w:val="both"/>
        <w:rPr>
          <w:rFonts w:ascii="Verdana" w:hAnsi="Verdana"/>
          <w:sz w:val="16"/>
          <w:szCs w:val="16"/>
          <w:lang w:val="es-CO"/>
        </w:rPr>
      </w:pPr>
      <w:r w:rsidRPr="007D1B9D">
        <w:rPr>
          <w:rStyle w:val="Refdenotaalpie"/>
          <w:rFonts w:ascii="Verdana" w:hAnsi="Verdana"/>
          <w:sz w:val="16"/>
          <w:szCs w:val="16"/>
        </w:rPr>
        <w:footnoteRef/>
      </w:r>
      <w:r w:rsidRPr="007D1B9D">
        <w:rPr>
          <w:rFonts w:ascii="Verdana" w:hAnsi="Verdana"/>
          <w:sz w:val="16"/>
          <w:szCs w:val="16"/>
        </w:rPr>
        <w:t xml:space="preserve"> </w:t>
      </w:r>
      <w:r w:rsidRPr="007D1B9D">
        <w:rPr>
          <w:rFonts w:ascii="Verdana" w:hAnsi="Verdana"/>
          <w:sz w:val="16"/>
          <w:szCs w:val="16"/>
          <w:lang w:val="es-CO"/>
        </w:rPr>
        <w:t>Consejo de Estado. Sección Tercera, Subsección B. Sentencia del 10 de febrero de 2021. C.P. Alberto Montaña Plata. Rad. 2015-00882-01 (57454)</w:t>
      </w:r>
    </w:p>
  </w:footnote>
  <w:footnote w:id="20">
    <w:p w14:paraId="6702FF0D" w14:textId="77777777" w:rsidR="00E85B43" w:rsidRPr="007D1B9D" w:rsidRDefault="00E85B43" w:rsidP="00E85B43">
      <w:pPr>
        <w:pStyle w:val="Textonotapie"/>
        <w:ind w:firstLine="709"/>
        <w:jc w:val="both"/>
        <w:rPr>
          <w:rFonts w:ascii="Verdana" w:hAnsi="Verdana" w:cs="Times New Roman"/>
          <w:sz w:val="16"/>
          <w:szCs w:val="16"/>
          <w:lang w:val="es-ES"/>
        </w:rPr>
      </w:pPr>
      <w:r w:rsidRPr="007D1B9D">
        <w:rPr>
          <w:rStyle w:val="Refdenotaalpie"/>
          <w:rFonts w:ascii="Verdana" w:hAnsi="Verdana"/>
          <w:sz w:val="16"/>
          <w:szCs w:val="16"/>
        </w:rPr>
        <w:footnoteRef/>
      </w:r>
      <w:r w:rsidRPr="007D1B9D">
        <w:rPr>
          <w:rFonts w:ascii="Verdana" w:hAnsi="Verdana"/>
          <w:sz w:val="16"/>
          <w:szCs w:val="16"/>
        </w:rPr>
        <w:t xml:space="preserve"> Así se sostuvo en la sentencia del </w:t>
      </w:r>
      <w:r w:rsidRPr="007D1B9D">
        <w:rPr>
          <w:rFonts w:ascii="Verdana" w:hAnsi="Verdana"/>
          <w:sz w:val="16"/>
          <w:szCs w:val="16"/>
          <w:lang w:val="es-ES"/>
        </w:rPr>
        <w:t xml:space="preserve">Consejo de Estado. Sección Tercera. 19 de junio de 2019. C.P. Alberto Montaña Plata. Exp. 39.800. </w:t>
      </w:r>
    </w:p>
  </w:footnote>
  <w:footnote w:id="21">
    <w:p w14:paraId="78FF85D0" w14:textId="77777777" w:rsidR="00E85B43" w:rsidRPr="007D1B9D" w:rsidRDefault="00E85B43" w:rsidP="00E85B43">
      <w:pPr>
        <w:pStyle w:val="Textonotapie"/>
        <w:jc w:val="both"/>
        <w:rPr>
          <w:rFonts w:ascii="Verdana" w:hAnsi="Verdana" w:cs="Arial"/>
          <w:color w:val="000000" w:themeColor="text1"/>
          <w:sz w:val="16"/>
          <w:szCs w:val="16"/>
        </w:rPr>
      </w:pPr>
      <w:r w:rsidRPr="007D1B9D">
        <w:rPr>
          <w:rFonts w:ascii="Verdana" w:hAnsi="Verdana" w:cs="Arial"/>
          <w:iCs/>
          <w:color w:val="000000" w:themeColor="text1"/>
          <w:sz w:val="16"/>
          <w:szCs w:val="16"/>
        </w:rPr>
        <w:tab/>
      </w:r>
      <w:r w:rsidRPr="007D1B9D">
        <w:rPr>
          <w:rFonts w:ascii="Verdana" w:hAnsi="Verdana" w:cs="Arial"/>
          <w:iCs/>
          <w:color w:val="000000" w:themeColor="text1"/>
          <w:sz w:val="16"/>
          <w:szCs w:val="16"/>
        </w:rPr>
        <w:footnoteRef/>
      </w:r>
      <w:r w:rsidRPr="007D1B9D">
        <w:rPr>
          <w:rFonts w:ascii="Verdana" w:hAnsi="Verdana" w:cs="Arial"/>
          <w:iCs/>
          <w:color w:val="000000" w:themeColor="text1"/>
          <w:sz w:val="16"/>
          <w:szCs w:val="16"/>
        </w:rPr>
        <w:t xml:space="preserve"> Motivo por el cual son típicas cláusulas accidentales dentro de los contratos estatales, en los términos del artículo 1501 del Código Civil.</w:t>
      </w:r>
    </w:p>
  </w:footnote>
  <w:footnote w:id="22">
    <w:p w14:paraId="7DBD7292" w14:textId="77777777" w:rsidR="00E85B43" w:rsidRPr="007D1B9D" w:rsidRDefault="00E85B43" w:rsidP="00E85B43">
      <w:pPr>
        <w:pStyle w:val="Textonotapie"/>
        <w:jc w:val="both"/>
        <w:rPr>
          <w:rFonts w:ascii="Verdana" w:hAnsi="Verdana" w:cs="Arial"/>
          <w:color w:val="000000" w:themeColor="text1"/>
          <w:sz w:val="16"/>
          <w:szCs w:val="16"/>
        </w:rPr>
      </w:pPr>
      <w:r w:rsidRPr="007D1B9D">
        <w:rPr>
          <w:rFonts w:ascii="Verdana" w:hAnsi="Verdana" w:cs="Arial"/>
          <w:color w:val="000000" w:themeColor="text1"/>
          <w:sz w:val="16"/>
          <w:szCs w:val="16"/>
          <w:vertAlign w:val="superscript"/>
        </w:rPr>
        <w:tab/>
      </w:r>
      <w:r w:rsidRPr="007D1B9D">
        <w:rPr>
          <w:rFonts w:ascii="Verdana" w:hAnsi="Verdana" w:cs="Arial"/>
          <w:color w:val="000000" w:themeColor="text1"/>
          <w:sz w:val="16"/>
          <w:szCs w:val="16"/>
          <w:vertAlign w:val="superscript"/>
        </w:rPr>
        <w:footnoteRef/>
      </w:r>
      <w:r w:rsidRPr="007D1B9D">
        <w:rPr>
          <w:rFonts w:ascii="Verdana" w:hAnsi="Verdana" w:cs="Arial"/>
          <w:color w:val="000000" w:themeColor="text1"/>
          <w:sz w:val="16"/>
          <w:szCs w:val="16"/>
        </w:rPr>
        <w:t xml:space="preserve"> Consejo de Estado. Sección Tercera. </w:t>
      </w:r>
      <w:r w:rsidRPr="007D1B9D">
        <w:rPr>
          <w:rFonts w:ascii="Verdana" w:hAnsi="Verdana" w:cs="Arial"/>
          <w:color w:val="000000" w:themeColor="text1"/>
          <w:sz w:val="16"/>
          <w:szCs w:val="16"/>
          <w:vertAlign w:val="superscript"/>
        </w:rPr>
        <w:t xml:space="preserve"> </w:t>
      </w:r>
      <w:r w:rsidRPr="007D1B9D">
        <w:rPr>
          <w:rFonts w:ascii="Verdana" w:hAnsi="Verdana" w:cs="Arial"/>
          <w:color w:val="000000" w:themeColor="text1"/>
          <w:sz w:val="16"/>
          <w:szCs w:val="16"/>
        </w:rPr>
        <w:t>Sentencia del 13 de noviembre de 2008. C.P. Enrique Gil Botero.</w:t>
      </w:r>
      <w:r w:rsidRPr="007D1B9D">
        <w:rPr>
          <w:rFonts w:ascii="Verdana" w:hAnsi="Verdana" w:cs="Arial"/>
          <w:color w:val="000000" w:themeColor="text1"/>
          <w:sz w:val="16"/>
          <w:szCs w:val="16"/>
          <w:lang w:val="es-CO"/>
        </w:rPr>
        <w:t xml:space="preserve"> Exp. 17.009,</w:t>
      </w:r>
    </w:p>
  </w:footnote>
  <w:footnote w:id="23">
    <w:p w14:paraId="67E14E89" w14:textId="77777777" w:rsidR="00E85B43" w:rsidRPr="007D1B9D" w:rsidRDefault="00E85B43" w:rsidP="00E85B43">
      <w:pPr>
        <w:snapToGrid w:val="0"/>
        <w:spacing w:after="0" w:line="240" w:lineRule="auto"/>
        <w:ind w:firstLine="709"/>
        <w:jc w:val="both"/>
        <w:rPr>
          <w:rFonts w:ascii="Verdana" w:hAnsi="Verdana" w:cs="Arial"/>
          <w:sz w:val="16"/>
          <w:szCs w:val="16"/>
        </w:rPr>
      </w:pPr>
      <w:r w:rsidRPr="007D1B9D">
        <w:rPr>
          <w:rStyle w:val="Refdenotaalpie"/>
          <w:rFonts w:ascii="Verdana" w:hAnsi="Verdana" w:cs="Arial"/>
          <w:sz w:val="16"/>
          <w:szCs w:val="16"/>
        </w:rPr>
        <w:footnoteRef/>
      </w:r>
      <w:r w:rsidRPr="007D1B9D">
        <w:rPr>
          <w:rFonts w:ascii="Verdana" w:hAnsi="Verdana" w:cs="Arial"/>
          <w:sz w:val="16"/>
          <w:szCs w:val="16"/>
        </w:rPr>
        <w:t xml:space="preserve"> Corte Suprema de Justicia, Sala de Casación Civil, sentencia del 31 de julio de 2018, Radicación n.º 25899-31-03-002-2013-00162-01, M.P. Luis Alonso Rico Puerta.</w:t>
      </w:r>
    </w:p>
  </w:footnote>
  <w:footnote w:id="24">
    <w:p w14:paraId="498ED594" w14:textId="77777777" w:rsidR="00E85B43" w:rsidRPr="007D1B9D" w:rsidRDefault="00E85B43" w:rsidP="00E85B43">
      <w:pPr>
        <w:pStyle w:val="Textonotapie"/>
        <w:snapToGrid w:val="0"/>
        <w:ind w:firstLine="709"/>
        <w:jc w:val="both"/>
        <w:rPr>
          <w:rFonts w:ascii="Verdana" w:hAnsi="Verdana" w:cs="Arial"/>
          <w:sz w:val="16"/>
          <w:szCs w:val="16"/>
        </w:rPr>
      </w:pPr>
      <w:r w:rsidRPr="007D1B9D">
        <w:rPr>
          <w:rStyle w:val="Refdenotaalpie"/>
          <w:rFonts w:ascii="Verdana" w:hAnsi="Verdana" w:cs="Arial"/>
          <w:sz w:val="16"/>
          <w:szCs w:val="16"/>
        </w:rPr>
        <w:footnoteRef/>
      </w:r>
      <w:r w:rsidRPr="007D1B9D">
        <w:rPr>
          <w:rFonts w:ascii="Verdana" w:hAnsi="Verdana" w:cs="Arial"/>
          <w:sz w:val="16"/>
          <w:szCs w:val="16"/>
        </w:rPr>
        <w:t xml:space="preserve"> EXPÓSITO VÉLEZ, Juan Carlos. Forma y contenido del contrato estatal. Bogotá: Universidad Externado de Colombia, 2013. p. 181. Frente a este tema, David Suárez Tamayo expresa: </w:t>
      </w:r>
      <w:r w:rsidRPr="007D1B9D">
        <w:rPr>
          <w:rFonts w:ascii="Verdana" w:eastAsia="Times New Roman" w:hAnsi="Verdana" w:cs="Arial"/>
          <w:iCs/>
          <w:sz w:val="16"/>
          <w:szCs w:val="16"/>
          <w:lang w:val="es-ES_tradnl"/>
        </w:rPr>
        <w:t>«</w:t>
      </w:r>
      <w:r w:rsidRPr="007D1B9D">
        <w:rPr>
          <w:rFonts w:ascii="Verdana" w:hAnsi="Verdana" w:cs="Arial"/>
          <w:sz w:val="16"/>
          <w:szCs w:val="16"/>
        </w:rPr>
        <w:t xml:space="preserve"> […] las multas se han considerado como un apremio, acoso, conminación para que el contratista se ponga al día en sus compromisos, pero igualmente tienen una connotación sancionatoria; de otra parte, la penal pecuniaria es una estimación anticipada, pero no de perjuicios, es decir, tiene un carácter resarcitorio, indemnizatorio, de garantía, pero al igual que las multas, también puede llegar a considerarse como una sanción</w:t>
      </w:r>
      <w:r w:rsidRPr="007D1B9D">
        <w:rPr>
          <w:rFonts w:ascii="Verdana" w:eastAsia="Times New Roman" w:hAnsi="Verdana" w:cs="Arial"/>
          <w:iCs/>
          <w:sz w:val="16"/>
          <w:szCs w:val="16"/>
          <w:lang w:val="es-ES_tradnl"/>
        </w:rPr>
        <w:t>»</w:t>
      </w:r>
      <w:r w:rsidRPr="007D1B9D">
        <w:rPr>
          <w:rFonts w:ascii="Verdana" w:hAnsi="Verdana" w:cs="Arial"/>
          <w:sz w:val="16"/>
          <w:szCs w:val="16"/>
        </w:rPr>
        <w:t xml:space="preserve"> (</w:t>
      </w:r>
      <w:r w:rsidRPr="007D1B9D">
        <w:rPr>
          <w:rFonts w:ascii="Verdana" w:hAnsi="Verdana" w:cs="Arial"/>
          <w:sz w:val="16"/>
          <w:szCs w:val="16"/>
          <w:lang w:val="es-CO"/>
        </w:rPr>
        <w:t>SUÁREZ TAMAYO, David. Cláusula de multas y penal pecuniaria. Medellín: Librería Jurídica Sánchez R Ltda y CEDA, 2014.</w:t>
      </w:r>
      <w:r w:rsidRPr="007D1B9D">
        <w:rPr>
          <w:rFonts w:ascii="Verdana" w:hAnsi="Verdana" w:cs="Arial"/>
          <w:sz w:val="16"/>
          <w:szCs w:val="16"/>
        </w:rPr>
        <w:t xml:space="preserve"> p. 10).</w:t>
      </w:r>
    </w:p>
  </w:footnote>
  <w:footnote w:id="25">
    <w:p w14:paraId="07A4799E" w14:textId="77777777" w:rsidR="00E85B43" w:rsidRPr="007D1B9D" w:rsidRDefault="00E85B43" w:rsidP="00E85B43">
      <w:pPr>
        <w:pStyle w:val="Textonotapie"/>
        <w:snapToGrid w:val="0"/>
        <w:ind w:firstLine="708"/>
        <w:jc w:val="both"/>
        <w:rPr>
          <w:rFonts w:ascii="Verdana" w:hAnsi="Verdana" w:cs="Arial"/>
          <w:sz w:val="16"/>
          <w:szCs w:val="16"/>
          <w:lang w:val="es-CO"/>
        </w:rPr>
      </w:pPr>
      <w:r w:rsidRPr="007D1B9D">
        <w:rPr>
          <w:rStyle w:val="Refdenotaalpie"/>
          <w:rFonts w:ascii="Verdana" w:hAnsi="Verdana" w:cs="Arial"/>
          <w:sz w:val="16"/>
          <w:szCs w:val="16"/>
        </w:rPr>
        <w:footnoteRef/>
      </w:r>
      <w:r w:rsidRPr="007D1B9D">
        <w:rPr>
          <w:rFonts w:ascii="Verdana" w:hAnsi="Verdana" w:cs="Arial"/>
          <w:sz w:val="16"/>
          <w:szCs w:val="16"/>
        </w:rPr>
        <w:t xml:space="preserve"> Consejo de Estado. Sección Tercera. Op. cit., Exp. 17.009. </w:t>
      </w:r>
      <w:r w:rsidRPr="007D1B9D">
        <w:rPr>
          <w:rFonts w:ascii="Verdana" w:hAnsi="Verdana" w:cs="Arial"/>
          <w:i/>
          <w:sz w:val="16"/>
          <w:szCs w:val="16"/>
          <w:lang w:val="es-CO"/>
        </w:rPr>
        <w:t>Ibídem.</w:t>
      </w:r>
      <w:r w:rsidRPr="007D1B9D">
        <w:rPr>
          <w:rFonts w:ascii="Verdana" w:hAnsi="Verdana" w:cs="Arial"/>
          <w:sz w:val="16"/>
          <w:szCs w:val="16"/>
          <w:lang w:val="es-CO"/>
        </w:rPr>
        <w:t xml:space="preserve"> </w:t>
      </w:r>
    </w:p>
  </w:footnote>
  <w:footnote w:id="26">
    <w:p w14:paraId="4BDA56A0" w14:textId="77777777" w:rsidR="00E85B43" w:rsidRPr="007D1B9D" w:rsidRDefault="00E85B43" w:rsidP="00E85B43">
      <w:pPr>
        <w:spacing w:after="0" w:line="240" w:lineRule="auto"/>
        <w:ind w:firstLine="708"/>
        <w:jc w:val="both"/>
        <w:rPr>
          <w:rFonts w:ascii="Verdana" w:eastAsia="Verdana" w:hAnsi="Verdana" w:cs="Verdana"/>
          <w:sz w:val="16"/>
          <w:szCs w:val="16"/>
          <w:lang w:val="es-ES"/>
        </w:rPr>
      </w:pPr>
      <w:r w:rsidRPr="007D1B9D">
        <w:rPr>
          <w:rStyle w:val="Refdenotaalpie"/>
          <w:rFonts w:ascii="Verdana" w:hAnsi="Verdana"/>
          <w:sz w:val="16"/>
          <w:szCs w:val="16"/>
        </w:rPr>
        <w:footnoteRef/>
      </w:r>
      <w:r w:rsidRPr="007D1B9D">
        <w:rPr>
          <w:rFonts w:ascii="Verdana" w:hAnsi="Verdana"/>
          <w:sz w:val="16"/>
          <w:szCs w:val="16"/>
        </w:rPr>
        <w:t xml:space="preserve"> </w:t>
      </w:r>
      <w:r w:rsidRPr="007D1B9D">
        <w:rPr>
          <w:rFonts w:ascii="Verdana" w:eastAsia="Verdana" w:hAnsi="Verdana" w:cs="Verdana"/>
          <w:sz w:val="16"/>
          <w:szCs w:val="16"/>
          <w:lang w:val="es-ES"/>
        </w:rPr>
        <w:t>“</w:t>
      </w:r>
      <w:r w:rsidRPr="007D1B9D">
        <w:rPr>
          <w:rFonts w:ascii="Verdana" w:hAnsi="Verdana"/>
          <w:sz w:val="16"/>
          <w:szCs w:val="16"/>
        </w:rPr>
        <w:t>[…]</w:t>
      </w:r>
      <w:r w:rsidRPr="007D1B9D">
        <w:rPr>
          <w:rFonts w:ascii="Verdana" w:eastAsia="Verdana" w:hAnsi="Verdana" w:cs="Verdana"/>
          <w:sz w:val="16"/>
          <w:szCs w:val="16"/>
          <w:lang w:val="es-ES"/>
        </w:rPr>
        <w:t xml:space="preserve"> la posibilidad de hacer efectiva la cláusula penal se extiende hasta el término de la liquidación, lo cual, con la Ley 1150 de 2007, se compagina con el término de caducidad.</w:t>
      </w:r>
    </w:p>
    <w:p w14:paraId="123A02C2" w14:textId="77777777" w:rsidR="00E85B43" w:rsidRPr="007D1B9D" w:rsidRDefault="00E85B43" w:rsidP="00E85B43">
      <w:pPr>
        <w:spacing w:after="0" w:line="240" w:lineRule="auto"/>
        <w:ind w:firstLine="708"/>
        <w:jc w:val="both"/>
        <w:rPr>
          <w:rFonts w:ascii="Verdana" w:eastAsia="Verdana" w:hAnsi="Verdana" w:cs="Verdana"/>
          <w:sz w:val="16"/>
          <w:szCs w:val="16"/>
          <w:lang w:val="es-ES"/>
        </w:rPr>
      </w:pPr>
      <w:r w:rsidRPr="007D1B9D">
        <w:rPr>
          <w:rFonts w:ascii="Verdana" w:eastAsia="Verdana" w:hAnsi="Verdana" w:cs="Verdana"/>
          <w:sz w:val="16"/>
          <w:szCs w:val="16"/>
          <w:lang w:val="es-ES"/>
        </w:rPr>
        <w:t xml:space="preserve">Aunque la Sala no desconoce que el término de caducidad es diferente al de liquidación, es la misma ley la que permite que, durante los dos años siguientes al vencimiento del plazo para la liquidación unilateral, y mientras no se acuda ante el juez, se pueda surtir la liquidación, lo cual mutatis mutandis, permite que la entidad contratante declare el incumplimiento para hacer efectiva la cláusula penal -resaltando, además, que no exista una disposición que restrinja el ejercicio de esta facultad-.” </w:t>
      </w:r>
      <w:r w:rsidRPr="007D1B9D">
        <w:rPr>
          <w:rFonts w:ascii="Verdana" w:hAnsi="Verdana"/>
          <w:sz w:val="16"/>
          <w:szCs w:val="16"/>
        </w:rPr>
        <w:t xml:space="preserve">Consejo de Estado. Sección tercera. Sentencia del 31 de marzo del 2023. Exp. </w:t>
      </w:r>
      <w:r w:rsidRPr="007D1B9D">
        <w:rPr>
          <w:rFonts w:ascii="Verdana" w:eastAsia="Verdana" w:hAnsi="Verdana" w:cs="Verdana"/>
          <w:sz w:val="16"/>
          <w:szCs w:val="16"/>
          <w:lang w:val="es-ES"/>
        </w:rPr>
        <w:t>56.002. C.P: Adriana Marín.</w:t>
      </w:r>
    </w:p>
  </w:footnote>
  <w:footnote w:id="27">
    <w:p w14:paraId="56887CA8"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Style w:val="Refdenotaalpie"/>
          <w:rFonts w:ascii="Verdana" w:hAnsi="Verdana" w:cs="Arial"/>
          <w:color w:val="000000" w:themeColor="text1"/>
          <w:sz w:val="16"/>
          <w:szCs w:val="16"/>
          <w:vertAlign w:val="baseline"/>
        </w:rPr>
        <w:footnoteRef/>
      </w:r>
      <w:r w:rsidRPr="007D1B9D">
        <w:rPr>
          <w:rFonts w:ascii="Verdana" w:hAnsi="Verdana" w:cs="Arial"/>
          <w:color w:val="000000" w:themeColor="text1"/>
          <w:sz w:val="16"/>
          <w:szCs w:val="16"/>
        </w:rPr>
        <w:t xml:space="preserve"> </w:t>
      </w:r>
      <w:r w:rsidRPr="007D1B9D">
        <w:rPr>
          <w:rFonts w:ascii="Verdana" w:hAnsi="Verdana" w:cs="Arial"/>
          <w:color w:val="000000" w:themeColor="text1"/>
          <w:sz w:val="16"/>
          <w:szCs w:val="16"/>
          <w:lang w:val="es-ES"/>
        </w:rPr>
        <w:t>En efecto, el artículo 86 de la Ley 1474 de 2011 dispone: “</w:t>
      </w:r>
      <w:r w:rsidRPr="007D1B9D">
        <w:rPr>
          <w:rFonts w:ascii="Verdana" w:hAnsi="Verdana" w:cs="Arial"/>
          <w:i/>
          <w:color w:val="000000" w:themeColor="text1"/>
          <w:sz w:val="16"/>
          <w:szCs w:val="16"/>
          <w:lang w:val="es-ES"/>
        </w:rPr>
        <w:t>Las entidades sometidas al Estatuto General de Contratación de la Administración Pública</w:t>
      </w:r>
      <w:r w:rsidRPr="007D1B9D">
        <w:rPr>
          <w:rFonts w:ascii="Verdana" w:hAnsi="Verdana" w:cs="Arial"/>
          <w:color w:val="000000" w:themeColor="text1"/>
          <w:sz w:val="16"/>
          <w:szCs w:val="16"/>
          <w:lang w:val="es-ES"/>
        </w:rPr>
        <w:t xml:space="preserve"> podrán declarar el incumplimiento, cuantificando los perjuicios del mismo, imponer las multas y sanciones pactadas en el contrato, y hacer efectiva la cláusula penal. Para tal efecto observarán el siguiente procedimiento:</w:t>
      </w:r>
    </w:p>
    <w:p w14:paraId="4D230B01"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a) Evidenciado un posible incumplimiento de las obligaciones a cargo del contratista, la entidad pública lo citará a audiencia para debatir lo ocurrido. En la citación,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atendida la naturaleza del contrato y la periodicidad establecida para el cumplimiento de las obligaciones contractuales. En el evento en que la garantía de cumplimiento consista en póliza de seguros, el garante será citado de la misma manera;</w:t>
      </w:r>
    </w:p>
    <w:p w14:paraId="5469F443"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b) En desarrollo de la audiencia, el jefe de la entidad o su delegado, presentará las circunstancias de hecho que motivan la actuación, enunciará las posibles normas o cláusulas posiblemente violadas y las consecuencias que podrían derivarse para el contratista en desarrollo de la actuación. Acto seguido se concederá el uso de la palabra al representante legal del contratista o a quien lo represente, y al garante, para que presenten sus descargos, en desarrollo de lo cual podrá rendir las explicaciones del caso, aportar pruebas y controvertir las presentadas por la entidad;</w:t>
      </w:r>
    </w:p>
    <w:p w14:paraId="7FCC9271"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c) 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14:paraId="661AECAA"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d) En cualquier momento del desarrollo de la audiencia, el jefe de la entidad o su delegado,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situación de incumplimiento” (cursivas fuera de texto).</w:t>
      </w:r>
    </w:p>
    <w:p w14:paraId="31F61A17"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p>
  </w:footnote>
  <w:footnote w:id="28">
    <w:p w14:paraId="4953A026"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Style w:val="Refdenotaalpie"/>
          <w:rFonts w:ascii="Verdana" w:hAnsi="Verdana" w:cs="Arial"/>
          <w:color w:val="000000" w:themeColor="text1"/>
          <w:sz w:val="16"/>
          <w:szCs w:val="16"/>
          <w:vertAlign w:val="baseline"/>
        </w:rPr>
        <w:footnoteRef/>
      </w:r>
      <w:r w:rsidRPr="007D1B9D">
        <w:rPr>
          <w:rFonts w:ascii="Verdana" w:hAnsi="Verdana" w:cs="Arial"/>
          <w:color w:val="000000" w:themeColor="text1"/>
          <w:sz w:val="16"/>
          <w:szCs w:val="16"/>
        </w:rPr>
        <w:t xml:space="preserve"> </w:t>
      </w:r>
      <w:r w:rsidRPr="007D1B9D">
        <w:rPr>
          <w:rFonts w:ascii="Verdana" w:hAnsi="Verdana" w:cs="Arial"/>
          <w:color w:val="000000" w:themeColor="text1"/>
          <w:sz w:val="16"/>
          <w:szCs w:val="16"/>
          <w:lang w:val="es-ES"/>
        </w:rPr>
        <w:t>Debe recordarse que las entidades sometidas al Estatuto General de Contratación de la Administración Pública son las que se señalan en el artículo 2 de la Ley 80 de 1993. Esta disposición establece: “Para los solos efectos de esta ley:</w:t>
      </w:r>
    </w:p>
    <w:p w14:paraId="2833A9B3"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1o. Se denominan entidades estatales:</w:t>
      </w:r>
    </w:p>
    <w:p w14:paraId="6101EDF9"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w:t>
      </w:r>
      <w:r w:rsidRPr="007D1B9D">
        <w:rPr>
          <w:rFonts w:ascii="Verdana" w:hAnsi="Verdana"/>
          <w:sz w:val="16"/>
          <w:szCs w:val="16"/>
        </w:rPr>
        <w:t>i</w:t>
      </w:r>
      <w:r w:rsidRPr="007D1B9D">
        <w:rPr>
          <w:rFonts w:ascii="Verdana" w:hAnsi="Verdana" w:cs="Arial"/>
          <w:color w:val="000000" w:themeColor="text1"/>
          <w:sz w:val="16"/>
          <w:szCs w:val="16"/>
          <w:lang w:val="es-ES"/>
        </w:rPr>
        <w:t>cha participación pública mayoritaria, cualquiera sea la denominación que ellas adopten, en todos los órdenes y niveles.</w:t>
      </w:r>
    </w:p>
    <w:p w14:paraId="22136145"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p>
  </w:footnote>
  <w:footnote w:id="29">
    <w:p w14:paraId="5C87588D"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Style w:val="Refdenotaalpie"/>
          <w:rFonts w:ascii="Verdana" w:hAnsi="Verdana" w:cs="Arial"/>
          <w:color w:val="000000" w:themeColor="text1"/>
          <w:sz w:val="16"/>
          <w:szCs w:val="16"/>
          <w:vertAlign w:val="baseline"/>
        </w:rPr>
        <w:footnoteRef/>
      </w:r>
      <w:r w:rsidRPr="007D1B9D">
        <w:rPr>
          <w:rFonts w:ascii="Verdana" w:hAnsi="Verdana" w:cs="Arial"/>
          <w:color w:val="000000" w:themeColor="text1"/>
          <w:sz w:val="16"/>
          <w:szCs w:val="16"/>
        </w:rPr>
        <w:t xml:space="preserve"> </w:t>
      </w:r>
      <w:r w:rsidRPr="007D1B9D">
        <w:rPr>
          <w:rFonts w:ascii="Verdana" w:hAnsi="Verdana" w:cs="Arial"/>
          <w:color w:val="000000" w:themeColor="text1"/>
          <w:sz w:val="16"/>
          <w:szCs w:val="16"/>
          <w:lang w:val="es-ES"/>
        </w:rPr>
        <w:t>El artículo 31 de la Ley 142 de 1994, modificado por el artículo 3 de la Ley 689 de 2001, indica: “Los contratos que celebren las entidades estatales que prestan los servicios públicos a los que se refiere esta ley no estarán sujetos a las disposiciones del Estatuto General de Contratación de la Administración Pública, salvo en lo que la presente ley disponga otra cosa.</w:t>
      </w:r>
    </w:p>
    <w:p w14:paraId="4F5CF3CF"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Las Comisiones de Regulación podrán hacer obligatoria la inclusión, en ciertos tipos de contratos de cualquier empresa de servicios públicos, de cláusulas exorbitantes y podrán facultar, previa consulta expresa por parte de las empresas de servicios públicos domiciliarios, que se incluyan en los demás. Cuando la inclusión sea forzosa, todo lo relativo a tales cláusulas se regirá, en cuanto sea pertinente, por lo dispuesto en la Ley 80 de 1993, y los actos y contratos en los que se utilicen esas cláusulas y/o se ejerciten esas facultades estarán sujetos al control de la jurisdicción contencioso administrativa. Las Comisiones de Regulación contarán con quince (15) días para responder las solicitudes elevadas por las empresas de servicios públicos domiciliarios sobre la inclusión de las cláusulas excepcionales en los respectivos contratos, transcurrido este término operará el silencio administrativo positivo.</w:t>
      </w:r>
    </w:p>
    <w:p w14:paraId="3C023D31"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Fonts w:ascii="Verdana" w:hAnsi="Verdana" w:cs="Arial"/>
          <w:color w:val="000000" w:themeColor="text1"/>
          <w:sz w:val="16"/>
          <w:szCs w:val="16"/>
          <w:lang w:val="es-ES"/>
        </w:rPr>
        <w:t>Parágrafo. Los contratos que celebren los entes territoriales con las empresas de servicios públicos con el objeto de que estas últimas asuman la prestación de uno o de varios servicios públicos domiciliarios, o para que sustituyan en la prestación a otra que entre en causal de disolución o liquidación, se regirán para todos sus efectos por el Estatuto General de Contratación de la Administración Pública, en todo caso la selección siempre deberá realizarse previa licitación pública, de conformidad con la Ley 80 de 1993”.</w:t>
      </w:r>
    </w:p>
  </w:footnote>
  <w:footnote w:id="30">
    <w:p w14:paraId="3CF25758" w14:textId="77777777" w:rsidR="00E85B43" w:rsidRPr="007D1B9D" w:rsidRDefault="00E85B43" w:rsidP="00E85B43">
      <w:pPr>
        <w:pStyle w:val="Textonotapie"/>
        <w:ind w:firstLine="709"/>
        <w:jc w:val="both"/>
        <w:rPr>
          <w:rFonts w:ascii="Verdana" w:hAnsi="Verdana" w:cs="Arial"/>
          <w:color w:val="000000" w:themeColor="text1"/>
          <w:sz w:val="16"/>
          <w:szCs w:val="16"/>
          <w:lang w:val="es-ES"/>
        </w:rPr>
      </w:pPr>
      <w:r w:rsidRPr="007D1B9D">
        <w:rPr>
          <w:rStyle w:val="Refdenotaalpie"/>
          <w:rFonts w:ascii="Verdana" w:hAnsi="Verdana" w:cs="Arial"/>
          <w:color w:val="000000" w:themeColor="text1"/>
          <w:sz w:val="16"/>
          <w:szCs w:val="16"/>
          <w:vertAlign w:val="baseline"/>
        </w:rPr>
        <w:footnoteRef/>
      </w:r>
      <w:r w:rsidRPr="007D1B9D">
        <w:rPr>
          <w:rFonts w:ascii="Verdana" w:hAnsi="Verdana" w:cs="Arial"/>
          <w:color w:val="000000" w:themeColor="text1"/>
          <w:sz w:val="16"/>
          <w:szCs w:val="16"/>
        </w:rPr>
        <w:t xml:space="preserve"> </w:t>
      </w:r>
      <w:r w:rsidRPr="007D1B9D">
        <w:rPr>
          <w:rFonts w:ascii="Verdana" w:hAnsi="Verdana" w:cs="Arial"/>
          <w:color w:val="000000" w:themeColor="text1"/>
          <w:sz w:val="16"/>
          <w:szCs w:val="16"/>
          <w:lang w:val="es-ES"/>
        </w:rPr>
        <w:t>El artículo 195, numeral 6 de la Ley 100 de 1993 establece que las empresas sociales del Estado: “En materia contractual se regirá por el derecho privado, pero podrá discrecionalmente utilizar las cláusulas exorbitantes previstas en el estatuto general de contratación de la administración pública”.</w:t>
      </w:r>
    </w:p>
  </w:footnote>
  <w:footnote w:id="31">
    <w:p w14:paraId="380D9CF1" w14:textId="77777777" w:rsidR="00E85B43" w:rsidRPr="007D1B9D" w:rsidRDefault="00E85B43" w:rsidP="00E85B43">
      <w:pPr>
        <w:pStyle w:val="Textonotapie"/>
        <w:ind w:firstLine="708"/>
        <w:jc w:val="both"/>
        <w:rPr>
          <w:rFonts w:ascii="Verdana" w:hAnsi="Verdana"/>
          <w:sz w:val="16"/>
          <w:szCs w:val="16"/>
        </w:rPr>
      </w:pPr>
      <w:r w:rsidRPr="007D1B9D">
        <w:rPr>
          <w:rStyle w:val="Refdenotaalpie"/>
          <w:rFonts w:ascii="Verdana" w:hAnsi="Verdana"/>
          <w:sz w:val="16"/>
          <w:szCs w:val="16"/>
        </w:rPr>
        <w:footnoteRef/>
      </w:r>
      <w:r w:rsidRPr="007D1B9D">
        <w:rPr>
          <w:rFonts w:ascii="Verdana" w:hAnsi="Verdana"/>
          <w:sz w:val="16"/>
          <w:szCs w:val="16"/>
        </w:rPr>
        <w:t xml:space="preserve">  Consejo de Estado. Sala de Consulta y Servicio Civil. Concepto del 6 de abril de 2000. C.P. Flavio Augusto Rodríguez Arce. Rad. 1263. </w:t>
      </w:r>
    </w:p>
  </w:footnote>
  <w:footnote w:id="32">
    <w:p w14:paraId="7D4A9872" w14:textId="77777777" w:rsidR="00E85B43" w:rsidRPr="007D1B9D" w:rsidRDefault="00E85B43" w:rsidP="00E85B43">
      <w:pPr>
        <w:pStyle w:val="Textonotapie"/>
        <w:ind w:firstLine="708"/>
        <w:jc w:val="both"/>
        <w:rPr>
          <w:rFonts w:ascii="Verdana" w:eastAsia="Arial" w:hAnsi="Verdana" w:cs="Arial"/>
          <w:sz w:val="16"/>
          <w:szCs w:val="16"/>
          <w:lang w:val="es-ES"/>
        </w:rPr>
      </w:pPr>
      <w:r w:rsidRPr="007D1B9D">
        <w:rPr>
          <w:rStyle w:val="Refdenotaalpie"/>
          <w:rFonts w:ascii="Verdana" w:hAnsi="Verdana"/>
          <w:sz w:val="16"/>
          <w:szCs w:val="16"/>
        </w:rPr>
        <w:footnoteRef/>
      </w:r>
      <w:r w:rsidRPr="007D1B9D">
        <w:rPr>
          <w:rFonts w:ascii="Verdana" w:hAnsi="Verdana"/>
          <w:sz w:val="16"/>
          <w:szCs w:val="16"/>
        </w:rPr>
        <w:t xml:space="preserve"> </w:t>
      </w:r>
      <w:r w:rsidRPr="007D1B9D">
        <w:rPr>
          <w:rFonts w:ascii="Verdana" w:eastAsia="Arial" w:hAnsi="Verdana" w:cs="Arial"/>
          <w:sz w:val="16"/>
          <w:szCs w:val="16"/>
          <w:lang w:val="es-ES"/>
        </w:rPr>
        <w:t xml:space="preserve">La Resolución 1440 del 14 de agosto de 2024 se encuentra disponible en: </w:t>
      </w:r>
      <w:hyperlink r:id="rId3" w:history="1">
        <w:r w:rsidRPr="007D1B9D">
          <w:rPr>
            <w:rStyle w:val="Hipervnculo"/>
            <w:rFonts w:ascii="Verdana" w:eastAsia="Arial" w:hAnsi="Verdana" w:cs="Arial"/>
            <w:sz w:val="16"/>
            <w:szCs w:val="16"/>
            <w:lang w:val="es-ES"/>
          </w:rPr>
          <w:t>https://www.minsalud.gov.co/Normatividad_Nuevo/Resoluci%C3%B3n%20No%201440%20de%202024.pdf</w:t>
        </w:r>
      </w:hyperlink>
      <w:r w:rsidRPr="007D1B9D">
        <w:rPr>
          <w:rFonts w:ascii="Verdana" w:eastAsia="Arial" w:hAnsi="Verdana" w:cs="Arial"/>
          <w:sz w:val="16"/>
          <w:szCs w:val="16"/>
          <w:lang w:val="es-ES"/>
        </w:rPr>
        <w:t xml:space="preserve"> </w:t>
      </w:r>
    </w:p>
  </w:footnote>
  <w:footnote w:id="33">
    <w:p w14:paraId="31C757E2" w14:textId="77777777" w:rsidR="00E85B43" w:rsidRPr="007D1B9D" w:rsidRDefault="00E85B43" w:rsidP="00E85B43">
      <w:pPr>
        <w:spacing w:after="0" w:line="240" w:lineRule="auto"/>
        <w:ind w:firstLine="708"/>
        <w:jc w:val="both"/>
        <w:rPr>
          <w:rFonts w:ascii="Verdana" w:hAnsi="Verdana" w:cs="Arial"/>
          <w:sz w:val="16"/>
          <w:szCs w:val="16"/>
        </w:rPr>
      </w:pPr>
      <w:r w:rsidRPr="007D1B9D">
        <w:rPr>
          <w:rStyle w:val="Refdenotaalpie"/>
          <w:rFonts w:ascii="Verdana" w:hAnsi="Verdana" w:cs="Arial"/>
          <w:sz w:val="16"/>
          <w:szCs w:val="16"/>
        </w:rPr>
        <w:footnoteRef/>
      </w:r>
      <w:r w:rsidRPr="007D1B9D">
        <w:rPr>
          <w:rFonts w:ascii="Verdana" w:hAnsi="Verdana" w:cs="Arial"/>
          <w:sz w:val="16"/>
          <w:szCs w:val="16"/>
        </w:rPr>
        <w:t xml:space="preserve"> Ley 1438 de 2011: “Artículo 76. Eficiencia y transparencia en contratación, adquisiciones</w:t>
      </w:r>
      <w:r w:rsidRPr="007D1B9D">
        <w:rPr>
          <w:rFonts w:ascii="Verdana" w:hAnsi="Verdana" w:cs="Arial"/>
          <w:spacing w:val="1"/>
          <w:sz w:val="16"/>
          <w:szCs w:val="16"/>
        </w:rPr>
        <w:t xml:space="preserve"> </w:t>
      </w:r>
      <w:r w:rsidRPr="007D1B9D">
        <w:rPr>
          <w:rFonts w:ascii="Verdana" w:hAnsi="Verdana" w:cs="Arial"/>
          <w:sz w:val="16"/>
          <w:szCs w:val="16"/>
        </w:rPr>
        <w:t>y compras de las Empresas Sociales del Estado. Con el propósito de promover la eficiencia y</w:t>
      </w:r>
      <w:r w:rsidRPr="007D1B9D">
        <w:rPr>
          <w:rFonts w:ascii="Verdana" w:hAnsi="Verdana" w:cs="Arial"/>
          <w:spacing w:val="1"/>
          <w:sz w:val="16"/>
          <w:szCs w:val="16"/>
        </w:rPr>
        <w:t xml:space="preserve"> </w:t>
      </w:r>
      <w:r w:rsidRPr="007D1B9D">
        <w:rPr>
          <w:rFonts w:ascii="Verdana" w:hAnsi="Verdana" w:cs="Arial"/>
          <w:sz w:val="16"/>
          <w:szCs w:val="16"/>
        </w:rPr>
        <w:t>transparencia</w:t>
      </w:r>
      <w:r w:rsidRPr="007D1B9D">
        <w:rPr>
          <w:rFonts w:ascii="Verdana" w:hAnsi="Verdana" w:cs="Arial"/>
          <w:spacing w:val="1"/>
          <w:sz w:val="16"/>
          <w:szCs w:val="16"/>
        </w:rPr>
        <w:t xml:space="preserve"> </w:t>
      </w:r>
      <w:r w:rsidRPr="007D1B9D">
        <w:rPr>
          <w:rFonts w:ascii="Verdana" w:hAnsi="Verdana" w:cs="Arial"/>
          <w:sz w:val="16"/>
          <w:szCs w:val="16"/>
        </w:rPr>
        <w:t>en la contratación las Empresas Sociales del Estado podrán asociarse entre sí,</w:t>
      </w:r>
      <w:r w:rsidRPr="007D1B9D">
        <w:rPr>
          <w:rFonts w:ascii="Verdana" w:hAnsi="Verdana" w:cs="Arial"/>
          <w:spacing w:val="1"/>
          <w:sz w:val="16"/>
          <w:szCs w:val="16"/>
        </w:rPr>
        <w:t xml:space="preserve"> </w:t>
      </w:r>
      <w:r w:rsidRPr="007D1B9D">
        <w:rPr>
          <w:rFonts w:ascii="Verdana" w:hAnsi="Verdana" w:cs="Arial"/>
          <w:sz w:val="16"/>
          <w:szCs w:val="16"/>
        </w:rPr>
        <w:t>constituir cooperativas o utilizar sistemas de compras electrónicas o cualquier otro mecanismo que</w:t>
      </w:r>
      <w:r w:rsidRPr="007D1B9D">
        <w:rPr>
          <w:rFonts w:ascii="Verdana" w:hAnsi="Verdana" w:cs="Arial"/>
          <w:spacing w:val="1"/>
          <w:sz w:val="16"/>
          <w:szCs w:val="16"/>
        </w:rPr>
        <w:t xml:space="preserve"> </w:t>
      </w:r>
      <w:r w:rsidRPr="007D1B9D">
        <w:rPr>
          <w:rFonts w:ascii="Verdana" w:hAnsi="Verdana" w:cs="Arial"/>
          <w:sz w:val="16"/>
          <w:szCs w:val="16"/>
        </w:rPr>
        <w:t>beneficie a las entidades con economías de escala, calidad, oportunidad y eficiencia, respetando los</w:t>
      </w:r>
      <w:r w:rsidRPr="007D1B9D">
        <w:rPr>
          <w:rFonts w:ascii="Verdana" w:hAnsi="Verdana" w:cs="Arial"/>
          <w:spacing w:val="-50"/>
          <w:sz w:val="16"/>
          <w:szCs w:val="16"/>
        </w:rPr>
        <w:t xml:space="preserve"> </w:t>
      </w:r>
      <w:r w:rsidRPr="007D1B9D">
        <w:rPr>
          <w:rFonts w:ascii="Verdana" w:hAnsi="Verdana" w:cs="Arial"/>
          <w:sz w:val="16"/>
          <w:szCs w:val="16"/>
        </w:rPr>
        <w:t>principios de la actuación administrativa y la contratación pública. Para lo anterior la Junta Directiva</w:t>
      </w:r>
      <w:r w:rsidRPr="007D1B9D">
        <w:rPr>
          <w:rFonts w:ascii="Verdana" w:hAnsi="Verdana" w:cs="Arial"/>
          <w:spacing w:val="1"/>
          <w:sz w:val="16"/>
          <w:szCs w:val="16"/>
        </w:rPr>
        <w:t xml:space="preserve"> </w:t>
      </w:r>
      <w:r w:rsidRPr="007D1B9D">
        <w:rPr>
          <w:rFonts w:ascii="Verdana" w:hAnsi="Verdana" w:cs="Arial"/>
          <w:sz w:val="16"/>
          <w:szCs w:val="16"/>
        </w:rPr>
        <w:t>deberá adoptar un estatuto de contratación de acuerdo con los lineamientos que defina el Ministerio</w:t>
      </w:r>
      <w:r w:rsidRPr="007D1B9D">
        <w:rPr>
          <w:rFonts w:ascii="Verdana" w:hAnsi="Verdana" w:cs="Arial"/>
          <w:spacing w:val="1"/>
          <w:sz w:val="16"/>
          <w:szCs w:val="16"/>
        </w:rPr>
        <w:t xml:space="preserve"> </w:t>
      </w:r>
      <w:r w:rsidRPr="007D1B9D">
        <w:rPr>
          <w:rFonts w:ascii="Verdana" w:hAnsi="Verdana" w:cs="Arial"/>
          <w:sz w:val="16"/>
          <w:szCs w:val="16"/>
        </w:rPr>
        <w:t>de</w:t>
      </w:r>
      <w:r w:rsidRPr="007D1B9D">
        <w:rPr>
          <w:rFonts w:ascii="Verdana" w:hAnsi="Verdana" w:cs="Arial"/>
          <w:spacing w:val="-2"/>
          <w:sz w:val="16"/>
          <w:szCs w:val="16"/>
        </w:rPr>
        <w:t xml:space="preserve"> </w:t>
      </w:r>
      <w:r w:rsidRPr="007D1B9D">
        <w:rPr>
          <w:rFonts w:ascii="Verdana" w:hAnsi="Verdana" w:cs="Arial"/>
          <w:sz w:val="16"/>
          <w:szCs w:val="16"/>
        </w:rPr>
        <w:t>la</w:t>
      </w:r>
      <w:r w:rsidRPr="007D1B9D">
        <w:rPr>
          <w:rFonts w:ascii="Verdana" w:hAnsi="Verdana" w:cs="Arial"/>
          <w:spacing w:val="-1"/>
          <w:sz w:val="16"/>
          <w:szCs w:val="16"/>
        </w:rPr>
        <w:t xml:space="preserve"> </w:t>
      </w:r>
      <w:r w:rsidRPr="007D1B9D">
        <w:rPr>
          <w:rFonts w:ascii="Verdana" w:hAnsi="Verdana" w:cs="Arial"/>
          <w:sz w:val="16"/>
          <w:szCs w:val="16"/>
        </w:rPr>
        <w:t>Protección</w:t>
      </w:r>
      <w:r w:rsidRPr="007D1B9D">
        <w:rPr>
          <w:rFonts w:ascii="Verdana" w:hAnsi="Verdana" w:cs="Arial"/>
          <w:spacing w:val="-1"/>
          <w:sz w:val="16"/>
          <w:szCs w:val="16"/>
        </w:rPr>
        <w:t xml:space="preserve"> </w:t>
      </w:r>
      <w:r w:rsidRPr="007D1B9D">
        <w:rPr>
          <w:rFonts w:ascii="Verdana" w:hAnsi="Verdana" w:cs="Arial"/>
          <w:sz w:val="16"/>
          <w:szCs w:val="16"/>
        </w:rPr>
        <w:t>Social.</w:t>
      </w:r>
    </w:p>
    <w:p w14:paraId="4783465A" w14:textId="77777777" w:rsidR="00E85B43" w:rsidRPr="007D1B9D" w:rsidRDefault="00E85B43" w:rsidP="00E85B43">
      <w:pPr>
        <w:spacing w:after="0" w:line="240" w:lineRule="auto"/>
        <w:ind w:firstLine="708"/>
        <w:jc w:val="both"/>
        <w:rPr>
          <w:rFonts w:ascii="Verdana" w:hAnsi="Verdana" w:cs="Arial"/>
          <w:sz w:val="16"/>
          <w:szCs w:val="16"/>
        </w:rPr>
      </w:pPr>
      <w:r w:rsidRPr="007D1B9D">
        <w:rPr>
          <w:rFonts w:ascii="Verdana" w:hAnsi="Verdana" w:cs="Arial"/>
          <w:sz w:val="16"/>
          <w:szCs w:val="16"/>
        </w:rPr>
        <w:t>Igualmente,</w:t>
      </w:r>
      <w:r w:rsidRPr="007D1B9D">
        <w:rPr>
          <w:rFonts w:ascii="Verdana" w:hAnsi="Verdana" w:cs="Arial"/>
          <w:spacing w:val="1"/>
          <w:sz w:val="16"/>
          <w:szCs w:val="16"/>
        </w:rPr>
        <w:t xml:space="preserve"> </w:t>
      </w:r>
      <w:r w:rsidRPr="007D1B9D">
        <w:rPr>
          <w:rFonts w:ascii="Verdana" w:hAnsi="Verdana" w:cs="Arial"/>
          <w:sz w:val="16"/>
          <w:szCs w:val="16"/>
        </w:rPr>
        <w:t>las</w:t>
      </w:r>
      <w:r w:rsidRPr="007D1B9D">
        <w:rPr>
          <w:rFonts w:ascii="Verdana" w:hAnsi="Verdana" w:cs="Arial"/>
          <w:spacing w:val="1"/>
          <w:sz w:val="16"/>
          <w:szCs w:val="16"/>
        </w:rPr>
        <w:t xml:space="preserve"> </w:t>
      </w:r>
      <w:r w:rsidRPr="007D1B9D">
        <w:rPr>
          <w:rFonts w:ascii="Verdana" w:hAnsi="Verdana" w:cs="Arial"/>
          <w:sz w:val="16"/>
          <w:szCs w:val="16"/>
        </w:rPr>
        <w:t>Empresas</w:t>
      </w:r>
      <w:r w:rsidRPr="007D1B9D">
        <w:rPr>
          <w:rFonts w:ascii="Verdana" w:hAnsi="Verdana" w:cs="Arial"/>
          <w:spacing w:val="1"/>
          <w:sz w:val="16"/>
          <w:szCs w:val="16"/>
        </w:rPr>
        <w:t xml:space="preserve"> </w:t>
      </w:r>
      <w:r w:rsidRPr="007D1B9D">
        <w:rPr>
          <w:rFonts w:ascii="Verdana" w:hAnsi="Verdana" w:cs="Arial"/>
          <w:sz w:val="16"/>
          <w:szCs w:val="16"/>
        </w:rPr>
        <w:t>Sociales</w:t>
      </w:r>
      <w:r w:rsidRPr="007D1B9D">
        <w:rPr>
          <w:rFonts w:ascii="Verdana" w:hAnsi="Verdana" w:cs="Arial"/>
          <w:spacing w:val="1"/>
          <w:sz w:val="16"/>
          <w:szCs w:val="16"/>
        </w:rPr>
        <w:t xml:space="preserve"> </w:t>
      </w:r>
      <w:r w:rsidRPr="007D1B9D">
        <w:rPr>
          <w:rFonts w:ascii="Verdana" w:hAnsi="Verdana" w:cs="Arial"/>
          <w:sz w:val="16"/>
          <w:szCs w:val="16"/>
        </w:rPr>
        <w:t>del</w:t>
      </w:r>
      <w:r w:rsidRPr="007D1B9D">
        <w:rPr>
          <w:rFonts w:ascii="Verdana" w:hAnsi="Verdana" w:cs="Arial"/>
          <w:spacing w:val="1"/>
          <w:sz w:val="16"/>
          <w:szCs w:val="16"/>
        </w:rPr>
        <w:t xml:space="preserve"> </w:t>
      </w:r>
      <w:r w:rsidRPr="007D1B9D">
        <w:rPr>
          <w:rFonts w:ascii="Verdana" w:hAnsi="Verdana" w:cs="Arial"/>
          <w:sz w:val="16"/>
          <w:szCs w:val="16"/>
        </w:rPr>
        <w:t>Estado</w:t>
      </w:r>
      <w:r w:rsidRPr="007D1B9D">
        <w:rPr>
          <w:rFonts w:ascii="Verdana" w:hAnsi="Verdana" w:cs="Arial"/>
          <w:spacing w:val="1"/>
          <w:sz w:val="16"/>
          <w:szCs w:val="16"/>
        </w:rPr>
        <w:t xml:space="preserve"> </w:t>
      </w:r>
      <w:r w:rsidRPr="007D1B9D">
        <w:rPr>
          <w:rFonts w:ascii="Verdana" w:hAnsi="Verdana" w:cs="Arial"/>
          <w:sz w:val="16"/>
          <w:szCs w:val="16"/>
        </w:rPr>
        <w:t>podrán</w:t>
      </w:r>
      <w:r w:rsidRPr="007D1B9D">
        <w:rPr>
          <w:rFonts w:ascii="Verdana" w:hAnsi="Verdana" w:cs="Arial"/>
          <w:spacing w:val="1"/>
          <w:sz w:val="16"/>
          <w:szCs w:val="16"/>
        </w:rPr>
        <w:t xml:space="preserve"> </w:t>
      </w:r>
      <w:r w:rsidRPr="007D1B9D">
        <w:rPr>
          <w:rFonts w:ascii="Verdana" w:hAnsi="Verdana" w:cs="Arial"/>
          <w:sz w:val="16"/>
          <w:szCs w:val="16"/>
        </w:rPr>
        <w:t>contratar</w:t>
      </w:r>
      <w:r w:rsidRPr="007D1B9D">
        <w:rPr>
          <w:rFonts w:ascii="Verdana" w:hAnsi="Verdana" w:cs="Arial"/>
          <w:spacing w:val="1"/>
          <w:sz w:val="16"/>
          <w:szCs w:val="16"/>
        </w:rPr>
        <w:t xml:space="preserve"> </w:t>
      </w:r>
      <w:r w:rsidRPr="007D1B9D">
        <w:rPr>
          <w:rFonts w:ascii="Verdana" w:hAnsi="Verdana" w:cs="Arial"/>
          <w:sz w:val="16"/>
          <w:szCs w:val="16"/>
        </w:rPr>
        <w:t>de</w:t>
      </w:r>
      <w:r w:rsidRPr="007D1B9D">
        <w:rPr>
          <w:rFonts w:ascii="Verdana" w:hAnsi="Verdana" w:cs="Arial"/>
          <w:spacing w:val="1"/>
          <w:sz w:val="16"/>
          <w:szCs w:val="16"/>
        </w:rPr>
        <w:t xml:space="preserve"> </w:t>
      </w:r>
      <w:r w:rsidRPr="007D1B9D">
        <w:rPr>
          <w:rFonts w:ascii="Verdana" w:hAnsi="Verdana" w:cs="Arial"/>
          <w:sz w:val="16"/>
          <w:szCs w:val="16"/>
        </w:rPr>
        <w:t>manera</w:t>
      </w:r>
      <w:r w:rsidRPr="007D1B9D">
        <w:rPr>
          <w:rFonts w:ascii="Verdana" w:hAnsi="Verdana" w:cs="Arial"/>
          <w:spacing w:val="1"/>
          <w:sz w:val="16"/>
          <w:szCs w:val="16"/>
        </w:rPr>
        <w:t xml:space="preserve"> </w:t>
      </w:r>
      <w:r w:rsidRPr="007D1B9D">
        <w:rPr>
          <w:rFonts w:ascii="Verdana" w:hAnsi="Verdana" w:cs="Arial"/>
          <w:sz w:val="16"/>
          <w:szCs w:val="16"/>
        </w:rPr>
        <w:t>conjunta</w:t>
      </w:r>
      <w:r w:rsidRPr="007D1B9D">
        <w:rPr>
          <w:rFonts w:ascii="Verdana" w:hAnsi="Verdana" w:cs="Arial"/>
          <w:spacing w:val="1"/>
          <w:sz w:val="16"/>
          <w:szCs w:val="16"/>
        </w:rPr>
        <w:t xml:space="preserve"> </w:t>
      </w:r>
      <w:r w:rsidRPr="007D1B9D">
        <w:rPr>
          <w:rFonts w:ascii="Verdana" w:hAnsi="Verdana" w:cs="Arial"/>
          <w:sz w:val="16"/>
          <w:szCs w:val="16"/>
        </w:rPr>
        <w:t>sistemas</w:t>
      </w:r>
      <w:r w:rsidRPr="007D1B9D">
        <w:rPr>
          <w:rFonts w:ascii="Verdana" w:hAnsi="Verdana" w:cs="Arial"/>
          <w:spacing w:val="-10"/>
          <w:sz w:val="16"/>
          <w:szCs w:val="16"/>
        </w:rPr>
        <w:t xml:space="preserve"> </w:t>
      </w:r>
      <w:r w:rsidRPr="007D1B9D">
        <w:rPr>
          <w:rFonts w:ascii="Verdana" w:hAnsi="Verdana" w:cs="Arial"/>
          <w:sz w:val="16"/>
          <w:szCs w:val="16"/>
        </w:rPr>
        <w:t>de</w:t>
      </w:r>
      <w:r w:rsidRPr="007D1B9D">
        <w:rPr>
          <w:rFonts w:ascii="Verdana" w:hAnsi="Verdana" w:cs="Arial"/>
          <w:spacing w:val="-10"/>
          <w:sz w:val="16"/>
          <w:szCs w:val="16"/>
        </w:rPr>
        <w:t xml:space="preserve"> </w:t>
      </w:r>
      <w:r w:rsidRPr="007D1B9D">
        <w:rPr>
          <w:rFonts w:ascii="Verdana" w:hAnsi="Verdana" w:cs="Arial"/>
          <w:sz w:val="16"/>
          <w:szCs w:val="16"/>
        </w:rPr>
        <w:t>información,</w:t>
      </w:r>
      <w:r w:rsidRPr="007D1B9D">
        <w:rPr>
          <w:rFonts w:ascii="Verdana" w:hAnsi="Verdana" w:cs="Arial"/>
          <w:spacing w:val="-10"/>
          <w:sz w:val="16"/>
          <w:szCs w:val="16"/>
        </w:rPr>
        <w:t xml:space="preserve"> </w:t>
      </w:r>
      <w:r w:rsidRPr="007D1B9D">
        <w:rPr>
          <w:rFonts w:ascii="Verdana" w:hAnsi="Verdana" w:cs="Arial"/>
          <w:sz w:val="16"/>
          <w:szCs w:val="16"/>
        </w:rPr>
        <w:t>sistema</w:t>
      </w:r>
      <w:r w:rsidRPr="007D1B9D">
        <w:rPr>
          <w:rFonts w:ascii="Verdana" w:hAnsi="Verdana" w:cs="Arial"/>
          <w:spacing w:val="-9"/>
          <w:sz w:val="16"/>
          <w:szCs w:val="16"/>
        </w:rPr>
        <w:t xml:space="preserve"> </w:t>
      </w:r>
      <w:r w:rsidRPr="007D1B9D">
        <w:rPr>
          <w:rFonts w:ascii="Verdana" w:hAnsi="Verdana" w:cs="Arial"/>
          <w:sz w:val="16"/>
          <w:szCs w:val="16"/>
        </w:rPr>
        <w:t>de</w:t>
      </w:r>
      <w:r w:rsidRPr="007D1B9D">
        <w:rPr>
          <w:rFonts w:ascii="Verdana" w:hAnsi="Verdana" w:cs="Arial"/>
          <w:spacing w:val="-10"/>
          <w:sz w:val="16"/>
          <w:szCs w:val="16"/>
        </w:rPr>
        <w:t xml:space="preserve"> </w:t>
      </w:r>
      <w:r w:rsidRPr="007D1B9D">
        <w:rPr>
          <w:rFonts w:ascii="Verdana" w:hAnsi="Verdana" w:cs="Arial"/>
          <w:sz w:val="16"/>
          <w:szCs w:val="16"/>
        </w:rPr>
        <w:t>control</w:t>
      </w:r>
      <w:r w:rsidRPr="007D1B9D">
        <w:rPr>
          <w:rFonts w:ascii="Verdana" w:hAnsi="Verdana" w:cs="Arial"/>
          <w:spacing w:val="-10"/>
          <w:sz w:val="16"/>
          <w:szCs w:val="16"/>
        </w:rPr>
        <w:t xml:space="preserve"> </w:t>
      </w:r>
      <w:r w:rsidRPr="007D1B9D">
        <w:rPr>
          <w:rFonts w:ascii="Verdana" w:hAnsi="Verdana" w:cs="Arial"/>
          <w:sz w:val="16"/>
          <w:szCs w:val="16"/>
        </w:rPr>
        <w:t>interno,</w:t>
      </w:r>
      <w:r w:rsidRPr="007D1B9D">
        <w:rPr>
          <w:rFonts w:ascii="Verdana" w:hAnsi="Verdana" w:cs="Arial"/>
          <w:spacing w:val="-9"/>
          <w:sz w:val="16"/>
          <w:szCs w:val="16"/>
        </w:rPr>
        <w:t xml:space="preserve"> </w:t>
      </w:r>
      <w:r w:rsidRPr="007D1B9D">
        <w:rPr>
          <w:rFonts w:ascii="Verdana" w:hAnsi="Verdana" w:cs="Arial"/>
          <w:sz w:val="16"/>
          <w:szCs w:val="16"/>
        </w:rPr>
        <w:t>de</w:t>
      </w:r>
      <w:r w:rsidRPr="007D1B9D">
        <w:rPr>
          <w:rFonts w:ascii="Verdana" w:hAnsi="Verdana" w:cs="Arial"/>
          <w:spacing w:val="-10"/>
          <w:sz w:val="16"/>
          <w:szCs w:val="16"/>
        </w:rPr>
        <w:t xml:space="preserve"> </w:t>
      </w:r>
      <w:r w:rsidRPr="007D1B9D">
        <w:rPr>
          <w:rFonts w:ascii="Verdana" w:hAnsi="Verdana" w:cs="Arial"/>
          <w:sz w:val="16"/>
          <w:szCs w:val="16"/>
        </w:rPr>
        <w:t>interventorías,</w:t>
      </w:r>
      <w:r w:rsidRPr="007D1B9D">
        <w:rPr>
          <w:rFonts w:ascii="Verdana" w:hAnsi="Verdana" w:cs="Arial"/>
          <w:spacing w:val="-10"/>
          <w:sz w:val="16"/>
          <w:szCs w:val="16"/>
        </w:rPr>
        <w:t xml:space="preserve"> </w:t>
      </w:r>
      <w:r w:rsidRPr="007D1B9D">
        <w:rPr>
          <w:rFonts w:ascii="Verdana" w:hAnsi="Verdana" w:cs="Arial"/>
          <w:sz w:val="16"/>
          <w:szCs w:val="16"/>
        </w:rPr>
        <w:t>gestión</w:t>
      </w:r>
      <w:r w:rsidRPr="007D1B9D">
        <w:rPr>
          <w:rFonts w:ascii="Verdana" w:hAnsi="Verdana" w:cs="Arial"/>
          <w:spacing w:val="-10"/>
          <w:sz w:val="16"/>
          <w:szCs w:val="16"/>
        </w:rPr>
        <w:t xml:space="preserve"> </w:t>
      </w:r>
      <w:r w:rsidRPr="007D1B9D">
        <w:rPr>
          <w:rFonts w:ascii="Verdana" w:hAnsi="Verdana" w:cs="Arial"/>
          <w:sz w:val="16"/>
          <w:szCs w:val="16"/>
        </w:rPr>
        <w:t>de</w:t>
      </w:r>
      <w:r w:rsidRPr="007D1B9D">
        <w:rPr>
          <w:rFonts w:ascii="Verdana" w:hAnsi="Verdana" w:cs="Arial"/>
          <w:spacing w:val="-9"/>
          <w:sz w:val="16"/>
          <w:szCs w:val="16"/>
        </w:rPr>
        <w:t xml:space="preserve"> </w:t>
      </w:r>
      <w:r w:rsidRPr="007D1B9D">
        <w:rPr>
          <w:rFonts w:ascii="Verdana" w:hAnsi="Verdana" w:cs="Arial"/>
          <w:sz w:val="16"/>
          <w:szCs w:val="16"/>
        </w:rPr>
        <w:t>calidad</w:t>
      </w:r>
      <w:r w:rsidRPr="007D1B9D">
        <w:rPr>
          <w:rFonts w:ascii="Verdana" w:hAnsi="Verdana" w:cs="Arial"/>
          <w:spacing w:val="-10"/>
          <w:sz w:val="16"/>
          <w:szCs w:val="16"/>
        </w:rPr>
        <w:t xml:space="preserve"> </w:t>
      </w:r>
      <w:r w:rsidRPr="007D1B9D">
        <w:rPr>
          <w:rFonts w:ascii="Verdana" w:hAnsi="Verdana" w:cs="Arial"/>
          <w:sz w:val="16"/>
          <w:szCs w:val="16"/>
        </w:rPr>
        <w:t>y</w:t>
      </w:r>
      <w:r w:rsidRPr="007D1B9D">
        <w:rPr>
          <w:rFonts w:ascii="Verdana" w:hAnsi="Verdana" w:cs="Arial"/>
          <w:spacing w:val="-10"/>
          <w:sz w:val="16"/>
          <w:szCs w:val="16"/>
        </w:rPr>
        <w:t xml:space="preserve"> </w:t>
      </w:r>
      <w:r w:rsidRPr="007D1B9D">
        <w:rPr>
          <w:rFonts w:ascii="Verdana" w:hAnsi="Verdana" w:cs="Arial"/>
          <w:sz w:val="16"/>
          <w:szCs w:val="16"/>
        </w:rPr>
        <w:t>auditorías,</w:t>
      </w:r>
      <w:r w:rsidRPr="007D1B9D">
        <w:rPr>
          <w:rFonts w:ascii="Verdana" w:hAnsi="Verdana" w:cs="Arial"/>
          <w:spacing w:val="1"/>
          <w:sz w:val="16"/>
          <w:szCs w:val="16"/>
        </w:rPr>
        <w:t xml:space="preserve"> </w:t>
      </w:r>
      <w:r w:rsidRPr="007D1B9D">
        <w:rPr>
          <w:rFonts w:ascii="Verdana" w:hAnsi="Verdana" w:cs="Arial"/>
          <w:sz w:val="16"/>
          <w:szCs w:val="16"/>
        </w:rPr>
        <w:t>de</w:t>
      </w:r>
      <w:r w:rsidRPr="007D1B9D">
        <w:rPr>
          <w:rFonts w:ascii="Verdana" w:hAnsi="Verdana" w:cs="Arial"/>
          <w:spacing w:val="1"/>
          <w:sz w:val="16"/>
          <w:szCs w:val="16"/>
        </w:rPr>
        <w:t xml:space="preserve"> </w:t>
      </w:r>
      <w:r w:rsidRPr="007D1B9D">
        <w:rPr>
          <w:rFonts w:ascii="Verdana" w:hAnsi="Verdana" w:cs="Arial"/>
          <w:sz w:val="16"/>
          <w:szCs w:val="16"/>
        </w:rPr>
        <w:t>recurso</w:t>
      </w:r>
      <w:r w:rsidRPr="007D1B9D">
        <w:rPr>
          <w:rFonts w:ascii="Verdana" w:hAnsi="Verdana" w:cs="Arial"/>
          <w:spacing w:val="1"/>
          <w:sz w:val="16"/>
          <w:szCs w:val="16"/>
        </w:rPr>
        <w:t xml:space="preserve"> </w:t>
      </w:r>
      <w:r w:rsidRPr="007D1B9D">
        <w:rPr>
          <w:rFonts w:ascii="Verdana" w:hAnsi="Verdana" w:cs="Arial"/>
          <w:sz w:val="16"/>
          <w:szCs w:val="16"/>
        </w:rPr>
        <w:t>humano</w:t>
      </w:r>
      <w:r w:rsidRPr="007D1B9D">
        <w:rPr>
          <w:rFonts w:ascii="Verdana" w:hAnsi="Verdana" w:cs="Arial"/>
          <w:spacing w:val="1"/>
          <w:sz w:val="16"/>
          <w:szCs w:val="16"/>
        </w:rPr>
        <w:t xml:space="preserve"> </w:t>
      </w:r>
      <w:r w:rsidRPr="007D1B9D">
        <w:rPr>
          <w:rFonts w:ascii="Verdana" w:hAnsi="Verdana" w:cs="Arial"/>
          <w:sz w:val="16"/>
          <w:szCs w:val="16"/>
        </w:rPr>
        <w:t>y</w:t>
      </w:r>
      <w:r w:rsidRPr="007D1B9D">
        <w:rPr>
          <w:rFonts w:ascii="Verdana" w:hAnsi="Verdana" w:cs="Arial"/>
          <w:spacing w:val="1"/>
          <w:sz w:val="16"/>
          <w:szCs w:val="16"/>
        </w:rPr>
        <w:t xml:space="preserve"> </w:t>
      </w:r>
      <w:r w:rsidRPr="007D1B9D">
        <w:rPr>
          <w:rFonts w:ascii="Verdana" w:hAnsi="Verdana" w:cs="Arial"/>
          <w:sz w:val="16"/>
          <w:szCs w:val="16"/>
        </w:rPr>
        <w:t>demás</w:t>
      </w:r>
      <w:r w:rsidRPr="007D1B9D">
        <w:rPr>
          <w:rFonts w:ascii="Verdana" w:hAnsi="Verdana" w:cs="Arial"/>
          <w:spacing w:val="1"/>
          <w:sz w:val="16"/>
          <w:szCs w:val="16"/>
        </w:rPr>
        <w:t xml:space="preserve"> </w:t>
      </w:r>
      <w:r w:rsidRPr="007D1B9D">
        <w:rPr>
          <w:rFonts w:ascii="Verdana" w:hAnsi="Verdana" w:cs="Arial"/>
          <w:sz w:val="16"/>
          <w:szCs w:val="16"/>
        </w:rPr>
        <w:t>funciones</w:t>
      </w:r>
      <w:r w:rsidRPr="007D1B9D">
        <w:rPr>
          <w:rFonts w:ascii="Verdana" w:hAnsi="Verdana" w:cs="Arial"/>
          <w:spacing w:val="1"/>
          <w:sz w:val="16"/>
          <w:szCs w:val="16"/>
        </w:rPr>
        <w:t xml:space="preserve"> </w:t>
      </w:r>
      <w:r w:rsidRPr="007D1B9D">
        <w:rPr>
          <w:rFonts w:ascii="Verdana" w:hAnsi="Verdana" w:cs="Arial"/>
          <w:sz w:val="16"/>
          <w:szCs w:val="16"/>
        </w:rPr>
        <w:t>administrativas,</w:t>
      </w:r>
      <w:r w:rsidRPr="007D1B9D">
        <w:rPr>
          <w:rFonts w:ascii="Verdana" w:hAnsi="Verdana" w:cs="Arial"/>
          <w:spacing w:val="1"/>
          <w:sz w:val="16"/>
          <w:szCs w:val="16"/>
        </w:rPr>
        <w:t xml:space="preserve"> </w:t>
      </w:r>
      <w:r w:rsidRPr="007D1B9D">
        <w:rPr>
          <w:rFonts w:ascii="Verdana" w:hAnsi="Verdana" w:cs="Arial"/>
          <w:sz w:val="16"/>
          <w:szCs w:val="16"/>
        </w:rPr>
        <w:t>para</w:t>
      </w:r>
      <w:r w:rsidRPr="007D1B9D">
        <w:rPr>
          <w:rFonts w:ascii="Verdana" w:hAnsi="Verdana" w:cs="Arial"/>
          <w:spacing w:val="1"/>
          <w:sz w:val="16"/>
          <w:szCs w:val="16"/>
        </w:rPr>
        <w:t xml:space="preserve"> </w:t>
      </w:r>
      <w:r w:rsidRPr="007D1B9D">
        <w:rPr>
          <w:rFonts w:ascii="Verdana" w:hAnsi="Verdana" w:cs="Arial"/>
          <w:sz w:val="16"/>
          <w:szCs w:val="16"/>
        </w:rPr>
        <w:t>el</w:t>
      </w:r>
      <w:r w:rsidRPr="007D1B9D">
        <w:rPr>
          <w:rFonts w:ascii="Verdana" w:hAnsi="Verdana" w:cs="Arial"/>
          <w:spacing w:val="1"/>
          <w:sz w:val="16"/>
          <w:szCs w:val="16"/>
        </w:rPr>
        <w:t xml:space="preserve"> </w:t>
      </w:r>
      <w:r w:rsidRPr="007D1B9D">
        <w:rPr>
          <w:rFonts w:ascii="Verdana" w:hAnsi="Verdana" w:cs="Arial"/>
          <w:sz w:val="16"/>
          <w:szCs w:val="16"/>
        </w:rPr>
        <w:t>desarrollo</w:t>
      </w:r>
      <w:r w:rsidRPr="007D1B9D">
        <w:rPr>
          <w:rFonts w:ascii="Verdana" w:hAnsi="Verdana" w:cs="Arial"/>
          <w:spacing w:val="1"/>
          <w:sz w:val="16"/>
          <w:szCs w:val="16"/>
        </w:rPr>
        <w:t xml:space="preserve"> </w:t>
      </w:r>
      <w:r w:rsidRPr="007D1B9D">
        <w:rPr>
          <w:rFonts w:ascii="Verdana" w:hAnsi="Verdana" w:cs="Arial"/>
          <w:sz w:val="16"/>
          <w:szCs w:val="16"/>
        </w:rPr>
        <w:t>de</w:t>
      </w:r>
      <w:r w:rsidRPr="007D1B9D">
        <w:rPr>
          <w:rFonts w:ascii="Verdana" w:hAnsi="Verdana" w:cs="Arial"/>
          <w:spacing w:val="1"/>
          <w:sz w:val="16"/>
          <w:szCs w:val="16"/>
        </w:rPr>
        <w:t xml:space="preserve"> </w:t>
      </w:r>
      <w:r w:rsidRPr="007D1B9D">
        <w:rPr>
          <w:rFonts w:ascii="Verdana" w:hAnsi="Verdana" w:cs="Arial"/>
          <w:sz w:val="16"/>
          <w:szCs w:val="16"/>
        </w:rPr>
        <w:t>actividades</w:t>
      </w:r>
      <w:r w:rsidRPr="007D1B9D">
        <w:rPr>
          <w:rFonts w:ascii="Verdana" w:hAnsi="Verdana" w:cs="Arial"/>
          <w:spacing w:val="1"/>
          <w:sz w:val="16"/>
          <w:szCs w:val="16"/>
        </w:rPr>
        <w:t xml:space="preserve"> </w:t>
      </w:r>
      <w:r w:rsidRPr="007D1B9D">
        <w:rPr>
          <w:rFonts w:ascii="Verdana" w:hAnsi="Verdana" w:cs="Arial"/>
          <w:sz w:val="16"/>
          <w:szCs w:val="16"/>
        </w:rPr>
        <w:t>especializadas, de tipo operativo y de apoyo que puedan cubrir las necesidades de la empresa, de</w:t>
      </w:r>
      <w:r w:rsidRPr="007D1B9D">
        <w:rPr>
          <w:rFonts w:ascii="Verdana" w:hAnsi="Verdana" w:cs="Arial"/>
          <w:spacing w:val="1"/>
          <w:sz w:val="16"/>
          <w:szCs w:val="16"/>
        </w:rPr>
        <w:t xml:space="preserve"> </w:t>
      </w:r>
      <w:r w:rsidRPr="007D1B9D">
        <w:rPr>
          <w:rFonts w:ascii="Verdana" w:hAnsi="Verdana" w:cs="Arial"/>
          <w:sz w:val="16"/>
          <w:szCs w:val="16"/>
        </w:rPr>
        <w:t>forma</w:t>
      </w:r>
      <w:r w:rsidRPr="007D1B9D">
        <w:rPr>
          <w:rFonts w:ascii="Verdana" w:hAnsi="Verdana" w:cs="Arial"/>
          <w:spacing w:val="-2"/>
          <w:sz w:val="16"/>
          <w:szCs w:val="16"/>
        </w:rPr>
        <w:t xml:space="preserve"> </w:t>
      </w:r>
      <w:r w:rsidRPr="007D1B9D">
        <w:rPr>
          <w:rFonts w:ascii="Verdana" w:hAnsi="Verdana" w:cs="Arial"/>
          <w:sz w:val="16"/>
          <w:szCs w:val="16"/>
        </w:rPr>
        <w:t>tal</w:t>
      </w:r>
      <w:r w:rsidRPr="007D1B9D">
        <w:rPr>
          <w:rFonts w:ascii="Verdana" w:hAnsi="Verdana" w:cs="Arial"/>
          <w:spacing w:val="-2"/>
          <w:sz w:val="16"/>
          <w:szCs w:val="16"/>
        </w:rPr>
        <w:t xml:space="preserve"> </w:t>
      </w:r>
      <w:r w:rsidRPr="007D1B9D">
        <w:rPr>
          <w:rFonts w:ascii="Verdana" w:hAnsi="Verdana" w:cs="Arial"/>
          <w:sz w:val="16"/>
          <w:szCs w:val="16"/>
        </w:rPr>
        <w:t>que</w:t>
      </w:r>
      <w:r w:rsidRPr="007D1B9D">
        <w:rPr>
          <w:rFonts w:ascii="Verdana" w:hAnsi="Verdana" w:cs="Arial"/>
          <w:spacing w:val="-2"/>
          <w:sz w:val="16"/>
          <w:szCs w:val="16"/>
        </w:rPr>
        <w:t xml:space="preserve"> </w:t>
      </w:r>
      <w:r w:rsidRPr="007D1B9D">
        <w:rPr>
          <w:rFonts w:ascii="Verdana" w:hAnsi="Verdana" w:cs="Arial"/>
          <w:sz w:val="16"/>
          <w:szCs w:val="16"/>
        </w:rPr>
        <w:t>la</w:t>
      </w:r>
      <w:r w:rsidRPr="007D1B9D">
        <w:rPr>
          <w:rFonts w:ascii="Verdana" w:hAnsi="Verdana" w:cs="Arial"/>
          <w:spacing w:val="-1"/>
          <w:sz w:val="16"/>
          <w:szCs w:val="16"/>
        </w:rPr>
        <w:t xml:space="preserve"> </w:t>
      </w:r>
      <w:r w:rsidRPr="007D1B9D">
        <w:rPr>
          <w:rFonts w:ascii="Verdana" w:hAnsi="Verdana" w:cs="Arial"/>
          <w:sz w:val="16"/>
          <w:szCs w:val="16"/>
        </w:rPr>
        <w:t>gestión</w:t>
      </w:r>
      <w:r w:rsidRPr="007D1B9D">
        <w:rPr>
          <w:rFonts w:ascii="Verdana" w:hAnsi="Verdana" w:cs="Arial"/>
          <w:spacing w:val="-2"/>
          <w:sz w:val="16"/>
          <w:szCs w:val="16"/>
        </w:rPr>
        <w:t xml:space="preserve"> </w:t>
      </w:r>
      <w:r w:rsidRPr="007D1B9D">
        <w:rPr>
          <w:rFonts w:ascii="Verdana" w:hAnsi="Verdana" w:cs="Arial"/>
          <w:sz w:val="16"/>
          <w:szCs w:val="16"/>
        </w:rPr>
        <w:t>resulte</w:t>
      </w:r>
      <w:r w:rsidRPr="007D1B9D">
        <w:rPr>
          <w:rFonts w:ascii="Verdana" w:hAnsi="Verdana" w:cs="Arial"/>
          <w:spacing w:val="-2"/>
          <w:sz w:val="16"/>
          <w:szCs w:val="16"/>
        </w:rPr>
        <w:t xml:space="preserve"> </w:t>
      </w:r>
      <w:r w:rsidRPr="007D1B9D">
        <w:rPr>
          <w:rFonts w:ascii="Verdana" w:hAnsi="Verdana" w:cs="Arial"/>
          <w:sz w:val="16"/>
          <w:szCs w:val="16"/>
        </w:rPr>
        <w:t>más</w:t>
      </w:r>
      <w:r w:rsidRPr="007D1B9D">
        <w:rPr>
          <w:rFonts w:ascii="Verdana" w:hAnsi="Verdana" w:cs="Arial"/>
          <w:spacing w:val="-1"/>
          <w:sz w:val="16"/>
          <w:szCs w:val="16"/>
        </w:rPr>
        <w:t xml:space="preserve"> </w:t>
      </w:r>
      <w:r w:rsidRPr="007D1B9D">
        <w:rPr>
          <w:rFonts w:ascii="Verdana" w:hAnsi="Verdana" w:cs="Arial"/>
          <w:sz w:val="16"/>
          <w:szCs w:val="16"/>
        </w:rPr>
        <w:t>eficiente,</w:t>
      </w:r>
      <w:r w:rsidRPr="007D1B9D">
        <w:rPr>
          <w:rFonts w:ascii="Verdana" w:hAnsi="Verdana" w:cs="Arial"/>
          <w:spacing w:val="-2"/>
          <w:sz w:val="16"/>
          <w:szCs w:val="16"/>
        </w:rPr>
        <w:t xml:space="preserve"> </w:t>
      </w:r>
      <w:r w:rsidRPr="007D1B9D">
        <w:rPr>
          <w:rFonts w:ascii="Verdana" w:hAnsi="Verdana" w:cs="Arial"/>
          <w:sz w:val="16"/>
          <w:szCs w:val="16"/>
        </w:rPr>
        <w:t>con</w:t>
      </w:r>
      <w:r w:rsidRPr="007D1B9D">
        <w:rPr>
          <w:rFonts w:ascii="Verdana" w:hAnsi="Verdana" w:cs="Arial"/>
          <w:spacing w:val="-2"/>
          <w:sz w:val="16"/>
          <w:szCs w:val="16"/>
        </w:rPr>
        <w:t xml:space="preserve"> </w:t>
      </w:r>
      <w:r w:rsidRPr="007D1B9D">
        <w:rPr>
          <w:rFonts w:ascii="Verdana" w:hAnsi="Verdana" w:cs="Arial"/>
          <w:sz w:val="16"/>
          <w:szCs w:val="16"/>
        </w:rPr>
        <w:t>calidad</w:t>
      </w:r>
      <w:r w:rsidRPr="007D1B9D">
        <w:rPr>
          <w:rFonts w:ascii="Verdana" w:hAnsi="Verdana" w:cs="Arial"/>
          <w:spacing w:val="-1"/>
          <w:sz w:val="16"/>
          <w:szCs w:val="16"/>
        </w:rPr>
        <w:t xml:space="preserve"> </w:t>
      </w:r>
      <w:r w:rsidRPr="007D1B9D">
        <w:rPr>
          <w:rFonts w:ascii="Verdana" w:hAnsi="Verdana" w:cs="Arial"/>
          <w:sz w:val="16"/>
          <w:szCs w:val="16"/>
        </w:rPr>
        <w:t>e</w:t>
      </w:r>
      <w:r w:rsidRPr="007D1B9D">
        <w:rPr>
          <w:rFonts w:ascii="Verdana" w:hAnsi="Verdana" w:cs="Arial"/>
          <w:spacing w:val="-2"/>
          <w:sz w:val="16"/>
          <w:szCs w:val="16"/>
        </w:rPr>
        <w:t xml:space="preserve"> </w:t>
      </w:r>
      <w:r w:rsidRPr="007D1B9D">
        <w:rPr>
          <w:rFonts w:ascii="Verdana" w:hAnsi="Verdana" w:cs="Arial"/>
          <w:sz w:val="16"/>
          <w:szCs w:val="16"/>
        </w:rPr>
        <w:t>implique</w:t>
      </w:r>
      <w:r w:rsidRPr="007D1B9D">
        <w:rPr>
          <w:rFonts w:ascii="Verdana" w:hAnsi="Verdana" w:cs="Arial"/>
          <w:spacing w:val="-2"/>
          <w:sz w:val="16"/>
          <w:szCs w:val="16"/>
        </w:rPr>
        <w:t xml:space="preserve"> </w:t>
      </w:r>
      <w:r w:rsidRPr="007D1B9D">
        <w:rPr>
          <w:rFonts w:ascii="Verdana" w:hAnsi="Verdana" w:cs="Arial"/>
          <w:sz w:val="16"/>
          <w:szCs w:val="16"/>
        </w:rPr>
        <w:t>menor</w:t>
      </w:r>
      <w:r w:rsidRPr="007D1B9D">
        <w:rPr>
          <w:rFonts w:ascii="Verdana" w:hAnsi="Verdana" w:cs="Arial"/>
          <w:spacing w:val="-2"/>
          <w:sz w:val="16"/>
          <w:szCs w:val="16"/>
        </w:rPr>
        <w:t xml:space="preserve"> </w:t>
      </w:r>
      <w:r w:rsidRPr="007D1B9D">
        <w:rPr>
          <w:rFonts w:ascii="Verdana" w:hAnsi="Verdana" w:cs="Arial"/>
          <w:sz w:val="16"/>
          <w:szCs w:val="16"/>
        </w:rPr>
        <w:t>costo.</w:t>
      </w:r>
    </w:p>
    <w:p w14:paraId="122ECEF4" w14:textId="77777777" w:rsidR="00E85B43" w:rsidRPr="007D1B9D" w:rsidRDefault="00E85B43" w:rsidP="00E85B43">
      <w:pPr>
        <w:spacing w:after="0" w:line="240" w:lineRule="auto"/>
        <w:ind w:firstLine="708"/>
        <w:jc w:val="both"/>
        <w:rPr>
          <w:rFonts w:ascii="Verdana" w:hAnsi="Verdana" w:cs="Arial"/>
          <w:sz w:val="16"/>
          <w:szCs w:val="16"/>
        </w:rPr>
      </w:pPr>
      <w:r w:rsidRPr="007D1B9D">
        <w:rPr>
          <w:rFonts w:ascii="Verdana" w:hAnsi="Verdana" w:cs="Arial"/>
          <w:sz w:val="16"/>
          <w:szCs w:val="16"/>
        </w:rPr>
        <w:t>Estas</w:t>
      </w:r>
      <w:r w:rsidRPr="007D1B9D">
        <w:rPr>
          <w:rFonts w:ascii="Verdana" w:hAnsi="Verdana" w:cs="Arial"/>
          <w:spacing w:val="1"/>
          <w:sz w:val="16"/>
          <w:szCs w:val="16"/>
        </w:rPr>
        <w:t xml:space="preserve"> </w:t>
      </w:r>
      <w:r w:rsidRPr="007D1B9D">
        <w:rPr>
          <w:rFonts w:ascii="Verdana" w:hAnsi="Verdana" w:cs="Arial"/>
          <w:sz w:val="16"/>
          <w:szCs w:val="16"/>
        </w:rPr>
        <w:t>instituciones</w:t>
      </w:r>
      <w:r w:rsidRPr="007D1B9D">
        <w:rPr>
          <w:rFonts w:ascii="Verdana" w:hAnsi="Verdana" w:cs="Arial"/>
          <w:spacing w:val="1"/>
          <w:sz w:val="16"/>
          <w:szCs w:val="16"/>
        </w:rPr>
        <w:t xml:space="preserve"> </w:t>
      </w:r>
      <w:r w:rsidRPr="007D1B9D">
        <w:rPr>
          <w:rFonts w:ascii="Verdana" w:hAnsi="Verdana" w:cs="Arial"/>
          <w:sz w:val="16"/>
          <w:szCs w:val="16"/>
        </w:rPr>
        <w:t>podrán</w:t>
      </w:r>
      <w:r w:rsidRPr="007D1B9D">
        <w:rPr>
          <w:rFonts w:ascii="Verdana" w:hAnsi="Verdana" w:cs="Arial"/>
          <w:spacing w:val="1"/>
          <w:sz w:val="16"/>
          <w:szCs w:val="16"/>
        </w:rPr>
        <w:t xml:space="preserve"> </w:t>
      </w:r>
      <w:r w:rsidRPr="007D1B9D">
        <w:rPr>
          <w:rFonts w:ascii="Verdana" w:hAnsi="Verdana" w:cs="Arial"/>
          <w:sz w:val="16"/>
          <w:szCs w:val="16"/>
        </w:rPr>
        <w:t>utilizar</w:t>
      </w:r>
      <w:r w:rsidRPr="007D1B9D">
        <w:rPr>
          <w:rFonts w:ascii="Verdana" w:hAnsi="Verdana" w:cs="Arial"/>
          <w:spacing w:val="1"/>
          <w:sz w:val="16"/>
          <w:szCs w:val="16"/>
        </w:rPr>
        <w:t xml:space="preserve"> </w:t>
      </w:r>
      <w:r w:rsidRPr="007D1B9D">
        <w:rPr>
          <w:rFonts w:ascii="Verdana" w:hAnsi="Verdana" w:cs="Arial"/>
          <w:sz w:val="16"/>
          <w:szCs w:val="16"/>
        </w:rPr>
        <w:t>mecanismos</w:t>
      </w:r>
      <w:r w:rsidRPr="007D1B9D">
        <w:rPr>
          <w:rFonts w:ascii="Verdana" w:hAnsi="Verdana" w:cs="Arial"/>
          <w:spacing w:val="1"/>
          <w:sz w:val="16"/>
          <w:szCs w:val="16"/>
        </w:rPr>
        <w:t xml:space="preserve"> </w:t>
      </w:r>
      <w:r w:rsidRPr="007D1B9D">
        <w:rPr>
          <w:rFonts w:ascii="Verdana" w:hAnsi="Verdana" w:cs="Arial"/>
          <w:sz w:val="16"/>
          <w:szCs w:val="16"/>
        </w:rPr>
        <w:t>de</w:t>
      </w:r>
      <w:r w:rsidRPr="007D1B9D">
        <w:rPr>
          <w:rFonts w:ascii="Verdana" w:hAnsi="Verdana" w:cs="Arial"/>
          <w:spacing w:val="1"/>
          <w:sz w:val="16"/>
          <w:szCs w:val="16"/>
        </w:rPr>
        <w:t xml:space="preserve"> </w:t>
      </w:r>
      <w:r w:rsidRPr="007D1B9D">
        <w:rPr>
          <w:rFonts w:ascii="Verdana" w:hAnsi="Verdana" w:cs="Arial"/>
          <w:sz w:val="16"/>
          <w:szCs w:val="16"/>
        </w:rPr>
        <w:t>subasta</w:t>
      </w:r>
      <w:r w:rsidRPr="007D1B9D">
        <w:rPr>
          <w:rFonts w:ascii="Verdana" w:hAnsi="Verdana" w:cs="Arial"/>
          <w:spacing w:val="1"/>
          <w:sz w:val="16"/>
          <w:szCs w:val="16"/>
        </w:rPr>
        <w:t xml:space="preserve"> </w:t>
      </w:r>
      <w:r w:rsidRPr="007D1B9D">
        <w:rPr>
          <w:rFonts w:ascii="Verdana" w:hAnsi="Verdana" w:cs="Arial"/>
          <w:sz w:val="16"/>
          <w:szCs w:val="16"/>
        </w:rPr>
        <w:t>inversa</w:t>
      </w:r>
      <w:r w:rsidRPr="007D1B9D">
        <w:rPr>
          <w:rFonts w:ascii="Verdana" w:hAnsi="Verdana" w:cs="Arial"/>
          <w:spacing w:val="1"/>
          <w:sz w:val="16"/>
          <w:szCs w:val="16"/>
        </w:rPr>
        <w:t xml:space="preserve"> </w:t>
      </w:r>
      <w:r w:rsidRPr="007D1B9D">
        <w:rPr>
          <w:rFonts w:ascii="Verdana" w:hAnsi="Verdana" w:cs="Arial"/>
          <w:sz w:val="16"/>
          <w:szCs w:val="16"/>
        </w:rPr>
        <w:t>para</w:t>
      </w:r>
      <w:r w:rsidRPr="007D1B9D">
        <w:rPr>
          <w:rFonts w:ascii="Verdana" w:hAnsi="Verdana" w:cs="Arial"/>
          <w:spacing w:val="1"/>
          <w:sz w:val="16"/>
          <w:szCs w:val="16"/>
        </w:rPr>
        <w:t xml:space="preserve"> </w:t>
      </w:r>
      <w:r w:rsidRPr="007D1B9D">
        <w:rPr>
          <w:rFonts w:ascii="Verdana" w:hAnsi="Verdana" w:cs="Arial"/>
          <w:sz w:val="16"/>
          <w:szCs w:val="16"/>
        </w:rPr>
        <w:t>lograr</w:t>
      </w:r>
      <w:r w:rsidRPr="007D1B9D">
        <w:rPr>
          <w:rFonts w:ascii="Verdana" w:hAnsi="Verdana" w:cs="Arial"/>
          <w:spacing w:val="1"/>
          <w:sz w:val="16"/>
          <w:szCs w:val="16"/>
        </w:rPr>
        <w:t xml:space="preserve"> </w:t>
      </w:r>
      <w:r w:rsidRPr="007D1B9D">
        <w:rPr>
          <w:rFonts w:ascii="Verdana" w:hAnsi="Verdana" w:cs="Arial"/>
          <w:sz w:val="16"/>
          <w:szCs w:val="16"/>
        </w:rPr>
        <w:t>mayor</w:t>
      </w:r>
      <w:r w:rsidRPr="007D1B9D">
        <w:rPr>
          <w:rFonts w:ascii="Verdana" w:hAnsi="Verdana" w:cs="Arial"/>
          <w:spacing w:val="-50"/>
          <w:sz w:val="16"/>
          <w:szCs w:val="16"/>
        </w:rPr>
        <w:t xml:space="preserve"> </w:t>
      </w:r>
      <w:r w:rsidRPr="007D1B9D">
        <w:rPr>
          <w:rFonts w:ascii="Verdana" w:hAnsi="Verdana" w:cs="Arial"/>
          <w:sz w:val="16"/>
          <w:szCs w:val="16"/>
        </w:rPr>
        <w:t>eficiencia</w:t>
      </w:r>
      <w:r w:rsidRPr="007D1B9D">
        <w:rPr>
          <w:rFonts w:ascii="Verdana" w:hAnsi="Verdana" w:cs="Arial"/>
          <w:spacing w:val="-2"/>
          <w:sz w:val="16"/>
          <w:szCs w:val="16"/>
        </w:rPr>
        <w:t xml:space="preserve"> </w:t>
      </w:r>
      <w:r w:rsidRPr="007D1B9D">
        <w:rPr>
          <w:rFonts w:ascii="Verdana" w:hAnsi="Verdana" w:cs="Arial"/>
          <w:sz w:val="16"/>
          <w:szCs w:val="16"/>
        </w:rPr>
        <w:t>en</w:t>
      </w:r>
      <w:r w:rsidRPr="007D1B9D">
        <w:rPr>
          <w:rFonts w:ascii="Verdana" w:hAnsi="Verdana" w:cs="Arial"/>
          <w:spacing w:val="-1"/>
          <w:sz w:val="16"/>
          <w:szCs w:val="16"/>
        </w:rPr>
        <w:t xml:space="preserve"> </w:t>
      </w:r>
      <w:r w:rsidRPr="007D1B9D">
        <w:rPr>
          <w:rFonts w:ascii="Verdana" w:hAnsi="Verdana" w:cs="Arial"/>
          <w:sz w:val="16"/>
          <w:szCs w:val="16"/>
        </w:rPr>
        <w:t>sus</w:t>
      </w:r>
      <w:r w:rsidRPr="007D1B9D">
        <w:rPr>
          <w:rFonts w:ascii="Verdana" w:hAnsi="Verdana" w:cs="Arial"/>
          <w:spacing w:val="-1"/>
          <w:sz w:val="16"/>
          <w:szCs w:val="16"/>
        </w:rPr>
        <w:t xml:space="preserve"> </w:t>
      </w:r>
      <w:r w:rsidRPr="007D1B9D">
        <w:rPr>
          <w:rFonts w:ascii="Verdana" w:hAnsi="Verdana" w:cs="Arial"/>
          <w:sz w:val="16"/>
          <w:szCs w:val="16"/>
        </w:rPr>
        <w:t>adquisiciones”</w:t>
      </w:r>
    </w:p>
  </w:footnote>
  <w:footnote w:id="34">
    <w:p w14:paraId="28C61B78" w14:textId="77777777" w:rsidR="00E85B43" w:rsidRPr="007D1B9D" w:rsidRDefault="00E85B43" w:rsidP="00E85B43">
      <w:pPr>
        <w:pStyle w:val="Textonotapie"/>
        <w:ind w:firstLine="708"/>
        <w:jc w:val="both"/>
        <w:rPr>
          <w:rFonts w:ascii="Verdana" w:hAnsi="Verdana" w:cs="Arial"/>
          <w:color w:val="000000" w:themeColor="text1"/>
          <w:sz w:val="16"/>
          <w:szCs w:val="16"/>
          <w:lang w:val="es-CO"/>
        </w:rPr>
      </w:pPr>
      <w:r w:rsidRPr="007D1B9D">
        <w:rPr>
          <w:rStyle w:val="Refdenotaalpie"/>
          <w:rFonts w:ascii="Verdana" w:hAnsi="Verdana" w:cs="Arial"/>
          <w:color w:val="000000" w:themeColor="text1"/>
          <w:sz w:val="16"/>
          <w:szCs w:val="16"/>
        </w:rPr>
        <w:footnoteRef/>
      </w:r>
      <w:r w:rsidRPr="007D1B9D">
        <w:rPr>
          <w:rFonts w:ascii="Verdana" w:hAnsi="Verdana" w:cs="Arial"/>
          <w:color w:val="000000" w:themeColor="text1"/>
          <w:sz w:val="16"/>
          <w:szCs w:val="16"/>
        </w:rPr>
        <w:t xml:space="preserve"> Consejo de Estado. Sala de Consulta y Servicio Civil. Concepto del 27 de agosto de 1998, radicación No. 1.127, C.P. Javier Henao Hidrón; y C</w:t>
      </w:r>
      <w:r w:rsidRPr="007D1B9D">
        <w:rPr>
          <w:rFonts w:ascii="Verdana" w:hAnsi="Verdana" w:cs="Arial"/>
          <w:color w:val="000000" w:themeColor="text1"/>
          <w:sz w:val="16"/>
          <w:szCs w:val="16"/>
          <w:lang w:val="es-CO"/>
        </w:rPr>
        <w:t>oncepto del 6 de abril de 2000. Radicación No. 1.263, C.P. Flavio Augusto Rodriguez Arce.</w:t>
      </w:r>
    </w:p>
  </w:footnote>
  <w:footnote w:id="35">
    <w:p w14:paraId="5318803E" w14:textId="77777777" w:rsidR="00E85B43" w:rsidRPr="007D1B9D" w:rsidRDefault="00E85B43" w:rsidP="00E85B43">
      <w:pPr>
        <w:pStyle w:val="Textonotapie"/>
        <w:ind w:firstLine="709"/>
        <w:jc w:val="both"/>
        <w:rPr>
          <w:rFonts w:ascii="Verdana" w:hAnsi="Verdana" w:cs="Arial"/>
          <w:color w:val="000000" w:themeColor="text1"/>
          <w:sz w:val="16"/>
          <w:szCs w:val="16"/>
        </w:rPr>
      </w:pPr>
      <w:r w:rsidRPr="007D1B9D">
        <w:rPr>
          <w:rStyle w:val="Refdenotaalpie"/>
          <w:rFonts w:ascii="Verdana" w:hAnsi="Verdana" w:cs="Arial"/>
          <w:color w:val="000000" w:themeColor="text1"/>
          <w:sz w:val="16"/>
          <w:szCs w:val="16"/>
        </w:rPr>
        <w:footnoteRef/>
      </w:r>
      <w:r w:rsidRPr="007D1B9D">
        <w:rPr>
          <w:rFonts w:ascii="Verdana" w:hAnsi="Verdana" w:cs="Arial"/>
          <w:color w:val="000000" w:themeColor="text1"/>
          <w:sz w:val="16"/>
          <w:szCs w:val="16"/>
        </w:rPr>
        <w:t xml:space="preserve"> Ministerio de Salud y la Protección Social. Concepto del 16 de agosto de 2019. Expediente No. 201942301304712.</w:t>
      </w:r>
    </w:p>
  </w:footnote>
  <w:footnote w:id="36">
    <w:p w14:paraId="6DFCA675" w14:textId="77777777" w:rsidR="00E85B43" w:rsidRPr="007D1B9D" w:rsidRDefault="00E85B43" w:rsidP="00E85B43">
      <w:pPr>
        <w:pStyle w:val="Textonotapie"/>
        <w:ind w:firstLine="708"/>
        <w:jc w:val="both"/>
        <w:rPr>
          <w:rFonts w:ascii="Verdana" w:hAnsi="Verdana"/>
          <w:sz w:val="16"/>
          <w:szCs w:val="16"/>
          <w:lang w:val="es-CO"/>
        </w:rPr>
      </w:pPr>
      <w:r w:rsidRPr="007D1B9D">
        <w:rPr>
          <w:rStyle w:val="Refdenotaalpie"/>
          <w:rFonts w:ascii="Verdana" w:hAnsi="Verdana"/>
          <w:sz w:val="16"/>
          <w:szCs w:val="16"/>
        </w:rPr>
        <w:footnoteRef/>
      </w:r>
      <w:r w:rsidRPr="007D1B9D">
        <w:rPr>
          <w:rFonts w:ascii="Verdana" w:hAnsi="Verdana"/>
          <w:sz w:val="16"/>
          <w:szCs w:val="16"/>
        </w:rPr>
        <w:t xml:space="preserve"> Agencia Nacional de Contratación Pública – Colombia Compra Eficiente. </w:t>
      </w:r>
      <w:r w:rsidRPr="007D1B9D">
        <w:rPr>
          <w:rFonts w:ascii="Verdana" w:hAnsi="Verdana"/>
          <w:sz w:val="16"/>
          <w:szCs w:val="16"/>
          <w:lang w:val="es-CO"/>
        </w:rPr>
        <w:t xml:space="preserve">Guía para adelantar el Proceso Administrativo Sancionatorio Contractual. Disponible en línea: </w:t>
      </w:r>
      <w:hyperlink r:id="rId4" w:history="1">
        <w:r w:rsidRPr="007D1B9D">
          <w:rPr>
            <w:rStyle w:val="Hipervnculo"/>
            <w:rFonts w:ascii="Verdana" w:hAnsi="Verdana"/>
            <w:sz w:val="16"/>
            <w:szCs w:val="16"/>
            <w:lang w:val="es-CO"/>
          </w:rPr>
          <w:t>https://www.colombiacompra.gov.co/archivos/manual/guia-para-adelantar-el-proceso-sancionatorio-administrativo-contractual</w:t>
        </w:r>
      </w:hyperlink>
      <w:r w:rsidRPr="007D1B9D">
        <w:rPr>
          <w:rFonts w:ascii="Verdana" w:hAnsi="Verdana"/>
          <w:sz w:val="16"/>
          <w:szCs w:val="16"/>
          <w:lang w:val="es-CO"/>
        </w:rPr>
        <w:t xml:space="preserve">, 2026. p. 95. </w:t>
      </w:r>
    </w:p>
  </w:footnote>
  <w:footnote w:id="37">
    <w:p w14:paraId="108AD1D7" w14:textId="77777777" w:rsidR="00E85B43" w:rsidRPr="007D1B9D" w:rsidRDefault="00E85B43" w:rsidP="00E85B43">
      <w:pPr>
        <w:pStyle w:val="Textonotapie"/>
        <w:ind w:firstLine="709"/>
        <w:jc w:val="both"/>
        <w:rPr>
          <w:rFonts w:ascii="Verdana" w:hAnsi="Verdana" w:cs="Arial"/>
          <w:color w:val="000000"/>
          <w:sz w:val="16"/>
          <w:szCs w:val="16"/>
        </w:rPr>
      </w:pPr>
      <w:r w:rsidRPr="007D1B9D">
        <w:rPr>
          <w:rStyle w:val="Refdenotaalpie"/>
          <w:rFonts w:ascii="Verdana" w:hAnsi="Verdana" w:cs="Arial"/>
          <w:color w:val="000000"/>
          <w:sz w:val="16"/>
          <w:szCs w:val="16"/>
        </w:rPr>
        <w:footnoteRef/>
      </w:r>
      <w:r w:rsidRPr="007D1B9D">
        <w:rPr>
          <w:rFonts w:ascii="Verdana" w:hAnsi="Verdana" w:cs="Arial"/>
          <w:color w:val="000000"/>
          <w:sz w:val="16"/>
          <w:szCs w:val="16"/>
          <w:lang w:val="pt-BR"/>
        </w:rPr>
        <w:t xml:space="preserve"> Corte Constitucional. Sentencia C-317 de 2012. </w:t>
      </w:r>
      <w:r w:rsidRPr="007D1B9D">
        <w:rPr>
          <w:rFonts w:ascii="Verdana" w:hAnsi="Verdana" w:cs="Arial"/>
          <w:color w:val="000000"/>
          <w:sz w:val="16"/>
          <w:szCs w:val="16"/>
        </w:rPr>
        <w:t xml:space="preserve">M.P. María Victoria Calle Correa. </w:t>
      </w:r>
    </w:p>
  </w:footnote>
  <w:footnote w:id="38">
    <w:p w14:paraId="38A0D7FC" w14:textId="77777777" w:rsidR="00E85B43" w:rsidRPr="007D1B9D" w:rsidRDefault="00E85B43" w:rsidP="00E85B43">
      <w:pPr>
        <w:pStyle w:val="Textonotapie"/>
        <w:ind w:firstLine="708"/>
        <w:jc w:val="both"/>
        <w:rPr>
          <w:rFonts w:ascii="Verdana" w:hAnsi="Verdana"/>
          <w:sz w:val="16"/>
          <w:szCs w:val="16"/>
          <w:lang w:val="es-ES"/>
        </w:rPr>
      </w:pPr>
      <w:r w:rsidRPr="007D1B9D">
        <w:rPr>
          <w:rStyle w:val="Refdenotaalpie"/>
          <w:rFonts w:ascii="Verdana" w:hAnsi="Verdana"/>
          <w:sz w:val="16"/>
          <w:szCs w:val="16"/>
        </w:rPr>
        <w:footnoteRef/>
      </w:r>
      <w:r w:rsidRPr="007D1B9D">
        <w:rPr>
          <w:rFonts w:ascii="Verdana" w:hAnsi="Verdana"/>
          <w:sz w:val="16"/>
          <w:szCs w:val="16"/>
        </w:rPr>
        <w:t xml:space="preserve"> Consejo de Estado. Sección Tercera-Subsección A. Sentencia del 21 de febrero de 2025. M.P. José Roberto Sáchica Méndez. Exp. 70099. </w:t>
      </w:r>
    </w:p>
  </w:footnote>
  <w:footnote w:id="39">
    <w:p w14:paraId="0D8A9ED7" w14:textId="77777777" w:rsidR="00E85B43" w:rsidRPr="00D8787B" w:rsidRDefault="00E85B43" w:rsidP="00E85B43">
      <w:pPr>
        <w:pStyle w:val="Textonotapie"/>
        <w:snapToGrid w:val="0"/>
        <w:ind w:firstLine="709"/>
        <w:contextualSpacing/>
        <w:jc w:val="both"/>
        <w:rPr>
          <w:rFonts w:ascii="Verdana" w:eastAsia="Calibri" w:hAnsi="Verdana" w:cs="Arial"/>
          <w:color w:val="000000" w:themeColor="text1"/>
          <w:sz w:val="16"/>
          <w:szCs w:val="16"/>
          <w:lang w:val="es-ES_tradnl"/>
        </w:rPr>
      </w:pPr>
      <w:r w:rsidRPr="007D1B9D">
        <w:rPr>
          <w:rStyle w:val="Refdenotaalpie"/>
          <w:rFonts w:ascii="Verdana" w:hAnsi="Verdana" w:cs="Arial"/>
          <w:color w:val="000000" w:themeColor="text1"/>
          <w:sz w:val="16"/>
          <w:szCs w:val="16"/>
        </w:rPr>
        <w:footnoteRef/>
      </w:r>
      <w:r w:rsidRPr="007D1B9D">
        <w:rPr>
          <w:rFonts w:ascii="Verdana" w:hAnsi="Verdana" w:cs="Arial"/>
          <w:color w:val="000000" w:themeColor="text1"/>
          <w:sz w:val="16"/>
          <w:szCs w:val="16"/>
        </w:rPr>
        <w:t xml:space="preserve"> </w:t>
      </w:r>
      <w:r w:rsidRPr="007D1B9D">
        <w:rPr>
          <w:rFonts w:ascii="Verdana" w:eastAsia="Calibri" w:hAnsi="Verdana" w:cs="Arial"/>
          <w:color w:val="000000" w:themeColor="text1"/>
          <w:sz w:val="16"/>
          <w:szCs w:val="16"/>
          <w:lang w:val="es-ES_tradnl"/>
        </w:rPr>
        <w:t>Cfr.</w:t>
      </w:r>
      <w:r w:rsidRPr="007D1B9D">
        <w:rPr>
          <w:rFonts w:ascii="Verdana" w:hAnsi="Verdana" w:cs="Arial"/>
          <w:color w:val="000000" w:themeColor="text1"/>
          <w:sz w:val="16"/>
          <w:szCs w:val="16"/>
        </w:rPr>
        <w:t xml:space="preserve"> </w:t>
      </w:r>
      <w:r w:rsidRPr="007D1B9D">
        <w:rPr>
          <w:rFonts w:ascii="Verdana" w:eastAsia="Calibri" w:hAnsi="Verdana" w:cs="Arial"/>
          <w:color w:val="000000" w:themeColor="text1"/>
          <w:sz w:val="16"/>
          <w:szCs w:val="16"/>
          <w:lang w:val="es-ES_tradnl"/>
        </w:rPr>
        <w:t>Consejo de Estado. Sección Tercera. Subsección B. Sentencia del 30 de noviembre de 2016. Rad. 29.368. C.P. Ramiro Pazos Guerrero; Subsección B. Sentencia del 5 de diciembre de 2016. Exp. 35.057. C.P. Ramiro Pazos Guerrero; Subsección A. Sentencia del 27 de noviembre de 2013. Exp. 25.742. C.P. Mauricio Fajardo Gómez; Subsección C. Sentencia del 7 de junio de 2012. Exp. 22.899. C.P. Olga Melida Valle de De La Hoz, entre otras.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216FBA"/>
    <w:multiLevelType w:val="hybridMultilevel"/>
    <w:tmpl w:val="D9FC4EE6"/>
    <w:lvl w:ilvl="0" w:tplc="BEA8D89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77699115">
    <w:abstractNumId w:val="10"/>
  </w:num>
  <w:num w:numId="2" w16cid:durableId="604701673">
    <w:abstractNumId w:val="2"/>
  </w:num>
  <w:num w:numId="3" w16cid:durableId="137654008">
    <w:abstractNumId w:val="8"/>
  </w:num>
  <w:num w:numId="4" w16cid:durableId="18616263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1958750">
    <w:abstractNumId w:val="2"/>
  </w:num>
  <w:num w:numId="6" w16cid:durableId="1104959583">
    <w:abstractNumId w:val="17"/>
  </w:num>
  <w:num w:numId="7" w16cid:durableId="140656220">
    <w:abstractNumId w:val="9"/>
  </w:num>
  <w:num w:numId="8" w16cid:durableId="1191525519">
    <w:abstractNumId w:val="16"/>
  </w:num>
  <w:num w:numId="9" w16cid:durableId="2054378821">
    <w:abstractNumId w:val="11"/>
  </w:num>
  <w:num w:numId="10" w16cid:durableId="1281062243">
    <w:abstractNumId w:val="15"/>
  </w:num>
  <w:num w:numId="11" w16cid:durableId="1805074295">
    <w:abstractNumId w:val="12"/>
  </w:num>
  <w:num w:numId="12" w16cid:durableId="639304896">
    <w:abstractNumId w:val="0"/>
  </w:num>
  <w:num w:numId="13" w16cid:durableId="103966467">
    <w:abstractNumId w:val="5"/>
  </w:num>
  <w:num w:numId="14" w16cid:durableId="623971055">
    <w:abstractNumId w:val="18"/>
  </w:num>
  <w:num w:numId="15" w16cid:durableId="1375034155">
    <w:abstractNumId w:val="14"/>
  </w:num>
  <w:num w:numId="16" w16cid:durableId="236985403">
    <w:abstractNumId w:val="6"/>
  </w:num>
  <w:num w:numId="17" w16cid:durableId="1469280501">
    <w:abstractNumId w:val="13"/>
  </w:num>
  <w:num w:numId="18" w16cid:durableId="905260056">
    <w:abstractNumId w:val="21"/>
  </w:num>
  <w:num w:numId="19" w16cid:durableId="394162441">
    <w:abstractNumId w:val="20"/>
  </w:num>
  <w:num w:numId="20" w16cid:durableId="1836261503">
    <w:abstractNumId w:val="1"/>
  </w:num>
  <w:num w:numId="21" w16cid:durableId="21445149">
    <w:abstractNumId w:val="4"/>
  </w:num>
  <w:num w:numId="22" w16cid:durableId="304508521">
    <w:abstractNumId w:val="7"/>
  </w:num>
  <w:num w:numId="23" w16cid:durableId="1474063509">
    <w:abstractNumId w:val="3"/>
  </w:num>
  <w:num w:numId="24" w16cid:durableId="12000960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1BE9"/>
    <w:rsid w:val="00005CE1"/>
    <w:rsid w:val="00005D62"/>
    <w:rsid w:val="000134D5"/>
    <w:rsid w:val="0001656B"/>
    <w:rsid w:val="00016F78"/>
    <w:rsid w:val="00023F88"/>
    <w:rsid w:val="000402DF"/>
    <w:rsid w:val="00043D9A"/>
    <w:rsid w:val="00046945"/>
    <w:rsid w:val="00061B2A"/>
    <w:rsid w:val="00063F5C"/>
    <w:rsid w:val="000711CF"/>
    <w:rsid w:val="00075963"/>
    <w:rsid w:val="00076D52"/>
    <w:rsid w:val="00080A90"/>
    <w:rsid w:val="00082362"/>
    <w:rsid w:val="00093A60"/>
    <w:rsid w:val="0009710C"/>
    <w:rsid w:val="000A04C2"/>
    <w:rsid w:val="000A5682"/>
    <w:rsid w:val="000A6046"/>
    <w:rsid w:val="000A683E"/>
    <w:rsid w:val="000B19B9"/>
    <w:rsid w:val="000B27F0"/>
    <w:rsid w:val="000B298E"/>
    <w:rsid w:val="000B5B13"/>
    <w:rsid w:val="000C4B4E"/>
    <w:rsid w:val="000D0334"/>
    <w:rsid w:val="000D0628"/>
    <w:rsid w:val="000D1DC8"/>
    <w:rsid w:val="000D5AA2"/>
    <w:rsid w:val="000D5DA7"/>
    <w:rsid w:val="000E3919"/>
    <w:rsid w:val="000F078F"/>
    <w:rsid w:val="000F3444"/>
    <w:rsid w:val="000F51CC"/>
    <w:rsid w:val="000F6486"/>
    <w:rsid w:val="00100317"/>
    <w:rsid w:val="001018F2"/>
    <w:rsid w:val="00105C57"/>
    <w:rsid w:val="00110116"/>
    <w:rsid w:val="001168F2"/>
    <w:rsid w:val="00116940"/>
    <w:rsid w:val="00125105"/>
    <w:rsid w:val="00127233"/>
    <w:rsid w:val="00132066"/>
    <w:rsid w:val="001328F3"/>
    <w:rsid w:val="001341D1"/>
    <w:rsid w:val="00140FC4"/>
    <w:rsid w:val="0015699B"/>
    <w:rsid w:val="00160CD5"/>
    <w:rsid w:val="00162968"/>
    <w:rsid w:val="00163A7F"/>
    <w:rsid w:val="00167AA3"/>
    <w:rsid w:val="00171640"/>
    <w:rsid w:val="00174D6E"/>
    <w:rsid w:val="00177A05"/>
    <w:rsid w:val="0018473A"/>
    <w:rsid w:val="00186DF3"/>
    <w:rsid w:val="00190672"/>
    <w:rsid w:val="00191E96"/>
    <w:rsid w:val="001A33BF"/>
    <w:rsid w:val="001A3F59"/>
    <w:rsid w:val="001A575D"/>
    <w:rsid w:val="001A6833"/>
    <w:rsid w:val="001B2673"/>
    <w:rsid w:val="001B55B6"/>
    <w:rsid w:val="001B57CA"/>
    <w:rsid w:val="001C2649"/>
    <w:rsid w:val="001C5603"/>
    <w:rsid w:val="001C5AE4"/>
    <w:rsid w:val="001C67B3"/>
    <w:rsid w:val="001D54FD"/>
    <w:rsid w:val="001D58CC"/>
    <w:rsid w:val="001E2E05"/>
    <w:rsid w:val="001E4177"/>
    <w:rsid w:val="001E7D72"/>
    <w:rsid w:val="001F0B24"/>
    <w:rsid w:val="001F2109"/>
    <w:rsid w:val="001F61DB"/>
    <w:rsid w:val="001F7DC6"/>
    <w:rsid w:val="0020656E"/>
    <w:rsid w:val="002209DE"/>
    <w:rsid w:val="0022400B"/>
    <w:rsid w:val="0022428A"/>
    <w:rsid w:val="00233682"/>
    <w:rsid w:val="002421BB"/>
    <w:rsid w:val="002463BD"/>
    <w:rsid w:val="0024777C"/>
    <w:rsid w:val="00247B16"/>
    <w:rsid w:val="00251833"/>
    <w:rsid w:val="0025228C"/>
    <w:rsid w:val="0025796E"/>
    <w:rsid w:val="002707A2"/>
    <w:rsid w:val="0027519F"/>
    <w:rsid w:val="00275482"/>
    <w:rsid w:val="00282055"/>
    <w:rsid w:val="00284F79"/>
    <w:rsid w:val="0028778F"/>
    <w:rsid w:val="002922CC"/>
    <w:rsid w:val="002951A0"/>
    <w:rsid w:val="002962BC"/>
    <w:rsid w:val="002A093D"/>
    <w:rsid w:val="002A0DD0"/>
    <w:rsid w:val="002A2792"/>
    <w:rsid w:val="002A4510"/>
    <w:rsid w:val="002A49AC"/>
    <w:rsid w:val="002A64FD"/>
    <w:rsid w:val="002B3275"/>
    <w:rsid w:val="002B730F"/>
    <w:rsid w:val="002C215C"/>
    <w:rsid w:val="002C3457"/>
    <w:rsid w:val="002C680E"/>
    <w:rsid w:val="002C7A84"/>
    <w:rsid w:val="002D0DA5"/>
    <w:rsid w:val="002D33FD"/>
    <w:rsid w:val="002E05EF"/>
    <w:rsid w:val="002E0AA5"/>
    <w:rsid w:val="002E2BF8"/>
    <w:rsid w:val="002E4FD9"/>
    <w:rsid w:val="002F0847"/>
    <w:rsid w:val="003046D0"/>
    <w:rsid w:val="0030657A"/>
    <w:rsid w:val="00310993"/>
    <w:rsid w:val="003136DC"/>
    <w:rsid w:val="00316053"/>
    <w:rsid w:val="00322A85"/>
    <w:rsid w:val="00322C00"/>
    <w:rsid w:val="00324168"/>
    <w:rsid w:val="00330834"/>
    <w:rsid w:val="0033100E"/>
    <w:rsid w:val="00332AB0"/>
    <w:rsid w:val="003332A8"/>
    <w:rsid w:val="00342AFF"/>
    <w:rsid w:val="00343FE7"/>
    <w:rsid w:val="003448F4"/>
    <w:rsid w:val="00345B0E"/>
    <w:rsid w:val="00350211"/>
    <w:rsid w:val="003639BC"/>
    <w:rsid w:val="0036554F"/>
    <w:rsid w:val="00374F5E"/>
    <w:rsid w:val="003769E1"/>
    <w:rsid w:val="00377E3E"/>
    <w:rsid w:val="00381BAB"/>
    <w:rsid w:val="0038284E"/>
    <w:rsid w:val="003910D8"/>
    <w:rsid w:val="0039302D"/>
    <w:rsid w:val="003A29CD"/>
    <w:rsid w:val="003A779E"/>
    <w:rsid w:val="003B06FA"/>
    <w:rsid w:val="003B7DB1"/>
    <w:rsid w:val="003C372D"/>
    <w:rsid w:val="003C66F5"/>
    <w:rsid w:val="003C7B12"/>
    <w:rsid w:val="003C7CB2"/>
    <w:rsid w:val="003D0F4D"/>
    <w:rsid w:val="003D444B"/>
    <w:rsid w:val="003D5B0D"/>
    <w:rsid w:val="003E0499"/>
    <w:rsid w:val="003E4F80"/>
    <w:rsid w:val="003E6439"/>
    <w:rsid w:val="003F3941"/>
    <w:rsid w:val="00403EFA"/>
    <w:rsid w:val="00406575"/>
    <w:rsid w:val="004067F8"/>
    <w:rsid w:val="00413968"/>
    <w:rsid w:val="004140B3"/>
    <w:rsid w:val="00414C74"/>
    <w:rsid w:val="00417BA5"/>
    <w:rsid w:val="00422B13"/>
    <w:rsid w:val="004238B3"/>
    <w:rsid w:val="00424288"/>
    <w:rsid w:val="004249EE"/>
    <w:rsid w:val="004256C4"/>
    <w:rsid w:val="00426884"/>
    <w:rsid w:val="0042722E"/>
    <w:rsid w:val="0044103A"/>
    <w:rsid w:val="0044528D"/>
    <w:rsid w:val="0044612D"/>
    <w:rsid w:val="00451137"/>
    <w:rsid w:val="004542B3"/>
    <w:rsid w:val="00455321"/>
    <w:rsid w:val="004555EA"/>
    <w:rsid w:val="004556DD"/>
    <w:rsid w:val="00462AF7"/>
    <w:rsid w:val="00466E39"/>
    <w:rsid w:val="00472D1B"/>
    <w:rsid w:val="0048397D"/>
    <w:rsid w:val="0048582F"/>
    <w:rsid w:val="0048787A"/>
    <w:rsid w:val="00494F04"/>
    <w:rsid w:val="00497AA7"/>
    <w:rsid w:val="004A0A0B"/>
    <w:rsid w:val="004A1847"/>
    <w:rsid w:val="004A305D"/>
    <w:rsid w:val="004B35B1"/>
    <w:rsid w:val="004B3DAC"/>
    <w:rsid w:val="004C0DBB"/>
    <w:rsid w:val="004C62C6"/>
    <w:rsid w:val="004C6A99"/>
    <w:rsid w:val="004D0855"/>
    <w:rsid w:val="004D3959"/>
    <w:rsid w:val="004E5C4F"/>
    <w:rsid w:val="004F0F51"/>
    <w:rsid w:val="004F16CF"/>
    <w:rsid w:val="004F21C4"/>
    <w:rsid w:val="004F3219"/>
    <w:rsid w:val="004F685F"/>
    <w:rsid w:val="00500788"/>
    <w:rsid w:val="00501D66"/>
    <w:rsid w:val="00506204"/>
    <w:rsid w:val="00506712"/>
    <w:rsid w:val="00507231"/>
    <w:rsid w:val="00507BC8"/>
    <w:rsid w:val="00511C5B"/>
    <w:rsid w:val="00511DF3"/>
    <w:rsid w:val="00512B98"/>
    <w:rsid w:val="00513037"/>
    <w:rsid w:val="00517333"/>
    <w:rsid w:val="00517955"/>
    <w:rsid w:val="005229DB"/>
    <w:rsid w:val="00530C2D"/>
    <w:rsid w:val="00534886"/>
    <w:rsid w:val="00542B63"/>
    <w:rsid w:val="00551AF3"/>
    <w:rsid w:val="005566E8"/>
    <w:rsid w:val="00566C30"/>
    <w:rsid w:val="00570FBC"/>
    <w:rsid w:val="00574867"/>
    <w:rsid w:val="00575891"/>
    <w:rsid w:val="00585E40"/>
    <w:rsid w:val="0058671B"/>
    <w:rsid w:val="00586B3F"/>
    <w:rsid w:val="00591166"/>
    <w:rsid w:val="00591460"/>
    <w:rsid w:val="005A09F9"/>
    <w:rsid w:val="005A3648"/>
    <w:rsid w:val="005A46FB"/>
    <w:rsid w:val="005A5D56"/>
    <w:rsid w:val="005A65E0"/>
    <w:rsid w:val="005B468A"/>
    <w:rsid w:val="005B635C"/>
    <w:rsid w:val="005C0881"/>
    <w:rsid w:val="005C3777"/>
    <w:rsid w:val="005C5CDC"/>
    <w:rsid w:val="005D2566"/>
    <w:rsid w:val="005D476C"/>
    <w:rsid w:val="005E4CC1"/>
    <w:rsid w:val="005F20A4"/>
    <w:rsid w:val="005F29DA"/>
    <w:rsid w:val="005F560A"/>
    <w:rsid w:val="00600D92"/>
    <w:rsid w:val="00603C5B"/>
    <w:rsid w:val="00605514"/>
    <w:rsid w:val="006200BF"/>
    <w:rsid w:val="0062143E"/>
    <w:rsid w:val="006219F8"/>
    <w:rsid w:val="0062479B"/>
    <w:rsid w:val="006302F7"/>
    <w:rsid w:val="00630998"/>
    <w:rsid w:val="00632CF0"/>
    <w:rsid w:val="006346BE"/>
    <w:rsid w:val="00646B9F"/>
    <w:rsid w:val="006605A3"/>
    <w:rsid w:val="00660B23"/>
    <w:rsid w:val="00663F30"/>
    <w:rsid w:val="00664BD0"/>
    <w:rsid w:val="00665D70"/>
    <w:rsid w:val="0067627A"/>
    <w:rsid w:val="00684F67"/>
    <w:rsid w:val="006900D9"/>
    <w:rsid w:val="0069741A"/>
    <w:rsid w:val="00697C0B"/>
    <w:rsid w:val="006A278C"/>
    <w:rsid w:val="006A2BE4"/>
    <w:rsid w:val="006B3925"/>
    <w:rsid w:val="006B4707"/>
    <w:rsid w:val="006C5F09"/>
    <w:rsid w:val="006D591D"/>
    <w:rsid w:val="006F3957"/>
    <w:rsid w:val="006F747D"/>
    <w:rsid w:val="007009D7"/>
    <w:rsid w:val="007025D7"/>
    <w:rsid w:val="007049A6"/>
    <w:rsid w:val="00706C16"/>
    <w:rsid w:val="0071557C"/>
    <w:rsid w:val="007163A7"/>
    <w:rsid w:val="007203DD"/>
    <w:rsid w:val="00720D13"/>
    <w:rsid w:val="00721AB0"/>
    <w:rsid w:val="00731F30"/>
    <w:rsid w:val="007340C3"/>
    <w:rsid w:val="0073510E"/>
    <w:rsid w:val="00744503"/>
    <w:rsid w:val="00744A98"/>
    <w:rsid w:val="007458D3"/>
    <w:rsid w:val="0075235A"/>
    <w:rsid w:val="00752CDB"/>
    <w:rsid w:val="0075557D"/>
    <w:rsid w:val="00756841"/>
    <w:rsid w:val="007649AB"/>
    <w:rsid w:val="007664ED"/>
    <w:rsid w:val="00771D0C"/>
    <w:rsid w:val="007757A1"/>
    <w:rsid w:val="00777A33"/>
    <w:rsid w:val="00782805"/>
    <w:rsid w:val="007833AC"/>
    <w:rsid w:val="00795086"/>
    <w:rsid w:val="00796CF6"/>
    <w:rsid w:val="007A1830"/>
    <w:rsid w:val="007A407B"/>
    <w:rsid w:val="007B1674"/>
    <w:rsid w:val="007B268C"/>
    <w:rsid w:val="007B6C45"/>
    <w:rsid w:val="007B7171"/>
    <w:rsid w:val="007C0C0F"/>
    <w:rsid w:val="007C3DC2"/>
    <w:rsid w:val="007C4353"/>
    <w:rsid w:val="007D1B9D"/>
    <w:rsid w:val="007D3058"/>
    <w:rsid w:val="007D4B12"/>
    <w:rsid w:val="007E0196"/>
    <w:rsid w:val="007E5497"/>
    <w:rsid w:val="007E607B"/>
    <w:rsid w:val="007F27F0"/>
    <w:rsid w:val="00806F5F"/>
    <w:rsid w:val="00820278"/>
    <w:rsid w:val="008258C9"/>
    <w:rsid w:val="00833286"/>
    <w:rsid w:val="00836232"/>
    <w:rsid w:val="00844AE9"/>
    <w:rsid w:val="0085028F"/>
    <w:rsid w:val="00851A60"/>
    <w:rsid w:val="00854817"/>
    <w:rsid w:val="0085545E"/>
    <w:rsid w:val="00857736"/>
    <w:rsid w:val="00864215"/>
    <w:rsid w:val="00867F95"/>
    <w:rsid w:val="0087392B"/>
    <w:rsid w:val="008743C9"/>
    <w:rsid w:val="00874CA4"/>
    <w:rsid w:val="00881D66"/>
    <w:rsid w:val="00882587"/>
    <w:rsid w:val="008843B6"/>
    <w:rsid w:val="00891928"/>
    <w:rsid w:val="008A0B40"/>
    <w:rsid w:val="008A39F1"/>
    <w:rsid w:val="008A42AA"/>
    <w:rsid w:val="008A446D"/>
    <w:rsid w:val="008A4518"/>
    <w:rsid w:val="008B0D0F"/>
    <w:rsid w:val="008B0DA7"/>
    <w:rsid w:val="008B25F1"/>
    <w:rsid w:val="008C11FD"/>
    <w:rsid w:val="008C4DD5"/>
    <w:rsid w:val="008C517A"/>
    <w:rsid w:val="008C6AE5"/>
    <w:rsid w:val="008D1660"/>
    <w:rsid w:val="008D180B"/>
    <w:rsid w:val="008D2669"/>
    <w:rsid w:val="008D6B7C"/>
    <w:rsid w:val="008E7B16"/>
    <w:rsid w:val="008F0EA7"/>
    <w:rsid w:val="008F17DC"/>
    <w:rsid w:val="008F4334"/>
    <w:rsid w:val="008F50D1"/>
    <w:rsid w:val="008F5151"/>
    <w:rsid w:val="008F6705"/>
    <w:rsid w:val="00903393"/>
    <w:rsid w:val="009037F6"/>
    <w:rsid w:val="00913FCE"/>
    <w:rsid w:val="00916179"/>
    <w:rsid w:val="00920C98"/>
    <w:rsid w:val="00923EEF"/>
    <w:rsid w:val="00926C3B"/>
    <w:rsid w:val="00933C60"/>
    <w:rsid w:val="009419F9"/>
    <w:rsid w:val="00942F11"/>
    <w:rsid w:val="0094466E"/>
    <w:rsid w:val="00950409"/>
    <w:rsid w:val="00950647"/>
    <w:rsid w:val="00950ABB"/>
    <w:rsid w:val="00953C30"/>
    <w:rsid w:val="0095685E"/>
    <w:rsid w:val="00961B09"/>
    <w:rsid w:val="00964321"/>
    <w:rsid w:val="00964CEE"/>
    <w:rsid w:val="00965334"/>
    <w:rsid w:val="00965990"/>
    <w:rsid w:val="0097093E"/>
    <w:rsid w:val="00975D92"/>
    <w:rsid w:val="00990A75"/>
    <w:rsid w:val="00992E19"/>
    <w:rsid w:val="009A0486"/>
    <w:rsid w:val="009A0906"/>
    <w:rsid w:val="009A0DFA"/>
    <w:rsid w:val="009A116B"/>
    <w:rsid w:val="009B1B75"/>
    <w:rsid w:val="009B2D01"/>
    <w:rsid w:val="009B2D26"/>
    <w:rsid w:val="009B590E"/>
    <w:rsid w:val="009B7CCC"/>
    <w:rsid w:val="009C71FA"/>
    <w:rsid w:val="009C72E7"/>
    <w:rsid w:val="009C7F7E"/>
    <w:rsid w:val="009D3058"/>
    <w:rsid w:val="009D61E7"/>
    <w:rsid w:val="009E1F28"/>
    <w:rsid w:val="009F074A"/>
    <w:rsid w:val="009F3A13"/>
    <w:rsid w:val="00A00C28"/>
    <w:rsid w:val="00A02CE5"/>
    <w:rsid w:val="00A0334B"/>
    <w:rsid w:val="00A05403"/>
    <w:rsid w:val="00A10576"/>
    <w:rsid w:val="00A122D3"/>
    <w:rsid w:val="00A14468"/>
    <w:rsid w:val="00A1708C"/>
    <w:rsid w:val="00A17F13"/>
    <w:rsid w:val="00A20739"/>
    <w:rsid w:val="00A2077A"/>
    <w:rsid w:val="00A23AF9"/>
    <w:rsid w:val="00A26ACA"/>
    <w:rsid w:val="00A2723C"/>
    <w:rsid w:val="00A31A76"/>
    <w:rsid w:val="00A33C78"/>
    <w:rsid w:val="00A50080"/>
    <w:rsid w:val="00A500EF"/>
    <w:rsid w:val="00A62C97"/>
    <w:rsid w:val="00A73F45"/>
    <w:rsid w:val="00A76D5F"/>
    <w:rsid w:val="00A8265A"/>
    <w:rsid w:val="00A96F42"/>
    <w:rsid w:val="00AB0ADB"/>
    <w:rsid w:val="00AB436E"/>
    <w:rsid w:val="00AB5B59"/>
    <w:rsid w:val="00AC6703"/>
    <w:rsid w:val="00AD0303"/>
    <w:rsid w:val="00AD04EF"/>
    <w:rsid w:val="00AD25DB"/>
    <w:rsid w:val="00AE3513"/>
    <w:rsid w:val="00AF1CC3"/>
    <w:rsid w:val="00AF5A10"/>
    <w:rsid w:val="00B00C0E"/>
    <w:rsid w:val="00B01B1A"/>
    <w:rsid w:val="00B04DA1"/>
    <w:rsid w:val="00B05597"/>
    <w:rsid w:val="00B061AC"/>
    <w:rsid w:val="00B10A22"/>
    <w:rsid w:val="00B17F8A"/>
    <w:rsid w:val="00B36A7D"/>
    <w:rsid w:val="00B408BB"/>
    <w:rsid w:val="00B44A47"/>
    <w:rsid w:val="00B50FAE"/>
    <w:rsid w:val="00B51946"/>
    <w:rsid w:val="00B533D1"/>
    <w:rsid w:val="00B54271"/>
    <w:rsid w:val="00B5550F"/>
    <w:rsid w:val="00B6149C"/>
    <w:rsid w:val="00B66877"/>
    <w:rsid w:val="00B72CD3"/>
    <w:rsid w:val="00B72FFF"/>
    <w:rsid w:val="00B74092"/>
    <w:rsid w:val="00B76BA8"/>
    <w:rsid w:val="00B778E7"/>
    <w:rsid w:val="00B83D58"/>
    <w:rsid w:val="00B95DAC"/>
    <w:rsid w:val="00BA3E9A"/>
    <w:rsid w:val="00BA703D"/>
    <w:rsid w:val="00BC3D36"/>
    <w:rsid w:val="00BC70CB"/>
    <w:rsid w:val="00BD13AC"/>
    <w:rsid w:val="00BD54A6"/>
    <w:rsid w:val="00BD7224"/>
    <w:rsid w:val="00BD772E"/>
    <w:rsid w:val="00BD7F72"/>
    <w:rsid w:val="00BE7662"/>
    <w:rsid w:val="00BF5C08"/>
    <w:rsid w:val="00BF7425"/>
    <w:rsid w:val="00C02DEF"/>
    <w:rsid w:val="00C04DBF"/>
    <w:rsid w:val="00C04FB3"/>
    <w:rsid w:val="00C11D8B"/>
    <w:rsid w:val="00C13A62"/>
    <w:rsid w:val="00C2098B"/>
    <w:rsid w:val="00C251B0"/>
    <w:rsid w:val="00C27834"/>
    <w:rsid w:val="00C3185D"/>
    <w:rsid w:val="00C330EB"/>
    <w:rsid w:val="00C36CC1"/>
    <w:rsid w:val="00C37397"/>
    <w:rsid w:val="00C419DF"/>
    <w:rsid w:val="00C41F61"/>
    <w:rsid w:val="00C474BF"/>
    <w:rsid w:val="00C50D69"/>
    <w:rsid w:val="00C5365C"/>
    <w:rsid w:val="00C56390"/>
    <w:rsid w:val="00C5653E"/>
    <w:rsid w:val="00C62269"/>
    <w:rsid w:val="00C6258F"/>
    <w:rsid w:val="00C66A7F"/>
    <w:rsid w:val="00C754BE"/>
    <w:rsid w:val="00C76B1C"/>
    <w:rsid w:val="00C8502B"/>
    <w:rsid w:val="00C86B71"/>
    <w:rsid w:val="00C918CE"/>
    <w:rsid w:val="00C925AC"/>
    <w:rsid w:val="00C94280"/>
    <w:rsid w:val="00C94828"/>
    <w:rsid w:val="00C976B4"/>
    <w:rsid w:val="00CA155B"/>
    <w:rsid w:val="00CA77A5"/>
    <w:rsid w:val="00CB6357"/>
    <w:rsid w:val="00CB77F6"/>
    <w:rsid w:val="00CC1B26"/>
    <w:rsid w:val="00CC3742"/>
    <w:rsid w:val="00CD7F35"/>
    <w:rsid w:val="00CE1E11"/>
    <w:rsid w:val="00CE4026"/>
    <w:rsid w:val="00D0186F"/>
    <w:rsid w:val="00D06146"/>
    <w:rsid w:val="00D0699E"/>
    <w:rsid w:val="00D12219"/>
    <w:rsid w:val="00D165EA"/>
    <w:rsid w:val="00D22D2B"/>
    <w:rsid w:val="00D24C9C"/>
    <w:rsid w:val="00D26C3D"/>
    <w:rsid w:val="00D334DD"/>
    <w:rsid w:val="00D34EF3"/>
    <w:rsid w:val="00D34F8C"/>
    <w:rsid w:val="00D361FD"/>
    <w:rsid w:val="00D423A2"/>
    <w:rsid w:val="00D42BAD"/>
    <w:rsid w:val="00D44850"/>
    <w:rsid w:val="00D44E26"/>
    <w:rsid w:val="00D4718E"/>
    <w:rsid w:val="00D51A5D"/>
    <w:rsid w:val="00D520D8"/>
    <w:rsid w:val="00D521BF"/>
    <w:rsid w:val="00D62B9C"/>
    <w:rsid w:val="00D63AC2"/>
    <w:rsid w:val="00D71854"/>
    <w:rsid w:val="00D7383B"/>
    <w:rsid w:val="00D7788A"/>
    <w:rsid w:val="00D77D50"/>
    <w:rsid w:val="00D802D6"/>
    <w:rsid w:val="00D87D3E"/>
    <w:rsid w:val="00D936A2"/>
    <w:rsid w:val="00DA231B"/>
    <w:rsid w:val="00DA56B0"/>
    <w:rsid w:val="00DB3BDE"/>
    <w:rsid w:val="00DB55DA"/>
    <w:rsid w:val="00DB6D8A"/>
    <w:rsid w:val="00DB7705"/>
    <w:rsid w:val="00DC2136"/>
    <w:rsid w:val="00DC39FC"/>
    <w:rsid w:val="00DC4664"/>
    <w:rsid w:val="00DC7CCB"/>
    <w:rsid w:val="00DD041D"/>
    <w:rsid w:val="00DD684F"/>
    <w:rsid w:val="00DE3F6C"/>
    <w:rsid w:val="00DE700B"/>
    <w:rsid w:val="00DF0DBB"/>
    <w:rsid w:val="00DF5254"/>
    <w:rsid w:val="00E02524"/>
    <w:rsid w:val="00E045B6"/>
    <w:rsid w:val="00E06DE3"/>
    <w:rsid w:val="00E07CDD"/>
    <w:rsid w:val="00E1103D"/>
    <w:rsid w:val="00E1159D"/>
    <w:rsid w:val="00E130B4"/>
    <w:rsid w:val="00E16408"/>
    <w:rsid w:val="00E20894"/>
    <w:rsid w:val="00E21423"/>
    <w:rsid w:val="00E214D0"/>
    <w:rsid w:val="00E245AB"/>
    <w:rsid w:val="00E2611A"/>
    <w:rsid w:val="00E2764C"/>
    <w:rsid w:val="00E27F2E"/>
    <w:rsid w:val="00E31225"/>
    <w:rsid w:val="00E32F98"/>
    <w:rsid w:val="00E36111"/>
    <w:rsid w:val="00E37514"/>
    <w:rsid w:val="00E37E32"/>
    <w:rsid w:val="00E41108"/>
    <w:rsid w:val="00E4229D"/>
    <w:rsid w:val="00E42466"/>
    <w:rsid w:val="00E44744"/>
    <w:rsid w:val="00E47D57"/>
    <w:rsid w:val="00E50AFE"/>
    <w:rsid w:val="00E5545D"/>
    <w:rsid w:val="00E56D27"/>
    <w:rsid w:val="00E576A5"/>
    <w:rsid w:val="00E577E2"/>
    <w:rsid w:val="00E60A4F"/>
    <w:rsid w:val="00E75C92"/>
    <w:rsid w:val="00E771DC"/>
    <w:rsid w:val="00E82F8E"/>
    <w:rsid w:val="00E85B43"/>
    <w:rsid w:val="00E8772A"/>
    <w:rsid w:val="00E8781C"/>
    <w:rsid w:val="00E90F6B"/>
    <w:rsid w:val="00E92C1B"/>
    <w:rsid w:val="00E92C27"/>
    <w:rsid w:val="00EA0E3D"/>
    <w:rsid w:val="00EA426C"/>
    <w:rsid w:val="00EB224C"/>
    <w:rsid w:val="00EB364C"/>
    <w:rsid w:val="00EC006D"/>
    <w:rsid w:val="00EC297F"/>
    <w:rsid w:val="00EC38A7"/>
    <w:rsid w:val="00EC49BC"/>
    <w:rsid w:val="00ED4980"/>
    <w:rsid w:val="00EE193B"/>
    <w:rsid w:val="00EE1AA8"/>
    <w:rsid w:val="00EE5D9D"/>
    <w:rsid w:val="00EF1D4F"/>
    <w:rsid w:val="00EF5E13"/>
    <w:rsid w:val="00EF647F"/>
    <w:rsid w:val="00EF694D"/>
    <w:rsid w:val="00F012FC"/>
    <w:rsid w:val="00F152B4"/>
    <w:rsid w:val="00F20A47"/>
    <w:rsid w:val="00F22183"/>
    <w:rsid w:val="00F22290"/>
    <w:rsid w:val="00F23FEA"/>
    <w:rsid w:val="00F27B7B"/>
    <w:rsid w:val="00F31183"/>
    <w:rsid w:val="00F31EBB"/>
    <w:rsid w:val="00F31EDC"/>
    <w:rsid w:val="00F344DA"/>
    <w:rsid w:val="00F35C4F"/>
    <w:rsid w:val="00F36D2A"/>
    <w:rsid w:val="00F40635"/>
    <w:rsid w:val="00F4474D"/>
    <w:rsid w:val="00F462B3"/>
    <w:rsid w:val="00F54E91"/>
    <w:rsid w:val="00F5664F"/>
    <w:rsid w:val="00F57764"/>
    <w:rsid w:val="00F604E2"/>
    <w:rsid w:val="00F625A9"/>
    <w:rsid w:val="00F64774"/>
    <w:rsid w:val="00F666C4"/>
    <w:rsid w:val="00F67C78"/>
    <w:rsid w:val="00F76AFC"/>
    <w:rsid w:val="00F81BF0"/>
    <w:rsid w:val="00F82E88"/>
    <w:rsid w:val="00F86E11"/>
    <w:rsid w:val="00F947AF"/>
    <w:rsid w:val="00FA1C88"/>
    <w:rsid w:val="00FA47C0"/>
    <w:rsid w:val="00FA51DE"/>
    <w:rsid w:val="00FA5FFD"/>
    <w:rsid w:val="00FB5DD1"/>
    <w:rsid w:val="00FB7471"/>
    <w:rsid w:val="00FC2B5D"/>
    <w:rsid w:val="00FC4600"/>
    <w:rsid w:val="00FC468D"/>
    <w:rsid w:val="00FC4DFB"/>
    <w:rsid w:val="00FD1AE3"/>
    <w:rsid w:val="00FD1DDC"/>
    <w:rsid w:val="00FD2637"/>
    <w:rsid w:val="00FD3AD2"/>
    <w:rsid w:val="00FE0976"/>
    <w:rsid w:val="00FE450D"/>
    <w:rsid w:val="00FF1449"/>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23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link w:val="NormalWeb"/>
    <w:uiPriority w:val="99"/>
    <w:locked/>
    <w:rsid w:val="002463BD"/>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2E0AA5"/>
    <w:rPr>
      <w:sz w:val="16"/>
      <w:szCs w:val="16"/>
    </w:rPr>
  </w:style>
  <w:style w:type="paragraph" w:styleId="Textocomentario">
    <w:name w:val="annotation text"/>
    <w:basedOn w:val="Normal"/>
    <w:link w:val="TextocomentarioCar"/>
    <w:uiPriority w:val="99"/>
    <w:unhideWhenUsed/>
    <w:rsid w:val="002E0AA5"/>
    <w:pPr>
      <w:spacing w:line="240" w:lineRule="auto"/>
    </w:pPr>
    <w:rPr>
      <w:sz w:val="20"/>
      <w:szCs w:val="20"/>
    </w:rPr>
  </w:style>
  <w:style w:type="character" w:customStyle="1" w:styleId="TextocomentarioCar">
    <w:name w:val="Texto comentario Car"/>
    <w:basedOn w:val="Fuentedeprrafopredeter"/>
    <w:link w:val="Textocomentario"/>
    <w:uiPriority w:val="99"/>
    <w:rsid w:val="002E0AA5"/>
    <w:rPr>
      <w:sz w:val="20"/>
      <w:szCs w:val="20"/>
    </w:rPr>
  </w:style>
  <w:style w:type="character" w:styleId="Mencinsinresolver">
    <w:name w:val="Unresolved Mention"/>
    <w:basedOn w:val="Fuentedeprrafopredeter"/>
    <w:uiPriority w:val="99"/>
    <w:semiHidden/>
    <w:unhideWhenUsed/>
    <w:rsid w:val="001C5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retariasenado.gov.co/senado/basedoc/codigo_comercio_pr033.html" TargetMode="External"/><Relationship Id="rId18" Type="http://schemas.openxmlformats.org/officeDocument/2006/relationships/hyperlink" Target="https://www.colombiacompra.gov.co/archivos/boletin/boletin-edicion-n-3-de-2026-radar-de-la-compra-public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settings" Target="settings.xml"/><Relationship Id="rId12" Type="http://schemas.openxmlformats.org/officeDocument/2006/relationships/hyperlink" Target="http://www.secretariasenado.gov.co/senado/basedoc/ley_0510_1999_pr002.html" TargetMode="External"/><Relationship Id="rId17" Type="http://schemas.openxmlformats.org/officeDocument/2006/relationships/hyperlink" Target="https://www.colombiacompra.gov.co/archivos/circular/circular-externa-002-de-202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lombiacompra.gov.co/archivos/circular/circular-externa-003-de-2026"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lombiacompra.gov.co/archivos/manual/guia-de-garantias-en-procesos-de-contratacio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entanilladeradicacion@colombiacomp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minsalud.gov.co/Normatividad_Nuevo/Resoluci%C3%B3n%20No%201440%20de%202024.pdf" TargetMode="External"/><Relationship Id="rId2" Type="http://schemas.openxmlformats.org/officeDocument/2006/relationships/hyperlink" Target="https://www.colombiacompra.gov.co/normativa-y-relatoria/guias-y-manuales" TargetMode="External"/><Relationship Id="rId1" Type="http://schemas.openxmlformats.org/officeDocument/2006/relationships/hyperlink" Target="https://www.colombiacompra.gov.co/manuales-guias-y-pliegos-tipo/manuales-y-guias" TargetMode="External"/><Relationship Id="rId4" Type="http://schemas.openxmlformats.org/officeDocument/2006/relationships/hyperlink" Target="https://www.colombiacompra.gov.co/archivos/manual/guia-para-adelantar-el-proceso-sancionatorio-administrativo-contractu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25A79C64-B23A-454D-BDCB-CD594CE75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427F05-9DA6-4357-A03E-A8CF1A6AB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50</Pages>
  <Words>17257</Words>
  <Characters>94919</Characters>
  <Application>Microsoft Office Word</Application>
  <DocSecurity>0</DocSecurity>
  <Lines>790</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27</cp:revision>
  <cp:lastPrinted>2023-01-10T21:18:00Z</cp:lastPrinted>
  <dcterms:created xsi:type="dcterms:W3CDTF">2026-08-27T02:04:00Z</dcterms:created>
  <dcterms:modified xsi:type="dcterms:W3CDTF">2026-08-27T15:50:00Z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