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96835" w14:textId="77777777" w:rsidR="005D7B04" w:rsidRPr="00E15FD8" w:rsidRDefault="005D7B04" w:rsidP="005D7B04">
      <w:pPr>
        <w:spacing w:after="0"/>
        <w:rPr>
          <w:rFonts w:ascii="Verdana" w:eastAsia="Aptos" w:hAnsi="Verdana" w:cs="Times New Roman"/>
        </w:rPr>
      </w:pPr>
      <w:bookmarkStart w:id="0" w:name="_Hlk143780582"/>
      <w:r w:rsidRPr="00E15FD8">
        <w:rPr>
          <w:rFonts w:ascii="Verdana" w:eastAsia="Aptos" w:hAnsi="Verdana" w:cs="Times New Roman"/>
          <w:b/>
          <w:bCs/>
          <w:color w:val="000000"/>
        </w:rPr>
        <w:t xml:space="preserve">DOCUMENTOS TIPO – Fundamento normativo – Obligatoriedad </w:t>
      </w:r>
    </w:p>
    <w:p w14:paraId="0FCF8948" w14:textId="77777777" w:rsidR="005D7B04" w:rsidRPr="00E15FD8" w:rsidRDefault="005D7B04" w:rsidP="005D7B04">
      <w:pPr>
        <w:spacing w:after="0" w:line="276" w:lineRule="auto"/>
        <w:jc w:val="both"/>
        <w:rPr>
          <w:rFonts w:ascii="Verdana" w:eastAsia="Calibri" w:hAnsi="Verdana" w:cs="Arial"/>
          <w:b/>
          <w:bCs/>
          <w:sz w:val="20"/>
          <w:szCs w:val="20"/>
          <w:lang w:val="es-ES_tradnl"/>
        </w:rPr>
      </w:pPr>
    </w:p>
    <w:p w14:paraId="27D24256" w14:textId="77777777" w:rsidR="005D7B04" w:rsidRPr="00E15FD8" w:rsidRDefault="005D7B04" w:rsidP="005D7B04">
      <w:pPr>
        <w:snapToGrid w:val="0"/>
        <w:spacing w:after="0" w:line="240" w:lineRule="auto"/>
        <w:jc w:val="both"/>
        <w:rPr>
          <w:rFonts w:ascii="Verdana" w:eastAsia="Times New Roman" w:hAnsi="Verdana" w:cs="Arial"/>
          <w:sz w:val="20"/>
          <w:szCs w:val="20"/>
          <w:shd w:val="clear" w:color="auto" w:fill="FFFFFF"/>
          <w:lang w:val="es-ES_tradnl" w:eastAsia="es-ES_tradnl"/>
        </w:rPr>
      </w:pPr>
      <w:r w:rsidRPr="00E15FD8">
        <w:rPr>
          <w:rFonts w:ascii="Verdana" w:eastAsia="Times New Roman" w:hAnsi="Verdana" w:cs="Arial"/>
          <w:sz w:val="20"/>
          <w:szCs w:val="20"/>
          <w:shd w:val="clear" w:color="auto" w:fill="FFFFFF"/>
          <w:lang w:val="es-ES_tradnl" w:eastAsia="es-ES_tradnl"/>
        </w:rPr>
        <w:t xml:space="preserve">Los documentos tipo expedidos por la Agencia Nacional de Contratación Pública </w:t>
      </w:r>
      <w:r w:rsidRPr="00E15FD8">
        <w:rPr>
          <w:rFonts w:ascii="Symbol" w:eastAsia="Symbol" w:hAnsi="Symbol" w:cs="Symbol"/>
          <w:sz w:val="20"/>
          <w:szCs w:val="20"/>
          <w:shd w:val="clear" w:color="auto" w:fill="FFFFFF"/>
          <w:lang w:val="es-ES_tradnl" w:eastAsia="es-ES_tradnl"/>
        </w:rPr>
        <w:t>-</w:t>
      </w:r>
      <w:r w:rsidRPr="00E15FD8">
        <w:rPr>
          <w:rFonts w:ascii="Verdana" w:eastAsia="Times New Roman" w:hAnsi="Verdana" w:cs="Arial"/>
          <w:sz w:val="20"/>
          <w:szCs w:val="20"/>
          <w:shd w:val="clear" w:color="auto" w:fill="FFFFFF"/>
          <w:lang w:val="es-ES_tradnl" w:eastAsia="es-ES_tradnl"/>
        </w:rPr>
        <w:t xml:space="preserve"> Colombia Compra Eficiente en ejercicio de la potestad otorgada por la Ley 2022 de 2020 son de obligatoria observancia por parte de las Entidades Estatales sometidas al Estatuto General de Contratación de la Administración Pública –EGCAP–. Debido a esto, tales entidades deben aplicar de manera forzosa los documentos tipo para desarrollar los Procesos de Contratación en los objetos y modalidades cobijadas por los Documentos Tipo. </w:t>
      </w:r>
    </w:p>
    <w:p w14:paraId="4847930A" w14:textId="77777777" w:rsidR="005D7B04" w:rsidRPr="00620988" w:rsidRDefault="005D7B04" w:rsidP="005D7B04">
      <w:pPr>
        <w:spacing w:after="0" w:line="240" w:lineRule="auto"/>
        <w:jc w:val="both"/>
        <w:rPr>
          <w:rFonts w:ascii="Verdana" w:eastAsia="Geomanist Light" w:hAnsi="Verdana" w:cs="Arial"/>
          <w:sz w:val="20"/>
          <w:szCs w:val="20"/>
          <w:highlight w:val="yellow"/>
          <w:lang w:val="es-ES_tradnl"/>
        </w:rPr>
      </w:pPr>
    </w:p>
    <w:p w14:paraId="7CE0D081" w14:textId="77777777" w:rsidR="005D7B04" w:rsidRPr="00512535" w:rsidRDefault="005D7B04" w:rsidP="005D7B04">
      <w:pPr>
        <w:widowControl w:val="0"/>
        <w:autoSpaceDE w:val="0"/>
        <w:autoSpaceDN w:val="0"/>
        <w:spacing w:after="0" w:line="240" w:lineRule="auto"/>
        <w:jc w:val="both"/>
        <w:rPr>
          <w:rFonts w:ascii="Verdana" w:eastAsia="Calibri" w:hAnsi="Verdana" w:cs="Arial"/>
          <w:b/>
          <w:bCs/>
          <w:kern w:val="2"/>
          <w14:ligatures w14:val="standardContextual"/>
        </w:rPr>
      </w:pPr>
      <w:r w:rsidRPr="00512535">
        <w:rPr>
          <w:rFonts w:ascii="Verdana" w:eastAsia="Calibri" w:hAnsi="Verdana" w:cs="Arial"/>
          <w:b/>
          <w:bCs/>
          <w:kern w:val="2"/>
          <w14:ligatures w14:val="standardContextual"/>
        </w:rPr>
        <w:t xml:space="preserve">INALTERABILIDAD – </w:t>
      </w:r>
      <w:r>
        <w:rPr>
          <w:rFonts w:ascii="Verdana" w:eastAsia="Calibri" w:hAnsi="Verdana" w:cs="Arial"/>
          <w:b/>
          <w:bCs/>
          <w:kern w:val="2"/>
          <w14:ligatures w14:val="standardContextual"/>
        </w:rPr>
        <w:t>D</w:t>
      </w:r>
      <w:r w:rsidRPr="00512535">
        <w:rPr>
          <w:rFonts w:ascii="Verdana" w:eastAsia="Calibri" w:hAnsi="Verdana" w:cs="Arial"/>
          <w:b/>
          <w:bCs/>
          <w:kern w:val="2"/>
          <w14:ligatures w14:val="standardContextual"/>
        </w:rPr>
        <w:t>ocumentos tipo – Infraestructura de transporte</w:t>
      </w:r>
    </w:p>
    <w:p w14:paraId="57ABD7F4" w14:textId="77777777" w:rsidR="005D7B04" w:rsidRDefault="005D7B04" w:rsidP="005D7B04">
      <w:pPr>
        <w:widowControl w:val="0"/>
        <w:autoSpaceDE w:val="0"/>
        <w:autoSpaceDN w:val="0"/>
        <w:spacing w:after="0" w:line="240" w:lineRule="auto"/>
        <w:jc w:val="both"/>
        <w:rPr>
          <w:rFonts w:ascii="Verdana" w:eastAsia="Calibri" w:hAnsi="Verdana" w:cs="Arial"/>
          <w:kern w:val="2"/>
          <w:sz w:val="20"/>
          <w:szCs w:val="20"/>
          <w14:ligatures w14:val="standardContextual"/>
        </w:rPr>
      </w:pPr>
    </w:p>
    <w:p w14:paraId="7688857A" w14:textId="77777777" w:rsidR="005D7B04" w:rsidRPr="009B5F00" w:rsidRDefault="005D7B04" w:rsidP="005D7B04">
      <w:pPr>
        <w:widowControl w:val="0"/>
        <w:autoSpaceDE w:val="0"/>
        <w:autoSpaceDN w:val="0"/>
        <w:spacing w:after="0" w:line="240" w:lineRule="auto"/>
        <w:jc w:val="both"/>
        <w:rPr>
          <w:rFonts w:ascii="Verdana" w:eastAsia="Calibri" w:hAnsi="Verdana" w:cs="Arial"/>
          <w:kern w:val="2"/>
          <w:sz w:val="20"/>
          <w:szCs w:val="20"/>
          <w14:ligatures w14:val="standardContextual"/>
        </w:rPr>
      </w:pPr>
      <w:r w:rsidRPr="009B5F00">
        <w:rPr>
          <w:rFonts w:ascii="Verdana" w:eastAsia="Calibri" w:hAnsi="Verdana" w:cs="Arial"/>
          <w:kern w:val="2"/>
          <w:sz w:val="20"/>
          <w:szCs w:val="20"/>
          <w14:ligatures w14:val="standardContextual"/>
        </w:rPr>
        <w:t xml:space="preserve">En consecuencia, los obligados a su aplicación, al adelantar sus procedimientos de selección, solo podrán modificarlos en los aspectos que los Documentos Tipo lo permitan. </w:t>
      </w:r>
      <w:r w:rsidRPr="009B5F00">
        <w:rPr>
          <w:rFonts w:ascii="Verdana" w:eastAsia="Calibri" w:hAnsi="Verdana" w:cs="Times New Roman"/>
          <w:kern w:val="2"/>
          <w:sz w:val="20"/>
          <w:szCs w:val="20"/>
          <w:lang w:val="es-ES"/>
          <w14:ligatures w14:val="standardContextual"/>
        </w:rPr>
        <w:t xml:space="preserve">Esto corresponde a aquellos aspectos que se encuentran entre corchetes y resaltados en gris </w:t>
      </w:r>
      <w:r w:rsidRPr="009B5F00">
        <w:rPr>
          <w:rFonts w:ascii="Verdana" w:eastAsia="Calibri" w:hAnsi="Verdana" w:cs="Times New Roman"/>
          <w:kern w:val="2"/>
          <w:sz w:val="20"/>
          <w:szCs w:val="20"/>
          <w:shd w:val="clear" w:color="auto" w:fill="E8E8E8"/>
          <w:lang w:val="es-ES"/>
          <w14:ligatures w14:val="standardContextual"/>
        </w:rPr>
        <w:t>–[texto]–,</w:t>
      </w:r>
      <w:r w:rsidRPr="009B5F00">
        <w:rPr>
          <w:rFonts w:ascii="Verdana" w:eastAsia="Calibri" w:hAnsi="Verdana" w:cs="Times New Roman"/>
          <w:kern w:val="2"/>
          <w:sz w:val="20"/>
          <w:szCs w:val="20"/>
          <w:lang w:val="es-ES"/>
          <w14:ligatures w14:val="standardContextual"/>
        </w:rPr>
        <w:t xml:space="preserve"> para lo cual deberán observarse las instrucciones contenidas en los mismos para su diligenciamiento.</w:t>
      </w:r>
    </w:p>
    <w:p w14:paraId="6E75915A" w14:textId="77777777" w:rsidR="005D7B04" w:rsidRDefault="005D7B04" w:rsidP="005D7B04">
      <w:pPr>
        <w:widowControl w:val="0"/>
        <w:autoSpaceDE w:val="0"/>
        <w:autoSpaceDN w:val="0"/>
        <w:spacing w:after="0" w:line="240" w:lineRule="auto"/>
        <w:jc w:val="both"/>
        <w:rPr>
          <w:rFonts w:ascii="Verdana" w:eastAsia="Calibri" w:hAnsi="Verdana" w:cs="Times New Roman"/>
          <w:sz w:val="20"/>
          <w:szCs w:val="20"/>
          <w:lang w:val="es-ES"/>
        </w:rPr>
      </w:pPr>
    </w:p>
    <w:p w14:paraId="2F562973" w14:textId="77777777" w:rsidR="005D7B04" w:rsidRDefault="005D7B04" w:rsidP="005D7B04">
      <w:pPr>
        <w:widowControl w:val="0"/>
        <w:autoSpaceDE w:val="0"/>
        <w:autoSpaceDN w:val="0"/>
        <w:spacing w:after="0" w:line="240" w:lineRule="auto"/>
        <w:jc w:val="both"/>
        <w:rPr>
          <w:rFonts w:ascii="Verdana" w:eastAsia="Calibri" w:hAnsi="Verdana" w:cs="Times New Roman"/>
          <w:sz w:val="20"/>
          <w:szCs w:val="20"/>
          <w:lang w:val="es-ES"/>
        </w:rPr>
      </w:pPr>
      <w:r w:rsidRPr="009B5F00">
        <w:rPr>
          <w:rFonts w:ascii="Verdana" w:eastAsia="Calibri" w:hAnsi="Verdana" w:cs="Times New Roman"/>
          <w:sz w:val="20"/>
          <w:szCs w:val="20"/>
          <w:lang w:val="es-ES"/>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1780EF15" w14:textId="77777777" w:rsidR="005D7B04" w:rsidRDefault="005D7B04" w:rsidP="005D7B04">
      <w:pPr>
        <w:widowControl w:val="0"/>
        <w:autoSpaceDE w:val="0"/>
        <w:autoSpaceDN w:val="0"/>
        <w:spacing w:after="0" w:line="240" w:lineRule="auto"/>
        <w:jc w:val="both"/>
        <w:rPr>
          <w:rFonts w:ascii="Verdana" w:eastAsia="Calibri" w:hAnsi="Verdana" w:cs="Times New Roman"/>
          <w:sz w:val="20"/>
          <w:szCs w:val="20"/>
          <w:lang w:val="es-ES"/>
        </w:rPr>
      </w:pPr>
    </w:p>
    <w:p w14:paraId="4860A4FC" w14:textId="77777777" w:rsidR="005D7B04" w:rsidRPr="00512535" w:rsidRDefault="005D7B04" w:rsidP="005D7B04">
      <w:pPr>
        <w:widowControl w:val="0"/>
        <w:autoSpaceDE w:val="0"/>
        <w:autoSpaceDN w:val="0"/>
        <w:spacing w:after="0" w:line="240" w:lineRule="auto"/>
        <w:jc w:val="both"/>
        <w:rPr>
          <w:rFonts w:ascii="Verdana" w:eastAsia="Calibri" w:hAnsi="Verdana" w:cs="Arial"/>
          <w:b/>
          <w:bCs/>
          <w:kern w:val="2"/>
          <w14:ligatures w14:val="standardContextual"/>
        </w:rPr>
      </w:pPr>
      <w:r w:rsidRPr="00512535">
        <w:rPr>
          <w:rFonts w:ascii="Verdana" w:eastAsia="Calibri" w:hAnsi="Verdana" w:cs="Times New Roman"/>
          <w:b/>
          <w:bCs/>
          <w:lang w:val="es-ES"/>
        </w:rPr>
        <w:t xml:space="preserve">APLICACIÓN – Documentos tipo – </w:t>
      </w:r>
      <w:r w:rsidRPr="00512535">
        <w:rPr>
          <w:rFonts w:ascii="Verdana" w:eastAsia="Calibri" w:hAnsi="Verdana" w:cs="Arial"/>
          <w:b/>
          <w:bCs/>
          <w:kern w:val="2"/>
          <w14:ligatures w14:val="standardContextual"/>
        </w:rPr>
        <w:t>Infraestructura de transporte</w:t>
      </w:r>
      <w:r>
        <w:rPr>
          <w:rFonts w:ascii="Verdana" w:eastAsia="Calibri" w:hAnsi="Verdana" w:cs="Arial"/>
          <w:b/>
          <w:bCs/>
          <w:kern w:val="2"/>
          <w14:ligatures w14:val="standardContextual"/>
        </w:rPr>
        <w:t xml:space="preserve"> – Licitación Pública</w:t>
      </w:r>
    </w:p>
    <w:p w14:paraId="3EA645C4" w14:textId="77777777" w:rsidR="005D7B04" w:rsidRPr="00512535" w:rsidRDefault="005D7B04" w:rsidP="005D7B04">
      <w:pPr>
        <w:widowControl w:val="0"/>
        <w:autoSpaceDE w:val="0"/>
        <w:autoSpaceDN w:val="0"/>
        <w:spacing w:after="0" w:line="240" w:lineRule="auto"/>
        <w:jc w:val="both"/>
        <w:rPr>
          <w:rFonts w:ascii="Verdana" w:eastAsia="Calibri" w:hAnsi="Verdana" w:cs="Times New Roman"/>
          <w:sz w:val="20"/>
          <w:szCs w:val="20"/>
        </w:rPr>
      </w:pPr>
    </w:p>
    <w:p w14:paraId="0BCF5177" w14:textId="77777777" w:rsidR="005D7B04" w:rsidRPr="009B5F00" w:rsidRDefault="005D7B04" w:rsidP="005D7B04">
      <w:pPr>
        <w:widowControl w:val="0"/>
        <w:autoSpaceDE w:val="0"/>
        <w:autoSpaceDN w:val="0"/>
        <w:spacing w:after="0" w:line="240" w:lineRule="auto"/>
        <w:jc w:val="both"/>
        <w:rPr>
          <w:rFonts w:ascii="Verdana" w:eastAsia="Calibri" w:hAnsi="Verdana" w:cs="Times New Roman"/>
          <w:sz w:val="20"/>
          <w:szCs w:val="20"/>
          <w:lang w:val="es-ES"/>
        </w:rPr>
      </w:pPr>
      <w:r w:rsidRPr="009B5F00">
        <w:rPr>
          <w:rFonts w:ascii="Verdana" w:eastAsia="Calibri" w:hAnsi="Verdana" w:cs="Times New Roman"/>
          <w:sz w:val="20"/>
          <w:szCs w:val="20"/>
          <w:lang w:val="es-ES"/>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2B74ECDE" w14:textId="77777777" w:rsidR="005D7B04" w:rsidRDefault="005D7B04" w:rsidP="005D7B04">
      <w:pPr>
        <w:widowControl w:val="0"/>
        <w:autoSpaceDE w:val="0"/>
        <w:autoSpaceDN w:val="0"/>
        <w:spacing w:after="0" w:line="240" w:lineRule="auto"/>
        <w:jc w:val="both"/>
        <w:rPr>
          <w:rFonts w:ascii="Verdana" w:eastAsia="Calibri" w:hAnsi="Verdana" w:cs="Times New Roman"/>
          <w:sz w:val="20"/>
          <w:szCs w:val="20"/>
          <w:lang w:val="es-ES"/>
        </w:rPr>
      </w:pPr>
    </w:p>
    <w:p w14:paraId="3FAFC1B0" w14:textId="77777777" w:rsidR="005D7B04" w:rsidRDefault="005D7B04" w:rsidP="005D7B04">
      <w:pPr>
        <w:widowControl w:val="0"/>
        <w:autoSpaceDE w:val="0"/>
        <w:autoSpaceDN w:val="0"/>
        <w:spacing w:after="0" w:line="240" w:lineRule="auto"/>
        <w:jc w:val="both"/>
        <w:rPr>
          <w:rFonts w:ascii="Verdana" w:eastAsia="Calibri" w:hAnsi="Verdana" w:cs="Times New Roman"/>
          <w:sz w:val="20"/>
          <w:szCs w:val="20"/>
          <w:lang w:val="es-ES"/>
        </w:rPr>
      </w:pPr>
      <w:r>
        <w:rPr>
          <w:rFonts w:ascii="Verdana" w:eastAsia="Calibri" w:hAnsi="Verdana" w:cs="Times New Roman"/>
          <w:sz w:val="20"/>
          <w:szCs w:val="20"/>
          <w:lang w:val="es-ES"/>
        </w:rPr>
        <w:t>(…)</w:t>
      </w:r>
    </w:p>
    <w:p w14:paraId="54A649E3" w14:textId="77777777" w:rsidR="005D7B04" w:rsidRDefault="005D7B04" w:rsidP="005D7B04">
      <w:pPr>
        <w:widowControl w:val="0"/>
        <w:autoSpaceDE w:val="0"/>
        <w:autoSpaceDN w:val="0"/>
        <w:spacing w:after="0" w:line="240" w:lineRule="auto"/>
        <w:jc w:val="both"/>
        <w:rPr>
          <w:rFonts w:ascii="Verdana" w:eastAsia="Calibri" w:hAnsi="Verdana" w:cs="Times New Roman"/>
          <w:sz w:val="20"/>
          <w:szCs w:val="20"/>
          <w:lang w:val="es-ES"/>
        </w:rPr>
      </w:pPr>
    </w:p>
    <w:p w14:paraId="0A6D7836" w14:textId="77777777" w:rsidR="005D7B04" w:rsidRDefault="005D7B04" w:rsidP="005D7B04">
      <w:pPr>
        <w:widowControl w:val="0"/>
        <w:autoSpaceDE w:val="0"/>
        <w:autoSpaceDN w:val="0"/>
        <w:spacing w:after="0" w:line="240" w:lineRule="auto"/>
        <w:jc w:val="both"/>
        <w:rPr>
          <w:rFonts w:ascii="Verdana" w:eastAsia="Calibri" w:hAnsi="Verdana" w:cs="Times New Roman"/>
          <w:sz w:val="20"/>
          <w:szCs w:val="20"/>
          <w:lang w:val="es-ES"/>
        </w:rPr>
      </w:pPr>
      <w:r w:rsidRPr="009B5F00">
        <w:rPr>
          <w:rFonts w:ascii="Verdana" w:eastAsia="Calibri" w:hAnsi="Verdana" w:cs="Times New Roman"/>
          <w:sz w:val="20"/>
          <w:szCs w:val="20"/>
          <w:lang w:val="es-ES"/>
        </w:rPr>
        <w:t xml:space="preserve">De esta manera, para saber a qué actividades deben aplicarse los Documentos Tipo de licitación de obra pública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w:t>
      </w:r>
      <w:r w:rsidRPr="009B5F00">
        <w:rPr>
          <w:rFonts w:ascii="Verdana" w:eastAsia="Calibri" w:hAnsi="Verdana" w:cs="Times New Roman"/>
          <w:sz w:val="20"/>
          <w:szCs w:val="20"/>
          <w:lang w:val="es-ES"/>
        </w:rPr>
        <w:lastRenderedPageBreak/>
        <w:t>será forzosa su aplicación.</w:t>
      </w:r>
    </w:p>
    <w:p w14:paraId="24A974EE" w14:textId="77777777" w:rsidR="005D7B04" w:rsidRDefault="005D7B04" w:rsidP="005D7B04">
      <w:pPr>
        <w:widowControl w:val="0"/>
        <w:autoSpaceDE w:val="0"/>
        <w:autoSpaceDN w:val="0"/>
        <w:spacing w:after="0" w:line="240" w:lineRule="auto"/>
        <w:jc w:val="both"/>
        <w:rPr>
          <w:rFonts w:ascii="Verdana" w:eastAsia="Calibri" w:hAnsi="Verdana" w:cs="Times New Roman"/>
          <w:sz w:val="20"/>
          <w:szCs w:val="20"/>
          <w:lang w:val="es-ES"/>
        </w:rPr>
      </w:pPr>
    </w:p>
    <w:p w14:paraId="13F7829D" w14:textId="77777777" w:rsidR="005D7B04" w:rsidRPr="009B5F00" w:rsidRDefault="005D7B04" w:rsidP="005D7B04">
      <w:pPr>
        <w:widowControl w:val="0"/>
        <w:autoSpaceDE w:val="0"/>
        <w:autoSpaceDN w:val="0"/>
        <w:spacing w:after="0" w:line="240" w:lineRule="auto"/>
        <w:jc w:val="both"/>
        <w:rPr>
          <w:rFonts w:ascii="Verdana" w:eastAsia="Calibri" w:hAnsi="Verdana" w:cs="Times New Roman"/>
          <w:sz w:val="20"/>
          <w:szCs w:val="20"/>
          <w:lang w:val="es-ES"/>
        </w:rPr>
      </w:pPr>
      <w:r w:rsidRPr="009B5F00">
        <w:rPr>
          <w:rFonts w:ascii="Verdana" w:eastAsia="Calibri" w:hAnsi="Verdana" w:cs="Times New Roman"/>
          <w:sz w:val="20"/>
          <w:szCs w:val="20"/>
          <w:lang w:val="es-ES"/>
        </w:rPr>
        <w:t>La parte introductoria del pliego de condiciones de los documentos tipo adoptados por medio de la Resolución 465 del 10 de septiembre de 2024, dispone que estos aplican a los procedimientos de selección de licitación de obra pública de infraestructura de transporte (versión 4), que correspondan a las actividades definidas en la “Matriz 1 – Experiencia”. En consecuencia, las actividades de infraestructura de transporte no contempladas en la Matriz 1 – Experiencia no tienen que aplicar los documentos tipo; sin perjuicio de lo previsto en el artículo 2.2.1.1.1.2.1 del Decreto 1082 de 2015 o la norma que la modifique, sustituya o complemente, además, de lo contenido en el artículo 4 de la Resolución 465 de 2024, en donde se indica la posibilidad de exigir experiencia adicional en determinados supuestos.</w:t>
      </w:r>
    </w:p>
    <w:p w14:paraId="195A84B3" w14:textId="77777777" w:rsidR="005D7B04" w:rsidRPr="009B5F00" w:rsidRDefault="005D7B04" w:rsidP="005D7B04">
      <w:pPr>
        <w:snapToGrid w:val="0"/>
        <w:spacing w:after="0" w:line="240" w:lineRule="auto"/>
        <w:ind w:firstLine="644"/>
        <w:jc w:val="both"/>
        <w:rPr>
          <w:rFonts w:ascii="Verdana" w:eastAsia="Times New Roman" w:hAnsi="Verdana" w:cs="Arial"/>
          <w:kern w:val="2"/>
          <w:sz w:val="20"/>
          <w:szCs w:val="20"/>
          <w:shd w:val="clear" w:color="auto" w:fill="FFFFFF"/>
          <w:lang w:val="es-ES" w:eastAsia="es-ES"/>
          <w14:ligatures w14:val="standardContextual"/>
        </w:rPr>
      </w:pPr>
      <w:r w:rsidRPr="009B5F00">
        <w:rPr>
          <w:rFonts w:ascii="Verdana" w:eastAsia="Calibri" w:hAnsi="Verdana" w:cs="Times New Roman"/>
          <w:sz w:val="20"/>
          <w:szCs w:val="20"/>
          <w:lang w:val="es-ES"/>
        </w:rPr>
        <w:tab/>
      </w:r>
    </w:p>
    <w:p w14:paraId="40A17B54" w14:textId="77777777" w:rsidR="005D7B04" w:rsidRPr="00512535" w:rsidRDefault="005D7B04" w:rsidP="005D7B04">
      <w:pPr>
        <w:widowControl w:val="0"/>
        <w:autoSpaceDE w:val="0"/>
        <w:autoSpaceDN w:val="0"/>
        <w:spacing w:after="0" w:line="240" w:lineRule="auto"/>
        <w:jc w:val="both"/>
        <w:rPr>
          <w:rFonts w:ascii="Verdana" w:eastAsia="Calibri" w:hAnsi="Verdana" w:cs="Arial"/>
          <w:b/>
          <w:bCs/>
          <w:kern w:val="2"/>
          <w14:ligatures w14:val="standardContextual"/>
        </w:rPr>
      </w:pPr>
      <w:r w:rsidRPr="00512535">
        <w:rPr>
          <w:rFonts w:ascii="Verdana" w:eastAsia="Calibri" w:hAnsi="Verdana" w:cs="Times New Roman"/>
          <w:b/>
          <w:bCs/>
          <w:lang w:val="es-ES"/>
        </w:rPr>
        <w:t xml:space="preserve">DOCUMENTOS TIPO – </w:t>
      </w:r>
      <w:r w:rsidRPr="00512535">
        <w:rPr>
          <w:rFonts w:ascii="Verdana" w:eastAsia="Calibri" w:hAnsi="Verdana" w:cs="Arial"/>
          <w:b/>
          <w:bCs/>
          <w:kern w:val="2"/>
          <w14:ligatures w14:val="standardContextual"/>
        </w:rPr>
        <w:t>Infraestructura de transporte</w:t>
      </w:r>
      <w:r>
        <w:rPr>
          <w:rFonts w:ascii="Verdana" w:eastAsia="Calibri" w:hAnsi="Verdana" w:cs="Arial"/>
          <w:b/>
          <w:bCs/>
          <w:kern w:val="2"/>
          <w14:ligatures w14:val="standardContextual"/>
        </w:rPr>
        <w:t xml:space="preserve"> – Licitación Pública – Actividades – Deslizamientos – Erosiones</w:t>
      </w:r>
    </w:p>
    <w:p w14:paraId="0E05171E" w14:textId="77777777" w:rsidR="005D7B04" w:rsidRPr="00512535" w:rsidRDefault="005D7B04" w:rsidP="005D7B04">
      <w:pPr>
        <w:widowControl w:val="0"/>
        <w:autoSpaceDE w:val="0"/>
        <w:autoSpaceDN w:val="0"/>
        <w:spacing w:after="0" w:line="240" w:lineRule="auto"/>
        <w:jc w:val="both"/>
        <w:rPr>
          <w:rFonts w:ascii="Verdana" w:eastAsia="Calibri" w:hAnsi="Verdana" w:cs="Times New Roman"/>
          <w:sz w:val="20"/>
          <w:szCs w:val="20"/>
        </w:rPr>
      </w:pPr>
    </w:p>
    <w:p w14:paraId="745485F4" w14:textId="77777777" w:rsidR="005D7B04" w:rsidRPr="00620988" w:rsidRDefault="005D7B04" w:rsidP="005D7B04">
      <w:pPr>
        <w:snapToGrid w:val="0"/>
        <w:spacing w:after="0" w:line="240" w:lineRule="auto"/>
        <w:jc w:val="both"/>
        <w:rPr>
          <w:rFonts w:ascii="Verdana" w:eastAsia="Calibri" w:hAnsi="Verdana" w:cs="Arial"/>
          <w:color w:val="0D0D0D"/>
          <w:sz w:val="20"/>
          <w:szCs w:val="20"/>
          <w:lang w:val="es-MX"/>
        </w:rPr>
      </w:pPr>
      <w:r w:rsidRPr="009B5F00">
        <w:rPr>
          <w:rFonts w:ascii="Verdana" w:eastAsia="Aptos" w:hAnsi="Verdana" w:cs="Arial"/>
          <w:color w:val="000000"/>
          <w:kern w:val="2"/>
          <w:sz w:val="20"/>
          <w:szCs w:val="20"/>
          <w14:ligatures w14:val="standardContextual"/>
        </w:rPr>
        <w:t xml:space="preserve">Teniendo en cuenta que en la consulta se indaga si es o no obligatoria la aplicación de los documentos tipo de licitación de obra pública de infraestructura de transporte – versión 4, </w:t>
      </w:r>
      <w:r w:rsidRPr="00620988">
        <w:rPr>
          <w:rFonts w:ascii="Verdana" w:eastAsia="Aptos" w:hAnsi="Verdana" w:cs="Arial"/>
          <w:color w:val="000000"/>
          <w:kern w:val="2"/>
          <w:sz w:val="20"/>
          <w:szCs w:val="20"/>
          <w14:ligatures w14:val="standardContextual"/>
        </w:rPr>
        <w:t xml:space="preserve">en unos procesos de selección que se relacionan con la “construcción de obras de estabilidad geotécnica y manejo de aguas lluvias en sitios con procesos de inestabilidad y reparación de áreas con tratamiento geotécnico”. Sobre la actividad señalad, la Agencia Nacional de Contratación Pública – Colombia Compra Eficiente entiende que la actividad que se señala comprende la ejecución de obras de ingeniería y bioingeniería orientadas a controlar procesos de inestabilidad del terreno –deslizamientos, erosiones, socavaciones– y a manejar adecuadamente las aguas de escorrentía y subsuperficiales que los originan o agravan en sitios previamente diagnosticados como críticos. </w:t>
      </w:r>
    </w:p>
    <w:p w14:paraId="69A3DA59" w14:textId="77777777" w:rsidR="005D7B04" w:rsidRDefault="005D7B04" w:rsidP="005D7B04">
      <w:pPr>
        <w:pStyle w:val="NormalWeb"/>
        <w:spacing w:before="0" w:beforeAutospacing="0" w:after="0" w:afterAutospacing="0"/>
        <w:jc w:val="both"/>
        <w:rPr>
          <w:rFonts w:ascii="Verdana" w:hAnsi="Verdana"/>
          <w:sz w:val="20"/>
          <w:szCs w:val="20"/>
        </w:rPr>
      </w:pPr>
    </w:p>
    <w:p w14:paraId="4DFC7A26" w14:textId="77777777" w:rsidR="005D7B04" w:rsidRDefault="005D7B04" w:rsidP="005D7B04">
      <w:pPr>
        <w:pStyle w:val="NormalWeb"/>
        <w:spacing w:before="0" w:beforeAutospacing="0" w:after="0" w:afterAutospacing="0"/>
        <w:jc w:val="both"/>
        <w:rPr>
          <w:rFonts w:ascii="Verdana" w:hAnsi="Verdana"/>
          <w:sz w:val="20"/>
          <w:szCs w:val="20"/>
        </w:rPr>
      </w:pPr>
      <w:r>
        <w:rPr>
          <w:rFonts w:ascii="Verdana" w:hAnsi="Verdana"/>
          <w:sz w:val="20"/>
          <w:szCs w:val="20"/>
        </w:rPr>
        <w:t>(…)</w:t>
      </w:r>
    </w:p>
    <w:p w14:paraId="69E6DA45" w14:textId="77777777" w:rsidR="005D7B04" w:rsidRDefault="005D7B04" w:rsidP="005D7B04">
      <w:pPr>
        <w:pStyle w:val="NormalWeb"/>
        <w:spacing w:before="0" w:beforeAutospacing="0" w:after="0" w:afterAutospacing="0"/>
        <w:jc w:val="both"/>
        <w:rPr>
          <w:rFonts w:ascii="Verdana" w:hAnsi="Verdana"/>
          <w:sz w:val="20"/>
          <w:szCs w:val="20"/>
        </w:rPr>
      </w:pPr>
    </w:p>
    <w:p w14:paraId="58507A6F" w14:textId="77777777" w:rsidR="005D7B04" w:rsidRPr="00620988" w:rsidRDefault="005D7B04" w:rsidP="005D7B04">
      <w:pPr>
        <w:pStyle w:val="NormalWeb"/>
        <w:spacing w:before="0" w:beforeAutospacing="0" w:after="0" w:afterAutospacing="0"/>
        <w:jc w:val="both"/>
        <w:rPr>
          <w:rFonts w:ascii="Verdana" w:hAnsi="Verdana"/>
          <w:sz w:val="20"/>
          <w:szCs w:val="20"/>
        </w:rPr>
      </w:pPr>
      <w:r w:rsidRPr="00620988">
        <w:rPr>
          <w:rFonts w:ascii="Verdana" w:hAnsi="Verdana"/>
          <w:sz w:val="20"/>
          <w:szCs w:val="20"/>
        </w:rPr>
        <w:t xml:space="preserve">En relación con las seis (6) actividades señaladas de forma precedente, que se encuentran contenidas en los documentos tipo de licitación de obra pública de infraestructura de transporte – versión 4, las contenidas en los numerales </w:t>
      </w:r>
      <w:r w:rsidRPr="00620988">
        <w:rPr>
          <w:rStyle w:val="Fuerte"/>
          <w:rFonts w:ascii="Verdana" w:eastAsiaTheme="majorEastAsia" w:hAnsi="Verdana"/>
          <w:sz w:val="20"/>
          <w:szCs w:val="20"/>
        </w:rPr>
        <w:t>1.7</w:t>
      </w:r>
      <w:r w:rsidRPr="00620988">
        <w:rPr>
          <w:rFonts w:ascii="Verdana" w:hAnsi="Verdana"/>
          <w:sz w:val="20"/>
          <w:szCs w:val="20"/>
        </w:rPr>
        <w:t xml:space="preserve"> y </w:t>
      </w:r>
      <w:r w:rsidRPr="00620988">
        <w:rPr>
          <w:rStyle w:val="Fuerte"/>
          <w:rFonts w:ascii="Verdana" w:eastAsiaTheme="majorEastAsia" w:hAnsi="Verdana"/>
          <w:sz w:val="20"/>
          <w:szCs w:val="20"/>
        </w:rPr>
        <w:t>1.10</w:t>
      </w:r>
      <w:r w:rsidRPr="00620988">
        <w:rPr>
          <w:rFonts w:ascii="Verdana" w:hAnsi="Verdana"/>
          <w:sz w:val="20"/>
          <w:szCs w:val="20"/>
        </w:rPr>
        <w:t xml:space="preserve"> se ubican en el tipo de infraestructura </w:t>
      </w:r>
      <w:r w:rsidRPr="00620988">
        <w:rPr>
          <w:rStyle w:val="nfasis"/>
          <w:rFonts w:ascii="Verdana" w:eastAsiaTheme="majorEastAsia" w:hAnsi="Verdana"/>
          <w:sz w:val="20"/>
          <w:szCs w:val="20"/>
        </w:rPr>
        <w:t>"1. OBRAS EN VÍAS PRIMARIAS O SECUNDARIAS"</w:t>
      </w:r>
      <w:r w:rsidRPr="00620988">
        <w:rPr>
          <w:rFonts w:ascii="Verdana" w:hAnsi="Verdana"/>
          <w:sz w:val="20"/>
          <w:szCs w:val="20"/>
        </w:rPr>
        <w:t xml:space="preserve">, por lo que aplican cuando la actividad de manejo de aguas –obras de drenaje– o de protección y/o estabilización de taludes está asociada a infraestructura de transporte de vías primarias </w:t>
      </w:r>
      <w:r w:rsidRPr="00620988">
        <w:rPr>
          <w:rStyle w:val="Fuerte"/>
          <w:rFonts w:ascii="Verdana" w:eastAsiaTheme="majorEastAsia" w:hAnsi="Verdana"/>
          <w:sz w:val="20"/>
          <w:szCs w:val="20"/>
        </w:rPr>
        <w:t>o secundarias</w:t>
      </w:r>
      <w:r w:rsidRPr="00620988">
        <w:rPr>
          <w:rFonts w:ascii="Verdana" w:hAnsi="Verdana"/>
          <w:sz w:val="20"/>
          <w:szCs w:val="20"/>
        </w:rPr>
        <w:t>, en un contexto en el que no sea atención de emergencias.</w:t>
      </w:r>
    </w:p>
    <w:p w14:paraId="2275C759" w14:textId="77777777" w:rsidR="005D7B04" w:rsidRDefault="005D7B04" w:rsidP="005D7B04">
      <w:pPr>
        <w:pStyle w:val="NormalWeb"/>
        <w:spacing w:before="0" w:beforeAutospacing="0" w:after="0" w:afterAutospacing="0"/>
        <w:jc w:val="both"/>
        <w:rPr>
          <w:rFonts w:ascii="Verdana" w:hAnsi="Verdana"/>
          <w:sz w:val="20"/>
          <w:szCs w:val="20"/>
        </w:rPr>
      </w:pPr>
    </w:p>
    <w:p w14:paraId="1B6D5EB3" w14:textId="77777777" w:rsidR="005D7B04" w:rsidRPr="00620988" w:rsidRDefault="005D7B04" w:rsidP="005D7B04">
      <w:pPr>
        <w:pStyle w:val="NormalWeb"/>
        <w:spacing w:before="0" w:beforeAutospacing="0" w:after="0" w:afterAutospacing="0"/>
        <w:jc w:val="both"/>
        <w:rPr>
          <w:rStyle w:val="Fuerte"/>
          <w:rFonts w:ascii="Verdana" w:eastAsiaTheme="majorEastAsia" w:hAnsi="Verdana"/>
          <w:b w:val="0"/>
          <w:bCs w:val="0"/>
          <w:sz w:val="20"/>
          <w:szCs w:val="20"/>
        </w:rPr>
      </w:pPr>
      <w:r w:rsidRPr="00620988">
        <w:rPr>
          <w:rFonts w:ascii="Verdana" w:hAnsi="Verdana"/>
          <w:sz w:val="20"/>
          <w:szCs w:val="20"/>
        </w:rPr>
        <w:t xml:space="preserve">Por su parte, las actividades contenidas en los numerales </w:t>
      </w:r>
      <w:r w:rsidRPr="00620988">
        <w:rPr>
          <w:rStyle w:val="Fuerte"/>
          <w:rFonts w:ascii="Verdana" w:eastAsiaTheme="majorEastAsia" w:hAnsi="Verdana"/>
          <w:sz w:val="20"/>
          <w:szCs w:val="20"/>
        </w:rPr>
        <w:t>4.2</w:t>
      </w:r>
      <w:r w:rsidRPr="00620988">
        <w:rPr>
          <w:rFonts w:ascii="Verdana" w:hAnsi="Verdana"/>
          <w:sz w:val="20"/>
          <w:szCs w:val="20"/>
        </w:rPr>
        <w:t xml:space="preserve"> y </w:t>
      </w:r>
      <w:r w:rsidRPr="00620988">
        <w:rPr>
          <w:rStyle w:val="Fuerte"/>
          <w:rFonts w:ascii="Verdana" w:eastAsiaTheme="majorEastAsia" w:hAnsi="Verdana"/>
          <w:sz w:val="20"/>
          <w:szCs w:val="20"/>
        </w:rPr>
        <w:t>4.4</w:t>
      </w:r>
      <w:r w:rsidRPr="00620988">
        <w:rPr>
          <w:rFonts w:ascii="Verdana" w:hAnsi="Verdana"/>
          <w:sz w:val="20"/>
          <w:szCs w:val="20"/>
        </w:rPr>
        <w:t xml:space="preserve"> se ubican dentro de la categoría de </w:t>
      </w:r>
      <w:r w:rsidRPr="00620988">
        <w:rPr>
          <w:rStyle w:val="nfasis"/>
          <w:rFonts w:ascii="Verdana" w:eastAsiaTheme="majorEastAsia" w:hAnsi="Verdana"/>
          <w:sz w:val="20"/>
          <w:szCs w:val="20"/>
        </w:rPr>
        <w:t>"4. OBRAS EN VÍAS PRIMARIAS O SECUNDARIAS O TERCIARIAS O URBANAS PARA ATENCIÓN, PREVENCIÓN O MITIGACIÓN DE EMERGENCIAS DIFERENTES A CONTRATACIÓN DIRECTA"</w:t>
      </w:r>
      <w:r w:rsidRPr="00620988">
        <w:rPr>
          <w:rFonts w:ascii="Verdana" w:hAnsi="Verdana"/>
          <w:sz w:val="20"/>
          <w:szCs w:val="20"/>
        </w:rPr>
        <w:t xml:space="preserve">, por lo que, estas aplican </w:t>
      </w:r>
      <w:r w:rsidRPr="00620988">
        <w:rPr>
          <w:rStyle w:val="Fuerte"/>
          <w:rFonts w:ascii="Verdana" w:eastAsiaTheme="majorEastAsia" w:hAnsi="Verdana"/>
          <w:sz w:val="20"/>
          <w:szCs w:val="20"/>
        </w:rPr>
        <w:t xml:space="preserve">cuando la actividad se enmarca en un contexto de atención, prevención o mitigación de una emergencia o riesgo declarado, independientemente del tipo de vía involucradas –primaria, secundaria, terciaria–, y siempre que el proceso de selección no corresponda con contratación directa. </w:t>
      </w:r>
    </w:p>
    <w:p w14:paraId="4DD6C9CD" w14:textId="77777777" w:rsidR="005D7B04" w:rsidRPr="00620988" w:rsidRDefault="005D7B04" w:rsidP="005D7B04">
      <w:pPr>
        <w:pStyle w:val="NormalWeb"/>
        <w:spacing w:before="0" w:beforeAutospacing="0" w:after="0" w:afterAutospacing="0"/>
        <w:jc w:val="both"/>
        <w:rPr>
          <w:rFonts w:ascii="Verdana" w:hAnsi="Verdana"/>
          <w:sz w:val="20"/>
          <w:szCs w:val="20"/>
        </w:rPr>
      </w:pPr>
      <w:r w:rsidRPr="00620988">
        <w:rPr>
          <w:rFonts w:ascii="Verdana" w:hAnsi="Verdana"/>
          <w:sz w:val="20"/>
          <w:szCs w:val="20"/>
        </w:rPr>
        <w:lastRenderedPageBreak/>
        <w:t xml:space="preserve">Finalmente, las actividades contenidas en los numerales </w:t>
      </w:r>
      <w:r w:rsidRPr="00620988">
        <w:rPr>
          <w:rStyle w:val="Fuerte"/>
          <w:rFonts w:ascii="Verdana" w:eastAsiaTheme="majorEastAsia" w:hAnsi="Verdana"/>
          <w:sz w:val="20"/>
          <w:szCs w:val="20"/>
        </w:rPr>
        <w:t>6.8</w:t>
      </w:r>
      <w:r w:rsidRPr="00620988">
        <w:rPr>
          <w:rFonts w:ascii="Verdana" w:hAnsi="Verdana"/>
          <w:sz w:val="20"/>
          <w:szCs w:val="20"/>
        </w:rPr>
        <w:t xml:space="preserve"> y </w:t>
      </w:r>
      <w:r w:rsidRPr="00620988">
        <w:rPr>
          <w:rStyle w:val="Fuerte"/>
          <w:rFonts w:ascii="Verdana" w:eastAsiaTheme="majorEastAsia" w:hAnsi="Verdana"/>
          <w:sz w:val="20"/>
          <w:szCs w:val="20"/>
        </w:rPr>
        <w:t>6.25</w:t>
      </w:r>
      <w:r w:rsidRPr="00620988">
        <w:rPr>
          <w:rFonts w:ascii="Verdana" w:hAnsi="Verdana"/>
          <w:sz w:val="20"/>
          <w:szCs w:val="20"/>
        </w:rPr>
        <w:t xml:space="preserve"> corresponden a </w:t>
      </w:r>
      <w:r w:rsidRPr="00620988">
        <w:rPr>
          <w:rStyle w:val="nfasis"/>
          <w:rFonts w:ascii="Verdana" w:eastAsiaTheme="majorEastAsia" w:hAnsi="Verdana"/>
          <w:sz w:val="20"/>
          <w:szCs w:val="20"/>
        </w:rPr>
        <w:t>"6. OBRAS DE INFRAESTRUCTURA VIAL URBANA"</w:t>
      </w:r>
      <w:r w:rsidRPr="00620988">
        <w:rPr>
          <w:rFonts w:ascii="Verdana" w:hAnsi="Verdana"/>
          <w:sz w:val="20"/>
          <w:szCs w:val="20"/>
        </w:rPr>
        <w:t xml:space="preserve">, por lo que aplican cuando el componente geotécnico –estabilización o contención de taludes, sitios inestables– o de protección de taludes está asociado a infraestructura vial urbana, también en un contexto de intervención permanente y no de atención de emergencia declarada. </w:t>
      </w:r>
    </w:p>
    <w:p w14:paraId="44088FF8" w14:textId="77777777" w:rsidR="005D7B04" w:rsidRDefault="005D7B04" w:rsidP="005D7B04">
      <w:pPr>
        <w:pStyle w:val="NormalWeb"/>
        <w:spacing w:before="0" w:beforeAutospacing="0" w:after="0" w:afterAutospacing="0"/>
        <w:jc w:val="both"/>
        <w:rPr>
          <w:rFonts w:ascii="Verdana" w:hAnsi="Verdana"/>
          <w:sz w:val="20"/>
          <w:szCs w:val="20"/>
        </w:rPr>
      </w:pPr>
    </w:p>
    <w:p w14:paraId="1787F669" w14:textId="77777777" w:rsidR="005D7B04" w:rsidRPr="00620988" w:rsidRDefault="005D7B04" w:rsidP="005D7B04">
      <w:pPr>
        <w:pStyle w:val="NormalWeb"/>
        <w:spacing w:before="0" w:beforeAutospacing="0" w:after="0" w:afterAutospacing="0"/>
        <w:jc w:val="both"/>
        <w:rPr>
          <w:rFonts w:ascii="Verdana" w:hAnsi="Verdana"/>
          <w:sz w:val="20"/>
          <w:szCs w:val="20"/>
        </w:rPr>
      </w:pPr>
      <w:r w:rsidRPr="00620988">
        <w:rPr>
          <w:rFonts w:ascii="Verdana" w:hAnsi="Verdana"/>
          <w:sz w:val="20"/>
          <w:szCs w:val="20"/>
        </w:rPr>
        <w:t xml:space="preserve">De acuerdo con lo dispuesto en los tres (3) párrafos precedentes, las actividades señaladas pueden asociarse a dos (2) variables: </w:t>
      </w:r>
      <w:r w:rsidRPr="00620988">
        <w:rPr>
          <w:rStyle w:val="Fuerte"/>
          <w:rFonts w:ascii="Verdana" w:eastAsiaTheme="majorEastAsia" w:hAnsi="Verdana"/>
          <w:sz w:val="20"/>
          <w:szCs w:val="20"/>
        </w:rPr>
        <w:t>i)</w:t>
      </w:r>
      <w:r w:rsidRPr="00620988">
        <w:rPr>
          <w:rFonts w:ascii="Verdana" w:hAnsi="Verdana"/>
          <w:sz w:val="20"/>
          <w:szCs w:val="20"/>
        </w:rPr>
        <w:t xml:space="preserve"> si la intervención responde a una emergencia o riesgo declarado –tipo de obra cuatro (4)– o a una obra permanente –tipo de obra uno (1) o seis (6)–, y </w:t>
      </w:r>
      <w:proofErr w:type="spellStart"/>
      <w:r w:rsidRPr="00620988">
        <w:rPr>
          <w:rStyle w:val="Fuerte"/>
          <w:rFonts w:ascii="Verdana" w:eastAsiaTheme="majorEastAsia" w:hAnsi="Verdana"/>
          <w:sz w:val="20"/>
          <w:szCs w:val="20"/>
        </w:rPr>
        <w:t>ii</w:t>
      </w:r>
      <w:proofErr w:type="spellEnd"/>
      <w:r w:rsidRPr="00620988">
        <w:rPr>
          <w:rStyle w:val="Fuerte"/>
          <w:rFonts w:ascii="Verdana" w:eastAsiaTheme="majorEastAsia" w:hAnsi="Verdana"/>
          <w:sz w:val="20"/>
          <w:szCs w:val="20"/>
        </w:rPr>
        <w:t>)</w:t>
      </w:r>
      <w:r w:rsidRPr="00620988">
        <w:rPr>
          <w:rFonts w:ascii="Verdana" w:hAnsi="Verdana"/>
          <w:sz w:val="20"/>
          <w:szCs w:val="20"/>
        </w:rPr>
        <w:t xml:space="preserve"> en este último caso, si la vía objeto de intervención es primaria o secundaria –obra uno (1)– o urbana –obra seis (6).</w:t>
      </w:r>
    </w:p>
    <w:p w14:paraId="5604E166"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1447FC4B"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28A694DA"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19A92D3D"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0A393FED"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51561481"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6E5D758C"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12737027"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71A2380B"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774D00D1"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602557AC"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13A1442B"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2CC0E191"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7E9A3723"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7D423425"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6FD76800"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35BDABE1"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4877B586"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337BA6E7"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29BEC1DD"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161FFBE0"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640E89E1"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1CCC5DD9"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673910E4"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1349EA79"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15B4F029"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596E2451"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717425F1"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0FE08BAF"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345B7917"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344129E5"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42F0F50E"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30F60323"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68E32284" w14:textId="77777777" w:rsidR="005D7B04" w:rsidRDefault="005D7B04" w:rsidP="005D7B04">
      <w:pPr>
        <w:spacing w:after="0" w:line="240" w:lineRule="auto"/>
        <w:jc w:val="both"/>
        <w:rPr>
          <w:rFonts w:ascii="Verdana" w:eastAsia="Calibri" w:hAnsi="Verdana" w:cs="Calibri"/>
          <w:kern w:val="2"/>
          <w:sz w:val="20"/>
          <w:szCs w:val="20"/>
          <w14:ligatures w14:val="standardContextual"/>
        </w:rPr>
      </w:pPr>
    </w:p>
    <w:p w14:paraId="6CB002C2" w14:textId="77777777" w:rsidR="005D7B04" w:rsidRPr="00E15FD8" w:rsidRDefault="005D7B04" w:rsidP="005D7B04">
      <w:pPr>
        <w:spacing w:after="0" w:line="240" w:lineRule="auto"/>
        <w:jc w:val="both"/>
        <w:rPr>
          <w:rFonts w:ascii="Verdana" w:eastAsia="Aptos" w:hAnsi="Verdana" w:cs="Arial"/>
          <w:color w:val="000000"/>
          <w:highlight w:val="yellow"/>
          <w:lang w:val="es-ES_tradnl"/>
        </w:rPr>
      </w:pPr>
    </w:p>
    <w:p w14:paraId="1B54107B" w14:textId="298D3CA7" w:rsidR="00E415CC" w:rsidRDefault="005D7B04" w:rsidP="005D7B04">
      <w:pPr>
        <w:spacing w:after="0" w:line="240" w:lineRule="auto"/>
        <w:jc w:val="both"/>
        <w:rPr>
          <w:rFonts w:ascii="Verdana" w:eastAsia="Verdana" w:hAnsi="Verdana" w:cs="Verdana"/>
        </w:rPr>
      </w:pPr>
      <w:bookmarkStart w:id="1" w:name="_Hlk117695077"/>
      <w:r w:rsidRPr="30821638">
        <w:rPr>
          <w:rFonts w:ascii="Verdana" w:eastAsia="Verdana" w:hAnsi="Verdana" w:cs="Verdana"/>
        </w:rPr>
        <w:lastRenderedPageBreak/>
        <w:t>Bogotá D.C.,</w:t>
      </w:r>
      <w:r w:rsidR="00E415CC">
        <w:rPr>
          <w:rFonts w:ascii="Verdana" w:eastAsia="Verdana" w:hAnsi="Verdana" w:cs="Verdana"/>
        </w:rPr>
        <w:t>2</w:t>
      </w:r>
      <w:r w:rsidR="00597E2E">
        <w:rPr>
          <w:rFonts w:ascii="Verdana" w:eastAsia="Verdana" w:hAnsi="Verdana" w:cs="Verdana"/>
        </w:rPr>
        <w:t>5</w:t>
      </w:r>
      <w:r w:rsidR="00E415CC">
        <w:rPr>
          <w:rFonts w:ascii="Verdana" w:eastAsia="Verdana" w:hAnsi="Verdana" w:cs="Verdana"/>
        </w:rPr>
        <w:t xml:space="preserve"> de agosto de 2026</w:t>
      </w:r>
    </w:p>
    <w:p w14:paraId="095E7F26" w14:textId="6B865A00" w:rsidR="00E415CC" w:rsidRDefault="00E415CC" w:rsidP="005D7B04">
      <w:pPr>
        <w:spacing w:after="0" w:line="240" w:lineRule="auto"/>
        <w:jc w:val="both"/>
        <w:rPr>
          <w:rFonts w:ascii="Verdana" w:eastAsia="Verdana" w:hAnsi="Verdana" w:cs="Verdana"/>
        </w:rPr>
      </w:pPr>
    </w:p>
    <w:p w14:paraId="3766C064" w14:textId="70CE1318" w:rsidR="005D7B04" w:rsidRDefault="005D7B04" w:rsidP="00E415CC">
      <w:pPr>
        <w:spacing w:after="0" w:line="240" w:lineRule="auto"/>
        <w:jc w:val="right"/>
      </w:pPr>
      <w:r>
        <w:tab/>
      </w:r>
    </w:p>
    <w:p w14:paraId="7BEF962A" w14:textId="04C7A930" w:rsidR="005D7B04" w:rsidRPr="00E15FD8" w:rsidRDefault="005D7B04" w:rsidP="005D7B04">
      <w:pPr>
        <w:spacing w:after="0" w:line="240" w:lineRule="auto"/>
        <w:jc w:val="both"/>
        <w:rPr>
          <w:rFonts w:ascii="Verdana" w:eastAsia="Calibri" w:hAnsi="Verdana" w:cs="Arial"/>
          <w:lang w:eastAsia="es-ES"/>
        </w:rPr>
      </w:pPr>
    </w:p>
    <w:p w14:paraId="3160C14B" w14:textId="1C37A82A" w:rsidR="005D7B04" w:rsidRPr="00184FA0" w:rsidRDefault="00796ABA" w:rsidP="005D7B04">
      <w:pPr>
        <w:spacing w:after="0" w:line="276" w:lineRule="auto"/>
        <w:jc w:val="both"/>
        <w:rPr>
          <w:rFonts w:ascii="Verdana" w:eastAsia="Calibri" w:hAnsi="Verdana" w:cs="Arial"/>
          <w:lang w:eastAsia="es-ES"/>
        </w:rPr>
      </w:pPr>
      <w:r w:rsidRPr="00E415CC">
        <w:rPr>
          <w:noProof/>
        </w:rPr>
        <w:drawing>
          <wp:anchor distT="0" distB="0" distL="114300" distR="114300" simplePos="0" relativeHeight="251658240" behindDoc="0" locked="0" layoutInCell="1" allowOverlap="1" wp14:anchorId="46231563" wp14:editId="1E3B17F8">
            <wp:simplePos x="0" y="0"/>
            <wp:positionH relativeFrom="margin">
              <wp:align>right</wp:align>
            </wp:positionH>
            <wp:positionV relativeFrom="paragraph">
              <wp:posOffset>5356</wp:posOffset>
            </wp:positionV>
            <wp:extent cx="2497455" cy="779145"/>
            <wp:effectExtent l="0" t="0" r="0" b="1905"/>
            <wp:wrapSquare wrapText="bothSides"/>
            <wp:docPr id="19813198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319866" name=""/>
                    <pic:cNvPicPr/>
                  </pic:nvPicPr>
                  <pic:blipFill>
                    <a:blip r:embed="rId10">
                      <a:extLst>
                        <a:ext uri="{28A0092B-C50C-407E-A947-70E740481C1C}">
                          <a14:useLocalDpi xmlns:a14="http://schemas.microsoft.com/office/drawing/2010/main" val="0"/>
                        </a:ext>
                      </a:extLst>
                    </a:blip>
                    <a:stretch>
                      <a:fillRect/>
                    </a:stretch>
                  </pic:blipFill>
                  <pic:spPr>
                    <a:xfrm>
                      <a:off x="0" y="0"/>
                      <a:ext cx="2497455" cy="779145"/>
                    </a:xfrm>
                    <a:prstGeom prst="rect">
                      <a:avLst/>
                    </a:prstGeom>
                  </pic:spPr>
                </pic:pic>
              </a:graphicData>
            </a:graphic>
            <wp14:sizeRelH relativeFrom="margin">
              <wp14:pctWidth>0</wp14:pctWidth>
            </wp14:sizeRelH>
            <wp14:sizeRelV relativeFrom="margin">
              <wp14:pctHeight>0</wp14:pctHeight>
            </wp14:sizeRelV>
          </wp:anchor>
        </w:drawing>
      </w:r>
      <w:r w:rsidR="005D7B04" w:rsidRPr="00E15FD8">
        <w:rPr>
          <w:rFonts w:ascii="Verdana" w:eastAsia="Calibri" w:hAnsi="Verdana" w:cs="Arial"/>
          <w:lang w:val="es-ES_tradnl" w:eastAsia="es-ES"/>
        </w:rPr>
        <w:t>Señor</w:t>
      </w:r>
    </w:p>
    <w:p w14:paraId="67E433A2" w14:textId="77777777" w:rsidR="005D7B04" w:rsidRPr="00E15FD8" w:rsidRDefault="005D7B04" w:rsidP="005D7B04">
      <w:pPr>
        <w:spacing w:after="0" w:line="276" w:lineRule="auto"/>
        <w:jc w:val="both"/>
        <w:rPr>
          <w:rFonts w:ascii="Verdana" w:eastAsia="Aptos" w:hAnsi="Verdana" w:cs="Times New Roman"/>
          <w:b/>
          <w:bCs/>
          <w:kern w:val="2"/>
          <w14:ligatures w14:val="standardContextual"/>
        </w:rPr>
      </w:pPr>
      <w:r>
        <w:rPr>
          <w:rFonts w:ascii="Verdana" w:eastAsia="Aptos" w:hAnsi="Verdana" w:cs="Times New Roman"/>
          <w:b/>
          <w:bCs/>
          <w:kern w:val="2"/>
          <w14:ligatures w14:val="standardContextual"/>
        </w:rPr>
        <w:t>Luis Felipe Ruíz Mejía</w:t>
      </w:r>
    </w:p>
    <w:p w14:paraId="389DC271" w14:textId="77777777" w:rsidR="005D7B04" w:rsidRPr="00E15FD8" w:rsidRDefault="005D7B04" w:rsidP="005D7B04">
      <w:pPr>
        <w:spacing w:after="0" w:line="276" w:lineRule="auto"/>
        <w:jc w:val="both"/>
        <w:rPr>
          <w:rFonts w:ascii="Verdana" w:eastAsia="Calibri" w:hAnsi="Verdana" w:cs="Arial"/>
        </w:rPr>
      </w:pPr>
      <w:r w:rsidRPr="00E15FD8">
        <w:rPr>
          <w:rFonts w:ascii="Verdana" w:eastAsia="Calibri" w:hAnsi="Verdana" w:cs="Arial"/>
        </w:rPr>
        <w:t>Valledupar, Cesar</w:t>
      </w:r>
    </w:p>
    <w:p w14:paraId="173934CE" w14:textId="77777777" w:rsidR="005D7B04" w:rsidRPr="00E15FD8" w:rsidRDefault="005D7B04" w:rsidP="005D7B04">
      <w:pPr>
        <w:spacing w:after="0" w:line="240" w:lineRule="auto"/>
        <w:jc w:val="both"/>
        <w:rPr>
          <w:rFonts w:ascii="Verdana" w:eastAsia="Calibri" w:hAnsi="Verdana" w:cs="Arial"/>
          <w:b/>
          <w:bCs/>
          <w:lang w:eastAsia="es-ES"/>
        </w:rPr>
      </w:pPr>
    </w:p>
    <w:tbl>
      <w:tblPr>
        <w:tblStyle w:val="Tablaconcuadrcula"/>
        <w:tblW w:w="8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25"/>
        <w:gridCol w:w="6183"/>
      </w:tblGrid>
      <w:tr w:rsidR="005D7B04" w:rsidRPr="00E15FD8" w14:paraId="705F7D77" w14:textId="77777777" w:rsidTr="005672E7">
        <w:trPr>
          <w:trHeight w:val="910"/>
        </w:trPr>
        <w:tc>
          <w:tcPr>
            <w:tcW w:w="2725" w:type="dxa"/>
          </w:tcPr>
          <w:p w14:paraId="08AB8ED1" w14:textId="77777777" w:rsidR="005D7B04" w:rsidRPr="00E15FD8" w:rsidRDefault="005D7B04" w:rsidP="005672E7">
            <w:pPr>
              <w:jc w:val="both"/>
              <w:rPr>
                <w:rFonts w:ascii="Verdana" w:eastAsia="Calibri" w:hAnsi="Verdana" w:cs="Arial"/>
                <w:b/>
                <w:bCs/>
                <w:color w:val="7030A0"/>
                <w:lang w:eastAsia="es-ES_tradnl"/>
              </w:rPr>
            </w:pPr>
          </w:p>
        </w:tc>
        <w:tc>
          <w:tcPr>
            <w:tcW w:w="6183" w:type="dxa"/>
          </w:tcPr>
          <w:p w14:paraId="3892A272" w14:textId="77777777" w:rsidR="005D7B04" w:rsidRPr="00E15FD8" w:rsidRDefault="005D7B04" w:rsidP="005672E7">
            <w:pPr>
              <w:snapToGrid w:val="0"/>
              <w:jc w:val="both"/>
              <w:rPr>
                <w:rFonts w:ascii="Verdana" w:eastAsia="Calibri" w:hAnsi="Verdana" w:cs="Arial"/>
                <w:b/>
                <w:bCs/>
                <w:lang w:eastAsia="es-ES"/>
              </w:rPr>
            </w:pPr>
            <w:r w:rsidRPr="00E15FD8">
              <w:rPr>
                <w:rFonts w:ascii="Verdana" w:eastAsia="Calibri" w:hAnsi="Verdana" w:cs="Arial"/>
                <w:b/>
                <w:bCs/>
                <w:lang w:eastAsia="es-ES"/>
              </w:rPr>
              <w:t>Concepto C-1</w:t>
            </w:r>
            <w:r>
              <w:rPr>
                <w:rFonts w:ascii="Verdana" w:eastAsia="Calibri" w:hAnsi="Verdana" w:cs="Arial"/>
                <w:b/>
                <w:bCs/>
                <w:lang w:eastAsia="es-ES"/>
              </w:rPr>
              <w:t>103</w:t>
            </w:r>
            <w:r w:rsidRPr="00E15FD8">
              <w:rPr>
                <w:rFonts w:ascii="Verdana" w:eastAsia="Calibri" w:hAnsi="Verdana" w:cs="Arial"/>
                <w:b/>
                <w:bCs/>
                <w:lang w:eastAsia="es-ES"/>
              </w:rPr>
              <w:t xml:space="preserve"> de 2026</w:t>
            </w:r>
          </w:p>
          <w:p w14:paraId="6C6EC3EE" w14:textId="77777777" w:rsidR="005D7B04" w:rsidRPr="00E15FD8" w:rsidRDefault="005D7B04" w:rsidP="005672E7">
            <w:pPr>
              <w:snapToGrid w:val="0"/>
              <w:jc w:val="both"/>
              <w:rPr>
                <w:rFonts w:ascii="Verdana" w:eastAsia="Calibri" w:hAnsi="Verdana" w:cs="Arial"/>
                <w:b/>
                <w:bCs/>
                <w:lang w:eastAsia="es-ES"/>
              </w:rPr>
            </w:pPr>
          </w:p>
        </w:tc>
      </w:tr>
      <w:tr w:rsidR="005D7B04" w:rsidRPr="00E15FD8" w14:paraId="441C2DEB" w14:textId="77777777" w:rsidTr="005672E7">
        <w:trPr>
          <w:trHeight w:val="910"/>
        </w:trPr>
        <w:tc>
          <w:tcPr>
            <w:tcW w:w="2725" w:type="dxa"/>
          </w:tcPr>
          <w:p w14:paraId="1A5D2FC0" w14:textId="77777777" w:rsidR="005D7B04" w:rsidRPr="00E15FD8" w:rsidRDefault="005D7B04" w:rsidP="005672E7">
            <w:pPr>
              <w:jc w:val="both"/>
              <w:rPr>
                <w:rFonts w:ascii="Verdana" w:eastAsia="Calibri" w:hAnsi="Verdana" w:cs="Arial"/>
                <w:color w:val="000000"/>
                <w:lang w:eastAsia="es-ES_tradnl"/>
              </w:rPr>
            </w:pPr>
            <w:r w:rsidRPr="00E15FD8">
              <w:rPr>
                <w:rFonts w:ascii="Verdana" w:eastAsia="Calibri" w:hAnsi="Verdana" w:cs="Arial"/>
                <w:b/>
                <w:color w:val="000000"/>
                <w:lang w:eastAsia="es-ES_tradnl"/>
              </w:rPr>
              <w:t>Temas:</w:t>
            </w:r>
            <w:r w:rsidRPr="00E15FD8">
              <w:rPr>
                <w:rFonts w:ascii="Verdana" w:eastAsia="Calibri" w:hAnsi="Verdana" w:cs="Arial"/>
                <w:color w:val="000000"/>
                <w:lang w:eastAsia="es-ES_tradnl"/>
              </w:rPr>
              <w:t xml:space="preserve">                   </w:t>
            </w:r>
          </w:p>
        </w:tc>
        <w:tc>
          <w:tcPr>
            <w:tcW w:w="6183" w:type="dxa"/>
          </w:tcPr>
          <w:p w14:paraId="03FD936C" w14:textId="6C08CA1C" w:rsidR="005D7B04" w:rsidRPr="00190298" w:rsidRDefault="005D7B04" w:rsidP="005672E7">
            <w:pPr>
              <w:widowControl w:val="0"/>
              <w:autoSpaceDE w:val="0"/>
              <w:autoSpaceDN w:val="0"/>
              <w:jc w:val="both"/>
              <w:rPr>
                <w:rFonts w:ascii="Verdana" w:eastAsia="Calibri" w:hAnsi="Verdana" w:cs="Arial"/>
                <w:kern w:val="2"/>
                <w14:ligatures w14:val="standardContextual"/>
              </w:rPr>
            </w:pPr>
            <w:r w:rsidRPr="00190298">
              <w:rPr>
                <w:rFonts w:ascii="Verdana" w:eastAsia="Aptos" w:hAnsi="Verdana" w:cs="Times New Roman"/>
                <w:color w:val="000000"/>
              </w:rPr>
              <w:t>DOCUMENTOS TIPO – Fundamento normativo – Obligatoriedad /</w:t>
            </w:r>
            <w:r w:rsidRPr="00190298">
              <w:rPr>
                <w:rFonts w:ascii="Verdana" w:eastAsia="Aptos" w:hAnsi="Verdana" w:cs="Times New Roman"/>
              </w:rPr>
              <w:t xml:space="preserve"> </w:t>
            </w:r>
            <w:r w:rsidRPr="00190298">
              <w:rPr>
                <w:rFonts w:ascii="Verdana" w:eastAsia="Calibri" w:hAnsi="Verdana" w:cs="Arial"/>
                <w:kern w:val="2"/>
                <w14:ligatures w14:val="standardContextual"/>
              </w:rPr>
              <w:t xml:space="preserve">INALTERABILIDAD – Documentos tipo – Infraestructura de transporte/ </w:t>
            </w:r>
            <w:r w:rsidRPr="00190298">
              <w:rPr>
                <w:rFonts w:ascii="Verdana" w:eastAsia="Calibri" w:hAnsi="Verdana" w:cs="Times New Roman"/>
                <w:lang w:val="es-ES"/>
              </w:rPr>
              <w:t xml:space="preserve">APLICACIÓN – Documentos tipo – </w:t>
            </w:r>
            <w:r w:rsidRPr="00190298">
              <w:rPr>
                <w:rFonts w:ascii="Verdana" w:eastAsia="Calibri" w:hAnsi="Verdana" w:cs="Arial"/>
                <w:kern w:val="2"/>
                <w14:ligatures w14:val="standardContextual"/>
              </w:rPr>
              <w:t xml:space="preserve">Infraestructura de transporte – Licitación Pública / </w:t>
            </w:r>
            <w:r w:rsidRPr="00190298">
              <w:rPr>
                <w:rFonts w:ascii="Verdana" w:eastAsia="Calibri" w:hAnsi="Verdana" w:cs="Times New Roman"/>
                <w:lang w:val="es-ES"/>
              </w:rPr>
              <w:t xml:space="preserve">DOCUMENTOS TIPO – </w:t>
            </w:r>
            <w:r w:rsidRPr="00190298">
              <w:rPr>
                <w:rFonts w:ascii="Verdana" w:eastAsia="Calibri" w:hAnsi="Verdana" w:cs="Arial"/>
                <w:kern w:val="2"/>
                <w14:ligatures w14:val="standardContextual"/>
              </w:rPr>
              <w:t>Infraestructura de transporte – Licitación Pública – Actividades – Deslizamientos – Erosiones</w:t>
            </w:r>
          </w:p>
          <w:p w14:paraId="320D5254" w14:textId="77777777" w:rsidR="005D7B04" w:rsidRPr="00E15FD8" w:rsidRDefault="005D7B04" w:rsidP="005672E7">
            <w:pPr>
              <w:snapToGrid w:val="0"/>
              <w:jc w:val="both"/>
              <w:rPr>
                <w:rFonts w:ascii="Verdana" w:eastAsia="Calibri" w:hAnsi="Verdana" w:cs="Arial"/>
                <w:lang w:eastAsia="es-ES"/>
              </w:rPr>
            </w:pPr>
          </w:p>
        </w:tc>
      </w:tr>
      <w:tr w:rsidR="005D7B04" w:rsidRPr="00E15FD8" w14:paraId="71D675B7" w14:textId="77777777" w:rsidTr="005672E7">
        <w:trPr>
          <w:trHeight w:val="556"/>
        </w:trPr>
        <w:tc>
          <w:tcPr>
            <w:tcW w:w="2725" w:type="dxa"/>
          </w:tcPr>
          <w:p w14:paraId="081A5C34" w14:textId="77777777" w:rsidR="005D7B04" w:rsidRPr="00E15FD8" w:rsidRDefault="005D7B04" w:rsidP="005672E7">
            <w:pPr>
              <w:jc w:val="both"/>
              <w:rPr>
                <w:rFonts w:ascii="Verdana" w:eastAsia="Calibri" w:hAnsi="Verdana" w:cs="Arial"/>
                <w:b/>
                <w:bCs/>
                <w:lang w:eastAsia="es-ES_tradnl"/>
              </w:rPr>
            </w:pPr>
            <w:r w:rsidRPr="00E15FD8">
              <w:rPr>
                <w:rFonts w:ascii="Verdana" w:eastAsia="Calibri" w:hAnsi="Verdana" w:cs="Arial"/>
                <w:b/>
                <w:bCs/>
                <w:lang w:eastAsia="es-ES_tradnl"/>
              </w:rPr>
              <w:t xml:space="preserve">Radicación:               </w:t>
            </w:r>
          </w:p>
        </w:tc>
        <w:tc>
          <w:tcPr>
            <w:tcW w:w="6183" w:type="dxa"/>
          </w:tcPr>
          <w:p w14:paraId="764FE378" w14:textId="77777777" w:rsidR="005D7B04" w:rsidRPr="00E15FD8" w:rsidRDefault="005D7B04" w:rsidP="005672E7">
            <w:pPr>
              <w:snapToGrid w:val="0"/>
              <w:jc w:val="both"/>
              <w:rPr>
                <w:rFonts w:ascii="Verdana" w:eastAsia="Calibri" w:hAnsi="Verdana" w:cs="Arial"/>
                <w:lang w:eastAsia="es-ES_tradnl"/>
              </w:rPr>
            </w:pPr>
            <w:r w:rsidRPr="00E15FD8">
              <w:rPr>
                <w:rFonts w:ascii="Verdana" w:eastAsia="Calibri" w:hAnsi="Verdana" w:cs="Arial"/>
                <w:lang w:eastAsia="es-ES_tradnl"/>
              </w:rPr>
              <w:t xml:space="preserve">Respuesta a consulta con radicado No. </w:t>
            </w:r>
            <w:r w:rsidRPr="00F548EB">
              <w:rPr>
                <w:rFonts w:ascii="Verdana" w:eastAsia="Calibri" w:hAnsi="Verdana" w:cs="Vrinda"/>
                <w:color w:val="000000"/>
                <w:lang w:val="es-ES_tradnl" w:eastAsia="es-ES_tradnl"/>
              </w:rPr>
              <w:t>1_2026_07_10_009178</w:t>
            </w:r>
          </w:p>
        </w:tc>
      </w:tr>
    </w:tbl>
    <w:p w14:paraId="4B6EE8BD" w14:textId="77777777" w:rsidR="005D7B04" w:rsidRPr="00E15FD8" w:rsidRDefault="005D7B04" w:rsidP="005D7B04">
      <w:pPr>
        <w:spacing w:after="0" w:line="240" w:lineRule="auto"/>
        <w:jc w:val="both"/>
        <w:rPr>
          <w:rFonts w:ascii="Verdana" w:eastAsia="Calibri" w:hAnsi="Verdana" w:cs="Arial"/>
          <w:b/>
          <w:bCs/>
          <w:lang w:eastAsia="es-ES"/>
        </w:rPr>
      </w:pPr>
      <w:r w:rsidRPr="00E15FD8">
        <w:rPr>
          <w:rFonts w:ascii="Verdana" w:eastAsia="Calibri" w:hAnsi="Verdana" w:cs="Arial"/>
          <w:b/>
          <w:bCs/>
          <w:lang w:eastAsia="es-ES"/>
        </w:rPr>
        <w:tab/>
      </w:r>
    </w:p>
    <w:p w14:paraId="78E36CDA" w14:textId="77777777" w:rsidR="005D7B04" w:rsidRPr="00E15FD8" w:rsidRDefault="005D7B04" w:rsidP="005D7B04">
      <w:pPr>
        <w:spacing w:after="0" w:line="240" w:lineRule="auto"/>
        <w:jc w:val="both"/>
        <w:rPr>
          <w:rFonts w:ascii="Verdana" w:eastAsia="Aptos" w:hAnsi="Verdana" w:cs="Times New Roman"/>
          <w:b/>
          <w:bCs/>
          <w:kern w:val="2"/>
          <w14:ligatures w14:val="standardContextual"/>
        </w:rPr>
      </w:pPr>
      <w:r w:rsidRPr="00E15FD8">
        <w:rPr>
          <w:rFonts w:ascii="Verdana" w:eastAsia="Calibri" w:hAnsi="Verdana" w:cs="Vrinda"/>
          <w:lang w:val="es-ES" w:eastAsia="es-ES"/>
        </w:rPr>
        <w:t>Estimado señor</w:t>
      </w:r>
      <w:r>
        <w:rPr>
          <w:rFonts w:ascii="Verdana" w:eastAsia="Aptos" w:hAnsi="Verdana" w:cs="Times New Roman"/>
          <w:kern w:val="2"/>
          <w14:ligatures w14:val="standardContextual"/>
        </w:rPr>
        <w:t xml:space="preserve"> </w:t>
      </w:r>
      <w:r w:rsidRPr="00F548EB">
        <w:rPr>
          <w:rFonts w:ascii="Verdana" w:eastAsia="Aptos" w:hAnsi="Verdana" w:cs="Times New Roman"/>
          <w:kern w:val="2"/>
          <w14:ligatures w14:val="standardContextual"/>
        </w:rPr>
        <w:t>Ruíz Mejía:</w:t>
      </w:r>
    </w:p>
    <w:p w14:paraId="47D3F15D" w14:textId="77777777" w:rsidR="005D7B04" w:rsidRPr="00E15FD8" w:rsidRDefault="005D7B04" w:rsidP="005D7B04">
      <w:pPr>
        <w:spacing w:after="0" w:line="240" w:lineRule="auto"/>
        <w:jc w:val="both"/>
        <w:rPr>
          <w:rFonts w:ascii="Verdana" w:eastAsia="Aptos" w:hAnsi="Verdana" w:cs="Times New Roman"/>
          <w:b/>
          <w:bCs/>
          <w:kern w:val="2"/>
          <w14:ligatures w14:val="standardContextual"/>
        </w:rPr>
      </w:pPr>
    </w:p>
    <w:p w14:paraId="28DF5487" w14:textId="77777777" w:rsidR="005D7B04" w:rsidRPr="00E15FD8" w:rsidRDefault="005D7B04" w:rsidP="005D7B04">
      <w:pPr>
        <w:spacing w:after="0" w:line="276" w:lineRule="auto"/>
        <w:jc w:val="both"/>
        <w:rPr>
          <w:rFonts w:ascii="Verdana" w:eastAsia="Calibri" w:hAnsi="Verdana" w:cs="Arial"/>
          <w:lang w:val="es-ES" w:eastAsia="es-ES"/>
        </w:rPr>
      </w:pPr>
      <w:r w:rsidRPr="00E15FD8">
        <w:rPr>
          <w:rFonts w:ascii="Verdana" w:eastAsia="Calibri" w:hAnsi="Verdana" w:cs="Arial"/>
          <w:lang w:val="es-ES" w:eastAsia="es-ES"/>
        </w:rPr>
        <w:t>En ejercicio de la competencia otorgada por los artículos 3, numeral 5º, y 11, numeral 8º, del Decreto Ley 4170 de 2011,</w:t>
      </w:r>
      <w:r w:rsidRPr="00E15FD8">
        <w:rPr>
          <w:rFonts w:ascii="Verdana" w:eastAsia="Arial MT" w:hAnsi="Verdana" w:cs="Arial MT"/>
          <w:lang w:val="es-ES" w:eastAsia="es-ES"/>
        </w:rPr>
        <w:t xml:space="preserve"> </w:t>
      </w:r>
      <w:r w:rsidRPr="00E15FD8">
        <w:rPr>
          <w:rFonts w:ascii="Verdana" w:eastAsia="Calibri" w:hAnsi="Verdana" w:cs="Arial"/>
          <w:lang w:eastAsia="es-MX"/>
        </w:rPr>
        <w:t xml:space="preserve">así como lo establecido por la </w:t>
      </w:r>
      <w:r w:rsidRPr="00E15FD8">
        <w:rPr>
          <w:rFonts w:ascii="Verdana" w:eastAsia="Aptos" w:hAnsi="Verdana" w:cs="Arial"/>
          <w:bCs/>
          <w:lang w:eastAsia="es-ES" w:bidi="es-ES"/>
        </w:rPr>
        <w:t>Resolución 469 de 2025 expedida por esta Entidad</w:t>
      </w:r>
      <w:r w:rsidRPr="00E15FD8">
        <w:rPr>
          <w:rFonts w:ascii="Verdana" w:eastAsia="Calibri" w:hAnsi="Verdana" w:cs="Arial"/>
          <w:lang w:eastAsia="es-MX"/>
        </w:rPr>
        <w:t xml:space="preserve">, </w:t>
      </w:r>
      <w:r w:rsidRPr="00E15FD8">
        <w:rPr>
          <w:rFonts w:ascii="Verdana" w:eastAsia="Calibri" w:hAnsi="Verdana" w:cs="Arial"/>
          <w:lang w:val="es-ES" w:eastAsia="es-ES"/>
        </w:rPr>
        <w:t xml:space="preserve">la Agencia Nacional de Contratación Pública – Colombia Compra Eficiente– responde su solicitud de consulta del </w:t>
      </w:r>
      <w:r>
        <w:rPr>
          <w:rFonts w:ascii="Verdana" w:eastAsia="Calibri" w:hAnsi="Verdana" w:cs="Arial"/>
          <w:lang w:val="es-ES" w:eastAsia="es-ES"/>
        </w:rPr>
        <w:t>01</w:t>
      </w:r>
      <w:r w:rsidRPr="00E15FD8">
        <w:rPr>
          <w:rFonts w:ascii="Verdana" w:eastAsia="Calibri" w:hAnsi="Verdana" w:cs="Arial"/>
          <w:lang w:val="es-ES" w:eastAsia="es-ES"/>
        </w:rPr>
        <w:t xml:space="preserve"> de ju</w:t>
      </w:r>
      <w:r>
        <w:rPr>
          <w:rFonts w:ascii="Verdana" w:eastAsia="Calibri" w:hAnsi="Verdana" w:cs="Arial"/>
          <w:lang w:val="es-ES" w:eastAsia="es-ES"/>
        </w:rPr>
        <w:t>l</w:t>
      </w:r>
      <w:r w:rsidRPr="00E15FD8">
        <w:rPr>
          <w:rFonts w:ascii="Verdana" w:eastAsia="Calibri" w:hAnsi="Verdana" w:cs="Arial"/>
          <w:lang w:val="es-ES" w:eastAsia="es-ES"/>
        </w:rPr>
        <w:t xml:space="preserve">io de 2026, en la cual manifiesta lo siguiente: </w:t>
      </w:r>
    </w:p>
    <w:p w14:paraId="1ABA8D6C" w14:textId="77777777" w:rsidR="005D7B04" w:rsidRPr="00E15FD8" w:rsidRDefault="005D7B04" w:rsidP="005D7B04">
      <w:pPr>
        <w:spacing w:after="0" w:line="276" w:lineRule="auto"/>
        <w:jc w:val="both"/>
        <w:rPr>
          <w:rFonts w:ascii="Verdana" w:eastAsia="Calibri" w:hAnsi="Verdana" w:cs="Vrinda"/>
          <w:lang w:val="es-ES" w:eastAsia="es-ES"/>
        </w:rPr>
      </w:pPr>
    </w:p>
    <w:p w14:paraId="01D01B90" w14:textId="77777777" w:rsidR="005D7B04" w:rsidRPr="00F548EB" w:rsidRDefault="005D7B04" w:rsidP="005D7B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ind w:left="709" w:right="709"/>
        <w:jc w:val="both"/>
        <w:rPr>
          <w:rFonts w:ascii="Verdana" w:eastAsia="Aptos" w:hAnsi="Verdana" w:cs="Arial"/>
          <w:color w:val="000000"/>
          <w:sz w:val="20"/>
          <w:szCs w:val="20"/>
          <w:lang w:val="es-MX"/>
          <w14:ligatures w14:val="standardContextual"/>
        </w:rPr>
      </w:pPr>
      <w:r w:rsidRPr="00F548EB">
        <w:rPr>
          <w:rFonts w:ascii="Verdana" w:eastAsia="Aptos" w:hAnsi="Verdana" w:cs="Arial"/>
          <w:color w:val="000000"/>
          <w:sz w:val="20"/>
          <w:szCs w:val="20"/>
          <w:lang w:val="es-MX"/>
          <w14:ligatures w14:val="standardContextual"/>
        </w:rPr>
        <w:t>“</w:t>
      </w:r>
      <w:r w:rsidRPr="00F548EB">
        <w:rPr>
          <w:rFonts w:ascii="Verdana" w:hAnsi="Verdana"/>
          <w:sz w:val="20"/>
          <w:szCs w:val="20"/>
        </w:rPr>
        <w:t xml:space="preserve">Respetuosamente solicito a Colombia Compra Eficiente emitir concepto jurídico respecto del ámbito de aplicación de los Documentos Tipo de obra pública de infraestructura de transporte frente a los procesos LP030-2026 y LP-031-2026 del Municipio de Manizales, cuyos enlaces se anexan. En particular, solicito se indique si el objeto contractual de dichos procesos se encuentra comprendido dentro del ámbito de aplicación de los Documentos Tipo y de la Matriz 1 de experiencia expedidos por Colombia Compra Eficiente, o si, por el contrario, corresponde a una tipología contractual excluida de dicho régimen. Igualmente, en caso de considerar que los procesos sí se encuentran sometidos a los Documentos Tipo, solicito indicar si la entidad contratante puede apartarse de la Matriz 1 o </w:t>
      </w:r>
      <w:r w:rsidRPr="00F548EB">
        <w:rPr>
          <w:rFonts w:ascii="Verdana" w:hAnsi="Verdana"/>
          <w:sz w:val="20"/>
          <w:szCs w:val="20"/>
        </w:rPr>
        <w:lastRenderedPageBreak/>
        <w:t>incorporar criterios de evaluación distintos a los previstos en dichos documentos sin que exista una modificación expedida por Colombia Compra Eficiente</w:t>
      </w:r>
      <w:r w:rsidRPr="00F548EB">
        <w:rPr>
          <w:rFonts w:ascii="Verdana" w:eastAsia="Aptos" w:hAnsi="Verdana" w:cs="Arial"/>
          <w:color w:val="000000"/>
          <w:sz w:val="20"/>
          <w:szCs w:val="20"/>
          <w:lang w:val="es-MX"/>
          <w14:ligatures w14:val="standardContextual"/>
        </w:rPr>
        <w:t xml:space="preserve">”. </w:t>
      </w:r>
    </w:p>
    <w:p w14:paraId="27BE270D" w14:textId="77777777" w:rsidR="005D7B04" w:rsidRPr="00E15FD8" w:rsidRDefault="005D7B04" w:rsidP="005D7B04">
      <w:pPr>
        <w:spacing w:after="0" w:line="240" w:lineRule="auto"/>
        <w:jc w:val="both"/>
        <w:rPr>
          <w:rFonts w:ascii="Verdana" w:eastAsia="Calibri" w:hAnsi="Verdana" w:cs="Arial"/>
          <w:color w:val="000000"/>
          <w:sz w:val="21"/>
          <w:szCs w:val="21"/>
          <w:lang w:eastAsia="es-ES"/>
        </w:rPr>
      </w:pPr>
    </w:p>
    <w:p w14:paraId="44ECD8FE" w14:textId="77777777" w:rsidR="005D7B04" w:rsidRPr="00E15FD8" w:rsidRDefault="005D7B04" w:rsidP="005D7B04">
      <w:pPr>
        <w:spacing w:after="120" w:line="276" w:lineRule="auto"/>
        <w:ind w:firstLine="709"/>
        <w:jc w:val="both"/>
        <w:rPr>
          <w:rFonts w:ascii="Verdana" w:eastAsia="Calibri" w:hAnsi="Verdana" w:cs="Arial"/>
          <w:color w:val="000000"/>
          <w:lang w:eastAsia="es-ES"/>
        </w:rPr>
      </w:pPr>
      <w:r w:rsidRPr="00E15FD8">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E15FD8">
        <w:rPr>
          <w:rFonts w:ascii="Verdana" w:eastAsia="Calibri" w:hAnsi="Verdana" w:cs="Arial"/>
          <w:color w:val="000000"/>
          <w:lang w:eastAsia="es-ES"/>
        </w:rPr>
        <w:tab/>
      </w:r>
    </w:p>
    <w:p w14:paraId="4D4D6CC0" w14:textId="77777777" w:rsidR="005D7B04" w:rsidRPr="00E15FD8" w:rsidRDefault="005D7B04" w:rsidP="005D7B04">
      <w:pPr>
        <w:spacing w:after="0" w:line="276" w:lineRule="auto"/>
        <w:ind w:firstLine="709"/>
        <w:jc w:val="both"/>
        <w:rPr>
          <w:rFonts w:ascii="Verdana" w:eastAsia="Calibri" w:hAnsi="Verdana" w:cs="Arial"/>
          <w:color w:val="000000"/>
          <w:lang w:eastAsia="es-ES"/>
        </w:rPr>
      </w:pPr>
      <w:r w:rsidRPr="00E15FD8">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2E51F1D8" w14:textId="77777777" w:rsidR="005D7B04" w:rsidRPr="00E15FD8" w:rsidRDefault="005D7B04" w:rsidP="005D7B04">
      <w:pPr>
        <w:spacing w:after="0" w:line="276" w:lineRule="auto"/>
        <w:jc w:val="both"/>
        <w:rPr>
          <w:rFonts w:ascii="Verdana" w:eastAsia="Calibri" w:hAnsi="Verdana" w:cs="Arial"/>
          <w:color w:val="000000"/>
          <w:lang w:eastAsia="es-ES"/>
        </w:rPr>
      </w:pPr>
    </w:p>
    <w:p w14:paraId="18B7BB1F" w14:textId="77777777" w:rsidR="005D7B04" w:rsidRPr="00E15FD8" w:rsidRDefault="005D7B04" w:rsidP="005D7B04">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E15FD8">
        <w:rPr>
          <w:rFonts w:ascii="Verdana" w:eastAsia="Century Gothic" w:hAnsi="Verdana" w:cs="Century Gothic"/>
          <w:b/>
          <w:bCs/>
        </w:rPr>
        <w:t>Problema planteado:</w:t>
      </w:r>
    </w:p>
    <w:p w14:paraId="5B924AF5" w14:textId="77777777" w:rsidR="005D7B04" w:rsidRPr="00E15FD8" w:rsidRDefault="005D7B04" w:rsidP="005D7B04">
      <w:pPr>
        <w:tabs>
          <w:tab w:val="left" w:pos="142"/>
          <w:tab w:val="left" w:pos="284"/>
        </w:tabs>
        <w:spacing w:after="0" w:line="276" w:lineRule="auto"/>
        <w:jc w:val="both"/>
        <w:rPr>
          <w:rFonts w:ascii="Verdana" w:eastAsia="Century Gothic" w:hAnsi="Verdana" w:cs="Century Gothic"/>
          <w:b/>
          <w:bCs/>
        </w:rPr>
      </w:pPr>
    </w:p>
    <w:p w14:paraId="165289C6" w14:textId="77777777" w:rsidR="005D7B04" w:rsidRPr="00E15FD8" w:rsidRDefault="005D7B04" w:rsidP="005D7B04">
      <w:pPr>
        <w:spacing w:after="0" w:line="276" w:lineRule="auto"/>
        <w:jc w:val="both"/>
        <w:rPr>
          <w:rFonts w:ascii="Verdana" w:eastAsia="Century Gothic" w:hAnsi="Verdana" w:cs="Century Gothic"/>
          <w:lang w:val="es-ES_tradnl"/>
        </w:rPr>
      </w:pPr>
      <w:r w:rsidRPr="00E15FD8">
        <w:rPr>
          <w:rFonts w:ascii="Verdana" w:eastAsia="Century Gothic" w:hAnsi="Verdana" w:cs="Century Gothic"/>
        </w:rPr>
        <w:t xml:space="preserve">De acuerdo con el contenido de su solicitud, en relación con los </w:t>
      </w:r>
      <w:r w:rsidRPr="00E15FD8">
        <w:rPr>
          <w:rFonts w:ascii="Verdana" w:eastAsia="Aptos" w:hAnsi="Verdana" w:cs="Times New Roman"/>
        </w:rPr>
        <w:t xml:space="preserve">documentos tipo de licitación de obra pública de infraestructura de transporte – versión 4, </w:t>
      </w:r>
      <w:r w:rsidRPr="00E15FD8">
        <w:rPr>
          <w:rFonts w:ascii="Verdana" w:eastAsia="Century Gothic" w:hAnsi="Verdana" w:cs="Century Gothic"/>
        </w:rPr>
        <w:t>esta Agencia resolverá l</w:t>
      </w:r>
      <w:r>
        <w:rPr>
          <w:rFonts w:ascii="Verdana" w:eastAsia="Century Gothic" w:hAnsi="Verdana" w:cs="Century Gothic"/>
        </w:rPr>
        <w:t>os</w:t>
      </w:r>
      <w:r w:rsidRPr="00E15FD8">
        <w:rPr>
          <w:rFonts w:ascii="Verdana" w:eastAsia="Century Gothic" w:hAnsi="Verdana" w:cs="Century Gothic"/>
        </w:rPr>
        <w:t xml:space="preserve"> siguiente</w:t>
      </w:r>
      <w:r>
        <w:rPr>
          <w:rFonts w:ascii="Verdana" w:eastAsia="Century Gothic" w:hAnsi="Verdana" w:cs="Century Gothic"/>
        </w:rPr>
        <w:t>s</w:t>
      </w:r>
      <w:r w:rsidRPr="00E15FD8">
        <w:rPr>
          <w:rFonts w:ascii="Verdana" w:eastAsia="Century Gothic" w:hAnsi="Verdana" w:cs="Century Gothic"/>
        </w:rPr>
        <w:t xml:space="preserve"> problema</w:t>
      </w:r>
      <w:r>
        <w:rPr>
          <w:rFonts w:ascii="Verdana" w:eastAsia="Century Gothic" w:hAnsi="Verdana" w:cs="Century Gothic"/>
        </w:rPr>
        <w:t>s</w:t>
      </w:r>
      <w:r w:rsidRPr="00E15FD8">
        <w:rPr>
          <w:rFonts w:ascii="Verdana" w:eastAsia="Century Gothic" w:hAnsi="Verdana" w:cs="Century Gothic"/>
        </w:rPr>
        <w:t xml:space="preserve"> jurídico</w:t>
      </w:r>
      <w:r>
        <w:rPr>
          <w:rFonts w:ascii="Verdana" w:eastAsia="Century Gothic" w:hAnsi="Verdana" w:cs="Century Gothic"/>
        </w:rPr>
        <w:t>s</w:t>
      </w:r>
      <w:r w:rsidRPr="00E15FD8">
        <w:rPr>
          <w:rFonts w:ascii="Verdana" w:eastAsia="Century Gothic" w:hAnsi="Verdana" w:cs="Century Gothic"/>
        </w:rPr>
        <w:t xml:space="preserve">: </w:t>
      </w:r>
      <w:r w:rsidRPr="00512535">
        <w:rPr>
          <w:rFonts w:ascii="Verdana" w:eastAsia="Century Gothic" w:hAnsi="Verdana" w:cs="Century Gothic"/>
        </w:rPr>
        <w:t xml:space="preserve">i) ¿Cómo puede una entidad determinar el ámbito de aplicación de los documentos tipo señalados?, </w:t>
      </w:r>
      <w:proofErr w:type="spellStart"/>
      <w:r w:rsidRPr="00512535">
        <w:rPr>
          <w:rFonts w:ascii="Verdana" w:eastAsia="Century Gothic" w:hAnsi="Verdana" w:cs="Century Gothic"/>
        </w:rPr>
        <w:t>ii</w:t>
      </w:r>
      <w:proofErr w:type="spellEnd"/>
      <w:r w:rsidRPr="00512535">
        <w:rPr>
          <w:rFonts w:ascii="Verdana" w:eastAsia="Century Gothic" w:hAnsi="Verdana" w:cs="Century Gothic"/>
        </w:rPr>
        <w:t>) ¿Aplican los documentos tipo señalados para la “</w:t>
      </w:r>
      <w:r w:rsidRPr="00512535">
        <w:rPr>
          <w:rFonts w:ascii="Verdana" w:eastAsia="Aptos" w:hAnsi="Verdana" w:cs="Arial"/>
          <w:color w:val="000000"/>
          <w:kern w:val="2"/>
          <w14:ligatures w14:val="standardContextual"/>
        </w:rPr>
        <w:t>construcción de obras de estabilidad geotécnica y manejo de aguas lluvias en sitios con procesos de inestabilidad y reparación de áreas con tratamiento geotécnico”</w:t>
      </w:r>
      <w:r w:rsidRPr="00512535">
        <w:rPr>
          <w:rFonts w:ascii="Verdana" w:eastAsia="Century Gothic" w:hAnsi="Verdana" w:cs="Century Gothic"/>
        </w:rPr>
        <w:t>?</w:t>
      </w:r>
      <w:r w:rsidRPr="00E15FD8">
        <w:rPr>
          <w:rFonts w:ascii="Verdana" w:eastAsia="Century Gothic" w:hAnsi="Verdana" w:cs="Century Gothic"/>
        </w:rPr>
        <w:t xml:space="preserve"> </w:t>
      </w:r>
    </w:p>
    <w:p w14:paraId="777C3290" w14:textId="77777777" w:rsidR="005D7B04" w:rsidRPr="00E15FD8" w:rsidRDefault="005D7B04" w:rsidP="005D7B04">
      <w:pPr>
        <w:tabs>
          <w:tab w:val="left" w:pos="142"/>
          <w:tab w:val="left" w:pos="284"/>
        </w:tabs>
        <w:spacing w:after="0" w:line="276" w:lineRule="auto"/>
        <w:jc w:val="both"/>
        <w:rPr>
          <w:rFonts w:ascii="Verdana" w:eastAsia="Calibri" w:hAnsi="Verdana" w:cs="Arial"/>
          <w:color w:val="7030A0"/>
          <w:lang w:val="es-ES_tradnl"/>
        </w:rPr>
      </w:pPr>
    </w:p>
    <w:p w14:paraId="72ACC302" w14:textId="77777777" w:rsidR="005D7B04" w:rsidRPr="00E15FD8" w:rsidRDefault="005D7B04" w:rsidP="005D7B04">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E15FD8">
        <w:rPr>
          <w:rFonts w:ascii="Verdana" w:eastAsia="Century Gothic" w:hAnsi="Verdana" w:cs="Century Gothic"/>
          <w:b/>
          <w:bCs/>
        </w:rPr>
        <w:t>Respuesta:</w:t>
      </w:r>
    </w:p>
    <w:p w14:paraId="68C217F0" w14:textId="77777777" w:rsidR="005D7B04" w:rsidRPr="00E15FD8" w:rsidRDefault="005D7B04" w:rsidP="005D7B04">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D7B04" w:rsidRPr="00E15FD8" w14:paraId="0C3FEB23" w14:textId="77777777" w:rsidTr="005672E7">
        <w:tc>
          <w:tcPr>
            <w:tcW w:w="8828" w:type="dxa"/>
          </w:tcPr>
          <w:p w14:paraId="791D47E6" w14:textId="77777777" w:rsidR="005D7B04" w:rsidRPr="009B5F00" w:rsidRDefault="005D7B04" w:rsidP="005672E7">
            <w:pPr>
              <w:spacing w:before="120" w:after="120" w:line="276" w:lineRule="auto"/>
              <w:jc w:val="both"/>
              <w:rPr>
                <w:rFonts w:ascii="Verdana" w:eastAsia="Calibri" w:hAnsi="Verdana" w:cs="Arial"/>
                <w:kern w:val="2"/>
                <w14:ligatures w14:val="standardContextual"/>
              </w:rPr>
            </w:pPr>
            <w:r>
              <w:rPr>
                <w:rFonts w:ascii="Verdana" w:eastAsia="Aptos" w:hAnsi="Verdana" w:cs="Arial"/>
                <w:kern w:val="2"/>
                <w:lang w:val="es-ES"/>
                <w14:ligatures w14:val="standardContextual"/>
              </w:rPr>
              <w:t>i. M</w:t>
            </w:r>
            <w:r w:rsidRPr="009B5F00">
              <w:rPr>
                <w:rFonts w:ascii="Verdana" w:eastAsia="Aptos" w:hAnsi="Verdana" w:cs="Arial"/>
                <w:kern w:val="2"/>
                <w:lang w:val="es-ES"/>
                <w14:ligatures w14:val="standardContextual"/>
              </w:rPr>
              <w:t xml:space="preserve">ediante la Resolución 465 del 10 de septiembre de 2024, se adoptó la </w:t>
            </w:r>
            <w:r w:rsidRPr="009B5F00">
              <w:rPr>
                <w:rFonts w:ascii="Verdana" w:eastAsia="Calibri" w:hAnsi="Verdana" w:cs="Arial"/>
                <w:kern w:val="2"/>
                <w14:ligatures w14:val="standardContextual"/>
              </w:rPr>
              <w:t xml:space="preserve">versión 4 de estos documentos y se derogó la Resolución 240 de 2020. </w:t>
            </w:r>
            <w:r>
              <w:rPr>
                <w:rFonts w:ascii="Verdana" w:eastAsia="Calibri" w:hAnsi="Verdana" w:cs="Arial"/>
                <w:kern w:val="2"/>
                <w14:ligatures w14:val="standardContextual"/>
              </w:rPr>
              <w:t xml:space="preserve"> Estos </w:t>
            </w:r>
            <w:r>
              <w:rPr>
                <w:rFonts w:ascii="Verdana" w:eastAsia="Calibri" w:hAnsi="Verdana" w:cs="Arial"/>
                <w:kern w:val="2"/>
                <w14:ligatures w14:val="standardContextual"/>
              </w:rPr>
              <w:lastRenderedPageBreak/>
              <w:t xml:space="preserve">documentos tipo </w:t>
            </w:r>
            <w:r w:rsidRPr="009B5F00">
              <w:rPr>
                <w:rFonts w:ascii="Verdana" w:eastAsia="Calibri" w:hAnsi="Verdana" w:cs="Arial"/>
                <w:kern w:val="2"/>
                <w14:ligatures w14:val="standardContextual"/>
              </w:rPr>
              <w:t>son de carácter obligatorio en la actividad contractual de las Entidades Estatales sometidas al Estatuto General de Contratación de la Administración Pública. Asimismo, su aplicación es exigible a los patrimonios autónomos y a las personas naturales o jurídicas de derecho público que, por mandato legal, estén obligadas a su implementación.</w:t>
            </w:r>
          </w:p>
          <w:p w14:paraId="735C2A1A" w14:textId="77777777" w:rsidR="005D7B04" w:rsidRPr="009B5F00" w:rsidRDefault="005D7B04" w:rsidP="005672E7">
            <w:pPr>
              <w:widowControl w:val="0"/>
              <w:autoSpaceDE w:val="0"/>
              <w:autoSpaceDN w:val="0"/>
              <w:spacing w:after="120" w:line="276" w:lineRule="auto"/>
              <w:ind w:firstLine="708"/>
              <w:jc w:val="both"/>
              <w:rPr>
                <w:rFonts w:ascii="Verdana" w:eastAsia="Calibri" w:hAnsi="Verdana" w:cs="Times New Roman"/>
                <w:lang w:val="es-ES"/>
              </w:rPr>
            </w:pPr>
            <w:r w:rsidRPr="009B5F00">
              <w:rPr>
                <w:rFonts w:ascii="Verdana" w:eastAsia="Calibri" w:hAnsi="Verdana" w:cs="Times New Roman"/>
                <w:lang w:val="es-ES"/>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31C828B3" w14:textId="77777777" w:rsidR="005D7B04" w:rsidRPr="009B5F00" w:rsidRDefault="005D7B04" w:rsidP="005672E7">
            <w:pPr>
              <w:widowControl w:val="0"/>
              <w:autoSpaceDE w:val="0"/>
              <w:autoSpaceDN w:val="0"/>
              <w:spacing w:after="120" w:line="276" w:lineRule="auto"/>
              <w:ind w:firstLine="708"/>
              <w:jc w:val="both"/>
              <w:rPr>
                <w:rFonts w:ascii="Verdana" w:eastAsia="Calibri" w:hAnsi="Verdana" w:cs="Times New Roman"/>
                <w:lang w:val="es-ES"/>
              </w:rPr>
            </w:pPr>
            <w:r w:rsidRPr="009B5F00">
              <w:rPr>
                <w:rFonts w:ascii="Verdana" w:eastAsia="Calibri" w:hAnsi="Verdana" w:cs="Times New Roman"/>
                <w:lang w:val="es-ES"/>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66CE1B3D" w14:textId="77777777" w:rsidR="005D7B04" w:rsidRPr="009B5F00" w:rsidRDefault="005D7B04" w:rsidP="005672E7">
            <w:pPr>
              <w:widowControl w:val="0"/>
              <w:autoSpaceDE w:val="0"/>
              <w:autoSpaceDN w:val="0"/>
              <w:spacing w:after="120" w:line="276" w:lineRule="auto"/>
              <w:ind w:firstLine="708"/>
              <w:jc w:val="both"/>
              <w:rPr>
                <w:rFonts w:ascii="Verdana" w:eastAsia="Calibri" w:hAnsi="Verdana" w:cs="Times New Roman"/>
                <w:lang w:val="es-ES"/>
              </w:rPr>
            </w:pPr>
            <w:r w:rsidRPr="009B5F00">
              <w:rPr>
                <w:rFonts w:ascii="Verdana" w:eastAsia="Calibri" w:hAnsi="Verdana" w:cs="Times New Roman"/>
                <w:lang w:val="es-ES"/>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0BF7E68E" w14:textId="642489A6" w:rsidR="005D7B04" w:rsidRDefault="005D7B04" w:rsidP="005672E7">
            <w:pPr>
              <w:widowControl w:val="0"/>
              <w:autoSpaceDE w:val="0"/>
              <w:autoSpaceDN w:val="0"/>
              <w:spacing w:after="120" w:line="276" w:lineRule="auto"/>
              <w:ind w:firstLine="708"/>
              <w:jc w:val="both"/>
              <w:rPr>
                <w:rFonts w:ascii="Verdana" w:eastAsia="Calibri" w:hAnsi="Verdana" w:cs="Times New Roman"/>
                <w:lang w:val="es-ES"/>
              </w:rPr>
            </w:pPr>
            <w:r w:rsidRPr="009B5F00">
              <w:rPr>
                <w:rFonts w:ascii="Verdana" w:eastAsia="Calibri" w:hAnsi="Verdana" w:cs="Times New Roman"/>
                <w:lang w:val="es-ES"/>
              </w:rPr>
              <w:t xml:space="preserve">De esta manera, para saber a qué actividades deben aplicarse los Documentos Tipo de licitación de obra pública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w:t>
            </w:r>
            <w:r w:rsidR="77DE1523" w:rsidRPr="7FE440B9">
              <w:rPr>
                <w:rFonts w:ascii="Verdana" w:eastAsia="Calibri" w:hAnsi="Verdana" w:cs="Times New Roman"/>
                <w:lang w:val="es-ES"/>
              </w:rPr>
              <w:t xml:space="preserve">de </w:t>
            </w:r>
            <w:r w:rsidRPr="009B5F00">
              <w:rPr>
                <w:rFonts w:ascii="Verdana" w:eastAsia="Calibri" w:hAnsi="Verdana" w:cs="Times New Roman"/>
                <w:lang w:val="es-ES"/>
              </w:rPr>
              <w:t xml:space="preserve">actividades concretas señaladas en cada una de las matrices de experiencia, se tendrán que aplicar estos Documentos Tipo para </w:t>
            </w:r>
            <w:r w:rsidRPr="009B5F00">
              <w:rPr>
                <w:rFonts w:ascii="Verdana" w:eastAsia="Calibri" w:hAnsi="Verdana" w:cs="Times New Roman"/>
                <w:lang w:val="es-ES"/>
              </w:rPr>
              <w:lastRenderedPageBreak/>
              <w:t>los mencionados sectores −según corresponda−, mientras que en el caso contrario no será forzosa su aplicación.</w:t>
            </w:r>
          </w:p>
          <w:p w14:paraId="40547E92" w14:textId="77777777" w:rsidR="005D7B04" w:rsidRPr="009B5F00" w:rsidRDefault="005D7B04" w:rsidP="005672E7">
            <w:pPr>
              <w:widowControl w:val="0"/>
              <w:autoSpaceDE w:val="0"/>
              <w:autoSpaceDN w:val="0"/>
              <w:spacing w:after="120" w:line="276" w:lineRule="auto"/>
              <w:ind w:firstLine="708"/>
              <w:jc w:val="both"/>
              <w:rPr>
                <w:rFonts w:ascii="Verdana" w:eastAsia="Calibri" w:hAnsi="Verdana" w:cs="Times New Roman"/>
                <w:lang w:val="es-ES"/>
              </w:rPr>
            </w:pPr>
            <w:r w:rsidRPr="009B5F00">
              <w:rPr>
                <w:rFonts w:ascii="Verdana" w:eastAsia="Calibri" w:hAnsi="Verdana" w:cs="Times New Roman"/>
                <w:lang w:val="es-ES"/>
              </w:rPr>
              <w:t>La parte introductoria del pliego de condiciones de los documentos tipo adoptados por medio de la Resolución 465 del 10 de septiembre de 2024, dispone que estos aplican a los procedimientos de selección de licitación de obra pública de infraestructura de transporte (versión 4), que correspondan a las actividades definidas en la “Matriz 1 – Experiencia”. En consecuencia, las actividades de infraestructura de transporte no contempladas en la Matriz 1 – Experiencia no tienen que aplicar los documentos tipo; sin perjuicio de lo previsto en el artículo 2.2.1.1.1.2.1 del Decreto 1082 de 2015 o la norma que la modifique, sustituya o complemente, además, de lo contenido en el artículo 4 de la Resolución 465 de 2024, en donde se indica la posibilidad de exigir experiencia adicional en determinados supuestos.</w:t>
            </w:r>
          </w:p>
          <w:p w14:paraId="04888E98" w14:textId="5215F784" w:rsidR="005D7B04" w:rsidRPr="00603CE0" w:rsidRDefault="005D7B04" w:rsidP="005672E7">
            <w:pPr>
              <w:snapToGrid w:val="0"/>
              <w:spacing w:before="120" w:after="120" w:line="276" w:lineRule="auto"/>
              <w:jc w:val="both"/>
              <w:rPr>
                <w:rFonts w:ascii="Verdana" w:eastAsia="Calibri" w:hAnsi="Verdana" w:cs="Arial"/>
                <w:color w:val="0D0D0D"/>
                <w:lang w:val="es-MX"/>
              </w:rPr>
            </w:pPr>
            <w:proofErr w:type="spellStart"/>
            <w:r>
              <w:rPr>
                <w:rFonts w:ascii="Verdana" w:eastAsia="Aptos" w:hAnsi="Verdana" w:cs="Arial"/>
                <w:color w:val="000000"/>
                <w:kern w:val="2"/>
                <w14:ligatures w14:val="standardContextual"/>
              </w:rPr>
              <w:t>ii</w:t>
            </w:r>
            <w:proofErr w:type="spellEnd"/>
            <w:r>
              <w:rPr>
                <w:rFonts w:ascii="Verdana" w:eastAsia="Aptos" w:hAnsi="Verdana" w:cs="Arial"/>
                <w:color w:val="000000"/>
                <w:kern w:val="2"/>
                <w14:ligatures w14:val="standardContextual"/>
              </w:rPr>
              <w:t xml:space="preserve">. </w:t>
            </w:r>
            <w:r w:rsidRPr="009B5F00">
              <w:rPr>
                <w:rFonts w:ascii="Verdana" w:eastAsia="Aptos" w:hAnsi="Verdana" w:cs="Arial"/>
                <w:color w:val="000000"/>
                <w:kern w:val="2"/>
                <w14:ligatures w14:val="standardContextual"/>
              </w:rPr>
              <w:t xml:space="preserve">Teniendo en cuenta que en la consulta se indaga si es o no obligatoria la aplicación de los documentos tipo de licitación de obra pública de infraestructura de transporte – versión 4, </w:t>
            </w:r>
            <w:r>
              <w:rPr>
                <w:rFonts w:ascii="Verdana" w:eastAsia="Aptos" w:hAnsi="Verdana" w:cs="Arial"/>
                <w:color w:val="000000"/>
                <w:kern w:val="2"/>
                <w14:ligatures w14:val="standardContextual"/>
              </w:rPr>
              <w:t>en unos procesos de selección que se relacionan con la “construcción de obras de estabilidad geotécnica y manejo de aguas lluvias en sitios con procesos de inestabilidad y reparación de áreas con tratamiento geotécnico”. Sobre la actividad señalad</w:t>
            </w:r>
            <w:r w:rsidR="0FAD351B">
              <w:rPr>
                <w:rFonts w:ascii="Verdana" w:eastAsia="Aptos" w:hAnsi="Verdana" w:cs="Arial"/>
                <w:color w:val="000000"/>
                <w:kern w:val="2"/>
                <w14:ligatures w14:val="standardContextual"/>
              </w:rPr>
              <w:t>a</w:t>
            </w:r>
            <w:r>
              <w:rPr>
                <w:rFonts w:ascii="Verdana" w:eastAsia="Aptos" w:hAnsi="Verdana" w:cs="Arial"/>
                <w:color w:val="000000"/>
                <w:kern w:val="2"/>
                <w14:ligatures w14:val="standardContextual"/>
              </w:rPr>
              <w:t xml:space="preserve">, la Agencia Nacional de Contratación Pública – Colombia Compra Eficiente entiende que la actividad que se señala </w:t>
            </w:r>
            <w:r w:rsidRPr="002D1647">
              <w:rPr>
                <w:rFonts w:ascii="Verdana" w:eastAsia="Aptos" w:hAnsi="Verdana" w:cs="Arial"/>
                <w:color w:val="000000"/>
                <w:kern w:val="2"/>
                <w14:ligatures w14:val="standardContextual"/>
              </w:rPr>
              <w:t xml:space="preserve">comprende la ejecución de obras de ingeniería y bioingeniería orientadas a controlar procesos de inestabilidad del terreno –deslizamientos, erosiones, socavaciones– y a manejar adecuadamente las aguas de escorrentía y subsuperficiales que los originan o agravan en sitios previamente diagnosticados como críticos. </w:t>
            </w:r>
          </w:p>
          <w:p w14:paraId="05D311BF" w14:textId="76E06DE6" w:rsidR="005D7B04" w:rsidRPr="00603CE0" w:rsidRDefault="005D7B04" w:rsidP="005672E7">
            <w:pPr>
              <w:pStyle w:val="NormalWeb"/>
              <w:spacing w:before="0" w:beforeAutospacing="0" w:after="120" w:afterAutospacing="0" w:line="276" w:lineRule="auto"/>
              <w:ind w:firstLine="644"/>
              <w:jc w:val="both"/>
              <w:rPr>
                <w:rFonts w:ascii="Verdana" w:hAnsi="Verdana"/>
                <w:sz w:val="22"/>
                <w:szCs w:val="22"/>
              </w:rPr>
            </w:pPr>
            <w:r w:rsidRPr="7FE440B9">
              <w:rPr>
                <w:rFonts w:ascii="Verdana" w:hAnsi="Verdana"/>
                <w:sz w:val="22"/>
                <w:szCs w:val="22"/>
              </w:rPr>
              <w:t>Con el alcance de la actividad así señalado</w:t>
            </w:r>
            <w:r w:rsidR="7CC872DA" w:rsidRPr="7FE440B9">
              <w:rPr>
                <w:rFonts w:ascii="Verdana" w:hAnsi="Verdana"/>
                <w:sz w:val="22"/>
                <w:szCs w:val="22"/>
              </w:rPr>
              <w:t>, sin tener el conocimiento del expediente completo de los procesos</w:t>
            </w:r>
            <w:r w:rsidRPr="00603CE0">
              <w:rPr>
                <w:rFonts w:ascii="Verdana" w:hAnsi="Verdana"/>
                <w:sz w:val="22"/>
                <w:szCs w:val="22"/>
              </w:rPr>
              <w:t>, es necesario establecer si a esta le resultan aplicables los documentos tipo de licitación de obra pública de infraestructura de transporte – versión 4, para lo cual corresponde verificar si el objeto a contratar es subsumible en alguna de las actividades contempladas en la Matriz 1 – Experiencia, para el respectivo tipo de obra.</w:t>
            </w:r>
            <w:r>
              <w:rPr>
                <w:rFonts w:ascii="Verdana" w:hAnsi="Verdana"/>
                <w:sz w:val="22"/>
                <w:szCs w:val="22"/>
              </w:rPr>
              <w:t xml:space="preserve"> </w:t>
            </w:r>
            <w:r w:rsidRPr="00603CE0">
              <w:rPr>
                <w:rFonts w:ascii="Verdana" w:hAnsi="Verdana"/>
                <w:sz w:val="22"/>
                <w:szCs w:val="22"/>
              </w:rPr>
              <w:t xml:space="preserve">De esta forma, le indicamos que, revisada la Matriz 1 – Experiencia de los documentos tipo adoptados mediante la Resolución No. 465 de 2024, la actividad objeto de consulta </w:t>
            </w:r>
            <w:r w:rsidRPr="00603CE0">
              <w:rPr>
                <w:rFonts w:ascii="Verdana" w:hAnsi="Verdana"/>
                <w:i/>
                <w:iCs/>
                <w:sz w:val="22"/>
                <w:szCs w:val="22"/>
              </w:rPr>
              <w:t>puede eventualmente</w:t>
            </w:r>
            <w:r w:rsidRPr="00603CE0">
              <w:rPr>
                <w:rFonts w:ascii="Verdana" w:hAnsi="Verdana"/>
                <w:sz w:val="22"/>
                <w:szCs w:val="22"/>
              </w:rPr>
              <w:t xml:space="preserve"> enmarcarse en las siguientes actividades:</w:t>
            </w:r>
          </w:p>
          <w:p w14:paraId="0D5C8C87" w14:textId="77777777" w:rsidR="005D7B04" w:rsidRDefault="005D7B04" w:rsidP="005672E7">
            <w:pPr>
              <w:snapToGrid w:val="0"/>
              <w:spacing w:line="276" w:lineRule="auto"/>
              <w:ind w:firstLine="644"/>
              <w:jc w:val="both"/>
              <w:rPr>
                <w:rFonts w:ascii="Verdana" w:eastAsia="Calibri" w:hAnsi="Verdana" w:cs="Arial"/>
                <w:color w:val="0D0D0D"/>
                <w:lang w:val="es-MX"/>
              </w:rPr>
            </w:pPr>
          </w:p>
          <w:p w14:paraId="3287DD1A" w14:textId="77777777" w:rsidR="005D7B04" w:rsidRPr="00603CE0" w:rsidRDefault="005D7B04" w:rsidP="005672E7">
            <w:pPr>
              <w:spacing w:after="120"/>
              <w:ind w:left="709" w:right="709"/>
              <w:jc w:val="both"/>
              <w:rPr>
                <w:rFonts w:ascii="Verdana" w:eastAsia="Calibri" w:hAnsi="Verdana" w:cs="Arial"/>
                <w:color w:val="0D0D0D"/>
                <w:sz w:val="21"/>
                <w:szCs w:val="21"/>
                <w:lang w:val="es-MX"/>
              </w:rPr>
            </w:pPr>
            <w:r w:rsidRPr="7FE440B9">
              <w:rPr>
                <w:rFonts w:ascii="Verdana" w:eastAsia="Calibri" w:hAnsi="Verdana" w:cs="Arial"/>
                <w:color w:val="0D0D0D" w:themeColor="text1" w:themeTint="F2"/>
                <w:sz w:val="21"/>
                <w:szCs w:val="21"/>
                <w:lang w:val="es-MX"/>
              </w:rPr>
              <w:lastRenderedPageBreak/>
              <w:t>“</w:t>
            </w:r>
            <w:r w:rsidRPr="7FE440B9">
              <w:rPr>
                <w:rFonts w:ascii="Verdana" w:eastAsia="Calibri" w:hAnsi="Verdana" w:cs="Arial"/>
                <w:b/>
                <w:color w:val="0D0D0D" w:themeColor="text1" w:themeTint="F2"/>
                <w:sz w:val="21"/>
                <w:szCs w:val="21"/>
                <w:lang w:val="es-MX"/>
              </w:rPr>
              <w:t>1. OBRAS EN VÍAS PRIMARIAS O SECUNDARIAS</w:t>
            </w:r>
          </w:p>
          <w:p w14:paraId="213A01EB" w14:textId="77777777" w:rsidR="005D7B04" w:rsidRPr="00603CE0" w:rsidRDefault="005D7B04" w:rsidP="005672E7">
            <w:pPr>
              <w:spacing w:after="120"/>
              <w:ind w:left="709" w:right="709"/>
              <w:jc w:val="both"/>
              <w:rPr>
                <w:rFonts w:ascii="Verdana" w:eastAsia="Calibri" w:hAnsi="Verdana" w:cs="Arial"/>
                <w:color w:val="0D0D0D"/>
                <w:sz w:val="21"/>
                <w:szCs w:val="21"/>
                <w:lang w:val="es-MX"/>
              </w:rPr>
            </w:pPr>
            <w:r w:rsidRPr="00603CE0">
              <w:rPr>
                <w:rFonts w:ascii="Verdana" w:eastAsia="Calibri" w:hAnsi="Verdana" w:cs="Arial"/>
                <w:color w:val="0D0D0D"/>
                <w:sz w:val="21"/>
                <w:szCs w:val="21"/>
                <w:lang w:val="es-MX"/>
              </w:rPr>
              <w:t>(…)</w:t>
            </w:r>
          </w:p>
          <w:p w14:paraId="4968552F" w14:textId="1C2F0BD2" w:rsidR="005D7B04" w:rsidRPr="00603CE0" w:rsidRDefault="005D7B04" w:rsidP="005672E7">
            <w:pPr>
              <w:spacing w:after="120"/>
              <w:ind w:left="709" w:right="709"/>
              <w:jc w:val="both"/>
              <w:rPr>
                <w:rFonts w:ascii="Verdana" w:eastAsia="Calibri" w:hAnsi="Verdana" w:cs="Arial"/>
                <w:color w:val="0D0D0D"/>
                <w:sz w:val="21"/>
                <w:szCs w:val="21"/>
                <w:lang w:val="es-MX"/>
              </w:rPr>
            </w:pPr>
            <w:r w:rsidRPr="7FE440B9">
              <w:rPr>
                <w:rFonts w:ascii="Verdana" w:eastAsia="Calibri" w:hAnsi="Verdana" w:cs="Arial"/>
                <w:color w:val="0D0D0D" w:themeColor="text1" w:themeTint="F2"/>
                <w:sz w:val="21"/>
                <w:szCs w:val="21"/>
                <w:lang w:val="es-MX"/>
              </w:rPr>
              <w:t>1.7 PROYECTOS DE CONSTRUCCCIÓN O RECONSTRUCCIÓN O AMPLIACIÓN O REFORZAMIENTO ESTRUCTURAL O MANTENIMIENTO O REHABILITACION DE OBRAS DE DRENAJE ASOCIADAS A LA INFRAESTRUCTURA DE TRANSPORTE</w:t>
            </w:r>
          </w:p>
          <w:p w14:paraId="4298CA7C" w14:textId="77777777" w:rsidR="005D7B04" w:rsidRPr="00603CE0" w:rsidRDefault="005D7B04" w:rsidP="005672E7">
            <w:pPr>
              <w:spacing w:after="120"/>
              <w:ind w:left="709" w:right="709"/>
              <w:jc w:val="both"/>
              <w:rPr>
                <w:rFonts w:ascii="Verdana" w:eastAsia="Calibri" w:hAnsi="Verdana" w:cs="Arial"/>
                <w:color w:val="0D0D0D"/>
                <w:sz w:val="21"/>
                <w:szCs w:val="21"/>
                <w:lang w:val="es-MX"/>
              </w:rPr>
            </w:pPr>
            <w:r w:rsidRPr="00603CE0">
              <w:rPr>
                <w:rFonts w:ascii="Verdana" w:eastAsia="Calibri" w:hAnsi="Verdana" w:cs="Arial"/>
                <w:color w:val="0D0D0D"/>
                <w:sz w:val="21"/>
                <w:szCs w:val="21"/>
                <w:lang w:val="es-MX"/>
              </w:rPr>
              <w:t xml:space="preserve">1.10 PROYECTOS DE REVEGETALIZACION Y/O PROTECCION DE TALUDES PARA CONTROL DE EROSION Y/O RECUBRIMIENTO DE TALUDES Y/O ACTIVIDADES DE PODA Y/O PLANTACION DE ARBOLES ASOCIADOS A LA INFRAESTRUCTURA DE TRANSPORTE </w:t>
            </w:r>
          </w:p>
          <w:p w14:paraId="7A9CCBCA" w14:textId="77777777" w:rsidR="005D7B04" w:rsidRPr="00603CE0" w:rsidRDefault="005D7B04" w:rsidP="005672E7">
            <w:pPr>
              <w:spacing w:after="120"/>
              <w:ind w:left="709" w:right="709"/>
              <w:jc w:val="both"/>
              <w:rPr>
                <w:rFonts w:ascii="Verdana" w:eastAsia="Calibri" w:hAnsi="Verdana" w:cs="Arial"/>
                <w:color w:val="0D0D0D"/>
                <w:sz w:val="21"/>
                <w:szCs w:val="21"/>
                <w:lang w:val="es-MX"/>
              </w:rPr>
            </w:pPr>
            <w:r w:rsidRPr="00603CE0">
              <w:rPr>
                <w:rFonts w:ascii="Verdana" w:eastAsia="Calibri" w:hAnsi="Verdana" w:cs="Arial"/>
                <w:color w:val="0D0D0D"/>
                <w:sz w:val="21"/>
                <w:szCs w:val="21"/>
                <w:lang w:val="es-MX"/>
              </w:rPr>
              <w:t>(…)</w:t>
            </w:r>
          </w:p>
          <w:p w14:paraId="6C42EEEE" w14:textId="77777777" w:rsidR="005D7B04" w:rsidRPr="00603CE0" w:rsidRDefault="005D7B04" w:rsidP="005672E7">
            <w:pPr>
              <w:spacing w:after="120"/>
              <w:ind w:left="709" w:right="709"/>
              <w:jc w:val="both"/>
              <w:rPr>
                <w:rFonts w:ascii="Verdana" w:eastAsia="Times New Roman" w:hAnsi="Verdana" w:cs="Arial"/>
                <w:sz w:val="21"/>
                <w:szCs w:val="21"/>
                <w:lang w:eastAsia="es-MX"/>
              </w:rPr>
            </w:pPr>
            <w:r w:rsidRPr="00603CE0">
              <w:rPr>
                <w:rFonts w:ascii="Verdana" w:eastAsia="Times New Roman" w:hAnsi="Verdana" w:cs="Arial"/>
                <w:sz w:val="21"/>
                <w:szCs w:val="21"/>
                <w:lang w:eastAsia="es-MX"/>
              </w:rPr>
              <w:t>4. OBRAS EN VIAS PRIMARIAS O SECUNDARIAS O TERCIARIAS O URBANAS PARA ATENCIÓN, PREVENCIÓN O MITIGACIÓN DE EMERGENCIAS DIFERENTES A CONTRATACIÓN DIRECTA</w:t>
            </w:r>
          </w:p>
          <w:p w14:paraId="5ED5058A" w14:textId="77777777" w:rsidR="005D7B04" w:rsidRPr="00603CE0" w:rsidRDefault="005D7B04" w:rsidP="005672E7">
            <w:pPr>
              <w:spacing w:after="120"/>
              <w:ind w:left="709" w:right="709"/>
              <w:jc w:val="both"/>
              <w:rPr>
                <w:rFonts w:ascii="Verdana" w:eastAsia="Calibri" w:hAnsi="Verdana" w:cs="Arial"/>
                <w:color w:val="0D0D0D"/>
                <w:sz w:val="21"/>
                <w:szCs w:val="21"/>
              </w:rPr>
            </w:pPr>
            <w:r w:rsidRPr="00603CE0">
              <w:rPr>
                <w:rFonts w:ascii="Verdana" w:eastAsia="Calibri" w:hAnsi="Verdana" w:cs="Arial"/>
                <w:color w:val="0D0D0D"/>
                <w:sz w:val="21"/>
                <w:szCs w:val="21"/>
              </w:rPr>
              <w:t>4.2 PROYECTOS DE ATENCION, PREVENCIÓN O MITIGACIÓN DE OBRAS DE EMERGENCIAS MEDIANTE OBRAS DE ESTABILIZACION DE TALUDES O RECUPERACION DE BANCA</w:t>
            </w:r>
          </w:p>
          <w:p w14:paraId="2D425A52" w14:textId="77777777" w:rsidR="005D7B04" w:rsidRPr="00603CE0" w:rsidRDefault="005D7B04" w:rsidP="005672E7">
            <w:pPr>
              <w:spacing w:after="120"/>
              <w:ind w:left="709" w:right="709"/>
              <w:jc w:val="both"/>
              <w:rPr>
                <w:rFonts w:ascii="Verdana" w:eastAsia="Calibri" w:hAnsi="Verdana" w:cs="Arial"/>
                <w:color w:val="0D0D0D"/>
                <w:sz w:val="21"/>
                <w:szCs w:val="21"/>
              </w:rPr>
            </w:pPr>
            <w:r w:rsidRPr="00603CE0">
              <w:rPr>
                <w:rFonts w:ascii="Verdana" w:eastAsia="Calibri" w:hAnsi="Verdana" w:cs="Arial"/>
                <w:color w:val="0D0D0D"/>
                <w:sz w:val="21"/>
                <w:szCs w:val="21"/>
              </w:rPr>
              <w:t>(…)</w:t>
            </w:r>
          </w:p>
          <w:p w14:paraId="658FD7CD" w14:textId="77777777" w:rsidR="005D7B04" w:rsidRPr="00603CE0" w:rsidRDefault="005D7B04" w:rsidP="005672E7">
            <w:pPr>
              <w:spacing w:after="120"/>
              <w:ind w:left="709" w:right="709"/>
              <w:jc w:val="both"/>
              <w:rPr>
                <w:rFonts w:ascii="Verdana" w:eastAsia="Calibri" w:hAnsi="Verdana" w:cs="Arial"/>
                <w:color w:val="0D0D0D"/>
                <w:sz w:val="21"/>
                <w:szCs w:val="21"/>
              </w:rPr>
            </w:pPr>
            <w:r w:rsidRPr="00603CE0">
              <w:rPr>
                <w:rFonts w:ascii="Verdana" w:eastAsia="Calibri" w:hAnsi="Verdana" w:cs="Arial"/>
                <w:color w:val="0D0D0D"/>
                <w:sz w:val="21"/>
                <w:szCs w:val="21"/>
              </w:rPr>
              <w:t>4.4 PROYECTOS DE ATENCION, PREVENCIÓN O MITIGACIÓN DE OBRAS DE EMERGENCIAS EN ESTRUCTURAS HIDRÁULICAS EN CUERPOS DE AGUA</w:t>
            </w:r>
          </w:p>
          <w:p w14:paraId="5A56AF69" w14:textId="77777777" w:rsidR="005D7B04" w:rsidRPr="00603CE0" w:rsidRDefault="005D7B04" w:rsidP="005672E7">
            <w:pPr>
              <w:spacing w:after="120"/>
              <w:ind w:left="709" w:right="709"/>
              <w:jc w:val="both"/>
              <w:rPr>
                <w:rFonts w:ascii="Verdana" w:eastAsia="Calibri" w:hAnsi="Verdana" w:cs="Arial"/>
                <w:color w:val="0D0D0D"/>
                <w:sz w:val="21"/>
                <w:szCs w:val="21"/>
              </w:rPr>
            </w:pPr>
            <w:r w:rsidRPr="00603CE0">
              <w:rPr>
                <w:rFonts w:ascii="Verdana" w:eastAsia="Calibri" w:hAnsi="Verdana" w:cs="Arial"/>
                <w:color w:val="0D0D0D"/>
                <w:sz w:val="21"/>
                <w:szCs w:val="21"/>
              </w:rPr>
              <w:t>(…)</w:t>
            </w:r>
          </w:p>
          <w:p w14:paraId="4A94241D" w14:textId="77777777" w:rsidR="005D7B04" w:rsidRPr="00603CE0" w:rsidRDefault="005D7B04" w:rsidP="005672E7">
            <w:pPr>
              <w:spacing w:after="120"/>
              <w:ind w:right="709" w:firstLine="708"/>
              <w:jc w:val="both"/>
              <w:rPr>
                <w:rFonts w:ascii="Verdana" w:eastAsia="Times New Roman" w:hAnsi="Verdana" w:cs="Arial"/>
                <w:sz w:val="21"/>
                <w:szCs w:val="21"/>
                <w:lang w:eastAsia="es-MX"/>
              </w:rPr>
            </w:pPr>
            <w:r w:rsidRPr="00603CE0">
              <w:rPr>
                <w:rFonts w:ascii="Verdana" w:eastAsia="Times New Roman" w:hAnsi="Verdana" w:cs="Arial"/>
                <w:sz w:val="21"/>
                <w:szCs w:val="21"/>
                <w:lang w:eastAsia="es-MX"/>
              </w:rPr>
              <w:t>6. OBRAS DE INFRAESTRUCTURA VIAL URBANA</w:t>
            </w:r>
          </w:p>
          <w:p w14:paraId="303A45A0" w14:textId="77777777" w:rsidR="005D7B04" w:rsidRPr="00603CE0" w:rsidRDefault="005D7B04" w:rsidP="005672E7">
            <w:pPr>
              <w:spacing w:after="120"/>
              <w:ind w:right="709" w:firstLine="708"/>
              <w:jc w:val="both"/>
              <w:rPr>
                <w:rFonts w:ascii="Verdana" w:eastAsia="Times New Roman" w:hAnsi="Verdana" w:cs="Arial"/>
                <w:sz w:val="21"/>
                <w:szCs w:val="21"/>
                <w:lang w:eastAsia="es-MX"/>
              </w:rPr>
            </w:pPr>
            <w:r w:rsidRPr="00603CE0">
              <w:rPr>
                <w:rFonts w:ascii="Verdana" w:eastAsia="Times New Roman" w:hAnsi="Verdana" w:cs="Arial"/>
                <w:sz w:val="21"/>
                <w:szCs w:val="21"/>
                <w:lang w:eastAsia="es-MX"/>
              </w:rPr>
              <w:t>(…)</w:t>
            </w:r>
          </w:p>
          <w:p w14:paraId="468DE3D7" w14:textId="77777777" w:rsidR="005D7B04" w:rsidRPr="00603CE0" w:rsidRDefault="005D7B04" w:rsidP="005672E7">
            <w:pPr>
              <w:spacing w:after="120"/>
              <w:ind w:left="709" w:right="709"/>
              <w:jc w:val="both"/>
              <w:rPr>
                <w:rFonts w:ascii="Verdana" w:eastAsia="Times New Roman" w:hAnsi="Verdana" w:cs="Arial"/>
                <w:sz w:val="21"/>
                <w:szCs w:val="21"/>
                <w:lang w:eastAsia="es-MX"/>
              </w:rPr>
            </w:pPr>
            <w:r w:rsidRPr="00603CE0">
              <w:rPr>
                <w:rFonts w:ascii="Verdana" w:eastAsia="Times New Roman" w:hAnsi="Verdana" w:cs="Arial"/>
                <w:sz w:val="21"/>
                <w:szCs w:val="21"/>
                <w:lang w:eastAsia="es-MX"/>
              </w:rPr>
              <w:t>6.8 PROYECTOS DE CONSTRUCCION O REHABILITACION O MEJORAMIENTO EN SITIOS INESTABLES O CONTENCIÓN DE TALUDES O ESTABILIZACIÓN DE TALUDES</w:t>
            </w:r>
          </w:p>
          <w:p w14:paraId="4C6A8B57" w14:textId="77777777" w:rsidR="005D7B04" w:rsidRPr="00603CE0" w:rsidRDefault="005D7B04" w:rsidP="005672E7">
            <w:pPr>
              <w:spacing w:after="120"/>
              <w:ind w:left="709" w:right="709"/>
              <w:jc w:val="both"/>
              <w:rPr>
                <w:rFonts w:ascii="Verdana" w:eastAsia="Calibri" w:hAnsi="Verdana" w:cs="Arial"/>
                <w:color w:val="0D0D0D"/>
                <w:sz w:val="21"/>
                <w:szCs w:val="21"/>
              </w:rPr>
            </w:pPr>
            <w:r w:rsidRPr="00603CE0">
              <w:rPr>
                <w:rFonts w:ascii="Verdana" w:eastAsia="Calibri" w:hAnsi="Verdana" w:cs="Arial"/>
                <w:color w:val="0D0D0D"/>
                <w:sz w:val="21"/>
                <w:szCs w:val="21"/>
              </w:rPr>
              <w:t>(…)</w:t>
            </w:r>
          </w:p>
          <w:p w14:paraId="2E707973" w14:textId="77777777" w:rsidR="005D7B04" w:rsidRPr="00603CE0" w:rsidRDefault="005D7B04" w:rsidP="005672E7">
            <w:pPr>
              <w:ind w:left="709" w:right="709"/>
              <w:jc w:val="both"/>
              <w:rPr>
                <w:rFonts w:ascii="Verdana" w:eastAsia="Calibri" w:hAnsi="Verdana" w:cs="Arial"/>
                <w:color w:val="0D0D0D"/>
                <w:sz w:val="21"/>
                <w:szCs w:val="21"/>
              </w:rPr>
            </w:pPr>
            <w:r w:rsidRPr="00603CE0">
              <w:rPr>
                <w:rFonts w:ascii="Verdana" w:eastAsia="Calibri" w:hAnsi="Verdana" w:cs="Arial"/>
                <w:color w:val="0D0D0D"/>
                <w:sz w:val="21"/>
                <w:szCs w:val="21"/>
              </w:rPr>
              <w:t xml:space="preserve">6.25. PROYECTOS DE REVEGETALIZACION, PROTECCION DE TALUDES PARA CONTROL DE EROSION, RECUBRIMIENTO DE TALUDES, PODA Y PLANTACION DE ARBOLES ASOCIADOS A LA INFRAESTRUCTURA DE TRANSPORTE”. </w:t>
            </w:r>
          </w:p>
          <w:p w14:paraId="2BEFF962" w14:textId="77777777" w:rsidR="005D7B04" w:rsidRDefault="005D7B04" w:rsidP="005672E7">
            <w:pPr>
              <w:spacing w:line="276" w:lineRule="auto"/>
              <w:jc w:val="both"/>
              <w:rPr>
                <w:rFonts w:ascii="Verdana" w:eastAsia="Calibri" w:hAnsi="Verdana" w:cs="Arial"/>
                <w:color w:val="0D0D0D"/>
                <w:lang w:val="es-MX"/>
              </w:rPr>
            </w:pPr>
            <w:r>
              <w:rPr>
                <w:rFonts w:ascii="Verdana" w:eastAsia="Calibri" w:hAnsi="Verdana" w:cs="Arial"/>
                <w:color w:val="0D0D0D"/>
                <w:lang w:val="es-MX"/>
              </w:rPr>
              <w:tab/>
            </w:r>
          </w:p>
          <w:p w14:paraId="303EFED1" w14:textId="5D651C9A" w:rsidR="005D7B04" w:rsidRPr="00603CE0" w:rsidRDefault="005D7B04" w:rsidP="005672E7">
            <w:pPr>
              <w:pStyle w:val="NormalWeb"/>
              <w:spacing w:before="0" w:beforeAutospacing="0" w:after="120" w:afterAutospacing="0" w:line="276" w:lineRule="auto"/>
              <w:ind w:firstLine="708"/>
              <w:jc w:val="both"/>
              <w:rPr>
                <w:rFonts w:ascii="Verdana" w:hAnsi="Verdana"/>
                <w:sz w:val="22"/>
                <w:szCs w:val="22"/>
              </w:rPr>
            </w:pPr>
            <w:r w:rsidRPr="00603CE0">
              <w:rPr>
                <w:rFonts w:ascii="Verdana" w:hAnsi="Verdana"/>
                <w:sz w:val="22"/>
                <w:szCs w:val="22"/>
              </w:rPr>
              <w:t>En relación con las seis (6) actividades señaladas de forma precedente, que se encuentran contenidas en los documentos tipo de licitación de obra pública de infraestructura de transporte – versión 4, l</w:t>
            </w:r>
            <w:r w:rsidRPr="00DA2C8C">
              <w:rPr>
                <w:rFonts w:ascii="Verdana" w:hAnsi="Verdana"/>
                <w:sz w:val="22"/>
                <w:szCs w:val="22"/>
              </w:rPr>
              <w:t>as contenidas en los</w:t>
            </w:r>
            <w:r w:rsidRPr="00603CE0">
              <w:rPr>
                <w:rFonts w:ascii="Verdana" w:hAnsi="Verdana"/>
                <w:sz w:val="22"/>
                <w:szCs w:val="22"/>
              </w:rPr>
              <w:t xml:space="preserve"> </w:t>
            </w:r>
            <w:r w:rsidRPr="00603CE0">
              <w:rPr>
                <w:rFonts w:ascii="Verdana" w:hAnsi="Verdana"/>
                <w:sz w:val="22"/>
                <w:szCs w:val="22"/>
              </w:rPr>
              <w:lastRenderedPageBreak/>
              <w:t xml:space="preserve">numerales </w:t>
            </w:r>
            <w:r w:rsidRPr="00603CE0">
              <w:rPr>
                <w:rStyle w:val="Fuerte"/>
                <w:rFonts w:ascii="Verdana" w:eastAsiaTheme="majorEastAsia" w:hAnsi="Verdana"/>
                <w:sz w:val="22"/>
                <w:szCs w:val="22"/>
              </w:rPr>
              <w:t>1.7</w:t>
            </w:r>
            <w:r w:rsidRPr="00603CE0">
              <w:rPr>
                <w:rFonts w:ascii="Verdana" w:hAnsi="Verdana"/>
                <w:sz w:val="22"/>
                <w:szCs w:val="22"/>
              </w:rPr>
              <w:t xml:space="preserve"> y </w:t>
            </w:r>
            <w:r w:rsidRPr="00603CE0">
              <w:rPr>
                <w:rStyle w:val="Fuerte"/>
                <w:rFonts w:ascii="Verdana" w:eastAsiaTheme="majorEastAsia" w:hAnsi="Verdana"/>
                <w:sz w:val="22"/>
                <w:szCs w:val="22"/>
              </w:rPr>
              <w:t>1.10</w:t>
            </w:r>
            <w:r w:rsidRPr="00603CE0">
              <w:rPr>
                <w:rFonts w:ascii="Verdana" w:hAnsi="Verdana"/>
                <w:sz w:val="22"/>
                <w:szCs w:val="22"/>
              </w:rPr>
              <w:t xml:space="preserve"> se ubican en </w:t>
            </w:r>
            <w:r w:rsidRPr="00DA2C8C">
              <w:rPr>
                <w:rFonts w:ascii="Verdana" w:hAnsi="Verdana"/>
                <w:sz w:val="22"/>
                <w:szCs w:val="22"/>
              </w:rPr>
              <w:t xml:space="preserve">el tipo de infraestructura </w:t>
            </w:r>
            <w:r w:rsidRPr="00603CE0">
              <w:rPr>
                <w:rStyle w:val="nfasis"/>
                <w:rFonts w:ascii="Verdana" w:eastAsiaTheme="majorEastAsia" w:hAnsi="Verdana"/>
                <w:sz w:val="22"/>
                <w:szCs w:val="22"/>
              </w:rPr>
              <w:t>"1. OBRAS EN VÍAS PRIMARIAS O SECUNDARIAS"</w:t>
            </w:r>
            <w:r w:rsidRPr="00603CE0">
              <w:rPr>
                <w:rFonts w:ascii="Verdana" w:hAnsi="Verdana"/>
                <w:sz w:val="22"/>
                <w:szCs w:val="22"/>
              </w:rPr>
              <w:t xml:space="preserve">, por lo que </w:t>
            </w:r>
            <w:r w:rsidR="165198D4" w:rsidRPr="7FE440B9">
              <w:rPr>
                <w:rFonts w:ascii="Verdana" w:hAnsi="Verdana"/>
                <w:sz w:val="22"/>
                <w:szCs w:val="22"/>
              </w:rPr>
              <w:t xml:space="preserve">solo </w:t>
            </w:r>
            <w:r w:rsidRPr="00603CE0">
              <w:rPr>
                <w:rFonts w:ascii="Verdana" w:hAnsi="Verdana"/>
                <w:sz w:val="22"/>
                <w:szCs w:val="22"/>
              </w:rPr>
              <w:t xml:space="preserve">aplican cuando la actividad de manejo de aguas </w:t>
            </w:r>
            <w:r w:rsidRPr="00DA2C8C">
              <w:rPr>
                <w:rFonts w:ascii="Verdana" w:hAnsi="Verdana"/>
                <w:sz w:val="22"/>
                <w:szCs w:val="22"/>
              </w:rPr>
              <w:t>–</w:t>
            </w:r>
            <w:r w:rsidRPr="00603CE0">
              <w:rPr>
                <w:rFonts w:ascii="Verdana" w:hAnsi="Verdana"/>
                <w:sz w:val="22"/>
                <w:szCs w:val="22"/>
              </w:rPr>
              <w:t>obras de drenaje</w:t>
            </w:r>
            <w:r w:rsidRPr="00DA2C8C">
              <w:rPr>
                <w:rFonts w:ascii="Verdana" w:hAnsi="Verdana"/>
                <w:sz w:val="22"/>
                <w:szCs w:val="22"/>
              </w:rPr>
              <w:t>–</w:t>
            </w:r>
            <w:r w:rsidRPr="00603CE0">
              <w:rPr>
                <w:rFonts w:ascii="Verdana" w:hAnsi="Verdana"/>
                <w:sz w:val="22"/>
                <w:szCs w:val="22"/>
              </w:rPr>
              <w:t xml:space="preserve"> o de protección</w:t>
            </w:r>
            <w:r>
              <w:rPr>
                <w:rFonts w:ascii="Verdana" w:hAnsi="Verdana"/>
                <w:sz w:val="22"/>
                <w:szCs w:val="22"/>
              </w:rPr>
              <w:t xml:space="preserve"> y/o </w:t>
            </w:r>
            <w:r w:rsidRPr="00603CE0">
              <w:rPr>
                <w:rFonts w:ascii="Verdana" w:hAnsi="Verdana"/>
                <w:sz w:val="22"/>
                <w:szCs w:val="22"/>
              </w:rPr>
              <w:t xml:space="preserve">estabilización de taludes está asociada a infraestructura de transporte de </w:t>
            </w:r>
            <w:r>
              <w:rPr>
                <w:rFonts w:ascii="Verdana" w:hAnsi="Verdana"/>
                <w:sz w:val="22"/>
                <w:szCs w:val="22"/>
              </w:rPr>
              <w:t xml:space="preserve">vías primarias </w:t>
            </w:r>
            <w:r w:rsidRPr="00603CE0">
              <w:rPr>
                <w:rStyle w:val="Fuerte"/>
                <w:rFonts w:ascii="Verdana" w:eastAsiaTheme="majorEastAsia" w:hAnsi="Verdana"/>
                <w:sz w:val="22"/>
                <w:szCs w:val="22"/>
              </w:rPr>
              <w:t>o secundari</w:t>
            </w:r>
            <w:r>
              <w:rPr>
                <w:rStyle w:val="Fuerte"/>
                <w:rFonts w:ascii="Verdana" w:eastAsiaTheme="majorEastAsia" w:hAnsi="Verdana"/>
                <w:sz w:val="22"/>
                <w:szCs w:val="22"/>
              </w:rPr>
              <w:t>as</w:t>
            </w:r>
            <w:r w:rsidRPr="00603CE0">
              <w:rPr>
                <w:rFonts w:ascii="Verdana" w:hAnsi="Verdana"/>
                <w:sz w:val="22"/>
                <w:szCs w:val="22"/>
              </w:rPr>
              <w:t>, en un contexto</w:t>
            </w:r>
            <w:r>
              <w:rPr>
                <w:rFonts w:ascii="Verdana" w:hAnsi="Verdana"/>
                <w:sz w:val="22"/>
                <w:szCs w:val="22"/>
              </w:rPr>
              <w:t xml:space="preserve"> en el que no sea </w:t>
            </w:r>
            <w:r w:rsidRPr="00603CE0">
              <w:rPr>
                <w:rFonts w:ascii="Verdana" w:hAnsi="Verdana"/>
                <w:sz w:val="22"/>
                <w:szCs w:val="22"/>
              </w:rPr>
              <w:t>atención de emergencia</w:t>
            </w:r>
            <w:r>
              <w:rPr>
                <w:rFonts w:ascii="Verdana" w:hAnsi="Verdana"/>
                <w:sz w:val="22"/>
                <w:szCs w:val="22"/>
              </w:rPr>
              <w:t>s</w:t>
            </w:r>
            <w:r w:rsidRPr="00603CE0">
              <w:rPr>
                <w:rFonts w:ascii="Verdana" w:hAnsi="Verdana"/>
                <w:sz w:val="22"/>
                <w:szCs w:val="22"/>
              </w:rPr>
              <w:t>.</w:t>
            </w:r>
          </w:p>
          <w:p w14:paraId="7BC26613" w14:textId="77777777" w:rsidR="005D7B04" w:rsidRDefault="005D7B04" w:rsidP="005672E7">
            <w:pPr>
              <w:pStyle w:val="NormalWeb"/>
              <w:spacing w:before="0" w:beforeAutospacing="0" w:after="120" w:afterAutospacing="0" w:line="276" w:lineRule="auto"/>
              <w:ind w:firstLine="708"/>
              <w:jc w:val="both"/>
              <w:rPr>
                <w:rStyle w:val="Fuerte"/>
                <w:rFonts w:ascii="Verdana" w:eastAsiaTheme="majorEastAsia" w:hAnsi="Verdana"/>
                <w:b w:val="0"/>
                <w:bCs w:val="0"/>
                <w:sz w:val="22"/>
                <w:szCs w:val="22"/>
              </w:rPr>
            </w:pPr>
            <w:r>
              <w:rPr>
                <w:rFonts w:ascii="Verdana" w:hAnsi="Verdana"/>
                <w:sz w:val="22"/>
                <w:szCs w:val="22"/>
              </w:rPr>
              <w:t xml:space="preserve">Por su parte, las actividades contenidas en los numerales </w:t>
            </w:r>
            <w:r w:rsidRPr="00603CE0">
              <w:rPr>
                <w:rStyle w:val="Fuerte"/>
                <w:rFonts w:ascii="Verdana" w:eastAsiaTheme="majorEastAsia" w:hAnsi="Verdana"/>
                <w:sz w:val="22"/>
                <w:szCs w:val="22"/>
              </w:rPr>
              <w:t>4.2</w:t>
            </w:r>
            <w:r w:rsidRPr="00603CE0">
              <w:rPr>
                <w:rFonts w:ascii="Verdana" w:hAnsi="Verdana"/>
                <w:sz w:val="22"/>
                <w:szCs w:val="22"/>
              </w:rPr>
              <w:t xml:space="preserve"> y </w:t>
            </w:r>
            <w:r w:rsidRPr="00603CE0">
              <w:rPr>
                <w:rStyle w:val="Fuerte"/>
                <w:rFonts w:ascii="Verdana" w:eastAsiaTheme="majorEastAsia" w:hAnsi="Verdana"/>
                <w:sz w:val="22"/>
                <w:szCs w:val="22"/>
              </w:rPr>
              <w:t>4.4</w:t>
            </w:r>
            <w:r w:rsidRPr="00603CE0">
              <w:rPr>
                <w:rFonts w:ascii="Verdana" w:hAnsi="Verdana"/>
                <w:sz w:val="22"/>
                <w:szCs w:val="22"/>
              </w:rPr>
              <w:t xml:space="preserve"> se ubican dentro de la categoría </w:t>
            </w:r>
            <w:r>
              <w:rPr>
                <w:rFonts w:ascii="Verdana" w:hAnsi="Verdana"/>
                <w:sz w:val="22"/>
                <w:szCs w:val="22"/>
              </w:rPr>
              <w:t xml:space="preserve">de </w:t>
            </w:r>
            <w:r w:rsidRPr="00603CE0">
              <w:rPr>
                <w:rStyle w:val="nfasis"/>
                <w:rFonts w:ascii="Verdana" w:eastAsiaTheme="majorEastAsia" w:hAnsi="Verdana"/>
                <w:sz w:val="22"/>
                <w:szCs w:val="22"/>
              </w:rPr>
              <w:t>"4. OBRAS EN VÍAS PRIMARIAS O SECUNDARIAS O TERCIARIAS O URBANAS PARA ATENCIÓN, PREVENCIÓN O MITIGACIÓN DE EMERGENCIAS DIFERENTES A CONTRATACIÓN DIRECTA"</w:t>
            </w:r>
            <w:r w:rsidRPr="00603CE0">
              <w:rPr>
                <w:rFonts w:ascii="Verdana" w:hAnsi="Verdana"/>
                <w:sz w:val="22"/>
                <w:szCs w:val="22"/>
              </w:rPr>
              <w:t xml:space="preserve">, por lo </w:t>
            </w:r>
            <w:r>
              <w:rPr>
                <w:rFonts w:ascii="Verdana" w:hAnsi="Verdana"/>
                <w:sz w:val="22"/>
                <w:szCs w:val="22"/>
              </w:rPr>
              <w:t xml:space="preserve">que, estas aplican </w:t>
            </w:r>
            <w:r w:rsidRPr="00603CE0">
              <w:rPr>
                <w:rStyle w:val="Fuerte"/>
                <w:rFonts w:ascii="Verdana" w:eastAsiaTheme="majorEastAsia" w:hAnsi="Verdana"/>
                <w:sz w:val="22"/>
                <w:szCs w:val="22"/>
              </w:rPr>
              <w:t xml:space="preserve">cuando la actividad se enmarca en un contexto de atención, </w:t>
            </w:r>
            <w:r>
              <w:rPr>
                <w:rStyle w:val="Fuerte"/>
                <w:rFonts w:ascii="Verdana" w:eastAsiaTheme="majorEastAsia" w:hAnsi="Verdana"/>
                <w:sz w:val="22"/>
                <w:szCs w:val="22"/>
              </w:rPr>
              <w:t xml:space="preserve">prevención o mitigación de una emergencia o riesgo declarado, independientemente del tipo de vía involucradas –primaria, secundaria, terciaria–, y siempre que el proceso de selección no corresponda con contratación directa. </w:t>
            </w:r>
          </w:p>
          <w:p w14:paraId="6BD2D20C" w14:textId="77777777" w:rsidR="005D7B04" w:rsidRPr="004F02F4" w:rsidRDefault="005D7B04" w:rsidP="005672E7">
            <w:pPr>
              <w:pStyle w:val="NormalWeb"/>
              <w:spacing w:before="0" w:beforeAutospacing="0" w:after="120" w:afterAutospacing="0" w:line="276" w:lineRule="auto"/>
              <w:ind w:firstLine="708"/>
              <w:jc w:val="both"/>
              <w:rPr>
                <w:rFonts w:ascii="Verdana" w:hAnsi="Verdana"/>
                <w:sz w:val="22"/>
                <w:szCs w:val="22"/>
              </w:rPr>
            </w:pPr>
            <w:r>
              <w:rPr>
                <w:rFonts w:ascii="Verdana" w:hAnsi="Verdana"/>
                <w:sz w:val="22"/>
                <w:szCs w:val="22"/>
              </w:rPr>
              <w:t xml:space="preserve">Finalmente, las actividades contenidas en los numerales </w:t>
            </w:r>
            <w:r w:rsidRPr="00603CE0">
              <w:rPr>
                <w:rStyle w:val="Fuerte"/>
                <w:rFonts w:ascii="Verdana" w:eastAsiaTheme="majorEastAsia" w:hAnsi="Verdana"/>
                <w:sz w:val="22"/>
                <w:szCs w:val="22"/>
              </w:rPr>
              <w:t>6.8</w:t>
            </w:r>
            <w:r w:rsidRPr="00603CE0">
              <w:rPr>
                <w:rFonts w:ascii="Verdana" w:hAnsi="Verdana"/>
                <w:sz w:val="22"/>
                <w:szCs w:val="22"/>
              </w:rPr>
              <w:t xml:space="preserve"> y </w:t>
            </w:r>
            <w:r w:rsidRPr="00603CE0">
              <w:rPr>
                <w:rStyle w:val="Fuerte"/>
                <w:rFonts w:ascii="Verdana" w:eastAsiaTheme="majorEastAsia" w:hAnsi="Verdana"/>
                <w:sz w:val="22"/>
                <w:szCs w:val="22"/>
              </w:rPr>
              <w:t>6.25</w:t>
            </w:r>
            <w:r w:rsidRPr="00603CE0">
              <w:rPr>
                <w:rFonts w:ascii="Verdana" w:hAnsi="Verdana"/>
                <w:sz w:val="22"/>
                <w:szCs w:val="22"/>
              </w:rPr>
              <w:t xml:space="preserve"> </w:t>
            </w:r>
            <w:r>
              <w:rPr>
                <w:rFonts w:ascii="Verdana" w:hAnsi="Verdana"/>
                <w:sz w:val="22"/>
                <w:szCs w:val="22"/>
              </w:rPr>
              <w:t xml:space="preserve">corresponden a </w:t>
            </w:r>
            <w:r w:rsidRPr="00603CE0">
              <w:rPr>
                <w:rStyle w:val="nfasis"/>
                <w:rFonts w:ascii="Verdana" w:eastAsiaTheme="majorEastAsia" w:hAnsi="Verdana"/>
                <w:sz w:val="22"/>
                <w:szCs w:val="22"/>
              </w:rPr>
              <w:t>"6. OBRAS DE INFRAESTRUCTURA VIAL URBANA"</w:t>
            </w:r>
            <w:r>
              <w:rPr>
                <w:rFonts w:ascii="Verdana" w:hAnsi="Verdana"/>
                <w:sz w:val="22"/>
                <w:szCs w:val="22"/>
              </w:rPr>
              <w:t>, por lo que aplican cuando el componente geotécnico –estabilización o contención de taludes, sitios inestables– o de protección de taludes está asociado a in</w:t>
            </w:r>
            <w:r w:rsidRPr="004F02F4">
              <w:rPr>
                <w:rFonts w:ascii="Verdana" w:hAnsi="Verdana"/>
                <w:sz w:val="22"/>
                <w:szCs w:val="22"/>
              </w:rPr>
              <w:t xml:space="preserve">fraestructura vial urbana, también en un contexto de intervención permanente y no de atención de emergencia declarada. </w:t>
            </w:r>
          </w:p>
          <w:p w14:paraId="11D10CD3" w14:textId="650387FE" w:rsidR="005D7B04" w:rsidRDefault="005D7B04" w:rsidP="005672E7">
            <w:pPr>
              <w:pStyle w:val="NormalWeb"/>
              <w:spacing w:before="0" w:beforeAutospacing="0" w:after="120" w:afterAutospacing="0" w:line="276" w:lineRule="auto"/>
              <w:ind w:firstLine="708"/>
              <w:jc w:val="both"/>
              <w:rPr>
                <w:rFonts w:ascii="Verdana" w:hAnsi="Verdana"/>
                <w:sz w:val="22"/>
                <w:szCs w:val="22"/>
              </w:rPr>
            </w:pPr>
            <w:r w:rsidRPr="004F02F4">
              <w:rPr>
                <w:rFonts w:ascii="Verdana" w:hAnsi="Verdana"/>
                <w:sz w:val="22"/>
                <w:szCs w:val="22"/>
              </w:rPr>
              <w:t xml:space="preserve">De acuerdo con lo dispuesto en los tres (3) párrafos precedentes, </w:t>
            </w:r>
            <w:r w:rsidRPr="00603CE0">
              <w:rPr>
                <w:rFonts w:ascii="Verdana" w:hAnsi="Verdana"/>
                <w:sz w:val="22"/>
                <w:szCs w:val="22"/>
              </w:rPr>
              <w:t xml:space="preserve">las actividades señaladas </w:t>
            </w:r>
            <w:r w:rsidRPr="7FE440B9">
              <w:rPr>
                <w:rFonts w:ascii="Verdana" w:hAnsi="Verdana"/>
                <w:sz w:val="22"/>
                <w:szCs w:val="22"/>
              </w:rPr>
              <w:t>p</w:t>
            </w:r>
            <w:r w:rsidR="1C4B0DAE" w:rsidRPr="7FE440B9">
              <w:rPr>
                <w:rFonts w:ascii="Verdana" w:hAnsi="Verdana"/>
                <w:sz w:val="22"/>
                <w:szCs w:val="22"/>
              </w:rPr>
              <w:t>odrían</w:t>
            </w:r>
            <w:r w:rsidRPr="00603CE0">
              <w:rPr>
                <w:rFonts w:ascii="Verdana" w:hAnsi="Verdana"/>
                <w:sz w:val="22"/>
                <w:szCs w:val="22"/>
              </w:rPr>
              <w:t xml:space="preserve"> asociarse a dos (2) variables: </w:t>
            </w:r>
            <w:r w:rsidRPr="00603CE0">
              <w:rPr>
                <w:rStyle w:val="Fuerte"/>
                <w:rFonts w:ascii="Verdana" w:eastAsiaTheme="majorEastAsia" w:hAnsi="Verdana"/>
                <w:sz w:val="22"/>
                <w:szCs w:val="22"/>
              </w:rPr>
              <w:t>i)</w:t>
            </w:r>
            <w:r w:rsidRPr="00603CE0">
              <w:rPr>
                <w:rFonts w:ascii="Verdana" w:hAnsi="Verdana"/>
                <w:sz w:val="22"/>
                <w:szCs w:val="22"/>
              </w:rPr>
              <w:t xml:space="preserve"> si la intervención responde a una emergencia</w:t>
            </w:r>
            <w:r>
              <w:rPr>
                <w:rFonts w:ascii="Verdana" w:hAnsi="Verdana"/>
                <w:sz w:val="22"/>
                <w:szCs w:val="22"/>
              </w:rPr>
              <w:t xml:space="preserve"> o </w:t>
            </w:r>
            <w:r w:rsidRPr="00603CE0">
              <w:rPr>
                <w:rFonts w:ascii="Verdana" w:hAnsi="Verdana"/>
                <w:sz w:val="22"/>
                <w:szCs w:val="22"/>
              </w:rPr>
              <w:t xml:space="preserve">riesgo declarado –tipo de obra cuatro (4)– o a una obra permanente –tipo de obra uno (1) o seis (6)–, y </w:t>
            </w:r>
            <w:proofErr w:type="spellStart"/>
            <w:r w:rsidRPr="00603CE0">
              <w:rPr>
                <w:rStyle w:val="Fuerte"/>
                <w:rFonts w:ascii="Verdana" w:eastAsiaTheme="majorEastAsia" w:hAnsi="Verdana"/>
                <w:sz w:val="22"/>
                <w:szCs w:val="22"/>
              </w:rPr>
              <w:t>ii</w:t>
            </w:r>
            <w:proofErr w:type="spellEnd"/>
            <w:r w:rsidRPr="00603CE0">
              <w:rPr>
                <w:rStyle w:val="Fuerte"/>
                <w:rFonts w:ascii="Verdana" w:eastAsiaTheme="majorEastAsia" w:hAnsi="Verdana"/>
                <w:sz w:val="22"/>
                <w:szCs w:val="22"/>
              </w:rPr>
              <w:t>)</w:t>
            </w:r>
            <w:r w:rsidRPr="00603CE0">
              <w:rPr>
                <w:rFonts w:ascii="Verdana" w:hAnsi="Verdana"/>
                <w:sz w:val="22"/>
                <w:szCs w:val="22"/>
              </w:rPr>
              <w:t xml:space="preserve"> en este último caso, si la vía objeto de intervención es primaria o secundaria –obra uno (1)– o urbana –obra seis (6).</w:t>
            </w:r>
          </w:p>
          <w:p w14:paraId="1BE5B4E0" w14:textId="77777777" w:rsidR="005D7B04" w:rsidRPr="00603CE0" w:rsidRDefault="005D7B04" w:rsidP="005672E7">
            <w:pPr>
              <w:spacing w:after="120" w:line="276" w:lineRule="auto"/>
              <w:ind w:firstLine="709"/>
              <w:jc w:val="both"/>
              <w:rPr>
                <w:rFonts w:ascii="Verdana" w:eastAsia="Aptos" w:hAnsi="Verdana" w:cs="Times New Roman"/>
                <w:kern w:val="2"/>
                <w14:ligatures w14:val="standardContextual"/>
              </w:rPr>
            </w:pPr>
            <w:r w:rsidRPr="00E15FD8">
              <w:rPr>
                <w:rFonts w:ascii="Verdana" w:eastAsia="Calibri" w:hAnsi="Verdana" w:cs="Calibri"/>
                <w:kern w:val="2"/>
                <w14:ligatures w14:val="standardContextual"/>
              </w:rPr>
              <w:t xml:space="preserve">Para comprender el alcance y aplicación </w:t>
            </w:r>
            <w:r>
              <w:rPr>
                <w:rFonts w:ascii="Verdana" w:eastAsia="Calibri" w:hAnsi="Verdana" w:cs="Calibri"/>
                <w:kern w:val="2"/>
                <w14:ligatures w14:val="standardContextual"/>
              </w:rPr>
              <w:t xml:space="preserve">de cada una de las actividades señaladas, y en consecuencia determinar si estas se ajustan al tipo de obra que pretende contratar la entidad </w:t>
            </w:r>
            <w:r w:rsidRPr="7FE440B9">
              <w:rPr>
                <w:rFonts w:ascii="Verdana" w:eastAsia="Aptos" w:hAnsi="Verdana" w:cs="Arial"/>
                <w:b/>
                <w:color w:val="000000"/>
                <w:kern w:val="2"/>
                <w14:ligatures w14:val="standardContextual"/>
              </w:rPr>
              <w:t>“construcción de obras de estabilidad geotécnica y manejo de aguas lluvias en sitios con procesos de inestabilidad y reparación de áreas con tratamiento geotécnico</w:t>
            </w:r>
            <w:r>
              <w:rPr>
                <w:rFonts w:ascii="Verdana" w:eastAsia="Aptos" w:hAnsi="Verdana" w:cs="Arial"/>
                <w:color w:val="000000"/>
                <w:kern w:val="2"/>
                <w14:ligatures w14:val="standardContextual"/>
              </w:rPr>
              <w:t>”</w:t>
            </w:r>
            <w:r>
              <w:rPr>
                <w:rFonts w:ascii="Verdana" w:eastAsia="Calibri" w:hAnsi="Verdana" w:cs="Calibri"/>
                <w:kern w:val="2"/>
                <w14:ligatures w14:val="standardContextual"/>
              </w:rPr>
              <w:t xml:space="preserve">, </w:t>
            </w:r>
            <w:r w:rsidRPr="00E15FD8">
              <w:rPr>
                <w:rFonts w:ascii="Verdana" w:eastAsia="Calibri" w:hAnsi="Verdana" w:cs="Calibri"/>
                <w:kern w:val="2"/>
                <w14:ligatures w14:val="standardContextual"/>
              </w:rPr>
              <w:t xml:space="preserve">es necesario tener en cuenta las definiciones del “Anexo – Glosario” del sector de infraestructura de transporte. Lo anterior, en razón a que el numeral 1.10 del documento base dispone que “Para los fines de este pliego de condiciones, a menos que expresamente se estipule de otra manera, los términos deben </w:t>
            </w:r>
            <w:r w:rsidRPr="00E15FD8">
              <w:rPr>
                <w:rFonts w:ascii="Verdana" w:eastAsia="Calibri" w:hAnsi="Verdana" w:cs="Calibri"/>
                <w:kern w:val="2"/>
                <w14:ligatures w14:val="standardContextual"/>
              </w:rPr>
              <w:lastRenderedPageBreak/>
              <w:t>entenderse de acuerdo con la definición contenida en el artículo 2.2.1.1.1.3.1 del Decreto 1082 de 2015, la Ley 1682 de 2013 o la norma que la modifique, complemente o sustituya, y el Anexo 3 - Glosario. Los términos no definidos deben comprenderse de conformidad con su significado natural y en el contexto del presente proceso de selección y el proyecto de infraestructura que se pretende adelantar”.</w:t>
            </w:r>
          </w:p>
          <w:p w14:paraId="5658AE05" w14:textId="77777777" w:rsidR="005D7B04" w:rsidRDefault="005D7B04" w:rsidP="005672E7">
            <w:pPr>
              <w:tabs>
                <w:tab w:val="left" w:pos="709"/>
                <w:tab w:val="left" w:pos="2662"/>
              </w:tabs>
              <w:spacing w:before="120" w:after="120" w:line="276" w:lineRule="auto"/>
              <w:jc w:val="both"/>
              <w:rPr>
                <w:rFonts w:ascii="Verdana" w:eastAsia="Calibri" w:hAnsi="Verdana" w:cs="Times New Roman"/>
              </w:rPr>
            </w:pPr>
            <w:r w:rsidRPr="009B5F00">
              <w:rPr>
                <w:rFonts w:ascii="Verdana" w:eastAsia="Calibri" w:hAnsi="Verdana" w:cs="Arial"/>
                <w:color w:val="000000"/>
                <w:lang w:val="es-ES" w:eastAsia="en-GB"/>
              </w:rPr>
              <w:tab/>
            </w:r>
            <w:r w:rsidRPr="009B5F00">
              <w:rPr>
                <w:rFonts w:ascii="Verdana" w:eastAsia="Calibri" w:hAnsi="Verdana" w:cs="Times New Roman"/>
              </w:rPr>
              <w:t xml:space="preserve">Sin perjuicio del análisis anterior, corresponde a la entidad estatal, en el marco de la formulación del respectivo proyecto y de la planeación contractual que de él se derive, determinar, con base en las especificaciones técnicas de la obra, si la actividad a contratar efectivamente se encuentra subsumida en alguno de los tipos de infraestructura establecidos en la Matriz 1 – </w:t>
            </w:r>
            <w:r w:rsidRPr="009B5F00">
              <w:rPr>
                <w:rFonts w:ascii="Verdana" w:eastAsia="Calibri" w:hAnsi="Verdana" w:cs="Times New Roman"/>
                <w:i/>
                <w:iCs/>
              </w:rPr>
              <w:t>Experiencia</w:t>
            </w:r>
            <w:r w:rsidRPr="009B5F00">
              <w:rPr>
                <w:rFonts w:ascii="Verdana" w:eastAsia="Calibri" w:hAnsi="Verdana" w:cs="Times New Roman"/>
              </w:rPr>
              <w:t xml:space="preserve"> de los documentos tipo de licitación de obra pública de infraestructura de transporte, versión 4. Para ello, resultan pertinentes las consideraciones previamente expuestas.</w:t>
            </w:r>
          </w:p>
          <w:p w14:paraId="2318DBF2" w14:textId="7D1FD990" w:rsidR="005D7B04" w:rsidRDefault="005D7B04" w:rsidP="005672E7">
            <w:pPr>
              <w:tabs>
                <w:tab w:val="left" w:pos="709"/>
                <w:tab w:val="left" w:pos="2662"/>
              </w:tabs>
              <w:spacing w:before="120" w:line="276" w:lineRule="auto"/>
              <w:ind w:firstLine="709"/>
              <w:jc w:val="both"/>
              <w:rPr>
                <w:rFonts w:ascii="Verdana" w:eastAsia="Calibri" w:hAnsi="Verdana" w:cs="Times New Roman"/>
              </w:rPr>
            </w:pPr>
            <w:r w:rsidRPr="00652FFE">
              <w:rPr>
                <w:rFonts w:ascii="Verdana" w:eastAsia="Calibri" w:hAnsi="Verdana" w:cs="Times New Roman"/>
              </w:rPr>
              <w:t xml:space="preserve">En ese sentido, si la entidad estatal encuentra que, técnicamente, lo que pretende contratar se adecúa a algunas(s) de las actividades y tipos de infraestructura señalados en la Matriz 1 – Experiencia, </w:t>
            </w:r>
            <w:r w:rsidRPr="7FE440B9">
              <w:rPr>
                <w:rFonts w:ascii="Verdana" w:eastAsia="Calibri" w:hAnsi="Verdana" w:cs="Times New Roman"/>
              </w:rPr>
              <w:t>deber</w:t>
            </w:r>
            <w:r w:rsidR="0EC011EA" w:rsidRPr="7FE440B9">
              <w:rPr>
                <w:rFonts w:ascii="Verdana" w:eastAsia="Calibri" w:hAnsi="Verdana" w:cs="Times New Roman"/>
              </w:rPr>
              <w:t>ía</w:t>
            </w:r>
            <w:r w:rsidRPr="00652FFE">
              <w:rPr>
                <w:rFonts w:ascii="Verdana" w:eastAsia="Calibri" w:hAnsi="Verdana" w:cs="Times New Roman"/>
              </w:rPr>
              <w:t xml:space="preserve"> aplicar obligatoriamente los documentos tipo de licitación de obra pública de infraestructura de transporte – versión 4. En consecuencia, la entidad </w:t>
            </w:r>
            <w:r w:rsidRPr="7FE440B9">
              <w:rPr>
                <w:rFonts w:ascii="Verdana" w:eastAsia="Calibri" w:hAnsi="Verdana" w:cs="Times New Roman"/>
              </w:rPr>
              <w:t>estar</w:t>
            </w:r>
            <w:r w:rsidR="63EA0479" w:rsidRPr="7FE440B9">
              <w:rPr>
                <w:rFonts w:ascii="Verdana" w:eastAsia="Calibri" w:hAnsi="Verdana" w:cs="Times New Roman"/>
              </w:rPr>
              <w:t>ía</w:t>
            </w:r>
            <w:r w:rsidRPr="00652FFE">
              <w:rPr>
                <w:rFonts w:ascii="Verdana" w:eastAsia="Calibri" w:hAnsi="Verdana" w:cs="Times New Roman"/>
              </w:rPr>
              <w:t xml:space="preserve"> obligada a exigir los requisitos de experiencia general y específica en los términos exactos en que estos se encuentran previstos en la Matriz 1 – Experiencia para la actividad correspondiente, sin que le sea posible modificarlos, adicionarlos, suprimirlos o alterarlos, salvo en aquellos aspectos en que el propio documento tipo expresamente lo permita –esto es, los espacios identificados entre corchetes y resaltados en gris–. En consecuencia, la experiencia general y específica que la entidad exija deberá corresponder, en su integridad, a la descripción prevista en la Matriz 1 – Experiencia para la actividad a contratar, sin que resulte procedente exigir actividades o condiciones distintas a las allí señaladas. </w:t>
            </w:r>
          </w:p>
          <w:p w14:paraId="111275DA" w14:textId="1324D701" w:rsidR="005D7B04" w:rsidRPr="002B406B" w:rsidRDefault="005D7B04" w:rsidP="7FE440B9">
            <w:pPr>
              <w:snapToGrid w:val="0"/>
              <w:spacing w:after="120" w:line="276" w:lineRule="auto"/>
              <w:ind w:firstLine="630"/>
              <w:jc w:val="both"/>
              <w:rPr>
                <w:rFonts w:ascii="Verdana" w:eastAsia="Times New Roman" w:hAnsi="Verdana" w:cs="Arial"/>
                <w:kern w:val="2"/>
                <w:sz w:val="24"/>
                <w:szCs w:val="24"/>
                <w:shd w:val="clear" w:color="auto" w:fill="FFFFFF"/>
                <w:lang w:val="es-ES" w:eastAsia="es-ES"/>
                <w14:ligatures w14:val="standardContextual"/>
              </w:rPr>
            </w:pPr>
            <w:r w:rsidRPr="009B5F00">
              <w:rPr>
                <w:rFonts w:ascii="Verdana" w:eastAsia="Aptos" w:hAnsi="Verdana" w:cs="Aptos"/>
                <w:kern w:val="2"/>
                <w14:ligatures w14:val="standardContextual"/>
              </w:rPr>
              <w:t xml:space="preserve">Sin perjuicio de las aclaraciones anteriores, debe advertirse que es la entidad contratante, </w:t>
            </w:r>
            <w:r w:rsidR="4021F958" w:rsidRPr="009B5F00">
              <w:rPr>
                <w:rFonts w:ascii="Verdana" w:eastAsia="Aptos" w:hAnsi="Verdana" w:cs="Aptos"/>
                <w:kern w:val="2"/>
                <w14:ligatures w14:val="standardContextual"/>
              </w:rPr>
              <w:t xml:space="preserve">con el conocimiento pleno de toda la información del proyecto, </w:t>
            </w:r>
            <w:r w:rsidRPr="009B5F00">
              <w:rPr>
                <w:rFonts w:ascii="Verdana" w:eastAsia="Aptos" w:hAnsi="Verdana" w:cs="Aptos"/>
                <w:kern w:val="2"/>
                <w14:ligatures w14:val="standardContextual"/>
              </w:rPr>
              <w:t xml:space="preserve">al momento de adelantar sus actividades de planeación de cada </w:t>
            </w:r>
            <w:r w:rsidR="4313A006" w:rsidRPr="009B5F00">
              <w:rPr>
                <w:rFonts w:ascii="Verdana" w:eastAsia="Aptos" w:hAnsi="Verdana" w:cs="Aptos"/>
                <w:kern w:val="2"/>
                <w14:ligatures w14:val="standardContextual"/>
              </w:rPr>
              <w:t xml:space="preserve">uno de los </w:t>
            </w:r>
            <w:r w:rsidRPr="009B5F00">
              <w:rPr>
                <w:rFonts w:ascii="Verdana" w:eastAsia="Aptos" w:hAnsi="Verdana" w:cs="Aptos"/>
                <w:kern w:val="2"/>
                <w14:ligatures w14:val="standardContextual"/>
              </w:rPr>
              <w:t>proceso</w:t>
            </w:r>
            <w:r w:rsidR="19B3FDBA" w:rsidRPr="009B5F00">
              <w:rPr>
                <w:rFonts w:ascii="Verdana" w:eastAsia="Aptos" w:hAnsi="Verdana" w:cs="Aptos"/>
                <w:kern w:val="2"/>
                <w14:ligatures w14:val="standardContextual"/>
              </w:rPr>
              <w:t>s</w:t>
            </w:r>
            <w:r w:rsidRPr="009B5F00">
              <w:rPr>
                <w:rFonts w:ascii="Verdana" w:eastAsia="Aptos" w:hAnsi="Verdana" w:cs="Aptos"/>
                <w:kern w:val="2"/>
                <w14:ligatures w14:val="standardContextual"/>
              </w:rPr>
              <w:t xml:space="preserve"> contractual</w:t>
            </w:r>
            <w:r w:rsidR="7A337C1F" w:rsidRPr="009B5F00">
              <w:rPr>
                <w:rFonts w:ascii="Verdana" w:eastAsia="Aptos" w:hAnsi="Verdana" w:cs="Aptos"/>
                <w:kern w:val="2"/>
                <w14:ligatures w14:val="standardContextual"/>
              </w:rPr>
              <w:t>es</w:t>
            </w:r>
            <w:r w:rsidRPr="009B5F00">
              <w:rPr>
                <w:rFonts w:ascii="Verdana" w:eastAsia="Aptos" w:hAnsi="Verdana" w:cs="Aptos"/>
                <w:kern w:val="2"/>
                <w14:ligatures w14:val="standardContextual"/>
              </w:rPr>
              <w:t xml:space="preserve">, quien debe determinar si de acuerdo con las particularidades del contrato a ejecutar, este encaja o no dentro de alguna de las actividades de la </w:t>
            </w:r>
            <w:r w:rsidR="4540FFE3" w:rsidRPr="009B5F00">
              <w:rPr>
                <w:rFonts w:ascii="Verdana" w:eastAsia="Aptos" w:hAnsi="Verdana" w:cs="Aptos"/>
                <w:kern w:val="2"/>
                <w14:ligatures w14:val="standardContextual"/>
              </w:rPr>
              <w:t>M</w:t>
            </w:r>
            <w:r w:rsidRPr="009B5F00">
              <w:rPr>
                <w:rFonts w:ascii="Verdana" w:eastAsia="Aptos" w:hAnsi="Verdana" w:cs="Aptos"/>
                <w:kern w:val="2"/>
                <w14:ligatures w14:val="standardContextual"/>
              </w:rPr>
              <w:t xml:space="preserve">atriz 1 de cada documento tipo, y si en consecuencia </w:t>
            </w:r>
            <w:r w:rsidRPr="009B5F00">
              <w:rPr>
                <w:rFonts w:ascii="Verdana" w:eastAsia="Aptos" w:hAnsi="Verdana" w:cs="Aptos"/>
                <w:kern w:val="2"/>
                <w14:ligatures w14:val="standardContextual"/>
              </w:rPr>
              <w:lastRenderedPageBreak/>
              <w:t>deben aplicarse o no determinados documentos tipo, conforme a los parámetros indicados en este concepto. Lo anterior sin que pueda apartarse de su aplicación cuando materialmente el objeto a contratar corresponde</w:t>
            </w:r>
            <w:r>
              <w:rPr>
                <w:rFonts w:ascii="Verdana" w:eastAsia="Aptos" w:hAnsi="Verdana" w:cs="Aptos"/>
              </w:rPr>
              <w:t xml:space="preserve"> </w:t>
            </w:r>
            <w:r w:rsidRPr="009B5F00">
              <w:rPr>
                <w:rFonts w:ascii="Verdana" w:eastAsia="Aptos" w:hAnsi="Verdana" w:cs="Aptos"/>
                <w:kern w:val="2"/>
                <w14:ligatures w14:val="standardContextual"/>
              </w:rPr>
              <w:t>con alguna actividad de contemplada en dicha matriz.</w:t>
            </w:r>
            <w:r w:rsidRPr="7FE440B9">
              <w:rPr>
                <w:rFonts w:ascii="Verdana" w:eastAsia="Times New Roman" w:hAnsi="Verdana" w:cs="Arial"/>
                <w:kern w:val="2"/>
                <w:sz w:val="24"/>
                <w:szCs w:val="24"/>
                <w:shd w:val="clear" w:color="auto" w:fill="FFFFFF"/>
                <w:lang w:val="es-ES" w:eastAsia="es-ES"/>
                <w14:ligatures w14:val="standardContextual"/>
              </w:rPr>
              <w:t xml:space="preserve"> </w:t>
            </w:r>
          </w:p>
        </w:tc>
      </w:tr>
    </w:tbl>
    <w:p w14:paraId="0B2C675F" w14:textId="77777777" w:rsidR="005D7B04" w:rsidRPr="00E15FD8" w:rsidRDefault="005D7B04" w:rsidP="005D7B04">
      <w:pPr>
        <w:tabs>
          <w:tab w:val="left" w:pos="142"/>
          <w:tab w:val="left" w:pos="284"/>
        </w:tabs>
        <w:spacing w:after="0" w:line="276" w:lineRule="auto"/>
        <w:jc w:val="both"/>
        <w:rPr>
          <w:rFonts w:ascii="Verdana" w:eastAsia="Century Gothic" w:hAnsi="Verdana" w:cs="Century Gothic"/>
          <w:b/>
          <w:bCs/>
        </w:rPr>
      </w:pPr>
    </w:p>
    <w:p w14:paraId="41867031" w14:textId="77777777" w:rsidR="005D7B04" w:rsidRPr="00E15FD8" w:rsidRDefault="005D7B04" w:rsidP="005D7B04">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E15FD8">
        <w:rPr>
          <w:rFonts w:ascii="Verdana" w:eastAsia="Century Gothic" w:hAnsi="Verdana" w:cs="Century Gothic"/>
          <w:b/>
          <w:bCs/>
        </w:rPr>
        <w:t>Razones de la respuesta:</w:t>
      </w:r>
    </w:p>
    <w:p w14:paraId="5D8AE8FB" w14:textId="77777777" w:rsidR="005D7B04" w:rsidRPr="009B5F00" w:rsidRDefault="005D7B04" w:rsidP="005D7B04">
      <w:pPr>
        <w:spacing w:after="0" w:line="276" w:lineRule="auto"/>
        <w:jc w:val="both"/>
        <w:rPr>
          <w:rFonts w:ascii="Verdana" w:eastAsia="Calibri" w:hAnsi="Verdana" w:cs="Arial"/>
          <w:lang w:val="es-ES"/>
        </w:rPr>
      </w:pPr>
    </w:p>
    <w:p w14:paraId="3518D594" w14:textId="77777777" w:rsidR="005D7B04" w:rsidRPr="009B5F00" w:rsidRDefault="005D7B04" w:rsidP="005D7B04">
      <w:pPr>
        <w:spacing w:after="0" w:line="276" w:lineRule="auto"/>
        <w:jc w:val="both"/>
        <w:rPr>
          <w:rFonts w:ascii="Verdana" w:eastAsia="Calibri" w:hAnsi="Verdana" w:cs="Arial"/>
          <w:lang w:val="es-ES"/>
        </w:rPr>
      </w:pPr>
      <w:r w:rsidRPr="009B5F00">
        <w:rPr>
          <w:rFonts w:ascii="Verdana" w:eastAsia="Calibri" w:hAnsi="Verdana" w:cs="Arial"/>
          <w:lang w:val="es-ES"/>
        </w:rPr>
        <w:t xml:space="preserve">Lo anterior se sustenta en las siguientes consideraciones: </w:t>
      </w:r>
    </w:p>
    <w:p w14:paraId="14C653ED" w14:textId="77777777" w:rsidR="005D7B04" w:rsidRPr="009B5F00" w:rsidRDefault="005D7B04" w:rsidP="005D7B04">
      <w:pPr>
        <w:spacing w:after="0" w:line="276" w:lineRule="auto"/>
        <w:jc w:val="both"/>
        <w:rPr>
          <w:rFonts w:ascii="Verdana" w:eastAsia="Calibri" w:hAnsi="Verdana" w:cs="Arial"/>
          <w:lang w:val="es-ES"/>
        </w:rPr>
      </w:pPr>
    </w:p>
    <w:p w14:paraId="178E77AD" w14:textId="77777777" w:rsidR="005D7B04" w:rsidRPr="009B5F00" w:rsidRDefault="005D7B04" w:rsidP="005D7B04">
      <w:pPr>
        <w:spacing w:after="120" w:line="276" w:lineRule="auto"/>
        <w:jc w:val="both"/>
        <w:rPr>
          <w:rFonts w:ascii="Verdana" w:eastAsia="Aptos" w:hAnsi="Verdana" w:cs="Arial"/>
        </w:rPr>
      </w:pPr>
      <w:r w:rsidRPr="009B5F00">
        <w:rPr>
          <w:rFonts w:ascii="Verdana" w:eastAsia="Aptos" w:hAnsi="Verdana" w:cs="Arial"/>
        </w:rPr>
        <w:t>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4F91F3C0" w14:textId="77777777" w:rsidR="005D7B04" w:rsidRPr="009B5F00" w:rsidRDefault="005D7B04" w:rsidP="005D7B04">
      <w:pPr>
        <w:spacing w:after="120" w:line="276" w:lineRule="auto"/>
        <w:ind w:firstLine="708"/>
        <w:jc w:val="both"/>
        <w:rPr>
          <w:rFonts w:ascii="Verdana" w:eastAsia="Aptos" w:hAnsi="Verdana" w:cs="Arial"/>
          <w:lang w:val="es-ES"/>
        </w:rPr>
      </w:pPr>
      <w:r w:rsidRPr="009B5F00">
        <w:rPr>
          <w:rFonts w:ascii="Verdana" w:eastAsia="Aptos" w:hAnsi="Verdana" w:cs="Arial"/>
          <w:lang w:val="es-ES"/>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2D40E6AA" w14:textId="77777777" w:rsidR="005D7B04" w:rsidRPr="009B5F00" w:rsidRDefault="005D7B04" w:rsidP="005D7B04">
      <w:pPr>
        <w:spacing w:after="120" w:line="276" w:lineRule="auto"/>
        <w:ind w:firstLine="708"/>
        <w:jc w:val="both"/>
        <w:rPr>
          <w:rFonts w:ascii="Verdana" w:eastAsia="Aptos" w:hAnsi="Verdana" w:cs="ArialMT"/>
          <w:kern w:val="2"/>
          <w14:ligatures w14:val="standardContextual"/>
        </w:rPr>
      </w:pPr>
      <w:r w:rsidRPr="009B5F00">
        <w:rPr>
          <w:rFonts w:ascii="Verdana" w:eastAsia="Aptos" w:hAnsi="Verdana" w:cs="ArialMT"/>
          <w:kern w:val="2"/>
          <w14:ligatures w14:val="standardContextual"/>
        </w:rPr>
        <w:t>En el sector de infraestructura de transporte, la Agencia Nacional de Contratación Pública – Colombia Compra Eficiente expidió documentos tipo para contratar obras públicas de infraestructura de transporte bajo las modalidades de selección de licitación pública, selección abreviada de menor cuantía y mínima cuantía. Así mismo, esta Agencia expidió documentos tipo de concurso de méritos para contratar la interventoría y la consultoría de estudios de ingeniería de infraestructura de transporte</w:t>
      </w:r>
      <w:r w:rsidRPr="009B5F00">
        <w:rPr>
          <w:rFonts w:ascii="Verdana" w:eastAsia="Calibri" w:hAnsi="Verdana" w:cs="Times New Roman"/>
          <w:kern w:val="2"/>
          <w:vertAlign w:val="superscript"/>
          <w14:ligatures w14:val="standardContextual"/>
        </w:rPr>
        <w:footnoteReference w:id="2"/>
      </w:r>
      <w:r w:rsidRPr="009B5F00">
        <w:rPr>
          <w:rFonts w:ascii="Verdana" w:eastAsia="Aptos" w:hAnsi="Verdana" w:cs="ArialMT"/>
          <w:kern w:val="2"/>
          <w14:ligatures w14:val="standardContextual"/>
        </w:rPr>
        <w:t xml:space="preserve">. </w:t>
      </w:r>
    </w:p>
    <w:p w14:paraId="2DDDE066" w14:textId="77777777" w:rsidR="005D7B04" w:rsidRPr="009B5F00" w:rsidRDefault="005D7B04" w:rsidP="005D7B04">
      <w:pPr>
        <w:spacing w:before="120" w:after="120" w:line="276" w:lineRule="auto"/>
        <w:ind w:firstLine="709"/>
        <w:jc w:val="both"/>
        <w:rPr>
          <w:rFonts w:ascii="Verdana" w:eastAsia="Calibri" w:hAnsi="Verdana" w:cs="Arial"/>
          <w:kern w:val="2"/>
          <w14:ligatures w14:val="standardContextual"/>
        </w:rPr>
      </w:pPr>
      <w:r w:rsidRPr="009B5F00">
        <w:rPr>
          <w:rFonts w:ascii="Verdana" w:eastAsia="Aptos" w:hAnsi="Verdana" w:cs="Arial"/>
          <w:kern w:val="2"/>
          <w:lang w:val="es-ES"/>
          <w14:ligatures w14:val="standardContextual"/>
        </w:rPr>
        <w:lastRenderedPageBreak/>
        <w:t xml:space="preserve">En relación con los documentos tipo de licitación de obra pública de infraestructura de transporte, mediante la Resolución 465 del 10 de septiembre de 2024, se adoptó la </w:t>
      </w:r>
      <w:r w:rsidRPr="009B5F00">
        <w:rPr>
          <w:rFonts w:ascii="Verdana" w:eastAsia="Calibri" w:hAnsi="Verdana" w:cs="Arial"/>
          <w:kern w:val="2"/>
          <w14:ligatures w14:val="standardContextual"/>
        </w:rPr>
        <w:t xml:space="preserve">versión 4 de estos documentos y se derogó la Resolución 240 de 2020. </w:t>
      </w:r>
      <w:r>
        <w:rPr>
          <w:rFonts w:ascii="Verdana" w:eastAsia="Calibri" w:hAnsi="Verdana" w:cs="Arial"/>
          <w:kern w:val="2"/>
          <w14:ligatures w14:val="standardContextual"/>
        </w:rPr>
        <w:t xml:space="preserve"> Estos documentos tipo </w:t>
      </w:r>
      <w:r w:rsidRPr="009B5F00">
        <w:rPr>
          <w:rFonts w:ascii="Verdana" w:eastAsia="Calibri" w:hAnsi="Verdana" w:cs="Arial"/>
          <w:kern w:val="2"/>
          <w14:ligatures w14:val="standardContextual"/>
        </w:rPr>
        <w:t>son de carácter obligatorio en la actividad contractual de las Entidades Estatales sometidas al Estatuto General de Contratación de la Administración Pública. Asimismo, su aplicación es exigible a los patrimonios autónomos y a las personas naturales o jurídicas de derecho público que, por mandato legal, estén obligadas a su implementación.</w:t>
      </w:r>
    </w:p>
    <w:p w14:paraId="33F67E53" w14:textId="77777777" w:rsidR="005D7B04" w:rsidRPr="009B5F00" w:rsidRDefault="005D7B04" w:rsidP="005D7B04">
      <w:pPr>
        <w:widowControl w:val="0"/>
        <w:autoSpaceDE w:val="0"/>
        <w:autoSpaceDN w:val="0"/>
        <w:spacing w:after="120" w:line="276" w:lineRule="auto"/>
        <w:ind w:firstLine="708"/>
        <w:jc w:val="both"/>
        <w:rPr>
          <w:rFonts w:ascii="Verdana" w:eastAsia="Calibri" w:hAnsi="Verdana" w:cs="Arial"/>
          <w:kern w:val="2"/>
          <w14:ligatures w14:val="standardContextual"/>
        </w:rPr>
      </w:pPr>
      <w:r w:rsidRPr="009B5F00">
        <w:rPr>
          <w:rFonts w:ascii="Verdana" w:eastAsia="Calibri" w:hAnsi="Verdana" w:cs="Arial"/>
          <w:kern w:val="2"/>
          <w14:ligatures w14:val="standardContextual"/>
        </w:rPr>
        <w:t xml:space="preserve">En consecuencia, los obligados a su aplicación, al adelantar sus procedimientos de selección, solo podrán modificarlos en los aspectos que los Documentos Tipo lo permitan. </w:t>
      </w:r>
      <w:r w:rsidRPr="009B5F00">
        <w:rPr>
          <w:rFonts w:ascii="Verdana" w:eastAsia="Calibri" w:hAnsi="Verdana" w:cs="Times New Roman"/>
          <w:kern w:val="2"/>
          <w:lang w:val="es-ES"/>
          <w14:ligatures w14:val="standardContextual"/>
        </w:rPr>
        <w:t xml:space="preserve">Esto corresponde a aquellos aspectos que se encuentran entre corchetes y resaltados en gris </w:t>
      </w:r>
      <w:r w:rsidRPr="009B5F00">
        <w:rPr>
          <w:rFonts w:ascii="Verdana" w:eastAsia="Calibri" w:hAnsi="Verdana" w:cs="Times New Roman"/>
          <w:kern w:val="2"/>
          <w:shd w:val="clear" w:color="auto" w:fill="E8E8E8"/>
          <w:lang w:val="es-ES"/>
          <w14:ligatures w14:val="standardContextual"/>
        </w:rPr>
        <w:t>–[texto]–,</w:t>
      </w:r>
      <w:r w:rsidRPr="009B5F00">
        <w:rPr>
          <w:rFonts w:ascii="Verdana" w:eastAsia="Calibri" w:hAnsi="Verdana" w:cs="Times New Roman"/>
          <w:kern w:val="2"/>
          <w:lang w:val="es-ES"/>
          <w14:ligatures w14:val="standardContextual"/>
        </w:rPr>
        <w:t xml:space="preserve"> para lo cual deberán observarse las instrucciones contenidas en los mismos para su diligenciamiento.</w:t>
      </w:r>
    </w:p>
    <w:p w14:paraId="125904C1" w14:textId="77777777" w:rsidR="005D7B04" w:rsidRPr="009B5F00" w:rsidRDefault="005D7B04" w:rsidP="005D7B04">
      <w:pPr>
        <w:widowControl w:val="0"/>
        <w:autoSpaceDE w:val="0"/>
        <w:autoSpaceDN w:val="0"/>
        <w:spacing w:after="120" w:line="276" w:lineRule="auto"/>
        <w:ind w:firstLine="708"/>
        <w:jc w:val="both"/>
        <w:rPr>
          <w:rFonts w:ascii="Verdana" w:eastAsia="Calibri" w:hAnsi="Verdana" w:cs="Times New Roman"/>
          <w:lang w:val="es-ES"/>
        </w:rPr>
      </w:pPr>
      <w:r w:rsidRPr="009B5F00">
        <w:rPr>
          <w:rFonts w:ascii="Verdana" w:eastAsia="Calibri" w:hAnsi="Verdana" w:cs="Times New Roman"/>
          <w:lang w:val="es-ES"/>
        </w:rPr>
        <w:t xml:space="preserve">Por lo tanto, la entidad solo podrá modificar aspectos de los Documentos Tipo cuando así esté permitido, en los términos expuestos. Lo anterior implica que, en los apartes en que los Documentos Tipo no lo permitan, la entidad </w:t>
      </w:r>
      <w:r w:rsidRPr="009B5F00">
        <w:rPr>
          <w:rFonts w:ascii="Verdana" w:eastAsia="Calibri" w:hAnsi="Verdana" w:cs="Times New Roman"/>
          <w:lang w:val="es-ES"/>
        </w:rPr>
        <w:lastRenderedPageBreak/>
        <w:t xml:space="preserve">deberá integrar el contenido de estos a su proceso de contratación sin ningún tipo de alteración. </w:t>
      </w:r>
    </w:p>
    <w:p w14:paraId="7C182857" w14:textId="77777777" w:rsidR="005D7B04" w:rsidRPr="009B5F00" w:rsidRDefault="005D7B04" w:rsidP="005D7B04">
      <w:pPr>
        <w:widowControl w:val="0"/>
        <w:autoSpaceDE w:val="0"/>
        <w:autoSpaceDN w:val="0"/>
        <w:spacing w:after="120" w:line="276" w:lineRule="auto"/>
        <w:ind w:firstLine="708"/>
        <w:jc w:val="both"/>
        <w:rPr>
          <w:rFonts w:ascii="Verdana" w:eastAsia="Calibri" w:hAnsi="Verdana" w:cs="Times New Roman"/>
          <w:lang w:val="es-ES"/>
        </w:rPr>
      </w:pPr>
      <w:r w:rsidRPr="009B5F00">
        <w:rPr>
          <w:rFonts w:ascii="Verdana" w:eastAsia="Calibri" w:hAnsi="Verdana" w:cs="Times New Roman"/>
          <w:lang w:val="es-ES"/>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45D095B4" w14:textId="77777777" w:rsidR="005D7B04" w:rsidRPr="009B5F00" w:rsidRDefault="005D7B04" w:rsidP="005D7B04">
      <w:pPr>
        <w:widowControl w:val="0"/>
        <w:autoSpaceDE w:val="0"/>
        <w:autoSpaceDN w:val="0"/>
        <w:spacing w:after="120" w:line="276" w:lineRule="auto"/>
        <w:ind w:firstLine="708"/>
        <w:jc w:val="both"/>
        <w:rPr>
          <w:rFonts w:ascii="Verdana" w:eastAsia="Calibri" w:hAnsi="Verdana" w:cs="Times New Roman"/>
          <w:lang w:val="es-ES"/>
        </w:rPr>
      </w:pPr>
      <w:r w:rsidRPr="009B5F00">
        <w:rPr>
          <w:rFonts w:ascii="Verdana" w:eastAsia="Calibri" w:hAnsi="Verdana" w:cs="Times New Roman"/>
          <w:lang w:val="es-ES"/>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6E0BFD38" w14:textId="77777777" w:rsidR="005D7B04" w:rsidRPr="009B5F00" w:rsidRDefault="005D7B04" w:rsidP="005D7B04">
      <w:pPr>
        <w:widowControl w:val="0"/>
        <w:autoSpaceDE w:val="0"/>
        <w:autoSpaceDN w:val="0"/>
        <w:spacing w:after="120" w:line="276" w:lineRule="auto"/>
        <w:ind w:firstLine="708"/>
        <w:jc w:val="both"/>
        <w:rPr>
          <w:rFonts w:ascii="Verdana" w:eastAsia="Calibri" w:hAnsi="Verdana" w:cs="Times New Roman"/>
          <w:lang w:val="es-ES"/>
        </w:rPr>
      </w:pPr>
      <w:r w:rsidRPr="009B5F00">
        <w:rPr>
          <w:rFonts w:ascii="Verdana" w:eastAsia="Calibri" w:hAnsi="Verdana" w:cs="Times New Roman"/>
          <w:lang w:val="es-ES"/>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5CFE3D96" w14:textId="77777777" w:rsidR="005D7B04" w:rsidRPr="009B5F00" w:rsidRDefault="005D7B04" w:rsidP="005D7B04">
      <w:pPr>
        <w:widowControl w:val="0"/>
        <w:autoSpaceDE w:val="0"/>
        <w:autoSpaceDN w:val="0"/>
        <w:spacing w:after="0" w:line="276" w:lineRule="auto"/>
        <w:ind w:firstLine="708"/>
        <w:jc w:val="both"/>
        <w:rPr>
          <w:rFonts w:ascii="Verdana" w:eastAsia="Calibri" w:hAnsi="Verdana" w:cs="Times New Roman"/>
          <w:lang w:val="es-ES"/>
        </w:rPr>
      </w:pPr>
      <w:r w:rsidRPr="009B5F00">
        <w:rPr>
          <w:rFonts w:ascii="Verdana" w:eastAsia="Calibri" w:hAnsi="Verdana" w:cs="Times New Roman"/>
          <w:lang w:val="es-ES"/>
        </w:rPr>
        <w:t>De esta manera, para saber a qué actividades deben aplicarse los Documentos Tipo de licitación de obra pública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208D8114" w14:textId="77777777" w:rsidR="005D7B04" w:rsidRPr="009B5F00" w:rsidRDefault="005D7B04" w:rsidP="005D7B04">
      <w:pPr>
        <w:widowControl w:val="0"/>
        <w:autoSpaceDE w:val="0"/>
        <w:autoSpaceDN w:val="0"/>
        <w:spacing w:after="0" w:line="276" w:lineRule="auto"/>
        <w:jc w:val="both"/>
        <w:rPr>
          <w:rFonts w:ascii="Verdana" w:eastAsia="Calibri" w:hAnsi="Verdana" w:cs="Times New Roman"/>
          <w:lang w:val="es-ES"/>
        </w:rPr>
      </w:pPr>
    </w:p>
    <w:p w14:paraId="6F9DB115" w14:textId="77777777" w:rsidR="005D7B04" w:rsidRPr="009B5F00" w:rsidRDefault="005D7B04" w:rsidP="005D7B04">
      <w:pPr>
        <w:snapToGrid w:val="0"/>
        <w:spacing w:after="120" w:line="276" w:lineRule="auto"/>
        <w:jc w:val="both"/>
        <w:rPr>
          <w:rFonts w:ascii="Verdana" w:eastAsia="Calibri" w:hAnsi="Verdana" w:cs="Times New Roman"/>
          <w:lang w:val="es-ES"/>
        </w:rPr>
      </w:pPr>
      <w:proofErr w:type="spellStart"/>
      <w:r w:rsidRPr="009B5F00">
        <w:rPr>
          <w:rFonts w:ascii="Verdana" w:eastAsia="Calibri" w:hAnsi="Verdana" w:cs="Times New Roman"/>
          <w:lang w:val="es-ES"/>
        </w:rPr>
        <w:lastRenderedPageBreak/>
        <w:t>ii</w:t>
      </w:r>
      <w:proofErr w:type="spellEnd"/>
      <w:r w:rsidRPr="009B5F00">
        <w:rPr>
          <w:rFonts w:ascii="Verdana" w:eastAsia="Calibri" w:hAnsi="Verdana" w:cs="Times New Roman"/>
          <w:lang w:val="es-ES"/>
        </w:rPr>
        <w:t>. La parte introductoria del pliego de condiciones de los documentos tipo adoptados por medio de la Resolución 465 del 10 de septiembre de 2024, dispone que estos aplican a los procedimientos de selección de licitación de obra pública de infraestructura de transporte (versión 4), que correspondan a las actividades definidas en la “Matriz 1 – Experiencia”. En consecuencia, las actividades de infraestructura de transporte no contempladas en la Matriz 1 – Experiencia no tienen que aplicar los documentos tipo; sin perjuicio de lo previsto en el artículo 2.2.1.1.1.2.1 del Decreto 1082 de 2015 o la norma que la modifique, sustituya o complemente, además, de lo contenido en el artículo 4 de la Resolución 465 de 2024, en donde se indica la posibilidad de exigir experiencia adicional en determinados supuestos.</w:t>
      </w:r>
    </w:p>
    <w:p w14:paraId="0F9F6426" w14:textId="77777777" w:rsidR="005D7B04" w:rsidRPr="009B5F00" w:rsidRDefault="005D7B04" w:rsidP="005D7B04">
      <w:pPr>
        <w:snapToGrid w:val="0"/>
        <w:spacing w:after="120" w:line="276" w:lineRule="auto"/>
        <w:ind w:firstLine="644"/>
        <w:jc w:val="both"/>
        <w:rPr>
          <w:rFonts w:ascii="Verdana" w:eastAsia="Times New Roman" w:hAnsi="Verdana" w:cs="Arial"/>
          <w:kern w:val="2"/>
          <w:shd w:val="clear" w:color="auto" w:fill="FFFFFF"/>
          <w:lang w:val="es-ES" w:eastAsia="es-ES"/>
          <w14:ligatures w14:val="standardContextual"/>
        </w:rPr>
      </w:pPr>
      <w:r w:rsidRPr="009B5F00">
        <w:rPr>
          <w:rFonts w:ascii="Verdana" w:eastAsia="Calibri" w:hAnsi="Verdana" w:cs="Times New Roman"/>
          <w:lang w:val="es-ES"/>
        </w:rPr>
        <w:tab/>
      </w:r>
      <w:r w:rsidRPr="009B5F00">
        <w:rPr>
          <w:rFonts w:ascii="Verdana" w:eastAsia="Aptos" w:hAnsi="Verdana" w:cs="Arial"/>
          <w:color w:val="000000"/>
          <w:kern w:val="2"/>
          <w14:ligatures w14:val="standardContextual"/>
        </w:rPr>
        <w:t xml:space="preserve">La Matriz 1 – Experiencia de los documentos tipo de obra pública de infraestructura de transporte, está constituida por nueve (9) tipos de obras de infraestructura de transporte, identificadas con un número y su descripción, las cuales son: 1) obras en vías primarias o secundarias, 2) obras en vías terciarias, 3) obras marítimas y fluviales, 4) obras en vías primarias o secundarias o terciarias o urbanas para atención, prevención o mitigación de emergencias diferentes a contratación directa, 5) obras férreas, 6) obras de infraestructura vial urbana, 7) obras en puentes, 8) obras aeroportuarias y 9) Obras en túneles. Estas determinan el marco para la aplicación de los documentos tipo de infraestructura de transporte, dado que comprenden todas aquellas actividades que constituyen obra pública de infraestructura de transporte y que han sido objeto de estandarización mediante la Resolución  </w:t>
      </w:r>
      <w:r w:rsidRPr="009B5F00">
        <w:rPr>
          <w:rFonts w:ascii="Verdana" w:eastAsia="Calibri" w:hAnsi="Verdana" w:cs="Times New Roman"/>
          <w:lang w:val="es-ES"/>
        </w:rPr>
        <w:t>465 del 10 de septiembre de 2024.</w:t>
      </w:r>
    </w:p>
    <w:p w14:paraId="70D1C079" w14:textId="77777777" w:rsidR="005D7B04" w:rsidRPr="009B5F00" w:rsidRDefault="005D7B04" w:rsidP="005D7B04">
      <w:pPr>
        <w:snapToGrid w:val="0"/>
        <w:spacing w:after="120" w:line="276" w:lineRule="auto"/>
        <w:ind w:firstLine="644"/>
        <w:jc w:val="both"/>
        <w:rPr>
          <w:rFonts w:ascii="Verdana" w:eastAsia="Aptos" w:hAnsi="Verdana" w:cs="Arial"/>
          <w:color w:val="000000"/>
          <w:kern w:val="2"/>
          <w:sz w:val="24"/>
          <w:szCs w:val="24"/>
          <w14:ligatures w14:val="standardContextual"/>
        </w:rPr>
      </w:pPr>
      <w:r w:rsidRPr="009B5F00">
        <w:rPr>
          <w:rFonts w:ascii="Verdana" w:eastAsia="Aptos" w:hAnsi="Verdana" w:cs="Arial"/>
          <w:color w:val="000000"/>
          <w:kern w:val="2"/>
          <w14:ligatures w14:val="standardContextual"/>
        </w:rPr>
        <w:t>Con respecto a la actividad a contratar, la Matriz 1 establece cuáles son las que corresponden a cada uno de los tipos de infraestructura mencionados, con el fin de que la entidad identifique aquellas en las cuales puede encuadrarse, de mejor forma, el objeto que pretende ejecutar y determinar los requisitos de experiencia exigibles</w:t>
      </w:r>
      <w:r w:rsidRPr="009B5F00">
        <w:rPr>
          <w:rFonts w:ascii="Verdana" w:eastAsia="Aptos" w:hAnsi="Verdana" w:cs="Arial"/>
          <w:color w:val="000000"/>
          <w:kern w:val="2"/>
          <w:sz w:val="24"/>
          <w:szCs w:val="24"/>
          <w14:ligatures w14:val="standardContextual"/>
        </w:rPr>
        <w:t xml:space="preserve">. </w:t>
      </w:r>
    </w:p>
    <w:p w14:paraId="39D1C46A" w14:textId="77777777" w:rsidR="005D7B04" w:rsidRPr="00603CE0" w:rsidRDefault="005D7B04" w:rsidP="005D7B04">
      <w:pPr>
        <w:snapToGrid w:val="0"/>
        <w:spacing w:before="120" w:after="120" w:line="276" w:lineRule="auto"/>
        <w:ind w:firstLine="644"/>
        <w:jc w:val="both"/>
        <w:rPr>
          <w:rFonts w:ascii="Verdana" w:eastAsia="Calibri" w:hAnsi="Verdana" w:cs="Arial"/>
          <w:color w:val="0D0D0D"/>
          <w:lang w:val="es-MX"/>
        </w:rPr>
      </w:pPr>
      <w:r w:rsidRPr="009B5F00">
        <w:rPr>
          <w:rFonts w:ascii="Verdana" w:eastAsia="Aptos" w:hAnsi="Verdana" w:cs="Arial"/>
          <w:color w:val="000000"/>
          <w:kern w:val="2"/>
          <w14:ligatures w14:val="standardContextual"/>
        </w:rPr>
        <w:t xml:space="preserve">Teniendo en cuenta que en la consulta se indaga si es o no obligatoria la aplicación de los documentos tipo de licitación de obra pública de infraestructura de transporte – versión 4, </w:t>
      </w:r>
      <w:r>
        <w:rPr>
          <w:rFonts w:ascii="Verdana" w:eastAsia="Aptos" w:hAnsi="Verdana" w:cs="Arial"/>
          <w:color w:val="000000"/>
          <w:kern w:val="2"/>
          <w14:ligatures w14:val="standardContextual"/>
        </w:rPr>
        <w:t xml:space="preserve">en unos procesos de selección que se relacionan con la “construcción de obras de estabilidad geotécnica y manejo de aguas lluvias en sitios con procesos de inestabilidad y reparación de áreas con tratamiento geotécnico”. Sobre la actividad señalad, la Agencia Nacional de Contratación </w:t>
      </w:r>
      <w:r>
        <w:rPr>
          <w:rFonts w:ascii="Verdana" w:eastAsia="Aptos" w:hAnsi="Verdana" w:cs="Arial"/>
          <w:color w:val="000000"/>
          <w:kern w:val="2"/>
          <w14:ligatures w14:val="standardContextual"/>
        </w:rPr>
        <w:lastRenderedPageBreak/>
        <w:t xml:space="preserve">Pública – Colombia Compra Eficiente entiende que la actividad que se señala </w:t>
      </w:r>
      <w:r w:rsidRPr="002D1647">
        <w:rPr>
          <w:rFonts w:ascii="Verdana" w:eastAsia="Aptos" w:hAnsi="Verdana" w:cs="Arial"/>
          <w:color w:val="000000"/>
          <w:kern w:val="2"/>
          <w14:ligatures w14:val="standardContextual"/>
        </w:rPr>
        <w:t xml:space="preserve">comprende la ejecución de obras de ingeniería y bioingeniería orientadas a controlar procesos de inestabilidad del terreno –deslizamientos, erosiones, socavaciones– y a manejar adecuadamente las aguas de escorrentía y subsuperficiales que los originan o agravan en sitios previamente diagnosticados como críticos. </w:t>
      </w:r>
    </w:p>
    <w:p w14:paraId="3F68E3E9" w14:textId="77777777" w:rsidR="005D7B04" w:rsidRPr="00603CE0" w:rsidRDefault="005D7B04" w:rsidP="005D7B04">
      <w:pPr>
        <w:pStyle w:val="NormalWeb"/>
        <w:spacing w:before="0" w:beforeAutospacing="0" w:after="120" w:afterAutospacing="0" w:line="276" w:lineRule="auto"/>
        <w:ind w:firstLine="644"/>
        <w:jc w:val="both"/>
        <w:rPr>
          <w:rFonts w:ascii="Verdana" w:hAnsi="Verdana"/>
          <w:sz w:val="22"/>
          <w:szCs w:val="22"/>
        </w:rPr>
      </w:pPr>
      <w:r w:rsidRPr="00603CE0">
        <w:rPr>
          <w:rFonts w:ascii="Verdana" w:hAnsi="Verdana"/>
          <w:sz w:val="22"/>
          <w:szCs w:val="22"/>
        </w:rPr>
        <w:t>Con el alcance de la actividad así señalado, es necesario establecer si a esta le resultan aplicables los documentos tipo de licitación de obra pública de infraestructura de transporte – versión 4, para lo cual corresponde verificar si el objeto a contratar es subsumible en alguna de las actividades contempladas en la Matriz 1 – Experiencia, para el respectivo tipo de obra.</w:t>
      </w:r>
      <w:r>
        <w:rPr>
          <w:rFonts w:ascii="Verdana" w:hAnsi="Verdana"/>
          <w:sz w:val="22"/>
          <w:szCs w:val="22"/>
        </w:rPr>
        <w:t xml:space="preserve"> </w:t>
      </w:r>
      <w:r w:rsidRPr="00603CE0">
        <w:rPr>
          <w:rFonts w:ascii="Verdana" w:hAnsi="Verdana"/>
          <w:sz w:val="22"/>
          <w:szCs w:val="22"/>
        </w:rPr>
        <w:t xml:space="preserve">De esta forma, le indicamos que, revisada la Matriz 1 – Experiencia de los documentos tipo adoptados mediante la Resolución No. 465 de 2024, la actividad objeto de consulta </w:t>
      </w:r>
      <w:r w:rsidRPr="00603CE0">
        <w:rPr>
          <w:rFonts w:ascii="Verdana" w:hAnsi="Verdana"/>
          <w:i/>
          <w:iCs/>
          <w:sz w:val="22"/>
          <w:szCs w:val="22"/>
        </w:rPr>
        <w:t>puede eventualmente</w:t>
      </w:r>
      <w:r w:rsidRPr="00603CE0">
        <w:rPr>
          <w:rFonts w:ascii="Verdana" w:hAnsi="Verdana"/>
          <w:sz w:val="22"/>
          <w:szCs w:val="22"/>
        </w:rPr>
        <w:t xml:space="preserve"> enmarcarse en las siguientes actividades:</w:t>
      </w:r>
    </w:p>
    <w:p w14:paraId="35FC2D79" w14:textId="77777777" w:rsidR="005D7B04" w:rsidRDefault="005D7B04" w:rsidP="005D7B04">
      <w:pPr>
        <w:snapToGrid w:val="0"/>
        <w:spacing w:after="0" w:line="276" w:lineRule="auto"/>
        <w:ind w:firstLine="644"/>
        <w:jc w:val="both"/>
        <w:rPr>
          <w:rFonts w:ascii="Verdana" w:eastAsia="Calibri" w:hAnsi="Verdana" w:cs="Arial"/>
          <w:color w:val="0D0D0D"/>
          <w:lang w:val="es-MX"/>
        </w:rPr>
      </w:pPr>
    </w:p>
    <w:p w14:paraId="26694DE8" w14:textId="77777777" w:rsidR="005D7B04" w:rsidRPr="00603CE0" w:rsidRDefault="005D7B04" w:rsidP="005D7B04">
      <w:pPr>
        <w:spacing w:after="120" w:line="240" w:lineRule="auto"/>
        <w:ind w:left="709" w:right="709"/>
        <w:jc w:val="both"/>
        <w:rPr>
          <w:rFonts w:ascii="Verdana" w:eastAsia="Calibri" w:hAnsi="Verdana" w:cs="Arial"/>
          <w:color w:val="0D0D0D"/>
          <w:sz w:val="21"/>
          <w:szCs w:val="21"/>
          <w:lang w:val="es-MX"/>
        </w:rPr>
      </w:pPr>
      <w:r w:rsidRPr="00603CE0">
        <w:rPr>
          <w:rFonts w:ascii="Verdana" w:eastAsia="Calibri" w:hAnsi="Verdana" w:cs="Arial"/>
          <w:color w:val="0D0D0D"/>
          <w:sz w:val="21"/>
          <w:szCs w:val="21"/>
          <w:lang w:val="es-MX"/>
        </w:rPr>
        <w:t>“1. OBRAS EN VÍAS PRIMARIAS O SECUNDARIAS</w:t>
      </w:r>
    </w:p>
    <w:p w14:paraId="30DE73AE" w14:textId="77777777" w:rsidR="005D7B04" w:rsidRPr="00603CE0" w:rsidRDefault="005D7B04" w:rsidP="005D7B04">
      <w:pPr>
        <w:spacing w:after="120" w:line="240" w:lineRule="auto"/>
        <w:ind w:left="709" w:right="709"/>
        <w:jc w:val="both"/>
        <w:rPr>
          <w:rFonts w:ascii="Verdana" w:eastAsia="Calibri" w:hAnsi="Verdana" w:cs="Arial"/>
          <w:color w:val="0D0D0D"/>
          <w:sz w:val="21"/>
          <w:szCs w:val="21"/>
          <w:lang w:val="es-MX"/>
        </w:rPr>
      </w:pPr>
      <w:r w:rsidRPr="00603CE0">
        <w:rPr>
          <w:rFonts w:ascii="Verdana" w:eastAsia="Calibri" w:hAnsi="Verdana" w:cs="Arial"/>
          <w:color w:val="0D0D0D"/>
          <w:sz w:val="21"/>
          <w:szCs w:val="21"/>
          <w:lang w:val="es-MX"/>
        </w:rPr>
        <w:t>(…)</w:t>
      </w:r>
    </w:p>
    <w:p w14:paraId="6108AF1A" w14:textId="77777777" w:rsidR="005D7B04" w:rsidRPr="00603CE0" w:rsidRDefault="005D7B04" w:rsidP="005D7B04">
      <w:pPr>
        <w:spacing w:after="120" w:line="240" w:lineRule="auto"/>
        <w:ind w:left="709" w:right="709"/>
        <w:jc w:val="both"/>
        <w:rPr>
          <w:rFonts w:ascii="Verdana" w:eastAsia="Calibri" w:hAnsi="Verdana" w:cs="Arial"/>
          <w:color w:val="0D0D0D"/>
          <w:sz w:val="21"/>
          <w:szCs w:val="21"/>
          <w:lang w:val="es-MX"/>
        </w:rPr>
      </w:pPr>
      <w:r w:rsidRPr="00603CE0">
        <w:rPr>
          <w:rFonts w:ascii="Verdana" w:eastAsia="Calibri" w:hAnsi="Verdana" w:cs="Arial"/>
          <w:color w:val="0D0D0D"/>
          <w:sz w:val="21"/>
          <w:szCs w:val="21"/>
          <w:lang w:val="es-MX"/>
        </w:rPr>
        <w:t>1.7 PROYECTOS DE CONSTRUCCCIÓN O RECONSTRUCCIÓN O  AMPLIACIÓN O REFORZAMIENTO ESTRUCTURAL O MANTENIMIENTO O REHABILITACION DE OBRAS DE DRENAJE ASOCIADAS A LA INFRAESTRUCTURA DE TRANSPORTE</w:t>
      </w:r>
    </w:p>
    <w:p w14:paraId="253270EF" w14:textId="77777777" w:rsidR="005D7B04" w:rsidRPr="00603CE0" w:rsidRDefault="005D7B04" w:rsidP="005D7B04">
      <w:pPr>
        <w:spacing w:after="120" w:line="240" w:lineRule="auto"/>
        <w:ind w:left="709" w:right="709"/>
        <w:jc w:val="both"/>
        <w:rPr>
          <w:rFonts w:ascii="Verdana" w:eastAsia="Calibri" w:hAnsi="Verdana" w:cs="Arial"/>
          <w:color w:val="0D0D0D"/>
          <w:sz w:val="21"/>
          <w:szCs w:val="21"/>
          <w:lang w:val="es-MX"/>
        </w:rPr>
      </w:pPr>
      <w:r w:rsidRPr="00603CE0">
        <w:rPr>
          <w:rFonts w:ascii="Verdana" w:eastAsia="Calibri" w:hAnsi="Verdana" w:cs="Arial"/>
          <w:color w:val="0D0D0D"/>
          <w:sz w:val="21"/>
          <w:szCs w:val="21"/>
          <w:lang w:val="es-MX"/>
        </w:rPr>
        <w:t xml:space="preserve">1.10 PROYECTOS DE REVEGETALIZACION Y/O PROTECCION DE TALUDES PARA CONTROL DE EROSION Y/O RECUBRIMIENTO DE TALUDES Y/O ACTIVIDADES DE PODA Y/O PLANTACION DE ARBOLES ASOCIADOS A LA INFRAESTRUCTURA DE TRANSPORTE </w:t>
      </w:r>
    </w:p>
    <w:p w14:paraId="1B23374D" w14:textId="77777777" w:rsidR="005D7B04" w:rsidRPr="00603CE0" w:rsidRDefault="005D7B04" w:rsidP="005D7B04">
      <w:pPr>
        <w:spacing w:after="120" w:line="240" w:lineRule="auto"/>
        <w:ind w:left="709" w:right="709"/>
        <w:jc w:val="both"/>
        <w:rPr>
          <w:rFonts w:ascii="Verdana" w:eastAsia="Calibri" w:hAnsi="Verdana" w:cs="Arial"/>
          <w:color w:val="0D0D0D"/>
          <w:sz w:val="21"/>
          <w:szCs w:val="21"/>
          <w:lang w:val="es-MX"/>
        </w:rPr>
      </w:pPr>
      <w:r w:rsidRPr="00603CE0">
        <w:rPr>
          <w:rFonts w:ascii="Verdana" w:eastAsia="Calibri" w:hAnsi="Verdana" w:cs="Arial"/>
          <w:color w:val="0D0D0D"/>
          <w:sz w:val="21"/>
          <w:szCs w:val="21"/>
          <w:lang w:val="es-MX"/>
        </w:rPr>
        <w:t>(…)</w:t>
      </w:r>
    </w:p>
    <w:p w14:paraId="310D3A79" w14:textId="77777777" w:rsidR="005D7B04" w:rsidRPr="00603CE0" w:rsidRDefault="005D7B04" w:rsidP="005D7B04">
      <w:pPr>
        <w:spacing w:after="120" w:line="240" w:lineRule="auto"/>
        <w:ind w:left="709" w:right="709"/>
        <w:jc w:val="both"/>
        <w:rPr>
          <w:rFonts w:ascii="Verdana" w:eastAsia="Times New Roman" w:hAnsi="Verdana" w:cs="Arial"/>
          <w:sz w:val="21"/>
          <w:szCs w:val="21"/>
          <w:lang w:eastAsia="es-MX"/>
        </w:rPr>
      </w:pPr>
      <w:r w:rsidRPr="00603CE0">
        <w:rPr>
          <w:rFonts w:ascii="Verdana" w:eastAsia="Times New Roman" w:hAnsi="Verdana" w:cs="Arial"/>
          <w:sz w:val="21"/>
          <w:szCs w:val="21"/>
          <w:lang w:eastAsia="es-MX"/>
        </w:rPr>
        <w:t>4. OBRAS EN VIAS PRIMARIAS O SECUNDARIAS O TERCIARIAS O URBANAS PARA ATENCIÓN, PREVENCIÓN O MITIGACIÓN DE EMERGENCIAS DIFERENTES A CONTRATACIÓN DIRECTA</w:t>
      </w:r>
    </w:p>
    <w:p w14:paraId="638901F5" w14:textId="77777777" w:rsidR="005D7B04" w:rsidRPr="00603CE0" w:rsidRDefault="005D7B04" w:rsidP="005D7B04">
      <w:pPr>
        <w:spacing w:after="120" w:line="240" w:lineRule="auto"/>
        <w:ind w:left="709" w:right="709"/>
        <w:jc w:val="both"/>
        <w:rPr>
          <w:rFonts w:ascii="Verdana" w:eastAsia="Calibri" w:hAnsi="Verdana" w:cs="Arial"/>
          <w:color w:val="0D0D0D"/>
          <w:sz w:val="21"/>
          <w:szCs w:val="21"/>
        </w:rPr>
      </w:pPr>
      <w:r w:rsidRPr="00603CE0">
        <w:rPr>
          <w:rFonts w:ascii="Verdana" w:eastAsia="Calibri" w:hAnsi="Verdana" w:cs="Arial"/>
          <w:color w:val="0D0D0D"/>
          <w:sz w:val="21"/>
          <w:szCs w:val="21"/>
        </w:rPr>
        <w:t>4.2 PROYECTOS DE ATENCION, PREVENCIÓN O MITIGACIÓN DE OBRAS DE EMERGENCIAS MEDIANTE OBRAS DE ESTABILIZACION DE TALUDES O RECUPERACION DE BANCA</w:t>
      </w:r>
    </w:p>
    <w:p w14:paraId="1A1CF138" w14:textId="77777777" w:rsidR="005D7B04" w:rsidRPr="00603CE0" w:rsidRDefault="005D7B04" w:rsidP="005D7B04">
      <w:pPr>
        <w:spacing w:after="120" w:line="240" w:lineRule="auto"/>
        <w:ind w:left="709" w:right="709"/>
        <w:jc w:val="both"/>
        <w:rPr>
          <w:rFonts w:ascii="Verdana" w:eastAsia="Calibri" w:hAnsi="Verdana" w:cs="Arial"/>
          <w:color w:val="0D0D0D"/>
          <w:sz w:val="21"/>
          <w:szCs w:val="21"/>
        </w:rPr>
      </w:pPr>
      <w:r w:rsidRPr="00603CE0">
        <w:rPr>
          <w:rFonts w:ascii="Verdana" w:eastAsia="Calibri" w:hAnsi="Verdana" w:cs="Arial"/>
          <w:color w:val="0D0D0D"/>
          <w:sz w:val="21"/>
          <w:szCs w:val="21"/>
        </w:rPr>
        <w:t>(…)</w:t>
      </w:r>
    </w:p>
    <w:p w14:paraId="635EA352" w14:textId="77777777" w:rsidR="005D7B04" w:rsidRPr="00603CE0" w:rsidRDefault="005D7B04" w:rsidP="005D7B04">
      <w:pPr>
        <w:spacing w:after="120" w:line="240" w:lineRule="auto"/>
        <w:ind w:left="709" w:right="709"/>
        <w:jc w:val="both"/>
        <w:rPr>
          <w:rFonts w:ascii="Verdana" w:eastAsia="Calibri" w:hAnsi="Verdana" w:cs="Arial"/>
          <w:color w:val="0D0D0D"/>
          <w:sz w:val="21"/>
          <w:szCs w:val="21"/>
        </w:rPr>
      </w:pPr>
      <w:r w:rsidRPr="00603CE0">
        <w:rPr>
          <w:rFonts w:ascii="Verdana" w:eastAsia="Calibri" w:hAnsi="Verdana" w:cs="Arial"/>
          <w:color w:val="0D0D0D"/>
          <w:sz w:val="21"/>
          <w:szCs w:val="21"/>
        </w:rPr>
        <w:t>4.4 PROYECTOS DE ATENCION, PREVENCIÓN O MITIGACIÓN DE OBRAS DE EMERGENCIAS EN ESTRUCTURAS HIDRÁULICAS EN CUERPOS DE AGUA</w:t>
      </w:r>
    </w:p>
    <w:p w14:paraId="40AC608C" w14:textId="77777777" w:rsidR="005D7B04" w:rsidRPr="00603CE0" w:rsidRDefault="005D7B04" w:rsidP="005D7B04">
      <w:pPr>
        <w:spacing w:after="120" w:line="240" w:lineRule="auto"/>
        <w:ind w:left="709" w:right="709"/>
        <w:jc w:val="both"/>
        <w:rPr>
          <w:rFonts w:ascii="Verdana" w:eastAsia="Calibri" w:hAnsi="Verdana" w:cs="Arial"/>
          <w:color w:val="0D0D0D"/>
          <w:sz w:val="21"/>
          <w:szCs w:val="21"/>
        </w:rPr>
      </w:pPr>
      <w:r w:rsidRPr="00603CE0">
        <w:rPr>
          <w:rFonts w:ascii="Verdana" w:eastAsia="Calibri" w:hAnsi="Verdana" w:cs="Arial"/>
          <w:color w:val="0D0D0D"/>
          <w:sz w:val="21"/>
          <w:szCs w:val="21"/>
        </w:rPr>
        <w:lastRenderedPageBreak/>
        <w:t>(…)</w:t>
      </w:r>
    </w:p>
    <w:p w14:paraId="3000B9F2" w14:textId="77777777" w:rsidR="005D7B04" w:rsidRPr="00603CE0" w:rsidRDefault="005D7B04" w:rsidP="005D7B04">
      <w:pPr>
        <w:spacing w:after="120" w:line="240" w:lineRule="auto"/>
        <w:ind w:right="709" w:firstLine="708"/>
        <w:jc w:val="both"/>
        <w:rPr>
          <w:rFonts w:ascii="Verdana" w:eastAsia="Times New Roman" w:hAnsi="Verdana" w:cs="Arial"/>
          <w:sz w:val="21"/>
          <w:szCs w:val="21"/>
          <w:lang w:eastAsia="es-MX"/>
        </w:rPr>
      </w:pPr>
      <w:r w:rsidRPr="00603CE0">
        <w:rPr>
          <w:rFonts w:ascii="Verdana" w:eastAsia="Times New Roman" w:hAnsi="Verdana" w:cs="Arial"/>
          <w:sz w:val="21"/>
          <w:szCs w:val="21"/>
          <w:lang w:eastAsia="es-MX"/>
        </w:rPr>
        <w:t>6. OBRAS DE INFRAESTRUCTURA VIAL URBANA</w:t>
      </w:r>
    </w:p>
    <w:p w14:paraId="26EA3FA6" w14:textId="77777777" w:rsidR="005D7B04" w:rsidRPr="00603CE0" w:rsidRDefault="005D7B04" w:rsidP="005D7B04">
      <w:pPr>
        <w:spacing w:after="120" w:line="240" w:lineRule="auto"/>
        <w:ind w:right="709" w:firstLine="708"/>
        <w:jc w:val="both"/>
        <w:rPr>
          <w:rFonts w:ascii="Verdana" w:eastAsia="Times New Roman" w:hAnsi="Verdana" w:cs="Arial"/>
          <w:sz w:val="21"/>
          <w:szCs w:val="21"/>
          <w:lang w:eastAsia="es-MX"/>
        </w:rPr>
      </w:pPr>
      <w:r w:rsidRPr="00603CE0">
        <w:rPr>
          <w:rFonts w:ascii="Verdana" w:eastAsia="Times New Roman" w:hAnsi="Verdana" w:cs="Arial"/>
          <w:sz w:val="21"/>
          <w:szCs w:val="21"/>
          <w:lang w:eastAsia="es-MX"/>
        </w:rPr>
        <w:t>(…)</w:t>
      </w:r>
    </w:p>
    <w:p w14:paraId="039888C4" w14:textId="77777777" w:rsidR="005D7B04" w:rsidRPr="00603CE0" w:rsidRDefault="005D7B04" w:rsidP="005D7B04">
      <w:pPr>
        <w:spacing w:after="120" w:line="240" w:lineRule="auto"/>
        <w:ind w:left="709" w:right="709"/>
        <w:jc w:val="both"/>
        <w:rPr>
          <w:rFonts w:ascii="Verdana" w:eastAsia="Times New Roman" w:hAnsi="Verdana" w:cs="Arial"/>
          <w:sz w:val="21"/>
          <w:szCs w:val="21"/>
          <w:lang w:eastAsia="es-MX"/>
        </w:rPr>
      </w:pPr>
      <w:r w:rsidRPr="00603CE0">
        <w:rPr>
          <w:rFonts w:ascii="Verdana" w:eastAsia="Times New Roman" w:hAnsi="Verdana" w:cs="Arial"/>
          <w:sz w:val="21"/>
          <w:szCs w:val="21"/>
          <w:lang w:eastAsia="es-MX"/>
        </w:rPr>
        <w:t>6.8 PROYECTOS DE CONSTRUCCION O REHABILITACION O MEJORAMIENTO EN SITIOS INESTABLES O CONTENCIÓN DE TALUDES O ESTABILIZACIÓN DE TALUDES</w:t>
      </w:r>
    </w:p>
    <w:p w14:paraId="0DC3894B" w14:textId="77777777" w:rsidR="005D7B04" w:rsidRPr="00603CE0" w:rsidRDefault="005D7B04" w:rsidP="005D7B04">
      <w:pPr>
        <w:spacing w:after="120" w:line="240" w:lineRule="auto"/>
        <w:ind w:left="709" w:right="709"/>
        <w:jc w:val="both"/>
        <w:rPr>
          <w:rFonts w:ascii="Verdana" w:eastAsia="Calibri" w:hAnsi="Verdana" w:cs="Arial"/>
          <w:color w:val="0D0D0D"/>
          <w:sz w:val="21"/>
          <w:szCs w:val="21"/>
        </w:rPr>
      </w:pPr>
      <w:r w:rsidRPr="00603CE0">
        <w:rPr>
          <w:rFonts w:ascii="Verdana" w:eastAsia="Calibri" w:hAnsi="Verdana" w:cs="Arial"/>
          <w:color w:val="0D0D0D"/>
          <w:sz w:val="21"/>
          <w:szCs w:val="21"/>
        </w:rPr>
        <w:t>(…)</w:t>
      </w:r>
    </w:p>
    <w:p w14:paraId="2176BDAB" w14:textId="77777777" w:rsidR="005D7B04" w:rsidRPr="00603CE0" w:rsidRDefault="005D7B04" w:rsidP="005D7B04">
      <w:pPr>
        <w:spacing w:after="0" w:line="240" w:lineRule="auto"/>
        <w:ind w:left="709" w:right="709"/>
        <w:jc w:val="both"/>
        <w:rPr>
          <w:rFonts w:ascii="Verdana" w:eastAsia="Calibri" w:hAnsi="Verdana" w:cs="Arial"/>
          <w:color w:val="0D0D0D"/>
          <w:sz w:val="21"/>
          <w:szCs w:val="21"/>
        </w:rPr>
      </w:pPr>
      <w:r w:rsidRPr="00603CE0">
        <w:rPr>
          <w:rFonts w:ascii="Verdana" w:eastAsia="Calibri" w:hAnsi="Verdana" w:cs="Arial"/>
          <w:color w:val="0D0D0D"/>
          <w:sz w:val="21"/>
          <w:szCs w:val="21"/>
        </w:rPr>
        <w:t xml:space="preserve">6.25. PROYECTOS DE REVEGETALIZACION, PROTECCION DE TALUDES PARA CONTROL DE EROSION, RECUBRIMIENTO DE TALUDES, PODA Y PLANTACION DE ARBOLES ASOCIADOS A LA INFRAESTRUCTURA DE TRANSPORTE”. </w:t>
      </w:r>
    </w:p>
    <w:p w14:paraId="6356FE2B" w14:textId="77777777" w:rsidR="005D7B04" w:rsidRDefault="005D7B04" w:rsidP="005D7B04">
      <w:pPr>
        <w:spacing w:after="0" w:line="276" w:lineRule="auto"/>
        <w:jc w:val="both"/>
        <w:rPr>
          <w:rFonts w:ascii="Verdana" w:eastAsia="Calibri" w:hAnsi="Verdana" w:cs="Arial"/>
          <w:color w:val="0D0D0D"/>
          <w:lang w:val="es-MX"/>
        </w:rPr>
      </w:pPr>
      <w:r>
        <w:rPr>
          <w:rFonts w:ascii="Verdana" w:eastAsia="Calibri" w:hAnsi="Verdana" w:cs="Arial"/>
          <w:color w:val="0D0D0D"/>
          <w:lang w:val="es-MX"/>
        </w:rPr>
        <w:tab/>
      </w:r>
    </w:p>
    <w:p w14:paraId="1B61A88A" w14:textId="77777777" w:rsidR="005D7B04" w:rsidRPr="00603CE0" w:rsidRDefault="005D7B04" w:rsidP="005D7B04">
      <w:pPr>
        <w:pStyle w:val="NormalWeb"/>
        <w:spacing w:before="0" w:beforeAutospacing="0" w:after="120" w:afterAutospacing="0" w:line="276" w:lineRule="auto"/>
        <w:ind w:firstLine="708"/>
        <w:jc w:val="both"/>
        <w:rPr>
          <w:rFonts w:ascii="Verdana" w:hAnsi="Verdana"/>
          <w:sz w:val="22"/>
          <w:szCs w:val="22"/>
        </w:rPr>
      </w:pPr>
      <w:r w:rsidRPr="00603CE0">
        <w:rPr>
          <w:rFonts w:ascii="Verdana" w:hAnsi="Verdana"/>
          <w:sz w:val="22"/>
          <w:szCs w:val="22"/>
        </w:rPr>
        <w:t>En relación con las seis (6) actividades señaladas de forma precedente, que se encuentran contenidas en los documentos tipo de licitación de obra pública de infraestructura de transporte – versión 4, l</w:t>
      </w:r>
      <w:r w:rsidRPr="00DA2C8C">
        <w:rPr>
          <w:rFonts w:ascii="Verdana" w:hAnsi="Verdana"/>
          <w:sz w:val="22"/>
          <w:szCs w:val="22"/>
        </w:rPr>
        <w:t>as contenidas en los</w:t>
      </w:r>
      <w:r w:rsidRPr="00603CE0">
        <w:rPr>
          <w:rFonts w:ascii="Verdana" w:hAnsi="Verdana"/>
          <w:sz w:val="22"/>
          <w:szCs w:val="22"/>
        </w:rPr>
        <w:t xml:space="preserve"> numerales </w:t>
      </w:r>
      <w:r w:rsidRPr="00603CE0">
        <w:rPr>
          <w:rStyle w:val="Fuerte"/>
          <w:rFonts w:ascii="Verdana" w:eastAsiaTheme="majorEastAsia" w:hAnsi="Verdana"/>
          <w:sz w:val="22"/>
          <w:szCs w:val="22"/>
        </w:rPr>
        <w:t>1.7</w:t>
      </w:r>
      <w:r w:rsidRPr="00603CE0">
        <w:rPr>
          <w:rFonts w:ascii="Verdana" w:hAnsi="Verdana"/>
          <w:sz w:val="22"/>
          <w:szCs w:val="22"/>
        </w:rPr>
        <w:t xml:space="preserve"> y </w:t>
      </w:r>
      <w:r w:rsidRPr="00603CE0">
        <w:rPr>
          <w:rStyle w:val="Fuerte"/>
          <w:rFonts w:ascii="Verdana" w:eastAsiaTheme="majorEastAsia" w:hAnsi="Verdana"/>
          <w:sz w:val="22"/>
          <w:szCs w:val="22"/>
        </w:rPr>
        <w:t>1.10</w:t>
      </w:r>
      <w:r w:rsidRPr="00603CE0">
        <w:rPr>
          <w:rFonts w:ascii="Verdana" w:hAnsi="Verdana"/>
          <w:sz w:val="22"/>
          <w:szCs w:val="22"/>
        </w:rPr>
        <w:t xml:space="preserve"> se ubican en </w:t>
      </w:r>
      <w:r w:rsidRPr="00DA2C8C">
        <w:rPr>
          <w:rFonts w:ascii="Verdana" w:hAnsi="Verdana"/>
          <w:sz w:val="22"/>
          <w:szCs w:val="22"/>
        </w:rPr>
        <w:t xml:space="preserve">el tipo de infraestructura </w:t>
      </w:r>
      <w:r w:rsidRPr="00603CE0">
        <w:rPr>
          <w:rStyle w:val="nfasis"/>
          <w:rFonts w:ascii="Verdana" w:eastAsiaTheme="majorEastAsia" w:hAnsi="Verdana"/>
          <w:sz w:val="22"/>
          <w:szCs w:val="22"/>
        </w:rPr>
        <w:t>"1. OBRAS EN VÍAS PRIMARIAS O SECUNDARIAS"</w:t>
      </w:r>
      <w:r w:rsidRPr="00603CE0">
        <w:rPr>
          <w:rFonts w:ascii="Verdana" w:hAnsi="Verdana"/>
          <w:sz w:val="22"/>
          <w:szCs w:val="22"/>
        </w:rPr>
        <w:t xml:space="preserve">, por lo que aplican cuando la actividad de manejo de aguas </w:t>
      </w:r>
      <w:r w:rsidRPr="00DA2C8C">
        <w:rPr>
          <w:rFonts w:ascii="Verdana" w:hAnsi="Verdana"/>
          <w:sz w:val="22"/>
          <w:szCs w:val="22"/>
        </w:rPr>
        <w:t>–</w:t>
      </w:r>
      <w:r w:rsidRPr="00603CE0">
        <w:rPr>
          <w:rFonts w:ascii="Verdana" w:hAnsi="Verdana"/>
          <w:sz w:val="22"/>
          <w:szCs w:val="22"/>
        </w:rPr>
        <w:t>obras de drenaje</w:t>
      </w:r>
      <w:r w:rsidRPr="00DA2C8C">
        <w:rPr>
          <w:rFonts w:ascii="Verdana" w:hAnsi="Verdana"/>
          <w:sz w:val="22"/>
          <w:szCs w:val="22"/>
        </w:rPr>
        <w:t>–</w:t>
      </w:r>
      <w:r w:rsidRPr="00603CE0">
        <w:rPr>
          <w:rFonts w:ascii="Verdana" w:hAnsi="Verdana"/>
          <w:sz w:val="22"/>
          <w:szCs w:val="22"/>
        </w:rPr>
        <w:t xml:space="preserve"> o de protección</w:t>
      </w:r>
      <w:r>
        <w:rPr>
          <w:rFonts w:ascii="Verdana" w:hAnsi="Verdana"/>
          <w:sz w:val="22"/>
          <w:szCs w:val="22"/>
        </w:rPr>
        <w:t xml:space="preserve"> y/o </w:t>
      </w:r>
      <w:r w:rsidRPr="00603CE0">
        <w:rPr>
          <w:rFonts w:ascii="Verdana" w:hAnsi="Verdana"/>
          <w:sz w:val="22"/>
          <w:szCs w:val="22"/>
        </w:rPr>
        <w:t xml:space="preserve">estabilización de taludes está asociada a infraestructura de transporte de </w:t>
      </w:r>
      <w:r>
        <w:rPr>
          <w:rFonts w:ascii="Verdana" w:hAnsi="Verdana"/>
          <w:sz w:val="22"/>
          <w:szCs w:val="22"/>
        </w:rPr>
        <w:t xml:space="preserve">vías primarias </w:t>
      </w:r>
      <w:r w:rsidRPr="00603CE0">
        <w:rPr>
          <w:rStyle w:val="Fuerte"/>
          <w:rFonts w:ascii="Verdana" w:eastAsiaTheme="majorEastAsia" w:hAnsi="Verdana"/>
          <w:sz w:val="22"/>
          <w:szCs w:val="22"/>
        </w:rPr>
        <w:t>o secundari</w:t>
      </w:r>
      <w:r>
        <w:rPr>
          <w:rStyle w:val="Fuerte"/>
          <w:rFonts w:ascii="Verdana" w:eastAsiaTheme="majorEastAsia" w:hAnsi="Verdana"/>
          <w:sz w:val="22"/>
          <w:szCs w:val="22"/>
        </w:rPr>
        <w:t>as</w:t>
      </w:r>
      <w:r w:rsidRPr="00603CE0">
        <w:rPr>
          <w:rFonts w:ascii="Verdana" w:hAnsi="Verdana"/>
          <w:sz w:val="22"/>
          <w:szCs w:val="22"/>
        </w:rPr>
        <w:t>, en un contexto</w:t>
      </w:r>
      <w:r>
        <w:rPr>
          <w:rFonts w:ascii="Verdana" w:hAnsi="Verdana"/>
          <w:sz w:val="22"/>
          <w:szCs w:val="22"/>
        </w:rPr>
        <w:t xml:space="preserve"> en el que no sea </w:t>
      </w:r>
      <w:r w:rsidRPr="00603CE0">
        <w:rPr>
          <w:rFonts w:ascii="Verdana" w:hAnsi="Verdana"/>
          <w:sz w:val="22"/>
          <w:szCs w:val="22"/>
        </w:rPr>
        <w:t>atención de emergencia</w:t>
      </w:r>
      <w:r>
        <w:rPr>
          <w:rFonts w:ascii="Verdana" w:hAnsi="Verdana"/>
          <w:sz w:val="22"/>
          <w:szCs w:val="22"/>
        </w:rPr>
        <w:t>s</w:t>
      </w:r>
      <w:r w:rsidRPr="00603CE0">
        <w:rPr>
          <w:rFonts w:ascii="Verdana" w:hAnsi="Verdana"/>
          <w:sz w:val="22"/>
          <w:szCs w:val="22"/>
        </w:rPr>
        <w:t>.</w:t>
      </w:r>
    </w:p>
    <w:p w14:paraId="0C8B85B6" w14:textId="77777777" w:rsidR="005D7B04" w:rsidRDefault="005D7B04" w:rsidP="005D7B04">
      <w:pPr>
        <w:pStyle w:val="NormalWeb"/>
        <w:spacing w:before="0" w:beforeAutospacing="0" w:after="120" w:afterAutospacing="0" w:line="276" w:lineRule="auto"/>
        <w:ind w:firstLine="708"/>
        <w:jc w:val="both"/>
        <w:rPr>
          <w:rStyle w:val="Fuerte"/>
          <w:rFonts w:ascii="Verdana" w:eastAsiaTheme="majorEastAsia" w:hAnsi="Verdana"/>
          <w:b w:val="0"/>
          <w:bCs w:val="0"/>
          <w:sz w:val="22"/>
          <w:szCs w:val="22"/>
        </w:rPr>
      </w:pPr>
      <w:r>
        <w:rPr>
          <w:rFonts w:ascii="Verdana" w:hAnsi="Verdana"/>
          <w:sz w:val="22"/>
          <w:szCs w:val="22"/>
        </w:rPr>
        <w:t xml:space="preserve">Por su parte, las actividades contenidas en los numerales </w:t>
      </w:r>
      <w:r w:rsidRPr="00603CE0">
        <w:rPr>
          <w:rStyle w:val="Fuerte"/>
          <w:rFonts w:ascii="Verdana" w:eastAsiaTheme="majorEastAsia" w:hAnsi="Verdana"/>
          <w:sz w:val="22"/>
          <w:szCs w:val="22"/>
        </w:rPr>
        <w:t>4.2</w:t>
      </w:r>
      <w:r w:rsidRPr="00603CE0">
        <w:rPr>
          <w:rFonts w:ascii="Verdana" w:hAnsi="Verdana"/>
          <w:sz w:val="22"/>
          <w:szCs w:val="22"/>
        </w:rPr>
        <w:t xml:space="preserve"> y </w:t>
      </w:r>
      <w:r w:rsidRPr="00603CE0">
        <w:rPr>
          <w:rStyle w:val="Fuerte"/>
          <w:rFonts w:ascii="Verdana" w:eastAsiaTheme="majorEastAsia" w:hAnsi="Verdana"/>
          <w:sz w:val="22"/>
          <w:szCs w:val="22"/>
        </w:rPr>
        <w:t>4.4</w:t>
      </w:r>
      <w:r w:rsidRPr="00603CE0">
        <w:rPr>
          <w:rFonts w:ascii="Verdana" w:hAnsi="Verdana"/>
          <w:sz w:val="22"/>
          <w:szCs w:val="22"/>
        </w:rPr>
        <w:t xml:space="preserve"> se ubican dentro de la categoría </w:t>
      </w:r>
      <w:r>
        <w:rPr>
          <w:rFonts w:ascii="Verdana" w:hAnsi="Verdana"/>
          <w:sz w:val="22"/>
          <w:szCs w:val="22"/>
        </w:rPr>
        <w:t xml:space="preserve">de </w:t>
      </w:r>
      <w:r w:rsidRPr="00603CE0">
        <w:rPr>
          <w:rStyle w:val="nfasis"/>
          <w:rFonts w:ascii="Verdana" w:eastAsiaTheme="majorEastAsia" w:hAnsi="Verdana"/>
          <w:sz w:val="22"/>
          <w:szCs w:val="22"/>
        </w:rPr>
        <w:t>"4. OBRAS EN VÍAS PRIMARIAS O SECUNDARIAS O TERCIARIAS O URBANAS PARA ATENCIÓN, PREVENCIÓN O MITIGACIÓN DE EMERGENCIAS DIFERENTES A CONTRATACIÓN DIRECTA"</w:t>
      </w:r>
      <w:r w:rsidRPr="00603CE0">
        <w:rPr>
          <w:rFonts w:ascii="Verdana" w:hAnsi="Verdana"/>
          <w:sz w:val="22"/>
          <w:szCs w:val="22"/>
        </w:rPr>
        <w:t xml:space="preserve">, por lo </w:t>
      </w:r>
      <w:r>
        <w:rPr>
          <w:rFonts w:ascii="Verdana" w:hAnsi="Verdana"/>
          <w:sz w:val="22"/>
          <w:szCs w:val="22"/>
        </w:rPr>
        <w:t xml:space="preserve">que, estas aplican </w:t>
      </w:r>
      <w:r w:rsidRPr="00603CE0">
        <w:rPr>
          <w:rStyle w:val="Fuerte"/>
          <w:rFonts w:ascii="Verdana" w:eastAsiaTheme="majorEastAsia" w:hAnsi="Verdana"/>
          <w:sz w:val="22"/>
          <w:szCs w:val="22"/>
        </w:rPr>
        <w:t xml:space="preserve">cuando la actividad se enmarca en un contexto de atención, </w:t>
      </w:r>
      <w:r>
        <w:rPr>
          <w:rStyle w:val="Fuerte"/>
          <w:rFonts w:ascii="Verdana" w:eastAsiaTheme="majorEastAsia" w:hAnsi="Verdana"/>
          <w:sz w:val="22"/>
          <w:szCs w:val="22"/>
        </w:rPr>
        <w:t xml:space="preserve">prevención o mitigación de una emergencia o riesgo declarado, independientemente del tipo de vía involucradas –primaria, secundaria, terciaria–, y siempre que el proceso de selección no corresponda con contratación directa. </w:t>
      </w:r>
    </w:p>
    <w:p w14:paraId="5F9546D8" w14:textId="77777777" w:rsidR="005D7B04" w:rsidRPr="004F02F4" w:rsidRDefault="005D7B04" w:rsidP="005D7B04">
      <w:pPr>
        <w:pStyle w:val="NormalWeb"/>
        <w:spacing w:before="0" w:beforeAutospacing="0" w:after="120" w:afterAutospacing="0" w:line="276" w:lineRule="auto"/>
        <w:ind w:firstLine="708"/>
        <w:jc w:val="both"/>
        <w:rPr>
          <w:rFonts w:ascii="Verdana" w:hAnsi="Verdana"/>
          <w:sz w:val="22"/>
          <w:szCs w:val="22"/>
        </w:rPr>
      </w:pPr>
      <w:r>
        <w:rPr>
          <w:rFonts w:ascii="Verdana" w:hAnsi="Verdana"/>
          <w:sz w:val="22"/>
          <w:szCs w:val="22"/>
        </w:rPr>
        <w:t xml:space="preserve">Finalmente, las actividades contenidas en los numerales </w:t>
      </w:r>
      <w:r w:rsidRPr="00603CE0">
        <w:rPr>
          <w:rStyle w:val="Fuerte"/>
          <w:rFonts w:ascii="Verdana" w:eastAsiaTheme="majorEastAsia" w:hAnsi="Verdana"/>
          <w:sz w:val="22"/>
          <w:szCs w:val="22"/>
        </w:rPr>
        <w:t>6.8</w:t>
      </w:r>
      <w:r w:rsidRPr="00603CE0">
        <w:rPr>
          <w:rFonts w:ascii="Verdana" w:hAnsi="Verdana"/>
          <w:sz w:val="22"/>
          <w:szCs w:val="22"/>
        </w:rPr>
        <w:t xml:space="preserve"> y </w:t>
      </w:r>
      <w:r w:rsidRPr="00603CE0">
        <w:rPr>
          <w:rStyle w:val="Fuerte"/>
          <w:rFonts w:ascii="Verdana" w:eastAsiaTheme="majorEastAsia" w:hAnsi="Verdana"/>
          <w:sz w:val="22"/>
          <w:szCs w:val="22"/>
        </w:rPr>
        <w:t>6.25</w:t>
      </w:r>
      <w:r w:rsidRPr="00603CE0">
        <w:rPr>
          <w:rFonts w:ascii="Verdana" w:hAnsi="Verdana"/>
          <w:sz w:val="22"/>
          <w:szCs w:val="22"/>
        </w:rPr>
        <w:t xml:space="preserve"> </w:t>
      </w:r>
      <w:r>
        <w:rPr>
          <w:rFonts w:ascii="Verdana" w:hAnsi="Verdana"/>
          <w:sz w:val="22"/>
          <w:szCs w:val="22"/>
        </w:rPr>
        <w:t xml:space="preserve">corresponden a </w:t>
      </w:r>
      <w:r w:rsidRPr="00603CE0">
        <w:rPr>
          <w:rStyle w:val="nfasis"/>
          <w:rFonts w:ascii="Verdana" w:eastAsiaTheme="majorEastAsia" w:hAnsi="Verdana"/>
          <w:sz w:val="22"/>
          <w:szCs w:val="22"/>
        </w:rPr>
        <w:t>"6. OBRAS DE INFRAESTRUCTURA VIAL URBANA"</w:t>
      </w:r>
      <w:r>
        <w:rPr>
          <w:rFonts w:ascii="Verdana" w:hAnsi="Verdana"/>
          <w:sz w:val="22"/>
          <w:szCs w:val="22"/>
        </w:rPr>
        <w:t>, por lo que aplican cuando el componente geotécnico –estabilización o contención de taludes, sitios inestables– o de protección de taludes está asociado a in</w:t>
      </w:r>
      <w:r w:rsidRPr="004F02F4">
        <w:rPr>
          <w:rFonts w:ascii="Verdana" w:hAnsi="Verdana"/>
          <w:sz w:val="22"/>
          <w:szCs w:val="22"/>
        </w:rPr>
        <w:t xml:space="preserve">fraestructura vial urbana, también en un contexto de intervención permanente y no de atención de emergencia declarada. </w:t>
      </w:r>
    </w:p>
    <w:p w14:paraId="7CCBC15A" w14:textId="77777777" w:rsidR="005D7B04" w:rsidRDefault="005D7B04" w:rsidP="005D7B04">
      <w:pPr>
        <w:pStyle w:val="NormalWeb"/>
        <w:spacing w:before="0" w:beforeAutospacing="0" w:after="120" w:afterAutospacing="0" w:line="276" w:lineRule="auto"/>
        <w:ind w:firstLine="708"/>
        <w:jc w:val="both"/>
        <w:rPr>
          <w:rFonts w:ascii="Verdana" w:hAnsi="Verdana"/>
          <w:sz w:val="22"/>
          <w:szCs w:val="22"/>
        </w:rPr>
      </w:pPr>
      <w:r w:rsidRPr="004F02F4">
        <w:rPr>
          <w:rFonts w:ascii="Verdana" w:hAnsi="Verdana"/>
          <w:sz w:val="22"/>
          <w:szCs w:val="22"/>
        </w:rPr>
        <w:lastRenderedPageBreak/>
        <w:t xml:space="preserve">De acuerdo con lo dispuesto en los tres (3) párrafos precedentes, </w:t>
      </w:r>
      <w:r w:rsidRPr="00603CE0">
        <w:rPr>
          <w:rFonts w:ascii="Verdana" w:hAnsi="Verdana"/>
          <w:sz w:val="22"/>
          <w:szCs w:val="22"/>
        </w:rPr>
        <w:t xml:space="preserve">las actividades señaladas pueden asociarse a dos (2) variables: </w:t>
      </w:r>
      <w:r w:rsidRPr="00603CE0">
        <w:rPr>
          <w:rStyle w:val="Fuerte"/>
          <w:rFonts w:ascii="Verdana" w:eastAsiaTheme="majorEastAsia" w:hAnsi="Verdana"/>
          <w:sz w:val="22"/>
          <w:szCs w:val="22"/>
        </w:rPr>
        <w:t>i)</w:t>
      </w:r>
      <w:r w:rsidRPr="00603CE0">
        <w:rPr>
          <w:rFonts w:ascii="Verdana" w:hAnsi="Verdana"/>
          <w:sz w:val="22"/>
          <w:szCs w:val="22"/>
        </w:rPr>
        <w:t xml:space="preserve"> si la intervención responde a una emergencia</w:t>
      </w:r>
      <w:r>
        <w:rPr>
          <w:rFonts w:ascii="Verdana" w:hAnsi="Verdana"/>
          <w:sz w:val="22"/>
          <w:szCs w:val="22"/>
        </w:rPr>
        <w:t xml:space="preserve"> o </w:t>
      </w:r>
      <w:r w:rsidRPr="00603CE0">
        <w:rPr>
          <w:rFonts w:ascii="Verdana" w:hAnsi="Verdana"/>
          <w:sz w:val="22"/>
          <w:szCs w:val="22"/>
        </w:rPr>
        <w:t xml:space="preserve">riesgo declarado –tipo de obra cuatro (4)– o a una obra permanente –tipo de obra uno (1) o seis (6)–, y </w:t>
      </w:r>
      <w:proofErr w:type="spellStart"/>
      <w:r w:rsidRPr="00603CE0">
        <w:rPr>
          <w:rStyle w:val="Fuerte"/>
          <w:rFonts w:ascii="Verdana" w:eastAsiaTheme="majorEastAsia" w:hAnsi="Verdana"/>
          <w:sz w:val="22"/>
          <w:szCs w:val="22"/>
        </w:rPr>
        <w:t>ii</w:t>
      </w:r>
      <w:proofErr w:type="spellEnd"/>
      <w:r w:rsidRPr="00603CE0">
        <w:rPr>
          <w:rStyle w:val="Fuerte"/>
          <w:rFonts w:ascii="Verdana" w:eastAsiaTheme="majorEastAsia" w:hAnsi="Verdana"/>
          <w:sz w:val="22"/>
          <w:szCs w:val="22"/>
        </w:rPr>
        <w:t>)</w:t>
      </w:r>
      <w:r w:rsidRPr="00603CE0">
        <w:rPr>
          <w:rFonts w:ascii="Verdana" w:hAnsi="Verdana"/>
          <w:sz w:val="22"/>
          <w:szCs w:val="22"/>
        </w:rPr>
        <w:t xml:space="preserve"> en este último caso, si la vía objeto de intervención es primaria o secundaria –obra uno (1)– o urbana –obra seis (6).</w:t>
      </w:r>
    </w:p>
    <w:p w14:paraId="2FC5A7B0" w14:textId="77777777" w:rsidR="005D7B04" w:rsidRPr="00603CE0" w:rsidRDefault="005D7B04" w:rsidP="005D7B04">
      <w:pPr>
        <w:spacing w:after="120" w:line="276" w:lineRule="auto"/>
        <w:ind w:firstLine="709"/>
        <w:jc w:val="both"/>
        <w:rPr>
          <w:rFonts w:ascii="Verdana" w:eastAsia="Aptos" w:hAnsi="Verdana" w:cs="Times New Roman"/>
          <w:kern w:val="2"/>
          <w14:ligatures w14:val="standardContextual"/>
        </w:rPr>
      </w:pPr>
      <w:r w:rsidRPr="00E15FD8">
        <w:rPr>
          <w:rFonts w:ascii="Verdana" w:eastAsia="Calibri" w:hAnsi="Verdana" w:cs="Calibri"/>
          <w:kern w:val="2"/>
          <w14:ligatures w14:val="standardContextual"/>
        </w:rPr>
        <w:t xml:space="preserve">Para comprender el alcance y aplicación </w:t>
      </w:r>
      <w:r>
        <w:rPr>
          <w:rFonts w:ascii="Verdana" w:eastAsia="Calibri" w:hAnsi="Verdana" w:cs="Calibri"/>
          <w:kern w:val="2"/>
          <w14:ligatures w14:val="standardContextual"/>
        </w:rPr>
        <w:t xml:space="preserve">de cada una de las actividades señaladas, y en consecuencia determinar si estas se ajustan al tipo de obra que pretende contratar la entidad </w:t>
      </w:r>
      <w:r>
        <w:rPr>
          <w:rFonts w:ascii="Verdana" w:eastAsia="Aptos" w:hAnsi="Verdana" w:cs="Arial"/>
          <w:color w:val="000000"/>
          <w:kern w:val="2"/>
          <w14:ligatures w14:val="standardContextual"/>
        </w:rPr>
        <w:t>“construcción de obras de estabilidad geotécnica y manejo de aguas lluvias en sitios con procesos de inestabilidad y reparación de áreas con tratamiento geotécnico”</w:t>
      </w:r>
      <w:r>
        <w:rPr>
          <w:rFonts w:ascii="Verdana" w:eastAsia="Calibri" w:hAnsi="Verdana" w:cs="Calibri"/>
          <w:kern w:val="2"/>
          <w14:ligatures w14:val="standardContextual"/>
        </w:rPr>
        <w:t xml:space="preserve">, </w:t>
      </w:r>
      <w:r w:rsidRPr="00E15FD8">
        <w:rPr>
          <w:rFonts w:ascii="Verdana" w:eastAsia="Calibri" w:hAnsi="Verdana" w:cs="Calibri"/>
          <w:kern w:val="2"/>
          <w14:ligatures w14:val="standardContextual"/>
        </w:rPr>
        <w:t>es necesario tener en cuenta las definiciones del “Anexo – Glosario” del sector de infraestructura de transporte. Lo anterior, en razón a que el numeral 1.10 del documento base dispone que “Para los fines de este pliego de condiciones, a menos que expresamente se estipule de otra manera, los términos deben entenderse de acuerdo con la definición contenida en el artículo 2.2.1.1.1.3.1 del Decreto 1082 de 2015, la Ley 1682 de 2013 o la norma que la modifique, complemente o sustituya, y el Anexo 3 - Glosario. Los términos no definidos deben comprenderse de conformidad con su significado natural y en el contexto del presente proceso de selección y el proyecto de infraestructura que se pretende adelantar”.</w:t>
      </w:r>
    </w:p>
    <w:p w14:paraId="4CBEC681" w14:textId="77777777" w:rsidR="005D7B04" w:rsidRPr="009B5F00" w:rsidRDefault="005D7B04" w:rsidP="005D7B04">
      <w:pPr>
        <w:tabs>
          <w:tab w:val="left" w:pos="709"/>
          <w:tab w:val="left" w:pos="2662"/>
        </w:tabs>
        <w:spacing w:before="120" w:after="0" w:line="276" w:lineRule="auto"/>
        <w:jc w:val="both"/>
        <w:rPr>
          <w:rFonts w:ascii="Verdana" w:eastAsia="Calibri" w:hAnsi="Verdana" w:cs="Arial"/>
          <w:color w:val="000000"/>
          <w:lang w:eastAsia="en-GB"/>
        </w:rPr>
      </w:pPr>
      <w:r w:rsidRPr="009B5F00">
        <w:rPr>
          <w:rFonts w:ascii="Verdana" w:eastAsia="Calibri" w:hAnsi="Verdana" w:cs="Arial"/>
          <w:color w:val="000000"/>
          <w:lang w:val="es-ES" w:eastAsia="en-GB"/>
        </w:rPr>
        <w:tab/>
      </w:r>
      <w:r w:rsidRPr="009B5F00">
        <w:rPr>
          <w:rFonts w:ascii="Verdana" w:eastAsia="Calibri" w:hAnsi="Verdana" w:cs="Times New Roman"/>
        </w:rPr>
        <w:t xml:space="preserve">Sin perjuicio del análisis anterior, corresponde a la entidad estatal, en el marco de la formulación del respectivo proyecto y de la planeación contractual que de él se derive, determinar, con base en las especificaciones técnicas de la obra, si la actividad a contratar efectivamente se encuentra subsumida en alguno de los tipos de infraestructura establecidos en la Matriz 1 – </w:t>
      </w:r>
      <w:r w:rsidRPr="009B5F00">
        <w:rPr>
          <w:rFonts w:ascii="Verdana" w:eastAsia="Calibri" w:hAnsi="Verdana" w:cs="Times New Roman"/>
          <w:i/>
          <w:iCs/>
        </w:rPr>
        <w:t>Experiencia</w:t>
      </w:r>
      <w:r w:rsidRPr="009B5F00">
        <w:rPr>
          <w:rFonts w:ascii="Verdana" w:eastAsia="Calibri" w:hAnsi="Verdana" w:cs="Times New Roman"/>
        </w:rPr>
        <w:t xml:space="preserve"> de los documentos tipo de licitación de obra pública de infraestructura de transporte, versión 4. Para ello, resultan pertinentes las consideraciones previamente expuestas.</w:t>
      </w:r>
    </w:p>
    <w:p w14:paraId="4DD22C36" w14:textId="77777777" w:rsidR="005D7B04" w:rsidRPr="00603CE0" w:rsidRDefault="005D7B04" w:rsidP="005D7B04">
      <w:pPr>
        <w:pStyle w:val="NormalWeb"/>
        <w:spacing w:after="0" w:afterAutospacing="0" w:line="276" w:lineRule="auto"/>
        <w:jc w:val="both"/>
        <w:rPr>
          <w:rFonts w:ascii="Verdana" w:hAnsi="Verdana"/>
          <w:sz w:val="22"/>
          <w:szCs w:val="22"/>
        </w:rPr>
      </w:pPr>
      <w:r w:rsidRPr="009B5F00">
        <w:rPr>
          <w:rFonts w:ascii="Verdana" w:eastAsia="Calibri" w:hAnsi="Verdana" w:cs="Arial"/>
          <w:color w:val="000000"/>
          <w:lang w:eastAsia="en-GB"/>
        </w:rPr>
        <w:tab/>
      </w:r>
      <w:r w:rsidRPr="00603CE0">
        <w:rPr>
          <w:rFonts w:ascii="Verdana" w:hAnsi="Verdana"/>
          <w:sz w:val="22"/>
          <w:szCs w:val="22"/>
        </w:rPr>
        <w:t>En ese sentido, si la entidad estatal encuentra que, técnicamente, lo que pretende contratar se adecúa a alguna</w:t>
      </w:r>
      <w:r>
        <w:rPr>
          <w:rFonts w:ascii="Verdana" w:hAnsi="Verdana"/>
          <w:sz w:val="22"/>
          <w:szCs w:val="22"/>
        </w:rPr>
        <w:t>s(s)</w:t>
      </w:r>
      <w:r w:rsidRPr="00603CE0">
        <w:rPr>
          <w:rFonts w:ascii="Verdana" w:hAnsi="Verdana"/>
          <w:sz w:val="22"/>
          <w:szCs w:val="22"/>
        </w:rPr>
        <w:t xml:space="preserve"> de las actividades y tipos de infraestructura señalados en la Matriz 1 – Experiencia, deberá aplicar obligatoriamente los documentos tipo de licitación de obra pública de infraestructura de transporte – versión 4. En consecuencia, la entidad estará obligada a exigir los requisitos de experiencia general y específica en los términos exactos en que estos se encuentran previstos en la Matriz 1 – </w:t>
      </w:r>
      <w:r w:rsidRPr="00603CE0">
        <w:rPr>
          <w:rFonts w:ascii="Verdana" w:hAnsi="Verdana"/>
          <w:sz w:val="22"/>
          <w:szCs w:val="22"/>
        </w:rPr>
        <w:lastRenderedPageBreak/>
        <w:t xml:space="preserve">Experiencia para la actividad correspondiente, sin que le sea posible modificarlos, adicionarlos, suprimirlos o alterarlos, salvo en aquellos aspectos en que el propio documento tipo expresamente lo permita </w:t>
      </w:r>
      <w:r>
        <w:rPr>
          <w:rFonts w:ascii="Verdana" w:hAnsi="Verdana"/>
          <w:sz w:val="22"/>
          <w:szCs w:val="22"/>
        </w:rPr>
        <w:t>–</w:t>
      </w:r>
      <w:r w:rsidRPr="00603CE0">
        <w:rPr>
          <w:rFonts w:ascii="Verdana" w:hAnsi="Verdana"/>
          <w:sz w:val="22"/>
          <w:szCs w:val="22"/>
        </w:rPr>
        <w:t>esto es, los espacios identificados entre corchetes y resaltados en gris</w:t>
      </w:r>
      <w:r>
        <w:rPr>
          <w:rFonts w:ascii="Verdana" w:hAnsi="Verdana"/>
          <w:sz w:val="22"/>
          <w:szCs w:val="22"/>
        </w:rPr>
        <w:t xml:space="preserve">–. </w:t>
      </w:r>
      <w:r w:rsidRPr="00603CE0">
        <w:rPr>
          <w:rFonts w:ascii="Verdana" w:hAnsi="Verdana"/>
          <w:sz w:val="22"/>
          <w:szCs w:val="22"/>
        </w:rPr>
        <w:t>En consecuencia, la experiencia general y específica que la entidad exija deberá corresponder, en su integridad, a la descripción prevista en la Matriz 1 – Experiencia para la actividad a contratar, sin que resulte procedente exigir actividades o condiciones distintas a las allí señaladas</w:t>
      </w:r>
      <w:r>
        <w:rPr>
          <w:rFonts w:ascii="Verdana" w:hAnsi="Verdana"/>
          <w:sz w:val="22"/>
          <w:szCs w:val="22"/>
        </w:rPr>
        <w:t xml:space="preserve">. </w:t>
      </w:r>
    </w:p>
    <w:p w14:paraId="12F6FC4C" w14:textId="77777777" w:rsidR="005D7B04" w:rsidRPr="009B5F00" w:rsidRDefault="005D7B04" w:rsidP="005D7B04">
      <w:pPr>
        <w:tabs>
          <w:tab w:val="left" w:pos="709"/>
          <w:tab w:val="left" w:pos="2662"/>
        </w:tabs>
        <w:spacing w:after="0" w:line="276" w:lineRule="auto"/>
        <w:jc w:val="both"/>
        <w:rPr>
          <w:rFonts w:ascii="Verdana" w:eastAsia="Calibri" w:hAnsi="Verdana" w:cs="Arial"/>
          <w:lang w:val="es-ES"/>
        </w:rPr>
      </w:pPr>
    </w:p>
    <w:p w14:paraId="28399992" w14:textId="77777777" w:rsidR="005D7B04" w:rsidRPr="009B5F00" w:rsidRDefault="005D7B04" w:rsidP="005D7B04">
      <w:pPr>
        <w:snapToGrid w:val="0"/>
        <w:spacing w:after="120" w:line="276" w:lineRule="auto"/>
        <w:jc w:val="both"/>
        <w:rPr>
          <w:rFonts w:ascii="Verdana" w:eastAsia="Times New Roman" w:hAnsi="Verdana" w:cs="Arial"/>
          <w:kern w:val="2"/>
          <w:sz w:val="24"/>
          <w:szCs w:val="24"/>
          <w:shd w:val="clear" w:color="auto" w:fill="FFFFFF"/>
          <w:lang w:val="es-ES_tradnl" w:eastAsia="es-ES_tradnl"/>
          <w14:ligatures w14:val="standardContextual"/>
        </w:rPr>
      </w:pPr>
      <w:proofErr w:type="spellStart"/>
      <w:r w:rsidRPr="009B5F00">
        <w:rPr>
          <w:rFonts w:ascii="Verdana" w:eastAsia="Calibri" w:hAnsi="Verdana" w:cs="Arial"/>
        </w:rPr>
        <w:t>ii</w:t>
      </w:r>
      <w:r>
        <w:rPr>
          <w:rFonts w:ascii="Verdana" w:eastAsia="Calibri" w:hAnsi="Verdana" w:cs="Arial"/>
        </w:rPr>
        <w:t>i</w:t>
      </w:r>
      <w:proofErr w:type="spellEnd"/>
      <w:r w:rsidRPr="009B5F00">
        <w:rPr>
          <w:rFonts w:ascii="Verdana" w:eastAsia="Calibri" w:hAnsi="Verdana" w:cs="Arial"/>
        </w:rPr>
        <w:t xml:space="preserve">. </w:t>
      </w:r>
      <w:r w:rsidRPr="009B5F00">
        <w:rPr>
          <w:rFonts w:ascii="Verdana" w:eastAsia="Aptos" w:hAnsi="Verdana" w:cs="Aptos"/>
          <w:kern w:val="2"/>
          <w14:ligatures w14:val="standardContextual"/>
        </w:rPr>
        <w:t>Sin perjuicio de las aclaraciones anteriores, debe advertirse que es la entidad contratante, al momento de adelantar sus actividades de planeación de cada proceso contractual, quien debe determinar si de acuerdo con las particularidades del contrato a ejecutar, este encaja o no dentro de alguna de las actividades de la matriz 1 de cada documento tipo, y si en consecuencia deben aplicarse o no determinados documentos tipo, conforme a los parámetros indicados en este concepto. Lo anterior sin que pueda apartarse de su aplicación cuando materialmente el objeto a contratar corresponde con alguna actividad de contemplada en dicha matriz.</w:t>
      </w:r>
      <w:r w:rsidRPr="009B5F00">
        <w:rPr>
          <w:rFonts w:ascii="Verdana" w:eastAsia="Times New Roman" w:hAnsi="Verdana" w:cs="Arial"/>
          <w:kern w:val="2"/>
          <w:sz w:val="24"/>
          <w:szCs w:val="24"/>
          <w:shd w:val="clear" w:color="auto" w:fill="FFFFFF"/>
          <w:lang w:val="es-ES_tradnl" w:eastAsia="es-ES_tradnl"/>
          <w14:ligatures w14:val="standardContextual"/>
        </w:rPr>
        <w:t xml:space="preserve"> </w:t>
      </w:r>
    </w:p>
    <w:p w14:paraId="44C54517" w14:textId="77777777" w:rsidR="005D7B04" w:rsidRPr="009B5F00" w:rsidRDefault="005D7B04" w:rsidP="005D7B04">
      <w:pPr>
        <w:spacing w:after="120" w:line="276" w:lineRule="auto"/>
        <w:ind w:firstLine="708"/>
        <w:jc w:val="both"/>
        <w:rPr>
          <w:rFonts w:ascii="Verdana" w:eastAsia="Aptos" w:hAnsi="Verdana" w:cs="Times New Roman"/>
          <w:kern w:val="2"/>
          <w14:ligatures w14:val="standardContextual"/>
        </w:rPr>
      </w:pPr>
      <w:r w:rsidRPr="009B5F00">
        <w:rPr>
          <w:rFonts w:ascii="Verdana" w:eastAsia="Calibri" w:hAnsi="Verdana" w:cs="Arial"/>
          <w:bCs/>
          <w:color w:val="000000"/>
          <w:kern w:val="2"/>
          <w14:ligatures w14:val="standardContextual"/>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EF84F08" w14:textId="77777777" w:rsidR="005D7B04" w:rsidRPr="009B5F00" w:rsidRDefault="005D7B04" w:rsidP="005D7B04">
      <w:pPr>
        <w:spacing w:after="0" w:line="276" w:lineRule="auto"/>
        <w:ind w:firstLine="708"/>
        <w:jc w:val="both"/>
        <w:rPr>
          <w:rFonts w:ascii="Verdana" w:eastAsia="Calibri" w:hAnsi="Verdana" w:cs="Arial"/>
          <w:bCs/>
          <w:color w:val="000000"/>
          <w:kern w:val="2"/>
          <w14:ligatures w14:val="standardContextual"/>
        </w:rPr>
      </w:pPr>
      <w:r w:rsidRPr="009B5F00">
        <w:rPr>
          <w:rFonts w:ascii="Verdana" w:eastAsia="Calibri" w:hAnsi="Verdana" w:cs="Arial"/>
          <w:bCs/>
          <w:color w:val="000000"/>
          <w:kern w:val="2"/>
          <w14:ligatures w14:val="standardContextual"/>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w:t>
      </w:r>
      <w:r w:rsidRPr="009B5F00">
        <w:rPr>
          <w:rFonts w:ascii="Verdana" w:eastAsia="Calibri" w:hAnsi="Verdana" w:cs="Arial"/>
          <w:bCs/>
          <w:color w:val="000000"/>
          <w:kern w:val="2"/>
          <w14:ligatures w14:val="standardContextual"/>
        </w:rPr>
        <w:lastRenderedPageBreak/>
        <w:t xml:space="preserve">gestión contractual, sin que sea atribución de Colombia Compra Eficiente validar sus actuaciones. </w:t>
      </w:r>
    </w:p>
    <w:p w14:paraId="76FCD147" w14:textId="77777777" w:rsidR="005D7B04" w:rsidRPr="00E15FD8" w:rsidRDefault="005D7B04" w:rsidP="005D7B04">
      <w:pPr>
        <w:spacing w:after="0"/>
        <w:jc w:val="both"/>
        <w:rPr>
          <w:rFonts w:ascii="Verdana" w:eastAsia="Aptos" w:hAnsi="Verdana" w:cs="Arial"/>
          <w:color w:val="000000"/>
          <w:lang w:val="es-ES"/>
        </w:rPr>
      </w:pPr>
    </w:p>
    <w:p w14:paraId="5BF575CC" w14:textId="77777777" w:rsidR="005D7B04" w:rsidRPr="00E15FD8" w:rsidRDefault="005D7B04" w:rsidP="005D7B04">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E15FD8">
        <w:rPr>
          <w:rFonts w:ascii="Verdana" w:eastAsia="Century Gothic" w:hAnsi="Verdana" w:cs="Century Gothic"/>
          <w:b/>
          <w:bCs/>
        </w:rPr>
        <w:t>Referencias normativas, jurisprudenciales y otras fuentes:</w:t>
      </w:r>
    </w:p>
    <w:p w14:paraId="72B4E740" w14:textId="77777777" w:rsidR="005D7B04" w:rsidRPr="00E15FD8" w:rsidRDefault="005D7B04" w:rsidP="005D7B04">
      <w:pPr>
        <w:spacing w:after="0"/>
        <w:ind w:left="-15840"/>
        <w:jc w:val="both"/>
        <w:rPr>
          <w:rFonts w:ascii="Verdana" w:eastAsia="Calibri" w:hAnsi="Verdana" w:cs="Arial"/>
          <w:b/>
          <w:bCs/>
        </w:rPr>
      </w:pPr>
      <w:r w:rsidRPr="00E15FD8">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5D7B04" w:rsidRPr="00E15FD8" w14:paraId="797F960A" w14:textId="77777777" w:rsidTr="005672E7">
        <w:trPr>
          <w:trHeight w:val="870"/>
        </w:trPr>
        <w:tc>
          <w:tcPr>
            <w:tcW w:w="8647" w:type="dxa"/>
            <w:tcBorders>
              <w:top w:val="dotted" w:sz="4" w:space="0" w:color="auto"/>
              <w:left w:val="dotted" w:sz="4" w:space="0" w:color="auto"/>
              <w:bottom w:val="dotted" w:sz="4" w:space="0" w:color="auto"/>
              <w:right w:val="dotted" w:sz="4" w:space="0" w:color="auto"/>
            </w:tcBorders>
          </w:tcPr>
          <w:p w14:paraId="211881C8" w14:textId="77777777" w:rsidR="005D7B04" w:rsidRPr="00E15FD8" w:rsidRDefault="005D7B04" w:rsidP="005D7B04">
            <w:pPr>
              <w:widowControl w:val="0"/>
              <w:numPr>
                <w:ilvl w:val="0"/>
                <w:numId w:val="17"/>
              </w:numPr>
              <w:autoSpaceDE w:val="0"/>
              <w:autoSpaceDN w:val="0"/>
              <w:spacing w:line="276" w:lineRule="auto"/>
              <w:ind w:left="714" w:hanging="357"/>
              <w:jc w:val="both"/>
              <w:rPr>
                <w:rFonts w:ascii="Verdana" w:eastAsia="Calibri" w:hAnsi="Verdana" w:cs="Arial"/>
                <w:lang w:val="es-ES_tradnl"/>
              </w:rPr>
            </w:pPr>
            <w:r w:rsidRPr="00E15FD8">
              <w:rPr>
                <w:rFonts w:ascii="Verdana" w:eastAsia="Calibri" w:hAnsi="Verdana" w:cs="Arial"/>
                <w:lang w:val="es-ES_tradnl"/>
              </w:rPr>
              <w:t xml:space="preserve">Ley 2022 de 2020, artículo 1. </w:t>
            </w:r>
          </w:p>
          <w:p w14:paraId="44378EFA" w14:textId="77777777" w:rsidR="005D7B04" w:rsidRPr="00E15FD8" w:rsidRDefault="005D7B04" w:rsidP="005D7B04">
            <w:pPr>
              <w:widowControl w:val="0"/>
              <w:numPr>
                <w:ilvl w:val="0"/>
                <w:numId w:val="17"/>
              </w:numPr>
              <w:autoSpaceDE w:val="0"/>
              <w:autoSpaceDN w:val="0"/>
              <w:spacing w:line="276" w:lineRule="auto"/>
              <w:jc w:val="both"/>
              <w:rPr>
                <w:rFonts w:ascii="Verdana" w:eastAsia="Calibri" w:hAnsi="Verdana" w:cs="Arial"/>
              </w:rPr>
            </w:pPr>
            <w:r w:rsidRPr="00E15FD8">
              <w:rPr>
                <w:rFonts w:ascii="Verdana" w:eastAsia="Calibri" w:hAnsi="Verdana" w:cs="Arial"/>
              </w:rPr>
              <w:t>Ley 1150 de 2007, artículo 2.</w:t>
            </w:r>
          </w:p>
          <w:p w14:paraId="2274E4F0" w14:textId="77777777" w:rsidR="005D7B04" w:rsidRPr="00E15FD8" w:rsidRDefault="005D7B04" w:rsidP="005D7B04">
            <w:pPr>
              <w:widowControl w:val="0"/>
              <w:numPr>
                <w:ilvl w:val="0"/>
                <w:numId w:val="17"/>
              </w:numPr>
              <w:autoSpaceDE w:val="0"/>
              <w:autoSpaceDN w:val="0"/>
              <w:spacing w:line="276" w:lineRule="auto"/>
              <w:contextualSpacing/>
              <w:jc w:val="both"/>
              <w:rPr>
                <w:rFonts w:ascii="Verdana" w:eastAsia="Calibri" w:hAnsi="Verdana" w:cs="Arial"/>
                <w:lang w:val="es-ES"/>
              </w:rPr>
            </w:pPr>
            <w:r w:rsidRPr="00E15FD8">
              <w:rPr>
                <w:rFonts w:ascii="Verdana" w:eastAsia="Calibri" w:hAnsi="Verdana" w:cs="Arial"/>
                <w:lang w:val="es-ES_tradnl"/>
              </w:rPr>
              <w:t xml:space="preserve">Documentos Tipo. Disponibles en: </w:t>
            </w:r>
            <w:hyperlink r:id="rId11" w:history="1">
              <w:r w:rsidRPr="00E15FD8">
                <w:rPr>
                  <w:rFonts w:ascii="Verdana" w:eastAsia="Calibri" w:hAnsi="Verdana" w:cs="Arial"/>
                  <w:color w:val="0000FF"/>
                  <w:u w:val="single"/>
                  <w:lang w:val="es-ES_tradnl"/>
                </w:rPr>
                <w:t>https://www.colombiacompra.gov.co/documentos-tipo/documentos-tipo</w:t>
              </w:r>
            </w:hyperlink>
            <w:r w:rsidRPr="00E15FD8">
              <w:rPr>
                <w:rFonts w:ascii="Verdana" w:eastAsia="Calibri" w:hAnsi="Verdana" w:cs="Arial"/>
                <w:lang w:val="es-ES_tradnl"/>
              </w:rPr>
              <w:t>.</w:t>
            </w:r>
          </w:p>
        </w:tc>
      </w:tr>
    </w:tbl>
    <w:p w14:paraId="2EABE915" w14:textId="77777777" w:rsidR="005D7B04" w:rsidRPr="00E15FD8" w:rsidRDefault="005D7B04" w:rsidP="005D7B04">
      <w:pPr>
        <w:tabs>
          <w:tab w:val="left" w:pos="142"/>
          <w:tab w:val="left" w:pos="284"/>
        </w:tabs>
        <w:spacing w:after="0" w:line="276" w:lineRule="auto"/>
        <w:jc w:val="both"/>
        <w:rPr>
          <w:rFonts w:ascii="Verdana" w:eastAsia="Calibri" w:hAnsi="Verdana" w:cs="Arial"/>
        </w:rPr>
      </w:pPr>
    </w:p>
    <w:p w14:paraId="1419903E" w14:textId="77777777" w:rsidR="005D7B04" w:rsidRPr="00E15FD8" w:rsidRDefault="005D7B04" w:rsidP="005D7B04">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E15FD8">
        <w:rPr>
          <w:rFonts w:ascii="Verdana" w:eastAsia="Century Gothic" w:hAnsi="Verdana" w:cs="Century Gothic"/>
          <w:b/>
          <w:bCs/>
        </w:rPr>
        <w:t>Doctrina de la Agencia Nacional de Contratación Pública:</w:t>
      </w:r>
    </w:p>
    <w:p w14:paraId="33BF442F" w14:textId="77777777" w:rsidR="005D7B04" w:rsidRPr="00E15FD8" w:rsidRDefault="005D7B04" w:rsidP="005D7B04">
      <w:pPr>
        <w:widowControl w:val="0"/>
        <w:autoSpaceDE w:val="0"/>
        <w:autoSpaceDN w:val="0"/>
        <w:spacing w:after="0" w:line="276" w:lineRule="auto"/>
        <w:jc w:val="both"/>
        <w:rPr>
          <w:rFonts w:ascii="Verdana" w:eastAsia="Calibri" w:hAnsi="Verdana" w:cs="Arial"/>
        </w:rPr>
      </w:pPr>
    </w:p>
    <w:p w14:paraId="4BA7989D" w14:textId="77777777" w:rsidR="005D7B04" w:rsidRPr="00E15FD8" w:rsidRDefault="005D7B04" w:rsidP="005D7B04">
      <w:pPr>
        <w:widowControl w:val="0"/>
        <w:autoSpaceDE w:val="0"/>
        <w:autoSpaceDN w:val="0"/>
        <w:spacing w:after="120" w:line="276" w:lineRule="auto"/>
        <w:jc w:val="both"/>
        <w:rPr>
          <w:rFonts w:ascii="Verdana" w:eastAsia="Times New Roman" w:hAnsi="Verdana" w:cs="Arial"/>
          <w:shd w:val="clear" w:color="auto" w:fill="FFFFFF"/>
          <w:lang w:val="es-ES"/>
        </w:rPr>
      </w:pPr>
      <w:r w:rsidRPr="00E15FD8">
        <w:rPr>
          <w:rFonts w:ascii="Verdana" w:eastAsia="Calibri" w:hAnsi="Verdana" w:cs="Arial"/>
          <w:shd w:val="clear" w:color="auto" w:fill="FFFFFF"/>
        </w:rPr>
        <w:t>L</w:t>
      </w:r>
      <w:r w:rsidRPr="00E15FD8">
        <w:rPr>
          <w:rFonts w:ascii="Verdana" w:eastAsia="Calibri" w:hAnsi="Verdana" w:cs="Arial"/>
          <w:shd w:val="clear" w:color="auto" w:fill="FFFFFF"/>
          <w:lang w:val="es-ES"/>
        </w:rPr>
        <w:t xml:space="preserve">a Agencia Nacional de Contratación Pública – Colombia Compra Eficiente, se ha pronunciado sobre el fundamento normativo de los documentos tipo en los conceptos: </w:t>
      </w:r>
      <w:r w:rsidRPr="00E15FD8">
        <w:rPr>
          <w:rFonts w:ascii="Verdana" w:eastAsia="Times New Roman" w:hAnsi="Verdana" w:cs="Arial"/>
          <w:shd w:val="clear" w:color="auto" w:fill="FFFFFF"/>
          <w:lang w:val="es-ES"/>
        </w:rPr>
        <w:t xml:space="preserve">C-653 del 9 de noviembre de 2020, C-665 del 11 de noviembre de 2020, C-698 del 19 de noviembre de 2020, C-716 del 30 de noviembre de 2020, C-775 de 2020 del 11 de diciembre de 2020, C-798 del 25 de enero de 2021, C-027 del 1 de marzo de 2021 y C-204 del 6 de mayo de 2021, C-215 del 12 de mayo de 2021, C-224 del 20 de mayo, C-264 del 2 de junio del 2021, C-268 del 3 de junio de 2021, C-312 del 29 de junio de 2021, C-344 del 13 de julio de 2021, C-384 del 30 de julio de 2021, C-412 del 17 de agosto de 2021, C-433 del 20 de agosto de 2021, C-471 del 30 de agosto de 2021, C-450 del 31 de agosto de 2021, C-473 del 7 de septiembre de 2021, C-591 del 31 de agosto de 2021, C-493 del 13 de septiembre de 2021, C-569 del 12 de octubre de 2021, C-599 del 26 de octubre de 2021, C-643 del 17 de noviembre de 2021 y C-356 del 6 de julio de 2022, C-654 del 7 de octubre de 2022, C-874 del 22 de diciembre de 2022, C-909 del 5 de enero de 2023, C-945 del 17 de febrero de 2023, C-042 del 29 de marzo de 2023, C-051 del 28 de abril de 2023, C-299 del 24 de julio de 2023, C- 272 del 22 de agosto de 2024, C- 516 del 07 de octubre de 2024, C- 481 del 09 de noviembre de 2024, C- 692 del 19 de noviembre de 2024, C-753 del 4 de enero de 2024 y C-133 del 10 de marzo de 2025. </w:t>
      </w:r>
    </w:p>
    <w:p w14:paraId="77969B32" w14:textId="77777777" w:rsidR="005D7B04" w:rsidRPr="00E15FD8" w:rsidRDefault="005D7B04" w:rsidP="005D7B04">
      <w:pPr>
        <w:spacing w:after="120" w:line="278" w:lineRule="auto"/>
        <w:jc w:val="both"/>
        <w:rPr>
          <w:rFonts w:ascii="Verdana" w:eastAsia="Times New Roman" w:hAnsi="Verdana" w:cs="Arial"/>
          <w:shd w:val="clear" w:color="auto" w:fill="FFFFFF"/>
          <w:lang w:val="es-ES"/>
        </w:rPr>
      </w:pPr>
      <w:r w:rsidRPr="00E15FD8">
        <w:rPr>
          <w:rFonts w:ascii="Verdana" w:eastAsia="Times New Roman" w:hAnsi="Verdana" w:cs="Arial"/>
          <w:shd w:val="clear" w:color="auto" w:fill="FFFFFF"/>
          <w:lang w:val="es-ES"/>
        </w:rPr>
        <w:t xml:space="preserve">Así mismo, en los conceptos C-085 del 10 de abril de 2023, C-375 del 2 de noviembre de 2023, C-063 del 17 de mayo de 2024, C-120 del 11 de junio de 2024, C-092 del 14 de junio de 2024, C-127 del 28 de junio de 2024, C-276 del 5 de julio de 2024, C-153 del 12 de julio de 2024, C-147 del 17 de julio de 2024, </w:t>
      </w:r>
      <w:r w:rsidRPr="00E15FD8">
        <w:rPr>
          <w:rFonts w:ascii="Verdana" w:eastAsia="Times New Roman" w:hAnsi="Verdana" w:cs="Arial"/>
          <w:shd w:val="clear" w:color="auto" w:fill="FFFFFF"/>
          <w:lang w:val="es-ES"/>
        </w:rPr>
        <w:lastRenderedPageBreak/>
        <w:t>C-229 del 09 de agosto de 2024, C-549 del 15 de octubre de 2024, C-400 del 18 de octubre de 2024, C-587 del 23 de octubre de 2024, C-753 del 4 de diciembre de 2024, C-753 del 4 de diciembre de 2024, C-213 del 6 de marzo de 2025, C-283 del 14 de abril de 2025, C-168 del 12 de septiembre de 2025 , C-581 del 24 de junio de 2025, C-1093 del 15 de septiembre del 2025, C-1286 del 15 de septiembre de 2025, C-1360 del 9 de octubre de 2025</w:t>
      </w:r>
      <w:r>
        <w:rPr>
          <w:rFonts w:ascii="Verdana" w:eastAsia="Times New Roman" w:hAnsi="Verdana" w:cs="Arial"/>
          <w:shd w:val="clear" w:color="auto" w:fill="FFFFFF"/>
          <w:lang w:val="es-ES"/>
        </w:rPr>
        <w:t xml:space="preserve">, </w:t>
      </w:r>
      <w:r w:rsidRPr="00E15FD8">
        <w:rPr>
          <w:rFonts w:ascii="Verdana" w:eastAsia="Times New Roman" w:hAnsi="Verdana" w:cs="Arial"/>
          <w:shd w:val="clear" w:color="auto" w:fill="FFFFFF"/>
          <w:lang w:val="es-ES"/>
        </w:rPr>
        <w:t xml:space="preserve">C-1532 del 2 de diciembre de 2025, </w:t>
      </w:r>
      <w:r>
        <w:rPr>
          <w:rFonts w:ascii="Verdana" w:eastAsia="Times New Roman" w:hAnsi="Verdana" w:cs="Arial"/>
          <w:shd w:val="clear" w:color="auto" w:fill="FFFFFF"/>
          <w:lang w:val="es-ES"/>
        </w:rPr>
        <w:t xml:space="preserve">C-325 del 8 de abril de 2026 y C- C-1040 del 12 de agosto de 2026, </w:t>
      </w:r>
      <w:r w:rsidRPr="00E15FD8">
        <w:rPr>
          <w:rFonts w:ascii="Verdana" w:eastAsia="Times New Roman" w:hAnsi="Verdana" w:cs="Arial"/>
          <w:shd w:val="clear" w:color="auto" w:fill="FFFFFF"/>
          <w:lang w:val="es-ES"/>
        </w:rPr>
        <w:t xml:space="preserve">esta Agencia se pronunció sobre la Matriz 1 – Experiencia de los documentos tipo de infraestructura de transporte. </w:t>
      </w:r>
    </w:p>
    <w:p w14:paraId="67CCB709" w14:textId="77777777" w:rsidR="005D7B04" w:rsidRPr="00E15FD8" w:rsidRDefault="005D7B04" w:rsidP="005D7B04">
      <w:pPr>
        <w:widowControl w:val="0"/>
        <w:autoSpaceDE w:val="0"/>
        <w:autoSpaceDN w:val="0"/>
        <w:spacing w:after="120" w:line="276" w:lineRule="auto"/>
        <w:jc w:val="both"/>
        <w:rPr>
          <w:rFonts w:ascii="Verdana" w:eastAsia="Calibri" w:hAnsi="Verdana" w:cs="Arial"/>
          <w:color w:val="0000FF"/>
          <w:kern w:val="2"/>
          <w:u w:val="single"/>
          <w:shd w:val="clear" w:color="auto" w:fill="FFFFFF"/>
          <w14:ligatures w14:val="standardContextual"/>
        </w:rPr>
      </w:pPr>
      <w:r w:rsidRPr="00E15FD8">
        <w:rPr>
          <w:rFonts w:ascii="Verdana" w:eastAsia="Times New Roman" w:hAnsi="Verdana" w:cs="Arial"/>
          <w:shd w:val="clear" w:color="auto" w:fill="FFFFFF"/>
          <w:lang w:val="es-ES"/>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2" w:tgtFrame="_blank" w:tooltip="Dirección URL original: https://relatoria.colombiacompra.gov.co/. Haga clic o pulse si confía en este vínculo." w:history="1">
        <w:r w:rsidRPr="00E15FD8">
          <w:rPr>
            <w:rFonts w:ascii="Verdana" w:eastAsia="Calibri" w:hAnsi="Verdana" w:cs="Arial"/>
            <w:color w:val="0000FF"/>
            <w:kern w:val="2"/>
            <w:u w:val="single"/>
            <w:shd w:val="clear" w:color="auto" w:fill="FFFFFF"/>
            <w14:ligatures w14:val="standardContextual"/>
          </w:rPr>
          <w:t>https://relatoria.colombiacompra.gov.co/</w:t>
        </w:r>
      </w:hyperlink>
      <w:r w:rsidRPr="00E15FD8">
        <w:rPr>
          <w:rFonts w:ascii="Verdana" w:eastAsia="Calibri" w:hAnsi="Verdana" w:cs="Arial"/>
          <w:color w:val="0000FF"/>
          <w:kern w:val="2"/>
          <w:u w:val="single"/>
          <w:shd w:val="clear" w:color="auto" w:fill="FFFFFF"/>
          <w14:ligatures w14:val="standardContextual"/>
        </w:rPr>
        <w:t> .</w:t>
      </w:r>
    </w:p>
    <w:bookmarkEnd w:id="1"/>
    <w:p w14:paraId="3396C76F" w14:textId="77777777" w:rsidR="005D7B04" w:rsidRPr="00E15FD8" w:rsidRDefault="005D7B04" w:rsidP="005D7B04">
      <w:pPr>
        <w:spacing w:after="120" w:line="276" w:lineRule="auto"/>
        <w:jc w:val="both"/>
        <w:rPr>
          <w:rFonts w:ascii="Aptos" w:eastAsia="Aptos" w:hAnsi="Aptos" w:cs="Times New Roman"/>
          <w:kern w:val="2"/>
          <w:sz w:val="24"/>
          <w:szCs w:val="24"/>
          <w14:ligatures w14:val="standardContextual"/>
        </w:rPr>
      </w:pPr>
      <w:r w:rsidRPr="00E15FD8">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E15FD8">
        <w:rPr>
          <w:rFonts w:ascii="Verdana" w:eastAsia="Aptos" w:hAnsi="Verdana" w:cs="Times New Roman"/>
          <w:b/>
          <w:bCs/>
          <w:color w:val="000000"/>
          <w:kern w:val="2"/>
          <w14:ligatures w14:val="standardContextual"/>
        </w:rPr>
        <w:t>Guía para la Exigencia y Constitución de Garantías en los Procesos de Contratación</w:t>
      </w:r>
      <w:r w:rsidRPr="00E15FD8">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https://nam02.safelinks.protection.outlook.com/?url=https%3A%2F%2Fwww.colombiacompra.gov.co%2Farchivos%2Fmanual%2Fguia-de-garantias-en-procesos-de-contratacion&amp;data=05%7C02%7Ccarlos.castrillon%40colombiacompra.gov.co%7C7128555136e04fa6887d08dee99e1b50%7C7b0904" w:history="1">
        <w:r w:rsidRPr="00E15FD8">
          <w:rPr>
            <w:rFonts w:ascii="Verdana" w:eastAsia="Aptos" w:hAnsi="Verdana" w:cs="Times New Roman"/>
            <w:color w:val="0078D7"/>
            <w:kern w:val="2"/>
            <w:u w:val="single"/>
            <w14:ligatures w14:val="standardContextual"/>
          </w:rPr>
          <w:t>https://www.colombiacompra.gov.co/archivos/manual/guia-de-garantias-en-procesos-de-contratacion</w:t>
        </w:r>
      </w:hyperlink>
    </w:p>
    <w:p w14:paraId="3A6DCE22" w14:textId="77777777" w:rsidR="005D7B04" w:rsidRPr="00E15FD8" w:rsidRDefault="005D7B04" w:rsidP="005D7B04">
      <w:pPr>
        <w:spacing w:after="120" w:line="276" w:lineRule="auto"/>
        <w:jc w:val="both"/>
        <w:rPr>
          <w:rFonts w:ascii="Verdana" w:eastAsia="Aptos" w:hAnsi="Verdana" w:cs="Times New Roman"/>
          <w:color w:val="000000"/>
          <w:kern w:val="2"/>
          <w14:ligatures w14:val="standardContextual"/>
        </w:rPr>
      </w:pPr>
      <w:r w:rsidRPr="00E15FD8">
        <w:rPr>
          <w:rFonts w:ascii="Verdana" w:eastAsia="Aptos" w:hAnsi="Verdana" w:cs="Times New Roman"/>
          <w:color w:val="000000"/>
          <w:kern w:val="2"/>
          <w14:ligatures w14:val="standardContextual"/>
        </w:rPr>
        <w:t>De otro lado, te contamos que el Decreto 287 del 19 de marzo de 2026 sustituyó los artículos 2.2.1.2.4.2.6., 2.2.1.2.4.2.7. y 2.2.1.2.4.2.8. del Decreto 1082 de 2015 y estructuró el </w:t>
      </w:r>
      <w:r w:rsidRPr="00E15FD8">
        <w:rPr>
          <w:rFonts w:ascii="Verdana" w:eastAsia="Aptos" w:hAnsi="Verdana" w:cs="Times New Roman"/>
          <w:b/>
          <w:bCs/>
          <w:color w:val="000000"/>
          <w:kern w:val="2"/>
          <w14:ligatures w14:val="standardContextual"/>
        </w:rPr>
        <w:t>Sistema Integral de Preferencias en favor de las personas con discapacidad</w:t>
      </w:r>
      <w:r w:rsidRPr="00E15FD8">
        <w:rPr>
          <w:rFonts w:ascii="Verdana" w:eastAsia="Aptos" w:hAnsi="Verdana" w:cs="Times New Roman"/>
          <w:color w:val="000000"/>
          <w:kern w:val="2"/>
          <w14:ligatures w14:val="standardContextual"/>
        </w:rPr>
        <w:t>, en cumplimiento del artículo 13 de la Ley Estatutaria 1618 de 2013. Para orientar su aplicación, esta Agencia expidió la </w:t>
      </w:r>
      <w:r w:rsidRPr="00E15FD8">
        <w:rPr>
          <w:rFonts w:ascii="Verdana" w:eastAsia="Aptos" w:hAnsi="Verdana" w:cs="Times New Roman"/>
          <w:b/>
          <w:bCs/>
          <w:color w:val="000000"/>
          <w:kern w:val="2"/>
          <w14:ligatures w14:val="standardContextual"/>
        </w:rPr>
        <w:t>Circular Externa 003 del 12 de mayo de 2026, </w:t>
      </w:r>
      <w:r w:rsidRPr="00E15FD8">
        <w:rPr>
          <w:rFonts w:ascii="Verdana" w:eastAsia="Aptos" w:hAnsi="Verdana" w:cs="Times New Roman"/>
          <w:color w:val="000000"/>
          <w:kern w:val="2"/>
          <w14:ligatures w14:val="standardContextual"/>
        </w:rPr>
        <w:t xml:space="preserve">en la que precisa quiénes son los beneficiarios, las cinco medidas que integran el sistema y su obligatoriedad según la modalidad de selección, y el régimen de transición aplicable a los procesos en curso. Consúltala </w:t>
      </w:r>
      <w:r w:rsidRPr="00E15FD8">
        <w:rPr>
          <w:rFonts w:ascii="Verdana" w:eastAsia="Aptos" w:hAnsi="Verdana" w:cs="Times New Roman"/>
          <w:color w:val="000000"/>
          <w:kern w:val="2"/>
          <w14:ligatures w14:val="standardContextual"/>
        </w:rPr>
        <w:lastRenderedPageBreak/>
        <w:t>aquí: </w:t>
      </w:r>
      <w:hyperlink r:id="rId14" w:tooltip="https://nam02.safelinks.protection.outlook.com/?url=https%3A%2F%2Fwww.colombiacompra.gov.co%2Farchivos%2Fcircular%2Fcircular-externa-003-de-2026&amp;data=05%7C02%7Ccarlos.castrillon%40colombiacompra.gov.co%7C7128555136e04fa6887d08dee99e1b50%7C7b09041e245149d08cb17" w:history="1">
        <w:r w:rsidRPr="00E15FD8">
          <w:rPr>
            <w:rFonts w:ascii="Verdana" w:eastAsia="Aptos" w:hAnsi="Verdana" w:cs="Times New Roman"/>
            <w:color w:val="0078D7"/>
            <w:kern w:val="2"/>
            <w:u w:val="single"/>
            <w14:ligatures w14:val="standardContextual"/>
          </w:rPr>
          <w:t>https://www.colombiacompra.gov.co/archivos/circular/circular-externa-003-de-2026</w:t>
        </w:r>
      </w:hyperlink>
    </w:p>
    <w:p w14:paraId="2189BBE8" w14:textId="77777777" w:rsidR="005D7B04" w:rsidRPr="00E15FD8" w:rsidRDefault="005D7B04" w:rsidP="005D7B04">
      <w:pPr>
        <w:spacing w:after="120" w:line="276" w:lineRule="auto"/>
        <w:jc w:val="both"/>
        <w:rPr>
          <w:rFonts w:ascii="Verdana" w:eastAsia="Aptos" w:hAnsi="Verdana" w:cs="Times New Roman"/>
          <w:color w:val="000000"/>
          <w:kern w:val="2"/>
          <w14:ligatures w14:val="standardContextual"/>
        </w:rPr>
      </w:pPr>
      <w:r w:rsidRPr="00E15FD8">
        <w:rPr>
          <w:rFonts w:ascii="Verdana" w:eastAsia="Aptos" w:hAnsi="Verdana" w:cs="Times New Roman"/>
          <w:color w:val="000000"/>
          <w:kern w:val="2"/>
          <w14:ligatures w14:val="standardContextual"/>
        </w:rPr>
        <w:t>Recuerda también que la</w:t>
      </w:r>
      <w:r w:rsidRPr="00E15FD8">
        <w:rPr>
          <w:rFonts w:ascii="Verdana" w:eastAsia="Aptos" w:hAnsi="Verdana" w:cs="Times New Roman"/>
          <w:b/>
          <w:bCs/>
          <w:color w:val="000000"/>
          <w:kern w:val="2"/>
          <w14:ligatures w14:val="standardContextual"/>
        </w:rPr>
        <w:t> información sobre sanciones e inhabilidades </w:t>
      </w:r>
      <w:r w:rsidRPr="00E15FD8">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E15FD8">
        <w:rPr>
          <w:rFonts w:ascii="Verdana" w:eastAsia="Aptos" w:hAnsi="Verdana" w:cs="Times New Roman"/>
          <w:b/>
          <w:bCs/>
          <w:color w:val="000000"/>
          <w:kern w:val="2"/>
          <w14:ligatures w14:val="standardContextual"/>
        </w:rPr>
        <w:t>Circular Externa 002 del 5 de mayo de 2026,</w:t>
      </w:r>
      <w:r w:rsidRPr="00E15FD8">
        <w:rPr>
          <w:rFonts w:ascii="Verdana" w:eastAsia="Aptos" w:hAnsi="Verdana" w:cs="Times New Roman"/>
          <w:color w:val="000000"/>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https://nam02.safelinks.protection.outlook.com/?url=https%3A%2F%2Fwww.colombiacompra.gov.co%2Farchivos%2Fcircular%2Fcircular-externa-002-de-2026&amp;data=05%7C02%7Ccarlos.castrillon%40colombiacompra.gov.co%7C7128555136e04fa6887d08dee99e1b50%7C7b09041e245149d08cb17" w:history="1">
        <w:r w:rsidRPr="00E15FD8">
          <w:rPr>
            <w:rFonts w:ascii="Verdana" w:eastAsia="Aptos" w:hAnsi="Verdana" w:cs="Times New Roman"/>
            <w:color w:val="0078D7"/>
            <w:kern w:val="2"/>
            <w:u w:val="single"/>
            <w14:ligatures w14:val="standardContextual"/>
          </w:rPr>
          <w:t>https://www.colombiacompra.gov.co/archivos/circular/circular-externa-002-de-2026</w:t>
        </w:r>
      </w:hyperlink>
    </w:p>
    <w:p w14:paraId="3BFA66AF" w14:textId="77777777" w:rsidR="005D7B04" w:rsidRPr="00E15FD8" w:rsidRDefault="005D7B04" w:rsidP="005D7B04">
      <w:pPr>
        <w:spacing w:after="120" w:line="276" w:lineRule="auto"/>
        <w:jc w:val="both"/>
        <w:rPr>
          <w:rFonts w:ascii="Verdana" w:eastAsia="Aptos" w:hAnsi="Verdana" w:cs="Times New Roman"/>
          <w:color w:val="000000"/>
          <w:kern w:val="2"/>
          <w14:ligatures w14:val="standardContextual"/>
        </w:rPr>
      </w:pPr>
      <w:r w:rsidRPr="00E15FD8">
        <w:rPr>
          <w:rFonts w:ascii="Verdana" w:eastAsia="Aptos" w:hAnsi="Verdana" w:cs="Times New Roman"/>
          <w:color w:val="000000"/>
          <w:kern w:val="2"/>
          <w14:ligatures w14:val="standardContextual"/>
        </w:rPr>
        <w:t>Finalmente, si quieres seguir de cerca la actividad de la Agencia, la tercera edición de 2026 del</w:t>
      </w:r>
      <w:r w:rsidRPr="00E15FD8">
        <w:rPr>
          <w:rFonts w:ascii="Verdana" w:eastAsia="Aptos" w:hAnsi="Verdana" w:cs="Times New Roman"/>
          <w:b/>
          <w:bCs/>
          <w:color w:val="000000"/>
          <w:kern w:val="2"/>
          <w14:ligatures w14:val="standardContextual"/>
        </w:rPr>
        <w:t> Radar de la Compra Pública</w:t>
      </w:r>
      <w:r w:rsidRPr="00E15FD8">
        <w:rPr>
          <w:rFonts w:ascii="Verdana" w:eastAsia="Aptos" w:hAnsi="Verdana" w:cs="Times New Roman"/>
          <w:color w:val="000000"/>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https://nam02.safelinks.protection.outlook.com/?url=https%3A%2F%2Fwww.colombiacompra.gov.co%2Farchivos%2Fboletin%2Fboletin-edicion-n-3-de-2026-radar-de-la-compra-publica&amp;data=05%7C02%7Ccarlos.castrillon%40colombiacompra.gov.co%7C7128555136e04fa6887d08dee99e1b5" w:history="1">
        <w:r w:rsidRPr="00E15FD8">
          <w:rPr>
            <w:rFonts w:ascii="Verdana" w:eastAsia="Aptos" w:hAnsi="Verdana" w:cs="Times New Roman"/>
            <w:color w:val="0078D7"/>
            <w:kern w:val="2"/>
            <w:u w:val="single"/>
            <w14:ligatures w14:val="standardContextual"/>
          </w:rPr>
          <w:t>https://www.colombiacompra.gov.co/archivos/boletin/boletin-edicion-n-3-de-2026-radar-de-la-compra-publica</w:t>
        </w:r>
      </w:hyperlink>
      <w:r w:rsidRPr="00E15FD8">
        <w:rPr>
          <w:rFonts w:ascii="Verdana" w:eastAsia="Aptos" w:hAnsi="Verdana" w:cs="Times New Roman"/>
          <w:color w:val="000000"/>
          <w:kern w:val="2"/>
          <w14:ligatures w14:val="standardContextual"/>
        </w:rPr>
        <w:t>"</w:t>
      </w:r>
    </w:p>
    <w:p w14:paraId="10421248" w14:textId="77777777" w:rsidR="005D7B04" w:rsidRPr="00E15FD8" w:rsidRDefault="005D7B04" w:rsidP="005D7B04">
      <w:pPr>
        <w:spacing w:after="120" w:line="240" w:lineRule="auto"/>
        <w:jc w:val="both"/>
        <w:rPr>
          <w:rFonts w:ascii="Verdana" w:eastAsia="Calibri" w:hAnsi="Verdana" w:cs="Times New Roman"/>
          <w:lang w:eastAsia="es-MX"/>
        </w:rPr>
      </w:pPr>
      <w:r w:rsidRPr="00E15FD8">
        <w:rPr>
          <w:rFonts w:ascii="Verdana" w:eastAsia="Aptos" w:hAnsi="Verdana" w:cs="Times New Roman"/>
          <w:lang w:eastAsia="es-MX"/>
        </w:rPr>
        <w:t xml:space="preserve">Por último, lo invitamos a seguirnos en las redes sociales en las cuales se difunde información institucional: </w:t>
      </w:r>
    </w:p>
    <w:p w14:paraId="51C40B4D" w14:textId="77777777" w:rsidR="005D7B04" w:rsidRPr="00E15FD8" w:rsidRDefault="005D7B04" w:rsidP="005D7B04">
      <w:pPr>
        <w:spacing w:after="120" w:line="240" w:lineRule="auto"/>
        <w:jc w:val="both"/>
        <w:rPr>
          <w:rFonts w:ascii="Verdana" w:eastAsia="Aptos" w:hAnsi="Verdana" w:cs="Times New Roman"/>
          <w:lang w:eastAsia="es-MX"/>
        </w:rPr>
      </w:pPr>
      <w:r w:rsidRPr="00E15FD8">
        <w:rPr>
          <w:rFonts w:ascii="Verdana" w:eastAsia="Aptos" w:hAnsi="Verdana" w:cs="Times New Roman"/>
          <w:lang w:eastAsia="es-MX"/>
        </w:rPr>
        <w:t xml:space="preserve">Twitter: </w:t>
      </w:r>
      <w:r w:rsidRPr="00E15FD8">
        <w:rPr>
          <w:rFonts w:ascii="Verdana" w:eastAsia="Calibri" w:hAnsi="Verdana" w:cs="Times New Roman"/>
          <w:color w:val="156082"/>
          <w:u w:val="single"/>
          <w:lang w:eastAsia="es-MX"/>
        </w:rPr>
        <w:t>@colombiacompra</w:t>
      </w:r>
      <w:r w:rsidRPr="00E15FD8">
        <w:rPr>
          <w:rFonts w:ascii="Verdana" w:eastAsia="Calibri" w:hAnsi="Verdana" w:cs="Times New Roman"/>
          <w:color w:val="156082"/>
          <w:lang w:eastAsia="es-MX"/>
        </w:rPr>
        <w:t xml:space="preserve"> </w:t>
      </w:r>
    </w:p>
    <w:p w14:paraId="68F27D2F" w14:textId="77777777" w:rsidR="005D7B04" w:rsidRPr="00E15FD8" w:rsidRDefault="005D7B04" w:rsidP="005D7B04">
      <w:pPr>
        <w:spacing w:after="120" w:line="240" w:lineRule="auto"/>
        <w:jc w:val="both"/>
        <w:rPr>
          <w:rFonts w:ascii="Verdana" w:eastAsia="Aptos" w:hAnsi="Verdana" w:cs="Times New Roman"/>
          <w:lang w:eastAsia="es-MX"/>
        </w:rPr>
      </w:pPr>
      <w:r w:rsidRPr="00E15FD8">
        <w:rPr>
          <w:rFonts w:ascii="Verdana" w:eastAsia="Aptos" w:hAnsi="Verdana" w:cs="Times New Roman"/>
          <w:lang w:eastAsia="es-MX"/>
        </w:rPr>
        <w:t xml:space="preserve">Facebook: </w:t>
      </w:r>
      <w:proofErr w:type="spellStart"/>
      <w:r w:rsidRPr="00E15FD8">
        <w:rPr>
          <w:rFonts w:ascii="Verdana" w:eastAsia="Calibri" w:hAnsi="Verdana" w:cs="Times New Roman"/>
          <w:color w:val="156082"/>
          <w:u w:val="single"/>
          <w:lang w:eastAsia="es-MX"/>
        </w:rPr>
        <w:t>ColombiaCompraEficiente</w:t>
      </w:r>
      <w:proofErr w:type="spellEnd"/>
    </w:p>
    <w:p w14:paraId="39B969B6" w14:textId="77777777" w:rsidR="005D7B04" w:rsidRPr="00E15FD8" w:rsidRDefault="005D7B04" w:rsidP="005D7B04">
      <w:pPr>
        <w:spacing w:after="120" w:line="240" w:lineRule="auto"/>
        <w:jc w:val="both"/>
        <w:rPr>
          <w:rFonts w:ascii="Verdana" w:eastAsia="Aptos" w:hAnsi="Verdana" w:cs="Times New Roman"/>
          <w:lang w:eastAsia="es-MX"/>
        </w:rPr>
      </w:pPr>
      <w:r w:rsidRPr="00E15FD8">
        <w:rPr>
          <w:rFonts w:ascii="Verdana" w:eastAsia="Aptos" w:hAnsi="Verdana" w:cs="Times New Roman"/>
          <w:lang w:eastAsia="es-MX"/>
        </w:rPr>
        <w:t xml:space="preserve">LinkedIn: </w:t>
      </w:r>
      <w:r w:rsidRPr="00E15FD8">
        <w:rPr>
          <w:rFonts w:ascii="Verdana" w:eastAsia="Calibri" w:hAnsi="Verdana" w:cs="Times New Roman"/>
          <w:color w:val="156082"/>
          <w:u w:val="single"/>
          <w:lang w:eastAsia="es-MX"/>
        </w:rPr>
        <w:t>Agencia Nacional de Contratación Pública - Colombia Compra Eficiente</w:t>
      </w:r>
      <w:r w:rsidRPr="00E15FD8">
        <w:rPr>
          <w:rFonts w:ascii="Verdana" w:eastAsia="Calibri" w:hAnsi="Verdana" w:cs="Times New Roman"/>
          <w:color w:val="156082"/>
          <w:lang w:eastAsia="es-MX"/>
        </w:rPr>
        <w:t xml:space="preserve"> </w:t>
      </w:r>
      <w:r w:rsidRPr="00E15FD8">
        <w:rPr>
          <w:rFonts w:ascii="Verdana" w:eastAsia="Aptos" w:hAnsi="Verdana" w:cs="Times New Roman"/>
          <w:lang w:eastAsia="es-MX"/>
        </w:rPr>
        <w:t xml:space="preserve">Instagram: </w:t>
      </w:r>
      <w:r w:rsidRPr="00E15FD8">
        <w:rPr>
          <w:rFonts w:ascii="Verdana" w:eastAsia="Calibri" w:hAnsi="Verdana" w:cs="Times New Roman"/>
          <w:color w:val="156082"/>
          <w:u w:val="single"/>
          <w:lang w:eastAsia="es-MX"/>
        </w:rPr>
        <w:t>@colombiacompraeficiente_cce</w:t>
      </w:r>
    </w:p>
    <w:p w14:paraId="19194BB4" w14:textId="77777777" w:rsidR="005D7B04" w:rsidRPr="00E15FD8" w:rsidRDefault="005D7B04" w:rsidP="005D7B04">
      <w:pPr>
        <w:spacing w:after="0" w:line="276" w:lineRule="auto"/>
        <w:jc w:val="both"/>
        <w:rPr>
          <w:rFonts w:ascii="Verdana" w:eastAsia="Aptos" w:hAnsi="Verdana" w:cs="Times New Roman"/>
          <w:lang w:eastAsia="es-MX"/>
        </w:rPr>
      </w:pPr>
    </w:p>
    <w:p w14:paraId="7A79F108" w14:textId="77777777" w:rsidR="005D7B04" w:rsidRPr="00E15FD8" w:rsidRDefault="005D7B04" w:rsidP="005D7B04">
      <w:pPr>
        <w:spacing w:after="0" w:line="276" w:lineRule="auto"/>
        <w:jc w:val="both"/>
        <w:rPr>
          <w:rFonts w:ascii="Verdana" w:eastAsia="Calibri" w:hAnsi="Verdana" w:cs="Times New Roman"/>
          <w:bCs/>
          <w:lang w:val="es-ES_tradnl" w:eastAsia="es-MX"/>
        </w:rPr>
      </w:pPr>
      <w:r w:rsidRPr="00E15FD8">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3320CC66" w14:textId="77777777" w:rsidR="005D7B04" w:rsidRPr="00E15FD8" w:rsidRDefault="005D7B04" w:rsidP="005D7B04">
      <w:pPr>
        <w:spacing w:after="0" w:line="276" w:lineRule="auto"/>
        <w:jc w:val="both"/>
        <w:rPr>
          <w:rFonts w:ascii="Verdana" w:eastAsia="Calibri" w:hAnsi="Verdana" w:cs="Times New Roman"/>
          <w:lang w:eastAsia="es-MX"/>
        </w:rPr>
      </w:pPr>
    </w:p>
    <w:p w14:paraId="0C4E2EB6" w14:textId="77777777" w:rsidR="005D7B04" w:rsidRPr="00E15FD8" w:rsidRDefault="005D7B04" w:rsidP="005D7B04">
      <w:pPr>
        <w:spacing w:after="0" w:line="276" w:lineRule="auto"/>
        <w:jc w:val="both"/>
        <w:rPr>
          <w:rFonts w:ascii="Verdana" w:eastAsia="Calibri" w:hAnsi="Verdana" w:cs="Times New Roman"/>
          <w:lang w:eastAsia="es-MX"/>
        </w:rPr>
      </w:pPr>
      <w:r w:rsidRPr="00E15FD8">
        <w:rPr>
          <w:rFonts w:ascii="Verdana" w:eastAsia="Calibri" w:hAnsi="Verdana" w:cs="Times New Roman"/>
          <w:lang w:eastAsia="es-MX"/>
        </w:rPr>
        <w:t>Atentamente,</w:t>
      </w:r>
    </w:p>
    <w:p w14:paraId="2E62C4CD" w14:textId="77777777" w:rsidR="005D7B04" w:rsidRDefault="005D7B04" w:rsidP="005D7B04">
      <w:pPr>
        <w:tabs>
          <w:tab w:val="left" w:pos="1320"/>
        </w:tabs>
        <w:spacing w:after="0"/>
        <w:jc w:val="center"/>
        <w:rPr>
          <w:rFonts w:ascii="Century Gothic" w:eastAsia="Calibri" w:hAnsi="Century Gothic" w:cs="Times New Roman"/>
          <w:lang w:eastAsia="es-MX"/>
        </w:rPr>
      </w:pPr>
    </w:p>
    <w:p w14:paraId="1E24A74B" w14:textId="2F525F73" w:rsidR="005D7B04" w:rsidRPr="00E15FD8" w:rsidRDefault="00D51ED8" w:rsidP="005D7B04">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06248391" wp14:editId="41D7FB69">
            <wp:extent cx="2907846" cy="1248355"/>
            <wp:effectExtent l="0" t="0" r="635" b="0"/>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2954373" cy="1268329"/>
                    </a:xfrm>
                    <a:prstGeom prst="rect">
                      <a:avLst/>
                    </a:prstGeom>
                  </pic:spPr>
                </pic:pic>
              </a:graphicData>
            </a:graphic>
          </wp:inline>
        </w:drawing>
      </w:r>
    </w:p>
    <w:p w14:paraId="7F32B246" w14:textId="77777777" w:rsidR="005D7B04" w:rsidRPr="00E15FD8" w:rsidRDefault="005D7B04" w:rsidP="005D7B04">
      <w:pPr>
        <w:tabs>
          <w:tab w:val="left" w:pos="1320"/>
        </w:tabs>
        <w:spacing w:after="0"/>
        <w:jc w:val="center"/>
        <w:rPr>
          <w:rFonts w:ascii="Century Gothic" w:eastAsia="Calibri" w:hAnsi="Century Gothic" w:cs="Times New Roman"/>
          <w:lang w:eastAsia="es-MX"/>
        </w:rPr>
      </w:pP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5D7B04" w:rsidRPr="00E15FD8" w14:paraId="3DD8F651" w14:textId="77777777" w:rsidTr="7FE440B9">
        <w:trPr>
          <w:trHeight w:val="323"/>
        </w:trPr>
        <w:tc>
          <w:tcPr>
            <w:tcW w:w="1041" w:type="dxa"/>
            <w:vAlign w:val="center"/>
            <w:hideMark/>
          </w:tcPr>
          <w:p w14:paraId="56EE12F3" w14:textId="77777777" w:rsidR="005D7B04" w:rsidRPr="00E15FD8" w:rsidRDefault="005D7B04" w:rsidP="005672E7">
            <w:pPr>
              <w:rPr>
                <w:rFonts w:ascii="Verdana" w:eastAsia="Calibri" w:hAnsi="Verdana" w:cs="Arial"/>
                <w:sz w:val="16"/>
                <w:szCs w:val="16"/>
                <w:lang w:val="es-ES_tradnl" w:eastAsia="es-ES"/>
              </w:rPr>
            </w:pPr>
            <w:r w:rsidRPr="00E15FD8">
              <w:rPr>
                <w:rFonts w:ascii="Verdana" w:eastAsia="Calibri" w:hAnsi="Verdana" w:cs="Arial"/>
                <w:sz w:val="16"/>
                <w:szCs w:val="16"/>
                <w:lang w:val="es-ES_tradnl" w:eastAsia="es-ES"/>
              </w:rPr>
              <w:t>Elaboró:</w:t>
            </w:r>
          </w:p>
        </w:tc>
        <w:tc>
          <w:tcPr>
            <w:tcW w:w="6561" w:type="dxa"/>
            <w:tcBorders>
              <w:top w:val="nil"/>
              <w:left w:val="nil"/>
              <w:bottom w:val="dotted" w:sz="4" w:space="0" w:color="7F7F7F" w:themeColor="text1" w:themeTint="80"/>
              <w:right w:val="nil"/>
            </w:tcBorders>
            <w:vAlign w:val="center"/>
            <w:hideMark/>
          </w:tcPr>
          <w:p w14:paraId="0659E74C" w14:textId="77777777" w:rsidR="005D7B04" w:rsidRPr="00E15FD8" w:rsidRDefault="005D7B04" w:rsidP="005672E7">
            <w:pPr>
              <w:rPr>
                <w:rFonts w:ascii="Verdana" w:eastAsia="Arial" w:hAnsi="Verdana" w:cs="Arial"/>
                <w:sz w:val="16"/>
                <w:szCs w:val="16"/>
                <w:lang w:val="es-ES" w:eastAsia="es-MX"/>
              </w:rPr>
            </w:pPr>
            <w:r w:rsidRPr="00E15FD8">
              <w:rPr>
                <w:rFonts w:ascii="Verdana" w:eastAsia="Arial" w:hAnsi="Verdana" w:cs="Arial"/>
                <w:sz w:val="16"/>
                <w:szCs w:val="16"/>
                <w:lang w:val="es-ES" w:eastAsia="es-MX"/>
              </w:rPr>
              <w:t xml:space="preserve">Carlos Mario Castrillón Endo </w:t>
            </w:r>
          </w:p>
          <w:p w14:paraId="420AFB1E" w14:textId="77777777" w:rsidR="005D7B04" w:rsidRPr="00E15FD8" w:rsidRDefault="005D7B04" w:rsidP="005672E7">
            <w:pPr>
              <w:rPr>
                <w:rFonts w:ascii="Verdana" w:eastAsia="Arial" w:hAnsi="Verdana" w:cs="Arial"/>
                <w:sz w:val="16"/>
                <w:szCs w:val="16"/>
                <w:lang w:val="es-ES_tradnl" w:eastAsia="es-MX"/>
              </w:rPr>
            </w:pPr>
            <w:r w:rsidRPr="00E15FD8">
              <w:rPr>
                <w:rFonts w:ascii="Verdana" w:eastAsia="Arial" w:hAnsi="Verdana" w:cs="Arial"/>
                <w:sz w:val="16"/>
                <w:szCs w:val="16"/>
                <w:lang w:val="es-ES_tradnl" w:eastAsia="es-MX"/>
              </w:rPr>
              <w:t>Contratista de la Subdirección de Gestión Contractual</w:t>
            </w:r>
          </w:p>
          <w:p w14:paraId="3A5083B1" w14:textId="77777777" w:rsidR="005D7B04" w:rsidRPr="00E15FD8" w:rsidRDefault="005D7B04" w:rsidP="005672E7">
            <w:pPr>
              <w:rPr>
                <w:rFonts w:ascii="Verdana" w:eastAsia="Arial" w:hAnsi="Verdana" w:cs="Arial"/>
                <w:sz w:val="16"/>
                <w:szCs w:val="16"/>
                <w:lang w:val="es-ES_tradnl" w:eastAsia="es-MX"/>
              </w:rPr>
            </w:pPr>
          </w:p>
        </w:tc>
      </w:tr>
      <w:tr w:rsidR="005D7B04" w:rsidRPr="00E15FD8" w14:paraId="00A0717D" w14:textId="77777777" w:rsidTr="7FE440B9">
        <w:trPr>
          <w:trHeight w:val="338"/>
        </w:trPr>
        <w:tc>
          <w:tcPr>
            <w:tcW w:w="1041" w:type="dxa"/>
            <w:vAlign w:val="center"/>
            <w:hideMark/>
          </w:tcPr>
          <w:p w14:paraId="476E532C" w14:textId="77777777" w:rsidR="005D7B04" w:rsidRPr="00E15FD8" w:rsidRDefault="005D7B04" w:rsidP="005672E7">
            <w:pPr>
              <w:rPr>
                <w:rFonts w:ascii="Verdana" w:eastAsia="Calibri" w:hAnsi="Verdana" w:cs="Arial"/>
                <w:sz w:val="16"/>
                <w:szCs w:val="16"/>
                <w:lang w:val="es-ES_tradnl" w:eastAsia="es-ES"/>
              </w:rPr>
            </w:pPr>
            <w:r w:rsidRPr="00E15FD8">
              <w:rPr>
                <w:rFonts w:ascii="Verdana" w:eastAsia="Calibri" w:hAnsi="Verdana" w:cs="Arial"/>
                <w:sz w:val="16"/>
                <w:szCs w:val="16"/>
                <w:lang w:val="es-ES_tradnl" w:eastAsia="es-ES"/>
              </w:rPr>
              <w:t>Revisó:</w:t>
            </w:r>
          </w:p>
        </w:tc>
        <w:tc>
          <w:tcPr>
            <w:tcW w:w="6561" w:type="dxa"/>
            <w:tcBorders>
              <w:top w:val="dotted" w:sz="4" w:space="0" w:color="7F7F7F" w:themeColor="text1" w:themeTint="80"/>
              <w:left w:val="nil"/>
              <w:bottom w:val="dotted" w:sz="4" w:space="0" w:color="7F7F7F" w:themeColor="text1" w:themeTint="80"/>
              <w:right w:val="nil"/>
            </w:tcBorders>
            <w:vAlign w:val="center"/>
            <w:hideMark/>
          </w:tcPr>
          <w:p w14:paraId="6E799F57" w14:textId="09F214C3" w:rsidR="005D7B04" w:rsidRPr="00E15FD8" w:rsidRDefault="005D7B04" w:rsidP="005672E7">
            <w:pPr>
              <w:rPr>
                <w:rFonts w:ascii="Verdana" w:eastAsia="Arial" w:hAnsi="Verdana" w:cs="Arial"/>
                <w:sz w:val="16"/>
                <w:szCs w:val="16"/>
                <w:lang w:val="es-ES" w:eastAsia="es-MX"/>
              </w:rPr>
            </w:pPr>
            <w:r w:rsidRPr="7FE440B9">
              <w:rPr>
                <w:rFonts w:ascii="Verdana" w:eastAsia="Arial" w:hAnsi="Verdana" w:cs="Arial"/>
                <w:sz w:val="16"/>
                <w:szCs w:val="16"/>
                <w:lang w:val="es-ES" w:eastAsia="es-MX"/>
              </w:rPr>
              <w:t>Alexandra Rodríguez</w:t>
            </w:r>
          </w:p>
          <w:p w14:paraId="4AE2BD13" w14:textId="77777777" w:rsidR="005D7B04" w:rsidRPr="00E15FD8" w:rsidRDefault="005D7B04" w:rsidP="005672E7">
            <w:pPr>
              <w:rPr>
                <w:rFonts w:ascii="Verdana" w:eastAsia="Arial" w:hAnsi="Verdana" w:cs="Arial"/>
                <w:sz w:val="16"/>
                <w:szCs w:val="16"/>
                <w:lang w:val="es-ES_tradnl" w:eastAsia="es-MX"/>
              </w:rPr>
            </w:pPr>
            <w:r w:rsidRPr="00E15FD8">
              <w:rPr>
                <w:rFonts w:ascii="Verdana" w:eastAsia="Arial" w:hAnsi="Verdana" w:cs="Arial"/>
                <w:sz w:val="16"/>
                <w:szCs w:val="16"/>
                <w:lang w:val="es-ES_tradnl" w:eastAsia="es-MX"/>
              </w:rPr>
              <w:t>Contratista de la Subdirección de Gestión Contractual</w:t>
            </w:r>
          </w:p>
          <w:p w14:paraId="777C4E1A" w14:textId="77777777" w:rsidR="005D7B04" w:rsidRPr="00E15FD8" w:rsidRDefault="005D7B04" w:rsidP="005672E7">
            <w:pPr>
              <w:rPr>
                <w:rFonts w:ascii="Verdana" w:eastAsia="Arial" w:hAnsi="Verdana" w:cs="Arial"/>
                <w:sz w:val="16"/>
                <w:szCs w:val="16"/>
                <w:lang w:val="es-ES_tradnl" w:eastAsia="es-MX"/>
              </w:rPr>
            </w:pPr>
            <w:r w:rsidRPr="00E15FD8">
              <w:rPr>
                <w:rFonts w:ascii="Verdana" w:eastAsia="Arial" w:hAnsi="Verdana" w:cs="Arial"/>
                <w:sz w:val="16"/>
                <w:szCs w:val="16"/>
                <w:lang w:val="es-ES_tradnl" w:eastAsia="es-MX"/>
              </w:rPr>
              <w:t>Martha Alicia Romero Vargas</w:t>
            </w:r>
          </w:p>
          <w:p w14:paraId="76CD313B" w14:textId="77777777" w:rsidR="005D7B04" w:rsidRPr="00E15FD8" w:rsidRDefault="005D7B04" w:rsidP="005672E7">
            <w:pPr>
              <w:rPr>
                <w:rFonts w:ascii="Verdana" w:eastAsia="Arial" w:hAnsi="Verdana" w:cs="Arial"/>
                <w:sz w:val="16"/>
                <w:szCs w:val="16"/>
                <w:lang w:val="es-ES_tradnl" w:eastAsia="es-MX"/>
              </w:rPr>
            </w:pPr>
            <w:r w:rsidRPr="00E15FD8">
              <w:rPr>
                <w:rFonts w:ascii="Verdana" w:eastAsia="Arial" w:hAnsi="Verdana" w:cs="Arial"/>
                <w:sz w:val="16"/>
                <w:szCs w:val="16"/>
                <w:lang w:val="es-ES_tradnl" w:eastAsia="es-MX"/>
              </w:rPr>
              <w:t>Gestor T1-15 de la Subdirección de Gestión Contractual</w:t>
            </w:r>
          </w:p>
          <w:p w14:paraId="38E692F4" w14:textId="77777777" w:rsidR="005D7B04" w:rsidRPr="00E15FD8" w:rsidRDefault="005D7B04" w:rsidP="005672E7">
            <w:pPr>
              <w:rPr>
                <w:rFonts w:ascii="Verdana" w:eastAsia="Arial" w:hAnsi="Verdana" w:cs="Arial"/>
                <w:sz w:val="16"/>
                <w:szCs w:val="16"/>
                <w:lang w:val="es-ES_tradnl" w:eastAsia="es-MX"/>
              </w:rPr>
            </w:pPr>
          </w:p>
        </w:tc>
      </w:tr>
      <w:tr w:rsidR="005D7B04" w:rsidRPr="00E15FD8" w14:paraId="7FA8798A" w14:textId="77777777" w:rsidTr="7FE440B9">
        <w:trPr>
          <w:trHeight w:val="308"/>
        </w:trPr>
        <w:tc>
          <w:tcPr>
            <w:tcW w:w="1041" w:type="dxa"/>
            <w:vAlign w:val="center"/>
          </w:tcPr>
          <w:p w14:paraId="262E6988" w14:textId="77777777" w:rsidR="005D7B04" w:rsidRPr="00E15FD8" w:rsidRDefault="005D7B04" w:rsidP="005672E7">
            <w:pPr>
              <w:rPr>
                <w:rFonts w:ascii="Verdana" w:eastAsia="Calibri" w:hAnsi="Verdana" w:cs="Arial"/>
                <w:sz w:val="16"/>
                <w:szCs w:val="16"/>
                <w:lang w:val="es-ES_tradnl" w:eastAsia="es-ES"/>
              </w:rPr>
            </w:pPr>
            <w:r w:rsidRPr="00E15FD8">
              <w:rPr>
                <w:rFonts w:ascii="Verdana" w:eastAsia="Calibri" w:hAnsi="Verdana" w:cs="Arial"/>
                <w:sz w:val="16"/>
                <w:szCs w:val="16"/>
                <w:lang w:val="es-ES_tradnl" w:eastAsia="es-ES"/>
              </w:rPr>
              <w:t>Aprobó:</w:t>
            </w:r>
          </w:p>
        </w:tc>
        <w:tc>
          <w:tcPr>
            <w:tcW w:w="6561" w:type="dxa"/>
            <w:tcBorders>
              <w:top w:val="dotted" w:sz="4" w:space="0" w:color="7F7F7F" w:themeColor="text1" w:themeTint="80"/>
              <w:left w:val="nil"/>
              <w:bottom w:val="dotted" w:sz="4" w:space="0" w:color="7F7F7F" w:themeColor="text1" w:themeTint="80"/>
              <w:right w:val="nil"/>
            </w:tcBorders>
            <w:vAlign w:val="center"/>
          </w:tcPr>
          <w:p w14:paraId="5D9344D2" w14:textId="77777777" w:rsidR="005D7B04" w:rsidRPr="00E15FD8" w:rsidRDefault="005D7B04" w:rsidP="005672E7">
            <w:pPr>
              <w:rPr>
                <w:rFonts w:ascii="Verdana" w:eastAsia="Calibri" w:hAnsi="Verdana" w:cs="Arial"/>
                <w:sz w:val="16"/>
                <w:szCs w:val="16"/>
                <w:lang w:val="es-ES" w:eastAsia="es-ES"/>
              </w:rPr>
            </w:pPr>
            <w:r w:rsidRPr="00E15FD8">
              <w:rPr>
                <w:rFonts w:ascii="Verdana" w:eastAsia="Calibri" w:hAnsi="Verdana" w:cs="Arial"/>
                <w:sz w:val="16"/>
                <w:szCs w:val="16"/>
                <w:lang w:val="es-ES" w:eastAsia="es-ES"/>
              </w:rPr>
              <w:t>Carolina Quintero Gacharná</w:t>
            </w:r>
          </w:p>
          <w:p w14:paraId="75C41D64" w14:textId="77777777" w:rsidR="005D7B04" w:rsidRPr="00E15FD8" w:rsidRDefault="005D7B04" w:rsidP="005672E7">
            <w:pPr>
              <w:rPr>
                <w:rFonts w:ascii="Verdana" w:eastAsia="Calibri" w:hAnsi="Verdana" w:cs="Arial"/>
                <w:sz w:val="16"/>
                <w:szCs w:val="16"/>
                <w:lang w:val="es-ES_tradnl" w:eastAsia="es-ES"/>
              </w:rPr>
            </w:pPr>
            <w:r w:rsidRPr="00E15FD8">
              <w:rPr>
                <w:rFonts w:ascii="Verdana" w:eastAsia="Calibri" w:hAnsi="Verdana" w:cs="Arial"/>
                <w:sz w:val="16"/>
                <w:szCs w:val="16"/>
                <w:lang w:val="es-ES_tradnl" w:eastAsia="es-ES"/>
              </w:rPr>
              <w:t>Subdirectora de Gestión Contractual ANCP – CCE</w:t>
            </w:r>
          </w:p>
        </w:tc>
      </w:tr>
    </w:tbl>
    <w:p w14:paraId="7D4B98D7" w14:textId="77777777" w:rsidR="005D7B04" w:rsidRPr="00E15FD8" w:rsidRDefault="005D7B04" w:rsidP="005D7B04">
      <w:pPr>
        <w:spacing w:after="0" w:line="240" w:lineRule="auto"/>
        <w:jc w:val="both"/>
        <w:textAlignment w:val="baseline"/>
        <w:rPr>
          <w:rFonts w:ascii="Verdana" w:eastAsia="Verdana" w:hAnsi="Verdana" w:cs="Verdana"/>
          <w:lang w:eastAsia="es-CO"/>
        </w:rPr>
      </w:pPr>
    </w:p>
    <w:p w14:paraId="58337E18" w14:textId="77777777" w:rsidR="005D7B04" w:rsidRPr="00E15FD8" w:rsidRDefault="005D7B04" w:rsidP="005D7B04">
      <w:pPr>
        <w:spacing w:after="0" w:line="240" w:lineRule="auto"/>
        <w:textAlignment w:val="baseline"/>
        <w:rPr>
          <w:rFonts w:ascii="Verdana" w:eastAsia="Verdana" w:hAnsi="Verdana" w:cs="Verdana"/>
          <w:b/>
          <w:bCs/>
        </w:rPr>
      </w:pPr>
    </w:p>
    <w:p w14:paraId="4A7940A6" w14:textId="77777777" w:rsidR="005D7B04" w:rsidRPr="000E2B93" w:rsidRDefault="005D7B04" w:rsidP="005D7B04">
      <w:pPr>
        <w:spacing w:after="0" w:line="240" w:lineRule="auto"/>
        <w:jc w:val="both"/>
        <w:textAlignment w:val="baseline"/>
        <w:rPr>
          <w:rFonts w:ascii="Verdana" w:eastAsia="Verdana" w:hAnsi="Verdana" w:cs="Verdana"/>
          <w:lang w:eastAsia="es-CO"/>
        </w:rPr>
      </w:pPr>
    </w:p>
    <w:p w14:paraId="28B209A8" w14:textId="77777777" w:rsidR="005D7B04" w:rsidRPr="000E2B93" w:rsidRDefault="005D7B04" w:rsidP="005D7B04">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bookmarkEnd w:id="0"/>
    <w:p w14:paraId="51293458" w14:textId="77777777" w:rsidR="005D7B04" w:rsidRDefault="005D7B04" w:rsidP="005D7B04"/>
    <w:p w14:paraId="0F293BF4" w14:textId="198C6020" w:rsidR="00127233" w:rsidRPr="005D7B04" w:rsidRDefault="00127233" w:rsidP="005D7B04"/>
    <w:sectPr w:rsidR="00127233" w:rsidRPr="005D7B04"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97D87" w14:textId="77777777" w:rsidR="00E57B6C" w:rsidRDefault="00E57B6C" w:rsidP="004A1847">
      <w:pPr>
        <w:spacing w:after="0" w:line="240" w:lineRule="auto"/>
      </w:pPr>
      <w:r>
        <w:separator/>
      </w:r>
    </w:p>
  </w:endnote>
  <w:endnote w:type="continuationSeparator" w:id="0">
    <w:p w14:paraId="4D534025" w14:textId="77777777" w:rsidR="00E57B6C" w:rsidRDefault="00E57B6C" w:rsidP="004A1847">
      <w:pPr>
        <w:spacing w:after="0" w:line="240" w:lineRule="auto"/>
      </w:pPr>
      <w:r>
        <w:continuationSeparator/>
      </w:r>
    </w:p>
  </w:endnote>
  <w:endnote w:type="continuationNotice" w:id="1">
    <w:p w14:paraId="19056576" w14:textId="77777777" w:rsidR="00E57B6C" w:rsidRDefault="00E57B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MT">
    <w:altName w:val="Heiti TC Light"/>
    <w:panose1 w:val="00000000000000000000"/>
    <w:charset w:val="00"/>
    <w:family w:val="roman"/>
    <w:notTrueType/>
    <w:pitch w:val="default"/>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86125C">
      <w:rPr>
        <w:rFonts w:ascii="Verdana" w:eastAsia="Verdana" w:hAnsi="Verdana" w:cs="Verdana"/>
        <w:b/>
        <w:bCs/>
        <w:color w:val="000000"/>
        <w:sz w:val="18"/>
        <w:szCs w:val="18"/>
        <w:lang w:eastAsia="es-CO"/>
      </w:rPr>
      <w:t xml:space="preserve">Código: </w:t>
    </w:r>
    <w:r w:rsidRPr="0086125C">
      <w:rPr>
        <w:rFonts w:ascii="Verdana" w:eastAsia="Verdana" w:hAnsi="Verdana" w:cs="Verdana"/>
        <w:color w:val="000000"/>
        <w:sz w:val="18"/>
        <w:szCs w:val="18"/>
        <w:lang w:eastAsia="es-CO"/>
      </w:rPr>
      <w:t xml:space="preserve">CCE-REC-FM-17 </w:t>
    </w:r>
    <w:r w:rsidRPr="0086125C">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DBDDD" w14:textId="77777777" w:rsidR="00E57B6C" w:rsidRDefault="00E57B6C" w:rsidP="004A1847">
      <w:pPr>
        <w:spacing w:after="0" w:line="240" w:lineRule="auto"/>
      </w:pPr>
      <w:r>
        <w:separator/>
      </w:r>
    </w:p>
  </w:footnote>
  <w:footnote w:type="continuationSeparator" w:id="0">
    <w:p w14:paraId="25DDBDFE" w14:textId="77777777" w:rsidR="00E57B6C" w:rsidRDefault="00E57B6C" w:rsidP="004A1847">
      <w:pPr>
        <w:spacing w:after="0" w:line="240" w:lineRule="auto"/>
      </w:pPr>
      <w:r>
        <w:continuationSeparator/>
      </w:r>
    </w:p>
  </w:footnote>
  <w:footnote w:type="continuationNotice" w:id="1">
    <w:p w14:paraId="7BD7E942" w14:textId="77777777" w:rsidR="00E57B6C" w:rsidRDefault="00E57B6C">
      <w:pPr>
        <w:spacing w:after="0" w:line="240" w:lineRule="auto"/>
      </w:pPr>
    </w:p>
  </w:footnote>
  <w:footnote w:id="2">
    <w:p w14:paraId="20748F4A" w14:textId="77777777" w:rsidR="005D7B04" w:rsidRPr="004A5399" w:rsidRDefault="005D7B04" w:rsidP="005D7B04">
      <w:pPr>
        <w:spacing w:after="0" w:line="276" w:lineRule="auto"/>
        <w:jc w:val="both"/>
        <w:rPr>
          <w:rFonts w:ascii="Verdana" w:hAnsi="Verdana"/>
          <w:sz w:val="19"/>
          <w:szCs w:val="19"/>
        </w:rPr>
      </w:pPr>
    </w:p>
    <w:p w14:paraId="32A9CEE5" w14:textId="77777777" w:rsidR="005D7B04" w:rsidRPr="004A5399" w:rsidRDefault="005D7B04" w:rsidP="005D7B04">
      <w:pPr>
        <w:spacing w:after="0" w:line="276" w:lineRule="auto"/>
        <w:ind w:firstLine="708"/>
        <w:jc w:val="both"/>
        <w:rPr>
          <w:rFonts w:ascii="Verdana" w:eastAsia="Calibri" w:hAnsi="Verdana" w:cs="Arial"/>
          <w:bCs/>
          <w:sz w:val="19"/>
          <w:szCs w:val="19"/>
        </w:rPr>
      </w:pPr>
      <w:r w:rsidRPr="004A5399">
        <w:rPr>
          <w:rStyle w:val="Refdenotaalpie"/>
          <w:rFonts w:ascii="Verdana" w:hAnsi="Verdana"/>
          <w:sz w:val="19"/>
          <w:szCs w:val="19"/>
        </w:rPr>
        <w:footnoteRef/>
      </w:r>
      <w:r w:rsidRPr="004A5399">
        <w:rPr>
          <w:rFonts w:ascii="Verdana" w:hAnsi="Verdana"/>
          <w:sz w:val="19"/>
          <w:szCs w:val="19"/>
        </w:rPr>
        <w:t xml:space="preserve"> </w:t>
      </w:r>
      <w:r w:rsidRPr="004A5399">
        <w:rPr>
          <w:rFonts w:ascii="Verdana" w:eastAsia="Calibri" w:hAnsi="Verdana" w:cs="Arial"/>
          <w:bCs/>
          <w:sz w:val="19"/>
          <w:szCs w:val="19"/>
        </w:rPr>
        <w:t>Resolución 726 del 19 de diciembre de 2024: “Por la cual se adopta la versión 2 de los documentos tipo para los procesos de selección de concurso de méritos para contratar la consultoría de ingeniería de infraestructura de transporte y se deroga la Resolución 193 de 2021”.</w:t>
      </w:r>
    </w:p>
    <w:p w14:paraId="3772E5D5" w14:textId="77777777" w:rsidR="005D7B04" w:rsidRPr="004A5399" w:rsidRDefault="005D7B04" w:rsidP="005D7B04">
      <w:pPr>
        <w:spacing w:after="0" w:line="276" w:lineRule="auto"/>
        <w:ind w:firstLine="708"/>
        <w:jc w:val="both"/>
        <w:rPr>
          <w:rFonts w:ascii="Verdana" w:eastAsia="Calibri" w:hAnsi="Verdana" w:cs="Arial"/>
          <w:bCs/>
          <w:sz w:val="19"/>
          <w:szCs w:val="19"/>
        </w:rPr>
      </w:pPr>
    </w:p>
    <w:p w14:paraId="4DE7F086" w14:textId="77777777" w:rsidR="005D7B04" w:rsidRPr="004A5399" w:rsidRDefault="005D7B04" w:rsidP="005D7B04">
      <w:pPr>
        <w:spacing w:after="0" w:line="276" w:lineRule="auto"/>
        <w:ind w:firstLine="708"/>
        <w:jc w:val="both"/>
        <w:rPr>
          <w:rFonts w:ascii="Verdana" w:eastAsia="Calibri" w:hAnsi="Verdana" w:cs="Arial"/>
          <w:bCs/>
          <w:sz w:val="19"/>
          <w:szCs w:val="19"/>
        </w:rPr>
      </w:pPr>
      <w:r w:rsidRPr="004A5399">
        <w:rPr>
          <w:rFonts w:ascii="Verdana" w:eastAsia="Calibri" w:hAnsi="Verdana" w:cs="Arial"/>
          <w:bCs/>
          <w:sz w:val="19"/>
          <w:szCs w:val="19"/>
        </w:rPr>
        <w:t>Resolución 725 del 19 de diciembre de 2024: “Por la cual se adopta la versión 3 de los documentos tipo para los procesos de selección de concurso de méritos para contratar la interventoría de obras públicas de infraestructura de transporte y se deroga la Resolución 326 de 2022”.</w:t>
      </w:r>
    </w:p>
    <w:p w14:paraId="56031DD8" w14:textId="77777777" w:rsidR="005D7B04" w:rsidRPr="004A5399" w:rsidRDefault="005D7B04" w:rsidP="005D7B04">
      <w:pPr>
        <w:spacing w:after="0" w:line="276" w:lineRule="auto"/>
        <w:jc w:val="both"/>
        <w:rPr>
          <w:rFonts w:ascii="Verdana" w:eastAsia="Calibri" w:hAnsi="Verdana" w:cs="Arial"/>
          <w:bCs/>
          <w:sz w:val="19"/>
          <w:szCs w:val="19"/>
        </w:rPr>
      </w:pPr>
    </w:p>
    <w:p w14:paraId="509CC727" w14:textId="77777777" w:rsidR="005D7B04" w:rsidRPr="004A5399" w:rsidRDefault="005D7B04" w:rsidP="005D7B04">
      <w:pPr>
        <w:spacing w:after="0" w:line="276" w:lineRule="auto"/>
        <w:ind w:firstLine="708"/>
        <w:jc w:val="both"/>
        <w:rPr>
          <w:rFonts w:ascii="Verdana" w:eastAsia="Calibri" w:hAnsi="Verdana" w:cs="Arial"/>
          <w:bCs/>
          <w:sz w:val="19"/>
          <w:szCs w:val="19"/>
        </w:rPr>
      </w:pPr>
      <w:r w:rsidRPr="004A5399">
        <w:rPr>
          <w:rFonts w:ascii="Verdana" w:eastAsia="Calibri" w:hAnsi="Verdana" w:cs="Arial"/>
          <w:bCs/>
          <w:sz w:val="19"/>
          <w:szCs w:val="19"/>
        </w:rPr>
        <w:t xml:space="preserve">Resolución 464 del 10 de septiembre de 2024: “Por la cual se actualizan los documentos tipo para los procesos de obra pública de infraestructura de transporte adelantados bajo la modalidad de mínima cuantía”. </w:t>
      </w:r>
    </w:p>
    <w:p w14:paraId="2990FB49" w14:textId="77777777" w:rsidR="005D7B04" w:rsidRPr="004A5399" w:rsidRDefault="005D7B04" w:rsidP="005D7B04">
      <w:pPr>
        <w:spacing w:after="0" w:line="276" w:lineRule="auto"/>
        <w:jc w:val="both"/>
        <w:rPr>
          <w:rFonts w:ascii="Verdana" w:eastAsia="Calibri" w:hAnsi="Verdana" w:cs="Arial"/>
          <w:bCs/>
          <w:sz w:val="19"/>
          <w:szCs w:val="19"/>
        </w:rPr>
      </w:pPr>
    </w:p>
    <w:p w14:paraId="3A04EA60" w14:textId="77777777" w:rsidR="005D7B04" w:rsidRPr="004A5399" w:rsidRDefault="005D7B04" w:rsidP="005D7B04">
      <w:pPr>
        <w:spacing w:after="0" w:line="276" w:lineRule="auto"/>
        <w:ind w:firstLine="708"/>
        <w:jc w:val="both"/>
        <w:rPr>
          <w:rFonts w:ascii="Verdana" w:eastAsia="Calibri" w:hAnsi="Verdana" w:cs="Arial"/>
          <w:bCs/>
          <w:sz w:val="19"/>
          <w:szCs w:val="19"/>
        </w:rPr>
      </w:pPr>
      <w:r w:rsidRPr="004A5399">
        <w:rPr>
          <w:rFonts w:ascii="Verdana" w:eastAsia="Calibri" w:hAnsi="Verdana" w:cs="Arial"/>
          <w:bCs/>
          <w:sz w:val="19"/>
          <w:szCs w:val="19"/>
        </w:rPr>
        <w:t>Resolución 463 del 10 de septiembre de 2024: “Por la cual se adopta la versión 3 de los documentos tipo para los procesos de selección abreviada de menor cuantía de obra pública de infraestructura de transporte y se deroga la Resolución 241 de 2020”.</w:t>
      </w:r>
    </w:p>
    <w:p w14:paraId="69A029F5" w14:textId="77777777" w:rsidR="005D7B04" w:rsidRPr="004A5399" w:rsidRDefault="005D7B04" w:rsidP="005D7B04">
      <w:pPr>
        <w:spacing w:after="0" w:line="276" w:lineRule="auto"/>
        <w:ind w:firstLine="708"/>
        <w:jc w:val="both"/>
        <w:rPr>
          <w:rFonts w:ascii="Verdana" w:eastAsia="Calibri" w:hAnsi="Verdana" w:cs="Arial"/>
          <w:bCs/>
          <w:sz w:val="19"/>
          <w:szCs w:val="19"/>
        </w:rPr>
      </w:pPr>
    </w:p>
    <w:p w14:paraId="407687FA" w14:textId="77777777" w:rsidR="005D7B04" w:rsidRPr="004A5399" w:rsidRDefault="005D7B04" w:rsidP="005D7B04">
      <w:pPr>
        <w:spacing w:after="0" w:line="276" w:lineRule="auto"/>
        <w:ind w:firstLine="708"/>
        <w:jc w:val="both"/>
        <w:rPr>
          <w:rFonts w:ascii="Verdana" w:eastAsia="Calibri" w:hAnsi="Verdana" w:cs="Arial"/>
          <w:bCs/>
          <w:sz w:val="19"/>
          <w:szCs w:val="19"/>
        </w:rPr>
      </w:pPr>
      <w:r w:rsidRPr="004A5399">
        <w:rPr>
          <w:rFonts w:ascii="Verdana" w:eastAsia="Calibri" w:hAnsi="Verdana" w:cs="Arial"/>
          <w:bCs/>
          <w:sz w:val="19"/>
          <w:szCs w:val="19"/>
        </w:rPr>
        <w:t>Resolución 456 del 10 de septiembre de 2024: “Por la cual se adopta la versión 4 de los documentos tipo para los procesos de selección de licitación de obra pública de infraestructura de transporte y se deroga la Resolución 240 de 2020”.</w:t>
      </w:r>
    </w:p>
    <w:p w14:paraId="1E4B51D9" w14:textId="77777777" w:rsidR="005D7B04" w:rsidRPr="004A5399" w:rsidRDefault="005D7B04" w:rsidP="005D7B04">
      <w:pPr>
        <w:pStyle w:val="Textonotapie"/>
        <w:rPr>
          <w:rFonts w:ascii="Verdana" w:hAnsi="Verdana"/>
          <w:sz w:val="19"/>
          <w:szCs w:val="19"/>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928" w:hanging="360"/>
      </w:pPr>
      <w:rPr>
        <w:b/>
        <w:color w:val="000000" w:themeColor="text1"/>
      </w:rPr>
    </w:lvl>
    <w:lvl w:ilvl="1">
      <w:start w:val="2"/>
      <w:numFmt w:val="decimal"/>
      <w:isLgl/>
      <w:lvlText w:val="%1.%2"/>
      <w:lvlJc w:val="left"/>
      <w:pPr>
        <w:ind w:left="56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C99035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8279856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77E38"/>
    <w:rsid w:val="001A33BF"/>
    <w:rsid w:val="001E4177"/>
    <w:rsid w:val="001F0B24"/>
    <w:rsid w:val="001F5E73"/>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06C63"/>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2315"/>
    <w:rsid w:val="00574867"/>
    <w:rsid w:val="00591460"/>
    <w:rsid w:val="00597E2E"/>
    <w:rsid w:val="005A65E0"/>
    <w:rsid w:val="005C3777"/>
    <w:rsid w:val="005C5CDC"/>
    <w:rsid w:val="005D476C"/>
    <w:rsid w:val="005D7B04"/>
    <w:rsid w:val="006200BF"/>
    <w:rsid w:val="006219F8"/>
    <w:rsid w:val="006302F7"/>
    <w:rsid w:val="00646B9F"/>
    <w:rsid w:val="00665D70"/>
    <w:rsid w:val="006900D9"/>
    <w:rsid w:val="006B21A6"/>
    <w:rsid w:val="00706C16"/>
    <w:rsid w:val="007340C3"/>
    <w:rsid w:val="0075235A"/>
    <w:rsid w:val="00756841"/>
    <w:rsid w:val="007649AB"/>
    <w:rsid w:val="00771D0C"/>
    <w:rsid w:val="007833AC"/>
    <w:rsid w:val="00796ABA"/>
    <w:rsid w:val="007B268C"/>
    <w:rsid w:val="007B7171"/>
    <w:rsid w:val="007C0C0F"/>
    <w:rsid w:val="007C3DC2"/>
    <w:rsid w:val="007E5497"/>
    <w:rsid w:val="00806F5F"/>
    <w:rsid w:val="00820278"/>
    <w:rsid w:val="008258C9"/>
    <w:rsid w:val="00844AE9"/>
    <w:rsid w:val="0086125C"/>
    <w:rsid w:val="00867F95"/>
    <w:rsid w:val="008843B6"/>
    <w:rsid w:val="00891928"/>
    <w:rsid w:val="008927BC"/>
    <w:rsid w:val="008A446D"/>
    <w:rsid w:val="008B25F1"/>
    <w:rsid w:val="008B5F2E"/>
    <w:rsid w:val="008D180B"/>
    <w:rsid w:val="008F0EA7"/>
    <w:rsid w:val="00923EEF"/>
    <w:rsid w:val="009419F9"/>
    <w:rsid w:val="0095685E"/>
    <w:rsid w:val="00961B09"/>
    <w:rsid w:val="00965334"/>
    <w:rsid w:val="0097093E"/>
    <w:rsid w:val="009843AB"/>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AF7B76"/>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1ED8"/>
    <w:rsid w:val="00D520D8"/>
    <w:rsid w:val="00D63AC2"/>
    <w:rsid w:val="00D7383B"/>
    <w:rsid w:val="00D7788A"/>
    <w:rsid w:val="00DA231B"/>
    <w:rsid w:val="00DC39FC"/>
    <w:rsid w:val="00DE1575"/>
    <w:rsid w:val="00DF5254"/>
    <w:rsid w:val="00E02524"/>
    <w:rsid w:val="00E16408"/>
    <w:rsid w:val="00E20894"/>
    <w:rsid w:val="00E245AB"/>
    <w:rsid w:val="00E2764C"/>
    <w:rsid w:val="00E27F2E"/>
    <w:rsid w:val="00E415CC"/>
    <w:rsid w:val="00E50AFE"/>
    <w:rsid w:val="00E57B6C"/>
    <w:rsid w:val="00E75C92"/>
    <w:rsid w:val="00E771DC"/>
    <w:rsid w:val="00E8772A"/>
    <w:rsid w:val="00E90F6B"/>
    <w:rsid w:val="00E92C27"/>
    <w:rsid w:val="00EA0E3D"/>
    <w:rsid w:val="00EC38A7"/>
    <w:rsid w:val="00EE1AA8"/>
    <w:rsid w:val="00EE33B4"/>
    <w:rsid w:val="00F23FEA"/>
    <w:rsid w:val="00F31EDC"/>
    <w:rsid w:val="00F462B3"/>
    <w:rsid w:val="00F5664F"/>
    <w:rsid w:val="00F666C4"/>
    <w:rsid w:val="00F7510A"/>
    <w:rsid w:val="00F76AFC"/>
    <w:rsid w:val="00FA47C0"/>
    <w:rsid w:val="00FB5DD1"/>
    <w:rsid w:val="00FC2B5D"/>
    <w:rsid w:val="00FF1449"/>
    <w:rsid w:val="00FF7963"/>
    <w:rsid w:val="071B8F93"/>
    <w:rsid w:val="07C73DD1"/>
    <w:rsid w:val="09908A09"/>
    <w:rsid w:val="0A6EDB0E"/>
    <w:rsid w:val="0E0AF0F4"/>
    <w:rsid w:val="0EC011EA"/>
    <w:rsid w:val="0EFE6349"/>
    <w:rsid w:val="0FAD351B"/>
    <w:rsid w:val="0FF4CCA8"/>
    <w:rsid w:val="13CFC91B"/>
    <w:rsid w:val="165198D4"/>
    <w:rsid w:val="19A2EC2C"/>
    <w:rsid w:val="19B3FDBA"/>
    <w:rsid w:val="1C4B0DAE"/>
    <w:rsid w:val="21779BE6"/>
    <w:rsid w:val="2859CA1B"/>
    <w:rsid w:val="2C4D2425"/>
    <w:rsid w:val="2EE1E026"/>
    <w:rsid w:val="2F44F38F"/>
    <w:rsid w:val="30821638"/>
    <w:rsid w:val="32A4F9CF"/>
    <w:rsid w:val="33A1FF93"/>
    <w:rsid w:val="356CEDFD"/>
    <w:rsid w:val="39109309"/>
    <w:rsid w:val="3C591AFD"/>
    <w:rsid w:val="3D53247C"/>
    <w:rsid w:val="4021F958"/>
    <w:rsid w:val="42183F0A"/>
    <w:rsid w:val="427A776E"/>
    <w:rsid w:val="4313A006"/>
    <w:rsid w:val="4540FFE3"/>
    <w:rsid w:val="4ED9E933"/>
    <w:rsid w:val="515A3D30"/>
    <w:rsid w:val="545B112A"/>
    <w:rsid w:val="5B924D6E"/>
    <w:rsid w:val="5BEB1497"/>
    <w:rsid w:val="5F818278"/>
    <w:rsid w:val="61BF3638"/>
    <w:rsid w:val="63BE28A1"/>
    <w:rsid w:val="63EA0479"/>
    <w:rsid w:val="69614A15"/>
    <w:rsid w:val="6B741155"/>
    <w:rsid w:val="6D742D5B"/>
    <w:rsid w:val="735675E6"/>
    <w:rsid w:val="74BA017B"/>
    <w:rsid w:val="7677286E"/>
    <w:rsid w:val="77DE1523"/>
    <w:rsid w:val="79A64A20"/>
    <w:rsid w:val="7A337C1F"/>
    <w:rsid w:val="7BB183BC"/>
    <w:rsid w:val="7CC872DA"/>
    <w:rsid w:val="7FE440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861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86125C"/>
    <w:pPr>
      <w:spacing w:line="240" w:lineRule="exact"/>
    </w:pPr>
    <w:rPr>
      <w:vertAlign w:val="superscript"/>
    </w:rPr>
  </w:style>
  <w:style w:type="character" w:styleId="Fuerte">
    <w:name w:val="Strong"/>
    <w:basedOn w:val="Fuentedeprrafopredeter"/>
    <w:uiPriority w:val="22"/>
    <w:qFormat/>
    <w:rsid w:val="005D7B04"/>
    <w:rPr>
      <w:b/>
      <w:bCs/>
    </w:rPr>
  </w:style>
  <w:style w:type="character" w:styleId="nfasis">
    <w:name w:val="Emphasis"/>
    <w:basedOn w:val="Fuentedeprrafopredeter"/>
    <w:uiPriority w:val="20"/>
    <w:qFormat/>
    <w:rsid w:val="005D7B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01F3499A-9855-4D91-98B2-4F5B49624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13</TotalTime>
  <Pages>22</Pages>
  <Words>7652</Words>
  <Characters>42089</Characters>
  <Application>Microsoft Office Word</Application>
  <DocSecurity>0</DocSecurity>
  <Lines>350</Lines>
  <Paragraphs>99</Paragraphs>
  <ScaleCrop>false</ScaleCrop>
  <Company/>
  <LinksUpToDate>false</LinksUpToDate>
  <CharactersWithSpaces>49642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2026-08-25T20:48:00Z</dcterms:created>
  <dcterms:modified xsi:type="dcterms:W3CDTF">2026-08-26T14:16:00Z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