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E0319" w14:textId="77777777" w:rsidR="004E17A0" w:rsidRPr="004E17A0" w:rsidRDefault="004E17A0" w:rsidP="004E17A0">
      <w:pPr>
        <w:spacing w:after="0"/>
        <w:rPr>
          <w:rFonts w:ascii="Verdana" w:hAnsi="Verdana" w:cs="Arial"/>
          <w:b/>
          <w:lang w:val="es-ES" w:eastAsia="es-ES"/>
        </w:rPr>
      </w:pPr>
      <w:bookmarkStart w:id="0" w:name="_Hlk143780582"/>
      <w:r w:rsidRPr="004E17A0">
        <w:rPr>
          <w:rFonts w:ascii="Verdana" w:hAnsi="Verdana" w:cs="Arial"/>
          <w:b/>
          <w:lang w:val="es-ES" w:eastAsia="es-ES"/>
        </w:rPr>
        <w:t xml:space="preserve">REQUISITOS HABILITANTES – Noción – Fundamento normativo </w:t>
      </w:r>
    </w:p>
    <w:p w14:paraId="56D996F8" w14:textId="77777777" w:rsidR="004E17A0" w:rsidRPr="004E17A0" w:rsidRDefault="004E17A0" w:rsidP="004E17A0">
      <w:pPr>
        <w:spacing w:after="0"/>
        <w:rPr>
          <w:rFonts w:ascii="Verdana" w:hAnsi="Verdana" w:cs="Arial"/>
          <w:b/>
          <w:lang w:val="es-ES" w:eastAsia="es-ES"/>
        </w:rPr>
      </w:pPr>
    </w:p>
    <w:p w14:paraId="74818D78" w14:textId="77777777" w:rsidR="004E17A0" w:rsidRPr="004E17A0" w:rsidRDefault="004E17A0" w:rsidP="004E17A0">
      <w:pPr>
        <w:spacing w:after="0" w:line="240" w:lineRule="auto"/>
        <w:jc w:val="both"/>
        <w:rPr>
          <w:rFonts w:ascii="Verdana" w:hAnsi="Verdana" w:cs="Arial"/>
          <w:sz w:val="20"/>
          <w:lang w:val="es-ES_tradnl" w:eastAsia="es-ES"/>
        </w:rPr>
      </w:pPr>
      <w:r w:rsidRPr="004E17A0">
        <w:rPr>
          <w:rFonts w:ascii="Verdana" w:hAnsi="Verdana" w:cs="Arial"/>
          <w:sz w:val="20"/>
          <w:lang w:val="es-ES_tradnl" w:eastAsia="es-ES"/>
        </w:rPr>
        <w:t xml:space="preserve">Los </w:t>
      </w:r>
      <w:r w:rsidRPr="004E17A0">
        <w:rPr>
          <w:rFonts w:ascii="Verdana" w:hAnsi="Verdana" w:cs="Arial"/>
          <w:i/>
          <w:iCs/>
          <w:sz w:val="20"/>
          <w:lang w:val="es-ES_tradnl" w:eastAsia="es-ES"/>
        </w:rPr>
        <w:t>requisitos habilitantes</w:t>
      </w:r>
      <w:r w:rsidRPr="004E17A0">
        <w:rPr>
          <w:rFonts w:ascii="Verdana" w:hAnsi="Verdana" w:cs="Arial"/>
          <w:sz w:val="20"/>
          <w:lang w:val="es-ES_tradnl" w:eastAsia="es-ES"/>
        </w:rPr>
        <w:t xml:space="preserve"> se definen como exigencias de participación en los procedimientos de selección, establecidos en disposiciones normativas, de carácter legal o reglamentario, o las contenidas en el acto administrativo que regula las reglas de la convocatoria, es decir, en el pliego de condiciones o el documento equivalente a este. Se diferencian de los </w:t>
      </w:r>
      <w:r w:rsidRPr="004E17A0">
        <w:rPr>
          <w:rFonts w:ascii="Verdana" w:hAnsi="Verdana" w:cs="Arial"/>
          <w:i/>
          <w:iCs/>
          <w:sz w:val="20"/>
          <w:lang w:val="es-ES_tradnl" w:eastAsia="es-ES"/>
        </w:rPr>
        <w:t>criterios de evaluación</w:t>
      </w:r>
      <w:r w:rsidRPr="004E17A0">
        <w:rPr>
          <w:rFonts w:ascii="Verdana" w:hAnsi="Verdana" w:cs="Arial"/>
          <w:sz w:val="20"/>
          <w:lang w:val="es-ES_tradnl" w:eastAsia="es-ES"/>
        </w:rPr>
        <w:t xml:space="preserve"> –también conocidos como </w:t>
      </w:r>
      <w:r w:rsidRPr="004E17A0">
        <w:rPr>
          <w:rFonts w:ascii="Verdana" w:hAnsi="Verdana" w:cs="Arial"/>
          <w:i/>
          <w:iCs/>
          <w:sz w:val="20"/>
          <w:lang w:val="es-ES_tradnl" w:eastAsia="es-ES"/>
        </w:rPr>
        <w:t>criterios de calificación</w:t>
      </w:r>
      <w:r w:rsidRPr="004E17A0">
        <w:rPr>
          <w:rFonts w:ascii="Verdana" w:hAnsi="Verdana" w:cs="Arial"/>
          <w:sz w:val="20"/>
          <w:lang w:val="es-ES_tradnl" w:eastAsia="es-ES"/>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291D2B95" w14:textId="77777777" w:rsidR="004E17A0" w:rsidRPr="004E17A0" w:rsidRDefault="004E17A0" w:rsidP="004E17A0">
      <w:pPr>
        <w:spacing w:after="0"/>
        <w:rPr>
          <w:rFonts w:ascii="Verdana" w:hAnsi="Verdana" w:cs="Arial"/>
          <w:b/>
          <w:lang w:val="es-ES_tradnl" w:eastAsia="es-ES"/>
        </w:rPr>
      </w:pPr>
    </w:p>
    <w:p w14:paraId="5F1DB7B0" w14:textId="77777777" w:rsidR="004E17A0" w:rsidRPr="004E17A0" w:rsidRDefault="004E17A0" w:rsidP="004E17A0">
      <w:pPr>
        <w:spacing w:after="0"/>
        <w:rPr>
          <w:rFonts w:ascii="Verdana" w:hAnsi="Verdana" w:cs="Arial"/>
          <w:b/>
          <w:lang w:val="es-ES" w:eastAsia="es-ES"/>
        </w:rPr>
      </w:pPr>
      <w:r w:rsidRPr="004E17A0">
        <w:rPr>
          <w:rFonts w:ascii="Verdana" w:hAnsi="Verdana" w:cs="Arial"/>
          <w:b/>
          <w:lang w:val="es-ES" w:eastAsia="es-ES"/>
        </w:rPr>
        <w:t xml:space="preserve">REQUISITO HABILITANTE – Experiencia - Verificación </w:t>
      </w:r>
    </w:p>
    <w:p w14:paraId="121CBC7F" w14:textId="77777777" w:rsidR="004E17A0" w:rsidRPr="004E17A0" w:rsidRDefault="004E17A0" w:rsidP="004E17A0">
      <w:pPr>
        <w:spacing w:after="0"/>
        <w:rPr>
          <w:rFonts w:ascii="Verdana" w:hAnsi="Verdana" w:cs="Arial"/>
          <w:b/>
          <w:lang w:eastAsia="es-ES"/>
        </w:rPr>
      </w:pPr>
    </w:p>
    <w:p w14:paraId="73781AA4" w14:textId="77777777" w:rsidR="004E17A0" w:rsidRPr="004E17A0" w:rsidRDefault="004E17A0" w:rsidP="004E17A0">
      <w:pPr>
        <w:spacing w:after="0" w:line="240" w:lineRule="auto"/>
        <w:jc w:val="both"/>
        <w:rPr>
          <w:rFonts w:ascii="Verdana" w:hAnsi="Verdana" w:cs="Arial"/>
          <w:sz w:val="20"/>
          <w:szCs w:val="20"/>
          <w:lang w:eastAsia="es-ES"/>
        </w:rPr>
      </w:pPr>
      <w:r w:rsidRPr="004E17A0">
        <w:rPr>
          <w:rFonts w:ascii="Verdana" w:hAnsi="Verdana" w:cs="Arial"/>
          <w:sz w:val="20"/>
          <w:szCs w:val="20"/>
          <w:lang w:val="es-ES" w:eastAsia="es-ES"/>
        </w:rPr>
        <w:t xml:space="preserve">Al respecto, </w:t>
      </w:r>
      <w:r w:rsidRPr="004E17A0">
        <w:rPr>
          <w:rFonts w:ascii="Verdana" w:hAnsi="Verdana" w:cs="Arial"/>
          <w:sz w:val="20"/>
          <w:szCs w:val="20"/>
          <w:lang w:eastAsia="es-ES"/>
        </w:rPr>
        <w:t xml:space="preserve">la Agencia Nacional de Contratación Pública - Colombia Compra Eficiente puso a disposición de los interesados del sistema de compra pública el “Manual para determinar y verificar requisitos habilitantes en los procesos de contratación”, y en este de forma particular, se establecen una serie de características que deben observarse por parte de las entidades al establecer en sus invitaciones o pliego de condiciones los requerimientos o condiciones necesarias para poder llevar a cabo su verificación, como se detalla a continuación: Dentro de los principales requisitos habilitantes que se utilizan en los Procesos de Contratación se destaca la experiencia, la cual debe ser entendida como el conocimiento del proponente derivado de su participación previa en actividades iguales o similares a las previstas en el objeto del contrato con contratantes públicos, privados, nacionales o extranjeros. La experiencia puede ser adquirida directamente de manera singularizada o en asocio con otras personas, como es el caso de los proponentes plurales, cuya experiencia no deja de ser personal, sino que, por tratarse de esquemas asociativos, se evalúa de forma proporcional a la participación de los miembros en los respectivos consorcios y/o uniones temporales.  </w:t>
      </w:r>
    </w:p>
    <w:p w14:paraId="61A302DB" w14:textId="77777777" w:rsidR="004E17A0" w:rsidRPr="004E17A0" w:rsidRDefault="004E17A0" w:rsidP="004E17A0">
      <w:pPr>
        <w:spacing w:after="0"/>
        <w:rPr>
          <w:rFonts w:ascii="Verdana" w:hAnsi="Verdana" w:cs="Arial"/>
          <w:b/>
          <w:lang w:eastAsia="es-ES"/>
        </w:rPr>
      </w:pPr>
    </w:p>
    <w:p w14:paraId="45B1805F" w14:textId="77777777" w:rsidR="004E17A0" w:rsidRPr="004E17A0" w:rsidRDefault="004E17A0" w:rsidP="004E17A0">
      <w:pPr>
        <w:spacing w:after="0"/>
        <w:jc w:val="both"/>
        <w:rPr>
          <w:rFonts w:ascii="Verdana" w:hAnsi="Verdana" w:cs="Arial"/>
          <w:b/>
          <w:lang w:val="es-ES" w:eastAsia="es-ES"/>
        </w:rPr>
      </w:pPr>
      <w:r w:rsidRPr="004E17A0">
        <w:rPr>
          <w:rFonts w:ascii="Verdana" w:hAnsi="Verdana" w:cs="Arial"/>
          <w:b/>
          <w:lang w:val="es-ES" w:eastAsia="es-ES"/>
        </w:rPr>
        <w:t xml:space="preserve">REQUISITO HABILITANTE - Experiencia – Código Clasificador de Bienes y Servicios - Acreditación del Valor de los Contratos </w:t>
      </w:r>
    </w:p>
    <w:p w14:paraId="45969D2B" w14:textId="77777777" w:rsidR="004E17A0" w:rsidRPr="004E17A0" w:rsidRDefault="004E17A0" w:rsidP="004E17A0">
      <w:pPr>
        <w:spacing w:after="0"/>
        <w:rPr>
          <w:rFonts w:ascii="Verdana" w:hAnsi="Verdana" w:cs="Arial"/>
          <w:b/>
          <w:lang w:val="es-ES" w:eastAsia="es-ES"/>
        </w:rPr>
      </w:pPr>
    </w:p>
    <w:p w14:paraId="3E186099" w14:textId="77777777" w:rsidR="004E17A0" w:rsidRPr="004E17A0" w:rsidRDefault="004E17A0" w:rsidP="004E17A0">
      <w:pPr>
        <w:spacing w:after="0" w:line="240" w:lineRule="auto"/>
        <w:jc w:val="both"/>
        <w:rPr>
          <w:rFonts w:ascii="Verdana" w:hAnsi="Verdana" w:cs="Arial"/>
          <w:sz w:val="20"/>
          <w:szCs w:val="20"/>
          <w:lang w:eastAsia="es-ES"/>
        </w:rPr>
      </w:pPr>
      <w:r w:rsidRPr="004E17A0">
        <w:rPr>
          <w:rFonts w:ascii="Verdana" w:hAnsi="Verdana" w:cs="Arial"/>
          <w:sz w:val="20"/>
          <w:szCs w:val="20"/>
          <w:lang w:val="es-ES" w:eastAsia="es-ES"/>
        </w:rPr>
        <w:t xml:space="preserve">Con respecto a la exigencia de la experiencia expresada en SMMLV, se acude a lo prescrito </w:t>
      </w:r>
      <w:r w:rsidRPr="004E17A0">
        <w:rPr>
          <w:rFonts w:ascii="Verdana" w:hAnsi="Verdana" w:cs="Arial"/>
          <w:sz w:val="20"/>
          <w:szCs w:val="20"/>
          <w:lang w:eastAsia="es-ES"/>
        </w:rPr>
        <w:t xml:space="preserve">en el </w:t>
      </w:r>
      <w:r w:rsidRPr="004E17A0">
        <w:rPr>
          <w:rFonts w:ascii="Verdana" w:hAnsi="Verdana" w:cs="Arial"/>
          <w:bCs/>
          <w:sz w:val="20"/>
          <w:szCs w:val="20"/>
          <w:lang w:eastAsia="es-ES"/>
        </w:rPr>
        <w:t xml:space="preserve">artículo 2.2.1.1.1.5.3. que establece que las cámaras de comercio deben verificar y certificar los requisitos habilitantes en el RUP, entre ellas, la experiencia que son aquellos contratos suscritos por el </w:t>
      </w:r>
      <w:r w:rsidRPr="004E17A0">
        <w:rPr>
          <w:rFonts w:ascii="Verdana" w:hAnsi="Verdana" w:cs="Arial"/>
          <w:sz w:val="20"/>
          <w:szCs w:val="20"/>
          <w:lang w:eastAsia="es-ES"/>
        </w:rPr>
        <w:t xml:space="preserve">interesado para cada uno de los bienes, obras y servicios que ofrece a las Entidades Estatales, identificados con el Clasificador de Bienes y Servicios en el tercer nivel y su valor expresado en SMMLV. Los contratos celebrados por proponentes plurales, como los consorcios, uniones temporales y sociedades en las cuales el interesado tenga o haya tenido participación, para cada uno de los bienes, obras y servicios que ofrecerá a las Entidades Estatales, identificados con el Clasificador de Bienes y Servicios en el tercer nivel y su valor expresado en SMMLV. </w:t>
      </w:r>
      <w:r w:rsidRPr="004E17A0">
        <w:rPr>
          <w:rFonts w:ascii="Verdana" w:hAnsi="Verdana" w:cs="Arial"/>
          <w:sz w:val="20"/>
          <w:szCs w:val="20"/>
          <w:lang w:val="es-ES_tradnl" w:eastAsia="es-ES"/>
        </w:rPr>
        <w:t xml:space="preserve">Esto significa que </w:t>
      </w:r>
      <w:r w:rsidRPr="004E17A0">
        <w:rPr>
          <w:rFonts w:ascii="Verdana" w:hAnsi="Verdana" w:cs="Arial"/>
          <w:sz w:val="20"/>
          <w:szCs w:val="20"/>
          <w:lang w:eastAsia="es-ES"/>
        </w:rPr>
        <w:t xml:space="preserve">la experiencia registrada en el Registro Único de Proponentes (RUP) debe clasificarse </w:t>
      </w:r>
      <w:r w:rsidRPr="004E17A0">
        <w:rPr>
          <w:rFonts w:ascii="Verdana" w:hAnsi="Verdana" w:cs="Arial"/>
          <w:sz w:val="20"/>
          <w:szCs w:val="20"/>
          <w:lang w:eastAsia="es-ES"/>
        </w:rPr>
        <w:lastRenderedPageBreak/>
        <w:t>conforme a dos criterios esenciales: el objeto del contrato y su valor económico, expresado en salarios mínimos legales mensuales vigentes (SMLMV), lo cual implica que la experiencia acreditada en el RUP debe derivarse de contratos que hayan generado una contraprestación económica, permitiendo su cuantificación.</w:t>
      </w:r>
    </w:p>
    <w:p w14:paraId="483EAF97" w14:textId="77777777" w:rsidR="004E17A0" w:rsidRPr="004E17A0" w:rsidRDefault="004E17A0" w:rsidP="004E17A0">
      <w:pPr>
        <w:spacing w:after="0" w:line="240" w:lineRule="auto"/>
        <w:jc w:val="both"/>
        <w:rPr>
          <w:rFonts w:ascii="Verdana" w:hAnsi="Verdana" w:cs="Arial"/>
          <w:sz w:val="20"/>
          <w:szCs w:val="20"/>
          <w:lang w:eastAsia="es-ES"/>
        </w:rPr>
      </w:pPr>
    </w:p>
    <w:p w14:paraId="27E2FDD0" w14:textId="77777777" w:rsidR="004E17A0" w:rsidRPr="004E17A0" w:rsidRDefault="004E17A0" w:rsidP="004E17A0">
      <w:pPr>
        <w:spacing w:after="0" w:line="240" w:lineRule="auto"/>
        <w:jc w:val="both"/>
        <w:rPr>
          <w:rFonts w:ascii="Verdana" w:hAnsi="Verdana" w:cs="Arial"/>
          <w:sz w:val="20"/>
          <w:szCs w:val="20"/>
          <w:lang w:val="es-ES_tradnl" w:eastAsia="es-ES"/>
        </w:rPr>
      </w:pPr>
      <w:r w:rsidRPr="004E17A0">
        <w:rPr>
          <w:rFonts w:ascii="Verdana" w:hAnsi="Verdana" w:cs="Arial"/>
          <w:sz w:val="20"/>
          <w:szCs w:val="20"/>
          <w:lang w:eastAsia="es-ES"/>
        </w:rPr>
        <w:t xml:space="preserve">Esta exigencia de la experiencia hechas por las cámaras de comercio, implica que la experiencia que establezca las entidades estatales en procesos de contratación, donde sea obligatoria el RUP debe ser coherente a esta, es decir, atender a los Códigos de Clasificación de Bienes y Servicios en el tener nivel y su valor cuantificado en SMMLV. </w:t>
      </w:r>
      <w:r w:rsidRPr="004E17A0">
        <w:rPr>
          <w:rFonts w:ascii="Verdana" w:hAnsi="Verdana" w:cs="Arial"/>
          <w:sz w:val="20"/>
          <w:szCs w:val="20"/>
          <w:lang w:val="es-ES" w:eastAsia="es-ES"/>
        </w:rPr>
        <w:t xml:space="preserve">En estos términos, para efectos de evaluar la experiencia en los pliegos de condiciones, </w:t>
      </w:r>
      <w:r w:rsidRPr="004E17A0">
        <w:rPr>
          <w:rFonts w:ascii="Verdana" w:hAnsi="Verdana" w:cs="Arial"/>
          <w:sz w:val="20"/>
          <w:szCs w:val="20"/>
          <w:lang w:val="es-ES_tradnl" w:eastAsia="es-ES"/>
        </w:rPr>
        <w:t xml:space="preserve">las Entidades Estatales al establecer el requisito habilitante de experiencia deben incluir los códigos específicos del objeto a contratar o el de bienes, obras o servicios afines o que se relacionen con el Proceso de Contratación respecto de los cuales los proponentes deben acreditar su experiencia expresada en SMMLV. </w:t>
      </w:r>
    </w:p>
    <w:p w14:paraId="4A2FD2C1" w14:textId="77777777" w:rsidR="004E17A0" w:rsidRPr="004E17A0" w:rsidRDefault="004E17A0" w:rsidP="004E17A0">
      <w:pPr>
        <w:spacing w:after="0"/>
        <w:rPr>
          <w:rFonts w:ascii="Verdana" w:hAnsi="Verdana" w:cs="Arial"/>
          <w:b/>
          <w:lang w:val="es-ES_tradnl" w:eastAsia="es-ES"/>
        </w:rPr>
      </w:pPr>
    </w:p>
    <w:p w14:paraId="27B506D0" w14:textId="77777777" w:rsidR="004E17A0" w:rsidRPr="004E17A0" w:rsidRDefault="004E17A0" w:rsidP="004E17A0">
      <w:pPr>
        <w:spacing w:after="0"/>
        <w:rPr>
          <w:rFonts w:ascii="Verdana" w:hAnsi="Verdana" w:cs="Arial"/>
          <w:b/>
          <w:lang w:val="es-ES" w:eastAsia="es-ES"/>
        </w:rPr>
      </w:pPr>
      <w:r w:rsidRPr="004E17A0">
        <w:rPr>
          <w:rFonts w:ascii="Verdana" w:hAnsi="Verdana" w:cs="Arial"/>
          <w:b/>
          <w:lang w:val="es-ES" w:eastAsia="es-ES"/>
        </w:rPr>
        <w:t xml:space="preserve">EXPERIENCIA – Expresada en SMMLV – Estandarización </w:t>
      </w:r>
    </w:p>
    <w:p w14:paraId="66D32517" w14:textId="77777777" w:rsidR="004E17A0" w:rsidRPr="004E17A0" w:rsidRDefault="004E17A0" w:rsidP="004E17A0">
      <w:pPr>
        <w:spacing w:after="0"/>
        <w:rPr>
          <w:rFonts w:ascii="Verdana" w:hAnsi="Verdana" w:cs="Arial"/>
          <w:b/>
          <w:lang w:val="es-ES" w:eastAsia="es-ES"/>
        </w:rPr>
      </w:pPr>
    </w:p>
    <w:p w14:paraId="4D42C0CA" w14:textId="77777777" w:rsidR="004E17A0" w:rsidRPr="004E17A0" w:rsidRDefault="004E17A0" w:rsidP="004E17A0">
      <w:pPr>
        <w:spacing w:after="0" w:line="240" w:lineRule="auto"/>
        <w:jc w:val="both"/>
        <w:rPr>
          <w:rFonts w:ascii="Verdana" w:hAnsi="Verdana" w:cs="Arial"/>
          <w:sz w:val="20"/>
          <w:lang w:eastAsia="es-ES"/>
        </w:rPr>
      </w:pPr>
      <w:r w:rsidRPr="004E17A0">
        <w:rPr>
          <w:rFonts w:ascii="Verdana" w:hAnsi="Verdana" w:cs="Arial"/>
          <w:sz w:val="20"/>
          <w:lang w:eastAsia="es-ES"/>
        </w:rPr>
        <w:t>En torno a la necesidad de que la experiencia contractual sea expresada salarios mínimos mensuales legales vigentes (SMLMV) se usa como un parámetro técnico para evaluar y comparar la capacidad de un contratista en procesos de contratación estatal, posibilitando establecer un estándar objetivo frente a la fluctuación del valor de la moneda dentro del mercado. Esto, facilita la comparación de manera justa la experiencia de diferentes oferentes, ya que el valor de los SMLMV cambia anualmente, estandarizando la experiencia requerida en un momento determinado.</w:t>
      </w:r>
    </w:p>
    <w:p w14:paraId="14EAF2A2" w14:textId="77777777" w:rsidR="004E17A0" w:rsidRPr="004E17A0" w:rsidRDefault="004E17A0" w:rsidP="004E17A0">
      <w:pPr>
        <w:spacing w:after="0"/>
        <w:rPr>
          <w:rFonts w:ascii="Verdana" w:hAnsi="Verdana" w:cs="Arial"/>
          <w:b/>
          <w:lang w:val="es-ES" w:eastAsia="es-ES"/>
        </w:rPr>
      </w:pPr>
    </w:p>
    <w:p w14:paraId="146ADDE3" w14:textId="77777777" w:rsidR="004E17A0" w:rsidRPr="004E17A0" w:rsidRDefault="004E17A0" w:rsidP="004E17A0">
      <w:pPr>
        <w:spacing w:after="0"/>
        <w:jc w:val="both"/>
        <w:rPr>
          <w:rFonts w:ascii="Verdana" w:hAnsi="Verdana"/>
          <w:b/>
        </w:rPr>
      </w:pPr>
      <w:r w:rsidRPr="004E17A0">
        <w:rPr>
          <w:rFonts w:ascii="Verdana" w:hAnsi="Verdana" w:cs="Arial"/>
          <w:b/>
          <w:lang w:val="es-ES" w:eastAsia="es-ES"/>
        </w:rPr>
        <w:t>REQUISITOS HABILITANTES – Fijación – parámetros – proporcionalidad</w:t>
      </w:r>
    </w:p>
    <w:p w14:paraId="62CF074F" w14:textId="77777777" w:rsidR="004E17A0" w:rsidRPr="004E17A0" w:rsidRDefault="004E17A0" w:rsidP="004E17A0">
      <w:pPr>
        <w:spacing w:after="0"/>
        <w:rPr>
          <w:rFonts w:ascii="Verdana" w:hAnsi="Verdana"/>
        </w:rPr>
      </w:pPr>
    </w:p>
    <w:p w14:paraId="3B58443B" w14:textId="77777777" w:rsidR="004E17A0" w:rsidRPr="004E17A0" w:rsidRDefault="004E17A0" w:rsidP="004E17A0">
      <w:pPr>
        <w:spacing w:after="0" w:line="240" w:lineRule="auto"/>
        <w:jc w:val="both"/>
        <w:rPr>
          <w:rFonts w:ascii="Verdana" w:hAnsi="Verdana"/>
          <w:sz w:val="20"/>
        </w:rPr>
      </w:pPr>
      <w:r w:rsidRPr="004E17A0">
        <w:rPr>
          <w:rFonts w:ascii="Verdana" w:hAnsi="Verdana"/>
          <w:sz w:val="20"/>
          <w:lang w:val="es-ES_tradnl"/>
        </w:rPr>
        <w:t>Ahora bien, en los casos que no se exija el RUP</w:t>
      </w:r>
      <w:r w:rsidRPr="004E17A0">
        <w:rPr>
          <w:rFonts w:ascii="Verdana" w:hAnsi="Verdana"/>
          <w:sz w:val="20"/>
        </w:rPr>
        <w:t xml:space="preserve">, la entidad si decide establecer requisitos habilitantes de experiencia, debe solicitar la documentación que lo acredite, tales como copias de contratos, actas de recibo a satisfacción, actas de liquidación o certificados expedidos por terceros que hayan recibido del oferente los bienes, obras o servicios objeto del proceso de contratación, en la cual podrán definir que la forma de calcular la experiencia sea expresada en SMMLV, lo cual posibilita comparar de manera más ajustada y proporcional a la experiencia de los proponentes. </w:t>
      </w:r>
    </w:p>
    <w:p w14:paraId="443E5FCE" w14:textId="77777777" w:rsidR="004E17A0" w:rsidRPr="004E17A0" w:rsidRDefault="004E17A0" w:rsidP="004E17A0">
      <w:pPr>
        <w:spacing w:after="0" w:line="240" w:lineRule="auto"/>
        <w:jc w:val="both"/>
        <w:rPr>
          <w:rFonts w:ascii="Verdana" w:hAnsi="Verdana"/>
          <w:sz w:val="20"/>
          <w:u w:val="single"/>
          <w:lang w:val="es-MX"/>
        </w:rPr>
      </w:pPr>
      <w:r w:rsidRPr="004E17A0">
        <w:rPr>
          <w:rFonts w:ascii="Verdana" w:hAnsi="Verdana"/>
          <w:sz w:val="20"/>
          <w:u w:val="single"/>
          <w:lang w:val="es-MX"/>
        </w:rPr>
        <w:t xml:space="preserve"> </w:t>
      </w:r>
    </w:p>
    <w:p w14:paraId="27EE298B" w14:textId="77777777" w:rsidR="004E17A0" w:rsidRPr="004E17A0" w:rsidRDefault="004E17A0" w:rsidP="004E17A0">
      <w:pPr>
        <w:spacing w:after="0" w:line="240" w:lineRule="auto"/>
        <w:jc w:val="both"/>
        <w:rPr>
          <w:rFonts w:ascii="Verdana" w:hAnsi="Verdana"/>
          <w:bCs/>
          <w:sz w:val="20"/>
        </w:rPr>
      </w:pPr>
      <w:r w:rsidRPr="004E17A0">
        <w:rPr>
          <w:rFonts w:ascii="Verdana" w:hAnsi="Verdana"/>
          <w:bCs/>
          <w:sz w:val="20"/>
        </w:rPr>
        <w:t>En todo caso, las Entidades Estatales deben establecer los requisitos habilitantes de forma adecuada y proporcional a la naturaleza y valor del contrato, esto es, las condiciones exigidas correspondan a una relación directa con el objeto del contrato, de tal manera, que su acreditación sea congruente para evidenciar que el proponente es idóneo para ejecutar el contrato. Para ello, la Agencia expresa: “[…] los requisitos que se establezcan deben ser proporcionales a las condiciones del contrato, de tal manera que los mismos no establezcan condiciones más allá de las necesarias para verificar la idoneidad requerida de los proponentes respecto del objeto ofertado, ya que lo contrario limita la libre concurrencia”</w:t>
      </w:r>
    </w:p>
    <w:p w14:paraId="76BC8CD0" w14:textId="77777777" w:rsidR="004E17A0" w:rsidRPr="004E17A0" w:rsidRDefault="004E17A0" w:rsidP="004E17A0">
      <w:pPr>
        <w:spacing w:after="0" w:line="240" w:lineRule="auto"/>
        <w:jc w:val="both"/>
        <w:rPr>
          <w:rFonts w:ascii="Verdana" w:hAnsi="Verdana"/>
          <w:bCs/>
          <w:sz w:val="20"/>
        </w:rPr>
      </w:pPr>
    </w:p>
    <w:p w14:paraId="3A73072B" w14:textId="77777777" w:rsidR="004E17A0" w:rsidRPr="004E17A0" w:rsidRDefault="004E17A0" w:rsidP="004E17A0">
      <w:pPr>
        <w:spacing w:after="0"/>
        <w:jc w:val="both"/>
        <w:rPr>
          <w:rFonts w:ascii="Verdana" w:hAnsi="Verdana" w:cs="Arial"/>
          <w:b/>
          <w:lang w:val="es-ES" w:eastAsia="es-ES"/>
        </w:rPr>
      </w:pPr>
      <w:r w:rsidRPr="004E17A0">
        <w:rPr>
          <w:rFonts w:ascii="Verdana" w:hAnsi="Verdana" w:cs="Arial"/>
          <w:b/>
          <w:lang w:val="es-ES" w:eastAsia="es-ES"/>
        </w:rPr>
        <w:lastRenderedPageBreak/>
        <w:t>COMITÉ EVALUADOR – Alcance – Facultad de la entidad – Determinación de funciones</w:t>
      </w:r>
    </w:p>
    <w:p w14:paraId="69E6BCFB" w14:textId="77777777" w:rsidR="004E17A0" w:rsidRPr="004E17A0" w:rsidRDefault="004E17A0" w:rsidP="004E17A0">
      <w:pPr>
        <w:spacing w:after="0" w:line="240" w:lineRule="auto"/>
        <w:jc w:val="both"/>
        <w:rPr>
          <w:rFonts w:ascii="Verdana" w:hAnsi="Verdana"/>
          <w:bCs/>
          <w:sz w:val="20"/>
        </w:rPr>
      </w:pPr>
    </w:p>
    <w:p w14:paraId="53ECEA82" w14:textId="77777777" w:rsidR="004E17A0" w:rsidRPr="004E17A0" w:rsidRDefault="004E17A0" w:rsidP="004E17A0">
      <w:pPr>
        <w:spacing w:after="0" w:line="240" w:lineRule="auto"/>
        <w:jc w:val="both"/>
        <w:rPr>
          <w:rFonts w:ascii="Verdana" w:hAnsi="Verdana"/>
          <w:bCs/>
          <w:sz w:val="20"/>
        </w:rPr>
      </w:pPr>
      <w:r w:rsidRPr="004E17A0">
        <w:rPr>
          <w:rFonts w:ascii="Verdana" w:hAnsi="Verdana"/>
          <w:bCs/>
          <w:sz w:val="20"/>
        </w:rPr>
        <w:t>[…] el artículo 2.2.1.1.2.2.3 del Decreto 1082 de 2015 mediante el cual se les otorga tal facultad, permite que las Entidades Estatales determinen ciertos elementos en relación con el comité de evaluación que decidan constituir. De esta forma, aspectos como el número de miembros, las calidades o profesiones de cada uno, las funciones o actividades que estos desarrollarán, la determinación de los procesos de selección en los cuales dicho comité se conformará, o la definición de factores como la cuantía u objeto contractual para la misma finalidad, entre otros, son aspectos que, en la medida que la norma guarde silencio, corresponderá a las Entidades establecer para cada proceso en sus respectivos manuales de contratación.</w:t>
      </w:r>
    </w:p>
    <w:p w14:paraId="42ED6AB2" w14:textId="77777777" w:rsidR="004E17A0" w:rsidRPr="004E17A0" w:rsidRDefault="004E17A0" w:rsidP="004E17A0">
      <w:pPr>
        <w:spacing w:after="0" w:line="240" w:lineRule="auto"/>
        <w:jc w:val="both"/>
        <w:rPr>
          <w:rFonts w:ascii="Verdana" w:hAnsi="Verdana"/>
          <w:bCs/>
          <w:sz w:val="20"/>
        </w:rPr>
      </w:pPr>
    </w:p>
    <w:p w14:paraId="292316F7" w14:textId="77777777" w:rsidR="004E17A0" w:rsidRPr="004E17A0" w:rsidRDefault="004E17A0" w:rsidP="004E17A0">
      <w:pPr>
        <w:spacing w:after="0" w:line="240" w:lineRule="auto"/>
        <w:jc w:val="both"/>
        <w:rPr>
          <w:rFonts w:ascii="Verdana" w:hAnsi="Verdana"/>
          <w:bCs/>
          <w:sz w:val="20"/>
        </w:rPr>
      </w:pPr>
      <w:r w:rsidRPr="004E17A0">
        <w:rPr>
          <w:rFonts w:ascii="Verdana" w:hAnsi="Verdana"/>
          <w:bCs/>
          <w:sz w:val="20"/>
        </w:rPr>
        <w:t>[…] es de menester advertir, que el artículo 2.2.1.1.2.2.3 del Decreto 1082 de 2015 mediante el cual se les otorga tal facultad, permite que las Entidades Estatales determinen ciertos elementos en relación con el comité de evaluación que decidan constituir. Por ello, aspectos como el número de miembros, las calidades o profesiones de cada uno, la determinación de los procesos de selección en los cuales dicho comité se conformará, o la definición de factores como la cuantía u objeto contractual para la misma finalidad, entre otros, son aspectos que, en la medida que la norma guarde silencio, le corresponderá a las Entidades definir para cada proceso, en sus respectivos manuales de contratación. Situación esta, que se refleja en la definición de las condiciones que deberían observar las Entidades Estatales al momento de asignar las funciones o actividades a desempeñar por parte de los miembros de dichos comités, pues la norma en mención, no se refirió sobre este aspecto, por lo que le corresponderá a la Entidad, según la particularidad del asunto, determinarlo.</w:t>
      </w:r>
    </w:p>
    <w:p w14:paraId="4234D593" w14:textId="77777777" w:rsidR="004E17A0" w:rsidRPr="004E17A0" w:rsidRDefault="004E17A0" w:rsidP="004E17A0">
      <w:pPr>
        <w:spacing w:after="0" w:line="240" w:lineRule="auto"/>
        <w:jc w:val="both"/>
        <w:rPr>
          <w:rFonts w:ascii="Verdana" w:hAnsi="Verdana"/>
          <w:bCs/>
          <w:sz w:val="20"/>
        </w:rPr>
      </w:pPr>
    </w:p>
    <w:p w14:paraId="7FF24C0E" w14:textId="77777777" w:rsidR="004E17A0" w:rsidRPr="004E17A0" w:rsidRDefault="004E17A0" w:rsidP="004E17A0">
      <w:pPr>
        <w:spacing w:after="0" w:line="240" w:lineRule="auto"/>
        <w:jc w:val="both"/>
        <w:rPr>
          <w:rFonts w:ascii="Verdana" w:hAnsi="Verdana"/>
          <w:bCs/>
          <w:sz w:val="20"/>
        </w:rPr>
      </w:pPr>
    </w:p>
    <w:p w14:paraId="0D5CA542" w14:textId="77777777" w:rsidR="004E17A0" w:rsidRPr="004E17A0" w:rsidRDefault="004E17A0" w:rsidP="004E17A0">
      <w:pPr>
        <w:spacing w:after="0" w:line="240" w:lineRule="auto"/>
        <w:jc w:val="both"/>
        <w:rPr>
          <w:rFonts w:ascii="Verdana" w:hAnsi="Verdana"/>
          <w:bCs/>
          <w:sz w:val="20"/>
        </w:rPr>
      </w:pPr>
    </w:p>
    <w:p w14:paraId="363C854E" w14:textId="77777777" w:rsidR="004E17A0" w:rsidRPr="004E17A0" w:rsidRDefault="004E17A0" w:rsidP="004E17A0">
      <w:pPr>
        <w:spacing w:after="0" w:line="240" w:lineRule="auto"/>
        <w:jc w:val="both"/>
        <w:rPr>
          <w:rFonts w:ascii="Verdana" w:hAnsi="Verdana"/>
          <w:bCs/>
          <w:sz w:val="20"/>
        </w:rPr>
      </w:pPr>
    </w:p>
    <w:p w14:paraId="4AD2E13E" w14:textId="77777777" w:rsidR="004E17A0" w:rsidRPr="004E17A0" w:rsidRDefault="004E17A0" w:rsidP="004E17A0">
      <w:pPr>
        <w:spacing w:after="0" w:line="240" w:lineRule="auto"/>
        <w:jc w:val="both"/>
        <w:rPr>
          <w:rFonts w:ascii="Verdana" w:hAnsi="Verdana"/>
          <w:bCs/>
          <w:sz w:val="20"/>
        </w:rPr>
      </w:pPr>
    </w:p>
    <w:p w14:paraId="1717F48C" w14:textId="77777777" w:rsidR="004E17A0" w:rsidRPr="004E17A0" w:rsidRDefault="004E17A0" w:rsidP="004E17A0">
      <w:pPr>
        <w:spacing w:after="0" w:line="240" w:lineRule="auto"/>
        <w:jc w:val="both"/>
        <w:rPr>
          <w:rFonts w:ascii="Verdana" w:hAnsi="Verdana"/>
          <w:bCs/>
          <w:sz w:val="20"/>
        </w:rPr>
      </w:pPr>
    </w:p>
    <w:p w14:paraId="0D0D5D5A" w14:textId="77777777" w:rsidR="004E17A0" w:rsidRPr="004E17A0" w:rsidRDefault="004E17A0" w:rsidP="004E17A0">
      <w:pPr>
        <w:spacing w:after="0" w:line="240" w:lineRule="auto"/>
        <w:jc w:val="both"/>
        <w:rPr>
          <w:rFonts w:ascii="Verdana" w:hAnsi="Verdana"/>
          <w:bCs/>
          <w:sz w:val="20"/>
        </w:rPr>
      </w:pPr>
    </w:p>
    <w:p w14:paraId="54C30BE7" w14:textId="77777777" w:rsidR="004E17A0" w:rsidRPr="004E17A0" w:rsidRDefault="004E17A0" w:rsidP="004E17A0">
      <w:pPr>
        <w:spacing w:after="0" w:line="240" w:lineRule="auto"/>
        <w:jc w:val="both"/>
        <w:rPr>
          <w:rFonts w:ascii="Verdana" w:hAnsi="Verdana"/>
          <w:bCs/>
          <w:sz w:val="20"/>
        </w:rPr>
      </w:pPr>
    </w:p>
    <w:p w14:paraId="59AC7E53" w14:textId="77777777" w:rsidR="004E17A0" w:rsidRPr="004E17A0" w:rsidRDefault="004E17A0" w:rsidP="004E17A0">
      <w:pPr>
        <w:spacing w:after="0" w:line="240" w:lineRule="auto"/>
        <w:jc w:val="both"/>
        <w:rPr>
          <w:rFonts w:ascii="Verdana" w:hAnsi="Verdana"/>
          <w:bCs/>
          <w:sz w:val="20"/>
        </w:rPr>
      </w:pPr>
    </w:p>
    <w:p w14:paraId="49771516" w14:textId="77777777" w:rsidR="004E17A0" w:rsidRPr="004E17A0" w:rsidRDefault="004E17A0" w:rsidP="004E17A0">
      <w:pPr>
        <w:spacing w:after="0" w:line="240" w:lineRule="auto"/>
        <w:jc w:val="both"/>
        <w:rPr>
          <w:rFonts w:ascii="Verdana" w:hAnsi="Verdana"/>
          <w:bCs/>
          <w:sz w:val="20"/>
        </w:rPr>
      </w:pPr>
    </w:p>
    <w:p w14:paraId="7870CC26" w14:textId="77777777" w:rsidR="004E17A0" w:rsidRPr="004E17A0" w:rsidRDefault="004E17A0" w:rsidP="004E17A0">
      <w:pPr>
        <w:spacing w:after="0" w:line="240" w:lineRule="auto"/>
        <w:jc w:val="both"/>
        <w:rPr>
          <w:rFonts w:ascii="Verdana" w:hAnsi="Verdana"/>
          <w:bCs/>
          <w:sz w:val="20"/>
        </w:rPr>
      </w:pPr>
    </w:p>
    <w:p w14:paraId="1A54C1DF" w14:textId="77777777" w:rsidR="004E17A0" w:rsidRPr="004E17A0" w:rsidRDefault="004E17A0" w:rsidP="004E17A0">
      <w:pPr>
        <w:spacing w:after="0" w:line="240" w:lineRule="auto"/>
        <w:jc w:val="both"/>
        <w:rPr>
          <w:rFonts w:ascii="Verdana" w:hAnsi="Verdana"/>
          <w:bCs/>
          <w:sz w:val="20"/>
        </w:rPr>
      </w:pPr>
    </w:p>
    <w:p w14:paraId="409E496D" w14:textId="77777777" w:rsidR="004E17A0" w:rsidRPr="004E17A0" w:rsidRDefault="004E17A0" w:rsidP="004E17A0">
      <w:pPr>
        <w:spacing w:after="0" w:line="240" w:lineRule="auto"/>
        <w:jc w:val="both"/>
        <w:rPr>
          <w:rFonts w:ascii="Verdana" w:hAnsi="Verdana"/>
          <w:bCs/>
          <w:sz w:val="20"/>
        </w:rPr>
      </w:pPr>
    </w:p>
    <w:p w14:paraId="1373A408" w14:textId="77777777" w:rsidR="004E17A0" w:rsidRPr="004E17A0" w:rsidRDefault="004E17A0" w:rsidP="004E17A0">
      <w:pPr>
        <w:spacing w:after="0" w:line="240" w:lineRule="auto"/>
        <w:jc w:val="both"/>
        <w:rPr>
          <w:rFonts w:ascii="Verdana" w:hAnsi="Verdana"/>
          <w:bCs/>
          <w:sz w:val="20"/>
        </w:rPr>
      </w:pPr>
    </w:p>
    <w:p w14:paraId="56687AAE" w14:textId="77777777" w:rsidR="004E17A0" w:rsidRPr="004E17A0" w:rsidRDefault="004E17A0" w:rsidP="004E17A0">
      <w:pPr>
        <w:spacing w:after="0" w:line="240" w:lineRule="auto"/>
        <w:jc w:val="both"/>
        <w:rPr>
          <w:rFonts w:ascii="Verdana" w:hAnsi="Verdana"/>
          <w:bCs/>
          <w:sz w:val="20"/>
        </w:rPr>
      </w:pPr>
    </w:p>
    <w:p w14:paraId="013752C3" w14:textId="77777777" w:rsidR="004E17A0" w:rsidRPr="004E17A0" w:rsidRDefault="004E17A0" w:rsidP="004E17A0">
      <w:pPr>
        <w:spacing w:after="0" w:line="240" w:lineRule="auto"/>
        <w:jc w:val="both"/>
        <w:rPr>
          <w:rFonts w:ascii="Verdana" w:hAnsi="Verdana"/>
          <w:bCs/>
          <w:sz w:val="20"/>
        </w:rPr>
      </w:pPr>
    </w:p>
    <w:p w14:paraId="426EA562" w14:textId="77777777" w:rsidR="004E17A0" w:rsidRPr="004E17A0" w:rsidRDefault="004E17A0" w:rsidP="004E17A0">
      <w:pPr>
        <w:spacing w:after="0" w:line="240" w:lineRule="auto"/>
        <w:jc w:val="both"/>
        <w:rPr>
          <w:rFonts w:ascii="Verdana" w:hAnsi="Verdana"/>
          <w:bCs/>
          <w:sz w:val="20"/>
        </w:rPr>
      </w:pPr>
    </w:p>
    <w:p w14:paraId="29CB7054" w14:textId="77777777" w:rsidR="004E17A0" w:rsidRPr="004E17A0" w:rsidRDefault="004E17A0" w:rsidP="004E17A0">
      <w:pPr>
        <w:spacing w:after="0" w:line="240" w:lineRule="auto"/>
        <w:jc w:val="both"/>
        <w:rPr>
          <w:rFonts w:ascii="Verdana" w:hAnsi="Verdana"/>
          <w:bCs/>
          <w:sz w:val="20"/>
        </w:rPr>
      </w:pPr>
    </w:p>
    <w:p w14:paraId="7CA10FA4" w14:textId="77777777" w:rsidR="004E17A0" w:rsidRPr="004E17A0" w:rsidRDefault="004E17A0" w:rsidP="004E17A0">
      <w:pPr>
        <w:spacing w:after="0" w:line="240" w:lineRule="auto"/>
        <w:jc w:val="both"/>
        <w:rPr>
          <w:rFonts w:ascii="Verdana" w:hAnsi="Verdana"/>
          <w:bCs/>
          <w:sz w:val="20"/>
        </w:rPr>
      </w:pPr>
    </w:p>
    <w:p w14:paraId="49E21192" w14:textId="77777777" w:rsidR="004E17A0" w:rsidRPr="004E17A0" w:rsidRDefault="004E17A0" w:rsidP="004E17A0">
      <w:pPr>
        <w:spacing w:after="0" w:line="240" w:lineRule="auto"/>
        <w:jc w:val="both"/>
        <w:rPr>
          <w:rFonts w:ascii="Verdana" w:hAnsi="Verdana"/>
          <w:bCs/>
          <w:sz w:val="20"/>
        </w:rPr>
      </w:pPr>
    </w:p>
    <w:p w14:paraId="5A77D432" w14:textId="22C70A78" w:rsidR="004E17A0" w:rsidRDefault="004E17A0" w:rsidP="00B17E10">
      <w:pPr>
        <w:spacing w:after="0" w:line="240" w:lineRule="auto"/>
        <w:rPr>
          <w:rFonts w:ascii="Verdana" w:hAnsi="Verdana"/>
        </w:rPr>
      </w:pPr>
      <w:r w:rsidRPr="00F57102">
        <w:rPr>
          <w:rFonts w:ascii="Verdana" w:hAnsi="Verdana"/>
        </w:rPr>
        <w:lastRenderedPageBreak/>
        <w:t xml:space="preserve">Bogotá D.C., </w:t>
      </w:r>
      <w:r w:rsidR="00BA3BBA">
        <w:rPr>
          <w:rFonts w:ascii="Verdana" w:hAnsi="Verdana"/>
        </w:rPr>
        <w:t>20 de agosto de 2026</w:t>
      </w:r>
    </w:p>
    <w:p w14:paraId="3B33C190" w14:textId="77777777" w:rsidR="00BA3BBA" w:rsidRDefault="00BA3BBA" w:rsidP="00B17E10">
      <w:pPr>
        <w:spacing w:after="0" w:line="240" w:lineRule="auto"/>
        <w:rPr>
          <w:rFonts w:ascii="Verdana" w:hAnsi="Verdana"/>
        </w:rPr>
      </w:pPr>
    </w:p>
    <w:p w14:paraId="42F9C97D" w14:textId="0E5A1FDD" w:rsidR="00BA3BBA" w:rsidRPr="00F57102" w:rsidRDefault="00BA3BBA" w:rsidP="00BA3BBA">
      <w:pPr>
        <w:spacing w:after="0" w:line="240" w:lineRule="auto"/>
        <w:jc w:val="right"/>
        <w:rPr>
          <w:rFonts w:ascii="Verdana" w:hAnsi="Verdana"/>
        </w:rPr>
      </w:pPr>
      <w:r w:rsidRPr="00BA3BBA">
        <w:rPr>
          <w:rFonts w:ascii="Verdana" w:hAnsi="Verdana"/>
        </w:rPr>
        <w:drawing>
          <wp:inline distT="0" distB="0" distL="0" distR="0" wp14:anchorId="32851CDB" wp14:editId="37B0C08C">
            <wp:extent cx="3648584" cy="971686"/>
            <wp:effectExtent l="0" t="0" r="0" b="0"/>
            <wp:docPr id="2111250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5076" name=""/>
                    <pic:cNvPicPr/>
                  </pic:nvPicPr>
                  <pic:blipFill>
                    <a:blip r:embed="rId10"/>
                    <a:stretch>
                      <a:fillRect/>
                    </a:stretch>
                  </pic:blipFill>
                  <pic:spPr>
                    <a:xfrm>
                      <a:off x="0" y="0"/>
                      <a:ext cx="3648584" cy="971686"/>
                    </a:xfrm>
                    <a:prstGeom prst="rect">
                      <a:avLst/>
                    </a:prstGeom>
                  </pic:spPr>
                </pic:pic>
              </a:graphicData>
            </a:graphic>
          </wp:inline>
        </w:drawing>
      </w:r>
    </w:p>
    <w:p w14:paraId="421467EB" w14:textId="77777777" w:rsidR="004E17A0" w:rsidRPr="00B17E10" w:rsidRDefault="004E17A0" w:rsidP="00B17E10">
      <w:pPr>
        <w:spacing w:after="0" w:line="240" w:lineRule="auto"/>
        <w:rPr>
          <w:rFonts w:ascii="Verdana" w:hAnsi="Verdana"/>
        </w:rPr>
      </w:pPr>
    </w:p>
    <w:p w14:paraId="23E36F79" w14:textId="77777777" w:rsidR="004E17A0" w:rsidRPr="00F57102" w:rsidRDefault="004E17A0" w:rsidP="00F57102">
      <w:pPr>
        <w:spacing w:after="0" w:line="240" w:lineRule="auto"/>
        <w:jc w:val="both"/>
        <w:rPr>
          <w:rFonts w:ascii="Verdana" w:hAnsi="Verdana" w:cs="Arial"/>
          <w:bCs/>
          <w:lang w:val="es-ES" w:eastAsia="es-ES" w:bidi="es-ES"/>
        </w:rPr>
      </w:pPr>
    </w:p>
    <w:p w14:paraId="67384B46" w14:textId="77777777" w:rsidR="004E17A0" w:rsidRPr="00F57102" w:rsidRDefault="004E17A0" w:rsidP="00F57102">
      <w:pPr>
        <w:spacing w:after="0" w:line="240" w:lineRule="auto"/>
        <w:jc w:val="both"/>
        <w:rPr>
          <w:rFonts w:ascii="Verdana" w:hAnsi="Verdana" w:cs="Arial"/>
          <w:bCs/>
          <w:lang w:eastAsia="es-ES" w:bidi="es-ES"/>
        </w:rPr>
      </w:pPr>
      <w:r w:rsidRPr="00F57102">
        <w:rPr>
          <w:rFonts w:ascii="Verdana" w:hAnsi="Verdana" w:cs="Arial"/>
          <w:bCs/>
          <w:lang w:eastAsia="es-ES" w:bidi="es-ES"/>
        </w:rPr>
        <w:t>Señora</w:t>
      </w:r>
    </w:p>
    <w:p w14:paraId="75AC9FDB" w14:textId="77777777" w:rsidR="004E17A0" w:rsidRPr="00BA3BBA" w:rsidRDefault="004E17A0" w:rsidP="00F57102">
      <w:pPr>
        <w:spacing w:after="0" w:line="240" w:lineRule="auto"/>
        <w:jc w:val="both"/>
        <w:rPr>
          <w:rFonts w:ascii="Verdana" w:hAnsi="Verdana" w:cs="Arial"/>
          <w:b/>
          <w:bCs/>
          <w:lang w:eastAsia="es-ES" w:bidi="es-ES"/>
        </w:rPr>
      </w:pPr>
      <w:r w:rsidRPr="00BA3BBA">
        <w:rPr>
          <w:rFonts w:ascii="Verdana" w:hAnsi="Verdana" w:cs="Arial"/>
          <w:b/>
          <w:bCs/>
          <w:lang w:eastAsia="es-ES" w:bidi="es-ES"/>
        </w:rPr>
        <w:t>Andrea Katherine Zuluaga Lavao</w:t>
      </w:r>
    </w:p>
    <w:p w14:paraId="7A7D962E" w14:textId="77777777" w:rsidR="004E17A0" w:rsidRPr="00F57102" w:rsidRDefault="004E17A0" w:rsidP="00751E38">
      <w:pPr>
        <w:spacing w:after="0" w:line="240" w:lineRule="auto"/>
        <w:jc w:val="both"/>
        <w:rPr>
          <w:rFonts w:ascii="Verdana" w:hAnsi="Verdana"/>
        </w:rPr>
      </w:pPr>
      <w:hyperlink r:id="rId11" w:history="1">
        <w:r w:rsidRPr="00F57102">
          <w:rPr>
            <w:rFonts w:ascii="Verdana" w:hAnsi="Verdana"/>
            <w:color w:val="0000FF"/>
            <w:u w:val="single"/>
          </w:rPr>
          <w:t>andreanine9127@hotmil.com</w:t>
        </w:r>
      </w:hyperlink>
      <w:r w:rsidRPr="00F57102">
        <w:rPr>
          <w:rFonts w:ascii="Verdana" w:hAnsi="Verdana"/>
        </w:rPr>
        <w:t xml:space="preserve"> </w:t>
      </w:r>
    </w:p>
    <w:p w14:paraId="3EF76C34" w14:textId="77777777" w:rsidR="004E17A0" w:rsidRPr="00751E38" w:rsidRDefault="004E17A0" w:rsidP="00751E38">
      <w:pPr>
        <w:spacing w:after="0" w:line="240" w:lineRule="auto"/>
        <w:jc w:val="both"/>
        <w:rPr>
          <w:rFonts w:ascii="Verdana" w:hAnsi="Verdana" w:cs="Arial"/>
          <w:bCs/>
          <w:lang w:val="es-MX" w:eastAsia="es-ES" w:bidi="es-ES"/>
        </w:rPr>
      </w:pPr>
      <w:r w:rsidRPr="00F57102">
        <w:rPr>
          <w:rFonts w:ascii="Verdana" w:hAnsi="Verdana" w:cs="Arial"/>
          <w:bCs/>
          <w:lang w:val="es-MX" w:eastAsia="es-ES" w:bidi="es-ES"/>
        </w:rPr>
        <w:t xml:space="preserve">Bogotá D.C. </w:t>
      </w:r>
    </w:p>
    <w:p w14:paraId="34FEECB8" w14:textId="77777777" w:rsidR="004E17A0" w:rsidRPr="00751E38" w:rsidRDefault="004E17A0" w:rsidP="00751E38">
      <w:pPr>
        <w:spacing w:after="0" w:line="240" w:lineRule="auto"/>
        <w:jc w:val="both"/>
        <w:rPr>
          <w:rFonts w:ascii="Verdana" w:hAnsi="Verdana" w:cs="Arial"/>
          <w:b/>
          <w:bCs/>
          <w:lang w:val="es-ES_tradnl" w:eastAsia="es-ES" w:bidi="es-ES"/>
        </w:rPr>
      </w:pPr>
    </w:p>
    <w:p w14:paraId="32CC22EA" w14:textId="77777777" w:rsidR="004E17A0" w:rsidRPr="00F57102" w:rsidRDefault="004E17A0">
      <w:pPr>
        <w:tabs>
          <w:tab w:val="left" w:pos="7184"/>
        </w:tabs>
        <w:spacing w:after="0" w:line="240" w:lineRule="auto"/>
        <w:jc w:val="both"/>
        <w:rPr>
          <w:rFonts w:ascii="Verdana" w:hAnsi="Verdana" w:cs="Arial"/>
          <w:b/>
          <w:bCs/>
          <w:lang w:val="es-ES_tradnl" w:eastAsia="es-ES" w:bidi="es-ES"/>
        </w:rPr>
      </w:pPr>
      <w:r w:rsidRPr="00F57102">
        <w:rPr>
          <w:rFonts w:ascii="Verdana" w:hAnsi="Verdana" w:cs="Arial"/>
          <w:b/>
          <w:bCs/>
          <w:lang w:val="es-ES_tradnl" w:eastAsia="es-ES" w:bidi="es-ES"/>
        </w:rPr>
        <w:tab/>
      </w:r>
    </w:p>
    <w:tbl>
      <w:tblPr>
        <w:tblStyle w:val="Tablaconcuadrcula1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42"/>
      </w:tblGrid>
      <w:tr w:rsidR="004E17A0" w:rsidRPr="00F57102" w14:paraId="145F2729" w14:textId="77777777" w:rsidTr="007C248B">
        <w:trPr>
          <w:trHeight w:val="312"/>
        </w:trPr>
        <w:tc>
          <w:tcPr>
            <w:tcW w:w="2689" w:type="dxa"/>
          </w:tcPr>
          <w:p w14:paraId="5C643D34" w14:textId="77777777" w:rsidR="004E17A0" w:rsidRPr="00F57102" w:rsidRDefault="004E17A0">
            <w:pPr>
              <w:jc w:val="both"/>
              <w:rPr>
                <w:rFonts w:ascii="Verdana" w:hAnsi="Verdana" w:cs="Arial"/>
                <w:b/>
                <w:bCs/>
                <w:lang w:val="es-ES_tradnl" w:eastAsia="es-ES" w:bidi="es-ES"/>
              </w:rPr>
            </w:pPr>
          </w:p>
        </w:tc>
        <w:tc>
          <w:tcPr>
            <w:tcW w:w="6242" w:type="dxa"/>
          </w:tcPr>
          <w:p w14:paraId="0C8CD7B3" w14:textId="77777777" w:rsidR="004E17A0" w:rsidRPr="00F57102" w:rsidRDefault="004E17A0">
            <w:pPr>
              <w:tabs>
                <w:tab w:val="right" w:pos="6242"/>
              </w:tabs>
              <w:jc w:val="both"/>
              <w:rPr>
                <w:rFonts w:ascii="Verdana" w:hAnsi="Verdana" w:cs="Arial"/>
                <w:b/>
                <w:bCs/>
                <w:lang w:val="es-MX" w:eastAsia="es-ES" w:bidi="es-ES"/>
              </w:rPr>
            </w:pPr>
            <w:r w:rsidRPr="00F57102">
              <w:rPr>
                <w:rFonts w:ascii="Verdana" w:hAnsi="Verdana" w:cs="Arial"/>
                <w:b/>
                <w:bCs/>
                <w:lang w:val="es-MX" w:eastAsia="es-ES" w:bidi="es-ES"/>
              </w:rPr>
              <w:t>Concepto C- 1104 de 2026</w:t>
            </w:r>
            <w:r w:rsidRPr="00F57102">
              <w:rPr>
                <w:rFonts w:ascii="Verdana" w:hAnsi="Verdana" w:cs="Arial"/>
                <w:b/>
                <w:bCs/>
                <w:lang w:val="es-MX" w:eastAsia="es-ES" w:bidi="es-ES"/>
              </w:rPr>
              <w:tab/>
            </w:r>
          </w:p>
          <w:p w14:paraId="123B9F69" w14:textId="77777777" w:rsidR="004E17A0" w:rsidRPr="00F57102" w:rsidRDefault="004E17A0">
            <w:pPr>
              <w:jc w:val="both"/>
              <w:rPr>
                <w:rFonts w:ascii="Verdana" w:hAnsi="Verdana" w:cs="Arial"/>
                <w:b/>
                <w:bCs/>
                <w:lang w:val="es-MX" w:eastAsia="es-ES" w:bidi="es-ES"/>
              </w:rPr>
            </w:pPr>
          </w:p>
        </w:tc>
      </w:tr>
      <w:tr w:rsidR="004E17A0" w:rsidRPr="00F57102" w14:paraId="24A9E40D" w14:textId="77777777" w:rsidTr="007C248B">
        <w:trPr>
          <w:trHeight w:val="884"/>
        </w:trPr>
        <w:tc>
          <w:tcPr>
            <w:tcW w:w="2689" w:type="dxa"/>
          </w:tcPr>
          <w:p w14:paraId="216E0339" w14:textId="77777777" w:rsidR="004E17A0" w:rsidRPr="00F57102" w:rsidRDefault="004E17A0" w:rsidP="00F57102">
            <w:pPr>
              <w:jc w:val="both"/>
              <w:rPr>
                <w:rFonts w:ascii="Verdana" w:hAnsi="Verdana" w:cs="Arial"/>
                <w:b/>
                <w:bCs/>
                <w:lang w:val="es-MX" w:eastAsia="es-ES" w:bidi="es-ES"/>
              </w:rPr>
            </w:pPr>
            <w:r w:rsidRPr="00F57102">
              <w:rPr>
                <w:rFonts w:ascii="Verdana" w:hAnsi="Verdana" w:cs="Arial"/>
                <w:b/>
                <w:bCs/>
                <w:lang w:val="es-MX" w:eastAsia="es-ES" w:bidi="es-ES"/>
              </w:rPr>
              <w:t xml:space="preserve">Temas:                   </w:t>
            </w:r>
          </w:p>
        </w:tc>
        <w:tc>
          <w:tcPr>
            <w:tcW w:w="6242" w:type="dxa"/>
          </w:tcPr>
          <w:p w14:paraId="147E6572" w14:textId="77777777" w:rsidR="004E17A0" w:rsidRPr="00F57102" w:rsidRDefault="004E17A0" w:rsidP="00B17E10">
            <w:pPr>
              <w:jc w:val="both"/>
              <w:rPr>
                <w:rFonts w:ascii="Verdana" w:hAnsi="Verdana" w:cs="Arial"/>
                <w:bCs/>
                <w:lang w:val="es-ES" w:eastAsia="es-ES" w:bidi="es-ES"/>
              </w:rPr>
            </w:pPr>
            <w:r w:rsidRPr="00F57102">
              <w:rPr>
                <w:rFonts w:ascii="Verdana" w:hAnsi="Verdana" w:cs="Arial"/>
                <w:lang w:val="es-ES" w:eastAsia="es-ES"/>
              </w:rPr>
              <w:t>REQUISITOS HABILITANTES – Noción – Fundamento normativo / REQUISITO HABILITANTE – Experiencia - Verificación / REQUISITO HABILITANTE - Experiencia – Código Clasificador de Bienes y Servicios - Acreditación del Valor de los Contratos / EXPERIENCIA – Expresada en SMMLV – Estandarización / REQUISITOS HABILITANTES – Fijación –</w:t>
            </w:r>
            <w:r w:rsidRPr="00751E38">
              <w:rPr>
                <w:rFonts w:ascii="Verdana" w:hAnsi="Verdana" w:cs="Arial"/>
                <w:lang w:val="es-ES" w:eastAsia="es-ES"/>
              </w:rPr>
              <w:t xml:space="preserve"> parámetros – proporcionalidad</w:t>
            </w:r>
            <w:r w:rsidRPr="00751E38">
              <w:rPr>
                <w:rFonts w:ascii="Verdana" w:eastAsia="Arial" w:hAnsi="Verdana" w:cs="Arial"/>
                <w:lang w:val="es-MX"/>
              </w:rPr>
              <w:t xml:space="preserve"> / COMITÉ EVALUADOR – Alcance – Facultad de la entidad – Determinación de funciones</w:t>
            </w:r>
          </w:p>
          <w:p w14:paraId="500681AF" w14:textId="77777777" w:rsidR="004E17A0" w:rsidRPr="00F57102" w:rsidRDefault="004E17A0" w:rsidP="00F57102">
            <w:pPr>
              <w:jc w:val="both"/>
              <w:rPr>
                <w:rFonts w:ascii="Verdana" w:hAnsi="Verdana" w:cs="Arial"/>
                <w:bCs/>
                <w:lang w:val="es-MX" w:eastAsia="es-ES" w:bidi="es-ES"/>
              </w:rPr>
            </w:pPr>
          </w:p>
        </w:tc>
      </w:tr>
      <w:tr w:rsidR="004E17A0" w:rsidRPr="00F57102" w14:paraId="5B616B6D" w14:textId="77777777" w:rsidTr="007C248B">
        <w:tc>
          <w:tcPr>
            <w:tcW w:w="2689" w:type="dxa"/>
          </w:tcPr>
          <w:p w14:paraId="249E9985" w14:textId="77777777" w:rsidR="004E17A0" w:rsidRPr="00F57102" w:rsidRDefault="004E17A0" w:rsidP="00F57102">
            <w:pPr>
              <w:jc w:val="both"/>
              <w:rPr>
                <w:rFonts w:ascii="Verdana" w:hAnsi="Verdana" w:cs="Arial"/>
                <w:b/>
                <w:bCs/>
                <w:lang w:val="es-MX" w:eastAsia="es-ES" w:bidi="es-ES"/>
              </w:rPr>
            </w:pPr>
            <w:r w:rsidRPr="00F57102">
              <w:rPr>
                <w:rFonts w:ascii="Verdana" w:hAnsi="Verdana" w:cs="Arial"/>
                <w:b/>
                <w:bCs/>
                <w:lang w:val="es-MX" w:eastAsia="es-ES" w:bidi="es-ES"/>
              </w:rPr>
              <w:t xml:space="preserve">Radicación:               </w:t>
            </w:r>
          </w:p>
        </w:tc>
        <w:tc>
          <w:tcPr>
            <w:tcW w:w="6242" w:type="dxa"/>
          </w:tcPr>
          <w:p w14:paraId="73745223" w14:textId="77777777" w:rsidR="004E17A0" w:rsidRPr="00751E38" w:rsidRDefault="004E17A0" w:rsidP="00F57102">
            <w:pPr>
              <w:jc w:val="both"/>
              <w:rPr>
                <w:rFonts w:ascii="Verdana" w:hAnsi="Verdana" w:cs="Arial"/>
                <w:bCs/>
                <w:lang w:val="es-MX" w:eastAsia="es-ES" w:bidi="es-ES"/>
              </w:rPr>
            </w:pPr>
            <w:r w:rsidRPr="00F57102">
              <w:rPr>
                <w:rFonts w:ascii="Verdana" w:hAnsi="Verdana" w:cs="Arial"/>
                <w:bCs/>
                <w:lang w:val="es-MX" w:eastAsia="es-ES" w:bidi="es-ES"/>
              </w:rPr>
              <w:t xml:space="preserve">Respuesta a consulta con radicado No. </w:t>
            </w:r>
            <w:r w:rsidRPr="00751E38">
              <w:rPr>
                <w:rFonts w:ascii="Verdana" w:hAnsi="Verdana" w:cs="Arial"/>
                <w:bCs/>
                <w:lang w:eastAsia="es-ES" w:bidi="es-ES"/>
              </w:rPr>
              <w:t>1_2026_07_10_009205</w:t>
            </w:r>
          </w:p>
          <w:p w14:paraId="50800C37" w14:textId="77777777" w:rsidR="004E17A0" w:rsidRPr="00F57102" w:rsidRDefault="004E17A0" w:rsidP="00751E38">
            <w:pPr>
              <w:jc w:val="both"/>
              <w:rPr>
                <w:rFonts w:ascii="Verdana" w:hAnsi="Verdana" w:cs="Arial"/>
                <w:bCs/>
                <w:lang w:val="es-MX" w:eastAsia="es-ES" w:bidi="es-ES"/>
              </w:rPr>
            </w:pPr>
          </w:p>
        </w:tc>
      </w:tr>
    </w:tbl>
    <w:p w14:paraId="43631F72" w14:textId="77777777" w:rsidR="004E17A0" w:rsidRPr="00F57102" w:rsidRDefault="004E17A0" w:rsidP="00F57102">
      <w:pPr>
        <w:spacing w:after="0" w:line="240" w:lineRule="auto"/>
        <w:jc w:val="both"/>
        <w:rPr>
          <w:rFonts w:ascii="Verdana" w:hAnsi="Verdana" w:cs="Arial"/>
          <w:bCs/>
          <w:lang w:val="es-ES_tradnl" w:eastAsia="es-ES" w:bidi="es-ES"/>
        </w:rPr>
      </w:pPr>
    </w:p>
    <w:p w14:paraId="4CBA3300" w14:textId="77777777" w:rsidR="004E17A0" w:rsidRPr="00F57102" w:rsidRDefault="004E17A0" w:rsidP="00B17E10">
      <w:pPr>
        <w:spacing w:after="0" w:line="276" w:lineRule="auto"/>
        <w:jc w:val="both"/>
        <w:rPr>
          <w:rFonts w:ascii="Verdana" w:hAnsi="Verdana" w:cs="Arial"/>
          <w:bCs/>
          <w:lang w:val="es-MX" w:eastAsia="es-ES" w:bidi="es-ES"/>
        </w:rPr>
      </w:pPr>
      <w:r w:rsidRPr="00F57102">
        <w:rPr>
          <w:rFonts w:ascii="Verdana" w:hAnsi="Verdana" w:cs="Arial"/>
          <w:bCs/>
          <w:lang w:val="es-MX" w:eastAsia="es-ES" w:bidi="es-ES"/>
        </w:rPr>
        <w:t>Estimada Señora Zuluaga:</w:t>
      </w:r>
    </w:p>
    <w:p w14:paraId="1E4377FF" w14:textId="77777777" w:rsidR="004E17A0" w:rsidRPr="00F57102" w:rsidRDefault="004E17A0" w:rsidP="00B17E10">
      <w:pPr>
        <w:spacing w:after="0" w:line="276" w:lineRule="auto"/>
        <w:jc w:val="both"/>
        <w:rPr>
          <w:rFonts w:ascii="Verdana" w:hAnsi="Verdana" w:cs="Arial"/>
          <w:bCs/>
          <w:lang w:val="es-ES" w:eastAsia="es-ES" w:bidi="es-ES"/>
        </w:rPr>
      </w:pPr>
      <w:r w:rsidRPr="00F57102">
        <w:rPr>
          <w:rFonts w:ascii="Verdana" w:hAnsi="Verdana" w:cs="Arial"/>
          <w:bCs/>
          <w:lang w:val="es-ES" w:eastAsia="es-ES" w:bidi="es-ES"/>
        </w:rPr>
        <w:tab/>
      </w:r>
    </w:p>
    <w:p w14:paraId="1D5F21D1" w14:textId="2FB2123F" w:rsidR="004E17A0" w:rsidRDefault="004E17A0" w:rsidP="00F57102">
      <w:pPr>
        <w:spacing w:after="0" w:line="276" w:lineRule="auto"/>
        <w:jc w:val="both"/>
        <w:rPr>
          <w:rFonts w:ascii="Verdana" w:hAnsi="Verdana" w:cs="Arial"/>
          <w:bCs/>
          <w:lang w:val="es-ES" w:eastAsia="es-ES" w:bidi="es-ES"/>
        </w:rPr>
      </w:pPr>
      <w:r w:rsidRPr="004E17A0">
        <w:rPr>
          <w:rFonts w:ascii="Verdana" w:hAnsi="Verdana" w:cs="Arial"/>
          <w:bCs/>
          <w:lang w:val="es-ES" w:eastAsia="es-ES" w:bidi="es-ES"/>
        </w:rPr>
        <w:t xml:space="preserve">En ejercicio de la competencia otorgada por los artículos 3, numeral 5º, y 11, numeral 8º, del Decreto Ley 4170 de 2011, </w:t>
      </w:r>
      <w:r w:rsidRPr="004E17A0">
        <w:rPr>
          <w:rFonts w:ascii="Verdana" w:hAnsi="Verdana" w:cs="Arial"/>
          <w:bCs/>
          <w:lang w:eastAsia="es-ES" w:bidi="es-ES"/>
        </w:rPr>
        <w:t xml:space="preserve">así como lo establecido por la Resolución 469 de 2025 expedida por esta Entidad, </w:t>
      </w:r>
      <w:r w:rsidRPr="004E17A0">
        <w:rPr>
          <w:rFonts w:ascii="Verdana" w:hAnsi="Verdana" w:cs="Arial"/>
          <w:bCs/>
          <w:lang w:val="es-ES" w:eastAsia="es-ES" w:bidi="es-ES"/>
        </w:rPr>
        <w:t xml:space="preserve">la Agencia Nacional de Contratación Pública – Colombia Compra Eficiente– responde su solicitud de consulta del 10 de julio de 2026, en la cual manifiesta: </w:t>
      </w:r>
    </w:p>
    <w:p w14:paraId="5D72C01E" w14:textId="77777777" w:rsidR="00F57102" w:rsidRPr="004E17A0" w:rsidRDefault="00F57102" w:rsidP="00B17E10">
      <w:pPr>
        <w:spacing w:after="0" w:line="276" w:lineRule="auto"/>
        <w:jc w:val="both"/>
        <w:rPr>
          <w:rFonts w:ascii="Verdana" w:hAnsi="Verdana" w:cs="Arial"/>
          <w:bCs/>
          <w:lang w:val="es-ES" w:eastAsia="es-ES" w:bidi="es-ES"/>
        </w:rPr>
      </w:pPr>
    </w:p>
    <w:p w14:paraId="65A120E5" w14:textId="792A44CF" w:rsidR="004E17A0" w:rsidRDefault="004E17A0" w:rsidP="00F57102">
      <w:pPr>
        <w:spacing w:after="0" w:line="240" w:lineRule="auto"/>
        <w:ind w:left="709" w:right="709"/>
        <w:jc w:val="both"/>
        <w:rPr>
          <w:rFonts w:ascii="Verdana" w:hAnsi="Verdana" w:cs="Arial"/>
          <w:bCs/>
          <w:sz w:val="20"/>
          <w:szCs w:val="20"/>
          <w:lang w:eastAsia="es-ES" w:bidi="es-ES"/>
        </w:rPr>
      </w:pPr>
      <w:r w:rsidRPr="00B17E10">
        <w:rPr>
          <w:rFonts w:ascii="Verdana" w:hAnsi="Verdana" w:cs="Arial"/>
          <w:bCs/>
          <w:sz w:val="20"/>
          <w:szCs w:val="20"/>
          <w:lang w:val="es-ES" w:eastAsia="es-ES" w:bidi="es-ES"/>
        </w:rPr>
        <w:lastRenderedPageBreak/>
        <w:t xml:space="preserve">“1. </w:t>
      </w:r>
      <w:r w:rsidRPr="00B17E10">
        <w:rPr>
          <w:rFonts w:ascii="Verdana" w:hAnsi="Verdana" w:cs="Arial"/>
          <w:bCs/>
          <w:sz w:val="20"/>
          <w:szCs w:val="20"/>
          <w:lang w:eastAsia="es-ES" w:bidi="es-ES"/>
        </w:rPr>
        <w:t xml:space="preserve">¿Es jurídicamente procedente que una entidad estatal establezca como requisito habilitante de experiencia que el valor total ejecutado del contrato acreditado sea igual o superior al presupuesto oficial del proceso, sin indicar expresamente que dicho valor será expresado o convertido a Salarios Mínimos Mensuales Legales Vigentes (SMMLV)? </w:t>
      </w:r>
    </w:p>
    <w:p w14:paraId="659EA2FF" w14:textId="77777777" w:rsidR="00751E38" w:rsidRPr="00B17E10" w:rsidRDefault="00751E38" w:rsidP="00B17E10">
      <w:pPr>
        <w:spacing w:after="0" w:line="240" w:lineRule="auto"/>
        <w:ind w:left="709" w:right="709"/>
        <w:jc w:val="both"/>
        <w:rPr>
          <w:rFonts w:ascii="Verdana" w:hAnsi="Verdana" w:cs="Arial"/>
          <w:bCs/>
          <w:sz w:val="20"/>
          <w:szCs w:val="20"/>
          <w:lang w:eastAsia="es-ES" w:bidi="es-ES"/>
        </w:rPr>
      </w:pPr>
    </w:p>
    <w:p w14:paraId="7177E674" w14:textId="11DFFCC3" w:rsidR="004E17A0" w:rsidRDefault="004E17A0" w:rsidP="00F57102">
      <w:pPr>
        <w:spacing w:after="0" w:line="240" w:lineRule="auto"/>
        <w:ind w:left="709" w:right="709"/>
        <w:jc w:val="both"/>
        <w:rPr>
          <w:rFonts w:ascii="Verdana" w:hAnsi="Verdana" w:cs="Arial"/>
          <w:bCs/>
          <w:sz w:val="20"/>
          <w:szCs w:val="20"/>
          <w:lang w:eastAsia="es-ES" w:bidi="es-ES"/>
        </w:rPr>
      </w:pPr>
      <w:r w:rsidRPr="00B17E10">
        <w:rPr>
          <w:rFonts w:ascii="Verdana" w:hAnsi="Verdana" w:cs="Arial"/>
          <w:bCs/>
          <w:sz w:val="20"/>
          <w:szCs w:val="20"/>
          <w:lang w:eastAsia="es-ES" w:bidi="es-ES"/>
        </w:rPr>
        <w:t>2. En caso de ser procedente, ¿cuál es el sustento normativo, reglamentario o doctrinal que habilita a las entidades estatales para establecer dicho requisito sin definir previamente el mecanismo de equivalencia o comparación de valores?</w:t>
      </w:r>
    </w:p>
    <w:p w14:paraId="58F07C6F" w14:textId="77777777" w:rsidR="00751E38" w:rsidRPr="00B17E10" w:rsidRDefault="00751E38" w:rsidP="00B17E10">
      <w:pPr>
        <w:spacing w:after="0" w:line="240" w:lineRule="auto"/>
        <w:ind w:left="709" w:right="709"/>
        <w:jc w:val="both"/>
        <w:rPr>
          <w:rFonts w:ascii="Verdana" w:hAnsi="Verdana" w:cs="Arial"/>
          <w:bCs/>
          <w:sz w:val="20"/>
          <w:szCs w:val="20"/>
          <w:lang w:eastAsia="es-ES" w:bidi="es-ES"/>
        </w:rPr>
      </w:pPr>
    </w:p>
    <w:p w14:paraId="1FD0D43F" w14:textId="1CE2A5FD" w:rsidR="004E17A0" w:rsidRDefault="004E17A0" w:rsidP="00F57102">
      <w:pPr>
        <w:spacing w:after="0" w:line="240" w:lineRule="auto"/>
        <w:ind w:left="709" w:right="709"/>
        <w:jc w:val="both"/>
        <w:rPr>
          <w:rFonts w:ascii="Verdana" w:hAnsi="Verdana" w:cs="Arial"/>
          <w:bCs/>
          <w:sz w:val="20"/>
          <w:szCs w:val="20"/>
          <w:lang w:eastAsia="es-ES" w:bidi="es-ES"/>
        </w:rPr>
      </w:pPr>
      <w:r w:rsidRPr="00B17E10">
        <w:rPr>
          <w:rFonts w:ascii="Verdana" w:hAnsi="Verdana" w:cs="Arial"/>
          <w:bCs/>
          <w:sz w:val="20"/>
          <w:szCs w:val="20"/>
          <w:lang w:eastAsia="es-ES" w:bidi="es-ES"/>
        </w:rPr>
        <w:t>3. ¿Resulta conforme con los principios de transparencia, selección objetiva, igualdad, planeación y seguridad jurídica que la Invitación Pública o el Pliego de Condiciones omita señalar la metodología que empleará el comité evaluador para determinar si el valor del contrato aportado por el proponente cumple con el requisito exigido?</w:t>
      </w:r>
    </w:p>
    <w:p w14:paraId="3E069175" w14:textId="77777777" w:rsidR="00751E38" w:rsidRPr="00B17E10" w:rsidRDefault="00751E38" w:rsidP="00B17E10">
      <w:pPr>
        <w:spacing w:after="0" w:line="240" w:lineRule="auto"/>
        <w:ind w:left="709" w:right="709"/>
        <w:jc w:val="both"/>
        <w:rPr>
          <w:rFonts w:ascii="Verdana" w:hAnsi="Verdana" w:cs="Arial"/>
          <w:bCs/>
          <w:sz w:val="20"/>
          <w:szCs w:val="20"/>
          <w:lang w:eastAsia="es-ES" w:bidi="es-ES"/>
        </w:rPr>
      </w:pPr>
    </w:p>
    <w:p w14:paraId="296B4224" w14:textId="1D071856" w:rsidR="004E17A0" w:rsidRDefault="004E17A0" w:rsidP="00F57102">
      <w:pPr>
        <w:spacing w:after="0" w:line="240" w:lineRule="auto"/>
        <w:ind w:left="709" w:right="709"/>
        <w:jc w:val="both"/>
        <w:rPr>
          <w:rFonts w:ascii="Verdana" w:hAnsi="Verdana" w:cs="Arial"/>
          <w:bCs/>
          <w:sz w:val="20"/>
          <w:szCs w:val="20"/>
          <w:lang w:eastAsia="es-ES" w:bidi="es-ES"/>
        </w:rPr>
      </w:pPr>
      <w:r w:rsidRPr="00B17E10">
        <w:rPr>
          <w:rFonts w:ascii="Verdana" w:hAnsi="Verdana" w:cs="Arial"/>
          <w:bCs/>
          <w:sz w:val="20"/>
          <w:szCs w:val="20"/>
          <w:lang w:eastAsia="es-ES" w:bidi="es-ES"/>
        </w:rPr>
        <w:t>4. ¿Considera esa Agencia que, en aplicación de los principios de transparencia y selección objetiva, la entidad contratante debe establecer de manera expresa en los documentos del proceso la metodología de evaluación de la experiencia cuando esta dependa de la comparación de valores económicos correspondientes a diferentes vigencias fiscales?</w:t>
      </w:r>
    </w:p>
    <w:p w14:paraId="343D651F" w14:textId="77777777" w:rsidR="00751E38" w:rsidRPr="00B17E10" w:rsidRDefault="00751E38" w:rsidP="00B17E10">
      <w:pPr>
        <w:spacing w:after="0" w:line="240" w:lineRule="auto"/>
        <w:ind w:left="709" w:right="709"/>
        <w:jc w:val="both"/>
        <w:rPr>
          <w:rFonts w:ascii="Verdana" w:hAnsi="Verdana" w:cs="Arial"/>
          <w:bCs/>
          <w:sz w:val="20"/>
          <w:szCs w:val="20"/>
          <w:lang w:eastAsia="es-ES" w:bidi="es-ES"/>
        </w:rPr>
      </w:pPr>
    </w:p>
    <w:p w14:paraId="12D51CF9" w14:textId="164138CF" w:rsidR="004E17A0" w:rsidRDefault="004E17A0" w:rsidP="00F57102">
      <w:pPr>
        <w:spacing w:after="0" w:line="240" w:lineRule="auto"/>
        <w:ind w:left="709" w:right="709"/>
        <w:jc w:val="both"/>
        <w:rPr>
          <w:rFonts w:ascii="Verdana" w:hAnsi="Verdana" w:cs="Arial"/>
          <w:bCs/>
          <w:sz w:val="20"/>
          <w:szCs w:val="20"/>
          <w:lang w:eastAsia="es-ES" w:bidi="es-ES"/>
        </w:rPr>
      </w:pPr>
      <w:r w:rsidRPr="00B17E10">
        <w:rPr>
          <w:rFonts w:ascii="Verdana" w:hAnsi="Verdana" w:cs="Arial"/>
          <w:bCs/>
          <w:sz w:val="20"/>
          <w:szCs w:val="20"/>
          <w:lang w:eastAsia="es-ES" w:bidi="es-ES"/>
        </w:rPr>
        <w:t>5. En caso de no haberse definido expresamente dicha metodología en los documentos del proceso, ¿podría el comité evaluador aplicar criterios de conversión o actualización que no fueron previamente establecidos en la Invitación Pública o el Pliego de Condiciones, o ello implicaría una modificación de las reglas del proceso y una eventual vulneración de los principios que rigen la contratación estatal?”.</w:t>
      </w:r>
    </w:p>
    <w:p w14:paraId="5F2D24FB" w14:textId="77777777" w:rsidR="00F57102" w:rsidRPr="00B17E10" w:rsidRDefault="00F57102" w:rsidP="00B17E10">
      <w:pPr>
        <w:spacing w:after="0" w:line="276" w:lineRule="auto"/>
        <w:ind w:left="709" w:right="709"/>
        <w:jc w:val="both"/>
        <w:rPr>
          <w:rFonts w:ascii="Verdana" w:hAnsi="Verdana" w:cs="Arial"/>
          <w:bCs/>
          <w:lang w:eastAsia="es-ES" w:bidi="es-ES"/>
        </w:rPr>
      </w:pPr>
    </w:p>
    <w:p w14:paraId="14C53149" w14:textId="77777777" w:rsidR="004E17A0" w:rsidRPr="004E17A0" w:rsidRDefault="004E17A0" w:rsidP="004E17A0">
      <w:pPr>
        <w:spacing w:after="120" w:line="276" w:lineRule="auto"/>
        <w:ind w:firstLine="709"/>
        <w:jc w:val="both"/>
        <w:rPr>
          <w:rFonts w:ascii="Verdana" w:eastAsia="Calibri" w:hAnsi="Verdana" w:cs="Times New Roman"/>
          <w:lang w:val="es-ES"/>
        </w:rPr>
      </w:pPr>
      <w:r w:rsidRPr="004E17A0">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w:t>
      </w:r>
      <w:r w:rsidRPr="004E17A0">
        <w:rPr>
          <w:rFonts w:ascii="Verdana" w:eastAsia="Calibri" w:hAnsi="Verdana" w:cs="Times New Roman"/>
          <w:lang w:val="es-ES"/>
        </w:rPr>
        <w:lastRenderedPageBreak/>
        <w:t>determinar grados de responsabilidad por las actuaciones de los diferentes participes del sistema de compra pública.</w:t>
      </w:r>
    </w:p>
    <w:p w14:paraId="6C00732A" w14:textId="77777777" w:rsidR="004E17A0" w:rsidRPr="004E17A0" w:rsidRDefault="004E17A0" w:rsidP="004E17A0">
      <w:pPr>
        <w:spacing w:after="0" w:line="276" w:lineRule="auto"/>
        <w:ind w:firstLine="708"/>
        <w:jc w:val="both"/>
        <w:rPr>
          <w:rFonts w:ascii="Verdana" w:eastAsia="Calibri" w:hAnsi="Verdana" w:cs="Times New Roman"/>
          <w:lang w:val="es-ES"/>
        </w:rPr>
      </w:pPr>
      <w:r w:rsidRPr="004E17A0">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w:t>
      </w:r>
    </w:p>
    <w:p w14:paraId="684F148E" w14:textId="77777777" w:rsidR="004E17A0" w:rsidRPr="004E17A0" w:rsidRDefault="004E17A0" w:rsidP="00B17E10">
      <w:pPr>
        <w:spacing w:after="0" w:line="276" w:lineRule="auto"/>
        <w:rPr>
          <w:rFonts w:ascii="Verdana" w:eastAsia="Calibri" w:hAnsi="Verdana" w:cs="Times New Roman"/>
          <w:lang w:val="es-ES"/>
        </w:rPr>
      </w:pPr>
    </w:p>
    <w:p w14:paraId="3CD486FE" w14:textId="77777777" w:rsidR="004E17A0" w:rsidRPr="004E17A0" w:rsidRDefault="004E17A0" w:rsidP="00B17E10">
      <w:pPr>
        <w:numPr>
          <w:ilvl w:val="0"/>
          <w:numId w:val="16"/>
        </w:numPr>
        <w:spacing w:after="0" w:line="276" w:lineRule="auto"/>
        <w:rPr>
          <w:rFonts w:ascii="Verdana" w:eastAsia="Calibri" w:hAnsi="Verdana" w:cs="Times New Roman"/>
          <w:b/>
          <w:bCs/>
          <w:lang w:val="es-ES"/>
        </w:rPr>
      </w:pPr>
      <w:r w:rsidRPr="004E17A0">
        <w:rPr>
          <w:rFonts w:ascii="Verdana" w:eastAsia="Calibri" w:hAnsi="Verdana" w:cs="Times New Roman"/>
          <w:b/>
          <w:bCs/>
          <w:lang w:val="es-ES"/>
        </w:rPr>
        <w:t>Problemas planteados:</w:t>
      </w:r>
    </w:p>
    <w:p w14:paraId="404B9E55" w14:textId="77777777" w:rsidR="004E17A0" w:rsidRPr="004E17A0" w:rsidRDefault="004E17A0" w:rsidP="00B17E10">
      <w:pPr>
        <w:spacing w:after="0" w:line="276" w:lineRule="auto"/>
        <w:rPr>
          <w:rFonts w:ascii="Verdana" w:eastAsia="Calibri" w:hAnsi="Verdana" w:cs="Times New Roman"/>
        </w:rPr>
      </w:pPr>
    </w:p>
    <w:p w14:paraId="3005F779" w14:textId="45E87C01" w:rsidR="004E17A0" w:rsidRPr="004E17A0" w:rsidRDefault="004E17A0" w:rsidP="00B0116E">
      <w:pPr>
        <w:spacing w:after="0" w:line="276" w:lineRule="auto"/>
        <w:jc w:val="both"/>
        <w:rPr>
          <w:rFonts w:ascii="Verdana" w:eastAsia="Calibri" w:hAnsi="Verdana" w:cs="Times New Roman"/>
        </w:rPr>
      </w:pPr>
      <w:r w:rsidRPr="004E17A0">
        <w:rPr>
          <w:rFonts w:ascii="Verdana" w:eastAsia="Calibri" w:hAnsi="Verdana" w:cs="Times New Roman"/>
        </w:rPr>
        <w:t>De acuerdo con el contenido de su solicitud, esta Agencia procede a resolver los problemas jurídicos: i) ¿Cuál es el fundamento jurídico en los procesos de selección de las entidades públicas para determinar la experiencia de los proveedores expresada mediante Salarios Mínimos Mensuales Legales Vigentes</w:t>
      </w:r>
      <w:r w:rsidR="00B0116E">
        <w:rPr>
          <w:rFonts w:ascii="Verdana" w:eastAsia="Calibri" w:hAnsi="Verdana" w:cs="Times New Roman"/>
        </w:rPr>
        <w:t xml:space="preserve"> – en adelante SMLMV</w:t>
      </w:r>
      <w:r w:rsidRPr="004E17A0">
        <w:rPr>
          <w:rFonts w:ascii="Verdana" w:eastAsia="Calibri" w:hAnsi="Verdana" w:cs="Times New Roman"/>
        </w:rPr>
        <w:t xml:space="preserve">? y </w:t>
      </w:r>
      <w:proofErr w:type="spellStart"/>
      <w:r w:rsidRPr="004E17A0">
        <w:rPr>
          <w:rFonts w:ascii="Verdana" w:eastAsia="Calibri" w:hAnsi="Verdana" w:cs="Times New Roman"/>
        </w:rPr>
        <w:t>ii</w:t>
      </w:r>
      <w:proofErr w:type="spellEnd"/>
      <w:r w:rsidRPr="004E17A0">
        <w:rPr>
          <w:rFonts w:ascii="Verdana" w:eastAsia="Calibri" w:hAnsi="Verdana" w:cs="Times New Roman"/>
        </w:rPr>
        <w:t>) ¿</w:t>
      </w:r>
      <w:r w:rsidR="006D5C98">
        <w:rPr>
          <w:rFonts w:ascii="Verdana" w:eastAsia="Calibri" w:hAnsi="Verdana" w:cs="Times New Roman"/>
        </w:rPr>
        <w:t>Se</w:t>
      </w:r>
      <w:r w:rsidRPr="004E17A0">
        <w:rPr>
          <w:rFonts w:ascii="Verdana" w:eastAsia="Calibri" w:hAnsi="Verdana" w:cs="Times New Roman"/>
        </w:rPr>
        <w:t xml:space="preserve"> debe establecer en los Documentos del Proceso la forma de evaluar la experiencia</w:t>
      </w:r>
      <w:r w:rsidR="006D5C98">
        <w:rPr>
          <w:rFonts w:ascii="Verdana" w:eastAsia="Calibri" w:hAnsi="Verdana" w:cs="Times New Roman"/>
        </w:rPr>
        <w:t xml:space="preserve"> o los criterios para efectuar la evaluación pueden ser definidos por e</w:t>
      </w:r>
      <w:r w:rsidR="006D5C98" w:rsidRPr="004E17A0">
        <w:rPr>
          <w:rFonts w:ascii="Verdana" w:eastAsia="Calibri" w:hAnsi="Verdana" w:cs="Times New Roman"/>
        </w:rPr>
        <w:t>l comité evaluador</w:t>
      </w:r>
      <w:r w:rsidRPr="004E17A0">
        <w:rPr>
          <w:rFonts w:ascii="Verdana" w:eastAsia="Calibri" w:hAnsi="Verdana" w:cs="Times New Roman"/>
        </w:rPr>
        <w:t>?</w:t>
      </w:r>
    </w:p>
    <w:p w14:paraId="6FF3B991" w14:textId="77777777" w:rsidR="004E17A0" w:rsidRPr="004E17A0" w:rsidRDefault="004E17A0">
      <w:pPr>
        <w:spacing w:after="0" w:line="276" w:lineRule="auto"/>
        <w:jc w:val="both"/>
        <w:rPr>
          <w:rFonts w:ascii="Verdana" w:eastAsia="Calibri" w:hAnsi="Verdana" w:cs="Times New Roman"/>
        </w:rPr>
      </w:pPr>
    </w:p>
    <w:p w14:paraId="7422DCFE" w14:textId="77777777" w:rsidR="004E17A0" w:rsidRPr="004E17A0" w:rsidRDefault="004E17A0" w:rsidP="00B17E10">
      <w:pPr>
        <w:numPr>
          <w:ilvl w:val="0"/>
          <w:numId w:val="16"/>
        </w:numPr>
        <w:spacing w:after="0" w:line="276" w:lineRule="auto"/>
        <w:rPr>
          <w:rFonts w:ascii="Verdana" w:eastAsia="Calibri" w:hAnsi="Verdana" w:cs="Times New Roman"/>
          <w:b/>
          <w:bCs/>
          <w:lang w:val="es-ES"/>
        </w:rPr>
      </w:pPr>
      <w:r w:rsidRPr="004E17A0">
        <w:rPr>
          <w:rFonts w:ascii="Verdana" w:eastAsia="Calibri" w:hAnsi="Verdana" w:cs="Times New Roman"/>
          <w:b/>
          <w:bCs/>
          <w:lang w:val="es-ES"/>
        </w:rPr>
        <w:t>Respuestas:</w:t>
      </w:r>
    </w:p>
    <w:p w14:paraId="7884FD12" w14:textId="77777777" w:rsidR="004E17A0" w:rsidRPr="004E17A0" w:rsidRDefault="004E17A0" w:rsidP="00B17E10">
      <w:pPr>
        <w:spacing w:after="0" w:line="276" w:lineRule="auto"/>
        <w:jc w:val="both"/>
        <w:rPr>
          <w:rFonts w:ascii="Verdana" w:hAnsi="Verdana" w:cs="Arial"/>
          <w:bCs/>
          <w:lang w:val="es-ES" w:eastAsia="es-ES" w:bidi="es-ES"/>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E17A0" w:rsidRPr="004E17A0" w14:paraId="7656F914" w14:textId="77777777" w:rsidTr="007C248B">
        <w:trPr>
          <w:trHeight w:val="870"/>
          <w:jc w:val="center"/>
        </w:trPr>
        <w:tc>
          <w:tcPr>
            <w:tcW w:w="8647" w:type="dxa"/>
          </w:tcPr>
          <w:p w14:paraId="20EDA509" w14:textId="73AE0ECD" w:rsidR="004E17A0" w:rsidRPr="004E17A0" w:rsidRDefault="004E17A0" w:rsidP="00B17E10">
            <w:pPr>
              <w:widowControl w:val="0"/>
              <w:autoSpaceDE w:val="0"/>
              <w:autoSpaceDN w:val="0"/>
              <w:spacing w:before="120" w:after="120" w:line="276" w:lineRule="auto"/>
              <w:jc w:val="both"/>
              <w:rPr>
                <w:rFonts w:ascii="Verdana" w:eastAsia="Calibri" w:hAnsi="Verdana" w:cs="Arial"/>
                <w:lang w:eastAsia="es-CO"/>
              </w:rPr>
            </w:pPr>
            <w:r w:rsidRPr="004E17A0">
              <w:rPr>
                <w:rFonts w:ascii="Verdana" w:eastAsia="Times New Roman" w:hAnsi="Verdana" w:cs="Arial"/>
                <w:lang w:val="es-ES"/>
              </w:rPr>
              <w:t xml:space="preserve">i) En atención al problema jurídico, objeto de consulta, con respecto a la exigencia de la experiencia expresada en SMMLV, se acude a lo prescrito </w:t>
            </w:r>
            <w:r w:rsidRPr="004E17A0">
              <w:rPr>
                <w:rFonts w:ascii="Verdana" w:eastAsia="Calibri" w:hAnsi="Verdana" w:cs="Arial"/>
                <w:lang w:eastAsia="es-CO"/>
              </w:rPr>
              <w:t xml:space="preserve">en el </w:t>
            </w:r>
            <w:r w:rsidRPr="004E17A0">
              <w:rPr>
                <w:rFonts w:ascii="Verdana" w:eastAsia="Calibri" w:hAnsi="Verdana" w:cs="Arial"/>
                <w:bCs/>
                <w:lang w:eastAsia="es-CO"/>
              </w:rPr>
              <w:t xml:space="preserve">artículo 2.2.1.1.1.5.3. que establece que las cámaras de comercio deben verificar y certificar los requisitos habilitantes en el </w:t>
            </w:r>
            <w:r w:rsidR="009A7B43">
              <w:rPr>
                <w:rFonts w:ascii="Verdana" w:eastAsia="Calibri" w:hAnsi="Verdana" w:cs="Arial"/>
                <w:bCs/>
                <w:lang w:eastAsia="es-CO"/>
              </w:rPr>
              <w:t xml:space="preserve">Registro Único de Proponentes – en adelante </w:t>
            </w:r>
            <w:r w:rsidRPr="004E17A0">
              <w:rPr>
                <w:rFonts w:ascii="Verdana" w:eastAsia="Calibri" w:hAnsi="Verdana" w:cs="Arial"/>
                <w:bCs/>
                <w:lang w:eastAsia="es-CO"/>
              </w:rPr>
              <w:t>RUP</w:t>
            </w:r>
            <w:r w:rsidR="009A7B43">
              <w:rPr>
                <w:rFonts w:ascii="Verdana" w:eastAsia="Calibri" w:hAnsi="Verdana" w:cs="Arial"/>
                <w:bCs/>
                <w:lang w:eastAsia="es-CO"/>
              </w:rPr>
              <w:t xml:space="preserve"> -</w:t>
            </w:r>
            <w:r w:rsidRPr="004E17A0">
              <w:rPr>
                <w:rFonts w:ascii="Verdana" w:eastAsia="Calibri" w:hAnsi="Verdana" w:cs="Arial"/>
                <w:bCs/>
                <w:lang w:eastAsia="es-CO"/>
              </w:rPr>
              <w:t xml:space="preserve">, entre ellas, la experiencia que son aquellos contratos suscritos por el </w:t>
            </w:r>
            <w:r w:rsidRPr="004E17A0">
              <w:rPr>
                <w:rFonts w:ascii="Verdana" w:eastAsia="Calibri" w:hAnsi="Verdana" w:cs="Arial"/>
              </w:rPr>
              <w:t xml:space="preserve">interesado para cada uno de los bienes, obras y servicios que ofrece a las Entidades Estatales, identificados con el Clasificador de Bienes y Servicios en el tercer nivel y su valor expresado en SMMLV. </w:t>
            </w:r>
            <w:r w:rsidRPr="004E17A0">
              <w:rPr>
                <w:rFonts w:ascii="Verdana" w:eastAsia="Calibri" w:hAnsi="Verdana" w:cs="Arial"/>
                <w:lang w:eastAsia="es-CO"/>
              </w:rPr>
              <w:t xml:space="preserve">Los contratos celebrados por proponentes plurales, como los consorcios, uniones temporales y sociedades en las cuales el interesado tenga o haya tenido participación, para cada uno de los bienes, obras y servicios que ofrecerá a las Entidades Estatales, identificados con el Clasificador de Bienes y Servicios en el tercer nivel y su valor expresado en SMMLV. </w:t>
            </w:r>
          </w:p>
          <w:p w14:paraId="57E109BC" w14:textId="77777777" w:rsidR="004E17A0" w:rsidRPr="004E17A0" w:rsidRDefault="004E17A0" w:rsidP="00B17E10">
            <w:pPr>
              <w:widowControl w:val="0"/>
              <w:autoSpaceDE w:val="0"/>
              <w:autoSpaceDN w:val="0"/>
              <w:spacing w:after="120" w:line="276" w:lineRule="auto"/>
              <w:ind w:firstLine="607"/>
              <w:jc w:val="both"/>
              <w:rPr>
                <w:rFonts w:ascii="Verdana" w:eastAsia="Times New Roman" w:hAnsi="Verdana" w:cs="Arial"/>
              </w:rPr>
            </w:pPr>
            <w:r w:rsidRPr="004E17A0">
              <w:rPr>
                <w:rFonts w:ascii="Verdana" w:eastAsia="Calibri" w:hAnsi="Verdana" w:cs="Arial"/>
                <w:lang w:eastAsia="es-CO"/>
              </w:rPr>
              <w:lastRenderedPageBreak/>
              <w:t xml:space="preserve">Esta exigencia de la experiencia hechas por las cámaras de comercio, implica que la experiencia que establezca las entidades estatales en procesos de contratación, donde sea obligatoria el RUP debe ser coherente a esta, es decir, atender a los Códigos de Clasificación de Bienes y Servicios en el tener nivel y su valor cuantificado en SMMLV. </w:t>
            </w:r>
            <w:r w:rsidRPr="004E17A0">
              <w:rPr>
                <w:rFonts w:ascii="Verdana" w:eastAsia="Times New Roman" w:hAnsi="Verdana" w:cs="Arial"/>
                <w:lang w:val="es-ES"/>
              </w:rPr>
              <w:t xml:space="preserve">En estos términos, para efectos de evaluar la experiencia en los pliegos de condiciones, </w:t>
            </w:r>
            <w:r w:rsidRPr="004E17A0">
              <w:rPr>
                <w:rFonts w:ascii="Verdana" w:eastAsia="Times New Roman" w:hAnsi="Verdana" w:cs="Arial"/>
                <w:lang w:val="es-ES_tradnl"/>
              </w:rPr>
              <w:t xml:space="preserve">las Entidades Estatales al establecer el requisito habilitante de experiencia deben incluir los códigos específicos del objeto a contratar o el de bienes, obras o servicios afines o que se relacionen con el Proceso de Contratación respecto de los cuales los proponentes deben acreditar su experiencia expresada en SMMLV. </w:t>
            </w:r>
          </w:p>
          <w:p w14:paraId="6F3F455D" w14:textId="65CF307C" w:rsidR="004E17A0" w:rsidRPr="004E17A0" w:rsidRDefault="004E17A0" w:rsidP="00B17E10">
            <w:pPr>
              <w:widowControl w:val="0"/>
              <w:autoSpaceDE w:val="0"/>
              <w:autoSpaceDN w:val="0"/>
              <w:spacing w:before="120" w:after="120" w:line="276" w:lineRule="auto"/>
              <w:ind w:firstLine="607"/>
              <w:jc w:val="both"/>
              <w:rPr>
                <w:rFonts w:ascii="Verdana" w:eastAsia="Times New Roman" w:hAnsi="Verdana" w:cs="Arial"/>
              </w:rPr>
            </w:pPr>
            <w:r w:rsidRPr="004E17A0">
              <w:rPr>
                <w:rFonts w:ascii="Verdana" w:eastAsia="Times New Roman" w:hAnsi="Verdana" w:cs="Arial"/>
              </w:rPr>
              <w:t>En torno a la necesidad de que la experiencia contractual sea expresada SMLMV se usa como un parámetro técnico para evaluar y comparar la capacidad de un contratista en procesos de contratación estatal, posibilitando establecer un estándar objetivo frente a la fluctuación del valor de la moneda dentro del mercado.</w:t>
            </w:r>
            <w:r w:rsidRPr="004E17A0">
              <w:rPr>
                <w:rFonts w:ascii="Verdana" w:eastAsia="Calibri" w:hAnsi="Verdana" w:cs="Arial"/>
                <w:lang w:eastAsia="es-CO"/>
              </w:rPr>
              <w:t xml:space="preserve"> </w:t>
            </w:r>
            <w:r w:rsidRPr="004E17A0">
              <w:rPr>
                <w:rFonts w:ascii="Verdana" w:eastAsia="Times New Roman" w:hAnsi="Verdana" w:cs="Arial"/>
              </w:rPr>
              <w:t>Esto, facilita la comparación de manera justa la experiencia de diferentes oferentes, ya que el valor de los SMLMV cambia anualmente, estandarizando la experiencia requerida en un momento determinado.</w:t>
            </w:r>
          </w:p>
          <w:p w14:paraId="6954F958" w14:textId="77777777" w:rsidR="004E17A0" w:rsidRPr="004E17A0" w:rsidRDefault="004E17A0" w:rsidP="009A7B43">
            <w:pPr>
              <w:spacing w:before="120" w:after="120" w:line="276" w:lineRule="auto"/>
              <w:ind w:firstLine="709"/>
              <w:jc w:val="both"/>
              <w:rPr>
                <w:rFonts w:ascii="Verdana" w:eastAsia="Calibri" w:hAnsi="Verdana" w:cs="Arial"/>
                <w:lang w:eastAsia="es-CO"/>
              </w:rPr>
            </w:pPr>
            <w:r w:rsidRPr="004E17A0">
              <w:rPr>
                <w:rFonts w:ascii="Verdana" w:eastAsia="Calibri" w:hAnsi="Verdana" w:cs="Arial"/>
                <w:lang w:val="es-ES_tradnl" w:eastAsia="es-CO"/>
              </w:rPr>
              <w:t>Ahora bien, en los casos que no se exija el RUP</w:t>
            </w:r>
            <w:r w:rsidRPr="004E17A0">
              <w:rPr>
                <w:rFonts w:ascii="Verdana" w:eastAsia="Calibri" w:hAnsi="Verdana" w:cs="Arial"/>
                <w:lang w:eastAsia="es-CO"/>
              </w:rPr>
              <w:t xml:space="preserve">, la entidad si decide establecer requisitos habilitantes de experiencia, debe solicitar la documentación que lo acredite, tales como copias de contratos, actas de recibo a satisfacción, actas de liquidación o certificados expedidos por terceros que hayan recibido del oferente los bienes, obras o servicios objeto del proceso de contratación, en la cual podrán definir que la forma de calcular la experiencia sea expresada en SMMLV, lo cual posibilita comparar de manera más ajustada y proporcional a la experiencia de los proponentes. </w:t>
            </w:r>
          </w:p>
          <w:p w14:paraId="7BEE88D8" w14:textId="0AC18EDE" w:rsidR="004E17A0" w:rsidRDefault="004E17A0">
            <w:pPr>
              <w:spacing w:before="120" w:line="276" w:lineRule="auto"/>
              <w:ind w:firstLine="709"/>
              <w:jc w:val="both"/>
              <w:rPr>
                <w:rFonts w:ascii="Verdana" w:eastAsia="Calibri" w:hAnsi="Verdana" w:cs="Arial"/>
                <w:bCs/>
                <w:lang w:eastAsia="es-CO"/>
              </w:rPr>
            </w:pPr>
            <w:r w:rsidRPr="004E17A0">
              <w:rPr>
                <w:rFonts w:ascii="Verdana" w:eastAsia="Calibri" w:hAnsi="Verdana" w:cs="Arial"/>
                <w:bCs/>
                <w:lang w:eastAsia="es-CO"/>
              </w:rPr>
              <w:t>En todo caso, las Entidades Estatales deben establecer los requisitos habilitantes de forma adecuada y proporcional a la naturaleza y valor del contrato, esto es, las condiciones exigidas correspondan a una relación directa con el objeto del contrato y su cuantificación expresada en SMMLV, de tal manera, que su acreditación sea congruente para evidenciar que el proponente es idóneo para ejecutar el contrato.</w:t>
            </w:r>
          </w:p>
          <w:p w14:paraId="3E929937" w14:textId="77777777" w:rsidR="009A7B43" w:rsidRPr="004E17A0" w:rsidRDefault="009A7B43" w:rsidP="00B17E10">
            <w:pPr>
              <w:spacing w:line="276" w:lineRule="auto"/>
              <w:ind w:firstLine="709"/>
              <w:jc w:val="both"/>
              <w:rPr>
                <w:rFonts w:ascii="Verdana" w:eastAsia="Calibri" w:hAnsi="Verdana" w:cs="Arial"/>
                <w:bCs/>
                <w:lang w:eastAsia="es-CO"/>
              </w:rPr>
            </w:pPr>
          </w:p>
          <w:p w14:paraId="0904CB8C" w14:textId="77777777" w:rsidR="004E17A0" w:rsidRPr="004E17A0" w:rsidRDefault="004E17A0" w:rsidP="00B17E10">
            <w:pPr>
              <w:widowControl w:val="0"/>
              <w:autoSpaceDE w:val="0"/>
              <w:autoSpaceDN w:val="0"/>
              <w:spacing w:line="276" w:lineRule="auto"/>
              <w:jc w:val="both"/>
              <w:rPr>
                <w:rFonts w:ascii="Verdana" w:eastAsia="Verdana" w:hAnsi="Verdana" w:cs="Verdana"/>
                <w:lang w:val="es-ES"/>
              </w:rPr>
            </w:pPr>
            <w:r w:rsidRPr="004E17A0">
              <w:rPr>
                <w:rFonts w:ascii="Verdana" w:eastAsia="Calibri" w:hAnsi="Verdana" w:cs="Arial"/>
                <w:bCs/>
                <w:lang w:val="es-ES" w:eastAsia="es-CO"/>
              </w:rPr>
              <w:t>ii)</w:t>
            </w:r>
            <w:r w:rsidRPr="004E17A0">
              <w:rPr>
                <w:rFonts w:ascii="Verdana" w:eastAsia="Verdana" w:hAnsi="Verdana" w:cs="Verdana"/>
                <w:lang w:val="es-ES"/>
              </w:rPr>
              <w:t xml:space="preserve"> De manera preliminar debe precisarse que las Entidades Estatales sometidas al</w:t>
            </w:r>
            <w:r w:rsidRPr="004E17A0">
              <w:rPr>
                <w:rFonts w:ascii="Verdana" w:eastAsia="Verdana" w:hAnsi="Verdana" w:cs="Verdana"/>
                <w:spacing w:val="-20"/>
                <w:lang w:val="es-ES"/>
              </w:rPr>
              <w:t xml:space="preserve"> </w:t>
            </w:r>
            <w:r w:rsidRPr="004E17A0">
              <w:rPr>
                <w:rFonts w:ascii="Verdana" w:eastAsia="Verdana" w:hAnsi="Verdana" w:cs="Verdana"/>
                <w:lang w:val="es-ES"/>
              </w:rPr>
              <w:t>Estatuto</w:t>
            </w:r>
            <w:r w:rsidRPr="004E17A0">
              <w:rPr>
                <w:rFonts w:ascii="Verdana" w:eastAsia="Verdana" w:hAnsi="Verdana" w:cs="Verdana"/>
                <w:spacing w:val="-10"/>
                <w:lang w:val="es-ES"/>
              </w:rPr>
              <w:t xml:space="preserve"> </w:t>
            </w:r>
            <w:r w:rsidRPr="004E17A0">
              <w:rPr>
                <w:rFonts w:ascii="Verdana" w:eastAsia="Verdana" w:hAnsi="Verdana" w:cs="Verdana"/>
                <w:lang w:val="es-ES"/>
              </w:rPr>
              <w:t>General de Contratación de la Administración Pública</w:t>
            </w:r>
            <w:r w:rsidRPr="004E17A0">
              <w:rPr>
                <w:rFonts w:ascii="Verdana" w:eastAsia="Verdana" w:hAnsi="Verdana" w:cs="Verdana"/>
                <w:spacing w:val="-20"/>
                <w:lang w:val="es-ES"/>
              </w:rPr>
              <w:t xml:space="preserve"> </w:t>
            </w:r>
            <w:r w:rsidRPr="004E17A0">
              <w:rPr>
                <w:rFonts w:ascii="Verdana" w:eastAsia="Verdana" w:hAnsi="Verdana" w:cs="Verdana"/>
                <w:lang w:val="es-ES"/>
              </w:rPr>
              <w:t xml:space="preserve">, </w:t>
            </w:r>
            <w:r w:rsidRPr="004E17A0">
              <w:rPr>
                <w:rFonts w:ascii="Verdana" w:eastAsia="Verdana" w:hAnsi="Verdana" w:cs="Verdana"/>
                <w:lang w:val="es-ES"/>
              </w:rPr>
              <w:lastRenderedPageBreak/>
              <w:t>de acuerdo con</w:t>
            </w:r>
            <w:r w:rsidRPr="004E17A0">
              <w:rPr>
                <w:rFonts w:ascii="Verdana" w:eastAsia="Verdana" w:hAnsi="Verdana" w:cs="Verdana"/>
                <w:spacing w:val="-12"/>
                <w:lang w:val="es-ES"/>
              </w:rPr>
              <w:t xml:space="preserve"> </w:t>
            </w:r>
            <w:r w:rsidRPr="004E17A0">
              <w:rPr>
                <w:rFonts w:ascii="Verdana" w:eastAsia="Verdana" w:hAnsi="Verdana" w:cs="Verdana"/>
                <w:lang w:val="es-ES"/>
              </w:rPr>
              <w:t>lo</w:t>
            </w:r>
            <w:r w:rsidRPr="004E17A0">
              <w:rPr>
                <w:rFonts w:ascii="Verdana" w:eastAsia="Verdana" w:hAnsi="Verdana" w:cs="Verdana"/>
                <w:spacing w:val="-12"/>
                <w:lang w:val="es-ES"/>
              </w:rPr>
              <w:t xml:space="preserve"> </w:t>
            </w:r>
            <w:r w:rsidRPr="004E17A0">
              <w:rPr>
                <w:rFonts w:ascii="Verdana" w:eastAsia="Verdana" w:hAnsi="Verdana" w:cs="Verdana"/>
                <w:lang w:val="es-ES"/>
              </w:rPr>
              <w:t>señalado</w:t>
            </w:r>
            <w:r w:rsidRPr="004E17A0">
              <w:rPr>
                <w:rFonts w:ascii="Verdana" w:eastAsia="Verdana" w:hAnsi="Verdana" w:cs="Verdana"/>
                <w:spacing w:val="-7"/>
                <w:lang w:val="es-ES"/>
              </w:rPr>
              <w:t xml:space="preserve"> </w:t>
            </w:r>
            <w:r w:rsidRPr="004E17A0">
              <w:rPr>
                <w:rFonts w:ascii="Verdana" w:eastAsia="Verdana" w:hAnsi="Verdana" w:cs="Verdana"/>
                <w:lang w:val="es-ES"/>
              </w:rPr>
              <w:t>en</w:t>
            </w:r>
            <w:r w:rsidRPr="004E17A0">
              <w:rPr>
                <w:rFonts w:ascii="Verdana" w:eastAsia="Verdana" w:hAnsi="Verdana" w:cs="Verdana"/>
                <w:spacing w:val="-12"/>
                <w:lang w:val="es-ES"/>
              </w:rPr>
              <w:t xml:space="preserve"> </w:t>
            </w:r>
            <w:r w:rsidRPr="004E17A0">
              <w:rPr>
                <w:rFonts w:ascii="Verdana" w:eastAsia="Verdana" w:hAnsi="Verdana" w:cs="Verdana"/>
                <w:lang w:val="es-ES"/>
              </w:rPr>
              <w:t>el</w:t>
            </w:r>
            <w:r w:rsidRPr="004E17A0">
              <w:rPr>
                <w:rFonts w:ascii="Verdana" w:eastAsia="Verdana" w:hAnsi="Verdana" w:cs="Verdana"/>
                <w:spacing w:val="-13"/>
                <w:lang w:val="es-ES"/>
              </w:rPr>
              <w:t xml:space="preserve"> </w:t>
            </w:r>
            <w:r w:rsidRPr="004E17A0">
              <w:rPr>
                <w:rFonts w:ascii="Verdana" w:eastAsia="Verdana" w:hAnsi="Verdana" w:cs="Verdana"/>
                <w:lang w:val="es-ES"/>
              </w:rPr>
              <w:t>artículo</w:t>
            </w:r>
            <w:r w:rsidRPr="004E17A0">
              <w:rPr>
                <w:rFonts w:ascii="Verdana" w:eastAsia="Verdana" w:hAnsi="Verdana" w:cs="Verdana"/>
                <w:spacing w:val="-7"/>
                <w:lang w:val="es-ES"/>
              </w:rPr>
              <w:t xml:space="preserve"> </w:t>
            </w:r>
            <w:r w:rsidRPr="004E17A0">
              <w:rPr>
                <w:rFonts w:ascii="Verdana" w:eastAsia="Verdana" w:hAnsi="Verdana" w:cs="Verdana"/>
                <w:lang w:val="es-ES"/>
              </w:rPr>
              <w:t>2.2.1.1.2.2.3</w:t>
            </w:r>
            <w:r w:rsidRPr="004E17A0">
              <w:rPr>
                <w:rFonts w:ascii="Verdana" w:eastAsia="Verdana" w:hAnsi="Verdana" w:cs="Verdana"/>
                <w:spacing w:val="-13"/>
                <w:lang w:val="es-ES"/>
              </w:rPr>
              <w:t xml:space="preserve"> </w:t>
            </w:r>
            <w:r w:rsidRPr="004E17A0">
              <w:rPr>
                <w:rFonts w:ascii="Verdana" w:eastAsia="Verdana" w:hAnsi="Verdana" w:cs="Verdana"/>
                <w:lang w:val="es-ES"/>
              </w:rPr>
              <w:t>del</w:t>
            </w:r>
            <w:r w:rsidRPr="004E17A0">
              <w:rPr>
                <w:rFonts w:ascii="Verdana" w:eastAsia="Verdana" w:hAnsi="Verdana" w:cs="Verdana"/>
                <w:spacing w:val="-8"/>
                <w:lang w:val="es-ES"/>
              </w:rPr>
              <w:t xml:space="preserve"> </w:t>
            </w:r>
            <w:r w:rsidRPr="004E17A0">
              <w:rPr>
                <w:rFonts w:ascii="Verdana" w:eastAsia="Verdana" w:hAnsi="Verdana" w:cs="Verdana"/>
                <w:lang w:val="es-ES"/>
              </w:rPr>
              <w:t>Decreto</w:t>
            </w:r>
            <w:r w:rsidRPr="004E17A0">
              <w:rPr>
                <w:rFonts w:ascii="Verdana" w:eastAsia="Verdana" w:hAnsi="Verdana" w:cs="Verdana"/>
                <w:spacing w:val="-12"/>
                <w:lang w:val="es-ES"/>
              </w:rPr>
              <w:t xml:space="preserve"> </w:t>
            </w:r>
            <w:r w:rsidRPr="004E17A0">
              <w:rPr>
                <w:rFonts w:ascii="Verdana" w:eastAsia="Verdana" w:hAnsi="Verdana" w:cs="Verdana"/>
                <w:lang w:val="es-ES"/>
              </w:rPr>
              <w:t>1082</w:t>
            </w:r>
            <w:r w:rsidRPr="004E17A0">
              <w:rPr>
                <w:rFonts w:ascii="Verdana" w:eastAsia="Verdana" w:hAnsi="Verdana" w:cs="Verdana"/>
                <w:spacing w:val="-13"/>
                <w:lang w:val="es-ES"/>
              </w:rPr>
              <w:t xml:space="preserve"> </w:t>
            </w:r>
            <w:r w:rsidRPr="004E17A0">
              <w:rPr>
                <w:rFonts w:ascii="Verdana" w:eastAsia="Verdana" w:hAnsi="Verdana" w:cs="Verdana"/>
                <w:lang w:val="es-ES"/>
              </w:rPr>
              <w:t>de</w:t>
            </w:r>
            <w:r w:rsidRPr="004E17A0">
              <w:rPr>
                <w:rFonts w:ascii="Verdana" w:eastAsia="Verdana" w:hAnsi="Verdana" w:cs="Verdana"/>
                <w:spacing w:val="-9"/>
                <w:lang w:val="es-ES"/>
              </w:rPr>
              <w:t xml:space="preserve"> </w:t>
            </w:r>
            <w:r w:rsidRPr="004E17A0">
              <w:rPr>
                <w:rFonts w:ascii="Verdana" w:eastAsia="Verdana" w:hAnsi="Verdana" w:cs="Verdana"/>
                <w:lang w:val="es-ES"/>
              </w:rPr>
              <w:t>2015,</w:t>
            </w:r>
            <w:r w:rsidRPr="004E17A0">
              <w:rPr>
                <w:rFonts w:ascii="Verdana" w:eastAsia="Verdana" w:hAnsi="Verdana" w:cs="Verdana"/>
                <w:spacing w:val="-13"/>
                <w:lang w:val="es-ES"/>
              </w:rPr>
              <w:t xml:space="preserve"> </w:t>
            </w:r>
            <w:r w:rsidRPr="004E17A0">
              <w:rPr>
                <w:rFonts w:ascii="Verdana" w:eastAsia="Verdana" w:hAnsi="Verdana" w:cs="Verdana"/>
                <w:lang w:val="es-ES"/>
              </w:rPr>
              <w:t>pueden constituir</w:t>
            </w:r>
            <w:r w:rsidRPr="004E17A0">
              <w:rPr>
                <w:rFonts w:ascii="Verdana" w:eastAsia="Verdana" w:hAnsi="Verdana" w:cs="Verdana"/>
                <w:spacing w:val="-12"/>
                <w:lang w:val="es-ES"/>
              </w:rPr>
              <w:t xml:space="preserve"> </w:t>
            </w:r>
            <w:r w:rsidRPr="004E17A0">
              <w:rPr>
                <w:rFonts w:ascii="Verdana" w:eastAsia="Verdana" w:hAnsi="Verdana" w:cs="Verdana"/>
                <w:lang w:val="es-ES"/>
              </w:rPr>
              <w:t>un</w:t>
            </w:r>
            <w:r w:rsidRPr="004E17A0">
              <w:rPr>
                <w:rFonts w:ascii="Verdana" w:eastAsia="Verdana" w:hAnsi="Verdana" w:cs="Verdana"/>
                <w:spacing w:val="-17"/>
                <w:lang w:val="es-ES"/>
              </w:rPr>
              <w:t xml:space="preserve"> </w:t>
            </w:r>
            <w:r w:rsidRPr="004E17A0">
              <w:rPr>
                <w:rFonts w:ascii="Verdana" w:eastAsia="Verdana" w:hAnsi="Verdana" w:cs="Verdana"/>
                <w:lang w:val="es-ES"/>
              </w:rPr>
              <w:t>comité</w:t>
            </w:r>
            <w:r w:rsidRPr="004E17A0">
              <w:rPr>
                <w:rFonts w:ascii="Verdana" w:eastAsia="Verdana" w:hAnsi="Verdana" w:cs="Verdana"/>
                <w:spacing w:val="-14"/>
                <w:lang w:val="es-ES"/>
              </w:rPr>
              <w:t xml:space="preserve"> </w:t>
            </w:r>
            <w:r w:rsidRPr="004E17A0">
              <w:rPr>
                <w:rFonts w:ascii="Verdana" w:eastAsia="Verdana" w:hAnsi="Verdana" w:cs="Verdana"/>
                <w:lang w:val="es-ES"/>
              </w:rPr>
              <w:t>evaluador</w:t>
            </w:r>
            <w:r w:rsidRPr="004E17A0">
              <w:rPr>
                <w:rFonts w:ascii="Verdana" w:eastAsia="Verdana" w:hAnsi="Verdana" w:cs="Verdana"/>
                <w:spacing w:val="-12"/>
                <w:lang w:val="es-ES"/>
              </w:rPr>
              <w:t xml:space="preserve"> </w:t>
            </w:r>
            <w:r w:rsidRPr="004E17A0">
              <w:rPr>
                <w:rFonts w:ascii="Verdana" w:eastAsia="Verdana" w:hAnsi="Verdana" w:cs="Verdana"/>
                <w:lang w:val="es-ES"/>
              </w:rPr>
              <w:t>de</w:t>
            </w:r>
            <w:r w:rsidRPr="004E17A0">
              <w:rPr>
                <w:rFonts w:ascii="Verdana" w:eastAsia="Verdana" w:hAnsi="Verdana" w:cs="Verdana"/>
                <w:spacing w:val="-14"/>
                <w:lang w:val="es-ES"/>
              </w:rPr>
              <w:t xml:space="preserve"> </w:t>
            </w:r>
            <w:r w:rsidRPr="004E17A0">
              <w:rPr>
                <w:rFonts w:ascii="Verdana" w:eastAsia="Verdana" w:hAnsi="Verdana" w:cs="Verdana"/>
                <w:lang w:val="es-ES"/>
              </w:rPr>
              <w:t>ofertas</w:t>
            </w:r>
            <w:r w:rsidRPr="004E17A0">
              <w:rPr>
                <w:rFonts w:ascii="Verdana" w:eastAsia="Verdana" w:hAnsi="Verdana" w:cs="Verdana"/>
                <w:spacing w:val="-13"/>
                <w:lang w:val="es-ES"/>
              </w:rPr>
              <w:t xml:space="preserve"> </w:t>
            </w:r>
            <w:r w:rsidRPr="004E17A0">
              <w:rPr>
                <w:rFonts w:ascii="Verdana" w:eastAsia="Verdana" w:hAnsi="Verdana" w:cs="Verdana"/>
                <w:lang w:val="es-ES"/>
              </w:rPr>
              <w:t>y</w:t>
            </w:r>
            <w:r w:rsidRPr="004E17A0">
              <w:rPr>
                <w:rFonts w:ascii="Verdana" w:eastAsia="Verdana" w:hAnsi="Verdana" w:cs="Verdana"/>
                <w:spacing w:val="-13"/>
                <w:lang w:val="es-ES"/>
              </w:rPr>
              <w:t xml:space="preserve"> </w:t>
            </w:r>
            <w:r w:rsidRPr="004E17A0">
              <w:rPr>
                <w:rFonts w:ascii="Verdana" w:eastAsia="Verdana" w:hAnsi="Verdana" w:cs="Verdana"/>
                <w:lang w:val="es-ES"/>
              </w:rPr>
              <w:t>de</w:t>
            </w:r>
            <w:r w:rsidRPr="004E17A0">
              <w:rPr>
                <w:rFonts w:ascii="Verdana" w:eastAsia="Verdana" w:hAnsi="Verdana" w:cs="Verdana"/>
                <w:spacing w:val="-18"/>
                <w:lang w:val="es-ES"/>
              </w:rPr>
              <w:t xml:space="preserve"> </w:t>
            </w:r>
            <w:r w:rsidRPr="004E17A0">
              <w:rPr>
                <w:rFonts w:ascii="Verdana" w:eastAsia="Verdana" w:hAnsi="Verdana" w:cs="Verdana"/>
                <w:lang w:val="es-ES"/>
              </w:rPr>
              <w:t>manifestaciones</w:t>
            </w:r>
            <w:r w:rsidRPr="004E17A0">
              <w:rPr>
                <w:rFonts w:ascii="Verdana" w:eastAsia="Verdana" w:hAnsi="Verdana" w:cs="Verdana"/>
                <w:spacing w:val="-13"/>
                <w:lang w:val="es-ES"/>
              </w:rPr>
              <w:t xml:space="preserve"> </w:t>
            </w:r>
            <w:r w:rsidRPr="004E17A0">
              <w:rPr>
                <w:rFonts w:ascii="Verdana" w:eastAsia="Verdana" w:hAnsi="Verdana" w:cs="Verdana"/>
                <w:lang w:val="es-ES"/>
              </w:rPr>
              <w:t>de</w:t>
            </w:r>
            <w:r w:rsidRPr="004E17A0">
              <w:rPr>
                <w:rFonts w:ascii="Verdana" w:eastAsia="Verdana" w:hAnsi="Verdana" w:cs="Verdana"/>
                <w:spacing w:val="-14"/>
                <w:lang w:val="es-ES"/>
              </w:rPr>
              <w:t xml:space="preserve"> </w:t>
            </w:r>
            <w:r w:rsidRPr="004E17A0">
              <w:rPr>
                <w:rFonts w:ascii="Verdana" w:eastAsia="Verdana" w:hAnsi="Verdana" w:cs="Verdana"/>
                <w:lang w:val="es-ES"/>
              </w:rPr>
              <w:t>interés</w:t>
            </w:r>
            <w:r w:rsidRPr="004E17A0">
              <w:rPr>
                <w:rFonts w:ascii="Verdana" w:eastAsia="Verdana" w:hAnsi="Verdana" w:cs="Verdana"/>
                <w:spacing w:val="-13"/>
                <w:lang w:val="es-ES"/>
              </w:rPr>
              <w:t xml:space="preserve"> </w:t>
            </w:r>
            <w:r w:rsidRPr="004E17A0">
              <w:rPr>
                <w:rFonts w:ascii="Verdana" w:eastAsia="Verdana" w:hAnsi="Verdana" w:cs="Verdana"/>
                <w:lang w:val="es-ES"/>
              </w:rPr>
              <w:t>para los procesos de licitación pública, selección abreviada y concurso de méritos, que podrá estar conformado bien sea por servidores públicos, particulares contratados</w:t>
            </w:r>
            <w:r w:rsidRPr="004E17A0">
              <w:rPr>
                <w:rFonts w:ascii="Verdana" w:eastAsia="Verdana" w:hAnsi="Verdana" w:cs="Verdana"/>
                <w:spacing w:val="-6"/>
                <w:lang w:val="es-ES"/>
              </w:rPr>
              <w:t xml:space="preserve"> </w:t>
            </w:r>
            <w:r w:rsidRPr="004E17A0">
              <w:rPr>
                <w:rFonts w:ascii="Verdana" w:eastAsia="Verdana" w:hAnsi="Verdana" w:cs="Verdana"/>
                <w:lang w:val="es-ES"/>
              </w:rPr>
              <w:t>para</w:t>
            </w:r>
            <w:r w:rsidRPr="004E17A0">
              <w:rPr>
                <w:rFonts w:ascii="Verdana" w:eastAsia="Verdana" w:hAnsi="Verdana" w:cs="Verdana"/>
                <w:spacing w:val="-8"/>
                <w:lang w:val="es-ES"/>
              </w:rPr>
              <w:t xml:space="preserve"> </w:t>
            </w:r>
            <w:r w:rsidRPr="004E17A0">
              <w:rPr>
                <w:rFonts w:ascii="Verdana" w:eastAsia="Verdana" w:hAnsi="Verdana" w:cs="Verdana"/>
                <w:lang w:val="es-ES"/>
              </w:rPr>
              <w:t>tal</w:t>
            </w:r>
            <w:r w:rsidRPr="004E17A0">
              <w:rPr>
                <w:rFonts w:ascii="Verdana" w:eastAsia="Verdana" w:hAnsi="Verdana" w:cs="Verdana"/>
                <w:spacing w:val="-6"/>
                <w:lang w:val="es-ES"/>
              </w:rPr>
              <w:t xml:space="preserve"> </w:t>
            </w:r>
            <w:r w:rsidRPr="004E17A0">
              <w:rPr>
                <w:rFonts w:ascii="Verdana" w:eastAsia="Verdana" w:hAnsi="Verdana" w:cs="Verdana"/>
                <w:lang w:val="es-ES"/>
              </w:rPr>
              <w:t>finalidad</w:t>
            </w:r>
            <w:r w:rsidRPr="004E17A0">
              <w:rPr>
                <w:rFonts w:ascii="Verdana" w:eastAsia="Verdana" w:hAnsi="Verdana" w:cs="Verdana"/>
                <w:spacing w:val="-8"/>
                <w:lang w:val="es-ES"/>
              </w:rPr>
              <w:t xml:space="preserve"> </w:t>
            </w:r>
            <w:r w:rsidRPr="004E17A0">
              <w:rPr>
                <w:rFonts w:ascii="Verdana" w:eastAsia="Verdana" w:hAnsi="Verdana" w:cs="Verdana"/>
                <w:lang w:val="es-ES"/>
              </w:rPr>
              <w:t>o</w:t>
            </w:r>
            <w:r w:rsidRPr="004E17A0">
              <w:rPr>
                <w:rFonts w:ascii="Verdana" w:eastAsia="Verdana" w:hAnsi="Verdana" w:cs="Verdana"/>
                <w:spacing w:val="-5"/>
                <w:lang w:val="es-ES"/>
              </w:rPr>
              <w:t xml:space="preserve"> </w:t>
            </w:r>
            <w:r w:rsidRPr="004E17A0">
              <w:rPr>
                <w:rFonts w:ascii="Verdana" w:eastAsia="Verdana" w:hAnsi="Verdana" w:cs="Verdana"/>
                <w:lang w:val="es-ES"/>
              </w:rPr>
              <w:t>por</w:t>
            </w:r>
            <w:r w:rsidRPr="004E17A0">
              <w:rPr>
                <w:rFonts w:ascii="Verdana" w:eastAsia="Verdana" w:hAnsi="Verdana" w:cs="Verdana"/>
                <w:spacing w:val="-5"/>
                <w:lang w:val="es-ES"/>
              </w:rPr>
              <w:t xml:space="preserve"> </w:t>
            </w:r>
            <w:r w:rsidRPr="004E17A0">
              <w:rPr>
                <w:rFonts w:ascii="Verdana" w:eastAsia="Verdana" w:hAnsi="Verdana" w:cs="Verdana"/>
                <w:lang w:val="es-ES"/>
              </w:rPr>
              <w:t>una</w:t>
            </w:r>
            <w:r w:rsidRPr="004E17A0">
              <w:rPr>
                <w:rFonts w:ascii="Verdana" w:eastAsia="Verdana" w:hAnsi="Verdana" w:cs="Verdana"/>
                <w:spacing w:val="-8"/>
                <w:lang w:val="es-ES"/>
              </w:rPr>
              <w:t xml:space="preserve"> </w:t>
            </w:r>
            <w:r w:rsidRPr="004E17A0">
              <w:rPr>
                <w:rFonts w:ascii="Verdana" w:eastAsia="Verdana" w:hAnsi="Verdana" w:cs="Verdana"/>
                <w:lang w:val="es-ES"/>
              </w:rPr>
              <w:t>combinación</w:t>
            </w:r>
            <w:r w:rsidRPr="004E17A0">
              <w:rPr>
                <w:rFonts w:ascii="Verdana" w:eastAsia="Verdana" w:hAnsi="Verdana" w:cs="Verdana"/>
                <w:spacing w:val="-6"/>
                <w:lang w:val="es-ES"/>
              </w:rPr>
              <w:t xml:space="preserve"> </w:t>
            </w:r>
            <w:r w:rsidRPr="004E17A0">
              <w:rPr>
                <w:rFonts w:ascii="Verdana" w:eastAsia="Verdana" w:hAnsi="Verdana" w:cs="Verdana"/>
                <w:lang w:val="es-ES"/>
              </w:rPr>
              <w:t>de</w:t>
            </w:r>
            <w:r w:rsidRPr="004E17A0">
              <w:rPr>
                <w:rFonts w:ascii="Verdana" w:eastAsia="Verdana" w:hAnsi="Verdana" w:cs="Verdana"/>
                <w:spacing w:val="-7"/>
                <w:lang w:val="es-ES"/>
              </w:rPr>
              <w:t xml:space="preserve"> </w:t>
            </w:r>
            <w:r w:rsidRPr="004E17A0">
              <w:rPr>
                <w:rFonts w:ascii="Verdana" w:eastAsia="Verdana" w:hAnsi="Verdana" w:cs="Verdana"/>
                <w:lang w:val="es-ES"/>
              </w:rPr>
              <w:t>ambos.</w:t>
            </w:r>
            <w:r w:rsidRPr="004E17A0">
              <w:rPr>
                <w:rFonts w:ascii="Verdana" w:eastAsia="Verdana" w:hAnsi="Verdana" w:cs="Verdana"/>
                <w:spacing w:val="-6"/>
                <w:lang w:val="es-ES"/>
              </w:rPr>
              <w:t xml:space="preserve"> </w:t>
            </w:r>
            <w:r w:rsidRPr="004E17A0">
              <w:rPr>
                <w:rFonts w:ascii="Verdana" w:eastAsia="Verdana" w:hAnsi="Verdana" w:cs="Verdana"/>
                <w:lang w:val="es-ES"/>
              </w:rPr>
              <w:t>Así,</w:t>
            </w:r>
            <w:r w:rsidRPr="004E17A0">
              <w:rPr>
                <w:rFonts w:ascii="Verdana" w:eastAsia="Verdana" w:hAnsi="Verdana" w:cs="Verdana"/>
                <w:spacing w:val="-6"/>
                <w:lang w:val="es-ES"/>
              </w:rPr>
              <w:t xml:space="preserve"> </w:t>
            </w:r>
            <w:r w:rsidRPr="004E17A0">
              <w:rPr>
                <w:rFonts w:ascii="Verdana" w:eastAsia="Verdana" w:hAnsi="Verdana" w:cs="Verdana"/>
                <w:lang w:val="es-ES"/>
              </w:rPr>
              <w:t>el</w:t>
            </w:r>
            <w:r w:rsidRPr="004E17A0">
              <w:rPr>
                <w:rFonts w:ascii="Verdana" w:eastAsia="Verdana" w:hAnsi="Verdana" w:cs="Verdana"/>
                <w:spacing w:val="-6"/>
                <w:lang w:val="es-ES"/>
              </w:rPr>
              <w:t xml:space="preserve"> </w:t>
            </w:r>
            <w:r w:rsidRPr="004E17A0">
              <w:rPr>
                <w:rFonts w:ascii="Verdana" w:eastAsia="Verdana" w:hAnsi="Verdana" w:cs="Verdana"/>
                <w:lang w:val="es-ES"/>
              </w:rPr>
              <w:t>comité evaluador, en el marco de un proceso de contratación pública, tiene como función principal la evaluación objetiva de las ofertas presentadas por los proponentes, conforme a los criterios establecidos en los pliegos de condiciones.</w:t>
            </w:r>
          </w:p>
          <w:p w14:paraId="18015DC1" w14:textId="5AFE3A1B" w:rsidR="004E17A0" w:rsidRPr="004E17A0" w:rsidRDefault="004E17A0" w:rsidP="009A7B43">
            <w:pPr>
              <w:spacing w:before="120" w:after="120" w:line="276" w:lineRule="auto"/>
              <w:ind w:firstLine="709"/>
              <w:jc w:val="both"/>
              <w:rPr>
                <w:rFonts w:ascii="Verdana" w:eastAsia="Verdana" w:hAnsi="Verdana" w:cs="Verdana"/>
                <w:lang w:val="es-ES"/>
              </w:rPr>
            </w:pPr>
            <w:r w:rsidRPr="004E17A0">
              <w:rPr>
                <w:rFonts w:ascii="Verdana" w:eastAsia="Calibri" w:hAnsi="Verdana" w:cs="Arial"/>
                <w:bCs/>
                <w:lang w:eastAsia="es-CO"/>
              </w:rPr>
              <w:t>En</w:t>
            </w:r>
            <w:r w:rsidRPr="004E17A0">
              <w:rPr>
                <w:rFonts w:ascii="Verdana" w:eastAsia="Verdana" w:hAnsi="Verdana" w:cs="Verdana"/>
                <w:lang w:val="es-ES"/>
              </w:rPr>
              <w:t xml:space="preserve"> relación con la experiencia registrada en el RUP, su alcance está determinado por lo dispuesto en el numeral 6.</w:t>
            </w:r>
            <w:r w:rsidRPr="004E17A0">
              <w:rPr>
                <w:rFonts w:ascii="Verdana" w:eastAsia="Verdana" w:hAnsi="Verdana" w:cs="Verdana"/>
              </w:rPr>
              <w:t xml:space="preserve"> </w:t>
            </w:r>
            <w:r w:rsidRPr="004E17A0">
              <w:rPr>
                <w:rFonts w:ascii="Verdana" w:eastAsia="Verdana" w:hAnsi="Verdana" w:cs="Verdana"/>
                <w:lang w:val="es-ES"/>
              </w:rPr>
              <w:t>1 del artículo 6 de la Ley 1150 de 2007, el cual establece que el RUP constituye plena prueba de la información que contiene, siempre que haya sido verificada por las Cámaras de Comercio. Esto implica que, como regla general, la experiencia del proponente debe ser evaluada inicialmente con base en el certificado del RUP.</w:t>
            </w:r>
          </w:p>
          <w:p w14:paraId="077668D1" w14:textId="77777777" w:rsidR="004E17A0" w:rsidRPr="004E17A0" w:rsidRDefault="004E17A0">
            <w:pPr>
              <w:spacing w:before="120" w:after="120" w:line="276" w:lineRule="auto"/>
              <w:ind w:firstLine="709"/>
              <w:jc w:val="both"/>
              <w:rPr>
                <w:rFonts w:ascii="Verdana" w:eastAsia="Calibri" w:hAnsi="Verdana" w:cs="Arial"/>
                <w:bCs/>
                <w:lang w:eastAsia="es-CO"/>
              </w:rPr>
            </w:pPr>
            <w:r w:rsidRPr="004E17A0">
              <w:rPr>
                <w:rFonts w:ascii="Verdana" w:eastAsia="Calibri" w:hAnsi="Verdana" w:cs="Arial"/>
                <w:bCs/>
                <w:lang w:eastAsia="es-CO"/>
              </w:rPr>
              <w:t>No obstante, el inciso tercero del mismo artículo contempla una excepción: cuando la naturaleza del objeto contractual lo requiera, la entidad estatal podrá solicitar y verificar requisitos adicionales no contenidos en el RUP. Esto también ocurre para los procesos de contratación en donde no se requiere RUP. En estos casos, la entidad debe establecer en los documentos del proceso —especialmente en el pliego de condiciones— los soportes que los proponentes deberán presentar para acreditar dicha experiencia adicional. Estos pueden incluir actas de liquidación, certificaciones de cumplimiento o, actas de entrega o recibo definitivo, entre otros documentos pertinentes.</w:t>
            </w:r>
          </w:p>
          <w:p w14:paraId="649FDA23" w14:textId="51D4E2E4" w:rsidR="004E17A0" w:rsidRPr="004E17A0" w:rsidRDefault="004E17A0">
            <w:pPr>
              <w:spacing w:before="120" w:after="120" w:line="276" w:lineRule="auto"/>
              <w:ind w:firstLine="709"/>
              <w:jc w:val="both"/>
              <w:rPr>
                <w:rFonts w:ascii="Verdana" w:eastAsia="Calibri" w:hAnsi="Verdana" w:cs="Arial"/>
                <w:bCs/>
                <w:lang w:eastAsia="es-CO"/>
              </w:rPr>
            </w:pPr>
            <w:r w:rsidRPr="004E17A0">
              <w:rPr>
                <w:rFonts w:ascii="Verdana" w:eastAsia="Calibri" w:hAnsi="Verdana" w:cs="Arial"/>
                <w:bCs/>
                <w:lang w:eastAsia="es-CO"/>
              </w:rPr>
              <w:t xml:space="preserve">En este contexto, el alcance del comité evaluador </w:t>
            </w:r>
            <w:r w:rsidR="006C7EEA">
              <w:rPr>
                <w:rFonts w:ascii="Verdana" w:eastAsia="Calibri" w:hAnsi="Verdana" w:cs="Arial"/>
                <w:bCs/>
                <w:lang w:eastAsia="es-CO"/>
              </w:rPr>
              <w:t xml:space="preserve">y la forma como este debe verificar los requisitos exigidos </w:t>
            </w:r>
            <w:r w:rsidRPr="004E17A0">
              <w:rPr>
                <w:rFonts w:ascii="Verdana" w:eastAsia="Calibri" w:hAnsi="Verdana" w:cs="Arial"/>
                <w:bCs/>
                <w:lang w:eastAsia="es-CO"/>
              </w:rPr>
              <w:t xml:space="preserve">dependerá de lo que la entidad haya definido en los pliegos de condiciones del proceso específico. Es allí donde se establece si el comité tiene o no la competencia para verificar directamente los documentos que acreditan la experiencia adicional, en virtud de la naturaleza del objeto contractual y dentro del marco de su autonomía administrativa. </w:t>
            </w:r>
          </w:p>
          <w:p w14:paraId="6380641A" w14:textId="77777777" w:rsidR="004E17A0" w:rsidRPr="004E17A0" w:rsidRDefault="004E17A0">
            <w:pPr>
              <w:spacing w:before="120" w:after="120" w:line="276" w:lineRule="auto"/>
              <w:ind w:firstLine="709"/>
              <w:jc w:val="both"/>
              <w:rPr>
                <w:rFonts w:ascii="Verdana" w:eastAsia="Calibri" w:hAnsi="Verdana" w:cs="Arial"/>
                <w:bCs/>
                <w:lang w:eastAsia="es-CO"/>
              </w:rPr>
            </w:pPr>
            <w:r w:rsidRPr="004E17A0">
              <w:rPr>
                <w:rFonts w:ascii="Verdana" w:eastAsia="Calibri" w:hAnsi="Verdana" w:cs="Arial"/>
                <w:bCs/>
                <w:lang w:eastAsia="es-CO"/>
              </w:rPr>
              <w:t xml:space="preserve">Finalmente, debe advertirse que el análisis para resolver problemas específicos en torno a los procesos de contratación debe ser realizado por </w:t>
            </w:r>
            <w:r w:rsidRPr="004E17A0">
              <w:rPr>
                <w:rFonts w:ascii="Verdana" w:eastAsia="Calibri" w:hAnsi="Verdana" w:cs="Arial"/>
                <w:bCs/>
                <w:lang w:eastAsia="es-CO"/>
              </w:rPr>
              <w:lastRenderedPageBreak/>
              <w:t>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4F8D2F28" w14:textId="77777777" w:rsidR="004E17A0" w:rsidRPr="004E17A0" w:rsidRDefault="004E17A0">
            <w:pPr>
              <w:spacing w:before="120" w:after="120" w:line="276" w:lineRule="auto"/>
              <w:ind w:firstLine="709"/>
              <w:jc w:val="both"/>
              <w:rPr>
                <w:rFonts w:ascii="Verdana" w:eastAsia="Times New Roman" w:hAnsi="Verdana" w:cs="Arial"/>
                <w:u w:val="single"/>
                <w:bdr w:val="none" w:sz="0" w:space="0" w:color="auto" w:frame="1"/>
                <w:lang w:val="es-MX" w:eastAsia="es-CO"/>
              </w:rPr>
            </w:pPr>
            <w:r w:rsidRPr="004E17A0">
              <w:rPr>
                <w:rFonts w:ascii="Verdana" w:eastAsia="Calibri" w:hAnsi="Verdana" w:cs="Arial"/>
                <w:bCs/>
                <w:lang w:eastAsia="es-CO"/>
              </w:rPr>
              <w:t xml:space="preserve">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r w:rsidRPr="004E17A0">
              <w:rPr>
                <w:rFonts w:ascii="Verdana" w:eastAsia="Times New Roman" w:hAnsi="Verdana" w:cs="Arial"/>
                <w:u w:val="single"/>
                <w:bdr w:val="none" w:sz="0" w:space="0" w:color="auto" w:frame="1"/>
                <w:lang w:val="es-MX" w:eastAsia="es-CO"/>
              </w:rPr>
              <w:t xml:space="preserve"> </w:t>
            </w:r>
          </w:p>
        </w:tc>
      </w:tr>
    </w:tbl>
    <w:p w14:paraId="019E7585" w14:textId="77777777" w:rsidR="004E17A0" w:rsidRPr="004E17A0" w:rsidRDefault="004E17A0" w:rsidP="004E17A0">
      <w:pPr>
        <w:spacing w:after="0" w:line="276" w:lineRule="auto"/>
        <w:jc w:val="both"/>
        <w:rPr>
          <w:rFonts w:ascii="Verdana" w:eastAsia="Calibri" w:hAnsi="Verdana" w:cs="Arial"/>
          <w:bCs/>
          <w:color w:val="000000" w:themeColor="text1"/>
        </w:rPr>
      </w:pPr>
    </w:p>
    <w:p w14:paraId="370F2F88" w14:textId="77777777" w:rsidR="004E17A0" w:rsidRPr="004E17A0" w:rsidRDefault="004E17A0" w:rsidP="004E17A0">
      <w:pPr>
        <w:numPr>
          <w:ilvl w:val="0"/>
          <w:numId w:val="16"/>
        </w:numPr>
        <w:spacing w:after="0" w:line="276" w:lineRule="auto"/>
        <w:rPr>
          <w:rFonts w:ascii="Verdana" w:eastAsia="Calibri" w:hAnsi="Verdana" w:cs="Times New Roman"/>
          <w:b/>
          <w:bCs/>
          <w:lang w:val="es-ES"/>
        </w:rPr>
      </w:pPr>
      <w:r w:rsidRPr="004E17A0">
        <w:rPr>
          <w:rFonts w:ascii="Verdana" w:eastAsia="Calibri" w:hAnsi="Verdana" w:cs="Times New Roman"/>
          <w:b/>
          <w:bCs/>
          <w:lang w:val="es-ES"/>
        </w:rPr>
        <w:t>Razones de las respuestas:</w:t>
      </w:r>
    </w:p>
    <w:p w14:paraId="5C9F416F" w14:textId="77777777" w:rsidR="004E17A0" w:rsidRPr="004E17A0" w:rsidRDefault="004E17A0" w:rsidP="004E17A0">
      <w:pPr>
        <w:spacing w:after="0" w:line="276" w:lineRule="auto"/>
        <w:rPr>
          <w:rFonts w:ascii="Verdana" w:eastAsia="Calibri" w:hAnsi="Verdana" w:cs="Times New Roman"/>
          <w:b/>
          <w:bCs/>
          <w:lang w:val="es-ES"/>
        </w:rPr>
      </w:pPr>
    </w:p>
    <w:p w14:paraId="649E1A23" w14:textId="77777777" w:rsidR="004E17A0" w:rsidRPr="004E17A0" w:rsidRDefault="004E17A0" w:rsidP="004E17A0">
      <w:pPr>
        <w:spacing w:after="0" w:line="276" w:lineRule="auto"/>
        <w:jc w:val="both"/>
        <w:rPr>
          <w:rFonts w:ascii="Verdana" w:eastAsia="Calibri" w:hAnsi="Verdana" w:cs="Arial"/>
          <w:lang w:val="es-ES"/>
        </w:rPr>
      </w:pPr>
      <w:r w:rsidRPr="004E17A0">
        <w:rPr>
          <w:rFonts w:ascii="Verdana" w:eastAsia="Calibri" w:hAnsi="Verdana" w:cs="Arial"/>
          <w:lang w:val="es-ES"/>
        </w:rPr>
        <w:t xml:space="preserve">Lo anterior se sustenta en las siguientes consideraciones: </w:t>
      </w:r>
    </w:p>
    <w:p w14:paraId="205D9040" w14:textId="77777777" w:rsidR="004E17A0" w:rsidRPr="004E17A0" w:rsidRDefault="004E17A0" w:rsidP="004E17A0">
      <w:pPr>
        <w:spacing w:after="0" w:line="276" w:lineRule="auto"/>
        <w:jc w:val="both"/>
        <w:rPr>
          <w:rFonts w:ascii="Verdana" w:hAnsi="Verdana" w:cs="Arial"/>
          <w:bCs/>
          <w:lang w:val="es-ES" w:eastAsia="es-ES" w:bidi="es-ES"/>
        </w:rPr>
      </w:pPr>
    </w:p>
    <w:p w14:paraId="4073B16E" w14:textId="77777777" w:rsidR="004E17A0" w:rsidRPr="004E17A0" w:rsidRDefault="004E17A0" w:rsidP="004E17A0">
      <w:pPr>
        <w:spacing w:after="120" w:line="276" w:lineRule="auto"/>
        <w:jc w:val="both"/>
        <w:rPr>
          <w:rFonts w:ascii="Verdana" w:hAnsi="Verdana" w:cs="Arial"/>
          <w:color w:val="000000" w:themeColor="text1"/>
          <w:lang w:val="es-ES_tradnl"/>
        </w:rPr>
      </w:pPr>
      <w:r w:rsidRPr="004E17A0">
        <w:rPr>
          <w:rFonts w:ascii="Verdana" w:eastAsia="Times New Roman" w:hAnsi="Verdana" w:cs="Arial"/>
          <w:lang w:val="es-ES" w:eastAsia="es-ES"/>
          <w14:ligatures w14:val="standardContextual"/>
        </w:rPr>
        <w:t xml:space="preserve">i. </w:t>
      </w:r>
      <w:r w:rsidRPr="004E17A0">
        <w:rPr>
          <w:rFonts w:ascii="Verdana" w:hAnsi="Verdana" w:cs="Arial"/>
          <w:color w:val="000000" w:themeColor="text1"/>
          <w:lang w:val="es-ES_tradnl"/>
        </w:rPr>
        <w:t xml:space="preserve">Los </w:t>
      </w:r>
      <w:r w:rsidRPr="004E17A0">
        <w:rPr>
          <w:rFonts w:ascii="Verdana" w:hAnsi="Verdana" w:cs="Arial"/>
          <w:i/>
          <w:iCs/>
          <w:color w:val="000000" w:themeColor="text1"/>
          <w:lang w:val="es-ES_tradnl"/>
        </w:rPr>
        <w:t>requisitos habilitantes</w:t>
      </w:r>
      <w:r w:rsidRPr="004E17A0">
        <w:rPr>
          <w:rFonts w:ascii="Verdana" w:hAnsi="Verdana" w:cs="Arial"/>
          <w:color w:val="000000" w:themeColor="text1"/>
          <w:lang w:val="es-ES_tradnl"/>
        </w:rPr>
        <w:t xml:space="preserve"> se definen como exigencias de participación en los procedimientos de selección, establecidos en disposiciones normativas, de carácter legal o reglamentario, o las contenidas en el acto administrativo que regula las reglas de la convocatoria, es decir, en el pliego de condiciones o el documento equivalente a este. Se diferencian de los </w:t>
      </w:r>
      <w:r w:rsidRPr="004E17A0">
        <w:rPr>
          <w:rFonts w:ascii="Verdana" w:hAnsi="Verdana" w:cs="Arial"/>
          <w:i/>
          <w:iCs/>
          <w:color w:val="000000" w:themeColor="text1"/>
          <w:lang w:val="es-ES_tradnl"/>
        </w:rPr>
        <w:t>criterios de evaluación</w:t>
      </w:r>
      <w:r w:rsidRPr="004E17A0">
        <w:rPr>
          <w:rFonts w:ascii="Verdana" w:hAnsi="Verdana" w:cs="Arial"/>
          <w:color w:val="000000" w:themeColor="text1"/>
          <w:lang w:val="es-ES_tradnl"/>
        </w:rPr>
        <w:t xml:space="preserve"> –también conocidos como </w:t>
      </w:r>
      <w:r w:rsidRPr="004E17A0">
        <w:rPr>
          <w:rFonts w:ascii="Verdana" w:hAnsi="Verdana" w:cs="Arial"/>
          <w:i/>
          <w:iCs/>
          <w:color w:val="000000" w:themeColor="text1"/>
          <w:lang w:val="es-ES_tradnl"/>
        </w:rPr>
        <w:t>criterios de calificación</w:t>
      </w:r>
      <w:r w:rsidRPr="004E17A0">
        <w:rPr>
          <w:rFonts w:ascii="Verdana" w:hAnsi="Verdana" w:cs="Arial"/>
          <w:color w:val="000000" w:themeColor="text1"/>
          <w:lang w:val="es-ES_tradnl"/>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316A9C0F" w14:textId="77777777" w:rsidR="004E17A0" w:rsidRPr="004E17A0" w:rsidRDefault="004E17A0" w:rsidP="004E17A0">
      <w:pPr>
        <w:spacing w:after="120" w:line="276" w:lineRule="auto"/>
        <w:ind w:firstLine="708"/>
        <w:jc w:val="both"/>
        <w:rPr>
          <w:rFonts w:ascii="Verdana" w:hAnsi="Verdana" w:cs="Arial"/>
          <w:color w:val="000000" w:themeColor="text1"/>
          <w:lang w:val="es-ES"/>
        </w:rPr>
      </w:pPr>
      <w:r w:rsidRPr="004E17A0">
        <w:rPr>
          <w:rFonts w:ascii="Verdana" w:hAnsi="Verdana" w:cs="Arial"/>
          <w:color w:val="000000" w:themeColor="text1"/>
          <w:lang w:val="es-ES"/>
        </w:rPr>
        <w:t xml:space="preserve">A partir de lo dicho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esta manera, quienes no los reúnan no pueden continuar en el procedimiento de selección, es decir, incurren en causal </w:t>
      </w:r>
      <w:r w:rsidRPr="004E17A0">
        <w:rPr>
          <w:rFonts w:ascii="Verdana" w:hAnsi="Verdana" w:cs="Arial"/>
          <w:color w:val="000000" w:themeColor="text1"/>
          <w:lang w:val="es-ES"/>
        </w:rPr>
        <w:lastRenderedPageBreak/>
        <w:t>de rechazo. Esto, sin perjuicio del derecho que tienen los oferentes de subsanar los defectos que se presenten en la prueba de tales requisitos, de conformidad con el artículo 5, parágrafos 1º al 4º, de la Ley 1150 de 2007.</w:t>
      </w:r>
    </w:p>
    <w:p w14:paraId="61F1AFC8" w14:textId="77777777" w:rsidR="004E17A0" w:rsidRPr="004E17A0" w:rsidRDefault="004E17A0" w:rsidP="004E17A0">
      <w:pPr>
        <w:spacing w:after="120" w:line="276" w:lineRule="auto"/>
        <w:ind w:firstLine="708"/>
        <w:jc w:val="both"/>
        <w:rPr>
          <w:rFonts w:ascii="Verdana" w:hAnsi="Verdana" w:cs="Arial"/>
          <w:color w:val="000000" w:themeColor="text1"/>
          <w:lang w:val="es-ES_tradnl"/>
        </w:rPr>
      </w:pPr>
      <w:r w:rsidRPr="004E17A0">
        <w:rPr>
          <w:rFonts w:ascii="Verdana" w:hAnsi="Verdana" w:cs="Arial"/>
          <w:color w:val="000000" w:themeColor="text1"/>
          <w:lang w:val="es-ES_tradnl"/>
        </w:rPr>
        <w:t>El mencionado artículo dispone que se considera objetiva la selección en la cual la escogencia se haga al ofrecimiento más favorable a la Entidad y a los fines que ella busca, sin tener en consideración factores de afecto o de interés y, en general, cualquier clase de motivación subjetiva</w:t>
      </w:r>
      <w:r w:rsidRPr="004E17A0">
        <w:rPr>
          <w:rFonts w:ascii="Verdana" w:hAnsi="Verdana" w:cs="Arial"/>
          <w:i/>
          <w:iCs/>
          <w:color w:val="000000" w:themeColor="text1"/>
          <w:lang w:val="es-ES_tradnl"/>
        </w:rPr>
        <w:t>.</w:t>
      </w:r>
      <w:r w:rsidRPr="004E17A0">
        <w:rPr>
          <w:rFonts w:ascii="Verdana" w:hAnsi="Verdana" w:cs="Arial"/>
          <w:color w:val="000000" w:themeColor="text1"/>
          <w:lang w:val="es-ES_tradnl"/>
        </w:rPr>
        <w:t xml:space="preserve"> En ese contexto, los factores de escogencia y calificación que establezcan las Entidades en los pliegos de condiciones o en sus documentos equivalentes deberán tener en cuenta, entre otras cuestiones, los criterios establecidos en dicha disposición. </w:t>
      </w:r>
    </w:p>
    <w:p w14:paraId="0FF17EAD" w14:textId="77777777" w:rsidR="004E17A0" w:rsidRPr="004E17A0" w:rsidRDefault="004E17A0" w:rsidP="004E17A0">
      <w:pPr>
        <w:spacing w:after="0" w:line="276" w:lineRule="auto"/>
        <w:ind w:firstLine="708"/>
        <w:jc w:val="both"/>
        <w:rPr>
          <w:rFonts w:ascii="Verdana" w:hAnsi="Verdana" w:cs="Arial"/>
          <w:color w:val="000000" w:themeColor="text1"/>
          <w:lang w:val="es-ES"/>
        </w:rPr>
      </w:pPr>
      <w:r w:rsidRPr="004E17A0">
        <w:rPr>
          <w:rFonts w:ascii="Verdana" w:hAnsi="Verdana" w:cs="Arial"/>
          <w:color w:val="000000" w:themeColor="text1"/>
          <w:lang w:val="es-ES"/>
        </w:rPr>
        <w:t xml:space="preserve">En especial, el numeral 1º del referido artículo 5 establece que en los procesos de selección de contratistas serán objeto de verificación, como requisitos habilitantes, </w:t>
      </w:r>
      <w:r w:rsidRPr="004E17A0">
        <w:rPr>
          <w:rFonts w:ascii="Verdana" w:hAnsi="Verdana" w:cs="Arial"/>
          <w:i/>
          <w:color w:val="000000" w:themeColor="text1"/>
          <w:lang w:val="es-ES"/>
        </w:rPr>
        <w:t>entre otros</w:t>
      </w:r>
      <w:r w:rsidRPr="004E17A0">
        <w:rPr>
          <w:rFonts w:ascii="Verdana" w:hAnsi="Verdana" w:cs="Arial"/>
          <w:color w:val="000000" w:themeColor="text1"/>
          <w:lang w:val="es-ES"/>
        </w:rPr>
        <w:t xml:space="preserve">, los siguientes: i) la capacidad jurídica; ii) la experiencia; iii) la capacidad financiera y iv) la capacidad de organización. En efecto, la normativa citada prescribe lo siguiente: </w:t>
      </w:r>
    </w:p>
    <w:p w14:paraId="3E955F5B" w14:textId="77777777" w:rsidR="004E17A0" w:rsidRPr="004E17A0" w:rsidRDefault="004E17A0" w:rsidP="004E17A0">
      <w:pPr>
        <w:spacing w:after="0" w:line="276" w:lineRule="auto"/>
        <w:ind w:firstLine="708"/>
        <w:jc w:val="both"/>
        <w:rPr>
          <w:rFonts w:ascii="Verdana" w:hAnsi="Verdana" w:cs="Arial"/>
          <w:color w:val="000000" w:themeColor="text1"/>
        </w:rPr>
      </w:pPr>
    </w:p>
    <w:p w14:paraId="0377FBDB" w14:textId="77777777" w:rsidR="004E17A0" w:rsidRPr="004E17A0" w:rsidRDefault="004E17A0" w:rsidP="004E17A0">
      <w:pPr>
        <w:spacing w:after="0" w:line="240" w:lineRule="auto"/>
        <w:ind w:left="709" w:right="709"/>
        <w:rPr>
          <w:rFonts w:ascii="Verdana" w:hAnsi="Verdana" w:cs="Arial"/>
          <w:color w:val="000000" w:themeColor="text1"/>
          <w:sz w:val="20"/>
          <w:szCs w:val="20"/>
          <w:lang w:val="es-ES_tradnl"/>
        </w:rPr>
      </w:pPr>
      <w:r w:rsidRPr="004E17A0">
        <w:rPr>
          <w:rFonts w:ascii="Verdana" w:hAnsi="Verdana" w:cs="Arial"/>
          <w:i/>
          <w:color w:val="000000" w:themeColor="text1"/>
          <w:sz w:val="20"/>
          <w:szCs w:val="20"/>
          <w:lang w:val="es-ES_tradnl"/>
        </w:rPr>
        <w:t>“</w:t>
      </w:r>
      <w:r w:rsidRPr="004E17A0">
        <w:rPr>
          <w:rFonts w:ascii="Verdana" w:hAnsi="Verdana" w:cs="Arial"/>
          <w:color w:val="000000" w:themeColor="text1"/>
          <w:sz w:val="20"/>
          <w:szCs w:val="20"/>
          <w:lang w:val="es-ES_tradnl"/>
        </w:rPr>
        <w:t xml:space="preserve">Artículo 5. De la Selección Objetiva. </w:t>
      </w:r>
    </w:p>
    <w:p w14:paraId="2D05B336" w14:textId="77777777" w:rsidR="004E17A0" w:rsidRPr="004E17A0" w:rsidRDefault="004E17A0" w:rsidP="004E17A0">
      <w:pPr>
        <w:spacing w:after="0" w:line="240" w:lineRule="auto"/>
        <w:ind w:left="709" w:right="709"/>
        <w:rPr>
          <w:rFonts w:ascii="Verdana" w:hAnsi="Verdana" w:cs="Arial"/>
          <w:color w:val="000000" w:themeColor="text1"/>
          <w:sz w:val="20"/>
          <w:szCs w:val="20"/>
          <w:lang w:val="es-ES_tradnl"/>
        </w:rPr>
      </w:pPr>
      <w:r w:rsidRPr="004E17A0">
        <w:rPr>
          <w:rFonts w:ascii="Verdana" w:hAnsi="Verdana" w:cs="Arial"/>
          <w:color w:val="000000" w:themeColor="text1"/>
          <w:sz w:val="20"/>
          <w:szCs w:val="20"/>
          <w:lang w:val="es-ES_tradnl"/>
        </w:rPr>
        <w:t>[…]</w:t>
      </w:r>
    </w:p>
    <w:p w14:paraId="4EB8F05D" w14:textId="77777777" w:rsidR="004E17A0" w:rsidRPr="004E17A0" w:rsidRDefault="004E17A0" w:rsidP="004E17A0">
      <w:pPr>
        <w:spacing w:after="0" w:line="240" w:lineRule="auto"/>
        <w:ind w:left="709" w:right="709"/>
        <w:contextualSpacing/>
        <w:jc w:val="both"/>
        <w:rPr>
          <w:rFonts w:ascii="Verdana" w:eastAsia="Calibri" w:hAnsi="Verdana" w:cs="Arial"/>
          <w:color w:val="000000" w:themeColor="text1"/>
          <w:sz w:val="20"/>
          <w:szCs w:val="20"/>
          <w:lang w:val="es-ES"/>
        </w:rPr>
      </w:pPr>
      <w:r w:rsidRPr="004E17A0">
        <w:rPr>
          <w:rFonts w:ascii="Verdana" w:eastAsia="Calibri" w:hAnsi="Verdana" w:cs="Arial"/>
          <w:color w:val="000000" w:themeColor="text1"/>
          <w:sz w:val="20"/>
          <w:szCs w:val="20"/>
          <w:lang w:val="es-ES"/>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r w:rsidRPr="004E17A0">
        <w:rPr>
          <w:rFonts w:ascii="Verdana" w:eastAsia="Calibri" w:hAnsi="Verdana" w:cs="Arial"/>
          <w:i/>
          <w:color w:val="000000" w:themeColor="text1"/>
          <w:sz w:val="20"/>
          <w:szCs w:val="20"/>
          <w:lang w:val="es-ES"/>
        </w:rPr>
        <w:t>”</w:t>
      </w:r>
      <w:r w:rsidRPr="004E17A0">
        <w:rPr>
          <w:rFonts w:ascii="Verdana" w:eastAsia="Calibri" w:hAnsi="Verdana" w:cs="Arial"/>
          <w:color w:val="000000" w:themeColor="text1"/>
          <w:sz w:val="20"/>
          <w:szCs w:val="20"/>
          <w:lang w:val="es-ES"/>
        </w:rPr>
        <w:t>.</w:t>
      </w:r>
    </w:p>
    <w:p w14:paraId="27EA0025" w14:textId="77777777" w:rsidR="004E17A0" w:rsidRPr="004E17A0" w:rsidRDefault="004E17A0" w:rsidP="004E17A0">
      <w:pPr>
        <w:spacing w:after="0" w:line="276" w:lineRule="auto"/>
        <w:ind w:right="709"/>
        <w:jc w:val="both"/>
        <w:rPr>
          <w:rFonts w:ascii="Verdana" w:eastAsia="Calibri" w:hAnsi="Verdana" w:cs="Arial"/>
          <w:color w:val="000000" w:themeColor="text1"/>
          <w:lang w:val="es-ES_tradnl"/>
        </w:rPr>
      </w:pPr>
    </w:p>
    <w:p w14:paraId="5714558B" w14:textId="77777777" w:rsidR="004E17A0" w:rsidRPr="004E17A0" w:rsidRDefault="004E17A0" w:rsidP="004E17A0">
      <w:pPr>
        <w:spacing w:after="120" w:line="276" w:lineRule="auto"/>
        <w:ind w:firstLine="708"/>
        <w:jc w:val="both"/>
        <w:rPr>
          <w:rFonts w:ascii="Verdana" w:eastAsia="Calibri" w:hAnsi="Verdana" w:cs="Arial"/>
          <w:lang w:val="es-ES" w:eastAsia="es-MX"/>
        </w:rPr>
      </w:pPr>
      <w:r w:rsidRPr="004E17A0">
        <w:rPr>
          <w:rFonts w:ascii="Verdana" w:hAnsi="Verdana"/>
        </w:rPr>
        <w:t>Ahora bien, el artículo 6 de la Ley 1150 de 2007, establece que “todas las personas naturales o jurídicas, nacionales o extranjeras, domiciliadas o con sucursal en Colombia, que aspiren celebrar contratos con las entidades estatales, deberán estar inscritas en el Registro Único de Proponentes (RUP)</w:t>
      </w:r>
      <w:r w:rsidRPr="004E17A0">
        <w:rPr>
          <w:rFonts w:ascii="Verdana" w:eastAsia="Calibri" w:hAnsi="Verdana"/>
          <w:vertAlign w:val="superscript"/>
          <w:lang w:val="es-ES"/>
        </w:rPr>
        <w:footnoteReference w:id="1"/>
      </w:r>
      <w:r w:rsidRPr="004E17A0">
        <w:rPr>
          <w:rFonts w:ascii="Verdana" w:hAnsi="Verdana"/>
        </w:rPr>
        <w:t xml:space="preserve">”. En dicho registro constará la información relacionada previamente con la experiencia, capacidad jurídica, financiera y de organización del proponente y su clasificación la cual ha tenido que ser acreditada con certificaciones y soportes </w:t>
      </w:r>
      <w:r w:rsidRPr="004E17A0">
        <w:rPr>
          <w:rFonts w:ascii="Verdana" w:hAnsi="Verdana"/>
        </w:rPr>
        <w:lastRenderedPageBreak/>
        <w:t xml:space="preserve">ante las Cámaras de Comercio para que se surta su inscripción. Estos soportes en el caso de la experiencia igual podrán provenir de empresas nacionales o extranjeras, entidades públicas o privadas.  </w:t>
      </w:r>
    </w:p>
    <w:p w14:paraId="4222A7FD" w14:textId="77777777" w:rsidR="004E17A0" w:rsidRPr="004E17A0" w:rsidRDefault="004E17A0" w:rsidP="004E17A0">
      <w:pPr>
        <w:spacing w:after="120" w:line="276" w:lineRule="auto"/>
        <w:ind w:firstLine="708"/>
        <w:jc w:val="both"/>
        <w:rPr>
          <w:rFonts w:ascii="Verdana" w:eastAsia="Calibri" w:hAnsi="Verdana" w:cs="Arial"/>
          <w:lang w:val="es-ES" w:eastAsia="es-MX"/>
        </w:rPr>
      </w:pPr>
      <w:r w:rsidRPr="004E17A0">
        <w:rPr>
          <w:rFonts w:ascii="Verdana" w:hAnsi="Verdana"/>
        </w:rPr>
        <w:t xml:space="preserve">No obstante lo anterior, la norma ibídem también prescribe que </w:t>
      </w:r>
      <w:r w:rsidRPr="004E17A0">
        <w:rPr>
          <w:rFonts w:ascii="Verdana" w:hAnsi="Verdana"/>
          <w:i/>
          <w:iCs/>
        </w:rPr>
        <w:t xml:space="preserve">“no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p>
    <w:p w14:paraId="46935D5E" w14:textId="77777777" w:rsidR="004E17A0" w:rsidRPr="004E17A0" w:rsidRDefault="004E17A0" w:rsidP="004E17A0">
      <w:pPr>
        <w:spacing w:after="120" w:line="276" w:lineRule="auto"/>
        <w:ind w:firstLine="709"/>
        <w:jc w:val="both"/>
        <w:rPr>
          <w:rFonts w:ascii="Verdana" w:eastAsia="Calibri" w:hAnsi="Verdana"/>
        </w:rPr>
      </w:pPr>
      <w:r w:rsidRPr="004E17A0">
        <w:rPr>
          <w:rFonts w:ascii="Verdana" w:eastAsia="Calibri" w:hAnsi="Verdana"/>
        </w:rPr>
        <w:t>Por lo tanto, cuando se trata de los procesos exceptuados de la obligación de inscripción en el RUP, como las entidades no pueden solicitarlo para verificar las condiciones de experiencia, capacidad financiera y de organización de los proponentes, deben recurrir a otros medios de prueba que garanticen la selección objetiva, siempre que sean adecuados y proporcionales para promover la libre participación de los oferentes. Lo anterior fue ratificado por el Consejo de Estado cuando enumeró las excepciones en las cuales las entidades tienen la obligación de verificar los requisitos habilitantes de los proponentes</w:t>
      </w:r>
      <w:r w:rsidRPr="004E17A0">
        <w:rPr>
          <w:rFonts w:ascii="Verdana" w:eastAsia="Calibri" w:hAnsi="Verdana"/>
          <w:vertAlign w:val="superscript"/>
        </w:rPr>
        <w:footnoteReference w:id="2"/>
      </w:r>
      <w:r w:rsidRPr="004E17A0">
        <w:rPr>
          <w:rFonts w:ascii="Verdana" w:eastAsia="Calibri" w:hAnsi="Verdana"/>
        </w:rPr>
        <w:t>.</w:t>
      </w:r>
    </w:p>
    <w:p w14:paraId="1E71AB6E" w14:textId="77777777" w:rsidR="004E17A0" w:rsidRPr="004E17A0" w:rsidRDefault="004E17A0" w:rsidP="004E17A0">
      <w:pPr>
        <w:spacing w:after="120" w:line="276" w:lineRule="auto"/>
        <w:ind w:firstLine="709"/>
        <w:jc w:val="both"/>
        <w:rPr>
          <w:rFonts w:ascii="Verdana" w:eastAsia="Times New Roman" w:hAnsi="Verdana" w:cs="Arial"/>
          <w:lang w:eastAsia="es-CO"/>
        </w:rPr>
      </w:pPr>
      <w:bookmarkStart w:id="1" w:name="_Hlk99548176"/>
      <w:r w:rsidRPr="004E17A0">
        <w:rPr>
          <w:rFonts w:ascii="Verdana" w:hAnsi="Verdana" w:cs="Arial"/>
          <w:lang w:val="es-ES"/>
        </w:rPr>
        <w:t xml:space="preserve">Con base en lo anterior, </w:t>
      </w:r>
      <w:r w:rsidRPr="004E17A0">
        <w:rPr>
          <w:rFonts w:ascii="Verdana" w:eastAsia="Times New Roman" w:hAnsi="Verdana" w:cs="Arial"/>
          <w:lang w:eastAsia="es-CO"/>
        </w:rPr>
        <w:t>para acreditar el cumplimiento de los requisitos habilitantes, las entidades estatales sometidas al Estatuto General de Contratación de la Administración Pública -EGCAP-, en virtud de lo establecido en el artículo 5 y 6 de la Ley 1150 de 2007, están obligadas a efectuar la evaluación correspondiente teniendo en cuenta la información que reposa en el certificado del Registro Único de Proponentes -en adelante RUP-, documento que constituye plena prueba de la información que contiene</w:t>
      </w:r>
      <w:r w:rsidRPr="004E17A0">
        <w:rPr>
          <w:rFonts w:ascii="Verdana" w:eastAsia="Times New Roman" w:hAnsi="Verdana" w:cs="Times New Roman"/>
          <w:vertAlign w:val="superscript"/>
          <w:lang w:eastAsia="es-CO"/>
        </w:rPr>
        <w:footnoteReference w:id="3"/>
      </w:r>
      <w:r w:rsidRPr="004E17A0">
        <w:rPr>
          <w:rFonts w:ascii="Verdana" w:eastAsia="Times New Roman" w:hAnsi="Verdana" w:cs="Arial"/>
          <w:lang w:eastAsia="es-CO"/>
        </w:rPr>
        <w:t xml:space="preserve">, tal como lo establece </w:t>
      </w:r>
      <w:r w:rsidRPr="004E17A0">
        <w:rPr>
          <w:rFonts w:ascii="Verdana" w:eastAsia="Times New Roman" w:hAnsi="Verdana" w:cs="Arial"/>
          <w:lang w:eastAsia="es-CO"/>
        </w:rPr>
        <w:lastRenderedPageBreak/>
        <w:t>el artículo 6.1 de la Ley 1150 de 2007. Por su parte, el artículo 5.1 ibidem, al fijar los criterios que deben tener en cuenta las entidades estatales para garantizar la selección objetiva, dispone que las Cámaras de Comercio verificarán la información suministrada por las personas naturales o jurídicas para la inscripción en el Registro.</w:t>
      </w:r>
    </w:p>
    <w:bookmarkEnd w:id="1"/>
    <w:p w14:paraId="09CA4AFE" w14:textId="77777777" w:rsidR="004E17A0" w:rsidRPr="004E17A0" w:rsidRDefault="004E17A0" w:rsidP="004E17A0">
      <w:pPr>
        <w:spacing w:after="120" w:line="276" w:lineRule="auto"/>
        <w:ind w:firstLine="708"/>
        <w:jc w:val="both"/>
        <w:rPr>
          <w:rFonts w:ascii="Verdana" w:eastAsia="Times New Roman" w:hAnsi="Verdana" w:cs="Arial"/>
          <w:lang w:eastAsia="es-CO"/>
        </w:rPr>
      </w:pPr>
      <w:r w:rsidRPr="004E17A0">
        <w:rPr>
          <w:rFonts w:ascii="Verdana" w:eastAsia="Times New Roman" w:hAnsi="Verdana" w:cs="Arial"/>
          <w:lang w:eastAsia="es-CO"/>
        </w:rPr>
        <w:t>Dicha información debe tenerse en cuenta por las entidades en los procedimientos de contratación en los que es exigible el RUP. Así las cosas, los requisitos habilitantes deberán ser verificados exclusivamente a través del Registro Único de Proponentes, pues de acuerdo con lo expuesto, este documento es plena prueba de la información financiera, de experiencia y de capacidad acreditada por la persona natural o jurídica</w:t>
      </w:r>
      <w:r w:rsidRPr="004E17A0">
        <w:rPr>
          <w:rFonts w:ascii="Verdana" w:eastAsia="Times New Roman" w:hAnsi="Verdana" w:cs="Arial"/>
          <w:vertAlign w:val="superscript"/>
          <w:lang w:eastAsia="es-CO"/>
        </w:rPr>
        <w:footnoteReference w:id="4"/>
      </w:r>
      <w:r w:rsidRPr="004E17A0">
        <w:rPr>
          <w:rFonts w:ascii="Verdana" w:eastAsia="Times New Roman" w:hAnsi="Verdana" w:cs="Arial"/>
          <w:lang w:eastAsia="es-CO"/>
        </w:rPr>
        <w:t>.</w:t>
      </w:r>
    </w:p>
    <w:p w14:paraId="30ABB64F" w14:textId="77777777" w:rsidR="004E17A0" w:rsidRPr="004E17A0" w:rsidRDefault="004E17A0" w:rsidP="004E17A0">
      <w:pPr>
        <w:spacing w:after="120" w:line="276" w:lineRule="auto"/>
        <w:ind w:firstLine="709"/>
        <w:jc w:val="both"/>
        <w:rPr>
          <w:rFonts w:ascii="Verdana" w:eastAsia="Times New Roman" w:hAnsi="Verdana" w:cs="Arial"/>
          <w:lang w:eastAsia="es-CO"/>
        </w:rPr>
      </w:pPr>
      <w:bookmarkStart w:id="2" w:name="_Hlk99548308"/>
      <w:r w:rsidRPr="004E17A0">
        <w:rPr>
          <w:rFonts w:ascii="Verdana" w:eastAsia="Times New Roman" w:hAnsi="Verdana" w:cs="Arial"/>
          <w:lang w:eastAsia="es-CO"/>
        </w:rPr>
        <w:t>Debe anotarse que el RUP no es exigible en algunos procedimientos de contratación atrás enunciados, razón por la cual las entidades estatales deben verificar directamente el cumplimiento de los requisitos habilitantes</w:t>
      </w:r>
      <w:bookmarkEnd w:id="2"/>
      <w:r w:rsidRPr="004E17A0">
        <w:rPr>
          <w:rFonts w:ascii="Verdana" w:eastAsia="Times New Roman" w:hAnsi="Verdana" w:cs="Arial"/>
          <w:vertAlign w:val="superscript"/>
          <w:lang w:eastAsia="es-CO"/>
        </w:rPr>
        <w:footnoteReference w:id="5"/>
      </w:r>
      <w:r w:rsidRPr="004E17A0">
        <w:rPr>
          <w:rFonts w:ascii="Verdana" w:eastAsia="Times New Roman" w:hAnsi="Verdana" w:cs="Arial"/>
          <w:lang w:eastAsia="es-CO"/>
        </w:rPr>
        <w:t xml:space="preserve">. </w:t>
      </w:r>
      <w:r w:rsidRPr="004E17A0">
        <w:rPr>
          <w:rFonts w:ascii="Verdana" w:eastAsia="Times New Roman" w:hAnsi="Verdana" w:cs="Arial"/>
          <w:lang w:val="es-ES_tradnl" w:eastAsia="es-CO"/>
        </w:rPr>
        <w:t xml:space="preserve">Estas excepciones son taxativas y se rigen por una interpretación restrictiva. Así lo dispone el artículo </w:t>
      </w:r>
      <w:bookmarkStart w:id="3" w:name="_Hlk190870073"/>
      <w:r w:rsidRPr="004E17A0">
        <w:rPr>
          <w:rFonts w:ascii="Verdana" w:eastAsia="Times New Roman" w:hAnsi="Verdana" w:cs="Arial"/>
          <w:lang w:val="es-ES_tradnl" w:eastAsia="es-CO"/>
        </w:rPr>
        <w:t>2.2.1.1.1.5.1. del Decreto 1082 de 2015</w:t>
      </w:r>
      <w:bookmarkEnd w:id="3"/>
      <w:r w:rsidRPr="004E17A0">
        <w:rPr>
          <w:rFonts w:ascii="Verdana" w:eastAsia="Times New Roman" w:hAnsi="Verdana" w:cs="Arial"/>
          <w:lang w:val="es-ES_tradnl" w:eastAsia="es-CO"/>
        </w:rPr>
        <w:t xml:space="preserve">, al prescribir que la inscripción en el RUP es imperativa para los sujetos mencionados en el primer </w:t>
      </w:r>
      <w:r w:rsidRPr="004E17A0">
        <w:rPr>
          <w:rFonts w:ascii="Verdana" w:eastAsia="Times New Roman" w:hAnsi="Verdana" w:cs="Arial"/>
          <w:lang w:val="es-ES_tradnl" w:eastAsia="es-CO"/>
        </w:rPr>
        <w:lastRenderedPageBreak/>
        <w:t xml:space="preserve">inciso del artículo 6 de la Ley 1150 de 2007, salvo las excepciones previstas de forma taxativa en la ley. </w:t>
      </w:r>
      <w:r w:rsidRPr="004E17A0">
        <w:rPr>
          <w:rFonts w:ascii="Verdana" w:eastAsia="Times New Roman" w:hAnsi="Verdana" w:cs="Arial"/>
          <w:lang w:eastAsia="es-CO"/>
        </w:rPr>
        <w:t>Adicionalmente, en el numeral 6.1. del artículo 6 de la Ley 1150 de 2007 establece que cuando sea necesario verificar requisitos o información que no reposa en RUP, la entidad podrá solicitar información adicional solo para complementar la información contenida en el RUP</w:t>
      </w:r>
      <w:r w:rsidRPr="004E17A0">
        <w:rPr>
          <w:rFonts w:ascii="Verdana" w:eastAsia="Times New Roman" w:hAnsi="Verdana" w:cs="Arial"/>
          <w:vertAlign w:val="superscript"/>
          <w:lang w:eastAsia="es-CO"/>
        </w:rPr>
        <w:footnoteReference w:id="6"/>
      </w:r>
      <w:r w:rsidRPr="004E17A0">
        <w:rPr>
          <w:rFonts w:ascii="Verdana" w:eastAsia="Times New Roman" w:hAnsi="Verdana" w:cs="Arial"/>
          <w:lang w:eastAsia="es-CO"/>
        </w:rPr>
        <w:t>.</w:t>
      </w:r>
    </w:p>
    <w:p w14:paraId="467DCBD7" w14:textId="77777777" w:rsidR="004E17A0" w:rsidRPr="004E17A0" w:rsidRDefault="004E17A0" w:rsidP="004E17A0">
      <w:pPr>
        <w:spacing w:after="120" w:line="276" w:lineRule="auto"/>
        <w:ind w:firstLine="709"/>
        <w:jc w:val="both"/>
        <w:rPr>
          <w:rFonts w:ascii="Verdana" w:eastAsia="Calibri" w:hAnsi="Verdana" w:cs="Arial"/>
          <w:lang w:eastAsia="es-CO"/>
        </w:rPr>
      </w:pPr>
      <w:bookmarkStart w:id="4" w:name="_Hlk63643037"/>
      <w:r w:rsidRPr="004E17A0">
        <w:rPr>
          <w:rFonts w:ascii="Verdana" w:eastAsia="Calibri" w:hAnsi="Verdana" w:cs="Arial"/>
          <w:lang w:eastAsia="es-CO"/>
        </w:rPr>
        <w:t>Sin perjuicio de lo anterior, cuando por las características del objeto a contratar y con la finalidad de acreditar una debida idoneidad y experiencia del proponente, se requieran verificar requisitos o información adicional a los contenidos en el RUP, las entidades deben hacer la verificación de forma directa. Esto también sucede en los procedimientos de selección en los cuales no es exigible el RUP, de acuerdo con lo establecido en el inciso segundo del artículo 6 de la Ley 1150 de 2007</w:t>
      </w:r>
      <w:r w:rsidRPr="004E17A0">
        <w:rPr>
          <w:rFonts w:ascii="Verdana" w:eastAsia="Calibri" w:hAnsi="Verdana" w:cs="Arial"/>
          <w:vertAlign w:val="superscript"/>
          <w:lang w:eastAsia="es-CO"/>
        </w:rPr>
        <w:footnoteReference w:id="7"/>
      </w:r>
      <w:r w:rsidRPr="004E17A0">
        <w:rPr>
          <w:rFonts w:ascii="Verdana" w:eastAsia="Calibri" w:hAnsi="Verdana" w:cs="Arial"/>
          <w:lang w:eastAsia="es-CO"/>
        </w:rPr>
        <w:t xml:space="preserve">. En ambos supuestos, la Entidad Estatal, en el marco de la autonomía y la potestad de dirección que le asiste en los procesos de contratación que adelanta debe establecer en los Documentos del Proceso –particularmente en el pliego de condiciones o la invitación– los documentos o instrumentos que exigirá a los proponentes para acreditar dicha experiencia, contando con cierta discrecionalidad para establecer qué documentos son adecuados y proporcionales para verificar el requisito de experiencia establecido. </w:t>
      </w:r>
    </w:p>
    <w:bookmarkEnd w:id="4"/>
    <w:p w14:paraId="6301DA75" w14:textId="77777777" w:rsidR="004E17A0" w:rsidRPr="004E17A0" w:rsidRDefault="004E17A0" w:rsidP="004E17A0">
      <w:pPr>
        <w:widowControl w:val="0"/>
        <w:autoSpaceDE w:val="0"/>
        <w:autoSpaceDN w:val="0"/>
        <w:spacing w:after="0" w:line="276" w:lineRule="auto"/>
        <w:ind w:right="102" w:firstLine="607"/>
        <w:jc w:val="both"/>
        <w:rPr>
          <w:rFonts w:ascii="Verdana" w:eastAsia="Times New Roman" w:hAnsi="Verdana" w:cs="Arial"/>
        </w:rPr>
      </w:pPr>
      <w:r w:rsidRPr="004E17A0">
        <w:rPr>
          <w:rFonts w:ascii="Verdana" w:eastAsia="Times New Roman" w:hAnsi="Verdana" w:cs="Arial"/>
          <w:lang w:val="es-ES"/>
        </w:rPr>
        <w:t xml:space="preserve">Al respecto, </w:t>
      </w:r>
      <w:r w:rsidRPr="004E17A0">
        <w:rPr>
          <w:rFonts w:ascii="Verdana" w:eastAsia="Times New Roman" w:hAnsi="Verdana" w:cs="Arial"/>
        </w:rPr>
        <w:t>la Agencia Nacional de Contratación Pública - Colombia Compra Eficiente puso a disposición de los interesados del sistema de compra pública el “Manual para determinar y verificar requisitos habilitantes en los procesos de contratación”</w:t>
      </w:r>
      <w:r w:rsidRPr="004E17A0">
        <w:rPr>
          <w:rFonts w:ascii="Verdana" w:eastAsia="Times New Roman" w:hAnsi="Verdana" w:cs="Arial"/>
          <w:vertAlign w:val="superscript"/>
        </w:rPr>
        <w:footnoteReference w:id="8"/>
      </w:r>
      <w:r w:rsidRPr="004E17A0">
        <w:rPr>
          <w:rFonts w:ascii="Verdana" w:eastAsia="Times New Roman" w:hAnsi="Verdana" w:cs="Arial"/>
        </w:rPr>
        <w:t xml:space="preserve">, y en este de forma particular, se establecen una serie de características que deben observarse por parte de las entidades al establecer en sus invitaciones o pliego de condiciones los requerimientos o </w:t>
      </w:r>
      <w:r w:rsidRPr="004E17A0">
        <w:rPr>
          <w:rFonts w:ascii="Verdana" w:eastAsia="Times New Roman" w:hAnsi="Verdana" w:cs="Arial"/>
        </w:rPr>
        <w:lastRenderedPageBreak/>
        <w:t xml:space="preserve">condiciones necesarias para poder llevar a cabo su verificación, como se detalla a continuación: </w:t>
      </w:r>
    </w:p>
    <w:p w14:paraId="5926B529" w14:textId="77777777" w:rsidR="004E17A0" w:rsidRPr="004E17A0" w:rsidRDefault="004E17A0" w:rsidP="004E17A0">
      <w:pPr>
        <w:widowControl w:val="0"/>
        <w:autoSpaceDE w:val="0"/>
        <w:autoSpaceDN w:val="0"/>
        <w:spacing w:after="0" w:line="276" w:lineRule="auto"/>
        <w:ind w:right="102" w:firstLine="607"/>
        <w:jc w:val="both"/>
        <w:rPr>
          <w:rFonts w:ascii="Verdana" w:eastAsia="Times New Roman" w:hAnsi="Verdana" w:cs="Arial"/>
        </w:rPr>
      </w:pPr>
    </w:p>
    <w:p w14:paraId="3D00CCFF" w14:textId="77777777" w:rsidR="004E17A0" w:rsidRPr="004E17A0" w:rsidRDefault="004E17A0" w:rsidP="004E17A0">
      <w:pPr>
        <w:widowControl w:val="0"/>
        <w:autoSpaceDE w:val="0"/>
        <w:autoSpaceDN w:val="0"/>
        <w:spacing w:after="0" w:line="240" w:lineRule="auto"/>
        <w:ind w:left="709" w:right="709"/>
        <w:jc w:val="both"/>
        <w:rPr>
          <w:rFonts w:ascii="Verdana" w:eastAsia="Times New Roman" w:hAnsi="Verdana" w:cs="Arial"/>
          <w:sz w:val="21"/>
          <w:szCs w:val="21"/>
        </w:rPr>
      </w:pPr>
      <w:r w:rsidRPr="004E17A0">
        <w:rPr>
          <w:rFonts w:ascii="Verdana" w:eastAsia="Times New Roman" w:hAnsi="Verdana" w:cs="Arial"/>
          <w:sz w:val="21"/>
          <w:szCs w:val="21"/>
        </w:rPr>
        <w:t>Dentro de los principales requisitos habilitantes que se utilizan en los Procesos de Contratación se destaca la experiencia, la cual debe ser entendida como el conocimiento del proponente derivado de su participación previa en actividades iguales o similares a las previstas en el objeto del contrato con contratantes públicos, privados, nacionales o extranjeros. La experiencia puede ser adquirida directamente de manera singularizada o en asocio con otras personas, como es el caso de los proponentes plurales, cuya experiencia no deja de ser personal, sino que, por tratarse de esquemas asociativos, se evalúa de forma proporcional a la participación de los miembros en los respectivos consorcios y/o uniones temporales</w:t>
      </w:r>
      <w:r w:rsidRPr="004E17A0">
        <w:rPr>
          <w:rFonts w:ascii="Verdana" w:eastAsia="Times New Roman" w:hAnsi="Verdana" w:cs="Arial"/>
          <w:sz w:val="21"/>
          <w:szCs w:val="21"/>
          <w:vertAlign w:val="superscript"/>
        </w:rPr>
        <w:footnoteReference w:id="9"/>
      </w:r>
      <w:r w:rsidRPr="004E17A0">
        <w:rPr>
          <w:rFonts w:ascii="Verdana" w:eastAsia="Times New Roman" w:hAnsi="Verdana" w:cs="Arial"/>
          <w:sz w:val="21"/>
          <w:szCs w:val="21"/>
        </w:rPr>
        <w:t xml:space="preserve">.  </w:t>
      </w:r>
    </w:p>
    <w:p w14:paraId="62C52A14" w14:textId="77777777" w:rsidR="004E17A0" w:rsidRPr="004E17A0" w:rsidRDefault="004E17A0" w:rsidP="004E17A0">
      <w:pPr>
        <w:widowControl w:val="0"/>
        <w:autoSpaceDE w:val="0"/>
        <w:autoSpaceDN w:val="0"/>
        <w:spacing w:after="0" w:line="240" w:lineRule="auto"/>
        <w:ind w:left="709" w:right="709"/>
        <w:jc w:val="both"/>
        <w:rPr>
          <w:rFonts w:ascii="Verdana" w:eastAsia="Times New Roman" w:hAnsi="Verdana" w:cs="Arial"/>
          <w:sz w:val="21"/>
          <w:szCs w:val="21"/>
        </w:rPr>
      </w:pPr>
    </w:p>
    <w:p w14:paraId="40EC1A21" w14:textId="77777777" w:rsidR="004E17A0" w:rsidRPr="004E17A0" w:rsidRDefault="004E17A0" w:rsidP="004E17A0">
      <w:pPr>
        <w:widowControl w:val="0"/>
        <w:autoSpaceDE w:val="0"/>
        <w:autoSpaceDN w:val="0"/>
        <w:spacing w:after="120" w:line="276" w:lineRule="auto"/>
        <w:ind w:right="102" w:firstLine="607"/>
        <w:jc w:val="both"/>
        <w:rPr>
          <w:rFonts w:ascii="Verdana" w:eastAsia="Calibri" w:hAnsi="Verdana" w:cs="Arial"/>
          <w:lang w:eastAsia="es-CO"/>
        </w:rPr>
      </w:pPr>
      <w:r w:rsidRPr="004E17A0">
        <w:rPr>
          <w:rFonts w:ascii="Verdana" w:eastAsia="Times New Roman" w:hAnsi="Verdana" w:cs="Arial"/>
          <w:lang w:val="es-ES"/>
        </w:rPr>
        <w:t xml:space="preserve">De lo anterior se precisa que las entidades al momento de establecer las condiciones para la verificación de experiencia, debe ser adecuada y proporcional a la naturaleza del contrato respecto al valor, complejidad y riesgo. Es decir, deben establecerse condiciones de verificación que sean similares a al objeto del proceso de contratación, o se establecieran condiciones de valor que no fueran proporcionales al presupuesto establecido para el futuro contrato. </w:t>
      </w:r>
      <w:bookmarkStart w:id="5" w:name="_Hlk190876018"/>
    </w:p>
    <w:p w14:paraId="3CB34E2A" w14:textId="77777777" w:rsidR="004E17A0" w:rsidRPr="004E17A0" w:rsidRDefault="004E17A0" w:rsidP="004E17A0">
      <w:pPr>
        <w:widowControl w:val="0"/>
        <w:autoSpaceDE w:val="0"/>
        <w:autoSpaceDN w:val="0"/>
        <w:spacing w:after="120" w:line="276" w:lineRule="auto"/>
        <w:ind w:right="102" w:firstLine="607"/>
        <w:jc w:val="both"/>
        <w:rPr>
          <w:rFonts w:ascii="Verdana" w:eastAsia="Calibri" w:hAnsi="Verdana" w:cs="Arial"/>
          <w:lang w:eastAsia="es-CO"/>
        </w:rPr>
      </w:pPr>
      <w:r w:rsidRPr="004E17A0">
        <w:rPr>
          <w:rFonts w:ascii="Verdana" w:eastAsia="Times New Roman" w:hAnsi="Verdana" w:cs="Arial"/>
          <w:lang w:val="es-ES"/>
        </w:rPr>
        <w:t xml:space="preserve">Con respecto a la exigencia de la experiencia expresada en SMMLV, se acude a lo prescrito </w:t>
      </w:r>
      <w:r w:rsidRPr="004E17A0">
        <w:rPr>
          <w:rFonts w:ascii="Verdana" w:eastAsia="Calibri" w:hAnsi="Verdana" w:cs="Arial"/>
          <w:lang w:eastAsia="es-CO"/>
        </w:rPr>
        <w:t xml:space="preserve">en el </w:t>
      </w:r>
      <w:r w:rsidRPr="004E17A0">
        <w:rPr>
          <w:rFonts w:ascii="Verdana" w:eastAsia="Calibri" w:hAnsi="Verdana" w:cs="Arial"/>
          <w:bCs/>
          <w:lang w:eastAsia="es-CO"/>
        </w:rPr>
        <w:t xml:space="preserve">artículo 2.2.1.1.1.5.3. que establece que las cámaras de comercio deben verificar y certificar los requisitos habilitantes en el RUP, entre ellas, la experiencia que son aquellos contratos suscritos por el </w:t>
      </w:r>
      <w:r w:rsidRPr="004E17A0">
        <w:rPr>
          <w:rFonts w:ascii="Verdana" w:eastAsia="Calibri" w:hAnsi="Verdana" w:cs="Arial"/>
        </w:rPr>
        <w:t xml:space="preserve">interesado para cada uno de los bienes, obras y servicios que ofrece a las Entidades Estatales, identificados con el Clasificador de Bienes y Servicios en el tercer nivel y su valor expresado en SMMLV. </w:t>
      </w:r>
      <w:r w:rsidRPr="004E17A0">
        <w:rPr>
          <w:rFonts w:ascii="Verdana" w:eastAsia="Calibri" w:hAnsi="Verdana" w:cs="Arial"/>
          <w:lang w:eastAsia="es-CO"/>
        </w:rPr>
        <w:t xml:space="preserve">Los contratos celebrados por proponentes plurales, como los consorcios, uniones temporales y sociedades en las cuales el interesado tenga o haya tenido participación, para cada uno de los bienes, obras y servicios que ofrecerá a las Entidades Estatales, identificados con el Clasificador de Bienes y Servicios en el tercer nivel y su valor expresado en SMMLV. </w:t>
      </w:r>
      <w:r w:rsidRPr="004E17A0">
        <w:rPr>
          <w:rFonts w:ascii="Verdana" w:eastAsia="Calibri" w:hAnsi="Verdana" w:cs="Arial"/>
          <w:lang w:val="es-ES_tradnl" w:eastAsia="es-CO"/>
        </w:rPr>
        <w:t xml:space="preserve">Esto significa que </w:t>
      </w:r>
      <w:r w:rsidRPr="004E17A0">
        <w:rPr>
          <w:rFonts w:ascii="Verdana" w:eastAsia="Calibri" w:hAnsi="Verdana" w:cs="Arial"/>
          <w:lang w:eastAsia="es-CO"/>
        </w:rPr>
        <w:t xml:space="preserve">la experiencia registrada en el Registro Único de Proponentes (RUP) debe clasificarse conforme a dos criterios esenciales: el objeto del contrato y su valor económico, expresado en salarios mínimos legales mensuales vigentes (SMLMV), lo cual implica que la experiencia acreditada en </w:t>
      </w:r>
      <w:r w:rsidRPr="004E17A0">
        <w:rPr>
          <w:rFonts w:ascii="Verdana" w:eastAsia="Calibri" w:hAnsi="Verdana" w:cs="Arial"/>
          <w:lang w:eastAsia="es-CO"/>
        </w:rPr>
        <w:lastRenderedPageBreak/>
        <w:t>el RUP debe derivarse de contratos que hayan generado una contraprestación económica, permitiendo su cuantificación.</w:t>
      </w:r>
    </w:p>
    <w:p w14:paraId="45CA637F" w14:textId="77777777" w:rsidR="004E17A0" w:rsidRPr="004E17A0" w:rsidRDefault="004E17A0" w:rsidP="004E17A0">
      <w:pPr>
        <w:widowControl w:val="0"/>
        <w:autoSpaceDE w:val="0"/>
        <w:autoSpaceDN w:val="0"/>
        <w:spacing w:after="120" w:line="276" w:lineRule="auto"/>
        <w:ind w:right="102" w:firstLine="607"/>
        <w:jc w:val="both"/>
        <w:rPr>
          <w:rFonts w:ascii="Verdana" w:eastAsia="Times New Roman" w:hAnsi="Verdana" w:cs="Arial"/>
        </w:rPr>
      </w:pPr>
      <w:r w:rsidRPr="004E17A0">
        <w:rPr>
          <w:rFonts w:ascii="Verdana" w:eastAsia="Calibri" w:hAnsi="Verdana" w:cs="Arial"/>
          <w:lang w:eastAsia="es-CO"/>
        </w:rPr>
        <w:t xml:space="preserve">Esta exigencia de la experiencia hechas por las cámaras de comercio, implica que la experiencia que establezca las entidades estatales en procesos de contratación, donde sea obligatoria el RUP debe ser coherente a esta, es decir, atender a los Códigos de Clasificación de Bienes y Servicios en el tener nivel y su valor cuantificado en SMMLV. </w:t>
      </w:r>
      <w:r w:rsidRPr="004E17A0">
        <w:rPr>
          <w:rFonts w:ascii="Verdana" w:eastAsia="Times New Roman" w:hAnsi="Verdana" w:cs="Arial"/>
          <w:lang w:val="es-ES"/>
        </w:rPr>
        <w:t xml:space="preserve">En estos términos, para efectos de evaluar la experiencia en los pliegos de condiciones, </w:t>
      </w:r>
      <w:r w:rsidRPr="004E17A0">
        <w:rPr>
          <w:rFonts w:ascii="Verdana" w:eastAsia="Times New Roman" w:hAnsi="Verdana" w:cs="Arial"/>
          <w:lang w:val="es-ES_tradnl"/>
        </w:rPr>
        <w:t xml:space="preserve">las Entidades Estatales al establecer el requisito habilitante de experiencia deben incluir los códigos específicos del objeto a contratar o el de bienes, obras o servicios afines o que se relacionen con el Proceso de Contratación respecto de los cuales los proponentes deben acreditar su experiencia expresada en SMMLV. </w:t>
      </w:r>
    </w:p>
    <w:p w14:paraId="0057C87F" w14:textId="77777777" w:rsidR="004E17A0" w:rsidRPr="004E17A0" w:rsidRDefault="004E17A0" w:rsidP="004E17A0">
      <w:pPr>
        <w:widowControl w:val="0"/>
        <w:autoSpaceDE w:val="0"/>
        <w:autoSpaceDN w:val="0"/>
        <w:spacing w:before="120" w:after="120" w:line="276" w:lineRule="auto"/>
        <w:ind w:right="102" w:firstLine="607"/>
        <w:jc w:val="both"/>
        <w:rPr>
          <w:rFonts w:ascii="Verdana" w:eastAsia="Times New Roman" w:hAnsi="Verdana" w:cs="Arial"/>
        </w:rPr>
      </w:pPr>
      <w:r w:rsidRPr="004E17A0">
        <w:rPr>
          <w:rFonts w:ascii="Verdana" w:eastAsia="Times New Roman" w:hAnsi="Verdana" w:cs="Arial"/>
        </w:rPr>
        <w:t>En torno a la necesidad de que la experiencia contractual sea expresada salarios mínimos mensuales legales vigentes (SMLMV) se usa como un parámetro técnico para evaluar y comparar la capacidad de un contratista en procesos de contratación estatal, posibilitando establecer un estándar objetivo frente a la fluctuación del valor de la moneda dentro del mercado.</w:t>
      </w:r>
      <w:r w:rsidRPr="004E17A0">
        <w:rPr>
          <w:rFonts w:ascii="Verdana" w:eastAsia="Calibri" w:hAnsi="Verdana" w:cs="Arial"/>
          <w:lang w:eastAsia="es-CO"/>
        </w:rPr>
        <w:t xml:space="preserve"> </w:t>
      </w:r>
      <w:r w:rsidRPr="004E17A0">
        <w:rPr>
          <w:rFonts w:ascii="Verdana" w:eastAsia="Times New Roman" w:hAnsi="Verdana" w:cs="Arial"/>
        </w:rPr>
        <w:t>Esto, facilita la comparación de manera justa la experiencia de diferentes oferentes, ya que el valor de los SMLMV cambia anualmente, estandarizando la experiencia requerida en un momento determinado.</w:t>
      </w:r>
    </w:p>
    <w:p w14:paraId="42B35CF2" w14:textId="77777777" w:rsidR="004E17A0" w:rsidRPr="004E17A0" w:rsidRDefault="004E17A0" w:rsidP="004E17A0">
      <w:pPr>
        <w:spacing w:after="120" w:line="276" w:lineRule="auto"/>
        <w:ind w:firstLine="709"/>
        <w:jc w:val="both"/>
        <w:rPr>
          <w:rFonts w:ascii="Verdana" w:eastAsia="Times New Roman" w:hAnsi="Verdana" w:cs="Arial"/>
          <w:u w:val="single"/>
          <w:bdr w:val="none" w:sz="0" w:space="0" w:color="auto" w:frame="1"/>
          <w:lang w:val="es-MX" w:eastAsia="es-CO"/>
        </w:rPr>
      </w:pPr>
      <w:r w:rsidRPr="004E17A0">
        <w:rPr>
          <w:rFonts w:ascii="Verdana" w:eastAsia="Calibri" w:hAnsi="Verdana" w:cs="Arial"/>
          <w:lang w:val="es-ES_tradnl" w:eastAsia="es-CO"/>
        </w:rPr>
        <w:t>Ahora bien, en los casos que no se exija el RUP</w:t>
      </w:r>
      <w:r w:rsidRPr="004E17A0">
        <w:rPr>
          <w:rFonts w:ascii="Verdana" w:eastAsia="Calibri" w:hAnsi="Verdana" w:cs="Arial"/>
          <w:lang w:eastAsia="es-CO"/>
        </w:rPr>
        <w:t xml:space="preserve">, la entidad si decide establecer requisitos habilitantes de experiencia, debe solicitar la documentación que lo acredite, tales como copias de contratos, actas de recibo a satisfacción, actas de liquidación o certificados expedidos por terceros que hayan recibido del oferente los bienes, obras o servicios objeto del proceso de contratación, en la cual podrán definir que la forma de calcular la experiencia sea expresada en SMMLV, lo cual posibilita comparar de manera más ajustada y proporcional a la experiencia de los proponentes. </w:t>
      </w:r>
      <w:bookmarkEnd w:id="5"/>
      <w:r w:rsidRPr="004E17A0">
        <w:rPr>
          <w:rFonts w:ascii="Verdana" w:eastAsia="Times New Roman" w:hAnsi="Verdana" w:cs="Arial"/>
          <w:u w:val="single"/>
          <w:bdr w:val="none" w:sz="0" w:space="0" w:color="auto" w:frame="1"/>
          <w:lang w:val="es-MX" w:eastAsia="es-CO"/>
        </w:rPr>
        <w:t xml:space="preserve"> </w:t>
      </w:r>
    </w:p>
    <w:p w14:paraId="76017B37" w14:textId="77777777" w:rsidR="004E17A0" w:rsidRPr="004E17A0" w:rsidRDefault="004E17A0" w:rsidP="004E17A0">
      <w:pPr>
        <w:spacing w:after="120" w:line="276" w:lineRule="auto"/>
        <w:ind w:firstLine="708"/>
        <w:jc w:val="both"/>
        <w:rPr>
          <w:rFonts w:ascii="Verdana" w:hAnsi="Verdana" w:cs="Arial"/>
          <w:bCs/>
          <w:lang w:eastAsia="es-ES" w:bidi="es-ES"/>
        </w:rPr>
      </w:pPr>
      <w:r w:rsidRPr="004E17A0">
        <w:rPr>
          <w:rFonts w:ascii="Verdana" w:hAnsi="Verdana" w:cs="Arial"/>
          <w:bCs/>
          <w:lang w:eastAsia="es-ES" w:bidi="es-ES"/>
        </w:rPr>
        <w:t>En todo caso, las Entidades Estatales deben establecer los requisitos habilitantes de forma adecuada y proporcional a la naturaleza y valor del contrato, esto es, las condiciones exigidas correspondan a una relación directa con el objeto del contrato, de tal manera, que su acreditación sea congruente para evidenciar que el proponente es idóneo para ejecutar el contrato. Para ello, la Agencia expresa: “</w:t>
      </w:r>
      <w:r w:rsidRPr="004E17A0">
        <w:rPr>
          <w:rFonts w:ascii="Verdana" w:eastAsia="Times New Roman" w:hAnsi="Verdana" w:cs="Arial"/>
          <w:bCs/>
          <w:lang w:eastAsia="es-MX"/>
        </w:rPr>
        <w:t xml:space="preserve">[…] </w:t>
      </w:r>
      <w:r w:rsidRPr="004E17A0">
        <w:rPr>
          <w:rFonts w:ascii="Verdana" w:hAnsi="Verdana" w:cs="Arial"/>
          <w:bCs/>
          <w:lang w:eastAsia="es-ES" w:bidi="es-ES"/>
        </w:rPr>
        <w:t xml:space="preserve">los requisitos que se establezcan deben ser proporcionales a las condiciones del contrato, de tal manera que los mismos no </w:t>
      </w:r>
      <w:r w:rsidRPr="004E17A0">
        <w:rPr>
          <w:rFonts w:ascii="Verdana" w:hAnsi="Verdana" w:cs="Arial"/>
          <w:bCs/>
          <w:lang w:eastAsia="es-ES" w:bidi="es-ES"/>
        </w:rPr>
        <w:lastRenderedPageBreak/>
        <w:t>establezcan condiciones más allá de las necesarias para verificar la idoneidad requerida de los proponentes respecto del objeto ofertado, ya que lo contrario limita la libre concurrencia”</w:t>
      </w:r>
      <w:r w:rsidRPr="004E17A0">
        <w:rPr>
          <w:rFonts w:ascii="Verdana" w:hAnsi="Verdana" w:cs="Arial"/>
          <w:bCs/>
          <w:vertAlign w:val="superscript"/>
          <w:lang w:eastAsia="es-ES" w:bidi="es-ES"/>
        </w:rPr>
        <w:footnoteReference w:id="10"/>
      </w:r>
      <w:r w:rsidRPr="004E17A0">
        <w:rPr>
          <w:rFonts w:ascii="Verdana" w:hAnsi="Verdana" w:cs="Arial"/>
          <w:bCs/>
          <w:lang w:eastAsia="es-ES" w:bidi="es-ES"/>
        </w:rPr>
        <w:t xml:space="preserve">.  </w:t>
      </w:r>
    </w:p>
    <w:p w14:paraId="31E0EA43" w14:textId="77777777" w:rsidR="004E17A0" w:rsidRPr="004E17A0" w:rsidRDefault="004E17A0" w:rsidP="004E17A0">
      <w:pPr>
        <w:spacing w:after="120" w:line="276" w:lineRule="auto"/>
        <w:ind w:firstLine="708"/>
        <w:jc w:val="both"/>
        <w:rPr>
          <w:rFonts w:ascii="Verdana" w:eastAsia="Verdana" w:hAnsi="Verdana" w:cs="Verdana"/>
        </w:rPr>
      </w:pPr>
      <w:r w:rsidRPr="004E17A0">
        <w:rPr>
          <w:rFonts w:ascii="Verdana" w:hAnsi="Verdana" w:cs="Arial"/>
          <w:bCs/>
          <w:lang w:eastAsia="es-ES" w:bidi="es-ES"/>
        </w:rPr>
        <w:t xml:space="preserve">ii) </w:t>
      </w:r>
      <w:r w:rsidRPr="004E17A0">
        <w:rPr>
          <w:rFonts w:ascii="Verdana" w:eastAsia="Verdana" w:hAnsi="Verdana" w:cs="Verdana"/>
        </w:rPr>
        <w:t xml:space="preserve">Teniendo en cuenta que la actividad contractual del Estado resulta ser un asunto complejo que implica la influencia de distintas disciplinas y especialidades, el ordenamiento </w:t>
      </w:r>
      <w:r w:rsidRPr="004E17A0">
        <w:rPr>
          <w:rFonts w:ascii="Verdana" w:hAnsi="Verdana" w:cs="Arial"/>
          <w:bCs/>
          <w:lang w:eastAsia="es-ES" w:bidi="es-ES"/>
        </w:rPr>
        <w:t>normativo</w:t>
      </w:r>
      <w:r w:rsidRPr="004E17A0">
        <w:rPr>
          <w:rFonts w:ascii="Verdana" w:eastAsia="Verdana" w:hAnsi="Verdana" w:cs="Verdana"/>
        </w:rPr>
        <w:t xml:space="preserve"> colombiano le ha otorgado a las Entidades Estatales la facultad de constituir los denominados </w:t>
      </w:r>
      <w:r w:rsidRPr="004E17A0">
        <w:rPr>
          <w:rFonts w:ascii="Verdana" w:eastAsia="Verdana" w:hAnsi="Verdana" w:cs="Verdana"/>
          <w:i/>
        </w:rPr>
        <w:t xml:space="preserve">comités evaluadores </w:t>
      </w:r>
      <w:r w:rsidRPr="004E17A0">
        <w:rPr>
          <w:rFonts w:ascii="Verdana" w:eastAsia="Verdana" w:hAnsi="Verdana" w:cs="Verdana"/>
        </w:rPr>
        <w:t xml:space="preserve">o </w:t>
      </w:r>
      <w:r w:rsidRPr="004E17A0">
        <w:rPr>
          <w:rFonts w:ascii="Verdana" w:eastAsia="Verdana" w:hAnsi="Verdana" w:cs="Verdana"/>
          <w:i/>
        </w:rPr>
        <w:t>comités de evaluación</w:t>
      </w:r>
      <w:r w:rsidRPr="004E17A0">
        <w:rPr>
          <w:rFonts w:ascii="Verdana" w:eastAsia="Verdana" w:hAnsi="Verdana" w:cs="Verdana"/>
        </w:rPr>
        <w:t>. Estos organismos, en ciertos casos, son los encargados de la evaluación de las ofertas presentadas en el marco de un Proceso de Contratación.</w:t>
      </w:r>
    </w:p>
    <w:p w14:paraId="1C87DACB" w14:textId="77777777" w:rsidR="004E17A0" w:rsidRPr="004E17A0" w:rsidRDefault="004E17A0" w:rsidP="004E17A0">
      <w:pPr>
        <w:spacing w:after="120" w:line="276" w:lineRule="auto"/>
        <w:ind w:firstLine="708"/>
        <w:jc w:val="both"/>
        <w:rPr>
          <w:rFonts w:ascii="Verdana" w:eastAsia="Verdana" w:hAnsi="Verdana" w:cs="Verdana"/>
          <w:lang w:val="es-ES"/>
        </w:rPr>
      </w:pPr>
      <w:r w:rsidRPr="004E17A0">
        <w:rPr>
          <w:rFonts w:ascii="Verdana" w:eastAsia="Verdana" w:hAnsi="Verdana" w:cs="Verdana"/>
          <w:lang w:val="es-ES"/>
        </w:rPr>
        <w:t>En ese sentido, el artículo 2.2.1.1.2.2.3 del Decreto 1082 de 2015 establece que: “[l]a Entidad Estatal puede designar un comité evaluador conformado</w:t>
      </w:r>
      <w:r w:rsidRPr="004E17A0">
        <w:rPr>
          <w:rFonts w:ascii="Verdana" w:eastAsia="Verdana" w:hAnsi="Verdana" w:cs="Verdana"/>
          <w:spacing w:val="-20"/>
          <w:lang w:val="es-ES"/>
        </w:rPr>
        <w:t xml:space="preserve"> </w:t>
      </w:r>
      <w:r w:rsidRPr="004E17A0">
        <w:rPr>
          <w:rFonts w:ascii="Verdana" w:eastAsia="Verdana" w:hAnsi="Verdana" w:cs="Verdana"/>
          <w:lang w:val="es-ES"/>
        </w:rPr>
        <w:t>por</w:t>
      </w:r>
      <w:r w:rsidRPr="004E17A0">
        <w:rPr>
          <w:rFonts w:ascii="Verdana" w:eastAsia="Verdana" w:hAnsi="Verdana" w:cs="Verdana"/>
          <w:spacing w:val="-19"/>
          <w:lang w:val="es-ES"/>
        </w:rPr>
        <w:t xml:space="preserve"> </w:t>
      </w:r>
      <w:r w:rsidRPr="004E17A0">
        <w:rPr>
          <w:rFonts w:ascii="Verdana" w:eastAsia="Verdana" w:hAnsi="Verdana" w:cs="Verdana"/>
          <w:lang w:val="es-ES"/>
        </w:rPr>
        <w:t>servidores</w:t>
      </w:r>
      <w:r w:rsidRPr="004E17A0">
        <w:rPr>
          <w:rFonts w:ascii="Verdana" w:eastAsia="Verdana" w:hAnsi="Verdana" w:cs="Verdana"/>
          <w:spacing w:val="-19"/>
          <w:lang w:val="es-ES"/>
        </w:rPr>
        <w:t xml:space="preserve"> </w:t>
      </w:r>
      <w:r w:rsidRPr="004E17A0">
        <w:rPr>
          <w:rFonts w:ascii="Verdana" w:eastAsia="Verdana" w:hAnsi="Verdana" w:cs="Verdana"/>
          <w:lang w:val="es-ES"/>
        </w:rPr>
        <w:t>públicos</w:t>
      </w:r>
      <w:r w:rsidRPr="004E17A0">
        <w:rPr>
          <w:rFonts w:ascii="Verdana" w:eastAsia="Verdana" w:hAnsi="Verdana" w:cs="Verdana"/>
          <w:spacing w:val="-20"/>
          <w:lang w:val="es-ES"/>
        </w:rPr>
        <w:t xml:space="preserve"> </w:t>
      </w:r>
      <w:r w:rsidRPr="004E17A0">
        <w:rPr>
          <w:rFonts w:ascii="Verdana" w:eastAsia="Verdana" w:hAnsi="Verdana" w:cs="Verdana"/>
          <w:lang w:val="es-ES"/>
        </w:rPr>
        <w:t>o</w:t>
      </w:r>
      <w:r w:rsidRPr="004E17A0">
        <w:rPr>
          <w:rFonts w:ascii="Verdana" w:eastAsia="Verdana" w:hAnsi="Verdana" w:cs="Verdana"/>
          <w:spacing w:val="-19"/>
          <w:lang w:val="es-ES"/>
        </w:rPr>
        <w:t xml:space="preserve"> </w:t>
      </w:r>
      <w:r w:rsidRPr="004E17A0">
        <w:rPr>
          <w:rFonts w:ascii="Verdana" w:eastAsia="Verdana" w:hAnsi="Verdana" w:cs="Verdana"/>
          <w:lang w:val="es-ES"/>
        </w:rPr>
        <w:t>por</w:t>
      </w:r>
      <w:r w:rsidRPr="004E17A0">
        <w:rPr>
          <w:rFonts w:ascii="Verdana" w:eastAsia="Verdana" w:hAnsi="Verdana" w:cs="Verdana"/>
          <w:spacing w:val="-20"/>
          <w:lang w:val="es-ES"/>
        </w:rPr>
        <w:t xml:space="preserve"> </w:t>
      </w:r>
      <w:r w:rsidRPr="004E17A0">
        <w:rPr>
          <w:rFonts w:ascii="Verdana" w:eastAsia="Verdana" w:hAnsi="Verdana" w:cs="Verdana"/>
          <w:lang w:val="es-ES"/>
        </w:rPr>
        <w:t>particulares</w:t>
      </w:r>
      <w:r w:rsidRPr="004E17A0">
        <w:rPr>
          <w:rFonts w:ascii="Verdana" w:eastAsia="Verdana" w:hAnsi="Verdana" w:cs="Verdana"/>
          <w:spacing w:val="-19"/>
          <w:lang w:val="es-ES"/>
        </w:rPr>
        <w:t xml:space="preserve"> </w:t>
      </w:r>
      <w:r w:rsidRPr="004E17A0">
        <w:rPr>
          <w:rFonts w:ascii="Verdana" w:eastAsia="Verdana" w:hAnsi="Verdana" w:cs="Verdana"/>
          <w:lang w:val="es-ES"/>
        </w:rPr>
        <w:t>contratados</w:t>
      </w:r>
      <w:r w:rsidRPr="004E17A0">
        <w:rPr>
          <w:rFonts w:ascii="Verdana" w:eastAsia="Verdana" w:hAnsi="Verdana" w:cs="Verdana"/>
          <w:spacing w:val="-19"/>
          <w:lang w:val="es-ES"/>
        </w:rPr>
        <w:t xml:space="preserve"> </w:t>
      </w:r>
      <w:r w:rsidRPr="004E17A0">
        <w:rPr>
          <w:rFonts w:ascii="Verdana" w:eastAsia="Verdana" w:hAnsi="Verdana" w:cs="Verdana"/>
          <w:lang w:val="es-ES"/>
        </w:rPr>
        <w:t>para</w:t>
      </w:r>
      <w:r w:rsidRPr="004E17A0">
        <w:rPr>
          <w:rFonts w:ascii="Verdana" w:eastAsia="Verdana" w:hAnsi="Verdana" w:cs="Verdana"/>
          <w:spacing w:val="-20"/>
          <w:lang w:val="es-ES"/>
        </w:rPr>
        <w:t xml:space="preserve"> </w:t>
      </w:r>
      <w:r w:rsidRPr="004E17A0">
        <w:rPr>
          <w:rFonts w:ascii="Verdana" w:eastAsia="Verdana" w:hAnsi="Verdana" w:cs="Verdana"/>
          <w:lang w:val="es-ES"/>
        </w:rPr>
        <w:t>el</w:t>
      </w:r>
      <w:r w:rsidRPr="004E17A0">
        <w:rPr>
          <w:rFonts w:ascii="Verdana" w:eastAsia="Verdana" w:hAnsi="Verdana" w:cs="Verdana"/>
          <w:spacing w:val="-19"/>
          <w:lang w:val="es-ES"/>
        </w:rPr>
        <w:t xml:space="preserve"> </w:t>
      </w:r>
      <w:r w:rsidRPr="004E17A0">
        <w:rPr>
          <w:rFonts w:ascii="Verdana" w:eastAsia="Verdana" w:hAnsi="Verdana" w:cs="Verdana"/>
          <w:lang w:val="es-ES"/>
        </w:rPr>
        <w:t>efecto, para evaluar las ofertas y las manifestaciones de interés para cada Proceso de Contratación</w:t>
      </w:r>
      <w:r w:rsidRPr="004E17A0">
        <w:rPr>
          <w:rFonts w:ascii="Verdana" w:eastAsia="Verdana" w:hAnsi="Verdana" w:cs="Verdana"/>
          <w:spacing w:val="-3"/>
          <w:lang w:val="es-ES"/>
        </w:rPr>
        <w:t xml:space="preserve"> </w:t>
      </w:r>
      <w:r w:rsidRPr="004E17A0">
        <w:rPr>
          <w:rFonts w:ascii="Verdana" w:eastAsia="Verdana" w:hAnsi="Verdana" w:cs="Verdana"/>
          <w:lang w:val="es-ES"/>
        </w:rPr>
        <w:t>por</w:t>
      </w:r>
      <w:r w:rsidRPr="004E17A0">
        <w:rPr>
          <w:rFonts w:ascii="Verdana" w:eastAsia="Verdana" w:hAnsi="Verdana" w:cs="Verdana"/>
          <w:spacing w:val="-13"/>
          <w:lang w:val="es-ES"/>
        </w:rPr>
        <w:t xml:space="preserve"> </w:t>
      </w:r>
      <w:r w:rsidRPr="004E17A0">
        <w:rPr>
          <w:rFonts w:ascii="Verdana" w:eastAsia="Verdana" w:hAnsi="Verdana" w:cs="Verdana"/>
          <w:lang w:val="es-ES"/>
        </w:rPr>
        <w:t>licitación,</w:t>
      </w:r>
      <w:r w:rsidRPr="004E17A0">
        <w:rPr>
          <w:rFonts w:ascii="Verdana" w:eastAsia="Verdana" w:hAnsi="Verdana" w:cs="Verdana"/>
          <w:spacing w:val="-9"/>
          <w:lang w:val="es-ES"/>
        </w:rPr>
        <w:t xml:space="preserve"> </w:t>
      </w:r>
      <w:r w:rsidRPr="004E17A0">
        <w:rPr>
          <w:rFonts w:ascii="Verdana" w:eastAsia="Verdana" w:hAnsi="Verdana" w:cs="Verdana"/>
          <w:lang w:val="es-ES"/>
        </w:rPr>
        <w:t>selección</w:t>
      </w:r>
      <w:r w:rsidRPr="004E17A0">
        <w:rPr>
          <w:rFonts w:ascii="Verdana" w:eastAsia="Verdana" w:hAnsi="Verdana" w:cs="Verdana"/>
          <w:spacing w:val="-13"/>
          <w:lang w:val="es-ES"/>
        </w:rPr>
        <w:t xml:space="preserve"> </w:t>
      </w:r>
      <w:r w:rsidRPr="004E17A0">
        <w:rPr>
          <w:rFonts w:ascii="Verdana" w:eastAsia="Verdana" w:hAnsi="Verdana" w:cs="Verdana"/>
          <w:lang w:val="es-ES"/>
        </w:rPr>
        <w:t>abreviada</w:t>
      </w:r>
      <w:r w:rsidRPr="004E17A0">
        <w:rPr>
          <w:rFonts w:ascii="Verdana" w:eastAsia="Verdana" w:hAnsi="Verdana" w:cs="Verdana"/>
          <w:spacing w:val="-11"/>
          <w:lang w:val="es-ES"/>
        </w:rPr>
        <w:t xml:space="preserve"> </w:t>
      </w:r>
      <w:r w:rsidRPr="004E17A0">
        <w:rPr>
          <w:rFonts w:ascii="Verdana" w:eastAsia="Verdana" w:hAnsi="Verdana" w:cs="Verdana"/>
          <w:lang w:val="es-ES"/>
        </w:rPr>
        <w:t>y</w:t>
      </w:r>
      <w:r w:rsidRPr="004E17A0">
        <w:rPr>
          <w:rFonts w:ascii="Verdana" w:eastAsia="Verdana" w:hAnsi="Verdana" w:cs="Verdana"/>
          <w:spacing w:val="-9"/>
          <w:lang w:val="es-ES"/>
        </w:rPr>
        <w:t xml:space="preserve"> </w:t>
      </w:r>
      <w:r w:rsidRPr="004E17A0">
        <w:rPr>
          <w:rFonts w:ascii="Verdana" w:eastAsia="Verdana" w:hAnsi="Verdana" w:cs="Verdana"/>
          <w:lang w:val="es-ES"/>
        </w:rPr>
        <w:t>concurso</w:t>
      </w:r>
      <w:r w:rsidRPr="004E17A0">
        <w:rPr>
          <w:rFonts w:ascii="Verdana" w:eastAsia="Verdana" w:hAnsi="Verdana" w:cs="Verdana"/>
          <w:spacing w:val="-13"/>
          <w:lang w:val="es-ES"/>
        </w:rPr>
        <w:t xml:space="preserve"> </w:t>
      </w:r>
      <w:r w:rsidRPr="004E17A0">
        <w:rPr>
          <w:rFonts w:ascii="Verdana" w:eastAsia="Verdana" w:hAnsi="Verdana" w:cs="Verdana"/>
          <w:lang w:val="es-ES"/>
        </w:rPr>
        <w:t>de</w:t>
      </w:r>
      <w:r w:rsidRPr="004E17A0">
        <w:rPr>
          <w:rFonts w:ascii="Verdana" w:eastAsia="Verdana" w:hAnsi="Verdana" w:cs="Verdana"/>
          <w:spacing w:val="-10"/>
          <w:lang w:val="es-ES"/>
        </w:rPr>
        <w:t xml:space="preserve"> </w:t>
      </w:r>
      <w:r w:rsidRPr="004E17A0">
        <w:rPr>
          <w:rFonts w:ascii="Verdana" w:eastAsia="Verdana" w:hAnsi="Verdana" w:cs="Verdana"/>
          <w:lang w:val="es-ES"/>
        </w:rPr>
        <w:t>méritos.</w:t>
      </w:r>
      <w:r w:rsidRPr="004E17A0">
        <w:rPr>
          <w:rFonts w:ascii="Verdana" w:eastAsia="Verdana" w:hAnsi="Verdana" w:cs="Verdana"/>
          <w:spacing w:val="-13"/>
          <w:lang w:val="es-ES"/>
        </w:rPr>
        <w:t xml:space="preserve"> </w:t>
      </w:r>
      <w:r w:rsidRPr="004E17A0">
        <w:rPr>
          <w:rFonts w:ascii="Verdana" w:eastAsia="Verdana" w:hAnsi="Verdana" w:cs="Verdana"/>
          <w:lang w:val="es-ES"/>
        </w:rPr>
        <w:t>El</w:t>
      </w:r>
      <w:r w:rsidRPr="004E17A0">
        <w:rPr>
          <w:rFonts w:ascii="Verdana" w:eastAsia="Verdana" w:hAnsi="Verdana" w:cs="Verdana"/>
          <w:spacing w:val="-13"/>
          <w:lang w:val="es-ES"/>
        </w:rPr>
        <w:t xml:space="preserve"> </w:t>
      </w:r>
      <w:r w:rsidRPr="004E17A0">
        <w:rPr>
          <w:rFonts w:ascii="Verdana" w:eastAsia="Verdana" w:hAnsi="Verdana" w:cs="Verdana"/>
          <w:lang w:val="es-ES"/>
        </w:rPr>
        <w:t>comité evaluador</w:t>
      </w:r>
      <w:r w:rsidRPr="004E17A0">
        <w:rPr>
          <w:rFonts w:ascii="Verdana" w:eastAsia="Verdana" w:hAnsi="Verdana" w:cs="Verdana"/>
          <w:spacing w:val="-3"/>
          <w:lang w:val="es-ES"/>
        </w:rPr>
        <w:t xml:space="preserve"> </w:t>
      </w:r>
      <w:r w:rsidRPr="004E17A0">
        <w:rPr>
          <w:rFonts w:ascii="Verdana" w:eastAsia="Verdana" w:hAnsi="Verdana" w:cs="Verdana"/>
        </w:rPr>
        <w:t>debe</w:t>
      </w:r>
      <w:r w:rsidRPr="004E17A0">
        <w:rPr>
          <w:rFonts w:ascii="Verdana" w:eastAsia="Verdana" w:hAnsi="Verdana" w:cs="Verdana"/>
          <w:spacing w:val="-5"/>
          <w:lang w:val="es-ES"/>
        </w:rPr>
        <w:t xml:space="preserve"> </w:t>
      </w:r>
      <w:r w:rsidRPr="004E17A0">
        <w:rPr>
          <w:rFonts w:ascii="Verdana" w:eastAsia="Verdana" w:hAnsi="Verdana" w:cs="Verdana"/>
          <w:lang w:val="es-ES"/>
        </w:rPr>
        <w:t>realizar</w:t>
      </w:r>
      <w:r w:rsidRPr="004E17A0">
        <w:rPr>
          <w:rFonts w:ascii="Verdana" w:eastAsia="Verdana" w:hAnsi="Verdana" w:cs="Verdana"/>
          <w:spacing w:val="-3"/>
          <w:lang w:val="es-ES"/>
        </w:rPr>
        <w:t xml:space="preserve"> </w:t>
      </w:r>
      <w:r w:rsidRPr="004E17A0">
        <w:rPr>
          <w:rFonts w:ascii="Verdana" w:eastAsia="Verdana" w:hAnsi="Verdana" w:cs="Verdana"/>
          <w:lang w:val="es-ES"/>
        </w:rPr>
        <w:t>su</w:t>
      </w:r>
      <w:r w:rsidRPr="004E17A0">
        <w:rPr>
          <w:rFonts w:ascii="Verdana" w:eastAsia="Verdana" w:hAnsi="Verdana" w:cs="Verdana"/>
          <w:spacing w:val="-3"/>
          <w:lang w:val="es-ES"/>
        </w:rPr>
        <w:t xml:space="preserve"> </w:t>
      </w:r>
      <w:r w:rsidRPr="004E17A0">
        <w:rPr>
          <w:rFonts w:ascii="Verdana" w:eastAsia="Verdana" w:hAnsi="Verdana" w:cs="Verdana"/>
          <w:lang w:val="es-ES"/>
        </w:rPr>
        <w:t>labor</w:t>
      </w:r>
      <w:r w:rsidRPr="004E17A0">
        <w:rPr>
          <w:rFonts w:ascii="Verdana" w:eastAsia="Verdana" w:hAnsi="Verdana" w:cs="Verdana"/>
          <w:spacing w:val="-3"/>
          <w:lang w:val="es-ES"/>
        </w:rPr>
        <w:t xml:space="preserve"> </w:t>
      </w:r>
      <w:r w:rsidRPr="004E17A0">
        <w:rPr>
          <w:rFonts w:ascii="Verdana" w:eastAsia="Verdana" w:hAnsi="Verdana" w:cs="Verdana"/>
          <w:lang w:val="es-ES"/>
        </w:rPr>
        <w:t>de</w:t>
      </w:r>
      <w:r w:rsidRPr="004E17A0">
        <w:rPr>
          <w:rFonts w:ascii="Verdana" w:eastAsia="Verdana" w:hAnsi="Verdana" w:cs="Verdana"/>
          <w:spacing w:val="-5"/>
          <w:lang w:val="es-ES"/>
        </w:rPr>
        <w:t xml:space="preserve"> </w:t>
      </w:r>
      <w:r w:rsidRPr="004E17A0">
        <w:rPr>
          <w:rFonts w:ascii="Verdana" w:eastAsia="Verdana" w:hAnsi="Verdana" w:cs="Verdana"/>
          <w:lang w:val="es-ES"/>
        </w:rPr>
        <w:t>manera</w:t>
      </w:r>
      <w:r w:rsidRPr="004E17A0">
        <w:rPr>
          <w:rFonts w:ascii="Verdana" w:eastAsia="Verdana" w:hAnsi="Verdana" w:cs="Verdana"/>
          <w:spacing w:val="-11"/>
          <w:lang w:val="es-ES"/>
        </w:rPr>
        <w:t xml:space="preserve"> </w:t>
      </w:r>
      <w:r w:rsidRPr="004E17A0">
        <w:rPr>
          <w:rFonts w:ascii="Verdana" w:eastAsia="Verdana" w:hAnsi="Verdana" w:cs="Verdana"/>
          <w:lang w:val="es-ES"/>
        </w:rPr>
        <w:t>objetiva,</w:t>
      </w:r>
      <w:r w:rsidRPr="004E17A0">
        <w:rPr>
          <w:rFonts w:ascii="Verdana" w:eastAsia="Verdana" w:hAnsi="Verdana" w:cs="Verdana"/>
          <w:spacing w:val="-5"/>
          <w:lang w:val="es-ES"/>
        </w:rPr>
        <w:t xml:space="preserve"> </w:t>
      </w:r>
      <w:r w:rsidRPr="004E17A0">
        <w:rPr>
          <w:rFonts w:ascii="Verdana" w:eastAsia="Verdana" w:hAnsi="Verdana" w:cs="Verdana"/>
          <w:lang w:val="es-ES"/>
        </w:rPr>
        <w:t>ciñéndose</w:t>
      </w:r>
      <w:r w:rsidRPr="004E17A0">
        <w:rPr>
          <w:rFonts w:ascii="Verdana" w:eastAsia="Verdana" w:hAnsi="Verdana" w:cs="Verdana"/>
          <w:spacing w:val="-5"/>
          <w:lang w:val="es-ES"/>
        </w:rPr>
        <w:t xml:space="preserve"> </w:t>
      </w:r>
      <w:r w:rsidRPr="004E17A0">
        <w:rPr>
          <w:rFonts w:ascii="Verdana" w:eastAsia="Verdana" w:hAnsi="Verdana" w:cs="Verdana"/>
          <w:lang w:val="es-ES"/>
        </w:rPr>
        <w:t>exclusivamente a las reglas contenidas en los pliegos de condiciones […]”.</w:t>
      </w:r>
    </w:p>
    <w:p w14:paraId="22E1580B" w14:textId="77777777" w:rsidR="004E17A0" w:rsidRPr="004E17A0" w:rsidRDefault="004E17A0" w:rsidP="004E17A0">
      <w:pPr>
        <w:spacing w:after="120" w:line="276" w:lineRule="auto"/>
        <w:ind w:firstLine="708"/>
        <w:jc w:val="both"/>
        <w:rPr>
          <w:rFonts w:ascii="Verdana" w:eastAsia="Verdana" w:hAnsi="Verdana" w:cs="Verdana"/>
          <w:lang w:val="es-ES"/>
        </w:rPr>
      </w:pPr>
      <w:r w:rsidRPr="004E17A0">
        <w:rPr>
          <w:rFonts w:ascii="Verdana" w:eastAsia="Verdana" w:hAnsi="Verdana" w:cs="Verdana"/>
          <w:lang w:val="es-ES"/>
        </w:rPr>
        <w:t>De</w:t>
      </w:r>
      <w:r w:rsidRPr="004E17A0">
        <w:rPr>
          <w:rFonts w:ascii="Verdana" w:eastAsia="Verdana" w:hAnsi="Verdana" w:cs="Verdana"/>
          <w:spacing w:val="-4"/>
          <w:lang w:val="es-ES"/>
        </w:rPr>
        <w:t xml:space="preserve"> </w:t>
      </w:r>
      <w:r w:rsidRPr="004E17A0">
        <w:rPr>
          <w:rFonts w:ascii="Verdana" w:eastAsia="Verdana" w:hAnsi="Verdana" w:cs="Verdana"/>
          <w:lang w:val="es-ES"/>
        </w:rPr>
        <w:t>esta</w:t>
      </w:r>
      <w:r w:rsidRPr="004E17A0">
        <w:rPr>
          <w:rFonts w:ascii="Verdana" w:eastAsia="Verdana" w:hAnsi="Verdana" w:cs="Verdana"/>
          <w:spacing w:val="-6"/>
          <w:lang w:val="es-ES"/>
        </w:rPr>
        <w:t xml:space="preserve"> </w:t>
      </w:r>
      <w:r w:rsidRPr="004E17A0">
        <w:rPr>
          <w:rFonts w:ascii="Verdana" w:eastAsia="Verdana" w:hAnsi="Verdana" w:cs="Verdana"/>
          <w:lang w:val="es-ES"/>
        </w:rPr>
        <w:t>manera,</w:t>
      </w:r>
      <w:r w:rsidRPr="004E17A0">
        <w:rPr>
          <w:rFonts w:ascii="Verdana" w:eastAsia="Verdana" w:hAnsi="Verdana" w:cs="Verdana"/>
          <w:spacing w:val="-8"/>
          <w:lang w:val="es-ES"/>
        </w:rPr>
        <w:t xml:space="preserve"> </w:t>
      </w:r>
      <w:r w:rsidRPr="004E17A0">
        <w:rPr>
          <w:rFonts w:ascii="Verdana" w:eastAsia="Verdana" w:hAnsi="Verdana" w:cs="Verdana"/>
          <w:lang w:val="es-ES"/>
        </w:rPr>
        <w:t>los</w:t>
      </w:r>
      <w:r w:rsidRPr="004E17A0">
        <w:rPr>
          <w:rFonts w:ascii="Verdana" w:eastAsia="Verdana" w:hAnsi="Verdana" w:cs="Verdana"/>
          <w:spacing w:val="-8"/>
          <w:lang w:val="es-ES"/>
        </w:rPr>
        <w:t xml:space="preserve"> </w:t>
      </w:r>
      <w:r w:rsidRPr="004E17A0">
        <w:rPr>
          <w:rFonts w:ascii="Verdana" w:eastAsia="Verdana" w:hAnsi="Verdana" w:cs="Verdana"/>
          <w:lang w:val="es-ES"/>
        </w:rPr>
        <w:t>comités</w:t>
      </w:r>
      <w:r w:rsidRPr="004E17A0">
        <w:rPr>
          <w:rFonts w:ascii="Verdana" w:eastAsia="Verdana" w:hAnsi="Verdana" w:cs="Verdana"/>
          <w:spacing w:val="-8"/>
          <w:lang w:val="es-ES"/>
        </w:rPr>
        <w:t xml:space="preserve"> </w:t>
      </w:r>
      <w:r w:rsidRPr="004E17A0">
        <w:rPr>
          <w:rFonts w:ascii="Verdana" w:eastAsia="Verdana" w:hAnsi="Verdana" w:cs="Verdana"/>
          <w:lang w:val="es-ES"/>
        </w:rPr>
        <w:t>evaluadores</w:t>
      </w:r>
      <w:r w:rsidRPr="004E17A0">
        <w:rPr>
          <w:rFonts w:ascii="Verdana" w:eastAsia="Verdana" w:hAnsi="Verdana" w:cs="Verdana"/>
          <w:spacing w:val="-3"/>
          <w:lang w:val="es-ES"/>
        </w:rPr>
        <w:t xml:space="preserve"> </w:t>
      </w:r>
      <w:r w:rsidRPr="004E17A0">
        <w:rPr>
          <w:rFonts w:ascii="Verdana" w:eastAsia="Verdana" w:hAnsi="Verdana" w:cs="Verdana"/>
          <w:lang w:val="es-ES"/>
        </w:rPr>
        <w:t>se</w:t>
      </w:r>
      <w:r w:rsidRPr="004E17A0">
        <w:rPr>
          <w:rFonts w:ascii="Verdana" w:eastAsia="Verdana" w:hAnsi="Verdana" w:cs="Verdana"/>
          <w:spacing w:val="-10"/>
          <w:lang w:val="es-ES"/>
        </w:rPr>
        <w:t xml:space="preserve"> </w:t>
      </w:r>
      <w:r w:rsidRPr="004E17A0">
        <w:rPr>
          <w:rFonts w:ascii="Verdana" w:eastAsia="Verdana" w:hAnsi="Verdana" w:cs="Verdana"/>
          <w:lang w:val="es-ES"/>
        </w:rPr>
        <w:t>configuran</w:t>
      </w:r>
      <w:r w:rsidRPr="004E17A0">
        <w:rPr>
          <w:rFonts w:ascii="Verdana" w:eastAsia="Verdana" w:hAnsi="Verdana" w:cs="Verdana"/>
          <w:spacing w:val="-8"/>
          <w:lang w:val="es-ES"/>
        </w:rPr>
        <w:t xml:space="preserve"> </w:t>
      </w:r>
      <w:r w:rsidRPr="004E17A0">
        <w:rPr>
          <w:rFonts w:ascii="Verdana" w:eastAsia="Verdana" w:hAnsi="Verdana" w:cs="Verdana"/>
          <w:lang w:val="es-ES"/>
        </w:rPr>
        <w:t>como</w:t>
      </w:r>
      <w:r w:rsidRPr="004E17A0">
        <w:rPr>
          <w:rFonts w:ascii="Verdana" w:eastAsia="Verdana" w:hAnsi="Verdana" w:cs="Verdana"/>
          <w:spacing w:val="-5"/>
          <w:lang w:val="es-ES"/>
        </w:rPr>
        <w:t xml:space="preserve"> </w:t>
      </w:r>
      <w:r w:rsidRPr="004E17A0">
        <w:rPr>
          <w:rFonts w:ascii="Verdana" w:eastAsia="Verdana" w:hAnsi="Verdana" w:cs="Verdana"/>
          <w:lang w:val="es-ES"/>
        </w:rPr>
        <w:t xml:space="preserve">organismos asesores, que pueden ser conformados para orientar a los representantes legales en el desarrollo de la actividad contractual. Están integrados por profesionales </w:t>
      </w:r>
      <w:r w:rsidRPr="004E17A0">
        <w:rPr>
          <w:rFonts w:ascii="Verdana" w:eastAsia="Verdana" w:hAnsi="Verdana" w:cs="Verdana"/>
        </w:rPr>
        <w:t>interdisciplinarios</w:t>
      </w:r>
      <w:r w:rsidRPr="004E17A0">
        <w:rPr>
          <w:rFonts w:ascii="Verdana" w:eastAsia="Verdana" w:hAnsi="Verdana" w:cs="Verdana"/>
          <w:lang w:val="es-ES"/>
        </w:rPr>
        <w:t xml:space="preserve"> encargados de examinar las ofertas de manera objetiva</w:t>
      </w:r>
      <w:r w:rsidRPr="004E17A0">
        <w:rPr>
          <w:rFonts w:ascii="Verdana" w:eastAsia="Verdana" w:hAnsi="Verdana" w:cs="Verdana"/>
          <w:spacing w:val="-20"/>
          <w:lang w:val="es-ES"/>
        </w:rPr>
        <w:t xml:space="preserve"> </w:t>
      </w:r>
      <w:r w:rsidRPr="004E17A0">
        <w:rPr>
          <w:rFonts w:ascii="Verdana" w:eastAsia="Verdana" w:hAnsi="Verdana" w:cs="Verdana"/>
          <w:lang w:val="es-ES"/>
        </w:rPr>
        <w:t>y</w:t>
      </w:r>
      <w:r w:rsidRPr="004E17A0">
        <w:rPr>
          <w:rFonts w:ascii="Verdana" w:eastAsia="Verdana" w:hAnsi="Verdana" w:cs="Verdana"/>
          <w:spacing w:val="-19"/>
          <w:lang w:val="es-ES"/>
        </w:rPr>
        <w:t xml:space="preserve"> </w:t>
      </w:r>
      <w:r w:rsidRPr="004E17A0">
        <w:rPr>
          <w:rFonts w:ascii="Verdana" w:eastAsia="Verdana" w:hAnsi="Verdana" w:cs="Verdana"/>
          <w:lang w:val="es-ES"/>
        </w:rPr>
        <w:t>recomendar</w:t>
      </w:r>
      <w:r w:rsidRPr="004E17A0">
        <w:rPr>
          <w:rFonts w:ascii="Verdana" w:eastAsia="Verdana" w:hAnsi="Verdana" w:cs="Verdana"/>
          <w:spacing w:val="-13"/>
          <w:lang w:val="es-ES"/>
        </w:rPr>
        <w:t xml:space="preserve"> </w:t>
      </w:r>
      <w:r w:rsidRPr="004E17A0">
        <w:rPr>
          <w:rFonts w:ascii="Verdana" w:eastAsia="Verdana" w:hAnsi="Verdana" w:cs="Verdana"/>
          <w:lang w:val="es-ES"/>
        </w:rPr>
        <w:t>al</w:t>
      </w:r>
      <w:r w:rsidRPr="004E17A0">
        <w:rPr>
          <w:rFonts w:ascii="Verdana" w:eastAsia="Verdana" w:hAnsi="Verdana" w:cs="Verdana"/>
          <w:spacing w:val="-4"/>
          <w:lang w:val="es-ES"/>
        </w:rPr>
        <w:t xml:space="preserve"> </w:t>
      </w:r>
      <w:r w:rsidRPr="004E17A0">
        <w:rPr>
          <w:rFonts w:ascii="Verdana" w:eastAsia="Verdana" w:hAnsi="Verdana" w:cs="Verdana"/>
          <w:lang w:val="es-ES"/>
        </w:rPr>
        <w:t>ordenador</w:t>
      </w:r>
      <w:r w:rsidRPr="004E17A0">
        <w:rPr>
          <w:rFonts w:ascii="Verdana" w:eastAsia="Verdana" w:hAnsi="Verdana" w:cs="Verdana"/>
          <w:spacing w:val="-4"/>
          <w:lang w:val="es-ES"/>
        </w:rPr>
        <w:t xml:space="preserve"> </w:t>
      </w:r>
      <w:r w:rsidRPr="004E17A0">
        <w:rPr>
          <w:rFonts w:ascii="Verdana" w:eastAsia="Verdana" w:hAnsi="Verdana" w:cs="Verdana"/>
          <w:lang w:val="es-ES"/>
        </w:rPr>
        <w:t>del</w:t>
      </w:r>
      <w:r w:rsidRPr="004E17A0">
        <w:rPr>
          <w:rFonts w:ascii="Verdana" w:eastAsia="Verdana" w:hAnsi="Verdana" w:cs="Verdana"/>
          <w:spacing w:val="-4"/>
          <w:lang w:val="es-ES"/>
        </w:rPr>
        <w:t xml:space="preserve"> </w:t>
      </w:r>
      <w:r w:rsidRPr="004E17A0">
        <w:rPr>
          <w:rFonts w:ascii="Verdana" w:eastAsia="Verdana" w:hAnsi="Verdana" w:cs="Verdana"/>
          <w:lang w:val="es-ES"/>
        </w:rPr>
        <w:t>gasto</w:t>
      </w:r>
      <w:r w:rsidRPr="004E17A0">
        <w:rPr>
          <w:rFonts w:ascii="Verdana" w:eastAsia="Verdana" w:hAnsi="Verdana" w:cs="Verdana"/>
          <w:spacing w:val="-4"/>
          <w:lang w:val="es-ES"/>
        </w:rPr>
        <w:t xml:space="preserve"> </w:t>
      </w:r>
      <w:r w:rsidRPr="004E17A0">
        <w:rPr>
          <w:rFonts w:ascii="Verdana" w:eastAsia="Verdana" w:hAnsi="Verdana" w:cs="Verdana"/>
          <w:lang w:val="es-ES"/>
        </w:rPr>
        <w:t>el</w:t>
      </w:r>
      <w:r w:rsidRPr="004E17A0">
        <w:rPr>
          <w:rFonts w:ascii="Verdana" w:eastAsia="Verdana" w:hAnsi="Verdana" w:cs="Verdana"/>
          <w:spacing w:val="-4"/>
          <w:lang w:val="es-ES"/>
        </w:rPr>
        <w:t xml:space="preserve"> </w:t>
      </w:r>
      <w:r w:rsidRPr="004E17A0">
        <w:rPr>
          <w:rFonts w:ascii="Verdana" w:eastAsia="Verdana" w:hAnsi="Verdana" w:cs="Verdana"/>
          <w:lang w:val="es-ES"/>
        </w:rPr>
        <w:t>sentido</w:t>
      </w:r>
      <w:r w:rsidRPr="004E17A0">
        <w:rPr>
          <w:rFonts w:ascii="Verdana" w:eastAsia="Verdana" w:hAnsi="Verdana" w:cs="Verdana"/>
          <w:spacing w:val="-4"/>
          <w:lang w:val="es-ES"/>
        </w:rPr>
        <w:t xml:space="preserve"> </w:t>
      </w:r>
      <w:r w:rsidRPr="004E17A0">
        <w:rPr>
          <w:rFonts w:ascii="Verdana" w:eastAsia="Verdana" w:hAnsi="Verdana" w:cs="Verdana"/>
          <w:lang w:val="es-ES"/>
        </w:rPr>
        <w:t>de</w:t>
      </w:r>
      <w:r w:rsidRPr="004E17A0">
        <w:rPr>
          <w:rFonts w:ascii="Verdana" w:eastAsia="Verdana" w:hAnsi="Verdana" w:cs="Verdana"/>
          <w:spacing w:val="-5"/>
          <w:lang w:val="es-ES"/>
        </w:rPr>
        <w:t xml:space="preserve"> </w:t>
      </w:r>
      <w:r w:rsidRPr="004E17A0">
        <w:rPr>
          <w:rFonts w:ascii="Verdana" w:eastAsia="Verdana" w:hAnsi="Verdana" w:cs="Verdana"/>
          <w:lang w:val="es-ES"/>
        </w:rPr>
        <w:t>la</w:t>
      </w:r>
      <w:r w:rsidRPr="004E17A0">
        <w:rPr>
          <w:rFonts w:ascii="Verdana" w:eastAsia="Verdana" w:hAnsi="Verdana" w:cs="Verdana"/>
          <w:spacing w:val="-6"/>
          <w:lang w:val="es-ES"/>
        </w:rPr>
        <w:t xml:space="preserve"> </w:t>
      </w:r>
      <w:r w:rsidRPr="004E17A0">
        <w:rPr>
          <w:rFonts w:ascii="Verdana" w:eastAsia="Verdana" w:hAnsi="Verdana" w:cs="Verdana"/>
          <w:lang w:val="es-ES"/>
        </w:rPr>
        <w:t>decisión,</w:t>
      </w:r>
      <w:r w:rsidRPr="004E17A0">
        <w:rPr>
          <w:rFonts w:ascii="Verdana" w:eastAsia="Verdana" w:hAnsi="Verdana" w:cs="Verdana"/>
          <w:spacing w:val="-8"/>
          <w:lang w:val="es-ES"/>
        </w:rPr>
        <w:t xml:space="preserve"> </w:t>
      </w:r>
      <w:r w:rsidRPr="004E17A0">
        <w:rPr>
          <w:rFonts w:ascii="Verdana" w:eastAsia="Verdana" w:hAnsi="Verdana" w:cs="Verdana"/>
          <w:lang w:val="es-ES"/>
        </w:rPr>
        <w:t>a</w:t>
      </w:r>
      <w:r w:rsidRPr="004E17A0">
        <w:rPr>
          <w:rFonts w:ascii="Verdana" w:eastAsia="Verdana" w:hAnsi="Verdana" w:cs="Verdana"/>
          <w:spacing w:val="-7"/>
          <w:lang w:val="es-ES"/>
        </w:rPr>
        <w:t xml:space="preserve"> </w:t>
      </w:r>
      <w:r w:rsidRPr="004E17A0">
        <w:rPr>
          <w:rFonts w:ascii="Verdana" w:eastAsia="Verdana" w:hAnsi="Verdana" w:cs="Verdana"/>
          <w:lang w:val="es-ES"/>
        </w:rPr>
        <w:t>través del</w:t>
      </w:r>
      <w:r w:rsidRPr="004E17A0">
        <w:rPr>
          <w:rFonts w:ascii="Verdana" w:eastAsia="Verdana" w:hAnsi="Verdana" w:cs="Verdana"/>
          <w:spacing w:val="-13"/>
          <w:lang w:val="es-ES"/>
        </w:rPr>
        <w:t xml:space="preserve"> </w:t>
      </w:r>
      <w:r w:rsidRPr="004E17A0">
        <w:rPr>
          <w:rFonts w:ascii="Verdana" w:eastAsia="Verdana" w:hAnsi="Verdana" w:cs="Verdana"/>
          <w:lang w:val="es-ES"/>
        </w:rPr>
        <w:t>informe</w:t>
      </w:r>
      <w:r w:rsidRPr="004E17A0">
        <w:rPr>
          <w:rFonts w:ascii="Verdana" w:eastAsia="Verdana" w:hAnsi="Verdana" w:cs="Verdana"/>
          <w:spacing w:val="-14"/>
          <w:lang w:val="es-ES"/>
        </w:rPr>
        <w:t xml:space="preserve"> </w:t>
      </w:r>
      <w:r w:rsidRPr="004E17A0">
        <w:rPr>
          <w:rFonts w:ascii="Verdana" w:eastAsia="Verdana" w:hAnsi="Verdana" w:cs="Verdana"/>
          <w:lang w:val="es-ES"/>
        </w:rPr>
        <w:t>de</w:t>
      </w:r>
      <w:r w:rsidRPr="004E17A0">
        <w:rPr>
          <w:rFonts w:ascii="Verdana" w:eastAsia="Verdana" w:hAnsi="Verdana" w:cs="Verdana"/>
          <w:spacing w:val="-14"/>
          <w:lang w:val="es-ES"/>
        </w:rPr>
        <w:t xml:space="preserve"> </w:t>
      </w:r>
      <w:r w:rsidRPr="004E17A0">
        <w:rPr>
          <w:rFonts w:ascii="Verdana" w:eastAsia="Verdana" w:hAnsi="Verdana" w:cs="Verdana"/>
          <w:lang w:val="es-ES"/>
        </w:rPr>
        <w:t>evaluación.</w:t>
      </w:r>
      <w:r w:rsidRPr="004E17A0">
        <w:rPr>
          <w:rFonts w:ascii="Verdana" w:eastAsia="Verdana" w:hAnsi="Verdana" w:cs="Verdana"/>
          <w:spacing w:val="-6"/>
          <w:lang w:val="es-ES"/>
        </w:rPr>
        <w:t xml:space="preserve"> </w:t>
      </w:r>
      <w:r w:rsidRPr="004E17A0">
        <w:rPr>
          <w:rFonts w:ascii="Verdana" w:eastAsia="Verdana" w:hAnsi="Verdana" w:cs="Verdana"/>
          <w:lang w:val="es-ES"/>
        </w:rPr>
        <w:t>Cabe</w:t>
      </w:r>
      <w:r w:rsidRPr="004E17A0">
        <w:rPr>
          <w:rFonts w:ascii="Verdana" w:eastAsia="Verdana" w:hAnsi="Verdana" w:cs="Verdana"/>
          <w:spacing w:val="-14"/>
          <w:lang w:val="es-ES"/>
        </w:rPr>
        <w:t xml:space="preserve"> </w:t>
      </w:r>
      <w:r w:rsidRPr="004E17A0">
        <w:rPr>
          <w:rFonts w:ascii="Verdana" w:eastAsia="Verdana" w:hAnsi="Verdana" w:cs="Verdana"/>
          <w:lang w:val="es-ES"/>
        </w:rPr>
        <w:t>resaltar</w:t>
      </w:r>
      <w:r w:rsidRPr="004E17A0">
        <w:rPr>
          <w:rFonts w:ascii="Verdana" w:eastAsia="Verdana" w:hAnsi="Verdana" w:cs="Verdana"/>
          <w:spacing w:val="-12"/>
          <w:lang w:val="es-ES"/>
        </w:rPr>
        <w:t xml:space="preserve"> </w:t>
      </w:r>
      <w:r w:rsidRPr="004E17A0">
        <w:rPr>
          <w:rFonts w:ascii="Verdana" w:eastAsia="Verdana" w:hAnsi="Verdana" w:cs="Verdana"/>
          <w:lang w:val="es-ES"/>
        </w:rPr>
        <w:t>que,</w:t>
      </w:r>
      <w:r w:rsidRPr="004E17A0">
        <w:rPr>
          <w:rFonts w:ascii="Verdana" w:eastAsia="Verdana" w:hAnsi="Verdana" w:cs="Verdana"/>
          <w:spacing w:val="-8"/>
          <w:lang w:val="es-ES"/>
        </w:rPr>
        <w:t xml:space="preserve"> </w:t>
      </w:r>
      <w:r w:rsidRPr="004E17A0">
        <w:rPr>
          <w:rFonts w:ascii="Verdana" w:eastAsia="Verdana" w:hAnsi="Verdana" w:cs="Verdana"/>
          <w:lang w:val="es-ES"/>
        </w:rPr>
        <w:t>dicho</w:t>
      </w:r>
      <w:r w:rsidRPr="004E17A0">
        <w:rPr>
          <w:rFonts w:ascii="Verdana" w:eastAsia="Verdana" w:hAnsi="Verdana" w:cs="Verdana"/>
          <w:spacing w:val="-12"/>
          <w:lang w:val="es-ES"/>
        </w:rPr>
        <w:t xml:space="preserve"> </w:t>
      </w:r>
      <w:r w:rsidRPr="004E17A0">
        <w:rPr>
          <w:rFonts w:ascii="Verdana" w:eastAsia="Verdana" w:hAnsi="Verdana" w:cs="Verdana"/>
          <w:lang w:val="es-ES"/>
        </w:rPr>
        <w:t>informe</w:t>
      </w:r>
      <w:r w:rsidRPr="004E17A0">
        <w:rPr>
          <w:rFonts w:ascii="Verdana" w:eastAsia="Verdana" w:hAnsi="Verdana" w:cs="Verdana"/>
          <w:spacing w:val="-10"/>
          <w:lang w:val="es-ES"/>
        </w:rPr>
        <w:t xml:space="preserve"> </w:t>
      </w:r>
      <w:r w:rsidRPr="004E17A0">
        <w:rPr>
          <w:rFonts w:ascii="Verdana" w:eastAsia="Verdana" w:hAnsi="Verdana" w:cs="Verdana"/>
          <w:lang w:val="es-ES"/>
        </w:rPr>
        <w:t>no</w:t>
      </w:r>
      <w:r w:rsidRPr="004E17A0">
        <w:rPr>
          <w:rFonts w:ascii="Verdana" w:eastAsia="Verdana" w:hAnsi="Verdana" w:cs="Verdana"/>
          <w:spacing w:val="-17"/>
          <w:lang w:val="es-ES"/>
        </w:rPr>
        <w:t xml:space="preserve"> </w:t>
      </w:r>
      <w:r w:rsidRPr="004E17A0">
        <w:rPr>
          <w:rFonts w:ascii="Verdana" w:eastAsia="Verdana" w:hAnsi="Verdana" w:cs="Verdana"/>
          <w:lang w:val="es-ES"/>
        </w:rPr>
        <w:t>tiene</w:t>
      </w:r>
      <w:r w:rsidRPr="004E17A0">
        <w:rPr>
          <w:rFonts w:ascii="Verdana" w:eastAsia="Verdana" w:hAnsi="Verdana" w:cs="Verdana"/>
          <w:spacing w:val="-14"/>
          <w:lang w:val="es-ES"/>
        </w:rPr>
        <w:t xml:space="preserve"> </w:t>
      </w:r>
      <w:r w:rsidRPr="004E17A0">
        <w:rPr>
          <w:rFonts w:ascii="Verdana" w:eastAsia="Verdana" w:hAnsi="Verdana" w:cs="Verdana"/>
          <w:lang w:val="es-ES"/>
        </w:rPr>
        <w:t>un</w:t>
      </w:r>
      <w:r w:rsidRPr="004E17A0">
        <w:rPr>
          <w:rFonts w:ascii="Verdana" w:eastAsia="Verdana" w:hAnsi="Verdana" w:cs="Verdana"/>
          <w:spacing w:val="-13"/>
          <w:lang w:val="es-ES"/>
        </w:rPr>
        <w:t xml:space="preserve"> </w:t>
      </w:r>
      <w:r w:rsidRPr="004E17A0">
        <w:rPr>
          <w:rFonts w:ascii="Verdana" w:eastAsia="Verdana" w:hAnsi="Verdana" w:cs="Verdana"/>
          <w:lang w:val="es-ES"/>
        </w:rPr>
        <w:t>carácter vinculante</w:t>
      </w:r>
      <w:r w:rsidRPr="004E17A0">
        <w:rPr>
          <w:rFonts w:ascii="Verdana" w:eastAsia="Verdana" w:hAnsi="Verdana" w:cs="Verdana"/>
          <w:spacing w:val="-20"/>
          <w:lang w:val="es-ES"/>
        </w:rPr>
        <w:t xml:space="preserve"> </w:t>
      </w:r>
      <w:r w:rsidRPr="004E17A0">
        <w:rPr>
          <w:rFonts w:ascii="Verdana" w:eastAsia="Verdana" w:hAnsi="Verdana" w:cs="Verdana"/>
          <w:lang w:val="es-ES"/>
        </w:rPr>
        <w:t>para el servidor público que goza de la competencia para expedir el acto administrativo que contiene la decisión correspondiente.</w:t>
      </w:r>
    </w:p>
    <w:p w14:paraId="39FB5D9C" w14:textId="77777777" w:rsidR="004E17A0" w:rsidRPr="004E17A0" w:rsidRDefault="004E17A0" w:rsidP="004E17A0">
      <w:pPr>
        <w:spacing w:after="120" w:line="276" w:lineRule="auto"/>
        <w:ind w:firstLine="708"/>
        <w:jc w:val="both"/>
        <w:rPr>
          <w:rFonts w:ascii="Verdana" w:eastAsia="Verdana" w:hAnsi="Verdana" w:cs="Verdana"/>
          <w:lang w:val="es-ES"/>
        </w:rPr>
      </w:pPr>
      <w:r w:rsidRPr="004E17A0">
        <w:rPr>
          <w:rFonts w:ascii="Verdana" w:eastAsia="Verdana" w:hAnsi="Verdana" w:cs="Verdana"/>
          <w:lang w:val="es-ES"/>
        </w:rPr>
        <w:t>De acuerdo con lo</w:t>
      </w:r>
      <w:r w:rsidRPr="004E17A0">
        <w:rPr>
          <w:rFonts w:ascii="Verdana" w:eastAsia="Verdana" w:hAnsi="Verdana" w:cs="Verdana"/>
          <w:spacing w:val="-1"/>
          <w:lang w:val="es-ES"/>
        </w:rPr>
        <w:t xml:space="preserve"> </w:t>
      </w:r>
      <w:r w:rsidRPr="004E17A0">
        <w:rPr>
          <w:rFonts w:ascii="Verdana" w:eastAsia="Verdana" w:hAnsi="Verdana" w:cs="Verdana"/>
          <w:lang w:val="es-ES"/>
        </w:rPr>
        <w:t>anterior, el comité evaluador designado tiene el deber de evaluar las ofertas con sujeción estricta a los parámetros señalados en el pliego</w:t>
      </w:r>
      <w:r w:rsidRPr="004E17A0">
        <w:rPr>
          <w:rFonts w:ascii="Verdana" w:eastAsia="Verdana" w:hAnsi="Verdana" w:cs="Verdana"/>
          <w:spacing w:val="-14"/>
          <w:lang w:val="es-ES"/>
        </w:rPr>
        <w:t xml:space="preserve"> </w:t>
      </w:r>
      <w:r w:rsidRPr="004E17A0">
        <w:rPr>
          <w:rFonts w:ascii="Verdana" w:eastAsia="Verdana" w:hAnsi="Verdana" w:cs="Verdana"/>
          <w:lang w:val="es-ES"/>
        </w:rPr>
        <w:t>de</w:t>
      </w:r>
      <w:r w:rsidRPr="004E17A0">
        <w:rPr>
          <w:rFonts w:ascii="Verdana" w:eastAsia="Verdana" w:hAnsi="Verdana" w:cs="Verdana"/>
          <w:spacing w:val="-15"/>
          <w:lang w:val="es-ES"/>
        </w:rPr>
        <w:t xml:space="preserve"> </w:t>
      </w:r>
      <w:r w:rsidRPr="004E17A0">
        <w:rPr>
          <w:rFonts w:ascii="Verdana" w:eastAsia="Verdana" w:hAnsi="Verdana" w:cs="Verdana"/>
          <w:lang w:val="es-ES"/>
        </w:rPr>
        <w:t>condiciones,</w:t>
      </w:r>
      <w:r w:rsidRPr="004E17A0">
        <w:rPr>
          <w:rFonts w:ascii="Verdana" w:eastAsia="Verdana" w:hAnsi="Verdana" w:cs="Verdana"/>
          <w:spacing w:val="-14"/>
          <w:lang w:val="es-ES"/>
        </w:rPr>
        <w:t xml:space="preserve"> </w:t>
      </w:r>
      <w:r w:rsidRPr="004E17A0">
        <w:rPr>
          <w:rFonts w:ascii="Verdana" w:eastAsia="Verdana" w:hAnsi="Verdana" w:cs="Verdana"/>
          <w:lang w:val="es-ES"/>
        </w:rPr>
        <w:t>o</w:t>
      </w:r>
      <w:r w:rsidRPr="004E17A0">
        <w:rPr>
          <w:rFonts w:ascii="Verdana" w:eastAsia="Verdana" w:hAnsi="Verdana" w:cs="Verdana"/>
          <w:spacing w:val="-14"/>
          <w:lang w:val="es-ES"/>
        </w:rPr>
        <w:t xml:space="preserve"> </w:t>
      </w:r>
      <w:r w:rsidRPr="004E17A0">
        <w:rPr>
          <w:rFonts w:ascii="Verdana" w:eastAsia="Verdana" w:hAnsi="Verdana" w:cs="Verdana"/>
          <w:lang w:val="es-ES"/>
        </w:rPr>
        <w:t>documento</w:t>
      </w:r>
      <w:r w:rsidRPr="004E17A0">
        <w:rPr>
          <w:rFonts w:ascii="Verdana" w:eastAsia="Verdana" w:hAnsi="Verdana" w:cs="Verdana"/>
          <w:spacing w:val="-14"/>
          <w:lang w:val="es-ES"/>
        </w:rPr>
        <w:t xml:space="preserve"> </w:t>
      </w:r>
      <w:r w:rsidRPr="004E17A0">
        <w:rPr>
          <w:rFonts w:ascii="Verdana" w:eastAsia="Verdana" w:hAnsi="Verdana" w:cs="Verdana"/>
          <w:lang w:val="es-ES"/>
        </w:rPr>
        <w:t>equivalente,</w:t>
      </w:r>
      <w:r w:rsidRPr="004E17A0">
        <w:rPr>
          <w:rFonts w:ascii="Verdana" w:eastAsia="Verdana" w:hAnsi="Verdana" w:cs="Verdana"/>
          <w:spacing w:val="-6"/>
          <w:lang w:val="es-ES"/>
        </w:rPr>
        <w:t xml:space="preserve"> </w:t>
      </w:r>
      <w:r w:rsidRPr="004E17A0">
        <w:rPr>
          <w:rFonts w:ascii="Verdana" w:eastAsia="Verdana" w:hAnsi="Verdana" w:cs="Verdana"/>
          <w:lang w:val="es-ES"/>
        </w:rPr>
        <w:t>y</w:t>
      </w:r>
      <w:r w:rsidRPr="004E17A0">
        <w:rPr>
          <w:rFonts w:ascii="Verdana" w:eastAsia="Verdana" w:hAnsi="Verdana" w:cs="Verdana"/>
          <w:spacing w:val="-14"/>
          <w:lang w:val="es-ES"/>
        </w:rPr>
        <w:t xml:space="preserve"> </w:t>
      </w:r>
      <w:r w:rsidRPr="004E17A0">
        <w:rPr>
          <w:rFonts w:ascii="Verdana" w:eastAsia="Verdana" w:hAnsi="Verdana" w:cs="Verdana"/>
          <w:lang w:val="es-ES"/>
        </w:rPr>
        <w:t>no</w:t>
      </w:r>
      <w:r w:rsidRPr="004E17A0">
        <w:rPr>
          <w:rFonts w:ascii="Verdana" w:eastAsia="Verdana" w:hAnsi="Verdana" w:cs="Verdana"/>
          <w:spacing w:val="-18"/>
          <w:lang w:val="es-ES"/>
        </w:rPr>
        <w:t xml:space="preserve"> </w:t>
      </w:r>
      <w:r w:rsidRPr="004E17A0">
        <w:rPr>
          <w:rFonts w:ascii="Verdana" w:eastAsia="Verdana" w:hAnsi="Verdana" w:cs="Verdana"/>
          <w:lang w:val="es-ES"/>
        </w:rPr>
        <w:t>puede</w:t>
      </w:r>
      <w:r w:rsidRPr="004E17A0">
        <w:rPr>
          <w:rFonts w:ascii="Verdana" w:eastAsia="Verdana" w:hAnsi="Verdana" w:cs="Verdana"/>
          <w:spacing w:val="-15"/>
          <w:lang w:val="es-ES"/>
        </w:rPr>
        <w:t xml:space="preserve"> </w:t>
      </w:r>
      <w:r w:rsidRPr="004E17A0">
        <w:rPr>
          <w:rFonts w:ascii="Verdana" w:eastAsia="Verdana" w:hAnsi="Verdana" w:cs="Verdana"/>
          <w:lang w:val="es-ES"/>
        </w:rPr>
        <w:t>basarse</w:t>
      </w:r>
      <w:r w:rsidRPr="004E17A0">
        <w:rPr>
          <w:rFonts w:ascii="Verdana" w:eastAsia="Verdana" w:hAnsi="Verdana" w:cs="Verdana"/>
          <w:spacing w:val="-15"/>
          <w:lang w:val="es-ES"/>
        </w:rPr>
        <w:t xml:space="preserve"> </w:t>
      </w:r>
      <w:r w:rsidRPr="004E17A0">
        <w:rPr>
          <w:rFonts w:ascii="Verdana" w:eastAsia="Verdana" w:hAnsi="Verdana" w:cs="Verdana"/>
          <w:lang w:val="es-ES"/>
        </w:rPr>
        <w:t>en</w:t>
      </w:r>
      <w:r w:rsidRPr="004E17A0">
        <w:rPr>
          <w:rFonts w:ascii="Verdana" w:eastAsia="Verdana" w:hAnsi="Verdana" w:cs="Verdana"/>
          <w:spacing w:val="-14"/>
          <w:lang w:val="es-ES"/>
        </w:rPr>
        <w:t xml:space="preserve"> </w:t>
      </w:r>
      <w:r w:rsidRPr="004E17A0">
        <w:rPr>
          <w:rFonts w:ascii="Verdana" w:eastAsia="Verdana" w:hAnsi="Verdana" w:cs="Verdana"/>
          <w:lang w:val="es-ES"/>
        </w:rPr>
        <w:t>criterios caprichosos o subjetivos. En ese sentido, se afirma que “la actividad de evaluación</w:t>
      </w:r>
      <w:r w:rsidRPr="004E17A0">
        <w:rPr>
          <w:rFonts w:ascii="Verdana" w:eastAsia="Verdana" w:hAnsi="Verdana" w:cs="Verdana"/>
          <w:spacing w:val="-20"/>
          <w:lang w:val="es-ES"/>
        </w:rPr>
        <w:t xml:space="preserve"> </w:t>
      </w:r>
      <w:r w:rsidRPr="004E17A0">
        <w:rPr>
          <w:rFonts w:ascii="Verdana" w:eastAsia="Verdana" w:hAnsi="Verdana" w:cs="Verdana"/>
          <w:lang w:val="es-ES"/>
        </w:rPr>
        <w:t>es</w:t>
      </w:r>
      <w:r w:rsidRPr="004E17A0">
        <w:rPr>
          <w:rFonts w:ascii="Verdana" w:eastAsia="Verdana" w:hAnsi="Verdana" w:cs="Verdana"/>
          <w:spacing w:val="-19"/>
          <w:lang w:val="es-ES"/>
        </w:rPr>
        <w:t xml:space="preserve"> </w:t>
      </w:r>
      <w:r w:rsidRPr="004E17A0">
        <w:rPr>
          <w:rFonts w:ascii="Verdana" w:eastAsia="Verdana" w:hAnsi="Verdana" w:cs="Verdana"/>
          <w:lang w:val="es-ES"/>
        </w:rPr>
        <w:t>actuación</w:t>
      </w:r>
      <w:r w:rsidRPr="004E17A0">
        <w:rPr>
          <w:rFonts w:ascii="Verdana" w:eastAsia="Verdana" w:hAnsi="Verdana" w:cs="Verdana"/>
          <w:spacing w:val="-19"/>
          <w:lang w:val="es-ES"/>
        </w:rPr>
        <w:t xml:space="preserve"> </w:t>
      </w:r>
      <w:r w:rsidRPr="004E17A0">
        <w:rPr>
          <w:rFonts w:ascii="Verdana" w:eastAsia="Verdana" w:hAnsi="Verdana" w:cs="Verdana"/>
          <w:lang w:val="es-ES"/>
        </w:rPr>
        <w:t>reglada</w:t>
      </w:r>
      <w:r w:rsidRPr="004E17A0">
        <w:rPr>
          <w:rFonts w:ascii="Verdana" w:eastAsia="Verdana" w:hAnsi="Verdana" w:cs="Verdana"/>
          <w:spacing w:val="-20"/>
          <w:lang w:val="es-ES"/>
        </w:rPr>
        <w:t xml:space="preserve"> </w:t>
      </w:r>
      <w:r w:rsidRPr="004E17A0">
        <w:rPr>
          <w:rFonts w:ascii="Verdana" w:eastAsia="Verdana" w:hAnsi="Verdana" w:cs="Verdana"/>
          <w:lang w:val="es-ES"/>
        </w:rPr>
        <w:t>en</w:t>
      </w:r>
      <w:r w:rsidRPr="004E17A0">
        <w:rPr>
          <w:rFonts w:ascii="Verdana" w:eastAsia="Verdana" w:hAnsi="Verdana" w:cs="Verdana"/>
          <w:spacing w:val="-19"/>
          <w:lang w:val="es-ES"/>
        </w:rPr>
        <w:t xml:space="preserve"> </w:t>
      </w:r>
      <w:r w:rsidRPr="004E17A0">
        <w:rPr>
          <w:rFonts w:ascii="Verdana" w:eastAsia="Verdana" w:hAnsi="Verdana" w:cs="Verdana"/>
          <w:lang w:val="es-ES"/>
        </w:rPr>
        <w:t>la</w:t>
      </w:r>
      <w:r w:rsidRPr="004E17A0">
        <w:rPr>
          <w:rFonts w:ascii="Verdana" w:eastAsia="Verdana" w:hAnsi="Verdana" w:cs="Verdana"/>
          <w:spacing w:val="-20"/>
          <w:lang w:val="es-ES"/>
        </w:rPr>
        <w:t xml:space="preserve"> </w:t>
      </w:r>
      <w:r w:rsidRPr="004E17A0">
        <w:rPr>
          <w:rFonts w:ascii="Verdana" w:eastAsia="Verdana" w:hAnsi="Verdana" w:cs="Verdana"/>
          <w:lang w:val="es-ES"/>
        </w:rPr>
        <w:t>cual</w:t>
      </w:r>
      <w:r w:rsidRPr="004E17A0">
        <w:rPr>
          <w:rFonts w:ascii="Verdana" w:eastAsia="Verdana" w:hAnsi="Verdana" w:cs="Verdana"/>
          <w:spacing w:val="-19"/>
          <w:lang w:val="es-ES"/>
        </w:rPr>
        <w:t xml:space="preserve"> </w:t>
      </w:r>
      <w:r w:rsidRPr="004E17A0">
        <w:rPr>
          <w:rFonts w:ascii="Verdana" w:eastAsia="Verdana" w:hAnsi="Verdana" w:cs="Verdana"/>
          <w:lang w:val="es-ES"/>
        </w:rPr>
        <w:t>las</w:t>
      </w:r>
      <w:r w:rsidRPr="004E17A0">
        <w:rPr>
          <w:rFonts w:ascii="Verdana" w:eastAsia="Verdana" w:hAnsi="Verdana" w:cs="Verdana"/>
          <w:spacing w:val="-19"/>
          <w:lang w:val="es-ES"/>
        </w:rPr>
        <w:t xml:space="preserve"> </w:t>
      </w:r>
      <w:r w:rsidRPr="004E17A0">
        <w:rPr>
          <w:rFonts w:ascii="Verdana" w:eastAsia="Verdana" w:hAnsi="Verdana" w:cs="Verdana"/>
          <w:lang w:val="es-ES"/>
        </w:rPr>
        <w:t>recomendaciones</w:t>
      </w:r>
      <w:r w:rsidRPr="004E17A0">
        <w:rPr>
          <w:rFonts w:ascii="Verdana" w:eastAsia="Verdana" w:hAnsi="Verdana" w:cs="Verdana"/>
          <w:spacing w:val="-20"/>
          <w:lang w:val="es-ES"/>
        </w:rPr>
        <w:t xml:space="preserve"> </w:t>
      </w:r>
      <w:r w:rsidRPr="004E17A0">
        <w:rPr>
          <w:rFonts w:ascii="Verdana" w:eastAsia="Verdana" w:hAnsi="Verdana" w:cs="Verdana"/>
          <w:lang w:val="es-ES"/>
        </w:rPr>
        <w:t>del</w:t>
      </w:r>
      <w:r w:rsidRPr="004E17A0">
        <w:rPr>
          <w:rFonts w:ascii="Verdana" w:eastAsia="Verdana" w:hAnsi="Verdana" w:cs="Verdana"/>
          <w:spacing w:val="-19"/>
          <w:lang w:val="es-ES"/>
        </w:rPr>
        <w:t xml:space="preserve"> </w:t>
      </w:r>
      <w:r w:rsidRPr="004E17A0">
        <w:rPr>
          <w:rFonts w:ascii="Verdana" w:eastAsia="Verdana" w:hAnsi="Verdana" w:cs="Verdana"/>
          <w:lang w:val="es-ES"/>
        </w:rPr>
        <w:t>comité</w:t>
      </w:r>
      <w:r w:rsidRPr="004E17A0">
        <w:rPr>
          <w:rFonts w:ascii="Verdana" w:eastAsia="Verdana" w:hAnsi="Verdana" w:cs="Verdana"/>
          <w:spacing w:val="-19"/>
          <w:lang w:val="es-ES"/>
        </w:rPr>
        <w:t xml:space="preserve"> </w:t>
      </w:r>
      <w:r w:rsidRPr="004E17A0">
        <w:rPr>
          <w:rFonts w:ascii="Verdana" w:eastAsia="Verdana" w:hAnsi="Verdana" w:cs="Verdana"/>
          <w:lang w:val="es-ES"/>
        </w:rPr>
        <w:t>deben basarse en los criterios o parámetros previamente definidos por la administración como las bases de la licitación. Por consiguiente, el informe de evaluación de las</w:t>
      </w:r>
      <w:r w:rsidRPr="004E17A0">
        <w:rPr>
          <w:rFonts w:ascii="Verdana" w:eastAsia="Verdana" w:hAnsi="Verdana" w:cs="Verdana"/>
          <w:spacing w:val="-3"/>
          <w:lang w:val="es-ES"/>
        </w:rPr>
        <w:t xml:space="preserve"> </w:t>
      </w:r>
      <w:r w:rsidRPr="004E17A0">
        <w:rPr>
          <w:rFonts w:ascii="Verdana" w:eastAsia="Verdana" w:hAnsi="Verdana" w:cs="Verdana"/>
          <w:lang w:val="es-ES"/>
        </w:rPr>
        <w:t>ofertas debe ser</w:t>
      </w:r>
      <w:r w:rsidRPr="004E17A0">
        <w:rPr>
          <w:rFonts w:ascii="Verdana" w:eastAsia="Verdana" w:hAnsi="Verdana" w:cs="Verdana"/>
          <w:spacing w:val="-2"/>
          <w:lang w:val="es-ES"/>
        </w:rPr>
        <w:t xml:space="preserve"> </w:t>
      </w:r>
      <w:r w:rsidRPr="004E17A0">
        <w:rPr>
          <w:rFonts w:ascii="Verdana" w:eastAsia="Verdana" w:hAnsi="Verdana" w:cs="Verdana"/>
          <w:lang w:val="es-ES"/>
        </w:rPr>
        <w:t>motivado con el</w:t>
      </w:r>
      <w:r w:rsidRPr="004E17A0">
        <w:rPr>
          <w:rFonts w:ascii="Verdana" w:eastAsia="Verdana" w:hAnsi="Verdana" w:cs="Verdana"/>
          <w:spacing w:val="-8"/>
          <w:lang w:val="es-ES"/>
        </w:rPr>
        <w:t xml:space="preserve"> </w:t>
      </w:r>
      <w:r w:rsidRPr="004E17A0">
        <w:rPr>
          <w:rFonts w:ascii="Verdana" w:eastAsia="Verdana" w:hAnsi="Verdana" w:cs="Verdana"/>
          <w:lang w:val="es-ES"/>
        </w:rPr>
        <w:t>fin</w:t>
      </w:r>
      <w:r w:rsidRPr="004E17A0">
        <w:rPr>
          <w:rFonts w:ascii="Verdana" w:eastAsia="Verdana" w:hAnsi="Verdana" w:cs="Verdana"/>
          <w:spacing w:val="-3"/>
          <w:lang w:val="es-ES"/>
        </w:rPr>
        <w:t xml:space="preserve"> </w:t>
      </w:r>
      <w:r w:rsidRPr="004E17A0">
        <w:rPr>
          <w:rFonts w:ascii="Verdana" w:eastAsia="Verdana" w:hAnsi="Verdana" w:cs="Verdana"/>
          <w:lang w:val="es-ES"/>
        </w:rPr>
        <w:t xml:space="preserve">de garantizar el principio </w:t>
      </w:r>
      <w:r w:rsidRPr="004E17A0">
        <w:rPr>
          <w:rFonts w:ascii="Verdana" w:eastAsia="Verdana" w:hAnsi="Verdana" w:cs="Verdana"/>
          <w:lang w:val="es-ES"/>
        </w:rPr>
        <w:lastRenderedPageBreak/>
        <w:t>de transparencia y de publicidad de la actividad precontractual, como así lo establece el artículo 24 numeral 7 de la ley 80 de 1993”</w:t>
      </w:r>
      <w:r w:rsidRPr="004E17A0">
        <w:rPr>
          <w:rFonts w:ascii="Verdana" w:eastAsia="Verdana" w:hAnsi="Verdana" w:cs="Verdana"/>
          <w:vertAlign w:val="superscript"/>
          <w:lang w:val="es-ES"/>
        </w:rPr>
        <w:footnoteReference w:id="11"/>
      </w:r>
      <w:r w:rsidRPr="004E17A0">
        <w:rPr>
          <w:rFonts w:ascii="Verdana" w:eastAsia="Verdana" w:hAnsi="Verdana" w:cs="Verdana"/>
          <w:lang w:val="es-ES"/>
        </w:rPr>
        <w:t>.</w:t>
      </w:r>
    </w:p>
    <w:p w14:paraId="7B430BAD" w14:textId="77777777" w:rsidR="004E17A0" w:rsidRPr="004E17A0" w:rsidRDefault="004E17A0" w:rsidP="004E17A0">
      <w:pPr>
        <w:spacing w:after="120" w:line="276" w:lineRule="auto"/>
        <w:ind w:firstLine="708"/>
        <w:jc w:val="both"/>
        <w:rPr>
          <w:rFonts w:ascii="Verdana" w:eastAsia="Verdana" w:hAnsi="Verdana" w:cs="Verdana"/>
          <w:lang w:val="es-ES"/>
        </w:rPr>
      </w:pPr>
      <w:r w:rsidRPr="004E17A0">
        <w:rPr>
          <w:rFonts w:ascii="Verdana" w:eastAsia="Verdana" w:hAnsi="Verdana" w:cs="Verdana"/>
          <w:lang w:val="es-ES"/>
        </w:rPr>
        <w:t>Así, la naturaleza reglada de la evaluación se encuentra íntimamente ligada con el deber de motivación del informe de evaluación, toda vez que el comité evaluador deberá sustentar la calificación de las ofertas con base en las reglas fijadas en el pliego de condiciones, lo que supone, como mínimo, el análisis de estos en relación con la propuesta presentada.</w:t>
      </w:r>
    </w:p>
    <w:p w14:paraId="5623DC2A" w14:textId="77777777" w:rsidR="004E17A0" w:rsidRPr="004E17A0" w:rsidRDefault="004E17A0" w:rsidP="004E17A0">
      <w:pPr>
        <w:spacing w:after="120" w:line="276" w:lineRule="auto"/>
        <w:ind w:firstLine="708"/>
        <w:jc w:val="both"/>
        <w:rPr>
          <w:rFonts w:ascii="Verdana" w:eastAsia="Verdana" w:hAnsi="Verdana" w:cs="Verdana"/>
          <w:lang w:val="es-ES"/>
        </w:rPr>
      </w:pPr>
      <w:r w:rsidRPr="004E17A0">
        <w:rPr>
          <w:rFonts w:ascii="Verdana" w:eastAsia="Verdana" w:hAnsi="Verdana" w:cs="Verdana"/>
          <w:lang w:val="es-ES"/>
        </w:rPr>
        <w:t>Como se observa, el artículo 2.2.1.1.2.2.3 del Decreto 1082 de 2015 permite que las Entidades Estatales sometidas al Estatuto General de Contratación de la Administración Pública, en adelante EGCAP, constituyan comités evaluadores de ofertas y de manifestaciones de interés</w:t>
      </w:r>
      <w:r w:rsidRPr="004E17A0">
        <w:rPr>
          <w:rFonts w:ascii="Verdana" w:eastAsia="Verdana" w:hAnsi="Verdana" w:cs="Verdana"/>
          <w:vertAlign w:val="superscript"/>
          <w:lang w:val="es-ES"/>
        </w:rPr>
        <w:footnoteReference w:id="12"/>
      </w:r>
      <w:r w:rsidRPr="004E17A0">
        <w:rPr>
          <w:rFonts w:ascii="Verdana" w:eastAsia="Verdana" w:hAnsi="Verdana" w:cs="Verdana"/>
          <w:lang w:val="es-ES"/>
        </w:rPr>
        <w:t>, los cuales podrán</w:t>
      </w:r>
      <w:r w:rsidRPr="004E17A0">
        <w:rPr>
          <w:rFonts w:ascii="Verdana" w:eastAsia="Verdana" w:hAnsi="Verdana" w:cs="Verdana"/>
          <w:spacing w:val="-20"/>
          <w:lang w:val="es-ES"/>
        </w:rPr>
        <w:t xml:space="preserve"> </w:t>
      </w:r>
      <w:r w:rsidRPr="004E17A0">
        <w:rPr>
          <w:rFonts w:ascii="Verdana" w:eastAsia="Verdana" w:hAnsi="Verdana" w:cs="Verdana"/>
          <w:lang w:val="es-ES"/>
        </w:rPr>
        <w:t>estar</w:t>
      </w:r>
      <w:r w:rsidRPr="004E17A0">
        <w:rPr>
          <w:rFonts w:ascii="Verdana" w:eastAsia="Verdana" w:hAnsi="Verdana" w:cs="Verdana"/>
          <w:spacing w:val="-17"/>
          <w:lang w:val="es-ES"/>
        </w:rPr>
        <w:t xml:space="preserve"> </w:t>
      </w:r>
      <w:r w:rsidRPr="004E17A0">
        <w:rPr>
          <w:rFonts w:ascii="Verdana" w:eastAsia="Verdana" w:hAnsi="Verdana" w:cs="Verdana"/>
          <w:lang w:val="es-ES"/>
        </w:rPr>
        <w:t>conformados</w:t>
      </w:r>
      <w:r w:rsidRPr="004E17A0">
        <w:rPr>
          <w:rFonts w:ascii="Verdana" w:eastAsia="Verdana" w:hAnsi="Verdana" w:cs="Verdana"/>
          <w:spacing w:val="-18"/>
          <w:lang w:val="es-ES"/>
        </w:rPr>
        <w:t xml:space="preserve"> </w:t>
      </w:r>
      <w:r w:rsidRPr="004E17A0">
        <w:rPr>
          <w:rFonts w:ascii="Verdana" w:eastAsia="Verdana" w:hAnsi="Verdana" w:cs="Verdana"/>
          <w:lang w:val="es-ES"/>
        </w:rPr>
        <w:t>por</w:t>
      </w:r>
      <w:r w:rsidRPr="004E17A0">
        <w:rPr>
          <w:rFonts w:ascii="Verdana" w:eastAsia="Verdana" w:hAnsi="Verdana" w:cs="Verdana"/>
          <w:spacing w:val="-20"/>
          <w:lang w:val="es-ES"/>
        </w:rPr>
        <w:t xml:space="preserve"> </w:t>
      </w:r>
      <w:r w:rsidRPr="004E17A0">
        <w:rPr>
          <w:rFonts w:ascii="Verdana" w:eastAsia="Verdana" w:hAnsi="Verdana" w:cs="Verdana"/>
          <w:lang w:val="es-ES"/>
        </w:rPr>
        <w:t>servidores</w:t>
      </w:r>
      <w:r w:rsidRPr="004E17A0">
        <w:rPr>
          <w:rFonts w:ascii="Verdana" w:eastAsia="Verdana" w:hAnsi="Verdana" w:cs="Verdana"/>
          <w:spacing w:val="-18"/>
          <w:lang w:val="es-ES"/>
        </w:rPr>
        <w:t xml:space="preserve"> </w:t>
      </w:r>
      <w:r w:rsidRPr="004E17A0">
        <w:rPr>
          <w:rFonts w:ascii="Verdana" w:eastAsia="Verdana" w:hAnsi="Verdana" w:cs="Verdana"/>
          <w:lang w:val="es-ES"/>
        </w:rPr>
        <w:t>públicos,</w:t>
      </w:r>
      <w:r w:rsidRPr="004E17A0">
        <w:rPr>
          <w:rFonts w:ascii="Verdana" w:eastAsia="Verdana" w:hAnsi="Verdana" w:cs="Verdana"/>
          <w:spacing w:val="-18"/>
          <w:lang w:val="es-ES"/>
        </w:rPr>
        <w:t xml:space="preserve"> </w:t>
      </w:r>
      <w:r w:rsidRPr="004E17A0">
        <w:rPr>
          <w:rFonts w:ascii="Verdana" w:eastAsia="Verdana" w:hAnsi="Verdana" w:cs="Verdana"/>
          <w:lang w:val="es-ES"/>
        </w:rPr>
        <w:t>particulares</w:t>
      </w:r>
      <w:r w:rsidRPr="004E17A0">
        <w:rPr>
          <w:rFonts w:ascii="Verdana" w:eastAsia="Verdana" w:hAnsi="Verdana" w:cs="Verdana"/>
          <w:spacing w:val="-18"/>
          <w:lang w:val="es-ES"/>
        </w:rPr>
        <w:t xml:space="preserve"> </w:t>
      </w:r>
      <w:r w:rsidRPr="004E17A0">
        <w:rPr>
          <w:rFonts w:ascii="Verdana" w:eastAsia="Verdana" w:hAnsi="Verdana" w:cs="Verdana"/>
          <w:lang w:val="es-ES"/>
        </w:rPr>
        <w:t>contratados</w:t>
      </w:r>
      <w:r w:rsidRPr="004E17A0">
        <w:rPr>
          <w:rFonts w:ascii="Verdana" w:eastAsia="Verdana" w:hAnsi="Verdana" w:cs="Verdana"/>
          <w:spacing w:val="-18"/>
          <w:lang w:val="es-ES"/>
        </w:rPr>
        <w:t xml:space="preserve"> </w:t>
      </w:r>
      <w:r w:rsidRPr="004E17A0">
        <w:rPr>
          <w:rFonts w:ascii="Verdana" w:eastAsia="Verdana" w:hAnsi="Verdana" w:cs="Verdana"/>
          <w:lang w:val="es-ES"/>
        </w:rPr>
        <w:t>para tal</w:t>
      </w:r>
      <w:r w:rsidRPr="004E17A0">
        <w:rPr>
          <w:rFonts w:ascii="Verdana" w:eastAsia="Verdana" w:hAnsi="Verdana" w:cs="Verdana"/>
          <w:spacing w:val="-20"/>
          <w:lang w:val="es-ES"/>
        </w:rPr>
        <w:t xml:space="preserve"> </w:t>
      </w:r>
      <w:r w:rsidRPr="004E17A0">
        <w:rPr>
          <w:rFonts w:ascii="Verdana" w:eastAsia="Verdana" w:hAnsi="Verdana" w:cs="Verdana"/>
          <w:lang w:val="es-ES"/>
        </w:rPr>
        <w:t>finalidad</w:t>
      </w:r>
      <w:r w:rsidRPr="004E17A0">
        <w:rPr>
          <w:rFonts w:ascii="Verdana" w:eastAsia="Verdana" w:hAnsi="Verdana" w:cs="Verdana"/>
          <w:spacing w:val="-19"/>
          <w:lang w:val="es-ES"/>
        </w:rPr>
        <w:t xml:space="preserve"> </w:t>
      </w:r>
      <w:r w:rsidRPr="004E17A0">
        <w:rPr>
          <w:rFonts w:ascii="Verdana" w:eastAsia="Verdana" w:hAnsi="Verdana" w:cs="Verdana"/>
          <w:lang w:val="es-ES"/>
        </w:rPr>
        <w:t>o</w:t>
      </w:r>
      <w:r w:rsidRPr="004E17A0">
        <w:rPr>
          <w:rFonts w:ascii="Verdana" w:eastAsia="Verdana" w:hAnsi="Verdana" w:cs="Verdana"/>
          <w:spacing w:val="-19"/>
          <w:lang w:val="es-ES"/>
        </w:rPr>
        <w:t xml:space="preserve"> </w:t>
      </w:r>
      <w:r w:rsidRPr="004E17A0">
        <w:rPr>
          <w:rFonts w:ascii="Verdana" w:eastAsia="Verdana" w:hAnsi="Verdana" w:cs="Verdana"/>
          <w:lang w:val="es-ES"/>
        </w:rPr>
        <w:t>una</w:t>
      </w:r>
      <w:r w:rsidRPr="004E17A0">
        <w:rPr>
          <w:rFonts w:ascii="Verdana" w:eastAsia="Verdana" w:hAnsi="Verdana" w:cs="Verdana"/>
          <w:spacing w:val="-20"/>
          <w:lang w:val="es-ES"/>
        </w:rPr>
        <w:t xml:space="preserve"> </w:t>
      </w:r>
      <w:r w:rsidRPr="004E17A0">
        <w:rPr>
          <w:rFonts w:ascii="Verdana" w:eastAsia="Verdana" w:hAnsi="Verdana" w:cs="Verdana"/>
          <w:lang w:val="es-ES"/>
        </w:rPr>
        <w:t>combinación</w:t>
      </w:r>
      <w:r w:rsidRPr="004E17A0">
        <w:rPr>
          <w:rFonts w:ascii="Verdana" w:eastAsia="Verdana" w:hAnsi="Verdana" w:cs="Verdana"/>
          <w:spacing w:val="-19"/>
          <w:lang w:val="es-ES"/>
        </w:rPr>
        <w:t xml:space="preserve"> </w:t>
      </w:r>
      <w:r w:rsidRPr="004E17A0">
        <w:rPr>
          <w:rFonts w:ascii="Verdana" w:eastAsia="Verdana" w:hAnsi="Verdana" w:cs="Verdana"/>
          <w:lang w:val="es-ES"/>
        </w:rPr>
        <w:t>de</w:t>
      </w:r>
      <w:r w:rsidRPr="004E17A0">
        <w:rPr>
          <w:rFonts w:ascii="Verdana" w:eastAsia="Verdana" w:hAnsi="Verdana" w:cs="Verdana"/>
          <w:spacing w:val="-20"/>
          <w:lang w:val="es-ES"/>
        </w:rPr>
        <w:t xml:space="preserve"> </w:t>
      </w:r>
      <w:r w:rsidRPr="004E17A0">
        <w:rPr>
          <w:rFonts w:ascii="Verdana" w:eastAsia="Verdana" w:hAnsi="Verdana" w:cs="Verdana"/>
          <w:lang w:val="es-ES"/>
        </w:rPr>
        <w:t>ambos.</w:t>
      </w:r>
      <w:r w:rsidRPr="004E17A0">
        <w:rPr>
          <w:rFonts w:ascii="Verdana" w:eastAsia="Verdana" w:hAnsi="Verdana" w:cs="Verdana"/>
          <w:spacing w:val="-19"/>
          <w:lang w:val="es-ES"/>
        </w:rPr>
        <w:t xml:space="preserve"> </w:t>
      </w:r>
      <w:r w:rsidRPr="004E17A0">
        <w:rPr>
          <w:rFonts w:ascii="Verdana" w:eastAsia="Verdana" w:hAnsi="Verdana" w:cs="Verdana"/>
          <w:lang w:val="es-ES"/>
        </w:rPr>
        <w:t>En</w:t>
      </w:r>
      <w:r w:rsidRPr="004E17A0">
        <w:rPr>
          <w:rFonts w:ascii="Verdana" w:eastAsia="Verdana" w:hAnsi="Verdana" w:cs="Verdana"/>
          <w:spacing w:val="-19"/>
          <w:lang w:val="es-ES"/>
        </w:rPr>
        <w:t xml:space="preserve"> </w:t>
      </w:r>
      <w:r w:rsidRPr="004E17A0">
        <w:rPr>
          <w:rFonts w:ascii="Verdana" w:eastAsia="Verdana" w:hAnsi="Verdana" w:cs="Verdana"/>
          <w:lang w:val="es-ES"/>
        </w:rPr>
        <w:t>ese</w:t>
      </w:r>
      <w:r w:rsidRPr="004E17A0">
        <w:rPr>
          <w:rFonts w:ascii="Verdana" w:eastAsia="Verdana" w:hAnsi="Verdana" w:cs="Verdana"/>
          <w:spacing w:val="-20"/>
          <w:lang w:val="es-ES"/>
        </w:rPr>
        <w:t xml:space="preserve"> </w:t>
      </w:r>
      <w:r w:rsidRPr="004E17A0">
        <w:rPr>
          <w:rFonts w:ascii="Verdana" w:eastAsia="Verdana" w:hAnsi="Verdana" w:cs="Verdana"/>
          <w:lang w:val="es-ES"/>
        </w:rPr>
        <w:t>sentido,</w:t>
      </w:r>
      <w:r w:rsidRPr="004E17A0">
        <w:rPr>
          <w:rFonts w:ascii="Verdana" w:eastAsia="Verdana" w:hAnsi="Verdana" w:cs="Verdana"/>
          <w:spacing w:val="-19"/>
          <w:lang w:val="es-ES"/>
        </w:rPr>
        <w:t xml:space="preserve"> </w:t>
      </w:r>
      <w:r w:rsidRPr="004E17A0">
        <w:rPr>
          <w:rFonts w:ascii="Verdana" w:eastAsia="Verdana" w:hAnsi="Verdana" w:cs="Verdana"/>
          <w:lang w:val="es-ES"/>
        </w:rPr>
        <w:t>respecto</w:t>
      </w:r>
      <w:r w:rsidRPr="004E17A0">
        <w:rPr>
          <w:rFonts w:ascii="Verdana" w:eastAsia="Verdana" w:hAnsi="Verdana" w:cs="Verdana"/>
          <w:spacing w:val="-19"/>
          <w:lang w:val="es-ES"/>
        </w:rPr>
        <w:t xml:space="preserve"> </w:t>
      </w:r>
      <w:r w:rsidRPr="004E17A0">
        <w:rPr>
          <w:rFonts w:ascii="Verdana" w:eastAsia="Verdana" w:hAnsi="Verdana" w:cs="Verdana"/>
          <w:lang w:val="es-ES"/>
        </w:rPr>
        <w:t>de</w:t>
      </w:r>
      <w:r w:rsidRPr="004E17A0">
        <w:rPr>
          <w:rFonts w:ascii="Verdana" w:eastAsia="Verdana" w:hAnsi="Verdana" w:cs="Verdana"/>
          <w:spacing w:val="-20"/>
          <w:lang w:val="es-ES"/>
        </w:rPr>
        <w:t xml:space="preserve"> </w:t>
      </w:r>
      <w:r w:rsidRPr="004E17A0">
        <w:rPr>
          <w:rFonts w:ascii="Verdana" w:eastAsia="Verdana" w:hAnsi="Verdana" w:cs="Verdana"/>
          <w:lang w:val="es-ES"/>
        </w:rPr>
        <w:t>la</w:t>
      </w:r>
      <w:r w:rsidRPr="004E17A0">
        <w:rPr>
          <w:rFonts w:ascii="Verdana" w:eastAsia="Verdana" w:hAnsi="Verdana" w:cs="Verdana"/>
          <w:spacing w:val="-19"/>
          <w:lang w:val="es-ES"/>
        </w:rPr>
        <w:t xml:space="preserve"> </w:t>
      </w:r>
      <w:r w:rsidRPr="004E17A0">
        <w:rPr>
          <w:rFonts w:ascii="Verdana" w:eastAsia="Verdana" w:hAnsi="Verdana" w:cs="Verdana"/>
          <w:lang w:val="es-ES"/>
        </w:rPr>
        <w:t>creación del</w:t>
      </w:r>
      <w:r w:rsidRPr="004E17A0">
        <w:rPr>
          <w:rFonts w:ascii="Verdana" w:eastAsia="Verdana" w:hAnsi="Verdana" w:cs="Verdana"/>
          <w:spacing w:val="-20"/>
          <w:lang w:val="es-ES"/>
        </w:rPr>
        <w:t xml:space="preserve"> </w:t>
      </w:r>
      <w:r w:rsidRPr="004E17A0">
        <w:rPr>
          <w:rFonts w:ascii="Verdana" w:eastAsia="Verdana" w:hAnsi="Verdana" w:cs="Verdana"/>
          <w:lang w:val="es-ES"/>
        </w:rPr>
        <w:t>comité</w:t>
      </w:r>
      <w:r w:rsidRPr="004E17A0">
        <w:rPr>
          <w:rFonts w:ascii="Verdana" w:eastAsia="Verdana" w:hAnsi="Verdana" w:cs="Verdana"/>
          <w:spacing w:val="-19"/>
          <w:lang w:val="es-ES"/>
        </w:rPr>
        <w:t xml:space="preserve"> </w:t>
      </w:r>
      <w:r w:rsidRPr="004E17A0">
        <w:rPr>
          <w:rFonts w:ascii="Verdana" w:eastAsia="Verdana" w:hAnsi="Verdana" w:cs="Verdana"/>
          <w:lang w:val="es-ES"/>
        </w:rPr>
        <w:t>evaluador,</w:t>
      </w:r>
      <w:r w:rsidRPr="004E17A0">
        <w:rPr>
          <w:rFonts w:ascii="Verdana" w:eastAsia="Verdana" w:hAnsi="Verdana" w:cs="Verdana"/>
          <w:spacing w:val="-17"/>
          <w:lang w:val="es-ES"/>
        </w:rPr>
        <w:t xml:space="preserve"> </w:t>
      </w:r>
      <w:r w:rsidRPr="004E17A0">
        <w:rPr>
          <w:rFonts w:ascii="Verdana" w:eastAsia="Verdana" w:hAnsi="Verdana" w:cs="Verdana"/>
          <w:lang w:val="es-ES"/>
        </w:rPr>
        <w:t>se</w:t>
      </w:r>
      <w:r w:rsidRPr="004E17A0">
        <w:rPr>
          <w:rFonts w:ascii="Verdana" w:eastAsia="Verdana" w:hAnsi="Verdana" w:cs="Verdana"/>
          <w:spacing w:val="-20"/>
          <w:lang w:val="es-ES"/>
        </w:rPr>
        <w:t xml:space="preserve"> </w:t>
      </w:r>
      <w:r w:rsidRPr="004E17A0">
        <w:rPr>
          <w:rFonts w:ascii="Verdana" w:eastAsia="Verdana" w:hAnsi="Verdana" w:cs="Verdana"/>
          <w:lang w:val="es-ES"/>
        </w:rPr>
        <w:t>infiere</w:t>
      </w:r>
      <w:r w:rsidRPr="004E17A0">
        <w:rPr>
          <w:rFonts w:ascii="Verdana" w:eastAsia="Verdana" w:hAnsi="Verdana" w:cs="Verdana"/>
          <w:spacing w:val="-19"/>
          <w:lang w:val="es-ES"/>
        </w:rPr>
        <w:t xml:space="preserve"> </w:t>
      </w:r>
      <w:r w:rsidRPr="004E17A0">
        <w:rPr>
          <w:rFonts w:ascii="Verdana" w:eastAsia="Verdana" w:hAnsi="Verdana" w:cs="Verdana"/>
          <w:lang w:val="es-ES"/>
        </w:rPr>
        <w:t>que,</w:t>
      </w:r>
      <w:r w:rsidRPr="004E17A0">
        <w:rPr>
          <w:rFonts w:ascii="Verdana" w:eastAsia="Verdana" w:hAnsi="Verdana" w:cs="Verdana"/>
          <w:spacing w:val="-19"/>
          <w:lang w:val="es-ES"/>
        </w:rPr>
        <w:t xml:space="preserve"> </w:t>
      </w:r>
      <w:r w:rsidRPr="004E17A0">
        <w:rPr>
          <w:rFonts w:ascii="Verdana" w:eastAsia="Verdana" w:hAnsi="Verdana" w:cs="Verdana"/>
          <w:lang w:val="es-ES"/>
        </w:rPr>
        <w:t>al</w:t>
      </w:r>
      <w:r w:rsidRPr="004E17A0">
        <w:rPr>
          <w:rFonts w:ascii="Verdana" w:eastAsia="Verdana" w:hAnsi="Verdana" w:cs="Verdana"/>
          <w:spacing w:val="-18"/>
          <w:lang w:val="es-ES"/>
        </w:rPr>
        <w:t xml:space="preserve"> </w:t>
      </w:r>
      <w:r w:rsidRPr="004E17A0">
        <w:rPr>
          <w:rFonts w:ascii="Verdana" w:eastAsia="Verdana" w:hAnsi="Verdana" w:cs="Verdana"/>
          <w:lang w:val="es-ES"/>
        </w:rPr>
        <w:t>emplear</w:t>
      </w:r>
      <w:r w:rsidRPr="004E17A0">
        <w:rPr>
          <w:rFonts w:ascii="Verdana" w:eastAsia="Verdana" w:hAnsi="Verdana" w:cs="Verdana"/>
          <w:spacing w:val="-16"/>
          <w:lang w:val="es-ES"/>
        </w:rPr>
        <w:t xml:space="preserve"> </w:t>
      </w:r>
      <w:r w:rsidRPr="004E17A0">
        <w:rPr>
          <w:rFonts w:ascii="Verdana" w:eastAsia="Verdana" w:hAnsi="Verdana" w:cs="Verdana"/>
          <w:lang w:val="es-ES"/>
        </w:rPr>
        <w:t>el</w:t>
      </w:r>
      <w:r w:rsidRPr="004E17A0">
        <w:rPr>
          <w:rFonts w:ascii="Verdana" w:eastAsia="Verdana" w:hAnsi="Verdana" w:cs="Verdana"/>
          <w:spacing w:val="-19"/>
          <w:lang w:val="es-ES"/>
        </w:rPr>
        <w:t xml:space="preserve"> </w:t>
      </w:r>
      <w:r w:rsidRPr="004E17A0">
        <w:rPr>
          <w:rFonts w:ascii="Verdana" w:eastAsia="Verdana" w:hAnsi="Verdana" w:cs="Verdana"/>
          <w:lang w:val="es-ES"/>
        </w:rPr>
        <w:t>verbo</w:t>
      </w:r>
      <w:r w:rsidRPr="004E17A0">
        <w:rPr>
          <w:rFonts w:ascii="Verdana" w:eastAsia="Verdana" w:hAnsi="Verdana" w:cs="Verdana"/>
          <w:spacing w:val="-20"/>
          <w:lang w:val="es-ES"/>
        </w:rPr>
        <w:t xml:space="preserve"> </w:t>
      </w:r>
      <w:r w:rsidRPr="004E17A0">
        <w:rPr>
          <w:rFonts w:ascii="Verdana" w:eastAsia="Verdana" w:hAnsi="Verdana" w:cs="Verdana"/>
          <w:lang w:val="es-ES"/>
        </w:rPr>
        <w:t>“podrá”,</w:t>
      </w:r>
      <w:r w:rsidRPr="004E17A0">
        <w:rPr>
          <w:rFonts w:ascii="Verdana" w:eastAsia="Verdana" w:hAnsi="Verdana" w:cs="Verdana"/>
          <w:spacing w:val="-15"/>
          <w:lang w:val="es-ES"/>
        </w:rPr>
        <w:t xml:space="preserve"> </w:t>
      </w:r>
      <w:r w:rsidRPr="004E17A0">
        <w:rPr>
          <w:rFonts w:ascii="Verdana" w:eastAsia="Verdana" w:hAnsi="Verdana" w:cs="Verdana"/>
          <w:lang w:val="es-ES"/>
        </w:rPr>
        <w:t>la</w:t>
      </w:r>
      <w:r w:rsidRPr="004E17A0">
        <w:rPr>
          <w:rFonts w:ascii="Verdana" w:eastAsia="Verdana" w:hAnsi="Verdana" w:cs="Verdana"/>
          <w:spacing w:val="-20"/>
          <w:lang w:val="es-ES"/>
        </w:rPr>
        <w:t xml:space="preserve"> </w:t>
      </w:r>
      <w:r w:rsidRPr="004E17A0">
        <w:rPr>
          <w:rFonts w:ascii="Verdana" w:eastAsia="Verdana" w:hAnsi="Verdana" w:cs="Verdana"/>
          <w:lang w:val="es-ES"/>
        </w:rPr>
        <w:t>norma</w:t>
      </w:r>
      <w:r w:rsidRPr="004E17A0">
        <w:rPr>
          <w:rFonts w:ascii="Verdana" w:eastAsia="Verdana" w:hAnsi="Verdana" w:cs="Verdana"/>
          <w:spacing w:val="-19"/>
          <w:lang w:val="es-ES"/>
        </w:rPr>
        <w:t xml:space="preserve"> </w:t>
      </w:r>
      <w:r w:rsidRPr="004E17A0">
        <w:rPr>
          <w:rFonts w:ascii="Verdana" w:eastAsia="Verdana" w:hAnsi="Verdana" w:cs="Verdana"/>
          <w:lang w:val="es-ES"/>
        </w:rPr>
        <w:t>indica que la constitución del comité evaluador no es obligatoria, sino facultativa. Por lo tanto, las Entidades Estatales, de acuerdo con sus funciones y organización interna, así como con la naturaleza y complejidad del contrato que pretendan celebrar, entre otros aspectos, definirán si es o no necesaria la constitución de dicho organismo.</w:t>
      </w:r>
    </w:p>
    <w:p w14:paraId="38C21BE3" w14:textId="77777777" w:rsidR="004E17A0" w:rsidRPr="004E17A0" w:rsidRDefault="004E17A0" w:rsidP="004E17A0">
      <w:pPr>
        <w:spacing w:after="120" w:line="276" w:lineRule="auto"/>
        <w:ind w:firstLine="708"/>
        <w:jc w:val="both"/>
        <w:rPr>
          <w:rFonts w:ascii="Verdana" w:eastAsia="Verdana" w:hAnsi="Verdana" w:cs="Verdana"/>
          <w:lang w:val="es-ES"/>
        </w:rPr>
      </w:pPr>
      <w:r w:rsidRPr="004E17A0">
        <w:rPr>
          <w:rFonts w:ascii="Verdana" w:eastAsia="Verdana" w:hAnsi="Verdana" w:cs="Verdana"/>
          <w:lang w:val="es-ES"/>
        </w:rPr>
        <w:t>Ahora bien, es de menester advertir, que la norma citada, al otorgar tal facultad, permite que las Entidades Estatales determinen ciertos elementos en relación con el comité de evaluación que decidan constituir. Por ello, aspectos como el número de miembros, las calidades o profesiones de cada uno, la determinación de los procesos de selección en los cuales dicho comité se conformará,</w:t>
      </w:r>
      <w:r w:rsidRPr="004E17A0">
        <w:rPr>
          <w:rFonts w:ascii="Verdana" w:eastAsia="Verdana" w:hAnsi="Verdana" w:cs="Verdana"/>
          <w:spacing w:val="-12"/>
          <w:lang w:val="es-ES"/>
        </w:rPr>
        <w:t xml:space="preserve"> </w:t>
      </w:r>
      <w:r w:rsidRPr="004E17A0">
        <w:rPr>
          <w:rFonts w:ascii="Verdana" w:eastAsia="Verdana" w:hAnsi="Verdana" w:cs="Verdana"/>
          <w:lang w:val="es-ES"/>
        </w:rPr>
        <w:t>o</w:t>
      </w:r>
      <w:r w:rsidRPr="004E17A0">
        <w:rPr>
          <w:rFonts w:ascii="Verdana" w:eastAsia="Verdana" w:hAnsi="Verdana" w:cs="Verdana"/>
          <w:spacing w:val="-16"/>
          <w:lang w:val="es-ES"/>
        </w:rPr>
        <w:t xml:space="preserve"> </w:t>
      </w:r>
      <w:r w:rsidRPr="004E17A0">
        <w:rPr>
          <w:rFonts w:ascii="Verdana" w:eastAsia="Verdana" w:hAnsi="Verdana" w:cs="Verdana"/>
          <w:lang w:val="es-ES"/>
        </w:rPr>
        <w:t>la</w:t>
      </w:r>
      <w:r w:rsidRPr="004E17A0">
        <w:rPr>
          <w:rFonts w:ascii="Verdana" w:eastAsia="Verdana" w:hAnsi="Verdana" w:cs="Verdana"/>
          <w:spacing w:val="-14"/>
          <w:lang w:val="es-ES"/>
        </w:rPr>
        <w:t xml:space="preserve"> </w:t>
      </w:r>
      <w:r w:rsidRPr="004E17A0">
        <w:rPr>
          <w:rFonts w:ascii="Verdana" w:eastAsia="Verdana" w:hAnsi="Verdana" w:cs="Verdana"/>
          <w:lang w:val="es-ES"/>
        </w:rPr>
        <w:t>definición</w:t>
      </w:r>
      <w:r w:rsidRPr="004E17A0">
        <w:rPr>
          <w:rFonts w:ascii="Verdana" w:eastAsia="Verdana" w:hAnsi="Verdana" w:cs="Verdana"/>
          <w:spacing w:val="-16"/>
          <w:lang w:val="es-ES"/>
        </w:rPr>
        <w:t xml:space="preserve"> </w:t>
      </w:r>
      <w:r w:rsidRPr="004E17A0">
        <w:rPr>
          <w:rFonts w:ascii="Verdana" w:eastAsia="Verdana" w:hAnsi="Verdana" w:cs="Verdana"/>
          <w:lang w:val="es-ES"/>
        </w:rPr>
        <w:t>de</w:t>
      </w:r>
      <w:r w:rsidRPr="004E17A0">
        <w:rPr>
          <w:rFonts w:ascii="Verdana" w:eastAsia="Verdana" w:hAnsi="Verdana" w:cs="Verdana"/>
          <w:spacing w:val="-13"/>
          <w:lang w:val="es-ES"/>
        </w:rPr>
        <w:t xml:space="preserve"> </w:t>
      </w:r>
      <w:r w:rsidRPr="004E17A0">
        <w:rPr>
          <w:rFonts w:ascii="Verdana" w:eastAsia="Verdana" w:hAnsi="Verdana" w:cs="Verdana"/>
          <w:lang w:val="es-ES"/>
        </w:rPr>
        <w:t>factores</w:t>
      </w:r>
      <w:r w:rsidRPr="004E17A0">
        <w:rPr>
          <w:rFonts w:ascii="Verdana" w:eastAsia="Verdana" w:hAnsi="Verdana" w:cs="Verdana"/>
          <w:spacing w:val="-12"/>
          <w:lang w:val="es-ES"/>
        </w:rPr>
        <w:t xml:space="preserve"> </w:t>
      </w:r>
      <w:r w:rsidRPr="004E17A0">
        <w:rPr>
          <w:rFonts w:ascii="Verdana" w:eastAsia="Verdana" w:hAnsi="Verdana" w:cs="Verdana"/>
          <w:lang w:val="es-ES"/>
        </w:rPr>
        <w:t>como</w:t>
      </w:r>
      <w:r w:rsidRPr="004E17A0">
        <w:rPr>
          <w:rFonts w:ascii="Verdana" w:eastAsia="Verdana" w:hAnsi="Verdana" w:cs="Verdana"/>
          <w:spacing w:val="-16"/>
          <w:lang w:val="es-ES"/>
        </w:rPr>
        <w:t xml:space="preserve"> </w:t>
      </w:r>
      <w:r w:rsidRPr="004E17A0">
        <w:rPr>
          <w:rFonts w:ascii="Verdana" w:eastAsia="Verdana" w:hAnsi="Verdana" w:cs="Verdana"/>
          <w:lang w:val="es-ES"/>
        </w:rPr>
        <w:t>la</w:t>
      </w:r>
      <w:r w:rsidRPr="004E17A0">
        <w:rPr>
          <w:rFonts w:ascii="Verdana" w:eastAsia="Verdana" w:hAnsi="Verdana" w:cs="Verdana"/>
          <w:spacing w:val="-14"/>
          <w:lang w:val="es-ES"/>
        </w:rPr>
        <w:t xml:space="preserve"> </w:t>
      </w:r>
      <w:r w:rsidRPr="004E17A0">
        <w:rPr>
          <w:rFonts w:ascii="Verdana" w:eastAsia="Verdana" w:hAnsi="Verdana" w:cs="Verdana"/>
          <w:lang w:val="es-ES"/>
        </w:rPr>
        <w:t>cuantía</w:t>
      </w:r>
      <w:r w:rsidRPr="004E17A0">
        <w:rPr>
          <w:rFonts w:ascii="Verdana" w:eastAsia="Verdana" w:hAnsi="Verdana" w:cs="Verdana"/>
          <w:spacing w:val="-14"/>
          <w:lang w:val="es-ES"/>
        </w:rPr>
        <w:t xml:space="preserve"> </w:t>
      </w:r>
      <w:r w:rsidRPr="004E17A0">
        <w:rPr>
          <w:rFonts w:ascii="Verdana" w:eastAsia="Verdana" w:hAnsi="Verdana" w:cs="Verdana"/>
          <w:lang w:val="es-ES"/>
        </w:rPr>
        <w:t>u</w:t>
      </w:r>
      <w:r w:rsidRPr="004E17A0">
        <w:rPr>
          <w:rFonts w:ascii="Verdana" w:eastAsia="Verdana" w:hAnsi="Verdana" w:cs="Verdana"/>
          <w:spacing w:val="-12"/>
          <w:lang w:val="es-ES"/>
        </w:rPr>
        <w:t xml:space="preserve"> </w:t>
      </w:r>
      <w:r w:rsidRPr="004E17A0">
        <w:rPr>
          <w:rFonts w:ascii="Verdana" w:eastAsia="Verdana" w:hAnsi="Verdana" w:cs="Verdana"/>
          <w:lang w:val="es-ES"/>
        </w:rPr>
        <w:t>objeto</w:t>
      </w:r>
      <w:r w:rsidRPr="004E17A0">
        <w:rPr>
          <w:rFonts w:ascii="Verdana" w:eastAsia="Verdana" w:hAnsi="Verdana" w:cs="Verdana"/>
          <w:spacing w:val="-11"/>
          <w:lang w:val="es-ES"/>
        </w:rPr>
        <w:t xml:space="preserve"> </w:t>
      </w:r>
      <w:r w:rsidRPr="004E17A0">
        <w:rPr>
          <w:rFonts w:ascii="Verdana" w:eastAsia="Verdana" w:hAnsi="Verdana" w:cs="Verdana"/>
          <w:lang w:val="es-ES"/>
        </w:rPr>
        <w:t>contractual</w:t>
      </w:r>
      <w:r w:rsidRPr="004E17A0">
        <w:rPr>
          <w:rFonts w:ascii="Verdana" w:eastAsia="Verdana" w:hAnsi="Verdana" w:cs="Verdana"/>
          <w:spacing w:val="-12"/>
          <w:lang w:val="es-ES"/>
        </w:rPr>
        <w:t xml:space="preserve"> </w:t>
      </w:r>
      <w:r w:rsidRPr="004E17A0">
        <w:rPr>
          <w:rFonts w:ascii="Verdana" w:eastAsia="Verdana" w:hAnsi="Verdana" w:cs="Verdana"/>
          <w:lang w:val="es-ES"/>
        </w:rPr>
        <w:t>para la misma finalidad, entre otros, son aspectos que, en la medida que la norma guarde silencio, le corresponderá a las Entidades definir para cada proceso, en sus respectivos manuales de contratación. Esta situación también se refleja en la</w:t>
      </w:r>
      <w:r w:rsidRPr="004E17A0">
        <w:rPr>
          <w:rFonts w:ascii="Verdana" w:eastAsia="Verdana" w:hAnsi="Verdana" w:cs="Verdana"/>
          <w:spacing w:val="-6"/>
          <w:lang w:val="es-ES"/>
        </w:rPr>
        <w:t xml:space="preserve"> </w:t>
      </w:r>
      <w:r w:rsidRPr="004E17A0">
        <w:rPr>
          <w:rFonts w:ascii="Verdana" w:eastAsia="Verdana" w:hAnsi="Verdana" w:cs="Verdana"/>
          <w:lang w:val="es-ES"/>
        </w:rPr>
        <w:t>definición</w:t>
      </w:r>
      <w:r w:rsidRPr="004E17A0">
        <w:rPr>
          <w:rFonts w:ascii="Verdana" w:eastAsia="Verdana" w:hAnsi="Verdana" w:cs="Verdana"/>
          <w:spacing w:val="-8"/>
          <w:lang w:val="es-ES"/>
        </w:rPr>
        <w:t xml:space="preserve"> </w:t>
      </w:r>
      <w:r w:rsidRPr="004E17A0">
        <w:rPr>
          <w:rFonts w:ascii="Verdana" w:eastAsia="Verdana" w:hAnsi="Verdana" w:cs="Verdana"/>
          <w:lang w:val="es-ES"/>
        </w:rPr>
        <w:t>de</w:t>
      </w:r>
      <w:r w:rsidRPr="004E17A0">
        <w:rPr>
          <w:rFonts w:ascii="Verdana" w:eastAsia="Verdana" w:hAnsi="Verdana" w:cs="Verdana"/>
          <w:spacing w:val="-5"/>
          <w:lang w:val="es-ES"/>
        </w:rPr>
        <w:t xml:space="preserve"> </w:t>
      </w:r>
      <w:r w:rsidRPr="004E17A0">
        <w:rPr>
          <w:rFonts w:ascii="Verdana" w:eastAsia="Verdana" w:hAnsi="Verdana" w:cs="Verdana"/>
          <w:lang w:val="es-ES"/>
        </w:rPr>
        <w:t>las</w:t>
      </w:r>
      <w:r w:rsidRPr="004E17A0">
        <w:rPr>
          <w:rFonts w:ascii="Verdana" w:eastAsia="Verdana" w:hAnsi="Verdana" w:cs="Verdana"/>
          <w:spacing w:val="-8"/>
          <w:lang w:val="es-ES"/>
        </w:rPr>
        <w:t xml:space="preserve"> </w:t>
      </w:r>
      <w:r w:rsidRPr="004E17A0">
        <w:rPr>
          <w:rFonts w:ascii="Verdana" w:eastAsia="Verdana" w:hAnsi="Verdana" w:cs="Verdana"/>
          <w:lang w:val="es-ES"/>
        </w:rPr>
        <w:t>condiciones</w:t>
      </w:r>
      <w:r w:rsidRPr="004E17A0">
        <w:rPr>
          <w:rFonts w:ascii="Verdana" w:eastAsia="Verdana" w:hAnsi="Verdana" w:cs="Verdana"/>
          <w:spacing w:val="-8"/>
          <w:lang w:val="es-ES"/>
        </w:rPr>
        <w:t xml:space="preserve"> </w:t>
      </w:r>
      <w:r w:rsidRPr="004E17A0">
        <w:rPr>
          <w:rFonts w:ascii="Verdana" w:eastAsia="Verdana" w:hAnsi="Verdana" w:cs="Verdana"/>
          <w:lang w:val="es-ES"/>
        </w:rPr>
        <w:t>que</w:t>
      </w:r>
      <w:r w:rsidRPr="004E17A0">
        <w:rPr>
          <w:rFonts w:ascii="Verdana" w:eastAsia="Verdana" w:hAnsi="Verdana" w:cs="Verdana"/>
          <w:spacing w:val="-5"/>
          <w:lang w:val="es-ES"/>
        </w:rPr>
        <w:t xml:space="preserve"> </w:t>
      </w:r>
      <w:r w:rsidRPr="004E17A0">
        <w:rPr>
          <w:rFonts w:ascii="Verdana" w:eastAsia="Verdana" w:hAnsi="Verdana" w:cs="Verdana"/>
          <w:lang w:val="es-ES"/>
        </w:rPr>
        <w:t>deberían</w:t>
      </w:r>
      <w:r w:rsidRPr="004E17A0">
        <w:rPr>
          <w:rFonts w:ascii="Verdana" w:eastAsia="Verdana" w:hAnsi="Verdana" w:cs="Verdana"/>
          <w:spacing w:val="-8"/>
          <w:lang w:val="es-ES"/>
        </w:rPr>
        <w:t xml:space="preserve"> </w:t>
      </w:r>
      <w:r w:rsidRPr="004E17A0">
        <w:rPr>
          <w:rFonts w:ascii="Verdana" w:eastAsia="Verdana" w:hAnsi="Verdana" w:cs="Verdana"/>
          <w:lang w:val="es-ES"/>
        </w:rPr>
        <w:t>observar</w:t>
      </w:r>
      <w:r w:rsidRPr="004E17A0">
        <w:rPr>
          <w:rFonts w:ascii="Verdana" w:eastAsia="Verdana" w:hAnsi="Verdana" w:cs="Verdana"/>
          <w:spacing w:val="-3"/>
          <w:lang w:val="es-ES"/>
        </w:rPr>
        <w:t xml:space="preserve"> </w:t>
      </w:r>
      <w:r w:rsidRPr="004E17A0">
        <w:rPr>
          <w:rFonts w:ascii="Verdana" w:eastAsia="Verdana" w:hAnsi="Verdana" w:cs="Verdana"/>
          <w:lang w:val="es-ES"/>
        </w:rPr>
        <w:t>las</w:t>
      </w:r>
      <w:r w:rsidRPr="004E17A0">
        <w:rPr>
          <w:rFonts w:ascii="Verdana" w:eastAsia="Verdana" w:hAnsi="Verdana" w:cs="Verdana"/>
          <w:spacing w:val="-4"/>
          <w:lang w:val="es-ES"/>
        </w:rPr>
        <w:t xml:space="preserve"> </w:t>
      </w:r>
      <w:r w:rsidRPr="004E17A0">
        <w:rPr>
          <w:rFonts w:ascii="Verdana" w:eastAsia="Verdana" w:hAnsi="Verdana" w:cs="Verdana"/>
          <w:lang w:val="es-ES"/>
        </w:rPr>
        <w:t>Entidades</w:t>
      </w:r>
      <w:r w:rsidRPr="004E17A0">
        <w:rPr>
          <w:rFonts w:ascii="Verdana" w:eastAsia="Verdana" w:hAnsi="Verdana" w:cs="Verdana"/>
          <w:spacing w:val="-4"/>
          <w:lang w:val="es-ES"/>
        </w:rPr>
        <w:t xml:space="preserve"> </w:t>
      </w:r>
      <w:r w:rsidRPr="004E17A0">
        <w:rPr>
          <w:rFonts w:ascii="Verdana" w:eastAsia="Verdana" w:hAnsi="Verdana" w:cs="Verdana"/>
          <w:lang w:val="es-ES"/>
        </w:rPr>
        <w:t>Estatales</w:t>
      </w:r>
      <w:r w:rsidRPr="004E17A0">
        <w:rPr>
          <w:rFonts w:ascii="Verdana" w:eastAsia="Verdana" w:hAnsi="Verdana" w:cs="Verdana"/>
          <w:spacing w:val="-4"/>
          <w:lang w:val="es-ES"/>
        </w:rPr>
        <w:t xml:space="preserve"> </w:t>
      </w:r>
      <w:r w:rsidRPr="004E17A0">
        <w:rPr>
          <w:rFonts w:ascii="Verdana" w:eastAsia="Verdana" w:hAnsi="Verdana" w:cs="Verdana"/>
          <w:lang w:val="es-ES"/>
        </w:rPr>
        <w:t>al momento de</w:t>
      </w:r>
      <w:r w:rsidRPr="004E17A0">
        <w:rPr>
          <w:rFonts w:ascii="Verdana" w:eastAsia="Verdana" w:hAnsi="Verdana" w:cs="Verdana"/>
          <w:spacing w:val="-4"/>
          <w:lang w:val="es-ES"/>
        </w:rPr>
        <w:t xml:space="preserve"> </w:t>
      </w:r>
      <w:r w:rsidRPr="004E17A0">
        <w:rPr>
          <w:rFonts w:ascii="Verdana" w:eastAsia="Verdana" w:hAnsi="Verdana" w:cs="Verdana"/>
          <w:lang w:val="es-ES"/>
        </w:rPr>
        <w:t>asignar las</w:t>
      </w:r>
      <w:r w:rsidRPr="004E17A0">
        <w:rPr>
          <w:rFonts w:ascii="Verdana" w:eastAsia="Verdana" w:hAnsi="Verdana" w:cs="Verdana"/>
          <w:spacing w:val="-2"/>
          <w:lang w:val="es-ES"/>
        </w:rPr>
        <w:t xml:space="preserve"> </w:t>
      </w:r>
      <w:r w:rsidRPr="004E17A0">
        <w:rPr>
          <w:rFonts w:ascii="Verdana" w:eastAsia="Verdana" w:hAnsi="Verdana" w:cs="Verdana"/>
          <w:lang w:val="es-ES"/>
        </w:rPr>
        <w:t>funciones</w:t>
      </w:r>
      <w:r w:rsidRPr="004E17A0">
        <w:rPr>
          <w:rFonts w:ascii="Verdana" w:eastAsia="Verdana" w:hAnsi="Verdana" w:cs="Verdana"/>
          <w:spacing w:val="-7"/>
          <w:lang w:val="es-ES"/>
        </w:rPr>
        <w:t xml:space="preserve"> </w:t>
      </w:r>
      <w:r w:rsidRPr="004E17A0">
        <w:rPr>
          <w:rFonts w:ascii="Verdana" w:eastAsia="Verdana" w:hAnsi="Verdana" w:cs="Verdana"/>
          <w:lang w:val="es-ES"/>
        </w:rPr>
        <w:t>o actividades a</w:t>
      </w:r>
      <w:r w:rsidRPr="004E17A0">
        <w:rPr>
          <w:rFonts w:ascii="Verdana" w:eastAsia="Verdana" w:hAnsi="Verdana" w:cs="Verdana"/>
          <w:spacing w:val="-1"/>
          <w:lang w:val="es-ES"/>
        </w:rPr>
        <w:t xml:space="preserve"> </w:t>
      </w:r>
      <w:r w:rsidRPr="004E17A0">
        <w:rPr>
          <w:rFonts w:ascii="Verdana" w:eastAsia="Verdana" w:hAnsi="Verdana" w:cs="Verdana"/>
          <w:lang w:val="es-ES"/>
        </w:rPr>
        <w:t>desempeñar por</w:t>
      </w:r>
      <w:r w:rsidRPr="004E17A0">
        <w:rPr>
          <w:rFonts w:ascii="Verdana" w:eastAsia="Verdana" w:hAnsi="Verdana" w:cs="Verdana"/>
          <w:spacing w:val="-2"/>
          <w:lang w:val="es-ES"/>
        </w:rPr>
        <w:t xml:space="preserve"> </w:t>
      </w:r>
      <w:r w:rsidRPr="004E17A0">
        <w:rPr>
          <w:rFonts w:ascii="Verdana" w:eastAsia="Verdana" w:hAnsi="Verdana" w:cs="Verdana"/>
          <w:lang w:val="es-ES"/>
        </w:rPr>
        <w:t xml:space="preserve">parte de los </w:t>
      </w:r>
      <w:r w:rsidRPr="004E17A0">
        <w:rPr>
          <w:rFonts w:ascii="Verdana" w:eastAsia="Verdana" w:hAnsi="Verdana" w:cs="Verdana"/>
          <w:lang w:val="es-ES"/>
        </w:rPr>
        <w:lastRenderedPageBreak/>
        <w:t>miembros</w:t>
      </w:r>
      <w:r w:rsidRPr="004E17A0">
        <w:rPr>
          <w:rFonts w:ascii="Verdana" w:eastAsia="Verdana" w:hAnsi="Verdana" w:cs="Verdana"/>
          <w:spacing w:val="-11"/>
          <w:lang w:val="es-ES"/>
        </w:rPr>
        <w:t xml:space="preserve"> </w:t>
      </w:r>
      <w:r w:rsidRPr="004E17A0">
        <w:rPr>
          <w:rFonts w:ascii="Verdana" w:eastAsia="Verdana" w:hAnsi="Verdana" w:cs="Verdana"/>
          <w:lang w:val="es-ES"/>
        </w:rPr>
        <w:t>de</w:t>
      </w:r>
      <w:r w:rsidRPr="004E17A0">
        <w:rPr>
          <w:rFonts w:ascii="Verdana" w:eastAsia="Verdana" w:hAnsi="Verdana" w:cs="Verdana"/>
          <w:spacing w:val="-12"/>
          <w:lang w:val="es-ES"/>
        </w:rPr>
        <w:t xml:space="preserve"> </w:t>
      </w:r>
      <w:r w:rsidRPr="004E17A0">
        <w:rPr>
          <w:rFonts w:ascii="Verdana" w:eastAsia="Verdana" w:hAnsi="Verdana" w:cs="Verdana"/>
          <w:lang w:val="es-ES"/>
        </w:rPr>
        <w:t>dichos</w:t>
      </w:r>
      <w:r w:rsidRPr="004E17A0">
        <w:rPr>
          <w:rFonts w:ascii="Verdana" w:eastAsia="Verdana" w:hAnsi="Verdana" w:cs="Verdana"/>
          <w:spacing w:val="-11"/>
          <w:lang w:val="es-ES"/>
        </w:rPr>
        <w:t xml:space="preserve"> </w:t>
      </w:r>
      <w:r w:rsidRPr="004E17A0">
        <w:rPr>
          <w:rFonts w:ascii="Verdana" w:eastAsia="Verdana" w:hAnsi="Verdana" w:cs="Verdana"/>
          <w:lang w:val="es-ES"/>
        </w:rPr>
        <w:t>comités,</w:t>
      </w:r>
      <w:r w:rsidRPr="004E17A0">
        <w:rPr>
          <w:rFonts w:ascii="Verdana" w:eastAsia="Verdana" w:hAnsi="Verdana" w:cs="Verdana"/>
          <w:spacing w:val="-11"/>
          <w:lang w:val="es-ES"/>
        </w:rPr>
        <w:t xml:space="preserve"> </w:t>
      </w:r>
      <w:r w:rsidRPr="004E17A0">
        <w:rPr>
          <w:rFonts w:ascii="Verdana" w:eastAsia="Verdana" w:hAnsi="Verdana" w:cs="Verdana"/>
          <w:lang w:val="es-ES"/>
        </w:rPr>
        <w:t>pues</w:t>
      </w:r>
      <w:r w:rsidRPr="004E17A0">
        <w:rPr>
          <w:rFonts w:ascii="Verdana" w:eastAsia="Verdana" w:hAnsi="Verdana" w:cs="Verdana"/>
          <w:spacing w:val="-11"/>
          <w:lang w:val="es-ES"/>
        </w:rPr>
        <w:t xml:space="preserve"> </w:t>
      </w:r>
      <w:r w:rsidRPr="004E17A0">
        <w:rPr>
          <w:rFonts w:ascii="Verdana" w:eastAsia="Verdana" w:hAnsi="Verdana" w:cs="Verdana"/>
          <w:lang w:val="es-ES"/>
        </w:rPr>
        <w:t>la</w:t>
      </w:r>
      <w:r w:rsidRPr="004E17A0">
        <w:rPr>
          <w:rFonts w:ascii="Verdana" w:eastAsia="Verdana" w:hAnsi="Verdana" w:cs="Verdana"/>
          <w:spacing w:val="-13"/>
          <w:lang w:val="es-ES"/>
        </w:rPr>
        <w:t xml:space="preserve"> </w:t>
      </w:r>
      <w:r w:rsidRPr="004E17A0">
        <w:rPr>
          <w:rFonts w:ascii="Verdana" w:eastAsia="Verdana" w:hAnsi="Verdana" w:cs="Verdana"/>
          <w:lang w:val="es-ES"/>
        </w:rPr>
        <w:t>norma</w:t>
      </w:r>
      <w:r w:rsidRPr="004E17A0">
        <w:rPr>
          <w:rFonts w:ascii="Verdana" w:eastAsia="Verdana" w:hAnsi="Verdana" w:cs="Verdana"/>
          <w:spacing w:val="-13"/>
          <w:lang w:val="es-ES"/>
        </w:rPr>
        <w:t xml:space="preserve"> </w:t>
      </w:r>
      <w:r w:rsidRPr="004E17A0">
        <w:rPr>
          <w:rFonts w:ascii="Verdana" w:eastAsia="Verdana" w:hAnsi="Verdana" w:cs="Verdana"/>
          <w:lang w:val="es-ES"/>
        </w:rPr>
        <w:t>en</w:t>
      </w:r>
      <w:r w:rsidRPr="004E17A0">
        <w:rPr>
          <w:rFonts w:ascii="Verdana" w:eastAsia="Verdana" w:hAnsi="Verdana" w:cs="Verdana"/>
          <w:spacing w:val="-11"/>
          <w:lang w:val="es-ES"/>
        </w:rPr>
        <w:t xml:space="preserve"> </w:t>
      </w:r>
      <w:r w:rsidRPr="004E17A0">
        <w:rPr>
          <w:rFonts w:ascii="Verdana" w:eastAsia="Verdana" w:hAnsi="Verdana" w:cs="Verdana"/>
          <w:lang w:val="es-ES"/>
        </w:rPr>
        <w:t>mención,</w:t>
      </w:r>
      <w:r w:rsidRPr="004E17A0">
        <w:rPr>
          <w:rFonts w:ascii="Verdana" w:eastAsia="Verdana" w:hAnsi="Verdana" w:cs="Verdana"/>
          <w:spacing w:val="-16"/>
          <w:lang w:val="es-ES"/>
        </w:rPr>
        <w:t xml:space="preserve"> </w:t>
      </w:r>
      <w:r w:rsidRPr="004E17A0">
        <w:rPr>
          <w:rFonts w:ascii="Verdana" w:eastAsia="Verdana" w:hAnsi="Verdana" w:cs="Verdana"/>
          <w:lang w:val="es-ES"/>
        </w:rPr>
        <w:t>no</w:t>
      </w:r>
      <w:r w:rsidRPr="004E17A0">
        <w:rPr>
          <w:rFonts w:ascii="Verdana" w:eastAsia="Verdana" w:hAnsi="Verdana" w:cs="Verdana"/>
          <w:spacing w:val="-10"/>
          <w:lang w:val="es-ES"/>
        </w:rPr>
        <w:t xml:space="preserve"> </w:t>
      </w:r>
      <w:r w:rsidRPr="004E17A0">
        <w:rPr>
          <w:rFonts w:ascii="Verdana" w:eastAsia="Verdana" w:hAnsi="Verdana" w:cs="Verdana"/>
          <w:lang w:val="es-ES"/>
        </w:rPr>
        <w:t>se</w:t>
      </w:r>
      <w:r w:rsidRPr="004E17A0">
        <w:rPr>
          <w:rFonts w:ascii="Verdana" w:eastAsia="Verdana" w:hAnsi="Verdana" w:cs="Verdana"/>
          <w:spacing w:val="-17"/>
          <w:lang w:val="es-ES"/>
        </w:rPr>
        <w:t xml:space="preserve"> </w:t>
      </w:r>
      <w:r w:rsidRPr="004E17A0">
        <w:rPr>
          <w:rFonts w:ascii="Verdana" w:eastAsia="Verdana" w:hAnsi="Verdana" w:cs="Verdana"/>
          <w:lang w:val="es-ES"/>
        </w:rPr>
        <w:t>refirió</w:t>
      </w:r>
      <w:r w:rsidRPr="004E17A0">
        <w:rPr>
          <w:rFonts w:ascii="Verdana" w:eastAsia="Verdana" w:hAnsi="Verdana" w:cs="Verdana"/>
          <w:spacing w:val="-10"/>
          <w:lang w:val="es-ES"/>
        </w:rPr>
        <w:t xml:space="preserve"> </w:t>
      </w:r>
      <w:r w:rsidRPr="004E17A0">
        <w:rPr>
          <w:rFonts w:ascii="Verdana" w:eastAsia="Verdana" w:hAnsi="Verdana" w:cs="Verdana"/>
          <w:lang w:val="es-ES"/>
        </w:rPr>
        <w:t>sobre</w:t>
      </w:r>
      <w:r w:rsidRPr="004E17A0">
        <w:rPr>
          <w:rFonts w:ascii="Verdana" w:eastAsia="Verdana" w:hAnsi="Verdana" w:cs="Verdana"/>
          <w:spacing w:val="-12"/>
          <w:lang w:val="es-ES"/>
        </w:rPr>
        <w:t xml:space="preserve"> </w:t>
      </w:r>
      <w:r w:rsidRPr="004E17A0">
        <w:rPr>
          <w:rFonts w:ascii="Verdana" w:eastAsia="Verdana" w:hAnsi="Verdana" w:cs="Verdana"/>
          <w:lang w:val="es-ES"/>
        </w:rPr>
        <w:t>este aspecto, por lo que le corresponderá a la Entidad, según la particularidad del asunto, determinarlo.</w:t>
      </w:r>
    </w:p>
    <w:p w14:paraId="09B4AB22" w14:textId="77777777" w:rsidR="004E17A0" w:rsidRPr="004E17A0" w:rsidRDefault="004E17A0" w:rsidP="004E17A0">
      <w:pPr>
        <w:spacing w:after="120" w:line="276" w:lineRule="auto"/>
        <w:ind w:firstLine="708"/>
        <w:jc w:val="both"/>
        <w:rPr>
          <w:rFonts w:ascii="Verdana" w:eastAsia="Verdana" w:hAnsi="Verdana" w:cs="Verdana"/>
          <w:lang w:val="es-ES"/>
        </w:rPr>
      </w:pPr>
      <w:r w:rsidRPr="004E17A0">
        <w:rPr>
          <w:rFonts w:ascii="Verdana" w:eastAsia="Verdana" w:hAnsi="Verdana" w:cs="Verdana"/>
          <w:lang w:val="es-ES"/>
        </w:rPr>
        <w:t>Sobre el particular, la Sala de Consulta y Servicio Civil del Consejo de Estado ha considerado que la realización de la evaluación y la elaboración del informe correspondiente por parte de los comités es una de las actividades desconcentradas a las que alude el parágrafo del artículo 21 de la ley 1150 de 2007</w:t>
      </w:r>
      <w:hyperlink w:anchor="_bookmark2" w:history="1">
        <w:r w:rsidRPr="004E17A0">
          <w:rPr>
            <w:rFonts w:ascii="Verdana" w:eastAsia="Verdana" w:hAnsi="Verdana" w:cs="Verdana"/>
            <w:vertAlign w:val="superscript"/>
            <w:lang w:val="es-ES"/>
          </w:rPr>
          <w:t>3</w:t>
        </w:r>
      </w:hyperlink>
      <w:r w:rsidRPr="004E17A0">
        <w:rPr>
          <w:rFonts w:ascii="Verdana" w:eastAsia="Verdana" w:hAnsi="Verdana" w:cs="Verdana"/>
          <w:lang w:val="es-ES"/>
        </w:rPr>
        <w:t>. La norma en cita dispone que “[…] se entiende por desconcentración la distribución adecuada</w:t>
      </w:r>
      <w:r w:rsidRPr="004E17A0">
        <w:rPr>
          <w:rFonts w:ascii="Verdana" w:eastAsia="Verdana" w:hAnsi="Verdana" w:cs="Verdana"/>
          <w:spacing w:val="-2"/>
          <w:lang w:val="es-ES"/>
        </w:rPr>
        <w:t xml:space="preserve"> </w:t>
      </w:r>
      <w:r w:rsidRPr="004E17A0">
        <w:rPr>
          <w:rFonts w:ascii="Verdana" w:eastAsia="Verdana" w:hAnsi="Verdana" w:cs="Verdana"/>
          <w:lang w:val="es-ES"/>
        </w:rPr>
        <w:t>del trabajo que</w:t>
      </w:r>
      <w:r w:rsidRPr="004E17A0">
        <w:rPr>
          <w:rFonts w:ascii="Verdana" w:eastAsia="Verdana" w:hAnsi="Verdana" w:cs="Verdana"/>
          <w:spacing w:val="-1"/>
          <w:lang w:val="es-ES"/>
        </w:rPr>
        <w:t xml:space="preserve"> </w:t>
      </w:r>
      <w:r w:rsidRPr="004E17A0">
        <w:rPr>
          <w:rFonts w:ascii="Verdana" w:eastAsia="Verdana" w:hAnsi="Verdana" w:cs="Verdana"/>
          <w:lang w:val="es-ES"/>
        </w:rPr>
        <w:t>realiza</w:t>
      </w:r>
      <w:r w:rsidRPr="004E17A0">
        <w:rPr>
          <w:rFonts w:ascii="Verdana" w:eastAsia="Verdana" w:hAnsi="Verdana" w:cs="Verdana"/>
          <w:spacing w:val="-2"/>
          <w:lang w:val="es-ES"/>
        </w:rPr>
        <w:t xml:space="preserve"> </w:t>
      </w:r>
      <w:r w:rsidRPr="004E17A0">
        <w:rPr>
          <w:rFonts w:ascii="Verdana" w:eastAsia="Verdana" w:hAnsi="Verdana" w:cs="Verdana"/>
          <w:lang w:val="es-ES"/>
        </w:rPr>
        <w:t>el jefe</w:t>
      </w:r>
      <w:r w:rsidRPr="004E17A0">
        <w:rPr>
          <w:rFonts w:ascii="Verdana" w:eastAsia="Verdana" w:hAnsi="Verdana" w:cs="Verdana"/>
          <w:spacing w:val="-1"/>
          <w:lang w:val="es-ES"/>
        </w:rPr>
        <w:t xml:space="preserve"> </w:t>
      </w:r>
      <w:r w:rsidRPr="004E17A0">
        <w:rPr>
          <w:rFonts w:ascii="Verdana" w:eastAsia="Verdana" w:hAnsi="Verdana" w:cs="Verdana"/>
          <w:lang w:val="es-ES"/>
        </w:rPr>
        <w:t>o</w:t>
      </w:r>
      <w:r w:rsidRPr="004E17A0">
        <w:rPr>
          <w:rFonts w:ascii="Verdana" w:eastAsia="Verdana" w:hAnsi="Verdana" w:cs="Verdana"/>
          <w:spacing w:val="-3"/>
          <w:lang w:val="es-ES"/>
        </w:rPr>
        <w:t xml:space="preserve"> </w:t>
      </w:r>
      <w:r w:rsidRPr="004E17A0">
        <w:rPr>
          <w:rFonts w:ascii="Verdana" w:eastAsia="Verdana" w:hAnsi="Verdana" w:cs="Verdana"/>
          <w:lang w:val="es-ES"/>
        </w:rPr>
        <w:t>representante</w:t>
      </w:r>
      <w:r w:rsidRPr="004E17A0">
        <w:rPr>
          <w:rFonts w:ascii="Verdana" w:eastAsia="Verdana" w:hAnsi="Verdana" w:cs="Verdana"/>
          <w:spacing w:val="-1"/>
          <w:lang w:val="es-ES"/>
        </w:rPr>
        <w:t xml:space="preserve"> </w:t>
      </w:r>
      <w:r w:rsidRPr="004E17A0">
        <w:rPr>
          <w:rFonts w:ascii="Verdana" w:eastAsia="Verdana" w:hAnsi="Verdana" w:cs="Verdana"/>
          <w:lang w:val="es-ES"/>
        </w:rPr>
        <w:t>legal de</w:t>
      </w:r>
      <w:r w:rsidRPr="004E17A0">
        <w:rPr>
          <w:rFonts w:ascii="Verdana" w:eastAsia="Verdana" w:hAnsi="Verdana" w:cs="Verdana"/>
          <w:spacing w:val="-1"/>
          <w:lang w:val="es-ES"/>
        </w:rPr>
        <w:t xml:space="preserve"> </w:t>
      </w:r>
      <w:r w:rsidRPr="004E17A0">
        <w:rPr>
          <w:rFonts w:ascii="Verdana" w:eastAsia="Verdana" w:hAnsi="Verdana" w:cs="Verdana"/>
          <w:lang w:val="es-ES"/>
        </w:rPr>
        <w:t>la entidad, sin que ello implique autonomía administrativa en su ejercicio […]”.</w:t>
      </w:r>
    </w:p>
    <w:p w14:paraId="7315FEC1" w14:textId="77777777" w:rsidR="004E17A0" w:rsidRPr="004E17A0" w:rsidRDefault="004E17A0" w:rsidP="004E17A0">
      <w:pPr>
        <w:spacing w:after="120" w:line="276" w:lineRule="auto"/>
        <w:ind w:firstLine="708"/>
        <w:jc w:val="both"/>
        <w:rPr>
          <w:rFonts w:ascii="Verdana" w:eastAsia="Verdana" w:hAnsi="Verdana" w:cs="Verdana"/>
          <w:lang w:val="es-ES"/>
        </w:rPr>
      </w:pPr>
      <w:r w:rsidRPr="004E17A0">
        <w:rPr>
          <w:rFonts w:ascii="Verdana" w:eastAsia="Verdana" w:hAnsi="Verdana" w:cs="Verdana"/>
          <w:lang w:val="es-ES"/>
        </w:rPr>
        <w:t>De esta manera, no puede perderse de vista que la finalidad del comité evaluador, según la norma en comento, es la de evaluar las ofertas y manifestación de interés, así como el ejercer todas las actividades y prerrogativas que se deriven o se hagan necesarias para el cumplimiento de dicha función. La evaluación que realiza el comité se materializa a través de la emisión de un concepto o dictamen o informe, que deberá elaborarse y presentarse tanto al ordenador del gasto, como a los demás interesados en el Proceso</w:t>
      </w:r>
      <w:r w:rsidRPr="004E17A0">
        <w:rPr>
          <w:rFonts w:ascii="Verdana" w:eastAsia="Verdana" w:hAnsi="Verdana" w:cs="Verdana"/>
          <w:spacing w:val="-16"/>
          <w:lang w:val="es-ES"/>
        </w:rPr>
        <w:t xml:space="preserve"> </w:t>
      </w:r>
      <w:r w:rsidRPr="004E17A0">
        <w:rPr>
          <w:rFonts w:ascii="Verdana" w:eastAsia="Verdana" w:hAnsi="Verdana" w:cs="Verdana"/>
          <w:lang w:val="es-ES"/>
        </w:rPr>
        <w:t>de</w:t>
      </w:r>
      <w:r w:rsidRPr="004E17A0">
        <w:rPr>
          <w:rFonts w:ascii="Verdana" w:eastAsia="Verdana" w:hAnsi="Verdana" w:cs="Verdana"/>
          <w:spacing w:val="-14"/>
          <w:lang w:val="es-ES"/>
        </w:rPr>
        <w:t xml:space="preserve"> </w:t>
      </w:r>
      <w:r w:rsidRPr="004E17A0">
        <w:rPr>
          <w:rFonts w:ascii="Verdana" w:eastAsia="Verdana" w:hAnsi="Verdana" w:cs="Verdana"/>
          <w:lang w:val="es-ES"/>
        </w:rPr>
        <w:t>Contratación</w:t>
      </w:r>
      <w:r w:rsidRPr="004E17A0">
        <w:rPr>
          <w:rFonts w:ascii="Verdana" w:eastAsia="Verdana" w:hAnsi="Verdana" w:cs="Verdana"/>
          <w:spacing w:val="-13"/>
          <w:lang w:val="es-ES"/>
        </w:rPr>
        <w:t xml:space="preserve"> </w:t>
      </w:r>
      <w:r w:rsidRPr="004E17A0">
        <w:rPr>
          <w:rFonts w:ascii="Verdana" w:eastAsia="Verdana" w:hAnsi="Verdana" w:cs="Verdana"/>
          <w:lang w:val="es-ES"/>
        </w:rPr>
        <w:t>bajo</w:t>
      </w:r>
      <w:r w:rsidRPr="004E17A0">
        <w:rPr>
          <w:rFonts w:ascii="Verdana" w:eastAsia="Verdana" w:hAnsi="Verdana" w:cs="Verdana"/>
          <w:spacing w:val="-12"/>
          <w:lang w:val="es-ES"/>
        </w:rPr>
        <w:t xml:space="preserve"> </w:t>
      </w:r>
      <w:r w:rsidRPr="004E17A0">
        <w:rPr>
          <w:rFonts w:ascii="Verdana" w:eastAsia="Verdana" w:hAnsi="Verdana" w:cs="Verdana"/>
          <w:lang w:val="es-ES"/>
        </w:rPr>
        <w:t>las</w:t>
      </w:r>
      <w:r w:rsidRPr="004E17A0">
        <w:rPr>
          <w:rFonts w:ascii="Verdana" w:eastAsia="Verdana" w:hAnsi="Verdana" w:cs="Verdana"/>
          <w:spacing w:val="-13"/>
          <w:lang w:val="es-ES"/>
        </w:rPr>
        <w:t xml:space="preserve"> </w:t>
      </w:r>
      <w:r w:rsidRPr="004E17A0">
        <w:rPr>
          <w:rFonts w:ascii="Verdana" w:eastAsia="Verdana" w:hAnsi="Verdana" w:cs="Verdana"/>
          <w:lang w:val="es-ES"/>
        </w:rPr>
        <w:t>condiciones</w:t>
      </w:r>
      <w:r w:rsidRPr="004E17A0">
        <w:rPr>
          <w:rFonts w:ascii="Verdana" w:eastAsia="Verdana" w:hAnsi="Verdana" w:cs="Verdana"/>
          <w:spacing w:val="-17"/>
          <w:lang w:val="es-ES"/>
        </w:rPr>
        <w:t xml:space="preserve"> </w:t>
      </w:r>
      <w:r w:rsidRPr="004E17A0">
        <w:rPr>
          <w:rFonts w:ascii="Verdana" w:eastAsia="Verdana" w:hAnsi="Verdana" w:cs="Verdana"/>
          <w:lang w:val="es-ES"/>
        </w:rPr>
        <w:t>y</w:t>
      </w:r>
      <w:r w:rsidRPr="004E17A0">
        <w:rPr>
          <w:rFonts w:ascii="Verdana" w:eastAsia="Verdana" w:hAnsi="Verdana" w:cs="Verdana"/>
          <w:spacing w:val="-13"/>
          <w:lang w:val="es-ES"/>
        </w:rPr>
        <w:t xml:space="preserve"> </w:t>
      </w:r>
      <w:r w:rsidRPr="004E17A0">
        <w:rPr>
          <w:rFonts w:ascii="Verdana" w:eastAsia="Verdana" w:hAnsi="Verdana" w:cs="Verdana"/>
          <w:lang w:val="es-ES"/>
        </w:rPr>
        <w:t>plazos</w:t>
      </w:r>
      <w:r w:rsidRPr="004E17A0">
        <w:rPr>
          <w:rFonts w:ascii="Verdana" w:eastAsia="Verdana" w:hAnsi="Verdana" w:cs="Verdana"/>
          <w:spacing w:val="-13"/>
          <w:lang w:val="es-ES"/>
        </w:rPr>
        <w:t xml:space="preserve"> </w:t>
      </w:r>
      <w:r w:rsidRPr="004E17A0">
        <w:rPr>
          <w:rFonts w:ascii="Verdana" w:eastAsia="Verdana" w:hAnsi="Verdana" w:cs="Verdana"/>
          <w:lang w:val="es-ES"/>
        </w:rPr>
        <w:t>previamente</w:t>
      </w:r>
      <w:r w:rsidRPr="004E17A0">
        <w:rPr>
          <w:rFonts w:ascii="Verdana" w:eastAsia="Verdana" w:hAnsi="Verdana" w:cs="Verdana"/>
          <w:spacing w:val="-14"/>
          <w:lang w:val="es-ES"/>
        </w:rPr>
        <w:t xml:space="preserve"> </w:t>
      </w:r>
      <w:r w:rsidRPr="004E17A0">
        <w:rPr>
          <w:rFonts w:ascii="Verdana" w:eastAsia="Verdana" w:hAnsi="Verdana" w:cs="Verdana"/>
          <w:lang w:val="es-ES"/>
        </w:rPr>
        <w:t>definidos</w:t>
      </w:r>
      <w:r w:rsidRPr="004E17A0">
        <w:rPr>
          <w:rFonts w:ascii="Verdana" w:eastAsia="Verdana" w:hAnsi="Verdana" w:cs="Verdana"/>
          <w:spacing w:val="-13"/>
          <w:lang w:val="es-ES"/>
        </w:rPr>
        <w:t xml:space="preserve"> </w:t>
      </w:r>
      <w:r w:rsidRPr="004E17A0">
        <w:rPr>
          <w:rFonts w:ascii="Verdana" w:eastAsia="Verdana" w:hAnsi="Verdana" w:cs="Verdana"/>
          <w:lang w:val="es-ES"/>
        </w:rPr>
        <w:t>por la</w:t>
      </w:r>
      <w:r w:rsidRPr="004E17A0">
        <w:rPr>
          <w:rFonts w:ascii="Verdana" w:eastAsia="Verdana" w:hAnsi="Verdana" w:cs="Verdana"/>
          <w:spacing w:val="-4"/>
          <w:lang w:val="es-ES"/>
        </w:rPr>
        <w:t xml:space="preserve"> </w:t>
      </w:r>
      <w:r w:rsidRPr="004E17A0">
        <w:rPr>
          <w:rFonts w:ascii="Verdana" w:eastAsia="Verdana" w:hAnsi="Verdana" w:cs="Verdana"/>
          <w:lang w:val="es-ES"/>
        </w:rPr>
        <w:t>Entidad</w:t>
      </w:r>
      <w:r w:rsidRPr="004E17A0">
        <w:rPr>
          <w:rFonts w:ascii="Verdana" w:eastAsia="Verdana" w:hAnsi="Verdana" w:cs="Verdana"/>
          <w:spacing w:val="-4"/>
          <w:lang w:val="es-ES"/>
        </w:rPr>
        <w:t xml:space="preserve"> </w:t>
      </w:r>
      <w:r w:rsidRPr="004E17A0">
        <w:rPr>
          <w:rFonts w:ascii="Verdana" w:eastAsia="Verdana" w:hAnsi="Verdana" w:cs="Verdana"/>
          <w:lang w:val="es-ES"/>
        </w:rPr>
        <w:t>Estatal,</w:t>
      </w:r>
      <w:r w:rsidRPr="004E17A0">
        <w:rPr>
          <w:rFonts w:ascii="Verdana" w:eastAsia="Verdana" w:hAnsi="Verdana" w:cs="Verdana"/>
          <w:spacing w:val="-2"/>
          <w:lang w:val="es-ES"/>
        </w:rPr>
        <w:t xml:space="preserve"> </w:t>
      </w:r>
      <w:r w:rsidRPr="004E17A0">
        <w:rPr>
          <w:rFonts w:ascii="Verdana" w:eastAsia="Verdana" w:hAnsi="Verdana" w:cs="Verdana"/>
          <w:lang w:val="es-ES"/>
        </w:rPr>
        <w:t>a</w:t>
      </w:r>
      <w:r w:rsidRPr="004E17A0">
        <w:rPr>
          <w:rFonts w:ascii="Verdana" w:eastAsia="Verdana" w:hAnsi="Verdana" w:cs="Verdana"/>
          <w:spacing w:val="-5"/>
          <w:lang w:val="es-ES"/>
        </w:rPr>
        <w:t xml:space="preserve"> </w:t>
      </w:r>
      <w:r w:rsidRPr="004E17A0">
        <w:rPr>
          <w:rFonts w:ascii="Verdana" w:eastAsia="Verdana" w:hAnsi="Verdana" w:cs="Verdana"/>
          <w:lang w:val="es-ES"/>
        </w:rPr>
        <w:t>través del</w:t>
      </w:r>
      <w:r w:rsidRPr="004E17A0">
        <w:rPr>
          <w:rFonts w:ascii="Verdana" w:eastAsia="Verdana" w:hAnsi="Verdana" w:cs="Verdana"/>
          <w:spacing w:val="-2"/>
          <w:lang w:val="es-ES"/>
        </w:rPr>
        <w:t xml:space="preserve"> </w:t>
      </w:r>
      <w:r w:rsidRPr="004E17A0">
        <w:rPr>
          <w:rFonts w:ascii="Verdana" w:eastAsia="Verdana" w:hAnsi="Verdana" w:cs="Verdana"/>
          <w:lang w:val="es-ES"/>
        </w:rPr>
        <w:t>Sistema</w:t>
      </w:r>
      <w:r w:rsidRPr="004E17A0">
        <w:rPr>
          <w:rFonts w:ascii="Verdana" w:eastAsia="Verdana" w:hAnsi="Verdana" w:cs="Verdana"/>
          <w:spacing w:val="-5"/>
          <w:lang w:val="es-ES"/>
        </w:rPr>
        <w:t xml:space="preserve"> </w:t>
      </w:r>
      <w:r w:rsidRPr="004E17A0">
        <w:rPr>
          <w:rFonts w:ascii="Verdana" w:eastAsia="Verdana" w:hAnsi="Verdana" w:cs="Verdana"/>
          <w:lang w:val="es-ES"/>
        </w:rPr>
        <w:t>Electrónico</w:t>
      </w:r>
      <w:r w:rsidRPr="004E17A0">
        <w:rPr>
          <w:rFonts w:ascii="Verdana" w:eastAsia="Verdana" w:hAnsi="Verdana" w:cs="Verdana"/>
          <w:spacing w:val="-1"/>
          <w:lang w:val="es-ES"/>
        </w:rPr>
        <w:t xml:space="preserve"> </w:t>
      </w:r>
      <w:r w:rsidRPr="004E17A0">
        <w:rPr>
          <w:rFonts w:ascii="Verdana" w:eastAsia="Verdana" w:hAnsi="Verdana" w:cs="Verdana"/>
          <w:lang w:val="es-ES"/>
        </w:rPr>
        <w:t>para</w:t>
      </w:r>
      <w:r w:rsidRPr="004E17A0">
        <w:rPr>
          <w:rFonts w:ascii="Verdana" w:eastAsia="Verdana" w:hAnsi="Verdana" w:cs="Verdana"/>
          <w:spacing w:val="-5"/>
          <w:lang w:val="es-ES"/>
        </w:rPr>
        <w:t xml:space="preserve"> </w:t>
      </w:r>
      <w:r w:rsidRPr="004E17A0">
        <w:rPr>
          <w:rFonts w:ascii="Verdana" w:eastAsia="Verdana" w:hAnsi="Verdana" w:cs="Verdana"/>
          <w:lang w:val="es-ES"/>
        </w:rPr>
        <w:t>la</w:t>
      </w:r>
      <w:r w:rsidRPr="004E17A0">
        <w:rPr>
          <w:rFonts w:ascii="Verdana" w:eastAsia="Verdana" w:hAnsi="Verdana" w:cs="Verdana"/>
          <w:spacing w:val="-4"/>
          <w:lang w:val="es-ES"/>
        </w:rPr>
        <w:t xml:space="preserve"> </w:t>
      </w:r>
      <w:r w:rsidRPr="004E17A0">
        <w:rPr>
          <w:rFonts w:ascii="Verdana" w:eastAsia="Verdana" w:hAnsi="Verdana" w:cs="Verdana"/>
          <w:lang w:val="es-ES"/>
        </w:rPr>
        <w:t>Contratación</w:t>
      </w:r>
      <w:r w:rsidRPr="004E17A0">
        <w:rPr>
          <w:rFonts w:ascii="Verdana" w:eastAsia="Verdana" w:hAnsi="Verdana" w:cs="Verdana"/>
          <w:spacing w:val="-2"/>
          <w:lang w:val="es-ES"/>
        </w:rPr>
        <w:t xml:space="preserve"> </w:t>
      </w:r>
      <w:r w:rsidRPr="004E17A0">
        <w:rPr>
          <w:rFonts w:ascii="Verdana" w:eastAsia="Verdana" w:hAnsi="Verdana" w:cs="Verdana"/>
          <w:lang w:val="es-ES"/>
        </w:rPr>
        <w:t>Pública – SECOP.</w:t>
      </w:r>
    </w:p>
    <w:p w14:paraId="2DDB364A" w14:textId="77777777" w:rsidR="004E17A0" w:rsidRPr="004E17A0" w:rsidRDefault="004E17A0" w:rsidP="004E17A0">
      <w:pPr>
        <w:spacing w:after="0" w:line="276" w:lineRule="auto"/>
        <w:jc w:val="both"/>
        <w:rPr>
          <w:rFonts w:ascii="Verdana" w:eastAsia="Calibri" w:hAnsi="Verdana" w:cs="Arial"/>
          <w:lang w:eastAsia="es-ES_tradnl"/>
        </w:rPr>
      </w:pPr>
    </w:p>
    <w:p w14:paraId="4DBE783E" w14:textId="77777777" w:rsidR="004E17A0" w:rsidRPr="004E17A0" w:rsidRDefault="004E17A0" w:rsidP="004E17A0">
      <w:pPr>
        <w:numPr>
          <w:ilvl w:val="0"/>
          <w:numId w:val="16"/>
        </w:numPr>
        <w:spacing w:after="0" w:line="256" w:lineRule="auto"/>
        <w:rPr>
          <w:rFonts w:ascii="Verdana" w:eastAsia="Calibri" w:hAnsi="Verdana" w:cs="Times New Roman"/>
          <w:b/>
          <w:bCs/>
          <w:lang w:val="es-ES"/>
        </w:rPr>
      </w:pPr>
      <w:r w:rsidRPr="004E17A0">
        <w:rPr>
          <w:rFonts w:ascii="Verdana" w:eastAsia="Calibri" w:hAnsi="Verdana" w:cs="Times New Roman"/>
          <w:b/>
          <w:bCs/>
          <w:lang w:val="es-ES"/>
        </w:rPr>
        <w:t>Referencias normativas, jurisprudenciales y otras fuentes:</w:t>
      </w:r>
    </w:p>
    <w:p w14:paraId="1F17C7AE" w14:textId="77777777" w:rsidR="004E17A0" w:rsidRPr="004E17A0" w:rsidRDefault="004E17A0" w:rsidP="004E17A0">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E17A0" w:rsidRPr="004E17A0" w14:paraId="21073E63" w14:textId="77777777" w:rsidTr="007C248B">
        <w:trPr>
          <w:trHeight w:val="870"/>
          <w:jc w:val="center"/>
        </w:trPr>
        <w:tc>
          <w:tcPr>
            <w:tcW w:w="8647" w:type="dxa"/>
          </w:tcPr>
          <w:p w14:paraId="6E5419ED" w14:textId="77777777" w:rsidR="004E17A0" w:rsidRPr="004E17A0" w:rsidRDefault="004E17A0" w:rsidP="004E17A0">
            <w:pPr>
              <w:numPr>
                <w:ilvl w:val="0"/>
                <w:numId w:val="17"/>
              </w:numPr>
              <w:contextualSpacing/>
              <w:rPr>
                <w:rFonts w:ascii="Verdana" w:hAnsi="Verdana" w:cs="Arial"/>
                <w:lang w:val="es-ES"/>
              </w:rPr>
            </w:pPr>
            <w:r w:rsidRPr="004E17A0">
              <w:rPr>
                <w:rFonts w:ascii="Verdana" w:hAnsi="Verdana" w:cs="Arial"/>
                <w:lang w:val="es-ES"/>
              </w:rPr>
              <w:t>Ley 80 de 1993, artículos 13 y 32.</w:t>
            </w:r>
          </w:p>
          <w:p w14:paraId="2B739063" w14:textId="77777777" w:rsidR="004E17A0" w:rsidRPr="004E17A0" w:rsidRDefault="004E17A0" w:rsidP="004E17A0">
            <w:pPr>
              <w:widowControl w:val="0"/>
              <w:numPr>
                <w:ilvl w:val="0"/>
                <w:numId w:val="17"/>
              </w:numPr>
              <w:autoSpaceDE w:val="0"/>
              <w:autoSpaceDN w:val="0"/>
              <w:spacing w:before="120" w:after="120" w:line="276" w:lineRule="auto"/>
              <w:ind w:left="714" w:hanging="357"/>
              <w:jc w:val="both"/>
              <w:rPr>
                <w:rFonts w:ascii="Verdana" w:hAnsi="Verdana" w:cs="Arial"/>
                <w:lang w:val="es-ES"/>
              </w:rPr>
            </w:pPr>
            <w:r w:rsidRPr="004E17A0">
              <w:rPr>
                <w:rFonts w:ascii="Verdana" w:hAnsi="Verdana" w:cs="Arial"/>
                <w:lang w:val="es-ES"/>
              </w:rPr>
              <w:t xml:space="preserve">Ley 1150 de 2007, artículos 5 y 6. </w:t>
            </w:r>
          </w:p>
          <w:p w14:paraId="0B76E00A" w14:textId="77777777" w:rsidR="004E17A0" w:rsidRPr="004E17A0" w:rsidRDefault="004E17A0" w:rsidP="004E17A0">
            <w:pPr>
              <w:widowControl w:val="0"/>
              <w:numPr>
                <w:ilvl w:val="0"/>
                <w:numId w:val="17"/>
              </w:numPr>
              <w:autoSpaceDE w:val="0"/>
              <w:autoSpaceDN w:val="0"/>
              <w:spacing w:before="120" w:after="120" w:line="276" w:lineRule="auto"/>
              <w:ind w:left="714" w:hanging="357"/>
              <w:jc w:val="both"/>
              <w:rPr>
                <w:rFonts w:ascii="Verdana" w:hAnsi="Verdana" w:cs="Arial"/>
                <w:lang w:val="es-ES"/>
              </w:rPr>
            </w:pPr>
            <w:r w:rsidRPr="004E17A0">
              <w:rPr>
                <w:rFonts w:ascii="Verdana" w:hAnsi="Verdana" w:cs="Arial"/>
                <w:lang w:val="es-ES"/>
              </w:rPr>
              <w:t xml:space="preserve">Decreto 1082 de 2015, artículos </w:t>
            </w:r>
            <w:r w:rsidRPr="004E17A0">
              <w:rPr>
                <w:rFonts w:ascii="Verdana" w:hAnsi="Verdana"/>
                <w:lang w:val="es-ES"/>
              </w:rPr>
              <w:t>2.2.1.1.1.3.1,</w:t>
            </w:r>
            <w:r w:rsidRPr="004E17A0">
              <w:rPr>
                <w:rFonts w:ascii="Verdana" w:eastAsia="Times New Roman" w:hAnsi="Verdana" w:cs="Arial"/>
                <w:color w:val="000000" w:themeColor="text1"/>
                <w:lang w:val="es-ES_tradnl" w:eastAsia="es-MX"/>
              </w:rPr>
              <w:t xml:space="preserve"> </w:t>
            </w:r>
            <w:r w:rsidRPr="004E17A0">
              <w:rPr>
                <w:rFonts w:ascii="Verdana" w:hAnsi="Verdana"/>
                <w:lang w:val="es-ES_tradnl"/>
              </w:rPr>
              <w:t>2.2.1.1.1.5.1,</w:t>
            </w:r>
            <w:r w:rsidRPr="004E17A0">
              <w:rPr>
                <w:rFonts w:ascii="Verdana" w:hAnsi="Verdana"/>
                <w:lang w:val="es-ES"/>
              </w:rPr>
              <w:t xml:space="preserve"> </w:t>
            </w:r>
            <w:r w:rsidRPr="004E17A0">
              <w:rPr>
                <w:rFonts w:ascii="Verdana" w:eastAsia="Times New Roman" w:hAnsi="Verdana" w:cs="Arial"/>
                <w:color w:val="000000" w:themeColor="text1"/>
                <w:lang w:val="es-ES_tradnl" w:eastAsia="es-MX"/>
              </w:rPr>
              <w:t xml:space="preserve">2.2.1.1.1.5.2, </w:t>
            </w:r>
            <w:r w:rsidRPr="004E17A0">
              <w:rPr>
                <w:rFonts w:ascii="Verdana" w:eastAsia="Times New Roman" w:hAnsi="Verdana" w:cs="Arial"/>
                <w:color w:val="000000" w:themeColor="text1"/>
                <w:lang w:val="es-ES" w:eastAsia="es-MX"/>
              </w:rPr>
              <w:t xml:space="preserve">2.2.1.1.1.5.3., </w:t>
            </w:r>
            <w:r w:rsidRPr="004E17A0">
              <w:rPr>
                <w:rFonts w:ascii="Verdana" w:eastAsia="Arial MT" w:hAnsi="Verdana" w:cs="Arial"/>
                <w:lang w:val="es-ES"/>
              </w:rPr>
              <w:t>2.2.1.1.1.5.6, 2.2.1.1.2.2.3, 2.2.1.1.1.7.</w:t>
            </w:r>
          </w:p>
          <w:p w14:paraId="6A7D8A57" w14:textId="77777777" w:rsidR="004E17A0" w:rsidRPr="004E17A0" w:rsidRDefault="004E17A0" w:rsidP="004E17A0">
            <w:pPr>
              <w:widowControl w:val="0"/>
              <w:numPr>
                <w:ilvl w:val="0"/>
                <w:numId w:val="17"/>
              </w:numPr>
              <w:autoSpaceDE w:val="0"/>
              <w:autoSpaceDN w:val="0"/>
              <w:spacing w:before="120" w:after="120" w:line="276" w:lineRule="auto"/>
              <w:ind w:left="714" w:hanging="357"/>
              <w:jc w:val="both"/>
              <w:rPr>
                <w:rFonts w:ascii="Verdana" w:hAnsi="Verdana" w:cs="Arial"/>
                <w:lang w:val="es-ES"/>
              </w:rPr>
            </w:pPr>
            <w:r w:rsidRPr="004E17A0">
              <w:rPr>
                <w:rFonts w:ascii="Verdana" w:hAnsi="Verdana" w:cs="Arial"/>
                <w:lang w:val="es-ES"/>
              </w:rPr>
              <w:t xml:space="preserve">CONSEJO DE ESTADO. Sala de Consulta y Servicio Civil. Consulta del 20 de mayo de 2010. Exp.1992. C. P. Enrique José Arboleda Perdomo. </w:t>
            </w:r>
          </w:p>
          <w:p w14:paraId="6D3119F9" w14:textId="77777777" w:rsidR="004E17A0" w:rsidRPr="004E17A0" w:rsidRDefault="004E17A0" w:rsidP="004E17A0">
            <w:pPr>
              <w:widowControl w:val="0"/>
              <w:numPr>
                <w:ilvl w:val="0"/>
                <w:numId w:val="17"/>
              </w:numPr>
              <w:autoSpaceDE w:val="0"/>
              <w:autoSpaceDN w:val="0"/>
              <w:spacing w:before="120" w:after="120" w:line="276" w:lineRule="auto"/>
              <w:ind w:left="714" w:hanging="357"/>
              <w:jc w:val="both"/>
              <w:rPr>
                <w:rFonts w:ascii="Verdana" w:hAnsi="Verdana" w:cs="Arial"/>
                <w:lang w:val="es-ES"/>
              </w:rPr>
            </w:pPr>
            <w:r w:rsidRPr="004E17A0">
              <w:rPr>
                <w:rFonts w:ascii="Verdana" w:hAnsi="Verdana" w:cs="Arial"/>
                <w:lang w:val="es-ES"/>
              </w:rPr>
              <w:t xml:space="preserve">CONSEJO DE ESTADO. Sección Tercera. Subsección A. Sentencia del 12 de febrero de 2014. </w:t>
            </w:r>
            <w:proofErr w:type="spellStart"/>
            <w:r w:rsidRPr="004E17A0">
              <w:rPr>
                <w:rFonts w:ascii="Verdana" w:hAnsi="Verdana" w:cs="Arial"/>
                <w:lang w:val="es-ES"/>
              </w:rPr>
              <w:t>Exp</w:t>
            </w:r>
            <w:proofErr w:type="spellEnd"/>
            <w:r w:rsidRPr="004E17A0">
              <w:rPr>
                <w:rFonts w:ascii="Verdana" w:hAnsi="Verdana" w:cs="Arial"/>
                <w:lang w:val="es-ES"/>
              </w:rPr>
              <w:t>. 31.753. C.P. Mauricio Fajardo Gómez.</w:t>
            </w:r>
          </w:p>
          <w:p w14:paraId="0FBE54A7" w14:textId="77777777" w:rsidR="004E17A0" w:rsidRPr="004E17A0" w:rsidRDefault="004E17A0" w:rsidP="004E17A0">
            <w:pPr>
              <w:widowControl w:val="0"/>
              <w:numPr>
                <w:ilvl w:val="0"/>
                <w:numId w:val="17"/>
              </w:numPr>
              <w:autoSpaceDE w:val="0"/>
              <w:autoSpaceDN w:val="0"/>
              <w:spacing w:before="120" w:after="120" w:line="276" w:lineRule="auto"/>
              <w:ind w:left="714" w:hanging="357"/>
              <w:jc w:val="both"/>
              <w:rPr>
                <w:rFonts w:ascii="Verdana" w:hAnsi="Verdana" w:cs="Arial"/>
                <w:lang w:val="es-ES"/>
              </w:rPr>
            </w:pPr>
            <w:r w:rsidRPr="004E17A0">
              <w:rPr>
                <w:rFonts w:ascii="Verdana" w:hAnsi="Verdana" w:cs="Arial"/>
                <w:lang w:val="es-ES"/>
              </w:rPr>
              <w:t xml:space="preserve">Consejo de Estado. Sección Tercera. Sentencia del 16 de marzo de </w:t>
            </w:r>
            <w:r w:rsidRPr="004E17A0">
              <w:rPr>
                <w:rFonts w:ascii="Verdana" w:hAnsi="Verdana" w:cs="Arial"/>
                <w:lang w:val="es-ES"/>
              </w:rPr>
              <w:lastRenderedPageBreak/>
              <w:t xml:space="preserve">2015. </w:t>
            </w:r>
            <w:proofErr w:type="spellStart"/>
            <w:r w:rsidRPr="004E17A0">
              <w:rPr>
                <w:rFonts w:ascii="Verdana" w:hAnsi="Verdana" w:cs="Arial"/>
                <w:lang w:val="es-ES"/>
              </w:rPr>
              <w:t>Exp</w:t>
            </w:r>
            <w:proofErr w:type="spellEnd"/>
            <w:r w:rsidRPr="004E17A0">
              <w:rPr>
                <w:rFonts w:ascii="Verdana" w:hAnsi="Verdana" w:cs="Arial"/>
                <w:lang w:val="es-ES"/>
              </w:rPr>
              <w:t>. 28.040. Consejera Ponente: Olga Melida Valle de la Hoz.</w:t>
            </w:r>
          </w:p>
          <w:p w14:paraId="13C2536D" w14:textId="77777777" w:rsidR="004E17A0" w:rsidRPr="004E17A0" w:rsidRDefault="004E17A0" w:rsidP="004E17A0">
            <w:pPr>
              <w:widowControl w:val="0"/>
              <w:numPr>
                <w:ilvl w:val="0"/>
                <w:numId w:val="17"/>
              </w:numPr>
              <w:autoSpaceDE w:val="0"/>
              <w:autoSpaceDN w:val="0"/>
              <w:spacing w:before="120" w:after="120" w:line="276" w:lineRule="auto"/>
              <w:ind w:left="714" w:hanging="357"/>
              <w:jc w:val="both"/>
              <w:rPr>
                <w:rFonts w:ascii="Verdana" w:hAnsi="Verdana" w:cs="Arial"/>
                <w:lang w:val="es-ES"/>
              </w:rPr>
            </w:pPr>
            <w:r w:rsidRPr="004E17A0">
              <w:rPr>
                <w:rFonts w:ascii="Verdana" w:hAnsi="Verdana" w:cs="Arial"/>
                <w:color w:val="000000" w:themeColor="text1"/>
                <w:lang w:val="es-ES"/>
              </w:rPr>
              <w:t>AGENCIA NACIONAL DE CONTRATACIÓN PÚBLICA –COLOMBIA COMPRA EFICIENTE. Manual para determinar y verificar requisitos habilitantes en los procesos de contratación, disponible en el siguiente link:</w:t>
            </w:r>
            <w:r w:rsidRPr="004E17A0">
              <w:rPr>
                <w:rFonts w:ascii="Verdana" w:hAnsi="Verdana" w:cs="Arial"/>
                <w:color w:val="000000" w:themeColor="text1"/>
                <w:lang w:val="es-ES"/>
              </w:rPr>
              <w:tab/>
            </w:r>
            <w:r w:rsidRPr="004E17A0">
              <w:rPr>
                <w:rFonts w:ascii="Verdana" w:hAnsi="Verdana"/>
                <w:lang w:val="es-ES"/>
              </w:rPr>
              <w:t xml:space="preserve"> </w:t>
            </w:r>
            <w:r w:rsidRPr="004E17A0">
              <w:rPr>
                <w:rFonts w:ascii="Verdana" w:hAnsi="Verdana"/>
                <w:color w:val="0000FF"/>
                <w:u w:val="single"/>
                <w:lang w:val="es-ES"/>
              </w:rPr>
              <w:t>https://www.colombiacompra.gov.co/sites/cce_public/files/cce_documents/cce-eicp-ma-04._manual_requisitos_habilitantes_v3_29-09-2023.pdf</w:t>
            </w:r>
          </w:p>
        </w:tc>
      </w:tr>
    </w:tbl>
    <w:p w14:paraId="2DF121E0" w14:textId="77777777" w:rsidR="004E17A0" w:rsidRPr="004E17A0" w:rsidRDefault="004E17A0" w:rsidP="004E17A0">
      <w:pPr>
        <w:spacing w:after="0" w:line="276" w:lineRule="auto"/>
        <w:ind w:right="709"/>
        <w:jc w:val="both"/>
        <w:rPr>
          <w:rFonts w:ascii="Verdana" w:hAnsi="Verdana" w:cs="Arial"/>
          <w:color w:val="000000" w:themeColor="text1"/>
          <w:lang w:val="es-ES_tradnl"/>
        </w:rPr>
      </w:pPr>
    </w:p>
    <w:p w14:paraId="16AD53E9" w14:textId="77777777" w:rsidR="004E17A0" w:rsidRPr="004E17A0" w:rsidRDefault="004E17A0" w:rsidP="004E17A0">
      <w:pPr>
        <w:numPr>
          <w:ilvl w:val="0"/>
          <w:numId w:val="16"/>
        </w:numPr>
        <w:spacing w:after="0" w:line="256" w:lineRule="auto"/>
        <w:rPr>
          <w:rFonts w:ascii="Verdana" w:eastAsia="Calibri" w:hAnsi="Verdana" w:cs="Times New Roman"/>
          <w:b/>
          <w:bCs/>
          <w:lang w:val="es-ES"/>
        </w:rPr>
      </w:pPr>
      <w:r w:rsidRPr="004E17A0">
        <w:rPr>
          <w:rFonts w:ascii="Verdana" w:eastAsia="Calibri" w:hAnsi="Verdana" w:cs="Times New Roman"/>
          <w:b/>
          <w:bCs/>
          <w:lang w:val="es-ES"/>
        </w:rPr>
        <w:t>Doctrina de la Agencia Nacional de Contratación Pública:</w:t>
      </w:r>
    </w:p>
    <w:p w14:paraId="1278DAB4" w14:textId="77777777" w:rsidR="004E17A0" w:rsidRPr="004E17A0" w:rsidRDefault="004E17A0" w:rsidP="004E17A0">
      <w:pPr>
        <w:widowControl w:val="0"/>
        <w:autoSpaceDE w:val="0"/>
        <w:autoSpaceDN w:val="0"/>
        <w:spacing w:after="0" w:line="276" w:lineRule="auto"/>
        <w:jc w:val="both"/>
        <w:rPr>
          <w:rFonts w:ascii="Verdana" w:hAnsi="Verdana" w:cs="Arial"/>
          <w:bCs/>
          <w:shd w:val="clear" w:color="auto" w:fill="FFFFFF"/>
        </w:rPr>
      </w:pPr>
    </w:p>
    <w:p w14:paraId="416AE2B0" w14:textId="77777777" w:rsidR="004E17A0" w:rsidRPr="004E17A0" w:rsidRDefault="004E17A0" w:rsidP="004E17A0">
      <w:pPr>
        <w:widowControl w:val="0"/>
        <w:autoSpaceDE w:val="0"/>
        <w:autoSpaceDN w:val="0"/>
        <w:spacing w:after="0" w:line="276" w:lineRule="auto"/>
        <w:jc w:val="both"/>
        <w:rPr>
          <w:rFonts w:ascii="Verdana" w:hAnsi="Verdana" w:cs="Arial"/>
          <w:bCs/>
          <w:shd w:val="clear" w:color="auto" w:fill="FFFFFF"/>
        </w:rPr>
      </w:pPr>
      <w:r w:rsidRPr="004E17A0">
        <w:rPr>
          <w:rFonts w:ascii="Verdana" w:hAnsi="Verdana" w:cs="Arial"/>
          <w:bCs/>
          <w:shd w:val="clear" w:color="auto" w:fill="FFFFFF"/>
        </w:rPr>
        <w:t xml:space="preserve">La Agencia Nacional de Contratación Pública – Colombia Compra Eficiente se ha pronunciado sobre requisitos habilitantes, en </w:t>
      </w:r>
      <w:r w:rsidRPr="004E17A0">
        <w:rPr>
          <w:rFonts w:ascii="Verdana" w:hAnsi="Verdana" w:cs="Arial"/>
          <w:bCs/>
          <w:shd w:val="clear" w:color="auto" w:fill="FFFFFF"/>
          <w:lang w:val="es-ES"/>
        </w:rPr>
        <w:t>los conceptos con radicados No. 2201913000007980 del 24 de octubre de 2019, C-868 del 19 de diciembre de 2022, C-877 del 26 de diciembre de 2022, C-417 del 27 de septiembre de 2023, C-432 del 23 de octubre de 2023, C-174 del 23 de julio de 2024, C- 530 del 4 de octubre de 2024, C-595 del 24 de octubre 2024, C-648 del 6 de noviembre 2024, C-116 del 11 de marzo de 2025, C-275 del 10 de abril de 2025, C- 397 del 7 de mayo de 2025, C-659 del 7 de julio de 2025, C-1143 del 15 de septiembre de 2025, entre otros</w:t>
      </w:r>
      <w:r w:rsidRPr="004E17A0">
        <w:rPr>
          <w:rFonts w:ascii="Verdana" w:hAnsi="Verdana" w:cs="Arial"/>
          <w:bCs/>
          <w:shd w:val="clear" w:color="auto" w:fill="FFFFFF"/>
        </w:rPr>
        <w:t xml:space="preserve">. </w:t>
      </w:r>
    </w:p>
    <w:p w14:paraId="3C8755BA" w14:textId="77777777" w:rsidR="004E17A0" w:rsidRPr="004E17A0" w:rsidRDefault="004E17A0" w:rsidP="004E17A0">
      <w:pPr>
        <w:widowControl w:val="0"/>
        <w:autoSpaceDE w:val="0"/>
        <w:autoSpaceDN w:val="0"/>
        <w:spacing w:after="0" w:line="276" w:lineRule="auto"/>
        <w:jc w:val="both"/>
        <w:rPr>
          <w:rFonts w:ascii="Verdana" w:hAnsi="Verdana" w:cs="Arial"/>
          <w:bCs/>
          <w:shd w:val="clear" w:color="auto" w:fill="FFFFFF"/>
        </w:rPr>
      </w:pPr>
    </w:p>
    <w:p w14:paraId="2EF0879B" w14:textId="77777777" w:rsidR="004E17A0" w:rsidRPr="004E17A0" w:rsidRDefault="004E17A0" w:rsidP="004E17A0">
      <w:pPr>
        <w:widowControl w:val="0"/>
        <w:autoSpaceDE w:val="0"/>
        <w:autoSpaceDN w:val="0"/>
        <w:spacing w:after="0" w:line="276" w:lineRule="auto"/>
        <w:jc w:val="both"/>
        <w:rPr>
          <w:rFonts w:ascii="Verdana" w:hAnsi="Verdana" w:cs="Arial"/>
          <w:bCs/>
          <w:shd w:val="clear" w:color="auto" w:fill="FFFFFF"/>
        </w:rPr>
      </w:pPr>
      <w:r w:rsidRPr="004E17A0">
        <w:rPr>
          <w:rFonts w:ascii="Verdana" w:hAnsi="Verdana" w:cs="Arial"/>
          <w:bCs/>
          <w:shd w:val="clear" w:color="auto" w:fill="FFFFFF"/>
        </w:rPr>
        <w:t xml:space="preserve">Sobre los Comités de Evaluación de las ofertas, esta Subdirección se ha referido en los Conceptos C-128 del 3 de marzo de 2020, C-522 del 1 de octubre de 2021, C-063 de 17 de abril 2024, C-602 del 9 de octubre de 2024, C-343 del 24 de abril de 2025, C-755 del 23 de julio de 2025, C-530 del 22 de abril de 2026, entre otros. </w:t>
      </w:r>
      <w:r w:rsidRPr="004E17A0">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5C8F0047" w14:textId="77777777" w:rsidR="004E17A0" w:rsidRPr="004E17A0" w:rsidRDefault="004E17A0" w:rsidP="004E17A0">
      <w:pPr>
        <w:spacing w:after="0" w:line="256" w:lineRule="auto"/>
        <w:jc w:val="both"/>
        <w:rPr>
          <w:rFonts w:ascii="Verdana" w:eastAsia="Calibri" w:hAnsi="Verdana" w:cs="Times New Roman"/>
        </w:rPr>
      </w:pPr>
      <w:hyperlink r:id="rId12" w:history="1">
        <w:r w:rsidRPr="004E17A0">
          <w:rPr>
            <w:rFonts w:ascii="Verdana" w:eastAsia="Calibri" w:hAnsi="Verdana" w:cs="Times New Roman"/>
            <w:color w:val="0000FF"/>
            <w:u w:val="single"/>
            <w:lang w:val="es-ES"/>
          </w:rPr>
          <w:t>https://relatoria.colombiacompra.gov.co/busqueda/conceptos</w:t>
        </w:r>
      </w:hyperlink>
    </w:p>
    <w:p w14:paraId="750A7BC2" w14:textId="77777777" w:rsidR="004E17A0" w:rsidRPr="004E17A0" w:rsidRDefault="004E17A0" w:rsidP="004E17A0">
      <w:pPr>
        <w:jc w:val="both"/>
        <w:rPr>
          <w:rFonts w:ascii="Verdana" w:eastAsia="Calibri" w:hAnsi="Verdana" w:cs="Times New Roman"/>
        </w:rPr>
      </w:pPr>
      <w:r w:rsidRPr="004E17A0">
        <w:rPr>
          <w:rFonts w:ascii="Verdana" w:eastAsia="Calibri" w:hAnsi="Verdana" w:cs="Times New Roman"/>
        </w:rPr>
        <w:br/>
      </w:r>
      <w:bookmarkEnd w:id="0"/>
      <w:r w:rsidRPr="004E17A0">
        <w:rPr>
          <w:rFonts w:ascii="Verdana" w:eastAsia="Calibri" w:hAnsi="Verdana" w:cs="Times New Roman"/>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4E17A0">
        <w:rPr>
          <w:rFonts w:ascii="Verdana" w:eastAsia="Calibri" w:hAnsi="Verdana" w:cs="Times New Roman"/>
          <w:b/>
          <w:bCs/>
        </w:rPr>
        <w:t xml:space="preserve">Guía para la Exigencia y Constitución de </w:t>
      </w:r>
      <w:r w:rsidRPr="004E17A0">
        <w:rPr>
          <w:rFonts w:ascii="Verdana" w:eastAsia="Calibri" w:hAnsi="Verdana" w:cs="Times New Roman"/>
          <w:b/>
          <w:bCs/>
        </w:rPr>
        <w:lastRenderedPageBreak/>
        <w:t>Garantías en los Procesos de Contratación</w:t>
      </w:r>
      <w:r w:rsidRPr="004E17A0">
        <w:rPr>
          <w:rFonts w:ascii="Verdana" w:eastAsia="Calibri" w:hAnsi="Verdana" w:cs="Times New Roman"/>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4E17A0">
          <w:rPr>
            <w:rFonts w:ascii="Verdana" w:eastAsia="Calibri" w:hAnsi="Verdana" w:cs="Times New Roman"/>
            <w:color w:val="0000FF"/>
            <w:u w:val="single"/>
          </w:rPr>
          <w:t>https://www.colombiacompra.gov.co/archivos/manual/guia-de-garantias-en-procesos-de-contratacion</w:t>
        </w:r>
      </w:hyperlink>
    </w:p>
    <w:p w14:paraId="2E3AA4C2" w14:textId="77777777" w:rsidR="004E17A0" w:rsidRPr="004E17A0" w:rsidRDefault="004E17A0" w:rsidP="004E17A0">
      <w:pPr>
        <w:spacing w:line="256" w:lineRule="auto"/>
        <w:jc w:val="both"/>
        <w:rPr>
          <w:rFonts w:ascii="Verdana" w:eastAsia="Calibri" w:hAnsi="Verdana" w:cs="Times New Roman"/>
        </w:rPr>
      </w:pPr>
      <w:r w:rsidRPr="004E17A0">
        <w:rPr>
          <w:rFonts w:ascii="Verdana" w:eastAsia="Calibri" w:hAnsi="Verdana" w:cs="Times New Roman"/>
        </w:rPr>
        <w:t>De otro lado, te contamos que el Decreto 287 del 19 de marzo de 2026 sustituyó los artículos 2.2.1.2.4.2.6., 2.2.1.2.4.2.7. y 2.2.1.2.4.2.8. del Decreto 1082 de 2015 y estructuró el </w:t>
      </w:r>
      <w:r w:rsidRPr="004E17A0">
        <w:rPr>
          <w:rFonts w:ascii="Verdana" w:eastAsia="Calibri" w:hAnsi="Verdana" w:cs="Times New Roman"/>
          <w:b/>
          <w:bCs/>
        </w:rPr>
        <w:t>Sistema Integral de Preferencias en favor de las personas con discapacidad</w:t>
      </w:r>
      <w:r w:rsidRPr="004E17A0">
        <w:rPr>
          <w:rFonts w:ascii="Verdana" w:eastAsia="Calibri" w:hAnsi="Verdana" w:cs="Times New Roman"/>
        </w:rPr>
        <w:t>, en cumplimiento del artículo 13 de la Ley Estatutaria 1618 de 2013. Para orientar su aplicación, esta Agencia expidió la </w:t>
      </w:r>
      <w:r w:rsidRPr="004E17A0">
        <w:rPr>
          <w:rFonts w:ascii="Verdana" w:eastAsia="Calibri" w:hAnsi="Verdana" w:cs="Times New Roman"/>
          <w:b/>
          <w:bCs/>
        </w:rPr>
        <w:t>Circular Externa 003 del 12 de mayo de 2026, </w:t>
      </w:r>
      <w:r w:rsidRPr="004E17A0">
        <w:rPr>
          <w:rFonts w:ascii="Verdana" w:eastAsia="Calibri" w:hAnsi="Verdana" w:cs="Times New Roman"/>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4E17A0">
          <w:rPr>
            <w:rFonts w:ascii="Verdana" w:eastAsia="Calibri" w:hAnsi="Verdana" w:cs="Times New Roman"/>
            <w:color w:val="0000FF"/>
            <w:u w:val="single"/>
          </w:rPr>
          <w:t>https://www.colombiacompra.gov.co/archivos/circular/circular-externa-003-de-2026</w:t>
        </w:r>
      </w:hyperlink>
    </w:p>
    <w:p w14:paraId="1ACF73E1" w14:textId="77777777" w:rsidR="004E17A0" w:rsidRPr="004E17A0" w:rsidRDefault="004E17A0" w:rsidP="004E17A0">
      <w:pPr>
        <w:spacing w:line="256" w:lineRule="auto"/>
        <w:jc w:val="both"/>
        <w:rPr>
          <w:rFonts w:ascii="Verdana" w:eastAsia="Calibri" w:hAnsi="Verdana" w:cs="Times New Roman"/>
        </w:rPr>
      </w:pPr>
      <w:r w:rsidRPr="004E17A0">
        <w:rPr>
          <w:rFonts w:ascii="Verdana" w:eastAsia="Calibri" w:hAnsi="Verdana" w:cs="Times New Roman"/>
        </w:rPr>
        <w:t>Recuerda también que la</w:t>
      </w:r>
      <w:r w:rsidRPr="004E17A0">
        <w:rPr>
          <w:rFonts w:ascii="Verdana" w:eastAsia="Calibri" w:hAnsi="Verdana" w:cs="Times New Roman"/>
          <w:b/>
          <w:bCs/>
        </w:rPr>
        <w:t> información sobre sanciones e inhabilidades </w:t>
      </w:r>
      <w:r w:rsidRPr="004E17A0">
        <w:rPr>
          <w:rFonts w:ascii="Verdana" w:eastAsia="Calibri" w:hAnsi="Verdana" w:cs="Times New Roman"/>
        </w:rPr>
        <w:t>solo cumple su función preventiva si llega oportunamente a los registros públicos. Sobre este deber, esta Agencia expidió la </w:t>
      </w:r>
      <w:r w:rsidRPr="004E17A0">
        <w:rPr>
          <w:rFonts w:ascii="Verdana" w:eastAsia="Calibri" w:hAnsi="Verdana" w:cs="Times New Roman"/>
          <w:b/>
          <w:bCs/>
        </w:rPr>
        <w:t>Circular Externa 002 del 5 de mayo de 2026,</w:t>
      </w:r>
      <w:r w:rsidRPr="004E17A0">
        <w:rPr>
          <w:rFonts w:ascii="Verdana" w:eastAsia="Calibri" w:hAnsi="Verdana" w:cs="Times New Roman"/>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4E17A0">
          <w:rPr>
            <w:rFonts w:ascii="Verdana" w:eastAsia="Calibri" w:hAnsi="Verdana" w:cs="Times New Roman"/>
            <w:color w:val="0000FF"/>
            <w:u w:val="single"/>
          </w:rPr>
          <w:t>https://www.colombiacompra.gov.co/archivos/circular/circular-externa-002-de-2026</w:t>
        </w:r>
      </w:hyperlink>
    </w:p>
    <w:p w14:paraId="239D4A91" w14:textId="77777777" w:rsidR="004E17A0" w:rsidRPr="004E17A0" w:rsidRDefault="004E17A0" w:rsidP="004E17A0">
      <w:pPr>
        <w:spacing w:line="256" w:lineRule="auto"/>
        <w:jc w:val="both"/>
        <w:rPr>
          <w:rFonts w:ascii="Verdana" w:eastAsia="Calibri" w:hAnsi="Verdana" w:cs="Times New Roman"/>
        </w:rPr>
      </w:pPr>
      <w:r w:rsidRPr="004E17A0">
        <w:rPr>
          <w:rFonts w:ascii="Verdana" w:eastAsia="Calibri" w:hAnsi="Verdana" w:cs="Times New Roman"/>
        </w:rPr>
        <w:t>Finalmente, si quieres seguir de cerca la actividad de la Agencia, la tercera edición de 2026 del</w:t>
      </w:r>
      <w:r w:rsidRPr="004E17A0">
        <w:rPr>
          <w:rFonts w:ascii="Verdana" w:eastAsia="Calibri" w:hAnsi="Verdana" w:cs="Times New Roman"/>
          <w:b/>
          <w:bCs/>
        </w:rPr>
        <w:t> Radar de la Compra Pública</w:t>
      </w:r>
      <w:r w:rsidRPr="004E17A0">
        <w:rPr>
          <w:rFonts w:ascii="Verdana" w:eastAsia="Calibri" w:hAnsi="Verdana" w:cs="Times New Roman"/>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Dirección URL original: https://www.colombiacompra.gov.co/archivos/boletin/boletin-edicion-n-3-de-2026-radar-de-la-compra-publica. Haga clic o pulse si confía en este vínculo." w:history="1">
        <w:r w:rsidRPr="004E17A0">
          <w:rPr>
            <w:rFonts w:ascii="Verdana" w:eastAsia="Calibri" w:hAnsi="Verdana" w:cs="Times New Roman"/>
            <w:color w:val="0000FF"/>
            <w:u w:val="single"/>
          </w:rPr>
          <w:t>https://www.colombiacompra.gov.co/archivos/boletin/boletin-edicion-n-3-de-2026-radar-de-la-compra-publica</w:t>
        </w:r>
      </w:hyperlink>
    </w:p>
    <w:p w14:paraId="64426F9F" w14:textId="77777777" w:rsidR="004E17A0" w:rsidRPr="004E17A0" w:rsidRDefault="004E17A0" w:rsidP="004E17A0">
      <w:pPr>
        <w:spacing w:after="0" w:line="240" w:lineRule="auto"/>
        <w:jc w:val="both"/>
        <w:rPr>
          <w:rFonts w:ascii="Verdana" w:eastAsia="Calibri" w:hAnsi="Verdana" w:cs="Times New Roman"/>
          <w:color w:val="000000" w:themeColor="text1"/>
        </w:rPr>
      </w:pPr>
      <w:r w:rsidRPr="004E17A0">
        <w:rPr>
          <w:rFonts w:ascii="Verdana" w:eastAsia="Calibri" w:hAnsi="Verdana" w:cs="Times New Roman"/>
          <w:color w:val="000000" w:themeColor="text1"/>
        </w:rPr>
        <w:lastRenderedPageBreak/>
        <w:t xml:space="preserve">Lo invitamos a seguirnos en las redes sociales en las cuales se difunde información institucional: </w:t>
      </w:r>
    </w:p>
    <w:p w14:paraId="63C10385" w14:textId="77777777" w:rsidR="004E17A0" w:rsidRPr="004E17A0" w:rsidRDefault="004E17A0" w:rsidP="004E17A0">
      <w:pPr>
        <w:spacing w:after="0" w:line="240" w:lineRule="auto"/>
        <w:jc w:val="both"/>
        <w:rPr>
          <w:rFonts w:ascii="Verdana" w:eastAsia="Calibri" w:hAnsi="Verdana" w:cs="Times New Roman"/>
          <w:color w:val="000000" w:themeColor="text1"/>
        </w:rPr>
      </w:pPr>
    </w:p>
    <w:p w14:paraId="7EB10092" w14:textId="77777777" w:rsidR="004E17A0" w:rsidRPr="004E17A0" w:rsidRDefault="004E17A0" w:rsidP="004E17A0">
      <w:pPr>
        <w:spacing w:after="0" w:line="240" w:lineRule="auto"/>
        <w:jc w:val="both"/>
        <w:rPr>
          <w:rFonts w:ascii="Verdana" w:eastAsia="Calibri" w:hAnsi="Verdana" w:cs="Times New Roman"/>
          <w:color w:val="000000" w:themeColor="text1"/>
        </w:rPr>
      </w:pPr>
      <w:r w:rsidRPr="004E17A0">
        <w:rPr>
          <w:rFonts w:ascii="Verdana" w:eastAsia="Calibri" w:hAnsi="Verdana" w:cs="Times New Roman"/>
          <w:color w:val="000000" w:themeColor="text1"/>
        </w:rPr>
        <w:t xml:space="preserve">Twitter: </w:t>
      </w:r>
      <w:r w:rsidRPr="004E17A0">
        <w:rPr>
          <w:rFonts w:ascii="Verdana" w:eastAsia="Calibri" w:hAnsi="Verdana" w:cs="Times New Roman"/>
          <w:color w:val="000000" w:themeColor="text1"/>
          <w:u w:val="single"/>
        </w:rPr>
        <w:t>@colombiacompra</w:t>
      </w:r>
      <w:r w:rsidRPr="004E17A0">
        <w:rPr>
          <w:rFonts w:ascii="Verdana" w:eastAsia="Calibri" w:hAnsi="Verdana" w:cs="Times New Roman"/>
          <w:color w:val="000000" w:themeColor="text1"/>
        </w:rPr>
        <w:t xml:space="preserve"> </w:t>
      </w:r>
    </w:p>
    <w:p w14:paraId="676FD986" w14:textId="77777777" w:rsidR="004E17A0" w:rsidRPr="004E17A0" w:rsidRDefault="004E17A0" w:rsidP="004E17A0">
      <w:pPr>
        <w:spacing w:after="0" w:line="240" w:lineRule="auto"/>
        <w:jc w:val="both"/>
        <w:rPr>
          <w:rFonts w:ascii="Verdana" w:eastAsia="Calibri" w:hAnsi="Verdana" w:cs="Times New Roman"/>
          <w:color w:val="000000" w:themeColor="text1"/>
        </w:rPr>
      </w:pPr>
      <w:r w:rsidRPr="004E17A0">
        <w:rPr>
          <w:rFonts w:ascii="Verdana" w:eastAsia="Calibri" w:hAnsi="Verdana" w:cs="Times New Roman"/>
          <w:color w:val="000000" w:themeColor="text1"/>
        </w:rPr>
        <w:t xml:space="preserve">Facebook: </w:t>
      </w:r>
      <w:proofErr w:type="spellStart"/>
      <w:r w:rsidRPr="004E17A0">
        <w:rPr>
          <w:rFonts w:ascii="Verdana" w:eastAsia="Calibri" w:hAnsi="Verdana" w:cs="Times New Roman"/>
          <w:color w:val="000000" w:themeColor="text1"/>
          <w:u w:val="single"/>
        </w:rPr>
        <w:t>ColombiaCompraEficiente</w:t>
      </w:r>
      <w:proofErr w:type="spellEnd"/>
    </w:p>
    <w:p w14:paraId="48F8C684" w14:textId="77777777" w:rsidR="004E17A0" w:rsidRPr="004E17A0" w:rsidRDefault="004E17A0" w:rsidP="004E17A0">
      <w:pPr>
        <w:spacing w:after="0" w:line="240" w:lineRule="auto"/>
        <w:jc w:val="both"/>
        <w:rPr>
          <w:rFonts w:ascii="Verdana" w:eastAsia="Calibri" w:hAnsi="Verdana" w:cs="Times New Roman"/>
          <w:color w:val="000000" w:themeColor="text1"/>
        </w:rPr>
      </w:pPr>
      <w:r w:rsidRPr="004E17A0">
        <w:rPr>
          <w:rFonts w:ascii="Verdana" w:eastAsia="Calibri" w:hAnsi="Verdana" w:cs="Times New Roman"/>
          <w:color w:val="000000" w:themeColor="text1"/>
        </w:rPr>
        <w:t xml:space="preserve">LinkedIn: </w:t>
      </w:r>
      <w:r w:rsidRPr="004E17A0">
        <w:rPr>
          <w:rFonts w:ascii="Verdana" w:eastAsia="Calibri" w:hAnsi="Verdana" w:cs="Times New Roman"/>
          <w:color w:val="000000" w:themeColor="text1"/>
          <w:u w:val="single"/>
        </w:rPr>
        <w:t>Agencia Nacional de Contratación Pública - Colombia Compra Eficiente</w:t>
      </w:r>
      <w:r w:rsidRPr="004E17A0">
        <w:rPr>
          <w:rFonts w:ascii="Verdana" w:eastAsia="Calibri" w:hAnsi="Verdana" w:cs="Times New Roman"/>
          <w:color w:val="000000" w:themeColor="text1"/>
        </w:rPr>
        <w:t xml:space="preserve"> Instagram: </w:t>
      </w:r>
      <w:r w:rsidRPr="004E17A0">
        <w:rPr>
          <w:rFonts w:ascii="Verdana" w:eastAsia="Calibri" w:hAnsi="Verdana" w:cs="Times New Roman"/>
          <w:color w:val="000000" w:themeColor="text1"/>
          <w:u w:val="single"/>
        </w:rPr>
        <w:t>@colombiacompraeficiente_cce</w:t>
      </w:r>
    </w:p>
    <w:p w14:paraId="0AE491D2" w14:textId="77777777" w:rsidR="004E17A0" w:rsidRPr="004E17A0" w:rsidRDefault="004E17A0" w:rsidP="004E17A0">
      <w:pPr>
        <w:widowControl w:val="0"/>
        <w:autoSpaceDE w:val="0"/>
        <w:autoSpaceDN w:val="0"/>
        <w:spacing w:after="0" w:line="276" w:lineRule="auto"/>
        <w:jc w:val="both"/>
        <w:rPr>
          <w:rFonts w:ascii="Verdana" w:eastAsia="Calibri" w:hAnsi="Verdana" w:cs="Arial"/>
          <w:color w:val="000000" w:themeColor="text1"/>
        </w:rPr>
      </w:pPr>
    </w:p>
    <w:p w14:paraId="7DBACCEC" w14:textId="77777777" w:rsidR="004E17A0" w:rsidRPr="004E17A0" w:rsidRDefault="004E17A0" w:rsidP="004E17A0">
      <w:pPr>
        <w:widowControl w:val="0"/>
        <w:autoSpaceDE w:val="0"/>
        <w:autoSpaceDN w:val="0"/>
        <w:spacing w:after="0" w:line="276" w:lineRule="auto"/>
        <w:jc w:val="both"/>
        <w:rPr>
          <w:rFonts w:ascii="Verdana" w:eastAsia="Calibri" w:hAnsi="Verdana" w:cs="Arial"/>
          <w:color w:val="000000" w:themeColor="text1"/>
          <w:lang w:val="es-ES_tradnl"/>
        </w:rPr>
      </w:pPr>
      <w:r w:rsidRPr="004E17A0">
        <w:rPr>
          <w:rFonts w:ascii="Verdana" w:eastAsia="Calibri" w:hAnsi="Verdana" w:cs="Arial"/>
          <w:color w:val="000000" w:themeColor="text1"/>
        </w:rPr>
        <w:t xml:space="preserve">Este concepto tiene el alcance previsto en el artículo 28 del Código de Procedimiento Administrativo y de lo Contencioso Administrativo </w:t>
      </w:r>
      <w:r w:rsidRPr="004E17A0">
        <w:rPr>
          <w:rFonts w:ascii="Verdana" w:eastAsia="Calibri" w:hAnsi="Verdana" w:cs="Arial"/>
          <w:color w:val="000000" w:themeColor="text1"/>
          <w:lang w:val="es-ES_tradnl"/>
        </w:rPr>
        <w:t>y las expresiones aquí utilizadas con mayúscula inicial deben ser entendidas con el significado que les otorga el artículo 2.2.1.1.1.3.1. del Decreto 1082 de 2015.</w:t>
      </w:r>
    </w:p>
    <w:p w14:paraId="02547D50" w14:textId="77777777" w:rsidR="004E17A0" w:rsidRPr="004E17A0" w:rsidRDefault="004E17A0" w:rsidP="004E17A0">
      <w:pPr>
        <w:spacing w:after="0" w:line="240" w:lineRule="auto"/>
        <w:rPr>
          <w:rFonts w:ascii="Verdana" w:eastAsia="Times New Roman" w:hAnsi="Verdana" w:cs="Arial"/>
          <w:color w:val="000000" w:themeColor="text1"/>
          <w:lang w:eastAsia="es-CO"/>
        </w:rPr>
      </w:pPr>
    </w:p>
    <w:p w14:paraId="7E581809" w14:textId="77777777" w:rsidR="004E17A0" w:rsidRPr="004E17A0" w:rsidRDefault="004E17A0" w:rsidP="004E17A0">
      <w:pPr>
        <w:spacing w:after="0" w:line="240" w:lineRule="auto"/>
        <w:rPr>
          <w:rFonts w:ascii="Verdana" w:eastAsia="Times New Roman" w:hAnsi="Verdana" w:cs="Arial"/>
          <w:color w:val="000000" w:themeColor="text1"/>
          <w:lang w:eastAsia="es-CO"/>
        </w:rPr>
      </w:pPr>
    </w:p>
    <w:p w14:paraId="149F1766" w14:textId="77777777" w:rsidR="004E17A0" w:rsidRPr="004E17A0" w:rsidRDefault="004E17A0" w:rsidP="004E17A0">
      <w:pPr>
        <w:spacing w:after="0" w:line="276" w:lineRule="auto"/>
        <w:rPr>
          <w:rFonts w:ascii="Verdana" w:eastAsia="Calibri" w:hAnsi="Verdana" w:cs="Arial"/>
          <w:lang w:val="es-ES" w:eastAsia="es-CO"/>
        </w:rPr>
      </w:pPr>
      <w:r w:rsidRPr="004E17A0">
        <w:rPr>
          <w:rFonts w:ascii="Verdana" w:eastAsia="Times New Roman" w:hAnsi="Verdana" w:cs="Arial"/>
          <w:lang w:val="es-ES" w:eastAsia="es-CO"/>
        </w:rPr>
        <w:t>Atentamente,</w:t>
      </w:r>
      <w:r w:rsidRPr="004E17A0">
        <w:rPr>
          <w:rFonts w:ascii="Verdana" w:eastAsia="Calibri" w:hAnsi="Verdana" w:cs="Arial"/>
          <w:lang w:val="es-ES" w:eastAsia="es-CO"/>
        </w:rPr>
        <w:t xml:space="preserve"> </w:t>
      </w:r>
    </w:p>
    <w:p w14:paraId="36514D7E" w14:textId="77777777" w:rsidR="004E17A0" w:rsidRPr="004E17A0" w:rsidRDefault="004E17A0" w:rsidP="004E17A0">
      <w:pPr>
        <w:spacing w:after="0" w:line="276" w:lineRule="auto"/>
        <w:rPr>
          <w:rFonts w:ascii="Verdana" w:eastAsia="Calibri" w:hAnsi="Verdana" w:cs="Times New Roman"/>
          <w:noProof/>
          <w:color w:val="ED7D31" w:themeColor="accent2"/>
        </w:rPr>
      </w:pPr>
    </w:p>
    <w:p w14:paraId="68169F68" w14:textId="77777777" w:rsidR="004E17A0" w:rsidRPr="004E17A0" w:rsidRDefault="004E17A0" w:rsidP="004E17A0">
      <w:pPr>
        <w:spacing w:after="0" w:line="276" w:lineRule="auto"/>
        <w:jc w:val="both"/>
        <w:rPr>
          <w:rFonts w:ascii="Verdana" w:eastAsia="Times New Roman" w:hAnsi="Verdana" w:cs="Segoe UI"/>
          <w:lang w:eastAsia="es-CO"/>
        </w:rPr>
      </w:pPr>
    </w:p>
    <w:p w14:paraId="46EE414E" w14:textId="77777777" w:rsidR="004E17A0" w:rsidRPr="004E17A0" w:rsidRDefault="004E17A0" w:rsidP="004E17A0">
      <w:pPr>
        <w:autoSpaceDE w:val="0"/>
        <w:autoSpaceDN w:val="0"/>
        <w:adjustRightInd w:val="0"/>
        <w:spacing w:after="0" w:line="276" w:lineRule="auto"/>
        <w:rPr>
          <w:rFonts w:ascii="Verdana" w:eastAsia="Calibri" w:hAnsi="Verdana" w:cs="Arial"/>
          <w:noProof/>
          <w:sz w:val="20"/>
          <w:szCs w:val="20"/>
        </w:rPr>
      </w:pPr>
    </w:p>
    <w:p w14:paraId="3D4C3616" w14:textId="77777777" w:rsidR="004E17A0" w:rsidRPr="004E17A0" w:rsidRDefault="004E17A0" w:rsidP="004E17A0">
      <w:pPr>
        <w:autoSpaceDE w:val="0"/>
        <w:autoSpaceDN w:val="0"/>
        <w:adjustRightInd w:val="0"/>
        <w:spacing w:after="0" w:line="276" w:lineRule="auto"/>
        <w:jc w:val="center"/>
        <w:rPr>
          <w:rFonts w:ascii="Verdana" w:eastAsia="Calibri" w:hAnsi="Verdana" w:cs="Arial"/>
          <w:noProof/>
          <w:sz w:val="20"/>
          <w:szCs w:val="20"/>
        </w:rPr>
      </w:pPr>
    </w:p>
    <w:p w14:paraId="2FC3C149" w14:textId="7583B57C" w:rsidR="004E17A0" w:rsidRPr="004E17A0" w:rsidRDefault="004A0090" w:rsidP="004E17A0">
      <w:pPr>
        <w:spacing w:after="0" w:line="252" w:lineRule="auto"/>
        <w:jc w:val="center"/>
        <w:rPr>
          <w:rFonts w:ascii="Verdana" w:eastAsia="Times New Roman" w:hAnsi="Verdana" w:cs="Arial"/>
          <w:lang w:eastAsia="es-ES"/>
        </w:rPr>
      </w:pPr>
      <w:r w:rsidRPr="002C3AD6">
        <w:rPr>
          <w:rFonts w:ascii="Century Gothic" w:hAnsi="Century Gothic"/>
          <w:noProof/>
        </w:rPr>
        <w:drawing>
          <wp:inline distT="0" distB="0" distL="0" distR="0" wp14:anchorId="58D65E44" wp14:editId="32EB393C">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772426" cy="1400370"/>
                    </a:xfrm>
                    <a:prstGeom prst="rect">
                      <a:avLst/>
                    </a:prstGeom>
                  </pic:spPr>
                </pic:pic>
              </a:graphicData>
            </a:graphic>
          </wp:inline>
        </w:drawing>
      </w:r>
    </w:p>
    <w:p w14:paraId="03DAD874" w14:textId="77777777" w:rsidR="004E17A0" w:rsidRPr="004E17A0" w:rsidRDefault="004E17A0" w:rsidP="004E17A0">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4E17A0" w:rsidRPr="004E17A0" w14:paraId="6B9F8A1E" w14:textId="77777777" w:rsidTr="007C248B">
        <w:trPr>
          <w:trHeight w:val="322"/>
        </w:trPr>
        <w:tc>
          <w:tcPr>
            <w:tcW w:w="733" w:type="dxa"/>
            <w:tcBorders>
              <w:top w:val="nil"/>
              <w:left w:val="nil"/>
              <w:bottom w:val="nil"/>
              <w:right w:val="nil"/>
            </w:tcBorders>
            <w:vAlign w:val="center"/>
            <w:hideMark/>
          </w:tcPr>
          <w:p w14:paraId="7DAE7FD3" w14:textId="77777777" w:rsidR="004E17A0" w:rsidRPr="004E17A0" w:rsidRDefault="004E17A0" w:rsidP="004E17A0">
            <w:pPr>
              <w:spacing w:after="0" w:line="240" w:lineRule="auto"/>
              <w:textAlignment w:val="baseline"/>
              <w:rPr>
                <w:rFonts w:ascii="Verdana" w:eastAsia="Times New Roman" w:hAnsi="Verdana" w:cs="Times New Roman"/>
                <w:sz w:val="16"/>
                <w:szCs w:val="16"/>
                <w:lang w:eastAsia="es-CO"/>
              </w:rPr>
            </w:pPr>
            <w:r w:rsidRPr="004E17A0">
              <w:rPr>
                <w:rFonts w:ascii="Verdana" w:eastAsia="Times New Roman" w:hAnsi="Verdana" w:cs="Times New Roman"/>
                <w:sz w:val="16"/>
                <w:szCs w:val="16"/>
                <w:lang w:val="es-MX" w:eastAsia="es-CO"/>
              </w:rPr>
              <w:t>Elaboró:         </w:t>
            </w:r>
            <w:r w:rsidRPr="004E17A0">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A6ACFDE" w14:textId="77777777" w:rsidR="004E17A0" w:rsidRPr="004E17A0" w:rsidRDefault="004E17A0" w:rsidP="004E17A0">
            <w:pPr>
              <w:spacing w:after="0" w:line="252" w:lineRule="auto"/>
              <w:rPr>
                <w:rFonts w:ascii="Verdana" w:eastAsia="Times New Roman" w:hAnsi="Verdana" w:cs="Arial"/>
                <w:sz w:val="16"/>
                <w:szCs w:val="16"/>
                <w:lang w:val="es-ES_tradnl" w:eastAsia="es-ES"/>
              </w:rPr>
            </w:pPr>
            <w:r w:rsidRPr="004E17A0">
              <w:rPr>
                <w:rFonts w:ascii="Verdana" w:eastAsia="Times New Roman" w:hAnsi="Verdana" w:cs="Arial"/>
                <w:sz w:val="16"/>
                <w:szCs w:val="16"/>
                <w:lang w:val="es-ES_tradnl" w:eastAsia="es-ES"/>
              </w:rPr>
              <w:t>Ximena Ríos López</w:t>
            </w:r>
          </w:p>
          <w:p w14:paraId="5EB54832" w14:textId="77777777" w:rsidR="004E17A0" w:rsidRPr="004E17A0" w:rsidRDefault="004E17A0" w:rsidP="004E17A0">
            <w:pPr>
              <w:spacing w:after="0" w:line="252" w:lineRule="auto"/>
              <w:rPr>
                <w:rFonts w:ascii="Verdana" w:eastAsia="Times New Roman" w:hAnsi="Verdana" w:cs="Arial"/>
                <w:sz w:val="16"/>
                <w:szCs w:val="16"/>
                <w:lang w:val="es-ES_tradnl" w:eastAsia="es-ES"/>
              </w:rPr>
            </w:pPr>
            <w:r w:rsidRPr="004E17A0">
              <w:rPr>
                <w:rFonts w:ascii="Verdana" w:eastAsia="Times New Roman" w:hAnsi="Verdana" w:cs="Arial"/>
                <w:sz w:val="16"/>
                <w:szCs w:val="16"/>
                <w:lang w:eastAsia="es-ES"/>
              </w:rPr>
              <w:t>Gestor T1-11 de la Subdirección de Gestión Contractual</w:t>
            </w:r>
          </w:p>
        </w:tc>
      </w:tr>
      <w:tr w:rsidR="004E17A0" w:rsidRPr="004E17A0" w14:paraId="2FC43338" w14:textId="77777777" w:rsidTr="007C248B">
        <w:trPr>
          <w:trHeight w:val="322"/>
        </w:trPr>
        <w:tc>
          <w:tcPr>
            <w:tcW w:w="733" w:type="dxa"/>
            <w:tcBorders>
              <w:top w:val="nil"/>
              <w:left w:val="nil"/>
              <w:bottom w:val="nil"/>
              <w:right w:val="nil"/>
            </w:tcBorders>
            <w:vAlign w:val="center"/>
            <w:hideMark/>
          </w:tcPr>
          <w:p w14:paraId="62828693" w14:textId="77777777" w:rsidR="004E17A0" w:rsidRPr="004E17A0" w:rsidRDefault="004E17A0" w:rsidP="004E17A0">
            <w:pPr>
              <w:spacing w:after="0" w:line="240" w:lineRule="auto"/>
              <w:textAlignment w:val="baseline"/>
              <w:rPr>
                <w:rFonts w:ascii="Verdana" w:eastAsia="Times New Roman" w:hAnsi="Verdana" w:cs="Times New Roman"/>
                <w:sz w:val="16"/>
                <w:szCs w:val="16"/>
                <w:lang w:eastAsia="es-CO"/>
              </w:rPr>
            </w:pPr>
            <w:r w:rsidRPr="004E17A0">
              <w:rPr>
                <w:rFonts w:ascii="Verdana" w:eastAsia="Times New Roman" w:hAnsi="Verdana" w:cs="Times New Roman"/>
                <w:sz w:val="16"/>
                <w:szCs w:val="16"/>
                <w:lang w:val="es-MX" w:eastAsia="es-CO"/>
              </w:rPr>
              <w:t>Revisó:</w:t>
            </w:r>
            <w:r w:rsidRPr="004E17A0">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471A1F9" w14:textId="77777777" w:rsidR="004E17A0" w:rsidRPr="004E17A0" w:rsidRDefault="004E17A0" w:rsidP="004E17A0">
            <w:pPr>
              <w:spacing w:after="0" w:line="240" w:lineRule="auto"/>
              <w:textAlignment w:val="baseline"/>
              <w:rPr>
                <w:rFonts w:ascii="Verdana" w:eastAsia="Times New Roman" w:hAnsi="Verdana" w:cs="Times New Roman"/>
                <w:sz w:val="16"/>
                <w:szCs w:val="16"/>
                <w:lang w:eastAsia="es-CO"/>
              </w:rPr>
            </w:pPr>
            <w:r w:rsidRPr="004E17A0">
              <w:rPr>
                <w:rFonts w:ascii="Verdana" w:eastAsia="Times New Roman" w:hAnsi="Verdana" w:cs="Times New Roman"/>
                <w:sz w:val="16"/>
                <w:szCs w:val="16"/>
                <w:lang w:eastAsia="es-CO"/>
              </w:rPr>
              <w:t>Diana Saavedra</w:t>
            </w:r>
          </w:p>
          <w:p w14:paraId="565FAEDD" w14:textId="77777777" w:rsidR="004E17A0" w:rsidRPr="004E17A0" w:rsidRDefault="004E17A0" w:rsidP="004E17A0">
            <w:pPr>
              <w:spacing w:after="0" w:line="240" w:lineRule="auto"/>
              <w:textAlignment w:val="baseline"/>
              <w:rPr>
                <w:rFonts w:ascii="Verdana" w:eastAsia="Times New Roman" w:hAnsi="Verdana" w:cs="Times New Roman"/>
                <w:sz w:val="16"/>
                <w:szCs w:val="16"/>
                <w:lang w:eastAsia="es-CO"/>
              </w:rPr>
            </w:pPr>
            <w:r w:rsidRPr="004E17A0">
              <w:rPr>
                <w:rFonts w:ascii="Verdana" w:eastAsia="Times New Roman" w:hAnsi="Verdana" w:cs="Arial"/>
                <w:sz w:val="16"/>
                <w:szCs w:val="16"/>
                <w:lang w:eastAsia="es-ES"/>
              </w:rPr>
              <w:t xml:space="preserve">Contratista </w:t>
            </w:r>
            <w:r w:rsidRPr="004E17A0">
              <w:rPr>
                <w:rFonts w:ascii="Verdana" w:eastAsia="Times New Roman" w:hAnsi="Verdana" w:cs="Times New Roman"/>
                <w:sz w:val="16"/>
                <w:szCs w:val="16"/>
                <w:lang w:eastAsia="es-CO"/>
              </w:rPr>
              <w:t>de la Subdirección de Gestión Contractual</w:t>
            </w:r>
          </w:p>
        </w:tc>
      </w:tr>
      <w:tr w:rsidR="004E17A0" w:rsidRPr="004E17A0" w14:paraId="24C60BEB" w14:textId="77777777" w:rsidTr="007C248B">
        <w:trPr>
          <w:trHeight w:val="307"/>
        </w:trPr>
        <w:tc>
          <w:tcPr>
            <w:tcW w:w="733" w:type="dxa"/>
            <w:tcBorders>
              <w:top w:val="nil"/>
              <w:left w:val="nil"/>
              <w:bottom w:val="nil"/>
              <w:right w:val="nil"/>
            </w:tcBorders>
            <w:vAlign w:val="center"/>
            <w:hideMark/>
          </w:tcPr>
          <w:p w14:paraId="14EDCA81" w14:textId="77777777" w:rsidR="004E17A0" w:rsidRPr="004E17A0" w:rsidRDefault="004E17A0" w:rsidP="004E17A0">
            <w:pPr>
              <w:spacing w:after="0" w:line="240" w:lineRule="auto"/>
              <w:textAlignment w:val="baseline"/>
              <w:rPr>
                <w:rFonts w:ascii="Verdana" w:eastAsia="Times New Roman" w:hAnsi="Verdana" w:cs="Times New Roman"/>
                <w:sz w:val="16"/>
                <w:szCs w:val="16"/>
                <w:lang w:eastAsia="es-CO"/>
              </w:rPr>
            </w:pPr>
            <w:r w:rsidRPr="004E17A0">
              <w:rPr>
                <w:rFonts w:ascii="Verdana" w:eastAsia="Times New Roman" w:hAnsi="Verdana" w:cs="Times New Roman"/>
                <w:sz w:val="16"/>
                <w:szCs w:val="16"/>
                <w:lang w:val="es-MX" w:eastAsia="es-CO"/>
              </w:rPr>
              <w:t>Aprobó:</w:t>
            </w:r>
            <w:r w:rsidRPr="004E17A0">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17E8491" w14:textId="77777777" w:rsidR="004E17A0" w:rsidRPr="004E17A0" w:rsidRDefault="004E17A0" w:rsidP="004E17A0">
            <w:pPr>
              <w:spacing w:after="0" w:line="252" w:lineRule="auto"/>
              <w:rPr>
                <w:rFonts w:ascii="Verdana" w:eastAsia="Times New Roman" w:hAnsi="Verdana" w:cs="Arial"/>
                <w:sz w:val="16"/>
                <w:szCs w:val="16"/>
                <w:lang w:eastAsia="es-ES"/>
              </w:rPr>
            </w:pPr>
            <w:r w:rsidRPr="004E17A0">
              <w:rPr>
                <w:rFonts w:ascii="Verdana" w:eastAsia="Times New Roman" w:hAnsi="Verdana" w:cs="Arial"/>
                <w:sz w:val="16"/>
                <w:szCs w:val="16"/>
                <w:lang w:eastAsia="es-ES"/>
              </w:rPr>
              <w:t>Carolina Quintero Gacharná</w:t>
            </w:r>
          </w:p>
          <w:p w14:paraId="6DB07003" w14:textId="77777777" w:rsidR="004E17A0" w:rsidRPr="004E17A0" w:rsidRDefault="004E17A0" w:rsidP="004E17A0">
            <w:pPr>
              <w:spacing w:after="0" w:line="252" w:lineRule="auto"/>
              <w:rPr>
                <w:rFonts w:ascii="Verdana" w:eastAsia="Times New Roman" w:hAnsi="Verdana" w:cs="Arial"/>
                <w:sz w:val="16"/>
                <w:szCs w:val="16"/>
                <w:lang w:eastAsia="es-ES"/>
              </w:rPr>
            </w:pPr>
            <w:r w:rsidRPr="004E17A0">
              <w:rPr>
                <w:rFonts w:ascii="Verdana" w:eastAsia="Times New Roman" w:hAnsi="Verdana" w:cs="Arial"/>
                <w:sz w:val="16"/>
                <w:szCs w:val="16"/>
                <w:lang w:eastAsia="es-ES"/>
              </w:rPr>
              <w:t>Subdirectora de Gestión Contractual ANCP – CCE</w:t>
            </w:r>
          </w:p>
        </w:tc>
      </w:tr>
    </w:tbl>
    <w:p w14:paraId="5CC3F9E1" w14:textId="77777777" w:rsidR="004E17A0" w:rsidRPr="004E17A0" w:rsidRDefault="004E17A0" w:rsidP="004E17A0">
      <w:pPr>
        <w:autoSpaceDE w:val="0"/>
        <w:autoSpaceDN w:val="0"/>
        <w:adjustRightInd w:val="0"/>
        <w:spacing w:after="0" w:line="276" w:lineRule="auto"/>
        <w:jc w:val="center"/>
        <w:rPr>
          <w:rFonts w:ascii="Verdana" w:eastAsia="Calibri" w:hAnsi="Verdana" w:cs="Arial"/>
        </w:rPr>
      </w:pPr>
    </w:p>
    <w:p w14:paraId="65561FD4" w14:textId="12D77D2D" w:rsidR="004E17A0" w:rsidRPr="004E17A0" w:rsidRDefault="004E17A0" w:rsidP="004E17A0">
      <w:pPr>
        <w:spacing w:after="0" w:line="240" w:lineRule="auto"/>
        <w:jc w:val="both"/>
        <w:textAlignment w:val="baseline"/>
        <w:rPr>
          <w:rFonts w:ascii="Verdana" w:eastAsia="Verdana" w:hAnsi="Verdana" w:cs="Verdana"/>
          <w:lang w:eastAsia="es-CO"/>
        </w:rPr>
      </w:pPr>
    </w:p>
    <w:p w14:paraId="340FE1DB" w14:textId="77777777" w:rsidR="004E17A0" w:rsidRPr="004E17A0" w:rsidRDefault="004E17A0" w:rsidP="004E17A0">
      <w:pPr>
        <w:spacing w:after="0" w:line="240" w:lineRule="auto"/>
        <w:textAlignment w:val="baseline"/>
        <w:rPr>
          <w:rFonts w:ascii="Verdana" w:eastAsia="Verdana" w:hAnsi="Verdana" w:cs="Verdana"/>
          <w:lang w:eastAsia="es-CO"/>
        </w:rPr>
      </w:pPr>
      <w:r w:rsidRPr="004E17A0">
        <w:rPr>
          <w:rFonts w:ascii="Verdana" w:eastAsia="Verdana" w:hAnsi="Verdana" w:cs="Verdana"/>
          <w:lang w:eastAsia="es-CO"/>
        </w:rPr>
        <w:t> </w:t>
      </w:r>
    </w:p>
    <w:p w14:paraId="6058603B" w14:textId="77777777" w:rsidR="004E17A0" w:rsidRPr="004E17A0" w:rsidRDefault="004E17A0" w:rsidP="004E17A0">
      <w:pPr>
        <w:spacing w:after="0" w:line="256" w:lineRule="auto"/>
        <w:jc w:val="both"/>
        <w:rPr>
          <w:rFonts w:ascii="Verdana" w:hAnsi="Verdana"/>
          <w:color w:val="0000FF"/>
          <w:u w:val="single"/>
        </w:rPr>
      </w:pPr>
    </w:p>
    <w:p w14:paraId="397090D3" w14:textId="77777777" w:rsidR="004E17A0" w:rsidRPr="004E17A0" w:rsidRDefault="004E17A0" w:rsidP="004E17A0"/>
    <w:p w14:paraId="0F293BF4" w14:textId="4CB95B15" w:rsidR="00127233" w:rsidRPr="00BF7A62" w:rsidRDefault="00127233" w:rsidP="00BF7A62"/>
    <w:sectPr w:rsidR="00127233" w:rsidRPr="00BF7A62"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183D3" w14:textId="77777777" w:rsidR="004529CD" w:rsidRDefault="004529CD" w:rsidP="004A1847">
      <w:pPr>
        <w:spacing w:after="0" w:line="240" w:lineRule="auto"/>
      </w:pPr>
      <w:r>
        <w:separator/>
      </w:r>
    </w:p>
  </w:endnote>
  <w:endnote w:type="continuationSeparator" w:id="0">
    <w:p w14:paraId="07F4A909" w14:textId="77777777" w:rsidR="004529CD" w:rsidRDefault="004529C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4F54" w14:textId="77777777" w:rsidR="004529CD" w:rsidRDefault="004529CD" w:rsidP="004A1847">
      <w:pPr>
        <w:spacing w:after="0" w:line="240" w:lineRule="auto"/>
      </w:pPr>
      <w:r>
        <w:separator/>
      </w:r>
    </w:p>
  </w:footnote>
  <w:footnote w:type="continuationSeparator" w:id="0">
    <w:p w14:paraId="0A465636" w14:textId="77777777" w:rsidR="004529CD" w:rsidRDefault="004529CD" w:rsidP="004A1847">
      <w:pPr>
        <w:spacing w:after="0" w:line="240" w:lineRule="auto"/>
      </w:pPr>
      <w:r>
        <w:continuationSeparator/>
      </w:r>
    </w:p>
  </w:footnote>
  <w:footnote w:id="1">
    <w:p w14:paraId="06704960" w14:textId="77777777" w:rsidR="004E17A0" w:rsidRPr="00713652" w:rsidRDefault="004E17A0" w:rsidP="004E17A0">
      <w:pPr>
        <w:pStyle w:val="Textonotapie"/>
        <w:ind w:left="708"/>
        <w:jc w:val="both"/>
        <w:rPr>
          <w:rFonts w:ascii="Verdana" w:hAnsi="Verdana"/>
          <w:sz w:val="16"/>
          <w:szCs w:val="16"/>
        </w:rPr>
      </w:pPr>
      <w:r w:rsidRPr="00713652">
        <w:rPr>
          <w:rStyle w:val="Refdenotaalpie"/>
          <w:rFonts w:ascii="Verdana" w:hAnsi="Verdana"/>
          <w:sz w:val="16"/>
          <w:szCs w:val="16"/>
        </w:rPr>
        <w:footnoteRef/>
      </w:r>
      <w:r w:rsidRPr="00713652">
        <w:rPr>
          <w:rFonts w:ascii="Verdana" w:hAnsi="Verdana"/>
          <w:sz w:val="16"/>
          <w:szCs w:val="16"/>
        </w:rPr>
        <w:t xml:space="preserve"> artículo 6 de la Ley 1150 de 2007.</w:t>
      </w:r>
    </w:p>
    <w:p w14:paraId="1CBB9728" w14:textId="77777777" w:rsidR="004E17A0" w:rsidRPr="00713652" w:rsidRDefault="004E17A0" w:rsidP="004E17A0">
      <w:pPr>
        <w:pStyle w:val="Textonotapie"/>
        <w:ind w:left="708"/>
        <w:jc w:val="both"/>
        <w:rPr>
          <w:rFonts w:ascii="Verdana" w:hAnsi="Verdana"/>
          <w:sz w:val="16"/>
          <w:szCs w:val="16"/>
          <w:lang w:val="es-ES"/>
        </w:rPr>
      </w:pPr>
    </w:p>
  </w:footnote>
  <w:footnote w:id="2">
    <w:p w14:paraId="63A2A49C" w14:textId="77777777" w:rsidR="004E17A0" w:rsidRPr="00713652" w:rsidRDefault="004E17A0" w:rsidP="004E17A0">
      <w:pPr>
        <w:pStyle w:val="Textonotapie"/>
        <w:ind w:firstLine="709"/>
        <w:jc w:val="both"/>
        <w:rPr>
          <w:rFonts w:ascii="Verdana" w:hAnsi="Verdana"/>
          <w:sz w:val="16"/>
          <w:szCs w:val="16"/>
          <w:lang w:val="es-CO"/>
        </w:rPr>
      </w:pPr>
      <w:r w:rsidRPr="00713652">
        <w:rPr>
          <w:rStyle w:val="Refdenotaalpie"/>
          <w:rFonts w:ascii="Verdana" w:hAnsi="Verdana"/>
          <w:sz w:val="16"/>
          <w:szCs w:val="16"/>
        </w:rPr>
        <w:footnoteRef/>
      </w:r>
      <w:r w:rsidRPr="00713652">
        <w:rPr>
          <w:rFonts w:ascii="Verdana" w:hAnsi="Verdana"/>
          <w:sz w:val="16"/>
          <w:szCs w:val="16"/>
        </w:rPr>
        <w:t xml:space="preserve"> </w:t>
      </w:r>
      <w:r w:rsidRPr="00713652">
        <w:rPr>
          <w:rFonts w:ascii="Verdana" w:hAnsi="Verdana"/>
          <w:sz w:val="16"/>
          <w:szCs w:val="16"/>
          <w:lang w:val="es-CO"/>
        </w:rPr>
        <w:t xml:space="preserve">CONSEJO DE ESTADO. Sala de Consulta y Servicio Civil. Consulta del 20 de mayo de 2010. Exp.1992. C. P. Enrique José Arboleda Perdomo. </w:t>
      </w:r>
    </w:p>
    <w:p w14:paraId="7191CEA8" w14:textId="77777777" w:rsidR="004E17A0" w:rsidRPr="00713652" w:rsidRDefault="004E17A0" w:rsidP="004E17A0">
      <w:pPr>
        <w:pStyle w:val="Textonotapie"/>
        <w:ind w:left="709" w:firstLine="709"/>
        <w:jc w:val="both"/>
        <w:rPr>
          <w:rFonts w:ascii="Verdana" w:hAnsi="Verdana"/>
          <w:sz w:val="16"/>
          <w:szCs w:val="16"/>
          <w:lang w:val="es-ES"/>
        </w:rPr>
      </w:pPr>
    </w:p>
  </w:footnote>
  <w:footnote w:id="3">
    <w:p w14:paraId="01B20902"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Style w:val="Refdenotaalpie"/>
          <w:rFonts w:ascii="Verdana" w:hAnsi="Verdana" w:cs="Arial"/>
          <w:sz w:val="16"/>
          <w:szCs w:val="16"/>
        </w:rPr>
        <w:footnoteRef/>
      </w:r>
      <w:r w:rsidRPr="00713652">
        <w:rPr>
          <w:rFonts w:ascii="Verdana" w:hAnsi="Verdana" w:cs="Arial"/>
          <w:sz w:val="16"/>
          <w:szCs w:val="16"/>
        </w:rPr>
        <w:t xml:space="preserve"> Ley 1150 de 2007: </w:t>
      </w:r>
      <w:r w:rsidRPr="00713652">
        <w:rPr>
          <w:rFonts w:ascii="Verdana" w:hAnsi="Verdana" w:cs="Arial"/>
          <w:i/>
          <w:iCs/>
          <w:sz w:val="16"/>
          <w:szCs w:val="16"/>
        </w:rPr>
        <w:t>“</w:t>
      </w:r>
      <w:r w:rsidRPr="00713652">
        <w:rPr>
          <w:rFonts w:ascii="Verdana" w:hAnsi="Verdana" w:cs="Arial"/>
          <w:sz w:val="16"/>
          <w:szCs w:val="16"/>
        </w:rPr>
        <w:t>Artículo 6. De la verificación de las condiciones de los proponentes.</w:t>
      </w:r>
    </w:p>
    <w:p w14:paraId="26103C83"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Fonts w:ascii="Verdana" w:hAnsi="Verdana" w:cs="Arial"/>
          <w:sz w:val="16"/>
          <w:szCs w:val="16"/>
        </w:rPr>
        <w:t>[…]</w:t>
      </w:r>
    </w:p>
    <w:p w14:paraId="57EE3C91"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Fonts w:ascii="Verdana" w:hAnsi="Verdana" w:cs="Arial"/>
          <w:i/>
          <w:iCs/>
          <w:sz w:val="16"/>
          <w:szCs w:val="16"/>
        </w:rPr>
        <w:t>“</w:t>
      </w:r>
      <w:r w:rsidRPr="00713652">
        <w:rPr>
          <w:rFonts w:ascii="Verdana" w:hAnsi="Verdana" w:cs="Arial"/>
          <w:sz w:val="16"/>
          <w:szCs w:val="16"/>
        </w:rPr>
        <w:t>6.1. […]</w:t>
      </w:r>
    </w:p>
    <w:p w14:paraId="69966263"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Fonts w:ascii="Verdana" w:hAnsi="Verdana" w:cs="Arial"/>
          <w:i/>
          <w:iCs/>
          <w:sz w:val="16"/>
          <w:szCs w:val="16"/>
        </w:rPr>
        <w:t>“</w:t>
      </w:r>
      <w:r w:rsidRPr="00713652">
        <w:rPr>
          <w:rFonts w:ascii="Verdana" w:hAnsi="Verdana" w:cs="Arial"/>
          <w:sz w:val="16"/>
          <w:szCs w:val="16"/>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49495664"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Fonts w:ascii="Verdana" w:hAnsi="Verdana" w:cs="Arial"/>
          <w:i/>
          <w:iCs/>
          <w:sz w:val="16"/>
          <w:szCs w:val="16"/>
        </w:rPr>
        <w:t>“</w:t>
      </w:r>
      <w:r w:rsidRPr="00713652">
        <w:rPr>
          <w:rFonts w:ascii="Verdana" w:hAnsi="Verdana" w:cs="Arial"/>
          <w:sz w:val="16"/>
          <w:szCs w:val="16"/>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1D841FC9"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Fonts w:ascii="Verdana" w:hAnsi="Verdana" w:cs="Arial"/>
          <w:sz w:val="16"/>
          <w:szCs w:val="16"/>
        </w:rPr>
        <w:t>[…]</w:t>
      </w:r>
      <w:r w:rsidRPr="00713652">
        <w:rPr>
          <w:rFonts w:ascii="Verdana" w:hAnsi="Verdana" w:cs="Arial"/>
          <w:i/>
          <w:iCs/>
          <w:sz w:val="16"/>
          <w:szCs w:val="16"/>
        </w:rPr>
        <w:t>”</w:t>
      </w:r>
      <w:r w:rsidRPr="00713652">
        <w:rPr>
          <w:rFonts w:ascii="Verdana" w:hAnsi="Verdana" w:cs="Arial"/>
          <w:sz w:val="16"/>
          <w:szCs w:val="16"/>
        </w:rPr>
        <w:t>.</w:t>
      </w:r>
    </w:p>
    <w:p w14:paraId="70C4133F" w14:textId="77777777" w:rsidR="004E17A0" w:rsidRPr="00713652" w:rsidRDefault="004E17A0" w:rsidP="004E17A0">
      <w:pPr>
        <w:pStyle w:val="Textonotapie"/>
        <w:ind w:firstLine="709"/>
        <w:contextualSpacing/>
        <w:jc w:val="both"/>
        <w:rPr>
          <w:rFonts w:ascii="Verdana" w:hAnsi="Verdana" w:cs="Arial"/>
          <w:sz w:val="16"/>
          <w:szCs w:val="16"/>
          <w:lang w:val="es-ES"/>
        </w:rPr>
      </w:pPr>
    </w:p>
  </w:footnote>
  <w:footnote w:id="4">
    <w:p w14:paraId="2D233EB1"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Style w:val="Refdenotaalpie"/>
          <w:rFonts w:ascii="Verdana" w:hAnsi="Verdana" w:cs="Arial"/>
          <w:sz w:val="16"/>
          <w:szCs w:val="16"/>
        </w:rPr>
        <w:footnoteRef/>
      </w:r>
      <w:r w:rsidRPr="00713652">
        <w:rPr>
          <w:rFonts w:ascii="Verdana" w:hAnsi="Verdana" w:cs="Arial"/>
          <w:sz w:val="16"/>
          <w:szCs w:val="16"/>
        </w:rPr>
        <w:t xml:space="preserve"> CONSEJO DE ESTADO. Sección Tercera. Subsección A. Sentencia del 12 de febrero de 2014. Exp. 31.753. C.P. Mauricio Fajardo Gómez: </w:t>
      </w:r>
      <w:r w:rsidRPr="00713652">
        <w:rPr>
          <w:rFonts w:ascii="Verdana" w:hAnsi="Verdana" w:cs="Arial"/>
          <w:i/>
          <w:iCs/>
          <w:sz w:val="16"/>
          <w:szCs w:val="16"/>
        </w:rPr>
        <w:t>“</w:t>
      </w:r>
      <w:r w:rsidRPr="00713652">
        <w:rPr>
          <w:rFonts w:ascii="Verdana" w:hAnsi="Verdana" w:cs="Arial"/>
          <w:sz w:val="16"/>
          <w:szCs w:val="16"/>
        </w:rPr>
        <w:t>El certificado del Registro Único de Proponentes se erigió como “plena prueba” de las circunstancias sometidas al mismo, además de que se estableció que en el procedimiento de contratación no se pueden solicitar de nuevo los mismos documentos verificados por las Cámaras de Comercio según se observa de la disposición contenida en el artículo 5º de la Ley 1150</w:t>
      </w:r>
      <w:r w:rsidRPr="00713652">
        <w:rPr>
          <w:rFonts w:ascii="Verdana" w:hAnsi="Verdana" w:cs="Arial"/>
          <w:i/>
          <w:iCs/>
          <w:sz w:val="16"/>
          <w:szCs w:val="16"/>
        </w:rPr>
        <w:t>”</w:t>
      </w:r>
      <w:r w:rsidRPr="00713652">
        <w:rPr>
          <w:rFonts w:ascii="Verdana" w:hAnsi="Verdana" w:cs="Arial"/>
          <w:sz w:val="16"/>
          <w:szCs w:val="16"/>
        </w:rPr>
        <w:t>.</w:t>
      </w:r>
    </w:p>
    <w:p w14:paraId="3C28C7DF" w14:textId="77777777" w:rsidR="004E17A0" w:rsidRPr="00713652" w:rsidRDefault="004E17A0" w:rsidP="004E17A0">
      <w:pPr>
        <w:pStyle w:val="Textonotapie"/>
        <w:ind w:firstLine="709"/>
        <w:contextualSpacing/>
        <w:jc w:val="both"/>
        <w:rPr>
          <w:rFonts w:ascii="Verdana" w:hAnsi="Verdana" w:cs="Arial"/>
          <w:sz w:val="16"/>
          <w:szCs w:val="16"/>
          <w:lang w:val="es-ES"/>
        </w:rPr>
      </w:pPr>
    </w:p>
  </w:footnote>
  <w:footnote w:id="5">
    <w:p w14:paraId="03887900"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Style w:val="Refdenotaalpie"/>
          <w:rFonts w:ascii="Verdana" w:hAnsi="Verdana" w:cs="Arial"/>
          <w:sz w:val="16"/>
          <w:szCs w:val="16"/>
        </w:rPr>
        <w:footnoteRef/>
      </w:r>
      <w:r w:rsidRPr="00713652">
        <w:rPr>
          <w:rFonts w:ascii="Verdana" w:hAnsi="Verdana" w:cs="Arial"/>
          <w:sz w:val="16"/>
          <w:szCs w:val="16"/>
        </w:rPr>
        <w:t xml:space="preserve"> Ley 1150 de 2007: </w:t>
      </w:r>
      <w:r w:rsidRPr="00713652">
        <w:rPr>
          <w:rFonts w:ascii="Verdana" w:hAnsi="Verdana" w:cs="Arial"/>
          <w:i/>
          <w:iCs/>
          <w:sz w:val="16"/>
          <w:szCs w:val="16"/>
        </w:rPr>
        <w:t>“</w:t>
      </w:r>
      <w:r w:rsidRPr="00713652">
        <w:rPr>
          <w:rFonts w:ascii="Verdana" w:hAnsi="Verdana" w:cs="Arial"/>
          <w:sz w:val="16"/>
          <w:szCs w:val="16"/>
        </w:rPr>
        <w:t xml:space="preserve">Artículo 6.  De la verificación de las condiciones de los proponentes. </w:t>
      </w:r>
    </w:p>
    <w:p w14:paraId="2596B750"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Fonts w:ascii="Verdana" w:hAnsi="Verdana" w:cs="Arial"/>
          <w:sz w:val="16"/>
          <w:szCs w:val="16"/>
        </w:rPr>
        <w:t xml:space="preserve">[...] </w:t>
      </w:r>
    </w:p>
    <w:p w14:paraId="22034863"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Fonts w:ascii="Verdana" w:hAnsi="Verdana" w:cs="Arial"/>
          <w:i/>
          <w:iCs/>
          <w:sz w:val="16"/>
          <w:szCs w:val="16"/>
        </w:rPr>
        <w:t>“</w:t>
      </w:r>
      <w:r w:rsidRPr="00713652">
        <w:rPr>
          <w:rFonts w:ascii="Verdana" w:hAnsi="Verdana" w:cs="Arial"/>
          <w:sz w:val="16"/>
          <w:szCs w:val="16"/>
        </w:rPr>
        <w:t>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72FCCD03"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Fonts w:ascii="Verdana" w:hAnsi="Verdana" w:cs="Arial"/>
          <w:sz w:val="16"/>
          <w:szCs w:val="16"/>
        </w:rPr>
        <w:t>[...]</w:t>
      </w:r>
      <w:r w:rsidRPr="00713652">
        <w:rPr>
          <w:rFonts w:ascii="Verdana" w:hAnsi="Verdana" w:cs="Arial"/>
          <w:i/>
          <w:iCs/>
          <w:sz w:val="16"/>
          <w:szCs w:val="16"/>
        </w:rPr>
        <w:t>”</w:t>
      </w:r>
      <w:r w:rsidRPr="00713652">
        <w:rPr>
          <w:rFonts w:ascii="Verdana" w:hAnsi="Verdana" w:cs="Arial"/>
          <w:sz w:val="16"/>
          <w:szCs w:val="16"/>
        </w:rPr>
        <w:t xml:space="preserve">. </w:t>
      </w:r>
    </w:p>
    <w:p w14:paraId="6751DE21" w14:textId="77777777" w:rsidR="004E17A0" w:rsidRPr="00713652" w:rsidRDefault="004E17A0" w:rsidP="004E17A0">
      <w:pPr>
        <w:pStyle w:val="Textonotapie"/>
        <w:ind w:firstLine="709"/>
        <w:contextualSpacing/>
        <w:jc w:val="both"/>
        <w:rPr>
          <w:rFonts w:ascii="Verdana" w:hAnsi="Verdana" w:cs="Arial"/>
          <w:sz w:val="16"/>
          <w:szCs w:val="16"/>
        </w:rPr>
      </w:pPr>
    </w:p>
  </w:footnote>
  <w:footnote w:id="6">
    <w:p w14:paraId="4AC38383" w14:textId="77777777" w:rsidR="004E17A0" w:rsidRPr="00713652" w:rsidRDefault="004E17A0" w:rsidP="004E17A0">
      <w:pPr>
        <w:pStyle w:val="Textonotapie"/>
        <w:ind w:firstLine="709"/>
        <w:contextualSpacing/>
        <w:jc w:val="both"/>
        <w:rPr>
          <w:rFonts w:ascii="Verdana" w:hAnsi="Verdana" w:cs="Arial"/>
          <w:sz w:val="16"/>
          <w:szCs w:val="16"/>
        </w:rPr>
      </w:pPr>
      <w:r w:rsidRPr="00713652">
        <w:rPr>
          <w:rStyle w:val="Refdenotaalpie"/>
          <w:rFonts w:ascii="Verdana" w:hAnsi="Verdana" w:cs="Arial"/>
          <w:sz w:val="16"/>
          <w:szCs w:val="16"/>
        </w:rPr>
        <w:footnoteRef/>
      </w:r>
      <w:r w:rsidRPr="00713652">
        <w:rPr>
          <w:rFonts w:ascii="Verdana" w:hAnsi="Verdana" w:cs="Arial"/>
          <w:sz w:val="16"/>
          <w:szCs w:val="16"/>
        </w:rPr>
        <w:t xml:space="preserve">  </w:t>
      </w:r>
      <w:r w:rsidRPr="00713652">
        <w:rPr>
          <w:rFonts w:ascii="Verdana" w:hAnsi="Verdana" w:cs="Arial"/>
          <w:i/>
          <w:iCs/>
          <w:sz w:val="16"/>
          <w:szCs w:val="16"/>
        </w:rPr>
        <w:t>“</w:t>
      </w:r>
      <w:r w:rsidRPr="00713652">
        <w:rPr>
          <w:rFonts w:ascii="Verdana" w:hAnsi="Verdana" w:cs="Arial"/>
          <w:sz w:val="16"/>
          <w:szCs w:val="16"/>
        </w:rPr>
        <w:t>6.1. [...] No obstante lo anterior, sólo en aquellos casos en que por las características del objeto a contratar se requiera la verificación de requisitos del proponente adicionales a los contenidos en el Registro, la entidad podrá hacer tal verificación en forma directa</w:t>
      </w:r>
      <w:r w:rsidRPr="00713652">
        <w:rPr>
          <w:rFonts w:ascii="Verdana" w:hAnsi="Verdana" w:cs="Arial"/>
          <w:i/>
          <w:iCs/>
          <w:sz w:val="16"/>
          <w:szCs w:val="16"/>
        </w:rPr>
        <w:t>”</w:t>
      </w:r>
      <w:r w:rsidRPr="00713652">
        <w:rPr>
          <w:rFonts w:ascii="Verdana" w:hAnsi="Verdana" w:cs="Arial"/>
          <w:sz w:val="16"/>
          <w:szCs w:val="16"/>
        </w:rPr>
        <w:t>.</w:t>
      </w:r>
    </w:p>
    <w:p w14:paraId="4999052B" w14:textId="77777777" w:rsidR="004E17A0" w:rsidRPr="00713652" w:rsidRDefault="004E17A0" w:rsidP="004E17A0">
      <w:pPr>
        <w:pStyle w:val="Textonotapie"/>
        <w:ind w:firstLine="709"/>
        <w:contextualSpacing/>
        <w:jc w:val="both"/>
        <w:rPr>
          <w:rFonts w:ascii="Verdana" w:hAnsi="Verdana" w:cs="Arial"/>
          <w:sz w:val="16"/>
          <w:szCs w:val="16"/>
        </w:rPr>
      </w:pPr>
    </w:p>
  </w:footnote>
  <w:footnote w:id="7">
    <w:p w14:paraId="0E680E87" w14:textId="77777777" w:rsidR="004E17A0" w:rsidRPr="00713652" w:rsidRDefault="004E17A0" w:rsidP="004E17A0">
      <w:pPr>
        <w:pStyle w:val="Textonotapie"/>
        <w:ind w:firstLine="708"/>
        <w:contextualSpacing/>
        <w:jc w:val="both"/>
        <w:rPr>
          <w:rFonts w:ascii="Verdana" w:hAnsi="Verdana" w:cs="Arial"/>
          <w:sz w:val="16"/>
          <w:szCs w:val="16"/>
        </w:rPr>
      </w:pPr>
      <w:r w:rsidRPr="00713652">
        <w:rPr>
          <w:rStyle w:val="Refdenotaalpie"/>
          <w:rFonts w:ascii="Verdana" w:hAnsi="Verdana" w:cs="Arial"/>
          <w:sz w:val="16"/>
          <w:szCs w:val="16"/>
        </w:rPr>
        <w:footnoteRef/>
      </w:r>
      <w:r w:rsidRPr="00713652">
        <w:rPr>
          <w:rFonts w:ascii="Verdana" w:hAnsi="Verdana" w:cs="Arial"/>
          <w:sz w:val="16"/>
          <w:szCs w:val="16"/>
        </w:rPr>
        <w:t xml:space="preserve"> Como se señaló, el artículo 6 de la Ley 1150 de 2007 impuso la obligación a todos los proponentes de inscribirse en el Registro Único de Proponente, salvo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w:t>
      </w:r>
    </w:p>
    <w:p w14:paraId="49020498" w14:textId="77777777" w:rsidR="004E17A0" w:rsidRPr="00713652" w:rsidRDefault="004E17A0" w:rsidP="004E17A0">
      <w:pPr>
        <w:pStyle w:val="Textonotapie"/>
        <w:ind w:firstLine="708"/>
        <w:contextualSpacing/>
        <w:jc w:val="both"/>
        <w:rPr>
          <w:rFonts w:ascii="Verdana" w:hAnsi="Verdana" w:cs="Arial"/>
          <w:sz w:val="16"/>
          <w:szCs w:val="16"/>
          <w:lang w:val="es-CO"/>
        </w:rPr>
      </w:pPr>
    </w:p>
  </w:footnote>
  <w:footnote w:id="8">
    <w:p w14:paraId="6D7713DB" w14:textId="77777777" w:rsidR="004E17A0" w:rsidRPr="00713652" w:rsidRDefault="004E17A0" w:rsidP="004E17A0">
      <w:pPr>
        <w:pStyle w:val="Textonotapie"/>
        <w:ind w:firstLine="708"/>
        <w:jc w:val="both"/>
        <w:rPr>
          <w:rStyle w:val="Hipervnculo"/>
          <w:rFonts w:ascii="Verdana" w:hAnsi="Verdana"/>
          <w:sz w:val="16"/>
          <w:szCs w:val="16"/>
        </w:rPr>
      </w:pPr>
      <w:r w:rsidRPr="00713652">
        <w:rPr>
          <w:rStyle w:val="Refdenotaalpie"/>
          <w:rFonts w:ascii="Verdana" w:hAnsi="Verdana"/>
          <w:sz w:val="16"/>
          <w:szCs w:val="16"/>
        </w:rPr>
        <w:footnoteRef/>
      </w:r>
      <w:r w:rsidRPr="00713652">
        <w:rPr>
          <w:rFonts w:ascii="Verdana" w:hAnsi="Verdana"/>
          <w:sz w:val="16"/>
          <w:szCs w:val="16"/>
        </w:rPr>
        <w:t xml:space="preserve"> Agencia Nacional de Contratación Pública. Manual para determinar los requisitos habilitantes en los procesos de contratación. Disponible en línea: </w:t>
      </w:r>
      <w:hyperlink r:id="rId1" w:history="1">
        <w:r w:rsidRPr="00713652">
          <w:rPr>
            <w:rStyle w:val="Hipervnculo"/>
            <w:rFonts w:ascii="Verdana" w:hAnsi="Verdana"/>
            <w:sz w:val="16"/>
            <w:szCs w:val="16"/>
          </w:rPr>
          <w:t>https://www.colombiacompra.gov.co/sites/cce_public/files/cce_documents/cce-eicp-ma-04._manual_requisitos_habilitantes_v3_29-09-2023.pdf</w:t>
        </w:r>
      </w:hyperlink>
    </w:p>
    <w:p w14:paraId="0C41B432" w14:textId="77777777" w:rsidR="004E17A0" w:rsidRPr="00713652" w:rsidRDefault="004E17A0" w:rsidP="004E17A0">
      <w:pPr>
        <w:pStyle w:val="Textonotapie"/>
        <w:ind w:firstLine="708"/>
        <w:jc w:val="both"/>
        <w:rPr>
          <w:rFonts w:ascii="Verdana" w:hAnsi="Verdana"/>
          <w:sz w:val="16"/>
          <w:szCs w:val="16"/>
        </w:rPr>
      </w:pPr>
    </w:p>
  </w:footnote>
  <w:footnote w:id="9">
    <w:p w14:paraId="4FAA8A8D" w14:textId="77777777" w:rsidR="004E17A0" w:rsidRPr="00713652" w:rsidRDefault="004E17A0" w:rsidP="004E17A0">
      <w:pPr>
        <w:pStyle w:val="Textonotapie"/>
        <w:ind w:firstLine="708"/>
        <w:jc w:val="both"/>
        <w:rPr>
          <w:rFonts w:ascii="Verdana" w:hAnsi="Verdana"/>
          <w:sz w:val="16"/>
          <w:szCs w:val="16"/>
          <w:lang w:val="es-ES"/>
        </w:rPr>
      </w:pPr>
      <w:r w:rsidRPr="00713652">
        <w:rPr>
          <w:rStyle w:val="Refdenotaalpie"/>
          <w:rFonts w:ascii="Verdana" w:hAnsi="Verdana"/>
          <w:sz w:val="16"/>
          <w:szCs w:val="16"/>
        </w:rPr>
        <w:footnoteRef/>
      </w:r>
      <w:r w:rsidRPr="00713652">
        <w:rPr>
          <w:rFonts w:ascii="Verdana" w:hAnsi="Verdana"/>
          <w:sz w:val="16"/>
          <w:szCs w:val="16"/>
        </w:rPr>
        <w:t xml:space="preserve"> Ibídem., p. 14. </w:t>
      </w:r>
    </w:p>
  </w:footnote>
  <w:footnote w:id="10">
    <w:p w14:paraId="5C921964" w14:textId="77777777" w:rsidR="004E17A0" w:rsidRPr="00713652" w:rsidRDefault="004E17A0" w:rsidP="004E17A0">
      <w:pPr>
        <w:pStyle w:val="Textonotapie"/>
        <w:ind w:firstLine="708"/>
        <w:jc w:val="both"/>
        <w:rPr>
          <w:rFonts w:ascii="Verdana" w:hAnsi="Verdana"/>
          <w:sz w:val="16"/>
          <w:szCs w:val="16"/>
        </w:rPr>
      </w:pPr>
      <w:r w:rsidRPr="00713652">
        <w:rPr>
          <w:rStyle w:val="Refdenotaalpie"/>
          <w:rFonts w:ascii="Verdana" w:hAnsi="Verdana"/>
          <w:sz w:val="16"/>
          <w:szCs w:val="16"/>
        </w:rPr>
        <w:footnoteRef/>
      </w:r>
      <w:r w:rsidRPr="00713652">
        <w:rPr>
          <w:rFonts w:ascii="Verdana" w:hAnsi="Verdana"/>
          <w:sz w:val="16"/>
          <w:szCs w:val="16"/>
        </w:rPr>
        <w:t xml:space="preserve"> Ibídem., p. 5. </w:t>
      </w:r>
    </w:p>
  </w:footnote>
  <w:footnote w:id="11">
    <w:p w14:paraId="6BE4E6D2" w14:textId="77777777" w:rsidR="004E17A0" w:rsidRPr="00713652" w:rsidRDefault="004E17A0" w:rsidP="004E17A0">
      <w:pPr>
        <w:pStyle w:val="Textonotapie"/>
        <w:ind w:firstLine="708"/>
        <w:jc w:val="both"/>
        <w:rPr>
          <w:rFonts w:ascii="Verdana" w:hAnsi="Verdana"/>
          <w:sz w:val="16"/>
          <w:szCs w:val="16"/>
          <w:lang w:val="es-CO"/>
        </w:rPr>
      </w:pPr>
      <w:r w:rsidRPr="00713652">
        <w:rPr>
          <w:rStyle w:val="Refdenotaalpie"/>
          <w:rFonts w:ascii="Verdana" w:hAnsi="Verdana"/>
          <w:sz w:val="16"/>
          <w:szCs w:val="16"/>
        </w:rPr>
        <w:footnoteRef/>
      </w:r>
      <w:r w:rsidRPr="00713652">
        <w:rPr>
          <w:rFonts w:ascii="Verdana" w:hAnsi="Verdana"/>
          <w:sz w:val="16"/>
          <w:szCs w:val="16"/>
        </w:rPr>
        <w:t xml:space="preserve"> Consejo de Estado. Sección Tercera. Sentencia del 16 de marzo de 2015. Exp. 28.040.</w:t>
      </w:r>
      <w:r w:rsidRPr="00713652">
        <w:rPr>
          <w:rFonts w:ascii="Verdana" w:hAnsi="Verdana"/>
          <w:spacing w:val="-4"/>
          <w:sz w:val="16"/>
          <w:szCs w:val="16"/>
        </w:rPr>
        <w:t xml:space="preserve"> </w:t>
      </w:r>
      <w:r w:rsidRPr="00713652">
        <w:rPr>
          <w:rFonts w:ascii="Verdana" w:hAnsi="Verdana"/>
          <w:sz w:val="16"/>
          <w:szCs w:val="16"/>
        </w:rPr>
        <w:t>Consejera Ponente: Olga Melida Valle de la Hoz.</w:t>
      </w:r>
    </w:p>
  </w:footnote>
  <w:footnote w:id="12">
    <w:p w14:paraId="4777E9CB" w14:textId="77777777" w:rsidR="004E17A0" w:rsidRPr="00713652" w:rsidRDefault="004E17A0" w:rsidP="004E17A0">
      <w:pPr>
        <w:pStyle w:val="Textonotapie"/>
        <w:ind w:firstLine="708"/>
        <w:jc w:val="both"/>
        <w:rPr>
          <w:rFonts w:ascii="Verdana" w:hAnsi="Verdana"/>
          <w:sz w:val="16"/>
          <w:szCs w:val="16"/>
        </w:rPr>
      </w:pPr>
    </w:p>
    <w:p w14:paraId="5E50F2FA" w14:textId="77777777" w:rsidR="004E17A0" w:rsidRPr="00713652" w:rsidRDefault="004E17A0" w:rsidP="004E17A0">
      <w:pPr>
        <w:spacing w:line="240" w:lineRule="auto"/>
        <w:ind w:left="260" w:right="610" w:firstLine="710"/>
        <w:jc w:val="both"/>
        <w:rPr>
          <w:rFonts w:ascii="Verdana" w:hAnsi="Verdana"/>
          <w:sz w:val="16"/>
          <w:szCs w:val="16"/>
        </w:rPr>
      </w:pPr>
      <w:r w:rsidRPr="00713652">
        <w:rPr>
          <w:rStyle w:val="Refdenotaalpie"/>
          <w:rFonts w:ascii="Verdana" w:hAnsi="Verdana"/>
          <w:sz w:val="16"/>
          <w:szCs w:val="16"/>
        </w:rPr>
        <w:footnoteRef/>
      </w:r>
      <w:r w:rsidRPr="00713652">
        <w:rPr>
          <w:rFonts w:ascii="Verdana" w:hAnsi="Verdana"/>
          <w:sz w:val="16"/>
          <w:szCs w:val="16"/>
        </w:rPr>
        <w:t xml:space="preserve"> Recuérdese que las denominadas «manifestaciones de interés» corresponden a la modalidad de selección de contratistas</w:t>
      </w:r>
      <w:r w:rsidRPr="00713652">
        <w:rPr>
          <w:rFonts w:ascii="Verdana" w:hAnsi="Verdana"/>
          <w:spacing w:val="-10"/>
          <w:sz w:val="16"/>
          <w:szCs w:val="16"/>
        </w:rPr>
        <w:t xml:space="preserve"> </w:t>
      </w:r>
      <w:r w:rsidRPr="00713652">
        <w:rPr>
          <w:rFonts w:ascii="Verdana" w:hAnsi="Verdana"/>
          <w:sz w:val="16"/>
          <w:szCs w:val="16"/>
        </w:rPr>
        <w:t>del Concurso de Méritos con Precalificación, regulado, entre otros, en los artículos 2.2.1.2.2.1.3.3. y siguientes del Decreto 1082 de 2015</w:t>
      </w:r>
      <w:r>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12.3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58DEB14A"/>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CC6F5F"/>
    <w:multiLevelType w:val="hybridMultilevel"/>
    <w:tmpl w:val="EC1A4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49671122">
    <w:abstractNumId w:val="6"/>
  </w:num>
  <w:num w:numId="2" w16cid:durableId="1163860990">
    <w:abstractNumId w:val="1"/>
  </w:num>
  <w:num w:numId="3" w16cid:durableId="1044403793">
    <w:abstractNumId w:val="4"/>
  </w:num>
  <w:num w:numId="4" w16cid:durableId="9939209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2327232">
    <w:abstractNumId w:val="1"/>
  </w:num>
  <w:num w:numId="6" w16cid:durableId="806779880">
    <w:abstractNumId w:val="12"/>
  </w:num>
  <w:num w:numId="7" w16cid:durableId="1802922762">
    <w:abstractNumId w:val="5"/>
  </w:num>
  <w:num w:numId="8" w16cid:durableId="898788091">
    <w:abstractNumId w:val="11"/>
  </w:num>
  <w:num w:numId="9" w16cid:durableId="2021589714">
    <w:abstractNumId w:val="7"/>
  </w:num>
  <w:num w:numId="10" w16cid:durableId="954366738">
    <w:abstractNumId w:val="10"/>
  </w:num>
  <w:num w:numId="11" w16cid:durableId="1198734655">
    <w:abstractNumId w:val="8"/>
  </w:num>
  <w:num w:numId="12" w16cid:durableId="74591088">
    <w:abstractNumId w:val="0"/>
  </w:num>
  <w:num w:numId="13" w16cid:durableId="1758746098">
    <w:abstractNumId w:val="2"/>
  </w:num>
  <w:num w:numId="14" w16cid:durableId="184560131">
    <w:abstractNumId w:val="13"/>
  </w:num>
  <w:num w:numId="15" w16cid:durableId="2060005750">
    <w:abstractNumId w:val="9"/>
  </w:num>
  <w:num w:numId="16" w16cid:durableId="1282692116">
    <w:abstractNumId w:val="3"/>
  </w:num>
  <w:num w:numId="17" w16cid:durableId="589853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2782"/>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529CD"/>
    <w:rsid w:val="00466E39"/>
    <w:rsid w:val="004A0090"/>
    <w:rsid w:val="004A1847"/>
    <w:rsid w:val="004A305D"/>
    <w:rsid w:val="004E17A0"/>
    <w:rsid w:val="004E7B9E"/>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6C7EEA"/>
    <w:rsid w:val="006D5C98"/>
    <w:rsid w:val="00706C16"/>
    <w:rsid w:val="007340C3"/>
    <w:rsid w:val="00751E38"/>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03ED0"/>
    <w:rsid w:val="00923EEF"/>
    <w:rsid w:val="009419F9"/>
    <w:rsid w:val="0095685E"/>
    <w:rsid w:val="00961B09"/>
    <w:rsid w:val="00965334"/>
    <w:rsid w:val="0097093E"/>
    <w:rsid w:val="00981872"/>
    <w:rsid w:val="009A0DFA"/>
    <w:rsid w:val="009A1C6F"/>
    <w:rsid w:val="009A7B43"/>
    <w:rsid w:val="009B2D26"/>
    <w:rsid w:val="009C71FA"/>
    <w:rsid w:val="009C72E7"/>
    <w:rsid w:val="009C7F7E"/>
    <w:rsid w:val="009D3058"/>
    <w:rsid w:val="009F3A13"/>
    <w:rsid w:val="00A122D3"/>
    <w:rsid w:val="00A14468"/>
    <w:rsid w:val="00A17F13"/>
    <w:rsid w:val="00A20739"/>
    <w:rsid w:val="00A23AF9"/>
    <w:rsid w:val="00A33C78"/>
    <w:rsid w:val="00A821E8"/>
    <w:rsid w:val="00AB0ADB"/>
    <w:rsid w:val="00B00C0E"/>
    <w:rsid w:val="00B0116E"/>
    <w:rsid w:val="00B01B1A"/>
    <w:rsid w:val="00B0381D"/>
    <w:rsid w:val="00B17E10"/>
    <w:rsid w:val="00B4084F"/>
    <w:rsid w:val="00B44A47"/>
    <w:rsid w:val="00B72CD3"/>
    <w:rsid w:val="00B72FFF"/>
    <w:rsid w:val="00BA3BBA"/>
    <w:rsid w:val="00BC3D36"/>
    <w:rsid w:val="00BD54A6"/>
    <w:rsid w:val="00BD7F72"/>
    <w:rsid w:val="00BF7425"/>
    <w:rsid w:val="00BF7A62"/>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5512D"/>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27A42"/>
    <w:rsid w:val="00F31EDC"/>
    <w:rsid w:val="00F462B3"/>
    <w:rsid w:val="00F5664F"/>
    <w:rsid w:val="00F57102"/>
    <w:rsid w:val="00F666C4"/>
    <w:rsid w:val="00F76AFC"/>
    <w:rsid w:val="00FA47C0"/>
    <w:rsid w:val="00FB5DD1"/>
    <w:rsid w:val="00FC2B5D"/>
    <w:rsid w:val="00FF1449"/>
    <w:rsid w:val="00FF7963"/>
    <w:rsid w:val="00FF7EDC"/>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4E17A0"/>
    <w:pPr>
      <w:spacing w:line="240" w:lineRule="exact"/>
    </w:pPr>
    <w:rPr>
      <w:vertAlign w:val="superscript"/>
    </w:rPr>
  </w:style>
  <w:style w:type="table" w:customStyle="1" w:styleId="Tablaconcuadrcula11">
    <w:name w:val="Tabla con cuadrícula11"/>
    <w:basedOn w:val="Tablanormal"/>
    <w:next w:val="Tablaconcuadrcula"/>
    <w:uiPriority w:val="39"/>
    <w:qFormat/>
    <w:rsid w:val="004E1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ximena.rios%40colombiacompra.gov.co%7C7128555136e04fa6887d08dee99e1b50%7C7b09041e245149d08cb179d5e3d8c1be%7C0%7C0%7C639205062450539116%7CUnknown%7CTWFpbGZsb3d8eyJFbXB0eU1hcGkiOnRydWUsIlYiOiIwLjAuMDAwMCIsIlAiOiJXaW4zMiIsIkFOIjoiTWFpbCIsIldUIjoyfQ%3D%3D%7C0%7C%7C%7C&amp;sdata=CfPCOpuJcdBVx4A4Es00qhtHeb0EXqpLtjJ3sidG7qc%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ximena.rios%40colombiacompra.gov.co%7C7128555136e04fa6887d08dee99e1b50%7C7b09041e245149d08cb179d5e3d8c1be%7C0%7C0%7C639205062450600483%7CUnknown%7CTWFpbGZsb3d8eyJFbXB0eU1hcGkiOnRydWUsIlYiOiIwLjAuMDAwMCIsIlAiOiJXaW4zMiIsIkFOIjoiTWFpbCIsIldUIjoyfQ%3D%3D%7C0%7C%7C%7C&amp;sdata=uYs%2B3QwtSZHgVJvlXP%2BmhySC1Jrm7vHXFmaHOtfNQ14%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nine9127@hotm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ximena.rios%40colombiacompra.gov.co%7C7128555136e04fa6887d08dee99e1b50%7C7b09041e245149d08cb179d5e3d8c1be%7C0%7C0%7C639205062450582020%7CUnknown%7CTWFpbGZsb3d8eyJFbXB0eU1hcGkiOnRydWUsIlYiOiIwLjAuMDAwMCIsIlAiOiJXaW4zMiIsIkFOIjoiTWFpbCIsIldUIjoyfQ%3D%3D%7C0%7C%7C%7C&amp;sdata=rcNHkjlfUnBT10qBN9hOC13nRPZK9MU4FLtUNXV3C%2F0%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ximena.rios%40colombiacompra.gov.co%7C7128555136e04fa6887d08dee99e1b50%7C7b09041e245149d08cb179d5e3d8c1be%7C0%7C0%7C639205062450563347%7CUnknown%7CTWFpbGZsb3d8eyJFbXB0eU1hcGkiOnRydWUsIlYiOiIwLjAuMDAwMCIsIlAiOiJXaW4zMiIsIkFOIjoiTWFpbCIsIldUIjoyfQ%3D%3D%7C0%7C%7C%7C&amp;sdata=tosoK34OMgJQcSayY6AWxgpMG1zlr0nJO8iR5nyvlYo%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sites/cce_public/files/cce_documents/cce-eicp-ma-04._manual_requisitos_habilitantes_v3_29-09-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F2E39-3367-41B8-81E5-6F7D7E1E0F13}"/>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7478</Words>
  <Characters>41135</Characters>
  <Application>Microsoft Office Word</Application>
  <DocSecurity>0</DocSecurity>
  <Lines>342</Lines>
  <Paragraphs>97</Paragraphs>
  <ScaleCrop>false</ScaleCrop>
  <Company/>
  <LinksUpToDate>false</LinksUpToDate>
  <CharactersWithSpaces>48516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4</cp:revision>
  <cp:lastPrinted>2023-01-10T21:18:00Z</cp:lastPrinted>
  <dcterms:created xsi:type="dcterms:W3CDTF">2026-08-20T14:59:00Z</dcterms:created>
  <dcterms:modified xsi:type="dcterms:W3CDTF">2026-08-20T19:21:00Z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