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B470F" w14:textId="5F0F2AEF" w:rsidR="008E618B" w:rsidRPr="008E618B" w:rsidRDefault="008E618B" w:rsidP="008E618B">
      <w:pPr>
        <w:jc w:val="both"/>
        <w:rPr>
          <w:rFonts w:ascii="Verdana" w:eastAsia="Verdana" w:hAnsi="Verdana" w:cs="Verdana"/>
          <w:b/>
          <w:bCs/>
        </w:rPr>
      </w:pPr>
      <w:bookmarkStart w:id="0" w:name="_Hlk143780582"/>
      <w:r w:rsidRPr="008E618B">
        <w:rPr>
          <w:rFonts w:ascii="Verdana" w:eastAsia="Verdana" w:hAnsi="Verdana" w:cs="Verdana"/>
          <w:b/>
          <w:bCs/>
        </w:rPr>
        <w:t xml:space="preserve">CONSTITUCIÓN POLÍTICA ARTICULO 313 NUMERAL 3 </w:t>
      </w:r>
      <w:r w:rsidR="00917103" w:rsidRPr="00917103">
        <w:rPr>
          <w:rFonts w:ascii="Verdana" w:eastAsia="Verdana" w:hAnsi="Verdana" w:cs="Verdana"/>
          <w:b/>
          <w:bCs/>
          <w:lang w:val="es-ES"/>
        </w:rPr>
        <w:t>–</w:t>
      </w:r>
      <w:r w:rsidRPr="008E618B">
        <w:rPr>
          <w:rFonts w:ascii="Verdana" w:eastAsia="Verdana" w:hAnsi="Verdana" w:cs="Verdana"/>
          <w:b/>
          <w:bCs/>
        </w:rPr>
        <w:t xml:space="preserve"> Atribución conferida a los Concejos Municipales </w:t>
      </w:r>
      <w:r w:rsidR="00917103" w:rsidRPr="00917103">
        <w:rPr>
          <w:rFonts w:ascii="Verdana" w:eastAsia="Verdana" w:hAnsi="Verdana" w:cs="Verdana"/>
          <w:b/>
          <w:bCs/>
          <w:lang w:val="es-ES"/>
        </w:rPr>
        <w:t>–</w:t>
      </w:r>
      <w:r w:rsidRPr="008E618B">
        <w:rPr>
          <w:rFonts w:ascii="Verdana" w:eastAsia="Verdana" w:hAnsi="Verdana" w:cs="Verdana"/>
          <w:b/>
          <w:bCs/>
        </w:rPr>
        <w:t xml:space="preserve"> Alcance</w:t>
      </w:r>
    </w:p>
    <w:p w14:paraId="2F71E796" w14:textId="77777777" w:rsidR="008E618B" w:rsidRPr="008E618B" w:rsidRDefault="008E618B" w:rsidP="008E618B">
      <w:pPr>
        <w:jc w:val="both"/>
        <w:rPr>
          <w:rFonts w:ascii="Verdana" w:eastAsia="Verdana" w:hAnsi="Verdana" w:cs="Verdana"/>
          <w:sz w:val="20"/>
          <w:szCs w:val="20"/>
        </w:rPr>
      </w:pPr>
      <w:r w:rsidRPr="008E618B">
        <w:rPr>
          <w:rFonts w:ascii="Verdana" w:eastAsia="Verdana" w:hAnsi="Verdana" w:cs="Verdana"/>
          <w:sz w:val="20"/>
          <w:szCs w:val="20"/>
        </w:rPr>
        <w:t>el numeral 3 del artículo 313 de la Constitución Política, conforme a la cual corresponde a los concejos autorizar al alcalde para celebrar contratos. No obstante, esta disposición no puede interpretarse en el sentido de que toda actuación contractual deba estar precedida de autorización del concejo municipal, pues ello desconocería la distribución constitucional de competencias entre los órganos que integran la administración municipal y vaciaría de contenido las funciones atribuidas al alcalde como director de la acción administrativa y representante legal del municipio.</w:t>
      </w:r>
    </w:p>
    <w:p w14:paraId="3FCE36DD" w14:textId="7A347A07" w:rsidR="008E618B" w:rsidRPr="008E618B" w:rsidRDefault="008E618B" w:rsidP="008E618B">
      <w:pPr>
        <w:jc w:val="both"/>
        <w:rPr>
          <w:rFonts w:ascii="Verdana" w:eastAsia="Verdana" w:hAnsi="Verdana" w:cs="Verdana"/>
          <w:b/>
          <w:bCs/>
        </w:rPr>
      </w:pPr>
      <w:r w:rsidRPr="008E618B">
        <w:rPr>
          <w:rFonts w:ascii="Verdana" w:eastAsia="Verdana" w:hAnsi="Verdana" w:cs="Verdana"/>
          <w:b/>
          <w:bCs/>
        </w:rPr>
        <w:t xml:space="preserve">COMPETENCIAS CONSTITUCIONALES </w:t>
      </w:r>
      <w:r w:rsidR="00917103" w:rsidRPr="00917103">
        <w:rPr>
          <w:rFonts w:ascii="Verdana" w:eastAsia="Verdana" w:hAnsi="Verdana" w:cs="Verdana"/>
          <w:b/>
          <w:bCs/>
          <w:lang w:val="es-ES"/>
        </w:rPr>
        <w:t>–</w:t>
      </w:r>
      <w:r w:rsidRPr="008E618B">
        <w:rPr>
          <w:rFonts w:ascii="Verdana" w:eastAsia="Verdana" w:hAnsi="Verdana" w:cs="Verdana"/>
          <w:b/>
          <w:bCs/>
        </w:rPr>
        <w:t xml:space="preserve"> </w:t>
      </w:r>
      <w:proofErr w:type="gramStart"/>
      <w:r w:rsidRPr="008E618B">
        <w:rPr>
          <w:rFonts w:ascii="Verdana" w:eastAsia="Verdana" w:hAnsi="Verdana" w:cs="Verdana"/>
          <w:b/>
          <w:bCs/>
        </w:rPr>
        <w:t>Alcalde</w:t>
      </w:r>
      <w:proofErr w:type="gramEnd"/>
      <w:r w:rsidRPr="008E618B">
        <w:rPr>
          <w:rFonts w:ascii="Verdana" w:eastAsia="Verdana" w:hAnsi="Verdana" w:cs="Verdana"/>
          <w:b/>
          <w:bCs/>
        </w:rPr>
        <w:t xml:space="preserve"> y Concejos Municipales</w:t>
      </w:r>
    </w:p>
    <w:p w14:paraId="651BA02A" w14:textId="77777777" w:rsidR="008E618B" w:rsidRPr="008E618B" w:rsidRDefault="008E618B" w:rsidP="008E618B">
      <w:pPr>
        <w:jc w:val="both"/>
        <w:rPr>
          <w:rFonts w:ascii="Verdana" w:eastAsia="Verdana" w:hAnsi="Verdana" w:cs="Verdana"/>
          <w:sz w:val="20"/>
          <w:szCs w:val="20"/>
        </w:rPr>
      </w:pPr>
      <w:r w:rsidRPr="008E618B">
        <w:rPr>
          <w:rFonts w:ascii="Verdana" w:eastAsia="Verdana" w:hAnsi="Verdana" w:cs="Verdana"/>
          <w:sz w:val="20"/>
          <w:szCs w:val="20"/>
        </w:rPr>
        <w:t>la autorización prevista en el numeral 3 del artículo 313 de la Constitución constituye un mecanismo de distribución funcional entre el órgano de representación popular y el ejecutivo territorial, cuyo alcance corresponde desarrollar al legislador y, dentro del marco fijado por este, a los concejos municipales mediante la expedición de acuerdos. En consecuencia, la autorización del concejo no constituye un requisito general para toda contratación estatal, sino una exigencia que únicamente procede cuando la Constitución, la ley o el respectivo acuerdo municipal, expedido en ejercicio de la competencia prevista en dicha disposición constitucional, así lo establezcan</w:t>
      </w:r>
    </w:p>
    <w:p w14:paraId="6FDC49F7" w14:textId="66E64C70" w:rsidR="008E618B" w:rsidRPr="008E618B" w:rsidRDefault="008E618B" w:rsidP="008E618B">
      <w:pPr>
        <w:jc w:val="both"/>
        <w:rPr>
          <w:rFonts w:ascii="Verdana" w:eastAsia="Verdana" w:hAnsi="Verdana" w:cs="Verdana"/>
          <w:b/>
          <w:bCs/>
        </w:rPr>
      </w:pPr>
      <w:r w:rsidRPr="008E618B">
        <w:rPr>
          <w:rFonts w:ascii="Verdana" w:eastAsia="Verdana" w:hAnsi="Verdana" w:cs="Verdana"/>
          <w:b/>
          <w:bCs/>
        </w:rPr>
        <w:t xml:space="preserve">CONTRATO DE DONACIÓN </w:t>
      </w:r>
      <w:r w:rsidR="00917103" w:rsidRPr="00917103">
        <w:rPr>
          <w:rFonts w:ascii="Verdana" w:eastAsia="Verdana" w:hAnsi="Verdana" w:cs="Verdana"/>
          <w:b/>
          <w:bCs/>
          <w:lang w:val="es-ES"/>
        </w:rPr>
        <w:t>–</w:t>
      </w:r>
      <w:r w:rsidRPr="008E618B">
        <w:rPr>
          <w:rFonts w:ascii="Verdana" w:eastAsia="Verdana" w:hAnsi="Verdana" w:cs="Verdana"/>
          <w:b/>
          <w:bCs/>
        </w:rPr>
        <w:t xml:space="preserve"> Concepto</w:t>
      </w:r>
    </w:p>
    <w:p w14:paraId="710E7958" w14:textId="77777777" w:rsidR="008E618B" w:rsidRPr="008E618B" w:rsidRDefault="008E618B" w:rsidP="008E618B">
      <w:pPr>
        <w:jc w:val="both"/>
        <w:rPr>
          <w:rFonts w:ascii="Verdana" w:eastAsia="Verdana" w:hAnsi="Verdana" w:cs="Verdana"/>
          <w:sz w:val="20"/>
          <w:szCs w:val="20"/>
        </w:rPr>
      </w:pPr>
      <w:r w:rsidRPr="008E618B">
        <w:rPr>
          <w:rFonts w:ascii="Verdana" w:eastAsia="Verdana" w:hAnsi="Verdana" w:cs="Verdana"/>
          <w:sz w:val="20"/>
          <w:szCs w:val="20"/>
        </w:rPr>
        <w:t>[…] el artículo 1443 del Código Civil la define como un acto por el cual una persona transfiere gratuita e irrevocablemente una parte de sus bienes a otra que la acepta; sin embargo, desde el punto de vista jurídico, esa definición resulta insuficiente, dado que la donación no constituye un simple acto unilateral, sino un verdadero contrato que requiere el concurso de la voluntad tanto del donante como del donatario para su perfeccionamiento.</w:t>
      </w:r>
    </w:p>
    <w:p w14:paraId="53522578" w14:textId="25F87F5E" w:rsidR="008E618B" w:rsidRPr="008E618B" w:rsidRDefault="008E618B" w:rsidP="008E618B">
      <w:pPr>
        <w:jc w:val="both"/>
        <w:rPr>
          <w:rFonts w:ascii="Verdana" w:eastAsia="Verdana" w:hAnsi="Verdana" w:cs="Verdana"/>
          <w:b/>
          <w:bCs/>
        </w:rPr>
      </w:pPr>
      <w:r w:rsidRPr="008E618B">
        <w:rPr>
          <w:rFonts w:ascii="Verdana" w:eastAsia="Verdana" w:hAnsi="Verdana" w:cs="Verdana"/>
          <w:b/>
          <w:bCs/>
        </w:rPr>
        <w:t xml:space="preserve">FACULTAD DE CELEBRAR CONTRATO DE DONACIÓN ENTRE ENTIDADES </w:t>
      </w:r>
      <w:r w:rsidR="00917103" w:rsidRPr="00917103">
        <w:rPr>
          <w:rFonts w:ascii="Verdana" w:eastAsia="Verdana" w:hAnsi="Verdana" w:cs="Verdana"/>
          <w:b/>
          <w:bCs/>
          <w:lang w:val="es-ES"/>
        </w:rPr>
        <w:t>–</w:t>
      </w:r>
      <w:r w:rsidRPr="008E618B">
        <w:rPr>
          <w:rFonts w:ascii="Verdana" w:eastAsia="Verdana" w:hAnsi="Verdana" w:cs="Verdana"/>
          <w:b/>
          <w:bCs/>
        </w:rPr>
        <w:t xml:space="preserve"> No aplica prohibición del Artículo 355 Constitucional</w:t>
      </w:r>
    </w:p>
    <w:p w14:paraId="11745A38" w14:textId="77777777" w:rsidR="008E618B" w:rsidRPr="008E618B" w:rsidRDefault="008E618B" w:rsidP="008E618B">
      <w:pPr>
        <w:jc w:val="both"/>
        <w:rPr>
          <w:rFonts w:ascii="Verdana" w:eastAsia="Verdana" w:hAnsi="Verdana" w:cs="Verdana"/>
          <w:sz w:val="20"/>
          <w:szCs w:val="20"/>
        </w:rPr>
      </w:pPr>
      <w:r w:rsidRPr="008E618B">
        <w:rPr>
          <w:rFonts w:ascii="Verdana" w:eastAsia="Verdana" w:hAnsi="Verdana" w:cs="Verdana"/>
          <w:sz w:val="20"/>
          <w:szCs w:val="20"/>
        </w:rPr>
        <w:t>el principal límite constitucional para la celebración de contratos de donación se encuentra previsto en el artículo 355 de la Constitución Política, disposición conforme a la cual ninguna de las ramas u órganos del poder público podrá decretar auxilios o donaciones en favor de personas naturales o jurídicas de derecho privado. La finalidad de esta prohibición consiste en impedir que el patrimonio público sea destinado a favorecer intereses particulares sin una justificación constitucionalmente admisible, proscribiendo prácticas que históricamente dieron lugar a la asignación discrecional de recursos públicos mediante subvenciones o liberalidades carentes de fundamento en el interés general.</w:t>
      </w:r>
    </w:p>
    <w:p w14:paraId="37B5BFDB" w14:textId="2505373B" w:rsidR="008E618B" w:rsidRPr="008E618B" w:rsidRDefault="008E618B" w:rsidP="008E618B">
      <w:pPr>
        <w:jc w:val="both"/>
        <w:rPr>
          <w:rFonts w:ascii="Verdana" w:eastAsia="Verdana" w:hAnsi="Verdana" w:cs="Verdana"/>
          <w:sz w:val="20"/>
          <w:szCs w:val="20"/>
        </w:rPr>
      </w:pPr>
      <w:r w:rsidRPr="008E618B">
        <w:rPr>
          <w:rFonts w:ascii="Verdana" w:eastAsia="Verdana" w:hAnsi="Verdana" w:cs="Verdana"/>
          <w:sz w:val="20"/>
          <w:szCs w:val="20"/>
        </w:rPr>
        <w:lastRenderedPageBreak/>
        <w:t>No obstante, la interpretación de esta disposición no puede efectuarse de manera aislada ni conducir a concluir que toda donación realizada por una entidad pública se encuentra prohibida por el ordenamiento constitucional. Debido a que el artículo 355 superior proscribe únicamente las donaciones o auxilios dirigidos a personas naturales o jurídicas de derecho privado, mas no aquellas operaciones patrimoniales que se realizan entre entidades públicas para facilitar el cumplimiento de sus respectivas competencias constitucionales y legales.</w:t>
      </w:r>
    </w:p>
    <w:p w14:paraId="528E0029" w14:textId="5C66AB40" w:rsidR="008E618B" w:rsidRPr="008E618B" w:rsidRDefault="008E618B" w:rsidP="008E618B">
      <w:pPr>
        <w:jc w:val="both"/>
        <w:rPr>
          <w:rFonts w:ascii="Verdana" w:eastAsia="Verdana" w:hAnsi="Verdana" w:cs="Verdana"/>
          <w:b/>
          <w:bCs/>
        </w:rPr>
      </w:pPr>
      <w:r w:rsidRPr="008E618B">
        <w:rPr>
          <w:rFonts w:ascii="Verdana" w:eastAsia="Verdana" w:hAnsi="Verdana" w:cs="Verdana"/>
          <w:b/>
          <w:bCs/>
        </w:rPr>
        <w:t xml:space="preserve">ENAJENACIÓN A TITULO GRATUITO ENTRE ENTIDADES ESTATALES </w:t>
      </w:r>
      <w:r w:rsidR="00917103" w:rsidRPr="00917103">
        <w:rPr>
          <w:rFonts w:ascii="Verdana" w:eastAsia="Verdana" w:hAnsi="Verdana" w:cs="Verdana"/>
          <w:b/>
          <w:bCs/>
          <w:lang w:val="es-ES"/>
        </w:rPr>
        <w:t>–</w:t>
      </w:r>
      <w:r w:rsidRPr="008E618B">
        <w:rPr>
          <w:rFonts w:ascii="Verdana" w:eastAsia="Verdana" w:hAnsi="Verdana" w:cs="Verdana"/>
          <w:b/>
          <w:bCs/>
        </w:rPr>
        <w:t xml:space="preserve"> Procedimientos de selección </w:t>
      </w:r>
      <w:r w:rsidR="00917103" w:rsidRPr="00917103">
        <w:rPr>
          <w:rFonts w:ascii="Verdana" w:eastAsia="Verdana" w:hAnsi="Verdana" w:cs="Verdana"/>
          <w:b/>
          <w:bCs/>
          <w:lang w:val="es-ES"/>
        </w:rPr>
        <w:t>–</w:t>
      </w:r>
      <w:r w:rsidRPr="008E618B">
        <w:rPr>
          <w:rFonts w:ascii="Verdana" w:eastAsia="Verdana" w:hAnsi="Verdana" w:cs="Verdana"/>
          <w:b/>
          <w:bCs/>
        </w:rPr>
        <w:t xml:space="preserve"> Estudios previos</w:t>
      </w:r>
    </w:p>
    <w:p w14:paraId="2CA9094D" w14:textId="77777777" w:rsidR="008E618B" w:rsidRPr="008E618B" w:rsidRDefault="008E618B" w:rsidP="008E618B">
      <w:pPr>
        <w:jc w:val="both"/>
        <w:rPr>
          <w:rFonts w:ascii="Verdana" w:eastAsia="Verdana" w:hAnsi="Verdana" w:cs="Verdana"/>
          <w:sz w:val="20"/>
          <w:szCs w:val="20"/>
        </w:rPr>
      </w:pPr>
      <w:r w:rsidRPr="008E618B">
        <w:rPr>
          <w:rFonts w:ascii="Verdana" w:eastAsia="Verdana" w:hAnsi="Verdana" w:cs="Verdana"/>
          <w:sz w:val="20"/>
          <w:szCs w:val="20"/>
        </w:rPr>
        <w:t>antes de celebrar una donación, la entidad deberá adelantar los estudios y documentos previos que permitan justificar la necesidad y conveniencia de la operación, identificar los bienes objeto de transferencia, verificar que estos sean bienes fiscales susceptibles de disposición, acreditar que no resultan indispensables para el cumplimiento de las funciones de la entidad donante y demostrar que la transferencia contribuye al cumplimiento de una finalidad pública. De igual manera, deberá definir la modalidad de selección que resulte procedente conforme al EGCAP y cumplir las obligaciones de publicidad y transparencia previstas en el ordenamiento jurídico.</w:t>
      </w:r>
    </w:p>
    <w:p w14:paraId="0349D3A3" w14:textId="4F1D4420" w:rsidR="006C486C" w:rsidRDefault="006C486C">
      <w:pPr>
        <w:rPr>
          <w:rFonts w:ascii="Verdana" w:eastAsia="Verdana" w:hAnsi="Verdana" w:cs="Verdana"/>
        </w:rPr>
      </w:pPr>
    </w:p>
    <w:p w14:paraId="7ACE9DBE" w14:textId="77777777" w:rsidR="006C486C" w:rsidRDefault="006C486C" w:rsidP="002B7ECD">
      <w:pPr>
        <w:spacing w:after="0"/>
        <w:rPr>
          <w:rFonts w:ascii="Verdana" w:eastAsia="Verdana" w:hAnsi="Verdana" w:cs="Verdana"/>
        </w:rPr>
      </w:pPr>
    </w:p>
    <w:p w14:paraId="393C0875" w14:textId="5777A92C" w:rsidR="006C486C" w:rsidRDefault="006C486C">
      <w:pPr>
        <w:rPr>
          <w:rFonts w:ascii="Verdana" w:eastAsia="Verdana" w:hAnsi="Verdana" w:cs="Verdana"/>
        </w:rPr>
      </w:pPr>
    </w:p>
    <w:p w14:paraId="71A6B835" w14:textId="77777777" w:rsidR="00AC45C8" w:rsidRDefault="00AC45C8">
      <w:pPr>
        <w:rPr>
          <w:rFonts w:ascii="Verdana" w:eastAsia="Verdana" w:hAnsi="Verdana" w:cs="Verdana"/>
        </w:rPr>
      </w:pPr>
    </w:p>
    <w:p w14:paraId="250DD865" w14:textId="77777777" w:rsidR="00AC45C8" w:rsidRDefault="00AC45C8">
      <w:pPr>
        <w:rPr>
          <w:rFonts w:ascii="Verdana" w:eastAsia="Verdana" w:hAnsi="Verdana" w:cs="Verdana"/>
        </w:rPr>
      </w:pPr>
    </w:p>
    <w:p w14:paraId="13AB7B59" w14:textId="77777777" w:rsidR="00AC45C8" w:rsidRDefault="00AC45C8">
      <w:pPr>
        <w:rPr>
          <w:rFonts w:ascii="Verdana" w:eastAsia="Verdana" w:hAnsi="Verdana" w:cs="Verdana"/>
        </w:rPr>
      </w:pPr>
    </w:p>
    <w:p w14:paraId="247A6B91" w14:textId="77777777" w:rsidR="00AC45C8" w:rsidRDefault="00AC45C8">
      <w:pPr>
        <w:rPr>
          <w:rFonts w:ascii="Verdana" w:eastAsia="Verdana" w:hAnsi="Verdana" w:cs="Verdana"/>
        </w:rPr>
      </w:pPr>
    </w:p>
    <w:p w14:paraId="70D416FF" w14:textId="77777777" w:rsidR="00AC45C8" w:rsidRDefault="00AC45C8">
      <w:pPr>
        <w:rPr>
          <w:rFonts w:ascii="Verdana" w:eastAsia="Verdana" w:hAnsi="Verdana" w:cs="Verdana"/>
        </w:rPr>
      </w:pPr>
    </w:p>
    <w:p w14:paraId="29196A1A" w14:textId="77777777" w:rsidR="00AC45C8" w:rsidRDefault="00AC45C8">
      <w:pPr>
        <w:rPr>
          <w:rFonts w:ascii="Verdana" w:eastAsia="Verdana" w:hAnsi="Verdana" w:cs="Verdana"/>
        </w:rPr>
      </w:pPr>
    </w:p>
    <w:p w14:paraId="07F19F66" w14:textId="77777777" w:rsidR="00AC45C8" w:rsidRDefault="00AC45C8">
      <w:pPr>
        <w:rPr>
          <w:rFonts w:ascii="Verdana" w:eastAsia="Verdana" w:hAnsi="Verdana" w:cs="Verdana"/>
        </w:rPr>
      </w:pPr>
    </w:p>
    <w:p w14:paraId="5A488789" w14:textId="77777777" w:rsidR="00AC45C8" w:rsidRDefault="00AC45C8">
      <w:pPr>
        <w:rPr>
          <w:rFonts w:ascii="Verdana" w:eastAsia="Verdana" w:hAnsi="Verdana" w:cs="Verdana"/>
        </w:rPr>
      </w:pPr>
    </w:p>
    <w:p w14:paraId="1518EDE3" w14:textId="77777777" w:rsidR="00AC45C8" w:rsidRDefault="00AC45C8">
      <w:pPr>
        <w:rPr>
          <w:rFonts w:ascii="Verdana" w:eastAsia="Verdana" w:hAnsi="Verdana" w:cs="Verdana"/>
        </w:rPr>
      </w:pPr>
    </w:p>
    <w:p w14:paraId="3503DD8B" w14:textId="77777777" w:rsidR="00AC45C8" w:rsidRDefault="00AC45C8">
      <w:pPr>
        <w:rPr>
          <w:rFonts w:ascii="Verdana" w:eastAsia="Verdana" w:hAnsi="Verdana" w:cs="Verdana"/>
        </w:rPr>
      </w:pPr>
    </w:p>
    <w:p w14:paraId="2F01D5D9" w14:textId="77777777" w:rsidR="00AC45C8" w:rsidRDefault="00AC45C8">
      <w:pPr>
        <w:rPr>
          <w:rFonts w:ascii="Verdana" w:eastAsia="Verdana" w:hAnsi="Verdana" w:cs="Verdana"/>
        </w:rPr>
      </w:pPr>
    </w:p>
    <w:p w14:paraId="3227B08D" w14:textId="6E0A27CA" w:rsidR="00BF4CF9" w:rsidRPr="00BF4CF9" w:rsidRDefault="00C15139" w:rsidP="002B7ECD">
      <w:pPr>
        <w:spacing w:after="0"/>
        <w:rPr>
          <w:rFonts w:ascii="Verdana" w:eastAsia="Times New Roman" w:hAnsi="Verdana" w:cs="Arial"/>
          <w:lang w:val="es-ES" w:eastAsia="es-ES"/>
        </w:rPr>
      </w:pPr>
      <w:r w:rsidRPr="00662D26">
        <w:rPr>
          <w:rFonts w:ascii="Verdana" w:eastAsia="Verdana" w:hAnsi="Verdana" w:cs="Verdana"/>
        </w:rPr>
        <w:lastRenderedPageBreak/>
        <w:t>Bogotá D.C.,</w:t>
      </w:r>
      <w:r w:rsidR="00942F04" w:rsidRPr="00662D26">
        <w:rPr>
          <w:rFonts w:ascii="Verdana" w:eastAsia="Verdana" w:hAnsi="Verdana" w:cs="Verdana"/>
        </w:rPr>
        <w:t xml:space="preserve"> </w:t>
      </w:r>
      <w:r w:rsidR="00BF4CF9">
        <w:rPr>
          <w:rFonts w:ascii="Verdana" w:eastAsia="Times New Roman" w:hAnsi="Verdana" w:cs="Arial"/>
          <w:lang w:val="es-ES" w:eastAsia="es-ES"/>
        </w:rPr>
        <w:t xml:space="preserve">24 </w:t>
      </w:r>
      <w:r w:rsidR="00917103">
        <w:rPr>
          <w:rFonts w:ascii="Verdana" w:eastAsia="Times New Roman" w:hAnsi="Verdana" w:cs="Arial"/>
          <w:lang w:val="es-ES" w:eastAsia="es-ES"/>
        </w:rPr>
        <w:t>de agosto de</w:t>
      </w:r>
      <w:r w:rsidR="00BF4CF9">
        <w:rPr>
          <w:rFonts w:ascii="Verdana" w:eastAsia="Times New Roman" w:hAnsi="Verdana" w:cs="Arial"/>
          <w:lang w:val="es-ES" w:eastAsia="es-ES"/>
        </w:rPr>
        <w:t xml:space="preserve"> 2026</w:t>
      </w:r>
    </w:p>
    <w:p w14:paraId="7F1C988F" w14:textId="3097EF73" w:rsidR="00A575B5" w:rsidRPr="00662D26" w:rsidRDefault="00A575B5" w:rsidP="00A575B5">
      <w:pPr>
        <w:spacing w:after="0" w:line="240" w:lineRule="auto"/>
        <w:jc w:val="right"/>
        <w:rPr>
          <w:rFonts w:ascii="Verdana" w:eastAsia="Calibri" w:hAnsi="Verdana" w:cs="Arial"/>
          <w:b/>
          <w:bCs/>
          <w:lang w:val="es-ES" w:eastAsia="es-ES"/>
        </w:rPr>
      </w:pPr>
    </w:p>
    <w:bookmarkEnd w:id="0"/>
    <w:p w14:paraId="0A07E8E8" w14:textId="77777777" w:rsidR="005677AF" w:rsidRPr="00F81738" w:rsidRDefault="005677AF" w:rsidP="005677AF">
      <w:pPr>
        <w:spacing w:after="0" w:line="240" w:lineRule="auto"/>
        <w:jc w:val="both"/>
        <w:rPr>
          <w:rFonts w:ascii="Verdana" w:eastAsia="Calibri" w:hAnsi="Verdana" w:cs="Arial"/>
          <w:lang w:val="es-ES" w:eastAsia="es-ES"/>
        </w:rPr>
      </w:pPr>
      <w:r w:rsidRPr="00F81738">
        <w:rPr>
          <w:rFonts w:ascii="Verdana" w:eastAsia="Calibri" w:hAnsi="Verdana" w:cs="Arial"/>
          <w:lang w:val="es-ES" w:eastAsia="es-ES"/>
        </w:rPr>
        <w:t>Señora</w:t>
      </w:r>
    </w:p>
    <w:p w14:paraId="6C7ED316" w14:textId="77777777" w:rsidR="005677AF" w:rsidRPr="00147AA9" w:rsidRDefault="005677AF" w:rsidP="005677AF">
      <w:pPr>
        <w:spacing w:after="0" w:line="240" w:lineRule="auto"/>
        <w:jc w:val="both"/>
        <w:rPr>
          <w:rFonts w:ascii="Verdana" w:eastAsia="Calibri" w:hAnsi="Verdana" w:cs="Arial"/>
          <w:b/>
          <w:bCs/>
          <w:lang w:val="es-ES" w:eastAsia="es-ES"/>
        </w:rPr>
      </w:pPr>
      <w:r w:rsidRPr="00147AA9">
        <w:rPr>
          <w:rFonts w:ascii="Verdana" w:eastAsia="Calibri" w:hAnsi="Verdana" w:cs="Arial"/>
          <w:b/>
          <w:bCs/>
          <w:lang w:val="es-ES" w:eastAsia="es-ES"/>
        </w:rPr>
        <w:t>Gabriela Alejandra Rodríguez Casanova</w:t>
      </w:r>
    </w:p>
    <w:p w14:paraId="5874E5C8" w14:textId="77777777" w:rsidR="005677AF" w:rsidRPr="00147AA9" w:rsidRDefault="005677AF" w:rsidP="005677AF">
      <w:pPr>
        <w:spacing w:after="0" w:line="240" w:lineRule="auto"/>
        <w:jc w:val="both"/>
        <w:rPr>
          <w:rFonts w:ascii="Verdana" w:eastAsia="Calibri" w:hAnsi="Verdana" w:cs="Arial"/>
          <w:b/>
          <w:bCs/>
          <w:lang w:val="es-ES" w:eastAsia="es-ES"/>
        </w:rPr>
      </w:pPr>
      <w:hyperlink r:id="rId11" w:history="1">
        <w:r w:rsidRPr="00147AA9">
          <w:rPr>
            <w:rStyle w:val="Hipervnculo"/>
            <w:rFonts w:ascii="Verdana" w:eastAsia="Calibri" w:hAnsi="Verdana" w:cs="Arial"/>
            <w:b/>
            <w:bCs/>
            <w:lang w:val="es-ES" w:eastAsia="es-ES"/>
          </w:rPr>
          <w:t>Contratacion@santarosadecabal-risaralda.gov.co</w:t>
        </w:r>
      </w:hyperlink>
      <w:r w:rsidRPr="00147AA9">
        <w:rPr>
          <w:rFonts w:ascii="Verdana" w:eastAsia="Calibri" w:hAnsi="Verdana" w:cs="Arial"/>
          <w:b/>
          <w:bCs/>
          <w:lang w:val="es-ES" w:eastAsia="es-ES"/>
        </w:rPr>
        <w:t xml:space="preserve"> </w:t>
      </w:r>
    </w:p>
    <w:p w14:paraId="17A00DFD" w14:textId="556B67B1" w:rsidR="005677AF" w:rsidRDefault="005677AF" w:rsidP="005677AF">
      <w:pPr>
        <w:spacing w:after="0" w:line="240" w:lineRule="auto"/>
        <w:jc w:val="both"/>
        <w:rPr>
          <w:rFonts w:ascii="Verdana" w:eastAsia="Calibri" w:hAnsi="Verdana" w:cs="Arial"/>
          <w:lang w:val="es-ES" w:eastAsia="es-ES"/>
        </w:rPr>
      </w:pPr>
      <w:r w:rsidRPr="00147AA9">
        <w:rPr>
          <w:rFonts w:ascii="Verdana" w:eastAsia="Calibri" w:hAnsi="Verdana" w:cs="Arial"/>
          <w:lang w:val="es-ES" w:eastAsia="es-ES"/>
        </w:rPr>
        <w:t xml:space="preserve">Santa Rosa de Cabal, Risaralda </w:t>
      </w:r>
    </w:p>
    <w:p w14:paraId="0EF207DB" w14:textId="0D4B9C70" w:rsidR="00771F77" w:rsidRPr="000C03AA" w:rsidRDefault="00771F77" w:rsidP="00771F77">
      <w:pPr>
        <w:spacing w:after="0" w:line="240" w:lineRule="auto"/>
        <w:jc w:val="right"/>
        <w:rPr>
          <w:rFonts w:ascii="Verdana" w:eastAsia="Calibri" w:hAnsi="Verdana" w:cs="Arial"/>
          <w:lang w:val="es-ES" w:eastAsia="es-ES"/>
        </w:rPr>
      </w:pPr>
      <w:r w:rsidRPr="00771F77">
        <w:rPr>
          <w:rFonts w:ascii="Verdana" w:eastAsia="Calibri" w:hAnsi="Verdana" w:cs="Arial"/>
          <w:noProof/>
          <w:lang w:val="es-ES" w:eastAsia="es-ES"/>
        </w:rPr>
        <w:drawing>
          <wp:inline distT="0" distB="0" distL="0" distR="0" wp14:anchorId="28BD264B" wp14:editId="7B72C829">
            <wp:extent cx="2410161" cy="628738"/>
            <wp:effectExtent l="0" t="0" r="0" b="0"/>
            <wp:docPr id="5186451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645163" name=""/>
                    <pic:cNvPicPr/>
                  </pic:nvPicPr>
                  <pic:blipFill>
                    <a:blip r:embed="rId12"/>
                    <a:stretch>
                      <a:fillRect/>
                    </a:stretch>
                  </pic:blipFill>
                  <pic:spPr>
                    <a:xfrm>
                      <a:off x="0" y="0"/>
                      <a:ext cx="2410161" cy="628738"/>
                    </a:xfrm>
                    <a:prstGeom prst="rect">
                      <a:avLst/>
                    </a:prstGeom>
                  </pic:spPr>
                </pic:pic>
              </a:graphicData>
            </a:graphic>
          </wp:inline>
        </w:drawing>
      </w:r>
    </w:p>
    <w:p w14:paraId="72455EB3" w14:textId="77777777" w:rsidR="005677AF" w:rsidRPr="00960EAC" w:rsidRDefault="005677AF" w:rsidP="005677AF">
      <w:pPr>
        <w:spacing w:after="0" w:line="240" w:lineRule="auto"/>
        <w:rPr>
          <w:rFonts w:ascii="Verdana" w:eastAsia="Calibri" w:hAnsi="Verdana" w:cs="Arial"/>
          <w:b/>
          <w:bCs/>
          <w:color w:val="000000"/>
          <w:lang w:val="es-ES_tradnl" w:eastAsia="es-ES_tradnl"/>
        </w:rPr>
      </w:pPr>
    </w:p>
    <w:p w14:paraId="6A4EF747" w14:textId="77777777" w:rsidR="005677AF" w:rsidRPr="005736D6" w:rsidRDefault="005677AF" w:rsidP="005677AF">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5677AF" w:rsidRPr="00147AA9" w14:paraId="54EAF57A" w14:textId="77777777" w:rsidTr="00520FB3">
        <w:trPr>
          <w:trHeight w:val="248"/>
        </w:trPr>
        <w:tc>
          <w:tcPr>
            <w:tcW w:w="2689" w:type="dxa"/>
          </w:tcPr>
          <w:p w14:paraId="7271618A" w14:textId="77777777" w:rsidR="005677AF" w:rsidRPr="00B43B75" w:rsidRDefault="005677AF" w:rsidP="00520FB3">
            <w:pPr>
              <w:jc w:val="both"/>
              <w:rPr>
                <w:rFonts w:ascii="Verdana" w:eastAsia="Calibri" w:hAnsi="Verdana" w:cs="Arial"/>
                <w:b/>
                <w:bCs/>
                <w:color w:val="7030A0"/>
                <w:lang w:val="es-ES_tradnl" w:eastAsia="es-ES_tradnl"/>
              </w:rPr>
            </w:pPr>
          </w:p>
        </w:tc>
        <w:tc>
          <w:tcPr>
            <w:tcW w:w="6100" w:type="dxa"/>
          </w:tcPr>
          <w:p w14:paraId="02B7E9EA" w14:textId="77777777" w:rsidR="005677AF" w:rsidRPr="00147AA9" w:rsidRDefault="005677AF" w:rsidP="00520FB3">
            <w:pPr>
              <w:jc w:val="both"/>
              <w:rPr>
                <w:rFonts w:ascii="Verdana" w:eastAsia="Calibri" w:hAnsi="Verdana" w:cs="Arial"/>
                <w:b/>
                <w:bCs/>
                <w:lang w:val="es-ES" w:eastAsia="es-ES"/>
              </w:rPr>
            </w:pPr>
            <w:r w:rsidRPr="00147AA9">
              <w:rPr>
                <w:rFonts w:ascii="Verdana" w:eastAsia="Calibri" w:hAnsi="Verdana" w:cs="Arial"/>
                <w:b/>
                <w:bCs/>
                <w:lang w:val="es-ES" w:eastAsia="es-ES"/>
              </w:rPr>
              <w:t xml:space="preserve"> Concepto </w:t>
            </w:r>
            <w:r w:rsidRPr="00147AA9">
              <w:rPr>
                <w:rFonts w:ascii="Verdana" w:eastAsia="Calibri" w:hAnsi="Verdana" w:cs="Arial"/>
                <w:b/>
                <w:bCs/>
                <w:lang w:eastAsia="es-ES"/>
              </w:rPr>
              <w:t xml:space="preserve">C-1106 </w:t>
            </w:r>
            <w:r w:rsidRPr="00147AA9">
              <w:rPr>
                <w:rFonts w:ascii="Verdana" w:eastAsia="Calibri" w:hAnsi="Verdana" w:cs="Arial"/>
                <w:b/>
                <w:bCs/>
                <w:lang w:val="es-ES" w:eastAsia="es-ES"/>
              </w:rPr>
              <w:t xml:space="preserve">de 2026 </w:t>
            </w:r>
          </w:p>
          <w:p w14:paraId="6495765F" w14:textId="77777777" w:rsidR="005677AF" w:rsidRPr="00147AA9" w:rsidRDefault="005677AF" w:rsidP="00520FB3">
            <w:pPr>
              <w:jc w:val="both"/>
              <w:rPr>
                <w:rFonts w:ascii="Verdana" w:eastAsia="Calibri" w:hAnsi="Verdana" w:cs="Arial"/>
                <w:b/>
                <w:bCs/>
                <w:lang w:val="es-ES" w:eastAsia="es-ES"/>
              </w:rPr>
            </w:pPr>
          </w:p>
        </w:tc>
      </w:tr>
      <w:tr w:rsidR="005677AF" w:rsidRPr="00147AA9" w14:paraId="7CA6CEF5" w14:textId="77777777" w:rsidTr="00520FB3">
        <w:trPr>
          <w:trHeight w:val="1967"/>
        </w:trPr>
        <w:tc>
          <w:tcPr>
            <w:tcW w:w="2689" w:type="dxa"/>
          </w:tcPr>
          <w:p w14:paraId="54D8276E" w14:textId="77777777" w:rsidR="005677AF" w:rsidRPr="00147AA9" w:rsidRDefault="005677AF" w:rsidP="00520FB3">
            <w:pPr>
              <w:jc w:val="both"/>
              <w:rPr>
                <w:rFonts w:ascii="Verdana" w:eastAsia="Calibri" w:hAnsi="Verdana" w:cs="Arial"/>
                <w:color w:val="000000"/>
                <w:lang w:val="es-ES_tradnl" w:eastAsia="es-ES_tradnl"/>
              </w:rPr>
            </w:pPr>
            <w:r w:rsidRPr="00147AA9">
              <w:rPr>
                <w:rFonts w:ascii="Verdana" w:eastAsia="Calibri" w:hAnsi="Verdana" w:cs="Arial"/>
                <w:b/>
                <w:color w:val="000000"/>
                <w:lang w:val="es-ES_tradnl" w:eastAsia="es-ES_tradnl"/>
              </w:rPr>
              <w:t>Temas:</w:t>
            </w:r>
            <w:r w:rsidRPr="00147AA9">
              <w:rPr>
                <w:rFonts w:ascii="Verdana" w:eastAsia="Calibri" w:hAnsi="Verdana" w:cs="Arial"/>
                <w:color w:val="000000"/>
                <w:lang w:val="es-ES_tradnl" w:eastAsia="es-ES_tradnl"/>
              </w:rPr>
              <w:t xml:space="preserve">                   </w:t>
            </w:r>
          </w:p>
        </w:tc>
        <w:tc>
          <w:tcPr>
            <w:tcW w:w="6100" w:type="dxa"/>
          </w:tcPr>
          <w:p w14:paraId="036D8633" w14:textId="77777777" w:rsidR="005677AF" w:rsidRPr="005736D6" w:rsidRDefault="005677AF" w:rsidP="00520FB3">
            <w:pPr>
              <w:jc w:val="both"/>
              <w:rPr>
                <w:rFonts w:ascii="Verdana" w:eastAsia="Calibri" w:hAnsi="Verdana" w:cs="Arial"/>
                <w:lang w:eastAsia="es-ES"/>
              </w:rPr>
            </w:pPr>
            <w:r w:rsidRPr="000C03AA">
              <w:rPr>
                <w:rFonts w:ascii="Verdana" w:eastAsia="Calibri" w:hAnsi="Verdana" w:cs="Arial"/>
                <w:lang w:eastAsia="es-ES"/>
              </w:rPr>
              <w:t xml:space="preserve">CONSTITUCIÓN POLÍTICA ARTICULO 313 NUMERAL 3 - Atribución conferida a los Concejos Municipales - Alcance / COMPETENCIAS CONSTITUCIONALES - </w:t>
            </w:r>
            <w:proofErr w:type="gramStart"/>
            <w:r w:rsidRPr="000C03AA">
              <w:rPr>
                <w:rFonts w:ascii="Verdana" w:eastAsia="Calibri" w:hAnsi="Verdana" w:cs="Arial"/>
                <w:lang w:eastAsia="es-ES"/>
              </w:rPr>
              <w:t>Alcalde</w:t>
            </w:r>
            <w:proofErr w:type="gramEnd"/>
            <w:r w:rsidRPr="000C03AA">
              <w:rPr>
                <w:rFonts w:ascii="Verdana" w:eastAsia="Calibri" w:hAnsi="Verdana" w:cs="Arial"/>
                <w:lang w:eastAsia="es-ES"/>
              </w:rPr>
              <w:t xml:space="preserve"> y Concejos Municipales / CONTRATO DE DONACIÓN - Concepto / FACULTAD DE CELEBRAR CONTRATO DE DONACIÓN ENTRE EN</w:t>
            </w:r>
            <w:r w:rsidRPr="00960EAC">
              <w:rPr>
                <w:rFonts w:ascii="Verdana" w:eastAsia="Calibri" w:hAnsi="Verdana" w:cs="Arial"/>
                <w:lang w:eastAsia="es-ES"/>
              </w:rPr>
              <w:t>TIDADES - No aplica prohibición del Artículo 355 Constitucional / ENAJENACIÓN A TITULO GRATUITO ENTRE ENTIDADES ESTATALES - Procedimientos de selección - Estudios previos</w:t>
            </w:r>
          </w:p>
          <w:p w14:paraId="1BC200D6" w14:textId="77777777" w:rsidR="005677AF" w:rsidRPr="00147AA9" w:rsidRDefault="005677AF" w:rsidP="00520FB3">
            <w:pPr>
              <w:jc w:val="both"/>
              <w:rPr>
                <w:rFonts w:ascii="Verdana" w:eastAsia="Calibri" w:hAnsi="Verdana" w:cs="Arial"/>
                <w:lang w:val="es-ES" w:eastAsia="es-ES"/>
              </w:rPr>
            </w:pPr>
          </w:p>
        </w:tc>
      </w:tr>
      <w:tr w:rsidR="005677AF" w:rsidRPr="00147AA9" w14:paraId="696B900D" w14:textId="77777777" w:rsidTr="00520FB3">
        <w:trPr>
          <w:trHeight w:val="328"/>
        </w:trPr>
        <w:tc>
          <w:tcPr>
            <w:tcW w:w="2689" w:type="dxa"/>
          </w:tcPr>
          <w:p w14:paraId="265E7635" w14:textId="77777777" w:rsidR="005677AF" w:rsidRPr="00147AA9" w:rsidRDefault="005677AF" w:rsidP="00520FB3">
            <w:pPr>
              <w:jc w:val="both"/>
              <w:rPr>
                <w:rFonts w:ascii="Verdana" w:eastAsia="Calibri" w:hAnsi="Verdana" w:cs="Arial"/>
                <w:b/>
                <w:lang w:val="es-ES_tradnl" w:eastAsia="es-ES_tradnl"/>
              </w:rPr>
            </w:pPr>
            <w:r w:rsidRPr="00147AA9">
              <w:rPr>
                <w:rFonts w:ascii="Verdana" w:eastAsia="Calibri" w:hAnsi="Verdana" w:cs="Arial"/>
                <w:b/>
                <w:lang w:val="es-ES_tradnl" w:eastAsia="es-ES_tradnl"/>
              </w:rPr>
              <w:t xml:space="preserve">Radicación:               </w:t>
            </w:r>
          </w:p>
        </w:tc>
        <w:tc>
          <w:tcPr>
            <w:tcW w:w="6100" w:type="dxa"/>
          </w:tcPr>
          <w:p w14:paraId="10E983A2" w14:textId="1475DCE7" w:rsidR="005677AF" w:rsidRPr="000C6B09" w:rsidRDefault="005677AF" w:rsidP="00520FB3">
            <w:pPr>
              <w:jc w:val="both"/>
              <w:rPr>
                <w:rFonts w:ascii="Verdana" w:eastAsia="Calibri" w:hAnsi="Verdana" w:cs="Arial"/>
                <w:bCs/>
                <w:lang w:val="es-ES_tradnl" w:eastAsia="es-ES_tradnl"/>
              </w:rPr>
            </w:pPr>
            <w:r w:rsidRPr="00147AA9">
              <w:rPr>
                <w:rFonts w:ascii="Verdana" w:eastAsia="Calibri" w:hAnsi="Verdana" w:cs="Arial"/>
                <w:bCs/>
                <w:lang w:val="es-ES_tradnl" w:eastAsia="es-ES_tradnl"/>
              </w:rPr>
              <w:t>Respuesta a consulta con radicado</w:t>
            </w:r>
            <w:r w:rsidRPr="000C03AA">
              <w:rPr>
                <w:rFonts w:ascii="Verdana" w:hAnsi="Verdana"/>
                <w:bCs/>
              </w:rPr>
              <w:t xml:space="preserve"> No. 1_2026_07_10_00922</w:t>
            </w:r>
            <w:r w:rsidRPr="00960EAC">
              <w:rPr>
                <w:rFonts w:ascii="Verdana" w:hAnsi="Verdana"/>
                <w:bCs/>
              </w:rPr>
              <w:t xml:space="preserve">4 </w:t>
            </w:r>
          </w:p>
        </w:tc>
      </w:tr>
    </w:tbl>
    <w:p w14:paraId="5E823762" w14:textId="77777777" w:rsidR="005677AF" w:rsidRPr="00147AA9" w:rsidRDefault="005677AF" w:rsidP="005677AF">
      <w:pPr>
        <w:spacing w:after="0" w:line="240" w:lineRule="auto"/>
        <w:jc w:val="both"/>
        <w:rPr>
          <w:rFonts w:ascii="Verdana" w:eastAsia="Calibri" w:hAnsi="Verdana" w:cs="Arial"/>
          <w:lang w:val="es-ES_tradnl" w:eastAsia="es-ES_tradnl"/>
        </w:rPr>
      </w:pPr>
    </w:p>
    <w:p w14:paraId="4493A3B0" w14:textId="77777777" w:rsidR="005677AF" w:rsidRPr="00147AA9" w:rsidRDefault="005677AF" w:rsidP="005677AF">
      <w:pPr>
        <w:spacing w:after="0" w:line="240" w:lineRule="auto"/>
        <w:jc w:val="both"/>
        <w:rPr>
          <w:rFonts w:ascii="Verdana" w:eastAsia="Calibri" w:hAnsi="Verdana" w:cs="Arial"/>
          <w:color w:val="000000"/>
          <w:lang w:val="es-ES_tradnl" w:eastAsia="es-ES_tradnl"/>
        </w:rPr>
      </w:pPr>
    </w:p>
    <w:p w14:paraId="6EFB5ECB" w14:textId="77777777" w:rsidR="005677AF" w:rsidRPr="00662D26" w:rsidRDefault="005677AF" w:rsidP="005677AF">
      <w:pPr>
        <w:spacing w:after="0" w:line="276" w:lineRule="auto"/>
        <w:jc w:val="both"/>
        <w:rPr>
          <w:rFonts w:ascii="Verdana" w:eastAsia="Calibri" w:hAnsi="Verdana" w:cs="Arial"/>
          <w:color w:val="000000" w:themeColor="text1"/>
          <w:lang w:val="es-ES" w:eastAsia="es-ES"/>
        </w:rPr>
      </w:pPr>
      <w:r w:rsidRPr="00662D26">
        <w:rPr>
          <w:rFonts w:ascii="Verdana" w:eastAsia="Calibri" w:hAnsi="Verdana" w:cs="Arial"/>
          <w:color w:val="000000" w:themeColor="text1"/>
          <w:lang w:val="es-ES" w:eastAsia="es-ES"/>
        </w:rPr>
        <w:t xml:space="preserve">Estimada señora Rodríguez Casanova, cordial saludo, </w:t>
      </w:r>
    </w:p>
    <w:p w14:paraId="3C707301" w14:textId="77777777" w:rsidR="005677AF" w:rsidRPr="00662D26" w:rsidRDefault="005677AF" w:rsidP="005677AF">
      <w:pPr>
        <w:spacing w:after="0" w:line="276" w:lineRule="auto"/>
        <w:jc w:val="both"/>
        <w:rPr>
          <w:rFonts w:ascii="Verdana" w:eastAsia="Calibri" w:hAnsi="Verdana" w:cs="Arial"/>
          <w:color w:val="000000" w:themeColor="text1"/>
          <w:lang w:val="es-ES" w:eastAsia="es-ES"/>
        </w:rPr>
      </w:pPr>
    </w:p>
    <w:p w14:paraId="40F8BE83" w14:textId="77777777" w:rsidR="005677AF" w:rsidRPr="00662D26" w:rsidRDefault="005677AF" w:rsidP="005677AF">
      <w:pPr>
        <w:spacing w:after="0" w:line="276" w:lineRule="auto"/>
        <w:jc w:val="both"/>
        <w:rPr>
          <w:rFonts w:ascii="Verdana" w:eastAsia="Calibri" w:hAnsi="Verdana" w:cs="Arial"/>
          <w:lang w:val="es-ES" w:eastAsia="es-ES"/>
        </w:rPr>
      </w:pPr>
      <w:r w:rsidRPr="00662D26">
        <w:rPr>
          <w:rFonts w:ascii="Verdana" w:eastAsia="Calibri" w:hAnsi="Verdana" w:cs="Arial"/>
          <w:color w:val="000000" w:themeColor="text1"/>
          <w:lang w:val="es-ES" w:eastAsia="es-ES"/>
        </w:rPr>
        <w:t>En ejercicio de la competencia otorgada por los artículos 3, numeral 5º, y 11, numeral 8º, del Decreto Ley 4170 de 2011,</w:t>
      </w:r>
      <w:r w:rsidRPr="00662D26">
        <w:rPr>
          <w:rFonts w:ascii="Verdana" w:eastAsia="Arial MT" w:hAnsi="Verdana" w:cs="Arial MT"/>
          <w:lang w:val="es-ES" w:eastAsia="es-ES"/>
        </w:rPr>
        <w:t xml:space="preserve"> </w:t>
      </w:r>
      <w:r w:rsidRPr="00662D26">
        <w:rPr>
          <w:rFonts w:ascii="Verdana" w:hAnsi="Verdana" w:cs="Arial"/>
        </w:rPr>
        <w:t xml:space="preserve">así como lo establecido la </w:t>
      </w:r>
      <w:r w:rsidRPr="00662D26">
        <w:rPr>
          <w:rFonts w:ascii="Verdana" w:eastAsia="Verdana" w:hAnsi="Verdana" w:cs="Verdana"/>
          <w:color w:val="000000" w:themeColor="text1"/>
        </w:rPr>
        <w:t>Resolución 469 de 2025</w:t>
      </w:r>
      <w:r w:rsidRPr="00662D26">
        <w:rPr>
          <w:rFonts w:ascii="Verdana" w:hAnsi="Verdana" w:cs="Arial"/>
        </w:rPr>
        <w:t xml:space="preserve"> expedida por esta Entidad, </w:t>
      </w:r>
      <w:r w:rsidRPr="00662D26">
        <w:rPr>
          <w:rFonts w:ascii="Verdana" w:eastAsia="Calibri" w:hAnsi="Verdana" w:cs="Arial"/>
          <w:color w:val="000000" w:themeColor="text1"/>
          <w:lang w:val="es-ES" w:eastAsia="es-ES"/>
        </w:rPr>
        <w:t xml:space="preserve">la Agencia Nacional de Contratación Pública – Colombia Compra Eficiente– responde su solicitud de consulta de fecha </w:t>
      </w:r>
      <w:r w:rsidRPr="00662D26">
        <w:rPr>
          <w:rFonts w:ascii="Verdana" w:eastAsia="Calibri" w:hAnsi="Verdana" w:cs="Arial"/>
          <w:lang w:val="es-ES" w:eastAsia="es-ES"/>
        </w:rPr>
        <w:t xml:space="preserve">10 de julio de 2026, en la cual manifiesta lo siguiente: </w:t>
      </w:r>
    </w:p>
    <w:p w14:paraId="21B17691" w14:textId="77777777" w:rsidR="005677AF" w:rsidRPr="00662D26" w:rsidRDefault="005677AF" w:rsidP="005677AF">
      <w:pPr>
        <w:spacing w:after="0" w:line="276" w:lineRule="auto"/>
        <w:jc w:val="both"/>
        <w:rPr>
          <w:rFonts w:ascii="Verdana" w:eastAsia="Calibri" w:hAnsi="Verdana" w:cs="Arial"/>
          <w:color w:val="7030A0"/>
          <w:lang w:val="es-ES" w:eastAsia="es-ES"/>
        </w:rPr>
      </w:pPr>
    </w:p>
    <w:p w14:paraId="301E5D63" w14:textId="77777777" w:rsidR="005677AF" w:rsidRPr="00F81738" w:rsidRDefault="005677AF" w:rsidP="005677AF">
      <w:pPr>
        <w:pStyle w:val="Prrafodelista"/>
        <w:spacing w:after="0" w:line="240" w:lineRule="auto"/>
        <w:ind w:left="709" w:right="709"/>
        <w:jc w:val="both"/>
        <w:rPr>
          <w:rFonts w:ascii="Verdana" w:eastAsia="Calibri" w:hAnsi="Verdana" w:cs="Arial"/>
          <w:i/>
          <w:color w:val="000000"/>
          <w:sz w:val="20"/>
          <w:szCs w:val="20"/>
          <w:lang w:eastAsia="es-ES"/>
        </w:rPr>
      </w:pPr>
      <w:r w:rsidRPr="00F81738">
        <w:rPr>
          <w:rFonts w:ascii="Verdana" w:eastAsia="Calibri" w:hAnsi="Verdana" w:cs="Arial"/>
          <w:i/>
          <w:color w:val="000000"/>
          <w:sz w:val="20"/>
          <w:szCs w:val="20"/>
          <w:lang w:eastAsia="es-ES"/>
        </w:rPr>
        <w:t xml:space="preserve">“¿Para donar bienes muebles de la Administración Municipal es necesario acudir al consejo municipal para que autorice al </w:t>
      </w:r>
      <w:proofErr w:type="gramStart"/>
      <w:r w:rsidRPr="00F81738">
        <w:rPr>
          <w:rFonts w:ascii="Verdana" w:eastAsia="Calibri" w:hAnsi="Verdana" w:cs="Arial"/>
          <w:i/>
          <w:color w:val="000000"/>
          <w:sz w:val="20"/>
          <w:szCs w:val="20"/>
          <w:lang w:eastAsia="es-ES"/>
        </w:rPr>
        <w:t>Alcalde</w:t>
      </w:r>
      <w:proofErr w:type="gramEnd"/>
      <w:r w:rsidRPr="00F81738">
        <w:rPr>
          <w:rFonts w:ascii="Verdana" w:eastAsia="Calibri" w:hAnsi="Verdana" w:cs="Arial"/>
          <w:i/>
          <w:color w:val="000000"/>
          <w:sz w:val="20"/>
          <w:szCs w:val="20"/>
          <w:lang w:eastAsia="es-ES"/>
        </w:rPr>
        <w:t>?</w:t>
      </w:r>
    </w:p>
    <w:p w14:paraId="17F16819" w14:textId="77777777" w:rsidR="005677AF" w:rsidRPr="00662D26" w:rsidRDefault="005677AF" w:rsidP="005677AF">
      <w:pPr>
        <w:spacing w:after="0" w:line="276" w:lineRule="auto"/>
        <w:ind w:right="709"/>
        <w:jc w:val="both"/>
        <w:rPr>
          <w:rFonts w:ascii="Verdana" w:eastAsia="Calibri" w:hAnsi="Verdana" w:cs="Arial"/>
          <w:i/>
          <w:color w:val="000000"/>
          <w:lang w:val="es-ES" w:eastAsia="es-ES"/>
        </w:rPr>
      </w:pPr>
    </w:p>
    <w:p w14:paraId="23334559" w14:textId="77777777" w:rsidR="005677AF" w:rsidRPr="00662D26" w:rsidRDefault="005677AF" w:rsidP="005677AF">
      <w:pPr>
        <w:spacing w:after="120" w:line="276" w:lineRule="auto"/>
        <w:ind w:firstLine="709"/>
        <w:jc w:val="both"/>
        <w:rPr>
          <w:rFonts w:ascii="Verdana" w:eastAsia="Calibri" w:hAnsi="Verdana" w:cs="Arial"/>
          <w:color w:val="000000"/>
          <w:lang w:val="es-ES_tradnl" w:eastAsia="es-ES_tradnl"/>
        </w:rPr>
      </w:pPr>
      <w:r w:rsidRPr="00662D26">
        <w:rPr>
          <w:rFonts w:ascii="Verdana" w:eastAsia="Calibri" w:hAnsi="Verdana" w:cs="Arial"/>
          <w:color w:val="000000"/>
          <w:lang w:val="es-ES" w:eastAsia="es-ES"/>
        </w:rPr>
        <w:lastRenderedPageBreak/>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662D26">
        <w:rPr>
          <w:rFonts w:ascii="Verdana" w:eastAsia="Calibri" w:hAnsi="Verdana" w:cs="Arial"/>
          <w:color w:val="000000"/>
          <w:lang w:val="es-ES_tradnl" w:eastAsia="es-ES_tradnl"/>
        </w:rPr>
        <w:tab/>
      </w:r>
    </w:p>
    <w:p w14:paraId="00F83F01" w14:textId="77777777" w:rsidR="005677AF" w:rsidRPr="00662D26" w:rsidRDefault="005677AF" w:rsidP="005677AF">
      <w:pPr>
        <w:spacing w:after="0" w:line="276" w:lineRule="auto"/>
        <w:ind w:firstLine="709"/>
        <w:jc w:val="both"/>
        <w:rPr>
          <w:rFonts w:ascii="Verdana" w:eastAsia="Calibri" w:hAnsi="Verdana" w:cs="Arial"/>
          <w:color w:val="000000"/>
          <w:lang w:val="es-ES" w:eastAsia="es-ES"/>
        </w:rPr>
      </w:pPr>
      <w:r w:rsidRPr="00662D26">
        <w:rPr>
          <w:rFonts w:ascii="Verdana" w:eastAsia="Calibri" w:hAnsi="Verdana" w:cs="Arial"/>
          <w:color w:val="000000"/>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señalando unas consideraciones sobre las normas generales relacionadas con </w:t>
      </w:r>
      <w:r w:rsidRPr="00662D26">
        <w:rPr>
          <w:rFonts w:ascii="Verdana" w:eastAsia="Calibri" w:hAnsi="Verdana" w:cs="Arial"/>
          <w:lang w:val="es-ES" w:eastAsia="es-ES"/>
        </w:rPr>
        <w:t xml:space="preserve">el problema </w:t>
      </w:r>
      <w:r w:rsidRPr="00662D26">
        <w:rPr>
          <w:rFonts w:ascii="Verdana" w:eastAsia="Calibri" w:hAnsi="Verdana" w:cs="Arial"/>
          <w:color w:val="000000"/>
          <w:lang w:val="es-ES" w:eastAsia="es-ES"/>
        </w:rPr>
        <w:t xml:space="preserve">jurídico de su consulta. </w:t>
      </w:r>
    </w:p>
    <w:p w14:paraId="4E95AA68" w14:textId="77777777" w:rsidR="005677AF" w:rsidRPr="00662D26" w:rsidRDefault="005677AF" w:rsidP="005677AF">
      <w:pPr>
        <w:spacing w:after="0" w:line="276" w:lineRule="auto"/>
        <w:jc w:val="both"/>
        <w:rPr>
          <w:rFonts w:ascii="Verdana" w:eastAsia="Calibri" w:hAnsi="Verdana" w:cs="Arial"/>
          <w:color w:val="000000"/>
          <w:lang w:val="es-ES" w:eastAsia="es-ES"/>
        </w:rPr>
      </w:pPr>
    </w:p>
    <w:p w14:paraId="5EB73597" w14:textId="77777777" w:rsidR="005677AF" w:rsidRPr="00662D26" w:rsidRDefault="005677AF" w:rsidP="005677AF">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662D26">
        <w:rPr>
          <w:rFonts w:ascii="Verdana" w:eastAsia="Century Gothic" w:hAnsi="Verdana" w:cs="Century Gothic"/>
          <w:b/>
          <w:bCs/>
        </w:rPr>
        <w:t>Problema planteado:</w:t>
      </w:r>
    </w:p>
    <w:p w14:paraId="358FD70B" w14:textId="77777777" w:rsidR="005677AF" w:rsidRPr="00662D26" w:rsidRDefault="005677AF" w:rsidP="005677AF">
      <w:pPr>
        <w:spacing w:after="0" w:line="276" w:lineRule="auto"/>
        <w:jc w:val="both"/>
        <w:rPr>
          <w:rFonts w:ascii="Verdana" w:eastAsia="Century Gothic" w:hAnsi="Verdana" w:cs="Century Gothic"/>
        </w:rPr>
      </w:pPr>
    </w:p>
    <w:p w14:paraId="6A399E21" w14:textId="77777777" w:rsidR="005677AF" w:rsidRPr="00662D26" w:rsidRDefault="005677AF" w:rsidP="005677AF">
      <w:pPr>
        <w:spacing w:after="0" w:line="276" w:lineRule="auto"/>
        <w:jc w:val="both"/>
        <w:rPr>
          <w:rFonts w:ascii="Verdana" w:eastAsia="Century Gothic" w:hAnsi="Verdana" w:cs="Century Gothic"/>
        </w:rPr>
      </w:pPr>
      <w:r w:rsidRPr="00662D26">
        <w:rPr>
          <w:rFonts w:ascii="Verdana" w:eastAsia="Century Gothic" w:hAnsi="Verdana" w:cs="Century Gothic"/>
        </w:rPr>
        <w:t>De acuerdo con el contenido de su solicitud, esta Agencia abordará el siguiente problema jurídico: ¿La celebración de un contrato de donación de bienes muebles de propiedad de una entidad territorial requiere autorización previa del concejo municipal para que el alcalde pueda suscribirlo</w:t>
      </w:r>
      <w:r>
        <w:rPr>
          <w:rFonts w:ascii="Verdana" w:eastAsia="Century Gothic" w:hAnsi="Verdana" w:cs="Century Gothic"/>
        </w:rPr>
        <w:t xml:space="preserve"> válidamente</w:t>
      </w:r>
      <w:r w:rsidRPr="00662D26">
        <w:rPr>
          <w:rFonts w:ascii="Verdana" w:eastAsia="Century Gothic" w:hAnsi="Verdana" w:cs="Century Gothic"/>
        </w:rPr>
        <w:t xml:space="preserve">? </w:t>
      </w:r>
    </w:p>
    <w:p w14:paraId="3F744FB9" w14:textId="77777777" w:rsidR="005677AF" w:rsidRPr="00662D26" w:rsidRDefault="005677AF" w:rsidP="005677AF">
      <w:pPr>
        <w:spacing w:after="0" w:line="276" w:lineRule="auto"/>
        <w:jc w:val="both"/>
        <w:rPr>
          <w:rFonts w:ascii="Verdana" w:eastAsia="Century Gothic" w:hAnsi="Verdana" w:cs="Century Gothic"/>
        </w:rPr>
      </w:pPr>
    </w:p>
    <w:p w14:paraId="6C235016" w14:textId="77777777" w:rsidR="005677AF" w:rsidRPr="00662D26" w:rsidRDefault="005677AF" w:rsidP="005677A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662D26">
        <w:rPr>
          <w:rFonts w:ascii="Verdana" w:eastAsia="Century Gothic" w:hAnsi="Verdana" w:cs="Century Gothic"/>
          <w:b/>
          <w:bCs/>
        </w:rPr>
        <w:t>Respuesta:</w:t>
      </w:r>
    </w:p>
    <w:p w14:paraId="21C43AB4" w14:textId="77777777" w:rsidR="005677AF" w:rsidRPr="00662D26" w:rsidRDefault="005677AF" w:rsidP="005677AF">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5677AF" w:rsidRPr="00662D26" w14:paraId="3F2B7D4C" w14:textId="77777777" w:rsidTr="00520FB3">
        <w:tc>
          <w:tcPr>
            <w:tcW w:w="8828" w:type="dxa"/>
          </w:tcPr>
          <w:p w14:paraId="000CD5A6" w14:textId="77777777" w:rsidR="005677AF" w:rsidRPr="00662D26" w:rsidRDefault="005677AF" w:rsidP="00520FB3">
            <w:pPr>
              <w:spacing w:after="120" w:line="276" w:lineRule="auto"/>
              <w:jc w:val="both"/>
              <w:rPr>
                <w:rFonts w:ascii="Verdana" w:eastAsia="Calibri" w:hAnsi="Verdana" w:cs="Arial"/>
                <w:bCs/>
                <w:color w:val="000000" w:themeColor="text1"/>
              </w:rPr>
            </w:pPr>
            <w:r w:rsidRPr="00662D26">
              <w:rPr>
                <w:rFonts w:ascii="Verdana" w:eastAsia="Calibri" w:hAnsi="Verdana" w:cs="Arial"/>
                <w:bCs/>
                <w:color w:val="000000" w:themeColor="text1"/>
              </w:rPr>
              <w:t xml:space="preserve">Para responder el problema jurídico planteado, es necesario precisar que la competencia para celebrar contratos estatales constituye una atribución que el ordenamiento jurídico asigna al representante legal de la respectiva entidad pública, quien debe ejercerla con sujeción a la Constitución Política, la ley y los principios que orientan la función administrativa y la contratación estatal. Tratándose de los municipios, dicha competencia corresponde al alcalde, en su condición de jefe de la administración municipal y representante legal de la entidad territorial, conforme a lo dispuesto en los artículos 315 de la </w:t>
            </w:r>
            <w:r w:rsidRPr="00662D26">
              <w:rPr>
                <w:rFonts w:ascii="Verdana" w:eastAsia="Calibri" w:hAnsi="Verdana" w:cs="Arial"/>
                <w:bCs/>
                <w:color w:val="000000" w:themeColor="text1"/>
              </w:rPr>
              <w:lastRenderedPageBreak/>
              <w:t>Constitución Política y 91 de la Ley 136 de 1994, modificado por el artículo 29 de la Ley 1551 de 2012.</w:t>
            </w:r>
          </w:p>
          <w:p w14:paraId="076CF502" w14:textId="77777777" w:rsidR="005677AF" w:rsidRPr="00662D26" w:rsidRDefault="005677AF" w:rsidP="00520FB3">
            <w:pPr>
              <w:spacing w:after="120" w:line="276" w:lineRule="auto"/>
              <w:ind w:firstLine="709"/>
              <w:jc w:val="both"/>
              <w:rPr>
                <w:rFonts w:ascii="Verdana" w:eastAsia="Calibri" w:hAnsi="Verdana" w:cs="Arial"/>
                <w:bCs/>
                <w:color w:val="000000" w:themeColor="text1"/>
              </w:rPr>
            </w:pPr>
            <w:r w:rsidRPr="00662D26">
              <w:rPr>
                <w:rFonts w:ascii="Verdana" w:eastAsia="Calibri" w:hAnsi="Verdana" w:cs="Arial"/>
                <w:bCs/>
                <w:color w:val="000000" w:themeColor="text1"/>
              </w:rPr>
              <w:t xml:space="preserve">En ese contexto, la celebración de un contrato de donación de bienes muebles de propiedad de una entidad territorial no </w:t>
            </w:r>
            <w:r>
              <w:rPr>
                <w:rFonts w:ascii="Verdana" w:eastAsia="Calibri" w:hAnsi="Verdana" w:cs="Arial"/>
                <w:bCs/>
                <w:color w:val="000000" w:themeColor="text1"/>
              </w:rPr>
              <w:t xml:space="preserve">exige </w:t>
            </w:r>
            <w:r w:rsidRPr="00662D26">
              <w:rPr>
                <w:rFonts w:ascii="Verdana" w:eastAsia="Calibri" w:hAnsi="Verdana" w:cs="Arial"/>
                <w:bCs/>
                <w:color w:val="000000" w:themeColor="text1"/>
              </w:rPr>
              <w:t xml:space="preserve">autorización previa del concejo municipal </w:t>
            </w:r>
            <w:r>
              <w:rPr>
                <w:rFonts w:ascii="Verdana" w:eastAsia="Calibri" w:hAnsi="Verdana" w:cs="Arial"/>
                <w:bCs/>
                <w:color w:val="000000" w:themeColor="text1"/>
              </w:rPr>
              <w:t>por el solo hecho de tratarse de una donación</w:t>
            </w:r>
            <w:r w:rsidRPr="00662D26">
              <w:rPr>
                <w:rFonts w:ascii="Verdana" w:eastAsia="Calibri" w:hAnsi="Verdana" w:cs="Arial"/>
                <w:bCs/>
                <w:color w:val="000000" w:themeColor="text1"/>
              </w:rPr>
              <w:t xml:space="preserve">, pues la facultad de celebrar contratos </w:t>
            </w:r>
            <w:r>
              <w:rPr>
                <w:rFonts w:ascii="Verdana" w:eastAsia="Calibri" w:hAnsi="Verdana" w:cs="Arial"/>
                <w:bCs/>
                <w:color w:val="000000" w:themeColor="text1"/>
              </w:rPr>
              <w:t>forma</w:t>
            </w:r>
            <w:r w:rsidRPr="00662D26">
              <w:rPr>
                <w:rFonts w:ascii="Verdana" w:eastAsia="Calibri" w:hAnsi="Verdana" w:cs="Arial"/>
                <w:bCs/>
                <w:color w:val="000000" w:themeColor="text1"/>
              </w:rPr>
              <w:t xml:space="preserve"> parte de las competencias </w:t>
            </w:r>
            <w:r>
              <w:rPr>
                <w:rFonts w:ascii="Verdana" w:eastAsia="Calibri" w:hAnsi="Verdana" w:cs="Arial"/>
                <w:bCs/>
                <w:color w:val="000000" w:themeColor="text1"/>
              </w:rPr>
              <w:t>que la Constitución y la ley atribuyen al alcalde como representante legal de la entidad territorial</w:t>
            </w:r>
            <w:r w:rsidRPr="00662D26">
              <w:rPr>
                <w:rFonts w:ascii="Verdana" w:eastAsia="Calibri" w:hAnsi="Verdana" w:cs="Arial"/>
                <w:bCs/>
                <w:color w:val="000000" w:themeColor="text1"/>
              </w:rPr>
              <w:t>.</w:t>
            </w:r>
            <w:r>
              <w:rPr>
                <w:rFonts w:ascii="Verdana" w:eastAsia="Calibri" w:hAnsi="Verdana" w:cs="Arial"/>
                <w:bCs/>
                <w:color w:val="000000" w:themeColor="text1"/>
              </w:rPr>
              <w:t xml:space="preserve"> Sin embargo, deberá verificarse si la Constitución, la ley o los acuerdos municipales expedidos en desarrollo del numeral 3 del artículo 313 de la Constitución Política establecen la necesidad de dicha autorización para el respectivo negocio jurídico. </w:t>
            </w:r>
          </w:p>
          <w:p w14:paraId="7A000DF0" w14:textId="77777777" w:rsidR="005677AF" w:rsidRPr="00662D26" w:rsidRDefault="005677AF" w:rsidP="00520FB3">
            <w:pPr>
              <w:spacing w:after="120" w:line="276" w:lineRule="auto"/>
              <w:ind w:firstLine="709"/>
              <w:jc w:val="both"/>
              <w:rPr>
                <w:rFonts w:ascii="Verdana" w:eastAsia="Calibri" w:hAnsi="Verdana" w:cs="Arial"/>
                <w:bCs/>
                <w:color w:val="000000" w:themeColor="text1"/>
              </w:rPr>
            </w:pPr>
            <w:r>
              <w:rPr>
                <w:rFonts w:ascii="Verdana" w:eastAsia="Calibri" w:hAnsi="Verdana" w:cs="Arial"/>
                <w:bCs/>
                <w:color w:val="000000" w:themeColor="text1"/>
              </w:rPr>
              <w:t>L</w:t>
            </w:r>
            <w:r w:rsidRPr="00662D26">
              <w:rPr>
                <w:rFonts w:ascii="Verdana" w:eastAsia="Calibri" w:hAnsi="Verdana" w:cs="Arial"/>
                <w:bCs/>
                <w:color w:val="000000" w:themeColor="text1"/>
              </w:rPr>
              <w:t xml:space="preserve">a </w:t>
            </w:r>
            <w:r>
              <w:rPr>
                <w:rFonts w:ascii="Verdana" w:eastAsia="Calibri" w:hAnsi="Verdana" w:cs="Arial"/>
                <w:bCs/>
                <w:color w:val="000000" w:themeColor="text1"/>
              </w:rPr>
              <w:t xml:space="preserve">anterior </w:t>
            </w:r>
            <w:r w:rsidRPr="00662D26">
              <w:rPr>
                <w:rFonts w:ascii="Verdana" w:eastAsia="Calibri" w:hAnsi="Verdana" w:cs="Arial"/>
                <w:bCs/>
                <w:color w:val="000000" w:themeColor="text1"/>
              </w:rPr>
              <w:t xml:space="preserve">conclusión debe entenderse en armonía con el numeral 3 del artículo 313 de la Constitución Política, conforme a la cual corresponde a los concejos autorizar al alcalde para celebrar contratos. </w:t>
            </w:r>
            <w:r>
              <w:rPr>
                <w:rFonts w:ascii="Verdana" w:eastAsia="Calibri" w:hAnsi="Verdana" w:cs="Arial"/>
                <w:bCs/>
                <w:color w:val="000000" w:themeColor="text1"/>
              </w:rPr>
              <w:t>No obstante, esta disposición</w:t>
            </w:r>
            <w:r w:rsidRPr="00662D26">
              <w:rPr>
                <w:rFonts w:ascii="Verdana" w:eastAsia="Calibri" w:hAnsi="Verdana" w:cs="Arial"/>
                <w:bCs/>
                <w:color w:val="000000" w:themeColor="text1"/>
              </w:rPr>
              <w:t xml:space="preserve"> no puede interpretarse en el sentido de que toda actuación contractual deba estar precedida de autorización del concejo municipal, pues ello desconocería la distribución constitucional de competencias entre los órganos que integran la administración municipal y vaciaría de contenido las funciones atribuidas al alcalde como director de la acción administrativa y representante legal del municipio.</w:t>
            </w:r>
          </w:p>
          <w:p w14:paraId="6F23B13B" w14:textId="77777777" w:rsidR="005677AF" w:rsidRPr="00662D26" w:rsidRDefault="005677AF" w:rsidP="00520FB3">
            <w:pPr>
              <w:spacing w:after="120" w:line="276" w:lineRule="auto"/>
              <w:ind w:firstLine="709"/>
              <w:jc w:val="both"/>
              <w:rPr>
                <w:rFonts w:ascii="Verdana" w:eastAsia="Calibri" w:hAnsi="Verdana" w:cs="Arial"/>
                <w:bCs/>
                <w:color w:val="000000" w:themeColor="text1"/>
              </w:rPr>
            </w:pPr>
            <w:r w:rsidRPr="00662D26">
              <w:rPr>
                <w:rFonts w:ascii="Verdana" w:eastAsia="Calibri" w:hAnsi="Verdana" w:cs="Arial"/>
                <w:bCs/>
                <w:color w:val="000000" w:themeColor="text1"/>
              </w:rPr>
              <w:t>En efecto, la autorización prevista en el numeral 3 del artículo 313 de la Constitución constituye un mecanismo de distribución funcional entre el órgano de representación popular y el ejecutivo territorial, cuyo alcance corresponde desarrollar al legislador y, dentro del marco fijado por este, a los concejos municipales mediante la expedición de acuerdos. En consecuencia, la autorización del concejo no constituye un requisito general para toda contratación estatal, sino una exigencia que únicamente procede cuando la Constitución, la ley o el respectivo acuerdo municipal, expedido en ejercicio de la competencia prevista en dicha disposición constitucional, así lo establezcan.</w:t>
            </w:r>
          </w:p>
          <w:p w14:paraId="4753149A" w14:textId="77777777" w:rsidR="005677AF" w:rsidRPr="00662D26" w:rsidRDefault="005677AF" w:rsidP="00520FB3">
            <w:pPr>
              <w:spacing w:after="120" w:line="276" w:lineRule="auto"/>
              <w:ind w:firstLine="709"/>
              <w:jc w:val="both"/>
              <w:rPr>
                <w:rFonts w:ascii="Verdana" w:eastAsia="Calibri" w:hAnsi="Verdana" w:cs="Arial"/>
                <w:bCs/>
                <w:color w:val="000000" w:themeColor="text1"/>
              </w:rPr>
            </w:pPr>
            <w:r w:rsidRPr="00662D26">
              <w:rPr>
                <w:rFonts w:ascii="Verdana" w:eastAsia="Calibri" w:hAnsi="Verdana" w:cs="Arial"/>
                <w:bCs/>
                <w:color w:val="000000" w:themeColor="text1"/>
              </w:rPr>
              <w:t xml:space="preserve">Ahora bien, el hecho de que el negocio jurídico corresponda a un contrato de donación tampoco modifica las reglas relativas a la competencia para contratar. </w:t>
            </w:r>
            <w:r>
              <w:rPr>
                <w:rFonts w:ascii="Verdana" w:eastAsia="Calibri" w:hAnsi="Verdana" w:cs="Arial"/>
                <w:bCs/>
                <w:color w:val="000000" w:themeColor="text1"/>
              </w:rPr>
              <w:t>Sin embargo</w:t>
            </w:r>
            <w:r w:rsidRPr="00662D26">
              <w:rPr>
                <w:rFonts w:ascii="Verdana" w:eastAsia="Calibri" w:hAnsi="Verdana" w:cs="Arial"/>
                <w:bCs/>
                <w:color w:val="000000" w:themeColor="text1"/>
              </w:rPr>
              <w:t xml:space="preserve">, sí exige verificar que la donación sea jurídicamente procedente, toda vez que las entidades estatales únicamente pueden disponer gratuitamente de bienes de su patrimonio cuando ello resulte compatible con el ordenamiento constitucional y legal, responda al </w:t>
            </w:r>
            <w:r w:rsidRPr="00662D26">
              <w:rPr>
                <w:rFonts w:ascii="Verdana" w:eastAsia="Calibri" w:hAnsi="Verdana" w:cs="Arial"/>
                <w:bCs/>
                <w:color w:val="000000" w:themeColor="text1"/>
              </w:rPr>
              <w:lastRenderedPageBreak/>
              <w:t>cumplimiento de los fines estatales y observe las restricciones previstas, entre otras disposiciones, en el artículo 355 de la Constitución Política.</w:t>
            </w:r>
          </w:p>
          <w:p w14:paraId="594A2EA3" w14:textId="77777777" w:rsidR="005677AF" w:rsidRDefault="005677AF" w:rsidP="00520FB3">
            <w:pPr>
              <w:spacing w:after="120" w:line="276" w:lineRule="auto"/>
              <w:ind w:firstLine="709"/>
              <w:jc w:val="both"/>
              <w:rPr>
                <w:rFonts w:ascii="Verdana" w:eastAsia="Calibri" w:hAnsi="Verdana" w:cs="Arial"/>
                <w:bCs/>
                <w:color w:val="000000" w:themeColor="text1"/>
              </w:rPr>
            </w:pPr>
            <w:r w:rsidRPr="00662D26">
              <w:rPr>
                <w:rFonts w:ascii="Verdana" w:eastAsia="Calibri" w:hAnsi="Verdana" w:cs="Arial"/>
                <w:bCs/>
                <w:color w:val="000000" w:themeColor="text1"/>
              </w:rPr>
              <w:t>Sobre este último aspecto, esta Agencia ha sostenido que las entidades estatales sometidas al Estatuto General de Contratación de la Administración Pública se encuentran facultadas para celebrar contratos de donación cuando ello resulte compatible con dicho régimen jurídico, en virtud de la remisión que los artículos 13 y 32 de la Ley 80 de 1993 efectúan a las disposiciones civiles y comerciales, siempre que se respeten los principios de la función administrativa, de la contratación estatal y los fines previstos en el artículo 3 de</w:t>
            </w:r>
            <w:r>
              <w:rPr>
                <w:rFonts w:ascii="Verdana" w:eastAsia="Calibri" w:hAnsi="Verdana" w:cs="Arial"/>
                <w:bCs/>
                <w:color w:val="000000" w:themeColor="text1"/>
              </w:rPr>
              <w:t xml:space="preserve"> </w:t>
            </w:r>
            <w:r w:rsidRPr="00662D26">
              <w:rPr>
                <w:rFonts w:ascii="Verdana" w:eastAsia="Calibri" w:hAnsi="Verdana" w:cs="Arial"/>
                <w:bCs/>
                <w:color w:val="000000" w:themeColor="text1"/>
              </w:rPr>
              <w:t>l</w:t>
            </w:r>
            <w:r>
              <w:rPr>
                <w:rFonts w:ascii="Verdana" w:eastAsia="Calibri" w:hAnsi="Verdana" w:cs="Arial"/>
                <w:bCs/>
                <w:color w:val="000000" w:themeColor="text1"/>
              </w:rPr>
              <w:t>a Ley 80 de 1993</w:t>
            </w:r>
            <w:r w:rsidRPr="00662D26">
              <w:rPr>
                <w:rFonts w:ascii="Verdana" w:eastAsia="Calibri" w:hAnsi="Verdana" w:cs="Arial"/>
                <w:bCs/>
                <w:color w:val="000000" w:themeColor="text1"/>
              </w:rPr>
              <w:t>. Asimismo,</w:t>
            </w:r>
            <w:r>
              <w:rPr>
                <w:rFonts w:ascii="Verdana" w:eastAsia="Calibri" w:hAnsi="Verdana" w:cs="Arial"/>
                <w:bCs/>
                <w:color w:val="000000" w:themeColor="text1"/>
              </w:rPr>
              <w:t xml:space="preserve"> se</w:t>
            </w:r>
            <w:r w:rsidRPr="00662D26">
              <w:rPr>
                <w:rFonts w:ascii="Verdana" w:eastAsia="Calibri" w:hAnsi="Verdana" w:cs="Arial"/>
                <w:bCs/>
                <w:color w:val="000000" w:themeColor="text1"/>
              </w:rPr>
              <w:t xml:space="preserve"> ha precisado que la prohibición contenida en el artículo 355 de la Constitución Política se dirige a las donaciones o auxilios en favor de personas naturales o jurídicas de derecho privado, sin extenderse, por regla general, a las donaciones efectuadas entre entidades pública</w:t>
            </w:r>
            <w:r>
              <w:rPr>
                <w:rFonts w:ascii="Verdana" w:eastAsia="Calibri" w:hAnsi="Verdana" w:cs="Arial"/>
                <w:bCs/>
                <w:color w:val="000000" w:themeColor="text1"/>
              </w:rPr>
              <w:t>s</w:t>
            </w:r>
            <w:r w:rsidRPr="00662D26">
              <w:rPr>
                <w:rFonts w:ascii="Verdana" w:eastAsia="Calibri" w:hAnsi="Verdana" w:cs="Arial"/>
                <w:bCs/>
                <w:color w:val="000000" w:themeColor="text1"/>
              </w:rPr>
              <w:t>.</w:t>
            </w:r>
          </w:p>
          <w:p w14:paraId="0DEC0320" w14:textId="77777777" w:rsidR="005677AF" w:rsidRPr="00F81738" w:rsidRDefault="005677AF" w:rsidP="00520FB3">
            <w:pPr>
              <w:spacing w:after="120" w:line="276" w:lineRule="auto"/>
              <w:ind w:firstLine="709"/>
              <w:jc w:val="both"/>
              <w:rPr>
                <w:rFonts w:ascii="Verdana" w:hAnsi="Verdana" w:cs="Segoe UI"/>
              </w:rPr>
            </w:pPr>
            <w:r w:rsidRPr="00F81738">
              <w:rPr>
                <w:rFonts w:ascii="Verdana" w:hAnsi="Verdana" w:cs="Segoe UI"/>
              </w:rPr>
              <w:t>Sin perjuicio de lo anterior, la procedencia de una donación también deberá analizarse a la luz del régimen jurídico aplicable a la administración, disposición y protección de los bienes públicos, así como de los principios de defensa del patrimonio público y de la función administrativa. En consecuencia, el análisis sobre la procedencia de la donación es distinto del relacionado con la competencia para celebrarla.</w:t>
            </w:r>
          </w:p>
          <w:p w14:paraId="3240A949" w14:textId="77777777" w:rsidR="005677AF" w:rsidRPr="00662D26" w:rsidRDefault="005677AF" w:rsidP="00520FB3">
            <w:pPr>
              <w:spacing w:after="120" w:line="276" w:lineRule="auto"/>
              <w:ind w:firstLine="709"/>
              <w:jc w:val="both"/>
              <w:rPr>
                <w:rFonts w:ascii="Verdana" w:eastAsia="Calibri" w:hAnsi="Verdana" w:cs="Arial"/>
                <w:bCs/>
                <w:color w:val="000000" w:themeColor="text1"/>
              </w:rPr>
            </w:pPr>
            <w:r>
              <w:rPr>
                <w:rFonts w:ascii="Verdana" w:eastAsia="Calibri" w:hAnsi="Verdana" w:cs="Arial"/>
                <w:bCs/>
                <w:color w:val="000000" w:themeColor="text1"/>
              </w:rPr>
              <w:t>Por lo tanto</w:t>
            </w:r>
            <w:r w:rsidRPr="00662D26">
              <w:rPr>
                <w:rFonts w:ascii="Verdana" w:eastAsia="Calibri" w:hAnsi="Verdana" w:cs="Arial"/>
                <w:bCs/>
                <w:color w:val="000000" w:themeColor="text1"/>
              </w:rPr>
              <w:t xml:space="preserve">, para determinar si el </w:t>
            </w:r>
            <w:r>
              <w:rPr>
                <w:rFonts w:ascii="Verdana" w:eastAsia="Calibri" w:hAnsi="Verdana" w:cs="Arial"/>
                <w:bCs/>
                <w:color w:val="000000" w:themeColor="text1"/>
              </w:rPr>
              <w:t>a</w:t>
            </w:r>
            <w:r w:rsidRPr="00662D26">
              <w:rPr>
                <w:rFonts w:ascii="Verdana" w:eastAsia="Calibri" w:hAnsi="Verdana" w:cs="Arial"/>
                <w:bCs/>
                <w:color w:val="000000" w:themeColor="text1"/>
              </w:rPr>
              <w:t xml:space="preserve">lcalde requiere autorización previa del </w:t>
            </w:r>
            <w:r>
              <w:rPr>
                <w:rFonts w:ascii="Verdana" w:eastAsia="Calibri" w:hAnsi="Verdana" w:cs="Arial"/>
                <w:bCs/>
                <w:color w:val="000000" w:themeColor="text1"/>
              </w:rPr>
              <w:t>c</w:t>
            </w:r>
            <w:r w:rsidRPr="00662D26">
              <w:rPr>
                <w:rFonts w:ascii="Verdana" w:eastAsia="Calibri" w:hAnsi="Verdana" w:cs="Arial"/>
                <w:bCs/>
                <w:color w:val="000000" w:themeColor="text1"/>
              </w:rPr>
              <w:t xml:space="preserve">oncejo </w:t>
            </w:r>
            <w:r>
              <w:rPr>
                <w:rFonts w:ascii="Verdana" w:eastAsia="Calibri" w:hAnsi="Verdana" w:cs="Arial"/>
                <w:bCs/>
                <w:color w:val="000000" w:themeColor="text1"/>
              </w:rPr>
              <w:t>m</w:t>
            </w:r>
            <w:r w:rsidRPr="00662D26">
              <w:rPr>
                <w:rFonts w:ascii="Verdana" w:eastAsia="Calibri" w:hAnsi="Verdana" w:cs="Arial"/>
                <w:bCs/>
                <w:color w:val="000000" w:themeColor="text1"/>
              </w:rPr>
              <w:t>unicipal para celebrar un contrato de donación de bienes muebles</w:t>
            </w:r>
            <w:r>
              <w:rPr>
                <w:rFonts w:ascii="Verdana" w:eastAsia="Calibri" w:hAnsi="Verdana" w:cs="Arial"/>
                <w:bCs/>
                <w:color w:val="000000" w:themeColor="text1"/>
              </w:rPr>
              <w:t>,</w:t>
            </w:r>
            <w:r w:rsidRPr="00662D26">
              <w:rPr>
                <w:rFonts w:ascii="Verdana" w:eastAsia="Calibri" w:hAnsi="Verdana" w:cs="Arial"/>
                <w:bCs/>
                <w:color w:val="000000" w:themeColor="text1"/>
              </w:rPr>
              <w:t xml:space="preserve"> deberá verificarse, en primer lugar, la existencia de una disposición constitucional, legal o </w:t>
            </w:r>
            <w:r>
              <w:rPr>
                <w:rFonts w:ascii="Verdana" w:eastAsia="Calibri" w:hAnsi="Verdana" w:cs="Arial"/>
                <w:bCs/>
                <w:color w:val="000000" w:themeColor="text1"/>
              </w:rPr>
              <w:t>de un acuerdo municipal</w:t>
            </w:r>
            <w:r w:rsidRPr="00662D26">
              <w:rPr>
                <w:rFonts w:ascii="Verdana" w:eastAsia="Calibri" w:hAnsi="Verdana" w:cs="Arial"/>
                <w:bCs/>
                <w:color w:val="000000" w:themeColor="text1"/>
              </w:rPr>
              <w:t xml:space="preserve"> que establezca dicha exigencia y, en segundo lugar, la procedencia misma de la donación conforme al régimen jurídico aplicable a los bienes públicos</w:t>
            </w:r>
            <w:r>
              <w:rPr>
                <w:rFonts w:ascii="Verdana" w:eastAsia="Calibri" w:hAnsi="Verdana" w:cs="Arial"/>
                <w:bCs/>
                <w:color w:val="000000" w:themeColor="text1"/>
              </w:rPr>
              <w:t xml:space="preserve"> objeto de transferencia. Se</w:t>
            </w:r>
            <w:r w:rsidRPr="00662D26">
              <w:rPr>
                <w:rFonts w:ascii="Verdana" w:eastAsia="Calibri" w:hAnsi="Verdana" w:cs="Arial"/>
                <w:bCs/>
                <w:color w:val="000000" w:themeColor="text1"/>
              </w:rPr>
              <w:t xml:space="preserve"> </w:t>
            </w:r>
            <w:r>
              <w:rPr>
                <w:rFonts w:ascii="Verdana" w:eastAsia="Calibri" w:hAnsi="Verdana" w:cs="Arial"/>
                <w:bCs/>
                <w:color w:val="000000" w:themeColor="text1"/>
              </w:rPr>
              <w:t xml:space="preserve">trata de </w:t>
            </w:r>
            <w:r w:rsidRPr="00662D26">
              <w:rPr>
                <w:rFonts w:ascii="Verdana" w:eastAsia="Calibri" w:hAnsi="Verdana" w:cs="Arial"/>
                <w:bCs/>
                <w:color w:val="000000" w:themeColor="text1"/>
              </w:rPr>
              <w:t>problemas jurídicos diferentes</w:t>
            </w:r>
            <w:r>
              <w:rPr>
                <w:rFonts w:ascii="Verdana" w:eastAsia="Calibri" w:hAnsi="Verdana" w:cs="Arial"/>
                <w:bCs/>
                <w:color w:val="000000" w:themeColor="text1"/>
              </w:rPr>
              <w:t xml:space="preserve"> e independientes: m</w:t>
            </w:r>
            <w:r w:rsidRPr="00662D26">
              <w:rPr>
                <w:rFonts w:ascii="Verdana" w:eastAsia="Calibri" w:hAnsi="Verdana" w:cs="Arial"/>
                <w:bCs/>
                <w:color w:val="000000" w:themeColor="text1"/>
              </w:rPr>
              <w:t>ientras el primero se refiere a la distribución de competencias entre el alcalde y el concejo municipal, el segundo concierne a la legalidad del negocio jurídico mediante el cual la entidad dispone gratuitamente de bienes de su patrimonio.</w:t>
            </w:r>
          </w:p>
          <w:p w14:paraId="75AB1402" w14:textId="77777777" w:rsidR="005677AF" w:rsidRPr="00662D26" w:rsidRDefault="005677AF" w:rsidP="00520FB3">
            <w:pPr>
              <w:spacing w:line="276" w:lineRule="auto"/>
              <w:ind w:firstLine="709"/>
              <w:jc w:val="both"/>
              <w:rPr>
                <w:rFonts w:ascii="Verdana" w:eastAsia="Calibri" w:hAnsi="Verdana" w:cs="Arial"/>
                <w:bCs/>
                <w:color w:val="000000" w:themeColor="text1"/>
              </w:rPr>
            </w:pPr>
            <w:r w:rsidRPr="00662D26">
              <w:rPr>
                <w:rFonts w:ascii="Verdana" w:eastAsia="Calibri" w:hAnsi="Verdana" w:cs="Arial"/>
                <w:bCs/>
                <w:color w:val="000000" w:themeColor="text1"/>
              </w:rPr>
              <w:t xml:space="preserve">Finalmente, debe advertirse que el análisis y la solución de situaciones específicas relacionadas con la gestión contractual de las entidades estatales corresponde a los interesados, con el apoyo de sus asesores jurídicos, y, en caso de controversia, a las autoridades competentes en materia judicial, disciplinaria, fiscal o de control. En consecuencia, cada entidad definirá la </w:t>
            </w:r>
            <w:r w:rsidRPr="00662D26">
              <w:rPr>
                <w:rFonts w:ascii="Verdana" w:eastAsia="Calibri" w:hAnsi="Verdana" w:cs="Arial"/>
                <w:bCs/>
                <w:color w:val="000000" w:themeColor="text1"/>
              </w:rPr>
              <w:lastRenderedPageBreak/>
              <w:t>forma de adelantar su gestión contractual dentro del marco de sus competencias, sin que corresponda a Colombia Compra Eficiente validar o avalar sus actuaciones.</w:t>
            </w:r>
          </w:p>
        </w:tc>
      </w:tr>
    </w:tbl>
    <w:p w14:paraId="0272AE18" w14:textId="77777777" w:rsidR="005677AF" w:rsidRPr="00662D26" w:rsidRDefault="005677AF" w:rsidP="005677AF">
      <w:pPr>
        <w:tabs>
          <w:tab w:val="left" w:pos="142"/>
          <w:tab w:val="left" w:pos="284"/>
        </w:tabs>
        <w:spacing w:after="0" w:line="276" w:lineRule="auto"/>
        <w:jc w:val="both"/>
        <w:rPr>
          <w:rFonts w:ascii="Verdana" w:eastAsia="Century Gothic" w:hAnsi="Verdana" w:cs="Century Gothic"/>
          <w:b/>
          <w:bCs/>
          <w:lang w:val="es-ES"/>
        </w:rPr>
      </w:pPr>
    </w:p>
    <w:p w14:paraId="048D8E43" w14:textId="77777777" w:rsidR="005677AF" w:rsidRPr="00662D26" w:rsidRDefault="005677AF" w:rsidP="005677A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662D26">
        <w:rPr>
          <w:rFonts w:ascii="Verdana" w:eastAsia="Century Gothic" w:hAnsi="Verdana" w:cs="Century Gothic"/>
          <w:b/>
          <w:bCs/>
        </w:rPr>
        <w:t>Razones de la respuesta:</w:t>
      </w:r>
    </w:p>
    <w:p w14:paraId="45975504" w14:textId="77777777" w:rsidR="005677AF" w:rsidRPr="00662D26" w:rsidRDefault="005677AF" w:rsidP="005677AF">
      <w:pPr>
        <w:spacing w:after="0" w:line="276" w:lineRule="auto"/>
        <w:jc w:val="both"/>
        <w:rPr>
          <w:rFonts w:ascii="Verdana" w:eastAsia="Calibri" w:hAnsi="Verdana" w:cs="Arial"/>
          <w:color w:val="7030A0"/>
          <w:lang w:val="es-ES"/>
        </w:rPr>
      </w:pPr>
    </w:p>
    <w:p w14:paraId="59A55F85" w14:textId="77777777" w:rsidR="005677AF" w:rsidRPr="00662D26" w:rsidRDefault="005677AF" w:rsidP="005677AF">
      <w:pPr>
        <w:spacing w:after="0" w:line="276" w:lineRule="auto"/>
        <w:jc w:val="both"/>
        <w:rPr>
          <w:rFonts w:ascii="Verdana" w:eastAsia="Calibri" w:hAnsi="Verdana" w:cs="Arial"/>
          <w:lang w:val="es-ES"/>
        </w:rPr>
      </w:pPr>
      <w:r w:rsidRPr="00662D26">
        <w:rPr>
          <w:rFonts w:ascii="Verdana" w:eastAsia="Calibri" w:hAnsi="Verdana" w:cs="Arial"/>
          <w:lang w:val="es-ES"/>
        </w:rPr>
        <w:t xml:space="preserve">Lo anterior se sustenta en las siguientes consideraciones: </w:t>
      </w:r>
    </w:p>
    <w:p w14:paraId="384E6382" w14:textId="77777777" w:rsidR="005677AF" w:rsidRPr="00662D26" w:rsidRDefault="005677AF" w:rsidP="005677AF">
      <w:pPr>
        <w:spacing w:after="0" w:line="276" w:lineRule="auto"/>
        <w:jc w:val="both"/>
        <w:rPr>
          <w:rFonts w:ascii="Verdana" w:eastAsia="Calibri" w:hAnsi="Verdana" w:cs="Arial"/>
          <w:lang w:val="es-ES"/>
        </w:rPr>
      </w:pPr>
    </w:p>
    <w:p w14:paraId="324C452C" w14:textId="77777777" w:rsidR="005677AF" w:rsidRPr="00662D26" w:rsidRDefault="005677AF" w:rsidP="005677AF">
      <w:pPr>
        <w:spacing w:after="120" w:line="276" w:lineRule="auto"/>
        <w:jc w:val="both"/>
        <w:rPr>
          <w:rFonts w:ascii="Verdana" w:eastAsia="Calibri" w:hAnsi="Verdana" w:cs="Arial"/>
        </w:rPr>
      </w:pPr>
      <w:r w:rsidRPr="00662D26">
        <w:rPr>
          <w:rFonts w:ascii="Verdana" w:eastAsia="Calibri" w:hAnsi="Verdana" w:cs="Arial"/>
          <w:b/>
          <w:bCs/>
          <w:lang w:val="es-ES"/>
        </w:rPr>
        <w:t>i.</w:t>
      </w:r>
      <w:r w:rsidRPr="00662D26">
        <w:rPr>
          <w:rFonts w:ascii="Verdana" w:eastAsia="Calibri" w:hAnsi="Verdana" w:cs="Arial"/>
          <w:lang w:val="es-ES"/>
        </w:rPr>
        <w:t xml:space="preserve"> </w:t>
      </w:r>
      <w:r w:rsidRPr="00662D26">
        <w:rPr>
          <w:rFonts w:ascii="Verdana" w:eastAsia="Calibri" w:hAnsi="Verdana" w:cs="Arial"/>
        </w:rPr>
        <w:t>El Estatuto General de Contratación de la Administración Pública</w:t>
      </w:r>
      <w:r>
        <w:rPr>
          <w:rFonts w:ascii="Verdana" w:eastAsia="Calibri" w:hAnsi="Verdana" w:cs="Arial"/>
        </w:rPr>
        <w:t xml:space="preserve"> – en adelante EGCAP –</w:t>
      </w:r>
      <w:r w:rsidRPr="00662D26">
        <w:rPr>
          <w:rFonts w:ascii="Verdana" w:eastAsia="Calibri" w:hAnsi="Verdana" w:cs="Arial"/>
        </w:rPr>
        <w:t xml:space="preserve"> tiene por objeto establecer las reglas y principios que rigen la actividad contractual de las entidades estatales, entendida esta como uno de los principales instrumentos para la satisfacción de los fines esenciales del Estado. En efecto, el artículo 1 de la Ley 80 de 1993</w:t>
      </w:r>
      <w:r>
        <w:rPr>
          <w:rStyle w:val="Refdenotaalpie"/>
          <w:rFonts w:ascii="Verdana" w:eastAsia="Calibri" w:hAnsi="Verdana" w:cs="Arial"/>
        </w:rPr>
        <w:footnoteReference w:id="1"/>
      </w:r>
      <w:r w:rsidRPr="00662D26">
        <w:rPr>
          <w:rFonts w:ascii="Verdana" w:eastAsia="Calibri" w:hAnsi="Verdana" w:cs="Arial"/>
        </w:rPr>
        <w:t xml:space="preserve"> dispone que dicho estatuto regula los contratos celebrados por las entidades públicas, mientras que el artículo 3</w:t>
      </w:r>
      <w:r>
        <w:rPr>
          <w:rStyle w:val="Refdenotaalpie"/>
          <w:rFonts w:ascii="Verdana" w:eastAsia="Calibri" w:hAnsi="Verdana" w:cs="Arial"/>
        </w:rPr>
        <w:footnoteReference w:id="2"/>
      </w:r>
      <w:r w:rsidRPr="00662D26">
        <w:rPr>
          <w:rFonts w:ascii="Verdana" w:eastAsia="Calibri" w:hAnsi="Verdana" w:cs="Arial"/>
        </w:rPr>
        <w:t xml:space="preserve"> establece que los servidores públicos deberán celebrar contratos orientados al cumplimiento de los fines estatales, la continua y eficiente prestación de los servicios públicos y la efectividad de los derechos e intereses de los administrados.</w:t>
      </w:r>
    </w:p>
    <w:p w14:paraId="330685BF" w14:textId="77777777" w:rsidR="005677AF" w:rsidRPr="00662D26" w:rsidRDefault="005677AF" w:rsidP="005677AF">
      <w:pPr>
        <w:spacing w:after="120" w:line="276" w:lineRule="auto"/>
        <w:ind w:firstLine="709"/>
        <w:jc w:val="both"/>
        <w:rPr>
          <w:rFonts w:ascii="Verdana" w:eastAsia="Calibri" w:hAnsi="Verdana" w:cs="Arial"/>
        </w:rPr>
      </w:pPr>
      <w:r w:rsidRPr="00662D26">
        <w:rPr>
          <w:rFonts w:ascii="Verdana" w:eastAsia="Calibri" w:hAnsi="Verdana" w:cs="Arial"/>
        </w:rPr>
        <w:t>La importancia de estas disposiciones radica en que permiten comprender que la contratación pública no constituye un fin autónomo de la administración, sino un instrumento jurídico mediante el cual las entidades estatales materializan las competencias que la Constitución y la ley les atribuyen. Por esta razón, la facultad para celebrar contratos se encuentra vinculada a la representación legal de cada entidad y al ejercicio de la función administrativa, de manera que corresponde, por regla general, al servidor público a quien el ordenamiento jurídico ha confiado la dirección de la respectiva organización administrativa.</w:t>
      </w:r>
    </w:p>
    <w:p w14:paraId="1C45C548" w14:textId="77777777" w:rsidR="005677AF" w:rsidRPr="00662D26" w:rsidRDefault="005677AF" w:rsidP="005677AF">
      <w:pPr>
        <w:spacing w:after="120" w:line="276" w:lineRule="auto"/>
        <w:ind w:firstLine="709"/>
        <w:jc w:val="both"/>
        <w:rPr>
          <w:rFonts w:ascii="Verdana" w:eastAsia="Calibri" w:hAnsi="Verdana" w:cs="Arial"/>
        </w:rPr>
      </w:pPr>
      <w:r w:rsidRPr="00662D26">
        <w:rPr>
          <w:rFonts w:ascii="Verdana" w:eastAsia="Calibri" w:hAnsi="Verdana" w:cs="Arial"/>
        </w:rPr>
        <w:lastRenderedPageBreak/>
        <w:t>Tratándose de las entidades territoriales, la Constitución Política distribuye las competencias entre las corporaciones públicas de elección popular y las autoridades ejecutivas, estableciendo un sistema de frenos y contrapesos que garantiza el ejercicio armónico de las funciones públicas. Así, mientras los concejos municipales ejercen funciones de carácter normativo, político y de control, el alcalde tiene a su cargo la dirección de la administración municipal y la ejecución de las decisiones adoptadas dentro del marco constitucional y legal.</w:t>
      </w:r>
    </w:p>
    <w:p w14:paraId="3BAE2D47" w14:textId="77777777" w:rsidR="005677AF" w:rsidRPr="00662D26" w:rsidRDefault="005677AF" w:rsidP="005677AF">
      <w:pPr>
        <w:spacing w:after="120" w:line="276" w:lineRule="auto"/>
        <w:ind w:firstLine="709"/>
        <w:jc w:val="both"/>
        <w:rPr>
          <w:rFonts w:ascii="Verdana" w:eastAsia="Calibri" w:hAnsi="Verdana" w:cs="Arial"/>
        </w:rPr>
      </w:pPr>
      <w:r w:rsidRPr="00662D26">
        <w:rPr>
          <w:rFonts w:ascii="Verdana" w:eastAsia="Calibri" w:hAnsi="Verdana" w:cs="Arial"/>
        </w:rPr>
        <w:t>En desarrollo de este modelo constitucional, el artículo 315 de la Constitución Política dispone que corresponde al alcalde cumplir y hacer cumplir la Constitución, la ley, los decretos del Gobierno y los acuerdos del concejo; conservar el orden público; dirigir la acción administrativa del municipio; asegurar el cumplimiento de las funciones y la prestación de los servicios a su cargo; suprimir o fusionar entidades administrativas municipales dentro de los límites señalados por el concejo; presentar proyectos de acuerdo; sancionar y promulgar los acuerdos aprobados por la corporación administrativa y</w:t>
      </w:r>
      <w:r>
        <w:rPr>
          <w:rFonts w:ascii="Verdana" w:eastAsia="Calibri" w:hAnsi="Verdana" w:cs="Arial"/>
        </w:rPr>
        <w:t>;</w:t>
      </w:r>
      <w:r w:rsidRPr="00662D26">
        <w:rPr>
          <w:rFonts w:ascii="Verdana" w:eastAsia="Calibri" w:hAnsi="Verdana" w:cs="Arial"/>
        </w:rPr>
        <w:t xml:space="preserve"> ejercer las demás funciones que le asignen la Constitución y la ley.</w:t>
      </w:r>
    </w:p>
    <w:p w14:paraId="240BD9A2" w14:textId="77777777" w:rsidR="005677AF" w:rsidRPr="00662D26" w:rsidRDefault="005677AF" w:rsidP="005677AF">
      <w:pPr>
        <w:spacing w:after="120" w:line="276" w:lineRule="auto"/>
        <w:ind w:firstLine="709"/>
        <w:jc w:val="both"/>
        <w:rPr>
          <w:rFonts w:ascii="Verdana" w:eastAsia="Calibri" w:hAnsi="Verdana" w:cs="Arial"/>
        </w:rPr>
      </w:pPr>
      <w:r w:rsidRPr="00662D26">
        <w:rPr>
          <w:rFonts w:ascii="Verdana" w:eastAsia="Calibri" w:hAnsi="Verdana" w:cs="Arial"/>
        </w:rPr>
        <w:t>Estas atribuciones encuentran desarrollo en el artículo 91 de la Ley 136 de 1994, modificado por el artículo 29 de la Ley 1551 de 2012, disposición que atribuye expresamente al alcalde la competencia para dirigir la acción administrativa del municipio y celebrar los contratos y convenios necesarios para el desarrollo de sus funciones. De esta manera, el legislador concretó la competencia contractual del alcalde como una manifestación directa de la representación legal del municipio y de la responsabilidad que le corresponde en la ejecución de la gestión administrativa.</w:t>
      </w:r>
    </w:p>
    <w:p w14:paraId="75A8D159" w14:textId="77777777" w:rsidR="005677AF" w:rsidRPr="00662D26" w:rsidRDefault="005677AF" w:rsidP="005677AF">
      <w:pPr>
        <w:spacing w:after="0" w:line="276" w:lineRule="auto"/>
        <w:ind w:firstLine="709"/>
        <w:jc w:val="both"/>
        <w:rPr>
          <w:rFonts w:ascii="Verdana" w:eastAsia="Calibri" w:hAnsi="Verdana" w:cs="Arial"/>
        </w:rPr>
      </w:pPr>
      <w:r w:rsidRPr="00662D26">
        <w:rPr>
          <w:rFonts w:ascii="Verdana" w:eastAsia="Calibri" w:hAnsi="Verdana" w:cs="Arial"/>
        </w:rPr>
        <w:t>Desde esta perspectiva, la facultad contractual del alcalde constituye una competencia propia y permanente del ejecutivo municipal, cuyo ejercicio no depende, como regla general, de autorizaciones previas otorgadas por otras autoridades, salvo en aquellos casos en que la Constitución o la ley establezcan expresamente una limitación o condición para su ejercicio.</w:t>
      </w:r>
    </w:p>
    <w:p w14:paraId="687437B2" w14:textId="77777777" w:rsidR="005677AF" w:rsidRPr="00662D26" w:rsidRDefault="005677AF" w:rsidP="005677AF">
      <w:pPr>
        <w:spacing w:after="0" w:line="276" w:lineRule="auto"/>
        <w:ind w:firstLine="709"/>
        <w:jc w:val="both"/>
        <w:rPr>
          <w:rFonts w:ascii="Verdana" w:eastAsia="Calibri" w:hAnsi="Verdana" w:cs="Arial"/>
        </w:rPr>
      </w:pPr>
    </w:p>
    <w:p w14:paraId="4D8984F3" w14:textId="77777777" w:rsidR="005677AF" w:rsidRPr="00662D26" w:rsidRDefault="005677AF" w:rsidP="005677AF">
      <w:pPr>
        <w:spacing w:after="120" w:line="276" w:lineRule="auto"/>
        <w:jc w:val="both"/>
        <w:rPr>
          <w:rFonts w:ascii="Verdana" w:eastAsia="Calibri" w:hAnsi="Verdana" w:cs="Arial"/>
          <w:lang w:val="es-ES"/>
        </w:rPr>
      </w:pPr>
      <w:r w:rsidRPr="00662D26">
        <w:rPr>
          <w:rFonts w:ascii="Verdana" w:eastAsia="Calibri" w:hAnsi="Verdana" w:cs="Arial"/>
          <w:b/>
          <w:bCs/>
        </w:rPr>
        <w:t>ii.</w:t>
      </w:r>
      <w:r w:rsidRPr="00662D26">
        <w:rPr>
          <w:rFonts w:ascii="Verdana" w:eastAsia="Calibri" w:hAnsi="Verdana" w:cs="Arial"/>
        </w:rPr>
        <w:t xml:space="preserve"> </w:t>
      </w:r>
      <w:r>
        <w:rPr>
          <w:rFonts w:ascii="Verdana" w:eastAsia="Calibri" w:hAnsi="Verdana" w:cs="Arial"/>
        </w:rPr>
        <w:t>En este punto</w:t>
      </w:r>
      <w:r w:rsidRPr="00662D26">
        <w:rPr>
          <w:rFonts w:ascii="Verdana" w:eastAsia="Calibri" w:hAnsi="Verdana" w:cs="Arial"/>
        </w:rPr>
        <w:t>, resulta necesario determinar el alcance de la atribución conferida a los concejos municipales por el numeral 3 del artículo 313</w:t>
      </w:r>
      <w:r>
        <w:rPr>
          <w:rStyle w:val="Refdenotaalpie"/>
          <w:rFonts w:ascii="Verdana" w:eastAsia="Calibri" w:hAnsi="Verdana" w:cs="Arial"/>
          <w:bCs/>
          <w:color w:val="000000" w:themeColor="text1"/>
        </w:rPr>
        <w:footnoteReference w:id="3"/>
      </w:r>
      <w:r w:rsidRPr="00662D26">
        <w:rPr>
          <w:rFonts w:ascii="Verdana" w:eastAsia="Calibri" w:hAnsi="Verdana" w:cs="Arial"/>
        </w:rPr>
        <w:t xml:space="preserve"> de la Constitución Política, conforme al cual corresponde a estas corporaciones </w:t>
      </w:r>
      <w:r w:rsidRPr="00662D26">
        <w:rPr>
          <w:rFonts w:ascii="Verdana" w:eastAsia="Calibri" w:hAnsi="Verdana" w:cs="Arial"/>
        </w:rPr>
        <w:lastRenderedPageBreak/>
        <w:t>"autorizar al alcalde para celebrar contratos y ejercer pro tempore precisas funciones de las que corresponden al concejo".</w:t>
      </w:r>
    </w:p>
    <w:p w14:paraId="2FBE3D96" w14:textId="77777777" w:rsidR="005677AF" w:rsidRPr="00662D26" w:rsidRDefault="005677AF" w:rsidP="005677AF">
      <w:pPr>
        <w:spacing w:after="120" w:line="276" w:lineRule="auto"/>
        <w:ind w:firstLine="709"/>
        <w:jc w:val="both"/>
        <w:rPr>
          <w:rFonts w:ascii="Verdana" w:eastAsia="Calibri" w:hAnsi="Verdana" w:cs="Arial"/>
        </w:rPr>
      </w:pPr>
      <w:r w:rsidRPr="00662D26">
        <w:rPr>
          <w:rFonts w:ascii="Verdana" w:eastAsia="Calibri" w:hAnsi="Verdana" w:cs="Arial"/>
        </w:rPr>
        <w:t>Una interpretación aislada de esta disposición podría conducir a considerar que toda actuación contractual adelantada por el alcalde requiere autorización previa del concejo municipal. Sin embargo, esa lectura desconoce el carácter sistemático de la Constitución y la distribución funcional de competencias prevista para las entidades territoriales. En efecto, la Constitución no atribuye a los concejos municipales el ejercicio de la actividad contractual del municipio, sino que distribuye las funciones administrativas entre los distintos órganos que integran la administración local. Mientras el concejo ejerce funciones de naturaleza normativa, presupuestal y de control político, el alcalde tiene a su cargo la dirección de la acción administrativa y la representación legal del municipio, razón por la cual le corresponde ejecutar las políticas públicas, administrar el patrimonio municipal y celebrar los contratos necesarios para el cumplimiento de los fines estatales.</w:t>
      </w:r>
    </w:p>
    <w:p w14:paraId="304D7F21" w14:textId="77777777" w:rsidR="005677AF" w:rsidRPr="00662D26" w:rsidRDefault="005677AF" w:rsidP="005677AF">
      <w:pPr>
        <w:spacing w:after="120" w:line="276" w:lineRule="auto"/>
        <w:ind w:firstLine="709"/>
        <w:jc w:val="both"/>
        <w:rPr>
          <w:rFonts w:ascii="Verdana" w:eastAsia="Calibri" w:hAnsi="Verdana" w:cs="Arial"/>
        </w:rPr>
      </w:pPr>
      <w:r w:rsidRPr="00662D26">
        <w:rPr>
          <w:rFonts w:ascii="Verdana" w:eastAsia="Calibri" w:hAnsi="Verdana" w:cs="Arial"/>
        </w:rPr>
        <w:t xml:space="preserve">Por ello, </w:t>
      </w:r>
      <w:r>
        <w:rPr>
          <w:rFonts w:ascii="Verdana" w:eastAsia="Calibri" w:hAnsi="Verdana" w:cs="Arial"/>
        </w:rPr>
        <w:t>dicha facultad</w:t>
      </w:r>
      <w:r w:rsidRPr="00662D26">
        <w:rPr>
          <w:rFonts w:ascii="Verdana" w:eastAsia="Calibri" w:hAnsi="Verdana" w:cs="Arial"/>
        </w:rPr>
        <w:t xml:space="preserve"> debe interpretarse de forma armónica con el artículo 315 constitucional, evitando que el ejercicio de una competencia constitucional termine por anular o impedir el ejercicio de otra competencia igualmente prevista por el Constituyente. Así, se entiende que la autorización prevista el numeral 3 del artículo 313 constituye un instrumento de control institucional que busca preservar el equilibrio entre las competencias del órgano deliberante y las del ejecutivo territorial, pero no puede interpretarse como una habilitación para intervenir en cada una de las decisiones administrativas que corresponden al alcalde.</w:t>
      </w:r>
    </w:p>
    <w:p w14:paraId="2812F473" w14:textId="77777777" w:rsidR="005677AF" w:rsidRPr="00662D26" w:rsidRDefault="005677AF" w:rsidP="005677AF">
      <w:pPr>
        <w:spacing w:after="120" w:line="276" w:lineRule="auto"/>
        <w:ind w:firstLine="709"/>
        <w:jc w:val="both"/>
        <w:rPr>
          <w:rFonts w:ascii="Verdana" w:eastAsia="Calibri" w:hAnsi="Verdana" w:cs="Arial"/>
        </w:rPr>
      </w:pPr>
      <w:r w:rsidRPr="00662D26">
        <w:rPr>
          <w:rFonts w:ascii="Verdana" w:eastAsia="Calibri" w:hAnsi="Verdana" w:cs="Arial"/>
        </w:rPr>
        <w:t xml:space="preserve">En este sentido, la competencia contractual permanece radicada en el ejecutivo municipal, pues es este quien ostenta la representación legal del municipio y quien responde constitucional, disciplinaria, fiscal y patrimonialmente por las decisiones adoptadas en desarrollo de la gestión administrativa. Por ello, la autorización del concejo constituye una limitación excepcional al ejercicio de dicha competencia y no una condición general para el perfeccionamiento de todos los contratos estatales. En otras palabras, </w:t>
      </w:r>
      <w:r>
        <w:rPr>
          <w:rFonts w:ascii="Verdana" w:eastAsia="Calibri" w:hAnsi="Verdana" w:cs="Arial"/>
        </w:rPr>
        <w:t>l</w:t>
      </w:r>
      <w:r w:rsidRPr="00662D26">
        <w:rPr>
          <w:rFonts w:ascii="Verdana" w:eastAsia="Calibri" w:hAnsi="Verdana" w:cs="Arial"/>
        </w:rPr>
        <w:t xml:space="preserve">a competencia conferida a los concejos para autorizar al alcalde a contratar debe ejercerse respetando el principio de separación funcional previsto en la Constitución. El concejo no puede asumir funciones propias de la administración ni condicionar permanentemente el ejercicio de las competencias atribuidas al </w:t>
      </w:r>
      <w:r w:rsidRPr="00662D26">
        <w:rPr>
          <w:rFonts w:ascii="Verdana" w:eastAsia="Calibri" w:hAnsi="Verdana" w:cs="Arial"/>
        </w:rPr>
        <w:lastRenderedPageBreak/>
        <w:t>alcalde, pues ello desnaturalizaría el modelo de organización territorial diseñado por el Constituyente.</w:t>
      </w:r>
    </w:p>
    <w:p w14:paraId="7A38A2FC" w14:textId="77777777" w:rsidR="005677AF" w:rsidRPr="00662D26" w:rsidRDefault="005677AF" w:rsidP="005677AF">
      <w:pPr>
        <w:spacing w:after="0" w:line="278" w:lineRule="auto"/>
        <w:jc w:val="both"/>
        <w:rPr>
          <w:rFonts w:ascii="Verdana" w:hAnsi="Verdana"/>
        </w:rPr>
      </w:pPr>
      <w:r>
        <w:rPr>
          <w:rFonts w:ascii="Verdana" w:hAnsi="Verdana"/>
        </w:rPr>
        <w:tab/>
      </w:r>
      <w:r w:rsidRPr="00662D26">
        <w:rPr>
          <w:rFonts w:ascii="Verdana" w:hAnsi="Verdana"/>
        </w:rPr>
        <w:t>La finalidad de esta atribución consiste, entonces, en permitir el ejercicio de un control político e institucional respecto de actuaciones de especial trascendencia para la administración municipal, sin sustituir al alcalde en la valoración de la conveniencia o necesidad de cada negocio jurídico.</w:t>
      </w:r>
    </w:p>
    <w:p w14:paraId="69D19B20" w14:textId="77777777" w:rsidR="005677AF" w:rsidRPr="00662D26" w:rsidRDefault="005677AF" w:rsidP="005677AF">
      <w:pPr>
        <w:spacing w:after="0" w:line="276" w:lineRule="auto"/>
        <w:ind w:firstLine="709"/>
        <w:jc w:val="both"/>
        <w:rPr>
          <w:rFonts w:ascii="Verdana" w:eastAsia="Calibri" w:hAnsi="Verdana" w:cs="Arial"/>
        </w:rPr>
      </w:pPr>
    </w:p>
    <w:p w14:paraId="293904F3" w14:textId="77777777" w:rsidR="005677AF" w:rsidRDefault="005677AF" w:rsidP="005677AF">
      <w:pPr>
        <w:spacing w:after="0" w:line="278" w:lineRule="auto"/>
        <w:jc w:val="both"/>
        <w:rPr>
          <w:rFonts w:ascii="Verdana" w:eastAsia="Calibri" w:hAnsi="Verdana" w:cs="Arial"/>
        </w:rPr>
      </w:pPr>
      <w:r w:rsidRPr="00662D26">
        <w:rPr>
          <w:rFonts w:ascii="Verdana" w:eastAsia="Calibri" w:hAnsi="Verdana" w:cs="Arial"/>
          <w:b/>
          <w:bCs/>
        </w:rPr>
        <w:t>iii.</w:t>
      </w:r>
      <w:r w:rsidRPr="00662D26">
        <w:rPr>
          <w:rFonts w:ascii="Verdana" w:eastAsia="Calibri" w:hAnsi="Verdana" w:cs="Arial"/>
        </w:rPr>
        <w:t xml:space="preserve"> Las anteriores consideraciones encuentran desarrollo legal en la Ley 136 de 1994. En efecto, el artículo 32 de dicha ley</w:t>
      </w:r>
      <w:r>
        <w:rPr>
          <w:rFonts w:ascii="Verdana" w:eastAsia="Calibri" w:hAnsi="Verdana" w:cs="Arial"/>
        </w:rPr>
        <w:t xml:space="preserve"> – modificado </w:t>
      </w:r>
      <w:r w:rsidRPr="00662D26">
        <w:rPr>
          <w:rFonts w:ascii="Verdana" w:eastAsia="Calibri" w:hAnsi="Verdana" w:cs="Arial"/>
        </w:rPr>
        <w:t>por el artículo 18 de la Ley 1551 de 2012</w:t>
      </w:r>
      <w:r>
        <w:rPr>
          <w:rFonts w:ascii="Verdana" w:eastAsia="Calibri" w:hAnsi="Verdana" w:cs="Arial"/>
        </w:rPr>
        <w:t xml:space="preserve"> – atribuye </w:t>
      </w:r>
      <w:r w:rsidRPr="00662D26">
        <w:rPr>
          <w:rFonts w:ascii="Verdana" w:eastAsia="Calibri" w:hAnsi="Verdana" w:cs="Arial"/>
        </w:rPr>
        <w:t>a los concejos municipales la función de reglamentar la autorización al alcalde para contratar</w:t>
      </w:r>
      <w:r>
        <w:rPr>
          <w:rStyle w:val="Refdenotaalpie"/>
          <w:rFonts w:ascii="Verdana" w:eastAsia="Calibri" w:hAnsi="Verdana" w:cs="Arial"/>
        </w:rPr>
        <w:footnoteReference w:id="4"/>
      </w:r>
      <w:r>
        <w:rPr>
          <w:rFonts w:ascii="Verdana" w:eastAsia="Calibri" w:hAnsi="Verdana" w:cs="Arial"/>
        </w:rPr>
        <w:t xml:space="preserve">, en los siguientes términos: </w:t>
      </w:r>
    </w:p>
    <w:p w14:paraId="0B7FAE74" w14:textId="77777777" w:rsidR="005677AF" w:rsidRDefault="005677AF" w:rsidP="005677AF">
      <w:pPr>
        <w:spacing w:after="0" w:line="278" w:lineRule="auto"/>
        <w:jc w:val="both"/>
        <w:rPr>
          <w:rFonts w:ascii="Verdana" w:eastAsia="Calibri" w:hAnsi="Verdana" w:cs="Arial"/>
        </w:rPr>
      </w:pPr>
    </w:p>
    <w:p w14:paraId="3C545941" w14:textId="77777777" w:rsidR="005677AF" w:rsidRPr="00F81738" w:rsidRDefault="005677AF" w:rsidP="005677AF">
      <w:pPr>
        <w:pStyle w:val="Textoindependiente"/>
        <w:spacing w:after="0" w:line="240" w:lineRule="auto"/>
        <w:ind w:left="709" w:right="709"/>
        <w:jc w:val="both"/>
        <w:rPr>
          <w:rFonts w:ascii="Verdana" w:hAnsi="Verdana"/>
          <w:sz w:val="20"/>
          <w:szCs w:val="20"/>
        </w:rPr>
      </w:pPr>
      <w:r w:rsidRPr="00F81738">
        <w:rPr>
          <w:rFonts w:ascii="Verdana" w:hAnsi="Verdana"/>
          <w:sz w:val="20"/>
          <w:szCs w:val="20"/>
        </w:rPr>
        <w:t>“Además de las funciones que se le señalan en la Constitución y la ley, son atribuciones de los concejos las siguientes.</w:t>
      </w:r>
    </w:p>
    <w:p w14:paraId="0AF0E689" w14:textId="77777777" w:rsidR="005677AF" w:rsidRPr="00F81738" w:rsidRDefault="005677AF" w:rsidP="005677AF">
      <w:pPr>
        <w:pStyle w:val="Textoindependiente"/>
        <w:spacing w:after="0" w:line="240" w:lineRule="auto"/>
        <w:ind w:left="709" w:right="709"/>
        <w:jc w:val="both"/>
        <w:rPr>
          <w:rFonts w:ascii="Verdana" w:hAnsi="Verdana"/>
          <w:sz w:val="20"/>
          <w:szCs w:val="20"/>
        </w:rPr>
      </w:pPr>
      <w:r w:rsidRPr="00F81738">
        <w:rPr>
          <w:rFonts w:ascii="Verdana" w:hAnsi="Verdana"/>
          <w:sz w:val="20"/>
          <w:szCs w:val="20"/>
        </w:rPr>
        <w:t>[…]</w:t>
      </w:r>
    </w:p>
    <w:p w14:paraId="56C8DA07" w14:textId="77777777" w:rsidR="005677AF" w:rsidRPr="00F81738" w:rsidRDefault="005677AF" w:rsidP="005677AF">
      <w:pPr>
        <w:pStyle w:val="Textoindependiente"/>
        <w:spacing w:after="0" w:line="240" w:lineRule="auto"/>
        <w:ind w:left="709" w:right="709"/>
        <w:jc w:val="both"/>
        <w:rPr>
          <w:rFonts w:ascii="Verdana" w:hAnsi="Verdana"/>
          <w:sz w:val="20"/>
          <w:szCs w:val="20"/>
        </w:rPr>
      </w:pPr>
    </w:p>
    <w:p w14:paraId="72612A96" w14:textId="77777777" w:rsidR="005677AF" w:rsidRPr="00F81738" w:rsidRDefault="005677AF" w:rsidP="005677AF">
      <w:pPr>
        <w:pStyle w:val="Textoindependiente"/>
        <w:spacing w:after="0" w:line="240" w:lineRule="auto"/>
        <w:ind w:left="709" w:right="709"/>
        <w:jc w:val="both"/>
        <w:rPr>
          <w:rFonts w:ascii="Verdana" w:hAnsi="Verdana"/>
          <w:sz w:val="20"/>
          <w:szCs w:val="20"/>
        </w:rPr>
      </w:pPr>
      <w:r w:rsidRPr="00F81738">
        <w:rPr>
          <w:rFonts w:ascii="Verdana" w:hAnsi="Verdana"/>
          <w:sz w:val="20"/>
          <w:szCs w:val="20"/>
        </w:rPr>
        <w:t>3. Reglamentar la autorización al alcalde para contratar, señalando los casos en que requiere autorización previa del Concejo.</w:t>
      </w:r>
    </w:p>
    <w:p w14:paraId="14ABB9DA" w14:textId="77777777" w:rsidR="005677AF" w:rsidRDefault="005677AF" w:rsidP="005677AF">
      <w:pPr>
        <w:pStyle w:val="Textoindependiente"/>
        <w:spacing w:after="0" w:line="240" w:lineRule="auto"/>
        <w:ind w:left="709" w:right="709"/>
        <w:jc w:val="both"/>
        <w:rPr>
          <w:rFonts w:ascii="Verdana" w:hAnsi="Verdana"/>
          <w:sz w:val="20"/>
          <w:szCs w:val="20"/>
        </w:rPr>
      </w:pPr>
    </w:p>
    <w:p w14:paraId="1B058F54" w14:textId="77777777" w:rsidR="005677AF" w:rsidRPr="00F81738" w:rsidRDefault="005677AF" w:rsidP="005677AF">
      <w:pPr>
        <w:pStyle w:val="Textoindependiente"/>
        <w:spacing w:after="0" w:line="240" w:lineRule="auto"/>
        <w:ind w:left="709" w:right="709"/>
        <w:jc w:val="both"/>
        <w:rPr>
          <w:rFonts w:ascii="Verdana" w:hAnsi="Verdana"/>
          <w:sz w:val="20"/>
          <w:szCs w:val="20"/>
        </w:rPr>
      </w:pPr>
      <w:r w:rsidRPr="00F81738">
        <w:rPr>
          <w:rFonts w:ascii="Verdana" w:hAnsi="Verdana"/>
          <w:sz w:val="20"/>
          <w:szCs w:val="20"/>
        </w:rPr>
        <w:t>[…]</w:t>
      </w:r>
    </w:p>
    <w:p w14:paraId="3F5846A8" w14:textId="77777777" w:rsidR="005677AF" w:rsidRDefault="005677AF" w:rsidP="005677AF">
      <w:pPr>
        <w:pStyle w:val="Textoindependiente"/>
        <w:spacing w:after="0" w:line="240" w:lineRule="auto"/>
        <w:ind w:left="709" w:right="709"/>
        <w:jc w:val="both"/>
        <w:rPr>
          <w:rFonts w:ascii="Verdana" w:hAnsi="Verdana"/>
          <w:sz w:val="20"/>
          <w:szCs w:val="20"/>
        </w:rPr>
      </w:pPr>
    </w:p>
    <w:p w14:paraId="389B7D43" w14:textId="77777777" w:rsidR="005677AF" w:rsidRPr="00F81738" w:rsidRDefault="005677AF" w:rsidP="005677AF">
      <w:pPr>
        <w:pStyle w:val="Textoindependiente"/>
        <w:spacing w:after="0" w:line="240" w:lineRule="auto"/>
        <w:ind w:left="709" w:right="709"/>
        <w:jc w:val="both"/>
        <w:rPr>
          <w:rFonts w:ascii="Verdana" w:hAnsi="Verdana"/>
          <w:sz w:val="20"/>
          <w:szCs w:val="20"/>
        </w:rPr>
      </w:pPr>
      <w:r w:rsidRPr="00F81738">
        <w:rPr>
          <w:rFonts w:ascii="Verdana" w:hAnsi="Verdana"/>
          <w:sz w:val="20"/>
          <w:szCs w:val="20"/>
        </w:rPr>
        <w:t>Parágrafo 4°. De conformidad con el numeral 3 del artículo 313 de la Constitución Política, el Concejo Municipal o Distrital deberá decidir sobre la autorización al alcalde para contratar en los siguientes casos:</w:t>
      </w:r>
    </w:p>
    <w:p w14:paraId="40215233" w14:textId="77777777" w:rsidR="005677AF" w:rsidRDefault="005677AF" w:rsidP="005677AF">
      <w:pPr>
        <w:pStyle w:val="Prrafodelista"/>
        <w:widowControl w:val="0"/>
        <w:tabs>
          <w:tab w:val="left" w:pos="1029"/>
        </w:tabs>
        <w:autoSpaceDE w:val="0"/>
        <w:autoSpaceDN w:val="0"/>
        <w:spacing w:after="0" w:line="240" w:lineRule="auto"/>
        <w:ind w:left="930" w:right="709"/>
        <w:contextualSpacing w:val="0"/>
        <w:jc w:val="both"/>
        <w:rPr>
          <w:rFonts w:ascii="Verdana" w:hAnsi="Verdana" w:cs="Arial"/>
          <w:sz w:val="20"/>
          <w:szCs w:val="20"/>
        </w:rPr>
      </w:pPr>
    </w:p>
    <w:p w14:paraId="595B46B7" w14:textId="77777777" w:rsidR="005677AF" w:rsidRPr="00F81738" w:rsidRDefault="005677AF" w:rsidP="005677AF">
      <w:pPr>
        <w:pStyle w:val="Prrafodelista"/>
        <w:widowControl w:val="0"/>
        <w:numPr>
          <w:ilvl w:val="0"/>
          <w:numId w:val="36"/>
        </w:numPr>
        <w:tabs>
          <w:tab w:val="left" w:pos="1029"/>
        </w:tabs>
        <w:autoSpaceDE w:val="0"/>
        <w:autoSpaceDN w:val="0"/>
        <w:spacing w:after="0" w:line="240" w:lineRule="auto"/>
        <w:ind w:left="930" w:right="709"/>
        <w:contextualSpacing w:val="0"/>
        <w:jc w:val="both"/>
        <w:rPr>
          <w:rFonts w:ascii="Verdana" w:hAnsi="Verdana" w:cs="Arial"/>
          <w:sz w:val="20"/>
          <w:szCs w:val="20"/>
        </w:rPr>
      </w:pPr>
      <w:r w:rsidRPr="00F81738">
        <w:rPr>
          <w:rFonts w:ascii="Verdana" w:hAnsi="Verdana" w:cs="Arial"/>
          <w:sz w:val="20"/>
          <w:szCs w:val="20"/>
        </w:rPr>
        <w:t>Contratación de</w:t>
      </w:r>
      <w:r w:rsidRPr="00F81738">
        <w:rPr>
          <w:rFonts w:ascii="Verdana" w:hAnsi="Verdana" w:cs="Arial"/>
          <w:spacing w:val="-5"/>
          <w:sz w:val="20"/>
          <w:szCs w:val="20"/>
        </w:rPr>
        <w:t xml:space="preserve"> </w:t>
      </w:r>
      <w:r w:rsidRPr="00F81738">
        <w:rPr>
          <w:rFonts w:ascii="Verdana" w:hAnsi="Verdana" w:cs="Arial"/>
          <w:sz w:val="20"/>
          <w:szCs w:val="20"/>
        </w:rPr>
        <w:t>empréstitos.</w:t>
      </w:r>
    </w:p>
    <w:p w14:paraId="1DB4D2AB" w14:textId="77777777" w:rsidR="005677AF" w:rsidRPr="00F81738" w:rsidRDefault="005677AF" w:rsidP="005677AF">
      <w:pPr>
        <w:pStyle w:val="Prrafodelista"/>
        <w:widowControl w:val="0"/>
        <w:numPr>
          <w:ilvl w:val="0"/>
          <w:numId w:val="36"/>
        </w:numPr>
        <w:tabs>
          <w:tab w:val="left" w:pos="1029"/>
        </w:tabs>
        <w:autoSpaceDE w:val="0"/>
        <w:autoSpaceDN w:val="0"/>
        <w:spacing w:after="0" w:line="240" w:lineRule="auto"/>
        <w:ind w:left="930" w:right="709"/>
        <w:contextualSpacing w:val="0"/>
        <w:jc w:val="both"/>
        <w:rPr>
          <w:rFonts w:ascii="Verdana" w:hAnsi="Verdana" w:cs="Arial"/>
          <w:sz w:val="20"/>
          <w:szCs w:val="20"/>
        </w:rPr>
      </w:pPr>
      <w:r w:rsidRPr="00F81738">
        <w:rPr>
          <w:rFonts w:ascii="Verdana" w:hAnsi="Verdana" w:cs="Arial"/>
          <w:sz w:val="20"/>
          <w:szCs w:val="20"/>
        </w:rPr>
        <w:t>Contratos que comprometan vigencias futuras.</w:t>
      </w:r>
    </w:p>
    <w:p w14:paraId="3D02AB16" w14:textId="77777777" w:rsidR="005677AF" w:rsidRPr="00F81738" w:rsidRDefault="005677AF" w:rsidP="005677AF">
      <w:pPr>
        <w:pStyle w:val="Prrafodelista"/>
        <w:widowControl w:val="0"/>
        <w:numPr>
          <w:ilvl w:val="0"/>
          <w:numId w:val="36"/>
        </w:numPr>
        <w:tabs>
          <w:tab w:val="left" w:pos="1029"/>
        </w:tabs>
        <w:autoSpaceDE w:val="0"/>
        <w:autoSpaceDN w:val="0"/>
        <w:spacing w:after="0" w:line="240" w:lineRule="auto"/>
        <w:ind w:left="930" w:right="709"/>
        <w:contextualSpacing w:val="0"/>
        <w:jc w:val="both"/>
        <w:rPr>
          <w:rFonts w:ascii="Verdana" w:hAnsi="Verdana" w:cs="Arial"/>
          <w:sz w:val="20"/>
          <w:szCs w:val="20"/>
        </w:rPr>
      </w:pPr>
      <w:r w:rsidRPr="00F81738">
        <w:rPr>
          <w:rFonts w:ascii="Verdana" w:hAnsi="Verdana" w:cs="Arial"/>
          <w:sz w:val="20"/>
          <w:szCs w:val="20"/>
        </w:rPr>
        <w:t>Enajenación y compraventa de bienes inmuebles.</w:t>
      </w:r>
    </w:p>
    <w:p w14:paraId="2A6A30FA" w14:textId="77777777" w:rsidR="005677AF" w:rsidRPr="00F81738" w:rsidRDefault="005677AF" w:rsidP="005677AF">
      <w:pPr>
        <w:pStyle w:val="Prrafodelista"/>
        <w:widowControl w:val="0"/>
        <w:numPr>
          <w:ilvl w:val="0"/>
          <w:numId w:val="36"/>
        </w:numPr>
        <w:tabs>
          <w:tab w:val="left" w:pos="1029"/>
        </w:tabs>
        <w:autoSpaceDE w:val="0"/>
        <w:autoSpaceDN w:val="0"/>
        <w:spacing w:after="0" w:line="240" w:lineRule="auto"/>
        <w:ind w:left="930" w:right="709"/>
        <w:contextualSpacing w:val="0"/>
        <w:jc w:val="both"/>
        <w:rPr>
          <w:rFonts w:ascii="Verdana" w:hAnsi="Verdana" w:cs="Arial"/>
          <w:sz w:val="20"/>
          <w:szCs w:val="20"/>
        </w:rPr>
      </w:pPr>
      <w:r w:rsidRPr="00F81738">
        <w:rPr>
          <w:rFonts w:ascii="Verdana" w:hAnsi="Verdana" w:cs="Arial"/>
          <w:sz w:val="20"/>
          <w:szCs w:val="20"/>
        </w:rPr>
        <w:t>Enajenación de activos, acciones y cuotas partes.</w:t>
      </w:r>
    </w:p>
    <w:p w14:paraId="46E5B352" w14:textId="77777777" w:rsidR="005677AF" w:rsidRPr="00F81738" w:rsidRDefault="005677AF" w:rsidP="005677AF">
      <w:pPr>
        <w:pStyle w:val="Prrafodelista"/>
        <w:widowControl w:val="0"/>
        <w:numPr>
          <w:ilvl w:val="0"/>
          <w:numId w:val="36"/>
        </w:numPr>
        <w:tabs>
          <w:tab w:val="left" w:pos="1029"/>
        </w:tabs>
        <w:autoSpaceDE w:val="0"/>
        <w:autoSpaceDN w:val="0"/>
        <w:spacing w:after="0" w:line="240" w:lineRule="auto"/>
        <w:ind w:left="930" w:right="709"/>
        <w:contextualSpacing w:val="0"/>
        <w:jc w:val="both"/>
        <w:rPr>
          <w:rFonts w:ascii="Verdana" w:hAnsi="Verdana" w:cs="Arial"/>
          <w:sz w:val="20"/>
          <w:szCs w:val="20"/>
        </w:rPr>
      </w:pPr>
      <w:r w:rsidRPr="00F81738">
        <w:rPr>
          <w:rFonts w:ascii="Verdana" w:hAnsi="Verdana" w:cs="Arial"/>
          <w:sz w:val="20"/>
          <w:szCs w:val="20"/>
        </w:rPr>
        <w:t>Concesiones.</w:t>
      </w:r>
    </w:p>
    <w:p w14:paraId="751D3C15" w14:textId="77777777" w:rsidR="005677AF" w:rsidRPr="00F81738" w:rsidRDefault="005677AF" w:rsidP="005677AF">
      <w:pPr>
        <w:pStyle w:val="Prrafodelista"/>
        <w:widowControl w:val="0"/>
        <w:numPr>
          <w:ilvl w:val="0"/>
          <w:numId w:val="36"/>
        </w:numPr>
        <w:tabs>
          <w:tab w:val="left" w:pos="1029"/>
        </w:tabs>
        <w:autoSpaceDE w:val="0"/>
        <w:autoSpaceDN w:val="0"/>
        <w:spacing w:after="0" w:line="240" w:lineRule="auto"/>
        <w:ind w:left="930" w:right="709"/>
        <w:contextualSpacing w:val="0"/>
        <w:jc w:val="both"/>
        <w:rPr>
          <w:rFonts w:ascii="Verdana" w:hAnsi="Verdana" w:cs="Arial"/>
          <w:sz w:val="20"/>
          <w:szCs w:val="20"/>
        </w:rPr>
      </w:pPr>
      <w:r w:rsidRPr="00F81738">
        <w:rPr>
          <w:rFonts w:ascii="Verdana" w:hAnsi="Verdana" w:cs="Arial"/>
          <w:sz w:val="20"/>
          <w:szCs w:val="20"/>
        </w:rPr>
        <w:t>Las demás que determine la ley”.</w:t>
      </w:r>
    </w:p>
    <w:p w14:paraId="7D96F606" w14:textId="77777777" w:rsidR="005677AF" w:rsidRDefault="005677AF" w:rsidP="005677AF">
      <w:pPr>
        <w:spacing w:after="0" w:line="278" w:lineRule="auto"/>
        <w:jc w:val="both"/>
        <w:rPr>
          <w:rFonts w:ascii="Verdana" w:eastAsia="Calibri" w:hAnsi="Verdana" w:cs="Arial"/>
        </w:rPr>
      </w:pPr>
    </w:p>
    <w:p w14:paraId="236942E3" w14:textId="77777777" w:rsidR="005677AF" w:rsidRPr="00662D26" w:rsidRDefault="005677AF" w:rsidP="005677AF">
      <w:pPr>
        <w:spacing w:after="120" w:line="278" w:lineRule="auto"/>
        <w:ind w:firstLine="708"/>
        <w:jc w:val="both"/>
        <w:rPr>
          <w:rFonts w:ascii="Verdana" w:hAnsi="Verdana"/>
        </w:rPr>
      </w:pPr>
      <w:r w:rsidRPr="00662D26">
        <w:rPr>
          <w:rFonts w:ascii="Verdana" w:eastAsia="Calibri" w:hAnsi="Verdana" w:cs="Arial"/>
        </w:rPr>
        <w:lastRenderedPageBreak/>
        <w:t xml:space="preserve">La utilización del verbo "reglamentar" evidencia que el legislador no impuso una autorización automática para toda contratación adelantada por el alcalde. </w:t>
      </w:r>
      <w:r w:rsidRPr="00662D26">
        <w:rPr>
          <w:rFonts w:ascii="Verdana" w:hAnsi="Verdana"/>
        </w:rPr>
        <w:t>Por el contrario, corresponde al concejo determinar, mediante acuerdo, los eventos en los cuales dicha autorización será exigible, atendiendo las necesidades de la administración municipal y dentro de los límites fijados por la Constitución y la ley.</w:t>
      </w:r>
    </w:p>
    <w:p w14:paraId="1837B7F0" w14:textId="77777777" w:rsidR="005677AF" w:rsidRPr="00662D26" w:rsidRDefault="005677AF" w:rsidP="005677AF">
      <w:pPr>
        <w:spacing w:after="120" w:line="276" w:lineRule="auto"/>
        <w:ind w:firstLine="709"/>
        <w:jc w:val="both"/>
        <w:rPr>
          <w:rFonts w:ascii="Verdana" w:eastAsia="Calibri" w:hAnsi="Verdana" w:cs="Arial"/>
        </w:rPr>
      </w:pPr>
      <w:r w:rsidRPr="00662D26">
        <w:rPr>
          <w:rFonts w:ascii="Verdana" w:eastAsia="Calibri" w:hAnsi="Verdana" w:cs="Arial"/>
        </w:rPr>
        <w:t>De esta manera, el acuerdo municipal no tiene como finalidad conferir al alcalde una competencia de la cual carezca, pues esta le ha sido atribuida directamente por la Constitución y la ley. Su finalidad consiste en desarrollar la facultad prevista en el numeral 3 del artículo 313 superior, delimitando aquellos casos específicos en que, por razones de control institucional o de especial relevancia administrativa, el ejecutivo deberá obtener autorización previa de la corporación.</w:t>
      </w:r>
    </w:p>
    <w:p w14:paraId="2C9831E1" w14:textId="77777777" w:rsidR="005677AF" w:rsidRPr="00662D26" w:rsidRDefault="005677AF" w:rsidP="005677AF">
      <w:pPr>
        <w:spacing w:after="120" w:line="276" w:lineRule="auto"/>
        <w:ind w:firstLine="709"/>
        <w:jc w:val="both"/>
        <w:rPr>
          <w:rFonts w:ascii="Verdana" w:eastAsia="Calibri" w:hAnsi="Verdana" w:cs="Arial"/>
        </w:rPr>
      </w:pPr>
      <w:r w:rsidRPr="00662D26">
        <w:rPr>
          <w:rFonts w:ascii="Verdana" w:eastAsia="Calibri" w:hAnsi="Verdana" w:cs="Arial"/>
        </w:rPr>
        <w:t>Lo anterior explica por qué los concejos municipales no pueden expedir acuerdos que establezcan autorizaciones generales, permanentes o tan amplias que terminen subordinando toda la actividad contractual del municipio a la voluntad de la corporación administrativa. Una interpretación de esa naturaleza vaciaría de contenido las funciones atribuidas al alcalde por el artículo 315 de la C</w:t>
      </w:r>
      <w:r>
        <w:rPr>
          <w:rFonts w:ascii="Verdana" w:eastAsia="Calibri" w:hAnsi="Verdana" w:cs="Arial"/>
        </w:rPr>
        <w:t>arta Política</w:t>
      </w:r>
      <w:r w:rsidRPr="00662D26">
        <w:rPr>
          <w:rFonts w:ascii="Verdana" w:eastAsia="Calibri" w:hAnsi="Verdana" w:cs="Arial"/>
        </w:rPr>
        <w:t xml:space="preserve"> y desconocería el modelo de distribución funcional diseñado por el Constituyente.</w:t>
      </w:r>
    </w:p>
    <w:p w14:paraId="65BE4759" w14:textId="77777777" w:rsidR="005677AF" w:rsidRPr="007C4BB0" w:rsidRDefault="005677AF" w:rsidP="005677AF">
      <w:pPr>
        <w:spacing w:after="120" w:line="276" w:lineRule="auto"/>
        <w:ind w:firstLine="709"/>
        <w:jc w:val="both"/>
        <w:rPr>
          <w:rFonts w:ascii="Verdana" w:hAnsi="Verdana" w:cs="Arial"/>
        </w:rPr>
      </w:pPr>
      <w:r w:rsidRPr="007C4BB0">
        <w:rPr>
          <w:rFonts w:ascii="Verdana" w:hAnsi="Verdana" w:cs="Arial"/>
        </w:rPr>
        <w:t xml:space="preserve">El alcance de estas atribuciones ha sido objeto de análisis y pronunciamiento por parte de la Sala de Consulta y Servicio del Consejo de Estado, en el </w:t>
      </w:r>
      <w:r>
        <w:rPr>
          <w:rFonts w:ascii="Verdana" w:hAnsi="Verdana" w:cs="Arial"/>
        </w:rPr>
        <w:t>C</w:t>
      </w:r>
      <w:r w:rsidRPr="007C4BB0">
        <w:rPr>
          <w:rFonts w:ascii="Verdana" w:hAnsi="Verdana" w:cs="Arial"/>
        </w:rPr>
        <w:t xml:space="preserve">oncepto con radicado No. 11001-03-06-000- 2014-00285-00 (2238) del 11 de marzo de 2015, en el cual se reiteró que </w:t>
      </w:r>
      <w:r>
        <w:rPr>
          <w:rFonts w:ascii="Verdana" w:hAnsi="Verdana" w:cs="Arial"/>
        </w:rPr>
        <w:t xml:space="preserve">“[…] </w:t>
      </w:r>
      <w:r w:rsidRPr="007C4BB0">
        <w:rPr>
          <w:rFonts w:ascii="Verdana" w:hAnsi="Verdana" w:cs="Arial"/>
        </w:rPr>
        <w:t>por regla general los alcaldes tienen la facultad general de suscribir contratos y dirigir la actividad contractual de los municipios sin necesidad de una autorización previa, general o periódica del concejo municipal</w:t>
      </w:r>
      <w:r>
        <w:rPr>
          <w:rFonts w:ascii="Verdana" w:hAnsi="Verdana" w:cs="Arial"/>
          <w:bCs/>
          <w:iCs/>
          <w:lang w:val="es-ES_tradnl"/>
        </w:rPr>
        <w:t>”</w:t>
      </w:r>
      <w:r w:rsidRPr="007C4BB0">
        <w:rPr>
          <w:rFonts w:ascii="Verdana" w:hAnsi="Verdana" w:cs="Arial"/>
        </w:rPr>
        <w:t>.</w:t>
      </w:r>
    </w:p>
    <w:p w14:paraId="4FC40D87" w14:textId="77777777" w:rsidR="005677AF" w:rsidRPr="007C4BB0" w:rsidRDefault="005677AF" w:rsidP="005677AF">
      <w:pPr>
        <w:pStyle w:val="Textoindependiente"/>
        <w:spacing w:after="0"/>
        <w:ind w:firstLine="708"/>
        <w:jc w:val="both"/>
        <w:rPr>
          <w:rFonts w:ascii="Verdana" w:hAnsi="Verdana"/>
        </w:rPr>
      </w:pPr>
      <w:r w:rsidRPr="007C4BB0">
        <w:rPr>
          <w:rFonts w:ascii="Verdana" w:hAnsi="Verdana"/>
        </w:rPr>
        <w:t>As</w:t>
      </w:r>
      <w:r>
        <w:rPr>
          <w:rFonts w:ascii="Verdana" w:hAnsi="Verdana"/>
        </w:rPr>
        <w:t>i</w:t>
      </w:r>
      <w:r w:rsidRPr="007C4BB0">
        <w:rPr>
          <w:rFonts w:ascii="Verdana" w:hAnsi="Verdana"/>
        </w:rPr>
        <w:t>mismo, el Consejo de Estado señaló que la autorización previa por parte del concejo municipal tiene carácter excepcional, y únicamente aplica respecto de los casos señalados expresamente en el parágrafo 4º del artículo 32 de la Ley 136 de 1994, modificado por el artículo 18 de la Ley 1551 de 2012, y en los casos adicionales que haya establecido expresamente el concejo municipal en ejercicio de la competencia otorgada por el numeral 3 del artículo 313 de la Constitución Política y el numeral 3 del artículo 32 de la Ley 136 de 1994. Sobre el particular, la Sala de Consulta y Servicio Civil manifestó lo siguiente:</w:t>
      </w:r>
    </w:p>
    <w:p w14:paraId="2F47D8F9" w14:textId="77777777" w:rsidR="005677AF" w:rsidRPr="007C4BB0" w:rsidRDefault="005677AF" w:rsidP="005677AF">
      <w:pPr>
        <w:pStyle w:val="Textoindependiente"/>
        <w:spacing w:after="0"/>
        <w:ind w:left="709" w:right="849"/>
        <w:jc w:val="both"/>
        <w:rPr>
          <w:rFonts w:ascii="Verdana" w:hAnsi="Verdana"/>
        </w:rPr>
      </w:pPr>
    </w:p>
    <w:p w14:paraId="725B95A1" w14:textId="77777777" w:rsidR="005677AF" w:rsidRPr="00F81738" w:rsidRDefault="005677AF" w:rsidP="005677AF">
      <w:pPr>
        <w:pStyle w:val="Textoindependiente"/>
        <w:spacing w:after="0" w:line="240" w:lineRule="auto"/>
        <w:ind w:left="709" w:right="709"/>
        <w:jc w:val="both"/>
        <w:rPr>
          <w:rFonts w:ascii="Verdana" w:hAnsi="Verdana"/>
          <w:sz w:val="20"/>
          <w:szCs w:val="20"/>
        </w:rPr>
      </w:pPr>
      <w:r w:rsidRPr="00F81738">
        <w:rPr>
          <w:rFonts w:ascii="Verdana" w:hAnsi="Verdana"/>
          <w:sz w:val="20"/>
          <w:szCs w:val="20"/>
        </w:rPr>
        <w:t>“Así pues, se debe reiterar que a través de la atribución constitucional del artículo 313-3 de la Constitución Política, de naturaleza netamente administrativa, el concejo municipal no puede (i) someter todos los contratos que vaya a suscribir el alcalde a su autorización previa, sino solamente aquellos que por su naturaleza, monto, o materia pueden afectar de manera importante la vida municipal; (ii) modificar el estatuto de contratación pública o sus normas reglamentarias o establecer trámites o requisitos adicionales para el respectivo contrato; o (iii) interferir en las potestades contractuales que la Constitución y la ley le asignan al alcalde como representante legal del municipio.</w:t>
      </w:r>
    </w:p>
    <w:p w14:paraId="3E884523" w14:textId="77777777" w:rsidR="005677AF" w:rsidRPr="00F81738" w:rsidRDefault="005677AF" w:rsidP="005677AF">
      <w:pPr>
        <w:pStyle w:val="Textoindependiente"/>
        <w:spacing w:after="0" w:line="240" w:lineRule="auto"/>
        <w:ind w:left="709" w:right="709"/>
        <w:jc w:val="both"/>
        <w:rPr>
          <w:rFonts w:ascii="Verdana" w:hAnsi="Verdana"/>
          <w:sz w:val="20"/>
          <w:szCs w:val="20"/>
        </w:rPr>
      </w:pPr>
      <w:r w:rsidRPr="00F81738">
        <w:rPr>
          <w:rFonts w:ascii="Verdana" w:hAnsi="Verdana"/>
          <w:sz w:val="20"/>
          <w:szCs w:val="20"/>
        </w:rPr>
        <w:t>[…]</w:t>
      </w:r>
    </w:p>
    <w:p w14:paraId="0CD12F1A" w14:textId="77777777" w:rsidR="005677AF" w:rsidRPr="00F81738" w:rsidRDefault="005677AF" w:rsidP="005677AF">
      <w:pPr>
        <w:pStyle w:val="Textoindependiente"/>
        <w:spacing w:after="0" w:line="240" w:lineRule="auto"/>
        <w:ind w:left="709" w:right="709"/>
        <w:jc w:val="both"/>
        <w:rPr>
          <w:rFonts w:ascii="Verdana" w:hAnsi="Verdana"/>
          <w:sz w:val="20"/>
          <w:szCs w:val="20"/>
        </w:rPr>
      </w:pPr>
      <w:r w:rsidRPr="00F81738">
        <w:rPr>
          <w:rFonts w:ascii="Verdana" w:hAnsi="Verdana"/>
          <w:sz w:val="20"/>
          <w:szCs w:val="20"/>
        </w:rPr>
        <w:t>De este modo, en caso de silencio de la ley o en ausencia de acuerdo que someta un determinado contrato a autorización previa del concejo municipal, habrá de entenderse que el alcalde puede celebrarlo, sin necesidad de tal autorización, con base en sus facultades constitucionales y legales en materia contractual</w:t>
      </w:r>
      <w:r w:rsidRPr="00F81738">
        <w:rPr>
          <w:rFonts w:ascii="Verdana" w:hAnsi="Verdana"/>
          <w:bCs/>
          <w:iCs/>
          <w:sz w:val="20"/>
          <w:szCs w:val="20"/>
          <w:lang w:val="es-ES_tradnl"/>
        </w:rPr>
        <w:t>”</w:t>
      </w:r>
      <w:r w:rsidRPr="00F81738">
        <w:rPr>
          <w:rFonts w:ascii="Verdana" w:hAnsi="Verdana"/>
          <w:sz w:val="20"/>
          <w:szCs w:val="20"/>
        </w:rPr>
        <w:t>.</w:t>
      </w:r>
    </w:p>
    <w:p w14:paraId="5008B4B0" w14:textId="77777777" w:rsidR="005677AF" w:rsidRPr="007C4BB0" w:rsidRDefault="005677AF" w:rsidP="005677AF">
      <w:pPr>
        <w:pStyle w:val="Textoindependiente"/>
        <w:spacing w:after="0"/>
        <w:ind w:left="100" w:right="108" w:firstLine="608"/>
        <w:jc w:val="both"/>
        <w:rPr>
          <w:rFonts w:ascii="Verdana" w:hAnsi="Verdana"/>
        </w:rPr>
      </w:pPr>
    </w:p>
    <w:p w14:paraId="79089F46" w14:textId="77777777" w:rsidR="005677AF" w:rsidRPr="00F81738" w:rsidRDefault="005677AF" w:rsidP="005677AF">
      <w:pPr>
        <w:pStyle w:val="Textoindependiente"/>
        <w:ind w:right="108" w:firstLine="708"/>
        <w:jc w:val="both"/>
        <w:rPr>
          <w:rFonts w:ascii="Verdana" w:hAnsi="Verdana"/>
        </w:rPr>
      </w:pPr>
      <w:r w:rsidRPr="007C4BB0">
        <w:rPr>
          <w:rFonts w:ascii="Verdana" w:hAnsi="Verdana"/>
        </w:rPr>
        <w:t xml:space="preserve">Esta Agencia, mediante </w:t>
      </w:r>
      <w:r>
        <w:rPr>
          <w:rFonts w:ascii="Verdana" w:hAnsi="Verdana"/>
        </w:rPr>
        <w:t>C</w:t>
      </w:r>
      <w:r w:rsidRPr="007C4BB0">
        <w:rPr>
          <w:rFonts w:ascii="Verdana" w:hAnsi="Verdana"/>
        </w:rPr>
        <w:t xml:space="preserve">oncepto 2201913000005754 del </w:t>
      </w:r>
      <w:r>
        <w:rPr>
          <w:rFonts w:ascii="Verdana" w:hAnsi="Verdana"/>
        </w:rPr>
        <w:t xml:space="preserve">4 de agosto de </w:t>
      </w:r>
      <w:r w:rsidRPr="007C4BB0">
        <w:rPr>
          <w:rFonts w:ascii="Verdana" w:hAnsi="Verdana"/>
        </w:rPr>
        <w:t xml:space="preserve">2019 compartió las precisiones efectuadas por el Consejo de Estado, en el sentido de manifestar que </w:t>
      </w:r>
      <w:r>
        <w:rPr>
          <w:rFonts w:ascii="Verdana" w:hAnsi="Verdana"/>
        </w:rPr>
        <w:t xml:space="preserve">“[…] </w:t>
      </w:r>
      <w:r w:rsidRPr="007C4BB0">
        <w:rPr>
          <w:rFonts w:ascii="Verdana" w:hAnsi="Verdana"/>
        </w:rPr>
        <w:t>según las normas y el concepto citado es posible concluir que el requisito de autorización previa por parte de corporaciones públicas municipales únicamente se predica de los contratos que expresamente identificó el legislador, como es el caso de los establecidos en el parágrafo 4 del artículo 32 de la Ley 136 de 1994, y los que por vía acuerdo municipal se haya fijado este requisito en consideración a su importancia para el ente territorial</w:t>
      </w:r>
      <w:r>
        <w:rPr>
          <w:rFonts w:ascii="Verdana" w:hAnsi="Verdana"/>
          <w:bCs/>
          <w:iCs/>
          <w:lang w:val="es-ES_tradnl"/>
        </w:rPr>
        <w:t>”</w:t>
      </w:r>
      <w:r w:rsidRPr="007C4BB0">
        <w:rPr>
          <w:rFonts w:ascii="Verdana" w:hAnsi="Verdana"/>
        </w:rPr>
        <w:t xml:space="preserve">. </w:t>
      </w:r>
    </w:p>
    <w:p w14:paraId="5AD32A61" w14:textId="77777777" w:rsidR="005677AF" w:rsidRPr="00662D26" w:rsidRDefault="005677AF" w:rsidP="005677AF">
      <w:pPr>
        <w:spacing w:after="0" w:line="276" w:lineRule="auto"/>
        <w:ind w:firstLine="709"/>
        <w:jc w:val="both"/>
        <w:rPr>
          <w:rFonts w:ascii="Verdana" w:eastAsia="Calibri" w:hAnsi="Verdana" w:cs="Arial"/>
        </w:rPr>
      </w:pPr>
      <w:r w:rsidRPr="00662D26">
        <w:rPr>
          <w:rFonts w:ascii="Verdana" w:eastAsia="Calibri" w:hAnsi="Verdana" w:cs="Arial"/>
        </w:rPr>
        <w:t>En consecuencia, la autorización del concejo constituye un mecanismo excepcional de control institucional cuya exigibilidad depende de la regulación constitucional, legal y reglamentaria aplicable en cada entidad territorial. Por ello, la determinación acerca de si un contrato específico requiere autorización previa no puede resolverse únicamente a partir del texto del artículo 313 de la Constitución, sino mediante el análisis conjunto de las normas que regulan la competencia contractual del alcalde, de los acuerdos municipales expedidos en desarrollo de dicha disposición y de las características propias del negocio jurídico cuya celebración se pretende.</w:t>
      </w:r>
    </w:p>
    <w:p w14:paraId="720D9F15" w14:textId="77777777" w:rsidR="005677AF" w:rsidRPr="00662D26" w:rsidRDefault="005677AF" w:rsidP="005677AF">
      <w:pPr>
        <w:spacing w:after="0" w:line="276" w:lineRule="auto"/>
        <w:ind w:firstLine="709"/>
        <w:jc w:val="both"/>
        <w:rPr>
          <w:rFonts w:ascii="Verdana" w:eastAsia="Calibri" w:hAnsi="Verdana" w:cs="Arial"/>
          <w:lang w:val="es-ES"/>
        </w:rPr>
      </w:pPr>
    </w:p>
    <w:p w14:paraId="0F9CCC49" w14:textId="77777777" w:rsidR="005677AF" w:rsidRPr="00662D26" w:rsidRDefault="005677AF" w:rsidP="005677AF">
      <w:pPr>
        <w:spacing w:after="120" w:line="276" w:lineRule="auto"/>
        <w:jc w:val="both"/>
        <w:rPr>
          <w:rFonts w:ascii="Verdana" w:eastAsia="Calibri" w:hAnsi="Verdana" w:cs="Arial"/>
        </w:rPr>
      </w:pPr>
      <w:r w:rsidRPr="00662D26">
        <w:rPr>
          <w:rFonts w:ascii="Verdana" w:eastAsia="Calibri" w:hAnsi="Verdana" w:cs="Arial"/>
          <w:b/>
          <w:bCs/>
          <w:lang w:val="es-ES"/>
        </w:rPr>
        <w:t>iv.</w:t>
      </w:r>
      <w:r w:rsidRPr="00662D26">
        <w:rPr>
          <w:rFonts w:ascii="Verdana" w:eastAsia="Calibri" w:hAnsi="Verdana" w:cs="Arial"/>
          <w:lang w:val="es-ES"/>
        </w:rPr>
        <w:t xml:space="preserve"> </w:t>
      </w:r>
      <w:r w:rsidRPr="00662D26">
        <w:rPr>
          <w:rFonts w:ascii="Verdana" w:eastAsia="Calibri" w:hAnsi="Verdana" w:cs="Arial"/>
        </w:rPr>
        <w:t xml:space="preserve">Precisado el alcance de las competencias constitucionales del alcalde y de los concejos municipales en materia contractual, corresponde </w:t>
      </w:r>
      <w:r>
        <w:rPr>
          <w:rFonts w:ascii="Verdana" w:eastAsia="Calibri" w:hAnsi="Verdana" w:cs="Arial"/>
        </w:rPr>
        <w:t xml:space="preserve">examinar </w:t>
      </w:r>
      <w:r w:rsidRPr="00662D26">
        <w:rPr>
          <w:rFonts w:ascii="Verdana" w:eastAsia="Calibri" w:hAnsi="Verdana" w:cs="Arial"/>
        </w:rPr>
        <w:t xml:space="preserve">si la naturaleza jurídica del negocio objeto de consulta —esto es, un contrato de </w:t>
      </w:r>
      <w:r w:rsidRPr="00662D26">
        <w:rPr>
          <w:rFonts w:ascii="Verdana" w:eastAsia="Calibri" w:hAnsi="Verdana" w:cs="Arial"/>
        </w:rPr>
        <w:lastRenderedPageBreak/>
        <w:t>donación de bienes muebles— modifica el régimen general de competencias para la celebración de contratos o impone la obtención de autorizaciones adicionales distintas de las previstas en la Constitución y la ley.</w:t>
      </w:r>
    </w:p>
    <w:p w14:paraId="0D55D67A" w14:textId="77777777" w:rsidR="005677AF" w:rsidRPr="00662D26" w:rsidRDefault="005677AF" w:rsidP="005677AF">
      <w:pPr>
        <w:spacing w:after="120" w:line="276" w:lineRule="auto"/>
        <w:ind w:firstLine="709"/>
        <w:jc w:val="both"/>
        <w:rPr>
          <w:rFonts w:ascii="Verdana" w:eastAsia="Calibri" w:hAnsi="Verdana" w:cs="Arial"/>
        </w:rPr>
      </w:pPr>
      <w:r w:rsidRPr="00662D26">
        <w:rPr>
          <w:rFonts w:ascii="Verdana" w:eastAsia="Calibri" w:hAnsi="Verdana" w:cs="Arial"/>
        </w:rPr>
        <w:t xml:space="preserve">Sobre este aspecto, resulta pertinente señalar que el </w:t>
      </w:r>
      <w:r>
        <w:rPr>
          <w:rFonts w:ascii="Verdana" w:eastAsia="Calibri" w:hAnsi="Verdana" w:cs="Arial"/>
        </w:rPr>
        <w:t>EGCAP</w:t>
      </w:r>
      <w:r w:rsidRPr="00662D26">
        <w:rPr>
          <w:rFonts w:ascii="Verdana" w:eastAsia="Calibri" w:hAnsi="Verdana" w:cs="Arial"/>
        </w:rPr>
        <w:t xml:space="preserve"> no contiene un catálogo taxativo de los contratos que pueden celebrar las entidades estatales. Por el contrario, el legislador adoptó un modelo de contratación caracterizado por la amplitud de la autonomía negocial de las entidades públicas, permitiéndoles acudir tanto a los contratos regulados por el derecho privado como a aquellos previstos en disposiciones especiales, siempre que ello resulte compatible con la actividad administrativa y con los fines que justifican el ejercicio de la función contractual.</w:t>
      </w:r>
    </w:p>
    <w:p w14:paraId="3111C483" w14:textId="77777777" w:rsidR="005677AF" w:rsidRPr="00662D26" w:rsidRDefault="005677AF" w:rsidP="005677AF">
      <w:pPr>
        <w:spacing w:after="120" w:line="276" w:lineRule="auto"/>
        <w:ind w:firstLine="709"/>
        <w:jc w:val="both"/>
        <w:rPr>
          <w:rFonts w:ascii="Verdana" w:eastAsia="Calibri" w:hAnsi="Verdana" w:cs="Arial"/>
        </w:rPr>
      </w:pPr>
      <w:r w:rsidRPr="00662D26">
        <w:rPr>
          <w:rFonts w:ascii="Verdana" w:eastAsia="Calibri" w:hAnsi="Verdana" w:cs="Arial"/>
        </w:rPr>
        <w:t xml:space="preserve">En este sentido, el artículo 13 de la Ley 80 de 1993 dispone que los contratos celebrados por las entidades sometidas al </w:t>
      </w:r>
      <w:r>
        <w:rPr>
          <w:rFonts w:ascii="Verdana" w:eastAsia="Calibri" w:hAnsi="Verdana" w:cs="Arial"/>
        </w:rPr>
        <w:t xml:space="preserve">EGCAP </w:t>
      </w:r>
      <w:r w:rsidRPr="00662D26">
        <w:rPr>
          <w:rFonts w:ascii="Verdana" w:eastAsia="Calibri" w:hAnsi="Verdana" w:cs="Arial"/>
        </w:rPr>
        <w:t xml:space="preserve">se regirán por las disposiciones civiles y comerciales pertinentes, salvo en las materias especialmente reguladas por dicha ley. A su vez, el inciso primero del artículo 32 ibidem establece que son contratos estatales todos los actos jurídicos generadores de obligaciones que celebren las entidades estatales, ya se encuentren previstos en el derecho privado, en disposiciones especiales o deriven del ejercicio de la autonomía de la voluntad. Finalmente, el artículo 40 del mismo </w:t>
      </w:r>
      <w:r>
        <w:rPr>
          <w:rFonts w:ascii="Verdana" w:eastAsia="Calibri" w:hAnsi="Verdana" w:cs="Arial"/>
        </w:rPr>
        <w:t>E</w:t>
      </w:r>
      <w:r w:rsidRPr="00662D26">
        <w:rPr>
          <w:rFonts w:ascii="Verdana" w:eastAsia="Calibri" w:hAnsi="Verdana" w:cs="Arial"/>
        </w:rPr>
        <w:t xml:space="preserve">statuto prevé que las estipulaciones contractuales serán aquellas que, conforme con las normas civiles, comerciales y las disposiciones del Estatuto, correspondan a la esencia y naturaleza del respectivo negocio jurídico. </w:t>
      </w:r>
    </w:p>
    <w:p w14:paraId="11ACA64A" w14:textId="77777777" w:rsidR="005677AF" w:rsidRPr="00662D26" w:rsidRDefault="005677AF" w:rsidP="005677AF">
      <w:pPr>
        <w:spacing w:after="0" w:line="276" w:lineRule="auto"/>
        <w:ind w:firstLine="709"/>
        <w:jc w:val="both"/>
        <w:rPr>
          <w:rFonts w:ascii="Verdana" w:eastAsia="Calibri" w:hAnsi="Verdana" w:cs="Arial"/>
        </w:rPr>
      </w:pPr>
      <w:r w:rsidRPr="00662D26">
        <w:rPr>
          <w:rFonts w:ascii="Verdana" w:eastAsia="Calibri" w:hAnsi="Verdana" w:cs="Arial"/>
        </w:rPr>
        <w:t>De la interpretación sistemática de estas disposiciones es posible concluir que las entidades estatales se encuentran habilitadas para celebrar no solamente los contratos expresamente regulados por la Ley 80 de 1993, sino también aquellos propios del derecho privado y de la legislación especial, en la medida en que su utilización constituya un instrumento adecuado para el cumplimiento de los fines estatales y no contraríe las disposiciones imperativas que gobiernan la contratación pública. Esta conclusión encuentra fundamento en el principio de autonomía de la voluntad, el cual, si bien adquiere particulares en el ámbito del derecho público, continúa siendo una fuente legítima para la estructuración de las relaciones contractuales de la Administración cuando el legislador no ha previsto un régimen especial que excluya su aplicación.</w:t>
      </w:r>
    </w:p>
    <w:p w14:paraId="2774306A" w14:textId="77777777" w:rsidR="005677AF" w:rsidRPr="00662D26" w:rsidRDefault="005677AF" w:rsidP="005677AF">
      <w:pPr>
        <w:spacing w:after="0" w:line="276" w:lineRule="auto"/>
        <w:ind w:firstLine="709"/>
        <w:jc w:val="both"/>
        <w:rPr>
          <w:rFonts w:ascii="Verdana" w:eastAsia="Calibri" w:hAnsi="Verdana" w:cs="Arial"/>
          <w:lang w:val="es-ES"/>
        </w:rPr>
      </w:pPr>
    </w:p>
    <w:p w14:paraId="2F720995" w14:textId="77777777" w:rsidR="005677AF" w:rsidRPr="00662D26" w:rsidRDefault="005677AF" w:rsidP="005677AF">
      <w:pPr>
        <w:spacing w:after="120" w:line="276" w:lineRule="auto"/>
        <w:jc w:val="both"/>
        <w:rPr>
          <w:rFonts w:ascii="Verdana" w:eastAsia="Calibri" w:hAnsi="Verdana" w:cs="Arial"/>
        </w:rPr>
      </w:pPr>
      <w:r w:rsidRPr="00662D26">
        <w:rPr>
          <w:rFonts w:ascii="Verdana" w:eastAsia="Calibri" w:hAnsi="Verdana" w:cs="Arial"/>
          <w:b/>
          <w:bCs/>
          <w:lang w:val="es-ES"/>
        </w:rPr>
        <w:lastRenderedPageBreak/>
        <w:t>v.</w:t>
      </w:r>
      <w:r w:rsidRPr="00662D26">
        <w:rPr>
          <w:rFonts w:ascii="Verdana" w:eastAsia="Calibri" w:hAnsi="Verdana" w:cs="Arial"/>
          <w:lang w:val="es-ES"/>
        </w:rPr>
        <w:t xml:space="preserve"> </w:t>
      </w:r>
      <w:r w:rsidRPr="00662D26">
        <w:rPr>
          <w:rFonts w:ascii="Verdana" w:eastAsia="Calibri" w:hAnsi="Verdana" w:cs="Arial"/>
        </w:rPr>
        <w:t>En este contexto se ubica el contrato de donación. Si bien esta figura encuentra su regulación principal en el Código Civil</w:t>
      </w:r>
      <w:r>
        <w:rPr>
          <w:rStyle w:val="Refdenotaalpie"/>
          <w:rFonts w:ascii="Verdana" w:eastAsia="Calibri" w:hAnsi="Verdana" w:cs="Arial"/>
        </w:rPr>
        <w:footnoteReference w:id="5"/>
      </w:r>
      <w:r w:rsidRPr="00662D26">
        <w:rPr>
          <w:rFonts w:ascii="Verdana" w:eastAsia="Calibri" w:hAnsi="Verdana" w:cs="Arial"/>
        </w:rPr>
        <w:t>, ello no significa que sea ajena al régimen de contratación estatal. Antes bien, la remisión efectuada por los artículos 13 y 32 de la Ley 80 de 1993 permite concluir que las entidades públicas pueden acudir a esta institución del derecho privado cuando ello resulte jurídicamente procedente y contribuya al cumplimiento de los fines constitucionales y legales que orientan su actuación.</w:t>
      </w:r>
    </w:p>
    <w:p w14:paraId="44E66003" w14:textId="77777777" w:rsidR="005677AF" w:rsidRPr="00662D26" w:rsidRDefault="005677AF" w:rsidP="005677AF">
      <w:pPr>
        <w:spacing w:after="120" w:line="276" w:lineRule="auto"/>
        <w:ind w:firstLine="709"/>
        <w:jc w:val="both"/>
        <w:rPr>
          <w:rFonts w:ascii="Verdana" w:eastAsia="Calibri" w:hAnsi="Verdana" w:cs="Arial"/>
        </w:rPr>
      </w:pPr>
      <w:r w:rsidRPr="00662D26">
        <w:rPr>
          <w:rFonts w:ascii="Verdana" w:eastAsia="Calibri" w:hAnsi="Verdana" w:cs="Arial"/>
        </w:rPr>
        <w:t xml:space="preserve">Precisamente sobre la naturaleza jurídica de la donación se pronunció la Sección Tercera del Consejo de Estado, en sentencia del 10 de febrero de 2016 (radicación </w:t>
      </w:r>
      <w:r w:rsidRPr="00662D26">
        <w:rPr>
          <w:rFonts w:ascii="Verdana" w:hAnsi="Verdana"/>
        </w:rPr>
        <w:t xml:space="preserve">15001-23-31-000-2003-00628-01 </w:t>
      </w:r>
      <w:r w:rsidRPr="00662D26">
        <w:rPr>
          <w:rFonts w:ascii="Verdana" w:eastAsia="Calibri" w:hAnsi="Verdana" w:cs="Arial"/>
        </w:rPr>
        <w:t xml:space="preserve">providencia ampliamente desarrollada por esta Agencia en el Concepto C-825 de 2025. En dicha decisión, el Alto Tribunal advirtió que la regulación de la donación en el Código Civil presenta algunas particularidades, pues el legislador la ubicó dentro del Libro III, relativo a la sucesión por causa de muerte y a las donaciones entre vivos, y no en el Libro IV, correspondiente a las obligaciones y los contratos. Asimismo, señaló que el artículo 1443 del Código Civil la define como un acto por el cual una persona transfiere gratuita e irrevocablemente una parte de sus bienes a otra que la acepta; sin embargo, desde el punto de vista jurídico, esa definición resulta insuficiente, dado que la donación no constituye un simple acto unilateral, sino un verdadero contrato que requiere el concurso de la voluntad tanto del donante como del donatario para su perfeccionamiento. </w:t>
      </w:r>
    </w:p>
    <w:p w14:paraId="54FE267C" w14:textId="77777777" w:rsidR="005677AF" w:rsidRPr="00662D26" w:rsidRDefault="005677AF" w:rsidP="005677AF">
      <w:pPr>
        <w:spacing w:after="120" w:line="276" w:lineRule="auto"/>
        <w:ind w:firstLine="709"/>
        <w:jc w:val="both"/>
        <w:rPr>
          <w:rFonts w:ascii="Verdana" w:eastAsia="Calibri" w:hAnsi="Verdana" w:cs="Arial"/>
          <w:lang w:val="es-ES"/>
        </w:rPr>
      </w:pPr>
      <w:r w:rsidRPr="00662D26">
        <w:rPr>
          <w:rFonts w:ascii="Verdana" w:eastAsia="Calibri" w:hAnsi="Verdana" w:cs="Arial"/>
        </w:rPr>
        <w:t>En esa misma providencia, el Consejo de Estado precisó que el contrato de donación constituye el título traslaticio del dominio y que, por regla general, se caracteriza por ser un contrato unilateral, gratuito e irrevocable, en el cual el donante asume la obligación de transferir gratuitamente parte de su patrimonio, mientras que el donatario acepta el beneficio económico derivado de dicha liberalidad. Estas características no desvirtúan su naturaleza contractual, pues el elemento determinante para su configuración es precisamente el acuerdo de voluntades entre las partes, sin el cual la transferencia patrimonial carecería de eficacia jurídica.</w:t>
      </w:r>
    </w:p>
    <w:p w14:paraId="35174341" w14:textId="77777777" w:rsidR="005677AF" w:rsidRPr="00662D26" w:rsidRDefault="005677AF" w:rsidP="005677AF">
      <w:pPr>
        <w:spacing w:after="120" w:line="276" w:lineRule="auto"/>
        <w:ind w:firstLine="709"/>
        <w:jc w:val="both"/>
        <w:rPr>
          <w:rFonts w:ascii="Verdana" w:eastAsia="Calibri" w:hAnsi="Verdana" w:cs="Arial"/>
          <w:lang w:val="es-ES"/>
        </w:rPr>
      </w:pPr>
      <w:r w:rsidRPr="00662D26">
        <w:rPr>
          <w:rFonts w:ascii="Verdana" w:eastAsia="Calibri" w:hAnsi="Verdana" w:cs="Arial"/>
        </w:rPr>
        <w:t xml:space="preserve">La importancia de este desarrollo jurisprudencial radica en que permite afirmar que la donación constituye una institución plenamente compatible con </w:t>
      </w:r>
      <w:r w:rsidRPr="00662D26">
        <w:rPr>
          <w:rFonts w:ascii="Verdana" w:eastAsia="Calibri" w:hAnsi="Verdana" w:cs="Arial"/>
        </w:rPr>
        <w:lastRenderedPageBreak/>
        <w:t xml:space="preserve">el </w:t>
      </w:r>
      <w:r>
        <w:rPr>
          <w:rFonts w:ascii="Verdana" w:eastAsia="Calibri" w:hAnsi="Verdana" w:cs="Arial"/>
        </w:rPr>
        <w:t>EGCAP</w:t>
      </w:r>
      <w:r w:rsidRPr="00662D26">
        <w:rPr>
          <w:rFonts w:ascii="Verdana" w:eastAsia="Calibri" w:hAnsi="Verdana" w:cs="Arial"/>
        </w:rPr>
        <w:t>. En otras palabras, el hecho de que la Ley 80 de 1993 no regule expresamente este contrato no implica que las entidades estatales carezcan de competencia para celebrarlo. Por el contrario, la remisión que el Estatuto efectúa al derecho privado permite integrar figuras contractuales como la donación al régimen de contratación pública, siempre que su utilización responda al cumplimiento de los fines estatales y observe las reglas propias del derecho público.</w:t>
      </w:r>
    </w:p>
    <w:p w14:paraId="587BF725" w14:textId="77777777" w:rsidR="005677AF" w:rsidRPr="00662D26" w:rsidRDefault="005677AF" w:rsidP="005677AF">
      <w:pPr>
        <w:spacing w:after="120" w:line="276" w:lineRule="auto"/>
        <w:ind w:firstLine="709"/>
        <w:jc w:val="both"/>
        <w:rPr>
          <w:rFonts w:ascii="Verdana" w:eastAsia="Calibri" w:hAnsi="Verdana" w:cs="Arial"/>
          <w:color w:val="000000" w:themeColor="text1"/>
        </w:rPr>
      </w:pPr>
      <w:r w:rsidRPr="00662D26">
        <w:rPr>
          <w:rFonts w:ascii="Verdana" w:eastAsia="Calibri" w:hAnsi="Verdana" w:cs="Arial"/>
          <w:color w:val="000000" w:themeColor="text1"/>
        </w:rPr>
        <w:t xml:space="preserve">Sobre este particular, esta Agencia ha precisado que la posibilidad de acudir al contrato de donación no constituye una excepción al </w:t>
      </w:r>
      <w:r>
        <w:rPr>
          <w:rFonts w:ascii="Verdana" w:eastAsia="Calibri" w:hAnsi="Verdana" w:cs="Arial"/>
          <w:color w:val="000000" w:themeColor="text1"/>
        </w:rPr>
        <w:t>EGCAP</w:t>
      </w:r>
      <w:r w:rsidRPr="00662D26">
        <w:rPr>
          <w:rFonts w:ascii="Verdana" w:eastAsia="Calibri" w:hAnsi="Verdana" w:cs="Arial"/>
          <w:color w:val="000000" w:themeColor="text1"/>
        </w:rPr>
        <w:t xml:space="preserve">, sino una consecuencia natural del modelo contractual adoptado por la Ley 80 de 1993, el cual reconoce que la actividad contractual de las entidades estatales puede desarrollarse mediante negocios jurídicos previstos en el derecho civil y comercial, sin perjuicio de la aplicación de los principios y normas especiales que rigen la contratación pública. Así, la donación se incorpora al ámbito de la contratación estatal no por la existencia de una autorización legal específica, sino porque el propio </w:t>
      </w:r>
      <w:r>
        <w:rPr>
          <w:rFonts w:ascii="Verdana" w:eastAsia="Calibri" w:hAnsi="Verdana" w:cs="Arial"/>
          <w:color w:val="000000" w:themeColor="text1"/>
        </w:rPr>
        <w:t>EGCAP</w:t>
      </w:r>
      <w:r w:rsidRPr="00662D26">
        <w:rPr>
          <w:rFonts w:ascii="Verdana" w:eastAsia="Calibri" w:hAnsi="Verdana" w:cs="Arial"/>
          <w:color w:val="000000" w:themeColor="text1"/>
        </w:rPr>
        <w:t xml:space="preserve"> habilita a las entidades para celebrar contratos derivados del derecho privado cuando estos resulten compatibles con la satisfacción del interés general. </w:t>
      </w:r>
    </w:p>
    <w:p w14:paraId="26C51AD0" w14:textId="77777777" w:rsidR="005677AF" w:rsidRPr="00662D26" w:rsidRDefault="005677AF" w:rsidP="005677AF">
      <w:pPr>
        <w:spacing w:after="0" w:line="276" w:lineRule="auto"/>
        <w:ind w:firstLine="709"/>
        <w:jc w:val="both"/>
        <w:rPr>
          <w:rFonts w:ascii="Verdana" w:eastAsia="Calibri" w:hAnsi="Verdana" w:cs="Arial"/>
          <w:color w:val="000000" w:themeColor="text1"/>
        </w:rPr>
      </w:pPr>
      <w:r w:rsidRPr="00662D26">
        <w:rPr>
          <w:rFonts w:ascii="Verdana" w:eastAsia="Calibri" w:hAnsi="Verdana" w:cs="Arial"/>
          <w:color w:val="000000" w:themeColor="text1"/>
        </w:rPr>
        <w:t xml:space="preserve">No obstante, la facultad de celebrar contratos de donación no puede entenderse como una potestad absoluta. Como ocurre respecto de cualquier otra </w:t>
      </w:r>
      <w:r>
        <w:rPr>
          <w:rFonts w:ascii="Verdana" w:eastAsia="Calibri" w:hAnsi="Verdana" w:cs="Arial"/>
          <w:color w:val="000000" w:themeColor="text1"/>
        </w:rPr>
        <w:t>tipología</w:t>
      </w:r>
      <w:r w:rsidRPr="00662D26">
        <w:rPr>
          <w:rFonts w:ascii="Verdana" w:eastAsia="Calibri" w:hAnsi="Verdana" w:cs="Arial"/>
          <w:color w:val="000000" w:themeColor="text1"/>
        </w:rPr>
        <w:t xml:space="preserve"> contractual, la Administración únicamente puede acudir a esta figura cuando su utilización resulte necesaria para el cumplimiento de los fines estatales previstos en el artículo 3 de la Ley 80 de 1993. En consecuencia, la decisión de transferir gratuitamente un bien del patrimonio público exige demostrar que el negocio jurídico constituye un instrumento idóneo para satisfacer una necesidad pública, optimizar la gestión administrativa o facilitar el cumplimiento de las funciones legalmente atribuidas a las entidades involucradas, de manera que la liberalidad propia del contrato de donación encuentre justificación en la realización del interés general y no en la mera voluntad de disponer gratuitamente de bienes públicos.</w:t>
      </w:r>
    </w:p>
    <w:p w14:paraId="72A26544" w14:textId="77777777" w:rsidR="005677AF" w:rsidRPr="00662D26" w:rsidRDefault="005677AF" w:rsidP="005677AF">
      <w:pPr>
        <w:spacing w:after="0" w:line="276" w:lineRule="auto"/>
        <w:ind w:firstLine="709"/>
        <w:jc w:val="both"/>
        <w:rPr>
          <w:rFonts w:ascii="Verdana" w:eastAsia="Calibri" w:hAnsi="Verdana" w:cs="Arial"/>
          <w:color w:val="000000" w:themeColor="text1"/>
        </w:rPr>
      </w:pPr>
    </w:p>
    <w:p w14:paraId="5B13DB63" w14:textId="77777777" w:rsidR="005677AF" w:rsidRPr="00662D26" w:rsidRDefault="005677AF" w:rsidP="005677AF">
      <w:pPr>
        <w:spacing w:after="120" w:line="276" w:lineRule="auto"/>
        <w:jc w:val="both"/>
        <w:rPr>
          <w:rFonts w:ascii="Verdana" w:eastAsia="Calibri" w:hAnsi="Verdana" w:cs="Arial"/>
          <w:color w:val="000000" w:themeColor="text1"/>
        </w:rPr>
      </w:pPr>
      <w:r w:rsidRPr="00662D26">
        <w:rPr>
          <w:rFonts w:ascii="Verdana" w:eastAsia="Calibri" w:hAnsi="Verdana" w:cs="Arial"/>
          <w:b/>
          <w:bCs/>
          <w:color w:val="000000" w:themeColor="text1"/>
        </w:rPr>
        <w:t xml:space="preserve">vi. </w:t>
      </w:r>
      <w:r w:rsidRPr="00662D26">
        <w:rPr>
          <w:rFonts w:ascii="Verdana" w:eastAsia="Calibri" w:hAnsi="Verdana" w:cs="Arial"/>
          <w:color w:val="000000" w:themeColor="text1"/>
        </w:rPr>
        <w:t xml:space="preserve">Una vez establecido que la donación constituye un contrato que puede ser celebrado por las entidades estatales en virtud de la remisión efectuada por el </w:t>
      </w:r>
      <w:r>
        <w:rPr>
          <w:rFonts w:ascii="Verdana" w:eastAsia="Calibri" w:hAnsi="Verdana" w:cs="Arial"/>
          <w:color w:val="000000" w:themeColor="text1"/>
        </w:rPr>
        <w:t>EGCAP</w:t>
      </w:r>
      <w:r w:rsidRPr="00662D26">
        <w:rPr>
          <w:rFonts w:ascii="Verdana" w:eastAsia="Calibri" w:hAnsi="Verdana" w:cs="Arial"/>
          <w:color w:val="000000" w:themeColor="text1"/>
        </w:rPr>
        <w:t xml:space="preserve"> al derecho privado, resulta necesario analizar los límites constitucionales y legales que condicionan su procedencia. Ello obedece a que la posibilidad jurídica de celebrar un contrato de donación no depende únicamente de la </w:t>
      </w:r>
      <w:r w:rsidRPr="00662D26">
        <w:rPr>
          <w:rFonts w:ascii="Verdana" w:eastAsia="Calibri" w:hAnsi="Verdana" w:cs="Arial"/>
          <w:color w:val="000000" w:themeColor="text1"/>
        </w:rPr>
        <w:lastRenderedPageBreak/>
        <w:t xml:space="preserve">existencia de una habilitación contractual, sino también de la naturaleza de los bienes objeto del negocio y de las restricciones que el Constituyente </w:t>
      </w:r>
      <w:r>
        <w:rPr>
          <w:rFonts w:ascii="Verdana" w:eastAsia="Calibri" w:hAnsi="Verdana" w:cs="Arial"/>
          <w:color w:val="000000" w:themeColor="text1"/>
        </w:rPr>
        <w:t xml:space="preserve">y el legislador </w:t>
      </w:r>
      <w:r w:rsidRPr="00662D26">
        <w:rPr>
          <w:rFonts w:ascii="Verdana" w:eastAsia="Calibri" w:hAnsi="Verdana" w:cs="Arial"/>
          <w:color w:val="000000" w:themeColor="text1"/>
        </w:rPr>
        <w:t>impuso respecto de la disposición gratuita del patrimonio público.</w:t>
      </w:r>
    </w:p>
    <w:p w14:paraId="23D43E35" w14:textId="77777777" w:rsidR="005677AF" w:rsidRPr="00662D26" w:rsidRDefault="005677AF" w:rsidP="005677AF">
      <w:pPr>
        <w:spacing w:after="120" w:line="276" w:lineRule="auto"/>
        <w:ind w:firstLine="709"/>
        <w:jc w:val="both"/>
        <w:rPr>
          <w:rFonts w:ascii="Verdana" w:eastAsia="Calibri" w:hAnsi="Verdana" w:cs="Arial"/>
          <w:color w:val="000000" w:themeColor="text1"/>
        </w:rPr>
      </w:pPr>
      <w:r w:rsidRPr="00662D26">
        <w:rPr>
          <w:rFonts w:ascii="Verdana" w:eastAsia="Calibri" w:hAnsi="Verdana" w:cs="Arial"/>
          <w:color w:val="000000" w:themeColor="text1"/>
        </w:rPr>
        <w:t>En efecto, a diferencia de los particulares, las entidades estatales administran bienes y recursos que se encuentran afectados al cumplimiento de fines públicos. En consecuencia, toda decisión que implique la enajenación, transferencia o disposición de dichos bienes debe responder al interés general y observar estrictamente los principios de legalidad, moralidad, eficacia, economía, responsabilidad y defensa del patrimonio público que orientan la función administrativa.</w:t>
      </w:r>
    </w:p>
    <w:p w14:paraId="2063378B" w14:textId="77777777" w:rsidR="005677AF" w:rsidRPr="00662D26" w:rsidRDefault="005677AF" w:rsidP="005677AF">
      <w:pPr>
        <w:spacing w:after="120" w:line="276" w:lineRule="auto"/>
        <w:ind w:firstLine="709"/>
        <w:jc w:val="both"/>
        <w:rPr>
          <w:rFonts w:ascii="Verdana" w:eastAsia="Calibri" w:hAnsi="Verdana" w:cs="Arial"/>
          <w:color w:val="000000" w:themeColor="text1"/>
        </w:rPr>
      </w:pPr>
      <w:r w:rsidRPr="00662D26">
        <w:rPr>
          <w:rFonts w:ascii="Verdana" w:eastAsia="Calibri" w:hAnsi="Verdana" w:cs="Arial"/>
          <w:color w:val="000000" w:themeColor="text1"/>
        </w:rPr>
        <w:t>Desde esta perspectiva, el principal límite constitucional para la celebración de contratos de donación se encuentra previsto en el artículo 355 de la Constitución Política, disposición conforme a la cual ninguna de las ramas u órganos del poder público podrá decretar auxilios o donaciones en favor de personas naturales o jurídicas de derecho privado. La finalidad de esta prohibición consiste en impedir que el patrimonio público sea destinado a favorecer intereses particulares sin una justificación constitucionalmente admisible, proscribiendo prácticas que históricamente dieron lugar a la asignación discrecional de recursos públicos mediante subvenciones o liberalidades carentes de fundamento en el interés general.</w:t>
      </w:r>
    </w:p>
    <w:p w14:paraId="1956A37E" w14:textId="77777777" w:rsidR="005677AF" w:rsidRPr="00662D26" w:rsidRDefault="005677AF" w:rsidP="005677AF">
      <w:pPr>
        <w:spacing w:after="120" w:line="276" w:lineRule="auto"/>
        <w:ind w:firstLine="709"/>
        <w:jc w:val="both"/>
        <w:rPr>
          <w:rFonts w:ascii="Verdana" w:eastAsia="Calibri" w:hAnsi="Verdana" w:cs="Arial"/>
          <w:color w:val="000000" w:themeColor="text1"/>
        </w:rPr>
      </w:pPr>
      <w:r w:rsidRPr="00662D26">
        <w:rPr>
          <w:rFonts w:ascii="Verdana" w:eastAsia="Calibri" w:hAnsi="Verdana" w:cs="Arial"/>
          <w:color w:val="000000" w:themeColor="text1"/>
        </w:rPr>
        <w:t>No obstante, la interpretación de esta disposición no puede efectuarse de manera aislada ni conducir a concluir que toda donación realizada por una entidad pública se encuentra prohibida por el ordenamiento constitucional. Debido a que el artículo 355</w:t>
      </w:r>
      <w:r>
        <w:rPr>
          <w:rStyle w:val="Refdenotaalpie"/>
          <w:rFonts w:ascii="Verdana" w:eastAsia="Calibri" w:hAnsi="Verdana" w:cs="Arial"/>
          <w:bCs/>
          <w:color w:val="000000" w:themeColor="text1"/>
        </w:rPr>
        <w:footnoteReference w:id="6"/>
      </w:r>
      <w:r w:rsidRPr="00662D26">
        <w:rPr>
          <w:rFonts w:ascii="Verdana" w:eastAsia="Calibri" w:hAnsi="Verdana" w:cs="Arial"/>
          <w:color w:val="000000" w:themeColor="text1"/>
        </w:rPr>
        <w:t xml:space="preserve"> superior proscribe únicamente las donaciones o auxilios dirigidos a personas naturales o jurídicas de derecho privado, mas no aquellas operaciones patrimoniales que se realizan entre entidades públicas para facilitar el cumplimiento de sus respectivas competencias constitucionales y legales.</w:t>
      </w:r>
    </w:p>
    <w:p w14:paraId="2BCAE401" w14:textId="77777777" w:rsidR="005677AF" w:rsidRPr="00662D26" w:rsidRDefault="005677AF" w:rsidP="005677AF">
      <w:pPr>
        <w:spacing w:after="120" w:line="276" w:lineRule="auto"/>
        <w:ind w:firstLine="709"/>
        <w:jc w:val="both"/>
        <w:rPr>
          <w:rFonts w:ascii="Verdana" w:eastAsia="Calibri" w:hAnsi="Verdana" w:cs="Arial"/>
          <w:color w:val="000000" w:themeColor="text1"/>
        </w:rPr>
      </w:pPr>
      <w:r w:rsidRPr="00662D26">
        <w:rPr>
          <w:rFonts w:ascii="Verdana" w:eastAsia="Calibri" w:hAnsi="Verdana" w:cs="Arial"/>
          <w:color w:val="000000" w:themeColor="text1"/>
        </w:rPr>
        <w:lastRenderedPageBreak/>
        <w:t>En este sentido, es importante recordar que la finalidad de la prohibición constitucional no consiste en impedir toda transferencia gratuita de bienes estatales, sino en evitar que el patrimonio público se destine a beneficiar intereses particulares por fuera de los mecanismos constitucionalmente autorizados. De ahí que las donaciones efectuadas entre entidades estatales no se encuentren comprendidas, en principio, dentro del ámbito de prohibición del artículo 355, siempre que la operación responda a una finalidad pública legítima y se encuentre debidamente justificada desde la perspectiva del interés general.</w:t>
      </w:r>
    </w:p>
    <w:p w14:paraId="2199BBED" w14:textId="77777777" w:rsidR="005677AF" w:rsidRPr="00662D26" w:rsidRDefault="005677AF" w:rsidP="005677AF">
      <w:pPr>
        <w:spacing w:after="120" w:line="276" w:lineRule="auto"/>
        <w:ind w:firstLine="709"/>
        <w:jc w:val="both"/>
        <w:rPr>
          <w:rFonts w:ascii="Verdana" w:eastAsia="Calibri" w:hAnsi="Verdana" w:cs="Arial"/>
          <w:color w:val="000000" w:themeColor="text1"/>
        </w:rPr>
      </w:pPr>
      <w:r w:rsidRPr="00662D26">
        <w:rPr>
          <w:rFonts w:ascii="Verdana" w:eastAsia="Calibri" w:hAnsi="Verdana" w:cs="Arial"/>
          <w:color w:val="000000" w:themeColor="text1"/>
        </w:rPr>
        <w:t>La anterior interpretación resulta coherente con la naturaleza misma de las entidades públicas y con los fines que persigue la contratación estatal. En efecto, cuando una entidad transfiere gratuitamente bienes muebles a otra entidad pública para que esta pueda desarrollar sus competencias, fortalecer la prestación de un servicio público o ejecutar una política pública, la operación no persigue el enriquecimiento de un particular, sino la optimización del patrimonio estatal en función del cumplimiento de los fines esenciales del Estado. En tales eventos, el desplazamiento patrimonial permanece dentro de la esfera pública y encuentra justificación en la necesidad de asegurar una gestión administrativa eficiente y coordinada.</w:t>
      </w:r>
    </w:p>
    <w:p w14:paraId="21CB4A77" w14:textId="77777777" w:rsidR="005677AF" w:rsidRPr="00662D26" w:rsidRDefault="005677AF" w:rsidP="005677AF">
      <w:pPr>
        <w:spacing w:after="120" w:line="276" w:lineRule="auto"/>
        <w:ind w:firstLine="709"/>
        <w:jc w:val="both"/>
        <w:rPr>
          <w:rFonts w:ascii="Verdana" w:eastAsia="Calibri" w:hAnsi="Verdana" w:cs="Arial"/>
          <w:color w:val="000000" w:themeColor="text1"/>
        </w:rPr>
      </w:pPr>
      <w:r w:rsidRPr="00662D26">
        <w:rPr>
          <w:rFonts w:ascii="Verdana" w:eastAsia="Calibri" w:hAnsi="Verdana" w:cs="Arial"/>
          <w:color w:val="000000" w:themeColor="text1"/>
        </w:rPr>
        <w:t>Ahora bien, la procedencia de la donación tampoco depende exclusivamente de la calidad del donatario. La entidad estatal deberá verificar previamente que el bien objeto de la donación sea jurídicamente susceptible de disposición. Sobre este aspecto, es importante considerar que únicamente los bienes fiscales pueden ser objeto de enajenación mediante contratos de donación, pues son aquellos que integran el patrimonio disponible de las entidades públicas y que, por no encontrarse destinados directamente al uso público, pueden ser administrados y transferidos conforme a las reglas previstas en el ordenamiento jurídico.</w:t>
      </w:r>
    </w:p>
    <w:p w14:paraId="0EF48921" w14:textId="77777777" w:rsidR="005677AF" w:rsidRPr="00662D26" w:rsidRDefault="005677AF" w:rsidP="005677AF">
      <w:pPr>
        <w:spacing w:after="120" w:line="276" w:lineRule="auto"/>
        <w:ind w:firstLine="709"/>
        <w:jc w:val="both"/>
        <w:rPr>
          <w:rFonts w:ascii="Verdana" w:eastAsia="Calibri" w:hAnsi="Verdana" w:cs="Arial"/>
          <w:color w:val="000000" w:themeColor="text1"/>
        </w:rPr>
      </w:pPr>
      <w:r w:rsidRPr="00662D26">
        <w:rPr>
          <w:rFonts w:ascii="Verdana" w:eastAsia="Calibri" w:hAnsi="Verdana" w:cs="Arial"/>
          <w:color w:val="000000" w:themeColor="text1"/>
        </w:rPr>
        <w:t xml:space="preserve">Distinta es la situación de los bienes de uso público, ya que se encuentran afectados de manera permanente al uso, goce o disfrute de la comunidad y, por mandato constitucional y legal, ostentan las características de inalienabilidad, imprescriptibilidad e inembargabilidad. Tales atributos excluyen la posibilidad de que sean objeto de contratos de donación o de cualquier otro negocio jurídico que implique la transferencia de su dominio, salvo los eventos expresamente previstos por el legislador. En consecuencia, antes de iniciar cualquier actuación contractual, la entidad deberá identificar la naturaleza jurídica del bien cuya </w:t>
      </w:r>
      <w:r w:rsidRPr="00662D26">
        <w:rPr>
          <w:rFonts w:ascii="Verdana" w:eastAsia="Calibri" w:hAnsi="Verdana" w:cs="Arial"/>
          <w:color w:val="000000" w:themeColor="text1"/>
        </w:rPr>
        <w:lastRenderedPageBreak/>
        <w:t>transferencia pretende realizar, pues de ello dependerá la viabilidad misma de la operación.</w:t>
      </w:r>
    </w:p>
    <w:p w14:paraId="563D7EEB" w14:textId="77777777" w:rsidR="005677AF" w:rsidRPr="00662D26" w:rsidRDefault="005677AF" w:rsidP="005677AF">
      <w:pPr>
        <w:spacing w:after="120" w:line="276" w:lineRule="auto"/>
        <w:ind w:firstLine="709"/>
        <w:jc w:val="both"/>
        <w:rPr>
          <w:rFonts w:ascii="Verdana" w:eastAsia="Calibri" w:hAnsi="Verdana" w:cs="Arial"/>
          <w:color w:val="000000" w:themeColor="text1"/>
        </w:rPr>
      </w:pPr>
      <w:r w:rsidRPr="00662D26">
        <w:rPr>
          <w:rFonts w:ascii="Verdana" w:eastAsia="Calibri" w:hAnsi="Verdana" w:cs="Arial"/>
          <w:color w:val="000000" w:themeColor="text1"/>
        </w:rPr>
        <w:t>A su vez, la sola circunstancia de que el bien tenga la calidad de bien fiscal tampoco resulta suficiente para justificar su donación. Corresponde a la entidad acreditar que dicho bien ha dejado de ser necesario para el cumplimiento de las funciones a su cargo o que su transferencia permitirá una utilización más eficiente del patrimonio público por parte de otra entidad estatal. En otras palabras, la donación no puede responder a criterios de mera liberalidad administrativa, sino a una decisión objetiva, razonable y debidamente sustentada en las necesidades del servicio y en la satisfacción del interés general.</w:t>
      </w:r>
    </w:p>
    <w:p w14:paraId="103AE599" w14:textId="77777777" w:rsidR="005677AF" w:rsidRPr="00662D26" w:rsidRDefault="005677AF" w:rsidP="005677AF">
      <w:pPr>
        <w:spacing w:after="120" w:line="276" w:lineRule="auto"/>
        <w:ind w:firstLine="709"/>
        <w:jc w:val="both"/>
        <w:rPr>
          <w:rFonts w:ascii="Verdana" w:eastAsia="Calibri" w:hAnsi="Verdana" w:cs="Arial"/>
          <w:color w:val="000000" w:themeColor="text1"/>
        </w:rPr>
      </w:pPr>
      <w:r w:rsidRPr="00662D26">
        <w:rPr>
          <w:rFonts w:ascii="Verdana" w:eastAsia="Calibri" w:hAnsi="Verdana" w:cs="Arial"/>
          <w:color w:val="000000" w:themeColor="text1"/>
        </w:rPr>
        <w:t>Bajo estas consideraciones, la procedencia del contrato de donación exige la verificación concurrente de varios presupuestos jurídicos: (i) que la entidad estatal tenga competencia para celebrar el contrato; (ii) que el bien objeto de la donación sea un bien fiscal susceptible de disposición; (iii) que la transferencia no desconozca la prohibición prevista en el artículo 355 de la Constitución Política; (iv) que la operación responda al cumplimiento de una finalidad pública concreta y verificable; y (v) que la entidad observe las reglas, principios y procedimientos que gobiernan la contratación estatal.</w:t>
      </w:r>
    </w:p>
    <w:p w14:paraId="3E86EB75" w14:textId="77777777" w:rsidR="005677AF" w:rsidRPr="00662D26" w:rsidRDefault="005677AF" w:rsidP="005677AF">
      <w:pPr>
        <w:spacing w:after="0" w:line="276" w:lineRule="auto"/>
        <w:ind w:firstLine="709"/>
        <w:jc w:val="both"/>
        <w:rPr>
          <w:rFonts w:ascii="Verdana" w:eastAsia="Calibri" w:hAnsi="Verdana" w:cs="Arial"/>
          <w:color w:val="000000" w:themeColor="text1"/>
        </w:rPr>
      </w:pPr>
      <w:r w:rsidRPr="00662D26">
        <w:rPr>
          <w:rFonts w:ascii="Verdana" w:eastAsia="Calibri" w:hAnsi="Verdana" w:cs="Arial"/>
          <w:color w:val="000000" w:themeColor="text1"/>
        </w:rPr>
        <w:t>En consecuencia, la determinación acerca de si el alcalde requiere autorización del concejo municipal para celebrar un contrato de donación no puede desligarse de la verificación de estos presupuestos materiales. Sin embargo, tampoco debe confundirse con ellos. Mientras la autorización del concejo constituye un asunto de competencia para contratar, la procedencia de la donación corresponde al análisis de legalidad del negocio jurídico y de la disposición del patrimonio público. Se trata, por tanto, de dos juicios jurídicos distintos, aunque complementarios, que deben ser evaluados por la entidad antes de adoptar la decisión de donar bienes muebles de su propiedad.</w:t>
      </w:r>
    </w:p>
    <w:p w14:paraId="5903CF47" w14:textId="77777777" w:rsidR="005677AF" w:rsidRPr="00662D26" w:rsidRDefault="005677AF" w:rsidP="005677AF">
      <w:pPr>
        <w:spacing w:after="0" w:line="276" w:lineRule="auto"/>
        <w:ind w:firstLine="709"/>
        <w:jc w:val="both"/>
        <w:rPr>
          <w:rFonts w:ascii="Verdana" w:eastAsia="Calibri" w:hAnsi="Verdana" w:cs="Arial"/>
          <w:color w:val="000000" w:themeColor="text1"/>
        </w:rPr>
      </w:pPr>
    </w:p>
    <w:p w14:paraId="0233C697" w14:textId="77777777" w:rsidR="005677AF" w:rsidRPr="00662D26" w:rsidRDefault="005677AF" w:rsidP="005677AF">
      <w:pPr>
        <w:spacing w:after="120" w:line="276" w:lineRule="auto"/>
        <w:jc w:val="both"/>
        <w:rPr>
          <w:rFonts w:ascii="Verdana" w:eastAsia="Calibri" w:hAnsi="Verdana" w:cs="Arial"/>
          <w:bCs/>
          <w:color w:val="000000" w:themeColor="text1"/>
        </w:rPr>
      </w:pPr>
      <w:proofErr w:type="spellStart"/>
      <w:r w:rsidRPr="00662D26">
        <w:rPr>
          <w:rFonts w:ascii="Verdana" w:eastAsia="Calibri" w:hAnsi="Verdana" w:cs="Arial"/>
          <w:b/>
          <w:color w:val="000000" w:themeColor="text1"/>
        </w:rPr>
        <w:t>vii</w:t>
      </w:r>
      <w:proofErr w:type="spellEnd"/>
      <w:r w:rsidRPr="00662D26">
        <w:rPr>
          <w:rFonts w:ascii="Verdana" w:eastAsia="Calibri" w:hAnsi="Verdana" w:cs="Arial"/>
          <w:b/>
          <w:color w:val="000000" w:themeColor="text1"/>
        </w:rPr>
        <w:t>.</w:t>
      </w:r>
      <w:r w:rsidRPr="00662D26">
        <w:rPr>
          <w:rFonts w:ascii="Verdana" w:eastAsia="Calibri" w:hAnsi="Verdana" w:cs="Arial"/>
          <w:bCs/>
          <w:color w:val="000000" w:themeColor="text1"/>
        </w:rPr>
        <w:t xml:space="preserve"> La circunstancia de que las entidades estatales puedan celebrar contratos de donación no las exime del cumplimiento de las reglas y principios que rigen la actividad contractual. Por el contrario, al tratarse de un contrato estatal, su celebración debe sujetarse al </w:t>
      </w:r>
      <w:r>
        <w:rPr>
          <w:rFonts w:ascii="Verdana" w:eastAsia="Calibri" w:hAnsi="Verdana" w:cs="Arial"/>
          <w:bCs/>
          <w:color w:val="000000" w:themeColor="text1"/>
        </w:rPr>
        <w:t>EGCAP</w:t>
      </w:r>
      <w:r w:rsidRPr="00662D26">
        <w:rPr>
          <w:rFonts w:ascii="Verdana" w:eastAsia="Calibri" w:hAnsi="Verdana" w:cs="Arial"/>
          <w:bCs/>
          <w:color w:val="000000" w:themeColor="text1"/>
        </w:rPr>
        <w:t>, así como a los principios de planeación, transparencia, economía, responsabilidad y selección objetiva, en lo que resulte compatible con la naturaleza del negocio jurídico.</w:t>
      </w:r>
    </w:p>
    <w:p w14:paraId="175642A2" w14:textId="77777777" w:rsidR="005677AF" w:rsidRPr="00662D26" w:rsidRDefault="005677AF" w:rsidP="005677AF">
      <w:pPr>
        <w:spacing w:after="120" w:line="276" w:lineRule="auto"/>
        <w:ind w:firstLine="709"/>
        <w:jc w:val="both"/>
        <w:rPr>
          <w:rFonts w:ascii="Verdana" w:eastAsia="Calibri" w:hAnsi="Verdana" w:cs="Arial"/>
          <w:bCs/>
          <w:color w:val="000000" w:themeColor="text1"/>
        </w:rPr>
      </w:pPr>
      <w:r w:rsidRPr="00662D26">
        <w:rPr>
          <w:rFonts w:ascii="Verdana" w:eastAsia="Calibri" w:hAnsi="Verdana" w:cs="Arial"/>
          <w:bCs/>
          <w:color w:val="000000" w:themeColor="text1"/>
        </w:rPr>
        <w:lastRenderedPageBreak/>
        <w:t xml:space="preserve">En este sentido, antes de celebrar una donación, la entidad deberá adelantar los estudios y documentos previos que permitan justificar la necesidad y conveniencia de la operación, identificar los bienes objeto de transferencia, verificar que estos sean bienes fiscales susceptibles de disposición, acreditar que no resultan indispensables para el cumplimiento de las funciones de la entidad donante y demostrar que la transferencia contribuye al cumplimiento de una finalidad pública. De igual manera, deberá definir la modalidad de selección que resulte procedente conforme al </w:t>
      </w:r>
      <w:r>
        <w:rPr>
          <w:rFonts w:ascii="Verdana" w:eastAsia="Calibri" w:hAnsi="Verdana" w:cs="Arial"/>
          <w:bCs/>
          <w:color w:val="000000" w:themeColor="text1"/>
        </w:rPr>
        <w:t xml:space="preserve">EGCAP </w:t>
      </w:r>
      <w:r w:rsidRPr="00662D26">
        <w:rPr>
          <w:rFonts w:ascii="Verdana" w:eastAsia="Calibri" w:hAnsi="Verdana" w:cs="Arial"/>
          <w:bCs/>
          <w:color w:val="000000" w:themeColor="text1"/>
        </w:rPr>
        <w:t>y cumplir las obligaciones de publicidad y transparencia previstas en el ordenamiento jurídico.</w:t>
      </w:r>
    </w:p>
    <w:p w14:paraId="63470809" w14:textId="77777777" w:rsidR="005677AF" w:rsidRPr="00662D26" w:rsidRDefault="005677AF" w:rsidP="005677AF">
      <w:pPr>
        <w:spacing w:after="0" w:line="276" w:lineRule="auto"/>
        <w:ind w:firstLine="709"/>
        <w:jc w:val="both"/>
        <w:rPr>
          <w:rFonts w:ascii="Verdana" w:eastAsia="Calibri" w:hAnsi="Verdana" w:cs="Arial"/>
          <w:bCs/>
          <w:color w:val="000000" w:themeColor="text1"/>
        </w:rPr>
      </w:pPr>
      <w:r w:rsidRPr="00662D26">
        <w:rPr>
          <w:rFonts w:ascii="Verdana" w:eastAsia="Calibri" w:hAnsi="Verdana" w:cs="Arial"/>
          <w:bCs/>
          <w:color w:val="000000" w:themeColor="text1"/>
        </w:rPr>
        <w:t>En ese orden de ideas, la procedencia de la donación no depende únicamente de la competencia del alcalde para celebrar el contrato, sino también del cumplimiento de las exigencias materiales y procedimentales previstas en el ordenamiento jurídico para garantizar que la transferencia gratuita del bien responda efectivamente al interés general y a los fines que justifican la actividad contractual del Estado.</w:t>
      </w:r>
    </w:p>
    <w:p w14:paraId="370C212E" w14:textId="77777777" w:rsidR="005677AF" w:rsidRPr="00662D26" w:rsidRDefault="005677AF" w:rsidP="005677AF">
      <w:pPr>
        <w:spacing w:after="0" w:line="276" w:lineRule="auto"/>
        <w:ind w:firstLine="709"/>
        <w:jc w:val="both"/>
        <w:rPr>
          <w:rFonts w:ascii="Verdana" w:eastAsia="Calibri" w:hAnsi="Verdana" w:cs="Arial"/>
          <w:bCs/>
          <w:color w:val="000000" w:themeColor="text1"/>
        </w:rPr>
      </w:pPr>
    </w:p>
    <w:p w14:paraId="6761A85E" w14:textId="77777777" w:rsidR="005677AF" w:rsidRPr="00662D26" w:rsidRDefault="005677AF" w:rsidP="005677AF">
      <w:pPr>
        <w:spacing w:after="120" w:line="276" w:lineRule="auto"/>
        <w:jc w:val="both"/>
        <w:rPr>
          <w:rFonts w:ascii="Verdana" w:hAnsi="Verdana" w:cs="Arial"/>
        </w:rPr>
      </w:pPr>
      <w:proofErr w:type="spellStart"/>
      <w:r w:rsidRPr="00662D26">
        <w:rPr>
          <w:rFonts w:ascii="Verdana" w:eastAsia="Calibri" w:hAnsi="Verdana" w:cs="Arial"/>
          <w:b/>
          <w:color w:val="000000" w:themeColor="text1"/>
        </w:rPr>
        <w:t>viii</w:t>
      </w:r>
      <w:proofErr w:type="spellEnd"/>
      <w:r w:rsidRPr="00662D26">
        <w:rPr>
          <w:rFonts w:ascii="Verdana" w:eastAsia="Calibri" w:hAnsi="Verdana" w:cs="Arial"/>
          <w:bCs/>
          <w:color w:val="000000" w:themeColor="text1"/>
        </w:rPr>
        <w:t>. 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28850301" w14:textId="77777777" w:rsidR="005677AF" w:rsidRPr="00662D26" w:rsidRDefault="005677AF" w:rsidP="005677AF">
      <w:pPr>
        <w:spacing w:after="0" w:line="276" w:lineRule="auto"/>
        <w:ind w:firstLine="708"/>
        <w:jc w:val="both"/>
        <w:rPr>
          <w:rFonts w:ascii="Verdana" w:eastAsia="Calibri" w:hAnsi="Verdana" w:cs="Arial"/>
          <w:bCs/>
          <w:color w:val="000000" w:themeColor="text1"/>
        </w:rPr>
      </w:pPr>
      <w:r w:rsidRPr="00662D26">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11D10393" w14:textId="77777777" w:rsidR="005677AF" w:rsidRPr="0015334C" w:rsidRDefault="005677AF" w:rsidP="005677AF">
      <w:pPr>
        <w:widowControl w:val="0"/>
        <w:autoSpaceDE w:val="0"/>
        <w:autoSpaceDN w:val="0"/>
        <w:spacing w:after="0" w:line="276" w:lineRule="auto"/>
        <w:jc w:val="both"/>
        <w:rPr>
          <w:rFonts w:ascii="Verdana" w:hAnsi="Verdana" w:cs="Arial"/>
        </w:rPr>
      </w:pPr>
    </w:p>
    <w:p w14:paraId="1A82D973" w14:textId="77777777" w:rsidR="005677AF" w:rsidRPr="005736D6" w:rsidRDefault="005677AF" w:rsidP="005677A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15334C">
        <w:rPr>
          <w:rFonts w:ascii="Verdana" w:eastAsia="Century Gothic" w:hAnsi="Verdana" w:cs="Century Gothic"/>
          <w:b/>
          <w:bCs/>
        </w:rPr>
        <w:lastRenderedPageBreak/>
        <w:t>Referencias normativas, jurisprudenciales y otras fuentes:</w:t>
      </w:r>
    </w:p>
    <w:p w14:paraId="28DCC95A" w14:textId="77777777" w:rsidR="005677AF" w:rsidRPr="00893645" w:rsidRDefault="005677AF" w:rsidP="005677AF">
      <w:pPr>
        <w:pStyle w:val="Prrafodelista"/>
        <w:tabs>
          <w:tab w:val="left" w:pos="142"/>
          <w:tab w:val="left" w:pos="284"/>
        </w:tabs>
        <w:spacing w:after="0" w:line="276" w:lineRule="auto"/>
        <w:ind w:left="0"/>
        <w:contextualSpacing w:val="0"/>
        <w:jc w:val="both"/>
        <w:rPr>
          <w:rFonts w:ascii="Verdana" w:eastAsia="Century Gothic" w:hAnsi="Verdana" w:cs="Century Gothic"/>
          <w:b/>
          <w:bCs/>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5677AF" w:rsidRPr="0015334C" w14:paraId="7C1F0D18" w14:textId="77777777" w:rsidTr="00520FB3">
        <w:trPr>
          <w:trHeight w:val="878"/>
        </w:trPr>
        <w:tc>
          <w:tcPr>
            <w:tcW w:w="8647" w:type="dxa"/>
          </w:tcPr>
          <w:p w14:paraId="39253A7E" w14:textId="77777777" w:rsidR="005677AF" w:rsidRPr="00060031" w:rsidRDefault="005677AF" w:rsidP="005677AF">
            <w:pPr>
              <w:numPr>
                <w:ilvl w:val="0"/>
                <w:numId w:val="18"/>
              </w:numPr>
              <w:spacing w:line="276" w:lineRule="auto"/>
              <w:jc w:val="both"/>
              <w:rPr>
                <w:rFonts w:ascii="Verdana" w:eastAsia="Times New Roman" w:hAnsi="Verdana" w:cs="Times New Roman"/>
                <w:lang w:eastAsia="es-CO"/>
              </w:rPr>
            </w:pPr>
            <w:r w:rsidRPr="00B43B75">
              <w:rPr>
                <w:rFonts w:ascii="Verdana" w:eastAsia="Times New Roman" w:hAnsi="Verdana" w:cs="Times New Roman"/>
                <w:lang w:eastAsia="es-CO"/>
              </w:rPr>
              <w:t>Constitución Política de Colombia, artículo 313, 315, 355.</w:t>
            </w:r>
          </w:p>
          <w:p w14:paraId="6441C179" w14:textId="77777777" w:rsidR="005677AF" w:rsidRPr="007E0159" w:rsidRDefault="005677AF" w:rsidP="005677AF">
            <w:pPr>
              <w:numPr>
                <w:ilvl w:val="0"/>
                <w:numId w:val="18"/>
              </w:numPr>
              <w:spacing w:line="276" w:lineRule="auto"/>
              <w:jc w:val="both"/>
              <w:rPr>
                <w:rFonts w:ascii="Verdana" w:eastAsia="Times New Roman" w:hAnsi="Verdana" w:cs="Times New Roman"/>
                <w:lang w:eastAsia="es-CO"/>
              </w:rPr>
            </w:pPr>
            <w:r w:rsidRPr="00060031">
              <w:rPr>
                <w:rFonts w:ascii="Verdana" w:eastAsia="Times New Roman" w:hAnsi="Verdana" w:cs="Times New Roman"/>
                <w:lang w:eastAsia="es-CO"/>
              </w:rPr>
              <w:t>Ley 136 de 1994, artículo 91.</w:t>
            </w:r>
          </w:p>
          <w:p w14:paraId="49A826A8" w14:textId="77777777" w:rsidR="005677AF" w:rsidRPr="008959ED" w:rsidRDefault="005677AF" w:rsidP="005677AF">
            <w:pPr>
              <w:numPr>
                <w:ilvl w:val="0"/>
                <w:numId w:val="18"/>
              </w:numPr>
              <w:spacing w:line="276" w:lineRule="auto"/>
              <w:jc w:val="both"/>
              <w:rPr>
                <w:rFonts w:ascii="Verdana" w:eastAsia="Times New Roman" w:hAnsi="Verdana" w:cs="Times New Roman"/>
                <w:lang w:eastAsia="es-CO"/>
              </w:rPr>
            </w:pPr>
            <w:r w:rsidRPr="008959ED">
              <w:rPr>
                <w:rFonts w:ascii="Verdana" w:eastAsia="Times New Roman" w:hAnsi="Verdana" w:cs="Times New Roman"/>
                <w:lang w:eastAsia="es-CO"/>
              </w:rPr>
              <w:t>Ley 80 de 1993, artículos 3, 13 y 32.</w:t>
            </w:r>
          </w:p>
          <w:p w14:paraId="52DFE3DB" w14:textId="77777777" w:rsidR="005677AF" w:rsidRPr="005736D6" w:rsidRDefault="005677AF" w:rsidP="005677AF">
            <w:pPr>
              <w:numPr>
                <w:ilvl w:val="0"/>
                <w:numId w:val="18"/>
              </w:numPr>
              <w:spacing w:line="276" w:lineRule="auto"/>
              <w:jc w:val="both"/>
              <w:rPr>
                <w:rFonts w:ascii="Verdana" w:eastAsia="Times New Roman" w:hAnsi="Verdana" w:cs="Times New Roman"/>
                <w:lang w:eastAsia="es-CO"/>
              </w:rPr>
            </w:pPr>
            <w:r w:rsidRPr="0015334C">
              <w:rPr>
                <w:rFonts w:ascii="Verdana" w:eastAsia="Times New Roman" w:hAnsi="Verdana" w:cs="Times New Roman"/>
                <w:lang w:eastAsia="es-CO"/>
              </w:rPr>
              <w:t>Ley 1151 de 2012, artículo 29.</w:t>
            </w:r>
          </w:p>
          <w:p w14:paraId="723526D1" w14:textId="77777777" w:rsidR="005677AF" w:rsidRPr="0015334C" w:rsidRDefault="005677AF" w:rsidP="005677AF">
            <w:pPr>
              <w:pStyle w:val="Prrafodelista"/>
              <w:numPr>
                <w:ilvl w:val="0"/>
                <w:numId w:val="18"/>
              </w:numPr>
              <w:spacing w:line="276" w:lineRule="auto"/>
              <w:jc w:val="both"/>
              <w:rPr>
                <w:rFonts w:ascii="Verdana" w:hAnsi="Verdana"/>
              </w:rPr>
            </w:pPr>
            <w:r w:rsidRPr="0015334C">
              <w:rPr>
                <w:rFonts w:ascii="Verdana" w:hAnsi="Verdana"/>
              </w:rPr>
              <w:t>Consejo de Estado. Subsección A, de la Sección Tercera. Sentencia del 10 de febrero de 2016, radicación núm. 15001-23-31-000-2003-00628-01 (39538)</w:t>
            </w:r>
          </w:p>
        </w:tc>
      </w:tr>
    </w:tbl>
    <w:p w14:paraId="4E464495" w14:textId="77777777" w:rsidR="005677AF" w:rsidRPr="0015334C" w:rsidRDefault="005677AF" w:rsidP="005677AF">
      <w:pPr>
        <w:widowControl w:val="0"/>
        <w:autoSpaceDE w:val="0"/>
        <w:autoSpaceDN w:val="0"/>
        <w:spacing w:after="0" w:line="276" w:lineRule="auto"/>
        <w:jc w:val="both"/>
        <w:rPr>
          <w:rFonts w:ascii="Verdana" w:hAnsi="Verdana" w:cs="Arial"/>
        </w:rPr>
      </w:pPr>
    </w:p>
    <w:p w14:paraId="78C1F37F" w14:textId="77777777" w:rsidR="005677AF" w:rsidRPr="0015334C" w:rsidRDefault="005677AF" w:rsidP="005677A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15334C">
        <w:rPr>
          <w:rFonts w:ascii="Verdana" w:eastAsia="Century Gothic" w:hAnsi="Verdana" w:cs="Century Gothic"/>
          <w:b/>
          <w:bCs/>
        </w:rPr>
        <w:t>Doctrina de la Agencia Nacional de Contratación Pública:</w:t>
      </w:r>
    </w:p>
    <w:p w14:paraId="43A75A81" w14:textId="77777777" w:rsidR="005677AF" w:rsidRPr="00893645" w:rsidRDefault="005677AF" w:rsidP="005677AF">
      <w:pPr>
        <w:widowControl w:val="0"/>
        <w:autoSpaceDE w:val="0"/>
        <w:autoSpaceDN w:val="0"/>
        <w:spacing w:after="0" w:line="276" w:lineRule="auto"/>
        <w:jc w:val="both"/>
        <w:rPr>
          <w:rFonts w:ascii="Verdana" w:hAnsi="Verdana" w:cs="Arial"/>
        </w:rPr>
      </w:pPr>
    </w:p>
    <w:p w14:paraId="0647DB03" w14:textId="77777777" w:rsidR="005677AF" w:rsidRPr="0015334C" w:rsidRDefault="005677AF" w:rsidP="005677AF">
      <w:pPr>
        <w:widowControl w:val="0"/>
        <w:autoSpaceDE w:val="0"/>
        <w:autoSpaceDN w:val="0"/>
        <w:spacing w:after="0" w:line="276" w:lineRule="auto"/>
        <w:jc w:val="both"/>
        <w:rPr>
          <w:rFonts w:ascii="Verdana" w:hAnsi="Verdana" w:cs="Arial"/>
          <w:bCs/>
          <w:shd w:val="clear" w:color="auto" w:fill="FFFFFF"/>
        </w:rPr>
      </w:pPr>
      <w:r w:rsidRPr="00060031">
        <w:rPr>
          <w:rFonts w:ascii="Verdana" w:hAnsi="Verdana" w:cs="Arial"/>
          <w:bCs/>
          <w:shd w:val="clear" w:color="auto" w:fill="FFFFFF"/>
        </w:rPr>
        <w:t xml:space="preserve">La Agencia Nacional de Contratación Pública – Colombia Compra Eficiente, en referencia a la enajenación de bienes muebles a título gratuito se han expedido los conceptos con Radicado </w:t>
      </w:r>
      <w:r w:rsidRPr="0015334C">
        <w:rPr>
          <w:rFonts w:ascii="Verdana" w:hAnsi="Verdana" w:cs="Arial"/>
          <w:bCs/>
          <w:shd w:val="clear" w:color="auto" w:fill="FFFFFF"/>
          <w:lang w:val="es-ES_tradnl"/>
        </w:rPr>
        <w:t xml:space="preserve">No. 2201913000007905 del 23 de octubre de 2019, 2201913000008259 del 6 de noviembre de 2019, C-186 del 17 de marzo de 2020, </w:t>
      </w:r>
      <w:r w:rsidRPr="0015334C">
        <w:rPr>
          <w:rFonts w:ascii="Verdana" w:hAnsi="Verdana" w:cs="Arial"/>
          <w:bCs/>
          <w:shd w:val="clear" w:color="auto" w:fill="FFFFFF"/>
        </w:rPr>
        <w:t>C-661 del 17 de noviembre de 2020, C-397 del 18 de julio de 2022, C-704 del 26 de octubre de 2022, C- 825 del 5 de agosto de 2025, C-994 del 4 de septiembre de 2025, entre otros.</w:t>
      </w:r>
      <w:r w:rsidRPr="0015334C">
        <w:rPr>
          <w:rFonts w:ascii="Verdana" w:hAnsi="Verdana" w:cs="Arial"/>
          <w:shd w:val="clear" w:color="auto" w:fill="FFFFFF"/>
        </w:rPr>
        <w:t xml:space="preserve"> </w:t>
      </w:r>
      <w:r w:rsidRPr="0015334C">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r w:rsidRPr="0015334C">
        <w:rPr>
          <w:rFonts w:ascii="Verdana" w:hAnsi="Verdana" w:cs="Arial"/>
          <w:bCs/>
          <w:shd w:val="clear" w:color="auto" w:fill="FFFFFF"/>
        </w:rPr>
        <w:t xml:space="preserve"> </w:t>
      </w:r>
      <w:hyperlink r:id="rId13" w:history="1">
        <w:r w:rsidRPr="0015334C">
          <w:rPr>
            <w:rStyle w:val="Hipervnculo"/>
            <w:rFonts w:ascii="Verdana" w:hAnsi="Verdana" w:cs="Arial"/>
            <w:shd w:val="clear" w:color="auto" w:fill="FFFFFF"/>
            <w:lang w:val="es-ES"/>
          </w:rPr>
          <w:t>https://relatoria.colombiacompra.gov.co/busqueda/conceptos</w:t>
        </w:r>
      </w:hyperlink>
      <w:r w:rsidRPr="0015334C">
        <w:rPr>
          <w:rStyle w:val="normaltextrun"/>
          <w:rFonts w:ascii="Verdana" w:hAnsi="Verdana" w:cs="Arial"/>
          <w:color w:val="FF0000"/>
          <w:shd w:val="clear" w:color="auto" w:fill="FFFFFF"/>
          <w:lang w:val="es-ES"/>
        </w:rPr>
        <w:t xml:space="preserve"> </w:t>
      </w:r>
    </w:p>
    <w:p w14:paraId="0DA9B4E5" w14:textId="77777777" w:rsidR="005677AF" w:rsidRPr="00893645" w:rsidRDefault="005677AF" w:rsidP="005677AF">
      <w:pPr>
        <w:spacing w:after="0" w:line="276" w:lineRule="auto"/>
        <w:jc w:val="both"/>
        <w:rPr>
          <w:rFonts w:ascii="Verdana" w:hAnsi="Verdana"/>
        </w:rPr>
      </w:pPr>
      <w:r w:rsidRPr="0015334C">
        <w:rPr>
          <w:rFonts w:ascii="Verdana" w:hAnsi="Verdana"/>
        </w:rPr>
        <w:t xml:space="preserve">Por último, lo invitamos a seguirnos en las redes sociales en las cuales se difunde información institucional: </w:t>
      </w:r>
    </w:p>
    <w:p w14:paraId="428D6E83" w14:textId="77777777" w:rsidR="005677AF" w:rsidRPr="00060031" w:rsidRDefault="005677AF" w:rsidP="005677AF">
      <w:pPr>
        <w:spacing w:after="0" w:line="276" w:lineRule="auto"/>
        <w:jc w:val="both"/>
        <w:rPr>
          <w:rFonts w:ascii="Verdana" w:hAnsi="Verdana"/>
        </w:rPr>
      </w:pPr>
    </w:p>
    <w:p w14:paraId="46D56FB5" w14:textId="77777777" w:rsidR="005677AF" w:rsidRPr="0015334C" w:rsidRDefault="005677AF" w:rsidP="005677AF">
      <w:pPr>
        <w:spacing w:after="0" w:line="276" w:lineRule="auto"/>
        <w:jc w:val="both"/>
        <w:rPr>
          <w:rFonts w:ascii="Verdana" w:hAnsi="Verdana"/>
        </w:rPr>
      </w:pPr>
      <w:r w:rsidRPr="0015334C">
        <w:rPr>
          <w:rFonts w:ascii="Verdana" w:hAnsi="Verdana"/>
        </w:rPr>
        <w:t xml:space="preserve">Twitter: </w:t>
      </w:r>
      <w:r w:rsidRPr="0015334C">
        <w:rPr>
          <w:rStyle w:val="Hipervnculo"/>
          <w:rFonts w:ascii="Verdana" w:hAnsi="Verdana"/>
        </w:rPr>
        <w:t>@colombiacompra</w:t>
      </w:r>
      <w:r w:rsidRPr="0015334C">
        <w:rPr>
          <w:rFonts w:ascii="Verdana" w:hAnsi="Verdana"/>
          <w:color w:val="0000FF"/>
        </w:rPr>
        <w:t xml:space="preserve"> </w:t>
      </w:r>
    </w:p>
    <w:p w14:paraId="052B3D9C" w14:textId="77777777" w:rsidR="005677AF" w:rsidRPr="0015334C" w:rsidRDefault="005677AF" w:rsidP="005677AF">
      <w:pPr>
        <w:spacing w:after="0" w:line="276" w:lineRule="auto"/>
        <w:jc w:val="both"/>
        <w:rPr>
          <w:rFonts w:ascii="Verdana" w:hAnsi="Verdana"/>
        </w:rPr>
      </w:pPr>
      <w:r w:rsidRPr="0015334C">
        <w:rPr>
          <w:rFonts w:ascii="Verdana" w:hAnsi="Verdana"/>
        </w:rPr>
        <w:t xml:space="preserve">Facebook: </w:t>
      </w:r>
      <w:proofErr w:type="spellStart"/>
      <w:r w:rsidRPr="0015334C">
        <w:rPr>
          <w:rStyle w:val="Hipervnculo"/>
          <w:rFonts w:ascii="Verdana" w:hAnsi="Verdana"/>
        </w:rPr>
        <w:t>ColombiaCompraEficiente</w:t>
      </w:r>
      <w:proofErr w:type="spellEnd"/>
    </w:p>
    <w:p w14:paraId="66E74EC1" w14:textId="77777777" w:rsidR="005677AF" w:rsidRPr="0015334C" w:rsidRDefault="005677AF" w:rsidP="005677AF">
      <w:pPr>
        <w:spacing w:after="0" w:line="276" w:lineRule="auto"/>
        <w:jc w:val="both"/>
        <w:rPr>
          <w:rFonts w:ascii="Verdana" w:hAnsi="Verdana"/>
        </w:rPr>
      </w:pPr>
      <w:r w:rsidRPr="0015334C">
        <w:rPr>
          <w:rFonts w:ascii="Verdana" w:hAnsi="Verdana"/>
        </w:rPr>
        <w:t xml:space="preserve">LinkedIn: </w:t>
      </w:r>
      <w:r w:rsidRPr="0015334C">
        <w:rPr>
          <w:rStyle w:val="Hipervnculo"/>
          <w:rFonts w:ascii="Verdana" w:hAnsi="Verdana"/>
        </w:rPr>
        <w:t>Agencia Nacional de Contratación Pública - Colombia Compra Eficiente</w:t>
      </w:r>
      <w:r w:rsidRPr="0015334C">
        <w:rPr>
          <w:rFonts w:ascii="Verdana" w:hAnsi="Verdana"/>
          <w:color w:val="0000FF"/>
        </w:rPr>
        <w:t xml:space="preserve"> </w:t>
      </w:r>
      <w:r w:rsidRPr="0015334C">
        <w:rPr>
          <w:rFonts w:ascii="Verdana" w:hAnsi="Verdana"/>
        </w:rPr>
        <w:t xml:space="preserve">Instagram: </w:t>
      </w:r>
      <w:r w:rsidRPr="0015334C">
        <w:rPr>
          <w:rStyle w:val="Hipervnculo"/>
          <w:rFonts w:ascii="Verdana" w:hAnsi="Verdana"/>
        </w:rPr>
        <w:t>@colombiacompraeficiente_cce</w:t>
      </w:r>
    </w:p>
    <w:p w14:paraId="52C52E16" w14:textId="77777777" w:rsidR="005677AF" w:rsidRPr="0015334C" w:rsidRDefault="005677AF" w:rsidP="005677AF">
      <w:pPr>
        <w:widowControl w:val="0"/>
        <w:autoSpaceDE w:val="0"/>
        <w:autoSpaceDN w:val="0"/>
        <w:spacing w:after="0" w:line="276" w:lineRule="auto"/>
        <w:jc w:val="both"/>
        <w:rPr>
          <w:rFonts w:ascii="Verdana" w:hAnsi="Verdana" w:cs="Arial"/>
        </w:rPr>
      </w:pPr>
    </w:p>
    <w:p w14:paraId="7185D203" w14:textId="77777777" w:rsidR="005677AF" w:rsidRPr="0015334C" w:rsidRDefault="005677AF" w:rsidP="005677AF">
      <w:pPr>
        <w:widowControl w:val="0"/>
        <w:autoSpaceDE w:val="0"/>
        <w:autoSpaceDN w:val="0"/>
        <w:spacing w:after="0" w:line="276" w:lineRule="auto"/>
        <w:jc w:val="both"/>
        <w:rPr>
          <w:rFonts w:ascii="Verdana" w:hAnsi="Verdana" w:cs="Arial"/>
          <w:lang w:val="es-ES_tradnl"/>
        </w:rPr>
      </w:pPr>
      <w:r w:rsidRPr="0015334C">
        <w:rPr>
          <w:rFonts w:ascii="Verdana" w:hAnsi="Verdana" w:cs="Arial"/>
        </w:rPr>
        <w:t xml:space="preserve">Este concepto tiene el alcance previsto en el artículo 28 del Código de Procedimiento Administrativo y de lo Contencioso Administrativo </w:t>
      </w:r>
      <w:r w:rsidRPr="0015334C">
        <w:rPr>
          <w:rFonts w:ascii="Verdana" w:hAnsi="Verdana" w:cs="Arial"/>
          <w:lang w:val="es-ES_tradnl"/>
        </w:rPr>
        <w:t>y las expresiones aquí utilizadas con mayúscula inicial deben ser entendidas con el significado que les otorga el artículo 2.2.1.1.1.3.1. del Decreto 1082 de 2015.</w:t>
      </w:r>
    </w:p>
    <w:p w14:paraId="35D6BCFE" w14:textId="77777777" w:rsidR="005677AF" w:rsidRPr="0015334C" w:rsidRDefault="005677AF" w:rsidP="005677AF">
      <w:pPr>
        <w:widowControl w:val="0"/>
        <w:autoSpaceDE w:val="0"/>
        <w:autoSpaceDN w:val="0"/>
        <w:spacing w:after="0" w:line="276" w:lineRule="auto"/>
        <w:jc w:val="both"/>
        <w:rPr>
          <w:rFonts w:ascii="Verdana" w:hAnsi="Verdana" w:cs="Arial"/>
        </w:rPr>
      </w:pPr>
    </w:p>
    <w:p w14:paraId="0A1D3884" w14:textId="77777777" w:rsidR="005677AF" w:rsidRPr="0015334C" w:rsidRDefault="005677AF" w:rsidP="005677AF">
      <w:pPr>
        <w:spacing w:after="0" w:line="276" w:lineRule="auto"/>
        <w:rPr>
          <w:rFonts w:ascii="Verdana" w:hAnsi="Verdana" w:cs="Arial"/>
          <w:lang w:eastAsia="es-CO"/>
        </w:rPr>
      </w:pPr>
      <w:r w:rsidRPr="0015334C">
        <w:rPr>
          <w:rFonts w:ascii="Verdana" w:eastAsia="Times New Roman" w:hAnsi="Verdana" w:cs="Arial"/>
          <w:lang w:eastAsia="es-CO"/>
        </w:rPr>
        <w:t>Atentamente,</w:t>
      </w:r>
      <w:r w:rsidRPr="0015334C">
        <w:rPr>
          <w:rFonts w:ascii="Verdana" w:hAnsi="Verdana" w:cs="Arial"/>
          <w:lang w:eastAsia="es-CO"/>
        </w:rPr>
        <w:t xml:space="preserve"> </w:t>
      </w:r>
    </w:p>
    <w:p w14:paraId="1E0DC412" w14:textId="423E757F" w:rsidR="005677AF" w:rsidRPr="005C170B" w:rsidRDefault="00771F77" w:rsidP="00771F77">
      <w:pPr>
        <w:spacing w:line="276" w:lineRule="auto"/>
        <w:jc w:val="center"/>
        <w:rPr>
          <w:rFonts w:ascii="Verdana" w:hAnsi="Verdana" w:cs="Arial"/>
          <w:color w:val="000000"/>
          <w:lang w:eastAsia="es-CO"/>
        </w:rPr>
      </w:pPr>
      <w:r w:rsidRPr="00771F77">
        <w:rPr>
          <w:rFonts w:ascii="Verdana" w:hAnsi="Verdana" w:cs="Arial"/>
          <w:noProof/>
          <w:color w:val="000000"/>
          <w:lang w:eastAsia="es-CO"/>
        </w:rPr>
        <w:drawing>
          <wp:inline distT="0" distB="0" distL="0" distR="0" wp14:anchorId="7D66134D" wp14:editId="6F87EAB0">
            <wp:extent cx="3316915" cy="1313202"/>
            <wp:effectExtent l="0" t="0" r="0" b="1270"/>
            <wp:docPr id="130540783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26757" cy="1317099"/>
                    </a:xfrm>
                    <a:prstGeom prst="rect">
                      <a:avLst/>
                    </a:prstGeom>
                    <a:noFill/>
                    <a:ln>
                      <a:noFill/>
                    </a:ln>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5677AF" w:rsidRPr="005C170B" w14:paraId="5FA2B6DB" w14:textId="77777777" w:rsidTr="00520FB3">
        <w:trPr>
          <w:trHeight w:val="315"/>
        </w:trPr>
        <w:tc>
          <w:tcPr>
            <w:tcW w:w="893" w:type="dxa"/>
            <w:vAlign w:val="center"/>
            <w:hideMark/>
          </w:tcPr>
          <w:p w14:paraId="1127AF26" w14:textId="77777777" w:rsidR="005677AF" w:rsidRPr="005C170B" w:rsidRDefault="005677AF" w:rsidP="00520FB3">
            <w:pPr>
              <w:contextualSpacing/>
              <w:rPr>
                <w:rFonts w:ascii="Verdana" w:hAnsi="Verdana" w:cs="Arial"/>
                <w:sz w:val="16"/>
                <w:szCs w:val="16"/>
                <w:lang w:val="es-ES" w:eastAsia="es-ES"/>
              </w:rPr>
            </w:pPr>
            <w:r w:rsidRPr="005C170B">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3A76F8A8" w14:textId="77777777" w:rsidR="005677AF" w:rsidRPr="005C170B" w:rsidRDefault="005677AF" w:rsidP="00520FB3">
            <w:pPr>
              <w:contextualSpacing/>
              <w:rPr>
                <w:rFonts w:ascii="Verdana" w:eastAsia="Arial" w:hAnsi="Verdana" w:cs="Arial"/>
                <w:sz w:val="16"/>
                <w:szCs w:val="16"/>
              </w:rPr>
            </w:pPr>
            <w:r w:rsidRPr="005C170B">
              <w:rPr>
                <w:rFonts w:ascii="Verdana" w:eastAsia="Arial" w:hAnsi="Verdana" w:cs="Arial"/>
                <w:sz w:val="16"/>
                <w:szCs w:val="16"/>
              </w:rPr>
              <w:t>Andrea Camila Polo Paz</w:t>
            </w:r>
          </w:p>
          <w:p w14:paraId="012E1330" w14:textId="77777777" w:rsidR="005677AF" w:rsidRPr="005C170B" w:rsidRDefault="005677AF" w:rsidP="00520FB3">
            <w:pPr>
              <w:contextualSpacing/>
              <w:rPr>
                <w:rFonts w:ascii="Verdana" w:eastAsia="Arial" w:hAnsi="Verdana" w:cs="Arial"/>
                <w:sz w:val="16"/>
                <w:szCs w:val="16"/>
              </w:rPr>
            </w:pPr>
            <w:r w:rsidRPr="005C170B">
              <w:rPr>
                <w:rStyle w:val="normaltextrun"/>
                <w:rFonts w:ascii="Verdana" w:eastAsia="Arial" w:hAnsi="Verdana" w:cs="Arial"/>
                <w:sz w:val="16"/>
                <w:szCs w:val="16"/>
              </w:rPr>
              <w:t>Analista T2-</w:t>
            </w:r>
            <w:r>
              <w:rPr>
                <w:rStyle w:val="normaltextrun"/>
                <w:rFonts w:ascii="Verdana" w:eastAsia="Arial" w:hAnsi="Verdana" w:cs="Arial"/>
                <w:sz w:val="16"/>
                <w:szCs w:val="16"/>
              </w:rPr>
              <w:t>0</w:t>
            </w:r>
            <w:r w:rsidRPr="005C170B">
              <w:rPr>
                <w:rStyle w:val="normaltextrun"/>
                <w:rFonts w:ascii="Verdana" w:eastAsia="Arial" w:hAnsi="Verdana" w:cs="Arial"/>
                <w:sz w:val="16"/>
                <w:szCs w:val="16"/>
              </w:rPr>
              <w:t>1 de la Subdirección de Gestión Contractual</w:t>
            </w:r>
          </w:p>
        </w:tc>
      </w:tr>
      <w:tr w:rsidR="005677AF" w:rsidRPr="005C170B" w14:paraId="3810DFB5" w14:textId="77777777" w:rsidTr="00520FB3">
        <w:trPr>
          <w:trHeight w:val="330"/>
        </w:trPr>
        <w:tc>
          <w:tcPr>
            <w:tcW w:w="893" w:type="dxa"/>
            <w:vAlign w:val="center"/>
            <w:hideMark/>
          </w:tcPr>
          <w:p w14:paraId="004DE607" w14:textId="77777777" w:rsidR="005677AF" w:rsidRPr="005C170B" w:rsidRDefault="005677AF" w:rsidP="00520FB3">
            <w:pPr>
              <w:contextualSpacing/>
              <w:rPr>
                <w:rFonts w:ascii="Verdana" w:hAnsi="Verdana" w:cs="Arial"/>
                <w:sz w:val="16"/>
                <w:szCs w:val="16"/>
                <w:lang w:val="es-ES" w:eastAsia="es-ES"/>
              </w:rPr>
            </w:pPr>
            <w:r w:rsidRPr="005C170B">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477E39CA" w14:textId="77777777" w:rsidR="005677AF" w:rsidRDefault="005677AF" w:rsidP="00520FB3">
            <w:pPr>
              <w:pStyle w:val="paragraph"/>
              <w:spacing w:before="0" w:beforeAutospacing="0" w:after="0" w:afterAutospacing="0"/>
              <w:contextualSpacing/>
              <w:textAlignment w:val="baseline"/>
              <w:rPr>
                <w:rStyle w:val="normaltextrun"/>
                <w:rFonts w:ascii="Verdana" w:hAnsi="Verdana" w:cs="Arial"/>
                <w:sz w:val="16"/>
                <w:szCs w:val="16"/>
                <w:lang w:val="es-ES"/>
              </w:rPr>
            </w:pPr>
            <w:r>
              <w:rPr>
                <w:rStyle w:val="normaltextrun"/>
                <w:rFonts w:ascii="Verdana" w:hAnsi="Verdana" w:cs="Arial"/>
                <w:sz w:val="16"/>
                <w:szCs w:val="16"/>
                <w:lang w:val="es-ES"/>
              </w:rPr>
              <w:t xml:space="preserve">Diana Lucía Saavedra Castañeda </w:t>
            </w:r>
          </w:p>
          <w:p w14:paraId="507BCA68" w14:textId="77777777" w:rsidR="005677AF" w:rsidRPr="005C170B" w:rsidRDefault="005677AF" w:rsidP="00520FB3">
            <w:pPr>
              <w:pStyle w:val="paragraph"/>
              <w:spacing w:before="0" w:beforeAutospacing="0" w:after="0" w:afterAutospacing="0"/>
              <w:contextualSpacing/>
              <w:textAlignment w:val="baseline"/>
              <w:rPr>
                <w:rFonts w:ascii="Verdana" w:hAnsi="Verdana" w:cs="Arial"/>
                <w:sz w:val="16"/>
                <w:szCs w:val="16"/>
                <w:lang w:val="es-ES"/>
              </w:rPr>
            </w:pPr>
            <w:r w:rsidRPr="005C170B">
              <w:rPr>
                <w:rStyle w:val="normaltextrun"/>
                <w:rFonts w:ascii="Verdana" w:hAnsi="Verdana" w:cs="Arial"/>
                <w:sz w:val="16"/>
                <w:szCs w:val="16"/>
                <w:lang w:val="es-ES"/>
              </w:rPr>
              <w:t>Contratista de la Subdirección de Gestión Contractual</w:t>
            </w:r>
            <w:r w:rsidRPr="005C170B">
              <w:rPr>
                <w:rStyle w:val="eop"/>
                <w:rFonts w:ascii="Verdana" w:hAnsi="Verdana" w:cs="Arial"/>
                <w:sz w:val="16"/>
                <w:szCs w:val="16"/>
              </w:rPr>
              <w:t> </w:t>
            </w:r>
          </w:p>
        </w:tc>
      </w:tr>
      <w:tr w:rsidR="005677AF" w:rsidRPr="005C170B" w14:paraId="73E773BF" w14:textId="77777777" w:rsidTr="00520FB3">
        <w:trPr>
          <w:trHeight w:val="300"/>
        </w:trPr>
        <w:tc>
          <w:tcPr>
            <w:tcW w:w="893" w:type="dxa"/>
            <w:vAlign w:val="center"/>
          </w:tcPr>
          <w:p w14:paraId="7A62FA1E" w14:textId="77777777" w:rsidR="005677AF" w:rsidRPr="005C170B" w:rsidRDefault="005677AF" w:rsidP="00520FB3">
            <w:pPr>
              <w:contextualSpacing/>
              <w:rPr>
                <w:rFonts w:ascii="Verdana" w:hAnsi="Verdana" w:cs="Arial"/>
                <w:sz w:val="16"/>
                <w:szCs w:val="16"/>
                <w:lang w:val="es-ES" w:eastAsia="es-ES"/>
              </w:rPr>
            </w:pPr>
            <w:r w:rsidRPr="005C170B">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42224929" w14:textId="77777777" w:rsidR="005677AF" w:rsidRPr="005C170B" w:rsidRDefault="005677AF" w:rsidP="00520FB3">
            <w:pPr>
              <w:contextualSpacing/>
              <w:rPr>
                <w:rFonts w:ascii="Verdana" w:eastAsia="Calibri" w:hAnsi="Verdana" w:cs="Arial"/>
                <w:sz w:val="16"/>
                <w:szCs w:val="16"/>
                <w:lang w:val="pt-BR" w:eastAsia="es-ES"/>
              </w:rPr>
            </w:pPr>
            <w:r w:rsidRPr="005C170B">
              <w:rPr>
                <w:rFonts w:ascii="Verdana" w:eastAsia="Calibri" w:hAnsi="Verdana" w:cs="Arial"/>
                <w:sz w:val="16"/>
                <w:szCs w:val="16"/>
                <w:lang w:val="pt-BR" w:eastAsia="es-ES"/>
              </w:rPr>
              <w:t>Carolina Quintero Gacharná</w:t>
            </w:r>
          </w:p>
          <w:p w14:paraId="385D71E7" w14:textId="77777777" w:rsidR="005677AF" w:rsidRPr="005C170B" w:rsidRDefault="005677AF" w:rsidP="00520FB3">
            <w:pPr>
              <w:contextualSpacing/>
              <w:rPr>
                <w:rFonts w:ascii="Verdana" w:eastAsia="Calibri" w:hAnsi="Verdana" w:cs="Arial"/>
                <w:sz w:val="16"/>
                <w:szCs w:val="16"/>
                <w:lang w:val="pt-BR" w:eastAsia="es-ES"/>
              </w:rPr>
            </w:pPr>
            <w:r w:rsidRPr="005C170B">
              <w:rPr>
                <w:rFonts w:ascii="Verdana" w:eastAsia="Calibri" w:hAnsi="Verdana" w:cs="Arial"/>
                <w:sz w:val="16"/>
                <w:szCs w:val="16"/>
                <w:lang w:eastAsia="es-ES"/>
              </w:rPr>
              <w:t>Subdirectora</w:t>
            </w:r>
            <w:r w:rsidRPr="005C170B">
              <w:rPr>
                <w:rFonts w:ascii="Verdana" w:eastAsia="Calibri" w:hAnsi="Verdana" w:cs="Arial"/>
                <w:sz w:val="16"/>
                <w:szCs w:val="16"/>
                <w:lang w:val="pt-BR" w:eastAsia="es-ES"/>
              </w:rPr>
              <w:t xml:space="preserve"> de Gestión Contractual ANCP – CCE</w:t>
            </w:r>
          </w:p>
        </w:tc>
      </w:tr>
    </w:tbl>
    <w:p w14:paraId="0F293BF4" w14:textId="48477865" w:rsidR="00127233" w:rsidRPr="0015699B" w:rsidRDefault="00127233" w:rsidP="005677AF">
      <w:pPr>
        <w:spacing w:after="0" w:line="240" w:lineRule="auto"/>
        <w:jc w:val="both"/>
        <w:rPr>
          <w:rFonts w:ascii="Verdana" w:eastAsia="Verdana" w:hAnsi="Verdana" w:cs="Verdana"/>
          <w:lang w:eastAsia="es-CO"/>
        </w:rPr>
      </w:pPr>
    </w:p>
    <w:sectPr w:rsidR="00127233" w:rsidRPr="0015699B" w:rsidSect="007C0C0F">
      <w:headerReference w:type="default" r:id="rId15"/>
      <w:footerReference w:type="default" r:id="rId16"/>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19127" w14:textId="77777777" w:rsidR="00407803" w:rsidRDefault="00407803" w:rsidP="004A1847">
      <w:pPr>
        <w:spacing w:after="0" w:line="240" w:lineRule="auto"/>
      </w:pPr>
      <w:r>
        <w:separator/>
      </w:r>
    </w:p>
  </w:endnote>
  <w:endnote w:type="continuationSeparator" w:id="0">
    <w:p w14:paraId="50EB6B7C" w14:textId="77777777" w:rsidR="00407803" w:rsidRDefault="00407803"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29DAB" w14:textId="77777777" w:rsidR="00407803" w:rsidRDefault="00407803" w:rsidP="004A1847">
      <w:pPr>
        <w:spacing w:after="0" w:line="240" w:lineRule="auto"/>
      </w:pPr>
      <w:r>
        <w:separator/>
      </w:r>
    </w:p>
  </w:footnote>
  <w:footnote w:type="continuationSeparator" w:id="0">
    <w:p w14:paraId="53A0061F" w14:textId="77777777" w:rsidR="00407803" w:rsidRDefault="00407803" w:rsidP="004A1847">
      <w:pPr>
        <w:spacing w:after="0" w:line="240" w:lineRule="auto"/>
      </w:pPr>
      <w:r>
        <w:continuationSeparator/>
      </w:r>
    </w:p>
  </w:footnote>
  <w:footnote w:id="1">
    <w:p w14:paraId="10A8253C" w14:textId="77777777" w:rsidR="005677AF" w:rsidRPr="00F81738" w:rsidRDefault="005677AF" w:rsidP="005677AF">
      <w:pPr>
        <w:pStyle w:val="Textonotapie"/>
        <w:ind w:firstLine="709"/>
        <w:jc w:val="both"/>
        <w:rPr>
          <w:rFonts w:ascii="Verdana" w:hAnsi="Verdana"/>
          <w:sz w:val="18"/>
          <w:szCs w:val="18"/>
        </w:rPr>
      </w:pPr>
      <w:r w:rsidRPr="00F81738">
        <w:rPr>
          <w:rStyle w:val="Refdenotaalpie"/>
          <w:rFonts w:ascii="Verdana" w:hAnsi="Verdana"/>
          <w:sz w:val="18"/>
          <w:szCs w:val="18"/>
        </w:rPr>
        <w:footnoteRef/>
      </w:r>
      <w:r w:rsidRPr="00F81738">
        <w:rPr>
          <w:rFonts w:ascii="Verdana" w:hAnsi="Verdana"/>
          <w:sz w:val="18"/>
          <w:szCs w:val="18"/>
        </w:rPr>
        <w:t xml:space="preserve"> “ARTÍCULO 1o. DEL OBJETO. La presente ley tiene por objeto disponer las reglas y principios que rigen los contratos de las entidades estatales.</w:t>
      </w:r>
    </w:p>
    <w:p w14:paraId="1DA93036" w14:textId="77777777" w:rsidR="005677AF" w:rsidRPr="00F81738" w:rsidRDefault="005677AF" w:rsidP="005677AF">
      <w:pPr>
        <w:pStyle w:val="Textonotapie"/>
        <w:ind w:firstLine="709"/>
        <w:jc w:val="both"/>
        <w:rPr>
          <w:rFonts w:ascii="Verdana" w:hAnsi="Verdana"/>
          <w:sz w:val="18"/>
          <w:szCs w:val="18"/>
        </w:rPr>
      </w:pPr>
    </w:p>
  </w:footnote>
  <w:footnote w:id="2">
    <w:p w14:paraId="7EAB510B" w14:textId="77777777" w:rsidR="005677AF" w:rsidRPr="00F81738" w:rsidRDefault="005677AF" w:rsidP="005677AF">
      <w:pPr>
        <w:pStyle w:val="Textonotapie"/>
        <w:ind w:firstLine="709"/>
        <w:jc w:val="both"/>
        <w:rPr>
          <w:rFonts w:ascii="Verdana" w:hAnsi="Verdana"/>
          <w:sz w:val="18"/>
          <w:szCs w:val="18"/>
        </w:rPr>
      </w:pPr>
      <w:r w:rsidRPr="00F81738">
        <w:rPr>
          <w:rStyle w:val="Refdenotaalpie"/>
          <w:rFonts w:ascii="Verdana" w:hAnsi="Verdana"/>
          <w:sz w:val="18"/>
          <w:szCs w:val="18"/>
        </w:rPr>
        <w:footnoteRef/>
      </w:r>
      <w:r w:rsidRPr="00F81738">
        <w:rPr>
          <w:rFonts w:ascii="Verdana" w:hAnsi="Verdana"/>
          <w:sz w:val="18"/>
          <w:szCs w:val="18"/>
        </w:rPr>
        <w:t xml:space="preserve"> “ARTÍCULO 3o. DE LOS FINES DE LA CONTRATACIÓN ESTATAL. Los servidores públicos tendrán en consideración que al celebrar contratos y con la ejecución de </w:t>
      </w:r>
      <w:r w:rsidRPr="00F81738">
        <w:rPr>
          <w:rFonts w:ascii="Verdana" w:hAnsi="Verdana"/>
          <w:sz w:val="18"/>
          <w:szCs w:val="18"/>
        </w:rPr>
        <w:t xml:space="preserve">los mismos, las entidades buscan el cumplimiento de los fines estatales, la continua y eficiente prestación de los servicios públicos y la efectividad de los derechos e intereses de los administrados que colaboran con ellas en la consecución de dichos fines. […]”. </w:t>
      </w:r>
    </w:p>
    <w:p w14:paraId="0D511380" w14:textId="77777777" w:rsidR="005677AF" w:rsidRPr="00F81738" w:rsidRDefault="005677AF" w:rsidP="005677AF">
      <w:pPr>
        <w:pStyle w:val="Textonotapie"/>
        <w:ind w:firstLine="709"/>
        <w:jc w:val="both"/>
        <w:rPr>
          <w:rFonts w:ascii="Verdana" w:hAnsi="Verdana"/>
          <w:sz w:val="18"/>
          <w:szCs w:val="18"/>
        </w:rPr>
      </w:pPr>
    </w:p>
  </w:footnote>
  <w:footnote w:id="3">
    <w:p w14:paraId="7A65DCC1" w14:textId="77777777" w:rsidR="005677AF" w:rsidRPr="00F81738" w:rsidRDefault="005677AF" w:rsidP="005677AF">
      <w:pPr>
        <w:pStyle w:val="Textonotapie"/>
        <w:ind w:firstLine="709"/>
        <w:jc w:val="both"/>
        <w:rPr>
          <w:rFonts w:ascii="Verdana" w:hAnsi="Verdana"/>
          <w:sz w:val="18"/>
          <w:szCs w:val="18"/>
          <w:lang w:val="es-CO"/>
        </w:rPr>
      </w:pPr>
      <w:r w:rsidRPr="00F81738">
        <w:rPr>
          <w:rStyle w:val="Refdenotaalpie"/>
          <w:rFonts w:ascii="Verdana" w:hAnsi="Verdana"/>
          <w:sz w:val="18"/>
          <w:szCs w:val="18"/>
        </w:rPr>
        <w:footnoteRef/>
      </w:r>
      <w:r w:rsidRPr="00F81738">
        <w:rPr>
          <w:rFonts w:ascii="Verdana" w:hAnsi="Verdana"/>
          <w:sz w:val="18"/>
          <w:szCs w:val="18"/>
        </w:rPr>
        <w:t xml:space="preserve"> Constitución Política. Artículo 313, numeral 3. “</w:t>
      </w:r>
      <w:r w:rsidRPr="00F81738">
        <w:rPr>
          <w:rFonts w:ascii="Verdana" w:hAnsi="Verdana"/>
          <w:sz w:val="18"/>
          <w:szCs w:val="18"/>
          <w:lang w:val="es-CO"/>
        </w:rPr>
        <w:t>Autorizar al alcalde para celebrar contratos y ejercer pro tempore precisas funciones de las que correspondan al Concejo”.</w:t>
      </w:r>
    </w:p>
  </w:footnote>
  <w:footnote w:id="4">
    <w:p w14:paraId="30D2CE5A" w14:textId="77777777" w:rsidR="005677AF" w:rsidRPr="00F81738" w:rsidRDefault="005677AF" w:rsidP="005677AF">
      <w:pPr>
        <w:pStyle w:val="Textonotapie"/>
        <w:ind w:firstLine="709"/>
        <w:jc w:val="both"/>
        <w:rPr>
          <w:rFonts w:ascii="Verdana" w:hAnsi="Verdana"/>
          <w:sz w:val="18"/>
          <w:szCs w:val="18"/>
          <w:lang w:val="es-CO"/>
        </w:rPr>
      </w:pPr>
      <w:r w:rsidRPr="00F81738">
        <w:rPr>
          <w:rStyle w:val="Refdenotaalpie"/>
          <w:rFonts w:ascii="Verdana" w:hAnsi="Verdana"/>
          <w:sz w:val="18"/>
          <w:szCs w:val="18"/>
        </w:rPr>
        <w:footnoteRef/>
      </w:r>
      <w:r w:rsidRPr="00F81738">
        <w:rPr>
          <w:rFonts w:ascii="Verdana" w:hAnsi="Verdana"/>
          <w:sz w:val="18"/>
          <w:szCs w:val="18"/>
        </w:rPr>
        <w:t xml:space="preserve"> </w:t>
      </w:r>
      <w:bookmarkStart w:id="1" w:name="32"/>
      <w:r w:rsidRPr="00F81738">
        <w:rPr>
          <w:rFonts w:ascii="Verdana" w:hAnsi="Verdana"/>
          <w:sz w:val="18"/>
          <w:szCs w:val="18"/>
        </w:rPr>
        <w:t>“</w:t>
      </w:r>
      <w:r w:rsidRPr="00F81738">
        <w:rPr>
          <w:rFonts w:ascii="Verdana" w:hAnsi="Verdana"/>
          <w:sz w:val="18"/>
          <w:szCs w:val="18"/>
          <w:lang w:val="es-CO"/>
        </w:rPr>
        <w:t>ARTÍCULO 32. ATRIBUCIONES.</w:t>
      </w:r>
      <w:bookmarkEnd w:id="1"/>
      <w:r w:rsidRPr="00F81738">
        <w:rPr>
          <w:rFonts w:ascii="Verdana" w:hAnsi="Verdana"/>
          <w:sz w:val="18"/>
          <w:szCs w:val="18"/>
          <w:lang w:val="es-CO"/>
        </w:rPr>
        <w:t> &lt;Artículo modificado por el artículo </w:t>
      </w:r>
      <w:hyperlink r:id="rId1" w:anchor="18" w:history="1">
        <w:r w:rsidRPr="00F81738">
          <w:rPr>
            <w:rStyle w:val="Hipervnculo"/>
            <w:rFonts w:ascii="Verdana" w:hAnsi="Verdana"/>
            <w:color w:val="auto"/>
            <w:sz w:val="18"/>
            <w:szCs w:val="18"/>
            <w:u w:val="none"/>
            <w:lang w:val="es-CO"/>
          </w:rPr>
          <w:t>18</w:t>
        </w:r>
      </w:hyperlink>
      <w:r w:rsidRPr="00F81738">
        <w:rPr>
          <w:rFonts w:ascii="Verdana" w:hAnsi="Verdana"/>
          <w:sz w:val="18"/>
          <w:szCs w:val="18"/>
          <w:lang w:val="es-CO"/>
        </w:rPr>
        <w:t xml:space="preserve"> de la Ley 1551 de 2012. El nuevo texto es el siguiente:&gt; Además de las funciones que se le señalan en la Constitución y la ley, son atribuciones de los concejos las siguientes. </w:t>
      </w:r>
    </w:p>
    <w:p w14:paraId="22431E73" w14:textId="77777777" w:rsidR="005677AF" w:rsidRPr="00F81738" w:rsidRDefault="005677AF" w:rsidP="005677AF">
      <w:pPr>
        <w:pStyle w:val="Textonotapie"/>
        <w:ind w:firstLine="709"/>
        <w:jc w:val="both"/>
        <w:rPr>
          <w:rFonts w:ascii="Verdana" w:hAnsi="Verdana"/>
          <w:sz w:val="18"/>
          <w:szCs w:val="18"/>
          <w:lang w:val="es-CO"/>
        </w:rPr>
      </w:pPr>
      <w:r w:rsidRPr="00F81738">
        <w:rPr>
          <w:rFonts w:ascii="Verdana" w:hAnsi="Verdana"/>
          <w:sz w:val="18"/>
          <w:szCs w:val="18"/>
          <w:lang w:val="es-CO"/>
        </w:rPr>
        <w:t xml:space="preserve">[…] </w:t>
      </w:r>
    </w:p>
    <w:p w14:paraId="03F3EDC2" w14:textId="77777777" w:rsidR="005677AF" w:rsidRPr="00F81738" w:rsidRDefault="005677AF" w:rsidP="005677AF">
      <w:pPr>
        <w:pStyle w:val="Textonotapie"/>
        <w:ind w:firstLine="709"/>
        <w:jc w:val="both"/>
        <w:rPr>
          <w:rFonts w:ascii="Verdana" w:hAnsi="Verdana"/>
          <w:sz w:val="18"/>
          <w:szCs w:val="18"/>
          <w:lang w:val="es-CO"/>
        </w:rPr>
      </w:pPr>
      <w:r w:rsidRPr="00F81738">
        <w:rPr>
          <w:rFonts w:ascii="Verdana" w:hAnsi="Verdana"/>
          <w:sz w:val="18"/>
          <w:szCs w:val="18"/>
          <w:lang w:val="es-CO"/>
        </w:rPr>
        <w:t>3. Reglamentar la autorización al alcalde para contratar, señalando los casos en que requiere autorización previa del Concejo. […]”</w:t>
      </w:r>
    </w:p>
    <w:p w14:paraId="3FF4E5FF" w14:textId="77777777" w:rsidR="005677AF" w:rsidRPr="00F81738" w:rsidRDefault="005677AF" w:rsidP="005677AF">
      <w:pPr>
        <w:pStyle w:val="Textonotapie"/>
        <w:ind w:firstLine="709"/>
        <w:jc w:val="both"/>
        <w:rPr>
          <w:rFonts w:ascii="Verdana" w:hAnsi="Verdana"/>
          <w:sz w:val="18"/>
          <w:szCs w:val="18"/>
        </w:rPr>
      </w:pPr>
    </w:p>
  </w:footnote>
  <w:footnote w:id="5">
    <w:p w14:paraId="31283C28" w14:textId="77777777" w:rsidR="005677AF" w:rsidRPr="00F81738" w:rsidRDefault="005677AF" w:rsidP="005677AF">
      <w:pPr>
        <w:pStyle w:val="Textonotapie"/>
        <w:ind w:firstLine="709"/>
        <w:jc w:val="both"/>
        <w:rPr>
          <w:rFonts w:ascii="Verdana" w:hAnsi="Verdana"/>
          <w:sz w:val="18"/>
          <w:szCs w:val="18"/>
        </w:rPr>
      </w:pPr>
      <w:r w:rsidRPr="00F81738">
        <w:rPr>
          <w:rStyle w:val="Refdenotaalpie"/>
          <w:rFonts w:ascii="Verdana" w:hAnsi="Verdana"/>
          <w:sz w:val="18"/>
          <w:szCs w:val="18"/>
        </w:rPr>
        <w:footnoteRef/>
      </w:r>
      <w:r w:rsidRPr="00F81738">
        <w:rPr>
          <w:rFonts w:ascii="Verdana" w:hAnsi="Verdana"/>
          <w:sz w:val="18"/>
          <w:szCs w:val="18"/>
        </w:rPr>
        <w:t xml:space="preserve"> “ARTÍCULO 1443. </w:t>
      </w:r>
      <w:r w:rsidRPr="00F81738">
        <w:rPr>
          <w:rFonts w:ascii="Verdana" w:hAnsi="Verdana"/>
          <w:sz w:val="18"/>
          <w:szCs w:val="18"/>
          <w:lang w:val="es-CO"/>
        </w:rPr>
        <w:t xml:space="preserve">La donación entre vivos es un acto por el cual una persona transfiere, gratuita e irrevocablemente, una parte de sus bienes a otra persona que la acepta”. </w:t>
      </w:r>
      <w:r w:rsidRPr="00F81738">
        <w:rPr>
          <w:rFonts w:ascii="Verdana" w:hAnsi="Verdana"/>
          <w:sz w:val="18"/>
          <w:szCs w:val="18"/>
          <w:lang w:val="es-CO"/>
        </w:rPr>
        <w:br/>
      </w:r>
    </w:p>
  </w:footnote>
  <w:footnote w:id="6">
    <w:p w14:paraId="6F98A02C" w14:textId="77777777" w:rsidR="005677AF" w:rsidRPr="00F81738" w:rsidRDefault="005677AF" w:rsidP="005677AF">
      <w:pPr>
        <w:pStyle w:val="Textonotapie"/>
        <w:ind w:firstLine="709"/>
        <w:jc w:val="both"/>
        <w:rPr>
          <w:rFonts w:ascii="Verdana" w:hAnsi="Verdana"/>
          <w:sz w:val="18"/>
          <w:szCs w:val="18"/>
        </w:rPr>
      </w:pPr>
      <w:r w:rsidRPr="00F81738">
        <w:rPr>
          <w:rStyle w:val="Refdenotaalpie"/>
          <w:rFonts w:ascii="Verdana" w:hAnsi="Verdana"/>
          <w:sz w:val="18"/>
          <w:szCs w:val="18"/>
        </w:rPr>
        <w:footnoteRef/>
      </w:r>
      <w:r w:rsidRPr="00F81738">
        <w:rPr>
          <w:rFonts w:ascii="Verdana" w:hAnsi="Verdana"/>
          <w:sz w:val="18"/>
          <w:szCs w:val="18"/>
        </w:rPr>
        <w:t xml:space="preserve"> Constitución Política de Colombia. Artículo 355. </w:t>
      </w:r>
      <w:r w:rsidRPr="00F81738">
        <w:rPr>
          <w:rFonts w:ascii="Verdana" w:hAnsi="Verdana"/>
          <w:sz w:val="18"/>
          <w:szCs w:val="18"/>
          <w:lang w:val="es-CO"/>
        </w:rPr>
        <w:t>Ninguna de las ramas u órganos del poder público podrá decretar auxilios o donaciones en favor de personas naturales o jurídicas de derecho privado. El Gobierno, en los niveles nacional, departamental, distrital y municipal podrá, con recursos de los respectivos presupuestos, celebrar contratos con entidades privadas sin ánimo de lucro y de reconocida idoneidad con el fin de impulsar programas y actividades de interés público acordes con el Plan Nacional y los planes seccionales de Desarrollo. El Gobierno Nacional reglamentará la materia.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7590"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1B781E"/>
    <w:multiLevelType w:val="hybridMultilevel"/>
    <w:tmpl w:val="6DCCB7D2"/>
    <w:lvl w:ilvl="0" w:tplc="62B67DCC">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095F4281"/>
    <w:multiLevelType w:val="hybridMultilevel"/>
    <w:tmpl w:val="CCF8BE0A"/>
    <w:lvl w:ilvl="0" w:tplc="26BC6B42">
      <w:start w:val="1"/>
      <w:numFmt w:val="lowerLetter"/>
      <w:lvlText w:val="%1)"/>
      <w:lvlJc w:val="left"/>
      <w:pPr>
        <w:ind w:left="1069" w:hanging="360"/>
      </w:pPr>
      <w:rPr>
        <w:rFonts w:hint="default"/>
        <w:i/>
        <w:iCs/>
        <w:sz w:val="18"/>
        <w:szCs w:val="18"/>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5" w15:restartNumberingAfterBreak="0">
    <w:nsid w:val="0E3A713D"/>
    <w:multiLevelType w:val="hybridMultilevel"/>
    <w:tmpl w:val="25522004"/>
    <w:lvl w:ilvl="0" w:tplc="CF48BA1A">
      <w:numFmt w:val="bullet"/>
      <w:lvlText w:val="-"/>
      <w:lvlJc w:val="left"/>
      <w:pPr>
        <w:ind w:left="1069" w:hanging="360"/>
      </w:pPr>
      <w:rPr>
        <w:rFonts w:ascii="Verdana" w:eastAsia="Calibri" w:hAnsi="Verdana" w:cs="Arial"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6" w15:restartNumberingAfterBreak="0">
    <w:nsid w:val="1CA3503D"/>
    <w:multiLevelType w:val="hybridMultilevel"/>
    <w:tmpl w:val="B8C87EB2"/>
    <w:lvl w:ilvl="0" w:tplc="8DD0EDD6">
      <w:start w:val="1"/>
      <w:numFmt w:val="decimal"/>
      <w:lvlText w:val="%1-"/>
      <w:lvlJc w:val="left"/>
      <w:pPr>
        <w:ind w:left="1429" w:hanging="360"/>
      </w:pPr>
      <w:rPr>
        <w:rFonts w:hint="default"/>
      </w:r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7" w15:restartNumberingAfterBreak="0">
    <w:nsid w:val="22EA1896"/>
    <w:multiLevelType w:val="multilevel"/>
    <w:tmpl w:val="F020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3E407F"/>
    <w:multiLevelType w:val="hybridMultilevel"/>
    <w:tmpl w:val="3BD84504"/>
    <w:lvl w:ilvl="0" w:tplc="97F8AF00">
      <w:start w:val="1"/>
      <w:numFmt w:val="decimal"/>
      <w:lvlText w:val="%1."/>
      <w:lvlJc w:val="left"/>
      <w:pPr>
        <w:ind w:left="1429" w:hanging="360"/>
      </w:pPr>
      <w:rPr>
        <w:rFonts w:hint="default"/>
      </w:r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10" w15:restartNumberingAfterBreak="0">
    <w:nsid w:val="2B273EF8"/>
    <w:multiLevelType w:val="multilevel"/>
    <w:tmpl w:val="CC50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4F31B4"/>
    <w:multiLevelType w:val="hybridMultilevel"/>
    <w:tmpl w:val="5E6CCB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F7B3982"/>
    <w:multiLevelType w:val="multilevel"/>
    <w:tmpl w:val="C76C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45A0C93"/>
    <w:multiLevelType w:val="multilevel"/>
    <w:tmpl w:val="21E6C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1101A1"/>
    <w:multiLevelType w:val="multilevel"/>
    <w:tmpl w:val="6B2E4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47401C1B"/>
    <w:multiLevelType w:val="hybridMultilevel"/>
    <w:tmpl w:val="E7B6B368"/>
    <w:lvl w:ilvl="0" w:tplc="D546897C">
      <w:start w:val="1"/>
      <w:numFmt w:val="lowerRoman"/>
      <w:lvlText w:val="%1."/>
      <w:lvlJc w:val="left"/>
      <w:pPr>
        <w:ind w:left="720" w:hanging="72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2" w15:restartNumberingAfterBreak="0">
    <w:nsid w:val="4C493EA9"/>
    <w:multiLevelType w:val="hybridMultilevel"/>
    <w:tmpl w:val="A55A14FA"/>
    <w:lvl w:ilvl="0" w:tplc="B6E88592">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3" w15:restartNumberingAfterBreak="0">
    <w:nsid w:val="52A36B3F"/>
    <w:multiLevelType w:val="hybridMultilevel"/>
    <w:tmpl w:val="7BE6BF8A"/>
    <w:lvl w:ilvl="0" w:tplc="AFE0C0FA">
      <w:start w:val="1"/>
      <w:numFmt w:val="lowerRoman"/>
      <w:lvlText w:val="%1."/>
      <w:lvlJc w:val="left"/>
      <w:pPr>
        <w:ind w:left="1429" w:hanging="720"/>
      </w:pPr>
      <w:rPr>
        <w:rFonts w:hint="default"/>
        <w:b/>
        <w:bCs w:val="0"/>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4" w15:restartNumberingAfterBreak="0">
    <w:nsid w:val="562F1C37"/>
    <w:multiLevelType w:val="hybridMultilevel"/>
    <w:tmpl w:val="21F624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1071440"/>
    <w:multiLevelType w:val="hybridMultilevel"/>
    <w:tmpl w:val="23E8CFD2"/>
    <w:lvl w:ilvl="0" w:tplc="1C08DDA2">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6"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27"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26D1F44"/>
    <w:multiLevelType w:val="hybridMultilevel"/>
    <w:tmpl w:val="38ACA4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9630B40"/>
    <w:multiLevelType w:val="hybridMultilevel"/>
    <w:tmpl w:val="376459FA"/>
    <w:lvl w:ilvl="0" w:tplc="9536ACF8">
      <w:numFmt w:val="bullet"/>
      <w:lvlText w:val="-"/>
      <w:lvlJc w:val="left"/>
      <w:pPr>
        <w:ind w:left="1429" w:hanging="360"/>
      </w:pPr>
      <w:rPr>
        <w:rFonts w:ascii="Verdana" w:eastAsia="Calibri" w:hAnsi="Verdana" w:cs="Aria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33" w15:restartNumberingAfterBreak="0">
    <w:nsid w:val="7C190BA4"/>
    <w:multiLevelType w:val="hybridMultilevel"/>
    <w:tmpl w:val="2ED2866E"/>
    <w:lvl w:ilvl="0" w:tplc="AA806230">
      <w:start w:val="1"/>
      <w:numFmt w:val="decimal"/>
      <w:lvlText w:val="%1."/>
      <w:lvlJc w:val="left"/>
      <w:pPr>
        <w:ind w:left="1028" w:hanging="221"/>
      </w:pPr>
      <w:rPr>
        <w:rFonts w:ascii="Arial" w:eastAsia="Arial" w:hAnsi="Arial" w:cs="Arial" w:hint="default"/>
        <w:color w:val="auto"/>
        <w:spacing w:val="-2"/>
        <w:w w:val="100"/>
        <w:sz w:val="22"/>
        <w:szCs w:val="22"/>
        <w:lang w:val="es-ES" w:eastAsia="es-ES" w:bidi="es-ES"/>
      </w:rPr>
    </w:lvl>
    <w:lvl w:ilvl="1" w:tplc="053E5822">
      <w:numFmt w:val="bullet"/>
      <w:lvlText w:val="•"/>
      <w:lvlJc w:val="left"/>
      <w:pPr>
        <w:ind w:left="1846" w:hanging="221"/>
      </w:pPr>
      <w:rPr>
        <w:rFonts w:hint="default"/>
        <w:lang w:val="es-ES" w:eastAsia="es-ES" w:bidi="es-ES"/>
      </w:rPr>
    </w:lvl>
    <w:lvl w:ilvl="2" w:tplc="90242A8E">
      <w:numFmt w:val="bullet"/>
      <w:lvlText w:val="•"/>
      <w:lvlJc w:val="left"/>
      <w:pPr>
        <w:ind w:left="2672" w:hanging="221"/>
      </w:pPr>
      <w:rPr>
        <w:rFonts w:hint="default"/>
        <w:lang w:val="es-ES" w:eastAsia="es-ES" w:bidi="es-ES"/>
      </w:rPr>
    </w:lvl>
    <w:lvl w:ilvl="3" w:tplc="E160CF42">
      <w:numFmt w:val="bullet"/>
      <w:lvlText w:val="•"/>
      <w:lvlJc w:val="left"/>
      <w:pPr>
        <w:ind w:left="3498" w:hanging="221"/>
      </w:pPr>
      <w:rPr>
        <w:rFonts w:hint="default"/>
        <w:lang w:val="es-ES" w:eastAsia="es-ES" w:bidi="es-ES"/>
      </w:rPr>
    </w:lvl>
    <w:lvl w:ilvl="4" w:tplc="9B26973A">
      <w:numFmt w:val="bullet"/>
      <w:lvlText w:val="•"/>
      <w:lvlJc w:val="left"/>
      <w:pPr>
        <w:ind w:left="4324" w:hanging="221"/>
      </w:pPr>
      <w:rPr>
        <w:rFonts w:hint="default"/>
        <w:lang w:val="es-ES" w:eastAsia="es-ES" w:bidi="es-ES"/>
      </w:rPr>
    </w:lvl>
    <w:lvl w:ilvl="5" w:tplc="017409CE">
      <w:numFmt w:val="bullet"/>
      <w:lvlText w:val="•"/>
      <w:lvlJc w:val="left"/>
      <w:pPr>
        <w:ind w:left="5150" w:hanging="221"/>
      </w:pPr>
      <w:rPr>
        <w:rFonts w:hint="default"/>
        <w:lang w:val="es-ES" w:eastAsia="es-ES" w:bidi="es-ES"/>
      </w:rPr>
    </w:lvl>
    <w:lvl w:ilvl="6" w:tplc="870EC5D4">
      <w:numFmt w:val="bullet"/>
      <w:lvlText w:val="•"/>
      <w:lvlJc w:val="left"/>
      <w:pPr>
        <w:ind w:left="5976" w:hanging="221"/>
      </w:pPr>
      <w:rPr>
        <w:rFonts w:hint="default"/>
        <w:lang w:val="es-ES" w:eastAsia="es-ES" w:bidi="es-ES"/>
      </w:rPr>
    </w:lvl>
    <w:lvl w:ilvl="7" w:tplc="F4B4208E">
      <w:numFmt w:val="bullet"/>
      <w:lvlText w:val="•"/>
      <w:lvlJc w:val="left"/>
      <w:pPr>
        <w:ind w:left="6802" w:hanging="221"/>
      </w:pPr>
      <w:rPr>
        <w:rFonts w:hint="default"/>
        <w:lang w:val="es-ES" w:eastAsia="es-ES" w:bidi="es-ES"/>
      </w:rPr>
    </w:lvl>
    <w:lvl w:ilvl="8" w:tplc="55B09E2E">
      <w:numFmt w:val="bullet"/>
      <w:lvlText w:val="•"/>
      <w:lvlJc w:val="left"/>
      <w:pPr>
        <w:ind w:left="7628" w:hanging="221"/>
      </w:pPr>
      <w:rPr>
        <w:rFonts w:hint="default"/>
        <w:lang w:val="es-ES" w:eastAsia="es-ES" w:bidi="es-ES"/>
      </w:rPr>
    </w:lvl>
  </w:abstractNum>
  <w:num w:numId="1" w16cid:durableId="948779781">
    <w:abstractNumId w:val="15"/>
  </w:num>
  <w:num w:numId="2" w16cid:durableId="19822139">
    <w:abstractNumId w:val="3"/>
  </w:num>
  <w:num w:numId="3" w16cid:durableId="876742304">
    <w:abstractNumId w:val="13"/>
  </w:num>
  <w:num w:numId="4" w16cid:durableId="2451864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3"/>
  </w:num>
  <w:num w:numId="6" w16cid:durableId="316692925">
    <w:abstractNumId w:val="29"/>
  </w:num>
  <w:num w:numId="7" w16cid:durableId="1946422806">
    <w:abstractNumId w:val="14"/>
  </w:num>
  <w:num w:numId="8" w16cid:durableId="152644682">
    <w:abstractNumId w:val="28"/>
  </w:num>
  <w:num w:numId="9" w16cid:durableId="1317221377">
    <w:abstractNumId w:val="18"/>
  </w:num>
  <w:num w:numId="10" w16cid:durableId="1471245386">
    <w:abstractNumId w:val="27"/>
  </w:num>
  <w:num w:numId="11" w16cid:durableId="289172385">
    <w:abstractNumId w:val="19"/>
  </w:num>
  <w:num w:numId="12" w16cid:durableId="1470781324">
    <w:abstractNumId w:val="1"/>
  </w:num>
  <w:num w:numId="13" w16cid:durableId="1512908409">
    <w:abstractNumId w:val="8"/>
  </w:num>
  <w:num w:numId="14" w16cid:durableId="895897244">
    <w:abstractNumId w:val="30"/>
  </w:num>
  <w:num w:numId="15" w16cid:durableId="390349800">
    <w:abstractNumId w:val="26"/>
  </w:num>
  <w:num w:numId="16" w16cid:durableId="1227110730">
    <w:abstractNumId w:val="0"/>
  </w:num>
  <w:num w:numId="17" w16cid:durableId="2068841316">
    <w:abstractNumId w:val="4"/>
  </w:num>
  <w:num w:numId="18" w16cid:durableId="1144280152">
    <w:abstractNumId w:val="31"/>
  </w:num>
  <w:num w:numId="19" w16cid:durableId="1602300139">
    <w:abstractNumId w:val="5"/>
  </w:num>
  <w:num w:numId="20" w16cid:durableId="1397629488">
    <w:abstractNumId w:val="24"/>
  </w:num>
  <w:num w:numId="21" w16cid:durableId="861283267">
    <w:abstractNumId w:val="11"/>
  </w:num>
  <w:num w:numId="22" w16cid:durableId="1235579301">
    <w:abstractNumId w:val="10"/>
  </w:num>
  <w:num w:numId="23" w16cid:durableId="545802288">
    <w:abstractNumId w:val="25"/>
  </w:num>
  <w:num w:numId="24" w16cid:durableId="784346637">
    <w:abstractNumId w:val="22"/>
  </w:num>
  <w:num w:numId="25" w16cid:durableId="54940666">
    <w:abstractNumId w:val="21"/>
  </w:num>
  <w:num w:numId="26" w16cid:durableId="828255882">
    <w:abstractNumId w:val="12"/>
  </w:num>
  <w:num w:numId="27" w16cid:durableId="838082249">
    <w:abstractNumId w:val="6"/>
  </w:num>
  <w:num w:numId="28" w16cid:durableId="713697127">
    <w:abstractNumId w:val="9"/>
  </w:num>
  <w:num w:numId="29" w16cid:durableId="2010978719">
    <w:abstractNumId w:val="23"/>
  </w:num>
  <w:num w:numId="30" w16cid:durableId="1070083242">
    <w:abstractNumId w:val="2"/>
  </w:num>
  <w:num w:numId="31" w16cid:durableId="1869291622">
    <w:abstractNumId w:val="7"/>
  </w:num>
  <w:num w:numId="32" w16cid:durableId="539585464">
    <w:abstractNumId w:val="32"/>
  </w:num>
  <w:num w:numId="33" w16cid:durableId="1648050763">
    <w:abstractNumId w:val="16"/>
  </w:num>
  <w:num w:numId="34" w16cid:durableId="691802391">
    <w:abstractNumId w:val="20"/>
  </w:num>
  <w:num w:numId="35" w16cid:durableId="1951084018">
    <w:abstractNumId w:val="17"/>
  </w:num>
  <w:num w:numId="36" w16cid:durableId="95775930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3541"/>
    <w:rsid w:val="0000498F"/>
    <w:rsid w:val="00006513"/>
    <w:rsid w:val="000070FD"/>
    <w:rsid w:val="0001041A"/>
    <w:rsid w:val="000124D2"/>
    <w:rsid w:val="00015BF9"/>
    <w:rsid w:val="00016F78"/>
    <w:rsid w:val="00017468"/>
    <w:rsid w:val="0001755B"/>
    <w:rsid w:val="000208DF"/>
    <w:rsid w:val="00024220"/>
    <w:rsid w:val="000271E3"/>
    <w:rsid w:val="0002754A"/>
    <w:rsid w:val="00027585"/>
    <w:rsid w:val="00027F95"/>
    <w:rsid w:val="00034FE9"/>
    <w:rsid w:val="00043D21"/>
    <w:rsid w:val="00044F37"/>
    <w:rsid w:val="00045A4D"/>
    <w:rsid w:val="00045EDD"/>
    <w:rsid w:val="00046945"/>
    <w:rsid w:val="00050D7F"/>
    <w:rsid w:val="000516C9"/>
    <w:rsid w:val="00054748"/>
    <w:rsid w:val="000551B1"/>
    <w:rsid w:val="000552E4"/>
    <w:rsid w:val="000559A6"/>
    <w:rsid w:val="000612FD"/>
    <w:rsid w:val="00061B2A"/>
    <w:rsid w:val="00061F0A"/>
    <w:rsid w:val="00063B8B"/>
    <w:rsid w:val="000642C7"/>
    <w:rsid w:val="00064366"/>
    <w:rsid w:val="00065BE6"/>
    <w:rsid w:val="000675E2"/>
    <w:rsid w:val="0006788D"/>
    <w:rsid w:val="00071AD1"/>
    <w:rsid w:val="00073537"/>
    <w:rsid w:val="00074D61"/>
    <w:rsid w:val="00081F35"/>
    <w:rsid w:val="00082362"/>
    <w:rsid w:val="00082625"/>
    <w:rsid w:val="00083164"/>
    <w:rsid w:val="00085500"/>
    <w:rsid w:val="00085661"/>
    <w:rsid w:val="00086CF8"/>
    <w:rsid w:val="000905F3"/>
    <w:rsid w:val="0009582C"/>
    <w:rsid w:val="00096A63"/>
    <w:rsid w:val="000A0B60"/>
    <w:rsid w:val="000A683E"/>
    <w:rsid w:val="000B1665"/>
    <w:rsid w:val="000B19B9"/>
    <w:rsid w:val="000B3AA3"/>
    <w:rsid w:val="000B4761"/>
    <w:rsid w:val="000C4AB7"/>
    <w:rsid w:val="000C6236"/>
    <w:rsid w:val="000D0334"/>
    <w:rsid w:val="000D2881"/>
    <w:rsid w:val="000D5DA7"/>
    <w:rsid w:val="000D6C73"/>
    <w:rsid w:val="000D7F7E"/>
    <w:rsid w:val="000E06D3"/>
    <w:rsid w:val="000E0836"/>
    <w:rsid w:val="000E379A"/>
    <w:rsid w:val="000F3573"/>
    <w:rsid w:val="000F6486"/>
    <w:rsid w:val="000F6BE7"/>
    <w:rsid w:val="000F77CB"/>
    <w:rsid w:val="0010054E"/>
    <w:rsid w:val="0010084B"/>
    <w:rsid w:val="00100A83"/>
    <w:rsid w:val="00100D82"/>
    <w:rsid w:val="00101496"/>
    <w:rsid w:val="00102C27"/>
    <w:rsid w:val="0010594F"/>
    <w:rsid w:val="00114EDD"/>
    <w:rsid w:val="001160B5"/>
    <w:rsid w:val="00116491"/>
    <w:rsid w:val="00116940"/>
    <w:rsid w:val="00116E26"/>
    <w:rsid w:val="001221DD"/>
    <w:rsid w:val="00122859"/>
    <w:rsid w:val="00122AE8"/>
    <w:rsid w:val="00122C77"/>
    <w:rsid w:val="001235F9"/>
    <w:rsid w:val="0012459F"/>
    <w:rsid w:val="00125105"/>
    <w:rsid w:val="0012563B"/>
    <w:rsid w:val="001268C0"/>
    <w:rsid w:val="00127233"/>
    <w:rsid w:val="001279A7"/>
    <w:rsid w:val="00131B48"/>
    <w:rsid w:val="00132271"/>
    <w:rsid w:val="00132EC2"/>
    <w:rsid w:val="00136760"/>
    <w:rsid w:val="001425B2"/>
    <w:rsid w:val="00144F0A"/>
    <w:rsid w:val="00146153"/>
    <w:rsid w:val="001508C2"/>
    <w:rsid w:val="00153AA8"/>
    <w:rsid w:val="00155C47"/>
    <w:rsid w:val="0015699B"/>
    <w:rsid w:val="0016152E"/>
    <w:rsid w:val="00163847"/>
    <w:rsid w:val="00163859"/>
    <w:rsid w:val="00163877"/>
    <w:rsid w:val="00164BED"/>
    <w:rsid w:val="00165403"/>
    <w:rsid w:val="00166D3E"/>
    <w:rsid w:val="00175917"/>
    <w:rsid w:val="0017657C"/>
    <w:rsid w:val="0018173F"/>
    <w:rsid w:val="00184EDC"/>
    <w:rsid w:val="00185005"/>
    <w:rsid w:val="00185D58"/>
    <w:rsid w:val="00186005"/>
    <w:rsid w:val="00186325"/>
    <w:rsid w:val="00191907"/>
    <w:rsid w:val="001921BC"/>
    <w:rsid w:val="00192F16"/>
    <w:rsid w:val="00193637"/>
    <w:rsid w:val="00194792"/>
    <w:rsid w:val="00195DF6"/>
    <w:rsid w:val="00197C83"/>
    <w:rsid w:val="00197FB5"/>
    <w:rsid w:val="001A05CA"/>
    <w:rsid w:val="001A1C4B"/>
    <w:rsid w:val="001A33BF"/>
    <w:rsid w:val="001A4606"/>
    <w:rsid w:val="001B12AB"/>
    <w:rsid w:val="001B797F"/>
    <w:rsid w:val="001B7BFE"/>
    <w:rsid w:val="001C05C4"/>
    <w:rsid w:val="001C0D62"/>
    <w:rsid w:val="001C1E35"/>
    <w:rsid w:val="001C2183"/>
    <w:rsid w:val="001C4E7B"/>
    <w:rsid w:val="001D0189"/>
    <w:rsid w:val="001D2F32"/>
    <w:rsid w:val="001D5D34"/>
    <w:rsid w:val="001D638B"/>
    <w:rsid w:val="001D6AE3"/>
    <w:rsid w:val="001E0D84"/>
    <w:rsid w:val="001E136F"/>
    <w:rsid w:val="001E17F3"/>
    <w:rsid w:val="001E4177"/>
    <w:rsid w:val="001E5022"/>
    <w:rsid w:val="001E6873"/>
    <w:rsid w:val="001F02F6"/>
    <w:rsid w:val="001F0B24"/>
    <w:rsid w:val="001F7DC6"/>
    <w:rsid w:val="0020050D"/>
    <w:rsid w:val="00210F23"/>
    <w:rsid w:val="00211AE1"/>
    <w:rsid w:val="002137F4"/>
    <w:rsid w:val="00213EDE"/>
    <w:rsid w:val="002144E5"/>
    <w:rsid w:val="002222AC"/>
    <w:rsid w:val="0022400B"/>
    <w:rsid w:val="0022405D"/>
    <w:rsid w:val="002250D6"/>
    <w:rsid w:val="0023261B"/>
    <w:rsid w:val="00233874"/>
    <w:rsid w:val="00233CB5"/>
    <w:rsid w:val="00236CD9"/>
    <w:rsid w:val="00241F9B"/>
    <w:rsid w:val="002421BB"/>
    <w:rsid w:val="002422E4"/>
    <w:rsid w:val="00243DE9"/>
    <w:rsid w:val="002472D1"/>
    <w:rsid w:val="002516B1"/>
    <w:rsid w:val="002518AD"/>
    <w:rsid w:val="00252165"/>
    <w:rsid w:val="00254843"/>
    <w:rsid w:val="002576DC"/>
    <w:rsid w:val="0025796E"/>
    <w:rsid w:val="00263AC8"/>
    <w:rsid w:val="00266E15"/>
    <w:rsid w:val="00267882"/>
    <w:rsid w:val="002707A2"/>
    <w:rsid w:val="00270C1A"/>
    <w:rsid w:val="00274519"/>
    <w:rsid w:val="00275543"/>
    <w:rsid w:val="00275975"/>
    <w:rsid w:val="00276A1A"/>
    <w:rsid w:val="00282002"/>
    <w:rsid w:val="00282862"/>
    <w:rsid w:val="00282D17"/>
    <w:rsid w:val="0028468B"/>
    <w:rsid w:val="00284A38"/>
    <w:rsid w:val="002851EA"/>
    <w:rsid w:val="002873C7"/>
    <w:rsid w:val="002915F2"/>
    <w:rsid w:val="002951A0"/>
    <w:rsid w:val="002962BC"/>
    <w:rsid w:val="00296783"/>
    <w:rsid w:val="002A093D"/>
    <w:rsid w:val="002A0DD0"/>
    <w:rsid w:val="002A1B48"/>
    <w:rsid w:val="002A49AC"/>
    <w:rsid w:val="002A6158"/>
    <w:rsid w:val="002A64FD"/>
    <w:rsid w:val="002A7D0D"/>
    <w:rsid w:val="002B1D63"/>
    <w:rsid w:val="002B2D20"/>
    <w:rsid w:val="002B4237"/>
    <w:rsid w:val="002B5B71"/>
    <w:rsid w:val="002B7BBB"/>
    <w:rsid w:val="002B7ECD"/>
    <w:rsid w:val="002C1D40"/>
    <w:rsid w:val="002C2DF2"/>
    <w:rsid w:val="002C376B"/>
    <w:rsid w:val="002C3C40"/>
    <w:rsid w:val="002C4290"/>
    <w:rsid w:val="002C7A84"/>
    <w:rsid w:val="002D321C"/>
    <w:rsid w:val="002D3B15"/>
    <w:rsid w:val="002E0DEA"/>
    <w:rsid w:val="002E2BF8"/>
    <w:rsid w:val="002E37B2"/>
    <w:rsid w:val="002E38C5"/>
    <w:rsid w:val="002E4EA1"/>
    <w:rsid w:val="002E4FD9"/>
    <w:rsid w:val="002E58E6"/>
    <w:rsid w:val="002F4067"/>
    <w:rsid w:val="00301B67"/>
    <w:rsid w:val="00302AD8"/>
    <w:rsid w:val="003049E8"/>
    <w:rsid w:val="0030657A"/>
    <w:rsid w:val="0030754F"/>
    <w:rsid w:val="00310057"/>
    <w:rsid w:val="00313696"/>
    <w:rsid w:val="003144F7"/>
    <w:rsid w:val="003148E3"/>
    <w:rsid w:val="00315308"/>
    <w:rsid w:val="00316CC9"/>
    <w:rsid w:val="003201DF"/>
    <w:rsid w:val="00321155"/>
    <w:rsid w:val="00321D63"/>
    <w:rsid w:val="003224F9"/>
    <w:rsid w:val="00322A85"/>
    <w:rsid w:val="00323AFD"/>
    <w:rsid w:val="00324168"/>
    <w:rsid w:val="00325AE0"/>
    <w:rsid w:val="00327136"/>
    <w:rsid w:val="00330834"/>
    <w:rsid w:val="00331CC4"/>
    <w:rsid w:val="00332110"/>
    <w:rsid w:val="00342BE5"/>
    <w:rsid w:val="003448F4"/>
    <w:rsid w:val="00344D47"/>
    <w:rsid w:val="00345B76"/>
    <w:rsid w:val="003568BE"/>
    <w:rsid w:val="00361D7C"/>
    <w:rsid w:val="003652FF"/>
    <w:rsid w:val="00367D32"/>
    <w:rsid w:val="00373C2A"/>
    <w:rsid w:val="00373DB2"/>
    <w:rsid w:val="00374F5E"/>
    <w:rsid w:val="0037516C"/>
    <w:rsid w:val="00377E3E"/>
    <w:rsid w:val="00380880"/>
    <w:rsid w:val="00381124"/>
    <w:rsid w:val="00381802"/>
    <w:rsid w:val="0038271B"/>
    <w:rsid w:val="0039200C"/>
    <w:rsid w:val="00392AD4"/>
    <w:rsid w:val="00395D79"/>
    <w:rsid w:val="0039743D"/>
    <w:rsid w:val="003A1077"/>
    <w:rsid w:val="003A6587"/>
    <w:rsid w:val="003A779E"/>
    <w:rsid w:val="003B0C59"/>
    <w:rsid w:val="003B5ABB"/>
    <w:rsid w:val="003B76B6"/>
    <w:rsid w:val="003C145B"/>
    <w:rsid w:val="003C1DE4"/>
    <w:rsid w:val="003C20F3"/>
    <w:rsid w:val="003C2ECA"/>
    <w:rsid w:val="003C3853"/>
    <w:rsid w:val="003C4445"/>
    <w:rsid w:val="003C7126"/>
    <w:rsid w:val="003D0F4D"/>
    <w:rsid w:val="003D14FF"/>
    <w:rsid w:val="003D1F47"/>
    <w:rsid w:val="003D2711"/>
    <w:rsid w:val="003D3285"/>
    <w:rsid w:val="003D32EF"/>
    <w:rsid w:val="003D5B0D"/>
    <w:rsid w:val="003E0499"/>
    <w:rsid w:val="003E187F"/>
    <w:rsid w:val="003E4F80"/>
    <w:rsid w:val="003E5686"/>
    <w:rsid w:val="003E641E"/>
    <w:rsid w:val="003E6439"/>
    <w:rsid w:val="003E76AD"/>
    <w:rsid w:val="003E7CF4"/>
    <w:rsid w:val="003F1839"/>
    <w:rsid w:val="003F1BCC"/>
    <w:rsid w:val="003F236B"/>
    <w:rsid w:val="003F3941"/>
    <w:rsid w:val="003F39A2"/>
    <w:rsid w:val="003F47D7"/>
    <w:rsid w:val="00401A84"/>
    <w:rsid w:val="00403964"/>
    <w:rsid w:val="00406424"/>
    <w:rsid w:val="00406575"/>
    <w:rsid w:val="00407803"/>
    <w:rsid w:val="00411024"/>
    <w:rsid w:val="00414C74"/>
    <w:rsid w:val="00416F20"/>
    <w:rsid w:val="00420C6E"/>
    <w:rsid w:val="00421A81"/>
    <w:rsid w:val="00424572"/>
    <w:rsid w:val="00424940"/>
    <w:rsid w:val="00425D4E"/>
    <w:rsid w:val="0042722E"/>
    <w:rsid w:val="00427DE5"/>
    <w:rsid w:val="004300DB"/>
    <w:rsid w:val="00432FDB"/>
    <w:rsid w:val="0043641A"/>
    <w:rsid w:val="004373B4"/>
    <w:rsid w:val="00437519"/>
    <w:rsid w:val="0044043F"/>
    <w:rsid w:val="00441E4A"/>
    <w:rsid w:val="004443F7"/>
    <w:rsid w:val="00444E8A"/>
    <w:rsid w:val="0044528D"/>
    <w:rsid w:val="0044555D"/>
    <w:rsid w:val="00450667"/>
    <w:rsid w:val="004526B7"/>
    <w:rsid w:val="00452E00"/>
    <w:rsid w:val="00453025"/>
    <w:rsid w:val="00454DD3"/>
    <w:rsid w:val="00456399"/>
    <w:rsid w:val="00457A70"/>
    <w:rsid w:val="00461976"/>
    <w:rsid w:val="00461A0A"/>
    <w:rsid w:val="004630E5"/>
    <w:rsid w:val="00466A1C"/>
    <w:rsid w:val="00466E39"/>
    <w:rsid w:val="0047138E"/>
    <w:rsid w:val="00471C6D"/>
    <w:rsid w:val="00471DAE"/>
    <w:rsid w:val="004761A4"/>
    <w:rsid w:val="00477A70"/>
    <w:rsid w:val="004819DB"/>
    <w:rsid w:val="00481C55"/>
    <w:rsid w:val="00482B87"/>
    <w:rsid w:val="00485994"/>
    <w:rsid w:val="00487C3E"/>
    <w:rsid w:val="00487DA9"/>
    <w:rsid w:val="004913BF"/>
    <w:rsid w:val="00495476"/>
    <w:rsid w:val="004A1847"/>
    <w:rsid w:val="004A2494"/>
    <w:rsid w:val="004A305D"/>
    <w:rsid w:val="004A5E22"/>
    <w:rsid w:val="004B0070"/>
    <w:rsid w:val="004B0599"/>
    <w:rsid w:val="004B30CA"/>
    <w:rsid w:val="004B3B71"/>
    <w:rsid w:val="004B4BBB"/>
    <w:rsid w:val="004B62A3"/>
    <w:rsid w:val="004B7CBF"/>
    <w:rsid w:val="004C0212"/>
    <w:rsid w:val="004C1F3D"/>
    <w:rsid w:val="004C4B36"/>
    <w:rsid w:val="004C52B7"/>
    <w:rsid w:val="004C5AC4"/>
    <w:rsid w:val="004D24AB"/>
    <w:rsid w:val="004D3D1B"/>
    <w:rsid w:val="004D75BE"/>
    <w:rsid w:val="004E5211"/>
    <w:rsid w:val="004E61A2"/>
    <w:rsid w:val="004E68DE"/>
    <w:rsid w:val="004F0E7A"/>
    <w:rsid w:val="004F1C23"/>
    <w:rsid w:val="004F21C4"/>
    <w:rsid w:val="004F518D"/>
    <w:rsid w:val="004F685F"/>
    <w:rsid w:val="00503E8D"/>
    <w:rsid w:val="0051099C"/>
    <w:rsid w:val="00510B77"/>
    <w:rsid w:val="005214C7"/>
    <w:rsid w:val="00522039"/>
    <w:rsid w:val="005239B3"/>
    <w:rsid w:val="0052473B"/>
    <w:rsid w:val="00526744"/>
    <w:rsid w:val="00526B11"/>
    <w:rsid w:val="00527383"/>
    <w:rsid w:val="00527D60"/>
    <w:rsid w:val="005339DB"/>
    <w:rsid w:val="00535422"/>
    <w:rsid w:val="0054008D"/>
    <w:rsid w:val="00543B58"/>
    <w:rsid w:val="00544E93"/>
    <w:rsid w:val="00547502"/>
    <w:rsid w:val="005502B9"/>
    <w:rsid w:val="00550D9C"/>
    <w:rsid w:val="0055254C"/>
    <w:rsid w:val="00554615"/>
    <w:rsid w:val="005566E8"/>
    <w:rsid w:val="0055795B"/>
    <w:rsid w:val="0056224E"/>
    <w:rsid w:val="00564599"/>
    <w:rsid w:val="005677AF"/>
    <w:rsid w:val="00570B99"/>
    <w:rsid w:val="00574867"/>
    <w:rsid w:val="0057556E"/>
    <w:rsid w:val="00584894"/>
    <w:rsid w:val="00584910"/>
    <w:rsid w:val="00591460"/>
    <w:rsid w:val="00593A2E"/>
    <w:rsid w:val="005A02AB"/>
    <w:rsid w:val="005A2B76"/>
    <w:rsid w:val="005A65E0"/>
    <w:rsid w:val="005A7E77"/>
    <w:rsid w:val="005B0A81"/>
    <w:rsid w:val="005B4C54"/>
    <w:rsid w:val="005B5E1E"/>
    <w:rsid w:val="005B5FE4"/>
    <w:rsid w:val="005B758B"/>
    <w:rsid w:val="005C1C2A"/>
    <w:rsid w:val="005C2AE6"/>
    <w:rsid w:val="005C2D83"/>
    <w:rsid w:val="005C3512"/>
    <w:rsid w:val="005C3777"/>
    <w:rsid w:val="005C3AE5"/>
    <w:rsid w:val="005C598D"/>
    <w:rsid w:val="005C5CDC"/>
    <w:rsid w:val="005C79E1"/>
    <w:rsid w:val="005D0AA9"/>
    <w:rsid w:val="005D1A24"/>
    <w:rsid w:val="005D476C"/>
    <w:rsid w:val="005D5CAE"/>
    <w:rsid w:val="005E1F8F"/>
    <w:rsid w:val="005E247F"/>
    <w:rsid w:val="005E3AD2"/>
    <w:rsid w:val="005E650C"/>
    <w:rsid w:val="005E701A"/>
    <w:rsid w:val="005F3D0B"/>
    <w:rsid w:val="005F3F7B"/>
    <w:rsid w:val="005F7FC5"/>
    <w:rsid w:val="00601412"/>
    <w:rsid w:val="006015F9"/>
    <w:rsid w:val="00602C4A"/>
    <w:rsid w:val="00605A65"/>
    <w:rsid w:val="00613205"/>
    <w:rsid w:val="00613EC1"/>
    <w:rsid w:val="00616FA1"/>
    <w:rsid w:val="00617CDD"/>
    <w:rsid w:val="006200BF"/>
    <w:rsid w:val="00621037"/>
    <w:rsid w:val="00621157"/>
    <w:rsid w:val="006219F8"/>
    <w:rsid w:val="00624E3E"/>
    <w:rsid w:val="006266D7"/>
    <w:rsid w:val="00627DD0"/>
    <w:rsid w:val="006302F7"/>
    <w:rsid w:val="00635CDF"/>
    <w:rsid w:val="00640E35"/>
    <w:rsid w:val="00643F93"/>
    <w:rsid w:val="006446CE"/>
    <w:rsid w:val="00646B9F"/>
    <w:rsid w:val="00652ADB"/>
    <w:rsid w:val="00653382"/>
    <w:rsid w:val="00654328"/>
    <w:rsid w:val="00657665"/>
    <w:rsid w:val="00662D26"/>
    <w:rsid w:val="00664E52"/>
    <w:rsid w:val="006650A3"/>
    <w:rsid w:val="00665D70"/>
    <w:rsid w:val="00670E33"/>
    <w:rsid w:val="006724F0"/>
    <w:rsid w:val="00675EAB"/>
    <w:rsid w:val="006809B4"/>
    <w:rsid w:val="006900D9"/>
    <w:rsid w:val="00692779"/>
    <w:rsid w:val="00695D4C"/>
    <w:rsid w:val="00697429"/>
    <w:rsid w:val="006A193A"/>
    <w:rsid w:val="006A3B3C"/>
    <w:rsid w:val="006A5F94"/>
    <w:rsid w:val="006B0734"/>
    <w:rsid w:val="006B0BB9"/>
    <w:rsid w:val="006B4AB2"/>
    <w:rsid w:val="006B667E"/>
    <w:rsid w:val="006C08D1"/>
    <w:rsid w:val="006C35D8"/>
    <w:rsid w:val="006C486C"/>
    <w:rsid w:val="006C6AAE"/>
    <w:rsid w:val="006D4CFA"/>
    <w:rsid w:val="006D6332"/>
    <w:rsid w:val="006E2FD3"/>
    <w:rsid w:val="006E3A2D"/>
    <w:rsid w:val="006E3CD9"/>
    <w:rsid w:val="006E4594"/>
    <w:rsid w:val="006E4791"/>
    <w:rsid w:val="006E4BC3"/>
    <w:rsid w:val="006E4C10"/>
    <w:rsid w:val="006E64D4"/>
    <w:rsid w:val="006E74A9"/>
    <w:rsid w:val="006F457F"/>
    <w:rsid w:val="006F50CC"/>
    <w:rsid w:val="006F6686"/>
    <w:rsid w:val="006F6E5F"/>
    <w:rsid w:val="00702D26"/>
    <w:rsid w:val="00706C16"/>
    <w:rsid w:val="00717188"/>
    <w:rsid w:val="007227D2"/>
    <w:rsid w:val="00722ECC"/>
    <w:rsid w:val="00724D03"/>
    <w:rsid w:val="00727928"/>
    <w:rsid w:val="00733684"/>
    <w:rsid w:val="007340C3"/>
    <w:rsid w:val="00740F02"/>
    <w:rsid w:val="00743301"/>
    <w:rsid w:val="00743CA3"/>
    <w:rsid w:val="00751E4C"/>
    <w:rsid w:val="00752103"/>
    <w:rsid w:val="0075235A"/>
    <w:rsid w:val="00754994"/>
    <w:rsid w:val="00754A7B"/>
    <w:rsid w:val="00756009"/>
    <w:rsid w:val="00756841"/>
    <w:rsid w:val="00757A07"/>
    <w:rsid w:val="00761CC9"/>
    <w:rsid w:val="007622DD"/>
    <w:rsid w:val="007649AB"/>
    <w:rsid w:val="007706DC"/>
    <w:rsid w:val="00771D0C"/>
    <w:rsid w:val="00771F77"/>
    <w:rsid w:val="00772878"/>
    <w:rsid w:val="00775501"/>
    <w:rsid w:val="00775C16"/>
    <w:rsid w:val="00775DA9"/>
    <w:rsid w:val="007802F0"/>
    <w:rsid w:val="00781ECB"/>
    <w:rsid w:val="007833AC"/>
    <w:rsid w:val="00783E3C"/>
    <w:rsid w:val="00784AAC"/>
    <w:rsid w:val="0078640B"/>
    <w:rsid w:val="00787165"/>
    <w:rsid w:val="00787E3D"/>
    <w:rsid w:val="0079375D"/>
    <w:rsid w:val="007937B7"/>
    <w:rsid w:val="00793B89"/>
    <w:rsid w:val="007975D0"/>
    <w:rsid w:val="007A059E"/>
    <w:rsid w:val="007A647B"/>
    <w:rsid w:val="007B17D0"/>
    <w:rsid w:val="007B268C"/>
    <w:rsid w:val="007B3388"/>
    <w:rsid w:val="007B5340"/>
    <w:rsid w:val="007B7171"/>
    <w:rsid w:val="007B787B"/>
    <w:rsid w:val="007B7B08"/>
    <w:rsid w:val="007C0C0F"/>
    <w:rsid w:val="007C14C6"/>
    <w:rsid w:val="007C3C01"/>
    <w:rsid w:val="007C3D8A"/>
    <w:rsid w:val="007C3DC2"/>
    <w:rsid w:val="007D176C"/>
    <w:rsid w:val="007D307B"/>
    <w:rsid w:val="007D63B5"/>
    <w:rsid w:val="007D63CC"/>
    <w:rsid w:val="007D6933"/>
    <w:rsid w:val="007E1A66"/>
    <w:rsid w:val="007E5019"/>
    <w:rsid w:val="007E5497"/>
    <w:rsid w:val="007E58D9"/>
    <w:rsid w:val="007E6E6B"/>
    <w:rsid w:val="007E70DA"/>
    <w:rsid w:val="007E756B"/>
    <w:rsid w:val="007F0574"/>
    <w:rsid w:val="007F7759"/>
    <w:rsid w:val="007F77A0"/>
    <w:rsid w:val="00802248"/>
    <w:rsid w:val="008047AC"/>
    <w:rsid w:val="00805E10"/>
    <w:rsid w:val="00806537"/>
    <w:rsid w:val="00806F5F"/>
    <w:rsid w:val="008106C0"/>
    <w:rsid w:val="00810EBA"/>
    <w:rsid w:val="00811B8B"/>
    <w:rsid w:val="00820278"/>
    <w:rsid w:val="00820937"/>
    <w:rsid w:val="008218C2"/>
    <w:rsid w:val="0082340A"/>
    <w:rsid w:val="0082513D"/>
    <w:rsid w:val="008258C9"/>
    <w:rsid w:val="00833C56"/>
    <w:rsid w:val="0083444C"/>
    <w:rsid w:val="0083635B"/>
    <w:rsid w:val="00843EB6"/>
    <w:rsid w:val="00844464"/>
    <w:rsid w:val="008446EF"/>
    <w:rsid w:val="00844A6B"/>
    <w:rsid w:val="00844AE9"/>
    <w:rsid w:val="00845206"/>
    <w:rsid w:val="00845882"/>
    <w:rsid w:val="0084609E"/>
    <w:rsid w:val="008476E1"/>
    <w:rsid w:val="00847BC0"/>
    <w:rsid w:val="00851635"/>
    <w:rsid w:val="0085196C"/>
    <w:rsid w:val="00856545"/>
    <w:rsid w:val="00856E3E"/>
    <w:rsid w:val="008576E2"/>
    <w:rsid w:val="00857CB2"/>
    <w:rsid w:val="0086480A"/>
    <w:rsid w:val="00865247"/>
    <w:rsid w:val="00867CB5"/>
    <w:rsid w:val="00867F95"/>
    <w:rsid w:val="0087048D"/>
    <w:rsid w:val="00870A1C"/>
    <w:rsid w:val="00877C1E"/>
    <w:rsid w:val="008813A3"/>
    <w:rsid w:val="008843B6"/>
    <w:rsid w:val="00891928"/>
    <w:rsid w:val="00893FEB"/>
    <w:rsid w:val="008A08C2"/>
    <w:rsid w:val="008A446D"/>
    <w:rsid w:val="008A448F"/>
    <w:rsid w:val="008A7784"/>
    <w:rsid w:val="008B08F1"/>
    <w:rsid w:val="008B25F1"/>
    <w:rsid w:val="008B59CC"/>
    <w:rsid w:val="008B5A0C"/>
    <w:rsid w:val="008B7B4B"/>
    <w:rsid w:val="008C017D"/>
    <w:rsid w:val="008C0348"/>
    <w:rsid w:val="008C2148"/>
    <w:rsid w:val="008C522F"/>
    <w:rsid w:val="008C7B0F"/>
    <w:rsid w:val="008D180B"/>
    <w:rsid w:val="008D1C1D"/>
    <w:rsid w:val="008D2042"/>
    <w:rsid w:val="008D34F2"/>
    <w:rsid w:val="008D3606"/>
    <w:rsid w:val="008E06C4"/>
    <w:rsid w:val="008E0B6F"/>
    <w:rsid w:val="008E318F"/>
    <w:rsid w:val="008E618B"/>
    <w:rsid w:val="008E73E1"/>
    <w:rsid w:val="008F0EA7"/>
    <w:rsid w:val="008F297F"/>
    <w:rsid w:val="008F5E43"/>
    <w:rsid w:val="008F6CB9"/>
    <w:rsid w:val="008F7CAA"/>
    <w:rsid w:val="008F7DFC"/>
    <w:rsid w:val="00901378"/>
    <w:rsid w:val="00904F2B"/>
    <w:rsid w:val="00912EA0"/>
    <w:rsid w:val="00914E0D"/>
    <w:rsid w:val="009157FB"/>
    <w:rsid w:val="00916CF5"/>
    <w:rsid w:val="00917103"/>
    <w:rsid w:val="00917D08"/>
    <w:rsid w:val="00917D7C"/>
    <w:rsid w:val="00920683"/>
    <w:rsid w:val="00923EEF"/>
    <w:rsid w:val="00923F89"/>
    <w:rsid w:val="00926AFB"/>
    <w:rsid w:val="00927DCB"/>
    <w:rsid w:val="009347E9"/>
    <w:rsid w:val="009377E4"/>
    <w:rsid w:val="0094103A"/>
    <w:rsid w:val="009419F9"/>
    <w:rsid w:val="00942F04"/>
    <w:rsid w:val="00947432"/>
    <w:rsid w:val="00947625"/>
    <w:rsid w:val="00947764"/>
    <w:rsid w:val="00952228"/>
    <w:rsid w:val="0095685E"/>
    <w:rsid w:val="00957681"/>
    <w:rsid w:val="00961B09"/>
    <w:rsid w:val="00962B17"/>
    <w:rsid w:val="00963566"/>
    <w:rsid w:val="00963A43"/>
    <w:rsid w:val="00965334"/>
    <w:rsid w:val="0096783E"/>
    <w:rsid w:val="00967D67"/>
    <w:rsid w:val="0097093E"/>
    <w:rsid w:val="009712CF"/>
    <w:rsid w:val="0097530E"/>
    <w:rsid w:val="009754CF"/>
    <w:rsid w:val="00975D9C"/>
    <w:rsid w:val="00976CEB"/>
    <w:rsid w:val="0098061E"/>
    <w:rsid w:val="0098514C"/>
    <w:rsid w:val="00993FF1"/>
    <w:rsid w:val="00996FCF"/>
    <w:rsid w:val="009A0DFA"/>
    <w:rsid w:val="009A1C6F"/>
    <w:rsid w:val="009A2C7A"/>
    <w:rsid w:val="009A46DF"/>
    <w:rsid w:val="009A6D45"/>
    <w:rsid w:val="009A7CA2"/>
    <w:rsid w:val="009B0163"/>
    <w:rsid w:val="009B2D26"/>
    <w:rsid w:val="009B370F"/>
    <w:rsid w:val="009C1939"/>
    <w:rsid w:val="009C20F9"/>
    <w:rsid w:val="009C4DE6"/>
    <w:rsid w:val="009C5ADB"/>
    <w:rsid w:val="009C6041"/>
    <w:rsid w:val="009C682C"/>
    <w:rsid w:val="009C71FA"/>
    <w:rsid w:val="009C72E7"/>
    <w:rsid w:val="009C7F7E"/>
    <w:rsid w:val="009D2A2F"/>
    <w:rsid w:val="009D3058"/>
    <w:rsid w:val="009E28AD"/>
    <w:rsid w:val="009E3B65"/>
    <w:rsid w:val="009E75C5"/>
    <w:rsid w:val="009F0380"/>
    <w:rsid w:val="009F1284"/>
    <w:rsid w:val="009F3A13"/>
    <w:rsid w:val="009F4095"/>
    <w:rsid w:val="009F6918"/>
    <w:rsid w:val="009F7D4D"/>
    <w:rsid w:val="00A028EE"/>
    <w:rsid w:val="00A03AF3"/>
    <w:rsid w:val="00A066C2"/>
    <w:rsid w:val="00A06FFF"/>
    <w:rsid w:val="00A122D3"/>
    <w:rsid w:val="00A1233B"/>
    <w:rsid w:val="00A14468"/>
    <w:rsid w:val="00A17F13"/>
    <w:rsid w:val="00A20739"/>
    <w:rsid w:val="00A21A2E"/>
    <w:rsid w:val="00A23AF9"/>
    <w:rsid w:val="00A27052"/>
    <w:rsid w:val="00A270F5"/>
    <w:rsid w:val="00A310A0"/>
    <w:rsid w:val="00A31B65"/>
    <w:rsid w:val="00A33C78"/>
    <w:rsid w:val="00A345DD"/>
    <w:rsid w:val="00A36BA6"/>
    <w:rsid w:val="00A41611"/>
    <w:rsid w:val="00A43FE4"/>
    <w:rsid w:val="00A50128"/>
    <w:rsid w:val="00A50B12"/>
    <w:rsid w:val="00A51A78"/>
    <w:rsid w:val="00A53D7C"/>
    <w:rsid w:val="00A54A64"/>
    <w:rsid w:val="00A56D60"/>
    <w:rsid w:val="00A575B5"/>
    <w:rsid w:val="00A57A60"/>
    <w:rsid w:val="00A604D4"/>
    <w:rsid w:val="00A61041"/>
    <w:rsid w:val="00A649F7"/>
    <w:rsid w:val="00A6650D"/>
    <w:rsid w:val="00A67369"/>
    <w:rsid w:val="00A70219"/>
    <w:rsid w:val="00A72101"/>
    <w:rsid w:val="00A72A63"/>
    <w:rsid w:val="00A75061"/>
    <w:rsid w:val="00A751E5"/>
    <w:rsid w:val="00A8192E"/>
    <w:rsid w:val="00A822FD"/>
    <w:rsid w:val="00A82DB0"/>
    <w:rsid w:val="00A83154"/>
    <w:rsid w:val="00A858CF"/>
    <w:rsid w:val="00A859B6"/>
    <w:rsid w:val="00A873DB"/>
    <w:rsid w:val="00A92D03"/>
    <w:rsid w:val="00A93345"/>
    <w:rsid w:val="00A97A39"/>
    <w:rsid w:val="00AA02B7"/>
    <w:rsid w:val="00AA3D82"/>
    <w:rsid w:val="00AA6777"/>
    <w:rsid w:val="00AB0ADB"/>
    <w:rsid w:val="00AB1DF2"/>
    <w:rsid w:val="00AB1FF8"/>
    <w:rsid w:val="00AB24C2"/>
    <w:rsid w:val="00AB6E30"/>
    <w:rsid w:val="00AB7520"/>
    <w:rsid w:val="00AC39DD"/>
    <w:rsid w:val="00AC45C8"/>
    <w:rsid w:val="00AC5DA8"/>
    <w:rsid w:val="00AC7BC6"/>
    <w:rsid w:val="00AD2ACC"/>
    <w:rsid w:val="00AD4501"/>
    <w:rsid w:val="00AD55D9"/>
    <w:rsid w:val="00AE17D2"/>
    <w:rsid w:val="00AE189B"/>
    <w:rsid w:val="00AE3021"/>
    <w:rsid w:val="00AE329C"/>
    <w:rsid w:val="00AE45AC"/>
    <w:rsid w:val="00AE574C"/>
    <w:rsid w:val="00AE595A"/>
    <w:rsid w:val="00AE6D51"/>
    <w:rsid w:val="00AF247C"/>
    <w:rsid w:val="00AF3A3E"/>
    <w:rsid w:val="00B00C0E"/>
    <w:rsid w:val="00B01B1A"/>
    <w:rsid w:val="00B021AC"/>
    <w:rsid w:val="00B0381D"/>
    <w:rsid w:val="00B03D3C"/>
    <w:rsid w:val="00B07447"/>
    <w:rsid w:val="00B11F11"/>
    <w:rsid w:val="00B11F2D"/>
    <w:rsid w:val="00B121F7"/>
    <w:rsid w:val="00B13E5A"/>
    <w:rsid w:val="00B13E8D"/>
    <w:rsid w:val="00B14675"/>
    <w:rsid w:val="00B147A4"/>
    <w:rsid w:val="00B14EED"/>
    <w:rsid w:val="00B218A9"/>
    <w:rsid w:val="00B22BDC"/>
    <w:rsid w:val="00B308F7"/>
    <w:rsid w:val="00B30E7B"/>
    <w:rsid w:val="00B33ED6"/>
    <w:rsid w:val="00B36AF7"/>
    <w:rsid w:val="00B36B06"/>
    <w:rsid w:val="00B36E41"/>
    <w:rsid w:val="00B37401"/>
    <w:rsid w:val="00B3763A"/>
    <w:rsid w:val="00B37CC1"/>
    <w:rsid w:val="00B43F8B"/>
    <w:rsid w:val="00B44A47"/>
    <w:rsid w:val="00B44E76"/>
    <w:rsid w:val="00B45D54"/>
    <w:rsid w:val="00B4691A"/>
    <w:rsid w:val="00B5246B"/>
    <w:rsid w:val="00B524C9"/>
    <w:rsid w:val="00B52EE9"/>
    <w:rsid w:val="00B53E33"/>
    <w:rsid w:val="00B55864"/>
    <w:rsid w:val="00B55892"/>
    <w:rsid w:val="00B5789D"/>
    <w:rsid w:val="00B57B01"/>
    <w:rsid w:val="00B64665"/>
    <w:rsid w:val="00B6591D"/>
    <w:rsid w:val="00B66898"/>
    <w:rsid w:val="00B66AA8"/>
    <w:rsid w:val="00B66E67"/>
    <w:rsid w:val="00B70323"/>
    <w:rsid w:val="00B72CD3"/>
    <w:rsid w:val="00B72FFF"/>
    <w:rsid w:val="00B73CF4"/>
    <w:rsid w:val="00B75769"/>
    <w:rsid w:val="00B76424"/>
    <w:rsid w:val="00B76499"/>
    <w:rsid w:val="00B76D46"/>
    <w:rsid w:val="00B83594"/>
    <w:rsid w:val="00B87283"/>
    <w:rsid w:val="00B9186D"/>
    <w:rsid w:val="00B93F50"/>
    <w:rsid w:val="00B96118"/>
    <w:rsid w:val="00B9760C"/>
    <w:rsid w:val="00BA0F7F"/>
    <w:rsid w:val="00BA310B"/>
    <w:rsid w:val="00BA67CE"/>
    <w:rsid w:val="00BC3A61"/>
    <w:rsid w:val="00BC3D36"/>
    <w:rsid w:val="00BC4D68"/>
    <w:rsid w:val="00BC7C12"/>
    <w:rsid w:val="00BD0BDC"/>
    <w:rsid w:val="00BD54A6"/>
    <w:rsid w:val="00BD6409"/>
    <w:rsid w:val="00BD7F72"/>
    <w:rsid w:val="00BE2378"/>
    <w:rsid w:val="00BE3813"/>
    <w:rsid w:val="00BE58F0"/>
    <w:rsid w:val="00BE68E7"/>
    <w:rsid w:val="00BE6D2E"/>
    <w:rsid w:val="00BF4CF9"/>
    <w:rsid w:val="00BF590D"/>
    <w:rsid w:val="00BF62A1"/>
    <w:rsid w:val="00BF7425"/>
    <w:rsid w:val="00BF7B63"/>
    <w:rsid w:val="00BF7FD2"/>
    <w:rsid w:val="00C00584"/>
    <w:rsid w:val="00C01FD7"/>
    <w:rsid w:val="00C03868"/>
    <w:rsid w:val="00C04B2B"/>
    <w:rsid w:val="00C04FB3"/>
    <w:rsid w:val="00C05F2E"/>
    <w:rsid w:val="00C10BC3"/>
    <w:rsid w:val="00C11D8B"/>
    <w:rsid w:val="00C138F9"/>
    <w:rsid w:val="00C15139"/>
    <w:rsid w:val="00C16EAC"/>
    <w:rsid w:val="00C174DD"/>
    <w:rsid w:val="00C22B08"/>
    <w:rsid w:val="00C25563"/>
    <w:rsid w:val="00C26510"/>
    <w:rsid w:val="00C270A3"/>
    <w:rsid w:val="00C27470"/>
    <w:rsid w:val="00C30141"/>
    <w:rsid w:val="00C308D2"/>
    <w:rsid w:val="00C30E23"/>
    <w:rsid w:val="00C31D52"/>
    <w:rsid w:val="00C330EB"/>
    <w:rsid w:val="00C40E96"/>
    <w:rsid w:val="00C416B1"/>
    <w:rsid w:val="00C45A9E"/>
    <w:rsid w:val="00C4752A"/>
    <w:rsid w:val="00C5070A"/>
    <w:rsid w:val="00C50D69"/>
    <w:rsid w:val="00C50E70"/>
    <w:rsid w:val="00C52344"/>
    <w:rsid w:val="00C52462"/>
    <w:rsid w:val="00C5287E"/>
    <w:rsid w:val="00C5365C"/>
    <w:rsid w:val="00C55450"/>
    <w:rsid w:val="00C61463"/>
    <w:rsid w:val="00C645F4"/>
    <w:rsid w:val="00C67E80"/>
    <w:rsid w:val="00C70581"/>
    <w:rsid w:val="00C71D88"/>
    <w:rsid w:val="00C752D5"/>
    <w:rsid w:val="00C754BE"/>
    <w:rsid w:val="00C76786"/>
    <w:rsid w:val="00C76B1C"/>
    <w:rsid w:val="00C82AEE"/>
    <w:rsid w:val="00C82B97"/>
    <w:rsid w:val="00C925AC"/>
    <w:rsid w:val="00C93CE4"/>
    <w:rsid w:val="00CA2A60"/>
    <w:rsid w:val="00CA3A63"/>
    <w:rsid w:val="00CA3EED"/>
    <w:rsid w:val="00CA45BC"/>
    <w:rsid w:val="00CA77CB"/>
    <w:rsid w:val="00CB1FBB"/>
    <w:rsid w:val="00CB2DFB"/>
    <w:rsid w:val="00CB3BEE"/>
    <w:rsid w:val="00CB4038"/>
    <w:rsid w:val="00CB4E73"/>
    <w:rsid w:val="00CB6357"/>
    <w:rsid w:val="00CC028B"/>
    <w:rsid w:val="00CC0DB5"/>
    <w:rsid w:val="00CC1B26"/>
    <w:rsid w:val="00CC2530"/>
    <w:rsid w:val="00CC424E"/>
    <w:rsid w:val="00CC55E8"/>
    <w:rsid w:val="00CC6EA4"/>
    <w:rsid w:val="00CC703E"/>
    <w:rsid w:val="00CD09A7"/>
    <w:rsid w:val="00CD184C"/>
    <w:rsid w:val="00CD7E83"/>
    <w:rsid w:val="00CE0651"/>
    <w:rsid w:val="00CE0E41"/>
    <w:rsid w:val="00CE5193"/>
    <w:rsid w:val="00CF04AE"/>
    <w:rsid w:val="00CF0A77"/>
    <w:rsid w:val="00CF3E97"/>
    <w:rsid w:val="00CF55CF"/>
    <w:rsid w:val="00D01074"/>
    <w:rsid w:val="00D02EE0"/>
    <w:rsid w:val="00D058D3"/>
    <w:rsid w:val="00D05962"/>
    <w:rsid w:val="00D05B28"/>
    <w:rsid w:val="00D072AC"/>
    <w:rsid w:val="00D079C3"/>
    <w:rsid w:val="00D166B2"/>
    <w:rsid w:val="00D24123"/>
    <w:rsid w:val="00D24BB1"/>
    <w:rsid w:val="00D24D67"/>
    <w:rsid w:val="00D26F18"/>
    <w:rsid w:val="00D34887"/>
    <w:rsid w:val="00D34D6D"/>
    <w:rsid w:val="00D361FD"/>
    <w:rsid w:val="00D36581"/>
    <w:rsid w:val="00D36F1B"/>
    <w:rsid w:val="00D375A2"/>
    <w:rsid w:val="00D423A2"/>
    <w:rsid w:val="00D42565"/>
    <w:rsid w:val="00D44E26"/>
    <w:rsid w:val="00D468E6"/>
    <w:rsid w:val="00D47A94"/>
    <w:rsid w:val="00D47E0F"/>
    <w:rsid w:val="00D51480"/>
    <w:rsid w:val="00D520D8"/>
    <w:rsid w:val="00D52A6D"/>
    <w:rsid w:val="00D5371B"/>
    <w:rsid w:val="00D5525A"/>
    <w:rsid w:val="00D55781"/>
    <w:rsid w:val="00D57FE8"/>
    <w:rsid w:val="00D6057E"/>
    <w:rsid w:val="00D60B0B"/>
    <w:rsid w:val="00D63AC2"/>
    <w:rsid w:val="00D63E3A"/>
    <w:rsid w:val="00D64AFC"/>
    <w:rsid w:val="00D64BE0"/>
    <w:rsid w:val="00D67C2C"/>
    <w:rsid w:val="00D7090A"/>
    <w:rsid w:val="00D71ADD"/>
    <w:rsid w:val="00D72446"/>
    <w:rsid w:val="00D72689"/>
    <w:rsid w:val="00D7383B"/>
    <w:rsid w:val="00D75B26"/>
    <w:rsid w:val="00D7788A"/>
    <w:rsid w:val="00D8568F"/>
    <w:rsid w:val="00D9012C"/>
    <w:rsid w:val="00D90489"/>
    <w:rsid w:val="00D91B3F"/>
    <w:rsid w:val="00D92711"/>
    <w:rsid w:val="00D92C10"/>
    <w:rsid w:val="00D92DDB"/>
    <w:rsid w:val="00D93290"/>
    <w:rsid w:val="00DA0544"/>
    <w:rsid w:val="00DA0612"/>
    <w:rsid w:val="00DA1F5C"/>
    <w:rsid w:val="00DA2179"/>
    <w:rsid w:val="00DA231B"/>
    <w:rsid w:val="00DA4941"/>
    <w:rsid w:val="00DB094E"/>
    <w:rsid w:val="00DB2934"/>
    <w:rsid w:val="00DB5EC7"/>
    <w:rsid w:val="00DB62F2"/>
    <w:rsid w:val="00DC06A4"/>
    <w:rsid w:val="00DC26C0"/>
    <w:rsid w:val="00DC3678"/>
    <w:rsid w:val="00DC39FC"/>
    <w:rsid w:val="00DE05DD"/>
    <w:rsid w:val="00DE0B58"/>
    <w:rsid w:val="00DE5F1D"/>
    <w:rsid w:val="00DF24E4"/>
    <w:rsid w:val="00DF4613"/>
    <w:rsid w:val="00DF51B8"/>
    <w:rsid w:val="00DF5254"/>
    <w:rsid w:val="00E00EC8"/>
    <w:rsid w:val="00E02524"/>
    <w:rsid w:val="00E03BB4"/>
    <w:rsid w:val="00E12F1D"/>
    <w:rsid w:val="00E14270"/>
    <w:rsid w:val="00E14486"/>
    <w:rsid w:val="00E16408"/>
    <w:rsid w:val="00E17CA3"/>
    <w:rsid w:val="00E20894"/>
    <w:rsid w:val="00E22A31"/>
    <w:rsid w:val="00E245AB"/>
    <w:rsid w:val="00E248AD"/>
    <w:rsid w:val="00E26C46"/>
    <w:rsid w:val="00E2764C"/>
    <w:rsid w:val="00E27F2E"/>
    <w:rsid w:val="00E30F08"/>
    <w:rsid w:val="00E3121F"/>
    <w:rsid w:val="00E313CE"/>
    <w:rsid w:val="00E33E17"/>
    <w:rsid w:val="00E356F5"/>
    <w:rsid w:val="00E35D1B"/>
    <w:rsid w:val="00E372B8"/>
    <w:rsid w:val="00E37D67"/>
    <w:rsid w:val="00E41984"/>
    <w:rsid w:val="00E41A71"/>
    <w:rsid w:val="00E42139"/>
    <w:rsid w:val="00E43BBC"/>
    <w:rsid w:val="00E45963"/>
    <w:rsid w:val="00E4719D"/>
    <w:rsid w:val="00E50AFE"/>
    <w:rsid w:val="00E52145"/>
    <w:rsid w:val="00E5362A"/>
    <w:rsid w:val="00E56386"/>
    <w:rsid w:val="00E574F5"/>
    <w:rsid w:val="00E60756"/>
    <w:rsid w:val="00E60F86"/>
    <w:rsid w:val="00E62019"/>
    <w:rsid w:val="00E62D85"/>
    <w:rsid w:val="00E63A4C"/>
    <w:rsid w:val="00E6428D"/>
    <w:rsid w:val="00E65011"/>
    <w:rsid w:val="00E65215"/>
    <w:rsid w:val="00E7036C"/>
    <w:rsid w:val="00E70407"/>
    <w:rsid w:val="00E75C92"/>
    <w:rsid w:val="00E771DC"/>
    <w:rsid w:val="00E80EBB"/>
    <w:rsid w:val="00E84424"/>
    <w:rsid w:val="00E863A3"/>
    <w:rsid w:val="00E8693F"/>
    <w:rsid w:val="00E8772A"/>
    <w:rsid w:val="00E87AE9"/>
    <w:rsid w:val="00E90F6B"/>
    <w:rsid w:val="00E91CA9"/>
    <w:rsid w:val="00E92C27"/>
    <w:rsid w:val="00E93B3A"/>
    <w:rsid w:val="00E96B22"/>
    <w:rsid w:val="00EA0E3D"/>
    <w:rsid w:val="00EA138E"/>
    <w:rsid w:val="00EA1411"/>
    <w:rsid w:val="00EA5D64"/>
    <w:rsid w:val="00EA71F6"/>
    <w:rsid w:val="00EB1C21"/>
    <w:rsid w:val="00EB22ED"/>
    <w:rsid w:val="00EB6C78"/>
    <w:rsid w:val="00EC1784"/>
    <w:rsid w:val="00EC38A7"/>
    <w:rsid w:val="00EC3DCF"/>
    <w:rsid w:val="00ED051A"/>
    <w:rsid w:val="00ED2182"/>
    <w:rsid w:val="00ED66F1"/>
    <w:rsid w:val="00EE093F"/>
    <w:rsid w:val="00EE1AA8"/>
    <w:rsid w:val="00EE2ECC"/>
    <w:rsid w:val="00EE4660"/>
    <w:rsid w:val="00EE4810"/>
    <w:rsid w:val="00EE6118"/>
    <w:rsid w:val="00EE6152"/>
    <w:rsid w:val="00EF0894"/>
    <w:rsid w:val="00EF23C3"/>
    <w:rsid w:val="00EF3663"/>
    <w:rsid w:val="00EF3E45"/>
    <w:rsid w:val="00EF77B5"/>
    <w:rsid w:val="00F01300"/>
    <w:rsid w:val="00F072DC"/>
    <w:rsid w:val="00F10ACB"/>
    <w:rsid w:val="00F10D2A"/>
    <w:rsid w:val="00F147F2"/>
    <w:rsid w:val="00F14A34"/>
    <w:rsid w:val="00F151FA"/>
    <w:rsid w:val="00F17503"/>
    <w:rsid w:val="00F17B5D"/>
    <w:rsid w:val="00F23FEA"/>
    <w:rsid w:val="00F30BA5"/>
    <w:rsid w:val="00F31166"/>
    <w:rsid w:val="00F31EDC"/>
    <w:rsid w:val="00F4564D"/>
    <w:rsid w:val="00F462B3"/>
    <w:rsid w:val="00F52B54"/>
    <w:rsid w:val="00F53CF9"/>
    <w:rsid w:val="00F5664F"/>
    <w:rsid w:val="00F57E2E"/>
    <w:rsid w:val="00F63CDC"/>
    <w:rsid w:val="00F640B9"/>
    <w:rsid w:val="00F64598"/>
    <w:rsid w:val="00F666C4"/>
    <w:rsid w:val="00F66A43"/>
    <w:rsid w:val="00F66A92"/>
    <w:rsid w:val="00F76AFC"/>
    <w:rsid w:val="00F8004D"/>
    <w:rsid w:val="00F80E9F"/>
    <w:rsid w:val="00F8282B"/>
    <w:rsid w:val="00F82EBA"/>
    <w:rsid w:val="00F833DB"/>
    <w:rsid w:val="00F83A33"/>
    <w:rsid w:val="00F8463E"/>
    <w:rsid w:val="00F84F44"/>
    <w:rsid w:val="00F862FA"/>
    <w:rsid w:val="00F905C0"/>
    <w:rsid w:val="00F96570"/>
    <w:rsid w:val="00F97702"/>
    <w:rsid w:val="00FA47C0"/>
    <w:rsid w:val="00FA55F4"/>
    <w:rsid w:val="00FA5B39"/>
    <w:rsid w:val="00FA740D"/>
    <w:rsid w:val="00FB44C9"/>
    <w:rsid w:val="00FB5DD1"/>
    <w:rsid w:val="00FB69EF"/>
    <w:rsid w:val="00FB7209"/>
    <w:rsid w:val="00FC021D"/>
    <w:rsid w:val="00FC285E"/>
    <w:rsid w:val="00FC2B5D"/>
    <w:rsid w:val="00FC63F8"/>
    <w:rsid w:val="00FC7F7A"/>
    <w:rsid w:val="00FD0113"/>
    <w:rsid w:val="00FD3837"/>
    <w:rsid w:val="00FD5E64"/>
    <w:rsid w:val="00FE029B"/>
    <w:rsid w:val="00FE1C78"/>
    <w:rsid w:val="00FE58BB"/>
    <w:rsid w:val="00FF1116"/>
    <w:rsid w:val="00FF1449"/>
    <w:rsid w:val="00FF358C"/>
    <w:rsid w:val="00FF3B0C"/>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1"/>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054748"/>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1"/>
    <w:qFormat/>
    <w:locked/>
    <w:rsid w:val="00054748"/>
    <w:rPr>
      <w:rFonts w:ascii="Geomanist Light" w:hAnsi="Geomanist Light"/>
      <w:lang w:val="es-ES"/>
    </w:rPr>
  </w:style>
  <w:style w:type="paragraph" w:styleId="Textoindependiente">
    <w:name w:val="Body Text"/>
    <w:basedOn w:val="Normal"/>
    <w:link w:val="TextoindependienteCar"/>
    <w:uiPriority w:val="99"/>
    <w:unhideWhenUsed/>
    <w:rsid w:val="005677AF"/>
    <w:pPr>
      <w:spacing w:after="120" w:line="276" w:lineRule="auto"/>
    </w:pPr>
    <w:rPr>
      <w:rFonts w:eastAsiaTheme="minorEastAsia"/>
      <w:lang w:eastAsia="es-CO"/>
    </w:rPr>
  </w:style>
  <w:style w:type="character" w:customStyle="1" w:styleId="TextoindependienteCar">
    <w:name w:val="Texto independiente Car"/>
    <w:basedOn w:val="Fuentedeprrafopredeter"/>
    <w:link w:val="Textoindependiente"/>
    <w:uiPriority w:val="99"/>
    <w:rsid w:val="005677AF"/>
    <w:rPr>
      <w:rFonts w:eastAsiaTheme="minorEastAsia"/>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tratacion@santarosadecabal-risaralda.gov.co"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www.secretariasenado.gov.co/senado/basedoc/ley_1551_2012.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008D5D-A1AF-4FEC-993D-20EC983388BB}">
  <ds:schemaRefs>
    <ds:schemaRef ds:uri="http://schemas.openxmlformats.org/officeDocument/2006/bibliography"/>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4.xml><?xml version="1.0" encoding="utf-8"?>
<ds:datastoreItem xmlns:ds="http://schemas.openxmlformats.org/officeDocument/2006/customXml" ds:itemID="{CBC17072-87A1-451B-B08E-F694DE317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3650</TotalTime>
  <Pages>21</Pages>
  <Words>6916</Words>
  <Characters>38040</Characters>
  <Application>Microsoft Office Word</Application>
  <DocSecurity>0</DocSecurity>
  <Lines>317</Lines>
  <Paragraphs>89</Paragraphs>
  <ScaleCrop>false</ScaleCrop>
  <Company/>
  <LinksUpToDate>false</LinksUpToDate>
  <CharactersWithSpaces>44867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924</cp:revision>
  <cp:lastPrinted>2023-01-10T21:18:00Z</cp:lastPrinted>
  <dcterms:created xsi:type="dcterms:W3CDTF">2026-05-25T13:41:00Z</dcterms:created>
  <dcterms:modified xsi:type="dcterms:W3CDTF">2026-08-24T18:57:00Z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