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5EC76" w14:textId="3DC577B8" w:rsidR="00287117" w:rsidRPr="00287117" w:rsidRDefault="00287117" w:rsidP="00B36928">
      <w:pPr>
        <w:spacing w:after="0" w:line="240" w:lineRule="auto"/>
        <w:rPr>
          <w:rFonts w:ascii="Verdana" w:eastAsia="Calibri" w:hAnsi="Verdana" w:cs="Arial"/>
          <w:b/>
          <w:bCs/>
        </w:rPr>
      </w:pPr>
      <w:bookmarkStart w:id="0" w:name="_Hlk197462763"/>
      <w:bookmarkStart w:id="1" w:name="_Hlk197529996"/>
      <w:r w:rsidRPr="00287117">
        <w:rPr>
          <w:rFonts w:ascii="Verdana" w:eastAsia="Calibri" w:hAnsi="Verdana" w:cs="Arial"/>
          <w:b/>
          <w:bCs/>
        </w:rPr>
        <w:t xml:space="preserve">CONTRATO DE PRESTACIÓN DE SERVICIOS – Concepto </w:t>
      </w:r>
      <w:r w:rsidR="005D1080" w:rsidRPr="005D1080">
        <w:rPr>
          <w:rFonts w:ascii="Verdana" w:eastAsia="Calibri" w:hAnsi="Verdana" w:cs="Arial"/>
          <w:b/>
          <w:bCs/>
          <w:lang w:val="es-ES"/>
        </w:rPr>
        <w:t>–</w:t>
      </w:r>
      <w:r w:rsidRPr="00287117">
        <w:rPr>
          <w:rFonts w:ascii="Verdana" w:eastAsia="Calibri" w:hAnsi="Verdana" w:cs="Arial"/>
          <w:b/>
          <w:bCs/>
        </w:rPr>
        <w:t xml:space="preserve"> CONTRATO DE PRESTACIÓN DE SERVICIOS – Características</w:t>
      </w:r>
    </w:p>
    <w:p w14:paraId="18B590A1" w14:textId="77777777" w:rsidR="00287117" w:rsidRDefault="00287117" w:rsidP="00287117">
      <w:pPr>
        <w:spacing w:after="0" w:line="240" w:lineRule="auto"/>
        <w:jc w:val="both"/>
        <w:rPr>
          <w:rFonts w:ascii="Verdana" w:eastAsia="Calibri" w:hAnsi="Verdana" w:cs="Arial"/>
        </w:rPr>
      </w:pPr>
    </w:p>
    <w:p w14:paraId="6E9ABA26" w14:textId="7B067765" w:rsidR="00287117" w:rsidRPr="00287117" w:rsidRDefault="00287117" w:rsidP="007F74B8">
      <w:pPr>
        <w:spacing w:after="0" w:line="240" w:lineRule="auto"/>
        <w:jc w:val="both"/>
        <w:rPr>
          <w:rFonts w:ascii="Verdana" w:eastAsia="Calibri" w:hAnsi="Verdana" w:cs="Arial"/>
          <w:sz w:val="21"/>
          <w:szCs w:val="21"/>
        </w:rPr>
      </w:pPr>
      <w:r w:rsidRPr="00287117">
        <w:rPr>
          <w:rFonts w:ascii="Verdana" w:eastAsia="Calibri" w:hAnsi="Verdana" w:cs="Arial"/>
          <w:sz w:val="21"/>
          <w:szCs w:val="21"/>
        </w:rPr>
        <w:t xml:space="preserve">El contrato de prestación de servicios es uno de los tipos contractuales consagrados en el Estatuto General de Contratación de la Administración Pública, que pueden celebrar las entidades estatales. Se trata de un contrato típico, ya que se encuentra definido en la ley […] </w:t>
      </w:r>
    </w:p>
    <w:p w14:paraId="76B71EBC" w14:textId="77777777" w:rsidR="00287117" w:rsidRPr="00287117" w:rsidRDefault="00287117" w:rsidP="007F74B8">
      <w:pPr>
        <w:spacing w:after="0" w:line="240" w:lineRule="auto"/>
        <w:jc w:val="both"/>
        <w:rPr>
          <w:rFonts w:ascii="Verdana" w:eastAsia="Calibri" w:hAnsi="Verdana" w:cs="Arial"/>
          <w:sz w:val="21"/>
          <w:szCs w:val="21"/>
        </w:rPr>
      </w:pPr>
    </w:p>
    <w:p w14:paraId="5F91FE59" w14:textId="7ED7812F" w:rsidR="00287117" w:rsidRPr="00287117" w:rsidRDefault="00287117" w:rsidP="007F74B8">
      <w:pPr>
        <w:spacing w:after="0" w:line="240" w:lineRule="auto"/>
        <w:jc w:val="both"/>
        <w:rPr>
          <w:rFonts w:ascii="Verdana" w:hAnsi="Verdana" w:cs="Arial"/>
          <w:color w:val="000000" w:themeColor="text1"/>
          <w:sz w:val="21"/>
          <w:szCs w:val="21"/>
        </w:rPr>
      </w:pPr>
      <w:r w:rsidRPr="00287117">
        <w:rPr>
          <w:rFonts w:ascii="Verdana" w:hAnsi="Verdana" w:cs="Arial"/>
          <w:color w:val="000000" w:themeColor="text1"/>
          <w:sz w:val="21"/>
          <w:szCs w:val="21"/>
        </w:rPr>
        <w:t>De conformidad con el artículo 32, numeral 3°, de la Ley 80 de 1993, el contrato de prestación de servicios se caracteriza por la autonomía e independencia del contratista en la ejecución de las actividades contratadas, razón por la cual no puede existir subordinación propia de una relación laboral. En ese sentido, aunque la jurisprudencia de la Corte Constitucional y del Consejo de Estado ha reconocido que las entidades estatales pueden ejercer facultades de coordinación y establecer ciertas directrices necesarias para garantizar la adecuada ejecución del objeto contractual —incluso exigir el cumplimiento de horarios cuando ello resulte indispensable para la prestación eficiente del servicio—, dichas medidas no pueden llegar al punto de configurar un poder subordinante permanente y continuo semejante al que ejerce un empleador frente a un trabajador dependiente.</w:t>
      </w:r>
    </w:p>
    <w:p w14:paraId="16E991C1" w14:textId="77777777" w:rsidR="00287117" w:rsidRDefault="00287117" w:rsidP="00287117">
      <w:pPr>
        <w:spacing w:after="0" w:line="240" w:lineRule="auto"/>
        <w:jc w:val="both"/>
        <w:rPr>
          <w:rFonts w:ascii="Verdana" w:hAnsi="Verdana" w:cs="Arial"/>
          <w:color w:val="000000" w:themeColor="text1"/>
        </w:rPr>
      </w:pPr>
    </w:p>
    <w:p w14:paraId="474B607D" w14:textId="31C16B82" w:rsidR="00287117" w:rsidRDefault="00287117" w:rsidP="00287117">
      <w:pPr>
        <w:spacing w:after="0" w:line="240" w:lineRule="auto"/>
        <w:jc w:val="both"/>
        <w:rPr>
          <w:rFonts w:ascii="Verdana" w:eastAsia="Calibri" w:hAnsi="Verdana" w:cs="Arial"/>
          <w:b/>
          <w:bCs/>
        </w:rPr>
      </w:pPr>
      <w:r w:rsidRPr="00287117">
        <w:rPr>
          <w:rFonts w:ascii="Verdana" w:eastAsia="Calibri" w:hAnsi="Verdana" w:cs="Arial"/>
          <w:b/>
          <w:bCs/>
        </w:rPr>
        <w:t>CONTRATO DE PRESTACIÓN DE SERVICIOS – Ley 80 de 1993 - Autonomía e independencia</w:t>
      </w:r>
    </w:p>
    <w:p w14:paraId="2D284729" w14:textId="77777777" w:rsidR="00287117" w:rsidRDefault="00287117" w:rsidP="00287117">
      <w:pPr>
        <w:spacing w:after="0" w:line="240" w:lineRule="auto"/>
        <w:jc w:val="both"/>
        <w:rPr>
          <w:rFonts w:ascii="Verdana" w:eastAsia="Calibri" w:hAnsi="Verdana" w:cs="Arial"/>
          <w:b/>
          <w:bCs/>
        </w:rPr>
      </w:pPr>
    </w:p>
    <w:p w14:paraId="018552A1" w14:textId="77777777" w:rsidR="00287117" w:rsidRPr="00287117" w:rsidRDefault="00287117" w:rsidP="00287117">
      <w:pPr>
        <w:spacing w:after="120" w:line="240" w:lineRule="auto"/>
        <w:jc w:val="both"/>
        <w:rPr>
          <w:rFonts w:ascii="Verdana" w:hAnsi="Verdana" w:cs="Arial"/>
          <w:color w:val="000000" w:themeColor="text1"/>
          <w:sz w:val="21"/>
          <w:szCs w:val="21"/>
        </w:rPr>
      </w:pPr>
      <w:r w:rsidRPr="00287117">
        <w:rPr>
          <w:rFonts w:ascii="Verdana" w:hAnsi="Verdana" w:cs="Arial"/>
          <w:color w:val="000000" w:themeColor="text1"/>
          <w:sz w:val="21"/>
          <w:szCs w:val="21"/>
        </w:rPr>
        <w:t>En consecuencia, aunque las entidades estatales pueden establecer mecanismos de seguimiento, verificación y control orientados a constatar el cumplimiento de las obligaciones contractuales, no resulta jurídicamente adecuado que el pago de honorarios dependa exclusivamente de la contabilización estricta de horas laboradas bajo esquemas equivalentes al control de jornada propio de una relación laboral. Ello obedece a que el elemento esencial del contrato de prestación de servicios es precisamente la autonomía técnica, administrativa y operativa del contratista, quien dispone de libertad para ejecutar las actividades contratadas, sin encontrarse sometido a subordinación permanente.</w:t>
      </w:r>
    </w:p>
    <w:p w14:paraId="72BFA514" w14:textId="77777777" w:rsidR="00287117" w:rsidRPr="00287117" w:rsidRDefault="00287117" w:rsidP="00287117">
      <w:pPr>
        <w:spacing w:after="120" w:line="240" w:lineRule="auto"/>
        <w:jc w:val="both"/>
        <w:rPr>
          <w:rFonts w:ascii="Verdana" w:hAnsi="Verdana" w:cs="Arial"/>
          <w:color w:val="000000" w:themeColor="text1"/>
          <w:sz w:val="21"/>
          <w:szCs w:val="21"/>
        </w:rPr>
      </w:pPr>
      <w:r w:rsidRPr="00287117">
        <w:rPr>
          <w:rFonts w:ascii="Verdana" w:hAnsi="Verdana" w:cs="Arial"/>
          <w:color w:val="000000" w:themeColor="text1"/>
          <w:sz w:val="21"/>
          <w:szCs w:val="21"/>
        </w:rPr>
        <w:t>Así las cosas, si bien en ciertos contratos puede justificarse la necesidad de acreditar disponibilidad, asistencia o cumplimiento de determinadas actividades durante ciertos periodos, especialmente cuando la naturaleza del servicio exige coordinación institucional, ello no autoriza a transformar el contrato en un sistema de remuneración basado exclusivamente en el control horario estricto como criterio determinante del pago, pues tal práctica puede evidenciar que la entidad está valorando el servicio como fuerza laboral subordinada y no como una actividad independiente orientada al cumplimiento de un objeto contractual.</w:t>
      </w:r>
    </w:p>
    <w:p w14:paraId="375C8338" w14:textId="24C8348B" w:rsidR="00287117" w:rsidRDefault="00287117" w:rsidP="00287117">
      <w:pPr>
        <w:spacing w:after="0" w:line="240" w:lineRule="auto"/>
        <w:jc w:val="both"/>
        <w:rPr>
          <w:rFonts w:ascii="Verdana" w:hAnsi="Verdana"/>
          <w:b/>
          <w:bCs/>
        </w:rPr>
      </w:pPr>
      <w:r w:rsidRPr="00287117">
        <w:rPr>
          <w:rFonts w:ascii="Verdana" w:eastAsia="Calibri" w:hAnsi="Verdana" w:cs="Arial"/>
          <w:b/>
          <w:bCs/>
        </w:rPr>
        <w:t xml:space="preserve">CONTRATO DE PRESTACIÓN DE SERVICIOS – Horario </w:t>
      </w:r>
      <w:r w:rsidRPr="00287117">
        <w:rPr>
          <w:rFonts w:eastAsia="Calibri"/>
          <w:b/>
          <w:bCs/>
        </w:rPr>
        <w:t xml:space="preserve">– </w:t>
      </w:r>
      <w:r w:rsidRPr="00287117">
        <w:rPr>
          <w:rFonts w:ascii="Verdana" w:eastAsia="Calibri" w:hAnsi="Verdana"/>
          <w:b/>
          <w:bCs/>
        </w:rPr>
        <w:t xml:space="preserve">Compensaciones </w:t>
      </w:r>
      <w:r w:rsidR="005D1080" w:rsidRPr="005D1080">
        <w:rPr>
          <w:rFonts w:ascii="Verdana" w:eastAsia="Calibri" w:hAnsi="Verdana"/>
          <w:b/>
          <w:bCs/>
          <w:lang w:val="es-ES"/>
        </w:rPr>
        <w:t>–</w:t>
      </w:r>
      <w:r w:rsidR="005D1080" w:rsidRPr="00287117">
        <w:rPr>
          <w:rFonts w:eastAsia="Calibri"/>
          <w:b/>
          <w:bCs/>
        </w:rPr>
        <w:t xml:space="preserve"> </w:t>
      </w:r>
      <w:r w:rsidR="005D1080" w:rsidRPr="005D1080">
        <w:rPr>
          <w:rFonts w:ascii="Verdana" w:eastAsia="Calibri" w:hAnsi="Verdana"/>
          <w:b/>
          <w:bCs/>
        </w:rPr>
        <w:t>Ley</w:t>
      </w:r>
      <w:r w:rsidRPr="00287117">
        <w:rPr>
          <w:rFonts w:ascii="Verdana" w:hAnsi="Verdana"/>
          <w:b/>
          <w:bCs/>
        </w:rPr>
        <w:t xml:space="preserve"> 403 de 1997 Art 4</w:t>
      </w:r>
    </w:p>
    <w:p w14:paraId="0404AF77" w14:textId="77777777" w:rsidR="00287117" w:rsidRDefault="00287117" w:rsidP="00287117">
      <w:pPr>
        <w:spacing w:after="0" w:line="240" w:lineRule="auto"/>
        <w:jc w:val="both"/>
        <w:rPr>
          <w:rFonts w:ascii="Verdana" w:hAnsi="Verdana"/>
          <w:b/>
          <w:bCs/>
        </w:rPr>
      </w:pPr>
    </w:p>
    <w:p w14:paraId="674CE5ED" w14:textId="77777777" w:rsidR="00287117" w:rsidRPr="00287117" w:rsidRDefault="00287117" w:rsidP="00287117">
      <w:pPr>
        <w:spacing w:after="120" w:line="240" w:lineRule="auto"/>
        <w:jc w:val="both"/>
        <w:rPr>
          <w:rFonts w:ascii="Verdana" w:hAnsi="Verdana" w:cs="Arial"/>
          <w:color w:val="000000" w:themeColor="text1"/>
          <w:sz w:val="21"/>
          <w:szCs w:val="21"/>
        </w:rPr>
      </w:pPr>
      <w:r w:rsidRPr="00287117">
        <w:rPr>
          <w:rFonts w:ascii="Verdana" w:hAnsi="Verdana" w:cs="Arial"/>
          <w:color w:val="000000" w:themeColor="text1"/>
          <w:sz w:val="21"/>
          <w:szCs w:val="21"/>
        </w:rPr>
        <w:t>El artículo 3 de la Ley 403 de 1997 no resulta aplicable a los contratistas vinculados mediante contrato de prestación de servicios con una entidad pública, por cuanto el beneficio allí previsto se encuentra dirigido a quienes se encuentran vinculados mediante una relación legal y reglamentaria o laboral, supuesto que no se configura respecto de los contratistas estatales.</w:t>
      </w:r>
    </w:p>
    <w:p w14:paraId="0C1DB65A" w14:textId="77777777" w:rsidR="00287117" w:rsidRPr="00287117" w:rsidRDefault="00287117" w:rsidP="00287117">
      <w:pPr>
        <w:spacing w:after="120" w:line="240" w:lineRule="auto"/>
        <w:jc w:val="both"/>
        <w:rPr>
          <w:rFonts w:ascii="Verdana" w:hAnsi="Verdana" w:cs="Arial"/>
          <w:color w:val="000000" w:themeColor="text1"/>
          <w:sz w:val="21"/>
          <w:szCs w:val="21"/>
        </w:rPr>
      </w:pPr>
      <w:r w:rsidRPr="00287117">
        <w:rPr>
          <w:rFonts w:ascii="Verdana" w:hAnsi="Verdana" w:cs="Arial"/>
          <w:color w:val="000000" w:themeColor="text1"/>
          <w:sz w:val="21"/>
          <w:szCs w:val="21"/>
        </w:rPr>
        <w:t>En efecto, el contrato de prestación de servicios constituye una modalidad de contratación estatal caracterizada por la autonomía e independencia del contratista en la ejecución del objeto contractual, sin que exista subordinación frente a la entidad contratante, elemento que, de acuerdo con la jurisprudencia de la Corte Constitucional y del Consejo de Estado, constituye el criterio determinante para diferenciar esta modalidad contractual de una relación laboral. En consecuencia, los honorarios que percibe el contratista no remuneran una jornada de trabajo ni corresponden al pago de salarios, sino que constituyen la contraprestación económica pactada por la ejecución autónoma de las obligaciones contractuales.</w:t>
      </w:r>
    </w:p>
    <w:p w14:paraId="6AE95AD5" w14:textId="77777777" w:rsidR="00287117" w:rsidRPr="00287117" w:rsidRDefault="00287117" w:rsidP="00287117">
      <w:pPr>
        <w:spacing w:after="120" w:line="240" w:lineRule="auto"/>
        <w:jc w:val="both"/>
        <w:rPr>
          <w:rFonts w:ascii="Verdana" w:hAnsi="Verdana" w:cs="Arial"/>
          <w:color w:val="000000" w:themeColor="text1"/>
          <w:sz w:val="21"/>
          <w:szCs w:val="21"/>
        </w:rPr>
      </w:pPr>
      <w:r w:rsidRPr="00287117">
        <w:rPr>
          <w:rFonts w:ascii="Verdana" w:hAnsi="Verdana" w:cs="Arial"/>
          <w:color w:val="000000" w:themeColor="text1"/>
          <w:sz w:val="21"/>
          <w:szCs w:val="21"/>
        </w:rPr>
        <w:t>De igual manera, los contratistas por prestación de servicios no adquieren la calidad de servidores públicos, no ocupan empleos públicos ni integran la planta de personal de la entidad. Por ello, no les resulta aplicable el régimen de administración de personal previsto para los empleados públicos ni las disposiciones que regulan derechos, deberes, permisos o beneficios derivados de una relación laboral o de un vínculo legal y reglamentario, salvo que una norma legal los extienda de manera expresa.</w:t>
      </w:r>
    </w:p>
    <w:p w14:paraId="2872C168" w14:textId="77777777" w:rsidR="00287117" w:rsidRPr="00287117" w:rsidRDefault="00287117" w:rsidP="00287117">
      <w:pPr>
        <w:spacing w:after="0" w:line="240" w:lineRule="auto"/>
        <w:jc w:val="both"/>
        <w:rPr>
          <w:rFonts w:ascii="Verdana" w:eastAsia="Geomanist Light" w:hAnsi="Verdana" w:cs="Arial"/>
          <w:b/>
          <w:bCs/>
          <w:color w:val="000000" w:themeColor="text1"/>
        </w:rPr>
      </w:pPr>
    </w:p>
    <w:p w14:paraId="01095106" w14:textId="77777777" w:rsidR="00287117" w:rsidRDefault="00287117" w:rsidP="00B36928">
      <w:pPr>
        <w:spacing w:after="0" w:line="240" w:lineRule="auto"/>
        <w:rPr>
          <w:rFonts w:ascii="Verdana" w:eastAsia="Geomanist Light" w:hAnsi="Verdana" w:cs="Arial"/>
          <w:color w:val="000000" w:themeColor="text1"/>
          <w:lang w:val="es-MX"/>
        </w:rPr>
      </w:pPr>
    </w:p>
    <w:p w14:paraId="11356BE0" w14:textId="77777777" w:rsidR="00287117" w:rsidRDefault="00287117" w:rsidP="00B36928">
      <w:pPr>
        <w:spacing w:after="0" w:line="240" w:lineRule="auto"/>
        <w:rPr>
          <w:rFonts w:ascii="Verdana" w:eastAsia="Geomanist Light" w:hAnsi="Verdana" w:cs="Arial"/>
          <w:color w:val="000000" w:themeColor="text1"/>
          <w:lang w:val="es-MX"/>
        </w:rPr>
      </w:pPr>
    </w:p>
    <w:p w14:paraId="2206E83B" w14:textId="77777777" w:rsidR="00287117" w:rsidRDefault="00287117" w:rsidP="00B36928">
      <w:pPr>
        <w:spacing w:after="0" w:line="240" w:lineRule="auto"/>
        <w:rPr>
          <w:rFonts w:ascii="Verdana" w:eastAsia="Geomanist Light" w:hAnsi="Verdana" w:cs="Arial"/>
          <w:color w:val="000000" w:themeColor="text1"/>
          <w:lang w:val="es-MX"/>
        </w:rPr>
      </w:pPr>
    </w:p>
    <w:p w14:paraId="0F0A711C" w14:textId="77777777" w:rsidR="00287117" w:rsidRDefault="00287117" w:rsidP="00B36928">
      <w:pPr>
        <w:spacing w:after="0" w:line="240" w:lineRule="auto"/>
        <w:rPr>
          <w:rFonts w:ascii="Verdana" w:eastAsia="Geomanist Light" w:hAnsi="Verdana" w:cs="Arial"/>
          <w:color w:val="000000" w:themeColor="text1"/>
          <w:lang w:val="es-MX"/>
        </w:rPr>
      </w:pPr>
    </w:p>
    <w:p w14:paraId="480E8325" w14:textId="77777777" w:rsidR="00287117" w:rsidRDefault="00287117" w:rsidP="00B36928">
      <w:pPr>
        <w:spacing w:after="0" w:line="240" w:lineRule="auto"/>
        <w:rPr>
          <w:rFonts w:ascii="Verdana" w:eastAsia="Geomanist Light" w:hAnsi="Verdana" w:cs="Arial"/>
          <w:color w:val="000000" w:themeColor="text1"/>
          <w:lang w:val="es-MX"/>
        </w:rPr>
      </w:pPr>
    </w:p>
    <w:p w14:paraId="34F6CFC6" w14:textId="77777777" w:rsidR="00287117" w:rsidRDefault="00287117" w:rsidP="00B36928">
      <w:pPr>
        <w:spacing w:after="0" w:line="240" w:lineRule="auto"/>
        <w:rPr>
          <w:rFonts w:ascii="Verdana" w:eastAsia="Geomanist Light" w:hAnsi="Verdana" w:cs="Arial"/>
          <w:color w:val="000000" w:themeColor="text1"/>
          <w:lang w:val="es-MX"/>
        </w:rPr>
      </w:pPr>
    </w:p>
    <w:p w14:paraId="0701AEBA" w14:textId="77777777" w:rsidR="00287117" w:rsidRDefault="00287117" w:rsidP="00B36928">
      <w:pPr>
        <w:spacing w:after="0" w:line="240" w:lineRule="auto"/>
        <w:rPr>
          <w:rFonts w:ascii="Verdana" w:eastAsia="Geomanist Light" w:hAnsi="Verdana" w:cs="Arial"/>
          <w:color w:val="000000" w:themeColor="text1"/>
          <w:lang w:val="es-MX"/>
        </w:rPr>
      </w:pPr>
    </w:p>
    <w:p w14:paraId="0BE1C001" w14:textId="77777777" w:rsidR="00287117" w:rsidRDefault="00287117" w:rsidP="00B36928">
      <w:pPr>
        <w:spacing w:after="0" w:line="240" w:lineRule="auto"/>
        <w:rPr>
          <w:rFonts w:ascii="Verdana" w:eastAsia="Geomanist Light" w:hAnsi="Verdana" w:cs="Arial"/>
          <w:color w:val="000000" w:themeColor="text1"/>
          <w:lang w:val="es-MX"/>
        </w:rPr>
      </w:pPr>
    </w:p>
    <w:p w14:paraId="16585B6B" w14:textId="77777777" w:rsidR="00287117" w:rsidRDefault="00287117" w:rsidP="00B36928">
      <w:pPr>
        <w:spacing w:after="0" w:line="240" w:lineRule="auto"/>
        <w:rPr>
          <w:rFonts w:ascii="Verdana" w:eastAsia="Geomanist Light" w:hAnsi="Verdana" w:cs="Arial"/>
          <w:color w:val="000000" w:themeColor="text1"/>
          <w:lang w:val="es-MX"/>
        </w:rPr>
      </w:pPr>
    </w:p>
    <w:p w14:paraId="65205A12" w14:textId="77777777" w:rsidR="00287117" w:rsidRDefault="00287117" w:rsidP="00B36928">
      <w:pPr>
        <w:spacing w:after="0" w:line="240" w:lineRule="auto"/>
        <w:rPr>
          <w:rFonts w:ascii="Verdana" w:eastAsia="Geomanist Light" w:hAnsi="Verdana" w:cs="Arial"/>
          <w:color w:val="000000" w:themeColor="text1"/>
          <w:lang w:val="es-MX"/>
        </w:rPr>
      </w:pPr>
    </w:p>
    <w:p w14:paraId="2ECC109E" w14:textId="77777777" w:rsidR="00287117" w:rsidRDefault="00287117" w:rsidP="00B36928">
      <w:pPr>
        <w:spacing w:after="0" w:line="240" w:lineRule="auto"/>
        <w:rPr>
          <w:rFonts w:ascii="Verdana" w:eastAsia="Geomanist Light" w:hAnsi="Verdana" w:cs="Arial"/>
          <w:color w:val="000000" w:themeColor="text1"/>
          <w:lang w:val="es-MX"/>
        </w:rPr>
      </w:pPr>
    </w:p>
    <w:p w14:paraId="3648B50B" w14:textId="77777777" w:rsidR="00287117" w:rsidRDefault="00287117" w:rsidP="00B36928">
      <w:pPr>
        <w:spacing w:after="0" w:line="240" w:lineRule="auto"/>
        <w:rPr>
          <w:rFonts w:ascii="Verdana" w:eastAsia="Geomanist Light" w:hAnsi="Verdana" w:cs="Arial"/>
          <w:color w:val="000000" w:themeColor="text1"/>
          <w:lang w:val="es-MX"/>
        </w:rPr>
      </w:pPr>
    </w:p>
    <w:p w14:paraId="6E63DF04" w14:textId="77777777" w:rsidR="00287117" w:rsidRDefault="00287117" w:rsidP="00B36928">
      <w:pPr>
        <w:spacing w:after="0" w:line="240" w:lineRule="auto"/>
        <w:rPr>
          <w:rFonts w:ascii="Verdana" w:eastAsia="Geomanist Light" w:hAnsi="Verdana" w:cs="Arial"/>
          <w:color w:val="000000" w:themeColor="text1"/>
          <w:lang w:val="es-MX"/>
        </w:rPr>
      </w:pPr>
    </w:p>
    <w:p w14:paraId="6824FAA6" w14:textId="77777777" w:rsidR="007F74B8" w:rsidRDefault="007F74B8" w:rsidP="00B36928">
      <w:pPr>
        <w:spacing w:after="0" w:line="240" w:lineRule="auto"/>
        <w:rPr>
          <w:rFonts w:ascii="Verdana" w:eastAsia="Geomanist Light" w:hAnsi="Verdana" w:cs="Arial"/>
          <w:color w:val="000000" w:themeColor="text1"/>
          <w:lang w:val="pt-PT"/>
        </w:rPr>
      </w:pPr>
    </w:p>
    <w:p w14:paraId="2A5069DB" w14:textId="77777777" w:rsidR="007F74B8" w:rsidRDefault="007F74B8" w:rsidP="00B36928">
      <w:pPr>
        <w:spacing w:after="0" w:line="240" w:lineRule="auto"/>
        <w:rPr>
          <w:rFonts w:ascii="Verdana" w:eastAsia="Geomanist Light" w:hAnsi="Verdana" w:cs="Arial"/>
          <w:color w:val="000000" w:themeColor="text1"/>
          <w:lang w:val="pt-PT"/>
        </w:rPr>
      </w:pPr>
    </w:p>
    <w:p w14:paraId="2BC8D840" w14:textId="77777777" w:rsidR="007F74B8" w:rsidRDefault="007F74B8" w:rsidP="00B36928">
      <w:pPr>
        <w:spacing w:after="0" w:line="240" w:lineRule="auto"/>
        <w:rPr>
          <w:rFonts w:ascii="Verdana" w:eastAsia="Geomanist Light" w:hAnsi="Verdana" w:cs="Arial"/>
          <w:color w:val="000000" w:themeColor="text1"/>
          <w:lang w:val="pt-PT"/>
        </w:rPr>
      </w:pPr>
    </w:p>
    <w:p w14:paraId="1601B639" w14:textId="77777777" w:rsidR="007F74B8" w:rsidRDefault="007F74B8" w:rsidP="00B36928">
      <w:pPr>
        <w:spacing w:after="0" w:line="240" w:lineRule="auto"/>
        <w:rPr>
          <w:rFonts w:ascii="Verdana" w:eastAsia="Geomanist Light" w:hAnsi="Verdana" w:cs="Arial"/>
          <w:color w:val="000000" w:themeColor="text1"/>
          <w:lang w:val="pt-PT"/>
        </w:rPr>
      </w:pPr>
    </w:p>
    <w:p w14:paraId="6D64CC5D" w14:textId="77777777" w:rsidR="007F74B8" w:rsidRDefault="007F74B8" w:rsidP="00B36928">
      <w:pPr>
        <w:spacing w:after="0" w:line="240" w:lineRule="auto"/>
        <w:rPr>
          <w:rFonts w:ascii="Verdana" w:eastAsia="Geomanist Light" w:hAnsi="Verdana" w:cs="Arial"/>
          <w:color w:val="000000" w:themeColor="text1"/>
          <w:lang w:val="pt-PT"/>
        </w:rPr>
      </w:pPr>
    </w:p>
    <w:p w14:paraId="2B18F37A" w14:textId="5AB85A15" w:rsidR="00B36928" w:rsidRPr="00287117" w:rsidRDefault="00B36928" w:rsidP="00B36928">
      <w:pPr>
        <w:spacing w:after="0" w:line="240" w:lineRule="auto"/>
        <w:rPr>
          <w:rFonts w:ascii="Verdana" w:eastAsia="Times New Roman" w:hAnsi="Verdana" w:cs="Arial"/>
          <w:lang w:val="pt-PT" w:eastAsia="es-ES_tradnl"/>
        </w:rPr>
      </w:pPr>
      <w:r w:rsidRPr="00287117">
        <w:rPr>
          <w:rFonts w:ascii="Verdana" w:eastAsia="Geomanist Light" w:hAnsi="Verdana" w:cs="Arial"/>
          <w:color w:val="000000" w:themeColor="text1"/>
          <w:lang w:val="pt-PT"/>
        </w:rPr>
        <w:lastRenderedPageBreak/>
        <w:t>Bogotá D.C., </w:t>
      </w:r>
      <w:r w:rsidR="00287117" w:rsidRPr="00287117">
        <w:rPr>
          <w:rFonts w:ascii="Verdana" w:eastAsia="Geomanist Light" w:hAnsi="Verdana" w:cs="Arial"/>
          <w:color w:val="201F1E"/>
          <w:lang w:val="pt-PT"/>
        </w:rPr>
        <w:t xml:space="preserve">11 </w:t>
      </w:r>
      <w:r w:rsidRPr="00287117">
        <w:rPr>
          <w:rFonts w:ascii="Verdana" w:eastAsia="Geomanist Light" w:hAnsi="Verdana" w:cs="Arial"/>
          <w:color w:val="201F1E"/>
          <w:lang w:val="pt-PT"/>
        </w:rPr>
        <w:t xml:space="preserve">de </w:t>
      </w:r>
      <w:r w:rsidR="00287117" w:rsidRPr="00287117">
        <w:rPr>
          <w:rFonts w:ascii="Verdana" w:eastAsia="Geomanist Light" w:hAnsi="Verdana" w:cs="Arial"/>
          <w:color w:val="201F1E"/>
          <w:lang w:val="pt-PT"/>
        </w:rPr>
        <w:t>agosto</w:t>
      </w:r>
      <w:r w:rsidRPr="00287117">
        <w:rPr>
          <w:rFonts w:ascii="Verdana" w:eastAsia="Geomanist Light" w:hAnsi="Verdana" w:cs="Arial"/>
          <w:color w:val="201F1E"/>
          <w:lang w:val="pt-PT"/>
        </w:rPr>
        <w:t xml:space="preserve"> de </w:t>
      </w:r>
      <w:r w:rsidR="00287117" w:rsidRPr="00287117">
        <w:rPr>
          <w:rFonts w:ascii="Verdana" w:eastAsia="Geomanist Light" w:hAnsi="Verdana" w:cs="Arial"/>
          <w:color w:val="201F1E"/>
          <w:lang w:val="pt-PT"/>
        </w:rPr>
        <w:t>2</w:t>
      </w:r>
      <w:r w:rsidR="00287117">
        <w:rPr>
          <w:rFonts w:ascii="Verdana" w:eastAsia="Geomanist Light" w:hAnsi="Verdana" w:cs="Arial"/>
          <w:color w:val="201F1E"/>
          <w:lang w:val="pt-PT"/>
        </w:rPr>
        <w:t>026</w:t>
      </w:r>
    </w:p>
    <w:p w14:paraId="77416389" w14:textId="13E8E4D9" w:rsidR="00B36928" w:rsidRPr="00287117" w:rsidRDefault="00B36928" w:rsidP="00B36928">
      <w:pPr>
        <w:spacing w:after="0" w:line="240" w:lineRule="auto"/>
        <w:jc w:val="both"/>
        <w:rPr>
          <w:rFonts w:ascii="Verdana" w:eastAsia="Calibri" w:hAnsi="Verdana" w:cs="Arial"/>
          <w:lang w:val="pt-PT" w:eastAsia="es-ES"/>
        </w:rPr>
      </w:pPr>
    </w:p>
    <w:p w14:paraId="22948545" w14:textId="7E2B8304" w:rsidR="00B36928" w:rsidRDefault="00B36928" w:rsidP="00287117">
      <w:pPr>
        <w:spacing w:after="0" w:line="240" w:lineRule="auto"/>
        <w:ind w:left="4956"/>
        <w:jc w:val="both"/>
        <w:rPr>
          <w:rFonts w:ascii="Verdana" w:eastAsia="Calibri" w:hAnsi="Verdana" w:cs="Arial"/>
          <w:lang w:eastAsia="es-ES"/>
        </w:rPr>
      </w:pPr>
    </w:p>
    <w:p w14:paraId="36C95D57" w14:textId="68A006D6" w:rsidR="00B36928" w:rsidRDefault="005D1080" w:rsidP="00B36928">
      <w:pPr>
        <w:spacing w:after="0" w:line="240" w:lineRule="auto"/>
        <w:jc w:val="both"/>
        <w:rPr>
          <w:rFonts w:ascii="Verdana" w:eastAsia="Calibri" w:hAnsi="Verdana" w:cs="Arial"/>
          <w:lang w:eastAsia="es-ES"/>
        </w:rPr>
      </w:pPr>
      <w:r w:rsidRPr="00287117">
        <w:rPr>
          <w:rFonts w:ascii="Verdana" w:eastAsia="Calibri" w:hAnsi="Verdana" w:cs="Arial"/>
          <w:noProof/>
          <w:lang w:eastAsia="es-ES"/>
        </w:rPr>
        <w:drawing>
          <wp:anchor distT="0" distB="0" distL="114300" distR="114300" simplePos="0" relativeHeight="251658240" behindDoc="0" locked="0" layoutInCell="1" allowOverlap="1" wp14:anchorId="268083BE" wp14:editId="5E332DCF">
            <wp:simplePos x="0" y="0"/>
            <wp:positionH relativeFrom="margin">
              <wp:align>right</wp:align>
            </wp:positionH>
            <wp:positionV relativeFrom="paragraph">
              <wp:posOffset>12645</wp:posOffset>
            </wp:positionV>
            <wp:extent cx="2466340" cy="715010"/>
            <wp:effectExtent l="0" t="0" r="0" b="8890"/>
            <wp:wrapSquare wrapText="bothSides"/>
            <wp:docPr id="3988160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16058" name=""/>
                    <pic:cNvPicPr/>
                  </pic:nvPicPr>
                  <pic:blipFill>
                    <a:blip r:embed="rId11">
                      <a:extLst>
                        <a:ext uri="{28A0092B-C50C-407E-A947-70E740481C1C}">
                          <a14:useLocalDpi xmlns:a14="http://schemas.microsoft.com/office/drawing/2010/main" val="0"/>
                        </a:ext>
                      </a:extLst>
                    </a:blip>
                    <a:stretch>
                      <a:fillRect/>
                    </a:stretch>
                  </pic:blipFill>
                  <pic:spPr>
                    <a:xfrm>
                      <a:off x="0" y="0"/>
                      <a:ext cx="2466340" cy="715010"/>
                    </a:xfrm>
                    <a:prstGeom prst="rect">
                      <a:avLst/>
                    </a:prstGeom>
                  </pic:spPr>
                </pic:pic>
              </a:graphicData>
            </a:graphic>
            <wp14:sizeRelH relativeFrom="margin">
              <wp14:pctWidth>0</wp14:pctWidth>
            </wp14:sizeRelH>
            <wp14:sizeRelV relativeFrom="margin">
              <wp14:pctHeight>0</wp14:pctHeight>
            </wp14:sizeRelV>
          </wp:anchor>
        </w:drawing>
      </w:r>
      <w:r w:rsidR="00B36928" w:rsidRPr="008E4F36">
        <w:rPr>
          <w:rFonts w:ascii="Verdana" w:eastAsia="Calibri" w:hAnsi="Verdana" w:cs="Arial"/>
          <w:lang w:eastAsia="es-ES"/>
        </w:rPr>
        <w:t>Señor</w:t>
      </w:r>
    </w:p>
    <w:p w14:paraId="660EB210" w14:textId="77777777" w:rsidR="00B36928" w:rsidRPr="00C243B9" w:rsidRDefault="00B36928" w:rsidP="00B36928">
      <w:pPr>
        <w:spacing w:after="0" w:line="240" w:lineRule="auto"/>
        <w:jc w:val="both"/>
        <w:rPr>
          <w:rFonts w:ascii="Verdana" w:eastAsia="Calibri" w:hAnsi="Verdana" w:cs="Arial"/>
          <w:b/>
          <w:bCs/>
          <w:lang w:eastAsia="es-ES"/>
        </w:rPr>
      </w:pPr>
      <w:r>
        <w:rPr>
          <w:rFonts w:ascii="Verdana" w:eastAsia="Calibri" w:hAnsi="Verdana" w:cs="Arial"/>
          <w:b/>
          <w:bCs/>
          <w:lang w:eastAsia="es-ES"/>
        </w:rPr>
        <w:t>William Orlando Sánchez</w:t>
      </w:r>
    </w:p>
    <w:p w14:paraId="5CD1F963" w14:textId="77777777" w:rsidR="00B36928" w:rsidRPr="003C579A" w:rsidRDefault="00B36928" w:rsidP="00B36928">
      <w:pPr>
        <w:spacing w:after="0" w:line="240" w:lineRule="auto"/>
        <w:jc w:val="both"/>
        <w:rPr>
          <w:rFonts w:ascii="Arial" w:eastAsia="Calibri" w:hAnsi="Arial" w:cs="Arial"/>
          <w:b/>
          <w:highlight w:val="yellow"/>
          <w:lang w:eastAsia="es-ES_tradnl"/>
        </w:rPr>
      </w:pPr>
      <w:hyperlink r:id="rId12" w:history="1">
        <w:r w:rsidRPr="003C579A">
          <w:rPr>
            <w:rStyle w:val="Hipervnculo"/>
            <w:rFonts w:ascii="Arial" w:hAnsi="Arial" w:cs="Arial"/>
          </w:rPr>
          <w:t>controlinterno@sanrafael-antioquia.gov.co</w:t>
        </w:r>
      </w:hyperlink>
      <w:r w:rsidRPr="003C579A">
        <w:rPr>
          <w:rFonts w:ascii="Arial" w:hAnsi="Arial" w:cs="Arial"/>
        </w:rPr>
        <w:t xml:space="preserve">; </w:t>
      </w:r>
    </w:p>
    <w:p w14:paraId="7E59222E" w14:textId="77777777" w:rsidR="00B36928" w:rsidRPr="004E1BE4" w:rsidRDefault="00B36928" w:rsidP="00B36928">
      <w:pPr>
        <w:spacing w:after="0" w:line="240" w:lineRule="auto"/>
        <w:jc w:val="both"/>
        <w:rPr>
          <w:rFonts w:ascii="Verdana" w:eastAsia="Calibri" w:hAnsi="Verdana" w:cs="Arial"/>
          <w:bCs/>
          <w:lang w:eastAsia="es-ES_tradnl"/>
        </w:rPr>
      </w:pPr>
      <w:r>
        <w:rPr>
          <w:rFonts w:ascii="Verdana" w:eastAsia="Calibri" w:hAnsi="Verdana" w:cs="Arial"/>
          <w:bCs/>
          <w:lang w:eastAsia="es-ES_tradnl"/>
        </w:rPr>
        <w:t xml:space="preserve">San Rafael, Antioquia </w:t>
      </w:r>
    </w:p>
    <w:p w14:paraId="3C812909" w14:textId="77777777" w:rsidR="00B36928" w:rsidRPr="005B4C57" w:rsidRDefault="00B36928" w:rsidP="00B36928">
      <w:pPr>
        <w:spacing w:after="0" w:line="240" w:lineRule="auto"/>
        <w:jc w:val="both"/>
        <w:rPr>
          <w:rFonts w:ascii="Verdana" w:eastAsia="Calibri" w:hAnsi="Verdana" w:cs="Arial"/>
          <w:b/>
          <w:bCs/>
          <w:color w:val="000000"/>
          <w:lang w:val="it-CH"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B36928" w:rsidRPr="002842E0" w14:paraId="3C3F7A45" w14:textId="77777777" w:rsidTr="00DF520A">
        <w:trPr>
          <w:trHeight w:val="162"/>
        </w:trPr>
        <w:tc>
          <w:tcPr>
            <w:tcW w:w="3119" w:type="dxa"/>
          </w:tcPr>
          <w:p w14:paraId="42100E85" w14:textId="77777777" w:rsidR="00B36928" w:rsidRPr="005B4C57" w:rsidRDefault="00B36928" w:rsidP="00DF520A">
            <w:pPr>
              <w:jc w:val="both"/>
              <w:rPr>
                <w:rFonts w:ascii="Verdana" w:eastAsia="Calibri" w:hAnsi="Verdana" w:cs="Arial"/>
                <w:b/>
                <w:bCs/>
                <w:color w:val="7030A0"/>
                <w:lang w:val="it-CH" w:eastAsia="es-ES_tradnl"/>
              </w:rPr>
            </w:pPr>
          </w:p>
        </w:tc>
        <w:tc>
          <w:tcPr>
            <w:tcW w:w="5670" w:type="dxa"/>
          </w:tcPr>
          <w:p w14:paraId="7D09CC65" w14:textId="77777777" w:rsidR="00B36928" w:rsidRPr="00801462" w:rsidRDefault="00B36928" w:rsidP="00DF520A">
            <w:pPr>
              <w:jc w:val="both"/>
              <w:rPr>
                <w:rFonts w:ascii="Verdana" w:eastAsia="Calibri" w:hAnsi="Verdana" w:cs="Arial"/>
                <w:b/>
                <w:bCs/>
                <w:lang w:eastAsia="es-ES"/>
              </w:rPr>
            </w:pPr>
            <w:r w:rsidRPr="00083AB6">
              <w:rPr>
                <w:rFonts w:ascii="Verdana" w:eastAsia="Calibri" w:hAnsi="Verdana" w:cs="Arial"/>
                <w:b/>
                <w:bCs/>
                <w:lang w:eastAsia="es-ES"/>
              </w:rPr>
              <w:t xml:space="preserve">Concepto </w:t>
            </w:r>
            <w:r w:rsidRPr="003C579A">
              <w:rPr>
                <w:rFonts w:ascii="Verdana" w:eastAsia="Calibri" w:hAnsi="Verdana" w:cs="Arial"/>
                <w:b/>
                <w:bCs/>
                <w:lang w:eastAsia="es-ES"/>
              </w:rPr>
              <w:t>C-1107</w:t>
            </w:r>
            <w:r>
              <w:rPr>
                <w:rFonts w:ascii="Verdana" w:eastAsia="Calibri" w:hAnsi="Verdana" w:cs="Arial"/>
                <w:b/>
                <w:bCs/>
                <w:lang w:eastAsia="es-ES"/>
              </w:rPr>
              <w:t xml:space="preserve"> de 2026</w:t>
            </w:r>
          </w:p>
          <w:p w14:paraId="7BF334DA" w14:textId="77777777" w:rsidR="00B36928" w:rsidRPr="00801462" w:rsidRDefault="00B36928" w:rsidP="00DF520A">
            <w:pPr>
              <w:jc w:val="both"/>
              <w:rPr>
                <w:rFonts w:ascii="Verdana" w:eastAsia="Calibri" w:hAnsi="Verdana" w:cs="Arial"/>
                <w:b/>
                <w:bCs/>
                <w:color w:val="7030A0"/>
                <w:lang w:eastAsia="es-ES"/>
              </w:rPr>
            </w:pPr>
          </w:p>
        </w:tc>
      </w:tr>
      <w:tr w:rsidR="00B36928" w:rsidRPr="002842E0" w14:paraId="48C97D1E" w14:textId="77777777" w:rsidTr="00DF520A">
        <w:trPr>
          <w:trHeight w:val="884"/>
        </w:trPr>
        <w:tc>
          <w:tcPr>
            <w:tcW w:w="3119" w:type="dxa"/>
          </w:tcPr>
          <w:p w14:paraId="6A427245" w14:textId="77777777" w:rsidR="00B36928" w:rsidRPr="00801462" w:rsidRDefault="00B36928" w:rsidP="00DF520A">
            <w:pPr>
              <w:jc w:val="both"/>
              <w:rPr>
                <w:rFonts w:ascii="Verdana" w:eastAsia="Calibri" w:hAnsi="Verdana" w:cs="Arial"/>
                <w:color w:val="000000"/>
                <w:lang w:eastAsia="es-ES_tradnl"/>
              </w:rPr>
            </w:pPr>
            <w:r w:rsidRPr="00801462">
              <w:rPr>
                <w:rFonts w:ascii="Verdana" w:eastAsia="Calibri" w:hAnsi="Verdana" w:cs="Arial"/>
                <w:b/>
                <w:color w:val="000000"/>
                <w:lang w:eastAsia="es-ES_tradnl"/>
              </w:rPr>
              <w:t>Temas:</w:t>
            </w:r>
            <w:r w:rsidRPr="00801462">
              <w:rPr>
                <w:rFonts w:ascii="Verdana" w:eastAsia="Calibri" w:hAnsi="Verdana" w:cs="Arial"/>
                <w:color w:val="000000"/>
                <w:lang w:eastAsia="es-ES_tradnl"/>
              </w:rPr>
              <w:t xml:space="preserve">                   </w:t>
            </w:r>
          </w:p>
        </w:tc>
        <w:tc>
          <w:tcPr>
            <w:tcW w:w="5670" w:type="dxa"/>
          </w:tcPr>
          <w:p w14:paraId="1226ACAB" w14:textId="29C43F8F" w:rsidR="00B36928" w:rsidRPr="00492084" w:rsidRDefault="00B36928" w:rsidP="00DF520A">
            <w:pPr>
              <w:jc w:val="both"/>
              <w:rPr>
                <w:rFonts w:ascii="Verdana" w:eastAsia="Calibri" w:hAnsi="Verdana" w:cs="Arial"/>
              </w:rPr>
            </w:pPr>
            <w:r w:rsidRPr="009756EB">
              <w:rPr>
                <w:rFonts w:ascii="Verdana" w:eastAsia="Calibri" w:hAnsi="Verdana" w:cs="Arial"/>
              </w:rPr>
              <w:t>CONTRATO DE PRESTACIÓN DE SERVICIOS – Concepto / CONTRATO DE PRESTACIÓN DE SERVICIOS – Características / CONTRATO DE PRESTACIÓN DE SERVICIOS – Ley 80 de 1993 - Autonomía e independencia / CONTRATO DE PRESTACIÓN DE SERVICIOS – Horario</w:t>
            </w:r>
            <w:r>
              <w:rPr>
                <w:rFonts w:ascii="Verdana" w:eastAsia="Calibri" w:hAnsi="Verdana" w:cs="Arial"/>
              </w:rPr>
              <w:t xml:space="preserve"> </w:t>
            </w:r>
            <w:r>
              <w:rPr>
                <w:rFonts w:eastAsia="Calibri"/>
              </w:rPr>
              <w:t xml:space="preserve">– </w:t>
            </w:r>
            <w:r w:rsidRPr="006347D8">
              <w:rPr>
                <w:rFonts w:ascii="Verdana" w:eastAsia="Calibri" w:hAnsi="Verdana"/>
              </w:rPr>
              <w:t>Compensaciones</w:t>
            </w:r>
            <w:r>
              <w:rPr>
                <w:rFonts w:ascii="Verdana" w:eastAsia="Calibri" w:hAnsi="Verdana"/>
              </w:rPr>
              <w:t xml:space="preserve"> </w:t>
            </w:r>
            <w:r w:rsidR="005D1080" w:rsidRPr="005D1080">
              <w:rPr>
                <w:rFonts w:ascii="Verdana" w:eastAsia="Calibri" w:hAnsi="Verdana"/>
                <w:b/>
                <w:bCs/>
                <w:lang w:val="es-ES"/>
              </w:rPr>
              <w:t>–</w:t>
            </w:r>
            <w:r w:rsidR="005D1080">
              <w:rPr>
                <w:rFonts w:eastAsia="Calibri"/>
              </w:rPr>
              <w:t xml:space="preserve"> </w:t>
            </w:r>
            <w:r w:rsidR="005D1080" w:rsidRPr="005D1080">
              <w:rPr>
                <w:rFonts w:ascii="Verdana" w:eastAsia="Calibri" w:hAnsi="Verdana"/>
              </w:rPr>
              <w:t>Ley</w:t>
            </w:r>
            <w:r>
              <w:rPr>
                <w:rFonts w:ascii="Verdana" w:hAnsi="Verdana"/>
              </w:rPr>
              <w:t xml:space="preserve"> 403 de 1997 Art 4 </w:t>
            </w:r>
          </w:p>
          <w:p w14:paraId="70BAC94D" w14:textId="77777777" w:rsidR="00B36928" w:rsidRPr="00226F6A" w:rsidRDefault="00B36928" w:rsidP="00DF520A">
            <w:pPr>
              <w:jc w:val="both"/>
              <w:rPr>
                <w:rFonts w:ascii="Verdana" w:eastAsia="Calibri" w:hAnsi="Verdana" w:cs="Arial"/>
                <w:lang w:eastAsia="es-ES"/>
              </w:rPr>
            </w:pPr>
          </w:p>
        </w:tc>
      </w:tr>
      <w:tr w:rsidR="00B36928" w:rsidRPr="002842E0" w14:paraId="19C4828C" w14:textId="77777777" w:rsidTr="00DF520A">
        <w:tc>
          <w:tcPr>
            <w:tcW w:w="3119" w:type="dxa"/>
          </w:tcPr>
          <w:p w14:paraId="74D1C256" w14:textId="77777777" w:rsidR="00B36928" w:rsidRPr="00801462" w:rsidRDefault="00B36928" w:rsidP="00DF520A">
            <w:pPr>
              <w:jc w:val="both"/>
              <w:rPr>
                <w:rFonts w:ascii="Verdana" w:eastAsia="Calibri" w:hAnsi="Verdana" w:cs="Arial"/>
                <w:b/>
                <w:lang w:eastAsia="es-ES_tradnl"/>
              </w:rPr>
            </w:pPr>
            <w:r w:rsidRPr="00801462">
              <w:rPr>
                <w:rFonts w:ascii="Verdana" w:eastAsia="Calibri" w:hAnsi="Verdana" w:cs="Arial"/>
                <w:b/>
                <w:lang w:eastAsia="es-ES_tradnl"/>
              </w:rPr>
              <w:t>Radicación:</w:t>
            </w:r>
            <w:r w:rsidRPr="00801462">
              <w:rPr>
                <w:rFonts w:ascii="Verdana" w:eastAsia="Calibri" w:hAnsi="Verdana" w:cs="Arial"/>
                <w:lang w:eastAsia="es-ES_tradnl"/>
              </w:rPr>
              <w:t xml:space="preserve">               </w:t>
            </w:r>
          </w:p>
        </w:tc>
        <w:tc>
          <w:tcPr>
            <w:tcW w:w="5670" w:type="dxa"/>
          </w:tcPr>
          <w:p w14:paraId="2E19404C" w14:textId="77777777" w:rsidR="00B36928" w:rsidRPr="00C84654" w:rsidRDefault="00B36928" w:rsidP="00DF520A">
            <w:pPr>
              <w:jc w:val="both"/>
              <w:rPr>
                <w:rFonts w:ascii="Verdana" w:eastAsia="Calibri" w:hAnsi="Verdana" w:cs="Arial"/>
                <w:lang w:eastAsia="es-ES_tradnl"/>
              </w:rPr>
            </w:pPr>
            <w:r w:rsidRPr="008C54F3">
              <w:rPr>
                <w:rFonts w:ascii="Verdana" w:eastAsia="Calibri" w:hAnsi="Verdana" w:cs="Arial"/>
                <w:lang w:eastAsia="es-ES_tradnl"/>
              </w:rPr>
              <w:t xml:space="preserve">Respuesta a consulta con radicado </w:t>
            </w:r>
            <w:r w:rsidRPr="003C579A">
              <w:rPr>
                <w:rFonts w:ascii="Verdana" w:eastAsia="Calibri" w:hAnsi="Verdana" w:cs="Arial"/>
                <w:lang w:eastAsia="es-ES_tradnl"/>
              </w:rPr>
              <w:t>1_2026_07_10_009236</w:t>
            </w:r>
          </w:p>
        </w:tc>
      </w:tr>
    </w:tbl>
    <w:p w14:paraId="22D0EDA8" w14:textId="77777777" w:rsidR="00B36928" w:rsidRDefault="00B36928" w:rsidP="00B36928">
      <w:pPr>
        <w:spacing w:after="0" w:line="276" w:lineRule="auto"/>
        <w:jc w:val="both"/>
        <w:rPr>
          <w:rFonts w:ascii="Verdana" w:eastAsia="Calibri" w:hAnsi="Verdana" w:cs="Arial"/>
          <w:lang w:eastAsia="es-ES_tradnl"/>
        </w:rPr>
      </w:pPr>
    </w:p>
    <w:p w14:paraId="443A13BB" w14:textId="77777777" w:rsidR="00B36928" w:rsidRPr="008E4F36" w:rsidRDefault="00B36928" w:rsidP="00B36928">
      <w:pPr>
        <w:spacing w:after="0" w:line="276" w:lineRule="auto"/>
        <w:jc w:val="both"/>
        <w:rPr>
          <w:rFonts w:ascii="Verdana" w:eastAsia="Calibri" w:hAnsi="Verdana" w:cs="Arial"/>
          <w:lang w:eastAsia="es-ES"/>
        </w:rPr>
      </w:pPr>
      <w:r w:rsidRPr="00083AB6">
        <w:rPr>
          <w:rFonts w:ascii="Verdana" w:eastAsia="Calibri" w:hAnsi="Verdana" w:cs="Arial"/>
          <w:lang w:eastAsia="es-ES"/>
        </w:rPr>
        <w:t>Estimado señor</w:t>
      </w:r>
      <w:r>
        <w:rPr>
          <w:rFonts w:ascii="Verdana" w:eastAsia="Calibri" w:hAnsi="Verdana" w:cs="Arial"/>
          <w:lang w:eastAsia="es-ES"/>
        </w:rPr>
        <w:t xml:space="preserve"> </w:t>
      </w:r>
      <w:r>
        <w:rPr>
          <w:rFonts w:ascii="Verdana" w:eastAsia="Calibri" w:hAnsi="Verdana" w:cs="Arial"/>
          <w:bCs/>
          <w:lang w:eastAsia="es-ES_tradnl"/>
        </w:rPr>
        <w:t>Sánchez</w:t>
      </w:r>
      <w:r w:rsidRPr="00083AB6">
        <w:rPr>
          <w:rFonts w:ascii="Verdana" w:eastAsia="Calibri" w:hAnsi="Verdana" w:cs="Arial"/>
          <w:lang w:eastAsia="es-ES"/>
        </w:rPr>
        <w:t>:</w:t>
      </w:r>
      <w:r w:rsidRPr="008E4F36">
        <w:rPr>
          <w:rFonts w:ascii="Verdana" w:eastAsia="Calibri" w:hAnsi="Verdana" w:cs="Arial"/>
          <w:lang w:eastAsia="es-ES"/>
        </w:rPr>
        <w:t xml:space="preserve"> </w:t>
      </w:r>
    </w:p>
    <w:p w14:paraId="0313D4A3" w14:textId="77777777" w:rsidR="00B36928" w:rsidRDefault="00B36928" w:rsidP="00B36928">
      <w:pPr>
        <w:tabs>
          <w:tab w:val="left" w:pos="3768"/>
        </w:tabs>
        <w:spacing w:after="0" w:line="240" w:lineRule="auto"/>
        <w:jc w:val="both"/>
        <w:rPr>
          <w:rFonts w:ascii="Verdana" w:eastAsia="Calibri" w:hAnsi="Verdana" w:cs="Arial"/>
          <w:lang w:eastAsia="es-ES"/>
        </w:rPr>
      </w:pPr>
    </w:p>
    <w:p w14:paraId="7376D814" w14:textId="77777777" w:rsidR="005D1080" w:rsidRDefault="00B36928" w:rsidP="00B36928">
      <w:pPr>
        <w:tabs>
          <w:tab w:val="left" w:pos="3768"/>
        </w:tabs>
        <w:spacing w:after="0" w:line="276" w:lineRule="auto"/>
        <w:jc w:val="both"/>
        <w:rPr>
          <w:rFonts w:ascii="Verdana" w:eastAsia="Calibri" w:hAnsi="Verdana" w:cs="Arial"/>
          <w:lang w:eastAsia="es-ES"/>
        </w:rPr>
      </w:pPr>
      <w:r w:rsidRPr="000F2158">
        <w:rPr>
          <w:rFonts w:ascii="Verdana" w:eastAsia="Calibri" w:hAnsi="Verdana" w:cs="Arial"/>
          <w:lang w:eastAsia="es-ES"/>
        </w:rPr>
        <w:t xml:space="preserve">En ejercicio de la competencia otorgada por los artículos 3, numeral 5º, y 11, numeral 8º, del Decreto Ley 4170 de 2011, así como lo establecido en la Resolución </w:t>
      </w:r>
      <w:r>
        <w:rPr>
          <w:rFonts w:ascii="Verdana" w:eastAsia="Calibri" w:hAnsi="Verdana" w:cs="Arial"/>
          <w:lang w:eastAsia="es-ES"/>
        </w:rPr>
        <w:t>469 de 2025</w:t>
      </w:r>
      <w:r w:rsidRPr="000F2158">
        <w:rPr>
          <w:rFonts w:ascii="Verdana" w:eastAsia="Calibri" w:hAnsi="Verdana" w:cs="Arial"/>
          <w:lang w:eastAsia="es-ES"/>
        </w:rPr>
        <w:t xml:space="preserve"> expedida por esta Entidad, la Agencia Nacional de Contratación Pública – Colombia Compra Eficiente– responde su solicitud de consulta de fecha </w:t>
      </w:r>
      <w:r>
        <w:rPr>
          <w:rFonts w:ascii="Verdana" w:eastAsia="Calibri" w:hAnsi="Verdana" w:cs="Arial"/>
          <w:lang w:eastAsia="es-ES"/>
        </w:rPr>
        <w:t>10</w:t>
      </w:r>
      <w:r w:rsidRPr="00AF6D58">
        <w:rPr>
          <w:rFonts w:ascii="Verdana" w:eastAsia="Calibri" w:hAnsi="Verdana" w:cs="Arial"/>
          <w:lang w:eastAsia="es-ES"/>
        </w:rPr>
        <w:t xml:space="preserve"> de </w:t>
      </w:r>
      <w:r>
        <w:rPr>
          <w:rFonts w:ascii="Verdana" w:eastAsia="Calibri" w:hAnsi="Verdana" w:cs="Arial"/>
          <w:lang w:eastAsia="es-ES"/>
        </w:rPr>
        <w:t>julio</w:t>
      </w:r>
      <w:r w:rsidRPr="00AF6D58">
        <w:rPr>
          <w:rFonts w:ascii="Verdana" w:eastAsia="Calibri" w:hAnsi="Verdana" w:cs="Arial"/>
          <w:lang w:eastAsia="es-ES"/>
        </w:rPr>
        <w:t xml:space="preserve"> de 202</w:t>
      </w:r>
      <w:r>
        <w:rPr>
          <w:rFonts w:ascii="Verdana" w:eastAsia="Calibri" w:hAnsi="Verdana" w:cs="Arial"/>
          <w:lang w:eastAsia="es-ES"/>
        </w:rPr>
        <w:t>6</w:t>
      </w:r>
      <w:r w:rsidRPr="00AF6D58">
        <w:rPr>
          <w:rFonts w:ascii="Verdana" w:eastAsia="Calibri" w:hAnsi="Verdana" w:cs="Arial"/>
          <w:lang w:eastAsia="es-ES"/>
        </w:rPr>
        <w:t>,</w:t>
      </w:r>
      <w:r w:rsidRPr="000F2158">
        <w:rPr>
          <w:rFonts w:ascii="Verdana" w:eastAsia="Calibri" w:hAnsi="Verdana" w:cs="Arial"/>
          <w:lang w:eastAsia="es-ES"/>
        </w:rPr>
        <w:t xml:space="preserve"> en la cual manifiesta lo siguiente:</w:t>
      </w:r>
      <w:r>
        <w:rPr>
          <w:rFonts w:ascii="Verdana" w:eastAsia="Calibri" w:hAnsi="Verdana" w:cs="Arial"/>
          <w:lang w:eastAsia="es-ES"/>
        </w:rPr>
        <w:t xml:space="preserve"> </w:t>
      </w:r>
    </w:p>
    <w:p w14:paraId="5E05E2F6" w14:textId="77777777" w:rsidR="005D1080" w:rsidRDefault="005D1080" w:rsidP="00B36928">
      <w:pPr>
        <w:tabs>
          <w:tab w:val="left" w:pos="3768"/>
        </w:tabs>
        <w:spacing w:after="0" w:line="276" w:lineRule="auto"/>
        <w:jc w:val="both"/>
        <w:rPr>
          <w:rFonts w:ascii="Verdana" w:eastAsia="Calibri" w:hAnsi="Verdana" w:cs="Arial"/>
          <w:lang w:eastAsia="es-ES"/>
        </w:rPr>
      </w:pPr>
    </w:p>
    <w:p w14:paraId="2AD133AE" w14:textId="29222942" w:rsidR="00B36928" w:rsidRPr="003C579A" w:rsidRDefault="00B36928" w:rsidP="00B36928">
      <w:pPr>
        <w:tabs>
          <w:tab w:val="left" w:pos="3768"/>
        </w:tabs>
        <w:spacing w:after="0" w:line="276" w:lineRule="auto"/>
        <w:jc w:val="both"/>
        <w:rPr>
          <w:rFonts w:ascii="Verdana" w:eastAsia="Calibri" w:hAnsi="Verdana" w:cs="Arial"/>
          <w:sz w:val="21"/>
          <w:szCs w:val="21"/>
          <w:lang w:eastAsia="es-ES"/>
        </w:rPr>
      </w:pPr>
      <w:r w:rsidRPr="003C579A">
        <w:rPr>
          <w:rFonts w:ascii="Verdana" w:eastAsia="Calibri" w:hAnsi="Verdana" w:cs="Arial"/>
          <w:i/>
          <w:iCs/>
          <w:color w:val="000000" w:themeColor="text1"/>
          <w:sz w:val="21"/>
          <w:szCs w:val="21"/>
        </w:rPr>
        <w:t>¿El artículo 3 de la Ley 403 de 1997 es aplicable a los Contratistas por prestación de servicios de</w:t>
      </w:r>
      <w:r>
        <w:rPr>
          <w:rFonts w:ascii="Verdana" w:eastAsia="Calibri" w:hAnsi="Verdana" w:cs="Arial"/>
          <w:i/>
          <w:iCs/>
          <w:color w:val="000000" w:themeColor="text1"/>
          <w:sz w:val="21"/>
          <w:szCs w:val="21"/>
        </w:rPr>
        <w:t xml:space="preserve"> </w:t>
      </w:r>
      <w:r w:rsidRPr="003C579A">
        <w:rPr>
          <w:rFonts w:ascii="Verdana" w:eastAsia="Calibri" w:hAnsi="Verdana" w:cs="Arial"/>
          <w:i/>
          <w:iCs/>
          <w:color w:val="000000" w:themeColor="text1"/>
          <w:sz w:val="21"/>
          <w:szCs w:val="21"/>
        </w:rPr>
        <w:t xml:space="preserve">una entidad </w:t>
      </w:r>
      <w:r w:rsidR="005D1080" w:rsidRPr="003C579A">
        <w:rPr>
          <w:rFonts w:ascii="Verdana" w:eastAsia="Calibri" w:hAnsi="Verdana" w:cs="Arial"/>
          <w:i/>
          <w:iCs/>
          <w:color w:val="000000" w:themeColor="text1"/>
          <w:sz w:val="21"/>
          <w:szCs w:val="21"/>
        </w:rPr>
        <w:t>pública?</w:t>
      </w:r>
      <w:r w:rsidRPr="003C579A">
        <w:rPr>
          <w:rFonts w:ascii="Verdana" w:eastAsia="Calibri" w:hAnsi="Verdana" w:cs="Arial"/>
          <w:i/>
          <w:iCs/>
          <w:color w:val="000000" w:themeColor="text1"/>
          <w:sz w:val="21"/>
          <w:szCs w:val="21"/>
        </w:rPr>
        <w:t>”</w:t>
      </w:r>
    </w:p>
    <w:p w14:paraId="36B8521C" w14:textId="77777777" w:rsidR="00B36928" w:rsidRDefault="00B36928" w:rsidP="00B36928">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w:t>
      </w:r>
      <w:r w:rsidRPr="008E4F36">
        <w:rPr>
          <w:rFonts w:ascii="Verdana" w:eastAsia="Calibri" w:hAnsi="Verdana" w:cs="Arial"/>
          <w:color w:val="000000"/>
          <w:lang w:eastAsia="es-ES"/>
        </w:rPr>
        <w:lastRenderedPageBreak/>
        <w:t xml:space="preserve">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5832D9FB" w14:textId="77777777" w:rsidR="00B36928" w:rsidRPr="00054383" w:rsidRDefault="00B36928" w:rsidP="00B36928">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w:t>
      </w:r>
      <w:r w:rsidRPr="002975A0">
        <w:rPr>
          <w:rFonts w:ascii="Verdana" w:eastAsia="Calibri" w:hAnsi="Verdana" w:cs="Arial"/>
          <w:color w:val="000000"/>
          <w:lang w:eastAsia="es-ES"/>
        </w:rPr>
        <w:t xml:space="preserve">con </w:t>
      </w:r>
      <w:r>
        <w:rPr>
          <w:rFonts w:ascii="Verdana" w:eastAsia="Calibri" w:hAnsi="Verdana" w:cs="Arial"/>
          <w:color w:val="000000"/>
          <w:lang w:eastAsia="es-ES"/>
        </w:rPr>
        <w:t xml:space="preserve">el </w:t>
      </w:r>
      <w:r w:rsidRPr="002975A0">
        <w:rPr>
          <w:rFonts w:ascii="Verdana" w:eastAsia="Calibri" w:hAnsi="Verdana" w:cs="Arial"/>
          <w:color w:val="000000"/>
          <w:lang w:eastAsia="es-ES"/>
        </w:rPr>
        <w:t>problema jurídico de su consulta.</w:t>
      </w:r>
      <w:r w:rsidRPr="008E4F36">
        <w:rPr>
          <w:rFonts w:ascii="Verdana" w:eastAsia="Calibri" w:hAnsi="Verdana" w:cs="Arial"/>
          <w:color w:val="000000"/>
          <w:lang w:eastAsia="es-ES"/>
        </w:rPr>
        <w:t xml:space="preserve">  </w:t>
      </w:r>
    </w:p>
    <w:p w14:paraId="31E15BE9" w14:textId="77777777" w:rsidR="00B36928" w:rsidRPr="008E4F36" w:rsidRDefault="00B36928" w:rsidP="00B36928">
      <w:pPr>
        <w:spacing w:after="0"/>
        <w:ind w:firstLine="709"/>
        <w:jc w:val="both"/>
        <w:rPr>
          <w:rFonts w:ascii="Verdana" w:eastAsia="Calibri" w:hAnsi="Verdana" w:cs="Arial"/>
          <w:color w:val="000000"/>
          <w:lang w:eastAsia="es-ES"/>
        </w:rPr>
      </w:pPr>
    </w:p>
    <w:p w14:paraId="2D8FB870" w14:textId="77777777" w:rsidR="00B36928" w:rsidRDefault="00B36928" w:rsidP="00B3692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8E4F36">
        <w:rPr>
          <w:rFonts w:ascii="Verdana" w:eastAsia="Century Gothic" w:hAnsi="Verdana" w:cs="Century Gothic"/>
          <w:b/>
          <w:bCs/>
        </w:rPr>
        <w:t>Problema planteado:</w:t>
      </w:r>
    </w:p>
    <w:p w14:paraId="7DA35C67" w14:textId="77777777" w:rsidR="00B36928" w:rsidRDefault="00B36928" w:rsidP="00B36928">
      <w:pPr>
        <w:spacing w:after="0" w:line="276" w:lineRule="auto"/>
        <w:jc w:val="both"/>
        <w:rPr>
          <w:rFonts w:ascii="Verdana" w:eastAsia="Calibri" w:hAnsi="Verdana" w:cs="Arial"/>
          <w:color w:val="000000"/>
          <w:highlight w:val="yellow"/>
          <w:lang w:eastAsia="es-ES"/>
        </w:rPr>
      </w:pPr>
    </w:p>
    <w:p w14:paraId="7F1CD2B3" w14:textId="77777777" w:rsidR="00B36928" w:rsidRPr="005A3B40" w:rsidRDefault="00B36928" w:rsidP="00B36928">
      <w:pPr>
        <w:spacing w:after="0" w:line="276" w:lineRule="auto"/>
        <w:jc w:val="both"/>
        <w:rPr>
          <w:rFonts w:ascii="Verdana" w:eastAsia="Calibri" w:hAnsi="Verdana" w:cs="Arial"/>
          <w:color w:val="000000"/>
          <w:lang w:eastAsia="es-ES"/>
        </w:rPr>
      </w:pPr>
      <w:r w:rsidRPr="00005FE3">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el siguiente</w:t>
      </w:r>
      <w:r w:rsidRPr="00005FE3">
        <w:rPr>
          <w:rFonts w:ascii="Verdana" w:eastAsia="Calibri" w:hAnsi="Verdana" w:cs="Arial"/>
          <w:color w:val="000000"/>
          <w:lang w:eastAsia="es-ES"/>
        </w:rPr>
        <w:t xml:space="preserve"> problema jurídico: </w:t>
      </w:r>
      <w:r w:rsidRPr="000D374A">
        <w:rPr>
          <w:rFonts w:ascii="Verdana" w:hAnsi="Verdana"/>
        </w:rPr>
        <w:t>¿Cuál es el alcance de los contratos de prestación de servicios frente a la</w:t>
      </w:r>
      <w:r>
        <w:rPr>
          <w:rFonts w:ascii="Verdana" w:hAnsi="Verdana"/>
        </w:rPr>
        <w:t>s</w:t>
      </w:r>
      <w:r w:rsidRPr="000D374A">
        <w:rPr>
          <w:rFonts w:ascii="Verdana" w:hAnsi="Verdana"/>
        </w:rPr>
        <w:t xml:space="preserve"> </w:t>
      </w:r>
      <w:r>
        <w:rPr>
          <w:rFonts w:ascii="Verdana" w:hAnsi="Verdana"/>
        </w:rPr>
        <w:t>figuras relacionadas con la compensación de horario establecidas en la Ley 403 de 1997?</w:t>
      </w:r>
    </w:p>
    <w:p w14:paraId="0FCC23D4" w14:textId="77777777" w:rsidR="00B36928" w:rsidRPr="00BF422F" w:rsidRDefault="00B36928" w:rsidP="00B36928">
      <w:pPr>
        <w:spacing w:after="0" w:line="276" w:lineRule="auto"/>
        <w:jc w:val="both"/>
        <w:rPr>
          <w:rFonts w:ascii="Verdana" w:eastAsia="Calibri" w:hAnsi="Verdana" w:cs="Times New Roman"/>
          <w:i/>
          <w:iCs/>
          <w:lang w:val="es-ES"/>
        </w:rPr>
      </w:pPr>
    </w:p>
    <w:p w14:paraId="258726CD" w14:textId="77777777" w:rsidR="00B36928" w:rsidRPr="008E4F36" w:rsidRDefault="00B36928" w:rsidP="00B36928">
      <w:pPr>
        <w:spacing w:after="0" w:line="276" w:lineRule="auto"/>
        <w:jc w:val="both"/>
        <w:rPr>
          <w:rFonts w:ascii="Verdana" w:eastAsia="Century Gothic" w:hAnsi="Verdana" w:cs="Century Gothic"/>
          <w:b/>
          <w:bCs/>
        </w:rPr>
      </w:pPr>
      <w:r w:rsidRPr="008E4F36">
        <w:rPr>
          <w:rFonts w:ascii="Verdana" w:eastAsia="Century Gothic" w:hAnsi="Verdana" w:cs="Century Gothic"/>
          <w:b/>
          <w:bCs/>
        </w:rPr>
        <w:t>2. Respuesta:</w:t>
      </w:r>
    </w:p>
    <w:p w14:paraId="4CE85572" w14:textId="77777777" w:rsidR="00B36928" w:rsidRPr="008E4F36" w:rsidRDefault="00B36928" w:rsidP="00B36928">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B36928" w:rsidRPr="008E4F36" w14:paraId="37363EB8" w14:textId="77777777" w:rsidTr="00DF520A">
        <w:tc>
          <w:tcPr>
            <w:tcW w:w="8828" w:type="dxa"/>
          </w:tcPr>
          <w:p w14:paraId="0822E17E" w14:textId="77777777" w:rsidR="00B36928" w:rsidRPr="00757F66" w:rsidRDefault="00B36928" w:rsidP="00DF520A">
            <w:pPr>
              <w:spacing w:after="120" w:line="276" w:lineRule="auto"/>
              <w:jc w:val="both"/>
              <w:rPr>
                <w:rFonts w:ascii="Verdana" w:hAnsi="Verdana" w:cs="Arial"/>
                <w:color w:val="000000" w:themeColor="text1"/>
              </w:rPr>
            </w:pPr>
            <w:r w:rsidRPr="00757F66">
              <w:rPr>
                <w:rFonts w:ascii="Verdana" w:hAnsi="Verdana" w:cs="Arial"/>
                <w:color w:val="000000" w:themeColor="text1"/>
              </w:rPr>
              <w:t>i) De conformidad con el artículo 32, numeral 3°, de la Ley 80 de 1993, el contrato de prestación de servicios se caracteriza por la autonomía e independencia del contratista en la ejecución de las actividades contratadas, razón por la cual no puede existir subordinación propia de una relación laboral. En ese sentido, aunque la jurisprudencia de la Corte Constitucional y del Consejo de Estado ha reconocido que las entidades estatales pueden ejercer facultades de coordinación y establecer ciertas directrices necesarias para garantizar la adecuada ejecución del objeto contractual —incluso exigir el cumplimiento de horarios cuando ello resulte indispensable para la prestación eficiente del servicio—, dichas medidas no pueden llegar al punto de configurar un poder subordinante permanente y continuo semejante al que ejerce un empleador frente a un trabajador dependiente.</w:t>
            </w:r>
          </w:p>
          <w:p w14:paraId="3D31418A" w14:textId="77777777" w:rsidR="00B36928" w:rsidRPr="00757F66" w:rsidRDefault="00B36928" w:rsidP="00DF520A">
            <w:pPr>
              <w:spacing w:after="120" w:line="276" w:lineRule="auto"/>
              <w:ind w:firstLine="709"/>
              <w:jc w:val="both"/>
              <w:rPr>
                <w:rFonts w:ascii="Verdana" w:hAnsi="Verdana" w:cs="Arial"/>
                <w:color w:val="000000" w:themeColor="text1"/>
              </w:rPr>
            </w:pPr>
            <w:r w:rsidRPr="00757F66">
              <w:rPr>
                <w:rFonts w:ascii="Verdana" w:hAnsi="Verdana" w:cs="Arial"/>
                <w:color w:val="000000" w:themeColor="text1"/>
              </w:rPr>
              <w:t xml:space="preserve">Por ello, la imposición de controles rígidos e inflexibles de horario, la obligación de compensar días festivos, la limitación unilateral de descansos, la exigencia de disponibilidad permanente o continua y, en general, la sujeción del contratista a esquemas propios de administración de personal, constituyen </w:t>
            </w:r>
            <w:r w:rsidRPr="00757F66">
              <w:rPr>
                <w:rFonts w:ascii="Verdana" w:hAnsi="Verdana" w:cs="Arial"/>
                <w:color w:val="000000" w:themeColor="text1"/>
              </w:rPr>
              <w:lastRenderedPageBreak/>
              <w:t>elementos que exceden la simple coordinación contractual y pueden convertirse en indicios relevantes de subordinación. En tales eventos, la entidad estatal corre el riesgo de desnaturalizar el contrato de prestación de servicios y configurar una verdadera relación laboral encubierta o “contrato realidad”, especialmente si dichas exigencias se acompañan de control directo sobre el tiempo de trabajo, permanencia obligatoria, órdenes continuas, dependencia funcional y ausencia de autonomía en la ejecución de las actividades.</w:t>
            </w:r>
          </w:p>
          <w:p w14:paraId="25AC2FC3" w14:textId="77777777" w:rsidR="00B36928" w:rsidRPr="00757F66" w:rsidRDefault="00B36928" w:rsidP="00DF520A">
            <w:pPr>
              <w:spacing w:after="120" w:line="276" w:lineRule="auto"/>
              <w:ind w:firstLine="709"/>
              <w:jc w:val="both"/>
              <w:rPr>
                <w:rFonts w:ascii="Verdana" w:hAnsi="Verdana" w:cs="Arial"/>
                <w:color w:val="000000" w:themeColor="text1"/>
              </w:rPr>
            </w:pPr>
            <w:r w:rsidRPr="00757F66">
              <w:rPr>
                <w:rFonts w:ascii="Verdana" w:hAnsi="Verdana" w:cs="Arial"/>
                <w:color w:val="000000" w:themeColor="text1"/>
              </w:rPr>
              <w:t>En efecto, tanto la Corte Constitucional como el Consejo de Estado han sostenido que la subordinación constituye el elemento determinante para diferenciar el contrato de prestación de servicios del vínculo laboral. Así, aunque el cumplimiento de un horario o la asistencia a determinadas jornadas no implican automáticamente la existencia de relación laboral, sí pueden constituir un indicio importante cuando se acrediten conjuntamente otras circunstancias que revelen dependencia y sujeción permanente frente a la entidad contratante. De esta manera, la coordinación necesaria para la ejecución del contrato no puede transformarse en un sistema de control equivalente al ejercicio de potestades propias del empleador.</w:t>
            </w:r>
          </w:p>
          <w:p w14:paraId="59B12381" w14:textId="77777777" w:rsidR="00B36928" w:rsidRPr="00757F66" w:rsidRDefault="00B36928" w:rsidP="00DF520A">
            <w:pPr>
              <w:spacing w:after="120" w:line="276" w:lineRule="auto"/>
              <w:ind w:firstLine="709"/>
              <w:jc w:val="both"/>
              <w:rPr>
                <w:rFonts w:ascii="Verdana" w:hAnsi="Verdana" w:cs="Arial"/>
                <w:color w:val="000000" w:themeColor="text1"/>
              </w:rPr>
            </w:pPr>
            <w:r w:rsidRPr="00757F66">
              <w:rPr>
                <w:rFonts w:ascii="Verdana" w:hAnsi="Verdana" w:cs="Arial"/>
                <w:color w:val="000000" w:themeColor="text1"/>
              </w:rPr>
              <w:t>Por consiguiente, jurídicamente no resulta viable que las entidades estatales sometan a los contratistas de prestación de servicios a esquemas rígidos de control equivalentes a los aplicables a servidores públicos o trabajadores oficiales, pues ello desconoce la naturaleza autónoma del contrato estatal de prestación de servicios y puede generar consecuencias laborales, fiscales y disciplinarias derivadas de la configuración de un contrato realidad.</w:t>
            </w:r>
          </w:p>
          <w:p w14:paraId="7BABF9A1" w14:textId="77777777" w:rsidR="00B36928" w:rsidRPr="00757F66" w:rsidRDefault="00B36928" w:rsidP="00DF520A">
            <w:pPr>
              <w:spacing w:after="120" w:line="276" w:lineRule="auto"/>
              <w:ind w:firstLine="709"/>
              <w:jc w:val="both"/>
              <w:rPr>
                <w:rFonts w:ascii="Verdana" w:hAnsi="Verdana" w:cs="Arial"/>
                <w:color w:val="000000" w:themeColor="text1"/>
              </w:rPr>
            </w:pPr>
            <w:r>
              <w:rPr>
                <w:rFonts w:ascii="Verdana" w:hAnsi="Verdana" w:cs="Arial"/>
                <w:color w:val="000000" w:themeColor="text1"/>
              </w:rPr>
              <w:t>Dicho lo anterior, e</w:t>
            </w:r>
            <w:r w:rsidRPr="00757F66">
              <w:rPr>
                <w:rFonts w:ascii="Verdana" w:hAnsi="Verdana" w:cs="Arial"/>
                <w:color w:val="000000" w:themeColor="text1"/>
              </w:rPr>
              <w:t>l contrato de prestación de servicios no tiene como finalidad la remuneración del tiempo de trabajo subordinado, sino la ejecución autónoma de actividades específicas relacionadas con la administración o funcionamiento de la entidad estatal. Por ello, los honorarios pactados no corresponden, en estricto sentido, al pago de una jornada laboral ni al reconocimiento de salarios por horas trabajadas, sino a la contraprestación económica acordada por la ejecución independiente del objeto contractual y el cumplimiento de las obligaciones derivadas del contrato.</w:t>
            </w:r>
          </w:p>
          <w:p w14:paraId="0F9499AA" w14:textId="77777777" w:rsidR="00B36928" w:rsidRPr="00757F66" w:rsidRDefault="00B36928" w:rsidP="00DF520A">
            <w:pPr>
              <w:spacing w:after="120" w:line="276" w:lineRule="auto"/>
              <w:ind w:firstLine="709"/>
              <w:jc w:val="both"/>
              <w:rPr>
                <w:rFonts w:ascii="Verdana" w:hAnsi="Verdana" w:cs="Arial"/>
                <w:color w:val="000000" w:themeColor="text1"/>
              </w:rPr>
            </w:pPr>
            <w:r w:rsidRPr="00757F66">
              <w:rPr>
                <w:rFonts w:ascii="Verdana" w:hAnsi="Verdana" w:cs="Arial"/>
                <w:color w:val="000000" w:themeColor="text1"/>
              </w:rPr>
              <w:t xml:space="preserve">En consecuencia, aunque las entidades estatales pueden establecer mecanismos de seguimiento, verificación y control orientados a constatar el </w:t>
            </w:r>
            <w:r w:rsidRPr="00757F66">
              <w:rPr>
                <w:rFonts w:ascii="Verdana" w:hAnsi="Verdana" w:cs="Arial"/>
                <w:color w:val="000000" w:themeColor="text1"/>
              </w:rPr>
              <w:lastRenderedPageBreak/>
              <w:t>cumplimiento de las obligaciones contractuales, no resulta jurídicamente adecuado que el pago de honorarios dependa exclusivamente de la contabilización estricta de horas laboradas bajo esquemas equivalentes al control de jornada propio de una relación laboral. Ello obedece a que el elemento esencial del contrato de prestación de servicios es precisamente la autonomía técnica, administrativa y operativa del contratista, quien dispone de libertad para ejecutar las actividades contratadas, sin encontrarse sometido a subordinación permanente.</w:t>
            </w:r>
          </w:p>
          <w:p w14:paraId="52D7D21E" w14:textId="77777777" w:rsidR="00B36928" w:rsidRDefault="00B36928" w:rsidP="00DF520A">
            <w:pPr>
              <w:spacing w:after="120" w:line="276" w:lineRule="auto"/>
              <w:ind w:firstLine="709"/>
              <w:jc w:val="both"/>
              <w:rPr>
                <w:rFonts w:ascii="Verdana" w:hAnsi="Verdana" w:cs="Arial"/>
                <w:color w:val="000000" w:themeColor="text1"/>
              </w:rPr>
            </w:pPr>
            <w:r w:rsidRPr="00757F66">
              <w:rPr>
                <w:rFonts w:ascii="Verdana" w:hAnsi="Verdana" w:cs="Arial"/>
                <w:color w:val="000000" w:themeColor="text1"/>
              </w:rPr>
              <w:t>Así las cosas, si bien en ciertos contratos puede justificarse la necesidad de acreditar disponibilidad, asistencia o cumplimiento de determinadas actividades durante ciertos periodos, especialmente cuando la naturaleza del servicio exige coordinación institucional, ello no autoriza a transformar el contrato en un sistema de remuneración basado exclusivamente en el control horario estricto como criterio determinante del pago, pues tal práctica puede evidenciar que la entidad está valorando el servicio como fuerza laboral subordinada y no como una actividad independiente orientada al cumplimiento de un objeto contractual.</w:t>
            </w:r>
          </w:p>
          <w:p w14:paraId="3CA4AE0D" w14:textId="77777777" w:rsidR="00B36928" w:rsidRPr="00562805" w:rsidRDefault="00B36928" w:rsidP="00DF520A">
            <w:pPr>
              <w:spacing w:after="120" w:line="276" w:lineRule="auto"/>
              <w:ind w:firstLine="709"/>
              <w:jc w:val="both"/>
              <w:rPr>
                <w:rFonts w:ascii="Verdana" w:hAnsi="Verdana" w:cs="Arial"/>
                <w:color w:val="000000" w:themeColor="text1"/>
              </w:rPr>
            </w:pPr>
            <w:r w:rsidRPr="00562805">
              <w:rPr>
                <w:rFonts w:ascii="Verdana" w:hAnsi="Verdana" w:cs="Arial"/>
                <w:color w:val="000000" w:themeColor="text1"/>
              </w:rPr>
              <w:t>El artículo 3 de la Ley 403 de 1997 no resulta aplicable a los contratistas vinculados mediante contrato de prestación de servicios con una entidad pública, por cuanto el beneficio allí previsto se encuentra dirigido a quienes se encuentran vinculados mediante una relación legal y reglamentaria o laboral, supuesto que no se configura respecto de los contratistas estatales.</w:t>
            </w:r>
          </w:p>
          <w:p w14:paraId="14B60ACF" w14:textId="77777777" w:rsidR="00B36928" w:rsidRPr="00562805" w:rsidRDefault="00B36928" w:rsidP="00DF520A">
            <w:pPr>
              <w:spacing w:after="120" w:line="276" w:lineRule="auto"/>
              <w:ind w:firstLine="709"/>
              <w:jc w:val="both"/>
              <w:rPr>
                <w:rFonts w:ascii="Verdana" w:hAnsi="Verdana" w:cs="Arial"/>
                <w:color w:val="000000" w:themeColor="text1"/>
              </w:rPr>
            </w:pPr>
            <w:r w:rsidRPr="00562805">
              <w:rPr>
                <w:rFonts w:ascii="Verdana" w:hAnsi="Verdana" w:cs="Arial"/>
                <w:color w:val="000000" w:themeColor="text1"/>
              </w:rPr>
              <w:t>En efecto, el contrato de prestación de servicios constituye una modalidad de contratación estatal caracterizada por la autonomía e independencia del contratista en la ejecución del objeto contractual, sin que exista subordinación frente a la entidad contratante, elemento que, de acuerdo con la jurisprudencia de la Corte Constitucional y del Consejo de Estado, constituye el criterio determinante para diferenciar esta modalidad contractual de una relación laboral. En consecuencia, los honorarios que percibe el contratista no remuneran una jornada de trabajo ni corresponden al pago de salarios, sino que constituyen la contraprestación económica pactada por la ejecución autónoma de las obligaciones contractuales.</w:t>
            </w:r>
          </w:p>
          <w:p w14:paraId="26C951C3" w14:textId="77777777" w:rsidR="00B36928" w:rsidRDefault="00B36928" w:rsidP="00DF520A">
            <w:pPr>
              <w:spacing w:after="120" w:line="276" w:lineRule="auto"/>
              <w:ind w:firstLine="709"/>
              <w:jc w:val="both"/>
              <w:rPr>
                <w:rFonts w:ascii="Verdana" w:hAnsi="Verdana" w:cs="Arial"/>
                <w:color w:val="000000" w:themeColor="text1"/>
              </w:rPr>
            </w:pPr>
            <w:r w:rsidRPr="00562805">
              <w:rPr>
                <w:rFonts w:ascii="Verdana" w:hAnsi="Verdana" w:cs="Arial"/>
                <w:color w:val="000000" w:themeColor="text1"/>
              </w:rPr>
              <w:t xml:space="preserve">De igual manera, los contratistas por prestación de servicios no adquieren la calidad de servidores públicos, no ocupan empleos públicos ni integran la planta de personal de la entidad. Por ello, no les resulta aplicable </w:t>
            </w:r>
            <w:r w:rsidRPr="00562805">
              <w:rPr>
                <w:rFonts w:ascii="Verdana" w:hAnsi="Verdana" w:cs="Arial"/>
                <w:color w:val="000000" w:themeColor="text1"/>
              </w:rPr>
              <w:lastRenderedPageBreak/>
              <w:t>el régimen de administración de personal previsto para los empleados públicos ni las disposiciones que regulan derechos, deberes, permisos o beneficios derivados de una relación laboral o de un vínculo legal y reglamentario, salvo que una norma legal los extienda de manera expresa.</w:t>
            </w:r>
          </w:p>
          <w:p w14:paraId="14525FEA" w14:textId="77777777" w:rsidR="00B36928" w:rsidRPr="00B70775" w:rsidRDefault="00B36928" w:rsidP="00DF520A">
            <w:pPr>
              <w:spacing w:after="120" w:line="276" w:lineRule="auto"/>
              <w:ind w:firstLine="709"/>
              <w:jc w:val="both"/>
              <w:rPr>
                <w:rFonts w:ascii="Verdana" w:hAnsi="Verdana" w:cs="Arial"/>
                <w:color w:val="000000" w:themeColor="text1"/>
              </w:rPr>
            </w:pPr>
            <w:r w:rsidRPr="00064773">
              <w:rPr>
                <w:rFonts w:ascii="Verdana" w:eastAsia="Calibri" w:hAnsi="Verdana" w:cs="Arial"/>
                <w:bCs/>
              </w:rPr>
              <w:t xml:space="preserve">Al margen de la explicación precedente, debe advertirse que </w:t>
            </w:r>
            <w:r w:rsidRPr="00064773">
              <w:rPr>
                <w:rStyle w:val="s15"/>
                <w:rFonts w:ascii="Verdana" w:hAnsi="Verdana"/>
              </w:rPr>
              <w:t xml:space="preserve">el análisis requerido para resolver problemas específicos en torno a la gestión contractual debe ser realizado por quienes tengan interés en ello, de acuerdo con lo explicado </w:t>
            </w:r>
            <w:r w:rsidRPr="004C0B72">
              <w:rPr>
                <w:rStyle w:val="s15"/>
                <w:rFonts w:ascii="Verdana" w:hAnsi="Verdana"/>
              </w:rPr>
              <w:t>en el presente escrito</w:t>
            </w:r>
            <w:r w:rsidRPr="00064773">
              <w:rPr>
                <w:rStyle w:val="s15"/>
                <w:rFonts w:ascii="Verdana" w:hAnsi="Verdana"/>
              </w:rPr>
              <w:t>.</w:t>
            </w:r>
            <w:r w:rsidRPr="00064773">
              <w:rPr>
                <w:rStyle w:val="apple-converted-space"/>
                <w:rFonts w:ascii="Verdana" w:hAnsi="Verdana"/>
              </w:rPr>
              <w:t> </w:t>
            </w:r>
            <w:r w:rsidRPr="00064773">
              <w:rPr>
                <w:rStyle w:val="s15"/>
                <w:rFonts w:ascii="Verdana" w:hAnsi="Verdana"/>
              </w:rPr>
              <w:t>Por lo anterior, previo</w:t>
            </w:r>
            <w:r w:rsidRPr="00064773">
              <w:rPr>
                <w:rStyle w:val="apple-converted-space"/>
                <w:rFonts w:ascii="Verdana" w:hAnsi="Verdana"/>
              </w:rPr>
              <w:t> </w:t>
            </w:r>
            <w:r w:rsidRPr="00064773">
              <w:rPr>
                <w:rStyle w:val="s15"/>
                <w:rFonts w:ascii="Verdana" w:hAnsi="Verdana"/>
              </w:rPr>
              <w:t>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3710E0DA" w14:textId="77777777" w:rsidR="00B36928" w:rsidRDefault="00B36928" w:rsidP="00B36928">
      <w:pPr>
        <w:tabs>
          <w:tab w:val="left" w:pos="142"/>
          <w:tab w:val="left" w:pos="284"/>
        </w:tabs>
        <w:spacing w:after="0" w:line="276" w:lineRule="auto"/>
        <w:jc w:val="both"/>
        <w:rPr>
          <w:rFonts w:ascii="Verdana" w:eastAsia="Century Gothic" w:hAnsi="Verdana" w:cs="Century Gothic"/>
          <w:b/>
          <w:bCs/>
        </w:rPr>
      </w:pPr>
    </w:p>
    <w:p w14:paraId="1D8ED407" w14:textId="77777777" w:rsidR="00B36928" w:rsidRPr="008E4F36" w:rsidRDefault="00B36928" w:rsidP="00B36928">
      <w:pPr>
        <w:tabs>
          <w:tab w:val="left" w:pos="142"/>
          <w:tab w:val="left" w:pos="284"/>
        </w:tabs>
        <w:spacing w:after="0" w:line="276" w:lineRule="auto"/>
        <w:jc w:val="both"/>
        <w:rPr>
          <w:rFonts w:ascii="Verdana" w:eastAsia="Century Gothic" w:hAnsi="Verdana" w:cs="Century Gothic"/>
          <w:b/>
          <w:bCs/>
        </w:rPr>
      </w:pPr>
      <w:r w:rsidRPr="008E4F36">
        <w:rPr>
          <w:rFonts w:ascii="Verdana" w:eastAsia="Century Gothic" w:hAnsi="Verdana" w:cs="Century Gothic"/>
          <w:b/>
          <w:bCs/>
        </w:rPr>
        <w:t>3. Razones de la respuesta:</w:t>
      </w:r>
    </w:p>
    <w:p w14:paraId="0B68D94D" w14:textId="77777777" w:rsidR="00B36928" w:rsidRDefault="00B36928" w:rsidP="00B36928">
      <w:pPr>
        <w:pStyle w:val="Prrafodelista"/>
        <w:tabs>
          <w:tab w:val="left" w:pos="142"/>
          <w:tab w:val="left" w:pos="284"/>
        </w:tabs>
        <w:spacing w:after="0" w:line="276" w:lineRule="auto"/>
        <w:ind w:left="0"/>
        <w:contextualSpacing w:val="0"/>
        <w:jc w:val="both"/>
        <w:rPr>
          <w:rFonts w:ascii="Verdana" w:eastAsia="Calibri" w:hAnsi="Verdana" w:cs="Arial"/>
        </w:rPr>
      </w:pPr>
    </w:p>
    <w:p w14:paraId="506520C2" w14:textId="77777777" w:rsidR="00B36928" w:rsidRDefault="00B36928" w:rsidP="00B36928">
      <w:pPr>
        <w:pStyle w:val="Prrafodelista"/>
        <w:tabs>
          <w:tab w:val="left" w:pos="142"/>
          <w:tab w:val="left" w:pos="284"/>
        </w:tabs>
        <w:spacing w:after="0" w:line="276" w:lineRule="auto"/>
        <w:ind w:left="0"/>
        <w:contextualSpacing w:val="0"/>
        <w:jc w:val="both"/>
        <w:rPr>
          <w:rFonts w:ascii="Verdana" w:eastAsia="Calibri" w:hAnsi="Verdana" w:cs="Arial"/>
        </w:rPr>
      </w:pPr>
      <w:r w:rsidRPr="008E4F36">
        <w:rPr>
          <w:rFonts w:ascii="Verdana" w:eastAsia="Calibri" w:hAnsi="Verdana" w:cs="Arial"/>
        </w:rPr>
        <w:t xml:space="preserve">Lo anterior se sustenta en las siguientes consideraciones: </w:t>
      </w:r>
    </w:p>
    <w:p w14:paraId="52A69EBF" w14:textId="77777777" w:rsidR="00B36928" w:rsidRDefault="00B36928" w:rsidP="00B36928">
      <w:pPr>
        <w:spacing w:after="120" w:line="276" w:lineRule="auto"/>
        <w:jc w:val="both"/>
        <w:rPr>
          <w:rFonts w:ascii="Verdana" w:eastAsia="Calibri" w:hAnsi="Verdana" w:cs="Arial"/>
          <w:color w:val="000000"/>
          <w:shd w:val="clear" w:color="auto" w:fill="FFFFFF"/>
          <w:lang w:val="es-ES"/>
        </w:rPr>
      </w:pPr>
    </w:p>
    <w:p w14:paraId="5D24F148" w14:textId="77777777" w:rsidR="00B36928" w:rsidRDefault="00B36928" w:rsidP="00B36928">
      <w:pPr>
        <w:spacing w:after="0" w:line="276" w:lineRule="auto"/>
        <w:jc w:val="both"/>
        <w:rPr>
          <w:rFonts w:ascii="Verdana" w:eastAsia="Calibri" w:hAnsi="Verdana" w:cs="Arial"/>
        </w:rPr>
      </w:pPr>
      <w:bookmarkStart w:id="2" w:name="_Hlk204856061"/>
      <w:bookmarkStart w:id="3" w:name="_Hlk78820161"/>
      <w:bookmarkStart w:id="4" w:name="_Hlk204854194"/>
      <w:r w:rsidRPr="006A4D62">
        <w:rPr>
          <w:rFonts w:ascii="Verdana" w:eastAsia="Calibri" w:hAnsi="Verdana" w:cs="Arial"/>
        </w:rPr>
        <w:t>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p>
    <w:p w14:paraId="6D494692" w14:textId="77777777" w:rsidR="00B36928" w:rsidRPr="006A4D62" w:rsidRDefault="00B36928" w:rsidP="00B36928">
      <w:pPr>
        <w:spacing w:after="0" w:line="276" w:lineRule="auto"/>
        <w:jc w:val="both"/>
        <w:rPr>
          <w:rFonts w:ascii="Verdana" w:eastAsia="Calibri" w:hAnsi="Verdana" w:cs="Arial"/>
        </w:rPr>
      </w:pPr>
    </w:p>
    <w:p w14:paraId="2F255310" w14:textId="77777777" w:rsidR="00B36928" w:rsidRPr="006A4D62" w:rsidRDefault="00B36928" w:rsidP="00B36928">
      <w:pPr>
        <w:spacing w:after="0" w:line="240" w:lineRule="auto"/>
        <w:ind w:left="709" w:right="709"/>
        <w:jc w:val="both"/>
        <w:rPr>
          <w:rFonts w:ascii="Verdana" w:eastAsia="Calibri" w:hAnsi="Verdana" w:cs="Arial"/>
          <w:sz w:val="20"/>
          <w:szCs w:val="20"/>
        </w:rPr>
      </w:pPr>
      <w:r w:rsidRPr="006A4D62">
        <w:rPr>
          <w:rFonts w:ascii="Verdana" w:eastAsia="Calibri" w:hAnsi="Verdana" w:cs="Arial"/>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45F068C0" w14:textId="77777777" w:rsidR="00B36928" w:rsidRPr="006A4D62" w:rsidRDefault="00B36928" w:rsidP="00B36928">
      <w:pPr>
        <w:spacing w:after="0" w:line="240" w:lineRule="auto"/>
        <w:ind w:left="709" w:right="709"/>
        <w:jc w:val="both"/>
        <w:rPr>
          <w:rFonts w:ascii="Verdana" w:eastAsia="Calibri" w:hAnsi="Verdana" w:cs="Arial"/>
          <w:sz w:val="20"/>
          <w:szCs w:val="20"/>
        </w:rPr>
      </w:pPr>
    </w:p>
    <w:p w14:paraId="32EF62B8" w14:textId="77777777" w:rsidR="00B36928" w:rsidRPr="006A4D62" w:rsidRDefault="00B36928" w:rsidP="00B36928">
      <w:pPr>
        <w:spacing w:after="0" w:line="240" w:lineRule="auto"/>
        <w:ind w:left="709" w:right="709"/>
        <w:jc w:val="both"/>
        <w:rPr>
          <w:rFonts w:ascii="Verdana" w:eastAsia="Calibri" w:hAnsi="Verdana" w:cs="Arial"/>
          <w:sz w:val="20"/>
          <w:szCs w:val="20"/>
        </w:rPr>
      </w:pPr>
      <w:r w:rsidRPr="006A4D62">
        <w:rPr>
          <w:rFonts w:ascii="Verdana" w:eastAsia="Calibri" w:hAnsi="Verdana" w:cs="Arial"/>
          <w:sz w:val="20"/>
          <w:szCs w:val="20"/>
        </w:rPr>
        <w:t>En ningún caso estos contratos generan relación laboral ni prestaciones sociales y se celebrarán por el término estrictamente indispensable.”</w:t>
      </w:r>
    </w:p>
    <w:p w14:paraId="24AB05EF" w14:textId="77777777" w:rsidR="00B36928" w:rsidRPr="007E6742" w:rsidRDefault="00B36928" w:rsidP="00B36928">
      <w:pPr>
        <w:spacing w:after="0" w:line="276" w:lineRule="auto"/>
        <w:ind w:left="709" w:right="709"/>
        <w:jc w:val="both"/>
        <w:rPr>
          <w:rFonts w:ascii="Verdana" w:eastAsia="Calibri" w:hAnsi="Verdana" w:cs="Arial"/>
          <w:color w:val="ED7D31" w:themeColor="accent2"/>
          <w:sz w:val="20"/>
          <w:szCs w:val="20"/>
        </w:rPr>
      </w:pPr>
    </w:p>
    <w:p w14:paraId="500F7A8A" w14:textId="77777777" w:rsidR="00B36928" w:rsidRPr="00D2247B" w:rsidRDefault="00B36928" w:rsidP="00B36928">
      <w:pPr>
        <w:spacing w:after="0" w:line="276" w:lineRule="auto"/>
        <w:ind w:firstLine="709"/>
        <w:jc w:val="both"/>
        <w:rPr>
          <w:rFonts w:ascii="Verdana" w:eastAsia="Calibri" w:hAnsi="Verdana" w:cs="Arial"/>
        </w:rPr>
      </w:pPr>
      <w:r>
        <w:rPr>
          <w:rFonts w:ascii="Verdana" w:eastAsia="Calibri" w:hAnsi="Verdana" w:cs="Arial"/>
        </w:rPr>
        <w:t>L</w:t>
      </w:r>
      <w:r w:rsidRPr="00D2247B">
        <w:rPr>
          <w:rFonts w:ascii="Verdana" w:eastAsia="Calibri" w:hAnsi="Verdana" w:cs="Arial"/>
        </w:rPr>
        <w:t>a celebración de dicho contrato debe efectuarse mediante la modalidad de la contratación directa. Así lo prevé el artículo 2, numeral 4º, literal h) de la Ley 1150 de 2007, que dispone:</w:t>
      </w:r>
    </w:p>
    <w:p w14:paraId="7CDCDC5E" w14:textId="77777777" w:rsidR="00B36928" w:rsidRPr="00D2247B" w:rsidRDefault="00B36928" w:rsidP="00B36928">
      <w:pPr>
        <w:spacing w:after="0" w:line="276" w:lineRule="auto"/>
        <w:ind w:firstLine="709"/>
        <w:jc w:val="both"/>
        <w:rPr>
          <w:rFonts w:ascii="Verdana" w:eastAsia="Calibri" w:hAnsi="Verdana" w:cs="Arial"/>
        </w:rPr>
      </w:pPr>
    </w:p>
    <w:p w14:paraId="3FFEF2FE" w14:textId="77777777" w:rsidR="00B36928" w:rsidRPr="00D2247B" w:rsidRDefault="00B36928" w:rsidP="00B36928">
      <w:pPr>
        <w:spacing w:after="0" w:line="240" w:lineRule="auto"/>
        <w:ind w:left="709" w:right="709"/>
        <w:jc w:val="both"/>
        <w:rPr>
          <w:rFonts w:ascii="Verdana" w:eastAsia="Calibri" w:hAnsi="Verdana" w:cs="Arial"/>
          <w:sz w:val="20"/>
          <w:szCs w:val="20"/>
        </w:rPr>
      </w:pPr>
      <w:r w:rsidRPr="00D2247B">
        <w:rPr>
          <w:rFonts w:ascii="Verdana" w:eastAsia="Calibri" w:hAnsi="Verdana" w:cs="Arial"/>
          <w:sz w:val="20"/>
          <w:szCs w:val="20"/>
        </w:rPr>
        <w:lastRenderedPageBreak/>
        <w:t>“[…]</w:t>
      </w:r>
    </w:p>
    <w:p w14:paraId="32BCC308" w14:textId="77777777" w:rsidR="00B36928" w:rsidRPr="00D2247B" w:rsidRDefault="00B36928" w:rsidP="00B36928">
      <w:pPr>
        <w:spacing w:after="0" w:line="240" w:lineRule="auto"/>
        <w:ind w:left="709" w:right="709"/>
        <w:jc w:val="both"/>
        <w:rPr>
          <w:rFonts w:ascii="Verdana" w:eastAsia="Calibri" w:hAnsi="Verdana" w:cs="Arial"/>
          <w:sz w:val="20"/>
          <w:szCs w:val="20"/>
        </w:rPr>
      </w:pPr>
      <w:r w:rsidRPr="00D2247B">
        <w:rPr>
          <w:rFonts w:ascii="Verdana" w:eastAsia="Calibri" w:hAnsi="Verdana" w:cs="Arial"/>
          <w:sz w:val="20"/>
          <w:szCs w:val="20"/>
        </w:rPr>
        <w:t>Contratación directa. La modalidad de selección de contratación directa solamente procederá en los siguientes casos:</w:t>
      </w:r>
    </w:p>
    <w:p w14:paraId="0E92CBB2" w14:textId="77777777" w:rsidR="00B36928" w:rsidRPr="00D2247B" w:rsidRDefault="00B36928" w:rsidP="00B36928">
      <w:pPr>
        <w:spacing w:after="0" w:line="240" w:lineRule="auto"/>
        <w:ind w:left="709" w:right="709"/>
        <w:jc w:val="both"/>
        <w:rPr>
          <w:rFonts w:ascii="Verdana" w:eastAsia="Calibri" w:hAnsi="Verdana" w:cs="Arial"/>
          <w:sz w:val="20"/>
          <w:szCs w:val="20"/>
        </w:rPr>
      </w:pPr>
      <w:r w:rsidRPr="00D2247B">
        <w:rPr>
          <w:rFonts w:ascii="Verdana" w:eastAsia="Calibri" w:hAnsi="Verdana" w:cs="Arial"/>
          <w:sz w:val="20"/>
          <w:szCs w:val="20"/>
        </w:rPr>
        <w:t>[…]</w:t>
      </w:r>
    </w:p>
    <w:p w14:paraId="309D3193" w14:textId="77777777" w:rsidR="00B36928" w:rsidRPr="00D2247B" w:rsidRDefault="00B36928" w:rsidP="00B36928">
      <w:pPr>
        <w:spacing w:after="0" w:line="240" w:lineRule="auto"/>
        <w:ind w:left="709" w:right="709"/>
        <w:jc w:val="both"/>
        <w:rPr>
          <w:rFonts w:ascii="Verdana" w:eastAsia="Calibri" w:hAnsi="Verdana" w:cs="Arial"/>
          <w:sz w:val="20"/>
          <w:szCs w:val="20"/>
        </w:rPr>
      </w:pPr>
      <w:r w:rsidRPr="00D2247B">
        <w:rPr>
          <w:rFonts w:ascii="Verdana" w:eastAsia="Calibri" w:hAnsi="Verdana" w:cs="Arial"/>
          <w:sz w:val="20"/>
          <w:szCs w:val="20"/>
        </w:rPr>
        <w:t>h) Para la prestación de servicios profesionales y de apoyo a la gestión, o para la ejecución de trabajos artísticos que sólo puedan encomendarse a determinadas personas naturales;”</w:t>
      </w:r>
    </w:p>
    <w:p w14:paraId="198399F0" w14:textId="77777777" w:rsidR="00B36928" w:rsidRPr="004C0B72" w:rsidRDefault="00B36928" w:rsidP="00B36928">
      <w:pPr>
        <w:spacing w:after="0" w:line="276" w:lineRule="auto"/>
        <w:ind w:right="709"/>
        <w:jc w:val="both"/>
        <w:rPr>
          <w:rFonts w:ascii="Verdana" w:eastAsia="Calibri" w:hAnsi="Verdana" w:cs="Arial"/>
          <w:color w:val="ED7D31" w:themeColor="accent2"/>
        </w:rPr>
      </w:pPr>
    </w:p>
    <w:p w14:paraId="68B5553E" w14:textId="77777777" w:rsidR="00B36928" w:rsidRPr="00D2247B" w:rsidRDefault="00B36928" w:rsidP="00B36928">
      <w:pPr>
        <w:spacing w:after="120" w:line="276" w:lineRule="auto"/>
        <w:ind w:firstLine="709"/>
        <w:jc w:val="both"/>
        <w:rPr>
          <w:rFonts w:ascii="Verdana" w:eastAsia="Calibri" w:hAnsi="Verdana" w:cs="Arial"/>
        </w:rPr>
      </w:pPr>
      <w:r w:rsidRPr="00D2247B">
        <w:rPr>
          <w:rFonts w:ascii="Verdana" w:eastAsia="Calibri" w:hAnsi="Verdana" w:cs="Arial"/>
        </w:rPr>
        <w:t>A partir de estos enunciados normativos, así como de otros, de carácter legal y reglamentario, que complementan su regulación, y de los pronunciamientos judiciales más destacados sobre el tema, es posible señalar las siguientes características del contrato de prestación de servicios:</w:t>
      </w:r>
    </w:p>
    <w:p w14:paraId="0F940930" w14:textId="77777777" w:rsidR="00B36928" w:rsidRPr="00D2247B" w:rsidRDefault="00B36928" w:rsidP="00B36928">
      <w:pPr>
        <w:spacing w:after="120" w:line="276" w:lineRule="auto"/>
        <w:ind w:firstLine="709"/>
        <w:jc w:val="both"/>
        <w:rPr>
          <w:rFonts w:ascii="Verdana" w:eastAsia="Calibri" w:hAnsi="Verdana" w:cs="Arial"/>
        </w:rPr>
      </w:pPr>
      <w:r w:rsidRPr="00D2247B">
        <w:rPr>
          <w:rFonts w:ascii="Verdana" w:eastAsia="Calibri" w:hAnsi="Verdana" w:cs="Arial"/>
        </w:rPr>
        <w:t>a) Solo puede celebrarse para realizar “actividades relacionadas con la administración o funcionamiento de la entidad”, es decir, que hagan parte de su giro ordinario o quehacer cotidiano</w:t>
      </w:r>
      <w:r w:rsidRPr="008677DE">
        <w:rPr>
          <w:rStyle w:val="Refdenotaalpie"/>
          <w:rFonts w:ascii="Verdana" w:hAnsi="Verdana" w:cs="Arial"/>
          <w:noProof/>
          <w:lang w:val="es-ES_tradnl"/>
        </w:rPr>
        <w:footnoteReference w:id="1"/>
      </w:r>
      <w:r w:rsidRPr="00D2247B">
        <w:rPr>
          <w:rFonts w:ascii="Verdana" w:eastAsia="Calibri" w:hAnsi="Verdana" w:cs="Arial"/>
        </w:rPr>
        <w:t>.</w:t>
      </w:r>
    </w:p>
    <w:p w14:paraId="3D312BDD" w14:textId="77777777" w:rsidR="00B36928" w:rsidRPr="00BE7986" w:rsidRDefault="00B36928" w:rsidP="00B36928">
      <w:pPr>
        <w:spacing w:after="120" w:line="276" w:lineRule="auto"/>
        <w:ind w:firstLine="709"/>
        <w:jc w:val="both"/>
        <w:rPr>
          <w:rFonts w:ascii="Verdana" w:eastAsia="Calibri" w:hAnsi="Verdana" w:cs="Arial"/>
        </w:rPr>
      </w:pPr>
      <w:r w:rsidRPr="00D2247B">
        <w:rPr>
          <w:rFonts w:ascii="Verdana" w:eastAsia="Calibri" w:hAnsi="Verdana" w:cs="Arial"/>
        </w:rPr>
        <w:t>b) Admite que se suscriba tanto con personas naturales, como con personas jurídicas. Sin embargo, cuando pretenda celebrarse con una persona natural, la entidad estatal debe justificar</w:t>
      </w:r>
      <w:r>
        <w:rPr>
          <w:rFonts w:ascii="Verdana" w:eastAsia="Calibri" w:hAnsi="Verdana" w:cs="Arial"/>
        </w:rPr>
        <w:t>,</w:t>
      </w:r>
      <w:r w:rsidRPr="00D2247B">
        <w:rPr>
          <w:rFonts w:ascii="Verdana" w:eastAsia="Calibri" w:hAnsi="Verdana" w:cs="Arial"/>
        </w:rPr>
        <w:t xml:space="preserve"> en los estudios previos</w:t>
      </w:r>
      <w:r>
        <w:rPr>
          <w:rFonts w:ascii="Verdana" w:eastAsia="Calibri" w:hAnsi="Verdana" w:cs="Arial"/>
        </w:rPr>
        <w:t>,</w:t>
      </w:r>
      <w:r w:rsidRPr="00D2247B">
        <w:rPr>
          <w:rFonts w:ascii="Verdana" w:eastAsia="Calibri" w:hAnsi="Verdana" w:cs="Arial"/>
        </w:rPr>
        <w:t xml:space="preserve"> que las actividades que buscan encomendarse a aquella “no puedan realizarse con personal de planta o requieran conocimientos especializados”. Esto puede suceder en varios eventos, por ejemplo, que, efectivamente, no exista el personal de planta para encargarse de dichas labores; que exista, pero que está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w:t>
      </w:r>
      <w:r w:rsidRPr="00BE7986">
        <w:rPr>
          <w:rFonts w:ascii="Verdana" w:eastAsia="Calibri" w:hAnsi="Verdana" w:cs="Arial"/>
        </w:rPr>
        <w:t>tema.</w:t>
      </w:r>
    </w:p>
    <w:p w14:paraId="226C8452" w14:textId="77777777" w:rsidR="00B36928" w:rsidRDefault="00B36928" w:rsidP="00B36928">
      <w:pPr>
        <w:spacing w:after="120" w:line="276" w:lineRule="auto"/>
        <w:ind w:firstLine="709"/>
        <w:jc w:val="both"/>
        <w:rPr>
          <w:rFonts w:ascii="Verdana" w:eastAsia="Calibri" w:hAnsi="Verdana" w:cs="Arial"/>
        </w:rPr>
      </w:pPr>
      <w:r w:rsidRPr="00BE7986">
        <w:rPr>
          <w:rFonts w:ascii="Verdana" w:eastAsia="Calibri" w:hAnsi="Verdana" w:cs="Arial"/>
        </w:rPr>
        <w:t>c) Si bien se celebran para obtener la prestación personal de un servicio, se diferencian del contrato de trabajo</w:t>
      </w:r>
      <w:r w:rsidRPr="00BE7986">
        <w:rPr>
          <w:rFonts w:ascii="Verdana" w:eastAsia="Calibri" w:hAnsi="Verdana" w:cs="Arial"/>
          <w:vertAlign w:val="superscript"/>
        </w:rPr>
        <w:footnoteReference w:id="2"/>
      </w:r>
      <w:r w:rsidRPr="00BE7986">
        <w:rPr>
          <w:rFonts w:ascii="Verdana" w:eastAsia="Calibri" w:hAnsi="Verdana" w:cs="Arial"/>
        </w:rPr>
        <w:t xml:space="preserve"> en que quien celebra el contrato de </w:t>
      </w:r>
      <w:r w:rsidRPr="00BE7986">
        <w:rPr>
          <w:rFonts w:ascii="Verdana" w:eastAsia="Calibri" w:hAnsi="Verdana" w:cs="Arial"/>
        </w:rPr>
        <w:lastRenderedPageBreak/>
        <w:t xml:space="preserve">prestación de servicios profesionales debe mantener autonomía e independencia en la ejecución de la labor, lo que significa que no puede existir la </w:t>
      </w:r>
      <w:r w:rsidRPr="00BE7986">
        <w:rPr>
          <w:rFonts w:ascii="Verdana" w:eastAsia="Calibri" w:hAnsi="Verdana" w:cs="Arial"/>
          <w:i/>
        </w:rPr>
        <w:t>subordinación y dependencia</w:t>
      </w:r>
      <w:r w:rsidRPr="00BE7986">
        <w:rPr>
          <w:rFonts w:ascii="Verdana" w:eastAsia="Calibri" w:hAnsi="Verdana" w:cs="Arial"/>
          <w:iCs/>
        </w:rPr>
        <w:t>,</w:t>
      </w:r>
      <w:r w:rsidRPr="00BE7986">
        <w:rPr>
          <w:rFonts w:ascii="Verdana" w:eastAsia="Calibri" w:hAnsi="Verdana" w:cs="Arial"/>
        </w:rPr>
        <w:t xml:space="preserve"> que es uno de los elementos constitutivos del vínculo laboral. Por ello el artículo 32, numeral 3º, de la Ley 80 de 1993 establece que “En ningún caso estos contratos generan relación laboral ni prestaciones sociales”</w:t>
      </w:r>
      <w:r>
        <w:rPr>
          <w:rFonts w:ascii="Verdana" w:eastAsia="Calibri" w:hAnsi="Verdana" w:cs="Arial"/>
        </w:rPr>
        <w:t xml:space="preserve">. </w:t>
      </w:r>
    </w:p>
    <w:p w14:paraId="381CF8C2" w14:textId="77777777" w:rsidR="00B36928" w:rsidRPr="00BE7986" w:rsidRDefault="00B36928" w:rsidP="00B36928">
      <w:pPr>
        <w:spacing w:after="120" w:line="276" w:lineRule="auto"/>
        <w:ind w:firstLine="709"/>
        <w:jc w:val="both"/>
        <w:rPr>
          <w:rFonts w:ascii="Verdana" w:eastAsia="Calibri" w:hAnsi="Verdana" w:cs="Arial"/>
        </w:rPr>
      </w:pPr>
      <w:r>
        <w:rPr>
          <w:rFonts w:ascii="Verdana" w:eastAsia="Calibri" w:hAnsi="Verdana" w:cs="Arial"/>
        </w:rPr>
        <w:t xml:space="preserve">Este </w:t>
      </w:r>
      <w:r w:rsidRPr="00BE7986">
        <w:rPr>
          <w:rFonts w:ascii="Verdana" w:eastAsia="Calibri" w:hAnsi="Verdana" w:cs="Arial"/>
        </w:rPr>
        <w:t xml:space="preserve">inciso que más que un enunciado que aluda al “ser” se refiere al “deber ser”, pues debe interpretarse en el sentido de que los contratos de prestación de servicios profesionales </w:t>
      </w:r>
      <w:r w:rsidRPr="00BE7986">
        <w:rPr>
          <w:rFonts w:ascii="Verdana" w:eastAsia="Calibri" w:hAnsi="Verdana" w:cs="Arial"/>
          <w:i/>
        </w:rPr>
        <w:t>no pueden</w:t>
      </w:r>
      <w:r w:rsidRPr="00BE7986">
        <w:rPr>
          <w:rFonts w:ascii="Verdana" w:eastAsia="Calibri" w:hAnsi="Verdana" w:cs="Arial"/>
        </w:rPr>
        <w:t xml:space="preserve"> generar relación laboral, ni dar lugar a que las entidades estatales paguen por su cuenta los aportes al Sistema de Seguridad Social Integral del contratista. Ello por cuanto, según se indicó, en dichos contratos no puede existir subordinación y dependencia; entonces, la relación laboral está proscrita y es el contratista quien, como “trabajador independiente” –como lo califican las normas en materia de seguridad social– debe cotizar por su cuenta y riesgo al Sistema de Seguridad Social Integral</w:t>
      </w:r>
      <w:r w:rsidRPr="00BE7986">
        <w:rPr>
          <w:rFonts w:ascii="Verdana" w:eastAsia="Calibri" w:hAnsi="Verdana" w:cs="Arial"/>
          <w:vertAlign w:val="superscript"/>
        </w:rPr>
        <w:footnoteReference w:id="3"/>
      </w:r>
      <w:r w:rsidRPr="00BE7986">
        <w:rPr>
          <w:rFonts w:ascii="Verdana" w:eastAsia="Calibri" w:hAnsi="Verdana" w:cs="Arial"/>
        </w:rPr>
        <w:t xml:space="preserve">. Pero es posible que, a pesar de este mandato deontológico, en la práctica surja la relación laboral, pues, como se sabe, el contrato de trabajo es un </w:t>
      </w:r>
      <w:r w:rsidRPr="00BE7986">
        <w:rPr>
          <w:rFonts w:ascii="Verdana" w:eastAsia="Calibri" w:hAnsi="Verdana" w:cs="Arial"/>
          <w:i/>
        </w:rPr>
        <w:t>contrato realidad</w:t>
      </w:r>
      <w:r w:rsidRPr="00BE7986">
        <w:rPr>
          <w:rFonts w:ascii="Verdana" w:eastAsia="Calibri" w:hAnsi="Verdana" w:cs="Arial"/>
        </w:rPr>
        <w:t xml:space="preserve">, ya que para su perfeccionamiento rige el principio de la prevalencia de la realidad sobre las formalidades. </w:t>
      </w:r>
    </w:p>
    <w:p w14:paraId="4A800271" w14:textId="77777777" w:rsidR="00B36928" w:rsidRDefault="00B36928" w:rsidP="00B36928">
      <w:pPr>
        <w:tabs>
          <w:tab w:val="left" w:pos="3276"/>
        </w:tabs>
        <w:spacing w:after="120" w:line="276" w:lineRule="auto"/>
        <w:ind w:firstLine="709"/>
        <w:jc w:val="both"/>
        <w:rPr>
          <w:rFonts w:ascii="Verdana" w:eastAsia="Calibri" w:hAnsi="Verdana" w:cs="Arial"/>
        </w:rPr>
      </w:pPr>
      <w:r w:rsidRPr="006741FA">
        <w:rPr>
          <w:rFonts w:ascii="Verdana" w:eastAsia="Calibri" w:hAnsi="Verdana" w:cs="Arial"/>
        </w:rPr>
        <w:t>En esa perspectiva, la Corte Constitucional declaró la constitucionalidad condicionada del segundo inciso del numeral 3º del artículo 32, indicando que “las expresiones acusadas del numeral 3o. del artículo 32 de la Ley 80 de 1993, no vulneran los preceptos constitucionales, razón por la cual deberán ser declaradas exequibles, salvo que se acredite por parte del contratista la existencia de una relación laboral subordinada”</w:t>
      </w:r>
      <w:r w:rsidRPr="006741FA">
        <w:rPr>
          <w:rStyle w:val="Refdenotaalpie"/>
          <w:rFonts w:ascii="Verdana" w:eastAsia="Calibri" w:hAnsi="Verdana" w:cs="Arial"/>
        </w:rPr>
        <w:footnoteReference w:id="4"/>
      </w:r>
      <w:r w:rsidRPr="006741FA">
        <w:rPr>
          <w:rFonts w:ascii="Verdana" w:eastAsia="Calibri" w:hAnsi="Verdana" w:cs="Arial"/>
        </w:rPr>
        <w:t xml:space="preserve">. En esta misma línea, la Corte </w:t>
      </w:r>
      <w:r w:rsidRPr="006741FA">
        <w:rPr>
          <w:rFonts w:ascii="Verdana" w:eastAsia="Calibri" w:hAnsi="Verdana" w:cs="Arial"/>
        </w:rPr>
        <w:lastRenderedPageBreak/>
        <w:t>Constitucional en el control de constitucionalidad a un aparte del artículo 2° del Decreto Ley 2400 de 1968 modificado por el Decreto Ley 3074 de 1968 señaló que el indebido uso del contrato de prestación de servicios, constituye una violación del derecho a la igualdad, pues tratándose de funciones de carácter permanentes, los trabajadores que se presentan en esos supuestos, podrían encontrarse en la práctica, bajo una continuada dependencia o subordinación, características que eventualmente configurarían una vinculación legal y reglamentaria y/o un contrato de trabajo, según sea la naturaleza jurídica de la entidad pública y el tipo de cargo</w:t>
      </w:r>
      <w:r w:rsidRPr="006741FA">
        <w:rPr>
          <w:rFonts w:ascii="Verdana" w:eastAsia="Calibri" w:hAnsi="Verdana" w:cs="Arial"/>
          <w:vertAlign w:val="superscript"/>
        </w:rPr>
        <w:footnoteReference w:id="5"/>
      </w:r>
      <w:r w:rsidRPr="006741FA">
        <w:rPr>
          <w:rFonts w:ascii="Verdana" w:eastAsia="Calibri" w:hAnsi="Verdana" w:cs="Arial"/>
        </w:rPr>
        <w:t>. De modo que, bajo la perspectiva indicada, se podría invocar la presunción de la existencia de una relación laboral; siendo contrario a uno de los aspectos más relevantes del contrato de prestación de servicio, la autonomía e independencia en la ejecución de este.</w:t>
      </w:r>
    </w:p>
    <w:p w14:paraId="2BEA8C55" w14:textId="77777777" w:rsidR="00B36928" w:rsidRPr="004C0B72" w:rsidRDefault="00B36928" w:rsidP="00B36928">
      <w:pPr>
        <w:spacing w:after="120" w:line="276" w:lineRule="auto"/>
        <w:ind w:firstLine="709"/>
        <w:jc w:val="both"/>
        <w:rPr>
          <w:rFonts w:ascii="Verdana" w:hAnsi="Verdana" w:cs="Arial"/>
          <w:noProof/>
          <w:lang w:val="es-ES_tradnl"/>
        </w:rPr>
      </w:pPr>
      <w:r w:rsidRPr="008677DE">
        <w:rPr>
          <w:rFonts w:ascii="Verdana" w:hAnsi="Verdana" w:cs="Arial"/>
          <w:noProof/>
          <w:lang w:val="es-ES_tradnl"/>
        </w:rPr>
        <w:t>Por su parte, el Consejo de Estado</w:t>
      </w:r>
      <w:r>
        <w:rPr>
          <w:rFonts w:ascii="Verdana" w:hAnsi="Verdana" w:cs="Arial"/>
          <w:noProof/>
          <w:lang w:val="es-ES_tradnl"/>
        </w:rPr>
        <w:t>,</w:t>
      </w:r>
      <w:r w:rsidRPr="008677DE">
        <w:rPr>
          <w:rFonts w:ascii="Verdana" w:hAnsi="Verdana" w:cs="Arial"/>
          <w:noProof/>
          <w:lang w:val="es-ES_tradnl"/>
        </w:rPr>
        <w:t xml:space="preserve"> en sentencia de unificación jurisprudencial del 9 de septiembre de 2021</w:t>
      </w:r>
      <w:r>
        <w:rPr>
          <w:rFonts w:ascii="Verdana" w:hAnsi="Verdana" w:cs="Arial"/>
          <w:noProof/>
          <w:lang w:val="es-ES_tradnl"/>
        </w:rPr>
        <w:t>,</w:t>
      </w:r>
      <w:r w:rsidRPr="008677DE">
        <w:rPr>
          <w:rFonts w:ascii="Verdana" w:hAnsi="Verdana" w:cs="Arial"/>
          <w:noProof/>
          <w:lang w:val="es-ES_tradnl"/>
        </w:rPr>
        <w:t xml:space="preserve"> se pronunció respecto de los criterios para identificar la existencia de una relación laboral encubierta o subyacente por contratos de </w:t>
      </w:r>
      <w:r>
        <w:rPr>
          <w:rFonts w:ascii="Verdana" w:hAnsi="Verdana" w:cs="Arial"/>
          <w:noProof/>
          <w:lang w:val="es-ES_tradnl"/>
        </w:rPr>
        <w:t>p</w:t>
      </w:r>
      <w:r w:rsidRPr="008677DE">
        <w:rPr>
          <w:rFonts w:ascii="Verdana" w:hAnsi="Verdana" w:cs="Arial"/>
          <w:noProof/>
          <w:lang w:val="es-ES_tradnl"/>
        </w:rPr>
        <w:t>restación de servicios y definó tres reglas para el</w:t>
      </w:r>
      <w:r>
        <w:rPr>
          <w:rFonts w:ascii="Verdana" w:hAnsi="Verdana" w:cs="Arial"/>
          <w:noProof/>
          <w:lang w:val="es-ES_tradnl"/>
        </w:rPr>
        <w:t xml:space="preserve"> e</w:t>
      </w:r>
      <w:r w:rsidRPr="008677DE">
        <w:rPr>
          <w:rFonts w:ascii="Verdana" w:hAnsi="Verdana" w:cs="Arial"/>
          <w:noProof/>
          <w:lang w:val="es-ES_tradnl"/>
        </w:rPr>
        <w:t>fecto</w:t>
      </w:r>
      <w:r w:rsidRPr="008677DE">
        <w:rPr>
          <w:rFonts w:ascii="Verdana" w:hAnsi="Verdana"/>
          <w:vertAlign w:val="superscript"/>
          <w:lang w:val="es-ES_tradnl"/>
        </w:rPr>
        <w:footnoteReference w:id="6"/>
      </w:r>
      <w:r w:rsidRPr="008677DE">
        <w:rPr>
          <w:rFonts w:ascii="Verdana" w:hAnsi="Verdana" w:cs="Arial"/>
          <w:noProof/>
          <w:lang w:val="es-ES_tradnl"/>
        </w:rPr>
        <w:t>, aspectos que fueron aclarados posteriormente por Auto del 11 de noviembre de 2021</w:t>
      </w:r>
      <w:r w:rsidRPr="008677DE">
        <w:rPr>
          <w:rStyle w:val="Refdenotaalpie"/>
          <w:rFonts w:ascii="Verdana" w:hAnsi="Verdana" w:cs="Arial"/>
          <w:noProof/>
          <w:lang w:val="es-ES_tradnl"/>
        </w:rPr>
        <w:footnoteReference w:id="7"/>
      </w:r>
      <w:r w:rsidRPr="008677DE">
        <w:rPr>
          <w:rFonts w:ascii="Verdana" w:hAnsi="Verdana" w:cs="Arial"/>
          <w:noProof/>
          <w:lang w:val="es-ES_tradnl"/>
        </w:rPr>
        <w:t>.</w:t>
      </w:r>
    </w:p>
    <w:p w14:paraId="60166634" w14:textId="77777777" w:rsidR="00B36928" w:rsidRPr="004C0B72" w:rsidRDefault="00B36928" w:rsidP="00B36928">
      <w:pPr>
        <w:spacing w:after="120" w:line="276" w:lineRule="auto"/>
        <w:ind w:firstLine="709"/>
        <w:jc w:val="both"/>
        <w:rPr>
          <w:rFonts w:ascii="Verdana" w:hAnsi="Verdana" w:cs="Arial"/>
        </w:rPr>
      </w:pPr>
      <w:r w:rsidRPr="00E4437B">
        <w:rPr>
          <w:rFonts w:ascii="Verdana" w:eastAsia="Calibri" w:hAnsi="Verdana" w:cs="Arial"/>
        </w:rPr>
        <w:lastRenderedPageBreak/>
        <w:t xml:space="preserve">d) Deben ser temporales. </w:t>
      </w:r>
      <w:r w:rsidRPr="008677DE">
        <w:rPr>
          <w:rFonts w:ascii="Verdana" w:hAnsi="Verdana" w:cs="Arial"/>
          <w:noProof/>
          <w:lang w:val="es-ES_tradnl"/>
        </w:rPr>
        <w:t xml:space="preserve">La sentencia de unificacion jurisprudencial del Consejo de Estado mencionada, frente a la duración del contrato de prestación de servicios señaló que solo puede celebrarse por un </w:t>
      </w:r>
      <w:r>
        <w:rPr>
          <w:rFonts w:ascii="Verdana" w:hAnsi="Verdana" w:cs="Arial"/>
          <w:noProof/>
          <w:lang w:val="es-ES_tradnl"/>
        </w:rPr>
        <w:t>“</w:t>
      </w:r>
      <w:r w:rsidRPr="008677DE">
        <w:rPr>
          <w:rFonts w:ascii="Verdana" w:hAnsi="Verdana" w:cs="Arial"/>
          <w:noProof/>
          <w:lang w:val="es-ES_tradnl"/>
        </w:rPr>
        <w:t>término estrictamente indispensable</w:t>
      </w:r>
      <w:r>
        <w:rPr>
          <w:rFonts w:ascii="Verdana" w:hAnsi="Verdana" w:cs="Arial"/>
          <w:noProof/>
          <w:lang w:val="es-ES_tradnl"/>
        </w:rPr>
        <w:t>”</w:t>
      </w:r>
      <w:r w:rsidRPr="008677DE">
        <w:rPr>
          <w:rFonts w:ascii="Verdana" w:hAnsi="Verdana" w:cs="Arial"/>
          <w:noProof/>
          <w:lang w:val="es-ES_tradnl"/>
        </w:rPr>
        <w:t xml:space="preserve">. En ese entendido, unificó el sentido y alcance del término estrictamente indispensable como </w:t>
      </w:r>
      <w:r>
        <w:rPr>
          <w:rFonts w:ascii="Verdana" w:hAnsi="Verdana" w:cs="Arial"/>
          <w:noProof/>
          <w:lang w:val="es-ES_tradnl"/>
        </w:rPr>
        <w:t>“</w:t>
      </w:r>
      <w:r w:rsidRPr="008677DE">
        <w:rPr>
          <w:rFonts w:ascii="Verdana" w:hAnsi="Verdana" w:cs="Arial"/>
          <w:noProof/>
          <w:lang w:val="es-ES_tradnl"/>
        </w:rPr>
        <w:t>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w:t>
      </w:r>
      <w:r>
        <w:rPr>
          <w:rFonts w:ascii="Verdana" w:hAnsi="Verdana" w:cs="Arial"/>
          <w:noProof/>
          <w:lang w:val="es-ES_tradnl"/>
        </w:rPr>
        <w:t>”</w:t>
      </w:r>
      <w:r w:rsidRPr="008677DE">
        <w:rPr>
          <w:rFonts w:ascii="Verdana" w:hAnsi="Verdana" w:cs="Arial"/>
          <w:noProof/>
          <w:lang w:val="es-ES_tradnl"/>
        </w:rPr>
        <w:t>.</w:t>
      </w:r>
      <w:r w:rsidRPr="008677DE">
        <w:rPr>
          <w:rFonts w:ascii="Verdana" w:hAnsi="Verdana" w:cs="Arial"/>
        </w:rPr>
        <w:t xml:space="preserve"> </w:t>
      </w:r>
    </w:p>
    <w:p w14:paraId="565BC41D" w14:textId="77777777" w:rsidR="00B36928" w:rsidRPr="00E4437B" w:rsidRDefault="00B36928" w:rsidP="00B36928">
      <w:pPr>
        <w:spacing w:after="0" w:line="276" w:lineRule="auto"/>
        <w:ind w:firstLine="709"/>
        <w:jc w:val="both"/>
        <w:rPr>
          <w:rFonts w:ascii="Verdana" w:eastAsia="Calibri" w:hAnsi="Verdana" w:cs="Arial"/>
        </w:rPr>
      </w:pPr>
      <w:r>
        <w:rPr>
          <w:rFonts w:ascii="Verdana" w:eastAsia="Calibri" w:hAnsi="Verdana" w:cs="Arial"/>
        </w:rPr>
        <w:t>De igual manera,</w:t>
      </w:r>
      <w:r w:rsidRPr="00E4437B">
        <w:rPr>
          <w:rFonts w:ascii="Verdana" w:eastAsia="Calibri" w:hAnsi="Verdana" w:cs="Arial"/>
        </w:rPr>
        <w:t xml:space="preserve"> la Corte Constitucional</w:t>
      </w:r>
      <w:r>
        <w:rPr>
          <w:rFonts w:ascii="Verdana" w:eastAsia="Calibri" w:hAnsi="Verdana" w:cs="Arial"/>
        </w:rPr>
        <w:t>,</w:t>
      </w:r>
      <w:r w:rsidRPr="00E4437B">
        <w:rPr>
          <w:rFonts w:ascii="Verdana" w:eastAsia="Calibri" w:hAnsi="Verdana" w:cs="Arial"/>
        </w:rPr>
        <w:t xml:space="preserve"> en la </w:t>
      </w:r>
      <w:r>
        <w:rPr>
          <w:rFonts w:ascii="Verdana" w:eastAsia="Calibri" w:hAnsi="Verdana" w:cs="Arial"/>
        </w:rPr>
        <w:t xml:space="preserve">Sentencia C-154 de 1997 señaló </w:t>
      </w:r>
      <w:r w:rsidRPr="00E4437B">
        <w:rPr>
          <w:rFonts w:ascii="Verdana" w:eastAsia="Calibri" w:hAnsi="Verdana" w:cs="Arial"/>
        </w:rPr>
        <w:t>que:</w:t>
      </w:r>
    </w:p>
    <w:p w14:paraId="197F639B" w14:textId="77777777" w:rsidR="00B36928" w:rsidRPr="00E4437B" w:rsidRDefault="00B36928" w:rsidP="00B36928">
      <w:pPr>
        <w:spacing w:after="0" w:line="276" w:lineRule="auto"/>
        <w:ind w:firstLine="709"/>
        <w:jc w:val="both"/>
        <w:rPr>
          <w:rFonts w:ascii="Verdana" w:eastAsia="Calibri" w:hAnsi="Verdana" w:cs="Arial"/>
        </w:rPr>
      </w:pPr>
    </w:p>
    <w:p w14:paraId="471CE755" w14:textId="77777777" w:rsidR="00B36928" w:rsidRPr="004C0B72" w:rsidRDefault="00B36928" w:rsidP="00B36928">
      <w:pPr>
        <w:spacing w:after="0" w:line="240" w:lineRule="auto"/>
        <w:ind w:left="709" w:right="709"/>
        <w:jc w:val="both"/>
        <w:rPr>
          <w:rFonts w:ascii="Verdana" w:eastAsia="Calibri" w:hAnsi="Verdana" w:cs="Arial"/>
          <w:sz w:val="20"/>
          <w:szCs w:val="20"/>
        </w:rPr>
      </w:pPr>
      <w:r w:rsidRPr="0003707A">
        <w:rPr>
          <w:rFonts w:ascii="Verdana" w:eastAsia="Calibri" w:hAnsi="Verdana" w:cs="Arial"/>
          <w:sz w:val="20"/>
          <w:szCs w:val="20"/>
        </w:rPr>
        <w:t>“La vigencia del contrato es temporal y, por lo tanto, su duración debe ser por tiempo limitado y el indispensable para ejecutar el objeto contractual convenido. En el caso de que las actividades con ellos atendidas demanden una permanencia mayor e indefinida, e</w:t>
      </w:r>
      <w:r w:rsidRPr="00DD61C7">
        <w:rPr>
          <w:rFonts w:ascii="Verdana" w:eastAsia="Calibri" w:hAnsi="Verdana" w:cs="Arial"/>
          <w:sz w:val="20"/>
          <w:szCs w:val="20"/>
        </w:rPr>
        <w:t>xcediendo su carácter excepcional y temporal para convertirse en ordinario y permanente, será necesario que la respectiva entidad adopte las medidas y provisiones pertinentes a fin de que se dé cabal cumplimiento a lo previsto en el artículo 122 de la Cart</w:t>
      </w:r>
      <w:r w:rsidRPr="00255E89">
        <w:rPr>
          <w:rFonts w:ascii="Verdana" w:eastAsia="Calibri" w:hAnsi="Verdana" w:cs="Arial"/>
          <w:sz w:val="20"/>
          <w:szCs w:val="20"/>
        </w:rPr>
        <w:t>a Política, según el cual se requiere que el empleo público quede contemplado en la respectiva planta y previstos sus emolumentos en el presupuesto correspondiente</w:t>
      </w:r>
      <w:r w:rsidRPr="000940A2">
        <w:rPr>
          <w:rFonts w:ascii="Verdana" w:eastAsia="Calibri" w:hAnsi="Verdana" w:cs="Arial"/>
          <w:sz w:val="20"/>
          <w:szCs w:val="20"/>
        </w:rPr>
        <w:t>”</w:t>
      </w:r>
      <w:r w:rsidRPr="004C0B72">
        <w:rPr>
          <w:rFonts w:ascii="Verdana" w:eastAsia="Calibri" w:hAnsi="Verdana" w:cs="Arial"/>
          <w:sz w:val="20"/>
          <w:szCs w:val="20"/>
          <w:vertAlign w:val="superscript"/>
        </w:rPr>
        <w:footnoteReference w:id="8"/>
      </w:r>
      <w:r w:rsidRPr="004C0B72">
        <w:rPr>
          <w:rFonts w:ascii="Verdana" w:eastAsia="Calibri" w:hAnsi="Verdana" w:cs="Arial"/>
          <w:sz w:val="20"/>
          <w:szCs w:val="20"/>
        </w:rPr>
        <w:t>.</w:t>
      </w:r>
    </w:p>
    <w:p w14:paraId="3AE3804C" w14:textId="77777777" w:rsidR="00B36928" w:rsidRPr="00780417" w:rsidRDefault="00B36928" w:rsidP="00B36928">
      <w:pPr>
        <w:spacing w:after="0" w:line="276" w:lineRule="auto"/>
        <w:ind w:firstLine="709"/>
        <w:jc w:val="both"/>
        <w:rPr>
          <w:rFonts w:ascii="Verdana" w:eastAsia="Calibri" w:hAnsi="Verdana" w:cs="Arial"/>
        </w:rPr>
      </w:pPr>
    </w:p>
    <w:p w14:paraId="44BDA3F9" w14:textId="77777777" w:rsidR="00B36928" w:rsidRPr="009D6505" w:rsidRDefault="00B36928" w:rsidP="00B36928">
      <w:pPr>
        <w:tabs>
          <w:tab w:val="left" w:pos="3276"/>
        </w:tabs>
        <w:spacing w:after="120" w:line="276" w:lineRule="auto"/>
        <w:ind w:firstLine="709"/>
        <w:jc w:val="both"/>
        <w:rPr>
          <w:rFonts w:ascii="Verdana" w:eastAsia="Calibri" w:hAnsi="Verdana" w:cs="Arial"/>
          <w:lang w:val="es-ES_tradnl" w:eastAsia="es-ES_tradnl"/>
        </w:rPr>
      </w:pPr>
      <w:r w:rsidRPr="00780417">
        <w:rPr>
          <w:rFonts w:ascii="Verdana" w:eastAsia="Calibri" w:hAnsi="Verdana" w:cs="Arial"/>
          <w:lang w:eastAsia="es-ES"/>
        </w:rPr>
        <w:t>e</w:t>
      </w:r>
      <w:r w:rsidRPr="00780417">
        <w:rPr>
          <w:rFonts w:ascii="Verdana" w:eastAsia="Calibri" w:hAnsi="Verdana" w:cs="Arial"/>
          <w:lang w:val="es-ES" w:eastAsia="es-ES"/>
        </w:rPr>
        <w:t xml:space="preserve">) Los contratos de prestación de servicios constituyen un </w:t>
      </w:r>
      <w:r w:rsidRPr="00780417">
        <w:rPr>
          <w:rFonts w:ascii="Verdana" w:eastAsia="Calibri" w:hAnsi="Verdana" w:cs="Arial"/>
          <w:i/>
          <w:iCs/>
          <w:lang w:val="es-ES" w:eastAsia="es-ES"/>
        </w:rPr>
        <w:t>género</w:t>
      </w:r>
      <w:r w:rsidRPr="00780417">
        <w:rPr>
          <w:rFonts w:ascii="Verdana" w:eastAsia="Calibri" w:hAnsi="Verdana" w:cs="Arial"/>
          <w:lang w:val="es-ES" w:eastAsia="es-ES"/>
        </w:rPr>
        <w:t xml:space="preserve"> que incluye, como </w:t>
      </w:r>
      <w:r w:rsidRPr="00780417">
        <w:rPr>
          <w:rFonts w:ascii="Verdana" w:eastAsia="Calibri" w:hAnsi="Verdana" w:cs="Arial"/>
          <w:i/>
          <w:iCs/>
          <w:lang w:val="es-ES" w:eastAsia="es-ES"/>
        </w:rPr>
        <w:t>especies</w:t>
      </w:r>
      <w:r w:rsidRPr="00780417">
        <w:rPr>
          <w:rFonts w:ascii="Verdana" w:eastAsia="Calibri" w:hAnsi="Verdana" w:cs="Arial"/>
          <w:lang w:val="es-ES" w:eastAsia="es-ES"/>
        </w:rPr>
        <w:t>, los contratos de prestación de servicios profesionales, los contratos de prestación de servicios de apoyo a la gestión y los contratos de prestación de servicios artísticos que solo pueden encomendarse a determinadas personas naturales</w:t>
      </w:r>
      <w:r w:rsidRPr="00780417">
        <w:rPr>
          <w:rFonts w:ascii="Verdana" w:eastAsia="Calibri" w:hAnsi="Verdana" w:cs="Arial"/>
          <w:vertAlign w:val="superscript"/>
          <w:lang w:val="es-ES" w:eastAsia="es-ES"/>
        </w:rPr>
        <w:footnoteReference w:id="9"/>
      </w:r>
      <w:r w:rsidRPr="00780417">
        <w:rPr>
          <w:rFonts w:ascii="Verdana" w:eastAsia="Calibri" w:hAnsi="Verdana" w:cs="Arial"/>
          <w:lang w:val="es-ES" w:eastAsia="es-ES"/>
        </w:rPr>
        <w:t xml:space="preserve">. La diferencia entre el contrato de prestación de servicios </w:t>
      </w:r>
      <w:r w:rsidRPr="00780417">
        <w:rPr>
          <w:rFonts w:ascii="Verdana" w:eastAsia="Calibri" w:hAnsi="Verdana" w:cs="Arial"/>
          <w:i/>
          <w:iCs/>
          <w:lang w:val="es-ES" w:eastAsia="es-ES"/>
        </w:rPr>
        <w:lastRenderedPageBreak/>
        <w:t>profesionales</w:t>
      </w:r>
      <w:r w:rsidRPr="00780417">
        <w:rPr>
          <w:rFonts w:ascii="Verdana" w:eastAsia="Calibri" w:hAnsi="Verdana" w:cs="Arial"/>
          <w:lang w:val="es-ES" w:eastAsia="es-ES"/>
        </w:rPr>
        <w:t xml:space="preserve"> con las otras dos especies del género en el cual se ubican radica en su contenido intelectual intangible y, al mismo tiempo, en la formación profesional que se exige para desempeñar la labor</w:t>
      </w:r>
      <w:r w:rsidRPr="00780417">
        <w:rPr>
          <w:rFonts w:ascii="Verdana" w:eastAsia="Calibri" w:hAnsi="Verdana" w:cs="Arial"/>
          <w:vertAlign w:val="superscript"/>
          <w:lang w:val="es-ES" w:eastAsia="es-ES"/>
        </w:rPr>
        <w:footnoteReference w:id="10"/>
      </w:r>
      <w:r w:rsidRPr="00780417">
        <w:rPr>
          <w:rFonts w:ascii="Verdana" w:eastAsia="Calibri" w:hAnsi="Verdana" w:cs="Arial"/>
          <w:lang w:val="es-ES" w:eastAsia="es-ES"/>
        </w:rPr>
        <w:t>.</w:t>
      </w:r>
    </w:p>
    <w:p w14:paraId="3A48626C" w14:textId="77777777" w:rsidR="00B36928" w:rsidRDefault="00B36928" w:rsidP="00B36928">
      <w:pPr>
        <w:spacing w:after="120" w:line="276" w:lineRule="auto"/>
        <w:ind w:firstLine="709"/>
        <w:jc w:val="both"/>
        <w:rPr>
          <w:rFonts w:ascii="Verdana" w:eastAsia="Calibri" w:hAnsi="Verdana" w:cs="Arial"/>
        </w:rPr>
      </w:pPr>
      <w:r w:rsidRPr="009D6505">
        <w:rPr>
          <w:rFonts w:ascii="Verdana" w:eastAsia="Calibri" w:hAnsi="Verdana" w:cs="Arial"/>
        </w:rPr>
        <w:t>f) Su celebración debe realizarse a través de la modalidad de contratación directa, independientemente de la cuantía y del tipo de servicio profesional, siempre que este no ingrese dentro del objeto del contrato de consultoría</w:t>
      </w:r>
      <w:r>
        <w:rPr>
          <w:rFonts w:ascii="Verdana" w:eastAsia="Calibri" w:hAnsi="Verdana" w:cs="Arial"/>
        </w:rPr>
        <w:t>. Lo anterior, pues</w:t>
      </w:r>
      <w:r w:rsidRPr="009D6505">
        <w:rPr>
          <w:rFonts w:ascii="Verdana" w:eastAsia="Calibri" w:hAnsi="Verdana" w:cs="Arial"/>
        </w:rPr>
        <w:t xml:space="preserve"> como lo indicó el Consejo de Estado en la sentencia de unificación jurisprudencial a la que se hizo referencia, si bien en ambos existe un componente intelectual, profesional e intangible, el objeto del contrato de consultoría es especial y debe celebrarse, por regla general, precedido de un concurso de méritos</w:t>
      </w:r>
      <w:r w:rsidRPr="009D6505">
        <w:rPr>
          <w:rFonts w:ascii="Verdana" w:eastAsia="Calibri" w:hAnsi="Verdana" w:cs="Arial"/>
          <w:vertAlign w:val="superscript"/>
        </w:rPr>
        <w:footnoteReference w:id="11"/>
      </w:r>
      <w:r w:rsidRPr="009D6505">
        <w:rPr>
          <w:rFonts w:ascii="Verdana" w:eastAsia="Calibri" w:hAnsi="Verdana" w:cs="Arial"/>
        </w:rPr>
        <w:t>. Pero, tampoco puede suscribirse un contrato de prestación de servicios profesionales para que el contratista ejecute labores que se enmarcan en los otros contratos tipificados en el artículo 32 de la Ley 80 de 1993, como, por ejemplo, para que el contratista de prestación de servicios construya una obra.</w:t>
      </w:r>
    </w:p>
    <w:p w14:paraId="05F49058" w14:textId="77777777" w:rsidR="00B36928" w:rsidRPr="0050628A" w:rsidRDefault="00B36928" w:rsidP="00B36928">
      <w:pPr>
        <w:spacing w:after="0" w:line="276" w:lineRule="auto"/>
        <w:ind w:firstLine="709"/>
        <w:jc w:val="both"/>
        <w:rPr>
          <w:rFonts w:ascii="Verdana" w:eastAsia="Calibri" w:hAnsi="Verdana" w:cs="Arial"/>
        </w:rPr>
      </w:pPr>
      <w:r w:rsidRPr="0050628A">
        <w:rPr>
          <w:rFonts w:ascii="Verdana" w:eastAsia="Calibri" w:hAnsi="Verdana" w:cs="Arial"/>
        </w:rPr>
        <w:t>g) Para su celebración no se requiere la expedición del acto administrativo de justificación de la contratación directa</w:t>
      </w:r>
      <w:r w:rsidRPr="0050628A">
        <w:rPr>
          <w:rFonts w:ascii="Verdana" w:eastAsia="Calibri" w:hAnsi="Verdana" w:cs="Arial"/>
          <w:vertAlign w:val="superscript"/>
        </w:rPr>
        <w:footnoteReference w:id="12"/>
      </w:r>
      <w:r w:rsidRPr="0050628A">
        <w:rPr>
          <w:rFonts w:ascii="Verdana" w:eastAsia="Calibri" w:hAnsi="Verdana" w:cs="Arial"/>
        </w:rPr>
        <w:t xml:space="preserve">. </w:t>
      </w:r>
    </w:p>
    <w:p w14:paraId="125241E9" w14:textId="77777777" w:rsidR="00B36928" w:rsidRPr="0050628A" w:rsidRDefault="00B36928" w:rsidP="00B36928">
      <w:pPr>
        <w:spacing w:before="120" w:after="120" w:line="276" w:lineRule="auto"/>
        <w:ind w:firstLine="709"/>
        <w:jc w:val="both"/>
        <w:rPr>
          <w:rFonts w:ascii="Verdana" w:eastAsia="Calibri" w:hAnsi="Verdana" w:cs="Arial"/>
        </w:rPr>
      </w:pPr>
      <w:r w:rsidRPr="0050628A">
        <w:rPr>
          <w:rFonts w:ascii="Verdana" w:eastAsia="Calibri" w:hAnsi="Verdana" w:cs="Arial"/>
        </w:rPr>
        <w:lastRenderedPageBreak/>
        <w:t xml:space="preserve">h) Admiten el pacto de cláusulas excepcionales. Es decir, en los contratos de prestación de servicios puede </w:t>
      </w:r>
      <w:r>
        <w:rPr>
          <w:rFonts w:ascii="Verdana" w:eastAsia="Calibri" w:hAnsi="Verdana" w:cs="Arial"/>
        </w:rPr>
        <w:t>pactar</w:t>
      </w:r>
      <w:r w:rsidRPr="0050628A">
        <w:rPr>
          <w:rFonts w:ascii="Verdana" w:eastAsia="Calibri" w:hAnsi="Verdana" w:cs="Arial"/>
        </w:rPr>
        <w:t>se la caducidad, así como la modificación, interpretación o terminación unilaterales, como</w:t>
      </w:r>
      <w:r>
        <w:rPr>
          <w:rFonts w:ascii="Verdana" w:eastAsia="Calibri" w:hAnsi="Verdana" w:cs="Arial"/>
        </w:rPr>
        <w:t xml:space="preserve"> acuerdos o</w:t>
      </w:r>
      <w:r w:rsidRPr="0050628A">
        <w:rPr>
          <w:rFonts w:ascii="Verdana" w:eastAsia="Calibri" w:hAnsi="Verdana" w:cs="Arial"/>
        </w:rPr>
        <w:t xml:space="preserve"> elementos accidentales</w:t>
      </w:r>
      <w:r>
        <w:rPr>
          <w:rFonts w:ascii="Verdana" w:eastAsia="Calibri" w:hAnsi="Verdana" w:cs="Arial"/>
        </w:rPr>
        <w:t>. O</w:t>
      </w:r>
      <w:r w:rsidRPr="0050628A">
        <w:rPr>
          <w:rFonts w:ascii="Verdana" w:eastAsia="Calibri" w:hAnsi="Verdana" w:cs="Arial"/>
        </w:rPr>
        <w:t xml:space="preserve"> sea que para que puedan ejercerse dichas exorbitancias han debido quedar incluidas expresamente en el contrato, ya que no se entienden pactadas por naturaleza. Así se infiere del artículo 14°, numeral 2º, de la Ley 80 de 1993</w:t>
      </w:r>
      <w:r w:rsidRPr="0050628A">
        <w:rPr>
          <w:rFonts w:ascii="Verdana" w:eastAsia="Calibri" w:hAnsi="Verdana" w:cs="Arial"/>
          <w:vertAlign w:val="superscript"/>
        </w:rPr>
        <w:footnoteReference w:id="13"/>
      </w:r>
      <w:r w:rsidRPr="0050628A">
        <w:rPr>
          <w:rFonts w:ascii="Verdana" w:eastAsia="Calibri" w:hAnsi="Verdana" w:cs="Arial"/>
        </w:rPr>
        <w:t>.</w:t>
      </w:r>
    </w:p>
    <w:p w14:paraId="78B7351F" w14:textId="77777777" w:rsidR="00B36928" w:rsidRPr="007A6EE5" w:rsidRDefault="00B36928" w:rsidP="00B36928">
      <w:pPr>
        <w:spacing w:before="120" w:after="120" w:line="276" w:lineRule="auto"/>
        <w:ind w:firstLine="709"/>
        <w:jc w:val="both"/>
        <w:rPr>
          <w:rFonts w:ascii="Verdana" w:eastAsia="Calibri" w:hAnsi="Verdana" w:cs="Arial"/>
        </w:rPr>
      </w:pPr>
      <w:r w:rsidRPr="007A6EE5">
        <w:rPr>
          <w:rFonts w:ascii="Verdana" w:eastAsia="Calibri" w:hAnsi="Verdana" w:cs="Arial"/>
        </w:rPr>
        <w:t>i) En ellos no es obligatoria la liquidación, pues así lo estableció el artículo 217 del Decreto 019 de 2012, que modificó el artículo 60 de la Ley 80 de 1993</w:t>
      </w:r>
      <w:r w:rsidRPr="007A6EE5">
        <w:rPr>
          <w:rFonts w:ascii="Verdana" w:eastAsia="Calibri" w:hAnsi="Verdana" w:cs="Arial"/>
          <w:vertAlign w:val="superscript"/>
        </w:rPr>
        <w:footnoteReference w:id="14"/>
      </w:r>
      <w:r w:rsidRPr="007A6EE5">
        <w:rPr>
          <w:rFonts w:ascii="Verdana" w:eastAsia="Calibri" w:hAnsi="Verdana" w:cs="Arial"/>
        </w:rPr>
        <w:t xml:space="preserve">, </w:t>
      </w:r>
      <w:r w:rsidRPr="007A6EE5">
        <w:rPr>
          <w:rFonts w:ascii="Verdana" w:eastAsia="Calibri" w:hAnsi="Verdana" w:cs="Arial"/>
          <w:lang w:val="es-ES" w:eastAsia="es-ES"/>
        </w:rPr>
        <w:t>refiriéndose expresamente a los contratos de prestación de servicios profesionales y de apoyo a la gestión.</w:t>
      </w:r>
    </w:p>
    <w:p w14:paraId="277DF048" w14:textId="77777777" w:rsidR="00B36928" w:rsidRPr="007A6EE5" w:rsidRDefault="00B36928" w:rsidP="00B36928">
      <w:pPr>
        <w:spacing w:after="120" w:line="276" w:lineRule="auto"/>
        <w:ind w:firstLine="709"/>
        <w:jc w:val="both"/>
        <w:rPr>
          <w:rFonts w:ascii="Verdana" w:eastAsia="Calibri" w:hAnsi="Verdana" w:cs="Arial"/>
        </w:rPr>
      </w:pPr>
      <w:r w:rsidRPr="007A6EE5">
        <w:rPr>
          <w:rFonts w:ascii="Verdana" w:eastAsia="Calibri" w:hAnsi="Verdana" w:cs="Arial"/>
        </w:rPr>
        <w:t>j) Para su celebración no se requiere inscripción en el Registro Único de Proponentes (RUP), según lo prevé el artículo 6 de la Ley 1150 de 2007</w:t>
      </w:r>
      <w:r w:rsidRPr="007A6EE5">
        <w:rPr>
          <w:rFonts w:ascii="Verdana" w:eastAsia="Calibri" w:hAnsi="Verdana" w:cs="Arial"/>
          <w:vertAlign w:val="superscript"/>
        </w:rPr>
        <w:footnoteReference w:id="15"/>
      </w:r>
      <w:r w:rsidRPr="007A6EE5">
        <w:rPr>
          <w:rFonts w:ascii="Verdana" w:eastAsia="Calibri" w:hAnsi="Verdana" w:cs="Arial"/>
        </w:rPr>
        <w:t>.</w:t>
      </w:r>
    </w:p>
    <w:p w14:paraId="2577C41D" w14:textId="77777777" w:rsidR="00B36928" w:rsidRPr="00361222" w:rsidRDefault="00B36928" w:rsidP="00B36928">
      <w:pPr>
        <w:spacing w:after="0" w:line="276" w:lineRule="auto"/>
        <w:ind w:firstLine="709"/>
        <w:jc w:val="both"/>
        <w:rPr>
          <w:rFonts w:ascii="Verdana" w:eastAsia="Calibri" w:hAnsi="Verdana" w:cs="Arial"/>
        </w:rPr>
      </w:pPr>
      <w:r w:rsidRPr="007A6EE5">
        <w:rPr>
          <w:rFonts w:ascii="Verdana" w:eastAsia="Calibri" w:hAnsi="Verdana" w:cs="Arial"/>
        </w:rPr>
        <w:t>k) En ellos no son necesarias las garantías</w:t>
      </w:r>
      <w:r w:rsidRPr="007A6EE5">
        <w:rPr>
          <w:rFonts w:ascii="Verdana" w:eastAsia="Calibri" w:hAnsi="Verdana" w:cs="Arial"/>
          <w:vertAlign w:val="superscript"/>
        </w:rPr>
        <w:footnoteReference w:id="16"/>
      </w:r>
      <w:r w:rsidRPr="007A6EE5">
        <w:rPr>
          <w:rFonts w:ascii="Verdana" w:eastAsia="Calibri" w:hAnsi="Verdana" w:cs="Arial"/>
        </w:rPr>
        <w:t>.</w:t>
      </w:r>
    </w:p>
    <w:p w14:paraId="7EAB4AB9" w14:textId="77777777" w:rsidR="00B36928" w:rsidRDefault="00B36928" w:rsidP="00B36928">
      <w:pPr>
        <w:spacing w:after="0" w:line="276" w:lineRule="auto"/>
        <w:ind w:right="51"/>
        <w:jc w:val="both"/>
        <w:rPr>
          <w:rFonts w:ascii="Verdana" w:hAnsi="Verdana" w:cs="Arial"/>
        </w:rPr>
      </w:pPr>
    </w:p>
    <w:p w14:paraId="0C5E9246" w14:textId="77777777" w:rsidR="00B36928" w:rsidRDefault="00B36928" w:rsidP="00B36928">
      <w:pPr>
        <w:spacing w:after="120" w:line="276" w:lineRule="auto"/>
        <w:ind w:firstLine="709"/>
        <w:jc w:val="both"/>
        <w:rPr>
          <w:rFonts w:ascii="Verdana" w:hAnsi="Verdana" w:cs="Arial"/>
        </w:rPr>
      </w:pPr>
      <w:r w:rsidRPr="006347D8">
        <w:rPr>
          <w:rFonts w:ascii="Verdana" w:hAnsi="Verdana" w:cs="Arial"/>
        </w:rPr>
        <w:t>En ese contexto, el problema jurídico consiste en determinar si el beneficio previsto en el artículo 3 de la Ley 403 de 1997 resulta aplicable a los contratistas vinculados mediante contrato de prestación de servicios con una entidad estatal o si, por el contrario, dicho beneficio se encuentra reservado a quienes mantienen una relación laboral o un vínculo legal y reglamentario con la administración pública.</w:t>
      </w:r>
    </w:p>
    <w:p w14:paraId="231E2CAC" w14:textId="77777777" w:rsidR="00B36928" w:rsidRPr="00166C83" w:rsidRDefault="00B36928" w:rsidP="00B36928">
      <w:pPr>
        <w:spacing w:after="120" w:line="276" w:lineRule="auto"/>
        <w:ind w:firstLine="709"/>
        <w:jc w:val="both"/>
        <w:rPr>
          <w:rFonts w:ascii="Verdana" w:hAnsi="Verdana" w:cs="Arial"/>
        </w:rPr>
      </w:pPr>
      <w:r w:rsidRPr="00166C83">
        <w:rPr>
          <w:rFonts w:ascii="Verdana" w:hAnsi="Verdana" w:cs="Arial"/>
        </w:rPr>
        <w:t>Sobre este punto, debe recordarse que uno de los elementos esenciales de esta modalidad contractual es precisamente la ausencia de subordinación. El contratista conserva autonomía técnica y administrativa para ejecutar las actividades encomendadas, de manera que la entidad estatal puede verificar el cumplimiento del objeto contractual y exigir resultados, pero no imponer un régimen de dirección equivalente al existente en una relación laboral. Por ello, la jurisprudencia de la Corte Constitucional y del Consejo de Estado ha sostenido reiteradamente que cuando la administración ejerce controles permanentes sobre el modo, tiempo y disponibilidad de ejecución del servicio, pueden configurarse elementos materiales de subordinación.</w:t>
      </w:r>
    </w:p>
    <w:p w14:paraId="57A48086" w14:textId="77777777" w:rsidR="00B36928" w:rsidRDefault="00B36928" w:rsidP="00B36928">
      <w:pPr>
        <w:widowControl w:val="0"/>
        <w:autoSpaceDE w:val="0"/>
        <w:autoSpaceDN w:val="0"/>
        <w:spacing w:after="0" w:line="276" w:lineRule="auto"/>
        <w:ind w:firstLine="708"/>
        <w:jc w:val="both"/>
        <w:rPr>
          <w:rFonts w:ascii="Verdana" w:hAnsi="Verdana" w:cs="Arial"/>
          <w:lang w:eastAsia="es-ES"/>
        </w:rPr>
      </w:pPr>
      <w:r w:rsidRPr="006347D8">
        <w:rPr>
          <w:rFonts w:ascii="Verdana" w:hAnsi="Verdana" w:cs="Arial"/>
          <w:lang w:eastAsia="es-ES"/>
        </w:rPr>
        <w:t>En efecto, el contrato de prestación de servicios constituye una modalidad de contratación estatal caracterizada por la autonomía e independencia del contratista en la ejecución del objeto contractual, sin que exista subordinación frente a la entidad contratante, elemento que, de acuerdo con la jurisprudencia de la Corte Constitucional y del Consejo de Estado, constituye el criterio determinante para diferenciar esta modalidad contractual de una relación laboral. En consecuencia, los honorarios que percibe el contratista no remuneran una jornada de trabajo ni corresponden al pago de salarios, sino que constituyen la contraprestación económica pactada por la ejecución autónoma de las obligaciones contractuales.</w:t>
      </w:r>
    </w:p>
    <w:p w14:paraId="5CE37DCD" w14:textId="77777777" w:rsidR="00B36928" w:rsidRPr="006347D8" w:rsidRDefault="00B36928" w:rsidP="00B36928">
      <w:pPr>
        <w:widowControl w:val="0"/>
        <w:autoSpaceDE w:val="0"/>
        <w:autoSpaceDN w:val="0"/>
        <w:spacing w:after="0" w:line="276" w:lineRule="auto"/>
        <w:ind w:firstLine="708"/>
        <w:jc w:val="both"/>
        <w:rPr>
          <w:rFonts w:ascii="Verdana" w:hAnsi="Verdana" w:cs="Arial"/>
          <w:lang w:eastAsia="es-ES"/>
        </w:rPr>
      </w:pPr>
    </w:p>
    <w:p w14:paraId="1E5E1B9C" w14:textId="77777777" w:rsidR="00B36928" w:rsidRDefault="00B36928" w:rsidP="00B36928">
      <w:pPr>
        <w:widowControl w:val="0"/>
        <w:autoSpaceDE w:val="0"/>
        <w:autoSpaceDN w:val="0"/>
        <w:spacing w:after="0" w:line="276" w:lineRule="auto"/>
        <w:ind w:firstLine="708"/>
        <w:jc w:val="both"/>
        <w:rPr>
          <w:rFonts w:ascii="Verdana" w:hAnsi="Verdana" w:cs="Arial"/>
          <w:lang w:eastAsia="es-ES"/>
        </w:rPr>
      </w:pPr>
      <w:r w:rsidRPr="006347D8">
        <w:rPr>
          <w:rFonts w:ascii="Verdana" w:hAnsi="Verdana" w:cs="Arial"/>
          <w:lang w:eastAsia="es-ES"/>
        </w:rPr>
        <w:t xml:space="preserve">De igual manera, los contratistas por prestación de servicios no adquieren la calidad de servidores públicos, no ocupan empleos públicos ni integran la planta de personal de la entidad. Por ello, no les resulta aplicable el régimen de administración de personal previsto para los empleados públicos ni las disposiciones que regulan derechos, deberes, permisos o beneficios derivados </w:t>
      </w:r>
      <w:r w:rsidRPr="006347D8">
        <w:rPr>
          <w:rFonts w:ascii="Verdana" w:hAnsi="Verdana" w:cs="Arial"/>
          <w:lang w:eastAsia="es-ES"/>
        </w:rPr>
        <w:lastRenderedPageBreak/>
        <w:t>de una relación laboral o de un vínculo legal y reglamentario, salvo que una norma legal los extienda de manera expresa.</w:t>
      </w:r>
    </w:p>
    <w:p w14:paraId="1B55E5FF" w14:textId="77777777" w:rsidR="00B36928" w:rsidRPr="006347D8" w:rsidRDefault="00B36928" w:rsidP="00B36928">
      <w:pPr>
        <w:widowControl w:val="0"/>
        <w:autoSpaceDE w:val="0"/>
        <w:autoSpaceDN w:val="0"/>
        <w:spacing w:after="0" w:line="276" w:lineRule="auto"/>
        <w:ind w:firstLine="708"/>
        <w:jc w:val="both"/>
        <w:rPr>
          <w:rFonts w:ascii="Verdana" w:hAnsi="Verdana" w:cs="Arial"/>
          <w:lang w:eastAsia="es-ES"/>
        </w:rPr>
      </w:pPr>
    </w:p>
    <w:p w14:paraId="49653590" w14:textId="77777777" w:rsidR="00B36928" w:rsidRDefault="00B36928" w:rsidP="00B36928">
      <w:pPr>
        <w:widowControl w:val="0"/>
        <w:autoSpaceDE w:val="0"/>
        <w:autoSpaceDN w:val="0"/>
        <w:spacing w:after="0" w:line="276" w:lineRule="auto"/>
        <w:ind w:firstLine="708"/>
        <w:jc w:val="both"/>
        <w:rPr>
          <w:rFonts w:ascii="Verdana" w:hAnsi="Verdana" w:cs="Arial"/>
          <w:lang w:eastAsia="es-ES"/>
        </w:rPr>
      </w:pPr>
      <w:r w:rsidRPr="006347D8">
        <w:rPr>
          <w:rFonts w:ascii="Verdana" w:hAnsi="Verdana" w:cs="Arial"/>
          <w:lang w:eastAsia="es-ES"/>
        </w:rPr>
        <w:t>En ese contexto, aunque las entidades estatales pueden ejercer labores de supervisión y seguimiento sobre la ejecución del contrato, tales mecanismos tienen como única finalidad verificar el cumplimiento de las obligaciones contractuales y no pueden traducirse en esquemas de subordinación o de administración del tiempo propios de una relación laboral. Admitir lo contrario implicaría desnaturalizar el contrato de prestación de servicios e incluso podría dar lugar a la configuración de un contrato realidad.</w:t>
      </w:r>
    </w:p>
    <w:p w14:paraId="4AC4AB8E" w14:textId="77777777" w:rsidR="00B36928" w:rsidRPr="006347D8" w:rsidRDefault="00B36928" w:rsidP="00B36928">
      <w:pPr>
        <w:widowControl w:val="0"/>
        <w:autoSpaceDE w:val="0"/>
        <w:autoSpaceDN w:val="0"/>
        <w:spacing w:after="0" w:line="276" w:lineRule="auto"/>
        <w:ind w:firstLine="708"/>
        <w:jc w:val="both"/>
        <w:rPr>
          <w:rFonts w:ascii="Verdana" w:hAnsi="Verdana" w:cs="Arial"/>
          <w:lang w:eastAsia="es-ES"/>
        </w:rPr>
      </w:pPr>
    </w:p>
    <w:p w14:paraId="75F6430B" w14:textId="77777777" w:rsidR="00B36928" w:rsidRPr="006347D8" w:rsidRDefault="00B36928" w:rsidP="00B36928">
      <w:pPr>
        <w:widowControl w:val="0"/>
        <w:autoSpaceDE w:val="0"/>
        <w:autoSpaceDN w:val="0"/>
        <w:spacing w:after="0" w:line="276" w:lineRule="auto"/>
        <w:ind w:firstLine="708"/>
        <w:jc w:val="both"/>
        <w:rPr>
          <w:rFonts w:ascii="Verdana" w:hAnsi="Verdana" w:cs="Arial"/>
          <w:lang w:eastAsia="es-ES"/>
        </w:rPr>
      </w:pPr>
      <w:r w:rsidRPr="006347D8">
        <w:rPr>
          <w:rFonts w:ascii="Verdana" w:hAnsi="Verdana" w:cs="Arial"/>
          <w:lang w:eastAsia="es-ES"/>
        </w:rPr>
        <w:t>Así las cosas, el permiso remunerado previsto en el artículo 3 de la Ley 403 de 1997 supone la existencia de un vínculo laboral o legal y reglamentario, pues consiste en la concesión de tiempo dentro de la jornada de trabajo sin afectación de la remuneración del trabajador o servidor público. Dado que el contratista independiente no se encuentra sujeto a una jornada laboral ni percibe salario, sino honorarios por la ejecución del objeto contractual, dicho beneficio resulta incompatible con la naturaleza jurídica del contrato de prestación de servicios y, en consecuencia, no le es aplicable.</w:t>
      </w:r>
    </w:p>
    <w:p w14:paraId="037702BF" w14:textId="77777777" w:rsidR="00B36928" w:rsidRPr="00C54887" w:rsidRDefault="00B36928" w:rsidP="00B36928">
      <w:pPr>
        <w:widowControl w:val="0"/>
        <w:autoSpaceDE w:val="0"/>
        <w:autoSpaceDN w:val="0"/>
        <w:spacing w:after="0" w:line="276" w:lineRule="auto"/>
        <w:ind w:firstLine="708"/>
        <w:jc w:val="both"/>
        <w:rPr>
          <w:rFonts w:ascii="Verdana" w:hAnsi="Verdana" w:cs="Arial"/>
          <w:lang w:eastAsia="es-ES"/>
        </w:rPr>
      </w:pPr>
    </w:p>
    <w:bookmarkEnd w:id="2"/>
    <w:bookmarkEnd w:id="3"/>
    <w:p w14:paraId="07B115B5" w14:textId="77777777" w:rsidR="00B36928" w:rsidRPr="001F283D" w:rsidRDefault="00B36928" w:rsidP="00B36928">
      <w:pPr>
        <w:tabs>
          <w:tab w:val="left" w:pos="142"/>
          <w:tab w:val="left" w:pos="284"/>
        </w:tabs>
        <w:spacing w:after="0" w:line="276" w:lineRule="auto"/>
        <w:rPr>
          <w:rFonts w:ascii="Verdana" w:eastAsia="Century Gothic" w:hAnsi="Verdana" w:cs="Century Gothic"/>
          <w:b/>
          <w:bCs/>
        </w:rPr>
      </w:pPr>
      <w:r>
        <w:rPr>
          <w:rFonts w:ascii="Verdana" w:eastAsia="Century Gothic" w:hAnsi="Verdana" w:cs="Century Gothic"/>
          <w:b/>
          <w:bCs/>
        </w:rPr>
        <w:t xml:space="preserve">4. </w:t>
      </w:r>
      <w:r w:rsidRPr="001F283D">
        <w:rPr>
          <w:rFonts w:ascii="Verdana" w:eastAsia="Century Gothic" w:hAnsi="Verdana" w:cs="Century Gothic"/>
          <w:b/>
          <w:bCs/>
        </w:rPr>
        <w:t>Referencias normativas:</w:t>
      </w:r>
    </w:p>
    <w:bookmarkEnd w:id="4"/>
    <w:p w14:paraId="2F9A7CB3" w14:textId="77777777" w:rsidR="00B36928" w:rsidRPr="00593A5F" w:rsidRDefault="00B36928" w:rsidP="00B36928">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36928" w:rsidRPr="002407CE" w14:paraId="04E0BFCD" w14:textId="77777777" w:rsidTr="00DF520A">
        <w:trPr>
          <w:trHeight w:val="870"/>
          <w:jc w:val="center"/>
        </w:trPr>
        <w:tc>
          <w:tcPr>
            <w:tcW w:w="8647" w:type="dxa"/>
          </w:tcPr>
          <w:p w14:paraId="54AE9E7E" w14:textId="77777777" w:rsidR="00B36928" w:rsidRPr="006F76C5" w:rsidRDefault="00B36928" w:rsidP="00B36928">
            <w:pPr>
              <w:widowControl w:val="0"/>
              <w:numPr>
                <w:ilvl w:val="0"/>
                <w:numId w:val="17"/>
              </w:numPr>
              <w:autoSpaceDE w:val="0"/>
              <w:autoSpaceDN w:val="0"/>
              <w:spacing w:line="276" w:lineRule="auto"/>
              <w:jc w:val="both"/>
              <w:rPr>
                <w:rFonts w:ascii="Verdana" w:eastAsia="Calibri" w:hAnsi="Verdana" w:cs="Arial"/>
                <w:lang w:val="es-ES"/>
              </w:rPr>
            </w:pPr>
            <w:r w:rsidRPr="002230CC">
              <w:rPr>
                <w:rFonts w:ascii="Verdana" w:eastAsia="Calibri" w:hAnsi="Verdana" w:cs="Arial"/>
                <w:lang w:val="es-ES"/>
              </w:rPr>
              <w:t>Código Sustantivo del Trabajo. Artículo 22</w:t>
            </w:r>
            <w:r>
              <w:rPr>
                <w:rFonts w:ascii="Verdana" w:eastAsia="Calibri" w:hAnsi="Verdana" w:cs="Arial"/>
                <w:lang w:val="es-ES"/>
              </w:rPr>
              <w:t>.</w:t>
            </w:r>
          </w:p>
          <w:p w14:paraId="4A031BD8" w14:textId="77777777" w:rsidR="00B36928" w:rsidRPr="00B52E6D" w:rsidRDefault="00B36928" w:rsidP="00B36928">
            <w:pPr>
              <w:widowControl w:val="0"/>
              <w:numPr>
                <w:ilvl w:val="0"/>
                <w:numId w:val="17"/>
              </w:numPr>
              <w:autoSpaceDE w:val="0"/>
              <w:autoSpaceDN w:val="0"/>
              <w:spacing w:line="276" w:lineRule="auto"/>
              <w:jc w:val="both"/>
              <w:rPr>
                <w:rFonts w:ascii="Verdana" w:eastAsia="Calibri" w:hAnsi="Verdana" w:cs="Arial"/>
                <w:lang w:val="es-ES"/>
              </w:rPr>
            </w:pPr>
            <w:r w:rsidRPr="00B52E6D">
              <w:rPr>
                <w:rFonts w:ascii="Verdana" w:eastAsia="Calibri" w:hAnsi="Verdana" w:cs="Arial"/>
                <w:lang w:val="es-ES"/>
              </w:rPr>
              <w:t>Ley 80 de 1993. Artículo 32</w:t>
            </w:r>
            <w:r>
              <w:rPr>
                <w:rFonts w:ascii="Verdana" w:eastAsia="Calibri" w:hAnsi="Verdana" w:cs="Arial"/>
                <w:lang w:val="es-ES"/>
              </w:rPr>
              <w:t>.</w:t>
            </w:r>
          </w:p>
          <w:p w14:paraId="744FFFAA" w14:textId="77777777" w:rsidR="00B36928" w:rsidRPr="006F76C5" w:rsidRDefault="00B36928" w:rsidP="00B36928">
            <w:pPr>
              <w:widowControl w:val="0"/>
              <w:numPr>
                <w:ilvl w:val="0"/>
                <w:numId w:val="17"/>
              </w:numPr>
              <w:autoSpaceDE w:val="0"/>
              <w:autoSpaceDN w:val="0"/>
              <w:spacing w:line="276" w:lineRule="auto"/>
              <w:jc w:val="both"/>
              <w:rPr>
                <w:rFonts w:ascii="Verdana" w:eastAsia="Calibri" w:hAnsi="Verdana" w:cs="Arial"/>
                <w:lang w:val="es-ES"/>
              </w:rPr>
            </w:pPr>
            <w:r w:rsidRPr="006F76C5">
              <w:rPr>
                <w:rFonts w:ascii="Verdana" w:eastAsia="Calibri" w:hAnsi="Verdana" w:cs="Arial"/>
                <w:lang w:val="es-ES"/>
              </w:rPr>
              <w:t>Ley 1150 de 2007. Artículo 4</w:t>
            </w:r>
            <w:r>
              <w:rPr>
                <w:rFonts w:ascii="Verdana" w:eastAsia="Calibri" w:hAnsi="Verdana" w:cs="Arial"/>
                <w:lang w:val="es-ES"/>
              </w:rPr>
              <w:t>.</w:t>
            </w:r>
          </w:p>
          <w:p w14:paraId="3C100090" w14:textId="77777777" w:rsidR="00B36928" w:rsidRPr="00255E89" w:rsidRDefault="00B36928" w:rsidP="00B36928">
            <w:pPr>
              <w:widowControl w:val="0"/>
              <w:numPr>
                <w:ilvl w:val="0"/>
                <w:numId w:val="17"/>
              </w:numPr>
              <w:autoSpaceDE w:val="0"/>
              <w:autoSpaceDN w:val="0"/>
              <w:spacing w:line="276" w:lineRule="auto"/>
              <w:jc w:val="both"/>
              <w:rPr>
                <w:rFonts w:ascii="Verdana" w:eastAsia="Calibri" w:hAnsi="Verdana" w:cs="Arial"/>
                <w:lang w:val="es-ES"/>
              </w:rPr>
            </w:pPr>
            <w:r w:rsidRPr="00255E89">
              <w:rPr>
                <w:rFonts w:ascii="Verdana" w:eastAsia="Calibri" w:hAnsi="Verdana" w:cs="Arial"/>
                <w:lang w:val="es-ES"/>
              </w:rPr>
              <w:t>Ley 1955 de 2015. Artículo 244.</w:t>
            </w:r>
          </w:p>
          <w:p w14:paraId="4CF26C0E" w14:textId="77777777" w:rsidR="00B36928" w:rsidRPr="00B52E6D" w:rsidRDefault="00B36928" w:rsidP="00B36928">
            <w:pPr>
              <w:widowControl w:val="0"/>
              <w:numPr>
                <w:ilvl w:val="0"/>
                <w:numId w:val="17"/>
              </w:numPr>
              <w:autoSpaceDE w:val="0"/>
              <w:autoSpaceDN w:val="0"/>
              <w:spacing w:line="276" w:lineRule="auto"/>
              <w:jc w:val="both"/>
              <w:rPr>
                <w:rFonts w:ascii="Verdana" w:eastAsia="Calibri" w:hAnsi="Verdana" w:cs="Arial"/>
                <w:lang w:val="es-ES"/>
              </w:rPr>
            </w:pPr>
            <w:r w:rsidRPr="00064773">
              <w:rPr>
                <w:rFonts w:ascii="Verdana" w:eastAsia="Calibri" w:hAnsi="Verdana" w:cs="Arial"/>
                <w:lang w:val="es-ES"/>
              </w:rPr>
              <w:t>Decreto 1082 de 2015. Artículo 2.2.1.2.1.4.1, 2.2.1.2.1.4.5.  2.2.1.2.1.4.9.</w:t>
            </w:r>
          </w:p>
          <w:p w14:paraId="0B282377" w14:textId="77777777" w:rsidR="00B36928" w:rsidRPr="00255E89" w:rsidRDefault="00B36928" w:rsidP="00B36928">
            <w:pPr>
              <w:widowControl w:val="0"/>
              <w:numPr>
                <w:ilvl w:val="0"/>
                <w:numId w:val="17"/>
              </w:numPr>
              <w:autoSpaceDE w:val="0"/>
              <w:autoSpaceDN w:val="0"/>
              <w:spacing w:line="276" w:lineRule="auto"/>
              <w:jc w:val="both"/>
              <w:rPr>
                <w:rFonts w:ascii="Verdana" w:eastAsia="Calibri" w:hAnsi="Verdana" w:cs="Arial"/>
                <w:lang w:val="es-ES"/>
              </w:rPr>
            </w:pPr>
            <w:r w:rsidRPr="006B2A91">
              <w:rPr>
                <w:rFonts w:ascii="Verdana" w:eastAsia="Calibri" w:hAnsi="Verdana" w:cs="Arial"/>
                <w:lang w:val="pt-PT"/>
              </w:rPr>
              <w:t xml:space="preserve">Corte Constitucional. Sentencia C-154 de 1997. </w:t>
            </w:r>
            <w:r w:rsidRPr="006F76C5">
              <w:rPr>
                <w:rFonts w:ascii="Verdana" w:eastAsia="Calibri" w:hAnsi="Verdana" w:cs="Arial"/>
                <w:lang w:val="es-ES"/>
              </w:rPr>
              <w:t>M.P. Hernando Herrera Vergara.</w:t>
            </w:r>
          </w:p>
          <w:p w14:paraId="1DE53F8F" w14:textId="77777777" w:rsidR="00B36928" w:rsidRPr="006B2A91" w:rsidRDefault="00B36928" w:rsidP="00B36928">
            <w:pPr>
              <w:widowControl w:val="0"/>
              <w:numPr>
                <w:ilvl w:val="0"/>
                <w:numId w:val="17"/>
              </w:numPr>
              <w:autoSpaceDE w:val="0"/>
              <w:autoSpaceDN w:val="0"/>
              <w:spacing w:line="276" w:lineRule="auto"/>
              <w:jc w:val="both"/>
              <w:rPr>
                <w:rFonts w:ascii="Verdana" w:eastAsia="Calibri" w:hAnsi="Verdana" w:cs="Arial"/>
                <w:lang w:val="pt-PT"/>
              </w:rPr>
            </w:pPr>
            <w:r w:rsidRPr="006B2A91">
              <w:rPr>
                <w:rFonts w:ascii="Verdana" w:eastAsia="Calibri" w:hAnsi="Verdana" w:cs="Arial"/>
                <w:lang w:val="pt-PT"/>
              </w:rPr>
              <w:t>Corte Constitucional. Sentencia C-614 de 2009. M.P. Jorge Ignacio Pretelt Chaljub.</w:t>
            </w:r>
          </w:p>
          <w:p w14:paraId="7EC414AE" w14:textId="77777777" w:rsidR="00B36928" w:rsidRPr="006B2A91" w:rsidRDefault="00B36928" w:rsidP="00B36928">
            <w:pPr>
              <w:widowControl w:val="0"/>
              <w:numPr>
                <w:ilvl w:val="0"/>
                <w:numId w:val="17"/>
              </w:numPr>
              <w:autoSpaceDE w:val="0"/>
              <w:autoSpaceDN w:val="0"/>
              <w:spacing w:line="276" w:lineRule="auto"/>
              <w:jc w:val="both"/>
              <w:rPr>
                <w:rFonts w:ascii="Verdana" w:eastAsia="Calibri" w:hAnsi="Verdana" w:cs="Arial"/>
                <w:lang w:val="pt-PT"/>
              </w:rPr>
            </w:pPr>
            <w:r w:rsidRPr="006B2A91">
              <w:rPr>
                <w:rFonts w:ascii="Verdana" w:eastAsia="Calibri" w:hAnsi="Verdana" w:cs="Arial"/>
                <w:lang w:val="pt-PT"/>
              </w:rPr>
              <w:t>Consejo de Estado, Sala Plena de lo Contencioso Administrativo, sentencia del 09 de febrero de 2012, expediente 1707-08, C.P Luis Rafael Vergara Quintero.</w:t>
            </w:r>
          </w:p>
          <w:p w14:paraId="435A5F35" w14:textId="77777777" w:rsidR="00B36928" w:rsidRPr="00255E89" w:rsidRDefault="00B36928" w:rsidP="00B36928">
            <w:pPr>
              <w:widowControl w:val="0"/>
              <w:numPr>
                <w:ilvl w:val="0"/>
                <w:numId w:val="17"/>
              </w:numPr>
              <w:autoSpaceDE w:val="0"/>
              <w:autoSpaceDN w:val="0"/>
              <w:spacing w:line="276" w:lineRule="auto"/>
              <w:jc w:val="both"/>
              <w:rPr>
                <w:rFonts w:ascii="Verdana" w:eastAsia="Calibri" w:hAnsi="Verdana" w:cs="Arial"/>
                <w:lang w:val="es-ES"/>
              </w:rPr>
            </w:pPr>
            <w:r w:rsidRPr="006F76C5">
              <w:rPr>
                <w:rFonts w:ascii="Verdana" w:eastAsia="Calibri" w:hAnsi="Verdana" w:cs="Arial"/>
                <w:lang w:val="es-ES"/>
              </w:rPr>
              <w:t>Consejo de Estado. Sección Segunda. Subsección A. Rad. 19001-23-</w:t>
            </w:r>
            <w:r w:rsidRPr="006F76C5">
              <w:rPr>
                <w:rFonts w:ascii="Verdana" w:eastAsia="Calibri" w:hAnsi="Verdana" w:cs="Arial"/>
                <w:lang w:val="es-ES"/>
              </w:rPr>
              <w:lastRenderedPageBreak/>
              <w:t xml:space="preserve">33-0002016-00182-01 (3990-2018). Sentencia de 9 de junio de 2022. C.P. Rafael Francisco Suarez Vargas. </w:t>
            </w:r>
          </w:p>
          <w:p w14:paraId="7D0341CD" w14:textId="77777777" w:rsidR="00B36928" w:rsidRPr="00B52E6D" w:rsidRDefault="00B36928" w:rsidP="00B36928">
            <w:pPr>
              <w:widowControl w:val="0"/>
              <w:numPr>
                <w:ilvl w:val="0"/>
                <w:numId w:val="17"/>
              </w:numPr>
              <w:autoSpaceDE w:val="0"/>
              <w:autoSpaceDN w:val="0"/>
              <w:spacing w:line="276" w:lineRule="auto"/>
              <w:jc w:val="both"/>
              <w:rPr>
                <w:rFonts w:ascii="Verdana" w:eastAsia="Calibri" w:hAnsi="Verdana" w:cs="Arial"/>
                <w:lang w:val="es-ES"/>
              </w:rPr>
            </w:pPr>
            <w:r w:rsidRPr="00064773">
              <w:rPr>
                <w:rFonts w:ascii="Verdana" w:eastAsia="Calibri" w:hAnsi="Verdana" w:cs="Arial"/>
                <w:lang w:val="es-ES"/>
              </w:rPr>
              <w:t xml:space="preserve">Consejo de Estado. Sección Segunda. Subsección B. Rad. 50001-23-33-000-2014-0089-01. </w:t>
            </w:r>
            <w:r w:rsidRPr="00B52E6D">
              <w:rPr>
                <w:rFonts w:ascii="Verdana" w:eastAsia="Calibri" w:hAnsi="Verdana" w:cs="Arial"/>
                <w:lang w:val="es-ES"/>
              </w:rPr>
              <w:t>Sentencia de 9 de junio de 2022. C.P. César Palomino Cortés.</w:t>
            </w:r>
          </w:p>
          <w:p w14:paraId="0100559B" w14:textId="77777777" w:rsidR="00B36928" w:rsidRPr="00A57FA0" w:rsidRDefault="00B36928" w:rsidP="00DF520A">
            <w:pPr>
              <w:pStyle w:val="NormalWeb"/>
              <w:spacing w:before="120" w:beforeAutospacing="0" w:after="0" w:afterAutospacing="0" w:line="276" w:lineRule="auto"/>
              <w:ind w:left="720"/>
              <w:jc w:val="both"/>
              <w:rPr>
                <w:rFonts w:ascii="Verdana" w:hAnsi="Verdana" w:cs="Arial"/>
                <w:color w:val="000000" w:themeColor="text1"/>
                <w:sz w:val="22"/>
                <w:szCs w:val="22"/>
              </w:rPr>
            </w:pPr>
          </w:p>
        </w:tc>
      </w:tr>
    </w:tbl>
    <w:p w14:paraId="3D2AE08F" w14:textId="77777777" w:rsidR="00B36928" w:rsidRPr="00277E26" w:rsidRDefault="00B36928" w:rsidP="00B36928">
      <w:pPr>
        <w:widowControl w:val="0"/>
        <w:autoSpaceDE w:val="0"/>
        <w:autoSpaceDN w:val="0"/>
        <w:spacing w:after="0" w:line="276" w:lineRule="auto"/>
        <w:jc w:val="both"/>
        <w:rPr>
          <w:rFonts w:ascii="Verdana" w:hAnsi="Verdana" w:cs="Arial"/>
        </w:rPr>
      </w:pPr>
    </w:p>
    <w:p w14:paraId="30F59F0E" w14:textId="77777777" w:rsidR="00B36928" w:rsidRPr="001F283D" w:rsidRDefault="00B36928" w:rsidP="00B36928">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 xml:space="preserve">5. </w:t>
      </w:r>
      <w:r w:rsidRPr="001F283D">
        <w:rPr>
          <w:rFonts w:ascii="Verdana" w:eastAsia="Century Gothic" w:hAnsi="Verdana" w:cs="Century Gothic"/>
          <w:b/>
          <w:bCs/>
        </w:rPr>
        <w:t>Doctrina de la Agencia Nacional de Contratación Pública:</w:t>
      </w:r>
    </w:p>
    <w:p w14:paraId="59E3B327" w14:textId="77777777" w:rsidR="00B36928" w:rsidRDefault="00B36928" w:rsidP="00B36928">
      <w:pPr>
        <w:widowControl w:val="0"/>
        <w:autoSpaceDE w:val="0"/>
        <w:autoSpaceDN w:val="0"/>
        <w:spacing w:after="0" w:line="240" w:lineRule="auto"/>
        <w:jc w:val="both"/>
        <w:rPr>
          <w:rStyle w:val="normaltextrun"/>
          <w:rFonts w:ascii="Verdana" w:hAnsi="Verdana" w:cs="Arial"/>
          <w:highlight w:val="yellow"/>
          <w:shd w:val="clear" w:color="auto" w:fill="FFFFFF"/>
          <w:lang w:val="es-ES"/>
        </w:rPr>
      </w:pPr>
    </w:p>
    <w:p w14:paraId="0F5CBB8F" w14:textId="77777777" w:rsidR="00B36928" w:rsidRPr="006347D8" w:rsidRDefault="00B36928" w:rsidP="00B36928">
      <w:pPr>
        <w:spacing w:after="0" w:line="276" w:lineRule="auto"/>
        <w:jc w:val="both"/>
        <w:rPr>
          <w:rFonts w:ascii="Verdana" w:hAnsi="Verdana" w:cs="Arial"/>
          <w:color w:val="EE0000"/>
          <w:shd w:val="clear" w:color="auto" w:fill="FFFFFF"/>
          <w:lang w:val="es-ES"/>
        </w:rPr>
      </w:pPr>
      <w:r w:rsidRPr="00255E89">
        <w:rPr>
          <w:rFonts w:ascii="Verdana" w:eastAsia="Calibri" w:hAnsi="Verdana" w:cs="Arial"/>
          <w:lang w:val="es-ES"/>
        </w:rPr>
        <w:t xml:space="preserve">La Agencia Nacional de Contratación Pública – Colombia Compra Eficiente se ha referido </w:t>
      </w:r>
      <w:r w:rsidRPr="00064773">
        <w:rPr>
          <w:rFonts w:ascii="Verdana" w:hAnsi="Verdana" w:cs="Arial"/>
          <w:shd w:val="clear" w:color="auto" w:fill="FFFFFF"/>
          <w:lang w:val="es-ES"/>
        </w:rPr>
        <w:t xml:space="preserve">sobre </w:t>
      </w:r>
      <w:r w:rsidRPr="00B52E6D">
        <w:rPr>
          <w:rFonts w:ascii="Verdana" w:hAnsi="Verdana" w:cs="Arial"/>
          <w:shd w:val="clear" w:color="auto" w:fill="FFFFFF"/>
          <w:lang w:val="es-ES"/>
        </w:rPr>
        <w:t>los contratos de prestación de servicios, así como los requisitos para su celebración en los conceptos con radicado C-414 del 30 de junio de 2020,C-661 del 17 de noviembre de 2020 C−685 del 18 de diciembre de 2020, C-004 del 12 de febrero de 2021, C-106 del 7 de abril de 2021, C-181 del 07 de abril de 2022, C-214 del 22 de abril de 2022, C-491 de 01 de agosto de 2022, C-008 del 20 de febrero de 2023, C-009 del 20 de febrero de 2023, C-286 del 2023, C-351 del 30 de agosto de 2024, C-372 del 26 de Agosto 2024, C-904 del 9 de diciembre de 2024 , C-363 del 15 de abril de 2025, C-652 del 04 de julio de 2025 , C-706 del 15 de julio de 2025 y C-749 del 14 de agosto de 2025, entre otros</w:t>
      </w:r>
      <w:r w:rsidRPr="00B52E6D">
        <w:rPr>
          <w:rFonts w:ascii="Verdana" w:eastAsia="Aptos" w:hAnsi="Verdana" w:cs="Segoe UI"/>
          <w:kern w:val="2"/>
          <w14:ligatures w14:val="standardContextual"/>
        </w:rPr>
        <w:t>.</w:t>
      </w:r>
      <w:r>
        <w:rPr>
          <w:rFonts w:ascii="Verdana" w:hAnsi="Verdana" w:cs="Arial"/>
          <w:color w:val="EE0000"/>
          <w:shd w:val="clear" w:color="auto" w:fill="FFFFFF"/>
        </w:rPr>
        <w:t xml:space="preserve"> </w:t>
      </w:r>
      <w:r w:rsidRPr="00B52E6D">
        <w:rPr>
          <w:rFonts w:ascii="Verdana" w:hAnsi="Verdana" w:cs="Arial"/>
          <w:shd w:val="clear" w:color="auto" w:fill="FFFFFF"/>
          <w:lang w:val="es-ES"/>
        </w:rPr>
        <w:t>Estos</w:t>
      </w:r>
      <w:r w:rsidRPr="00B52E6D">
        <w:rPr>
          <w:rFonts w:ascii="Verdana" w:hAnsi="Verdana"/>
          <w:lang w:val="es-ES"/>
        </w:rPr>
        <w:t xml:space="preserve"> y otros se encuentran disponibles para consulta en el Sistema de relatoría de la Agencia, al cual se puede acceder a través del siguiente enlace:</w:t>
      </w:r>
      <w:r w:rsidRPr="00B52E6D">
        <w:rPr>
          <w:rFonts w:ascii="Verdana" w:hAnsi="Verdana" w:cs="Arial"/>
          <w:shd w:val="clear" w:color="auto" w:fill="FFFFFF"/>
          <w:lang w:val="es-ES"/>
        </w:rPr>
        <w:t xml:space="preserve"> </w:t>
      </w:r>
      <w:hyperlink r:id="rId13" w:history="1">
        <w:r w:rsidRPr="00B52E6D">
          <w:rPr>
            <w:rStyle w:val="Hipervnculo"/>
            <w:rFonts w:ascii="Verdana" w:hAnsi="Verdana" w:cs="Arial"/>
            <w:shd w:val="clear" w:color="auto" w:fill="FFFFFF"/>
            <w:lang w:val="es-ES"/>
          </w:rPr>
          <w:t>https://relatoria.colombiacompra.gov.co/busqueda/conceptos</w:t>
        </w:r>
      </w:hyperlink>
    </w:p>
    <w:p w14:paraId="73940F00" w14:textId="77777777" w:rsidR="00B36928" w:rsidRPr="0098751C" w:rsidRDefault="00B36928" w:rsidP="00B36928">
      <w:pPr>
        <w:widowControl w:val="0"/>
        <w:autoSpaceDE w:val="0"/>
        <w:autoSpaceDN w:val="0"/>
        <w:spacing w:after="120" w:line="276" w:lineRule="auto"/>
        <w:jc w:val="both"/>
        <w:rPr>
          <w:rFonts w:ascii="Verdana" w:eastAsia="Calibri" w:hAnsi="Verdana" w:cs="Arial"/>
          <w:color w:val="000000" w:themeColor="text1"/>
          <w:lang w:val="es-ES" w:eastAsia="es-ES_tradnl"/>
        </w:rPr>
      </w:pPr>
    </w:p>
    <w:p w14:paraId="121059BB" w14:textId="77777777" w:rsidR="00B36928" w:rsidRPr="006347D8" w:rsidRDefault="00B36928" w:rsidP="00B36928">
      <w:pPr>
        <w:spacing w:after="120" w:line="276" w:lineRule="auto"/>
        <w:jc w:val="both"/>
        <w:rPr>
          <w:rFonts w:ascii="Verdana" w:hAnsi="Verdana"/>
        </w:rPr>
      </w:pPr>
      <w:r w:rsidRPr="006347D8">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6347D8">
        <w:rPr>
          <w:rFonts w:ascii="Verdana" w:hAnsi="Verdana"/>
          <w:b/>
          <w:bCs/>
        </w:rPr>
        <w:t>Guía para la Exigencia y Constitución de Garantías en los Procesos de Contratación</w:t>
      </w:r>
      <w:r w:rsidRPr="006347D8">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6347D8">
          <w:rPr>
            <w:rStyle w:val="Hipervnculo"/>
            <w:rFonts w:ascii="Verdana" w:hAnsi="Verdana"/>
          </w:rPr>
          <w:t>https://www.colombiacompra.gov.co/archivos/manual/guia-de-garantias-en-procesos-de-contratacion</w:t>
        </w:r>
      </w:hyperlink>
    </w:p>
    <w:p w14:paraId="184F0F9C" w14:textId="77777777" w:rsidR="00B36928" w:rsidRPr="006347D8" w:rsidRDefault="00B36928" w:rsidP="00B36928">
      <w:pPr>
        <w:spacing w:after="120" w:line="276" w:lineRule="auto"/>
        <w:jc w:val="both"/>
        <w:rPr>
          <w:rFonts w:ascii="Verdana" w:hAnsi="Verdana"/>
        </w:rPr>
      </w:pPr>
      <w:r w:rsidRPr="006347D8">
        <w:rPr>
          <w:rFonts w:ascii="Verdana" w:hAnsi="Verdana"/>
        </w:rPr>
        <w:lastRenderedPageBreak/>
        <w:t>De otro lado, te contamos que el Decreto 287 del 19 de marzo de 2026 sustituyó los artículos 2.2.1.2.4.2.6., 2.2.1.2.4.2.7. y 2.2.1.2.4.2.8. del Decreto 1082 de 2015 y estructuró el </w:t>
      </w:r>
      <w:r w:rsidRPr="006347D8">
        <w:rPr>
          <w:rFonts w:ascii="Verdana" w:hAnsi="Verdana"/>
          <w:b/>
          <w:bCs/>
        </w:rPr>
        <w:t>Sistema Integral de Preferencias en favor de las personas con discapacidad</w:t>
      </w:r>
      <w:r w:rsidRPr="006347D8">
        <w:rPr>
          <w:rFonts w:ascii="Verdana" w:hAnsi="Verdana"/>
        </w:rPr>
        <w:t>, en cumplimiento del artículo 13 de la Ley Estatutaria 1618 de 2013. Para orientar su aplicación, esta Agencia expidió la </w:t>
      </w:r>
      <w:r w:rsidRPr="006347D8">
        <w:rPr>
          <w:rFonts w:ascii="Verdana" w:hAnsi="Verdana"/>
          <w:b/>
          <w:bCs/>
        </w:rPr>
        <w:t>Circular Externa 003 del 12 de mayo de 2026, </w:t>
      </w:r>
      <w:r w:rsidRPr="006347D8">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6347D8">
          <w:rPr>
            <w:rStyle w:val="Hipervnculo"/>
            <w:rFonts w:ascii="Verdana" w:hAnsi="Verdana"/>
          </w:rPr>
          <w:t>https://www.colombiacompra.gov.co/archivos/circular/circular-externa-003-de-2026</w:t>
        </w:r>
      </w:hyperlink>
    </w:p>
    <w:p w14:paraId="2C16A1C0" w14:textId="77777777" w:rsidR="00B36928" w:rsidRPr="006347D8" w:rsidRDefault="00B36928" w:rsidP="00B36928">
      <w:pPr>
        <w:spacing w:after="120" w:line="276" w:lineRule="auto"/>
        <w:jc w:val="both"/>
        <w:rPr>
          <w:rFonts w:ascii="Verdana" w:hAnsi="Verdana"/>
        </w:rPr>
      </w:pPr>
      <w:r w:rsidRPr="006347D8">
        <w:rPr>
          <w:rFonts w:ascii="Verdana" w:hAnsi="Verdana"/>
        </w:rPr>
        <w:t>Recuerda también que la</w:t>
      </w:r>
      <w:r w:rsidRPr="006347D8">
        <w:rPr>
          <w:rFonts w:ascii="Verdana" w:hAnsi="Verdana"/>
          <w:b/>
          <w:bCs/>
        </w:rPr>
        <w:t> información sobre sanciones e inhabilidades </w:t>
      </w:r>
      <w:r w:rsidRPr="006347D8">
        <w:rPr>
          <w:rFonts w:ascii="Verdana" w:hAnsi="Verdana"/>
        </w:rPr>
        <w:t>solo cumple su función preventiva si llega oportunamente a los registros públicos. Sobre este deber, esta Agencia expidió la </w:t>
      </w:r>
      <w:r w:rsidRPr="006347D8">
        <w:rPr>
          <w:rFonts w:ascii="Verdana" w:hAnsi="Verdana"/>
          <w:b/>
          <w:bCs/>
        </w:rPr>
        <w:t>Circular Externa 002 del 5 de mayo de 2026,</w:t>
      </w:r>
      <w:r w:rsidRPr="006347D8">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6347D8">
          <w:rPr>
            <w:rStyle w:val="Hipervnculo"/>
            <w:rFonts w:ascii="Verdana" w:hAnsi="Verdana"/>
          </w:rPr>
          <w:t>https://www.colombiacompra.gov.co/archivos/circular/circular-externa-002-de-2026</w:t>
        </w:r>
      </w:hyperlink>
    </w:p>
    <w:p w14:paraId="7B480090" w14:textId="77777777" w:rsidR="00B36928" w:rsidRPr="006347D8" w:rsidRDefault="00B36928" w:rsidP="00B36928">
      <w:pPr>
        <w:spacing w:after="120" w:line="276" w:lineRule="auto"/>
        <w:jc w:val="both"/>
        <w:rPr>
          <w:rFonts w:ascii="Verdana" w:hAnsi="Verdana"/>
        </w:rPr>
      </w:pPr>
      <w:r w:rsidRPr="006347D8">
        <w:rPr>
          <w:rFonts w:ascii="Verdana" w:hAnsi="Verdana"/>
        </w:rPr>
        <w:t>Finalmente, si quieres seguir de cerca la actividad de la Agencia, la tercera edición de 2026 del</w:t>
      </w:r>
      <w:r w:rsidRPr="006347D8">
        <w:rPr>
          <w:rFonts w:ascii="Verdana" w:hAnsi="Verdana"/>
          <w:b/>
          <w:bCs/>
        </w:rPr>
        <w:t> Radar de la Compra Pública</w:t>
      </w:r>
      <w:r w:rsidRPr="006347D8">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6347D8">
          <w:rPr>
            <w:rStyle w:val="Hipervnculo"/>
            <w:rFonts w:ascii="Verdana" w:hAnsi="Verdana"/>
          </w:rPr>
          <w:t>https://www.colombiacompra.gov.co/archivos/boletin/boletin-edicion-n-3-de-2026-radar-de-la-compra-publica</w:t>
        </w:r>
      </w:hyperlink>
    </w:p>
    <w:p w14:paraId="144A8EE6" w14:textId="77777777" w:rsidR="00B36928" w:rsidRPr="00237766" w:rsidRDefault="00B36928" w:rsidP="00B36928">
      <w:pPr>
        <w:spacing w:after="120" w:line="276" w:lineRule="auto"/>
        <w:jc w:val="both"/>
        <w:rPr>
          <w:rFonts w:ascii="Verdana" w:eastAsia="Calibri" w:hAnsi="Verdana" w:cs="Times New Roman"/>
        </w:rPr>
      </w:pPr>
      <w:r w:rsidRPr="008E4F36">
        <w:rPr>
          <w:rFonts w:ascii="Verdana" w:hAnsi="Verdana"/>
        </w:rPr>
        <w:t xml:space="preserve">Aprovechamos la oportunidad para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0B58C754" w14:textId="77777777" w:rsidR="00B36928" w:rsidRPr="008E4F36" w:rsidRDefault="00B36928" w:rsidP="00B36928">
      <w:pPr>
        <w:pStyle w:val="Prrafodelista"/>
        <w:numPr>
          <w:ilvl w:val="0"/>
          <w:numId w:val="15"/>
        </w:numPr>
        <w:spacing w:after="0" w:line="276" w:lineRule="auto"/>
        <w:contextualSpacing w:val="0"/>
        <w:jc w:val="both"/>
        <w:rPr>
          <w:rFonts w:ascii="Verdana" w:hAnsi="Verdana"/>
        </w:rPr>
      </w:pPr>
      <w:r w:rsidRPr="008E4F36">
        <w:rPr>
          <w:rFonts w:ascii="Verdana" w:hAnsi="Verdana"/>
        </w:rPr>
        <w:lastRenderedPageBreak/>
        <w:t>Línea nacional gratuita o servicio a la ciudadanía: 01800 0520808</w:t>
      </w:r>
    </w:p>
    <w:p w14:paraId="67E396B6" w14:textId="77777777" w:rsidR="00B36928" w:rsidRPr="008E4F36" w:rsidRDefault="00B36928" w:rsidP="00B36928">
      <w:pPr>
        <w:pStyle w:val="Prrafodelista"/>
        <w:numPr>
          <w:ilvl w:val="0"/>
          <w:numId w:val="15"/>
        </w:numPr>
        <w:spacing w:after="0" w:line="276" w:lineRule="auto"/>
        <w:contextualSpacing w:val="0"/>
        <w:jc w:val="both"/>
        <w:rPr>
          <w:rFonts w:ascii="Verdana" w:hAnsi="Verdana"/>
        </w:rPr>
      </w:pPr>
      <w:r w:rsidRPr="008E4F36">
        <w:rPr>
          <w:rFonts w:ascii="Verdana" w:hAnsi="Verdana"/>
        </w:rPr>
        <w:t>Línea en Bogotá (Mesa de servicio): +57 601 7456788</w:t>
      </w:r>
    </w:p>
    <w:p w14:paraId="2119C2F9" w14:textId="77777777" w:rsidR="00B36928" w:rsidRPr="008E4F36" w:rsidRDefault="00B36928" w:rsidP="00B36928">
      <w:pPr>
        <w:pStyle w:val="Prrafodelista"/>
        <w:numPr>
          <w:ilvl w:val="0"/>
          <w:numId w:val="15"/>
        </w:numPr>
        <w:spacing w:after="0" w:line="276" w:lineRule="auto"/>
        <w:contextualSpacing w:val="0"/>
        <w:jc w:val="both"/>
        <w:rPr>
          <w:rFonts w:ascii="Verdana" w:hAnsi="Verdana"/>
        </w:rPr>
      </w:pPr>
      <w:r w:rsidRPr="008E4F36">
        <w:rPr>
          <w:rFonts w:ascii="Verdana" w:hAnsi="Verdana"/>
        </w:rPr>
        <w:t>Línea de servicio y atención al ciudadano: +57 601 7956600</w:t>
      </w:r>
    </w:p>
    <w:p w14:paraId="745991C9" w14:textId="77777777" w:rsidR="00B36928" w:rsidRPr="008E4F36" w:rsidRDefault="00B36928" w:rsidP="00B36928">
      <w:pPr>
        <w:pStyle w:val="Prrafodelista"/>
        <w:numPr>
          <w:ilvl w:val="0"/>
          <w:numId w:val="15"/>
        </w:numPr>
        <w:spacing w:after="0" w:line="276" w:lineRule="auto"/>
        <w:contextualSpacing w:val="0"/>
        <w:jc w:val="both"/>
        <w:rPr>
          <w:rFonts w:ascii="Verdana" w:hAnsi="Verdana"/>
        </w:rPr>
      </w:pPr>
      <w:r w:rsidRPr="008E4F36">
        <w:rPr>
          <w:rFonts w:ascii="Verdana" w:hAnsi="Verdana"/>
        </w:rPr>
        <w:t xml:space="preserve">Página web: </w:t>
      </w:r>
      <w:hyperlink r:id="rId18" w:history="1">
        <w:r w:rsidRPr="008E4F36">
          <w:rPr>
            <w:rStyle w:val="Hipervnculo"/>
            <w:rFonts w:ascii="Verdana" w:hAnsi="Verdana"/>
          </w:rPr>
          <w:t>www.colombiacompra.gov.co</w:t>
        </w:r>
      </w:hyperlink>
    </w:p>
    <w:p w14:paraId="2B3AC93A" w14:textId="77777777" w:rsidR="00B36928" w:rsidRPr="008E4F36" w:rsidRDefault="00B36928" w:rsidP="00B36928">
      <w:pPr>
        <w:spacing w:before="120" w:after="0" w:line="276" w:lineRule="auto"/>
        <w:jc w:val="both"/>
        <w:rPr>
          <w:rFonts w:ascii="Verdana" w:hAnsi="Verdana"/>
        </w:rPr>
      </w:pPr>
      <w:r w:rsidRPr="008E4F36">
        <w:rPr>
          <w:rFonts w:ascii="Verdana" w:hAnsi="Verdana"/>
        </w:rPr>
        <w:t>Por ú</w:t>
      </w:r>
      <w:r>
        <w:rPr>
          <w:rFonts w:ascii="Verdana" w:hAnsi="Verdana"/>
        </w:rPr>
        <w:t>l</w:t>
      </w:r>
      <w:r w:rsidRPr="008E4F36">
        <w:rPr>
          <w:rFonts w:ascii="Verdana" w:hAnsi="Verdana"/>
        </w:rPr>
        <w:t xml:space="preserve">timo, lo invitamos a seguirnos en las redes sociales en las cuales se difunde información institucional: </w:t>
      </w:r>
    </w:p>
    <w:p w14:paraId="09467DA1" w14:textId="77777777" w:rsidR="00B36928" w:rsidRPr="008E4F36" w:rsidRDefault="00B36928" w:rsidP="00B36928">
      <w:pPr>
        <w:spacing w:after="0" w:line="276" w:lineRule="auto"/>
        <w:jc w:val="both"/>
        <w:rPr>
          <w:rFonts w:ascii="Verdana" w:hAnsi="Verdana"/>
        </w:rPr>
      </w:pPr>
    </w:p>
    <w:p w14:paraId="704E4EDF" w14:textId="77777777" w:rsidR="00B36928" w:rsidRPr="008E4F36" w:rsidRDefault="00B36928" w:rsidP="00B36928">
      <w:pPr>
        <w:spacing w:after="0" w:line="276" w:lineRule="auto"/>
        <w:jc w:val="both"/>
        <w:rPr>
          <w:rFonts w:ascii="Verdana" w:hAnsi="Verdana"/>
        </w:rPr>
      </w:pPr>
      <w:r w:rsidRPr="008E4F36">
        <w:rPr>
          <w:rFonts w:ascii="Verdana" w:hAnsi="Verdana"/>
        </w:rPr>
        <w:t xml:space="preserve">Twitter: </w:t>
      </w:r>
      <w:r w:rsidRPr="008E4F36">
        <w:rPr>
          <w:rStyle w:val="Hipervnculo"/>
          <w:rFonts w:ascii="Verdana" w:hAnsi="Verdana"/>
        </w:rPr>
        <w:t>@colombiacompra</w:t>
      </w:r>
      <w:r w:rsidRPr="008E4F36">
        <w:rPr>
          <w:rFonts w:ascii="Verdana" w:hAnsi="Verdana"/>
        </w:rPr>
        <w:t xml:space="preserve"> </w:t>
      </w:r>
    </w:p>
    <w:p w14:paraId="0734A27F" w14:textId="77777777" w:rsidR="00B36928" w:rsidRPr="008E4F36" w:rsidRDefault="00B36928" w:rsidP="00B36928">
      <w:pPr>
        <w:spacing w:after="0" w:line="276" w:lineRule="auto"/>
        <w:jc w:val="both"/>
        <w:rPr>
          <w:rFonts w:ascii="Verdana" w:hAnsi="Verdana"/>
        </w:rPr>
      </w:pPr>
      <w:r w:rsidRPr="008E4F36">
        <w:rPr>
          <w:rFonts w:ascii="Verdana" w:hAnsi="Verdana"/>
        </w:rPr>
        <w:t xml:space="preserve">Facebook: </w:t>
      </w:r>
      <w:r w:rsidRPr="008E4F36">
        <w:rPr>
          <w:rStyle w:val="Hipervnculo"/>
          <w:rFonts w:ascii="Verdana" w:hAnsi="Verdana"/>
        </w:rPr>
        <w:t>ColombiaCompraEficiente</w:t>
      </w:r>
    </w:p>
    <w:p w14:paraId="094AA1C1" w14:textId="77777777" w:rsidR="00B36928" w:rsidRPr="008E4F36" w:rsidRDefault="00B36928" w:rsidP="00B36928">
      <w:pPr>
        <w:spacing w:after="0" w:line="276" w:lineRule="auto"/>
        <w:jc w:val="both"/>
        <w:rPr>
          <w:rFonts w:ascii="Verdana" w:hAnsi="Verdana"/>
        </w:rPr>
      </w:pPr>
      <w:r w:rsidRPr="008E4F36">
        <w:rPr>
          <w:rFonts w:ascii="Verdana" w:hAnsi="Verdana"/>
        </w:rPr>
        <w:t xml:space="preserve">LinkedIn: </w:t>
      </w:r>
      <w:r w:rsidRPr="008E4F36">
        <w:rPr>
          <w:rStyle w:val="Hipervnculo"/>
          <w:rFonts w:ascii="Verdana" w:hAnsi="Verdana"/>
        </w:rPr>
        <w:t>Agencia Nacional de Contratación Pública - Colombia Compra Eficiente</w:t>
      </w:r>
      <w:r w:rsidRPr="008E4F36">
        <w:rPr>
          <w:rFonts w:ascii="Verdana" w:hAnsi="Verdana"/>
        </w:rPr>
        <w:t xml:space="preserve"> Instagram: </w:t>
      </w:r>
      <w:r w:rsidRPr="008E4F36">
        <w:rPr>
          <w:rStyle w:val="Hipervnculo"/>
          <w:rFonts w:ascii="Verdana" w:hAnsi="Verdana"/>
        </w:rPr>
        <w:t>@colombiacompraeficiente_cce</w:t>
      </w:r>
    </w:p>
    <w:p w14:paraId="0F2C24C2" w14:textId="77777777" w:rsidR="00B36928" w:rsidRDefault="00B36928" w:rsidP="00B36928">
      <w:pPr>
        <w:spacing w:before="120" w:after="0" w:line="276" w:lineRule="auto"/>
        <w:jc w:val="both"/>
        <w:rPr>
          <w:rFonts w:ascii="Verdana" w:hAnsi="Verdana"/>
        </w:rPr>
      </w:pPr>
    </w:p>
    <w:p w14:paraId="2B8AF06F" w14:textId="77777777" w:rsidR="00B36928" w:rsidRPr="00FB6C33" w:rsidRDefault="00B36928" w:rsidP="00B36928">
      <w:pPr>
        <w:spacing w:before="120" w:after="0" w:line="276" w:lineRule="auto"/>
        <w:jc w:val="both"/>
        <w:rPr>
          <w:rFonts w:ascii="Verdana" w:hAnsi="Verdana"/>
        </w:rPr>
      </w:pPr>
      <w:r w:rsidRPr="00FB6C33">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0C369085" w14:textId="77777777" w:rsidR="00B36928" w:rsidRPr="008E4F36" w:rsidRDefault="00B36928" w:rsidP="00B36928">
      <w:pPr>
        <w:spacing w:after="0" w:line="276" w:lineRule="auto"/>
        <w:jc w:val="both"/>
        <w:rPr>
          <w:rFonts w:ascii="Verdana" w:eastAsia="Calibri" w:hAnsi="Verdana" w:cs="Times New Roman"/>
        </w:rPr>
      </w:pPr>
    </w:p>
    <w:p w14:paraId="2452E8A7" w14:textId="77777777" w:rsidR="00B36928" w:rsidRDefault="00B36928" w:rsidP="00B36928">
      <w:pPr>
        <w:spacing w:after="0" w:line="276" w:lineRule="auto"/>
        <w:jc w:val="both"/>
        <w:rPr>
          <w:rFonts w:ascii="Verdana" w:eastAsia="Calibri" w:hAnsi="Verdana" w:cs="Times New Roman"/>
        </w:rPr>
      </w:pPr>
      <w:r w:rsidRPr="008E4F36">
        <w:rPr>
          <w:rFonts w:ascii="Verdana" w:eastAsia="Calibri" w:hAnsi="Verdana" w:cs="Times New Roman"/>
        </w:rPr>
        <w:t>Atentamente,</w:t>
      </w:r>
    </w:p>
    <w:bookmarkEnd w:id="0"/>
    <w:bookmarkEnd w:id="1"/>
    <w:p w14:paraId="1BB41A33" w14:textId="5F118B17" w:rsidR="00B36928" w:rsidRPr="00F362B0" w:rsidRDefault="00287117" w:rsidP="00B36928">
      <w:pPr>
        <w:spacing w:after="0" w:line="256" w:lineRule="auto"/>
        <w:jc w:val="center"/>
        <w:rPr>
          <w:noProof/>
        </w:rPr>
      </w:pPr>
      <w:r w:rsidRPr="002C3AD6">
        <w:rPr>
          <w:rFonts w:ascii="Century Gothic" w:hAnsi="Century Gothic"/>
          <w:noProof/>
        </w:rPr>
        <w:drawing>
          <wp:inline distT="0" distB="0" distL="0" distR="0" wp14:anchorId="3F11D1DD" wp14:editId="29ACE354">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9"/>
                    <a:stretch>
                      <a:fillRect/>
                    </a:stretch>
                  </pic:blipFill>
                  <pic:spPr>
                    <a:xfrm>
                      <a:off x="0" y="0"/>
                      <a:ext cx="3772426" cy="1400370"/>
                    </a:xfrm>
                    <a:prstGeom prst="rect">
                      <a:avLst/>
                    </a:prstGeom>
                  </pic:spPr>
                </pic:pic>
              </a:graphicData>
            </a:graphic>
          </wp:inline>
        </w:drawing>
      </w:r>
    </w:p>
    <w:p w14:paraId="675DCD99" w14:textId="77777777" w:rsidR="00B36928" w:rsidRDefault="00B36928" w:rsidP="00B36928">
      <w:pPr>
        <w:spacing w:after="0"/>
        <w:rPr>
          <w:rFonts w:ascii="Verdana" w:hAnsi="Verdana"/>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36928" w:rsidRPr="002423D6" w14:paraId="56F5023A" w14:textId="77777777" w:rsidTr="00DF520A">
        <w:trPr>
          <w:trHeight w:val="315"/>
        </w:trPr>
        <w:tc>
          <w:tcPr>
            <w:tcW w:w="893" w:type="dxa"/>
            <w:vAlign w:val="center"/>
            <w:hideMark/>
          </w:tcPr>
          <w:p w14:paraId="14A553D5" w14:textId="77777777" w:rsidR="00B36928" w:rsidRPr="002423D6" w:rsidRDefault="00B36928" w:rsidP="00DF520A">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258DBF6A" w14:textId="77777777" w:rsidR="00B36928" w:rsidRPr="002423D6" w:rsidRDefault="00B36928" w:rsidP="00DF520A">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Richard Andrés Montenegro Siefken</w:t>
            </w:r>
          </w:p>
          <w:p w14:paraId="49F4FF5A" w14:textId="77777777" w:rsidR="00B36928" w:rsidRPr="002423D6" w:rsidRDefault="00B36928" w:rsidP="00DF520A">
            <w:pPr>
              <w:contextualSpacing/>
              <w:rPr>
                <w:rFonts w:ascii="Verdana" w:eastAsia="Arial" w:hAnsi="Verdana" w:cs="Arial"/>
                <w:color w:val="000000" w:themeColor="text1"/>
                <w:sz w:val="16"/>
                <w:szCs w:val="16"/>
              </w:rPr>
            </w:pPr>
            <w:r>
              <w:rPr>
                <w:rStyle w:val="normaltextrun"/>
                <w:rFonts w:ascii="Verdana" w:eastAsia="Arial" w:hAnsi="Verdana" w:cs="Arial"/>
                <w:color w:val="000000" w:themeColor="text1"/>
                <w:sz w:val="16"/>
                <w:szCs w:val="16"/>
              </w:rPr>
              <w:t xml:space="preserve">Contratista </w:t>
            </w:r>
            <w:r w:rsidRPr="002423D6">
              <w:rPr>
                <w:rStyle w:val="normaltextrun"/>
                <w:rFonts w:ascii="Verdana" w:eastAsia="Arial" w:hAnsi="Verdana" w:cs="Arial"/>
                <w:color w:val="000000" w:themeColor="text1"/>
                <w:sz w:val="16"/>
                <w:szCs w:val="16"/>
              </w:rPr>
              <w:t>de la Subdirección de Gestión Contractual</w:t>
            </w:r>
          </w:p>
        </w:tc>
      </w:tr>
      <w:tr w:rsidR="00B36928" w:rsidRPr="002423D6" w14:paraId="7D3BBD58" w14:textId="77777777" w:rsidTr="00DF520A">
        <w:trPr>
          <w:trHeight w:val="330"/>
        </w:trPr>
        <w:tc>
          <w:tcPr>
            <w:tcW w:w="893" w:type="dxa"/>
            <w:vAlign w:val="center"/>
            <w:hideMark/>
          </w:tcPr>
          <w:p w14:paraId="10633F71" w14:textId="77777777" w:rsidR="00B36928" w:rsidRPr="002423D6" w:rsidRDefault="00B36928" w:rsidP="00DF520A">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4A8599C2" w14:textId="77777777" w:rsidR="00B36928" w:rsidRPr="002423D6" w:rsidRDefault="00B36928" w:rsidP="00DF520A">
            <w:pPr>
              <w:pStyle w:val="paragraph"/>
              <w:spacing w:before="0" w:beforeAutospacing="0" w:after="0" w:afterAutospacing="0"/>
              <w:contextualSpacing/>
              <w:textAlignment w:val="baseline"/>
              <w:rPr>
                <w:rFonts w:ascii="Verdana" w:hAnsi="Verdana" w:cs="Segoe UI"/>
                <w:color w:val="000000" w:themeColor="text1"/>
                <w:sz w:val="16"/>
                <w:szCs w:val="16"/>
              </w:rPr>
            </w:pPr>
            <w:r>
              <w:rPr>
                <w:rFonts w:ascii="Verdana" w:hAnsi="Verdana" w:cs="Segoe UI"/>
                <w:color w:val="000000" w:themeColor="text1"/>
                <w:sz w:val="16"/>
                <w:szCs w:val="16"/>
              </w:rPr>
              <w:t xml:space="preserve">Adriana Katherine López Rodríguez </w:t>
            </w:r>
          </w:p>
          <w:p w14:paraId="02687ACD" w14:textId="77777777" w:rsidR="00B36928" w:rsidRPr="002423D6" w:rsidRDefault="00B36928" w:rsidP="00DF520A">
            <w:pPr>
              <w:pStyle w:val="paragraph"/>
              <w:spacing w:before="0" w:beforeAutospacing="0" w:after="0" w:afterAutospacing="0"/>
              <w:contextualSpacing/>
              <w:textAlignment w:val="baseline"/>
              <w:rPr>
                <w:rFonts w:ascii="Verdana" w:hAnsi="Verdana" w:cs="Segoe UI"/>
                <w:color w:val="000000" w:themeColor="text1"/>
                <w:sz w:val="16"/>
                <w:szCs w:val="16"/>
              </w:rPr>
            </w:pPr>
            <w:r w:rsidRPr="002423D6">
              <w:rPr>
                <w:rStyle w:val="normaltextrun"/>
                <w:rFonts w:ascii="Verdana" w:hAnsi="Verdana" w:cs="Arial"/>
                <w:color w:val="000000" w:themeColor="text1"/>
                <w:sz w:val="16"/>
                <w:szCs w:val="16"/>
                <w:lang w:val="es-ES"/>
              </w:rPr>
              <w:t>Contratista de la Subdirección de Gestión Contractual</w:t>
            </w:r>
            <w:r w:rsidRPr="002423D6">
              <w:rPr>
                <w:rStyle w:val="eop"/>
                <w:rFonts w:ascii="Verdana" w:hAnsi="Verdana" w:cs="Arial"/>
                <w:color w:val="000000" w:themeColor="text1"/>
                <w:sz w:val="16"/>
                <w:szCs w:val="16"/>
              </w:rPr>
              <w:t> </w:t>
            </w:r>
          </w:p>
        </w:tc>
      </w:tr>
      <w:tr w:rsidR="00B36928" w:rsidRPr="002423D6" w14:paraId="5F1AB253" w14:textId="77777777" w:rsidTr="00DF520A">
        <w:trPr>
          <w:trHeight w:val="300"/>
        </w:trPr>
        <w:tc>
          <w:tcPr>
            <w:tcW w:w="893" w:type="dxa"/>
            <w:vAlign w:val="center"/>
          </w:tcPr>
          <w:p w14:paraId="77DBE5FC" w14:textId="77777777" w:rsidR="00B36928" w:rsidRPr="002423D6" w:rsidRDefault="00B36928" w:rsidP="00DF520A">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A12DF9E" w14:textId="77777777" w:rsidR="00B36928" w:rsidRPr="002423D6" w:rsidRDefault="00B36928" w:rsidP="00DF520A">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val="pt-BR" w:eastAsia="es-ES"/>
              </w:rPr>
              <w:t>Carolina Quintero Gacharná</w:t>
            </w:r>
          </w:p>
          <w:p w14:paraId="51199FF7" w14:textId="77777777" w:rsidR="00B36928" w:rsidRPr="002423D6" w:rsidRDefault="00B36928" w:rsidP="00DF520A">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eastAsia="es-ES"/>
              </w:rPr>
              <w:t>Subdirectora</w:t>
            </w:r>
            <w:r w:rsidRPr="002423D6">
              <w:rPr>
                <w:rFonts w:ascii="Verdana" w:eastAsia="Calibri" w:hAnsi="Verdana" w:cs="Arial"/>
                <w:color w:val="000000" w:themeColor="text1"/>
                <w:sz w:val="16"/>
                <w:szCs w:val="16"/>
                <w:lang w:val="pt-BR" w:eastAsia="es-ES"/>
              </w:rPr>
              <w:t xml:space="preserve"> de Gestión Contractual ANCP – CCE</w:t>
            </w:r>
          </w:p>
        </w:tc>
      </w:tr>
    </w:tbl>
    <w:p w14:paraId="1E381410" w14:textId="77777777" w:rsidR="00B36928" w:rsidRDefault="00B36928" w:rsidP="00B36928"/>
    <w:p w14:paraId="68667197" w14:textId="36A44AA6" w:rsidR="00B36928" w:rsidRPr="00823C60" w:rsidRDefault="00B36928" w:rsidP="00B36928"/>
    <w:p w14:paraId="3D20AE82" w14:textId="77777777" w:rsidR="00B36928" w:rsidRDefault="00B36928" w:rsidP="00B36928"/>
    <w:p w14:paraId="0F293BF4" w14:textId="2A60E0C5" w:rsidR="00127233" w:rsidRPr="00E6489D" w:rsidRDefault="00127233" w:rsidP="00E6489D"/>
    <w:sectPr w:rsidR="00127233" w:rsidRPr="00E6489D"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51911" w14:textId="77777777" w:rsidR="0003673A" w:rsidRDefault="0003673A" w:rsidP="004A1847">
      <w:pPr>
        <w:spacing w:after="0" w:line="240" w:lineRule="auto"/>
      </w:pPr>
      <w:r>
        <w:separator/>
      </w:r>
    </w:p>
  </w:endnote>
  <w:endnote w:type="continuationSeparator" w:id="0">
    <w:p w14:paraId="7CF17776" w14:textId="77777777" w:rsidR="0003673A" w:rsidRDefault="0003673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E6489D"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PT" w:eastAsia="es-CO"/>
      </w:rPr>
    </w:pPr>
    <w:r w:rsidRPr="00E6489D">
      <w:rPr>
        <w:rFonts w:ascii="Verdana" w:eastAsia="Verdana" w:hAnsi="Verdana" w:cs="Verdana"/>
        <w:b/>
        <w:bCs/>
        <w:color w:val="000000" w:themeColor="text1"/>
        <w:sz w:val="18"/>
        <w:szCs w:val="18"/>
        <w:lang w:val="pt-PT" w:eastAsia="es-CO"/>
      </w:rPr>
      <w:t xml:space="preserve">Código: </w:t>
    </w:r>
    <w:r w:rsidRPr="00E6489D">
      <w:rPr>
        <w:rFonts w:ascii="Verdana" w:eastAsia="Verdana" w:hAnsi="Verdana" w:cs="Verdana"/>
        <w:color w:val="000000" w:themeColor="text1"/>
        <w:sz w:val="18"/>
        <w:szCs w:val="18"/>
        <w:lang w:val="pt-PT" w:eastAsia="es-CO"/>
      </w:rPr>
      <w:t xml:space="preserve">CCE-REC-FM-17 </w:t>
    </w:r>
    <w:r w:rsidRPr="00E6489D">
      <w:rPr>
        <w:rFonts w:ascii="Verdana" w:eastAsia="Verdana" w:hAnsi="Verdana" w:cs="Verdana"/>
        <w:b/>
        <w:bCs/>
        <w:color w:val="000000" w:themeColor="text1"/>
        <w:sz w:val="18"/>
        <w:szCs w:val="18"/>
        <w:lang w:val="pt-PT" w:eastAsia="es-CO"/>
      </w:rPr>
      <w:t xml:space="preserve">V: </w:t>
    </w:r>
    <w:r w:rsidRPr="00E6489D">
      <w:rPr>
        <w:rFonts w:ascii="Verdana" w:eastAsia="Verdana" w:hAnsi="Verdana" w:cs="Verdana"/>
        <w:sz w:val="18"/>
        <w:szCs w:val="18"/>
        <w:lang w:val="pt-PT"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734F7" w14:textId="77777777" w:rsidR="0003673A" w:rsidRDefault="0003673A" w:rsidP="004A1847">
      <w:pPr>
        <w:spacing w:after="0" w:line="240" w:lineRule="auto"/>
      </w:pPr>
      <w:r>
        <w:separator/>
      </w:r>
    </w:p>
  </w:footnote>
  <w:footnote w:type="continuationSeparator" w:id="0">
    <w:p w14:paraId="77A0BE32" w14:textId="77777777" w:rsidR="0003673A" w:rsidRDefault="0003673A" w:rsidP="004A1847">
      <w:pPr>
        <w:spacing w:after="0" w:line="240" w:lineRule="auto"/>
      </w:pPr>
      <w:r>
        <w:continuationSeparator/>
      </w:r>
    </w:p>
  </w:footnote>
  <w:footnote w:id="1">
    <w:p w14:paraId="072F7E29" w14:textId="77777777" w:rsidR="00B36928" w:rsidRPr="00064773" w:rsidRDefault="00B36928" w:rsidP="00B36928">
      <w:pPr>
        <w:pStyle w:val="Textonotapie"/>
        <w:ind w:firstLine="709"/>
        <w:jc w:val="both"/>
        <w:rPr>
          <w:rFonts w:ascii="Verdana" w:hAnsi="Verdana" w:cs="Arial"/>
          <w:sz w:val="16"/>
          <w:szCs w:val="16"/>
        </w:rPr>
      </w:pPr>
      <w:r w:rsidRPr="00064773">
        <w:rPr>
          <w:rStyle w:val="Refdenotaalpie"/>
          <w:rFonts w:ascii="Verdana" w:hAnsi="Verdana" w:cs="Arial"/>
          <w:sz w:val="16"/>
          <w:szCs w:val="16"/>
        </w:rPr>
        <w:footnoteRef/>
      </w:r>
      <w:r w:rsidRPr="00064773">
        <w:rPr>
          <w:rFonts w:ascii="Verdana" w:hAnsi="Verdana" w:cs="Arial"/>
          <w:sz w:val="16"/>
          <w:szCs w:val="16"/>
        </w:rPr>
        <w:t xml:space="preserve"> Así lo señaló el Consejo de Estado en la sentencia de unificación en mención, al indicar que “cualquier contrato de prestación de servicios tiene por objeto genérico “desarrollar actividades relacionadas con la administración o funcionamiento de la entidad”.</w:t>
      </w:r>
    </w:p>
    <w:p w14:paraId="4407AE54" w14:textId="77777777" w:rsidR="00B36928" w:rsidRPr="00064773" w:rsidRDefault="00B36928" w:rsidP="00B36928">
      <w:pPr>
        <w:pStyle w:val="Textonotapie"/>
        <w:ind w:firstLine="709"/>
        <w:jc w:val="both"/>
        <w:rPr>
          <w:rFonts w:ascii="Verdana" w:hAnsi="Verdana" w:cs="Arial"/>
          <w:sz w:val="16"/>
          <w:szCs w:val="16"/>
          <w:lang w:val="es-ES_tradnl"/>
        </w:rPr>
      </w:pPr>
    </w:p>
  </w:footnote>
  <w:footnote w:id="2">
    <w:p w14:paraId="75B7B8A2"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Style w:val="Refdenotaalpie"/>
          <w:rFonts w:ascii="Verdana" w:hAnsi="Verdana"/>
          <w:sz w:val="16"/>
          <w:szCs w:val="16"/>
        </w:rPr>
        <w:footnoteRef/>
      </w:r>
      <w:r w:rsidRPr="00064773">
        <w:rPr>
          <w:rFonts w:ascii="Verdana" w:hAnsi="Verdana"/>
          <w:sz w:val="16"/>
          <w:szCs w:val="16"/>
        </w:rPr>
        <w:t xml:space="preserve"> </w:t>
      </w:r>
      <w:r w:rsidRPr="00064773">
        <w:rPr>
          <w:rFonts w:ascii="Verdana" w:hAnsi="Verdana" w:cs="Arial"/>
          <w:color w:val="000000"/>
          <w:sz w:val="16"/>
          <w:szCs w:val="16"/>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Quien presta el servicio se denomina trabajador, quien lo recibe y remunera, empleador, y la remuneración, cualquiera que sea su forma, salario”.</w:t>
      </w:r>
    </w:p>
    <w:p w14:paraId="2433232D" w14:textId="77777777" w:rsidR="00B36928" w:rsidRPr="00064773" w:rsidRDefault="00B36928" w:rsidP="00B36928">
      <w:pPr>
        <w:pStyle w:val="Textonotapie"/>
        <w:ind w:firstLine="709"/>
        <w:jc w:val="both"/>
        <w:rPr>
          <w:rFonts w:ascii="Verdana" w:hAnsi="Verdana" w:cs="Arial"/>
          <w:color w:val="000000"/>
          <w:sz w:val="16"/>
          <w:szCs w:val="16"/>
          <w:lang w:val="es-ES"/>
        </w:rPr>
      </w:pPr>
    </w:p>
  </w:footnote>
  <w:footnote w:id="3">
    <w:p w14:paraId="58D946CB"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Style w:val="Refdenotaalpie"/>
          <w:rFonts w:ascii="Verdana" w:hAnsi="Verdana"/>
          <w:sz w:val="16"/>
          <w:szCs w:val="16"/>
        </w:rPr>
        <w:footnoteRef/>
      </w:r>
      <w:r w:rsidRPr="00064773">
        <w:rPr>
          <w:rFonts w:ascii="Verdana" w:hAnsi="Verdana"/>
          <w:sz w:val="16"/>
          <w:szCs w:val="16"/>
        </w:rPr>
        <w:t xml:space="preserve"> </w:t>
      </w:r>
      <w:r w:rsidRPr="00064773">
        <w:rPr>
          <w:rFonts w:ascii="Verdana" w:hAnsi="Verdana" w:cs="Arial"/>
          <w:color w:val="000000"/>
          <w:sz w:val="16"/>
          <w:szCs w:val="16"/>
          <w:lang w:val="es-ES"/>
        </w:rPr>
        <w:t>En efecto, el artículo 244 de la Ley 1955 de 2015 dispone, en lo pertinente: “Los trabajadores independientes con ingresos netos iguales o superiores a 1 salario mínimo legal mensual vigente que celebren contratos de prestación de servicios personales, cotizarán mes vencido al Sistema de Seguridad Social Integral, sobre una base mínima del 40% del valor mensualizado del contrato, sin incluir el valor del Impuesto al Valor Agregado (IVA).</w:t>
      </w:r>
    </w:p>
    <w:p w14:paraId="227DC499"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Fonts w:ascii="Verdana" w:hAnsi="Verdana" w:cs="Arial"/>
          <w:color w:val="000000"/>
          <w:sz w:val="16"/>
          <w:szCs w:val="16"/>
          <w:lang w:val="es-ES"/>
        </w:rPr>
        <w:t>Los independientes por cuenta propia y los trabajadores independientes con contratos diferentes a prestación de servicios personales con ingresos netos iguales o superiores a un (1) salario mínimo legal mensual vigente efectuarán su cotización mes vencido, sobre una base mínima de cotización del 40% del valor mensualizado de los ingresos, sin incluir el valor del Impuesto al Valor Agregado (IVA). En estos casos será procedente la imputación de costos y deducciones siempre que se cumplan los criterios determinados en el artículo 107 del Estatuto Tributario y sin exceder los valores incluidos en la declaración de renta de la respectiva vigencia.</w:t>
      </w:r>
    </w:p>
    <w:p w14:paraId="4DEBD5CE"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Fonts w:ascii="Verdana" w:hAnsi="Verdana" w:cs="Arial"/>
          <w:color w:val="000000"/>
          <w:sz w:val="16"/>
          <w:szCs w:val="16"/>
          <w:lang w:val="es-ES"/>
        </w:rPr>
        <w:t>El Gobierno nacional reglamentará el mecanismo para realizar la mensualización de que trata el presente artículo.</w:t>
      </w:r>
    </w:p>
    <w:p w14:paraId="6B7630D3" w14:textId="77777777" w:rsidR="00B36928" w:rsidRPr="006B2A91" w:rsidRDefault="00B36928" w:rsidP="00B36928">
      <w:pPr>
        <w:pStyle w:val="Textonotapie"/>
        <w:ind w:firstLine="709"/>
        <w:jc w:val="both"/>
        <w:rPr>
          <w:rFonts w:ascii="Verdana" w:hAnsi="Verdana" w:cs="Arial"/>
          <w:color w:val="000000"/>
          <w:sz w:val="16"/>
          <w:szCs w:val="16"/>
          <w:lang w:val="pt-PT"/>
        </w:rPr>
      </w:pPr>
      <w:r w:rsidRPr="006B2A91">
        <w:rPr>
          <w:rFonts w:ascii="Verdana" w:hAnsi="Verdana" w:cs="Arial"/>
          <w:color w:val="000000"/>
          <w:sz w:val="16"/>
          <w:szCs w:val="16"/>
          <w:lang w:val="pt-PT"/>
        </w:rPr>
        <w:t>[…]”.</w:t>
      </w:r>
    </w:p>
    <w:p w14:paraId="303C0B8F" w14:textId="77777777" w:rsidR="00B36928" w:rsidRPr="006B2A91" w:rsidRDefault="00B36928" w:rsidP="00B36928">
      <w:pPr>
        <w:pStyle w:val="Textonotapie"/>
        <w:ind w:firstLine="709"/>
        <w:jc w:val="both"/>
        <w:rPr>
          <w:rFonts w:ascii="Verdana" w:hAnsi="Verdana" w:cs="Arial"/>
          <w:color w:val="000000"/>
          <w:sz w:val="16"/>
          <w:szCs w:val="16"/>
          <w:lang w:val="pt-PT"/>
        </w:rPr>
      </w:pPr>
    </w:p>
  </w:footnote>
  <w:footnote w:id="4">
    <w:p w14:paraId="0A943F00" w14:textId="77777777" w:rsidR="00B36928" w:rsidRPr="00064773" w:rsidRDefault="00B36928" w:rsidP="00B36928">
      <w:pPr>
        <w:pStyle w:val="Textonotapie"/>
        <w:ind w:firstLine="708"/>
        <w:rPr>
          <w:rFonts w:ascii="Verdana" w:hAnsi="Verdana" w:cs="Arial"/>
          <w:color w:val="000000"/>
          <w:sz w:val="16"/>
          <w:szCs w:val="16"/>
          <w:lang w:val="pt-BR"/>
        </w:rPr>
      </w:pPr>
      <w:r w:rsidRPr="00064773">
        <w:rPr>
          <w:rStyle w:val="Refdenotaalpie"/>
          <w:rFonts w:ascii="Verdana" w:hAnsi="Verdana"/>
          <w:sz w:val="16"/>
          <w:szCs w:val="16"/>
        </w:rPr>
        <w:footnoteRef/>
      </w:r>
      <w:r w:rsidRPr="00064773">
        <w:rPr>
          <w:rFonts w:ascii="Verdana" w:hAnsi="Verdana"/>
          <w:sz w:val="16"/>
          <w:szCs w:val="16"/>
          <w:lang w:val="pt-BR"/>
        </w:rPr>
        <w:t xml:space="preserve"> </w:t>
      </w:r>
      <w:r w:rsidRPr="00064773">
        <w:rPr>
          <w:rFonts w:ascii="Verdana" w:hAnsi="Verdana" w:cs="Arial"/>
          <w:color w:val="000000"/>
          <w:sz w:val="16"/>
          <w:szCs w:val="16"/>
          <w:lang w:val="pt-BR"/>
        </w:rPr>
        <w:t>Corte Constitucional. Sentencia C-154 de 1997. M.P. Hernando Herrera Vergara.</w:t>
      </w:r>
    </w:p>
    <w:p w14:paraId="74419280" w14:textId="77777777" w:rsidR="00B36928" w:rsidRPr="00064773" w:rsidRDefault="00B36928" w:rsidP="00B36928">
      <w:pPr>
        <w:pStyle w:val="Textonotapie"/>
        <w:ind w:firstLine="708"/>
        <w:rPr>
          <w:rFonts w:ascii="Verdana" w:hAnsi="Verdana"/>
          <w:sz w:val="16"/>
          <w:szCs w:val="16"/>
          <w:lang w:val="pt-BR"/>
        </w:rPr>
      </w:pPr>
    </w:p>
  </w:footnote>
  <w:footnote w:id="5">
    <w:p w14:paraId="129E3ED9" w14:textId="77777777" w:rsidR="00B36928" w:rsidRPr="00064773" w:rsidRDefault="00B36928" w:rsidP="00B36928">
      <w:pPr>
        <w:spacing w:after="0" w:line="240" w:lineRule="auto"/>
        <w:ind w:firstLine="708"/>
        <w:jc w:val="both"/>
        <w:rPr>
          <w:rFonts w:ascii="Verdana" w:eastAsia="Arial Nova" w:hAnsi="Verdana" w:cs="Arial"/>
          <w:sz w:val="16"/>
          <w:szCs w:val="16"/>
          <w:lang w:val="pt-BR"/>
        </w:rPr>
      </w:pPr>
      <w:r w:rsidRPr="00064773">
        <w:rPr>
          <w:rStyle w:val="Refdenotaalpie"/>
          <w:rFonts w:ascii="Verdana" w:hAnsi="Verdana" w:cs="Arial"/>
          <w:sz w:val="16"/>
          <w:szCs w:val="16"/>
        </w:rPr>
        <w:footnoteRef/>
      </w:r>
      <w:r w:rsidRPr="00064773">
        <w:rPr>
          <w:rFonts w:ascii="Verdana" w:hAnsi="Verdana" w:cs="Arial"/>
          <w:sz w:val="16"/>
          <w:szCs w:val="16"/>
          <w:lang w:val="pt-BR"/>
        </w:rPr>
        <w:t xml:space="preserve"> </w:t>
      </w:r>
      <w:r w:rsidRPr="00064773">
        <w:rPr>
          <w:rFonts w:ascii="Verdana" w:eastAsia="Arial Nova" w:hAnsi="Verdana" w:cs="Arial"/>
          <w:sz w:val="16"/>
          <w:szCs w:val="16"/>
          <w:lang w:val="pt-BR"/>
        </w:rPr>
        <w:t>Corte Constitucional. Sentencia C-614 de 2009. M.P. Jorge Ignacio Pretelt Chaljub.</w:t>
      </w:r>
    </w:p>
    <w:p w14:paraId="5BDDD888" w14:textId="77777777" w:rsidR="00B36928" w:rsidRPr="00064773" w:rsidDel="00A37FEF" w:rsidRDefault="00B36928" w:rsidP="00B36928">
      <w:pPr>
        <w:spacing w:after="0" w:line="240" w:lineRule="auto"/>
        <w:ind w:firstLine="708"/>
        <w:jc w:val="both"/>
        <w:rPr>
          <w:rFonts w:ascii="Verdana" w:eastAsia="Arial Nova" w:hAnsi="Verdana" w:cs="Arial"/>
          <w:sz w:val="16"/>
          <w:szCs w:val="16"/>
          <w:lang w:val="pt-BR"/>
        </w:rPr>
      </w:pPr>
    </w:p>
  </w:footnote>
  <w:footnote w:id="6">
    <w:p w14:paraId="68C8C11B" w14:textId="77777777" w:rsidR="00B36928" w:rsidRPr="00064773" w:rsidRDefault="00B36928" w:rsidP="00B36928">
      <w:pPr>
        <w:pStyle w:val="Textonotapie"/>
        <w:ind w:firstLine="709"/>
        <w:jc w:val="both"/>
        <w:rPr>
          <w:rFonts w:ascii="Verdana" w:hAnsi="Verdana" w:cs="Arial"/>
          <w:color w:val="000000" w:themeColor="text1"/>
          <w:sz w:val="16"/>
          <w:szCs w:val="16"/>
          <w:lang w:val="es-CO"/>
        </w:rPr>
      </w:pPr>
      <w:r w:rsidRPr="00064773">
        <w:rPr>
          <w:rStyle w:val="Refdenotaalpie"/>
          <w:rFonts w:ascii="Verdana" w:hAnsi="Verdana"/>
          <w:sz w:val="16"/>
          <w:szCs w:val="16"/>
        </w:rPr>
        <w:footnoteRef/>
      </w:r>
      <w:r w:rsidRPr="00064773">
        <w:rPr>
          <w:rFonts w:ascii="Verdana" w:hAnsi="Verdana"/>
          <w:sz w:val="16"/>
          <w:szCs w:val="16"/>
        </w:rPr>
        <w:t xml:space="preserve"> </w:t>
      </w:r>
      <w:r w:rsidRPr="00064773">
        <w:rPr>
          <w:rFonts w:ascii="Verdana" w:hAnsi="Verdana" w:cs="Arial"/>
          <w:color w:val="000000" w:themeColor="text1"/>
          <w:sz w:val="16"/>
          <w:szCs w:val="16"/>
          <w:lang w:val="es-ES"/>
        </w:rPr>
        <w:t xml:space="preserve">Consejo de Estado. Sección Segunda. Sentencia de Unificación Jurisprudencial </w:t>
      </w:r>
      <w:r w:rsidRPr="00064773">
        <w:rPr>
          <w:rFonts w:ascii="Verdana" w:hAnsi="Verdana" w:cs="Arial"/>
          <w:color w:val="000000" w:themeColor="text1"/>
          <w:sz w:val="16"/>
          <w:szCs w:val="16"/>
          <w:lang w:val="es-CO"/>
        </w:rPr>
        <w:t>SUJ-025-CE-S2-2021.</w:t>
      </w:r>
      <w:r w:rsidRPr="00064773">
        <w:rPr>
          <w:rFonts w:ascii="Verdana" w:hAnsi="Verdana" w:cs="Arial"/>
          <w:color w:val="000000" w:themeColor="text1"/>
          <w:sz w:val="16"/>
          <w:szCs w:val="16"/>
          <w:lang w:val="es-ES"/>
        </w:rPr>
        <w:t xml:space="preserve"> Radicado (1317-2016). El numeral primero de la parte resolutiva de la sentencia señala lo siguiente:</w:t>
      </w:r>
      <w:r w:rsidRPr="00064773">
        <w:rPr>
          <w:rFonts w:ascii="Verdana" w:eastAsia="Times New Roman" w:hAnsi="Verdana" w:cs="Times New Roman"/>
          <w:sz w:val="16"/>
          <w:szCs w:val="16"/>
          <w:lang w:val="es-CO" w:eastAsia="es-ES_tradnl"/>
        </w:rPr>
        <w:t xml:space="preserve"> </w:t>
      </w:r>
      <w:r w:rsidRPr="00064773">
        <w:rPr>
          <w:rFonts w:ascii="Verdana" w:hAnsi="Verdana" w:cs="Arial"/>
          <w:noProof/>
          <w:sz w:val="16"/>
          <w:szCs w:val="16"/>
          <w:lang w:val="es-ES_tradnl"/>
        </w:rPr>
        <w:t>“</w:t>
      </w:r>
      <w:r w:rsidRPr="00064773">
        <w:rPr>
          <w:rFonts w:ascii="Verdana" w:hAnsi="Verdana" w:cs="Arial"/>
          <w:color w:val="000000" w:themeColor="text1"/>
          <w:sz w:val="16"/>
          <w:szCs w:val="16"/>
          <w:lang w:val="es-CO"/>
        </w:rPr>
        <w:t xml:space="preserve">Unificar la jurisprudencia de la Sección Segunda del Consejo de Estado, en el sentido de precisar las siguientes reglas en las relaciones laborales encubiertas o subyacentes: </w:t>
      </w:r>
    </w:p>
    <w:p w14:paraId="78A511A1" w14:textId="77777777" w:rsidR="00B36928" w:rsidRPr="00064773" w:rsidRDefault="00B36928" w:rsidP="00B36928">
      <w:pPr>
        <w:pStyle w:val="Textonotapie"/>
        <w:ind w:firstLine="709"/>
        <w:jc w:val="both"/>
        <w:rPr>
          <w:rFonts w:ascii="Verdana" w:hAnsi="Verdana" w:cs="Arial"/>
          <w:color w:val="000000" w:themeColor="text1"/>
          <w:sz w:val="16"/>
          <w:szCs w:val="16"/>
          <w:lang w:val="es-CO"/>
        </w:rPr>
      </w:pPr>
      <w:r w:rsidRPr="00064773">
        <w:rPr>
          <w:rFonts w:ascii="Verdana" w:hAnsi="Verdana" w:cs="Arial"/>
          <w:color w:val="000000" w:themeColor="text1"/>
          <w:sz w:val="16"/>
          <w:szCs w:val="16"/>
          <w:lang w:val="es-CO"/>
        </w:rPr>
        <w:t xml:space="preserve">(i) La primera regla define que el concepto de “término estrictamente indispensable”, al que alude el numeral 3.º del artículo 32 de la Ley 80 de 1993, es el señalado en los estudios previos y en el objeto del contrato, el cual, de acuerdo con el principio de planeación, tiene que estar justificado en la necesidad de la prestación del servicio a favor de la Administración, de forma esencialmente temporal y, de ninguna manera, con ánimo de permanencia. </w:t>
      </w:r>
    </w:p>
    <w:p w14:paraId="6FA2521C" w14:textId="77777777" w:rsidR="00B36928" w:rsidRPr="00064773" w:rsidRDefault="00B36928" w:rsidP="00B36928">
      <w:pPr>
        <w:pStyle w:val="Textonotapie"/>
        <w:ind w:firstLine="709"/>
        <w:jc w:val="both"/>
        <w:rPr>
          <w:rFonts w:ascii="Verdana" w:hAnsi="Verdana" w:cs="Arial"/>
          <w:color w:val="000000" w:themeColor="text1"/>
          <w:sz w:val="16"/>
          <w:szCs w:val="16"/>
          <w:lang w:val="es-CO"/>
        </w:rPr>
      </w:pPr>
      <w:r w:rsidRPr="00064773">
        <w:rPr>
          <w:rFonts w:ascii="Verdana" w:hAnsi="Verdana" w:cs="Arial"/>
          <w:color w:val="000000" w:themeColor="text1"/>
          <w:sz w:val="16"/>
          <w:szCs w:val="16"/>
          <w:lang w:val="es-CO"/>
        </w:rPr>
        <w:t xml:space="preserve">(ii) La segunda regla establece un periodo de treinta (30) días hábiles, entre la finalización de un contrato y la ejecución del siguiente, como término de la no solución de continuidad, el cual, en los casos que se exceda, podrá flexibilizarse en atención a las especiales circunstancias que el juez encuentre probadas dentro del expediente. </w:t>
      </w:r>
    </w:p>
    <w:p w14:paraId="4134E97E" w14:textId="77777777" w:rsidR="00B36928" w:rsidRPr="006B2A91" w:rsidRDefault="00B36928" w:rsidP="00B36928">
      <w:pPr>
        <w:pStyle w:val="Textonotapie"/>
        <w:ind w:firstLine="709"/>
        <w:jc w:val="both"/>
        <w:rPr>
          <w:rFonts w:ascii="Verdana" w:hAnsi="Verdana" w:cs="Arial"/>
          <w:sz w:val="16"/>
          <w:szCs w:val="16"/>
          <w:lang w:val="es-CO"/>
        </w:rPr>
      </w:pPr>
      <w:r w:rsidRPr="00064773">
        <w:rPr>
          <w:rFonts w:ascii="Verdana" w:hAnsi="Verdana" w:cs="Arial"/>
          <w:color w:val="000000" w:themeColor="text1"/>
          <w:sz w:val="16"/>
          <w:szCs w:val="16"/>
          <w:lang w:val="es-CO"/>
        </w:rPr>
        <w:t>(iii) La tercera regla determina que frente a la no afiliación al sistema de la Seguridad Social en salud, por parte de la Administración, es improcedente la devolución de los valores que el contratista hubiese asumido de más, en tanto se recaudaron como recursos de naturaleza parafiscal</w:t>
      </w:r>
      <w:r w:rsidRPr="006B2A91">
        <w:rPr>
          <w:rFonts w:ascii="Verdana" w:hAnsi="Verdana" w:cs="Arial"/>
          <w:sz w:val="16"/>
          <w:szCs w:val="16"/>
          <w:lang w:val="es-CO"/>
        </w:rPr>
        <w:t>”.</w:t>
      </w:r>
    </w:p>
    <w:p w14:paraId="25EE6137" w14:textId="77777777" w:rsidR="00B36928" w:rsidRPr="00064773" w:rsidRDefault="00B36928" w:rsidP="00B36928">
      <w:pPr>
        <w:pStyle w:val="Textonotapie"/>
        <w:ind w:firstLine="709"/>
        <w:jc w:val="both"/>
        <w:rPr>
          <w:rFonts w:ascii="Verdana" w:hAnsi="Verdana"/>
          <w:sz w:val="16"/>
          <w:szCs w:val="16"/>
          <w:lang w:val="es-CO"/>
        </w:rPr>
      </w:pPr>
    </w:p>
  </w:footnote>
  <w:footnote w:id="7">
    <w:p w14:paraId="451437AC" w14:textId="77777777" w:rsidR="00B36928" w:rsidRPr="00064773" w:rsidRDefault="00B36928" w:rsidP="00B36928">
      <w:pPr>
        <w:pStyle w:val="Textonotapie"/>
        <w:ind w:firstLine="709"/>
        <w:jc w:val="both"/>
        <w:rPr>
          <w:rFonts w:ascii="Verdana" w:hAnsi="Verdana" w:cs="Arial"/>
          <w:sz w:val="16"/>
          <w:szCs w:val="16"/>
        </w:rPr>
      </w:pPr>
      <w:r w:rsidRPr="00064773">
        <w:rPr>
          <w:rStyle w:val="Refdenotaalpie"/>
          <w:rFonts w:ascii="Verdana" w:hAnsi="Verdana" w:cs="Arial"/>
          <w:sz w:val="16"/>
          <w:szCs w:val="16"/>
        </w:rPr>
        <w:footnoteRef/>
      </w:r>
      <w:r w:rsidRPr="00064773">
        <w:rPr>
          <w:rFonts w:ascii="Verdana" w:hAnsi="Verdana" w:cs="Arial"/>
          <w:sz w:val="16"/>
          <w:szCs w:val="16"/>
        </w:rPr>
        <w:t xml:space="preserve"> Particularmente, sobre la regla de unificación número 2, el Consejo de Estado explica que “[…] si no están dados los presupuestos establecidos en el artículo 23 del Código Sustantivo del Trabajo, no puede hablarse de una relación laboral encubierta. Por lo tanto, el término de treinta (30) días hábiles, a que alude la segunda regla de unificación, tal como se dijo en la sentencia del 9 de septiembre de 2021, debe entenderse como un indicador temporal para inferir que no hay solución de continuidad entre un contrato y otro sucedáneo, y </w:t>
      </w:r>
      <w:r w:rsidRPr="00064773">
        <w:rPr>
          <w:rFonts w:ascii="Verdana" w:hAnsi="Verdana" w:cs="Arial"/>
          <w:b/>
          <w:bCs/>
          <w:sz w:val="16"/>
          <w:szCs w:val="16"/>
        </w:rPr>
        <w:t>solo para efectos de la prescripción de derechos laborales</w:t>
      </w:r>
      <w:r w:rsidRPr="00064773">
        <w:rPr>
          <w:rFonts w:ascii="Verdana" w:hAnsi="Verdana" w:cs="Arial"/>
          <w:sz w:val="16"/>
          <w:szCs w:val="16"/>
        </w:rPr>
        <w:t>” (Énfasis dentro del texto).</w:t>
      </w:r>
    </w:p>
    <w:p w14:paraId="33A8A045" w14:textId="77777777" w:rsidR="00B36928" w:rsidRPr="00064773" w:rsidRDefault="00B36928" w:rsidP="00B36928">
      <w:pPr>
        <w:pStyle w:val="Textonotapie"/>
        <w:ind w:firstLine="709"/>
        <w:jc w:val="both"/>
        <w:rPr>
          <w:rFonts w:ascii="Verdana" w:hAnsi="Verdana"/>
          <w:sz w:val="16"/>
          <w:szCs w:val="16"/>
        </w:rPr>
      </w:pPr>
    </w:p>
  </w:footnote>
  <w:footnote w:id="8">
    <w:p w14:paraId="67194849" w14:textId="77777777" w:rsidR="00B36928" w:rsidRPr="00064773" w:rsidRDefault="00B36928" w:rsidP="00B36928">
      <w:pPr>
        <w:pStyle w:val="Textonotapie"/>
        <w:ind w:firstLine="708"/>
        <w:rPr>
          <w:rFonts w:ascii="Verdana" w:hAnsi="Verdana" w:cs="Arial"/>
          <w:color w:val="000000"/>
          <w:sz w:val="16"/>
          <w:szCs w:val="16"/>
          <w:lang w:val="es-ES"/>
        </w:rPr>
      </w:pPr>
      <w:r w:rsidRPr="00064773">
        <w:rPr>
          <w:rStyle w:val="Refdenotaalpie"/>
          <w:rFonts w:ascii="Verdana" w:hAnsi="Verdana"/>
          <w:sz w:val="16"/>
          <w:szCs w:val="16"/>
        </w:rPr>
        <w:footnoteRef/>
      </w:r>
      <w:r w:rsidRPr="006B2A91">
        <w:rPr>
          <w:rFonts w:ascii="Verdana" w:hAnsi="Verdana"/>
          <w:sz w:val="16"/>
          <w:szCs w:val="16"/>
          <w:lang w:val="pt-PT"/>
        </w:rPr>
        <w:t xml:space="preserve"> </w:t>
      </w:r>
      <w:r w:rsidRPr="006B2A91">
        <w:rPr>
          <w:rFonts w:ascii="Verdana" w:hAnsi="Verdana" w:cs="Arial"/>
          <w:color w:val="000000"/>
          <w:sz w:val="16"/>
          <w:szCs w:val="16"/>
          <w:lang w:val="pt-PT"/>
        </w:rPr>
        <w:t xml:space="preserve">Corte Constitucional. Sentencia C-154 de 1997. </w:t>
      </w:r>
      <w:r w:rsidRPr="00064773">
        <w:rPr>
          <w:rFonts w:ascii="Verdana" w:hAnsi="Verdana" w:cs="Arial"/>
          <w:color w:val="000000"/>
          <w:sz w:val="16"/>
          <w:szCs w:val="16"/>
          <w:lang w:val="es-ES"/>
        </w:rPr>
        <w:t>Magistrado Ponente: Hernando Herrera Vergara.</w:t>
      </w:r>
    </w:p>
    <w:p w14:paraId="4FF714D3" w14:textId="77777777" w:rsidR="00B36928" w:rsidRPr="00064773" w:rsidRDefault="00B36928" w:rsidP="00B36928">
      <w:pPr>
        <w:pStyle w:val="Textonotapie"/>
        <w:ind w:firstLine="708"/>
        <w:rPr>
          <w:rFonts w:ascii="Verdana" w:hAnsi="Verdana" w:cs="Arial"/>
          <w:color w:val="000000"/>
          <w:sz w:val="16"/>
          <w:szCs w:val="16"/>
          <w:lang w:val="es-ES"/>
        </w:rPr>
      </w:pPr>
    </w:p>
  </w:footnote>
  <w:footnote w:id="9">
    <w:p w14:paraId="54E6C99A"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Style w:val="Refdenotaalpie"/>
          <w:rFonts w:ascii="Verdana" w:hAnsi="Verdana" w:cs="Arial"/>
          <w:color w:val="000000"/>
          <w:sz w:val="16"/>
          <w:szCs w:val="16"/>
        </w:rPr>
        <w:footnoteRef/>
      </w:r>
      <w:r w:rsidRPr="00064773">
        <w:rPr>
          <w:rFonts w:ascii="Verdana" w:hAnsi="Verdana" w:cs="Arial"/>
          <w:color w:val="000000"/>
          <w:sz w:val="16"/>
          <w:szCs w:val="16"/>
        </w:rPr>
        <w:t xml:space="preserve"> </w:t>
      </w:r>
      <w:r w:rsidRPr="00064773">
        <w:rPr>
          <w:rFonts w:ascii="Verdana" w:hAnsi="Verdana" w:cs="Arial"/>
          <w:color w:val="000000"/>
          <w:sz w:val="16"/>
          <w:szCs w:val="16"/>
          <w:lang w:val="es-ES"/>
        </w:rPr>
        <w:t>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w:t>
      </w:r>
    </w:p>
    <w:p w14:paraId="34D108D0" w14:textId="77777777" w:rsidR="00B36928" w:rsidRPr="00064773" w:rsidRDefault="00B36928" w:rsidP="00B36928">
      <w:pPr>
        <w:pStyle w:val="Textonotapie"/>
        <w:ind w:firstLine="709"/>
        <w:jc w:val="both"/>
        <w:rPr>
          <w:rFonts w:ascii="Verdana" w:hAnsi="Verdana" w:cs="Arial"/>
          <w:color w:val="000000" w:themeColor="text1"/>
          <w:sz w:val="16"/>
          <w:szCs w:val="16"/>
          <w:lang w:val="es-ES"/>
        </w:rPr>
      </w:pPr>
      <w:r w:rsidRPr="00064773">
        <w:rPr>
          <w:rFonts w:ascii="Verdana" w:hAnsi="Verdana" w:cs="Arial"/>
          <w:color w:val="000000"/>
          <w:sz w:val="16"/>
          <w:szCs w:val="16"/>
          <w:lang w:val="es-ES"/>
        </w:rPr>
        <w:t xml:space="preserve"> En este caso, no es necesario que la Entidad Estatal haya obtenido previamente varias ofertas, de lo cual el ordenador del gasto debe dejar constancia escrita. </w:t>
      </w:r>
      <w:r w:rsidRPr="00064773">
        <w:rPr>
          <w:rFonts w:ascii="Verdana" w:hAnsi="Verdana" w:cs="Arial"/>
          <w:color w:val="000000" w:themeColor="text1"/>
          <w:sz w:val="16"/>
          <w:szCs w:val="16"/>
          <w:lang w:val="es-ES"/>
        </w:rPr>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r w:rsidRPr="00064773">
        <w:rPr>
          <w:rFonts w:ascii="Verdana" w:hAnsi="Verdana" w:cs="Arial"/>
          <w:color w:val="000000"/>
          <w:sz w:val="16"/>
          <w:szCs w:val="16"/>
          <w:lang w:val="es-ES"/>
        </w:rPr>
        <w:t xml:space="preserve"> </w:t>
      </w:r>
      <w:r w:rsidRPr="00064773">
        <w:rPr>
          <w:rFonts w:ascii="Verdana" w:hAnsi="Verdana" w:cs="Arial"/>
          <w:color w:val="000000" w:themeColor="text1"/>
          <w:sz w:val="16"/>
          <w:szCs w:val="16"/>
          <w:lang w:val="es-ES"/>
        </w:rPr>
        <w:t>La Entidad Estatal, para la contratación de trabajos artísticos que solamente puedan en­comendarse a determinadas personas naturales, debe justificar esta situación en los estudios y documentos previos”.</w:t>
      </w:r>
    </w:p>
    <w:p w14:paraId="524BF4AB" w14:textId="77777777" w:rsidR="00B36928" w:rsidRPr="00064773" w:rsidRDefault="00B36928" w:rsidP="00B36928">
      <w:pPr>
        <w:pStyle w:val="Textonotapie"/>
        <w:ind w:firstLine="709"/>
        <w:jc w:val="both"/>
        <w:rPr>
          <w:rFonts w:ascii="Verdana" w:hAnsi="Verdana" w:cs="Arial"/>
          <w:color w:val="000000"/>
          <w:sz w:val="16"/>
          <w:szCs w:val="16"/>
          <w:lang w:val="es-ES"/>
        </w:rPr>
      </w:pPr>
    </w:p>
  </w:footnote>
  <w:footnote w:id="10">
    <w:p w14:paraId="46F62D8C"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Style w:val="Refdenotaalpie"/>
          <w:rFonts w:ascii="Verdana" w:hAnsi="Verdana" w:cs="Arial"/>
          <w:color w:val="000000"/>
          <w:sz w:val="16"/>
          <w:szCs w:val="16"/>
        </w:rPr>
        <w:footnoteRef/>
      </w:r>
      <w:r w:rsidRPr="00064773">
        <w:rPr>
          <w:rFonts w:ascii="Verdana" w:hAnsi="Verdana" w:cs="Arial"/>
          <w:color w:val="000000"/>
          <w:sz w:val="16"/>
          <w:szCs w:val="16"/>
        </w:rPr>
        <w:t xml:space="preserve"> </w:t>
      </w:r>
      <w:r w:rsidRPr="00064773">
        <w:rPr>
          <w:rFonts w:ascii="Verdana" w:hAnsi="Verdana" w:cs="Arial"/>
          <w:color w:val="000000"/>
          <w:sz w:val="16"/>
          <w:szCs w:val="16"/>
          <w:lang w:val="es-ES"/>
        </w:rPr>
        <w:t>Consejo de Estado. Sección Tercera. Subsección C. Sentencia del 2 de diciembre de 2013. Exp. 41719. C.P. Jaime Orlando Santofimio Gamboa.</w:t>
      </w:r>
    </w:p>
    <w:p w14:paraId="6D3E1D23" w14:textId="77777777" w:rsidR="00B36928" w:rsidRPr="00064773" w:rsidDel="00A37FEF" w:rsidRDefault="00B36928" w:rsidP="00B36928">
      <w:pPr>
        <w:pStyle w:val="Textonotapie"/>
        <w:ind w:firstLine="709"/>
        <w:jc w:val="both"/>
        <w:rPr>
          <w:rFonts w:ascii="Verdana" w:hAnsi="Verdana" w:cs="Arial"/>
          <w:color w:val="000000"/>
          <w:sz w:val="16"/>
          <w:szCs w:val="16"/>
          <w:lang w:val="es-ES"/>
        </w:rPr>
      </w:pPr>
    </w:p>
  </w:footnote>
  <w:footnote w:id="11">
    <w:p w14:paraId="02F0BA49"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Style w:val="Refdenotaalpie"/>
          <w:rFonts w:ascii="Verdana" w:hAnsi="Verdana"/>
          <w:sz w:val="16"/>
          <w:szCs w:val="16"/>
        </w:rPr>
        <w:footnoteRef/>
      </w:r>
      <w:r w:rsidRPr="00064773">
        <w:rPr>
          <w:rFonts w:ascii="Verdana" w:hAnsi="Verdana"/>
          <w:sz w:val="16"/>
          <w:szCs w:val="16"/>
        </w:rPr>
        <w:t xml:space="preserve"> </w:t>
      </w:r>
      <w:r w:rsidRPr="00064773">
        <w:rPr>
          <w:rFonts w:ascii="Verdana" w:hAnsi="Verdana" w:cs="Arial"/>
          <w:color w:val="000000"/>
          <w:sz w:val="16"/>
          <w:szCs w:val="16"/>
          <w:lang w:val="es-ES"/>
        </w:rPr>
        <w:t>Ibid.-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68272BA7"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Fonts w:ascii="Verdana" w:hAnsi="Verdana" w:cs="Arial"/>
          <w:color w:val="000000"/>
          <w:sz w:val="16"/>
          <w:szCs w:val="16"/>
          <w:lang w:val="es-ES"/>
        </w:rPr>
        <w:t>Son también contratos de consultoría los que tienen por objeto la interventoría, asesoría, gerencia de obra o de proyectos, dirección, programación y la ejecución de diseños, planos, anteproyectos y proyectos.</w:t>
      </w:r>
    </w:p>
    <w:p w14:paraId="41C29B28"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Fonts w:ascii="Verdana" w:hAnsi="Verdana" w:cs="Arial"/>
          <w:color w:val="000000"/>
          <w:sz w:val="16"/>
          <w:szCs w:val="16"/>
          <w:lang w:val="es-ES"/>
        </w:rPr>
        <w:t xml:space="preserve">Ninguna orden del interventor de una obra podrá darse verbalmente. Es obligatorio para el interventor entregar por escrito sus órdenes o sugerencias y ellas deben enmarcarse dentro de los términos del respectivo contrato”. </w:t>
      </w:r>
    </w:p>
    <w:p w14:paraId="61C7372E" w14:textId="77777777" w:rsidR="00B36928" w:rsidRPr="00064773" w:rsidRDefault="00B36928" w:rsidP="00B36928">
      <w:pPr>
        <w:pStyle w:val="Textonotapie"/>
        <w:ind w:firstLine="709"/>
        <w:jc w:val="both"/>
        <w:rPr>
          <w:rFonts w:ascii="Verdana" w:hAnsi="Verdana" w:cs="Arial"/>
          <w:color w:val="000000"/>
          <w:sz w:val="16"/>
          <w:szCs w:val="16"/>
          <w:lang w:val="es-ES"/>
        </w:rPr>
      </w:pPr>
    </w:p>
  </w:footnote>
  <w:footnote w:id="12">
    <w:p w14:paraId="329CBDE6"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Style w:val="Refdenotaalpie"/>
          <w:rFonts w:ascii="Verdana" w:hAnsi="Verdana"/>
          <w:sz w:val="16"/>
          <w:szCs w:val="16"/>
        </w:rPr>
        <w:footnoteRef/>
      </w:r>
      <w:r w:rsidRPr="00064773">
        <w:rPr>
          <w:rFonts w:ascii="Verdana" w:hAnsi="Verdana"/>
          <w:sz w:val="16"/>
          <w:szCs w:val="16"/>
        </w:rPr>
        <w:t xml:space="preserve"> </w:t>
      </w:r>
      <w:r w:rsidRPr="00064773">
        <w:rPr>
          <w:rFonts w:ascii="Verdana" w:hAnsi="Verdana" w:cs="Arial"/>
          <w:color w:val="000000"/>
          <w:sz w:val="16"/>
          <w:szCs w:val="16"/>
          <w:lang w:val="es-ES"/>
        </w:rPr>
        <w:t>Así lo prevé el artículo 2.2.1.2.1.4.1. del Decreto 1082 de 2015: “La Entidad Estatal debe señalar en un acto administrativo la justificación para contratar bajo la modalidad de contratación directa, el cual debe contener:</w:t>
      </w:r>
    </w:p>
    <w:p w14:paraId="422DE065"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Fonts w:ascii="Verdana" w:hAnsi="Verdana" w:cs="Arial"/>
          <w:color w:val="000000"/>
          <w:sz w:val="16"/>
          <w:szCs w:val="16"/>
          <w:lang w:val="es-ES"/>
        </w:rPr>
        <w:t>1. La causal que invoca para contratar directamente.</w:t>
      </w:r>
    </w:p>
    <w:p w14:paraId="7506533D"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Fonts w:ascii="Verdana" w:hAnsi="Verdana" w:cs="Arial"/>
          <w:color w:val="000000"/>
          <w:sz w:val="16"/>
          <w:szCs w:val="16"/>
          <w:lang w:val="es-ES"/>
        </w:rPr>
        <w:t>2. El objeto del contrato.</w:t>
      </w:r>
    </w:p>
    <w:p w14:paraId="0EB42F1E"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Fonts w:ascii="Verdana" w:hAnsi="Verdana" w:cs="Arial"/>
          <w:color w:val="000000"/>
          <w:sz w:val="16"/>
          <w:szCs w:val="16"/>
          <w:lang w:val="es-ES"/>
        </w:rPr>
        <w:t>3. El presupuesto para la contratación y las condiciones que exigirá al contratista.</w:t>
      </w:r>
    </w:p>
    <w:p w14:paraId="3180515D"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Fonts w:ascii="Verdana" w:hAnsi="Verdana" w:cs="Arial"/>
          <w:color w:val="000000"/>
          <w:sz w:val="16"/>
          <w:szCs w:val="16"/>
          <w:lang w:val="es-ES"/>
        </w:rPr>
        <w:t>4. El lugar en el cual los interesados pueden consultar los estudios y documentos previos.</w:t>
      </w:r>
    </w:p>
    <w:p w14:paraId="22BE30DB"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Fonts w:ascii="Verdana" w:hAnsi="Verdana" w:cs="Arial"/>
          <w:color w:val="000000"/>
          <w:sz w:val="16"/>
          <w:szCs w:val="16"/>
          <w:lang w:val="es-ES"/>
        </w:rPr>
        <w:t>Este acto administrativo no es necesario cuando el contrato a celebrar es de prestación de servicios profesionales y de apoyo a la gestión, y para los contratos de que tratan los literales (a) y (b) del artículo 2.2.1.2.1.4.3 del presente decreto”.</w:t>
      </w:r>
    </w:p>
    <w:p w14:paraId="756513C1" w14:textId="77777777" w:rsidR="00B36928" w:rsidRPr="00064773" w:rsidRDefault="00B36928" w:rsidP="00B36928">
      <w:pPr>
        <w:pStyle w:val="Textonotapie"/>
        <w:ind w:firstLine="709"/>
        <w:jc w:val="both"/>
        <w:rPr>
          <w:rFonts w:ascii="Verdana" w:hAnsi="Verdana" w:cs="Arial"/>
          <w:color w:val="000000"/>
          <w:sz w:val="16"/>
          <w:szCs w:val="16"/>
          <w:lang w:val="es-ES"/>
        </w:rPr>
      </w:pPr>
    </w:p>
  </w:footnote>
  <w:footnote w:id="13">
    <w:p w14:paraId="41B3B6EB"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Style w:val="Refdenotaalpie"/>
          <w:rFonts w:ascii="Verdana" w:hAnsi="Verdana"/>
          <w:sz w:val="16"/>
          <w:szCs w:val="16"/>
        </w:rPr>
        <w:footnoteRef/>
      </w:r>
      <w:r w:rsidRPr="00064773">
        <w:rPr>
          <w:rFonts w:ascii="Verdana" w:hAnsi="Verdana"/>
          <w:sz w:val="16"/>
          <w:szCs w:val="16"/>
        </w:rPr>
        <w:t xml:space="preserve"> </w:t>
      </w:r>
      <w:r w:rsidRPr="00064773">
        <w:rPr>
          <w:rFonts w:ascii="Verdana" w:hAnsi="Verdana" w:cs="Arial"/>
          <w:color w:val="000000"/>
          <w:sz w:val="16"/>
          <w:szCs w:val="16"/>
          <w:lang w:val="es-ES"/>
        </w:rPr>
        <w:t>Esta norma expresa: “</w:t>
      </w:r>
      <w:r w:rsidRPr="00064773">
        <w:rPr>
          <w:rFonts w:ascii="Verdana" w:hAnsi="Verdana" w:cs="Arial"/>
          <w:color w:val="000000"/>
          <w:sz w:val="16"/>
          <w:szCs w:val="16"/>
        </w:rPr>
        <w:t>P</w:t>
      </w:r>
      <w:r w:rsidRPr="00064773">
        <w:rPr>
          <w:rFonts w:ascii="Verdana" w:hAnsi="Verdana" w:cs="Arial"/>
          <w:color w:val="000000"/>
          <w:sz w:val="16"/>
          <w:szCs w:val="16"/>
          <w:lang w:val="es-ES"/>
        </w:rPr>
        <w:t>ara el cumplimiento de los fines de la contratación, las entidades estatales al celebrar un contrato:</w:t>
      </w:r>
    </w:p>
    <w:p w14:paraId="267D2D1D"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Fonts w:ascii="Verdana" w:hAnsi="Verdana" w:cs="Arial"/>
          <w:color w:val="000000"/>
          <w:sz w:val="16"/>
          <w:szCs w:val="16"/>
          <w:lang w:val="es-ES"/>
        </w:rPr>
        <w:t>[…]</w:t>
      </w:r>
    </w:p>
    <w:p w14:paraId="2B387FE9"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Fonts w:ascii="Verdana" w:hAnsi="Verdana" w:cs="Arial"/>
          <w:color w:val="000000"/>
          <w:sz w:val="16"/>
          <w:szCs w:val="16"/>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318FE756"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Fonts w:ascii="Verdana" w:hAnsi="Verdana" w:cs="Arial"/>
          <w:color w:val="000000"/>
          <w:sz w:val="16"/>
          <w:szCs w:val="16"/>
          <w:lang w:val="es-ES"/>
        </w:rPr>
        <w:t>Las entidades estatales podrán pactar estas cláusulas en los contratos de suministro y de prestación de servicios.</w:t>
      </w:r>
    </w:p>
    <w:p w14:paraId="78AA91F9"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Fonts w:ascii="Verdana" w:hAnsi="Verdana" w:cs="Arial"/>
          <w:color w:val="000000"/>
          <w:sz w:val="16"/>
          <w:szCs w:val="16"/>
          <w:lang w:val="es-ES"/>
        </w:rPr>
        <w:t>[…]”.</w:t>
      </w:r>
    </w:p>
    <w:p w14:paraId="42AF0574" w14:textId="77777777" w:rsidR="00B36928" w:rsidRPr="00064773" w:rsidRDefault="00B36928" w:rsidP="00B36928">
      <w:pPr>
        <w:pStyle w:val="Textonotapie"/>
        <w:ind w:firstLine="709"/>
        <w:jc w:val="both"/>
        <w:rPr>
          <w:rFonts w:ascii="Verdana" w:hAnsi="Verdana" w:cs="Arial"/>
          <w:color w:val="000000"/>
          <w:sz w:val="16"/>
          <w:szCs w:val="16"/>
          <w:lang w:val="es-ES"/>
        </w:rPr>
      </w:pPr>
    </w:p>
  </w:footnote>
  <w:footnote w:id="14">
    <w:p w14:paraId="4F7100B1" w14:textId="77777777" w:rsidR="00B36928" w:rsidRPr="00064773" w:rsidRDefault="00B36928" w:rsidP="00B36928">
      <w:pPr>
        <w:pStyle w:val="Textonotapie"/>
        <w:ind w:firstLine="708"/>
        <w:rPr>
          <w:rFonts w:ascii="Verdana" w:hAnsi="Verdana" w:cs="Arial"/>
          <w:color w:val="000000"/>
          <w:sz w:val="16"/>
          <w:szCs w:val="16"/>
          <w:lang w:val="es-ES"/>
        </w:rPr>
      </w:pPr>
      <w:r w:rsidRPr="00064773">
        <w:rPr>
          <w:rStyle w:val="Refdenotaalpie"/>
          <w:rFonts w:ascii="Verdana" w:hAnsi="Verdana"/>
          <w:sz w:val="16"/>
          <w:szCs w:val="16"/>
        </w:rPr>
        <w:footnoteRef/>
      </w:r>
      <w:r w:rsidRPr="00064773">
        <w:rPr>
          <w:rFonts w:ascii="Verdana" w:hAnsi="Verdana"/>
          <w:sz w:val="16"/>
          <w:szCs w:val="16"/>
        </w:rPr>
        <w:t xml:space="preserve"> </w:t>
      </w:r>
      <w:r w:rsidRPr="00064773">
        <w:rPr>
          <w:rFonts w:ascii="Verdana" w:hAnsi="Verdana" w:cs="Arial"/>
          <w:color w:val="000000"/>
          <w:sz w:val="16"/>
          <w:szCs w:val="16"/>
          <w:lang w:val="es-ES"/>
        </w:rPr>
        <w:t>La norma dispone: “La liquidación a que se refiere el presente artículo no será obligatoria en los contratos de prestación de servicios profesionales y de apoyo a la gestión”.</w:t>
      </w:r>
    </w:p>
    <w:p w14:paraId="3D346011" w14:textId="77777777" w:rsidR="00B36928" w:rsidRPr="00064773" w:rsidRDefault="00B36928" w:rsidP="00B36928">
      <w:pPr>
        <w:pStyle w:val="Textonotapie"/>
        <w:ind w:firstLine="708"/>
        <w:rPr>
          <w:rFonts w:ascii="Verdana" w:hAnsi="Verdana" w:cs="Arial"/>
          <w:color w:val="000000"/>
          <w:sz w:val="16"/>
          <w:szCs w:val="16"/>
          <w:lang w:val="es-ES"/>
        </w:rPr>
      </w:pPr>
    </w:p>
  </w:footnote>
  <w:footnote w:id="15">
    <w:p w14:paraId="1D5636E2" w14:textId="77777777" w:rsidR="00B36928" w:rsidRPr="00064773" w:rsidRDefault="00B36928" w:rsidP="00B36928">
      <w:pPr>
        <w:pStyle w:val="Textonotapie"/>
        <w:ind w:firstLine="709"/>
        <w:jc w:val="both"/>
        <w:rPr>
          <w:rFonts w:ascii="Verdana" w:hAnsi="Verdana" w:cs="Arial"/>
          <w:color w:val="000000"/>
          <w:sz w:val="16"/>
          <w:szCs w:val="16"/>
        </w:rPr>
      </w:pPr>
      <w:r w:rsidRPr="00064773">
        <w:rPr>
          <w:rStyle w:val="Refdenotaalpie"/>
          <w:rFonts w:ascii="Verdana" w:hAnsi="Verdana"/>
          <w:sz w:val="16"/>
          <w:szCs w:val="16"/>
        </w:rPr>
        <w:footnoteRef/>
      </w:r>
      <w:r w:rsidRPr="00064773">
        <w:rPr>
          <w:rFonts w:ascii="Verdana" w:hAnsi="Verdana"/>
          <w:sz w:val="16"/>
          <w:szCs w:val="16"/>
        </w:rPr>
        <w:t xml:space="preserve"> </w:t>
      </w:r>
      <w:r w:rsidRPr="00064773">
        <w:rPr>
          <w:rFonts w:ascii="Verdana" w:hAnsi="Verdana" w:cs="Arial"/>
          <w:color w:val="000000"/>
          <w:sz w:val="16"/>
          <w:szCs w:val="16"/>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0F843341" w14:textId="77777777" w:rsidR="00B36928" w:rsidRPr="00064773" w:rsidRDefault="00B36928" w:rsidP="00B36928">
      <w:pPr>
        <w:pStyle w:val="Textonotapie"/>
        <w:ind w:firstLine="709"/>
        <w:jc w:val="both"/>
        <w:rPr>
          <w:rFonts w:ascii="Verdana" w:hAnsi="Verdana" w:cs="Arial"/>
          <w:color w:val="000000"/>
          <w:sz w:val="16"/>
          <w:szCs w:val="16"/>
        </w:rPr>
      </w:pPr>
      <w:r w:rsidRPr="00064773">
        <w:rPr>
          <w:rFonts w:ascii="Verdana" w:hAnsi="Verdana" w:cs="Arial"/>
          <w:color w:val="000000"/>
          <w:sz w:val="16"/>
          <w:szCs w:val="16"/>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5DAEEC19" w14:textId="77777777" w:rsidR="00B36928" w:rsidRPr="00064773" w:rsidRDefault="00B36928" w:rsidP="00B36928">
      <w:pPr>
        <w:pStyle w:val="Textonotapie"/>
        <w:ind w:firstLine="709"/>
        <w:jc w:val="both"/>
        <w:rPr>
          <w:rFonts w:ascii="Verdana" w:hAnsi="Verdana" w:cs="Arial"/>
          <w:color w:val="000000"/>
          <w:sz w:val="16"/>
          <w:szCs w:val="16"/>
        </w:rPr>
      </w:pPr>
      <w:r w:rsidRPr="00064773">
        <w:rPr>
          <w:rFonts w:ascii="Verdana" w:hAnsi="Verdana" w:cs="Arial"/>
          <w:color w:val="000000"/>
          <w:sz w:val="16"/>
          <w:szCs w:val="16"/>
        </w:rPr>
        <w:t>[…]”.</w:t>
      </w:r>
    </w:p>
    <w:p w14:paraId="1AA470B9" w14:textId="77777777" w:rsidR="00B36928" w:rsidRPr="00064773" w:rsidRDefault="00B36928" w:rsidP="00B36928">
      <w:pPr>
        <w:pStyle w:val="Textonotapie"/>
        <w:ind w:firstLine="709"/>
        <w:jc w:val="both"/>
        <w:rPr>
          <w:rFonts w:ascii="Verdana" w:hAnsi="Verdana" w:cs="Arial"/>
          <w:color w:val="000000"/>
          <w:sz w:val="16"/>
          <w:szCs w:val="16"/>
        </w:rPr>
      </w:pPr>
    </w:p>
  </w:footnote>
  <w:footnote w:id="16">
    <w:p w14:paraId="3185236D" w14:textId="77777777" w:rsidR="00B36928" w:rsidRPr="00064773" w:rsidRDefault="00B36928" w:rsidP="00B36928">
      <w:pPr>
        <w:pStyle w:val="Textonotapie"/>
        <w:ind w:firstLine="709"/>
        <w:jc w:val="both"/>
        <w:rPr>
          <w:rFonts w:ascii="Verdana" w:hAnsi="Verdana" w:cs="Arial"/>
          <w:color w:val="000000"/>
          <w:sz w:val="16"/>
          <w:szCs w:val="16"/>
          <w:lang w:val="es-ES"/>
        </w:rPr>
      </w:pPr>
      <w:r w:rsidRPr="00064773">
        <w:rPr>
          <w:rStyle w:val="Refdenotaalpie"/>
          <w:rFonts w:ascii="Verdana" w:hAnsi="Verdana"/>
          <w:sz w:val="16"/>
          <w:szCs w:val="16"/>
        </w:rPr>
        <w:footnoteRef/>
      </w:r>
      <w:r w:rsidRPr="00064773">
        <w:rPr>
          <w:rFonts w:ascii="Verdana" w:hAnsi="Verdana"/>
          <w:sz w:val="16"/>
          <w:szCs w:val="16"/>
        </w:rPr>
        <w:t xml:space="preserve"> </w:t>
      </w:r>
      <w:r w:rsidRPr="00064773">
        <w:rPr>
          <w:rFonts w:ascii="Verdana" w:hAnsi="Verdana" w:cs="Arial"/>
          <w:color w:val="000000"/>
          <w:sz w:val="16"/>
          <w:szCs w:val="16"/>
          <w:lang w:val="es-ES"/>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5BACEB9B" w14:textId="77777777" w:rsidR="00B36928" w:rsidRPr="00064773" w:rsidRDefault="00B36928" w:rsidP="00B36928">
      <w:pPr>
        <w:pStyle w:val="Textonotapie"/>
        <w:ind w:firstLine="709"/>
        <w:jc w:val="both"/>
        <w:rPr>
          <w:rFonts w:ascii="Verdana" w:hAnsi="Verdana" w:cs="Arial"/>
          <w:color w:val="000000"/>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8679D0"/>
    <w:multiLevelType w:val="hybridMultilevel"/>
    <w:tmpl w:val="675A6FB0"/>
    <w:lvl w:ilvl="0" w:tplc="15EC6280">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3189266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673A"/>
    <w:rsid w:val="00046945"/>
    <w:rsid w:val="00061B2A"/>
    <w:rsid w:val="00082362"/>
    <w:rsid w:val="000A683E"/>
    <w:rsid w:val="000B19B9"/>
    <w:rsid w:val="000D0334"/>
    <w:rsid w:val="000D5DA7"/>
    <w:rsid w:val="000F6486"/>
    <w:rsid w:val="00116940"/>
    <w:rsid w:val="00125105"/>
    <w:rsid w:val="00127233"/>
    <w:rsid w:val="0015699B"/>
    <w:rsid w:val="001639CA"/>
    <w:rsid w:val="001A33BF"/>
    <w:rsid w:val="001E4177"/>
    <w:rsid w:val="001F0B24"/>
    <w:rsid w:val="001F7DC6"/>
    <w:rsid w:val="0022400B"/>
    <w:rsid w:val="002421BB"/>
    <w:rsid w:val="0025796E"/>
    <w:rsid w:val="002707A2"/>
    <w:rsid w:val="00287117"/>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4445B"/>
    <w:rsid w:val="005566E8"/>
    <w:rsid w:val="00574867"/>
    <w:rsid w:val="00591460"/>
    <w:rsid w:val="0059556D"/>
    <w:rsid w:val="005A65E0"/>
    <w:rsid w:val="005C3777"/>
    <w:rsid w:val="005C5CDC"/>
    <w:rsid w:val="005D1080"/>
    <w:rsid w:val="005D476C"/>
    <w:rsid w:val="006200BF"/>
    <w:rsid w:val="006219F8"/>
    <w:rsid w:val="006302F7"/>
    <w:rsid w:val="00641A6D"/>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7F74B8"/>
    <w:rsid w:val="00806F5F"/>
    <w:rsid w:val="00820278"/>
    <w:rsid w:val="008258C9"/>
    <w:rsid w:val="00844AE9"/>
    <w:rsid w:val="00867F95"/>
    <w:rsid w:val="008843B6"/>
    <w:rsid w:val="00891928"/>
    <w:rsid w:val="008A446D"/>
    <w:rsid w:val="008B25F1"/>
    <w:rsid w:val="008D180B"/>
    <w:rsid w:val="008F0EA7"/>
    <w:rsid w:val="00921756"/>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369E1"/>
    <w:rsid w:val="00A55A00"/>
    <w:rsid w:val="00AB0ADB"/>
    <w:rsid w:val="00B00C0E"/>
    <w:rsid w:val="00B01B1A"/>
    <w:rsid w:val="00B0381D"/>
    <w:rsid w:val="00B36928"/>
    <w:rsid w:val="00B44A47"/>
    <w:rsid w:val="00B611A1"/>
    <w:rsid w:val="00B72CD3"/>
    <w:rsid w:val="00B72FFF"/>
    <w:rsid w:val="00B94CBC"/>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6489D"/>
    <w:rsid w:val="00E75C92"/>
    <w:rsid w:val="00E771DC"/>
    <w:rsid w:val="00E8772A"/>
    <w:rsid w:val="00E90F6B"/>
    <w:rsid w:val="00E92C27"/>
    <w:rsid w:val="00EA0E3D"/>
    <w:rsid w:val="00EC38A7"/>
    <w:rsid w:val="00EE1AA8"/>
    <w:rsid w:val="00F1239B"/>
    <w:rsid w:val="00F23FEA"/>
    <w:rsid w:val="00F31EDC"/>
    <w:rsid w:val="00F462B3"/>
    <w:rsid w:val="00F5664F"/>
    <w:rsid w:val="00F666C4"/>
    <w:rsid w:val="00F76AFC"/>
    <w:rsid w:val="00FA47C0"/>
    <w:rsid w:val="00FB5DD1"/>
    <w:rsid w:val="00FC2B5D"/>
    <w:rsid w:val="00FF1449"/>
    <w:rsid w:val="00FF61D8"/>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B36928"/>
    <w:rPr>
      <w:rFonts w:ascii="Geomanist Light" w:hAnsi="Geomanist Light"/>
      <w:lang w:val="es-ES"/>
    </w:rPr>
  </w:style>
  <w:style w:type="character" w:customStyle="1" w:styleId="NormalWebCar">
    <w:name w:val="Normal (Web) Car"/>
    <w:link w:val="NormalWeb"/>
    <w:uiPriority w:val="99"/>
    <w:locked/>
    <w:rsid w:val="00B36928"/>
    <w:rPr>
      <w:rFonts w:ascii="Times New Roman" w:eastAsia="Times New Roman" w:hAnsi="Times New Roman" w:cs="Times New Roman"/>
      <w:sz w:val="24"/>
      <w:szCs w:val="24"/>
      <w:lang w:eastAsia="es-CO"/>
    </w:rPr>
  </w:style>
  <w:style w:type="paragraph" w:customStyle="1" w:styleId="Appelnotedebasde">
    <w:name w:val="Appel note de bas de..."/>
    <w:basedOn w:val="Normal"/>
    <w:link w:val="Refdenotaalpie"/>
    <w:uiPriority w:val="99"/>
    <w:rsid w:val="00B36928"/>
    <w:pPr>
      <w:spacing w:line="240" w:lineRule="exact"/>
    </w:pPr>
    <w:rPr>
      <w:vertAlign w:val="superscript"/>
    </w:rPr>
  </w:style>
  <w:style w:type="character" w:customStyle="1" w:styleId="s15">
    <w:name w:val="s15"/>
    <w:basedOn w:val="Fuentedeprrafopredeter"/>
    <w:rsid w:val="00B36928"/>
  </w:style>
  <w:style w:type="character" w:customStyle="1" w:styleId="apple-converted-space">
    <w:name w:val="apple-converted-space"/>
    <w:basedOn w:val="Fuentedeprrafopredeter"/>
    <w:rsid w:val="00B36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http://www.colombiacompra.gov.co"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ontrolinterno@sanrafael-antioquia.gov.co" TargetMode="External"/><Relationship Id="rId17" Type="http://schemas.openxmlformats.org/officeDocument/2006/relationships/hyperlink" Target="https://nam02.safelinks.protection.outlook.com/?url=https%3A%2F%2Fwww.colombiacompra.gov.co%2Farchivos%2Fboletin%2Fboletin-edicion-n-3-de-2026-radar-de-la-compra-publica&amp;data=05%7C02%7Crichard.montenegro%40colombiacompra.gov.co%7C7128555136e04fa6887d08dee99e1b50%7C7b09041e245149d08cb179d5e3d8c1be%7C0%7C0%7C639205062450670197%7CUnknown%7CTWFpbGZsb3d8eyJFbXB0eU1hcGkiOnRydWUsIlYiOiIwLjAuMDAwMCIsIlAiOiJXaW4zMiIsIkFOIjoiTWFpbCIsIldUIjoyfQ%3D%3D%7C0%7C%7C%7C&amp;sdata=tG1SXnfImH8XsrlgRCiScpsLUXG%2FrRZ9z%2BYvrsytpjM%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richard.montenegro%40colombiacompra.gov.co%7C7128555136e04fa6887d08dee99e1b50%7C7b09041e245149d08cb179d5e3d8c1be%7C0%7C0%7C639205062450648244%7CUnknown%7CTWFpbGZsb3d8eyJFbXB0eU1hcGkiOnRydWUsIlYiOiIwLjAuMDAwMCIsIlAiOiJXaW4zMiIsIkFOIjoiTWFpbCIsIldUIjoyfQ%3D%3D%7C0%7C%7C%7C&amp;sdata=eZ9HfEHlFgZ1vH2KhitCwZAewZQ4N016ybBpWmJCEAM%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richard.montenegro%40colombiacompra.gov.co%7C7128555136e04fa6887d08dee99e1b50%7C7b09041e245149d08cb179d5e3d8c1be%7C0%7C0%7C639205062450626618%7CUnknown%7CTWFpbGZsb3d8eyJFbXB0eU1hcGkiOnRydWUsIlYiOiIwLjAuMDAwMCIsIlAiOiJXaW4zMiIsIkFOIjoiTWFpbCIsIldUIjoyfQ%3D%3D%7C0%7C%7C%7C&amp;sdata=nOgjBz7PWnZPOn5KxGSEIXhUo5tyYxiN3SRp9I9gZSc%3D&amp;reserved=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richard.montenegro%40colombiacompra.gov.co%7C7128555136e04fa6887d08dee99e1b50%7C7b09041e245149d08cb179d5e3d8c1be%7C0%7C0%7C639205062450598242%7CUnknown%7CTWFpbGZsb3d8eyJFbXB0eU1hcGkiOnRydWUsIlYiOiIwLjAuMDAwMCIsIlAiOiJXaW4zMiIsIkFOIjoiTWFpbCIsIldUIjoyfQ%3D%3D%7C0%7C%7C%7C&amp;sdata=tMnsjyChgvrtknNIDuIAfzGoFX31vm9KmSn4hxiKJWs%3D&amp;reserved=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D445D8-5671-49AF-B811-2E12B1187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916F9B6F-82C3-47EC-94AB-556A61BE5EA3}">
  <ds:schemaRefs>
    <ds:schemaRef ds:uri="http://schemas.openxmlformats.org/officeDocument/2006/bibliography"/>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TotalTime>
  <Pages>18</Pages>
  <Words>5654</Words>
  <Characters>31099</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3</cp:revision>
  <cp:lastPrinted>2023-01-10T21:18:00Z</cp:lastPrinted>
  <dcterms:created xsi:type="dcterms:W3CDTF">2026-08-13T21:14:00Z</dcterms:created>
  <dcterms:modified xsi:type="dcterms:W3CDTF">2026-08-14T15:29:00Z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