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CE27F" w14:textId="77777777" w:rsidR="006F33A3" w:rsidRPr="000E52E5" w:rsidRDefault="006F33A3" w:rsidP="006F33A3">
      <w:pPr>
        <w:spacing w:after="0" w:line="240" w:lineRule="auto"/>
        <w:jc w:val="both"/>
        <w:rPr>
          <w:rFonts w:ascii="Verdana" w:eastAsia="Calibri" w:hAnsi="Verdana" w:cs="Arial"/>
          <w:bCs/>
          <w:lang w:val="es-ES_tradnl"/>
        </w:rPr>
      </w:pPr>
      <w:r w:rsidRPr="000E52E5">
        <w:rPr>
          <w:rFonts w:ascii="Verdana" w:eastAsia="Calibri" w:hAnsi="Verdana" w:cs="Arial"/>
          <w:b/>
          <w:lang w:val="es-ES_tradnl"/>
        </w:rPr>
        <w:t>CONCEPTOS DE COLOMBIA COMPRA EFICIENTE – Obligatoriedad</w:t>
      </w:r>
    </w:p>
    <w:p w14:paraId="2059C581" w14:textId="77777777" w:rsidR="006F33A3" w:rsidRPr="000E52E5" w:rsidRDefault="006F33A3" w:rsidP="006F33A3">
      <w:pPr>
        <w:spacing w:after="0" w:line="240" w:lineRule="auto"/>
        <w:jc w:val="both"/>
        <w:rPr>
          <w:rFonts w:ascii="Verdana" w:hAnsi="Verdana" w:cs="Arial"/>
          <w:sz w:val="20"/>
          <w:szCs w:val="20"/>
          <w:highlight w:val="yellow"/>
          <w:lang w:val="es-ES_tradnl"/>
        </w:rPr>
      </w:pPr>
    </w:p>
    <w:p w14:paraId="2EFAB584" w14:textId="77777777" w:rsidR="006F33A3" w:rsidRPr="000E52E5" w:rsidRDefault="006F33A3" w:rsidP="006F33A3">
      <w:pPr>
        <w:pStyle w:val="Prrafodelista"/>
        <w:spacing w:after="0" w:line="240" w:lineRule="auto"/>
        <w:ind w:left="0"/>
        <w:jc w:val="both"/>
        <w:rPr>
          <w:rFonts w:ascii="Verdana" w:eastAsia="Calibri" w:hAnsi="Verdana" w:cs="Arial"/>
          <w:sz w:val="20"/>
          <w:szCs w:val="20"/>
          <w:highlight w:val="yellow"/>
          <w:lang w:val="es-ES_tradnl"/>
        </w:rPr>
      </w:pPr>
      <w:r w:rsidRPr="000E52E5">
        <w:rPr>
          <w:rFonts w:ascii="Verdana" w:eastAsia="Calibri" w:hAnsi="Verdana" w:cs="Arial"/>
          <w:sz w:val="20"/>
          <w:szCs w:val="20"/>
          <w:lang w:val="es-ES_tradnl"/>
        </w:rPr>
        <w:t>La ley es clara cuando establece que los conceptos, emitidos por las autoridades al responder peticiones realizadas en ejercicio del derecho a formular consultas, no son de obligatorio cumplimiento o ejecución, en otras palabras, no tienen efectos vinculantes. Las respuestas emitidas como concepto, entonces, consisten en la posición hermenéutica que las entidades tienen respecto del ordenamiento jurídico. Esto explica por qué esta Agencia, reiteradamente, no resuelve controversias concretas ni brinda asesoría a los partícipes de la contratación estatal.</w:t>
      </w:r>
    </w:p>
    <w:p w14:paraId="631256A7" w14:textId="77777777" w:rsidR="006F33A3" w:rsidRPr="000E52E5" w:rsidRDefault="006F33A3" w:rsidP="006F33A3">
      <w:pPr>
        <w:spacing w:after="0" w:line="240" w:lineRule="auto"/>
        <w:jc w:val="both"/>
        <w:rPr>
          <w:rFonts w:ascii="Verdana" w:eastAsia="Calibri" w:hAnsi="Verdana" w:cs="Arial"/>
          <w:b/>
          <w:sz w:val="20"/>
          <w:szCs w:val="20"/>
          <w:highlight w:val="yellow"/>
          <w:lang w:val="es-ES_tradnl"/>
        </w:rPr>
      </w:pPr>
    </w:p>
    <w:p w14:paraId="51932C5E" w14:textId="77777777" w:rsidR="006F33A3" w:rsidRPr="000E52E5" w:rsidRDefault="006F33A3" w:rsidP="006F33A3">
      <w:pPr>
        <w:spacing w:after="0" w:line="240" w:lineRule="auto"/>
        <w:jc w:val="both"/>
        <w:rPr>
          <w:rFonts w:ascii="Verdana" w:eastAsia="Calibri" w:hAnsi="Verdana" w:cs="Arial"/>
          <w:bCs/>
          <w:lang w:val="es-ES_tradnl"/>
        </w:rPr>
      </w:pPr>
      <w:r w:rsidRPr="000E52E5">
        <w:rPr>
          <w:rFonts w:ascii="Verdana" w:eastAsia="Calibri" w:hAnsi="Verdana" w:cs="Arial"/>
          <w:b/>
          <w:lang w:val="es-ES_tradnl"/>
        </w:rPr>
        <w:t>FUNCIÓN CONSULTIVA – Alcance</w:t>
      </w:r>
    </w:p>
    <w:p w14:paraId="1619FAFA" w14:textId="77777777" w:rsidR="006F33A3" w:rsidRPr="000E52E5" w:rsidRDefault="006F33A3" w:rsidP="006F33A3">
      <w:pPr>
        <w:spacing w:after="0" w:line="240" w:lineRule="auto"/>
        <w:jc w:val="both"/>
        <w:rPr>
          <w:rFonts w:ascii="Verdana" w:hAnsi="Verdana" w:cs="Arial"/>
          <w:sz w:val="20"/>
          <w:szCs w:val="20"/>
          <w:highlight w:val="yellow"/>
          <w:lang w:val="es-ES_tradnl"/>
        </w:rPr>
      </w:pPr>
    </w:p>
    <w:p w14:paraId="7DBE00B7" w14:textId="77777777" w:rsidR="006F33A3" w:rsidRPr="000E52E5" w:rsidRDefault="006F33A3" w:rsidP="006F33A3">
      <w:pPr>
        <w:pStyle w:val="Prrafodelista"/>
        <w:spacing w:after="0" w:line="240" w:lineRule="auto"/>
        <w:ind w:left="0"/>
        <w:jc w:val="both"/>
        <w:rPr>
          <w:rFonts w:ascii="Verdana" w:eastAsia="Calibri" w:hAnsi="Verdana" w:cs="Arial"/>
          <w:sz w:val="20"/>
          <w:szCs w:val="20"/>
          <w:lang w:val="es-ES_tradnl"/>
        </w:rPr>
      </w:pPr>
      <w:r w:rsidRPr="000E52E5">
        <w:rPr>
          <w:rFonts w:ascii="Verdana" w:eastAsia="Calibri" w:hAnsi="Verdana" w:cs="Arial"/>
          <w:sz w:val="20"/>
          <w:szCs w:val="20"/>
          <w:lang w:val="es-ES_tradnl"/>
        </w:rPr>
        <w:t xml:space="preserve">Las autoridades que ejercen funciones consultivas pueden expresar su interpretación de un precepto normativo que no excluye otras interpretaciones posibles, pues el derecho, como sistema normativo, es un lenguaje que, en ocasiones, se tiñe de vaguedad, en virtud de la utilización de conceptos jurídicos indeterminados. Así, puede pasar, por ejemplo, que un ministerio considere que una norma debe entenderse en un sentido, pero que otra entidad, vinculada o adscrita a ese ministerio, entienda que la misma norma debe interpretarse de otra manera. Eso hace parte de la lógica deliberativa y dialéctica del funcionamiento del Estado y refleja el principio democrático. De todos modos, esto no significa que el criterio de una u otra tenga validez o prevalencia sobre la otra, ya que se trata de opiniones emitidas a título de concepto, pese a que entre las entidades exista una jerarquía o de la naturaleza y competencias que se prediquen de una y otra. Incluso, aun cuando los jueces interpreten con autoridad el sentido de la disposición normativa, el concepto emitido por la entidad no deja de ser un concepto y no adquiere efectos vinculantes, por más que coincida con el de la autoridad judicial, pues, en esa hipótesis, lo que vincula es la decisión del juez, no el de la entidad que ejerció la función consultiva, pues, como se viene diciendo, dicha competencia se enmarca en el artículo 28 de la Ley 1437 de 2011. En otras palabras, los conceptos </w:t>
      </w:r>
      <w:r>
        <w:rPr>
          <w:rFonts w:ascii="Verdana" w:eastAsia="Calibri" w:hAnsi="Verdana" w:cs="Arial"/>
          <w:sz w:val="20"/>
          <w:szCs w:val="20"/>
          <w:lang w:val="es-ES_tradnl"/>
        </w:rPr>
        <w:t>“</w:t>
      </w:r>
      <w:r w:rsidRPr="000E52E5">
        <w:rPr>
          <w:rFonts w:ascii="Verdana" w:eastAsia="Calibri" w:hAnsi="Verdana" w:cs="Arial"/>
          <w:sz w:val="20"/>
          <w:szCs w:val="20"/>
          <w:lang w:val="es-ES_tradnl"/>
        </w:rPr>
        <w:t>no serán de obligatorio cumplimiento o ejecución</w:t>
      </w:r>
      <w:r>
        <w:rPr>
          <w:rFonts w:ascii="Verdana" w:eastAsia="Calibri" w:hAnsi="Verdana" w:cs="Arial"/>
          <w:sz w:val="20"/>
          <w:szCs w:val="20"/>
          <w:lang w:val="es-ES_tradnl"/>
        </w:rPr>
        <w:t>”</w:t>
      </w:r>
      <w:r w:rsidRPr="000E52E5">
        <w:rPr>
          <w:rFonts w:ascii="Verdana" w:eastAsia="Calibri" w:hAnsi="Verdana" w:cs="Arial"/>
          <w:sz w:val="20"/>
          <w:szCs w:val="20"/>
          <w:lang w:val="es-ES_tradnl"/>
        </w:rPr>
        <w:t xml:space="preserve">. </w:t>
      </w:r>
    </w:p>
    <w:p w14:paraId="7D2E59A6" w14:textId="77777777" w:rsidR="006F33A3" w:rsidRPr="000E52E5" w:rsidRDefault="006F33A3" w:rsidP="006F33A3">
      <w:pPr>
        <w:pStyle w:val="Prrafodelista"/>
        <w:spacing w:after="0" w:line="240" w:lineRule="auto"/>
        <w:ind w:left="0"/>
        <w:jc w:val="both"/>
        <w:rPr>
          <w:rFonts w:ascii="Verdana" w:eastAsia="Calibri" w:hAnsi="Verdana" w:cs="Arial"/>
          <w:sz w:val="20"/>
          <w:szCs w:val="20"/>
          <w:highlight w:val="yellow"/>
          <w:lang w:val="es-ES_tradnl"/>
        </w:rPr>
      </w:pPr>
    </w:p>
    <w:p w14:paraId="7632282B" w14:textId="77777777" w:rsidR="006F33A3" w:rsidRPr="000E52E5" w:rsidRDefault="006F33A3" w:rsidP="006F33A3">
      <w:pPr>
        <w:spacing w:after="0" w:line="240" w:lineRule="auto"/>
        <w:jc w:val="both"/>
        <w:rPr>
          <w:rFonts w:ascii="Verdana" w:eastAsia="Calibri" w:hAnsi="Verdana" w:cs="Arial"/>
          <w:lang w:val="es-ES_tradnl"/>
        </w:rPr>
      </w:pPr>
      <w:r w:rsidRPr="000E52E5">
        <w:rPr>
          <w:rFonts w:ascii="Verdana" w:eastAsia="Calibri" w:hAnsi="Verdana" w:cs="Arial"/>
          <w:b/>
          <w:bCs/>
          <w:lang w:val="es-ES_tradnl"/>
        </w:rPr>
        <w:t xml:space="preserve">CONCEPTOS DE COLOMBIA COMPRA EFICIENTE – Revocación directa </w:t>
      </w:r>
      <w:r w:rsidRPr="000E52E5">
        <w:rPr>
          <w:rFonts w:ascii="Verdana" w:eastAsia="Arial" w:hAnsi="Verdana" w:cs="Arial"/>
          <w:b/>
          <w:bCs/>
          <w:lang w:val="es-ES_tradnl"/>
        </w:rPr>
        <w:t>– Improcedencia</w:t>
      </w:r>
    </w:p>
    <w:p w14:paraId="7D3BE4FD" w14:textId="77777777" w:rsidR="006F33A3" w:rsidRPr="000E52E5" w:rsidRDefault="006F33A3" w:rsidP="006F33A3">
      <w:pPr>
        <w:spacing w:after="0" w:line="240" w:lineRule="auto"/>
        <w:jc w:val="both"/>
        <w:rPr>
          <w:rFonts w:ascii="Verdana" w:hAnsi="Verdana" w:cs="Arial"/>
          <w:sz w:val="20"/>
          <w:szCs w:val="20"/>
          <w:highlight w:val="yellow"/>
          <w:lang w:val="es-ES_tradnl"/>
        </w:rPr>
      </w:pPr>
    </w:p>
    <w:p w14:paraId="7DCCC959" w14:textId="77777777" w:rsidR="006F33A3" w:rsidRPr="000E52E5" w:rsidRDefault="006F33A3" w:rsidP="006F33A3">
      <w:pPr>
        <w:tabs>
          <w:tab w:val="left" w:pos="709"/>
        </w:tabs>
        <w:spacing w:after="0" w:line="240" w:lineRule="auto"/>
        <w:jc w:val="both"/>
        <w:rPr>
          <w:rFonts w:ascii="Verdana" w:eastAsia="Calibri" w:hAnsi="Verdana" w:cs="Arial"/>
          <w:bCs/>
          <w:sz w:val="20"/>
          <w:szCs w:val="20"/>
          <w:lang w:val="es-ES_tradnl"/>
        </w:rPr>
      </w:pPr>
      <w:r w:rsidRPr="000E52E5">
        <w:rPr>
          <w:rFonts w:ascii="Verdana" w:eastAsia="Calibri" w:hAnsi="Verdana" w:cs="Arial"/>
          <w:bCs/>
          <w:sz w:val="20"/>
          <w:szCs w:val="20"/>
          <w:lang w:val="es-ES_tradnl"/>
        </w:rPr>
        <w:t xml:space="preserve">Así las cosas, Colombia Compra Eficiente considera que no hay lugar a acceder, por ejemplo, a solicitudes de </w:t>
      </w:r>
      <w:r w:rsidRPr="000E52E5">
        <w:rPr>
          <w:rFonts w:ascii="Verdana" w:eastAsia="Calibri" w:hAnsi="Verdana" w:cs="Arial"/>
          <w:bCs/>
          <w:i/>
          <w:iCs/>
          <w:sz w:val="20"/>
          <w:szCs w:val="20"/>
          <w:lang w:val="es-ES_tradnl"/>
        </w:rPr>
        <w:t>revocación directa</w:t>
      </w:r>
      <w:r w:rsidRPr="000E52E5">
        <w:rPr>
          <w:rFonts w:ascii="Verdana" w:eastAsia="Calibri" w:hAnsi="Verdana" w:cs="Arial"/>
          <w:bCs/>
          <w:sz w:val="20"/>
          <w:szCs w:val="20"/>
          <w:lang w:val="es-ES_tradnl"/>
        </w:rPr>
        <w:t xml:space="preserve"> de los conceptos, pues no son actos administrativos, no tienen efectos vinculantes en relación con una situación jurídica particular y concreta, y exponen un criterio que, aunque jurídicamente fundamentado, no representan necesariamente la </w:t>
      </w:r>
      <w:r w:rsidRPr="000E52E5">
        <w:rPr>
          <w:rFonts w:ascii="Verdana" w:eastAsia="Calibri" w:hAnsi="Verdana" w:cs="Arial"/>
          <w:bCs/>
          <w:i/>
          <w:iCs/>
          <w:sz w:val="20"/>
          <w:szCs w:val="20"/>
          <w:lang w:val="es-ES_tradnl"/>
        </w:rPr>
        <w:t>única</w:t>
      </w:r>
      <w:r w:rsidRPr="000E52E5">
        <w:rPr>
          <w:rFonts w:ascii="Verdana" w:eastAsia="Calibri" w:hAnsi="Verdana" w:cs="Arial"/>
          <w:bCs/>
          <w:sz w:val="20"/>
          <w:szCs w:val="20"/>
          <w:lang w:val="es-ES_tradnl"/>
        </w:rPr>
        <w:t xml:space="preserve"> interpretación válida del ordenamiento jurídico. Lo anterior no implica que la Agencia Nacional de Contratación Pública – Colombia Compra Eficiente considere inalterables sus posturas, pues, de ser necesario, podría replantear una tesis previamente expuesta, bajo estrictos estándares argumentativos, al emitir otro concepto, ya que, dada su falta de vinculatoriedad, la legitimación de sus posturas proviene de la fuerza de los argumentos. </w:t>
      </w:r>
    </w:p>
    <w:p w14:paraId="34555CE2" w14:textId="77777777" w:rsidR="006F33A3" w:rsidRPr="00351C52" w:rsidRDefault="006F33A3" w:rsidP="006F33A3">
      <w:pPr>
        <w:spacing w:after="0" w:line="240" w:lineRule="auto"/>
        <w:jc w:val="both"/>
        <w:textAlignment w:val="baseline"/>
        <w:rPr>
          <w:rFonts w:ascii="Verdana" w:hAnsi="Verdana" w:cs="Arial"/>
          <w:b/>
          <w:bCs/>
          <w:sz w:val="20"/>
          <w:szCs w:val="20"/>
          <w:lang w:val="es-ES_tradnl" w:eastAsia="es-CO"/>
        </w:rPr>
      </w:pPr>
    </w:p>
    <w:p w14:paraId="49D92630" w14:textId="77777777" w:rsidR="006F33A3" w:rsidRPr="00351C52" w:rsidRDefault="006F33A3" w:rsidP="006F33A3">
      <w:pPr>
        <w:spacing w:after="0" w:line="240" w:lineRule="auto"/>
        <w:jc w:val="both"/>
        <w:textAlignment w:val="baseline"/>
        <w:rPr>
          <w:rFonts w:ascii="Verdana" w:hAnsi="Verdana" w:cs="Arial"/>
          <w:b/>
          <w:bCs/>
          <w:lang w:val="es-ES_tradnl" w:eastAsia="es-CO"/>
        </w:rPr>
      </w:pPr>
      <w:r w:rsidRPr="00351C52">
        <w:rPr>
          <w:rFonts w:ascii="Verdana" w:hAnsi="Verdana" w:cs="Arial"/>
          <w:b/>
          <w:bCs/>
          <w:lang w:val="es-ES_tradnl" w:eastAsia="es-CO"/>
        </w:rPr>
        <w:lastRenderedPageBreak/>
        <w:t>LEY 816 DE 2003 – Apoyo a la industria nacional – Ámbito de aplicación</w:t>
      </w:r>
    </w:p>
    <w:p w14:paraId="2A9AE258" w14:textId="77777777" w:rsidR="006F33A3" w:rsidRPr="00351C52" w:rsidRDefault="006F33A3" w:rsidP="006F33A3">
      <w:pPr>
        <w:spacing w:after="0" w:line="240" w:lineRule="auto"/>
        <w:jc w:val="both"/>
        <w:textAlignment w:val="baseline"/>
        <w:rPr>
          <w:rFonts w:ascii="Verdana" w:hAnsi="Verdana" w:cs="Arial"/>
          <w:b/>
          <w:bCs/>
          <w:sz w:val="20"/>
          <w:szCs w:val="20"/>
          <w:lang w:val="es-ES_tradnl" w:eastAsia="es-CO"/>
        </w:rPr>
      </w:pPr>
    </w:p>
    <w:p w14:paraId="12EA1AD2" w14:textId="77777777" w:rsidR="006F33A3" w:rsidRDefault="006F33A3" w:rsidP="006F33A3">
      <w:pPr>
        <w:spacing w:after="0" w:line="240" w:lineRule="auto"/>
        <w:jc w:val="both"/>
        <w:textAlignment w:val="baseline"/>
        <w:rPr>
          <w:rFonts w:ascii="Verdana" w:hAnsi="Verdana" w:cs="Arial"/>
          <w:bCs/>
          <w:sz w:val="20"/>
          <w:szCs w:val="20"/>
          <w:lang w:val="es-ES_tradnl" w:eastAsia="es-CO"/>
        </w:rPr>
      </w:pPr>
      <w:r w:rsidRPr="00351C52">
        <w:rPr>
          <w:rFonts w:ascii="Verdana" w:hAnsi="Verdana" w:cs="Arial"/>
          <w:bCs/>
          <w:sz w:val="20"/>
          <w:szCs w:val="20"/>
          <w:lang w:val="es-ES_tradnl" w:eastAsia="es-CO"/>
        </w:rPr>
        <w:t xml:space="preserve">[…] De acuerdo con dicha norma, el primer criterio para definir la aplicabilidad de la referida ley, y en consecuencia para establecer la procedencia de incorporar factores de evaluación de apoyo a la industria nacional, consiste en determinar si las entidades estatales para seleccionar a sus contratistas deben realizarlo mediante un proceso de selección </w:t>
      </w:r>
      <w:r>
        <w:rPr>
          <w:rFonts w:ascii="Verdana" w:hAnsi="Verdana" w:cs="Arial"/>
          <w:bCs/>
          <w:sz w:val="20"/>
          <w:szCs w:val="20"/>
          <w:lang w:val="es-ES_tradnl" w:eastAsia="es-CO"/>
        </w:rPr>
        <w:t>“</w:t>
      </w:r>
      <w:r w:rsidRPr="00351C52">
        <w:rPr>
          <w:rFonts w:ascii="Verdana" w:hAnsi="Verdana" w:cs="Arial"/>
          <w:bCs/>
          <w:sz w:val="20"/>
          <w:szCs w:val="20"/>
          <w:lang w:val="es-ES_tradnl" w:eastAsia="es-CO"/>
        </w:rPr>
        <w:t>competitivo</w:t>
      </w:r>
      <w:r>
        <w:rPr>
          <w:rFonts w:ascii="Verdana" w:hAnsi="Verdana" w:cs="Arial"/>
          <w:bCs/>
          <w:sz w:val="20"/>
          <w:szCs w:val="20"/>
          <w:lang w:val="es-ES_tradnl" w:eastAsia="es-CO"/>
        </w:rPr>
        <w:t>”</w:t>
      </w:r>
      <w:r w:rsidRPr="00351C52">
        <w:rPr>
          <w:rFonts w:ascii="Verdana" w:hAnsi="Verdana" w:cs="Arial"/>
          <w:bCs/>
          <w:sz w:val="20"/>
          <w:szCs w:val="20"/>
          <w:lang w:val="es-ES_tradnl" w:eastAsia="es-CO"/>
        </w:rPr>
        <w:t xml:space="preserve">, en términos de dicha ley, ya sea, a través de licitaciones, convocatorias o concursos públicos, o mediante cualquier modalidad contractual, </w:t>
      </w:r>
      <w:r>
        <w:rPr>
          <w:rFonts w:ascii="Verdana" w:hAnsi="Verdana" w:cs="Arial"/>
          <w:bCs/>
          <w:sz w:val="20"/>
          <w:szCs w:val="20"/>
          <w:lang w:val="es-ES_tradnl" w:eastAsia="es-CO"/>
        </w:rPr>
        <w:t>“</w:t>
      </w:r>
      <w:r w:rsidRPr="00351C52">
        <w:rPr>
          <w:rFonts w:ascii="Verdana" w:hAnsi="Verdana" w:cs="Arial"/>
          <w:bCs/>
          <w:sz w:val="20"/>
          <w:szCs w:val="20"/>
          <w:lang w:val="es-ES_tradnl" w:eastAsia="es-CO"/>
        </w:rPr>
        <w:t>excepto aquellas en que la ley no obligue a solicitar más de una propuesta</w:t>
      </w:r>
      <w:r>
        <w:rPr>
          <w:rFonts w:ascii="Verdana" w:hAnsi="Verdana" w:cs="Arial"/>
          <w:bCs/>
          <w:sz w:val="20"/>
          <w:szCs w:val="20"/>
          <w:lang w:val="es-ES_tradnl" w:eastAsia="es-CO"/>
        </w:rPr>
        <w:t>”</w:t>
      </w:r>
      <w:r w:rsidRPr="00351C52">
        <w:rPr>
          <w:rFonts w:ascii="Verdana" w:hAnsi="Verdana" w:cs="Arial"/>
          <w:bCs/>
          <w:sz w:val="20"/>
          <w:szCs w:val="20"/>
          <w:lang w:val="es-ES_tradnl" w:eastAsia="es-CO"/>
        </w:rPr>
        <w:t xml:space="preserve"> . En este sentido, a un proceso de contratación le aplicará la Ley 816 de 2003 cuando la contratación se realice mediante un proceso competitivo, en cambio, si se trata de aquellos en que no se requiere más de una propuesta –como es el caso de las causales de contratación directa– no aplicará esta normativa.</w:t>
      </w:r>
    </w:p>
    <w:p w14:paraId="3A139D64" w14:textId="77777777" w:rsidR="006F33A3" w:rsidRPr="00351C52" w:rsidRDefault="006F33A3" w:rsidP="006F33A3">
      <w:pPr>
        <w:spacing w:after="0" w:line="240" w:lineRule="auto"/>
        <w:jc w:val="both"/>
        <w:textAlignment w:val="baseline"/>
        <w:rPr>
          <w:rFonts w:ascii="Verdana" w:hAnsi="Verdana" w:cs="Arial"/>
          <w:bCs/>
          <w:sz w:val="20"/>
          <w:szCs w:val="20"/>
          <w:lang w:val="es-ES_tradnl" w:eastAsia="es-CO"/>
        </w:rPr>
      </w:pPr>
    </w:p>
    <w:p w14:paraId="1D89DA86" w14:textId="77777777" w:rsidR="006F33A3" w:rsidRPr="00351C52" w:rsidRDefault="006F33A3" w:rsidP="006F33A3">
      <w:pPr>
        <w:spacing w:after="0" w:line="240" w:lineRule="auto"/>
        <w:jc w:val="both"/>
        <w:textAlignment w:val="baseline"/>
        <w:rPr>
          <w:rFonts w:ascii="Verdana" w:hAnsi="Verdana" w:cs="Arial"/>
          <w:bCs/>
          <w:sz w:val="20"/>
          <w:szCs w:val="20"/>
          <w:lang w:val="es-ES_tradnl" w:eastAsia="es-CO"/>
        </w:rPr>
      </w:pPr>
      <w:r w:rsidRPr="00351C52">
        <w:rPr>
          <w:rFonts w:ascii="Verdana" w:hAnsi="Verdana" w:cs="Arial"/>
          <w:bCs/>
          <w:sz w:val="20"/>
          <w:szCs w:val="20"/>
          <w:lang w:val="es-ES_tradnl" w:eastAsia="es-CO"/>
        </w:rPr>
        <w:t>A su vez, el artículo 1 de la Ley 816 de 2003 establece un segundo criterio para precisar su ámbito de aplicación, esto es, que cobija a todas las entidades de la Administración Pública que la integran de acuerdo con la Ley 489 de 1998, sin que la existencia de regímenes especiales pueda ser obstáculo para su observancia. Teniendo en cuenta lo anterior, la misma ley establece una excepción particular consistente en que se exceptúan las empresas prestadoras de servicios públicos domiciliarios, las cuales se regirán por las normas del derecho privado, de conformidad con preceptuado en las Leyes 142 de 1994 y 689 de 2001. En otras palabras, el segundo criterio definido en la Ley 816 de 2003 consiste en identificar si se refiere a una empresa de servicios públicos domiciliarios, puesto que esta tipología de entidades no estaría obligada a aplicar lo dispuesto en la Ley 816 de 2003.</w:t>
      </w:r>
    </w:p>
    <w:p w14:paraId="4C910E50" w14:textId="77777777" w:rsidR="006F33A3" w:rsidRPr="00351C52" w:rsidRDefault="006F33A3" w:rsidP="006F33A3">
      <w:pPr>
        <w:spacing w:after="0" w:line="240" w:lineRule="auto"/>
        <w:jc w:val="both"/>
        <w:textAlignment w:val="baseline"/>
        <w:rPr>
          <w:rFonts w:ascii="Verdana" w:hAnsi="Verdana" w:cs="Arial"/>
          <w:bCs/>
          <w:sz w:val="20"/>
          <w:szCs w:val="20"/>
          <w:lang w:val="es-ES_tradnl" w:eastAsia="es-CO"/>
        </w:rPr>
      </w:pPr>
    </w:p>
    <w:p w14:paraId="73DEDF69" w14:textId="77777777" w:rsidR="006F33A3" w:rsidRPr="00351C52" w:rsidRDefault="006F33A3" w:rsidP="006F33A3">
      <w:pPr>
        <w:spacing w:after="0" w:line="240" w:lineRule="auto"/>
        <w:jc w:val="both"/>
        <w:textAlignment w:val="baseline"/>
        <w:rPr>
          <w:rFonts w:ascii="Verdana" w:hAnsi="Verdana" w:cs="Arial"/>
          <w:b/>
          <w:bCs/>
          <w:lang w:val="es-ES_tradnl" w:eastAsia="es-CO"/>
        </w:rPr>
      </w:pPr>
      <w:r w:rsidRPr="00351C52">
        <w:rPr>
          <w:rFonts w:ascii="Verdana" w:hAnsi="Verdana" w:cs="Arial"/>
          <w:b/>
          <w:bCs/>
          <w:lang w:val="es-ES_tradnl" w:eastAsia="es-CO"/>
        </w:rPr>
        <w:t>DECRETO 680 DE 2021 – Regla de origen – Alcance servicios nacionales</w:t>
      </w:r>
    </w:p>
    <w:p w14:paraId="482DC2DE" w14:textId="77777777" w:rsidR="006F33A3" w:rsidRPr="00351C52" w:rsidRDefault="006F33A3" w:rsidP="006F33A3">
      <w:pPr>
        <w:spacing w:after="0" w:line="240" w:lineRule="auto"/>
        <w:jc w:val="both"/>
        <w:textAlignment w:val="baseline"/>
        <w:rPr>
          <w:rFonts w:ascii="Verdana" w:hAnsi="Verdana" w:cs="Arial"/>
          <w:b/>
          <w:bCs/>
          <w:sz w:val="20"/>
          <w:szCs w:val="20"/>
          <w:lang w:val="es-ES_tradnl" w:eastAsia="es-CO"/>
        </w:rPr>
      </w:pPr>
    </w:p>
    <w:p w14:paraId="1E99A4EE" w14:textId="77777777" w:rsidR="006F33A3" w:rsidRPr="00351C52" w:rsidRDefault="006F33A3" w:rsidP="006F33A3">
      <w:pPr>
        <w:spacing w:after="0" w:line="240" w:lineRule="auto"/>
        <w:jc w:val="both"/>
        <w:textAlignment w:val="baseline"/>
        <w:rPr>
          <w:rFonts w:ascii="Verdana" w:hAnsi="Verdana" w:cs="Arial"/>
          <w:bCs/>
          <w:sz w:val="20"/>
          <w:szCs w:val="20"/>
          <w:lang w:val="es-ES_tradnl" w:eastAsia="es-CO"/>
        </w:rPr>
      </w:pPr>
      <w:r w:rsidRPr="00351C52">
        <w:rPr>
          <w:rFonts w:ascii="Verdana" w:hAnsi="Verdana" w:cs="Arial"/>
          <w:bCs/>
          <w:sz w:val="20"/>
          <w:szCs w:val="20"/>
          <w:lang w:val="es-ES_tradnl" w:eastAsia="es-CO"/>
        </w:rPr>
        <w:t xml:space="preserve">Conforme con la nueva noción de </w:t>
      </w:r>
      <w:r>
        <w:rPr>
          <w:rFonts w:ascii="Verdana" w:hAnsi="Verdana" w:cs="Arial"/>
          <w:bCs/>
          <w:sz w:val="20"/>
          <w:szCs w:val="20"/>
          <w:lang w:val="es-ES_tradnl" w:eastAsia="es-CO"/>
        </w:rPr>
        <w:t>“</w:t>
      </w:r>
      <w:r w:rsidRPr="00351C52">
        <w:rPr>
          <w:rFonts w:ascii="Verdana" w:hAnsi="Verdana" w:cs="Arial"/>
          <w:bCs/>
          <w:sz w:val="20"/>
          <w:szCs w:val="20"/>
          <w:lang w:val="es-ES_tradnl" w:eastAsia="es-CO"/>
        </w:rPr>
        <w:t>Servicios Nacionales</w:t>
      </w:r>
      <w:r>
        <w:rPr>
          <w:rFonts w:ascii="Verdana" w:hAnsi="Verdana" w:cs="Arial"/>
          <w:bCs/>
          <w:sz w:val="20"/>
          <w:szCs w:val="20"/>
          <w:lang w:val="es-ES_tradnl" w:eastAsia="es-CO"/>
        </w:rPr>
        <w:t>”</w:t>
      </w:r>
      <w:r w:rsidRPr="00351C52">
        <w:rPr>
          <w:rFonts w:ascii="Verdana" w:hAnsi="Verdana" w:cs="Arial"/>
          <w:bCs/>
          <w:sz w:val="20"/>
          <w:szCs w:val="20"/>
          <w:lang w:val="es-ES_tradnl" w:eastAsia="es-CO"/>
        </w:rPr>
        <w:t xml:space="preserve"> introducida por dicha norma, si el contrato estatal debe cumplirse en Colombia, </w:t>
      </w:r>
      <w:r>
        <w:rPr>
          <w:rFonts w:ascii="Verdana" w:hAnsi="Verdana" w:cs="Arial"/>
          <w:bCs/>
          <w:sz w:val="20"/>
          <w:szCs w:val="20"/>
          <w:lang w:val="es-ES_tradnl" w:eastAsia="es-CO"/>
        </w:rPr>
        <w:t>“</w:t>
      </w:r>
      <w:r w:rsidRPr="00351C52">
        <w:rPr>
          <w:rFonts w:ascii="Verdana" w:hAnsi="Verdana" w:cs="Arial"/>
          <w:bCs/>
          <w:sz w:val="20"/>
          <w:szCs w:val="20"/>
          <w:lang w:val="es-ES_tradnl" w:eastAsia="es-CO"/>
        </w:rPr>
        <w:t>[…]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r>
        <w:rPr>
          <w:rFonts w:ascii="Verdana" w:hAnsi="Verdana" w:cs="Arial"/>
          <w:bCs/>
          <w:sz w:val="20"/>
          <w:szCs w:val="20"/>
          <w:lang w:val="es-ES_tradnl" w:eastAsia="es-CO"/>
        </w:rPr>
        <w:t>”</w:t>
      </w:r>
      <w:r w:rsidRPr="00351C52">
        <w:rPr>
          <w:rFonts w:ascii="Verdana" w:hAnsi="Verdana" w:cs="Arial"/>
          <w:bCs/>
          <w:sz w:val="20"/>
          <w:szCs w:val="20"/>
          <w:lang w:val="es-ES_tradnl" w:eastAsia="es-CO"/>
        </w:rPr>
        <w:t xml:space="preserve">. A continuación, dicho artículo establece que si el contrato estatal debe cumplirse en el extranjero y se somete a la normativa colombiana, </w:t>
      </w:r>
      <w:r>
        <w:rPr>
          <w:rFonts w:ascii="Verdana" w:hAnsi="Verdana" w:cs="Arial"/>
          <w:bCs/>
          <w:sz w:val="20"/>
          <w:szCs w:val="20"/>
          <w:lang w:val="es-ES_tradnl" w:eastAsia="es-CO"/>
        </w:rPr>
        <w:t>“</w:t>
      </w:r>
      <w:r w:rsidRPr="00351C52">
        <w:rPr>
          <w:rFonts w:ascii="Verdana" w:hAnsi="Verdana" w:cs="Arial"/>
          <w:bCs/>
          <w:sz w:val="20"/>
          <w:szCs w:val="20"/>
          <w:lang w:val="es-ES_tradnl" w:eastAsia="es-CO"/>
        </w:rPr>
        <w:t>[…]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r>
        <w:rPr>
          <w:rFonts w:ascii="Verdana" w:hAnsi="Verdana" w:cs="Arial"/>
          <w:bCs/>
          <w:sz w:val="20"/>
          <w:szCs w:val="20"/>
          <w:lang w:val="es-ES_tradnl" w:eastAsia="es-CO"/>
        </w:rPr>
        <w:t>”</w:t>
      </w:r>
      <w:r w:rsidRPr="00351C52">
        <w:rPr>
          <w:rFonts w:ascii="Verdana" w:hAnsi="Verdana" w:cs="Arial"/>
          <w:bCs/>
          <w:sz w:val="20"/>
          <w:szCs w:val="20"/>
          <w:lang w:val="es-ES_tradnl" w:eastAsia="es-CO"/>
        </w:rPr>
        <w:t>.</w:t>
      </w:r>
    </w:p>
    <w:p w14:paraId="0758EF9E" w14:textId="77777777" w:rsidR="006F33A3" w:rsidRPr="00351C52" w:rsidRDefault="006F33A3" w:rsidP="006F33A3">
      <w:pPr>
        <w:spacing w:after="0" w:line="240" w:lineRule="auto"/>
        <w:jc w:val="both"/>
        <w:textAlignment w:val="baseline"/>
        <w:rPr>
          <w:rFonts w:ascii="Verdana" w:hAnsi="Verdana" w:cs="Arial"/>
          <w:bCs/>
          <w:sz w:val="20"/>
          <w:szCs w:val="20"/>
          <w:lang w:val="es-ES_tradnl" w:eastAsia="es-CO"/>
        </w:rPr>
      </w:pPr>
    </w:p>
    <w:p w14:paraId="79ED39DD" w14:textId="77777777" w:rsidR="006F33A3" w:rsidRPr="00351C52" w:rsidRDefault="006F33A3" w:rsidP="006F33A3">
      <w:pPr>
        <w:spacing w:after="0" w:line="240" w:lineRule="auto"/>
        <w:jc w:val="both"/>
        <w:textAlignment w:val="baseline"/>
        <w:rPr>
          <w:rFonts w:ascii="Verdana" w:hAnsi="Verdana" w:cs="Arial"/>
          <w:b/>
          <w:bCs/>
          <w:lang w:val="es-ES_tradnl" w:eastAsia="es-CO"/>
        </w:rPr>
      </w:pPr>
      <w:r w:rsidRPr="00351C52">
        <w:rPr>
          <w:rFonts w:ascii="Verdana" w:hAnsi="Verdana" w:cs="Arial"/>
          <w:b/>
          <w:bCs/>
          <w:lang w:val="es-ES_tradnl" w:eastAsia="es-CO"/>
        </w:rPr>
        <w:t>DECRETO 680 DE 2021 – Regla de origen – Criterios – Identificación – Bienes nacionales relevantes</w:t>
      </w:r>
    </w:p>
    <w:p w14:paraId="1CD1DFB4" w14:textId="77777777" w:rsidR="006F33A3" w:rsidRPr="00351C52" w:rsidRDefault="006F33A3" w:rsidP="006F33A3">
      <w:pPr>
        <w:spacing w:after="0" w:line="240" w:lineRule="auto"/>
        <w:jc w:val="both"/>
        <w:textAlignment w:val="baseline"/>
        <w:rPr>
          <w:rFonts w:ascii="Verdana" w:hAnsi="Verdana" w:cs="Arial"/>
          <w:bCs/>
          <w:sz w:val="20"/>
          <w:szCs w:val="20"/>
          <w:lang w:val="es-ES_tradnl" w:eastAsia="es-CO"/>
        </w:rPr>
      </w:pPr>
    </w:p>
    <w:p w14:paraId="3A7FBF01" w14:textId="77777777" w:rsidR="006F33A3" w:rsidRDefault="006F33A3" w:rsidP="006F33A3">
      <w:pPr>
        <w:spacing w:after="0" w:line="240" w:lineRule="auto"/>
        <w:jc w:val="both"/>
        <w:textAlignment w:val="baseline"/>
        <w:rPr>
          <w:rFonts w:ascii="Verdana" w:hAnsi="Verdana" w:cs="Arial"/>
          <w:bCs/>
          <w:sz w:val="20"/>
          <w:szCs w:val="20"/>
          <w:lang w:val="es-ES_tradnl" w:eastAsia="es-CO"/>
        </w:rPr>
      </w:pPr>
      <w:r w:rsidRPr="00351C52">
        <w:rPr>
          <w:rFonts w:ascii="Verdana" w:hAnsi="Verdana" w:cs="Arial"/>
          <w:bCs/>
          <w:sz w:val="20"/>
          <w:szCs w:val="20"/>
          <w:lang w:val="es-ES_tradnl" w:eastAsia="es-CO"/>
        </w:rPr>
        <w:t xml:space="preserve">Según el artículo 2.2.1.2.4.2.9 del Decreto 1082 de 2015, adicionado por el Decreto 680 de 2021, que desarrolla lo establecido en la Ley 816 de 2003, para definir los bienes colombianos relevantes, la entidad estatal debe tener en cuenta tres criterios, a saber: i) </w:t>
      </w:r>
      <w:r>
        <w:rPr>
          <w:rFonts w:ascii="Verdana" w:hAnsi="Verdana" w:cs="Arial"/>
          <w:bCs/>
          <w:sz w:val="20"/>
          <w:szCs w:val="20"/>
          <w:lang w:val="es-ES_tradnl" w:eastAsia="es-CO"/>
        </w:rPr>
        <w:t>“</w:t>
      </w:r>
      <w:r w:rsidRPr="00351C52">
        <w:rPr>
          <w:rFonts w:ascii="Verdana" w:hAnsi="Verdana" w:cs="Arial"/>
          <w:bCs/>
          <w:sz w:val="20"/>
          <w:szCs w:val="20"/>
          <w:lang w:val="es-ES_tradnl" w:eastAsia="es-CO"/>
        </w:rPr>
        <w:t>el análisis del sector económico y de los oferentes, y, toda aquella información adicional con la que cuente la entidad estatal en la etapa de planeación del Proceso de Contratación</w:t>
      </w:r>
      <w:r>
        <w:rPr>
          <w:rFonts w:ascii="Verdana" w:hAnsi="Verdana" w:cs="Arial"/>
          <w:bCs/>
          <w:sz w:val="20"/>
          <w:szCs w:val="20"/>
          <w:lang w:val="es-ES_tradnl" w:eastAsia="es-CO"/>
        </w:rPr>
        <w:t>”</w:t>
      </w:r>
      <w:r w:rsidRPr="00351C52">
        <w:rPr>
          <w:rFonts w:ascii="Verdana" w:hAnsi="Verdana" w:cs="Arial"/>
          <w:bCs/>
          <w:sz w:val="20"/>
          <w:szCs w:val="20"/>
          <w:lang w:val="es-ES_tradnl" w:eastAsia="es-CO"/>
        </w:rPr>
        <w:t xml:space="preserve">, </w:t>
      </w:r>
      <w:proofErr w:type="spellStart"/>
      <w:r w:rsidRPr="00351C52">
        <w:rPr>
          <w:rFonts w:ascii="Verdana" w:hAnsi="Verdana" w:cs="Arial"/>
          <w:bCs/>
          <w:sz w:val="20"/>
          <w:szCs w:val="20"/>
          <w:lang w:val="es-ES_tradnl" w:eastAsia="es-CO"/>
        </w:rPr>
        <w:t>ii</w:t>
      </w:r>
      <w:proofErr w:type="spellEnd"/>
      <w:r w:rsidRPr="00351C52">
        <w:rPr>
          <w:rFonts w:ascii="Verdana" w:hAnsi="Verdana" w:cs="Arial"/>
          <w:bCs/>
          <w:sz w:val="20"/>
          <w:szCs w:val="20"/>
          <w:lang w:val="es-ES_tradnl" w:eastAsia="es-CO"/>
        </w:rPr>
        <w:t xml:space="preserve">) el porcentaje de participación de los bienes en el presupuesto del Proceso de Contratación y </w:t>
      </w:r>
      <w:proofErr w:type="spellStart"/>
      <w:r w:rsidRPr="00351C52">
        <w:rPr>
          <w:rFonts w:ascii="Verdana" w:hAnsi="Verdana" w:cs="Arial"/>
          <w:bCs/>
          <w:sz w:val="20"/>
          <w:szCs w:val="20"/>
          <w:lang w:val="es-ES_tradnl" w:eastAsia="es-CO"/>
        </w:rPr>
        <w:t>iii</w:t>
      </w:r>
      <w:proofErr w:type="spellEnd"/>
      <w:r w:rsidRPr="00351C52">
        <w:rPr>
          <w:rFonts w:ascii="Verdana" w:hAnsi="Verdana" w:cs="Arial"/>
          <w:bCs/>
          <w:sz w:val="20"/>
          <w:szCs w:val="20"/>
          <w:lang w:val="es-ES_tradnl" w:eastAsia="es-CO"/>
        </w:rPr>
        <w:t>) la existencia de los bienes en el Registro de Productores de Bienes Nacionales, en los términos del Decreto 2680 de 2009. En aplicación de estos criterios, corresponde a la entidad estatal determinar en los respectivos pliegos de condiciones o documentos equivalentes, la metodología conforme con la cual se asignará el puntaje correspondiente por apoyo a la industria nacional.</w:t>
      </w:r>
    </w:p>
    <w:p w14:paraId="51CF4F32" w14:textId="77777777" w:rsidR="006F33A3" w:rsidRDefault="006F33A3" w:rsidP="006F33A3">
      <w:pPr>
        <w:spacing w:after="0" w:line="240" w:lineRule="auto"/>
        <w:jc w:val="both"/>
        <w:textAlignment w:val="baseline"/>
        <w:rPr>
          <w:rFonts w:ascii="Verdana" w:hAnsi="Verdana" w:cs="Arial"/>
          <w:bCs/>
          <w:sz w:val="20"/>
          <w:szCs w:val="20"/>
          <w:lang w:val="es-ES_tradnl" w:eastAsia="es-CO"/>
        </w:rPr>
      </w:pPr>
    </w:p>
    <w:p w14:paraId="191E1618" w14:textId="77777777" w:rsidR="006F33A3" w:rsidRPr="00E44C09" w:rsidRDefault="006F33A3" w:rsidP="006F33A3">
      <w:pPr>
        <w:spacing w:after="0" w:line="240" w:lineRule="auto"/>
        <w:jc w:val="both"/>
        <w:textAlignment w:val="baseline"/>
        <w:rPr>
          <w:rFonts w:ascii="Verdana" w:hAnsi="Verdana" w:cs="Arial"/>
          <w:b/>
          <w:lang w:val="es-ES_tradnl" w:eastAsia="es-CO"/>
        </w:rPr>
      </w:pPr>
      <w:r w:rsidRPr="00E44C09">
        <w:rPr>
          <w:rFonts w:ascii="Verdana" w:hAnsi="Verdana" w:cs="Arial"/>
          <w:b/>
          <w:lang w:val="es-ES_tradnl" w:eastAsia="es-CO"/>
        </w:rPr>
        <w:t>CONCEPTO C-1287 DEL 14 DE OCTUBRE DE 2025 – Ratificación</w:t>
      </w:r>
    </w:p>
    <w:p w14:paraId="324263E5" w14:textId="77777777" w:rsidR="006F33A3" w:rsidRDefault="006F33A3" w:rsidP="006F33A3">
      <w:pPr>
        <w:spacing w:after="0" w:line="240" w:lineRule="auto"/>
        <w:jc w:val="both"/>
        <w:textAlignment w:val="baseline"/>
        <w:rPr>
          <w:rFonts w:ascii="Verdana" w:hAnsi="Verdana" w:cs="Arial"/>
          <w:bCs/>
          <w:sz w:val="20"/>
          <w:szCs w:val="20"/>
          <w:lang w:val="es-ES_tradnl" w:eastAsia="es-CO"/>
        </w:rPr>
      </w:pPr>
    </w:p>
    <w:p w14:paraId="37FF257A" w14:textId="77777777" w:rsidR="006F33A3" w:rsidRDefault="006F33A3" w:rsidP="006F33A3">
      <w:pPr>
        <w:spacing w:after="0" w:line="240" w:lineRule="auto"/>
        <w:jc w:val="both"/>
        <w:textAlignment w:val="baseline"/>
        <w:rPr>
          <w:rFonts w:ascii="Verdana" w:hAnsi="Verdana" w:cs="Arial"/>
          <w:bCs/>
          <w:sz w:val="20"/>
          <w:szCs w:val="20"/>
          <w:lang w:val="es-ES_tradnl" w:eastAsia="es-CO"/>
        </w:rPr>
      </w:pPr>
      <w:r>
        <w:rPr>
          <w:rFonts w:ascii="Verdana" w:hAnsi="Verdana" w:cs="Arial"/>
          <w:bCs/>
          <w:sz w:val="20"/>
          <w:szCs w:val="20"/>
          <w:lang w:val="es-ES_tradnl" w:eastAsia="es-CO"/>
        </w:rPr>
        <w:t>L</w:t>
      </w:r>
      <w:r w:rsidRPr="00BC5BD4">
        <w:rPr>
          <w:rFonts w:ascii="Verdana" w:hAnsi="Verdana" w:cs="Arial"/>
          <w:bCs/>
          <w:sz w:val="20"/>
          <w:szCs w:val="20"/>
          <w:lang w:val="es-ES_tradnl" w:eastAsia="es-CO"/>
        </w:rPr>
        <w:t xml:space="preserve">os puntos para la promoción de la industria nacional sólo deben concederse al proponente si éste cuenta con el respectivo Registro de Productores de Bienes Nacionales para los bienes relevantes que ofrece para la prestación del servicio. Ello se desprende del inciso primero del artículo 2.2.1.2.4.2.9 del Decreto 1082 de 2015, adicionado por el artículo 2 del Decreto 680 de 2021, pues la norma dispone que el puntaje beneficia “[…] al proponente que oferte Servicios Nacionales […]”. En concordancia con el inciso primero del artículo 2.2.1.1.1.3.1 ibidem, modificado por el artículo 1 del Decreto </w:t>
      </w:r>
      <w:r>
        <w:rPr>
          <w:rFonts w:ascii="Verdana" w:hAnsi="Verdana" w:cs="Arial"/>
          <w:bCs/>
          <w:sz w:val="20"/>
          <w:szCs w:val="20"/>
          <w:lang w:val="es-ES_tradnl" w:eastAsia="es-CO"/>
        </w:rPr>
        <w:t>680 de 2021</w:t>
      </w:r>
      <w:r w:rsidRPr="00BC5BD4">
        <w:rPr>
          <w:rFonts w:ascii="Verdana" w:hAnsi="Verdana" w:cs="Arial"/>
          <w:bCs/>
          <w:sz w:val="20"/>
          <w:szCs w:val="20"/>
          <w:lang w:val="es-ES_tradnl" w:eastAsia="es-CO"/>
        </w:rPr>
        <w:t>, la propuesta debe incluir también “[…] los bienes nacionales relevantes definidos por la Entidad Estatal […]” que usará el contratista para el cumplimiento de las obligaciones.</w:t>
      </w:r>
    </w:p>
    <w:p w14:paraId="524D98A1" w14:textId="77777777" w:rsidR="006F33A3" w:rsidRPr="00BC5BD4" w:rsidRDefault="006F33A3" w:rsidP="006F33A3">
      <w:pPr>
        <w:spacing w:after="0" w:line="240" w:lineRule="auto"/>
        <w:jc w:val="both"/>
        <w:textAlignment w:val="baseline"/>
        <w:rPr>
          <w:rFonts w:ascii="Verdana" w:hAnsi="Verdana" w:cs="Arial"/>
          <w:bCs/>
          <w:sz w:val="20"/>
          <w:szCs w:val="20"/>
          <w:lang w:val="es-ES_tradnl" w:eastAsia="es-CO"/>
        </w:rPr>
      </w:pPr>
    </w:p>
    <w:p w14:paraId="05E53421" w14:textId="77777777" w:rsidR="006F33A3" w:rsidRDefault="006F33A3" w:rsidP="006F33A3">
      <w:pPr>
        <w:spacing w:after="0" w:line="240" w:lineRule="auto"/>
        <w:jc w:val="both"/>
        <w:textAlignment w:val="baseline"/>
        <w:rPr>
          <w:rFonts w:ascii="Verdana" w:hAnsi="Verdana" w:cs="Arial"/>
          <w:bCs/>
          <w:sz w:val="20"/>
          <w:szCs w:val="20"/>
          <w:lang w:val="es-ES_tradnl" w:eastAsia="es-CO"/>
        </w:rPr>
      </w:pPr>
      <w:r w:rsidRPr="00BC5BD4">
        <w:rPr>
          <w:rFonts w:ascii="Verdana" w:hAnsi="Verdana" w:cs="Arial"/>
          <w:bCs/>
          <w:sz w:val="20"/>
          <w:szCs w:val="20"/>
          <w:lang w:val="es-ES_tradnl" w:eastAsia="es-CO"/>
        </w:rPr>
        <w:t>La oferta es un acto personal del proponente. Luego, también debe producir los bienes nacionales relevantes para la prestación del servicio, lo que implica la inscripción en el registro correspondiente, ya que la propuesta no compromete a que terceros le suministren dichos bienes si eventualmente resulta adjudicatario. Por ello, dado que “[…] en sectores como la construcción, la consultoría y la interventoría los contratistas son consumidores e integradores de bienes nacionales, mas no productores de los mismos […]”, el inciso primero del artículo 2.2.1.1.1.3.1 del Decreto 1082 de 2015 brinda la posibilidad de que el ofrecimiento de los bienes nacionales relevantes que se usarán para la prestación del servicio sea realizado no solo “[…] por una persona natural colombiana o por un residente en Colombia, por una persona jurídica constituida de conformidad con la legislación colombiana […]”, sino también “[…] por un proponente plural conformado por estos o por estos y un extranjero con trato nacional […]”.</w:t>
      </w:r>
    </w:p>
    <w:p w14:paraId="450D8F15" w14:textId="77777777" w:rsidR="006F33A3" w:rsidRPr="00BC5BD4" w:rsidRDefault="006F33A3" w:rsidP="006F33A3">
      <w:pPr>
        <w:spacing w:after="0" w:line="240" w:lineRule="auto"/>
        <w:jc w:val="both"/>
        <w:textAlignment w:val="baseline"/>
        <w:rPr>
          <w:rFonts w:ascii="Verdana" w:hAnsi="Verdana" w:cs="Arial"/>
          <w:bCs/>
          <w:sz w:val="20"/>
          <w:szCs w:val="20"/>
          <w:lang w:val="es-ES_tradnl" w:eastAsia="es-CO"/>
        </w:rPr>
      </w:pPr>
    </w:p>
    <w:p w14:paraId="34370234" w14:textId="77777777" w:rsidR="006F33A3" w:rsidRDefault="006F33A3" w:rsidP="006F33A3">
      <w:pPr>
        <w:spacing w:after="0" w:line="240" w:lineRule="auto"/>
        <w:jc w:val="both"/>
        <w:textAlignment w:val="baseline"/>
        <w:rPr>
          <w:rFonts w:ascii="Verdana" w:hAnsi="Verdana" w:cs="Arial"/>
          <w:bCs/>
          <w:sz w:val="20"/>
          <w:szCs w:val="20"/>
          <w:lang w:val="es-ES_tradnl" w:eastAsia="es-CO"/>
        </w:rPr>
      </w:pPr>
      <w:r w:rsidRPr="00BC5BD4">
        <w:rPr>
          <w:rFonts w:ascii="Verdana" w:hAnsi="Verdana" w:cs="Arial"/>
          <w:bCs/>
          <w:sz w:val="20"/>
          <w:szCs w:val="20"/>
          <w:lang w:val="es-ES_tradnl" w:eastAsia="es-CO"/>
        </w:rPr>
        <w:t>Es decir, si del estudio del sector económico se deprende que “[…] el mercado está compuesto mayoritariamente por empresas prestadoras de servicios que utilizan bienes nacionales producidos por terceros […]”, corresponde a los interesados analizar la posibilidad de presentar la propuesta en torno a los servicios y los bienes nacionales relevantes para su prestación a través de consorcios o uniones temporales. Ello asegura que los bienes requeridos sean suministrados directamente por el oferente adjudicatario, sin depender de terceros ajenos al contrato estatal celebrado</w:t>
      </w:r>
      <w:r>
        <w:rPr>
          <w:rFonts w:ascii="Verdana" w:hAnsi="Verdana" w:cs="Arial"/>
          <w:bCs/>
          <w:sz w:val="20"/>
          <w:szCs w:val="20"/>
          <w:lang w:val="es-ES_tradnl" w:eastAsia="es-CO"/>
        </w:rPr>
        <w:t>.</w:t>
      </w:r>
    </w:p>
    <w:p w14:paraId="3D5C5C1C" w14:textId="77777777" w:rsidR="006F33A3" w:rsidRPr="00BC5BD4" w:rsidRDefault="006F33A3" w:rsidP="006F33A3">
      <w:pPr>
        <w:spacing w:after="0" w:line="240" w:lineRule="auto"/>
        <w:jc w:val="both"/>
        <w:textAlignment w:val="baseline"/>
        <w:rPr>
          <w:rFonts w:ascii="Verdana" w:hAnsi="Verdana" w:cs="Arial"/>
          <w:bCs/>
          <w:sz w:val="20"/>
          <w:szCs w:val="20"/>
          <w:lang w:val="es-ES_tradnl" w:eastAsia="es-CO"/>
        </w:rPr>
      </w:pPr>
    </w:p>
    <w:p w14:paraId="1B466222" w14:textId="77777777" w:rsidR="006F33A3" w:rsidRDefault="006F33A3" w:rsidP="006F33A3">
      <w:pPr>
        <w:spacing w:after="0" w:line="240" w:lineRule="auto"/>
        <w:jc w:val="both"/>
        <w:textAlignment w:val="baseline"/>
        <w:rPr>
          <w:rFonts w:ascii="Verdana" w:hAnsi="Verdana" w:cs="Arial"/>
          <w:bCs/>
          <w:sz w:val="20"/>
          <w:szCs w:val="20"/>
          <w:lang w:val="es-ES_tradnl" w:eastAsia="es-CO"/>
        </w:rPr>
      </w:pPr>
      <w:r w:rsidRPr="00BC5BD4">
        <w:rPr>
          <w:rFonts w:ascii="Verdana" w:hAnsi="Verdana" w:cs="Arial"/>
          <w:bCs/>
          <w:sz w:val="20"/>
          <w:szCs w:val="20"/>
          <w:lang w:val="es-ES_tradnl" w:eastAsia="es-CO"/>
        </w:rPr>
        <w:t>Asimismo, descarta “[…] restricciones a la libre concurrencia y a la pluralidad de oferentes […]”, pues el ordenamiento contempla la posibilidad de conformar estructuras plurales para quienes presten servicios nacionales sin tener la calidad de productores registrados. Lo anterior, en la medida que tienen la opción de aunar esfuerzos con los que cumplan dicha condición para acceder al puntaje de industria nacional en los términos de los artículos 1 y 2 del Decreto 680 de 2021. Esto permite “[…] incentivar la utilización efectiva de bienes nacionales durante la ejecución contractual […]”, pues se reitera que la oferta es un acto personal del proponente, razón por la que no compromete a que terceros le suministren dichos bienes si eventualmente resulta adjudicatario. Así, debe ofrecer tanto los servicios como la producción de los bienes usados para prestarlos</w:t>
      </w:r>
      <w:r>
        <w:rPr>
          <w:rFonts w:ascii="Verdana" w:hAnsi="Verdana" w:cs="Arial"/>
          <w:bCs/>
          <w:sz w:val="20"/>
          <w:szCs w:val="20"/>
          <w:lang w:val="es-ES_tradnl" w:eastAsia="es-CO"/>
        </w:rPr>
        <w:t>.</w:t>
      </w:r>
    </w:p>
    <w:p w14:paraId="762F8286" w14:textId="77777777" w:rsidR="006F33A3" w:rsidRPr="00351C52" w:rsidRDefault="006F33A3" w:rsidP="006F33A3">
      <w:pPr>
        <w:spacing w:after="0" w:line="240" w:lineRule="auto"/>
        <w:jc w:val="both"/>
        <w:textAlignment w:val="baseline"/>
        <w:rPr>
          <w:rFonts w:ascii="Verdana" w:hAnsi="Verdana" w:cs="Arial"/>
          <w:bCs/>
          <w:sz w:val="20"/>
          <w:szCs w:val="20"/>
          <w:lang w:val="es-ES_tradnl" w:eastAsia="es-CO"/>
        </w:rPr>
      </w:pPr>
    </w:p>
    <w:p w14:paraId="17AF3629" w14:textId="77777777" w:rsidR="006F33A3" w:rsidRPr="00693830" w:rsidRDefault="006F33A3" w:rsidP="006F33A3">
      <w:pPr>
        <w:spacing w:after="0" w:line="240" w:lineRule="auto"/>
        <w:jc w:val="both"/>
        <w:textAlignment w:val="baseline"/>
        <w:rPr>
          <w:rFonts w:ascii="Verdana" w:hAnsi="Verdana" w:cs="Arial"/>
          <w:bCs/>
          <w:sz w:val="20"/>
          <w:szCs w:val="20"/>
          <w:lang w:val="es-ES_tradnl" w:eastAsia="es-CO"/>
        </w:rPr>
      </w:pPr>
    </w:p>
    <w:p w14:paraId="37BD7087" w14:textId="77777777" w:rsidR="006F33A3" w:rsidRPr="002D2E27" w:rsidRDefault="006F33A3" w:rsidP="006F33A3">
      <w:pPr>
        <w:spacing w:after="0" w:line="240" w:lineRule="auto"/>
        <w:jc w:val="both"/>
        <w:textAlignment w:val="baseline"/>
        <w:rPr>
          <w:rFonts w:ascii="Verdana" w:hAnsi="Verdana" w:cs="Arial"/>
          <w:bCs/>
          <w:sz w:val="20"/>
          <w:szCs w:val="20"/>
          <w:lang w:val="es-ES_tradnl" w:eastAsia="es-CO"/>
        </w:rPr>
      </w:pPr>
    </w:p>
    <w:p w14:paraId="7992B645" w14:textId="77777777" w:rsidR="006F33A3" w:rsidRDefault="006F33A3" w:rsidP="006F33A3">
      <w:pPr>
        <w:spacing w:after="0" w:line="240" w:lineRule="auto"/>
        <w:rPr>
          <w:rFonts w:ascii="Verdana" w:eastAsia="Geomanist Light" w:hAnsi="Verdana" w:cs="Arial"/>
          <w:color w:val="000000" w:themeColor="text1"/>
          <w:lang w:val="es-MX"/>
        </w:rPr>
      </w:pPr>
    </w:p>
    <w:p w14:paraId="0C675CFF" w14:textId="77777777" w:rsidR="006F33A3" w:rsidRDefault="006F33A3" w:rsidP="006F33A3">
      <w:pPr>
        <w:spacing w:after="0" w:line="240" w:lineRule="auto"/>
        <w:rPr>
          <w:rFonts w:ascii="Verdana" w:eastAsia="Geomanist Light" w:hAnsi="Verdana" w:cs="Arial"/>
          <w:color w:val="000000" w:themeColor="text1"/>
          <w:lang w:val="es-MX"/>
        </w:rPr>
      </w:pPr>
    </w:p>
    <w:p w14:paraId="746753B6" w14:textId="77777777" w:rsidR="006F33A3" w:rsidRDefault="006F33A3" w:rsidP="006F33A3">
      <w:pPr>
        <w:spacing w:after="0" w:line="240" w:lineRule="auto"/>
        <w:rPr>
          <w:rFonts w:ascii="Verdana" w:eastAsia="Geomanist Light" w:hAnsi="Verdana" w:cs="Arial"/>
          <w:color w:val="000000" w:themeColor="text1"/>
          <w:lang w:val="es-MX"/>
        </w:rPr>
      </w:pPr>
    </w:p>
    <w:p w14:paraId="3B036C59" w14:textId="77777777" w:rsidR="006F33A3" w:rsidRDefault="006F33A3" w:rsidP="006F33A3">
      <w:pPr>
        <w:spacing w:after="0" w:line="240" w:lineRule="auto"/>
        <w:rPr>
          <w:rFonts w:ascii="Verdana" w:eastAsia="Geomanist Light" w:hAnsi="Verdana" w:cs="Arial"/>
          <w:color w:val="000000" w:themeColor="text1"/>
          <w:lang w:val="es-MX"/>
        </w:rPr>
      </w:pPr>
    </w:p>
    <w:p w14:paraId="0D605625" w14:textId="77777777" w:rsidR="006F33A3" w:rsidRDefault="006F33A3" w:rsidP="006F33A3">
      <w:pPr>
        <w:spacing w:after="0" w:line="240" w:lineRule="auto"/>
        <w:rPr>
          <w:rFonts w:ascii="Verdana" w:eastAsia="Geomanist Light" w:hAnsi="Verdana" w:cs="Arial"/>
          <w:color w:val="000000" w:themeColor="text1"/>
          <w:lang w:val="es-MX"/>
        </w:rPr>
      </w:pPr>
    </w:p>
    <w:p w14:paraId="43D58BAE" w14:textId="77777777" w:rsidR="006F33A3" w:rsidRDefault="006F33A3" w:rsidP="006F33A3">
      <w:pPr>
        <w:spacing w:after="0" w:line="240" w:lineRule="auto"/>
        <w:rPr>
          <w:rFonts w:ascii="Verdana" w:eastAsia="Geomanist Light" w:hAnsi="Verdana" w:cs="Arial"/>
          <w:color w:val="000000" w:themeColor="text1"/>
          <w:lang w:val="es-MX"/>
        </w:rPr>
      </w:pPr>
    </w:p>
    <w:p w14:paraId="725C5B90" w14:textId="77777777" w:rsidR="006F33A3" w:rsidRDefault="006F33A3" w:rsidP="006F33A3">
      <w:pPr>
        <w:spacing w:after="0" w:line="240" w:lineRule="auto"/>
        <w:rPr>
          <w:rFonts w:ascii="Verdana" w:eastAsia="Geomanist Light" w:hAnsi="Verdana" w:cs="Arial"/>
          <w:color w:val="000000" w:themeColor="text1"/>
          <w:lang w:val="es-MX"/>
        </w:rPr>
      </w:pPr>
    </w:p>
    <w:p w14:paraId="5C319CD8" w14:textId="77777777" w:rsidR="006F33A3" w:rsidRDefault="006F33A3" w:rsidP="006F33A3">
      <w:pPr>
        <w:spacing w:after="0" w:line="240" w:lineRule="auto"/>
        <w:rPr>
          <w:rFonts w:ascii="Verdana" w:eastAsia="Geomanist Light" w:hAnsi="Verdana" w:cs="Arial"/>
          <w:color w:val="000000" w:themeColor="text1"/>
          <w:lang w:val="es-MX"/>
        </w:rPr>
      </w:pPr>
    </w:p>
    <w:p w14:paraId="765AFC22" w14:textId="77777777" w:rsidR="006F33A3" w:rsidRDefault="006F33A3" w:rsidP="006F33A3">
      <w:pPr>
        <w:spacing w:after="0" w:line="240" w:lineRule="auto"/>
        <w:rPr>
          <w:rFonts w:ascii="Verdana" w:eastAsia="Geomanist Light" w:hAnsi="Verdana" w:cs="Arial"/>
          <w:color w:val="000000" w:themeColor="text1"/>
          <w:lang w:val="es-MX"/>
        </w:rPr>
      </w:pPr>
    </w:p>
    <w:p w14:paraId="1B87933F" w14:textId="77777777" w:rsidR="006F33A3" w:rsidRDefault="006F33A3" w:rsidP="006F33A3">
      <w:pPr>
        <w:spacing w:after="0" w:line="240" w:lineRule="auto"/>
        <w:rPr>
          <w:rFonts w:ascii="Verdana" w:eastAsia="Geomanist Light" w:hAnsi="Verdana" w:cs="Arial"/>
          <w:color w:val="000000" w:themeColor="text1"/>
          <w:lang w:val="es-MX"/>
        </w:rPr>
      </w:pPr>
    </w:p>
    <w:p w14:paraId="3B28AB22" w14:textId="77777777" w:rsidR="006F33A3" w:rsidRDefault="006F33A3" w:rsidP="006F33A3">
      <w:pPr>
        <w:spacing w:after="0" w:line="240" w:lineRule="auto"/>
        <w:rPr>
          <w:rFonts w:ascii="Verdana" w:eastAsia="Geomanist Light" w:hAnsi="Verdana" w:cs="Arial"/>
          <w:color w:val="000000" w:themeColor="text1"/>
          <w:lang w:val="es-MX"/>
        </w:rPr>
      </w:pPr>
    </w:p>
    <w:p w14:paraId="223A09A0" w14:textId="77777777" w:rsidR="006F33A3" w:rsidRDefault="006F33A3" w:rsidP="006F33A3">
      <w:pPr>
        <w:spacing w:after="0" w:line="240" w:lineRule="auto"/>
        <w:rPr>
          <w:rFonts w:ascii="Verdana" w:eastAsia="Geomanist Light" w:hAnsi="Verdana" w:cs="Arial"/>
          <w:color w:val="000000" w:themeColor="text1"/>
          <w:lang w:val="es-MX"/>
        </w:rPr>
      </w:pPr>
    </w:p>
    <w:p w14:paraId="27900389" w14:textId="77777777" w:rsidR="006F33A3" w:rsidRDefault="006F33A3" w:rsidP="006F33A3">
      <w:pPr>
        <w:spacing w:after="0" w:line="240" w:lineRule="auto"/>
        <w:rPr>
          <w:rFonts w:ascii="Verdana" w:eastAsia="Geomanist Light" w:hAnsi="Verdana" w:cs="Arial"/>
          <w:color w:val="000000" w:themeColor="text1"/>
          <w:lang w:val="es-MX"/>
        </w:rPr>
      </w:pPr>
    </w:p>
    <w:p w14:paraId="5AE47263" w14:textId="77777777" w:rsidR="006F33A3" w:rsidRDefault="006F33A3" w:rsidP="006F33A3">
      <w:pPr>
        <w:spacing w:after="0" w:line="240" w:lineRule="auto"/>
        <w:rPr>
          <w:rFonts w:ascii="Verdana" w:eastAsia="Geomanist Light" w:hAnsi="Verdana" w:cs="Arial"/>
          <w:color w:val="000000" w:themeColor="text1"/>
          <w:lang w:val="es-MX"/>
        </w:rPr>
      </w:pPr>
    </w:p>
    <w:p w14:paraId="09053515" w14:textId="77777777" w:rsidR="006F33A3" w:rsidRDefault="006F33A3" w:rsidP="006F33A3">
      <w:pPr>
        <w:spacing w:after="0" w:line="240" w:lineRule="auto"/>
        <w:rPr>
          <w:rFonts w:ascii="Verdana" w:eastAsia="Geomanist Light" w:hAnsi="Verdana" w:cs="Arial"/>
          <w:color w:val="000000" w:themeColor="text1"/>
          <w:lang w:val="es-MX"/>
        </w:rPr>
      </w:pPr>
    </w:p>
    <w:p w14:paraId="27D2166F" w14:textId="77777777" w:rsidR="006F33A3" w:rsidRDefault="006F33A3" w:rsidP="006F33A3">
      <w:pPr>
        <w:spacing w:after="0" w:line="240" w:lineRule="auto"/>
        <w:rPr>
          <w:rFonts w:ascii="Verdana" w:eastAsia="Geomanist Light" w:hAnsi="Verdana" w:cs="Arial"/>
          <w:color w:val="000000" w:themeColor="text1"/>
          <w:lang w:val="es-MX"/>
        </w:rPr>
      </w:pPr>
    </w:p>
    <w:p w14:paraId="41B375D1" w14:textId="77777777" w:rsidR="006F33A3" w:rsidRDefault="006F33A3" w:rsidP="006F33A3">
      <w:pPr>
        <w:spacing w:after="0" w:line="240" w:lineRule="auto"/>
        <w:rPr>
          <w:rFonts w:ascii="Verdana" w:eastAsia="Geomanist Light" w:hAnsi="Verdana" w:cs="Arial"/>
          <w:color w:val="000000" w:themeColor="text1"/>
          <w:lang w:val="es-MX"/>
        </w:rPr>
      </w:pPr>
    </w:p>
    <w:p w14:paraId="1CBBB66F" w14:textId="77777777" w:rsidR="006F33A3" w:rsidRDefault="006F33A3" w:rsidP="006F33A3">
      <w:pPr>
        <w:spacing w:after="0" w:line="240" w:lineRule="auto"/>
        <w:rPr>
          <w:rFonts w:ascii="Verdana" w:eastAsia="Geomanist Light" w:hAnsi="Verdana" w:cs="Arial"/>
          <w:color w:val="000000" w:themeColor="text1"/>
          <w:lang w:val="es-MX"/>
        </w:rPr>
      </w:pPr>
    </w:p>
    <w:p w14:paraId="68527C31" w14:textId="77777777" w:rsidR="006F33A3" w:rsidRDefault="006F33A3" w:rsidP="006F33A3">
      <w:pPr>
        <w:spacing w:after="0" w:line="240" w:lineRule="auto"/>
        <w:rPr>
          <w:rFonts w:ascii="Verdana" w:eastAsia="Geomanist Light" w:hAnsi="Verdana" w:cs="Arial"/>
          <w:color w:val="000000" w:themeColor="text1"/>
          <w:lang w:val="es-MX"/>
        </w:rPr>
      </w:pPr>
    </w:p>
    <w:p w14:paraId="3F7342A9" w14:textId="77777777" w:rsidR="006F33A3" w:rsidRDefault="006F33A3" w:rsidP="006F33A3">
      <w:pPr>
        <w:spacing w:after="0" w:line="240" w:lineRule="auto"/>
        <w:rPr>
          <w:rFonts w:ascii="Verdana" w:eastAsia="Geomanist Light" w:hAnsi="Verdana" w:cs="Arial"/>
          <w:color w:val="000000" w:themeColor="text1"/>
          <w:lang w:val="es-MX"/>
        </w:rPr>
      </w:pPr>
    </w:p>
    <w:p w14:paraId="43D12596" w14:textId="77777777" w:rsidR="006F33A3" w:rsidRDefault="006F33A3" w:rsidP="006F33A3">
      <w:pPr>
        <w:spacing w:after="0" w:line="240" w:lineRule="auto"/>
        <w:rPr>
          <w:rFonts w:ascii="Verdana" w:eastAsia="Geomanist Light" w:hAnsi="Verdana" w:cs="Arial"/>
          <w:color w:val="000000" w:themeColor="text1"/>
          <w:lang w:val="es-MX"/>
        </w:rPr>
      </w:pPr>
    </w:p>
    <w:p w14:paraId="667E9647" w14:textId="77777777" w:rsidR="006F33A3" w:rsidRDefault="006F33A3" w:rsidP="006F4AE1">
      <w:pPr>
        <w:spacing w:after="0" w:line="240" w:lineRule="auto"/>
        <w:rPr>
          <w:rFonts w:ascii="Verdana" w:eastAsia="Geomanist Light" w:hAnsi="Verdana" w:cs="Arial"/>
          <w:color w:val="000000" w:themeColor="text1"/>
          <w:lang w:val="es-MX"/>
        </w:rPr>
      </w:pPr>
    </w:p>
    <w:p w14:paraId="24AFD7D1" w14:textId="77777777" w:rsidR="006F33A3" w:rsidRDefault="006F33A3" w:rsidP="006F4AE1">
      <w:pPr>
        <w:spacing w:after="0" w:line="240" w:lineRule="auto"/>
        <w:rPr>
          <w:rFonts w:ascii="Verdana" w:eastAsia="Geomanist Light" w:hAnsi="Verdana" w:cs="Arial"/>
          <w:color w:val="000000" w:themeColor="text1"/>
          <w:lang w:val="es-MX"/>
        </w:rPr>
      </w:pPr>
    </w:p>
    <w:p w14:paraId="0BD0DF06" w14:textId="77777777" w:rsidR="006F33A3" w:rsidRDefault="006F33A3" w:rsidP="006F4AE1">
      <w:pPr>
        <w:spacing w:after="0" w:line="240" w:lineRule="auto"/>
        <w:rPr>
          <w:rFonts w:ascii="Verdana" w:eastAsia="Geomanist Light" w:hAnsi="Verdana" w:cs="Arial"/>
          <w:color w:val="000000" w:themeColor="text1"/>
          <w:lang w:val="es-MX"/>
        </w:rPr>
      </w:pPr>
    </w:p>
    <w:p w14:paraId="4A234794" w14:textId="77777777" w:rsidR="006F33A3" w:rsidRDefault="006F33A3" w:rsidP="006F4AE1">
      <w:pPr>
        <w:spacing w:after="0" w:line="240" w:lineRule="auto"/>
        <w:rPr>
          <w:rFonts w:ascii="Verdana" w:eastAsia="Geomanist Light" w:hAnsi="Verdana" w:cs="Arial"/>
          <w:color w:val="000000" w:themeColor="text1"/>
          <w:lang w:val="es-MX"/>
        </w:rPr>
      </w:pPr>
    </w:p>
    <w:p w14:paraId="66A317D8" w14:textId="77777777" w:rsidR="006F33A3" w:rsidRDefault="006F33A3" w:rsidP="006F4AE1">
      <w:pPr>
        <w:spacing w:after="0" w:line="240" w:lineRule="auto"/>
        <w:rPr>
          <w:rFonts w:ascii="Verdana" w:eastAsia="Geomanist Light" w:hAnsi="Verdana" w:cs="Arial"/>
          <w:color w:val="000000" w:themeColor="text1"/>
          <w:lang w:val="es-MX"/>
        </w:rPr>
      </w:pPr>
    </w:p>
    <w:p w14:paraId="5D616FDF" w14:textId="77777777" w:rsidR="006F33A3" w:rsidRDefault="006F33A3" w:rsidP="006F4AE1">
      <w:pPr>
        <w:spacing w:after="0" w:line="240" w:lineRule="auto"/>
        <w:rPr>
          <w:rFonts w:ascii="Verdana" w:eastAsia="Geomanist Light" w:hAnsi="Verdana" w:cs="Arial"/>
          <w:color w:val="000000" w:themeColor="text1"/>
          <w:lang w:val="es-MX"/>
        </w:rPr>
      </w:pPr>
    </w:p>
    <w:p w14:paraId="45442C52" w14:textId="77777777" w:rsidR="00B1060F" w:rsidRDefault="00B1060F" w:rsidP="006F4AE1">
      <w:pPr>
        <w:spacing w:after="0" w:line="240" w:lineRule="auto"/>
        <w:rPr>
          <w:rFonts w:ascii="Verdana" w:eastAsia="Geomanist Light" w:hAnsi="Verdana" w:cs="Arial"/>
          <w:color w:val="000000" w:themeColor="text1"/>
          <w:lang w:val="es-MX"/>
        </w:rPr>
      </w:pPr>
    </w:p>
    <w:p w14:paraId="386181D6" w14:textId="77777777" w:rsidR="00B1060F" w:rsidRDefault="00B1060F" w:rsidP="006F4AE1">
      <w:pPr>
        <w:spacing w:after="0" w:line="240" w:lineRule="auto"/>
        <w:rPr>
          <w:rFonts w:ascii="Verdana" w:eastAsia="Geomanist Light" w:hAnsi="Verdana" w:cs="Arial"/>
          <w:color w:val="000000" w:themeColor="text1"/>
          <w:lang w:val="es-MX"/>
        </w:rPr>
      </w:pPr>
    </w:p>
    <w:p w14:paraId="77449D26" w14:textId="2258EDE0" w:rsidR="006F4AE1" w:rsidRPr="00593A5F" w:rsidRDefault="006F4AE1" w:rsidP="006F4AE1">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772409" w:rsidRPr="00772409">
        <w:rPr>
          <w:rFonts w:ascii="Verdana" w:eastAsia="Geomanist Light" w:hAnsi="Verdana" w:cs="Arial"/>
          <w:color w:val="000000" w:themeColor="text1"/>
          <w:lang w:val="es-MX"/>
        </w:rPr>
        <w:t xml:space="preserve">10 de </w:t>
      </w:r>
      <w:r w:rsidR="00B1060F" w:rsidRPr="00772409">
        <w:rPr>
          <w:rFonts w:ascii="Verdana" w:eastAsia="Geomanist Light" w:hAnsi="Verdana" w:cs="Arial"/>
          <w:color w:val="000000" w:themeColor="text1"/>
          <w:lang w:val="es-MX"/>
        </w:rPr>
        <w:t>agosto</w:t>
      </w:r>
      <w:r w:rsidR="00772409" w:rsidRPr="00772409">
        <w:rPr>
          <w:rFonts w:ascii="Verdana" w:eastAsia="Geomanist Light" w:hAnsi="Verdana" w:cs="Arial"/>
          <w:color w:val="000000" w:themeColor="text1"/>
          <w:lang w:val="es-MX"/>
        </w:rPr>
        <w:t xml:space="preserve"> de 2026</w:t>
      </w:r>
    </w:p>
    <w:p w14:paraId="1E4DB251" w14:textId="6FCF4DA2" w:rsidR="006F4AE1" w:rsidRDefault="006F4AE1" w:rsidP="006F4AE1">
      <w:pPr>
        <w:spacing w:after="0" w:line="240" w:lineRule="auto"/>
        <w:jc w:val="both"/>
        <w:rPr>
          <w:rFonts w:ascii="Verdana" w:eastAsia="Calibri" w:hAnsi="Verdana" w:cs="Arial"/>
          <w:color w:val="000000"/>
          <w:lang w:val="es-ES"/>
        </w:rPr>
      </w:pPr>
    </w:p>
    <w:p w14:paraId="023F4328" w14:textId="77F75221" w:rsidR="00693784" w:rsidRDefault="00693784" w:rsidP="00693784">
      <w:pPr>
        <w:spacing w:after="0" w:line="240" w:lineRule="auto"/>
        <w:jc w:val="right"/>
        <w:rPr>
          <w:rFonts w:ascii="Verdana" w:eastAsia="Calibri" w:hAnsi="Verdana" w:cs="Arial"/>
          <w:color w:val="000000"/>
          <w:lang w:val="es-ES"/>
        </w:rPr>
      </w:pPr>
    </w:p>
    <w:p w14:paraId="25BE9C7A" w14:textId="7EE22C58" w:rsidR="006F4AE1" w:rsidRPr="00593A5F" w:rsidRDefault="00B1060F" w:rsidP="006F4AE1">
      <w:pPr>
        <w:spacing w:after="0" w:line="240" w:lineRule="auto"/>
        <w:jc w:val="both"/>
        <w:rPr>
          <w:rFonts w:ascii="Verdana" w:eastAsia="Calibri" w:hAnsi="Verdana" w:cs="Arial"/>
          <w:color w:val="000000"/>
          <w:lang w:val="es-ES"/>
        </w:rPr>
      </w:pPr>
      <w:r w:rsidRPr="00693784">
        <w:rPr>
          <w:rFonts w:ascii="Verdana" w:eastAsia="Calibri" w:hAnsi="Verdana" w:cs="Arial"/>
          <w:noProof/>
          <w:color w:val="000000"/>
          <w:lang w:val="es-ES"/>
        </w:rPr>
        <w:drawing>
          <wp:anchor distT="0" distB="0" distL="114300" distR="114300" simplePos="0" relativeHeight="251658240" behindDoc="0" locked="0" layoutInCell="1" allowOverlap="1" wp14:anchorId="4CE25C3A" wp14:editId="45CC2CC5">
            <wp:simplePos x="0" y="0"/>
            <wp:positionH relativeFrom="margin">
              <wp:align>right</wp:align>
            </wp:positionH>
            <wp:positionV relativeFrom="paragraph">
              <wp:posOffset>8255</wp:posOffset>
            </wp:positionV>
            <wp:extent cx="2400300" cy="826770"/>
            <wp:effectExtent l="0" t="0" r="0" b="0"/>
            <wp:wrapSquare wrapText="bothSides"/>
            <wp:docPr id="1581549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49118"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826770"/>
                    </a:xfrm>
                    <a:prstGeom prst="rect">
                      <a:avLst/>
                    </a:prstGeom>
                  </pic:spPr>
                </pic:pic>
              </a:graphicData>
            </a:graphic>
            <wp14:sizeRelV relativeFrom="margin">
              <wp14:pctHeight>0</wp14:pctHeight>
            </wp14:sizeRelV>
          </wp:anchor>
        </w:drawing>
      </w:r>
    </w:p>
    <w:p w14:paraId="1C85C000" w14:textId="77777777" w:rsidR="006F4AE1" w:rsidRPr="00B96799" w:rsidRDefault="006F4AE1" w:rsidP="006F4AE1">
      <w:pPr>
        <w:spacing w:after="0" w:line="240" w:lineRule="auto"/>
        <w:jc w:val="both"/>
        <w:rPr>
          <w:rFonts w:ascii="Verdana" w:eastAsia="Calibri" w:hAnsi="Verdana" w:cs="Arial"/>
          <w:lang w:val="es-ES" w:eastAsia="es-ES"/>
        </w:rPr>
      </w:pPr>
      <w:r>
        <w:rPr>
          <w:rFonts w:ascii="Verdana" w:eastAsia="Calibri" w:hAnsi="Verdana" w:cs="Arial"/>
          <w:lang w:val="es-ES" w:eastAsia="es-ES"/>
        </w:rPr>
        <w:t>Señor</w:t>
      </w:r>
    </w:p>
    <w:p w14:paraId="52238502" w14:textId="77777777" w:rsidR="006F4AE1" w:rsidRDefault="006F4AE1" w:rsidP="006F4AE1">
      <w:pPr>
        <w:spacing w:after="0" w:line="240" w:lineRule="auto"/>
        <w:rPr>
          <w:rFonts w:ascii="Verdana" w:eastAsia="Calibri" w:hAnsi="Verdana" w:cs="Arial"/>
          <w:b/>
          <w:lang w:val="es-ES_tradnl" w:eastAsia="es-ES_tradnl"/>
        </w:rPr>
      </w:pPr>
      <w:r w:rsidRPr="005238F0">
        <w:rPr>
          <w:rFonts w:ascii="Verdana" w:eastAsia="Calibri" w:hAnsi="Verdana" w:cs="Arial"/>
          <w:b/>
          <w:lang w:val="es-ES_tradnl" w:eastAsia="es-ES_tradnl"/>
        </w:rPr>
        <w:t>Gabriel Andrés Silva Chaparro</w:t>
      </w:r>
      <w:r w:rsidRPr="008777D5">
        <w:rPr>
          <w:rFonts w:ascii="Verdana" w:eastAsia="Calibri" w:hAnsi="Verdana" w:cs="Arial"/>
          <w:b/>
          <w:lang w:val="es-ES_tradnl" w:eastAsia="es-ES_tradnl"/>
        </w:rPr>
        <w:t xml:space="preserve"> </w:t>
      </w:r>
    </w:p>
    <w:p w14:paraId="37B282BB" w14:textId="77777777" w:rsidR="006F4AE1" w:rsidRPr="00C27767" w:rsidRDefault="006F4AE1" w:rsidP="006F4AE1">
      <w:pPr>
        <w:spacing w:after="0" w:line="240" w:lineRule="auto"/>
        <w:rPr>
          <w:rFonts w:ascii="Verdana" w:eastAsia="Calibri" w:hAnsi="Verdana" w:cs="Arial"/>
          <w:lang w:val="es-ES" w:eastAsia="es-ES"/>
        </w:rPr>
      </w:pPr>
      <w:hyperlink r:id="rId11" w:history="1">
        <w:r w:rsidRPr="00045E23">
          <w:rPr>
            <w:rStyle w:val="Hipervnculo"/>
            <w:rFonts w:ascii="Verdana" w:hAnsi="Verdana"/>
          </w:rPr>
          <w:t>proyectos@construcciones-ares.com</w:t>
        </w:r>
      </w:hyperlink>
      <w:r>
        <w:rPr>
          <w:rFonts w:ascii="Verdana" w:hAnsi="Verdana"/>
        </w:rPr>
        <w:t xml:space="preserve"> </w:t>
      </w:r>
      <w:r w:rsidRPr="00C27767">
        <w:rPr>
          <w:rFonts w:ascii="Verdana" w:hAnsi="Verdana"/>
        </w:rPr>
        <w:t xml:space="preserve">                     </w:t>
      </w:r>
      <w:r w:rsidRPr="00C27767">
        <w:rPr>
          <w:rFonts w:ascii="Verdana" w:eastAsia="Calibri" w:hAnsi="Verdana" w:cs="Arial"/>
          <w:lang w:val="es-ES" w:eastAsia="es-ES"/>
        </w:rPr>
        <w:t xml:space="preserve">    </w:t>
      </w:r>
    </w:p>
    <w:p w14:paraId="564E1414" w14:textId="77777777" w:rsidR="006F4AE1" w:rsidRDefault="006F4AE1" w:rsidP="006F4AE1">
      <w:pPr>
        <w:spacing w:after="0" w:line="240" w:lineRule="auto"/>
        <w:rPr>
          <w:rFonts w:ascii="Verdana" w:eastAsia="Calibri" w:hAnsi="Verdana" w:cs="Arial"/>
          <w:lang w:val="es-ES" w:eastAsia="es-ES"/>
        </w:rPr>
      </w:pPr>
      <w:r w:rsidRPr="005238F0">
        <w:rPr>
          <w:rFonts w:ascii="Verdana" w:eastAsia="Calibri" w:hAnsi="Verdana" w:cs="Arial"/>
          <w:lang w:val="es-ES" w:eastAsia="es-ES"/>
        </w:rPr>
        <w:t>Floridablanca</w:t>
      </w:r>
      <w:r>
        <w:rPr>
          <w:rFonts w:ascii="Verdana" w:eastAsia="Calibri" w:hAnsi="Verdana" w:cs="Arial"/>
          <w:lang w:val="es-ES" w:eastAsia="es-ES"/>
        </w:rPr>
        <w:t xml:space="preserve">, </w:t>
      </w:r>
      <w:r w:rsidRPr="005238F0">
        <w:rPr>
          <w:rFonts w:ascii="Verdana" w:eastAsia="Calibri" w:hAnsi="Verdana" w:cs="Arial"/>
          <w:lang w:val="es-ES" w:eastAsia="es-ES"/>
        </w:rPr>
        <w:t>Santander</w:t>
      </w:r>
      <w:r>
        <w:rPr>
          <w:rFonts w:ascii="Verdana" w:eastAsia="Calibri" w:hAnsi="Verdana" w:cs="Arial"/>
          <w:lang w:val="es-ES" w:eastAsia="es-ES"/>
        </w:rPr>
        <w:t xml:space="preserve"> </w:t>
      </w:r>
    </w:p>
    <w:p w14:paraId="0C651C6F" w14:textId="77777777" w:rsidR="006F4AE1" w:rsidRPr="00593A5F" w:rsidRDefault="006F4AE1" w:rsidP="006F4AE1">
      <w:pPr>
        <w:spacing w:after="0" w:line="240" w:lineRule="auto"/>
        <w:rPr>
          <w:rFonts w:ascii="Verdana" w:eastAsia="Calibri" w:hAnsi="Verdana" w:cs="Arial"/>
          <w:b/>
          <w:bCs/>
          <w:color w:val="000000"/>
          <w:lang w:val="es-ES_tradnl" w:eastAsia="es-ES_tradnl"/>
        </w:rPr>
      </w:pPr>
    </w:p>
    <w:p w14:paraId="1E0087A6" w14:textId="77777777" w:rsidR="006F4AE1" w:rsidRPr="00593A5F" w:rsidRDefault="006F4AE1" w:rsidP="006F4AE1">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6F4AE1" w:rsidRPr="00593A5F" w14:paraId="6ACF5C6B" w14:textId="77777777" w:rsidTr="00226968">
        <w:trPr>
          <w:trHeight w:val="884"/>
        </w:trPr>
        <w:tc>
          <w:tcPr>
            <w:tcW w:w="2689" w:type="dxa"/>
          </w:tcPr>
          <w:p w14:paraId="15609D0F" w14:textId="77777777" w:rsidR="006F4AE1" w:rsidRPr="00C00976" w:rsidRDefault="006F4AE1" w:rsidP="00226968">
            <w:pPr>
              <w:jc w:val="both"/>
              <w:rPr>
                <w:rFonts w:ascii="Verdana" w:eastAsia="Calibri" w:hAnsi="Verdana" w:cs="Arial"/>
                <w:b/>
                <w:bCs/>
                <w:color w:val="7030A0"/>
                <w:lang w:val="es-ES_tradnl" w:eastAsia="es-ES_tradnl"/>
              </w:rPr>
            </w:pPr>
          </w:p>
        </w:tc>
        <w:tc>
          <w:tcPr>
            <w:tcW w:w="6100" w:type="dxa"/>
          </w:tcPr>
          <w:p w14:paraId="3676134E" w14:textId="359D1DC6" w:rsidR="006F4AE1" w:rsidRPr="00C00976" w:rsidRDefault="006F4AE1" w:rsidP="00226968">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B1060F">
              <w:rPr>
                <w:rFonts w:ascii="Verdana" w:eastAsia="Calibri" w:hAnsi="Verdana" w:cs="Arial"/>
                <w:b/>
                <w:bCs/>
                <w:lang w:val="es-ES" w:eastAsia="es-ES"/>
              </w:rPr>
              <w:t>-</w:t>
            </w:r>
            <w:r>
              <w:rPr>
                <w:rFonts w:ascii="Verdana" w:eastAsia="Calibri" w:hAnsi="Verdana" w:cs="Arial"/>
                <w:b/>
                <w:bCs/>
                <w:lang w:val="es-ES" w:eastAsia="es-ES"/>
              </w:rPr>
              <w:t xml:space="preserve">1108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6F4AE1" w:rsidRPr="00593A5F" w14:paraId="0096301F" w14:textId="77777777" w:rsidTr="00226968">
        <w:trPr>
          <w:trHeight w:val="884"/>
        </w:trPr>
        <w:tc>
          <w:tcPr>
            <w:tcW w:w="2689" w:type="dxa"/>
          </w:tcPr>
          <w:p w14:paraId="301960D8" w14:textId="77777777" w:rsidR="006F4AE1" w:rsidRPr="00593A5F" w:rsidRDefault="006F4AE1" w:rsidP="00226968">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58A50E91" w14:textId="77777777" w:rsidR="006F4AE1" w:rsidRPr="00A11406" w:rsidRDefault="006F4AE1" w:rsidP="00226968">
            <w:pPr>
              <w:spacing w:line="276" w:lineRule="auto"/>
              <w:jc w:val="both"/>
              <w:rPr>
                <w:rFonts w:ascii="Verdana" w:eastAsia="Calibri" w:hAnsi="Verdana" w:cs="Arial"/>
                <w:lang w:val="es-ES" w:eastAsia="es-ES"/>
              </w:rPr>
            </w:pPr>
            <w:r w:rsidRPr="00DE3DAE">
              <w:rPr>
                <w:rFonts w:ascii="Verdana" w:eastAsia="Calibri" w:hAnsi="Verdana" w:cs="Arial"/>
                <w:lang w:val="es-ES" w:eastAsia="es-ES"/>
              </w:rPr>
              <w:t>CONCEPTOS DE COLOMBIA COMPRA EFICIENTE – Obligatoriedad / FUNCIÓN CONSULTIVA – Alcance / CONCEPTOS DE COLOMBIA COMPRA EFICIENTE – Revocación directa – Improcedencia / FUNCIÓN CONSULTIVA – Objeto</w:t>
            </w:r>
            <w:r>
              <w:rPr>
                <w:rFonts w:ascii="Verdana" w:eastAsia="Calibri" w:hAnsi="Verdana" w:cs="Arial"/>
                <w:lang w:val="es-ES" w:eastAsia="es-ES"/>
              </w:rPr>
              <w:t xml:space="preserve"> / </w:t>
            </w:r>
            <w:r w:rsidRPr="00351C52">
              <w:rPr>
                <w:rFonts w:ascii="Verdana" w:eastAsia="Calibri" w:hAnsi="Verdana" w:cs="Arial"/>
                <w:lang w:val="es-ES" w:eastAsia="es-ES"/>
              </w:rPr>
              <w:t>LEY 816 DE 2003 – Apoyo a la industria nacional – Ámbito de aplicación / DECRETO 680 DE 2021 – Regla de origen – Alcance servicios nacionales / DECRETO 680 DE 2021 – Regla de origen – Criterios – Identificación de bienes nacionales relevantes</w:t>
            </w:r>
            <w:r w:rsidRPr="009673B4">
              <w:rPr>
                <w:rFonts w:ascii="Verdana" w:eastAsia="Calibri" w:hAnsi="Verdana" w:cs="Arial"/>
                <w:lang w:val="es-ES" w:eastAsia="es-ES"/>
              </w:rPr>
              <w:t xml:space="preserve"> </w:t>
            </w:r>
            <w:r>
              <w:rPr>
                <w:rFonts w:ascii="Verdana" w:eastAsia="Calibri" w:hAnsi="Verdana" w:cs="Arial"/>
                <w:lang w:val="es-ES" w:eastAsia="es-ES"/>
              </w:rPr>
              <w:t xml:space="preserve">/ </w:t>
            </w:r>
            <w:r w:rsidRPr="001D5EAD">
              <w:rPr>
                <w:rFonts w:ascii="Verdana" w:eastAsia="Calibri" w:hAnsi="Verdana" w:cs="Arial"/>
                <w:lang w:val="es-ES" w:eastAsia="es-ES"/>
              </w:rPr>
              <w:t>CONCEPTO C-1287 DEL 14 DE OCTUBRE DE 2025</w:t>
            </w:r>
            <w:r>
              <w:rPr>
                <w:rFonts w:ascii="Verdana" w:eastAsia="Calibri" w:hAnsi="Verdana" w:cs="Arial"/>
                <w:lang w:val="es-ES" w:eastAsia="es-ES"/>
              </w:rPr>
              <w:t xml:space="preserve"> – Ratificación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4F2CB12F" w14:textId="77777777" w:rsidR="006F4AE1" w:rsidRPr="00593A5F" w:rsidRDefault="006F4AE1" w:rsidP="00226968">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6F4AE1" w:rsidRPr="008E6AD9" w14:paraId="7CD18BCD" w14:textId="77777777" w:rsidTr="00226968">
        <w:tc>
          <w:tcPr>
            <w:tcW w:w="2689" w:type="dxa"/>
          </w:tcPr>
          <w:p w14:paraId="1CC0B2C9" w14:textId="77777777" w:rsidR="006F4AE1" w:rsidRPr="008E6AD9" w:rsidRDefault="006F4AE1" w:rsidP="00226968">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2797923A" w14:textId="77777777" w:rsidR="006F4AE1" w:rsidRPr="00B92340" w:rsidRDefault="006F4AE1" w:rsidP="00226968">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9271D9">
              <w:rPr>
                <w:rFonts w:ascii="Verdana" w:eastAsia="Calibri" w:hAnsi="Verdana" w:cs="Arial"/>
                <w:lang w:val="es-ES_tradnl" w:eastAsia="es-ES_tradnl"/>
              </w:rPr>
              <w:t>1_2026_07_10_009241</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0DED4008" w14:textId="77777777" w:rsidR="006F4AE1" w:rsidRPr="00593A5F" w:rsidRDefault="006F4AE1" w:rsidP="006F4AE1">
      <w:pPr>
        <w:spacing w:after="0" w:line="240" w:lineRule="auto"/>
        <w:jc w:val="both"/>
        <w:rPr>
          <w:rFonts w:ascii="Verdana" w:eastAsia="Calibri" w:hAnsi="Verdana" w:cs="Arial"/>
          <w:color w:val="000000"/>
          <w:lang w:val="es-ES_tradnl" w:eastAsia="es-ES_tradnl"/>
        </w:rPr>
      </w:pPr>
    </w:p>
    <w:p w14:paraId="61BE3B0F" w14:textId="77777777" w:rsidR="006F4AE1" w:rsidRPr="00593A5F" w:rsidRDefault="006F4AE1" w:rsidP="006F4AE1">
      <w:pPr>
        <w:spacing w:after="0" w:line="240" w:lineRule="auto"/>
        <w:jc w:val="both"/>
        <w:rPr>
          <w:rFonts w:ascii="Verdana" w:eastAsia="Calibri" w:hAnsi="Verdana" w:cs="Arial"/>
          <w:color w:val="000000"/>
          <w:lang w:val="es-ES_tradnl" w:eastAsia="es-ES_tradnl"/>
        </w:rPr>
      </w:pPr>
    </w:p>
    <w:p w14:paraId="59ECAB94" w14:textId="77777777" w:rsidR="006F4AE1" w:rsidRPr="008E6AD9" w:rsidRDefault="006F4AE1" w:rsidP="006F4AE1">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 </w:t>
      </w:r>
      <w:r w:rsidRPr="00C27767">
        <w:rPr>
          <w:rFonts w:ascii="Verdana" w:eastAsia="Calibri" w:hAnsi="Verdana" w:cs="Arial"/>
          <w:lang w:val="es-ES" w:eastAsia="es-ES"/>
        </w:rPr>
        <w:t>Silva Chaparro</w:t>
      </w:r>
      <w:r w:rsidRPr="008E6AD9">
        <w:rPr>
          <w:rFonts w:ascii="Verdana" w:eastAsia="Calibri" w:hAnsi="Verdana" w:cs="Arial"/>
          <w:lang w:val="es-ES" w:eastAsia="es-ES"/>
        </w:rPr>
        <w:t xml:space="preserve">: </w:t>
      </w:r>
    </w:p>
    <w:p w14:paraId="677F33A4" w14:textId="77777777" w:rsidR="006F4AE1" w:rsidRDefault="006F4AE1" w:rsidP="006F4AE1">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15ED037B" w14:textId="77777777" w:rsidR="006F4AE1" w:rsidRPr="00593A5F" w:rsidRDefault="006F4AE1" w:rsidP="006F4AE1">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10 de julio de 2026, donde –respecto al alcance del Concepto C-1287 del 14 de octubre de 2025– solicita aclarar los siguientes aspectos</w:t>
      </w:r>
      <w:r w:rsidRPr="008E6AD9">
        <w:rPr>
          <w:rFonts w:ascii="Verdana" w:eastAsia="Calibri" w:hAnsi="Verdana" w:cs="Arial"/>
          <w:lang w:val="es-ES" w:eastAsia="es-ES"/>
        </w:rPr>
        <w:t xml:space="preserve">: </w:t>
      </w:r>
    </w:p>
    <w:p w14:paraId="40AB448C" w14:textId="77777777" w:rsidR="006F4AE1" w:rsidRPr="00272A7B" w:rsidRDefault="006F4AE1" w:rsidP="006F4AE1">
      <w:pPr>
        <w:pStyle w:val="Prrafodelista"/>
        <w:tabs>
          <w:tab w:val="left" w:pos="142"/>
          <w:tab w:val="left" w:pos="284"/>
        </w:tabs>
        <w:spacing w:after="0" w:line="276" w:lineRule="auto"/>
        <w:ind w:left="0"/>
        <w:jc w:val="both"/>
        <w:rPr>
          <w:rFonts w:ascii="Verdana" w:eastAsia="Century Gothic" w:hAnsi="Verdana" w:cs="Century Gothic"/>
          <w:b/>
          <w:bCs/>
        </w:rPr>
      </w:pPr>
    </w:p>
    <w:p w14:paraId="057197EA" w14:textId="77777777" w:rsidR="006F4AE1" w:rsidRDefault="006F4AE1" w:rsidP="006F4AE1">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lastRenderedPageBreak/>
        <w:t>“</w:t>
      </w:r>
      <w:bookmarkEnd w:id="0"/>
      <w:r w:rsidRPr="00FC6842">
        <w:rPr>
          <w:rFonts w:ascii="Verdana" w:eastAsia="Century Gothic" w:hAnsi="Verdana" w:cs="Century Gothic"/>
          <w:sz w:val="20"/>
          <w:szCs w:val="20"/>
          <w:lang w:val="es-ES"/>
        </w:rPr>
        <w:t xml:space="preserve">1. ¿Cuál es la disposición normativa expresa de la Ley 816 de 2003, del Decreto 680 de 2021 o del Decreto 1082 de 2015 de la cual Colombia Compra Eficiente concluye que el Registro de Productores de Bienes Nacionales debe pertenecer necesariamente al proponente y no simplemente acreditar que durante la ejecución contractual serán utilizados bienes nacionales relevantes provenientes de productores registrados? </w:t>
      </w:r>
    </w:p>
    <w:p w14:paraId="71DD9271" w14:textId="77777777" w:rsidR="006F4AE1" w:rsidRDefault="006F4AE1" w:rsidP="006F4AE1">
      <w:pPr>
        <w:spacing w:after="120" w:line="240" w:lineRule="auto"/>
        <w:ind w:left="709" w:right="709"/>
        <w:jc w:val="both"/>
        <w:rPr>
          <w:rFonts w:ascii="Verdana" w:eastAsia="Century Gothic" w:hAnsi="Verdana" w:cs="Century Gothic"/>
          <w:sz w:val="20"/>
          <w:szCs w:val="20"/>
          <w:lang w:val="es-ES"/>
        </w:rPr>
      </w:pPr>
      <w:r w:rsidRPr="00FC6842">
        <w:rPr>
          <w:rFonts w:ascii="Verdana" w:eastAsia="Century Gothic" w:hAnsi="Verdana" w:cs="Century Gothic"/>
          <w:sz w:val="20"/>
          <w:szCs w:val="20"/>
          <w:lang w:val="es-ES"/>
        </w:rPr>
        <w:t xml:space="preserve">2. ¿Cómo armoniza dicha interpretación con la finalidad de la Ley 816 de 2003, consistente en promover la industria nacional mediante la contratación pública, cuando en sectores como la construcción, la consultoría y la interventoría los contratistas son consumidores e integradores de bienes nacionales, mas no productores de los mismos? </w:t>
      </w:r>
    </w:p>
    <w:p w14:paraId="5C480038" w14:textId="77777777" w:rsidR="006F4AE1" w:rsidRDefault="006F4AE1" w:rsidP="006F4AE1">
      <w:pPr>
        <w:spacing w:after="120" w:line="240" w:lineRule="auto"/>
        <w:ind w:left="709" w:right="709"/>
        <w:jc w:val="both"/>
        <w:rPr>
          <w:rFonts w:ascii="Verdana" w:eastAsia="Century Gothic" w:hAnsi="Verdana" w:cs="Century Gothic"/>
          <w:sz w:val="20"/>
          <w:szCs w:val="20"/>
          <w:lang w:val="es-ES"/>
        </w:rPr>
      </w:pPr>
      <w:r w:rsidRPr="00FC6842">
        <w:rPr>
          <w:rFonts w:ascii="Verdana" w:eastAsia="Century Gothic" w:hAnsi="Verdana" w:cs="Century Gothic"/>
          <w:sz w:val="20"/>
          <w:szCs w:val="20"/>
          <w:lang w:val="es-ES"/>
        </w:rPr>
        <w:t xml:space="preserve">3. Considerando que el artículo 2.2.1.2.4.2.9 del Decreto 1082 de 2015 ordena a las entidades realizar un análisis del sector económico y de los oferentes antes de definir los bienes colombianos relevantes, ¿cómo debe entenderse dicho análisis cuando el mercado está compuesto mayoritariamente por empresas prestadoras de servicios que utilizan bienes nacionales producidos por terceros? </w:t>
      </w:r>
    </w:p>
    <w:p w14:paraId="513D5842" w14:textId="77777777" w:rsidR="006F4AE1" w:rsidRDefault="006F4AE1" w:rsidP="006F4AE1">
      <w:pPr>
        <w:spacing w:after="120" w:line="240" w:lineRule="auto"/>
        <w:ind w:left="709" w:right="709"/>
        <w:jc w:val="both"/>
        <w:rPr>
          <w:rFonts w:ascii="Verdana" w:eastAsia="Century Gothic" w:hAnsi="Verdana" w:cs="Century Gothic"/>
          <w:sz w:val="20"/>
          <w:szCs w:val="20"/>
          <w:lang w:val="es-ES"/>
        </w:rPr>
      </w:pPr>
      <w:r w:rsidRPr="00FC6842">
        <w:rPr>
          <w:rFonts w:ascii="Verdana" w:eastAsia="Century Gothic" w:hAnsi="Verdana" w:cs="Century Gothic"/>
          <w:sz w:val="20"/>
          <w:szCs w:val="20"/>
          <w:lang w:val="es-ES"/>
        </w:rPr>
        <w:t xml:space="preserve">4. ¿Considera Colombia Compra Eficiente que la interpretación contenida en el Concepto C-1287 puede generar restricciones a la libre concurrencia y a la pluralidad de oferentes al excluir del puntaje a empresas nacionales que ejecutan contratos utilizando bienes producidos en Colombia, únicamente porque no ostentan directamente la calidad de productores registrados? </w:t>
      </w:r>
    </w:p>
    <w:p w14:paraId="396FB5BE" w14:textId="77777777" w:rsidR="006F4AE1" w:rsidRDefault="006F4AE1" w:rsidP="006F4AE1">
      <w:pPr>
        <w:spacing w:after="120" w:line="240" w:lineRule="auto"/>
        <w:ind w:left="709" w:right="709"/>
        <w:jc w:val="both"/>
        <w:rPr>
          <w:rFonts w:ascii="Verdana" w:eastAsia="Century Gothic" w:hAnsi="Verdana" w:cs="Century Gothic"/>
          <w:sz w:val="20"/>
          <w:szCs w:val="20"/>
          <w:lang w:val="es-ES"/>
        </w:rPr>
      </w:pPr>
      <w:r w:rsidRPr="00FC6842">
        <w:rPr>
          <w:rFonts w:ascii="Verdana" w:eastAsia="Century Gothic" w:hAnsi="Verdana" w:cs="Century Gothic"/>
          <w:sz w:val="20"/>
          <w:szCs w:val="20"/>
          <w:lang w:val="es-ES"/>
        </w:rPr>
        <w:t xml:space="preserve">5. ¿Puede una entidad estatal, en ejercicio de la autonomía reconocida por el artículo 2.2.1.2.4.2.9 del Decreto 32 de 2015, considerar satisfecho el requisito cuando el proponente acredita que incorporará durante la ejecución contractual bienes nacionales adquiridos a fabricantes inscritos en el Registro de Productores de Bienes Nacionales, aun cuando el proponente no sea el fabricante de dichos bienes? </w:t>
      </w:r>
    </w:p>
    <w:p w14:paraId="0D9C04BB" w14:textId="77777777" w:rsidR="006F4AE1" w:rsidRDefault="006F4AE1" w:rsidP="006F4AE1">
      <w:pPr>
        <w:spacing w:after="120" w:line="240" w:lineRule="auto"/>
        <w:ind w:left="709" w:right="709"/>
        <w:jc w:val="both"/>
        <w:rPr>
          <w:rFonts w:ascii="Verdana" w:eastAsia="Century Gothic" w:hAnsi="Verdana" w:cs="Century Gothic"/>
          <w:sz w:val="20"/>
          <w:szCs w:val="20"/>
          <w:lang w:val="es-ES"/>
        </w:rPr>
      </w:pPr>
      <w:r w:rsidRPr="00FC6842">
        <w:rPr>
          <w:rFonts w:ascii="Verdana" w:eastAsia="Century Gothic" w:hAnsi="Verdana" w:cs="Century Gothic"/>
          <w:sz w:val="20"/>
          <w:szCs w:val="20"/>
          <w:lang w:val="es-ES"/>
        </w:rPr>
        <w:t xml:space="preserve">6. ¿La finalidad del Decreto 680 de 2021 consiste en incentivar la utilización efectiva de bienes nacionales durante la ejecución contractual o en limitar el acceso al puntaje únicamente a quienes ostenten la calidad de productores inscritos en el Registro de Productores de Bienes Nacionales? </w:t>
      </w:r>
    </w:p>
    <w:p w14:paraId="356E3115" w14:textId="77777777" w:rsidR="006F4AE1" w:rsidRPr="00FC6842" w:rsidRDefault="006F4AE1" w:rsidP="006F4AE1">
      <w:pPr>
        <w:spacing w:after="0" w:line="240" w:lineRule="auto"/>
        <w:ind w:left="709" w:right="709"/>
        <w:jc w:val="both"/>
        <w:rPr>
          <w:rFonts w:ascii="Verdana" w:eastAsia="Century Gothic" w:hAnsi="Verdana" w:cs="Century Gothic"/>
          <w:sz w:val="20"/>
          <w:szCs w:val="20"/>
          <w:lang w:val="es-ES"/>
        </w:rPr>
      </w:pPr>
      <w:r>
        <w:rPr>
          <w:rFonts w:ascii="Verdana" w:eastAsia="Century Gothic" w:hAnsi="Verdana" w:cs="Century Gothic"/>
          <w:sz w:val="20"/>
          <w:szCs w:val="20"/>
          <w:lang w:val="es-ES"/>
        </w:rPr>
        <w:t xml:space="preserve">7. </w:t>
      </w:r>
      <w:r w:rsidRPr="00FC6842">
        <w:rPr>
          <w:rFonts w:ascii="Verdana" w:eastAsia="Century Gothic" w:hAnsi="Verdana" w:cs="Century Gothic"/>
          <w:sz w:val="20"/>
          <w:szCs w:val="20"/>
          <w:lang w:val="es-ES"/>
        </w:rPr>
        <w:t xml:space="preserve">Finalmente, respetuosamente solicito se indique si Colombia Compra Eficiente considera necesario revisar o complementar el alcance interpretativo del Concepto C-1287, teniendo en consideración los efectos que dicha interpretación está produciendo en los procesos de contratación pública de servicios, particularmente en los sectores de infraestructura, construcción, consultoría e interventoría, donde la mayoría de los proponentes participan como ejecutores de obras o prestadores de </w:t>
      </w:r>
      <w:r w:rsidRPr="00FC6842">
        <w:rPr>
          <w:rFonts w:ascii="Verdana" w:eastAsia="Century Gothic" w:hAnsi="Verdana" w:cs="Century Gothic"/>
          <w:sz w:val="20"/>
          <w:szCs w:val="20"/>
          <w:lang w:val="es-ES"/>
        </w:rPr>
        <w:lastRenderedPageBreak/>
        <w:t>servicios especializados y no como fabricantes de los bienes incorporados al contrato</w:t>
      </w:r>
      <w:r>
        <w:rPr>
          <w:rFonts w:ascii="Verdana" w:eastAsia="Century Gothic" w:hAnsi="Verdana" w:cs="Century Gothic"/>
          <w:sz w:val="20"/>
          <w:szCs w:val="20"/>
          <w:lang w:val="es-ES"/>
        </w:rPr>
        <w:t>”.</w:t>
      </w:r>
    </w:p>
    <w:p w14:paraId="5F5DC07A" w14:textId="77777777" w:rsidR="006F4AE1" w:rsidRPr="00481B98" w:rsidRDefault="006F4AE1" w:rsidP="006F4AE1">
      <w:pPr>
        <w:spacing w:after="0" w:line="276" w:lineRule="auto"/>
        <w:ind w:firstLine="709"/>
        <w:jc w:val="both"/>
        <w:rPr>
          <w:rFonts w:ascii="Verdana" w:eastAsia="Calibri" w:hAnsi="Verdana" w:cs="Arial"/>
          <w:color w:val="000000"/>
          <w:lang w:eastAsia="es-ES"/>
        </w:rPr>
      </w:pPr>
    </w:p>
    <w:p w14:paraId="2AADFDF6" w14:textId="77777777" w:rsidR="006F4AE1" w:rsidRPr="00A652FF" w:rsidRDefault="006F4AE1" w:rsidP="006F4AE1">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6FF48095" w14:textId="77777777" w:rsidR="006F4AE1" w:rsidRDefault="006F4AE1" w:rsidP="006F4AE1">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11F5D981" w14:textId="77777777" w:rsidR="006F4AE1" w:rsidRPr="00593A5F" w:rsidRDefault="006F4AE1" w:rsidP="006F4AE1">
      <w:pPr>
        <w:spacing w:after="0" w:line="276" w:lineRule="auto"/>
        <w:ind w:firstLine="709"/>
        <w:jc w:val="both"/>
        <w:rPr>
          <w:rFonts w:ascii="Verdana" w:eastAsia="Calibri" w:hAnsi="Verdana" w:cs="Arial"/>
          <w:color w:val="000000"/>
          <w:lang w:val="es-ES" w:eastAsia="es-ES"/>
        </w:rPr>
      </w:pPr>
    </w:p>
    <w:p w14:paraId="1FA5E9A1" w14:textId="77777777" w:rsidR="006F4AE1" w:rsidRPr="00593A5F" w:rsidRDefault="006F4AE1" w:rsidP="006F4AE1">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3B008F12" w14:textId="77777777" w:rsidR="006F4AE1" w:rsidRPr="00593A5F" w:rsidRDefault="006F4AE1" w:rsidP="006F4AE1">
      <w:pPr>
        <w:tabs>
          <w:tab w:val="left" w:pos="426"/>
        </w:tabs>
        <w:spacing w:after="0" w:line="276" w:lineRule="auto"/>
        <w:jc w:val="both"/>
        <w:rPr>
          <w:rFonts w:ascii="Verdana" w:eastAsia="Century Gothic" w:hAnsi="Verdana" w:cs="Century Gothic"/>
          <w:lang w:val="es-ES"/>
        </w:rPr>
      </w:pPr>
    </w:p>
    <w:p w14:paraId="1F7D6741" w14:textId="77777777" w:rsidR="006F4AE1" w:rsidRPr="00593A5F" w:rsidRDefault="006F4AE1" w:rsidP="006F4AE1">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w:t>
      </w:r>
      <w:r w:rsidRPr="00E44C09">
        <w:rPr>
          <w:rFonts w:ascii="Verdana" w:eastAsia="Century Gothic" w:hAnsi="Verdana" w:cs="Century Gothic"/>
        </w:rPr>
        <w:t>¿</w:t>
      </w:r>
      <w:r>
        <w:rPr>
          <w:rFonts w:ascii="Verdana" w:eastAsia="Century Gothic" w:hAnsi="Verdana" w:cs="Century Gothic"/>
        </w:rPr>
        <w:t xml:space="preserve">procede la revisión de la tesis del </w:t>
      </w:r>
      <w:r>
        <w:rPr>
          <w:rFonts w:ascii="Verdana" w:eastAsia="Calibri" w:hAnsi="Verdana" w:cs="Arial"/>
          <w:lang w:val="es-ES" w:eastAsia="es-ES"/>
        </w:rPr>
        <w:t>Concepto C-1287 del 14 de octubre de 2025</w:t>
      </w:r>
      <w:r>
        <w:rPr>
          <w:rFonts w:ascii="Verdana" w:eastAsia="Century Gothic" w:hAnsi="Verdana" w:cs="Century Gothic"/>
          <w:lang w:val="es-ES"/>
        </w:rPr>
        <w:t xml:space="preserve"> en torno a la producción de los bienes nacionales relevantes por parte de los prestadores de servicios nacionales para la aplicar el puntaje previsto en la Ley 816 de 2003, reglamentada por el Decreto 680 de 2021</w:t>
      </w:r>
      <w:r w:rsidRPr="00E44C09">
        <w:rPr>
          <w:rFonts w:ascii="Verdana" w:eastAsia="Century Gothic" w:hAnsi="Verdana" w:cs="Century Gothic"/>
        </w:rPr>
        <w:t>?</w:t>
      </w:r>
      <w:r>
        <w:rPr>
          <w:rFonts w:ascii="Verdana" w:eastAsia="Century Gothic" w:hAnsi="Verdana" w:cs="Century Gothic"/>
        </w:rPr>
        <w:t xml:space="preserve"> </w:t>
      </w:r>
    </w:p>
    <w:p w14:paraId="28EEE78E" w14:textId="77777777" w:rsidR="006F4AE1" w:rsidRPr="004B140F" w:rsidRDefault="006F4AE1" w:rsidP="006F4AE1">
      <w:pPr>
        <w:spacing w:after="0" w:line="276" w:lineRule="auto"/>
        <w:jc w:val="both"/>
        <w:rPr>
          <w:rFonts w:ascii="Verdana" w:eastAsia="Calibri" w:hAnsi="Verdana" w:cs="Arial"/>
          <w:color w:val="7030A0"/>
        </w:rPr>
      </w:pPr>
    </w:p>
    <w:p w14:paraId="7035FC3D" w14:textId="77777777" w:rsidR="006F4AE1" w:rsidRPr="00593A5F" w:rsidRDefault="006F4AE1" w:rsidP="006F4AE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621A9F34" w14:textId="77777777" w:rsidR="006F4AE1" w:rsidRPr="00593A5F" w:rsidRDefault="006F4AE1" w:rsidP="006F4AE1">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6F4AE1" w:rsidRPr="00593A5F" w14:paraId="110A8885" w14:textId="77777777" w:rsidTr="00226968">
        <w:trPr>
          <w:jc w:val="center"/>
        </w:trPr>
        <w:tc>
          <w:tcPr>
            <w:tcW w:w="8828" w:type="dxa"/>
          </w:tcPr>
          <w:p w14:paraId="325A6F13" w14:textId="77777777" w:rsidR="006F4AE1" w:rsidRDefault="006F4AE1" w:rsidP="00226968">
            <w:pPr>
              <w:tabs>
                <w:tab w:val="left" w:pos="0"/>
              </w:tabs>
              <w:spacing w:after="120" w:line="276" w:lineRule="auto"/>
              <w:jc w:val="both"/>
              <w:rPr>
                <w:rFonts w:ascii="Verdana" w:eastAsia="Arial" w:hAnsi="Verdana" w:cs="Arial"/>
                <w:color w:val="000000"/>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se reitera que </w:t>
            </w:r>
            <w:r w:rsidRPr="00C27F58">
              <w:rPr>
                <w:rFonts w:ascii="Verdana" w:eastAsia="Arial" w:hAnsi="Verdana" w:cs="Arial"/>
                <w:color w:val="000000"/>
              </w:rPr>
              <w:t xml:space="preserve">los puntos para la promoción de la industria nacional sólo deben concederse al proponente si éste cuenta con el respectivo Registro de Productores de Bienes Nacionales para los bienes relevantes que ofrece para la prestación del servicio. </w:t>
            </w:r>
            <w:r>
              <w:rPr>
                <w:rFonts w:ascii="Verdana" w:eastAsia="Arial" w:hAnsi="Verdana" w:cs="Arial"/>
                <w:color w:val="000000"/>
              </w:rPr>
              <w:t xml:space="preserve">Ello se desprende del inciso primero del artículo </w:t>
            </w:r>
            <w:r w:rsidRPr="00351C52">
              <w:rPr>
                <w:rFonts w:ascii="Verdana" w:eastAsia="Arial" w:hAnsi="Verdana" w:cs="Arial"/>
                <w:color w:val="000000"/>
              </w:rPr>
              <w:lastRenderedPageBreak/>
              <w:t>2.2.1.2.4.2.9</w:t>
            </w:r>
            <w:r>
              <w:rPr>
                <w:rFonts w:ascii="Verdana" w:eastAsia="Arial" w:hAnsi="Verdana" w:cs="Arial"/>
                <w:color w:val="000000"/>
              </w:rPr>
              <w:t xml:space="preserve"> del Decreto 1082 de 2015, adicionado por el artículo </w:t>
            </w:r>
            <w:r w:rsidRPr="00C27F58">
              <w:rPr>
                <w:rFonts w:ascii="Verdana" w:eastAsia="Arial" w:hAnsi="Verdana" w:cs="Arial"/>
                <w:color w:val="000000"/>
              </w:rPr>
              <w:t>2 del Decreto 680 de 2021</w:t>
            </w:r>
            <w:r>
              <w:rPr>
                <w:rFonts w:ascii="Verdana" w:eastAsia="Arial" w:hAnsi="Verdana" w:cs="Arial"/>
                <w:color w:val="000000"/>
              </w:rPr>
              <w:t xml:space="preserve">, pues la norma dispone que el puntaje beneficia “[…] </w:t>
            </w:r>
            <w:r w:rsidRPr="006408A8">
              <w:rPr>
                <w:rFonts w:ascii="Verdana" w:eastAsia="Arial" w:hAnsi="Verdana" w:cs="Arial"/>
                <w:color w:val="000000"/>
              </w:rPr>
              <w:t>al proponente que oferte Servicios Nacionales</w:t>
            </w:r>
            <w:r>
              <w:rPr>
                <w:rFonts w:ascii="Verdana" w:eastAsia="Arial" w:hAnsi="Verdana" w:cs="Arial"/>
                <w:color w:val="000000"/>
              </w:rPr>
              <w:t xml:space="preserve"> […]”. En concordancia con el inciso primero del artículo </w:t>
            </w:r>
            <w:r w:rsidRPr="00C27F58">
              <w:rPr>
                <w:rFonts w:ascii="Verdana" w:eastAsia="Arial" w:hAnsi="Verdana" w:cs="Arial"/>
                <w:color w:val="000000"/>
              </w:rPr>
              <w:t>2.2.1.1.1.3.1</w:t>
            </w:r>
            <w:r>
              <w:rPr>
                <w:rFonts w:ascii="Verdana" w:eastAsia="Arial" w:hAnsi="Verdana" w:cs="Arial"/>
                <w:color w:val="000000"/>
              </w:rPr>
              <w:t xml:space="preserve"> </w:t>
            </w:r>
            <w:r w:rsidRPr="0005710A">
              <w:rPr>
                <w:rFonts w:ascii="Verdana" w:eastAsia="Arial" w:hAnsi="Verdana" w:cs="Arial"/>
                <w:i/>
                <w:iCs/>
                <w:color w:val="000000"/>
              </w:rPr>
              <w:t>ibidem</w:t>
            </w:r>
            <w:r>
              <w:rPr>
                <w:rFonts w:ascii="Verdana" w:eastAsia="Arial" w:hAnsi="Verdana" w:cs="Arial"/>
                <w:color w:val="000000"/>
              </w:rPr>
              <w:t xml:space="preserve">, modificado por el artículo 1 del Decreto 680 de 2021, la propuesta debe incluir también “[…] </w:t>
            </w:r>
            <w:r w:rsidRPr="0005710A">
              <w:rPr>
                <w:rFonts w:ascii="Verdana" w:eastAsia="Arial" w:hAnsi="Verdana" w:cs="Arial"/>
                <w:color w:val="000000"/>
              </w:rPr>
              <w:t>los bienes nacionales relevantes definidos por la Entidad Estatal</w:t>
            </w:r>
            <w:r>
              <w:rPr>
                <w:rFonts w:ascii="Verdana" w:eastAsia="Arial" w:hAnsi="Verdana" w:cs="Arial"/>
                <w:color w:val="000000"/>
              </w:rPr>
              <w:t xml:space="preserve"> […]” que usará el contratista para el cumplimiento de las obligaciones. (Respuesta a la pregunta 1)</w:t>
            </w:r>
          </w:p>
          <w:p w14:paraId="5263F5EE" w14:textId="77777777" w:rsidR="006F4AE1" w:rsidRDefault="006F4AE1" w:rsidP="00226968">
            <w:pPr>
              <w:tabs>
                <w:tab w:val="left" w:pos="0"/>
              </w:tabs>
              <w:spacing w:after="120" w:line="276" w:lineRule="auto"/>
              <w:ind w:firstLine="709"/>
              <w:jc w:val="both"/>
              <w:rPr>
                <w:rFonts w:ascii="Verdana" w:eastAsia="Arial" w:hAnsi="Verdana" w:cs="Arial"/>
                <w:color w:val="000000"/>
              </w:rPr>
            </w:pPr>
            <w:r>
              <w:rPr>
                <w:rFonts w:ascii="Verdana" w:eastAsia="Arial" w:hAnsi="Verdana" w:cs="Arial"/>
                <w:color w:val="000000"/>
              </w:rPr>
              <w:t xml:space="preserve">La oferta es un acto personal del proponente. Luego, también debe producir los bienes nacionales relevantes para la prestación del servicio, lo que implica la inscripción en el registro correspondiente, ya que la propuesta no compromete a que terceros le suministren dichos bienes si eventualmente resulta adjudicatario. Por ello, dado que “[…] </w:t>
            </w:r>
            <w:r w:rsidRPr="003A5DC4">
              <w:rPr>
                <w:rFonts w:ascii="Verdana" w:eastAsia="Arial" w:hAnsi="Verdana" w:cs="Arial"/>
                <w:color w:val="000000"/>
              </w:rPr>
              <w:t>en sectores como la construcción, la consultoría y la interventoría los contratistas son consumidores e integradores de bienes nacionales, mas no productores de los mismos</w:t>
            </w:r>
            <w:r>
              <w:rPr>
                <w:rFonts w:ascii="Verdana" w:eastAsia="Arial" w:hAnsi="Verdana" w:cs="Arial"/>
                <w:color w:val="000000"/>
              </w:rPr>
              <w:t xml:space="preserve"> […]”, el inciso primero del artículo </w:t>
            </w:r>
            <w:r w:rsidRPr="00C27F58">
              <w:rPr>
                <w:rFonts w:ascii="Verdana" w:eastAsia="Arial" w:hAnsi="Verdana" w:cs="Arial"/>
                <w:color w:val="000000"/>
              </w:rPr>
              <w:t>2.2.1.1.1.3.1</w:t>
            </w:r>
            <w:r>
              <w:rPr>
                <w:rFonts w:ascii="Verdana" w:eastAsia="Arial" w:hAnsi="Verdana" w:cs="Arial"/>
                <w:color w:val="000000"/>
              </w:rPr>
              <w:t xml:space="preserve"> del Decreto 1082 de 2015 brinda la posibilidad de que el ofrecimiento de los bienes nacionales relevantes que se usarán para la prestación del servicio sea realizado no solo “[…] </w:t>
            </w:r>
            <w:r w:rsidRPr="00580515">
              <w:rPr>
                <w:rFonts w:ascii="Verdana" w:eastAsia="Arial" w:hAnsi="Verdana" w:cs="Arial"/>
                <w:color w:val="000000"/>
              </w:rPr>
              <w:t>por una persona natural colombiana o por un residente en Colombia, por una persona jurídica constituida de conformidad con la legislación colombiana</w:t>
            </w:r>
            <w:r>
              <w:rPr>
                <w:rFonts w:ascii="Verdana" w:eastAsia="Arial" w:hAnsi="Verdana" w:cs="Arial"/>
                <w:color w:val="000000"/>
              </w:rPr>
              <w:t xml:space="preserve"> […]”, sino también “[…] </w:t>
            </w:r>
            <w:r w:rsidRPr="00EC05AC">
              <w:rPr>
                <w:rFonts w:ascii="Verdana" w:eastAsia="Arial" w:hAnsi="Verdana" w:cs="Arial"/>
                <w:color w:val="000000"/>
              </w:rPr>
              <w:t>por un proponente plural conformado por estos o por estos y un extranjero con trato nacional</w:t>
            </w:r>
            <w:r>
              <w:rPr>
                <w:rFonts w:ascii="Verdana" w:eastAsia="Arial" w:hAnsi="Verdana" w:cs="Arial"/>
                <w:color w:val="000000"/>
              </w:rPr>
              <w:t xml:space="preserve"> […]”. (Respuesta a la pregunta 2)</w:t>
            </w:r>
          </w:p>
          <w:p w14:paraId="5FDE96FB" w14:textId="77777777" w:rsidR="006F4AE1" w:rsidRDefault="006F4AE1" w:rsidP="00226968">
            <w:pPr>
              <w:tabs>
                <w:tab w:val="left" w:pos="0"/>
              </w:tabs>
              <w:spacing w:after="120" w:line="276" w:lineRule="auto"/>
              <w:ind w:firstLine="709"/>
              <w:jc w:val="both"/>
              <w:rPr>
                <w:rFonts w:ascii="Verdana" w:eastAsia="Arial" w:hAnsi="Verdana" w:cs="Arial"/>
                <w:color w:val="000000"/>
              </w:rPr>
            </w:pPr>
            <w:r>
              <w:rPr>
                <w:rFonts w:ascii="Verdana" w:eastAsia="Arial" w:hAnsi="Verdana" w:cs="Arial"/>
                <w:color w:val="000000"/>
              </w:rPr>
              <w:t xml:space="preserve">Es decir, si del estudio del sector económico se deprende que “[…] </w:t>
            </w:r>
            <w:r w:rsidRPr="0019132C">
              <w:rPr>
                <w:rFonts w:ascii="Verdana" w:eastAsia="Arial" w:hAnsi="Verdana" w:cs="Arial"/>
                <w:color w:val="000000"/>
              </w:rPr>
              <w:t>el mercado está compuesto mayoritariamente por empresas prestadoras de servicios que utilizan bienes nacionales producidos por terceros</w:t>
            </w:r>
            <w:r>
              <w:rPr>
                <w:rFonts w:ascii="Verdana" w:eastAsia="Arial" w:hAnsi="Verdana" w:cs="Arial"/>
                <w:color w:val="000000"/>
              </w:rPr>
              <w:t xml:space="preserve"> […]”, corresponde a los interesados analizar la posibilidad de presentar la propuesta en torno a los servicios y los bienes nacionales relevantes para su prestación a través de consorcios o uniones temporales. Ello asegura que los bienes requeridos sean suministrados directamente por el oferente adjudicatario, sin depender de terceros ajenos al contrato estatal celebrado. (Respuesta a la pregunta 3)</w:t>
            </w:r>
          </w:p>
          <w:p w14:paraId="79530E1F" w14:textId="77777777" w:rsidR="006F4AE1" w:rsidRPr="002D46CE" w:rsidRDefault="006F4AE1" w:rsidP="00226968">
            <w:pPr>
              <w:tabs>
                <w:tab w:val="left" w:pos="0"/>
              </w:tabs>
              <w:spacing w:after="120" w:line="276" w:lineRule="auto"/>
              <w:ind w:firstLine="709"/>
              <w:jc w:val="both"/>
              <w:rPr>
                <w:rFonts w:ascii="Verdana" w:eastAsia="Arial" w:hAnsi="Verdana" w:cs="Arial"/>
                <w:color w:val="000000"/>
              </w:rPr>
            </w:pPr>
            <w:r>
              <w:rPr>
                <w:rFonts w:ascii="Verdana" w:eastAsia="Arial" w:hAnsi="Verdana" w:cs="Arial"/>
                <w:color w:val="000000"/>
              </w:rPr>
              <w:t xml:space="preserve">Asimismo, descarta “[…] </w:t>
            </w:r>
            <w:r w:rsidRPr="005D4486">
              <w:rPr>
                <w:rFonts w:ascii="Verdana" w:eastAsia="Arial" w:hAnsi="Verdana" w:cs="Arial"/>
                <w:color w:val="000000"/>
              </w:rPr>
              <w:t>restricciones a la libre concurrencia y a la pluralidad de oferentes</w:t>
            </w:r>
            <w:r>
              <w:rPr>
                <w:rFonts w:ascii="Verdana" w:eastAsia="Arial" w:hAnsi="Verdana" w:cs="Arial"/>
                <w:color w:val="000000"/>
              </w:rPr>
              <w:t xml:space="preserve"> […]”, pues el ordenamiento contempla la posibilidad de conformar estructuras plurales para quienes presten servicios nacionales sin tener la calidad de productores registrados. Lo anterior, en la medida que </w:t>
            </w:r>
            <w:r>
              <w:rPr>
                <w:rFonts w:ascii="Verdana" w:eastAsia="Arial" w:hAnsi="Verdana" w:cs="Arial"/>
                <w:color w:val="000000"/>
              </w:rPr>
              <w:lastRenderedPageBreak/>
              <w:t xml:space="preserve">tienen la opción de aunar esfuerzos con los que cumplan dicha condición para acceder al puntaje de industria nacional en los términos de los artículos 1 y 2 del Decreto 680 de 2021. Esto permite “[…] </w:t>
            </w:r>
            <w:r w:rsidRPr="00170B8D">
              <w:rPr>
                <w:rFonts w:ascii="Verdana" w:eastAsia="Arial" w:hAnsi="Verdana" w:cs="Arial"/>
                <w:color w:val="000000"/>
              </w:rPr>
              <w:t>incentivar la utilización efectiva de bienes nacionales durante la ejecución contractual</w:t>
            </w:r>
            <w:r>
              <w:rPr>
                <w:rFonts w:ascii="Verdana" w:eastAsia="Arial" w:hAnsi="Verdana" w:cs="Arial"/>
                <w:color w:val="000000"/>
              </w:rPr>
              <w:t xml:space="preserve"> […]”, pues se reitera que la oferta es un acto personal del proponente, razón por la que no compromete a que terceros le suministren dichos bienes si eventualmente resulta adjudicatario. Así, debe ofrecer tanto los servicios como la producción de los bienes usados para prestarlos. (Respuesta a las preguntas 4 y 6)</w:t>
            </w:r>
          </w:p>
          <w:p w14:paraId="0251AD88" w14:textId="77777777" w:rsidR="006F4AE1" w:rsidRDefault="006F4AE1" w:rsidP="00226968">
            <w:pPr>
              <w:spacing w:after="120" w:line="276" w:lineRule="auto"/>
              <w:ind w:firstLine="737"/>
              <w:jc w:val="both"/>
              <w:rPr>
                <w:rStyle w:val="s15"/>
                <w:rFonts w:ascii="Verdana" w:hAnsi="Verdana"/>
                <w:color w:val="000000"/>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r>
              <w:rPr>
                <w:rStyle w:val="s15"/>
                <w:rFonts w:ascii="Verdana" w:hAnsi="Verdana"/>
                <w:color w:val="000000"/>
              </w:rPr>
              <w:t xml:space="preserve"> (Respuesta a la pregunta 5)</w:t>
            </w:r>
          </w:p>
          <w:p w14:paraId="127AEE09" w14:textId="77777777" w:rsidR="006F4AE1" w:rsidRPr="001941FD" w:rsidRDefault="006F4AE1" w:rsidP="00226968">
            <w:pPr>
              <w:spacing w:line="276" w:lineRule="auto"/>
              <w:ind w:firstLine="737"/>
              <w:jc w:val="both"/>
              <w:rPr>
                <w:rFonts w:ascii="Verdana" w:eastAsia="Calibri" w:hAnsi="Verdana" w:cs="Arial"/>
                <w:bCs/>
                <w:color w:val="000000" w:themeColor="text1"/>
              </w:rPr>
            </w:pPr>
            <w:r w:rsidRPr="000E52E5">
              <w:rPr>
                <w:rFonts w:ascii="Verdana" w:eastAsia="Calibri" w:hAnsi="Verdana" w:cs="Arial"/>
                <w:bCs/>
                <w:color w:val="000000" w:themeColor="text1"/>
              </w:rPr>
              <w:t>Conforme al artículo 28 de la Ley 1437 de 2011, se informa al peticionario que “Salvo disposición legal en contrario, los conceptos emitidos por las autoridades como respuestas a peticiones realizadas en ejercicio del derecho a formular consultas no serán de obligatorio cumplimiento o ejecución”.</w:t>
            </w:r>
            <w:r>
              <w:rPr>
                <w:rFonts w:ascii="Verdana" w:eastAsia="Calibri" w:hAnsi="Verdana" w:cs="Arial"/>
                <w:bCs/>
                <w:color w:val="000000" w:themeColor="text1"/>
              </w:rPr>
              <w:t xml:space="preserve"> </w:t>
            </w:r>
            <w:r w:rsidRPr="000E52E5">
              <w:rPr>
                <w:rFonts w:ascii="Verdana" w:eastAsia="Calibri" w:hAnsi="Verdana" w:cs="Arial"/>
                <w:bCs/>
                <w:color w:val="000000" w:themeColor="text1"/>
                <w:lang w:val="es-ES_tradnl"/>
              </w:rPr>
              <w:t xml:space="preserve">Así las cosas, Colombia Compra Eficiente considera que no hay lugar a acceder, por ejemplo, a solicitudes de </w:t>
            </w:r>
            <w:r w:rsidRPr="000E52E5">
              <w:rPr>
                <w:rFonts w:ascii="Verdana" w:eastAsia="Calibri" w:hAnsi="Verdana" w:cs="Arial"/>
                <w:bCs/>
                <w:i/>
                <w:iCs/>
                <w:color w:val="000000" w:themeColor="text1"/>
                <w:lang w:val="es-ES_tradnl"/>
              </w:rPr>
              <w:t>revocación directa</w:t>
            </w:r>
            <w:r w:rsidRPr="000E52E5">
              <w:rPr>
                <w:rFonts w:ascii="Verdana" w:eastAsia="Calibri" w:hAnsi="Verdana" w:cs="Arial"/>
                <w:bCs/>
                <w:color w:val="000000" w:themeColor="text1"/>
                <w:lang w:val="es-ES_tradnl"/>
              </w:rPr>
              <w:t xml:space="preserve"> de los conceptos, pues no son actos administrativos, no tienen efectos vinculantes en relación con una situación jurídica particular y concreta, y exponen un criterio que, aunque jurídicamente fundamentado, no representan necesariamente la </w:t>
            </w:r>
            <w:r w:rsidRPr="000E52E5">
              <w:rPr>
                <w:rFonts w:ascii="Verdana" w:eastAsia="Calibri" w:hAnsi="Verdana" w:cs="Arial"/>
                <w:bCs/>
                <w:i/>
                <w:iCs/>
                <w:color w:val="000000" w:themeColor="text1"/>
                <w:lang w:val="es-ES_tradnl"/>
              </w:rPr>
              <w:t>única</w:t>
            </w:r>
            <w:r w:rsidRPr="000E52E5">
              <w:rPr>
                <w:rFonts w:ascii="Verdana" w:eastAsia="Calibri" w:hAnsi="Verdana" w:cs="Arial"/>
                <w:bCs/>
                <w:color w:val="000000" w:themeColor="text1"/>
                <w:lang w:val="es-ES_tradnl"/>
              </w:rPr>
              <w:t xml:space="preserve"> interpretación válida del ordenamiento jurídico.</w:t>
            </w:r>
            <w:r>
              <w:rPr>
                <w:rFonts w:ascii="Verdana" w:eastAsia="Calibri" w:hAnsi="Verdana" w:cs="Arial"/>
                <w:bCs/>
                <w:color w:val="000000" w:themeColor="text1"/>
                <w:lang w:val="es-ES_tradnl"/>
              </w:rPr>
              <w:t xml:space="preserve"> Por tanto, </w:t>
            </w:r>
            <w:r>
              <w:rPr>
                <w:rFonts w:ascii="Verdana" w:eastAsia="Calibri" w:hAnsi="Verdana" w:cs="Arial"/>
                <w:bCs/>
                <w:lang w:val="es-ES_tradnl"/>
              </w:rPr>
              <w:t xml:space="preserve">la Agencia ratifica la postura del </w:t>
            </w:r>
            <w:r>
              <w:rPr>
                <w:rFonts w:ascii="Verdana" w:eastAsia="Calibri" w:hAnsi="Verdana" w:cs="Arial"/>
                <w:lang w:val="es-ES" w:eastAsia="es-ES"/>
              </w:rPr>
              <w:t>Concepto C-1287 del 14 de octubre de 2025 conforme a los argumentos anteriormente expuestos. (Respuesta a la pregunta 7)</w:t>
            </w:r>
          </w:p>
        </w:tc>
      </w:tr>
    </w:tbl>
    <w:p w14:paraId="5C24181A" w14:textId="77777777" w:rsidR="006F4AE1" w:rsidRPr="00593A5F" w:rsidRDefault="006F4AE1" w:rsidP="006F4AE1">
      <w:pPr>
        <w:tabs>
          <w:tab w:val="left" w:pos="142"/>
          <w:tab w:val="left" w:pos="284"/>
        </w:tabs>
        <w:spacing w:after="0" w:line="276" w:lineRule="auto"/>
        <w:jc w:val="both"/>
        <w:rPr>
          <w:rFonts w:ascii="Verdana" w:eastAsia="Century Gothic" w:hAnsi="Verdana" w:cs="Century Gothic"/>
          <w:b/>
          <w:bCs/>
          <w:lang w:val="es-ES"/>
        </w:rPr>
      </w:pPr>
    </w:p>
    <w:bookmarkEnd w:id="1"/>
    <w:p w14:paraId="6FBD89B7" w14:textId="77777777" w:rsidR="006F4AE1" w:rsidRPr="00593A5F" w:rsidRDefault="006F4AE1" w:rsidP="006F4AE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55591D60" w14:textId="77777777" w:rsidR="006F4AE1" w:rsidRPr="00593A5F" w:rsidRDefault="006F4AE1" w:rsidP="006F4AE1">
      <w:pPr>
        <w:spacing w:after="0" w:line="276" w:lineRule="auto"/>
        <w:jc w:val="both"/>
        <w:rPr>
          <w:rFonts w:ascii="Verdana" w:eastAsia="Calibri" w:hAnsi="Verdana" w:cs="Arial"/>
          <w:color w:val="7030A0"/>
          <w:lang w:val="es-ES"/>
        </w:rPr>
      </w:pPr>
    </w:p>
    <w:p w14:paraId="56C8DB4B" w14:textId="77777777" w:rsidR="006F4AE1" w:rsidRDefault="006F4AE1" w:rsidP="006F4AE1">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7291A9E7" w14:textId="77777777" w:rsidR="006F4AE1" w:rsidRPr="00415608" w:rsidRDefault="006F4AE1" w:rsidP="006F4AE1">
      <w:pPr>
        <w:spacing w:after="0" w:line="276" w:lineRule="auto"/>
        <w:jc w:val="both"/>
        <w:rPr>
          <w:rFonts w:ascii="Verdana" w:eastAsia="Calibri" w:hAnsi="Verdana" w:cs="Arial"/>
          <w:lang w:val="es-ES"/>
        </w:rPr>
      </w:pPr>
    </w:p>
    <w:p w14:paraId="59300511" w14:textId="77777777" w:rsidR="006F4AE1" w:rsidRPr="00856F20" w:rsidRDefault="006F4AE1" w:rsidP="006F4AE1">
      <w:pPr>
        <w:tabs>
          <w:tab w:val="left" w:pos="426"/>
        </w:tabs>
        <w:spacing w:after="0" w:line="276" w:lineRule="auto"/>
        <w:jc w:val="both"/>
        <w:rPr>
          <w:rFonts w:ascii="Verdana" w:eastAsia="Calibri" w:hAnsi="Verdana" w:cs="Arial"/>
          <w:bCs/>
          <w:lang w:val="es-ES_tradnl"/>
        </w:rPr>
      </w:pPr>
      <w:r>
        <w:rPr>
          <w:rFonts w:ascii="Verdana" w:hAnsi="Verdana"/>
          <w:lang w:val="es-ES" w:eastAsia="es-ES"/>
        </w:rPr>
        <w:t xml:space="preserve">i. </w:t>
      </w:r>
      <w:r w:rsidRPr="00856F20">
        <w:rPr>
          <w:rFonts w:ascii="Verdana" w:eastAsia="Calibri" w:hAnsi="Verdana" w:cs="Arial"/>
          <w:bCs/>
          <w:lang w:val="es-ES_tradnl"/>
        </w:rPr>
        <w:t>En ejercicio de las competencias consagradas en los artículos 3, numeral 5, 11, numeral 8, 12, numeral 6, y 13, numeral 4, del Decreto</w:t>
      </w:r>
      <w:r>
        <w:rPr>
          <w:rFonts w:ascii="Verdana" w:eastAsia="Calibri" w:hAnsi="Verdana" w:cs="Arial"/>
          <w:bCs/>
          <w:lang w:val="es-ES_tradnl"/>
        </w:rPr>
        <w:t xml:space="preserve"> Ley</w:t>
      </w:r>
      <w:r w:rsidRPr="00856F20">
        <w:rPr>
          <w:rFonts w:ascii="Verdana" w:eastAsia="Calibri" w:hAnsi="Verdana" w:cs="Arial"/>
          <w:bCs/>
          <w:lang w:val="es-ES_tradnl"/>
        </w:rPr>
        <w:t xml:space="preserve"> 4170 de 2011, la Agencia Nacional de Contratación Pública – Colombia Compra Eficiente resuelve consultas sobre los asuntos de su competencia, esto es, sobre las normas que conforman el sistema de compras y contratación pública. Esta competencia consultiva se relaciona con el artículo 28 de la Ley 1437 de 2011, sustituido por el artículo 1 de la Ley 1755, que dispone lo siguiente:</w:t>
      </w:r>
    </w:p>
    <w:p w14:paraId="223F4AA6" w14:textId="77777777" w:rsidR="006F4AE1" w:rsidRPr="00856F20" w:rsidRDefault="006F4AE1" w:rsidP="006F4AE1">
      <w:pPr>
        <w:tabs>
          <w:tab w:val="left" w:pos="426"/>
        </w:tabs>
        <w:spacing w:after="0" w:line="276" w:lineRule="auto"/>
        <w:jc w:val="both"/>
        <w:rPr>
          <w:rFonts w:ascii="Verdana" w:eastAsia="Calibri" w:hAnsi="Verdana" w:cs="Arial"/>
          <w:bCs/>
          <w:lang w:val="es-ES_tradnl"/>
        </w:rPr>
      </w:pPr>
    </w:p>
    <w:p w14:paraId="711F843D" w14:textId="77777777" w:rsidR="006F4AE1" w:rsidRPr="00603CFA" w:rsidRDefault="006F4AE1" w:rsidP="006F4AE1">
      <w:pPr>
        <w:tabs>
          <w:tab w:val="left" w:pos="426"/>
        </w:tabs>
        <w:spacing w:after="0" w:line="240" w:lineRule="auto"/>
        <w:ind w:left="709" w:right="709"/>
        <w:jc w:val="both"/>
        <w:rPr>
          <w:rFonts w:ascii="Verdana" w:eastAsia="Calibri" w:hAnsi="Verdana" w:cs="Arial"/>
          <w:bCs/>
          <w:sz w:val="20"/>
          <w:szCs w:val="20"/>
          <w:lang w:val="es-ES_tradnl"/>
        </w:rPr>
      </w:pPr>
      <w:r w:rsidRPr="00603CFA">
        <w:rPr>
          <w:rFonts w:ascii="Verdana" w:eastAsia="Calibri" w:hAnsi="Verdana" w:cs="Arial"/>
          <w:bCs/>
          <w:sz w:val="20"/>
          <w:szCs w:val="20"/>
          <w:lang w:val="es-ES_tradnl"/>
        </w:rPr>
        <w:t xml:space="preserve">“Artículo 28. Alcance de los conceptos. Salvo disposición legal en contrario, los conceptos emitidos por las autoridades como respuestas a peticiones realizadas en ejercicio del derecho a formular consultas no serán de obligatorio cumplimiento o ejecución”.  </w:t>
      </w:r>
    </w:p>
    <w:p w14:paraId="6121125E" w14:textId="77777777" w:rsidR="006F4AE1" w:rsidRPr="00856F20" w:rsidRDefault="006F4AE1" w:rsidP="006F4AE1">
      <w:pPr>
        <w:tabs>
          <w:tab w:val="left" w:pos="426"/>
        </w:tabs>
        <w:spacing w:after="0" w:line="276" w:lineRule="auto"/>
        <w:jc w:val="both"/>
        <w:rPr>
          <w:rFonts w:ascii="Verdana" w:eastAsia="Calibri" w:hAnsi="Verdana" w:cs="Arial"/>
          <w:bCs/>
          <w:lang w:val="es-ES_tradnl"/>
        </w:rPr>
      </w:pPr>
    </w:p>
    <w:p w14:paraId="4CCA83E1" w14:textId="77777777" w:rsidR="006F4AE1" w:rsidRPr="00856F20" w:rsidRDefault="006F4AE1" w:rsidP="006F4AE1">
      <w:pPr>
        <w:tabs>
          <w:tab w:val="left" w:pos="709"/>
        </w:tabs>
        <w:spacing w:line="276" w:lineRule="auto"/>
        <w:jc w:val="both"/>
        <w:rPr>
          <w:rFonts w:ascii="Verdana" w:eastAsia="Calibri" w:hAnsi="Verdana" w:cs="Arial"/>
          <w:bCs/>
          <w:lang w:val="es-ES_tradnl"/>
        </w:rPr>
      </w:pPr>
      <w:r w:rsidRPr="00856F20">
        <w:rPr>
          <w:rFonts w:ascii="Verdana" w:eastAsia="Calibri" w:hAnsi="Verdana" w:cs="Arial"/>
          <w:bCs/>
          <w:lang w:val="es-ES_tradnl"/>
        </w:rPr>
        <w:tab/>
        <w:t>La ley es clara cuando establece que los conceptos, emitidos por las autoridades al responder peticiones realizadas en ejercicio del derecho a formular consultas, no son de obligatorio cumplimiento o ejecución, en otras palabras, no tienen efectos vinculantes. Las respuestas emitidas como concepto, entonces, consisten en la posición hermenéutica que las entidades tienen respecto del ordenamiento jurídico. Esto explica por qué esta Agencia, reiteradamente, no resuelve controversias concretas ni brinda asesorías puntuales a los partícipes de la contratación estatal.</w:t>
      </w:r>
    </w:p>
    <w:p w14:paraId="10321F84" w14:textId="77777777" w:rsidR="006F4AE1" w:rsidRPr="00856F20" w:rsidRDefault="006F4AE1" w:rsidP="006F4AE1">
      <w:pPr>
        <w:tabs>
          <w:tab w:val="left" w:pos="709"/>
        </w:tabs>
        <w:spacing w:before="120" w:line="276" w:lineRule="auto"/>
        <w:jc w:val="both"/>
        <w:rPr>
          <w:rFonts w:ascii="Verdana" w:eastAsia="Calibri" w:hAnsi="Verdana" w:cs="Arial"/>
          <w:bCs/>
          <w:sz w:val="21"/>
          <w:szCs w:val="21"/>
          <w:lang w:val="es-ES_tradnl"/>
        </w:rPr>
      </w:pPr>
      <w:r w:rsidRPr="00856F20">
        <w:rPr>
          <w:rFonts w:ascii="Verdana" w:eastAsia="Calibri" w:hAnsi="Verdana" w:cs="Arial"/>
          <w:bCs/>
          <w:lang w:val="es-ES_tradnl"/>
        </w:rPr>
        <w:tab/>
        <w:t xml:space="preserve">Esta posición es compartida por varias entidades públicas que ejercen la misma función. Por ejemplo, la Procuraduría General de la Nación aclaró que el concepto </w:t>
      </w:r>
      <w:r>
        <w:rPr>
          <w:rFonts w:ascii="Verdana" w:eastAsia="Calibri" w:hAnsi="Verdana" w:cs="Arial"/>
          <w:bCs/>
          <w:lang w:val="es-ES_tradnl"/>
        </w:rPr>
        <w:t>“</w:t>
      </w:r>
      <w:r w:rsidRPr="00856F20">
        <w:rPr>
          <w:rFonts w:ascii="Verdana" w:eastAsia="Calibri" w:hAnsi="Verdana" w:cs="Arial"/>
          <w:bCs/>
          <w:lang w:val="es-ES_tradnl"/>
        </w:rPr>
        <w:t>sólo constituye un criterio auxiliar de interpretación y que no tiene carácter vinculante de acuerdo con lo dispuesto en los artículos 230 de la Constitución Política, 5° de la Ley 153 de 1887 y 28 de la ley 1437 de 2011</w:t>
      </w:r>
      <w:r>
        <w:rPr>
          <w:rFonts w:ascii="Verdana" w:eastAsia="Calibri" w:hAnsi="Verdana" w:cs="Arial"/>
          <w:bCs/>
          <w:lang w:val="es-ES_tradnl"/>
        </w:rPr>
        <w:t>”</w:t>
      </w:r>
      <w:r w:rsidRPr="00856F20">
        <w:rPr>
          <w:rStyle w:val="Refdenotaalpie"/>
          <w:rFonts w:ascii="Verdana" w:eastAsia="Calibri" w:hAnsi="Verdana" w:cs="Arial"/>
          <w:bCs/>
          <w:lang w:val="es-ES_tradnl"/>
        </w:rPr>
        <w:footnoteReference w:id="1"/>
      </w:r>
      <w:r w:rsidRPr="00856F20">
        <w:rPr>
          <w:rFonts w:ascii="Verdana" w:eastAsia="Calibri" w:hAnsi="Verdana" w:cs="Arial"/>
          <w:bCs/>
          <w:lang w:val="es-ES_tradnl"/>
        </w:rPr>
        <w:t>. Igualmente, en concepto del año 2017</w:t>
      </w:r>
      <w:r w:rsidRPr="00856F20">
        <w:rPr>
          <w:rStyle w:val="Refdenotaalpie"/>
          <w:rFonts w:ascii="Verdana" w:eastAsia="Calibri" w:hAnsi="Verdana" w:cs="Arial"/>
          <w:bCs/>
          <w:lang w:val="es-ES_tradnl"/>
        </w:rPr>
        <w:footnoteReference w:id="2"/>
      </w:r>
      <w:r w:rsidRPr="00856F20">
        <w:rPr>
          <w:rFonts w:ascii="Verdana" w:eastAsia="Calibri" w:hAnsi="Verdana" w:cs="Arial"/>
          <w:bCs/>
          <w:lang w:val="es-ES_tradnl"/>
        </w:rPr>
        <w:t xml:space="preserve">, la Contraloría General de la República precisó que los </w:t>
      </w:r>
      <w:r>
        <w:rPr>
          <w:rFonts w:ascii="Verdana" w:eastAsia="Calibri" w:hAnsi="Verdana" w:cs="Arial"/>
          <w:bCs/>
          <w:lang w:val="es-ES_tradnl"/>
        </w:rPr>
        <w:t>“</w:t>
      </w:r>
      <w:r w:rsidRPr="00856F20">
        <w:rPr>
          <w:rFonts w:ascii="Verdana" w:eastAsia="Calibri" w:hAnsi="Verdana" w:cs="Arial"/>
          <w:bCs/>
          <w:lang w:val="es-ES_tradnl"/>
        </w:rPr>
        <w:t>[…] conceptos emitidos por la Oficina Jurídica de la Contraloría General de la República, son orientaciones de carácter general que […] no son de obligatorio cumplimiento o ejecución, ni tienen el carácter de fuente normativa y sólo pueden ser utilizados para facilitar la interpretación y aplicación de las normas jurídicas vigentes […]</w:t>
      </w:r>
      <w:r>
        <w:rPr>
          <w:rFonts w:ascii="Verdana" w:eastAsia="Calibri" w:hAnsi="Verdana" w:cs="Arial"/>
          <w:bCs/>
          <w:lang w:val="es-ES_tradnl"/>
        </w:rPr>
        <w:t>”</w:t>
      </w:r>
      <w:r w:rsidRPr="00856F20">
        <w:rPr>
          <w:rFonts w:ascii="Verdana" w:eastAsia="Calibri" w:hAnsi="Verdana" w:cs="Arial"/>
          <w:bCs/>
          <w:lang w:val="es-ES_tradnl"/>
        </w:rPr>
        <w:t>.</w:t>
      </w:r>
    </w:p>
    <w:p w14:paraId="6DEFB715" w14:textId="77777777" w:rsidR="006F4AE1" w:rsidRPr="00856F20" w:rsidRDefault="006F4AE1" w:rsidP="006F4AE1">
      <w:pPr>
        <w:tabs>
          <w:tab w:val="left" w:pos="709"/>
        </w:tabs>
        <w:spacing w:before="120" w:line="276" w:lineRule="auto"/>
        <w:jc w:val="both"/>
        <w:rPr>
          <w:rFonts w:ascii="Verdana" w:eastAsia="Calibri" w:hAnsi="Verdana" w:cs="Arial"/>
          <w:bCs/>
          <w:lang w:val="es-ES_tradnl"/>
        </w:rPr>
      </w:pPr>
      <w:r w:rsidRPr="00856F20">
        <w:rPr>
          <w:rFonts w:ascii="Verdana" w:eastAsia="Calibri" w:hAnsi="Verdana" w:cs="Arial"/>
          <w:bCs/>
          <w:lang w:val="es-ES_tradnl"/>
        </w:rPr>
        <w:lastRenderedPageBreak/>
        <w:tab/>
        <w:t xml:space="preserve">En términos generales, lo que se busca con el ejercicio de la función consultiva es que la opinión jurídica de la Agencia Nacional de Contratación Pública – Colombia Compra Eficiente sea un criterio de orientación para los operadores jurídicos, sin que ello suponga resolver un problema entre partes o asumir la </w:t>
      </w:r>
      <w:r w:rsidRPr="00856F20">
        <w:rPr>
          <w:rFonts w:ascii="Verdana" w:eastAsia="Calibri" w:hAnsi="Verdana" w:cs="Arial"/>
          <w:bCs/>
          <w:i/>
          <w:iCs/>
          <w:lang w:val="es-ES_tradnl"/>
        </w:rPr>
        <w:t>única</w:t>
      </w:r>
      <w:r w:rsidRPr="00856F20">
        <w:rPr>
          <w:rFonts w:ascii="Verdana" w:eastAsia="Calibri" w:hAnsi="Verdana" w:cs="Arial"/>
          <w:bCs/>
          <w:lang w:val="es-ES_tradnl"/>
        </w:rPr>
        <w:t xml:space="preserve"> posible interpretación de una disposición normativa. Esto no descarta que, en la práctica, al emitirse la opinión sobre la interpretación del ordenamiento jurídico, exista coincidencia con el criterio que expone alguna de las partes o la persona que solicita la consulta, circunstancia que no descarta interpretaciones diferentes</w:t>
      </w:r>
      <w:r w:rsidRPr="00856F20">
        <w:rPr>
          <w:rStyle w:val="Refdenotaalpie"/>
          <w:rFonts w:ascii="Verdana" w:eastAsia="Calibri" w:hAnsi="Verdana" w:cs="Arial"/>
          <w:bCs/>
          <w:lang w:val="es-ES_tradnl"/>
        </w:rPr>
        <w:footnoteReference w:id="3"/>
      </w:r>
      <w:r w:rsidRPr="00856F20">
        <w:rPr>
          <w:rFonts w:ascii="Verdana" w:eastAsia="Calibri" w:hAnsi="Verdana" w:cs="Arial"/>
          <w:bCs/>
          <w:lang w:val="es-ES_tradnl"/>
        </w:rPr>
        <w:t>.</w:t>
      </w:r>
    </w:p>
    <w:p w14:paraId="204FA04F" w14:textId="77777777" w:rsidR="006F4AE1" w:rsidRPr="00856F20" w:rsidRDefault="006F4AE1" w:rsidP="006F4AE1">
      <w:pPr>
        <w:tabs>
          <w:tab w:val="left" w:pos="709"/>
        </w:tabs>
        <w:spacing w:before="120" w:line="276" w:lineRule="auto"/>
        <w:ind w:firstLine="709"/>
        <w:jc w:val="both"/>
        <w:rPr>
          <w:rFonts w:ascii="Verdana" w:eastAsia="Calibri" w:hAnsi="Verdana" w:cs="Arial"/>
          <w:bCs/>
          <w:lang w:val="es-ES_tradnl"/>
        </w:rPr>
      </w:pPr>
      <w:r w:rsidRPr="00856F20">
        <w:rPr>
          <w:rFonts w:ascii="Verdana" w:eastAsia="Calibri" w:hAnsi="Verdana" w:cs="Arial"/>
          <w:bCs/>
          <w:lang w:val="es-ES_tradnl"/>
        </w:rPr>
        <w:t xml:space="preserve">Las autoridades que ejercen funciones consultivas pueden expresar su interpretación de un precepto normativo que no excluye otras interpretaciones posibles, pues el derecho, como sistema normativo, es un lenguaje que, en ocasiones, se tiñe de vaguedad, en virtud de la utilización de conceptos jurídicos indeterminados. Así, puede pasar, por ejemplo, que un ministerio considere que una norma debe entenderse en un sentido, pero que otra entidad, vinculada o adscrita a ese ministerio, entienda que la misma norma debe interpretarse de otra manera. Eso hace parte de la lógica deliberativa y dialéctica del funcionamiento del Estado y refleja el principio democrático. De todos modos, esto no significa que el criterio de una u otra tenga validez o prevalencia sobre la otra, ya que se trata de opiniones emitidas a título de concepto, pese a que entre las entidades exista una jerarquía o de la naturaleza y competencias que se prediquen de una y otra. Incluso, aun cuando los jueces interpreten con autoridad el sentido de la disposición normativa, el concepto emitido por la entidad no deja de ser tal y no adquiere efectos vinculantes, por más que coincida con el de la autoridad judicial, pues, en esa hipótesis, lo que vincula es la decisión del juez, no el de la entidad que ejerció la función consultiva, pues, como se viene diciendo, dicha competencia se enmarca en el artículo 28 de la Ley 1437 de 2011. En otras palabras, los conceptos </w:t>
      </w:r>
      <w:r>
        <w:rPr>
          <w:rFonts w:ascii="Verdana" w:eastAsia="Calibri" w:hAnsi="Verdana" w:cs="Arial"/>
          <w:bCs/>
          <w:lang w:val="es-ES_tradnl"/>
        </w:rPr>
        <w:t>“</w:t>
      </w:r>
      <w:r w:rsidRPr="00856F20">
        <w:rPr>
          <w:rFonts w:ascii="Verdana" w:eastAsia="Calibri" w:hAnsi="Verdana" w:cs="Arial"/>
          <w:bCs/>
          <w:lang w:val="es-ES_tradnl"/>
        </w:rPr>
        <w:t>no serán de obligatorio cumplimiento o ejecución</w:t>
      </w:r>
      <w:r>
        <w:rPr>
          <w:rFonts w:ascii="Verdana" w:eastAsia="Calibri" w:hAnsi="Verdana" w:cs="Arial"/>
          <w:bCs/>
          <w:lang w:val="es-ES_tradnl"/>
        </w:rPr>
        <w:t>”</w:t>
      </w:r>
      <w:r w:rsidRPr="00856F20">
        <w:rPr>
          <w:rFonts w:ascii="Verdana" w:eastAsia="Calibri" w:hAnsi="Verdana" w:cs="Arial"/>
          <w:bCs/>
          <w:lang w:val="es-ES_tradnl"/>
        </w:rPr>
        <w:t xml:space="preserve">. </w:t>
      </w:r>
    </w:p>
    <w:p w14:paraId="29C5BDF5" w14:textId="77777777" w:rsidR="006F4AE1" w:rsidRPr="00856F20" w:rsidRDefault="006F4AE1" w:rsidP="006F4AE1">
      <w:pPr>
        <w:tabs>
          <w:tab w:val="left" w:pos="709"/>
        </w:tabs>
        <w:spacing w:before="120" w:after="0" w:line="276" w:lineRule="auto"/>
        <w:jc w:val="both"/>
        <w:rPr>
          <w:rFonts w:ascii="Verdana" w:eastAsia="Calibri" w:hAnsi="Verdana" w:cs="Arial"/>
          <w:bCs/>
          <w:lang w:val="es-ES_tradnl"/>
        </w:rPr>
      </w:pPr>
      <w:r w:rsidRPr="00856F20">
        <w:rPr>
          <w:rFonts w:ascii="Verdana" w:eastAsia="Calibri" w:hAnsi="Verdana" w:cs="Arial"/>
          <w:bCs/>
          <w:lang w:val="es-ES_tradnl"/>
        </w:rPr>
        <w:tab/>
        <w:t xml:space="preserve">En similares términos, el artículo 112 de la Ley 1437 de 2011 establece, en relación con la Sala de Consulta y Servicio Civil, que </w:t>
      </w:r>
      <w:r>
        <w:rPr>
          <w:rFonts w:ascii="Verdana" w:eastAsia="Calibri" w:hAnsi="Verdana" w:cs="Arial"/>
          <w:bCs/>
          <w:lang w:val="es-ES_tradnl"/>
        </w:rPr>
        <w:t>“</w:t>
      </w:r>
      <w:r w:rsidRPr="00856F20">
        <w:rPr>
          <w:rFonts w:ascii="Verdana" w:eastAsia="Calibri" w:hAnsi="Verdana" w:cs="Arial"/>
          <w:bCs/>
          <w:lang w:val="es-ES_tradnl"/>
        </w:rPr>
        <w:t>los conceptos de la Sala no serán vinculantes, salvo que la ley disponga lo contrario</w:t>
      </w:r>
      <w:r>
        <w:rPr>
          <w:rFonts w:ascii="Verdana" w:eastAsia="Calibri" w:hAnsi="Verdana" w:cs="Arial"/>
          <w:bCs/>
          <w:lang w:val="es-ES_tradnl"/>
        </w:rPr>
        <w:t>”</w:t>
      </w:r>
      <w:r w:rsidRPr="00856F20">
        <w:rPr>
          <w:rStyle w:val="Refdenotaalpie"/>
          <w:rFonts w:ascii="Verdana" w:eastAsia="Calibri" w:hAnsi="Verdana" w:cs="Arial"/>
          <w:bCs/>
          <w:lang w:val="es-ES_tradnl"/>
        </w:rPr>
        <w:footnoteReference w:id="4"/>
      </w:r>
      <w:r w:rsidRPr="00856F20">
        <w:rPr>
          <w:rFonts w:ascii="Verdana" w:eastAsia="Calibri" w:hAnsi="Verdana" w:cs="Arial"/>
          <w:bCs/>
          <w:lang w:val="es-ES_tradnl"/>
        </w:rPr>
        <w:t xml:space="preserve">. Se trata, </w:t>
      </w:r>
      <w:r w:rsidRPr="00856F20">
        <w:rPr>
          <w:rFonts w:ascii="Verdana" w:eastAsia="Calibri" w:hAnsi="Verdana" w:cs="Arial"/>
          <w:bCs/>
          <w:i/>
          <w:iCs/>
          <w:lang w:val="es-ES_tradnl"/>
        </w:rPr>
        <w:t xml:space="preserve">mutatis </w:t>
      </w:r>
      <w:r w:rsidRPr="00856F20">
        <w:rPr>
          <w:rFonts w:ascii="Verdana" w:eastAsia="Calibri" w:hAnsi="Verdana" w:cs="Arial"/>
          <w:bCs/>
          <w:i/>
          <w:iCs/>
          <w:lang w:val="es-ES_tradnl"/>
        </w:rPr>
        <w:lastRenderedPageBreak/>
        <w:t>mutandis</w:t>
      </w:r>
      <w:r w:rsidRPr="00856F20">
        <w:rPr>
          <w:rFonts w:ascii="Verdana" w:eastAsia="Calibri" w:hAnsi="Verdana" w:cs="Arial"/>
          <w:bCs/>
          <w:lang w:val="es-ES_tradnl"/>
        </w:rPr>
        <w:t>,</w:t>
      </w:r>
      <w:r w:rsidRPr="00856F20">
        <w:rPr>
          <w:rFonts w:ascii="Verdana" w:eastAsia="Calibri" w:hAnsi="Verdana" w:cs="Arial"/>
          <w:bCs/>
          <w:i/>
          <w:iCs/>
          <w:lang w:val="es-ES_tradnl"/>
        </w:rPr>
        <w:t xml:space="preserve"> </w:t>
      </w:r>
      <w:r w:rsidRPr="00856F20">
        <w:rPr>
          <w:rFonts w:ascii="Verdana" w:eastAsia="Calibri" w:hAnsi="Verdana" w:cs="Arial"/>
          <w:bCs/>
          <w:lang w:val="es-ES_tradnl"/>
        </w:rPr>
        <w:t>del ejercicio de una función consultiva, cuyos efectos, por ende, serán los mismos: no vinculantes ni de obligatorio cumplimiento. En relación con el tema, la Sala de Consulta y Servicio Civil del Consejo de Estado, se pronunció en los siguientes términos:</w:t>
      </w:r>
    </w:p>
    <w:p w14:paraId="22152FE1" w14:textId="77777777" w:rsidR="006F4AE1" w:rsidRPr="00856F20" w:rsidRDefault="006F4AE1" w:rsidP="006F4AE1">
      <w:pPr>
        <w:tabs>
          <w:tab w:val="left" w:pos="426"/>
        </w:tabs>
        <w:spacing w:after="0" w:line="276" w:lineRule="auto"/>
        <w:jc w:val="both"/>
        <w:rPr>
          <w:rFonts w:ascii="Verdana" w:eastAsia="Calibri" w:hAnsi="Verdana" w:cs="Arial"/>
          <w:bCs/>
          <w:lang w:val="es-ES_tradnl"/>
        </w:rPr>
      </w:pPr>
    </w:p>
    <w:p w14:paraId="21DA9658" w14:textId="77777777" w:rsidR="006F4AE1" w:rsidRPr="00603CFA" w:rsidRDefault="006F4AE1" w:rsidP="006F4AE1">
      <w:pPr>
        <w:tabs>
          <w:tab w:val="left" w:pos="426"/>
        </w:tabs>
        <w:spacing w:after="120" w:line="240" w:lineRule="auto"/>
        <w:ind w:left="709" w:right="709"/>
        <w:jc w:val="both"/>
        <w:rPr>
          <w:rFonts w:ascii="Verdana" w:eastAsia="Calibri" w:hAnsi="Verdana" w:cs="Arial"/>
          <w:bCs/>
          <w:sz w:val="20"/>
          <w:szCs w:val="20"/>
          <w:lang w:val="es-ES_tradnl"/>
        </w:rPr>
      </w:pPr>
      <w:r w:rsidRPr="00603CFA">
        <w:rPr>
          <w:rFonts w:ascii="Verdana" w:eastAsia="Calibri" w:hAnsi="Verdana" w:cs="Arial"/>
          <w:bCs/>
          <w:sz w:val="20"/>
          <w:szCs w:val="20"/>
          <w:lang w:val="es-ES_tradnl"/>
        </w:rPr>
        <w:t xml:space="preserve">“De otra parte, recuerda la Sala que la función consultiva no constituye un trámite controversial de tipo judicial; se encuentra establecida como un mecanismo constitucional dirigido a asegurar que la actuación de la Administración se adecue al ordenamiento jurídico y al interés general por el que le corresponde velar en el ejercicio de sus funciones. La defensa del ordenamiento jurídico por esta vía se realiza a través de un órgano independiente y autónomo del poder judicial, que actúa por tanto con independencia de criterios, dentro de una lógica de colaboración armónica de poderes (art.113 C.P).  </w:t>
      </w:r>
    </w:p>
    <w:p w14:paraId="59C66C02" w14:textId="77777777" w:rsidR="006F4AE1" w:rsidRPr="00603CFA" w:rsidRDefault="006F4AE1" w:rsidP="006F4AE1">
      <w:pPr>
        <w:tabs>
          <w:tab w:val="left" w:pos="426"/>
        </w:tabs>
        <w:spacing w:after="0" w:line="240" w:lineRule="auto"/>
        <w:ind w:left="709" w:right="709"/>
        <w:jc w:val="both"/>
        <w:rPr>
          <w:rFonts w:ascii="Verdana" w:eastAsia="Calibri" w:hAnsi="Verdana" w:cs="Arial"/>
          <w:bCs/>
          <w:sz w:val="20"/>
          <w:szCs w:val="20"/>
          <w:lang w:val="es-ES_tradnl"/>
        </w:rPr>
      </w:pPr>
      <w:r w:rsidRPr="00603CFA">
        <w:rPr>
          <w:rFonts w:ascii="Verdana" w:eastAsia="Calibri" w:hAnsi="Verdana" w:cs="Arial"/>
          <w:bCs/>
          <w:sz w:val="20"/>
          <w:szCs w:val="20"/>
          <w:lang w:val="es-ES_tradnl"/>
        </w:rPr>
        <w:t>No se trata entonces de dar la razón a una u otra posición en temas controvertibles, sino de rendir un concepto jurídico que sirva a la Administración en la búsqueda del cumplimiento de las finalidades esenciales del Estado”</w:t>
      </w:r>
      <w:r w:rsidRPr="00603CFA">
        <w:rPr>
          <w:rStyle w:val="Refdenotaalpie"/>
          <w:rFonts w:ascii="Verdana" w:eastAsia="Calibri" w:hAnsi="Verdana" w:cs="Arial"/>
          <w:bCs/>
          <w:sz w:val="20"/>
          <w:szCs w:val="20"/>
          <w:lang w:val="es-ES_tradnl"/>
        </w:rPr>
        <w:footnoteReference w:id="5"/>
      </w:r>
      <w:r w:rsidRPr="00603CFA">
        <w:rPr>
          <w:rFonts w:ascii="Verdana" w:eastAsia="Calibri" w:hAnsi="Verdana" w:cs="Arial"/>
          <w:bCs/>
          <w:sz w:val="20"/>
          <w:szCs w:val="20"/>
          <w:lang w:val="es-ES_tradnl"/>
        </w:rPr>
        <w:t>.</w:t>
      </w:r>
    </w:p>
    <w:p w14:paraId="2C2A71DA" w14:textId="77777777" w:rsidR="006F4AE1" w:rsidRPr="00856F20" w:rsidRDefault="006F4AE1" w:rsidP="006F4AE1">
      <w:pPr>
        <w:tabs>
          <w:tab w:val="left" w:pos="426"/>
        </w:tabs>
        <w:spacing w:after="0" w:line="276" w:lineRule="auto"/>
        <w:jc w:val="both"/>
        <w:rPr>
          <w:rFonts w:ascii="Verdana" w:eastAsia="Calibri" w:hAnsi="Verdana" w:cs="Arial"/>
          <w:bCs/>
          <w:lang w:val="es-ES_tradnl"/>
        </w:rPr>
      </w:pPr>
    </w:p>
    <w:p w14:paraId="735E8BF6" w14:textId="77777777" w:rsidR="006F4AE1" w:rsidRPr="00856F20" w:rsidRDefault="006F4AE1" w:rsidP="006F4AE1">
      <w:pPr>
        <w:tabs>
          <w:tab w:val="left" w:pos="709"/>
        </w:tabs>
        <w:spacing w:line="276" w:lineRule="auto"/>
        <w:jc w:val="both"/>
        <w:rPr>
          <w:rFonts w:ascii="Verdana" w:eastAsia="Calibri" w:hAnsi="Verdana" w:cs="Arial"/>
          <w:bCs/>
          <w:lang w:val="es-ES_tradnl"/>
        </w:rPr>
      </w:pPr>
      <w:r w:rsidRPr="00856F20">
        <w:rPr>
          <w:rFonts w:ascii="Verdana" w:eastAsia="Calibri" w:hAnsi="Verdana" w:cs="Arial"/>
          <w:bCs/>
          <w:lang w:val="es-ES_tradnl"/>
        </w:rPr>
        <w:tab/>
        <w:t>El ejercicio de la función consultiva del artículo 28 de la Ley 1437 de 2011 descarta la resolución de controversias en curso o de problemas cuyos efectos se concreten. Lo primero, debe manejarlo la propia entidad ante la que se presenta el problema, y lo segundo el juez competente. En últimas, siempre que no exista una decisión judicial vinculante, los destinatarios de la norma serán los que interpreten el ordenamiento jurídico. Así las cosas, a título de ejemplo, si una entidad considera que un término vence en un momento específico, habida cuenta de su lectura exegética de la norma respectiva, pero otra entiende que el término vence en otro momento, amparada en una lectura teleológica del ordenamiento jurídico, serán los destinatarios de dicha norma los que decidirán cuál es la interpretación por la que optan, claro está, sin perjuicio del posterior control judicial que podrá hacerse a solicitud de alguno de los interesados. No se trata, entonces, de jerarquías interpretativas sino de opiniones diferentes. El peso de la interpretación depende de la razonabilidad de los argumentos y de la inteligibilidad de la opinión.</w:t>
      </w:r>
    </w:p>
    <w:p w14:paraId="0D2C5F6C" w14:textId="77777777" w:rsidR="006F4AE1" w:rsidRPr="00856F20" w:rsidRDefault="006F4AE1" w:rsidP="006F4AE1">
      <w:pPr>
        <w:tabs>
          <w:tab w:val="left" w:pos="709"/>
        </w:tabs>
        <w:spacing w:before="120" w:after="120" w:line="276" w:lineRule="auto"/>
        <w:jc w:val="both"/>
        <w:rPr>
          <w:rFonts w:ascii="Verdana" w:eastAsia="Calibri" w:hAnsi="Verdana" w:cs="Arial"/>
          <w:bCs/>
          <w:lang w:val="es-ES_tradnl"/>
        </w:rPr>
      </w:pPr>
      <w:r w:rsidRPr="00856F20">
        <w:rPr>
          <w:rFonts w:ascii="Verdana" w:eastAsia="Calibri" w:hAnsi="Verdana" w:cs="Arial"/>
          <w:bCs/>
          <w:lang w:val="es-ES_tradnl"/>
        </w:rPr>
        <w:lastRenderedPageBreak/>
        <w:tab/>
        <w:t>Otro asunto es que la entidad que lee la norma exegéticamente, luego de la decisión judicial, ejerza sus competencias desconociendo la interpretación del juez, como podría pasar, en el ejemplo propuesto, si la entidad rechaza por extemporáneo un recurso, omitiendo la lectura que los jueces hicieron con criterio de autoridad. Con todo, por la naturaleza de la función consultiva, es perfectamente válido que la misma entidad, a título de concepto, mantenga la opinión que no coincide con la judicial, porque la misma no es vinculante.</w:t>
      </w:r>
    </w:p>
    <w:p w14:paraId="7A5559DE" w14:textId="77777777" w:rsidR="006F4AE1" w:rsidRDefault="006F4AE1" w:rsidP="006F4AE1">
      <w:pPr>
        <w:tabs>
          <w:tab w:val="left" w:pos="709"/>
        </w:tabs>
        <w:spacing w:after="0" w:line="276" w:lineRule="auto"/>
        <w:jc w:val="both"/>
        <w:rPr>
          <w:rFonts w:ascii="Verdana" w:eastAsia="Calibri" w:hAnsi="Verdana" w:cs="Arial"/>
          <w:bCs/>
          <w:lang w:val="es-ES_tradnl"/>
        </w:rPr>
      </w:pPr>
      <w:r w:rsidRPr="00856F20">
        <w:rPr>
          <w:rFonts w:ascii="Verdana" w:eastAsia="Calibri" w:hAnsi="Verdana" w:cs="Arial"/>
          <w:bCs/>
          <w:lang w:val="es-ES_tradnl"/>
        </w:rPr>
        <w:tab/>
      </w:r>
      <w:bookmarkStart w:id="2" w:name="_Hlk42100007"/>
      <w:r w:rsidRPr="00856F20">
        <w:rPr>
          <w:rFonts w:ascii="Verdana" w:eastAsia="Calibri" w:hAnsi="Verdana" w:cs="Arial"/>
          <w:bCs/>
          <w:lang w:val="es-ES_tradnl"/>
        </w:rPr>
        <w:t xml:space="preserve">Así las cosas, Colombia Compra Eficiente considera que no hay lugar a acceder, por ejemplo, a solicitudes de </w:t>
      </w:r>
      <w:r w:rsidRPr="00856F20">
        <w:rPr>
          <w:rFonts w:ascii="Verdana" w:eastAsia="Calibri" w:hAnsi="Verdana" w:cs="Arial"/>
          <w:bCs/>
          <w:i/>
          <w:iCs/>
          <w:lang w:val="es-ES_tradnl"/>
        </w:rPr>
        <w:t>revocación directa</w:t>
      </w:r>
      <w:r w:rsidRPr="00856F20">
        <w:rPr>
          <w:rFonts w:ascii="Verdana" w:eastAsia="Calibri" w:hAnsi="Verdana" w:cs="Arial"/>
          <w:bCs/>
          <w:lang w:val="es-ES_tradnl"/>
        </w:rPr>
        <w:t xml:space="preserve"> de los conceptos, pues no son actos administrativos, no tienen efectos vinculantes en relación con una situación jurídica particular y concreta, y exponen un criterio que, aunque jurídicamente fundamentado, no representan necesariamente la </w:t>
      </w:r>
      <w:r w:rsidRPr="00856F20">
        <w:rPr>
          <w:rFonts w:ascii="Verdana" w:eastAsia="Calibri" w:hAnsi="Verdana" w:cs="Arial"/>
          <w:bCs/>
          <w:i/>
          <w:iCs/>
          <w:lang w:val="es-ES_tradnl"/>
        </w:rPr>
        <w:t>única</w:t>
      </w:r>
      <w:r w:rsidRPr="00856F20">
        <w:rPr>
          <w:rFonts w:ascii="Verdana" w:eastAsia="Calibri" w:hAnsi="Verdana" w:cs="Arial"/>
          <w:bCs/>
          <w:lang w:val="es-ES_tradnl"/>
        </w:rPr>
        <w:t xml:space="preserve"> interpretación válida del ordenamiento jurídico.</w:t>
      </w:r>
      <w:bookmarkEnd w:id="2"/>
      <w:r w:rsidRPr="00856F20">
        <w:rPr>
          <w:rFonts w:ascii="Verdana" w:eastAsia="Calibri" w:hAnsi="Verdana" w:cs="Arial"/>
          <w:bCs/>
          <w:lang w:val="es-ES_tradnl"/>
        </w:rPr>
        <w:t xml:space="preserve"> Lo anterior no implica que la Agencia Nacional de Contratación Pública considere inalterables sus posturas, pues, de ser necesario, podría replantear una tesis previamente expuesta, bajo estrictos estándares argumentativos, al emitir otro concepto, ya que, dada su falta de vinculatoriedad, la legitimación de sus posturas proviene de la fuerza de los argumentos.</w:t>
      </w:r>
      <w:r>
        <w:rPr>
          <w:rFonts w:ascii="Verdana" w:eastAsia="Calibri" w:hAnsi="Verdana" w:cs="Arial"/>
          <w:bCs/>
          <w:lang w:val="es-ES_tradnl"/>
        </w:rPr>
        <w:t xml:space="preserve"> De esta manera, la Agencia ratifica la postura del </w:t>
      </w:r>
      <w:r>
        <w:rPr>
          <w:rFonts w:ascii="Verdana" w:eastAsia="Calibri" w:hAnsi="Verdana" w:cs="Arial"/>
          <w:lang w:val="es-ES" w:eastAsia="es-ES"/>
        </w:rPr>
        <w:t>Concepto C-1287 del 14 de octubre de 2025 conforme a los argumentos que se desarrollan a continuación.</w:t>
      </w:r>
    </w:p>
    <w:p w14:paraId="37659D39" w14:textId="77777777" w:rsidR="006F4AE1" w:rsidRDefault="006F4AE1" w:rsidP="006F4AE1">
      <w:pPr>
        <w:tabs>
          <w:tab w:val="left" w:pos="709"/>
        </w:tabs>
        <w:spacing w:after="0" w:line="276" w:lineRule="auto"/>
        <w:jc w:val="both"/>
        <w:rPr>
          <w:rFonts w:ascii="Verdana" w:eastAsia="Calibri" w:hAnsi="Verdana" w:cs="Arial"/>
          <w:bCs/>
          <w:lang w:val="es-ES_tradnl"/>
        </w:rPr>
      </w:pPr>
    </w:p>
    <w:p w14:paraId="504D6C0C" w14:textId="77777777" w:rsidR="006F4AE1" w:rsidRPr="00C27F58" w:rsidRDefault="006F4AE1" w:rsidP="006F4AE1">
      <w:pPr>
        <w:spacing w:after="0" w:line="276" w:lineRule="auto"/>
        <w:ind w:right="51"/>
        <w:jc w:val="both"/>
        <w:rPr>
          <w:rFonts w:ascii="Verdana" w:eastAsia="Arial" w:hAnsi="Verdana" w:cs="Arial"/>
          <w:color w:val="000000"/>
        </w:rPr>
      </w:pPr>
      <w:proofErr w:type="spellStart"/>
      <w:r w:rsidRPr="00C27F58">
        <w:rPr>
          <w:rFonts w:ascii="Verdana" w:eastAsia="Calibri" w:hAnsi="Verdana" w:cs="Arial"/>
          <w:bCs/>
          <w:lang w:val="es-ES_tradnl"/>
        </w:rPr>
        <w:t>ii</w:t>
      </w:r>
      <w:proofErr w:type="spellEnd"/>
      <w:r w:rsidRPr="00C27F58">
        <w:rPr>
          <w:rFonts w:ascii="Verdana" w:eastAsia="Calibri" w:hAnsi="Verdana" w:cs="Arial"/>
          <w:bCs/>
          <w:lang w:val="es-ES_tradnl"/>
        </w:rPr>
        <w:t xml:space="preserve">. </w:t>
      </w:r>
      <w:r w:rsidRPr="00C27F58">
        <w:rPr>
          <w:rFonts w:ascii="Verdana" w:eastAsia="Arial" w:hAnsi="Verdana" w:cs="Arial"/>
          <w:color w:val="000000"/>
        </w:rPr>
        <w:t xml:space="preserve">La Ley 816 de 2003, </w:t>
      </w:r>
      <w:r>
        <w:rPr>
          <w:rFonts w:ascii="Verdana" w:eastAsia="Arial" w:hAnsi="Verdana" w:cs="Arial"/>
          <w:color w:val="000000"/>
        </w:rPr>
        <w:t>“</w:t>
      </w:r>
      <w:r w:rsidRPr="00C27F58">
        <w:rPr>
          <w:rFonts w:ascii="Verdana" w:eastAsia="Arial" w:hAnsi="Verdana" w:cs="Arial"/>
          <w:color w:val="000000"/>
        </w:rPr>
        <w:t>por medio de la cual se apoya a la industria nacional a través de la contratación pública</w:t>
      </w:r>
      <w:r>
        <w:rPr>
          <w:rFonts w:ascii="Verdana" w:eastAsia="Arial" w:hAnsi="Verdana" w:cs="Arial"/>
          <w:color w:val="000000"/>
        </w:rPr>
        <w:t>”</w:t>
      </w:r>
      <w:r w:rsidRPr="00C27F58">
        <w:rPr>
          <w:rFonts w:ascii="Verdana" w:eastAsia="Arial" w:hAnsi="Verdana" w:cs="Arial"/>
          <w:color w:val="000000"/>
        </w:rPr>
        <w:t>, tiene como objetivo promover una mayor participación de los proveedores de bienes y servicios de origen colombiano en las compras de las entidades públicas. De igual manera, se adoptó con el propósito de crear un factor de preferencia para las propuestas que ofrezcan productos o servicios nacionales</w:t>
      </w:r>
      <w:r w:rsidRPr="00C27F58">
        <w:rPr>
          <w:rFonts w:ascii="Verdana" w:eastAsia="Arial" w:hAnsi="Verdana" w:cs="Arial"/>
          <w:color w:val="000000"/>
          <w:vertAlign w:val="superscript"/>
        </w:rPr>
        <w:footnoteReference w:id="6"/>
      </w:r>
      <w:r w:rsidRPr="00C27F58">
        <w:rPr>
          <w:rFonts w:ascii="Verdana" w:eastAsia="Arial" w:hAnsi="Verdana" w:cs="Arial"/>
          <w:color w:val="000000"/>
        </w:rPr>
        <w:t>. Para ello, el artículo 1 dispone que las entidades estatales, en los procedimientos de selección que realicen e independientemente del régimen contractual que les sea aplicable, deben adoptar criterios que apoyen la industria nacional. En consonancia con lo anterior, el parágrafo de dicho artículo indica que:</w:t>
      </w:r>
    </w:p>
    <w:p w14:paraId="4536E81E" w14:textId="77777777" w:rsidR="006F4AE1" w:rsidRPr="00566EAC" w:rsidRDefault="006F4AE1" w:rsidP="006F4AE1">
      <w:pPr>
        <w:tabs>
          <w:tab w:val="left" w:pos="0"/>
        </w:tabs>
        <w:spacing w:after="0" w:line="276" w:lineRule="auto"/>
        <w:ind w:left="709" w:right="709"/>
        <w:jc w:val="both"/>
        <w:rPr>
          <w:rFonts w:ascii="Verdana" w:eastAsia="Arial" w:hAnsi="Verdana" w:cs="Arial"/>
          <w:color w:val="000000"/>
        </w:rPr>
      </w:pPr>
    </w:p>
    <w:p w14:paraId="6673A5FB" w14:textId="77777777" w:rsidR="006F4AE1" w:rsidRPr="00566EAC" w:rsidRDefault="006F4AE1" w:rsidP="006F4AE1">
      <w:pPr>
        <w:tabs>
          <w:tab w:val="left" w:pos="0"/>
        </w:tabs>
        <w:spacing w:after="0" w:line="240" w:lineRule="auto"/>
        <w:ind w:left="709" w:right="709"/>
        <w:jc w:val="both"/>
        <w:rPr>
          <w:rFonts w:ascii="Verdana" w:eastAsia="Arial" w:hAnsi="Verdana" w:cs="Arial"/>
          <w:color w:val="000000"/>
          <w:sz w:val="20"/>
          <w:szCs w:val="20"/>
        </w:rPr>
      </w:pPr>
      <w:r w:rsidRPr="00566EAC">
        <w:rPr>
          <w:rFonts w:ascii="Verdana" w:eastAsia="Arial" w:hAnsi="Verdana" w:cs="Arial"/>
          <w:color w:val="000000"/>
          <w:sz w:val="20"/>
          <w:szCs w:val="20"/>
        </w:rPr>
        <w:t xml:space="preserve">“Se otorgará tratamiento de bienes y servicios nacionales a aquellos bienes y servicios originarios de los países con los que Colombia ha </w:t>
      </w:r>
      <w:r w:rsidRPr="00566EAC">
        <w:rPr>
          <w:rFonts w:ascii="Verdana" w:eastAsia="Arial" w:hAnsi="Verdana" w:cs="Arial"/>
          <w:color w:val="000000"/>
          <w:sz w:val="20"/>
          <w:szCs w:val="20"/>
        </w:rPr>
        <w:lastRenderedPageBreak/>
        <w:t>negociado trato nacional en materia de compras estatales y de aquellos países en los cuales a las ofertas de bienes y servicios colombianos se les conceda el mismo tratamiento otorgado a sus bienes y servicios nacionales. La acreditación o demostración de tal circunstancia se hará en los términos que señale el reglamento”.</w:t>
      </w:r>
    </w:p>
    <w:p w14:paraId="7DB37B47" w14:textId="77777777" w:rsidR="006F4AE1" w:rsidRPr="00C27F58" w:rsidRDefault="006F4AE1" w:rsidP="006F4AE1">
      <w:pPr>
        <w:tabs>
          <w:tab w:val="left" w:pos="0"/>
        </w:tabs>
        <w:spacing w:after="0" w:line="276" w:lineRule="auto"/>
        <w:jc w:val="both"/>
        <w:rPr>
          <w:rFonts w:ascii="Verdana" w:eastAsia="Arial" w:hAnsi="Verdana" w:cs="Arial"/>
          <w:color w:val="000000"/>
        </w:rPr>
      </w:pPr>
    </w:p>
    <w:p w14:paraId="698D3E9D" w14:textId="77777777" w:rsidR="006F4AE1" w:rsidRPr="00C27F58" w:rsidRDefault="006F4AE1" w:rsidP="006F4AE1">
      <w:pPr>
        <w:tabs>
          <w:tab w:val="left" w:pos="0"/>
        </w:tabs>
        <w:spacing w:after="0" w:line="276" w:lineRule="auto"/>
        <w:ind w:firstLine="709"/>
        <w:jc w:val="both"/>
        <w:rPr>
          <w:rFonts w:ascii="Verdana" w:eastAsia="Arial" w:hAnsi="Verdana" w:cs="Arial"/>
          <w:color w:val="000000"/>
        </w:rPr>
      </w:pPr>
      <w:r w:rsidRPr="00C27F58">
        <w:rPr>
          <w:rFonts w:ascii="Verdana" w:eastAsia="Arial" w:hAnsi="Verdana" w:cs="Arial"/>
          <w:color w:val="000000"/>
        </w:rPr>
        <w:t>En materia de contratación pública, dicho trato nacional es aplicable a los proponentes que ofrezcan bienes y servicios nacionales, de conformidad con las definiciones del artículo 2.2.1.1.1.3.1 del Decreto 1082 de 2015, así como a los extranjeros que cumplan con los criterios que se encuentran regulados en el artículo 2.2.1.2.4.1.3 del mismo Decreto</w:t>
      </w:r>
      <w:r w:rsidRPr="00C27F58">
        <w:rPr>
          <w:rFonts w:ascii="Verdana" w:eastAsia="Arial" w:hAnsi="Verdana" w:cs="Arial"/>
          <w:color w:val="000000"/>
          <w:vertAlign w:val="superscript"/>
        </w:rPr>
        <w:footnoteReference w:id="7"/>
      </w:r>
      <w:r w:rsidRPr="00C27F58">
        <w:rPr>
          <w:rFonts w:ascii="Verdana" w:eastAsia="Arial" w:hAnsi="Verdana" w:cs="Arial"/>
          <w:color w:val="000000"/>
        </w:rPr>
        <w:t>, en el que se establece la forma como se debe acreditar la existencia de trato nacional para extranjeros, dependiendo del fundamento de este y exigiendo el certificado expedido por el Ministerio de Relaciones Exteriores, cuando no exista tratado, ni regulación andina aplicable. Por otra parte, las entidades estatales deben aplicar en sus procedimientos de selección lo previsto en el artículo 2 de la Ley 816 de 2003, que establece un criterio de calificación diferencial, en los siguientes términos:</w:t>
      </w:r>
    </w:p>
    <w:p w14:paraId="6AA7F58F" w14:textId="77777777" w:rsidR="006F4AE1" w:rsidRPr="00351C52" w:rsidRDefault="006F4AE1" w:rsidP="006F4AE1">
      <w:pPr>
        <w:tabs>
          <w:tab w:val="left" w:pos="0"/>
        </w:tabs>
        <w:spacing w:after="0" w:line="276" w:lineRule="auto"/>
        <w:ind w:left="709" w:right="709"/>
        <w:jc w:val="both"/>
        <w:rPr>
          <w:rFonts w:ascii="Verdana" w:eastAsia="Arial" w:hAnsi="Verdana" w:cs="Arial"/>
          <w:color w:val="000000"/>
        </w:rPr>
      </w:pPr>
    </w:p>
    <w:p w14:paraId="488457B3" w14:textId="77777777" w:rsidR="006F4AE1" w:rsidRPr="00351C52" w:rsidRDefault="006F4AE1" w:rsidP="006F4AE1">
      <w:pPr>
        <w:tabs>
          <w:tab w:val="left" w:pos="0"/>
        </w:tabs>
        <w:spacing w:after="12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t>“Las entidades de que trata el artículo 1o asignarán, dentro de los criterios de calificación de las propuestas, un puntaje comprendido entre el diez (10) y el veinte por ciento (20%), para estimular la industria colombiana cuando los proponentes oferten bienes o servicios nacionales.</w:t>
      </w:r>
    </w:p>
    <w:p w14:paraId="18254552" w14:textId="77777777" w:rsidR="006F4AE1" w:rsidRPr="00351C52" w:rsidRDefault="006F4AE1" w:rsidP="006F4AE1">
      <w:pPr>
        <w:tabs>
          <w:tab w:val="left" w:pos="0"/>
        </w:tabs>
        <w:spacing w:after="12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lastRenderedPageBreak/>
        <w:t>Tratándose de bienes o servicios extranjeros, la entidad contratante establecerá un puntaje comprendido entre el cinco (5) y el quince por ciento (15%), para incentivar la incorporación de componente colombiano de bienes y servicios profesionales, técnicos y operativos.</w:t>
      </w:r>
    </w:p>
    <w:p w14:paraId="68E125B7" w14:textId="77777777" w:rsidR="006F4AE1" w:rsidRPr="00C27F58" w:rsidRDefault="006F4AE1" w:rsidP="006F4AE1">
      <w:pPr>
        <w:tabs>
          <w:tab w:val="left" w:pos="0"/>
        </w:tabs>
        <w:spacing w:after="0" w:line="240" w:lineRule="auto"/>
        <w:ind w:left="709" w:right="709"/>
        <w:jc w:val="both"/>
        <w:rPr>
          <w:rFonts w:ascii="Verdana" w:eastAsia="Arial" w:hAnsi="Verdana" w:cs="Arial"/>
          <w:color w:val="000000"/>
          <w:sz w:val="21"/>
          <w:szCs w:val="21"/>
        </w:rPr>
      </w:pPr>
      <w:r w:rsidRPr="00351C52">
        <w:rPr>
          <w:rFonts w:ascii="Verdana" w:eastAsia="Arial" w:hAnsi="Verdana" w:cs="Arial"/>
          <w:color w:val="000000"/>
          <w:sz w:val="20"/>
          <w:szCs w:val="20"/>
        </w:rPr>
        <w:t>Si una vez efectuada la calificación correspondiente, la oferta de un proponente extranjero se encuentra en igualdad de condiciones con la de un proponente nacional, se adjudicará al nacional”.</w:t>
      </w:r>
    </w:p>
    <w:p w14:paraId="2070CFE6" w14:textId="77777777" w:rsidR="006F4AE1" w:rsidRPr="00351C52" w:rsidRDefault="006F4AE1" w:rsidP="006F4AE1">
      <w:pPr>
        <w:tabs>
          <w:tab w:val="left" w:pos="0"/>
        </w:tabs>
        <w:spacing w:after="0" w:line="276" w:lineRule="auto"/>
        <w:jc w:val="both"/>
        <w:rPr>
          <w:rFonts w:ascii="Verdana" w:eastAsia="Arial" w:hAnsi="Verdana" w:cs="Arial"/>
          <w:color w:val="000000"/>
        </w:rPr>
      </w:pPr>
      <w:r w:rsidRPr="00C27F58">
        <w:rPr>
          <w:rFonts w:ascii="Verdana" w:eastAsia="Arial" w:hAnsi="Verdana" w:cs="Arial"/>
          <w:color w:val="000000"/>
        </w:rPr>
        <w:tab/>
      </w:r>
    </w:p>
    <w:p w14:paraId="22E46C0B" w14:textId="77777777" w:rsidR="006F4AE1" w:rsidRPr="00C27F58" w:rsidRDefault="006F4AE1" w:rsidP="006F4AE1">
      <w:pPr>
        <w:tabs>
          <w:tab w:val="left" w:pos="0"/>
        </w:tabs>
        <w:spacing w:after="120" w:line="276" w:lineRule="auto"/>
        <w:jc w:val="both"/>
        <w:rPr>
          <w:rFonts w:ascii="Verdana" w:eastAsia="Arial" w:hAnsi="Verdana" w:cs="Arial"/>
          <w:color w:val="000000"/>
        </w:rPr>
      </w:pPr>
      <w:r w:rsidRPr="00C27F58">
        <w:rPr>
          <w:rFonts w:ascii="Verdana" w:eastAsia="Arial" w:hAnsi="Verdana" w:cs="Arial"/>
          <w:color w:val="000000"/>
        </w:rPr>
        <w:tab/>
        <w:t>De acuerdo con esta norma, las ofertas de bienes y servicios nacionales –o extranjeros con derecho a trato nacional– deberán beneficiarse de la obtención de un puntaje comprendido entre el 10 y el 20% del total de los puntos, según lo haya definido la entidad estatal contratante en el pliego de condiciones o documento equivalente, con la finalidad de incentivar la industria nacional. Al respecto, conviene señalar que es la entidad pública la que, en el pliego de condiciones, debe fijar los criterios de asignación de puntaje –o factores de evaluación–. De este modo, cuenta con la discrecionalidad administrativa para determinar a partir de qué elementos o circunstancias realizará la calificación de las propuestas. Por supuesto, tal discrecionalidad no es absoluta, sino que está limitada por las normas de orden público, que incluyen reglas imperativas para la elaboración del pliego de condiciones y el deber de selección objetiva.</w:t>
      </w:r>
    </w:p>
    <w:p w14:paraId="3011B265" w14:textId="77777777" w:rsidR="006F4AE1" w:rsidRPr="00C27F58" w:rsidRDefault="006F4AE1" w:rsidP="006F4AE1">
      <w:pPr>
        <w:tabs>
          <w:tab w:val="left" w:pos="0"/>
        </w:tabs>
        <w:spacing w:before="120" w:after="120" w:line="276" w:lineRule="auto"/>
        <w:jc w:val="both"/>
        <w:rPr>
          <w:rFonts w:ascii="Verdana" w:eastAsia="Arial" w:hAnsi="Verdana" w:cs="Arial"/>
          <w:color w:val="000000"/>
          <w:highlight w:val="yellow"/>
        </w:rPr>
      </w:pPr>
      <w:r w:rsidRPr="00C27F58">
        <w:rPr>
          <w:rFonts w:ascii="Verdana" w:eastAsia="Arial" w:hAnsi="Verdana" w:cs="Arial"/>
          <w:color w:val="000000"/>
        </w:rPr>
        <w:tab/>
        <w:t xml:space="preserve">Dentro de las reglas que restringen la discrecionalidad administrativa de las entidades estatales en la elaboración del pliego de condiciones se encuentra el artículo 2 de la Ley 816 de 2003. En efecto, este enunciado normativo establece que las entidades de la administración pública a las que se refiere el artículo 1 de la misma Ley deben incluir </w:t>
      </w:r>
      <w:r>
        <w:rPr>
          <w:rFonts w:ascii="Verdana" w:eastAsia="Arial" w:hAnsi="Verdana" w:cs="Arial"/>
          <w:color w:val="000000"/>
        </w:rPr>
        <w:t>“</w:t>
      </w:r>
      <w:r w:rsidRPr="00C27F58">
        <w:rPr>
          <w:rFonts w:ascii="Verdana" w:eastAsia="Arial" w:hAnsi="Verdana" w:cs="Arial"/>
        </w:rPr>
        <w:t xml:space="preserve">[…] </w:t>
      </w:r>
      <w:r w:rsidRPr="00C27F58">
        <w:rPr>
          <w:rFonts w:ascii="Verdana" w:eastAsia="Arial" w:hAnsi="Verdana" w:cs="Arial"/>
          <w:color w:val="000000"/>
        </w:rPr>
        <w:t>un puntaje comprendido entre el diez (10) y el veinte por ciento (20%)</w:t>
      </w:r>
      <w:r>
        <w:rPr>
          <w:rFonts w:ascii="Verdana" w:eastAsia="Arial" w:hAnsi="Verdana" w:cs="Arial"/>
          <w:color w:val="000000"/>
        </w:rPr>
        <w:t>”</w:t>
      </w:r>
      <w:r w:rsidRPr="00C27F58">
        <w:rPr>
          <w:rFonts w:ascii="Verdana" w:eastAsia="Arial" w:hAnsi="Verdana" w:cs="Arial"/>
          <w:color w:val="000000"/>
        </w:rPr>
        <w:t xml:space="preserve"> para estimular la industria nacional, cuando se oferten bienes o servicios nacionales</w:t>
      </w:r>
      <w:r>
        <w:rPr>
          <w:rFonts w:ascii="Verdana" w:eastAsia="Arial" w:hAnsi="Verdana" w:cs="Arial"/>
          <w:color w:val="000000"/>
        </w:rPr>
        <w:t>”</w:t>
      </w:r>
      <w:r w:rsidRPr="00C27F58">
        <w:rPr>
          <w:rFonts w:ascii="Verdana" w:eastAsia="Arial" w:hAnsi="Verdana" w:cs="Arial"/>
          <w:color w:val="000000"/>
        </w:rPr>
        <w:t xml:space="preserve"> –inciso primero o </w:t>
      </w:r>
      <w:r>
        <w:rPr>
          <w:rFonts w:ascii="Verdana" w:eastAsia="Arial" w:hAnsi="Verdana" w:cs="Arial"/>
          <w:color w:val="000000"/>
        </w:rPr>
        <w:t>“</w:t>
      </w:r>
      <w:r w:rsidRPr="00C27F58">
        <w:rPr>
          <w:rFonts w:ascii="Verdana" w:eastAsia="Arial" w:hAnsi="Verdana" w:cs="Arial"/>
          <w:color w:val="000000"/>
        </w:rPr>
        <w:t>Franja 1</w:t>
      </w:r>
      <w:r>
        <w:rPr>
          <w:rFonts w:ascii="Verdana" w:eastAsia="Arial" w:hAnsi="Verdana" w:cs="Arial"/>
          <w:color w:val="000000"/>
        </w:rPr>
        <w:t>”</w:t>
      </w:r>
      <w:r w:rsidRPr="00C27F58">
        <w:rPr>
          <w:rFonts w:ascii="Verdana" w:eastAsia="Arial" w:hAnsi="Verdana" w:cs="Arial"/>
          <w:color w:val="000000"/>
        </w:rPr>
        <w:t xml:space="preserve">–. Adicionalmente, la norma indica que si no se ofertan bienes o servicios nacionales, sino bienes o servicios </w:t>
      </w:r>
      <w:r w:rsidRPr="00C27F58">
        <w:rPr>
          <w:rFonts w:ascii="Verdana" w:eastAsia="Arial" w:hAnsi="Verdana" w:cs="Arial"/>
          <w:i/>
          <w:color w:val="000000"/>
        </w:rPr>
        <w:t>extranjeros</w:t>
      </w:r>
      <w:r w:rsidRPr="00C27F58">
        <w:rPr>
          <w:rFonts w:ascii="Verdana" w:eastAsia="Arial" w:hAnsi="Verdana" w:cs="Arial"/>
          <w:color w:val="000000"/>
        </w:rPr>
        <w:t xml:space="preserve">, </w:t>
      </w:r>
      <w:r>
        <w:rPr>
          <w:rFonts w:ascii="Verdana" w:eastAsia="Arial" w:hAnsi="Verdana" w:cs="Arial"/>
          <w:color w:val="000000"/>
        </w:rPr>
        <w:t>“</w:t>
      </w:r>
      <w:r w:rsidRPr="00C27F58">
        <w:rPr>
          <w:rFonts w:ascii="Verdana" w:eastAsia="Arial" w:hAnsi="Verdana" w:cs="Arial"/>
          <w:color w:val="000000"/>
        </w:rPr>
        <w:t>[…] la entidad contratante establecerá un puntaje comprendido entre el cinco (5) y el quince por ciento (15%), para incentivar la incorporación de componente colombiano de bienes y servicios profesionales, técnicos y operativos</w:t>
      </w:r>
      <w:r>
        <w:rPr>
          <w:rFonts w:ascii="Verdana" w:eastAsia="Arial" w:hAnsi="Verdana" w:cs="Arial"/>
          <w:color w:val="000000"/>
        </w:rPr>
        <w:t>”</w:t>
      </w:r>
      <w:r w:rsidRPr="00C27F58">
        <w:rPr>
          <w:rFonts w:ascii="Verdana" w:eastAsia="Arial" w:hAnsi="Verdana" w:cs="Arial"/>
          <w:color w:val="000000"/>
        </w:rPr>
        <w:t xml:space="preserve"> –inciso segundo o </w:t>
      </w:r>
      <w:r>
        <w:rPr>
          <w:rFonts w:ascii="Verdana" w:eastAsia="Arial" w:hAnsi="Verdana" w:cs="Arial"/>
          <w:color w:val="000000"/>
        </w:rPr>
        <w:t>“</w:t>
      </w:r>
      <w:r w:rsidRPr="00C27F58">
        <w:rPr>
          <w:rFonts w:ascii="Verdana" w:eastAsia="Arial" w:hAnsi="Verdana" w:cs="Arial"/>
          <w:color w:val="000000"/>
        </w:rPr>
        <w:t>Franja 2</w:t>
      </w:r>
      <w:r>
        <w:rPr>
          <w:rFonts w:ascii="Verdana" w:eastAsia="Arial" w:hAnsi="Verdana" w:cs="Arial"/>
          <w:color w:val="000000"/>
        </w:rPr>
        <w:t>”</w:t>
      </w:r>
      <w:r w:rsidRPr="00C27F58">
        <w:rPr>
          <w:rFonts w:ascii="Verdana" w:eastAsia="Arial" w:hAnsi="Verdana" w:cs="Arial"/>
          <w:color w:val="000000"/>
        </w:rPr>
        <w:t xml:space="preserve">–. </w:t>
      </w:r>
    </w:p>
    <w:p w14:paraId="31F5A2B6" w14:textId="77777777" w:rsidR="006F4AE1" w:rsidRPr="00C27F58" w:rsidRDefault="006F4AE1" w:rsidP="006F4AE1">
      <w:pPr>
        <w:spacing w:before="120" w:after="0" w:line="276" w:lineRule="auto"/>
        <w:jc w:val="both"/>
        <w:rPr>
          <w:rFonts w:ascii="Verdana" w:eastAsia="Arial" w:hAnsi="Verdana" w:cs="Arial"/>
          <w:color w:val="000000"/>
        </w:rPr>
      </w:pPr>
      <w:r w:rsidRPr="00C27F58">
        <w:rPr>
          <w:rFonts w:ascii="Verdana" w:eastAsia="Arial" w:hAnsi="Verdana" w:cs="Arial"/>
          <w:color w:val="000000"/>
        </w:rPr>
        <w:tab/>
        <w:t xml:space="preserve">Aclarado el alcance de la norma que promueve el factor de evaluación de apoyo a la industria nacional en las compras públicas, es importante señalar que la aplicación del puntaje al que se refiere el artículo 2 de la Ley 816 de 2003 fue reglamentado mediante el Decreto 680 de 2021. Por lo tanto, ha de tenerse en cuenta la nueva regulación de la regla de origen contemplada en este Decreto. </w:t>
      </w:r>
      <w:r w:rsidRPr="00C27F58">
        <w:rPr>
          <w:rFonts w:ascii="Verdana" w:eastAsia="Arial" w:hAnsi="Verdana" w:cs="Arial"/>
          <w:color w:val="000000"/>
        </w:rPr>
        <w:lastRenderedPageBreak/>
        <w:t xml:space="preserve">En primer lugar, el artículo 1 del mencionado Decreto modificó parcialmente el artículo 2.2.1.1.1.3.1 del Decreto 1082 de 2015 para definir los </w:t>
      </w:r>
      <w:r w:rsidRPr="00C27F58">
        <w:rPr>
          <w:rFonts w:ascii="Verdana" w:eastAsia="Arial" w:hAnsi="Verdana" w:cs="Arial"/>
          <w:i/>
          <w:color w:val="000000"/>
        </w:rPr>
        <w:t>Servicios Nacionales</w:t>
      </w:r>
      <w:r w:rsidRPr="00C27F58">
        <w:rPr>
          <w:rFonts w:ascii="Verdana" w:eastAsia="Arial" w:hAnsi="Verdana" w:cs="Arial"/>
          <w:color w:val="000000"/>
        </w:rPr>
        <w:t xml:space="preserve"> en los siguientes términos:</w:t>
      </w:r>
    </w:p>
    <w:p w14:paraId="376FE7AD" w14:textId="77777777" w:rsidR="006F4AE1" w:rsidRPr="00351C52" w:rsidRDefault="006F4AE1" w:rsidP="006F4AE1">
      <w:pPr>
        <w:tabs>
          <w:tab w:val="left" w:pos="0"/>
        </w:tabs>
        <w:spacing w:after="0" w:line="276" w:lineRule="auto"/>
        <w:ind w:left="709" w:right="709"/>
        <w:jc w:val="both"/>
        <w:rPr>
          <w:rFonts w:ascii="Verdana" w:eastAsia="Arial" w:hAnsi="Verdana" w:cs="Arial"/>
          <w:color w:val="000000"/>
        </w:rPr>
      </w:pPr>
    </w:p>
    <w:p w14:paraId="5B179D3B" w14:textId="77777777" w:rsidR="006F4AE1" w:rsidRPr="00351C52" w:rsidRDefault="006F4AE1" w:rsidP="006F4AE1">
      <w:pPr>
        <w:tabs>
          <w:tab w:val="left" w:pos="0"/>
        </w:tabs>
        <w:spacing w:after="12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t>“En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p>
    <w:p w14:paraId="33F7C1EB" w14:textId="77777777" w:rsidR="006F4AE1" w:rsidRPr="00351C52" w:rsidRDefault="006F4AE1" w:rsidP="006F4AE1">
      <w:pPr>
        <w:tabs>
          <w:tab w:val="left" w:pos="0"/>
        </w:tabs>
        <w:spacing w:after="12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t>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p>
    <w:p w14:paraId="42D713E9" w14:textId="77777777" w:rsidR="006F4AE1" w:rsidRPr="00C27F58" w:rsidRDefault="006F4AE1" w:rsidP="006F4AE1">
      <w:pPr>
        <w:tabs>
          <w:tab w:val="left" w:pos="0"/>
        </w:tabs>
        <w:spacing w:after="0" w:line="240" w:lineRule="auto"/>
        <w:ind w:left="709" w:right="709"/>
        <w:jc w:val="both"/>
        <w:rPr>
          <w:rFonts w:ascii="Verdana" w:eastAsia="Arial" w:hAnsi="Verdana" w:cs="Arial"/>
          <w:color w:val="000000"/>
          <w:sz w:val="21"/>
          <w:szCs w:val="21"/>
        </w:rPr>
      </w:pPr>
      <w:r w:rsidRPr="00351C52">
        <w:rPr>
          <w:rFonts w:ascii="Verdana" w:eastAsia="Arial" w:hAnsi="Verdana" w:cs="Arial"/>
          <w:color w:val="000000"/>
          <w:sz w:val="20"/>
          <w:szCs w:val="20"/>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p>
    <w:p w14:paraId="5023ACAF" w14:textId="77777777" w:rsidR="006F4AE1" w:rsidRPr="00C27F58" w:rsidRDefault="006F4AE1" w:rsidP="006F4AE1">
      <w:pPr>
        <w:tabs>
          <w:tab w:val="left" w:pos="0"/>
        </w:tabs>
        <w:spacing w:after="0" w:line="276" w:lineRule="auto"/>
        <w:jc w:val="both"/>
        <w:rPr>
          <w:rFonts w:ascii="Verdana" w:eastAsia="Arial" w:hAnsi="Verdana" w:cs="Arial"/>
          <w:color w:val="000000"/>
        </w:rPr>
      </w:pPr>
    </w:p>
    <w:p w14:paraId="03A483A7" w14:textId="77777777" w:rsidR="006F4AE1" w:rsidRPr="00C27F58" w:rsidRDefault="006F4AE1" w:rsidP="006F4AE1">
      <w:pPr>
        <w:tabs>
          <w:tab w:val="left" w:pos="0"/>
        </w:tabs>
        <w:spacing w:after="120" w:line="276" w:lineRule="auto"/>
        <w:ind w:firstLine="709"/>
        <w:jc w:val="both"/>
        <w:rPr>
          <w:rFonts w:ascii="Verdana" w:eastAsia="Arial" w:hAnsi="Verdana" w:cs="Arial"/>
          <w:color w:val="000000"/>
        </w:rPr>
      </w:pPr>
      <w:bookmarkStart w:id="4" w:name="_heading=h.tyjcwt" w:colFirst="0" w:colLast="0"/>
      <w:bookmarkEnd w:id="4"/>
      <w:r w:rsidRPr="00C27F58">
        <w:rPr>
          <w:rFonts w:ascii="Verdana" w:eastAsia="Arial" w:hAnsi="Verdana" w:cs="Arial"/>
          <w:color w:val="000000"/>
        </w:rPr>
        <w:t xml:space="preserve">De acuerdo con esto, la noción de Servicios Nacionales no está determinada únicamente por la naturaleza jurídica de su prestador, ya que además de tratarse de una persona natural colombiana o jurídica conformada según la ley colombiana, se requiere que la propuesta, en principio, incluya en la ejecución del contrato la utilización de los bienes nacionales relevantes. En ese sentido, la definición de </w:t>
      </w:r>
      <w:r w:rsidRPr="00C27F58">
        <w:rPr>
          <w:rFonts w:ascii="Verdana" w:eastAsia="Arial" w:hAnsi="Verdana" w:cs="Arial"/>
          <w:i/>
          <w:color w:val="000000"/>
        </w:rPr>
        <w:t xml:space="preserve">Servicios Nacionales </w:t>
      </w:r>
      <w:r w:rsidRPr="00C27F58">
        <w:rPr>
          <w:rFonts w:ascii="Verdana" w:eastAsia="Arial" w:hAnsi="Verdana" w:cs="Arial"/>
          <w:color w:val="000000"/>
        </w:rPr>
        <w:t xml:space="preserve">remite a la noción de </w:t>
      </w:r>
      <w:r w:rsidRPr="00C27F58">
        <w:rPr>
          <w:rFonts w:ascii="Verdana" w:eastAsia="Arial" w:hAnsi="Verdana" w:cs="Arial"/>
          <w:i/>
          <w:color w:val="000000"/>
        </w:rPr>
        <w:t>Bienes Nacionales</w:t>
      </w:r>
      <w:r w:rsidRPr="00C27F58">
        <w:rPr>
          <w:rFonts w:ascii="Verdana" w:eastAsia="Arial" w:hAnsi="Verdana" w:cs="Arial"/>
          <w:color w:val="000000"/>
        </w:rPr>
        <w:t xml:space="preserve"> establecida en el mismo artículo 2.2.1.1.1.3.1. del Decreto 1082 de 2015, que dispone que son aquellos </w:t>
      </w:r>
      <w:r>
        <w:rPr>
          <w:rFonts w:ascii="Verdana" w:eastAsia="Arial" w:hAnsi="Verdana" w:cs="Arial"/>
          <w:color w:val="000000"/>
        </w:rPr>
        <w:t>“</w:t>
      </w:r>
      <w:r w:rsidRPr="00C27F58">
        <w:rPr>
          <w:rFonts w:ascii="Verdana" w:eastAsia="Arial" w:hAnsi="Verdana" w:cs="Arial"/>
          <w:color w:val="000000"/>
        </w:rPr>
        <w:t>Bienes definidos como nacionales en el Registro de Productores de Bienes Nacionales, de conformidad con el Decreto 2680 de 2009 o las normas que lo modifiquen, aclaren, adicionen o sustituyan</w:t>
      </w:r>
      <w:r>
        <w:rPr>
          <w:rFonts w:ascii="Verdana" w:eastAsia="Arial" w:hAnsi="Verdana" w:cs="Arial"/>
          <w:color w:val="000000"/>
        </w:rPr>
        <w:t>”</w:t>
      </w:r>
      <w:r w:rsidRPr="00C27F58">
        <w:rPr>
          <w:rFonts w:ascii="Verdana" w:eastAsia="Arial" w:hAnsi="Verdana" w:cs="Arial"/>
          <w:color w:val="000000"/>
        </w:rPr>
        <w:t xml:space="preserve">. </w:t>
      </w:r>
    </w:p>
    <w:p w14:paraId="595B5B7C" w14:textId="77777777" w:rsidR="006F4AE1" w:rsidRPr="00C27F58" w:rsidRDefault="006F4AE1" w:rsidP="006F4AE1">
      <w:pPr>
        <w:tabs>
          <w:tab w:val="left" w:pos="0"/>
        </w:tabs>
        <w:spacing w:after="120" w:line="276" w:lineRule="auto"/>
        <w:ind w:firstLine="709"/>
        <w:jc w:val="both"/>
        <w:rPr>
          <w:rFonts w:ascii="Verdana" w:eastAsia="Arial" w:hAnsi="Verdana" w:cs="Arial"/>
          <w:color w:val="000000"/>
        </w:rPr>
      </w:pPr>
      <w:r w:rsidRPr="00C27F58">
        <w:rPr>
          <w:rFonts w:ascii="Verdana" w:eastAsia="Arial" w:hAnsi="Verdana" w:cs="Arial"/>
          <w:color w:val="000000"/>
        </w:rPr>
        <w:t xml:space="preserve">El artículo 1 del Decreto 2680 de 2009 dispone que </w:t>
      </w:r>
      <w:r>
        <w:rPr>
          <w:rFonts w:ascii="Verdana" w:eastAsia="Arial" w:hAnsi="Verdana" w:cs="Arial"/>
          <w:color w:val="000000"/>
        </w:rPr>
        <w:t>“</w:t>
      </w:r>
      <w:r w:rsidRPr="00C27F58">
        <w:rPr>
          <w:rFonts w:ascii="Verdana" w:eastAsia="Arial" w:hAnsi="Verdana" w:cs="Arial"/>
          <w:color w:val="000000"/>
        </w:rPr>
        <w:t xml:space="preserve">Se entiende como bienes nacionales, aquellos bienes totalmente obtenidos, bienes elaborados con </w:t>
      </w:r>
      <w:r w:rsidRPr="00C27F58">
        <w:rPr>
          <w:rFonts w:ascii="Verdana" w:eastAsia="Arial" w:hAnsi="Verdana" w:cs="Arial"/>
          <w:color w:val="000000"/>
        </w:rPr>
        <w:lastRenderedPageBreak/>
        <w:t>materiales nacionales o productos que sufran una transformación sustancial de conformidad con lo previsto en el presente decreto</w:t>
      </w:r>
      <w:r>
        <w:rPr>
          <w:rFonts w:ascii="Verdana" w:eastAsia="Arial" w:hAnsi="Verdana" w:cs="Arial"/>
          <w:color w:val="000000"/>
        </w:rPr>
        <w:t>”</w:t>
      </w:r>
      <w:r w:rsidRPr="00C27F58">
        <w:rPr>
          <w:rFonts w:ascii="Verdana" w:eastAsia="Arial" w:hAnsi="Verdana" w:cs="Arial"/>
          <w:color w:val="000000"/>
        </w:rPr>
        <w:t>. Asimismo, conforme al artículo 19.1 del Decreto Ley 210 de 2003 y artículo 1 de la Resolución del Ministerio de Comercio, Industria y Turismo 331 del 25 de junio de 2010, el Registro de Productores de Bienes Nacionales es administrado por la Subdirección de Diseño y Administración de Operaciones de la Dirección de Comercio Exterior, además de que puede consultarse en la ventanilla única de la dependencia mencionada.</w:t>
      </w:r>
    </w:p>
    <w:p w14:paraId="20D17845" w14:textId="77777777" w:rsidR="006F4AE1" w:rsidRPr="00C27F58" w:rsidRDefault="006F4AE1" w:rsidP="006F4AE1">
      <w:pPr>
        <w:tabs>
          <w:tab w:val="left" w:pos="0"/>
        </w:tabs>
        <w:spacing w:before="120" w:after="120" w:line="276" w:lineRule="auto"/>
        <w:ind w:firstLine="709"/>
        <w:jc w:val="both"/>
        <w:rPr>
          <w:rFonts w:ascii="Verdana" w:eastAsia="Arial" w:hAnsi="Verdana" w:cs="Arial"/>
          <w:color w:val="000000"/>
        </w:rPr>
      </w:pPr>
      <w:r w:rsidRPr="00C27F58">
        <w:rPr>
          <w:rFonts w:ascii="Verdana" w:eastAsia="Arial" w:hAnsi="Verdana" w:cs="Arial"/>
          <w:color w:val="000000"/>
        </w:rPr>
        <w:t xml:space="preserve">En consecuencia, si el contrato debe cumplirse en Colombia, la entidad estatal debe definir los bienes nacionales relevantes, pues el uso de estos por parte del proponente es uno de los criterios que permiten establecer si el servicio puede calificarse como nacional –el otro criterio es la vinculación del porcentaje mínimo de personal colombiano, según corresponda–. Si el contrato no debe cumplirse en Colombia, para que el servicio sea nacional, no es necesario que se usen bienes o personal colombianos, sino que basta con que sea prestado </w:t>
      </w:r>
      <w:r>
        <w:rPr>
          <w:rFonts w:ascii="Verdana" w:eastAsia="Arial" w:hAnsi="Verdana" w:cs="Arial"/>
          <w:color w:val="000000"/>
        </w:rPr>
        <w:t>“</w:t>
      </w:r>
      <w:r w:rsidRPr="00C27F58">
        <w:rPr>
          <w:rFonts w:ascii="Verdana" w:eastAsia="Arial" w:hAnsi="Verdana" w:cs="Arial"/>
          <w:color w:val="000000"/>
        </w:rPr>
        <w:t>por una persona natural colombiana o por un residente en Colombia, por una persona jurídica constituida de conformidad con la legislación colombiana o un proponente plural conformado por estos</w:t>
      </w:r>
      <w:r>
        <w:rPr>
          <w:rFonts w:ascii="Verdana" w:eastAsia="Arial" w:hAnsi="Verdana" w:cs="Arial"/>
          <w:color w:val="000000"/>
        </w:rPr>
        <w:t>”</w:t>
      </w:r>
      <w:r w:rsidRPr="00C27F58">
        <w:rPr>
          <w:rFonts w:ascii="Verdana" w:eastAsia="Arial" w:hAnsi="Verdana" w:cs="Arial"/>
          <w:color w:val="000000"/>
        </w:rPr>
        <w:t>. Lo anterior en consonancia con el artículo 1 del Decreto 680 de 2021.</w:t>
      </w:r>
    </w:p>
    <w:p w14:paraId="1EFFA8D7" w14:textId="77777777" w:rsidR="006F4AE1" w:rsidRPr="00C27F58" w:rsidRDefault="006F4AE1" w:rsidP="006F4AE1">
      <w:pPr>
        <w:tabs>
          <w:tab w:val="left" w:pos="0"/>
        </w:tabs>
        <w:spacing w:after="0" w:line="276" w:lineRule="auto"/>
        <w:ind w:firstLine="709"/>
        <w:jc w:val="both"/>
        <w:rPr>
          <w:rFonts w:ascii="Verdana" w:eastAsia="Arial" w:hAnsi="Verdana" w:cs="Arial"/>
          <w:color w:val="000000"/>
        </w:rPr>
      </w:pPr>
      <w:r w:rsidRPr="00C27F58">
        <w:rPr>
          <w:rFonts w:ascii="Verdana" w:eastAsia="Arial" w:hAnsi="Verdana" w:cs="Arial"/>
          <w:color w:val="000000"/>
        </w:rPr>
        <w:t xml:space="preserve">De otra parte, el artículo 2 del Decreto 680 de 2021 consagra unos lineamientos que deben seguir las entidades estatales para definir los </w:t>
      </w:r>
      <w:r w:rsidRPr="00C27F58">
        <w:rPr>
          <w:rFonts w:ascii="Verdana" w:eastAsia="Arial" w:hAnsi="Verdana" w:cs="Arial"/>
          <w:i/>
          <w:color w:val="000000"/>
        </w:rPr>
        <w:t>bienes colombianos relevantes</w:t>
      </w:r>
      <w:r w:rsidRPr="00C27F58">
        <w:rPr>
          <w:rFonts w:ascii="Verdana" w:eastAsia="Arial" w:hAnsi="Verdana" w:cs="Arial"/>
          <w:color w:val="000000"/>
        </w:rPr>
        <w:t xml:space="preserve"> y otorgar el puntaje de que trata el inciso 1 del artículo 2 de la Ley 816 de 2003. En efecto, el artículo 2 del Decreto en comento dispone lo siguiente: </w:t>
      </w:r>
    </w:p>
    <w:p w14:paraId="50FCF54E" w14:textId="77777777" w:rsidR="006F4AE1" w:rsidRPr="00351C52" w:rsidRDefault="006F4AE1" w:rsidP="006F4AE1">
      <w:pPr>
        <w:tabs>
          <w:tab w:val="left" w:pos="0"/>
        </w:tabs>
        <w:spacing w:after="0" w:line="276" w:lineRule="auto"/>
        <w:ind w:left="709" w:right="709"/>
        <w:jc w:val="both"/>
        <w:rPr>
          <w:rFonts w:ascii="Verdana" w:eastAsia="Arial" w:hAnsi="Verdana" w:cs="Arial"/>
          <w:color w:val="000000"/>
        </w:rPr>
      </w:pPr>
    </w:p>
    <w:p w14:paraId="135B89D4" w14:textId="77777777" w:rsidR="006F4AE1" w:rsidRPr="00351C52" w:rsidRDefault="006F4AE1" w:rsidP="006F4AE1">
      <w:pPr>
        <w:tabs>
          <w:tab w:val="left" w:pos="0"/>
        </w:tabs>
        <w:spacing w:after="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t>“Adiciónese el artículo 2.2.1.2.4.2.9. a la Subsección 2 de la Sección 4 del Capítulo 2 del Título 1 de la Parte 2 del Libro 2 del Decreto 1082 de 2015, Único Reglamentario del Sector Administrativo de Planeación Nacional, cuyo texto será el siguiente:</w:t>
      </w:r>
    </w:p>
    <w:p w14:paraId="39C35159" w14:textId="77777777" w:rsidR="006F4AE1" w:rsidRPr="00351C52" w:rsidRDefault="006F4AE1" w:rsidP="006F4AE1">
      <w:pPr>
        <w:tabs>
          <w:tab w:val="left" w:pos="0"/>
        </w:tabs>
        <w:spacing w:after="0" w:line="240" w:lineRule="auto"/>
        <w:ind w:right="709"/>
        <w:jc w:val="both"/>
        <w:rPr>
          <w:rFonts w:ascii="Verdana" w:eastAsia="Arial" w:hAnsi="Verdana" w:cs="Arial"/>
          <w:color w:val="000000"/>
          <w:sz w:val="20"/>
          <w:szCs w:val="20"/>
        </w:rPr>
      </w:pPr>
    </w:p>
    <w:p w14:paraId="15149A2D" w14:textId="77777777" w:rsidR="006F4AE1" w:rsidRPr="00351C52" w:rsidRDefault="006F4AE1" w:rsidP="006F4AE1">
      <w:pPr>
        <w:tabs>
          <w:tab w:val="left" w:pos="0"/>
        </w:tabs>
        <w:spacing w:after="12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t>‘ARTÍCULO 2.2.1.2.4.2.9. Puntaje para la promoción de la industria nacional en los Procesos de Contratación de servicios. La Entidad Estatal en los Procesos de Contratación de servicios, otorgará el puntaje de que trata el inciso primero del artículo 2 de la Ley 816 de 2003 al proponente que oferte Servicios Nacionales o servicios extranjeros con trato nacional de acuerdo con la regla de origen aplicable.</w:t>
      </w:r>
    </w:p>
    <w:p w14:paraId="526B77D4" w14:textId="77777777" w:rsidR="006F4AE1" w:rsidRPr="00351C52" w:rsidRDefault="006F4AE1" w:rsidP="006F4AE1">
      <w:pPr>
        <w:tabs>
          <w:tab w:val="left" w:pos="0"/>
        </w:tabs>
        <w:spacing w:after="12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lastRenderedPageBreak/>
        <w:t>En los contratos que deban cumplirse en Colombia, la Entidad Estatal definirá de manera razonable y proporcionada los bienes colombianos relevantes teniendo en cuenta:</w:t>
      </w:r>
    </w:p>
    <w:p w14:paraId="7FE0E4CA" w14:textId="77777777" w:rsidR="006F4AE1" w:rsidRPr="00351C52" w:rsidRDefault="006F4AE1" w:rsidP="006F4AE1">
      <w:pPr>
        <w:tabs>
          <w:tab w:val="left" w:pos="0"/>
        </w:tabs>
        <w:spacing w:after="12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t>1. El análisis del sector económico y de los oferentes, y, toda aquella información adicional con la que cuente la Entidad Estatal en la etapa de planeación del Proceso de Contratación;</w:t>
      </w:r>
    </w:p>
    <w:p w14:paraId="71B62559" w14:textId="77777777" w:rsidR="006F4AE1" w:rsidRPr="00351C52" w:rsidRDefault="006F4AE1" w:rsidP="006F4AE1">
      <w:pPr>
        <w:tabs>
          <w:tab w:val="left" w:pos="0"/>
        </w:tabs>
        <w:spacing w:after="12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t>2. El porcentaje de participación de los bienes en el presupuesto del Proceso de Contratación; y</w:t>
      </w:r>
    </w:p>
    <w:p w14:paraId="73C3ACDB" w14:textId="77777777" w:rsidR="006F4AE1" w:rsidRPr="00351C52" w:rsidRDefault="006F4AE1" w:rsidP="006F4AE1">
      <w:pPr>
        <w:tabs>
          <w:tab w:val="left" w:pos="0"/>
        </w:tabs>
        <w:spacing w:after="12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t>3. La existencia de los bienes en el Registro de Productores de Bienes Nacionales, en los términos del Decreto 2680 de 2009 o las normas que lo modifiquen, aclaren, adicionen o sustituyan.</w:t>
      </w:r>
    </w:p>
    <w:p w14:paraId="34CB528F" w14:textId="77777777" w:rsidR="006F4AE1" w:rsidRPr="00351C52" w:rsidRDefault="006F4AE1" w:rsidP="006F4AE1">
      <w:pPr>
        <w:tabs>
          <w:tab w:val="left" w:pos="0"/>
        </w:tabs>
        <w:spacing w:after="120" w:line="240" w:lineRule="auto"/>
        <w:ind w:left="709" w:right="709"/>
        <w:jc w:val="both"/>
        <w:rPr>
          <w:rFonts w:ascii="Verdana" w:eastAsia="Arial" w:hAnsi="Verdana" w:cs="Arial"/>
          <w:color w:val="000000"/>
          <w:sz w:val="20"/>
          <w:szCs w:val="20"/>
        </w:rPr>
      </w:pPr>
      <w:r w:rsidRPr="00351C52">
        <w:rPr>
          <w:rFonts w:ascii="Verdana" w:eastAsia="Arial" w:hAnsi="Verdana" w:cs="Arial"/>
          <w:color w:val="000000"/>
          <w:sz w:val="20"/>
          <w:szCs w:val="20"/>
        </w:rPr>
        <w:t>En aquellos casos en que, de acuerdo con el objeto contractual, no existan bienes colombianos relevantes o no exista oferta nacional de los mismos en el Registro de Productores de Bienes Nacionales, la Entidad Estatal otorgará el puntaje de que trata el inciso primero del artículo 2 de la Ley 816 de 2003 al proponente que vincule el porcentaje mínimo establecido por la Entidad Estatal de empleados o contratistas por prestación de servicios colombianos, que no podrá ser inferior al 40% del total de empleados y contratistas asociados al cumplimiento del contrato.</w:t>
      </w:r>
    </w:p>
    <w:p w14:paraId="772AFB4F" w14:textId="77777777" w:rsidR="006F4AE1" w:rsidRPr="00C27F58" w:rsidRDefault="006F4AE1" w:rsidP="006F4AE1">
      <w:pPr>
        <w:tabs>
          <w:tab w:val="left" w:pos="0"/>
        </w:tabs>
        <w:spacing w:after="0" w:line="240" w:lineRule="auto"/>
        <w:ind w:left="709" w:right="709"/>
        <w:jc w:val="both"/>
        <w:rPr>
          <w:rFonts w:ascii="Verdana" w:eastAsia="Arial" w:hAnsi="Verdana" w:cs="Arial"/>
          <w:color w:val="000000"/>
          <w:sz w:val="21"/>
          <w:szCs w:val="21"/>
        </w:rPr>
      </w:pPr>
      <w:r w:rsidRPr="00351C52">
        <w:rPr>
          <w:rFonts w:ascii="Verdana" w:eastAsia="Arial" w:hAnsi="Verdana" w:cs="Arial"/>
          <w:color w:val="000000"/>
          <w:sz w:val="20"/>
          <w:szCs w:val="20"/>
        </w:rPr>
        <w:t>La Entidad Estatal documentará este análisis y dejará constancia en los Documentos del Proceso’”.</w:t>
      </w:r>
    </w:p>
    <w:p w14:paraId="46F7EADA" w14:textId="77777777" w:rsidR="006F4AE1" w:rsidRPr="00351C52" w:rsidRDefault="006F4AE1" w:rsidP="006F4AE1">
      <w:pPr>
        <w:tabs>
          <w:tab w:val="left" w:pos="0"/>
        </w:tabs>
        <w:spacing w:after="0" w:line="276" w:lineRule="auto"/>
        <w:ind w:left="709" w:right="709"/>
        <w:jc w:val="both"/>
        <w:rPr>
          <w:rFonts w:ascii="Verdana" w:eastAsia="Arial" w:hAnsi="Verdana" w:cs="Arial"/>
          <w:color w:val="000000"/>
        </w:rPr>
      </w:pPr>
    </w:p>
    <w:p w14:paraId="2FF98F47" w14:textId="77777777" w:rsidR="006F4AE1" w:rsidRPr="00C27F58" w:rsidRDefault="006F4AE1" w:rsidP="006F4AE1">
      <w:pPr>
        <w:tabs>
          <w:tab w:val="left" w:pos="0"/>
        </w:tabs>
        <w:spacing w:after="120" w:line="276" w:lineRule="auto"/>
        <w:ind w:firstLine="709"/>
        <w:jc w:val="both"/>
        <w:rPr>
          <w:rFonts w:ascii="Verdana" w:eastAsia="Arial" w:hAnsi="Verdana" w:cs="Arial"/>
          <w:color w:val="000000"/>
        </w:rPr>
      </w:pPr>
      <w:bookmarkStart w:id="5" w:name="_heading=h.3dy6vkm" w:colFirst="0" w:colLast="0"/>
      <w:bookmarkEnd w:id="5"/>
      <w:r w:rsidRPr="00C27F58">
        <w:rPr>
          <w:rFonts w:ascii="Verdana" w:eastAsia="Arial" w:hAnsi="Verdana" w:cs="Arial"/>
          <w:color w:val="000000"/>
        </w:rPr>
        <w:t xml:space="preserve">Según el artículo 2.2.1.2.4.2.9 del Decreto 1082 de 2015, adicionado por el Decreto 680 de 2021, que desarrolla lo establecido en la Ley 816 de 2003, para definir los bienes colombianos relevantes, la entidad estatal debe tener en cuenta tres criterios, a saber: i) </w:t>
      </w:r>
      <w:r>
        <w:rPr>
          <w:rFonts w:ascii="Verdana" w:eastAsia="Arial" w:hAnsi="Verdana" w:cs="Arial"/>
          <w:color w:val="000000"/>
        </w:rPr>
        <w:t>“</w:t>
      </w:r>
      <w:r w:rsidRPr="00C27F58">
        <w:rPr>
          <w:rFonts w:ascii="Verdana" w:eastAsia="Arial" w:hAnsi="Verdana" w:cs="Arial"/>
          <w:color w:val="000000"/>
        </w:rPr>
        <w:t>el análisis del sector económico y de los oferentes, y, toda aquella información adicional con la que cuente la entidad estatal en la etapa de planeación del Proceso de Contratación</w:t>
      </w:r>
      <w:r>
        <w:rPr>
          <w:rFonts w:ascii="Verdana" w:eastAsia="Arial" w:hAnsi="Verdana" w:cs="Arial"/>
          <w:color w:val="000000"/>
        </w:rPr>
        <w:t>”</w:t>
      </w:r>
      <w:r w:rsidRPr="00C27F58">
        <w:rPr>
          <w:rFonts w:ascii="Verdana" w:eastAsia="Arial" w:hAnsi="Verdana" w:cs="Arial"/>
          <w:color w:val="000000"/>
        </w:rPr>
        <w:t xml:space="preserve">, </w:t>
      </w:r>
      <w:proofErr w:type="spellStart"/>
      <w:r w:rsidRPr="00C27F58">
        <w:rPr>
          <w:rFonts w:ascii="Verdana" w:eastAsia="Arial" w:hAnsi="Verdana" w:cs="Arial"/>
          <w:color w:val="000000"/>
        </w:rPr>
        <w:t>ii</w:t>
      </w:r>
      <w:proofErr w:type="spellEnd"/>
      <w:r w:rsidRPr="00C27F58">
        <w:rPr>
          <w:rFonts w:ascii="Verdana" w:eastAsia="Arial" w:hAnsi="Verdana" w:cs="Arial"/>
          <w:color w:val="000000"/>
        </w:rPr>
        <w:t xml:space="preserve">) el porcentaje de participación de los bienes en el presupuesto del Proceso de Contratación y </w:t>
      </w:r>
      <w:proofErr w:type="spellStart"/>
      <w:r w:rsidRPr="00C27F58">
        <w:rPr>
          <w:rFonts w:ascii="Verdana" w:eastAsia="Arial" w:hAnsi="Verdana" w:cs="Arial"/>
          <w:color w:val="000000"/>
        </w:rPr>
        <w:t>iii</w:t>
      </w:r>
      <w:proofErr w:type="spellEnd"/>
      <w:r w:rsidRPr="00C27F58">
        <w:rPr>
          <w:rFonts w:ascii="Verdana" w:eastAsia="Arial" w:hAnsi="Verdana" w:cs="Arial"/>
          <w:color w:val="000000"/>
        </w:rPr>
        <w:t xml:space="preserve">) la existencia de los bienes en el Registro de Productores de Bienes Nacionales, en los términos del Decreto 2680 de 2009. </w:t>
      </w:r>
    </w:p>
    <w:p w14:paraId="13FA67B8" w14:textId="77777777" w:rsidR="006F4AE1" w:rsidRDefault="006F4AE1" w:rsidP="006F4AE1">
      <w:pPr>
        <w:tabs>
          <w:tab w:val="left" w:pos="0"/>
        </w:tabs>
        <w:spacing w:after="120" w:line="276" w:lineRule="auto"/>
        <w:ind w:firstLine="709"/>
        <w:jc w:val="both"/>
        <w:rPr>
          <w:rFonts w:ascii="Verdana" w:eastAsia="Arial" w:hAnsi="Verdana" w:cs="Arial"/>
          <w:color w:val="000000"/>
        </w:rPr>
      </w:pPr>
      <w:r w:rsidRPr="00C27F58">
        <w:rPr>
          <w:rFonts w:ascii="Verdana" w:eastAsia="Arial" w:hAnsi="Verdana" w:cs="Arial"/>
          <w:color w:val="000000"/>
        </w:rPr>
        <w:t xml:space="preserve">En aplicación de estos criterios, corresponde a la entidad estatal determinar en los respectivos pliegos de condiciones o documentos equivalentes, la metodología conforme con la cual se asignará el puntaje correspondiente por apoyo a la industria nacional. Así, los puntos para la promoción de la industria nacional sólo deben concederse al proponente si éste cuenta con el respectivo Registro de Productores de Bienes Nacionales para los bienes relevantes que ofrece para la prestación del servicio. El proponente es </w:t>
      </w:r>
      <w:r w:rsidRPr="00C27F58">
        <w:rPr>
          <w:rFonts w:ascii="Verdana" w:eastAsia="Arial" w:hAnsi="Verdana" w:cs="Arial"/>
          <w:color w:val="000000"/>
        </w:rPr>
        <w:lastRenderedPageBreak/>
        <w:t>autónomo para definir si se presenta o no al proceso acreditando este factor de evaluación; sin embargo, la asignación del puntaje está sujeta al cumplimiento de los requisitos previstos en las normas citadas.</w:t>
      </w:r>
    </w:p>
    <w:p w14:paraId="0869B7EB" w14:textId="77777777" w:rsidR="006F4AE1" w:rsidRDefault="006F4AE1" w:rsidP="006F4AE1">
      <w:pPr>
        <w:tabs>
          <w:tab w:val="left" w:pos="0"/>
        </w:tabs>
        <w:spacing w:after="120" w:line="276" w:lineRule="auto"/>
        <w:ind w:firstLine="709"/>
        <w:jc w:val="both"/>
        <w:rPr>
          <w:rFonts w:ascii="Verdana" w:eastAsia="Arial" w:hAnsi="Verdana" w:cs="Arial"/>
          <w:color w:val="000000"/>
        </w:rPr>
      </w:pPr>
      <w:r>
        <w:rPr>
          <w:rFonts w:ascii="Verdana" w:eastAsia="Arial" w:hAnsi="Verdana" w:cs="Arial"/>
          <w:color w:val="000000"/>
        </w:rPr>
        <w:t xml:space="preserve">La exigencia mencionada en el párrafo anterior se desprende del inciso primero del artículo </w:t>
      </w:r>
      <w:r w:rsidRPr="00351C52">
        <w:rPr>
          <w:rFonts w:ascii="Verdana" w:eastAsia="Arial" w:hAnsi="Verdana" w:cs="Arial"/>
          <w:color w:val="000000"/>
        </w:rPr>
        <w:t>2.2.1.2.4.2.9</w:t>
      </w:r>
      <w:r>
        <w:rPr>
          <w:rFonts w:ascii="Verdana" w:eastAsia="Arial" w:hAnsi="Verdana" w:cs="Arial"/>
          <w:color w:val="000000"/>
        </w:rPr>
        <w:t xml:space="preserve"> del Decreto 1082 de 2015, adicionado por el artículo </w:t>
      </w:r>
      <w:r w:rsidRPr="00C27F58">
        <w:rPr>
          <w:rFonts w:ascii="Verdana" w:eastAsia="Arial" w:hAnsi="Verdana" w:cs="Arial"/>
          <w:color w:val="000000"/>
        </w:rPr>
        <w:t>2 del Decreto 680 de 2021</w:t>
      </w:r>
      <w:r>
        <w:rPr>
          <w:rFonts w:ascii="Verdana" w:eastAsia="Arial" w:hAnsi="Verdana" w:cs="Arial"/>
          <w:color w:val="000000"/>
        </w:rPr>
        <w:t xml:space="preserve">, pues la norma dispone que el puntaje beneficia “[…] </w:t>
      </w:r>
      <w:r w:rsidRPr="006408A8">
        <w:rPr>
          <w:rFonts w:ascii="Verdana" w:eastAsia="Arial" w:hAnsi="Verdana" w:cs="Arial"/>
          <w:color w:val="000000"/>
        </w:rPr>
        <w:t>al proponente que oferte Servicios Nacionales</w:t>
      </w:r>
      <w:r>
        <w:rPr>
          <w:rFonts w:ascii="Verdana" w:eastAsia="Arial" w:hAnsi="Verdana" w:cs="Arial"/>
          <w:color w:val="000000"/>
        </w:rPr>
        <w:t xml:space="preserve"> […]”. En concordancia con el inciso primero del artículo </w:t>
      </w:r>
      <w:r w:rsidRPr="00C27F58">
        <w:rPr>
          <w:rFonts w:ascii="Verdana" w:eastAsia="Arial" w:hAnsi="Verdana" w:cs="Arial"/>
          <w:color w:val="000000"/>
        </w:rPr>
        <w:t>2.2.1.1.1.3.1</w:t>
      </w:r>
      <w:r>
        <w:rPr>
          <w:rFonts w:ascii="Verdana" w:eastAsia="Arial" w:hAnsi="Verdana" w:cs="Arial"/>
          <w:color w:val="000000"/>
        </w:rPr>
        <w:t xml:space="preserve"> </w:t>
      </w:r>
      <w:r w:rsidRPr="0005710A">
        <w:rPr>
          <w:rFonts w:ascii="Verdana" w:eastAsia="Arial" w:hAnsi="Verdana" w:cs="Arial"/>
          <w:i/>
          <w:iCs/>
          <w:color w:val="000000"/>
        </w:rPr>
        <w:t>ibidem</w:t>
      </w:r>
      <w:r>
        <w:rPr>
          <w:rFonts w:ascii="Verdana" w:eastAsia="Arial" w:hAnsi="Verdana" w:cs="Arial"/>
          <w:color w:val="000000"/>
        </w:rPr>
        <w:t xml:space="preserve">, modificado por el artículo 1 del Decreto 680 de 2021, la propuesta debe incluir también “[…] </w:t>
      </w:r>
      <w:r w:rsidRPr="0005710A">
        <w:rPr>
          <w:rFonts w:ascii="Verdana" w:eastAsia="Arial" w:hAnsi="Verdana" w:cs="Arial"/>
          <w:color w:val="000000"/>
        </w:rPr>
        <w:t>los bienes nacionales relevantes definidos por la Entidad Estatal</w:t>
      </w:r>
      <w:r>
        <w:rPr>
          <w:rFonts w:ascii="Verdana" w:eastAsia="Arial" w:hAnsi="Verdana" w:cs="Arial"/>
          <w:color w:val="000000"/>
        </w:rPr>
        <w:t xml:space="preserve"> […]” que usará el contratista para el cumplimiento de las obligaciones. </w:t>
      </w:r>
    </w:p>
    <w:p w14:paraId="5AC15D14" w14:textId="77777777" w:rsidR="006F4AE1" w:rsidRDefault="006F4AE1" w:rsidP="006F4AE1">
      <w:pPr>
        <w:tabs>
          <w:tab w:val="left" w:pos="0"/>
        </w:tabs>
        <w:spacing w:after="120" w:line="276" w:lineRule="auto"/>
        <w:ind w:firstLine="709"/>
        <w:jc w:val="both"/>
        <w:rPr>
          <w:rFonts w:ascii="Verdana" w:eastAsia="Arial" w:hAnsi="Verdana" w:cs="Arial"/>
          <w:color w:val="000000"/>
        </w:rPr>
      </w:pPr>
      <w:r>
        <w:rPr>
          <w:rFonts w:ascii="Verdana" w:eastAsia="Arial" w:hAnsi="Verdana" w:cs="Arial"/>
          <w:color w:val="000000"/>
        </w:rPr>
        <w:t xml:space="preserve">La oferta es un acto personal del proponente. Luego, también debe producir los bienes nacionales relevantes para la prestación del servicio, lo que implica la inscripción en el registro correspondiente, ya que la propuesta no compromete a que terceros le suministren dichos bienes si eventualmente resulta adjudicatario. Por ello, dado que “[…] </w:t>
      </w:r>
      <w:r w:rsidRPr="003A5DC4">
        <w:rPr>
          <w:rFonts w:ascii="Verdana" w:eastAsia="Arial" w:hAnsi="Verdana" w:cs="Arial"/>
          <w:color w:val="000000"/>
        </w:rPr>
        <w:t>en sectores como la construcción, la consultoría y la interventoría los contratistas son consumidores e integradores de bienes nacionales, mas no productores de los mismos</w:t>
      </w:r>
      <w:r>
        <w:rPr>
          <w:rFonts w:ascii="Verdana" w:eastAsia="Arial" w:hAnsi="Verdana" w:cs="Arial"/>
          <w:color w:val="000000"/>
        </w:rPr>
        <w:t xml:space="preserve"> […]”, el inciso primero del artículo </w:t>
      </w:r>
      <w:r w:rsidRPr="00C27F58">
        <w:rPr>
          <w:rFonts w:ascii="Verdana" w:eastAsia="Arial" w:hAnsi="Verdana" w:cs="Arial"/>
          <w:color w:val="000000"/>
        </w:rPr>
        <w:t>2.2.1.1.1.3.1</w:t>
      </w:r>
      <w:r>
        <w:rPr>
          <w:rFonts w:ascii="Verdana" w:eastAsia="Arial" w:hAnsi="Verdana" w:cs="Arial"/>
          <w:color w:val="000000"/>
        </w:rPr>
        <w:t xml:space="preserve"> del Decreto 1082 de 2015 brinda la posibilidad de que el ofrecimiento de los bienes nacionales relevantes que se usarán para la prestación del servicio sea realizado no solo “[…] </w:t>
      </w:r>
      <w:r w:rsidRPr="00580515">
        <w:rPr>
          <w:rFonts w:ascii="Verdana" w:eastAsia="Arial" w:hAnsi="Verdana" w:cs="Arial"/>
          <w:color w:val="000000"/>
        </w:rPr>
        <w:t>por una persona natural colombiana o por un residente en Colombia, por una persona jurídica constituida de conformidad con la legislación colombiana</w:t>
      </w:r>
      <w:r>
        <w:rPr>
          <w:rFonts w:ascii="Verdana" w:eastAsia="Arial" w:hAnsi="Verdana" w:cs="Arial"/>
          <w:color w:val="000000"/>
        </w:rPr>
        <w:t xml:space="preserve"> […]”, sino también “[…] </w:t>
      </w:r>
      <w:r w:rsidRPr="00EC05AC">
        <w:rPr>
          <w:rFonts w:ascii="Verdana" w:eastAsia="Arial" w:hAnsi="Verdana" w:cs="Arial"/>
          <w:color w:val="000000"/>
        </w:rPr>
        <w:t>por un proponente plural conformado por estos o por estos y un extranjero con trato nacional</w:t>
      </w:r>
      <w:r>
        <w:rPr>
          <w:rFonts w:ascii="Verdana" w:eastAsia="Arial" w:hAnsi="Verdana" w:cs="Arial"/>
          <w:color w:val="000000"/>
        </w:rPr>
        <w:t xml:space="preserve"> […]”. </w:t>
      </w:r>
    </w:p>
    <w:p w14:paraId="471CB6A3" w14:textId="77777777" w:rsidR="006F4AE1" w:rsidRDefault="006F4AE1" w:rsidP="006F4AE1">
      <w:pPr>
        <w:tabs>
          <w:tab w:val="left" w:pos="0"/>
        </w:tabs>
        <w:spacing w:after="120" w:line="276" w:lineRule="auto"/>
        <w:ind w:firstLine="709"/>
        <w:jc w:val="both"/>
        <w:rPr>
          <w:rFonts w:ascii="Verdana" w:eastAsia="Arial" w:hAnsi="Verdana" w:cs="Arial"/>
          <w:color w:val="000000"/>
        </w:rPr>
      </w:pPr>
      <w:r>
        <w:rPr>
          <w:rFonts w:ascii="Verdana" w:eastAsia="Arial" w:hAnsi="Verdana" w:cs="Arial"/>
          <w:color w:val="000000"/>
        </w:rPr>
        <w:t xml:space="preserve">Es decir, si del estudio del sector económico se deprende que “[…] </w:t>
      </w:r>
      <w:r w:rsidRPr="0019132C">
        <w:rPr>
          <w:rFonts w:ascii="Verdana" w:eastAsia="Arial" w:hAnsi="Verdana" w:cs="Arial"/>
          <w:color w:val="000000"/>
        </w:rPr>
        <w:t>el mercado está compuesto mayoritariamente por empresas prestadoras de servicios que utilizan bienes nacionales producidos por terceros</w:t>
      </w:r>
      <w:r>
        <w:rPr>
          <w:rFonts w:ascii="Verdana" w:eastAsia="Arial" w:hAnsi="Verdana" w:cs="Arial"/>
          <w:color w:val="000000"/>
        </w:rPr>
        <w:t xml:space="preserve"> […]”, corresponde a los interesados analizar la posibilidad de presentar la propuesta en torno a los servicios y los bienes nacionales relevantes para su prestación a través de consorcios o uniones temporales</w:t>
      </w:r>
      <w:r>
        <w:rPr>
          <w:rStyle w:val="Refdenotaalpie"/>
          <w:rFonts w:ascii="Verdana" w:eastAsia="Arial" w:hAnsi="Verdana" w:cs="Arial"/>
          <w:color w:val="000000"/>
        </w:rPr>
        <w:footnoteReference w:id="8"/>
      </w:r>
      <w:r>
        <w:rPr>
          <w:rFonts w:ascii="Verdana" w:eastAsia="Arial" w:hAnsi="Verdana" w:cs="Arial"/>
          <w:color w:val="000000"/>
        </w:rPr>
        <w:t xml:space="preserve">. Ello asegura que los bienes </w:t>
      </w:r>
      <w:r>
        <w:rPr>
          <w:rFonts w:ascii="Verdana" w:eastAsia="Arial" w:hAnsi="Verdana" w:cs="Arial"/>
          <w:color w:val="000000"/>
        </w:rPr>
        <w:lastRenderedPageBreak/>
        <w:t xml:space="preserve">requeridos sean suministrados directamente por el oferente adjudicatario, sin depender de terceros ajenos al contrato estatal celebrado. </w:t>
      </w:r>
    </w:p>
    <w:p w14:paraId="3397540C" w14:textId="77777777" w:rsidR="006F4AE1" w:rsidRPr="00C27F58" w:rsidRDefault="006F4AE1" w:rsidP="006F4AE1">
      <w:pPr>
        <w:tabs>
          <w:tab w:val="left" w:pos="0"/>
        </w:tabs>
        <w:spacing w:after="120" w:line="276" w:lineRule="auto"/>
        <w:ind w:firstLine="709"/>
        <w:jc w:val="both"/>
        <w:rPr>
          <w:rFonts w:ascii="Verdana" w:eastAsia="Arial" w:hAnsi="Verdana" w:cs="Arial"/>
          <w:color w:val="000000"/>
        </w:rPr>
      </w:pPr>
      <w:r>
        <w:rPr>
          <w:rFonts w:ascii="Verdana" w:eastAsia="Arial" w:hAnsi="Verdana" w:cs="Arial"/>
          <w:color w:val="000000"/>
        </w:rPr>
        <w:t xml:space="preserve">Asimismo, descarta “[…] </w:t>
      </w:r>
      <w:r w:rsidRPr="005D4486">
        <w:rPr>
          <w:rFonts w:ascii="Verdana" w:eastAsia="Arial" w:hAnsi="Verdana" w:cs="Arial"/>
          <w:color w:val="000000"/>
        </w:rPr>
        <w:t>restricciones a la libre concurrencia y a la pluralidad de oferentes</w:t>
      </w:r>
      <w:r>
        <w:rPr>
          <w:rFonts w:ascii="Verdana" w:eastAsia="Arial" w:hAnsi="Verdana" w:cs="Arial"/>
          <w:color w:val="000000"/>
        </w:rPr>
        <w:t xml:space="preserve"> […]”, pues el ordenamiento contempla la posibilidad de conformar estructuras plurales para quienes presten servicios nacionales sin tener la calidad de productores registrados. Lo anterior, en la medida que tienen la opción de aunar esfuerzos con los que cumplan dicha condición para acceder al puntaje de industria nacional en los términos de los artículos 1 y 2 del Decreto 680 de 2021. Esto permite “[…] </w:t>
      </w:r>
      <w:r w:rsidRPr="00170B8D">
        <w:rPr>
          <w:rFonts w:ascii="Verdana" w:eastAsia="Arial" w:hAnsi="Verdana" w:cs="Arial"/>
          <w:color w:val="000000"/>
        </w:rPr>
        <w:t>incentivar la utilización efectiva de bienes nacionales durante la ejecución contractual</w:t>
      </w:r>
      <w:r>
        <w:rPr>
          <w:rFonts w:ascii="Verdana" w:eastAsia="Arial" w:hAnsi="Verdana" w:cs="Arial"/>
          <w:color w:val="000000"/>
        </w:rPr>
        <w:t xml:space="preserve"> […]”, pues se reitera que la oferta es un acto personal del proponente, razón por la que no compromete a que terceros le suministren dichos bienes si eventualmente resulta adjudicatario. Así, debe ofrecer tanto los servicios como la producción de los bienes usados para prestarlos.</w:t>
      </w:r>
    </w:p>
    <w:p w14:paraId="4F80191D" w14:textId="77777777" w:rsidR="006F4AE1" w:rsidRDefault="006F4AE1" w:rsidP="006F4AE1">
      <w:pPr>
        <w:tabs>
          <w:tab w:val="left" w:pos="0"/>
        </w:tabs>
        <w:spacing w:after="0" w:line="276" w:lineRule="auto"/>
        <w:ind w:firstLine="709"/>
        <w:jc w:val="both"/>
        <w:rPr>
          <w:rFonts w:ascii="Arial" w:eastAsia="Arial" w:hAnsi="Arial" w:cs="Arial"/>
          <w:color w:val="000000"/>
        </w:rPr>
      </w:pPr>
      <w:r w:rsidRPr="00C27F58">
        <w:rPr>
          <w:rFonts w:ascii="Verdana" w:eastAsia="Arial" w:hAnsi="Verdana" w:cs="Arial"/>
          <w:color w:val="000000"/>
        </w:rPr>
        <w:t>Por lo demás, el penúltimo inciso del artículo del 2.2.1.2.4.2.9 del Decreto 1082 de 2015, adicionado por el Decreto 680 de 2021, establece una regla subsidiaria para otorgar el puntaje de industria nacional en procesos de contratación en los que, en atención al objeto contractual no existan bienes colombianos relevantes o no exista oferta nacional de los bienes relevantes en el Registro de Productores de Bienes Nacionales. Esta regla consiste en otorgar el puntaje, al proponente que vincule el porcentaje mínimo de empleados o contratistas por prestación de servicios colombianos establecido por la entidad estatal, el cual no podrá ser inferior al 40% del total de empleados y contratistas asociados al cumplimiento del contrato. Conforme a esta regla residual, cuando en el marco de la planeación, la entidad estatal no logre establecer que el objeto contractual requiera de bienes nacionales que se ajusten a los referidos criterios, deberá otorgar el puntaje por apoyo a la industria nacional a los proponentes que ejecuten el contrato garantizando la participación de personal colombiano en el correspondiente porcentaje mínimo.</w:t>
      </w:r>
      <w:r>
        <w:rPr>
          <w:rFonts w:ascii="Arial" w:eastAsia="Arial" w:hAnsi="Arial" w:cs="Arial"/>
          <w:color w:val="000000"/>
        </w:rPr>
        <w:t xml:space="preserve"> </w:t>
      </w:r>
    </w:p>
    <w:p w14:paraId="005055B1" w14:textId="77777777" w:rsidR="006F4AE1" w:rsidRDefault="006F4AE1" w:rsidP="006F4AE1">
      <w:pPr>
        <w:tabs>
          <w:tab w:val="left" w:pos="709"/>
        </w:tabs>
        <w:spacing w:after="0" w:line="276" w:lineRule="auto"/>
        <w:jc w:val="both"/>
        <w:rPr>
          <w:rFonts w:ascii="Verdana" w:eastAsia="Calibri" w:hAnsi="Verdana" w:cs="Arial"/>
          <w:bCs/>
          <w:color w:val="000000" w:themeColor="text1"/>
        </w:rPr>
      </w:pPr>
    </w:p>
    <w:p w14:paraId="24F406D9" w14:textId="77777777" w:rsidR="006F4AE1" w:rsidRPr="00A47393" w:rsidRDefault="006F4AE1" w:rsidP="006F4AE1">
      <w:pPr>
        <w:tabs>
          <w:tab w:val="left" w:pos="709"/>
        </w:tabs>
        <w:spacing w:after="180" w:line="276" w:lineRule="auto"/>
        <w:jc w:val="both"/>
        <w:rPr>
          <w:rFonts w:ascii="Verdana" w:eastAsia="Calibri" w:hAnsi="Verdana" w:cs="Arial"/>
          <w:bCs/>
          <w:color w:val="000000" w:themeColor="text1"/>
        </w:rPr>
      </w:pPr>
      <w:proofErr w:type="spellStart"/>
      <w:r>
        <w:rPr>
          <w:rFonts w:ascii="Verdana" w:eastAsia="Calibri" w:hAnsi="Verdana" w:cs="Arial"/>
          <w:bCs/>
          <w:color w:val="000000" w:themeColor="text1"/>
        </w:rPr>
        <w:t>iii</w:t>
      </w:r>
      <w:proofErr w:type="spellEnd"/>
      <w:r>
        <w:rPr>
          <w:rFonts w:ascii="Verdana" w:eastAsia="Calibri" w:hAnsi="Verdana" w:cs="Arial"/>
          <w:bCs/>
          <w:color w:val="000000" w:themeColor="text1"/>
        </w:rPr>
        <w:t xml:space="preserve">. </w:t>
      </w:r>
      <w:r w:rsidRPr="00A47393">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w:t>
      </w:r>
      <w:r w:rsidRPr="00A47393">
        <w:rPr>
          <w:rFonts w:ascii="Verdana" w:eastAsia="Calibri" w:hAnsi="Verdana" w:cs="Arial"/>
          <w:bCs/>
          <w:color w:val="000000" w:themeColor="text1"/>
        </w:rPr>
        <w:lastRenderedPageBreak/>
        <w:t>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0B7785E" w14:textId="77777777" w:rsidR="006F4AE1" w:rsidRPr="00185EE9" w:rsidRDefault="006F4AE1" w:rsidP="006F4AE1">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59918597" w14:textId="77777777" w:rsidR="006F4AE1" w:rsidRPr="00182C89" w:rsidRDefault="006F4AE1" w:rsidP="006F4AE1">
      <w:pPr>
        <w:tabs>
          <w:tab w:val="left" w:pos="709"/>
        </w:tabs>
        <w:spacing w:after="0" w:line="276" w:lineRule="auto"/>
        <w:jc w:val="both"/>
        <w:rPr>
          <w:rFonts w:ascii="Verdana" w:eastAsia="Calibri" w:hAnsi="Verdana" w:cs="Arial"/>
          <w:color w:val="000000" w:themeColor="text1"/>
        </w:rPr>
      </w:pPr>
    </w:p>
    <w:p w14:paraId="3EBECAB9" w14:textId="77777777" w:rsidR="006F4AE1" w:rsidRPr="00593A5F" w:rsidRDefault="006F4AE1" w:rsidP="006F4AE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3873DF05" w14:textId="77777777" w:rsidR="006F4AE1" w:rsidRPr="00593A5F" w:rsidRDefault="006F4AE1" w:rsidP="006F4AE1">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F4AE1" w:rsidRPr="002407CE" w14:paraId="6BA70901" w14:textId="77777777" w:rsidTr="00226968">
        <w:trPr>
          <w:trHeight w:val="56"/>
          <w:jc w:val="center"/>
        </w:trPr>
        <w:tc>
          <w:tcPr>
            <w:tcW w:w="8647" w:type="dxa"/>
          </w:tcPr>
          <w:p w14:paraId="503F850D" w14:textId="77777777" w:rsidR="006F4AE1" w:rsidRDefault="006F4AE1" w:rsidP="006F4AE1">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816 de 2003, artículos 1 y 2.</w:t>
            </w:r>
          </w:p>
          <w:p w14:paraId="2FE03371" w14:textId="77777777" w:rsidR="006F4AE1" w:rsidRDefault="006F4AE1" w:rsidP="006F4AE1">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1437 de 2011, artículos 28 y 112.</w:t>
            </w:r>
          </w:p>
          <w:p w14:paraId="47224939" w14:textId="77777777" w:rsidR="006F4AE1" w:rsidRDefault="006F4AE1" w:rsidP="006F4AE1">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Decreto Ley 4170 de 2011, artículos 3, 11, 12 y 13.</w:t>
            </w:r>
          </w:p>
          <w:p w14:paraId="095FDB03" w14:textId="77777777" w:rsidR="006F4AE1" w:rsidRDefault="006F4AE1" w:rsidP="006F4AE1">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Decreto 2180 de 2009, artículo 1.</w:t>
            </w:r>
          </w:p>
          <w:p w14:paraId="3D61CA9F" w14:textId="77777777" w:rsidR="006F4AE1" w:rsidRPr="007F34F0" w:rsidRDefault="006F4AE1" w:rsidP="006F4AE1">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Decreto 1082 de 2015, artículos </w:t>
            </w:r>
            <w:r w:rsidRPr="00C27F58">
              <w:rPr>
                <w:rFonts w:ascii="Verdana" w:eastAsia="Arial" w:hAnsi="Verdana" w:cs="Arial"/>
                <w:color w:val="000000"/>
              </w:rPr>
              <w:t>2.2.1.1.1.3.1</w:t>
            </w:r>
            <w:r>
              <w:rPr>
                <w:rFonts w:ascii="Verdana" w:eastAsia="Arial" w:hAnsi="Verdana" w:cs="Arial"/>
                <w:color w:val="000000"/>
              </w:rPr>
              <w:t xml:space="preserve">, </w:t>
            </w:r>
            <w:r w:rsidRPr="00C27F58">
              <w:rPr>
                <w:rFonts w:ascii="Verdana" w:eastAsia="Arial" w:hAnsi="Verdana" w:cs="Arial"/>
                <w:color w:val="000000"/>
              </w:rPr>
              <w:t>2.2.1.2.4.1.3</w:t>
            </w:r>
            <w:r>
              <w:rPr>
                <w:rFonts w:ascii="Verdana" w:eastAsia="Arial" w:hAnsi="Verdana" w:cs="Arial"/>
                <w:color w:val="000000"/>
              </w:rPr>
              <w:t xml:space="preserve">, </w:t>
            </w:r>
            <w:r w:rsidRPr="00404130">
              <w:rPr>
                <w:rFonts w:ascii="Verdana" w:eastAsia="Arial" w:hAnsi="Verdana" w:cs="Arial"/>
                <w:color w:val="000000"/>
              </w:rPr>
              <w:t>2.2.1.2.4.2.9</w:t>
            </w:r>
            <w:r>
              <w:rPr>
                <w:rFonts w:ascii="Verdana" w:eastAsia="Arial" w:hAnsi="Verdana" w:cs="Arial"/>
                <w:color w:val="000000"/>
              </w:rPr>
              <w:t>.</w:t>
            </w:r>
          </w:p>
        </w:tc>
      </w:tr>
    </w:tbl>
    <w:p w14:paraId="02116400" w14:textId="77777777" w:rsidR="006F4AE1" w:rsidRPr="002407CE" w:rsidRDefault="006F4AE1" w:rsidP="006F4AE1">
      <w:pPr>
        <w:widowControl w:val="0"/>
        <w:autoSpaceDE w:val="0"/>
        <w:autoSpaceDN w:val="0"/>
        <w:spacing w:after="0" w:line="276" w:lineRule="auto"/>
        <w:jc w:val="both"/>
        <w:rPr>
          <w:rFonts w:ascii="Verdana" w:hAnsi="Verdana" w:cs="Arial"/>
        </w:rPr>
      </w:pPr>
    </w:p>
    <w:p w14:paraId="70361868" w14:textId="77777777" w:rsidR="006F4AE1" w:rsidRPr="00593A5F" w:rsidRDefault="006F4AE1" w:rsidP="006F4AE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665347C4" w14:textId="77777777" w:rsidR="006F4AE1" w:rsidRPr="00593A5F" w:rsidRDefault="006F4AE1" w:rsidP="006F4AE1">
      <w:pPr>
        <w:widowControl w:val="0"/>
        <w:autoSpaceDE w:val="0"/>
        <w:autoSpaceDN w:val="0"/>
        <w:spacing w:after="0" w:line="276" w:lineRule="auto"/>
        <w:jc w:val="both"/>
        <w:rPr>
          <w:rFonts w:ascii="Verdana" w:hAnsi="Verdana" w:cs="Arial"/>
        </w:rPr>
      </w:pPr>
    </w:p>
    <w:p w14:paraId="23F50FE2" w14:textId="77777777" w:rsidR="006F4AE1" w:rsidRPr="00ED0098" w:rsidRDefault="006F4AE1" w:rsidP="006F4AE1">
      <w:pPr>
        <w:widowControl w:val="0"/>
        <w:autoSpaceDE w:val="0"/>
        <w:autoSpaceDN w:val="0"/>
        <w:spacing w:after="0" w:line="276" w:lineRule="auto"/>
        <w:jc w:val="both"/>
        <w:rPr>
          <w:rStyle w:val="normaltextrun"/>
          <w:rFonts w:ascii="Verdana" w:hAnsi="Verdana" w:cs="Arial"/>
          <w:shd w:val="clear" w:color="auto" w:fill="FFFFFF"/>
        </w:rPr>
      </w:pPr>
      <w:r w:rsidRPr="008554C1">
        <w:rPr>
          <w:rFonts w:ascii="Verdana" w:hAnsi="Verdana" w:cs="Arial"/>
          <w:shd w:val="clear" w:color="auto" w:fill="FFFFFF"/>
        </w:rPr>
        <w:t xml:space="preserve">Esta Subdirección se ha pronunciado sobre </w:t>
      </w:r>
      <w:r w:rsidRPr="009257A1">
        <w:rPr>
          <w:rFonts w:ascii="Verdana" w:hAnsi="Verdana" w:cs="Arial"/>
          <w:shd w:val="clear" w:color="auto" w:fill="FFFFFF"/>
        </w:rPr>
        <w:t xml:space="preserve">la aplicación del Decreto 680 de 2021 y el otorgamiento del puntaje por apoyo a la industria nacional en los procedimientos de selección en los </w:t>
      </w:r>
      <w:r>
        <w:rPr>
          <w:rFonts w:ascii="Verdana" w:hAnsi="Verdana" w:cs="Arial"/>
          <w:shd w:val="clear" w:color="auto" w:fill="FFFFFF"/>
        </w:rPr>
        <w:t>C</w:t>
      </w:r>
      <w:r w:rsidRPr="009257A1">
        <w:rPr>
          <w:rFonts w:ascii="Verdana" w:hAnsi="Verdana" w:cs="Arial"/>
          <w:shd w:val="clear" w:color="auto" w:fill="FFFFFF"/>
        </w:rPr>
        <w:t>onceptos C-442 del 26 de agosto de 2021, C-542 del 20 de octubre de 2021, C-549 del 5 de noviembre de 2021, C-020 del 22 de febrero de 2022, C-219 del 21 de abril</w:t>
      </w:r>
      <w:r>
        <w:rPr>
          <w:rFonts w:ascii="Verdana" w:hAnsi="Verdana" w:cs="Arial"/>
          <w:shd w:val="clear" w:color="auto" w:fill="FFFFFF"/>
        </w:rPr>
        <w:t xml:space="preserve">, </w:t>
      </w:r>
      <w:r w:rsidRPr="001F1870">
        <w:rPr>
          <w:rFonts w:ascii="Verdana" w:hAnsi="Verdana" w:cs="Arial"/>
          <w:shd w:val="clear" w:color="auto" w:fill="FFFFFF"/>
        </w:rPr>
        <w:t>de 2022, C-265 del 4 de abril de 2022, entre otros</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 xml:space="preserve">Estos y otros conceptos se encuentran disponibles para </w:t>
      </w:r>
      <w:r w:rsidRPr="00E278D2">
        <w:rPr>
          <w:rStyle w:val="normaltextrun"/>
          <w:rFonts w:ascii="Verdana" w:hAnsi="Verdana" w:cs="Arial"/>
          <w:shd w:val="clear" w:color="auto" w:fill="FFFFFF"/>
        </w:rPr>
        <w:lastRenderedPageBreak/>
        <w:t>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0B6F173D" w14:textId="77777777" w:rsidR="006F4AE1" w:rsidRPr="00096788" w:rsidRDefault="006F4AE1" w:rsidP="006F4AE1">
      <w:pPr>
        <w:widowControl w:val="0"/>
        <w:autoSpaceDE w:val="0"/>
        <w:autoSpaceDN w:val="0"/>
        <w:spacing w:after="0" w:line="276" w:lineRule="auto"/>
        <w:jc w:val="both"/>
        <w:rPr>
          <w:rFonts w:ascii="Verdana" w:hAnsi="Verdana" w:cs="Arial"/>
          <w:color w:val="000000" w:themeColor="text1"/>
          <w:shd w:val="clear" w:color="auto" w:fill="FFFFFF"/>
        </w:rPr>
      </w:pPr>
    </w:p>
    <w:p w14:paraId="3FDB333C" w14:textId="77777777" w:rsidR="006F4AE1" w:rsidRPr="00F42673" w:rsidRDefault="006F4AE1" w:rsidP="006F4AE1">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574967DA" w14:textId="77777777" w:rsidR="006F4AE1" w:rsidRPr="00F42673" w:rsidRDefault="006F4AE1" w:rsidP="006F4AE1">
      <w:pPr>
        <w:spacing w:after="0" w:line="276" w:lineRule="auto"/>
        <w:jc w:val="both"/>
        <w:rPr>
          <w:rFonts w:ascii="Verdana" w:eastAsia="Times New Roman" w:hAnsi="Verdana" w:cs="Times New Roman"/>
          <w:color w:val="000000"/>
          <w:lang w:eastAsia="es-MX"/>
        </w:rPr>
      </w:pPr>
    </w:p>
    <w:p w14:paraId="3621F4FB" w14:textId="77777777" w:rsidR="006F4AE1" w:rsidRPr="00F42673" w:rsidRDefault="006F4AE1" w:rsidP="006F4AE1">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en cumplimiento del artículo 13 de la Ley Estatutaria 1618 de 2013. Para orientar su aplicación, esta Agencia expidió 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en la que precisa quiénes son los beneficiarios, las cinco medidas que integran el sistema y su obligatoriedad según la modalidad de selección, y el régimen de transición aplicable a los procesos en curso. Consúltala aquí: </w:t>
      </w:r>
      <w:hyperlink r:id="rId14"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4FC01268" w14:textId="77777777" w:rsidR="006F4AE1" w:rsidRPr="00F42673" w:rsidRDefault="006F4AE1" w:rsidP="006F4AE1">
      <w:pPr>
        <w:spacing w:after="0" w:line="276" w:lineRule="auto"/>
        <w:jc w:val="both"/>
        <w:rPr>
          <w:rFonts w:ascii="Verdana" w:eastAsia="Times New Roman" w:hAnsi="Verdana" w:cs="Times New Roman"/>
          <w:color w:val="000000"/>
          <w:lang w:eastAsia="es-MX"/>
        </w:rPr>
      </w:pPr>
    </w:p>
    <w:p w14:paraId="168EF5BA" w14:textId="77777777" w:rsidR="006F4AE1" w:rsidRPr="00F42673" w:rsidRDefault="006F4AE1" w:rsidP="006F4AE1">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solo cumple su función preventiva si llega oportunamente a los registros públicos. Sobre este deber, esta Agencia expidió la </w:t>
      </w:r>
      <w:r w:rsidRPr="00F42673">
        <w:rPr>
          <w:rFonts w:ascii="Verdana" w:eastAsia="Times New Roman" w:hAnsi="Verdana" w:cs="Times New Roman"/>
          <w:b/>
          <w:bCs/>
          <w:color w:val="000000"/>
          <w:lang w:eastAsia="es-MX"/>
        </w:rPr>
        <w:t>Circular Externa 002 del 5 de mayo de 2026,</w:t>
      </w:r>
      <w:r w:rsidRPr="00F42673">
        <w:rPr>
          <w:rFonts w:ascii="Verdana" w:eastAsia="Times New Roman" w:hAnsi="Verdana" w:cs="Times New Roman"/>
          <w:color w:val="000000"/>
          <w:lang w:eastAsia="es-MX"/>
        </w:rPr>
        <w:t xml:space="preserve">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w:t>
      </w:r>
      <w:r w:rsidRPr="00F42673">
        <w:rPr>
          <w:rFonts w:ascii="Verdana" w:eastAsia="Times New Roman" w:hAnsi="Verdana" w:cs="Times New Roman"/>
          <w:color w:val="000000"/>
          <w:lang w:eastAsia="es-MX"/>
        </w:rPr>
        <w:lastRenderedPageBreak/>
        <w:t>disciplinarias de omitir este deber. Consúltala aquí: </w:t>
      </w:r>
      <w:hyperlink r:id="rId15"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0575A12A" w14:textId="77777777" w:rsidR="006F4AE1" w:rsidRPr="00F42673" w:rsidRDefault="006F4AE1" w:rsidP="006F4AE1">
      <w:pPr>
        <w:spacing w:after="0" w:line="276" w:lineRule="auto"/>
        <w:jc w:val="both"/>
        <w:rPr>
          <w:rFonts w:ascii="Verdana" w:eastAsia="Times New Roman" w:hAnsi="Verdana" w:cs="Times New Roman"/>
          <w:color w:val="000000"/>
          <w:lang w:eastAsia="es-MX"/>
        </w:rPr>
      </w:pPr>
    </w:p>
    <w:p w14:paraId="0CB46B67" w14:textId="77777777" w:rsidR="006F4AE1" w:rsidRPr="00797CA8" w:rsidRDefault="006F4AE1" w:rsidP="006F4AE1">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0089092A" w14:textId="77777777" w:rsidR="006F4AE1" w:rsidRDefault="006F4AE1" w:rsidP="006F4AE1">
      <w:pPr>
        <w:shd w:val="clear" w:color="auto" w:fill="FFFFFF"/>
        <w:spacing w:after="0" w:line="276" w:lineRule="auto"/>
        <w:jc w:val="both"/>
        <w:rPr>
          <w:rFonts w:ascii="Verdana" w:hAnsi="Verdana"/>
          <w:color w:val="000000"/>
          <w:u w:val="single"/>
        </w:rPr>
      </w:pPr>
    </w:p>
    <w:p w14:paraId="24315352" w14:textId="77777777" w:rsidR="006F4AE1" w:rsidRPr="00116940" w:rsidRDefault="006F4AE1" w:rsidP="006F4AE1">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13563A13" w14:textId="77777777" w:rsidR="006F4AE1" w:rsidRPr="00116940" w:rsidRDefault="006F4AE1" w:rsidP="006F4AE1">
      <w:pPr>
        <w:spacing w:after="0"/>
        <w:jc w:val="both"/>
        <w:rPr>
          <w:rFonts w:ascii="Verdana" w:hAnsi="Verdana"/>
        </w:rPr>
      </w:pPr>
    </w:p>
    <w:p w14:paraId="6DFE9C3D" w14:textId="77777777" w:rsidR="006F4AE1" w:rsidRPr="00116940" w:rsidRDefault="006F4AE1" w:rsidP="006F4AE1">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5BBCD498" w14:textId="77777777" w:rsidR="006F4AE1" w:rsidRPr="00116940" w:rsidRDefault="006F4AE1" w:rsidP="006F4AE1">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7634BA2F" w14:textId="77777777" w:rsidR="006F4AE1" w:rsidRPr="00116940" w:rsidRDefault="006F4AE1" w:rsidP="006F4AE1">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5FD79DA6" w14:textId="77777777" w:rsidR="006F4AE1" w:rsidRPr="00116940" w:rsidRDefault="006F4AE1" w:rsidP="006F4AE1">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6DC7DDD1" w14:textId="77777777" w:rsidR="006F4AE1" w:rsidRPr="00116940" w:rsidRDefault="006F4AE1" w:rsidP="006F4AE1">
      <w:pPr>
        <w:spacing w:after="0" w:line="240" w:lineRule="auto"/>
        <w:ind w:left="720"/>
        <w:jc w:val="both"/>
        <w:rPr>
          <w:rFonts w:ascii="Verdana" w:hAnsi="Verdana"/>
        </w:rPr>
      </w:pPr>
    </w:p>
    <w:p w14:paraId="27958613" w14:textId="77777777" w:rsidR="006F4AE1" w:rsidRPr="00116940" w:rsidRDefault="006F4AE1" w:rsidP="006F4AE1">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9"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2E455701" w14:textId="77777777" w:rsidR="006F4AE1" w:rsidRPr="00116940" w:rsidRDefault="006F4AE1" w:rsidP="006F4AE1">
      <w:pPr>
        <w:spacing w:after="0" w:line="240" w:lineRule="auto"/>
        <w:rPr>
          <w:rFonts w:ascii="Verdana" w:hAnsi="Verdana"/>
        </w:rPr>
      </w:pPr>
    </w:p>
    <w:p w14:paraId="35277B82" w14:textId="77777777" w:rsidR="006F4AE1" w:rsidRPr="00116940" w:rsidRDefault="006F4AE1" w:rsidP="006F4AE1">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6BA0244" w14:textId="77777777" w:rsidR="006F4AE1" w:rsidRPr="00116940" w:rsidRDefault="006F4AE1" w:rsidP="006F4AE1">
      <w:pPr>
        <w:spacing w:after="0" w:line="240" w:lineRule="auto"/>
        <w:jc w:val="both"/>
        <w:rPr>
          <w:rFonts w:ascii="Verdana" w:hAnsi="Verdana"/>
        </w:rPr>
      </w:pPr>
    </w:p>
    <w:p w14:paraId="68F5D4F3" w14:textId="77777777" w:rsidR="006F4AE1" w:rsidRPr="00116940" w:rsidRDefault="006F4AE1" w:rsidP="006F4AE1">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39F75DD9" w14:textId="77777777" w:rsidR="006F4AE1" w:rsidRPr="00116940" w:rsidRDefault="006F4AE1" w:rsidP="006F4AE1">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61D81310" w14:textId="77777777" w:rsidR="006F4AE1" w:rsidRPr="00116940" w:rsidRDefault="006F4AE1" w:rsidP="006F4AE1">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96046B9" w14:textId="77777777" w:rsidR="006F4AE1" w:rsidRPr="009C4035" w:rsidRDefault="006F4AE1" w:rsidP="006F4AE1">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lastRenderedPageBreak/>
        <w:t xml:space="preserve">        </w:t>
      </w:r>
    </w:p>
    <w:p w14:paraId="3D85EEFD" w14:textId="77777777" w:rsidR="006F4AE1" w:rsidRPr="00593A5F" w:rsidRDefault="006F4AE1" w:rsidP="006F4AE1">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562E3A33" w14:textId="77777777" w:rsidR="006F4AE1" w:rsidRPr="00593A5F" w:rsidRDefault="006F4AE1" w:rsidP="006F4AE1">
      <w:pPr>
        <w:widowControl w:val="0"/>
        <w:autoSpaceDE w:val="0"/>
        <w:autoSpaceDN w:val="0"/>
        <w:spacing w:after="0" w:line="276" w:lineRule="auto"/>
        <w:jc w:val="both"/>
        <w:rPr>
          <w:rFonts w:ascii="Verdana" w:hAnsi="Verdana" w:cs="Arial"/>
        </w:rPr>
      </w:pPr>
    </w:p>
    <w:p w14:paraId="467B8BA5" w14:textId="77777777" w:rsidR="006F4AE1" w:rsidRPr="00593A5F" w:rsidRDefault="006F4AE1" w:rsidP="006F4AE1">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0CA91FF9" w14:textId="5DBC907D" w:rsidR="006F4AE1" w:rsidRPr="00593A5F" w:rsidRDefault="00EE7CCC" w:rsidP="006F4AE1">
      <w:pPr>
        <w:spacing w:line="276" w:lineRule="auto"/>
        <w:jc w:val="center"/>
        <w:rPr>
          <w:rFonts w:ascii="Verdana" w:hAnsi="Verdana" w:cs="Arial"/>
          <w:color w:val="000000"/>
          <w:lang w:val="es-ES_tradnl" w:eastAsia="es-CO"/>
        </w:rPr>
      </w:pPr>
      <w:r>
        <w:rPr>
          <w:noProof/>
        </w:rPr>
        <w:drawing>
          <wp:inline distT="0" distB="0" distL="0" distR="0" wp14:anchorId="25FFF61C" wp14:editId="67915CD2">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0"/>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F4AE1" w:rsidRPr="00593A5F" w14:paraId="087F2CED" w14:textId="77777777" w:rsidTr="00226968">
        <w:trPr>
          <w:trHeight w:val="315"/>
        </w:trPr>
        <w:tc>
          <w:tcPr>
            <w:tcW w:w="893" w:type="dxa"/>
            <w:vAlign w:val="center"/>
            <w:hideMark/>
          </w:tcPr>
          <w:p w14:paraId="4F3C3D91" w14:textId="77777777" w:rsidR="006F4AE1" w:rsidRPr="003751C7" w:rsidRDefault="006F4AE1" w:rsidP="00226968">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512C0A9" w14:textId="77777777" w:rsidR="006F4AE1" w:rsidRPr="00254A7A" w:rsidRDefault="006F4AE1" w:rsidP="00226968">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4B75FD31" w14:textId="77777777" w:rsidR="006F4AE1" w:rsidRPr="00254A7A" w:rsidRDefault="006F4AE1" w:rsidP="00226968">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6F4AE1" w:rsidRPr="00593A5F" w14:paraId="0B9E50A0" w14:textId="77777777" w:rsidTr="00226968">
        <w:trPr>
          <w:trHeight w:val="330"/>
        </w:trPr>
        <w:tc>
          <w:tcPr>
            <w:tcW w:w="893" w:type="dxa"/>
            <w:vAlign w:val="center"/>
            <w:hideMark/>
          </w:tcPr>
          <w:p w14:paraId="11EB37B3" w14:textId="77777777" w:rsidR="006F4AE1" w:rsidRPr="003751C7" w:rsidRDefault="006F4AE1" w:rsidP="00226968">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7C478F7" w14:textId="77777777" w:rsidR="006F4AE1" w:rsidRPr="000377DD" w:rsidRDefault="006F4AE1" w:rsidP="00226968">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17615248" w14:textId="77777777" w:rsidR="006F4AE1" w:rsidRPr="00A40FD0" w:rsidRDefault="006F4AE1" w:rsidP="00226968">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6F4AE1" w:rsidRPr="00593A5F" w14:paraId="5C03EC3C" w14:textId="77777777" w:rsidTr="00226968">
        <w:trPr>
          <w:trHeight w:val="300"/>
        </w:trPr>
        <w:tc>
          <w:tcPr>
            <w:tcW w:w="893" w:type="dxa"/>
            <w:vAlign w:val="center"/>
          </w:tcPr>
          <w:p w14:paraId="5387D401" w14:textId="77777777" w:rsidR="006F4AE1" w:rsidRPr="003751C7" w:rsidRDefault="006F4AE1" w:rsidP="00226968">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CDD07F4" w14:textId="77777777" w:rsidR="006F4AE1" w:rsidRPr="00FE00BE" w:rsidRDefault="006F4AE1" w:rsidP="00226968">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6686CA18" w14:textId="77777777" w:rsidR="006F4AE1" w:rsidRPr="00FE00BE" w:rsidRDefault="006F4AE1" w:rsidP="00226968">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1D8A9AC2" w14:textId="77777777" w:rsidR="006F4AE1" w:rsidRDefault="006F4AE1" w:rsidP="006F4AE1"/>
    <w:p w14:paraId="695FB999" w14:textId="5F4C0757" w:rsidR="006F4AE1" w:rsidRPr="00543BFE" w:rsidRDefault="006F4AE1" w:rsidP="006F4AE1"/>
    <w:p w14:paraId="0F293BF4" w14:textId="7694A8A8" w:rsidR="00127233" w:rsidRPr="00964B20" w:rsidRDefault="00127233" w:rsidP="00964B20"/>
    <w:sectPr w:rsidR="00127233" w:rsidRPr="00964B20"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DD5B6" w14:textId="77777777" w:rsidR="00955A18" w:rsidRDefault="00955A18" w:rsidP="004A1847">
      <w:pPr>
        <w:spacing w:after="0" w:line="240" w:lineRule="auto"/>
      </w:pPr>
      <w:r>
        <w:separator/>
      </w:r>
    </w:p>
  </w:endnote>
  <w:endnote w:type="continuationSeparator" w:id="0">
    <w:p w14:paraId="3F353979" w14:textId="77777777" w:rsidR="00955A18" w:rsidRDefault="00955A1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C39E9" w14:textId="77777777" w:rsidR="00955A18" w:rsidRDefault="00955A18" w:rsidP="004A1847">
      <w:pPr>
        <w:spacing w:after="0" w:line="240" w:lineRule="auto"/>
      </w:pPr>
      <w:r>
        <w:separator/>
      </w:r>
    </w:p>
  </w:footnote>
  <w:footnote w:type="continuationSeparator" w:id="0">
    <w:p w14:paraId="7AA21C61" w14:textId="77777777" w:rsidR="00955A18" w:rsidRDefault="00955A18" w:rsidP="004A1847">
      <w:pPr>
        <w:spacing w:after="0" w:line="240" w:lineRule="auto"/>
      </w:pPr>
      <w:r>
        <w:continuationSeparator/>
      </w:r>
    </w:p>
  </w:footnote>
  <w:footnote w:id="1">
    <w:p w14:paraId="6AB231D6" w14:textId="77777777" w:rsidR="006F4AE1" w:rsidRPr="00836EE8" w:rsidRDefault="006F4AE1" w:rsidP="006F4AE1">
      <w:pPr>
        <w:pStyle w:val="Textonotapie"/>
        <w:ind w:firstLine="709"/>
        <w:jc w:val="both"/>
        <w:rPr>
          <w:rFonts w:ascii="Verdana" w:hAnsi="Verdana" w:cs="Arial"/>
          <w:sz w:val="16"/>
          <w:szCs w:val="16"/>
        </w:rPr>
      </w:pPr>
      <w:r w:rsidRPr="00836EE8">
        <w:rPr>
          <w:rStyle w:val="Refdenotaalpie"/>
          <w:rFonts w:ascii="Verdana" w:hAnsi="Verdana" w:cs="Arial"/>
          <w:sz w:val="16"/>
          <w:szCs w:val="16"/>
        </w:rPr>
        <w:footnoteRef/>
      </w:r>
      <w:r w:rsidRPr="00836EE8">
        <w:rPr>
          <w:rFonts w:ascii="Verdana" w:hAnsi="Verdana" w:cs="Arial"/>
          <w:sz w:val="16"/>
          <w:szCs w:val="16"/>
        </w:rPr>
        <w:t xml:space="preserve"> Procuraduría General de la Nación. Concepto del 15 de octubre de 2014. Procuraduría Delegada para Asuntos Disciplinarios. Radicado PAD C-114-2014.</w:t>
      </w:r>
    </w:p>
  </w:footnote>
  <w:footnote w:id="2">
    <w:p w14:paraId="512EC279" w14:textId="77777777" w:rsidR="006F4AE1" w:rsidRPr="00836EE8" w:rsidRDefault="006F4AE1" w:rsidP="006F4AE1">
      <w:pPr>
        <w:pStyle w:val="Textonotapie"/>
        <w:ind w:firstLine="708"/>
        <w:jc w:val="both"/>
        <w:rPr>
          <w:rFonts w:ascii="Verdana" w:hAnsi="Verdana" w:cs="Arial"/>
          <w:sz w:val="16"/>
          <w:szCs w:val="16"/>
        </w:rPr>
      </w:pPr>
      <w:r w:rsidRPr="00836EE8">
        <w:rPr>
          <w:rStyle w:val="Refdenotaalpie"/>
          <w:rFonts w:ascii="Verdana" w:hAnsi="Verdana" w:cs="Arial"/>
          <w:sz w:val="16"/>
          <w:szCs w:val="16"/>
        </w:rPr>
        <w:footnoteRef/>
      </w:r>
      <w:r w:rsidRPr="00836EE8">
        <w:rPr>
          <w:rFonts w:ascii="Verdana" w:hAnsi="Verdana" w:cs="Arial"/>
          <w:sz w:val="16"/>
          <w:szCs w:val="16"/>
        </w:rPr>
        <w:t xml:space="preserve"> Contraloría General de la República. Oficina Jurídica. Concepto 80112-OJ-008 2017.</w:t>
      </w:r>
    </w:p>
  </w:footnote>
  <w:footnote w:id="3">
    <w:p w14:paraId="09E76CBC" w14:textId="77777777" w:rsidR="006F4AE1" w:rsidRPr="00836EE8" w:rsidRDefault="006F4AE1" w:rsidP="006F4AE1">
      <w:pPr>
        <w:pStyle w:val="Textonotapie"/>
        <w:ind w:firstLine="708"/>
        <w:jc w:val="both"/>
        <w:rPr>
          <w:rFonts w:ascii="Verdana" w:hAnsi="Verdana" w:cs="Arial"/>
          <w:sz w:val="16"/>
          <w:szCs w:val="16"/>
        </w:rPr>
      </w:pPr>
      <w:r w:rsidRPr="00836EE8">
        <w:rPr>
          <w:rStyle w:val="Refdenotaalpie"/>
          <w:rFonts w:ascii="Verdana" w:hAnsi="Verdana" w:cs="Arial"/>
          <w:sz w:val="16"/>
          <w:szCs w:val="16"/>
        </w:rPr>
        <w:footnoteRef/>
      </w:r>
      <w:r w:rsidRPr="00836EE8">
        <w:rPr>
          <w:rFonts w:ascii="Verdana" w:hAnsi="Verdana" w:cs="Arial"/>
          <w:sz w:val="16"/>
          <w:szCs w:val="16"/>
        </w:rPr>
        <w:t xml:space="preserve"> ARBOLEDA PERDONO, Enrique José. Comentarios al Nuevo Código de Procedimiento Administrativo y de lo Contencioso Administrativo (2ª ed.). Editorial Legis. Bogotá. 2012. p. 59.</w:t>
      </w:r>
    </w:p>
  </w:footnote>
  <w:footnote w:id="4">
    <w:p w14:paraId="0E43146F" w14:textId="77777777" w:rsidR="006F4AE1" w:rsidRPr="00836EE8" w:rsidRDefault="006F4AE1" w:rsidP="006F4AE1">
      <w:pPr>
        <w:pStyle w:val="Textonotapie"/>
        <w:ind w:firstLine="709"/>
        <w:jc w:val="both"/>
        <w:rPr>
          <w:rFonts w:ascii="Verdana" w:hAnsi="Verdana" w:cs="Arial"/>
          <w:sz w:val="16"/>
          <w:szCs w:val="16"/>
        </w:rPr>
      </w:pPr>
      <w:r w:rsidRPr="00836EE8">
        <w:rPr>
          <w:rStyle w:val="Refdenotaalpie"/>
          <w:rFonts w:ascii="Verdana" w:hAnsi="Verdana" w:cs="Arial"/>
          <w:sz w:val="16"/>
          <w:szCs w:val="16"/>
        </w:rPr>
        <w:footnoteRef/>
      </w:r>
      <w:r w:rsidRPr="00836EE8">
        <w:rPr>
          <w:rFonts w:ascii="Verdana" w:hAnsi="Verdana" w:cs="Arial"/>
          <w:sz w:val="16"/>
          <w:szCs w:val="16"/>
        </w:rPr>
        <w:t xml:space="preserve"> Cfr. HERNÁNDEZ BECERRA, Augusto. Función Consultiva y Consejo de Estado en Colombia. Ponencia presentada en las III Jornadas Internacionales de la Función Consultiva, organizadas por el Instituto de Investigaciones Jurídicas y el programa de Postgrado en Derecho de la Universidad Nacional Autónoma de México – UNAM. México. 2012. Pág. 9. Texto disponible para ser consultado en el siguiente hipervínculo: </w:t>
      </w:r>
      <w:hyperlink r:id="rId1" w:history="1">
        <w:r w:rsidRPr="00836EE8">
          <w:rPr>
            <w:rStyle w:val="Hipervnculo"/>
            <w:rFonts w:ascii="Verdana" w:hAnsi="Verdana" w:cs="Arial"/>
            <w:sz w:val="16"/>
            <w:szCs w:val="16"/>
          </w:rPr>
          <w:t>https://issuu.com/estudiolegalhernandez/docs/ahb._funci__n_consultiva_y_consejo_</w:t>
        </w:r>
      </w:hyperlink>
      <w:r w:rsidRPr="00836EE8">
        <w:rPr>
          <w:rFonts w:ascii="Verdana" w:hAnsi="Verdana" w:cs="Arial"/>
          <w:sz w:val="16"/>
          <w:szCs w:val="16"/>
        </w:rPr>
        <w:t>.</w:t>
      </w:r>
    </w:p>
  </w:footnote>
  <w:footnote w:id="5">
    <w:p w14:paraId="3E739947" w14:textId="77777777" w:rsidR="006F4AE1" w:rsidRPr="00836EE8" w:rsidRDefault="006F4AE1" w:rsidP="006F4AE1">
      <w:pPr>
        <w:pStyle w:val="Textonotapie"/>
        <w:ind w:firstLine="708"/>
        <w:jc w:val="both"/>
        <w:rPr>
          <w:rFonts w:ascii="Verdana" w:hAnsi="Verdana" w:cs="Arial"/>
          <w:sz w:val="16"/>
          <w:szCs w:val="16"/>
        </w:rPr>
      </w:pPr>
      <w:r w:rsidRPr="00836EE8">
        <w:rPr>
          <w:rStyle w:val="Refdenotaalpie"/>
          <w:rFonts w:ascii="Verdana" w:hAnsi="Verdana" w:cs="Arial"/>
          <w:sz w:val="16"/>
          <w:szCs w:val="16"/>
        </w:rPr>
        <w:footnoteRef/>
      </w:r>
      <w:r w:rsidRPr="00836EE8">
        <w:rPr>
          <w:rFonts w:ascii="Verdana" w:hAnsi="Verdana" w:cs="Arial"/>
          <w:sz w:val="16"/>
          <w:szCs w:val="16"/>
        </w:rPr>
        <w:t xml:space="preserve"> Consejo de Estado. Sala de Consulta y Servicio Civil. Concepto del 5 de octubre de 2009. Expediente 11001-03-06-000-2009-00049-00(1966). C.P. William Zambrano Cetina.</w:t>
      </w:r>
    </w:p>
  </w:footnote>
  <w:footnote w:id="6">
    <w:p w14:paraId="73CC000C" w14:textId="77777777" w:rsidR="006F4AE1" w:rsidRPr="00836EE8" w:rsidRDefault="006F4AE1" w:rsidP="006F4AE1">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836EE8">
        <w:rPr>
          <w:rFonts w:ascii="Verdana" w:hAnsi="Verdana"/>
          <w:sz w:val="16"/>
          <w:szCs w:val="16"/>
          <w:vertAlign w:val="superscript"/>
        </w:rPr>
        <w:footnoteRef/>
      </w:r>
      <w:r w:rsidRPr="00836EE8">
        <w:rPr>
          <w:rFonts w:ascii="Verdana" w:eastAsia="Arial" w:hAnsi="Verdana" w:cs="Arial"/>
          <w:color w:val="000000"/>
          <w:sz w:val="16"/>
          <w:szCs w:val="16"/>
        </w:rPr>
        <w:t xml:space="preserve"> Gaceta del Congreso. Cámara de Representantes. Año X – No. 642, 11 de diciembre de 2001. Disponible en: GACETAS DEL CONGRESO (imprenta.gov.co)</w:t>
      </w:r>
    </w:p>
  </w:footnote>
  <w:footnote w:id="7">
    <w:p w14:paraId="742AC298" w14:textId="77777777" w:rsidR="006F4AE1" w:rsidRPr="00836EE8" w:rsidRDefault="006F4AE1" w:rsidP="006F4AE1">
      <w:pPr>
        <w:pBdr>
          <w:top w:val="nil"/>
          <w:left w:val="nil"/>
          <w:bottom w:val="nil"/>
          <w:right w:val="nil"/>
          <w:between w:val="nil"/>
        </w:pBdr>
        <w:shd w:val="clear" w:color="auto" w:fill="FFFFFF"/>
        <w:spacing w:after="0" w:line="240" w:lineRule="auto"/>
        <w:ind w:firstLine="708"/>
        <w:jc w:val="both"/>
        <w:rPr>
          <w:rFonts w:ascii="Verdana" w:eastAsia="Arial" w:hAnsi="Verdana" w:cs="Arial"/>
          <w:color w:val="000000"/>
          <w:sz w:val="16"/>
          <w:szCs w:val="16"/>
        </w:rPr>
      </w:pPr>
      <w:r w:rsidRPr="00836EE8">
        <w:rPr>
          <w:rFonts w:ascii="Verdana" w:hAnsi="Verdana"/>
          <w:sz w:val="16"/>
          <w:szCs w:val="16"/>
          <w:vertAlign w:val="superscript"/>
        </w:rPr>
        <w:footnoteRef/>
      </w:r>
      <w:r w:rsidRPr="00836EE8">
        <w:rPr>
          <w:rFonts w:ascii="Verdana" w:eastAsia="Arial" w:hAnsi="Verdana" w:cs="Arial"/>
          <w:color w:val="000000"/>
          <w:sz w:val="16"/>
          <w:szCs w:val="16"/>
        </w:rPr>
        <w:t xml:space="preserve"> Decreto 1082 de 2015: “Artículo </w:t>
      </w:r>
      <w:bookmarkStart w:id="3" w:name="bookmark=id.4d34og8" w:colFirst="0" w:colLast="0"/>
      <w:bookmarkEnd w:id="3"/>
      <w:r w:rsidRPr="00836EE8">
        <w:rPr>
          <w:rFonts w:ascii="Verdana" w:eastAsia="Arial" w:hAnsi="Verdana" w:cs="Arial"/>
          <w:color w:val="000000"/>
          <w:sz w:val="16"/>
          <w:szCs w:val="16"/>
        </w:rPr>
        <w:t>2.2.1.2.4.1.3.</w:t>
      </w:r>
      <w:r w:rsidRPr="00836EE8">
        <w:rPr>
          <w:rFonts w:ascii="Verdana" w:eastAsia="Arial" w:hAnsi="Verdana" w:cs="Arial"/>
          <w:i/>
          <w:color w:val="000000"/>
          <w:sz w:val="16"/>
          <w:szCs w:val="16"/>
        </w:rPr>
        <w:t> </w:t>
      </w:r>
      <w:r w:rsidRPr="00836EE8">
        <w:rPr>
          <w:rFonts w:ascii="Verdana" w:eastAsia="Arial" w:hAnsi="Verdana" w:cs="Arial"/>
          <w:color w:val="000000"/>
          <w:sz w:val="16"/>
          <w:szCs w:val="16"/>
        </w:rPr>
        <w:t> La Entidad Estatal debe conceder trato nacional a: (a) los oferentes, bienes y servicios provenientes de Estados con los cuales Colombia tenga Acuerdos Comerciales, en los términos establecidos en tales Acuerdos Comerciales; (b) a los bienes y servicios provenientes de Estados con los cuales no exista un Acuerdo Comercial pero respecto de los cuales el Gobierno Nacional haya certificado que los oferentes de Bienes y Servicios Nacionales gozan de trato nacional, con base en la revisión y comparación de la normativa en materia de compras y contratación pública de dicho Estado; y (e) a los servicios prestados por oferentes miembros de la Comunidad Andina de Naciones teniendo en cuenta la regulación andina aplicable a la materia.</w:t>
      </w:r>
    </w:p>
    <w:p w14:paraId="27783330" w14:textId="77777777" w:rsidR="006F4AE1" w:rsidRPr="00836EE8" w:rsidRDefault="006F4AE1" w:rsidP="006F4AE1">
      <w:pPr>
        <w:shd w:val="clear" w:color="auto" w:fill="FFFFFF"/>
        <w:spacing w:after="0" w:line="240" w:lineRule="auto"/>
        <w:ind w:firstLine="708"/>
        <w:jc w:val="both"/>
        <w:rPr>
          <w:rFonts w:ascii="Verdana" w:eastAsia="Arial" w:hAnsi="Verdana" w:cs="Arial"/>
          <w:sz w:val="16"/>
          <w:szCs w:val="16"/>
        </w:rPr>
      </w:pPr>
      <w:r w:rsidRPr="00836EE8">
        <w:rPr>
          <w:rFonts w:ascii="Verdana" w:eastAsia="Arial" w:hAnsi="Verdana" w:cs="Arial"/>
          <w:sz w:val="16"/>
          <w:szCs w:val="16"/>
        </w:rPr>
        <w:t>“El Ministerio de Relaciones Exteriores debe expedir el certificado por medio del cual se acredite la situación mencionada en el literal (b) anterior en relación con un Estado en particular, lo cual no es requerido para acreditar las situaciones a las que se refieren los literales (a) y (c) anteriores. Para constatar que los oferentes de Bienes y Servicios Nacionales gozan de trato nacional en un Estado, el Ministerio de Relaciones Exteriores debe revisar y comparar la normativa en materia de compras y contratación pública del respectivo Estado para lo cual puede solicitar el apoyo técnico del Ministerio de Comercio, Industria y Turismo y de Colombia Compra Eficiente, dentro de sus competencias legales.</w:t>
      </w:r>
    </w:p>
    <w:p w14:paraId="4950768E" w14:textId="77777777" w:rsidR="006F4AE1" w:rsidRPr="00836EE8" w:rsidRDefault="006F4AE1" w:rsidP="006F4AE1">
      <w:pPr>
        <w:shd w:val="clear" w:color="auto" w:fill="FFFFFF"/>
        <w:spacing w:after="0" w:line="240" w:lineRule="auto"/>
        <w:ind w:firstLine="708"/>
        <w:jc w:val="both"/>
        <w:rPr>
          <w:rFonts w:ascii="Verdana" w:hAnsi="Verdana"/>
          <w:sz w:val="16"/>
          <w:szCs w:val="16"/>
        </w:rPr>
      </w:pPr>
      <w:r w:rsidRPr="00836EE8">
        <w:rPr>
          <w:rFonts w:ascii="Verdana" w:eastAsia="Arial" w:hAnsi="Verdana" w:cs="Arial"/>
          <w:sz w:val="16"/>
          <w:szCs w:val="16"/>
        </w:rPr>
        <w:t>“Los certificados para acreditar la condición a la que se refiere el literal (b) anterior deben ser publicados en la forma y oportunidad que para el efecto disponga Colombia Compra Eficiente. La vigencia de los certificados será de dos años contados a partir de la fecha de su expedición, sin perjuicio de que el Ministerio de Comercio, Industria y Turismo o Colombia Compra Eficiente soliciten al Ministerio de Relaciones Exteriores su revisión con ocasión de la expedición de nueva normativa en el Estado sobre el cual se expide el certificado. Colombia Compra Eficiente puede determinar vía circular la forma como el Ministerio de Relaciones Exteriores debe constatar que los oferentes de Bienes y Servicios Nacionales gozan de trato nacional y de revisar y comparar la normativa en materia de compras y contratación pública para la expedición del certificado”.</w:t>
      </w:r>
    </w:p>
  </w:footnote>
  <w:footnote w:id="8">
    <w:p w14:paraId="2EE0EF51" w14:textId="77777777" w:rsidR="006F4AE1" w:rsidRPr="00836EE8" w:rsidRDefault="006F4AE1" w:rsidP="006F4AE1">
      <w:pPr>
        <w:pStyle w:val="Textonotapie"/>
        <w:ind w:firstLine="708"/>
        <w:jc w:val="both"/>
        <w:rPr>
          <w:rFonts w:ascii="Verdana" w:hAnsi="Verdana"/>
          <w:sz w:val="16"/>
          <w:szCs w:val="16"/>
          <w:lang w:val="en-US"/>
        </w:rPr>
      </w:pPr>
      <w:r w:rsidRPr="00836EE8">
        <w:rPr>
          <w:rStyle w:val="Refdenotaalpie"/>
          <w:rFonts w:ascii="Verdana" w:hAnsi="Verdana"/>
          <w:sz w:val="16"/>
          <w:szCs w:val="16"/>
        </w:rPr>
        <w:footnoteRef/>
      </w:r>
      <w:r w:rsidRPr="00836EE8">
        <w:rPr>
          <w:rFonts w:ascii="Verdana" w:hAnsi="Verdana"/>
          <w:sz w:val="16"/>
          <w:szCs w:val="16"/>
        </w:rPr>
        <w:t xml:space="preserve"> En efecto, figuras como los consorcios o la uniones temporales “[…] tiene[n] su justificación en los principios de la especialidad y la división del trabajo, mediante los cuales se orientan unívocamente los esfuerzos de dos o más empresas que aportan su solvencia profesional, técnica y económica para alcanzar una mayor eficiencia en el desarrollo de un proyecto o actividad económica de interés común para todas […]” (</w:t>
      </w:r>
      <w:r w:rsidRPr="00836EE8">
        <w:rPr>
          <w:rFonts w:ascii="Verdana" w:hAnsi="Verdana" w:cs="Arial"/>
          <w:color w:val="000000" w:themeColor="text1"/>
          <w:sz w:val="16"/>
          <w:szCs w:val="16"/>
        </w:rPr>
        <w:t xml:space="preserve">ESCOBAR GIL, Rodrigo. Teoría general de los contratos de la Administración pública. Bogotá: Legis, 2000. </w:t>
      </w:r>
      <w:r w:rsidRPr="00836EE8">
        <w:rPr>
          <w:rFonts w:ascii="Verdana" w:hAnsi="Verdana"/>
          <w:sz w:val="16"/>
          <w:szCs w:val="16"/>
        </w:rPr>
        <w:t>p. 130. Corchete fuera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90B59"/>
    <w:rsid w:val="001A33BF"/>
    <w:rsid w:val="001C5D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02F2"/>
    <w:rsid w:val="00322A85"/>
    <w:rsid w:val="00324168"/>
    <w:rsid w:val="00330834"/>
    <w:rsid w:val="00340F28"/>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693784"/>
    <w:rsid w:val="006F33A3"/>
    <w:rsid w:val="006F4AE1"/>
    <w:rsid w:val="00706C16"/>
    <w:rsid w:val="007340C3"/>
    <w:rsid w:val="0075235A"/>
    <w:rsid w:val="00756841"/>
    <w:rsid w:val="007649AB"/>
    <w:rsid w:val="00771D0C"/>
    <w:rsid w:val="00772409"/>
    <w:rsid w:val="007833AC"/>
    <w:rsid w:val="007B268C"/>
    <w:rsid w:val="007B7171"/>
    <w:rsid w:val="007C0C0F"/>
    <w:rsid w:val="007C3DC2"/>
    <w:rsid w:val="007E5497"/>
    <w:rsid w:val="00806F5F"/>
    <w:rsid w:val="00820278"/>
    <w:rsid w:val="008258C9"/>
    <w:rsid w:val="00844AE9"/>
    <w:rsid w:val="00867F95"/>
    <w:rsid w:val="008843B6"/>
    <w:rsid w:val="00891928"/>
    <w:rsid w:val="008A41DB"/>
    <w:rsid w:val="008A446D"/>
    <w:rsid w:val="008B25F1"/>
    <w:rsid w:val="008D180B"/>
    <w:rsid w:val="008F0EA7"/>
    <w:rsid w:val="00923EEF"/>
    <w:rsid w:val="009419F9"/>
    <w:rsid w:val="00955A18"/>
    <w:rsid w:val="0095685E"/>
    <w:rsid w:val="00961B09"/>
    <w:rsid w:val="00964B20"/>
    <w:rsid w:val="00965334"/>
    <w:rsid w:val="0097093E"/>
    <w:rsid w:val="00985A79"/>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1060F"/>
    <w:rsid w:val="00B13383"/>
    <w:rsid w:val="00B44A47"/>
    <w:rsid w:val="00B72CD3"/>
    <w:rsid w:val="00B72FFF"/>
    <w:rsid w:val="00B94413"/>
    <w:rsid w:val="00BC3D36"/>
    <w:rsid w:val="00BD54A6"/>
    <w:rsid w:val="00BD7F72"/>
    <w:rsid w:val="00BF7425"/>
    <w:rsid w:val="00C04FB3"/>
    <w:rsid w:val="00C11D8B"/>
    <w:rsid w:val="00C15139"/>
    <w:rsid w:val="00C330EB"/>
    <w:rsid w:val="00C50D69"/>
    <w:rsid w:val="00C5365C"/>
    <w:rsid w:val="00C754BE"/>
    <w:rsid w:val="00C76B1C"/>
    <w:rsid w:val="00C90E4D"/>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66CB7"/>
    <w:rsid w:val="00E75C92"/>
    <w:rsid w:val="00E771DC"/>
    <w:rsid w:val="00E8772A"/>
    <w:rsid w:val="00E90F6B"/>
    <w:rsid w:val="00E92C27"/>
    <w:rsid w:val="00EA0E3D"/>
    <w:rsid w:val="00EC3744"/>
    <w:rsid w:val="00EC38A7"/>
    <w:rsid w:val="00EE1AA8"/>
    <w:rsid w:val="00EE7CCC"/>
    <w:rsid w:val="00F23FEA"/>
    <w:rsid w:val="00F31EDC"/>
    <w:rsid w:val="00F462B3"/>
    <w:rsid w:val="00F5664F"/>
    <w:rsid w:val="00F666C4"/>
    <w:rsid w:val="00F76AFC"/>
    <w:rsid w:val="00F90315"/>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6F4AE1"/>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6F4AE1"/>
    <w:rPr>
      <w:rFonts w:ascii="Geomanist Light" w:hAnsi="Geomanist Light"/>
      <w:lang w:val="es-ES"/>
    </w:rPr>
  </w:style>
  <w:style w:type="character" w:customStyle="1" w:styleId="s15">
    <w:name w:val="s15"/>
    <w:basedOn w:val="Fuentedeprrafopredeter"/>
    <w:rsid w:val="006F4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yectos@construcciones-ares.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799B76A6-458D-4D9A-B3BA-9EA86F701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14</TotalTime>
  <Pages>24</Pages>
  <Words>8728</Words>
  <Characters>48008</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8</cp:revision>
  <cp:lastPrinted>2023-01-10T21:18:00Z</cp:lastPrinted>
  <dcterms:created xsi:type="dcterms:W3CDTF">2026-08-06T15:34:00Z</dcterms:created>
  <dcterms:modified xsi:type="dcterms:W3CDTF">2026-08-18T15:07:00Z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