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0A76F" w14:textId="77777777" w:rsidR="009F705B" w:rsidRDefault="009F705B" w:rsidP="009F705B">
      <w:pPr>
        <w:jc w:val="both"/>
        <w:rPr>
          <w:rFonts w:ascii="Verdana" w:hAnsi="Verdana" w:cs="Arial"/>
          <w:b/>
          <w:lang w:val="es-ES" w:eastAsia="es-ES" w:bidi="es-ES"/>
        </w:rPr>
      </w:pPr>
      <w:bookmarkStart w:id="0" w:name="_Hlk143780582"/>
      <w:r w:rsidRPr="009F705B">
        <w:rPr>
          <w:rFonts w:ascii="Verdana" w:hAnsi="Verdana" w:cs="Arial"/>
          <w:b/>
          <w:lang w:val="es-ES" w:eastAsia="es-ES" w:bidi="es-ES"/>
        </w:rPr>
        <w:t xml:space="preserve">REQUISITOS HABILITANTES – Definición </w:t>
      </w:r>
    </w:p>
    <w:p w14:paraId="4F55F9B1" w14:textId="77777777" w:rsidR="009F705B" w:rsidRPr="009F705B" w:rsidRDefault="009F705B" w:rsidP="00E0491E">
      <w:pPr>
        <w:spacing w:after="0" w:line="240" w:lineRule="auto"/>
        <w:jc w:val="both"/>
        <w:rPr>
          <w:rFonts w:ascii="Verdana" w:eastAsia="Calibri" w:hAnsi="Verdana" w:cs="Arial"/>
          <w:color w:val="000000"/>
          <w:sz w:val="20"/>
          <w:szCs w:val="20"/>
          <w:lang w:val="es-ES_tradnl"/>
        </w:rPr>
      </w:pPr>
      <w:r w:rsidRPr="009F705B">
        <w:rPr>
          <w:rFonts w:ascii="Verdana" w:eastAsia="Calibri" w:hAnsi="Verdana" w:cs="Arial"/>
          <w:color w:val="000000"/>
          <w:sz w:val="20"/>
          <w:szCs w:val="20"/>
          <w:lang w:val="es-ES_tradnl"/>
        </w:rPr>
        <w:t xml:space="preserve">Los </w:t>
      </w:r>
      <w:r w:rsidRPr="009F705B">
        <w:rPr>
          <w:rFonts w:ascii="Verdana" w:eastAsia="Calibri" w:hAnsi="Verdana" w:cs="Arial"/>
          <w:i/>
          <w:iCs/>
          <w:color w:val="000000"/>
          <w:sz w:val="20"/>
          <w:szCs w:val="20"/>
          <w:lang w:val="es-ES_tradnl"/>
        </w:rPr>
        <w:t>requisitos habilitantes</w:t>
      </w:r>
      <w:r w:rsidRPr="009F705B">
        <w:rPr>
          <w:rFonts w:ascii="Verdana" w:eastAsia="Calibri" w:hAnsi="Verdana" w:cs="Arial"/>
          <w:color w:val="000000"/>
          <w:sz w:val="20"/>
          <w:szCs w:val="20"/>
          <w:lang w:val="es-ES_tradnl"/>
        </w:rPr>
        <w:t xml:space="preserve"> se definen como exigencias de participación en los procedimientos de selección, establecidas en disposiciones normativas, de carácter legal o reglamentario, o contenidas en el acto administrativo que regula las reglas de la convocatoria, es decir, en el pliego de condiciones o el documento equivalente a este. Se diferencian de los </w:t>
      </w:r>
      <w:r w:rsidRPr="009F705B">
        <w:rPr>
          <w:rFonts w:ascii="Verdana" w:eastAsia="Calibri" w:hAnsi="Verdana" w:cs="Arial"/>
          <w:i/>
          <w:iCs/>
          <w:color w:val="000000"/>
          <w:sz w:val="20"/>
          <w:szCs w:val="20"/>
          <w:lang w:val="es-ES_tradnl"/>
        </w:rPr>
        <w:t>criterios de evaluación</w:t>
      </w:r>
      <w:r w:rsidRPr="009F705B">
        <w:rPr>
          <w:rFonts w:ascii="Verdana" w:eastAsia="Calibri" w:hAnsi="Verdana" w:cs="Arial"/>
          <w:color w:val="000000"/>
          <w:sz w:val="20"/>
          <w:szCs w:val="20"/>
          <w:lang w:val="es-ES_tradnl"/>
        </w:rPr>
        <w:t xml:space="preserve"> –también conocidos como </w:t>
      </w:r>
      <w:r w:rsidRPr="009F705B">
        <w:rPr>
          <w:rFonts w:ascii="Verdana" w:eastAsia="Calibri" w:hAnsi="Verdana" w:cs="Arial"/>
          <w:i/>
          <w:iCs/>
          <w:color w:val="000000"/>
          <w:sz w:val="20"/>
          <w:szCs w:val="20"/>
          <w:lang w:val="es-ES_tradnl"/>
        </w:rPr>
        <w:t>criterios de calificación</w:t>
      </w:r>
      <w:r w:rsidRPr="009F705B">
        <w:rPr>
          <w:rFonts w:ascii="Verdana" w:eastAsia="Calibri" w:hAnsi="Verdana" w:cs="Arial"/>
          <w:color w:val="000000"/>
          <w:sz w:val="20"/>
          <w:szCs w:val="20"/>
          <w:lang w:val="es-ES_tradnl"/>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69A33045" w14:textId="77777777" w:rsidR="009F705B" w:rsidRDefault="009F705B" w:rsidP="00E0491E">
      <w:pPr>
        <w:spacing w:after="0" w:line="240" w:lineRule="auto"/>
        <w:jc w:val="both"/>
        <w:rPr>
          <w:rFonts w:ascii="Verdana" w:eastAsia="Calibri" w:hAnsi="Verdana" w:cs="Arial"/>
          <w:color w:val="000000" w:themeColor="text1"/>
          <w:sz w:val="20"/>
          <w:szCs w:val="20"/>
          <w:lang w:val="es-ES"/>
        </w:rPr>
      </w:pPr>
    </w:p>
    <w:p w14:paraId="0EB92B83" w14:textId="706EE70F" w:rsidR="009F705B" w:rsidRPr="009F705B" w:rsidRDefault="009F705B" w:rsidP="00E0491E">
      <w:pPr>
        <w:spacing w:after="0" w:line="240" w:lineRule="auto"/>
        <w:jc w:val="both"/>
        <w:rPr>
          <w:rFonts w:ascii="Verdana" w:eastAsia="Calibri" w:hAnsi="Verdana" w:cs="Arial"/>
          <w:color w:val="000000"/>
          <w:sz w:val="20"/>
          <w:szCs w:val="20"/>
          <w:lang w:val="es-ES_tradnl"/>
        </w:rPr>
      </w:pPr>
      <w:r w:rsidRPr="009F705B">
        <w:rPr>
          <w:rFonts w:ascii="Verdana" w:eastAsia="Calibri" w:hAnsi="Verdana" w:cs="Arial"/>
          <w:color w:val="000000" w:themeColor="text1"/>
          <w:sz w:val="20"/>
          <w:szCs w:val="20"/>
          <w:lang w:val="es-ES"/>
        </w:rPr>
        <w:t>A partir de lo dicho se deduce entonces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 de manera que quienes no los reúnan no pueden continuar en el procedimiento de selección, o sea, incurren en causal de rechazo. Esto sin perjuicio del derecho que tienen los oferentes de subsanar los defectos que se presenten en la prueba de tales requisitos, de conformidad con el artículo 5, parágrafos 1º al 4º, de la Ley 1150 de 2007.</w:t>
      </w:r>
    </w:p>
    <w:p w14:paraId="357E6CA6" w14:textId="77777777" w:rsidR="009F705B" w:rsidRDefault="009F705B" w:rsidP="00E0491E">
      <w:pPr>
        <w:spacing w:after="0" w:line="240" w:lineRule="auto"/>
        <w:jc w:val="both"/>
        <w:rPr>
          <w:rFonts w:ascii="Verdana" w:hAnsi="Verdana" w:cs="Arial"/>
          <w:b/>
          <w:lang w:val="es-ES_tradnl" w:eastAsia="es-ES" w:bidi="es-ES"/>
        </w:rPr>
      </w:pPr>
    </w:p>
    <w:p w14:paraId="74F92C99" w14:textId="7CA733E2" w:rsidR="009F705B" w:rsidRDefault="009F705B" w:rsidP="009F705B">
      <w:pPr>
        <w:jc w:val="both"/>
        <w:rPr>
          <w:rFonts w:ascii="Verdana" w:hAnsi="Verdana" w:cs="Arial"/>
          <w:b/>
          <w:lang w:val="es-ES" w:eastAsia="es-ES" w:bidi="es-ES"/>
        </w:rPr>
      </w:pPr>
      <w:r w:rsidRPr="009F705B">
        <w:rPr>
          <w:rFonts w:ascii="Verdana" w:hAnsi="Verdana" w:cs="Arial"/>
          <w:b/>
          <w:lang w:val="es-ES" w:eastAsia="es-ES" w:bidi="es-ES"/>
        </w:rPr>
        <w:t xml:space="preserve">REQUISITOS HABILITANTES – Carácter enunciativo </w:t>
      </w:r>
    </w:p>
    <w:p w14:paraId="2F3CDBDA" w14:textId="50D5B6B2" w:rsidR="009F705B" w:rsidRDefault="009F705B" w:rsidP="009F705B">
      <w:pPr>
        <w:spacing w:after="0" w:line="240" w:lineRule="auto"/>
        <w:jc w:val="both"/>
        <w:rPr>
          <w:rFonts w:ascii="Verdana" w:eastAsia="Calibri" w:hAnsi="Verdana" w:cs="Arial"/>
          <w:color w:val="000000"/>
          <w:lang w:val="es-ES_tradnl"/>
        </w:rPr>
      </w:pPr>
      <w:r w:rsidRPr="009F705B">
        <w:rPr>
          <w:rFonts w:ascii="Verdana" w:eastAsia="Calibri" w:hAnsi="Verdana" w:cs="Arial"/>
          <w:color w:val="000000"/>
          <w:sz w:val="20"/>
          <w:szCs w:val="20"/>
          <w:lang w:val="es-ES"/>
        </w:rPr>
        <w:t xml:space="preserve">[…] </w:t>
      </w:r>
      <w:r w:rsidRPr="009F705B">
        <w:rPr>
          <w:rFonts w:ascii="Verdana" w:eastAsia="Calibri" w:hAnsi="Verdana" w:cs="Arial"/>
          <w:color w:val="000000"/>
          <w:sz w:val="20"/>
          <w:szCs w:val="20"/>
          <w:lang w:val="es-ES_tradnl"/>
        </w:rPr>
        <w:t>los requisitos habilitantes establecidos en el artículo 5, numeral 1, de la Ley 1150 de 2007 son de carácter enunciativos y no taxativos. Esta interpretación legal se resume en los siguientes argumentos: Esta norma no contiene una expresión como “únicamente” o “solo”, al referirse a los requisitos habilitantes y, además, debido a que la lectura integral de las normas que regulan la contratación estatal permite concluir que existen otras condiciones que deben cumplirse para la contratación con una entidad pública, como pasa, por ejemplo, con la capacidad residual a la que se refiere el artículo 6º, parágrafo 1, de la Ley 1150 de 2007</w:t>
      </w:r>
      <w:r>
        <w:rPr>
          <w:rFonts w:ascii="Verdana" w:eastAsia="Calibri" w:hAnsi="Verdana" w:cs="Arial"/>
          <w:color w:val="000000"/>
          <w:lang w:val="es-ES_tradnl"/>
        </w:rPr>
        <w:t>.</w:t>
      </w:r>
    </w:p>
    <w:p w14:paraId="60F6CA1C" w14:textId="77777777" w:rsidR="009F705B" w:rsidRDefault="009F705B" w:rsidP="009F705B">
      <w:pPr>
        <w:spacing w:after="0" w:line="240" w:lineRule="auto"/>
        <w:jc w:val="both"/>
        <w:rPr>
          <w:rFonts w:ascii="Verdana" w:hAnsi="Verdana" w:cs="Arial"/>
          <w:b/>
          <w:lang w:val="es-ES" w:eastAsia="es-ES" w:bidi="es-ES"/>
        </w:rPr>
      </w:pPr>
    </w:p>
    <w:p w14:paraId="64784200" w14:textId="77777777" w:rsidR="009F705B" w:rsidRDefault="009F705B" w:rsidP="009F705B">
      <w:pPr>
        <w:jc w:val="both"/>
        <w:rPr>
          <w:rFonts w:ascii="Verdana" w:hAnsi="Verdana" w:cs="Arial"/>
          <w:b/>
          <w:lang w:val="es-ES" w:eastAsia="es-ES" w:bidi="es-ES"/>
        </w:rPr>
      </w:pPr>
      <w:r w:rsidRPr="009F705B">
        <w:rPr>
          <w:rFonts w:ascii="Verdana" w:hAnsi="Verdana" w:cs="Arial"/>
          <w:b/>
          <w:lang w:val="es-ES" w:eastAsia="es-ES" w:bidi="es-ES"/>
        </w:rPr>
        <w:t xml:space="preserve">EXPERIENCIA – Alcance </w:t>
      </w:r>
    </w:p>
    <w:p w14:paraId="2AA0F2AD" w14:textId="42D5A7C3" w:rsidR="00AA1268" w:rsidRPr="00AA1268" w:rsidRDefault="00AA1268" w:rsidP="00AA1268">
      <w:pPr>
        <w:spacing w:after="0" w:line="240" w:lineRule="auto"/>
        <w:jc w:val="both"/>
        <w:rPr>
          <w:rFonts w:ascii="Verdana" w:eastAsia="Calibri" w:hAnsi="Verdana" w:cs="Arial"/>
          <w:color w:val="000000"/>
          <w:sz w:val="20"/>
          <w:szCs w:val="20"/>
          <w:lang w:val="es-ES_tradnl"/>
        </w:rPr>
      </w:pPr>
      <w:r w:rsidRPr="00AA1268">
        <w:rPr>
          <w:rFonts w:ascii="Verdana" w:eastAsia="Calibri" w:hAnsi="Verdana" w:cs="Arial"/>
          <w:color w:val="000000" w:themeColor="text1"/>
          <w:sz w:val="20"/>
          <w:szCs w:val="20"/>
          <w:lang w:val="es-ES_tradnl"/>
        </w:rPr>
        <w:t xml:space="preserve">La </w:t>
      </w:r>
      <w:r w:rsidRPr="00AA1268">
        <w:rPr>
          <w:rFonts w:ascii="Verdana" w:eastAsia="Calibri" w:hAnsi="Verdana" w:cs="Arial"/>
          <w:bCs/>
          <w:i/>
          <w:iCs/>
          <w:color w:val="000000" w:themeColor="text1"/>
          <w:sz w:val="20"/>
          <w:szCs w:val="20"/>
          <w:lang w:val="es-ES_tradnl"/>
        </w:rPr>
        <w:t>experiencia</w:t>
      </w:r>
      <w:r w:rsidRPr="00AA1268">
        <w:rPr>
          <w:rFonts w:ascii="Verdana" w:eastAsia="Calibri" w:hAnsi="Verdana" w:cs="Arial"/>
          <w:i/>
          <w:iCs/>
          <w:color w:val="000000" w:themeColor="text1"/>
          <w:sz w:val="20"/>
          <w:szCs w:val="20"/>
          <w:lang w:val="es-ES_tradnl"/>
        </w:rPr>
        <w:t xml:space="preserve"> </w:t>
      </w:r>
      <w:r w:rsidRPr="00AA1268">
        <w:rPr>
          <w:rFonts w:ascii="Verdana" w:eastAsia="Calibri" w:hAnsi="Verdana" w:cs="Arial"/>
          <w:color w:val="000000" w:themeColor="text1"/>
          <w:sz w:val="20"/>
          <w:szCs w:val="20"/>
          <w:lang w:val="es-ES_tradnl"/>
        </w:rPr>
        <w:t xml:space="preserve">como requisito habilitante tiene como propósito que </w:t>
      </w:r>
      <w:r w:rsidRPr="00AA1268">
        <w:rPr>
          <w:rStyle w:val="normaltextrun"/>
          <w:rFonts w:ascii="Verdana" w:hAnsi="Verdana" w:cs="Arial"/>
          <w:color w:val="000000" w:themeColor="text1"/>
          <w:sz w:val="20"/>
          <w:szCs w:val="20"/>
          <w:lang w:val="es-ES_tradnl"/>
        </w:rPr>
        <w:t>las entidades fijen unos requisitos mínimos de idoneidad técnica que deben acreditar los proponentes, para que puedan verificar su aptitud para participar en el proceso de selección y, eventualmente, ejecutar el contrato estatal. La entidad, como responsable de la estructuración del proceso de contratación, en principio, es autónoma para requerir la experiencia necesaria para el objeto contractual, para lo cual, de acuerdo con el artículo 2.2.1.1.1.6.2 del Decreto 1082 de 2015, debe tener en cuenta el estudio del sector y sus diferentes componentes, tales como la identificación de riesgos, el mercado y el precio del bien, obra o servicio a contratar.</w:t>
      </w:r>
    </w:p>
    <w:p w14:paraId="052CA4A6" w14:textId="77777777" w:rsidR="00AA1268" w:rsidRDefault="00AA1268" w:rsidP="00AA1268">
      <w:pPr>
        <w:spacing w:after="0" w:line="240" w:lineRule="auto"/>
        <w:jc w:val="both"/>
        <w:rPr>
          <w:rFonts w:ascii="Verdana" w:eastAsia="Calibri" w:hAnsi="Verdana" w:cs="Arial"/>
          <w:color w:val="000000"/>
          <w:sz w:val="20"/>
          <w:szCs w:val="20"/>
        </w:rPr>
      </w:pPr>
    </w:p>
    <w:p w14:paraId="6342739E" w14:textId="77777777" w:rsidR="00E0491E" w:rsidRDefault="00E0491E" w:rsidP="009F705B">
      <w:pPr>
        <w:spacing w:after="0" w:line="240" w:lineRule="auto"/>
        <w:jc w:val="both"/>
        <w:rPr>
          <w:rFonts w:ascii="Verdana" w:eastAsia="Calibri" w:hAnsi="Verdana" w:cs="Arial"/>
          <w:color w:val="000000"/>
          <w:sz w:val="20"/>
          <w:szCs w:val="20"/>
        </w:rPr>
      </w:pPr>
    </w:p>
    <w:p w14:paraId="2EB788FD" w14:textId="77777777" w:rsidR="00E0491E" w:rsidRDefault="00E0491E" w:rsidP="009F705B">
      <w:pPr>
        <w:spacing w:after="0" w:line="240" w:lineRule="auto"/>
        <w:jc w:val="both"/>
        <w:rPr>
          <w:rFonts w:ascii="Verdana" w:eastAsia="Calibri" w:hAnsi="Verdana" w:cs="Arial"/>
          <w:color w:val="000000"/>
          <w:sz w:val="20"/>
          <w:szCs w:val="20"/>
        </w:rPr>
      </w:pPr>
    </w:p>
    <w:p w14:paraId="154E2D42" w14:textId="075A4FE4" w:rsidR="009F705B" w:rsidRDefault="009F705B" w:rsidP="009F705B">
      <w:pPr>
        <w:spacing w:after="0" w:line="240" w:lineRule="auto"/>
        <w:jc w:val="both"/>
        <w:rPr>
          <w:rFonts w:ascii="Verdana" w:hAnsi="Verdana" w:cs="Arial"/>
          <w:b/>
          <w:lang w:val="es-ES" w:eastAsia="es-ES" w:bidi="es-ES"/>
        </w:rPr>
      </w:pPr>
      <w:r w:rsidRPr="009F705B">
        <w:rPr>
          <w:rFonts w:ascii="Verdana" w:hAnsi="Verdana" w:cs="Arial"/>
          <w:b/>
          <w:lang w:val="es-ES" w:eastAsia="es-ES" w:bidi="es-ES"/>
        </w:rPr>
        <w:lastRenderedPageBreak/>
        <w:t>REQUISITOS HABILITANTES – Discrecionalidad – Decreto 1082 de 2015</w:t>
      </w:r>
    </w:p>
    <w:p w14:paraId="6E4C7B05" w14:textId="77777777" w:rsidR="00E407C0" w:rsidRDefault="00E407C0" w:rsidP="009F705B">
      <w:pPr>
        <w:spacing w:after="0" w:line="240" w:lineRule="auto"/>
        <w:jc w:val="both"/>
        <w:rPr>
          <w:rFonts w:ascii="Verdana" w:hAnsi="Verdana" w:cs="Arial"/>
          <w:b/>
          <w:lang w:val="es-ES" w:eastAsia="es-ES" w:bidi="es-ES"/>
        </w:rPr>
      </w:pPr>
    </w:p>
    <w:p w14:paraId="6E430731" w14:textId="77777777" w:rsidR="00E407C0" w:rsidRDefault="00E407C0" w:rsidP="00E407C0">
      <w:pPr>
        <w:spacing w:after="0" w:line="240" w:lineRule="auto"/>
        <w:jc w:val="both"/>
        <w:rPr>
          <w:rFonts w:ascii="Verdana" w:eastAsia="Calibri" w:hAnsi="Verdana" w:cs="Arial"/>
          <w:color w:val="000000"/>
          <w:sz w:val="20"/>
          <w:szCs w:val="20"/>
        </w:rPr>
      </w:pPr>
      <w:r w:rsidRPr="00AA1268">
        <w:rPr>
          <w:rFonts w:ascii="Verdana" w:eastAsia="Calibri" w:hAnsi="Verdana" w:cs="Arial"/>
          <w:color w:val="000000"/>
          <w:sz w:val="20"/>
          <w:szCs w:val="20"/>
        </w:rPr>
        <w:t>Con base en lo anterior, corresponde a las entidades estatales, durante la etapa de planeación del contrato estatal, estudiar y determinar los requisitos habilitantes que establecerán en los pliegos de condiciones, los cuales deben fijarse de forma adecuada y proporcional. Esto último, según se deriva de la lectura del artículo 2.2.1.1.1.6.2 del Decreto 1082 de 2015, debe hacerse de acuerdo con la naturaleza, el valor del contrato, la forma de pago, los riesgos asociados al contrato, el plazo y la complejidad de ejecución del objeto.</w:t>
      </w:r>
    </w:p>
    <w:p w14:paraId="6ADE53D5" w14:textId="77777777" w:rsidR="00E407C0" w:rsidRP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p>
    <w:p w14:paraId="6E236AF3" w14:textId="37DE6BE7" w:rsidR="00E407C0" w:rsidRP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r>
        <w:rPr>
          <w:rFonts w:ascii="Verdana" w:eastAsia="Calibri" w:hAnsi="Verdana" w:cs="Arial"/>
          <w:color w:val="000000"/>
          <w:sz w:val="20"/>
          <w:szCs w:val="20"/>
        </w:rPr>
        <w:t xml:space="preserve">[…] </w:t>
      </w:r>
      <w:r w:rsidRPr="00E407C0">
        <w:rPr>
          <w:rFonts w:ascii="Verdana" w:eastAsia="Calibri" w:hAnsi="Verdana" w:cs="Arial"/>
          <w:color w:val="000000"/>
          <w:sz w:val="20"/>
          <w:szCs w:val="20"/>
        </w:rPr>
        <w:t xml:space="preserve">la facultad de establecer los requisitos habilitantes no puede ejercerse de forma arbitraria, caprichosa y, mucho menos, con el ánimo de direccionar el proceso de contratación o favorecer a alguno de los proponentes, así como tampoco puede ejercerse desconociendo límites legales, como, por ejemplo, el que estable el artículo 5, parágrafo 2, de la Ley 1150 de 2007, relacionado con la prohibición de exigir certificaciones de sistemas de gestión de calidad como requisito habilitante. En este escenario, existirán sectores del mercado que, por ejemplo, por el avance tecnológico y las exigencias que conlleva desde el punto de vista normativo o técnico, la entidad estatal requiera que la experiencia se limite en un ámbito temporal, sin que ello signifique que la experiencia caduca, prescribe o se pierde por el paso del tiempo; no </w:t>
      </w:r>
      <w:proofErr w:type="gramStart"/>
      <w:r w:rsidRPr="00E407C0">
        <w:rPr>
          <w:rFonts w:ascii="Verdana" w:eastAsia="Calibri" w:hAnsi="Verdana" w:cs="Arial"/>
          <w:color w:val="000000"/>
          <w:sz w:val="20"/>
          <w:szCs w:val="20"/>
        </w:rPr>
        <w:t>obstante</w:t>
      </w:r>
      <w:proofErr w:type="gramEnd"/>
      <w:r w:rsidRPr="00E407C0">
        <w:rPr>
          <w:rFonts w:ascii="Verdana" w:eastAsia="Calibri" w:hAnsi="Verdana" w:cs="Arial"/>
          <w:color w:val="000000"/>
          <w:sz w:val="20"/>
          <w:szCs w:val="20"/>
        </w:rPr>
        <w:t xml:space="preserve"> lo anterior, la administración deberá justificar de manera razonada y proporcional dicha limitación.  </w:t>
      </w:r>
    </w:p>
    <w:p w14:paraId="3D07E1C8" w14:textId="77777777" w:rsid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p>
    <w:p w14:paraId="7E690C2B" w14:textId="77777777" w:rsid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r w:rsidRPr="00E407C0">
        <w:rPr>
          <w:rFonts w:ascii="Verdana" w:eastAsia="Calibri" w:hAnsi="Verdana" w:cs="Arial"/>
          <w:color w:val="000000"/>
          <w:sz w:val="20"/>
          <w:szCs w:val="20"/>
        </w:rPr>
        <w:t>Esto en la medida que, además de los argumentos que ya se han planteado, esa lectura negaría la autonomía reconocida en el Estatuto General de Contratación de la Administración Pública a los órganos del Estado para confeccionar el pliego de condiciones o los documentos equivalentes y, específicamente, para definir los requisitos que deben reunir los oferentes, según los factores advertidos durante los estudios previos, en armonía con los principios de legalidad y proporcionalidad.</w:t>
      </w:r>
    </w:p>
    <w:p w14:paraId="1516F7E3" w14:textId="77777777" w:rsid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p>
    <w:p w14:paraId="2DB027F1" w14:textId="77777777" w:rsid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r w:rsidRPr="00E407C0">
        <w:rPr>
          <w:rFonts w:ascii="Verdana" w:eastAsia="Calibri" w:hAnsi="Verdana" w:cs="Arial"/>
          <w:color w:val="000000"/>
          <w:sz w:val="20"/>
          <w:szCs w:val="20"/>
        </w:rPr>
        <w:t>Considerando la discrecionalidad para establecer requisitos habilitantes, es necesario tener en cuenta que el artículo 44 de la Ley 1437 de 2011 –aplicable en los procedimientos contractuales en virtud del artículo 77 de la Ley 80 de 1993– dispone que “En la medida en que el contenido de una decisión de carácter general o particular sea discrecional, debe ser adecuada a los fines de la norma que la autoriza, y proporcional a los hechos que le sirven de causa”. Dado lo anterior, para efectos de configurar requisitos habilitantes la Entidad Estatal tiene la carga de justificar en los estudios previos y análisis del sector del proceso de selección su procedencia, de conformidad con el artículo 2.2.1.1.1.6.2 del Decreto 1082 de 2015.</w:t>
      </w:r>
    </w:p>
    <w:p w14:paraId="3B73F9DA" w14:textId="77777777" w:rsid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p>
    <w:p w14:paraId="42001229" w14:textId="68951C85" w:rsid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r>
        <w:rPr>
          <w:rFonts w:ascii="Verdana" w:eastAsia="Calibri" w:hAnsi="Verdana" w:cs="Arial"/>
          <w:color w:val="000000"/>
          <w:sz w:val="20"/>
          <w:szCs w:val="20"/>
        </w:rPr>
        <w:t>[…]</w:t>
      </w:r>
    </w:p>
    <w:p w14:paraId="4DE037F8" w14:textId="77777777" w:rsidR="00E407C0" w:rsidRDefault="00E407C0" w:rsidP="00E407C0">
      <w:pPr>
        <w:widowControl w:val="0"/>
        <w:autoSpaceDE w:val="0"/>
        <w:autoSpaceDN w:val="0"/>
        <w:spacing w:after="0" w:line="240" w:lineRule="auto"/>
        <w:jc w:val="both"/>
        <w:rPr>
          <w:rFonts w:ascii="Verdana" w:eastAsia="Calibri" w:hAnsi="Verdana" w:cs="Arial"/>
          <w:color w:val="000000"/>
          <w:sz w:val="20"/>
          <w:szCs w:val="20"/>
          <w:lang w:val="es-ES_tradnl"/>
        </w:rPr>
      </w:pPr>
    </w:p>
    <w:p w14:paraId="4E13BA36" w14:textId="3C48EA86" w:rsid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r w:rsidRPr="00E407C0">
        <w:rPr>
          <w:rFonts w:ascii="Verdana" w:eastAsia="Calibri" w:hAnsi="Verdana" w:cs="Arial"/>
          <w:color w:val="000000"/>
          <w:sz w:val="20"/>
          <w:szCs w:val="20"/>
          <w:lang w:val="es-ES_tradnl"/>
        </w:rPr>
        <w:t xml:space="preserve">Es importante advertir que con excepción de los procedimientos regidos por documentos tipo, es necesario tener en cuenta que existe un margen de discrecionalidad para definir el contenido del pliego de condiciones. Salvo los aspectos que se encuentren reglados en la actuación administrativa, esto implica libertad de las entidades para determinar los requisitos habilitantes sujetos a verificación en los documentos del proceso. Lo anterior en la medida que no existen potestades completamente discrecionales, por lo que dichos elementos reglados son una limitación efectiva a la libertad de configuración.  </w:t>
      </w:r>
    </w:p>
    <w:p w14:paraId="32C4A05D" w14:textId="77777777" w:rsid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p>
    <w:p w14:paraId="1EC5CBF1" w14:textId="65DB8D32" w:rsidR="00E407C0" w:rsidRPr="00E407C0" w:rsidRDefault="00E407C0" w:rsidP="00E407C0">
      <w:pPr>
        <w:widowControl w:val="0"/>
        <w:autoSpaceDE w:val="0"/>
        <w:autoSpaceDN w:val="0"/>
        <w:spacing w:after="0" w:line="240" w:lineRule="auto"/>
        <w:jc w:val="both"/>
        <w:rPr>
          <w:rFonts w:ascii="Verdana" w:eastAsia="Calibri" w:hAnsi="Verdana" w:cs="Arial"/>
          <w:color w:val="000000"/>
          <w:sz w:val="20"/>
          <w:szCs w:val="20"/>
        </w:rPr>
      </w:pPr>
      <w:r w:rsidRPr="00E407C0">
        <w:rPr>
          <w:rFonts w:ascii="Verdana" w:eastAsia="Calibri" w:hAnsi="Verdana" w:cs="Arial"/>
          <w:color w:val="000000"/>
          <w:sz w:val="20"/>
          <w:szCs w:val="20"/>
        </w:rPr>
        <w:t>Finalmente, la experiencia, según el Manual para determinar y verificar los requisitos habilitantes en los procesos de contratación de Colombia Compra Eficiente, es el conocimiento adquirido por el proponente a partir de su participación en actividades iguales o similares al objeto del contrato, ya sea de manera individual o en asocio. En la contratación pública, este requisito es fundamental para garantizar la correcta ejecución del contrato, minimizando riesgos de improvisación y sobrecostos. Las entidades contratantes tienen autonomía para definir los requisitos de experiencia, pero deben hacerlo conforme a los principios de selección objetiva y libre competencia. Según el artículo 2.2.1.1.1.6.2. del Decreto 1082 de 2015, estos deben fundamentarse en el estudio del sector, la identificación de riesgos, el análisis del mercado y la evaluación de precios. La experiencia exigida debe ser adecuada y proporcional: adecuada cuando tiene relación con las actividades del contrato, y proporcional cuando se ajusta a su valor, alcance, complejidad y riesgo. No es válido exigir experiencia idéntica, ya que esto restringe injustificadamente la participación y limita la concurrencia. Por ello, es esencial permitir la acreditación de experiencia en actividades similares, asegurando así una mayor pluralidad de oferentes y promoviendo la competencia efectiva en los procesos de contratación pública.</w:t>
      </w:r>
    </w:p>
    <w:p w14:paraId="4BAAAFB4" w14:textId="77777777" w:rsidR="00E407C0" w:rsidRPr="00E407C0" w:rsidRDefault="00E407C0" w:rsidP="009F705B">
      <w:pPr>
        <w:spacing w:after="0" w:line="240" w:lineRule="auto"/>
        <w:jc w:val="both"/>
        <w:rPr>
          <w:rFonts w:ascii="Verdana" w:eastAsia="Calibri" w:hAnsi="Verdana" w:cs="Arial"/>
          <w:color w:val="000000"/>
          <w:sz w:val="20"/>
          <w:szCs w:val="20"/>
          <w:lang w:val="es-ES_tradnl"/>
        </w:rPr>
      </w:pPr>
    </w:p>
    <w:p w14:paraId="4BA508C4" w14:textId="77777777" w:rsidR="009F705B" w:rsidRPr="009F705B" w:rsidRDefault="009F705B" w:rsidP="0010507E">
      <w:pPr>
        <w:spacing w:after="0" w:line="240" w:lineRule="auto"/>
        <w:rPr>
          <w:rFonts w:ascii="Verdana" w:eastAsia="Verdana" w:hAnsi="Verdana" w:cs="Verdana"/>
          <w:lang w:val="es-ES"/>
        </w:rPr>
      </w:pPr>
    </w:p>
    <w:p w14:paraId="17B18B24" w14:textId="77777777" w:rsidR="00E407C0" w:rsidRDefault="00E407C0" w:rsidP="0010507E">
      <w:pPr>
        <w:spacing w:after="0" w:line="240" w:lineRule="auto"/>
        <w:rPr>
          <w:rFonts w:ascii="Verdana" w:eastAsia="Verdana" w:hAnsi="Verdana" w:cs="Verdana"/>
        </w:rPr>
      </w:pPr>
    </w:p>
    <w:p w14:paraId="0723E7E7" w14:textId="77777777" w:rsidR="00E407C0" w:rsidRDefault="00E407C0" w:rsidP="0010507E">
      <w:pPr>
        <w:spacing w:after="0" w:line="240" w:lineRule="auto"/>
        <w:rPr>
          <w:rFonts w:ascii="Verdana" w:eastAsia="Verdana" w:hAnsi="Verdana" w:cs="Verdana"/>
        </w:rPr>
      </w:pPr>
    </w:p>
    <w:p w14:paraId="77DF96EB" w14:textId="77777777" w:rsidR="00E407C0" w:rsidRDefault="00E407C0" w:rsidP="0010507E">
      <w:pPr>
        <w:spacing w:after="0" w:line="240" w:lineRule="auto"/>
        <w:rPr>
          <w:rFonts w:ascii="Verdana" w:eastAsia="Verdana" w:hAnsi="Verdana" w:cs="Verdana"/>
        </w:rPr>
      </w:pPr>
    </w:p>
    <w:p w14:paraId="3EF33086" w14:textId="77777777" w:rsidR="00E407C0" w:rsidRDefault="00E407C0" w:rsidP="0010507E">
      <w:pPr>
        <w:spacing w:after="0" w:line="240" w:lineRule="auto"/>
        <w:rPr>
          <w:rFonts w:ascii="Verdana" w:eastAsia="Verdana" w:hAnsi="Verdana" w:cs="Verdana"/>
        </w:rPr>
      </w:pPr>
    </w:p>
    <w:p w14:paraId="227DF276" w14:textId="77777777" w:rsidR="00E407C0" w:rsidRDefault="00E407C0" w:rsidP="0010507E">
      <w:pPr>
        <w:spacing w:after="0" w:line="240" w:lineRule="auto"/>
        <w:rPr>
          <w:rFonts w:ascii="Verdana" w:eastAsia="Verdana" w:hAnsi="Verdana" w:cs="Verdana"/>
        </w:rPr>
      </w:pPr>
    </w:p>
    <w:p w14:paraId="1AA64AD1" w14:textId="77777777" w:rsidR="00E407C0" w:rsidRDefault="00E407C0" w:rsidP="0010507E">
      <w:pPr>
        <w:spacing w:after="0" w:line="240" w:lineRule="auto"/>
        <w:rPr>
          <w:rFonts w:ascii="Verdana" w:eastAsia="Verdana" w:hAnsi="Verdana" w:cs="Verdana"/>
        </w:rPr>
      </w:pPr>
    </w:p>
    <w:p w14:paraId="6E799901" w14:textId="77777777" w:rsidR="00E407C0" w:rsidRDefault="00E407C0" w:rsidP="0010507E">
      <w:pPr>
        <w:spacing w:after="0" w:line="240" w:lineRule="auto"/>
        <w:rPr>
          <w:rFonts w:ascii="Verdana" w:eastAsia="Verdana" w:hAnsi="Verdana" w:cs="Verdana"/>
        </w:rPr>
      </w:pPr>
    </w:p>
    <w:p w14:paraId="0A71D8A7" w14:textId="77777777" w:rsidR="00E407C0" w:rsidRDefault="00E407C0" w:rsidP="0010507E">
      <w:pPr>
        <w:spacing w:after="0" w:line="240" w:lineRule="auto"/>
        <w:rPr>
          <w:rFonts w:ascii="Verdana" w:eastAsia="Verdana" w:hAnsi="Verdana" w:cs="Verdana"/>
        </w:rPr>
      </w:pPr>
    </w:p>
    <w:p w14:paraId="7BCFC97F" w14:textId="77777777" w:rsidR="00E407C0" w:rsidRDefault="00E407C0" w:rsidP="0010507E">
      <w:pPr>
        <w:spacing w:after="0" w:line="240" w:lineRule="auto"/>
        <w:rPr>
          <w:rFonts w:ascii="Verdana" w:eastAsia="Verdana" w:hAnsi="Verdana" w:cs="Verdana"/>
        </w:rPr>
      </w:pPr>
    </w:p>
    <w:p w14:paraId="47F2DCE8" w14:textId="77777777" w:rsidR="00E407C0" w:rsidRDefault="00E407C0" w:rsidP="0010507E">
      <w:pPr>
        <w:spacing w:after="0" w:line="240" w:lineRule="auto"/>
        <w:rPr>
          <w:rFonts w:ascii="Verdana" w:eastAsia="Verdana" w:hAnsi="Verdana" w:cs="Verdana"/>
        </w:rPr>
      </w:pPr>
    </w:p>
    <w:p w14:paraId="7ACA1A7B" w14:textId="77777777" w:rsidR="00E407C0" w:rsidRDefault="00E407C0" w:rsidP="0010507E">
      <w:pPr>
        <w:spacing w:after="0" w:line="240" w:lineRule="auto"/>
        <w:rPr>
          <w:rFonts w:ascii="Verdana" w:eastAsia="Verdana" w:hAnsi="Verdana" w:cs="Verdana"/>
        </w:rPr>
      </w:pPr>
    </w:p>
    <w:p w14:paraId="256663D9" w14:textId="77777777" w:rsidR="00E407C0" w:rsidRDefault="00E407C0" w:rsidP="0010507E">
      <w:pPr>
        <w:spacing w:after="0" w:line="240" w:lineRule="auto"/>
        <w:rPr>
          <w:rFonts w:ascii="Verdana" w:eastAsia="Verdana" w:hAnsi="Verdana" w:cs="Verdana"/>
        </w:rPr>
      </w:pPr>
    </w:p>
    <w:p w14:paraId="0794DEB9" w14:textId="77777777" w:rsidR="00E407C0" w:rsidRDefault="00E407C0" w:rsidP="0010507E">
      <w:pPr>
        <w:spacing w:after="0" w:line="240" w:lineRule="auto"/>
        <w:rPr>
          <w:rFonts w:ascii="Verdana" w:eastAsia="Verdana" w:hAnsi="Verdana" w:cs="Verdana"/>
        </w:rPr>
      </w:pPr>
    </w:p>
    <w:p w14:paraId="7464CF3D" w14:textId="77777777" w:rsidR="00E407C0" w:rsidRDefault="00E407C0" w:rsidP="0010507E">
      <w:pPr>
        <w:spacing w:after="0" w:line="240" w:lineRule="auto"/>
        <w:rPr>
          <w:rFonts w:ascii="Verdana" w:eastAsia="Verdana" w:hAnsi="Verdana" w:cs="Verdana"/>
        </w:rPr>
      </w:pPr>
    </w:p>
    <w:p w14:paraId="7A103834" w14:textId="77777777" w:rsidR="00E407C0" w:rsidRDefault="00E407C0" w:rsidP="0010507E">
      <w:pPr>
        <w:spacing w:after="0" w:line="240" w:lineRule="auto"/>
        <w:rPr>
          <w:rFonts w:ascii="Verdana" w:eastAsia="Verdana" w:hAnsi="Verdana" w:cs="Verdana"/>
        </w:rPr>
      </w:pPr>
    </w:p>
    <w:p w14:paraId="20BCF6EB" w14:textId="77777777" w:rsidR="00E407C0" w:rsidRDefault="00E407C0" w:rsidP="0010507E">
      <w:pPr>
        <w:spacing w:after="0" w:line="240" w:lineRule="auto"/>
        <w:rPr>
          <w:rFonts w:ascii="Verdana" w:eastAsia="Verdana" w:hAnsi="Verdana" w:cs="Verdana"/>
        </w:rPr>
      </w:pPr>
    </w:p>
    <w:p w14:paraId="59F30B7E" w14:textId="77777777" w:rsidR="00E407C0" w:rsidRDefault="00E407C0" w:rsidP="0010507E">
      <w:pPr>
        <w:spacing w:after="0" w:line="240" w:lineRule="auto"/>
        <w:rPr>
          <w:rFonts w:ascii="Verdana" w:eastAsia="Verdana" w:hAnsi="Verdana" w:cs="Verdana"/>
        </w:rPr>
      </w:pPr>
    </w:p>
    <w:p w14:paraId="70823DA4" w14:textId="77777777" w:rsidR="00E407C0" w:rsidRDefault="00E407C0" w:rsidP="0010507E">
      <w:pPr>
        <w:spacing w:after="0" w:line="240" w:lineRule="auto"/>
        <w:rPr>
          <w:rFonts w:ascii="Verdana" w:eastAsia="Verdana" w:hAnsi="Verdana" w:cs="Verdana"/>
        </w:rPr>
      </w:pPr>
    </w:p>
    <w:p w14:paraId="0CBA2D4D" w14:textId="77777777" w:rsidR="00E407C0" w:rsidRDefault="00E407C0" w:rsidP="0010507E">
      <w:pPr>
        <w:spacing w:after="0" w:line="240" w:lineRule="auto"/>
        <w:rPr>
          <w:rFonts w:ascii="Verdana" w:eastAsia="Verdana" w:hAnsi="Verdana" w:cs="Verdana"/>
        </w:rPr>
      </w:pPr>
    </w:p>
    <w:p w14:paraId="0ECB3DB0" w14:textId="77777777" w:rsidR="00E407C0" w:rsidRDefault="00E407C0" w:rsidP="0010507E">
      <w:pPr>
        <w:spacing w:after="0" w:line="240" w:lineRule="auto"/>
        <w:rPr>
          <w:rFonts w:ascii="Verdana" w:eastAsia="Verdana" w:hAnsi="Verdana" w:cs="Verdana"/>
        </w:rPr>
      </w:pPr>
    </w:p>
    <w:p w14:paraId="7282D741" w14:textId="77777777" w:rsidR="00E407C0" w:rsidRDefault="00E407C0" w:rsidP="0010507E">
      <w:pPr>
        <w:spacing w:after="0" w:line="240" w:lineRule="auto"/>
        <w:rPr>
          <w:rFonts w:ascii="Verdana" w:eastAsia="Verdana" w:hAnsi="Verdana" w:cs="Verdana"/>
        </w:rPr>
      </w:pPr>
    </w:p>
    <w:p w14:paraId="3A82D7D0" w14:textId="77777777" w:rsidR="00E407C0" w:rsidRDefault="00E407C0" w:rsidP="0010507E">
      <w:pPr>
        <w:spacing w:after="0" w:line="240" w:lineRule="auto"/>
        <w:rPr>
          <w:rFonts w:ascii="Verdana" w:eastAsia="Verdana" w:hAnsi="Verdana" w:cs="Verdana"/>
        </w:rPr>
      </w:pPr>
    </w:p>
    <w:p w14:paraId="7531B373" w14:textId="2088C88F" w:rsidR="009F705B" w:rsidRDefault="0032263C" w:rsidP="0010507E">
      <w:pPr>
        <w:spacing w:after="0" w:line="240" w:lineRule="auto"/>
        <w:rPr>
          <w:rFonts w:ascii="Verdana" w:hAnsi="Verdana"/>
        </w:rPr>
      </w:pPr>
      <w:r w:rsidRPr="30821638">
        <w:rPr>
          <w:rFonts w:ascii="Verdana" w:eastAsia="Verdana" w:hAnsi="Verdana" w:cs="Verdana"/>
        </w:rPr>
        <w:t xml:space="preserve">Bogotá D.C., </w:t>
      </w:r>
      <w:r w:rsidR="009F705B">
        <w:rPr>
          <w:rFonts w:ascii="Verdana" w:eastAsia="Verdana" w:hAnsi="Verdana" w:cs="Verdana"/>
        </w:rPr>
        <w:t xml:space="preserve">13 </w:t>
      </w:r>
      <w:proofErr w:type="gramStart"/>
      <w:r w:rsidR="009F705B">
        <w:rPr>
          <w:rFonts w:ascii="Verdana" w:eastAsia="Verdana" w:hAnsi="Verdana" w:cs="Verdana"/>
        </w:rPr>
        <w:t>Agosto</w:t>
      </w:r>
      <w:proofErr w:type="gramEnd"/>
      <w:r w:rsidR="009F705B">
        <w:rPr>
          <w:rFonts w:ascii="Verdana" w:eastAsia="Verdana" w:hAnsi="Verdana" w:cs="Verdana"/>
        </w:rPr>
        <w:t xml:space="preserve"> 2026</w:t>
      </w:r>
      <w:r w:rsidRPr="0010507E">
        <w:rPr>
          <w:rFonts w:ascii="Verdana" w:hAnsi="Verdana"/>
        </w:rPr>
        <w:tab/>
      </w:r>
    </w:p>
    <w:p w14:paraId="7906188D" w14:textId="032C80CE" w:rsidR="0032263C" w:rsidRPr="009F705B" w:rsidRDefault="009F705B" w:rsidP="009F705B">
      <w:pPr>
        <w:spacing w:after="0" w:line="240" w:lineRule="auto"/>
        <w:jc w:val="right"/>
        <w:rPr>
          <w:rFonts w:ascii="Verdana" w:hAnsi="Verdana"/>
        </w:rPr>
      </w:pPr>
      <w:r w:rsidRPr="009F705B">
        <w:rPr>
          <w:rFonts w:ascii="Verdana" w:hAnsi="Verdana"/>
          <w:noProof/>
        </w:rPr>
        <w:drawing>
          <wp:inline distT="0" distB="0" distL="0" distR="0" wp14:anchorId="5EF13116" wp14:editId="7565AAE1">
            <wp:extent cx="2055495" cy="504749"/>
            <wp:effectExtent l="0" t="0" r="1905" b="0"/>
            <wp:docPr id="17620039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03926" name=""/>
                    <pic:cNvPicPr/>
                  </pic:nvPicPr>
                  <pic:blipFill>
                    <a:blip r:embed="rId10"/>
                    <a:stretch>
                      <a:fillRect/>
                    </a:stretch>
                  </pic:blipFill>
                  <pic:spPr>
                    <a:xfrm>
                      <a:off x="0" y="0"/>
                      <a:ext cx="2081448" cy="511122"/>
                    </a:xfrm>
                    <a:prstGeom prst="rect">
                      <a:avLst/>
                    </a:prstGeom>
                  </pic:spPr>
                </pic:pic>
              </a:graphicData>
            </a:graphic>
          </wp:inline>
        </w:drawing>
      </w:r>
      <w:bookmarkStart w:id="1" w:name="_Hlk214366482"/>
      <w:bookmarkEnd w:id="0"/>
    </w:p>
    <w:p w14:paraId="79E8CE8F" w14:textId="77777777" w:rsidR="0032263C" w:rsidRPr="0010507E" w:rsidRDefault="0032263C" w:rsidP="0032263C">
      <w:pPr>
        <w:spacing w:after="0" w:line="240" w:lineRule="auto"/>
        <w:jc w:val="both"/>
        <w:rPr>
          <w:rFonts w:ascii="Verdana" w:eastAsia="Calibri" w:hAnsi="Verdana" w:cs="Arial"/>
          <w:lang w:eastAsia="es-ES"/>
        </w:rPr>
      </w:pPr>
      <w:r w:rsidRPr="0010507E">
        <w:rPr>
          <w:rFonts w:ascii="Verdana" w:eastAsia="Calibri" w:hAnsi="Verdana" w:cs="Arial"/>
          <w:lang w:eastAsia="es-ES"/>
        </w:rPr>
        <w:t xml:space="preserve">Señor </w:t>
      </w:r>
    </w:p>
    <w:p w14:paraId="73492F2B" w14:textId="77777777" w:rsidR="0032263C" w:rsidRPr="002D76BA" w:rsidRDefault="0032263C" w:rsidP="0032263C">
      <w:pPr>
        <w:spacing w:after="0" w:line="240" w:lineRule="auto"/>
        <w:jc w:val="both"/>
        <w:rPr>
          <w:rFonts w:ascii="Verdana" w:eastAsia="Calibri" w:hAnsi="Verdana" w:cs="Arial"/>
          <w:b/>
          <w:bCs/>
          <w:lang w:val="it-CH" w:eastAsia="es-ES"/>
        </w:rPr>
      </w:pPr>
      <w:r w:rsidRPr="002D76BA">
        <w:rPr>
          <w:rFonts w:ascii="Verdana" w:eastAsia="Calibri" w:hAnsi="Verdana" w:cs="Arial"/>
          <w:b/>
          <w:bCs/>
          <w:lang w:val="it-CH" w:eastAsia="es-ES"/>
        </w:rPr>
        <w:t>Gerardo Santamaria Borda</w:t>
      </w:r>
    </w:p>
    <w:p w14:paraId="59A38220" w14:textId="77777777" w:rsidR="0032263C" w:rsidRPr="007F2842" w:rsidRDefault="0032263C" w:rsidP="0032263C">
      <w:pPr>
        <w:spacing w:after="0" w:line="240" w:lineRule="auto"/>
        <w:jc w:val="both"/>
        <w:rPr>
          <w:rFonts w:ascii="Verdana" w:eastAsia="Calibri" w:hAnsi="Verdana" w:cs="Arial"/>
          <w:lang w:val="it-CH" w:eastAsia="es-ES"/>
        </w:rPr>
      </w:pPr>
      <w:r w:rsidRPr="007F2842">
        <w:rPr>
          <w:rFonts w:ascii="Verdana" w:eastAsia="Calibri" w:hAnsi="Verdana" w:cs="Arial"/>
          <w:lang w:val="it-CH" w:eastAsia="es-ES"/>
        </w:rPr>
        <w:t xml:space="preserve">Representante legal </w:t>
      </w:r>
    </w:p>
    <w:p w14:paraId="70C3E90D" w14:textId="77777777" w:rsidR="0032263C" w:rsidRPr="002D76BA" w:rsidRDefault="0032263C" w:rsidP="0032263C">
      <w:pPr>
        <w:spacing w:after="0" w:line="240" w:lineRule="auto"/>
        <w:jc w:val="both"/>
        <w:rPr>
          <w:rFonts w:ascii="Verdana" w:eastAsia="Calibri" w:hAnsi="Verdana" w:cs="Arial"/>
          <w:b/>
          <w:bCs/>
          <w:lang w:val="en-US" w:eastAsia="es-ES"/>
        </w:rPr>
      </w:pPr>
      <w:r w:rsidRPr="002D76BA">
        <w:rPr>
          <w:rFonts w:ascii="Verdana" w:eastAsia="Calibri" w:hAnsi="Verdana" w:cs="Arial"/>
          <w:b/>
          <w:bCs/>
          <w:lang w:val="en-US" w:eastAsia="es-ES"/>
        </w:rPr>
        <w:t>BOOST BUSINESS CONSULTING S.A.S</w:t>
      </w:r>
    </w:p>
    <w:p w14:paraId="26D0995A" w14:textId="77777777" w:rsidR="0032263C" w:rsidRPr="002D76BA" w:rsidRDefault="0032263C" w:rsidP="0032263C">
      <w:pPr>
        <w:spacing w:after="0" w:line="240" w:lineRule="auto"/>
        <w:jc w:val="both"/>
        <w:rPr>
          <w:rFonts w:ascii="Verdana" w:hAnsi="Verdana"/>
          <w:b/>
          <w:bCs/>
          <w:lang w:val="en-US"/>
        </w:rPr>
      </w:pPr>
      <w:hyperlink r:id="rId11" w:history="1">
        <w:r w:rsidRPr="002B36DB">
          <w:rPr>
            <w:rStyle w:val="Hipervnculo"/>
            <w:rFonts w:ascii="Verdana" w:hAnsi="Verdana"/>
            <w:b/>
            <w:bCs/>
            <w:lang w:val="en-US"/>
          </w:rPr>
          <w:t>asistente.juridica@boost.net.co</w:t>
        </w:r>
      </w:hyperlink>
    </w:p>
    <w:p w14:paraId="2B97CE77" w14:textId="77777777" w:rsidR="0032263C" w:rsidRPr="002D76BA" w:rsidRDefault="0032263C" w:rsidP="0032263C">
      <w:pPr>
        <w:spacing w:after="0" w:line="240" w:lineRule="auto"/>
        <w:jc w:val="both"/>
        <w:rPr>
          <w:rFonts w:ascii="Verdana" w:hAnsi="Verdana"/>
          <w:lang w:val="en-US"/>
        </w:rPr>
      </w:pPr>
      <w:r>
        <w:rPr>
          <w:rFonts w:ascii="Verdana" w:hAnsi="Verdana"/>
          <w:lang w:val="en-US"/>
        </w:rPr>
        <w:t xml:space="preserve">Ciudad </w:t>
      </w:r>
    </w:p>
    <w:p w14:paraId="79D86A9E" w14:textId="77777777" w:rsidR="0032263C" w:rsidRPr="002D76BA" w:rsidRDefault="0032263C" w:rsidP="0032263C">
      <w:pPr>
        <w:spacing w:after="0" w:line="240" w:lineRule="auto"/>
        <w:jc w:val="both"/>
        <w:rPr>
          <w:rFonts w:ascii="Verdana" w:hAnsi="Verdana"/>
          <w:lang w:val="en-US"/>
        </w:rPr>
      </w:pPr>
    </w:p>
    <w:p w14:paraId="7E7F22DC" w14:textId="77777777" w:rsidR="0032263C" w:rsidRPr="002D76BA" w:rsidRDefault="0032263C" w:rsidP="0032263C">
      <w:pPr>
        <w:spacing w:after="0" w:line="240" w:lineRule="auto"/>
        <w:jc w:val="both"/>
        <w:rPr>
          <w:rFonts w:ascii="Verdana" w:eastAsia="Calibri" w:hAnsi="Verdana" w:cs="Arial"/>
          <w:b/>
          <w:bCs/>
          <w:color w:val="000000"/>
          <w:lang w:val="en-US"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32263C" w:rsidRPr="005644FE" w14:paraId="4D57B6A9" w14:textId="77777777" w:rsidTr="00082AF8">
        <w:trPr>
          <w:trHeight w:val="162"/>
        </w:trPr>
        <w:tc>
          <w:tcPr>
            <w:tcW w:w="3119" w:type="dxa"/>
          </w:tcPr>
          <w:p w14:paraId="6E694EAD" w14:textId="77777777" w:rsidR="0032263C" w:rsidRPr="002D76BA" w:rsidRDefault="0032263C" w:rsidP="00082AF8">
            <w:pPr>
              <w:jc w:val="both"/>
              <w:rPr>
                <w:rFonts w:ascii="Verdana" w:eastAsia="Calibri" w:hAnsi="Verdana" w:cs="Arial"/>
                <w:b/>
                <w:bCs/>
                <w:color w:val="7030A0"/>
                <w:lang w:val="en-US" w:eastAsia="es-ES_tradnl"/>
              </w:rPr>
            </w:pPr>
          </w:p>
        </w:tc>
        <w:tc>
          <w:tcPr>
            <w:tcW w:w="5670" w:type="dxa"/>
          </w:tcPr>
          <w:p w14:paraId="58FC2D52" w14:textId="77777777" w:rsidR="0032263C" w:rsidRPr="005644FE" w:rsidRDefault="0032263C" w:rsidP="00082AF8">
            <w:pPr>
              <w:jc w:val="both"/>
              <w:rPr>
                <w:rFonts w:ascii="Verdana" w:eastAsia="Calibri" w:hAnsi="Verdana" w:cs="Arial"/>
                <w:b/>
                <w:bCs/>
                <w:lang w:eastAsia="es-ES"/>
              </w:rPr>
            </w:pPr>
            <w:r w:rsidRPr="005644FE">
              <w:rPr>
                <w:rFonts w:ascii="Verdana" w:eastAsia="Calibri" w:hAnsi="Verdana" w:cs="Arial"/>
                <w:b/>
                <w:bCs/>
                <w:lang w:eastAsia="es-ES"/>
              </w:rPr>
              <w:t>Concepto C</w:t>
            </w:r>
            <w:r w:rsidRPr="00D260F1">
              <w:rPr>
                <w:rFonts w:ascii="Verdana" w:eastAsia="Calibri" w:hAnsi="Verdana" w:cs="Arial"/>
                <w:b/>
                <w:bCs/>
                <w:lang w:eastAsia="es-ES"/>
              </w:rPr>
              <w:t>-</w:t>
            </w:r>
            <w:r>
              <w:rPr>
                <w:rFonts w:ascii="Verdana" w:eastAsia="Calibri" w:hAnsi="Verdana" w:cs="Arial"/>
                <w:b/>
                <w:bCs/>
                <w:lang w:eastAsia="es-ES"/>
              </w:rPr>
              <w:t xml:space="preserve"> 1109 de 2026</w:t>
            </w:r>
          </w:p>
          <w:p w14:paraId="5D6380F9" w14:textId="77777777" w:rsidR="0032263C" w:rsidRPr="005644FE" w:rsidRDefault="0032263C" w:rsidP="00082AF8">
            <w:pPr>
              <w:jc w:val="both"/>
              <w:rPr>
                <w:rFonts w:ascii="Verdana" w:eastAsia="Calibri" w:hAnsi="Verdana" w:cs="Arial"/>
                <w:b/>
                <w:bCs/>
                <w:color w:val="7030A0"/>
                <w:lang w:eastAsia="es-ES"/>
              </w:rPr>
            </w:pPr>
          </w:p>
        </w:tc>
      </w:tr>
      <w:tr w:rsidR="0032263C" w:rsidRPr="005644FE" w14:paraId="5F95BAA1" w14:textId="77777777" w:rsidTr="00082AF8">
        <w:trPr>
          <w:trHeight w:val="884"/>
        </w:trPr>
        <w:tc>
          <w:tcPr>
            <w:tcW w:w="3119" w:type="dxa"/>
          </w:tcPr>
          <w:p w14:paraId="390741F1" w14:textId="77777777" w:rsidR="0032263C" w:rsidRPr="005644FE" w:rsidRDefault="0032263C" w:rsidP="00082AF8">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66799E81" w14:textId="77777777" w:rsidR="0032263C" w:rsidRDefault="0032263C" w:rsidP="0010507E">
            <w:pPr>
              <w:jc w:val="both"/>
              <w:rPr>
                <w:rFonts w:ascii="Verdana" w:hAnsi="Verdana" w:cs="Arial"/>
                <w:bCs/>
                <w:lang w:val="es-ES" w:eastAsia="es-ES" w:bidi="es-ES"/>
              </w:rPr>
            </w:pPr>
            <w:r>
              <w:rPr>
                <w:rFonts w:ascii="Verdana" w:hAnsi="Verdana" w:cs="Arial"/>
                <w:bCs/>
                <w:lang w:val="es-ES" w:eastAsia="es-ES" w:bidi="es-ES"/>
              </w:rPr>
              <w:t>REQUISITOS HABILITANTES – Definición / REQUISITOS HABILITANTES – Carácter enunciativo – EXPERIENCIA – Alcance / REQUISITOS HABILITANTES – Discrecionalidad – Decreto 1082 de 2015</w:t>
            </w:r>
          </w:p>
          <w:p w14:paraId="62C2A08A" w14:textId="77777777" w:rsidR="0032263C" w:rsidRPr="001F2F6D" w:rsidRDefault="0032263C" w:rsidP="0010507E">
            <w:pPr>
              <w:jc w:val="both"/>
              <w:rPr>
                <w:rFonts w:ascii="Verdana" w:hAnsi="Verdana" w:cs="Arial"/>
                <w:bCs/>
                <w:lang w:val="es-ES" w:eastAsia="es-ES" w:bidi="es-ES"/>
              </w:rPr>
            </w:pPr>
            <w:r>
              <w:rPr>
                <w:rFonts w:ascii="Verdana" w:hAnsi="Verdana" w:cs="Arial"/>
                <w:bCs/>
                <w:lang w:val="es-ES" w:eastAsia="es-ES" w:bidi="es-ES"/>
              </w:rPr>
              <w:t xml:space="preserve"> </w:t>
            </w:r>
          </w:p>
        </w:tc>
      </w:tr>
      <w:tr w:rsidR="0032263C" w:rsidRPr="005644FE" w14:paraId="72C90DF3" w14:textId="77777777" w:rsidTr="00082AF8">
        <w:tc>
          <w:tcPr>
            <w:tcW w:w="3119" w:type="dxa"/>
          </w:tcPr>
          <w:p w14:paraId="0E258CEE" w14:textId="77777777" w:rsidR="0032263C" w:rsidRPr="005644FE" w:rsidRDefault="0032263C" w:rsidP="00082AF8">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519C4327" w14:textId="77777777" w:rsidR="0032263C" w:rsidRPr="00F04657" w:rsidRDefault="0032263C" w:rsidP="0010507E">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CB7751">
              <w:rPr>
                <w:rFonts w:ascii="Verdana" w:eastAsia="Calibri" w:hAnsi="Verdana" w:cs="Arial"/>
                <w:lang w:eastAsia="es-ES"/>
              </w:rPr>
              <w:t>1_2026_07_10_009180</w:t>
            </w:r>
          </w:p>
        </w:tc>
      </w:tr>
    </w:tbl>
    <w:p w14:paraId="26291ADD" w14:textId="77777777" w:rsidR="0032263C" w:rsidRPr="005644FE" w:rsidRDefault="0032263C" w:rsidP="0032263C">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11F8663B" w14:textId="77777777" w:rsidR="0032263C" w:rsidRPr="005644FE" w:rsidRDefault="0032263C" w:rsidP="0032263C">
      <w:pPr>
        <w:spacing w:after="0" w:line="276" w:lineRule="auto"/>
        <w:jc w:val="both"/>
        <w:rPr>
          <w:rFonts w:ascii="Verdana" w:eastAsia="Calibri" w:hAnsi="Verdana" w:cs="Arial"/>
          <w:lang w:eastAsia="es-ES"/>
        </w:rPr>
      </w:pPr>
      <w:r>
        <w:rPr>
          <w:rFonts w:ascii="Verdana" w:eastAsia="Calibri" w:hAnsi="Verdana" w:cs="Arial"/>
          <w:lang w:eastAsia="es-ES"/>
        </w:rPr>
        <w:t>Estimado señor Santamaría:</w:t>
      </w:r>
    </w:p>
    <w:p w14:paraId="0176A607" w14:textId="77777777" w:rsidR="0032263C" w:rsidRPr="00E02524" w:rsidRDefault="0032263C" w:rsidP="0010507E">
      <w:pPr>
        <w:spacing w:after="0" w:line="276" w:lineRule="auto"/>
        <w:jc w:val="both"/>
        <w:rPr>
          <w:rFonts w:ascii="Verdana" w:hAnsi="Verdana"/>
          <w:lang w:val="es-MX"/>
        </w:rPr>
      </w:pPr>
    </w:p>
    <w:p w14:paraId="3FCBFDAF" w14:textId="41D1E895" w:rsidR="0032263C" w:rsidRPr="0084712D" w:rsidRDefault="0032263C" w:rsidP="00017423">
      <w:pPr>
        <w:spacing w:after="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w:t>
      </w:r>
      <w:r>
        <w:rPr>
          <w:rFonts w:ascii="Verdana" w:hAnsi="Verdana"/>
        </w:rPr>
        <w:t xml:space="preserve">su </w:t>
      </w:r>
      <w:r w:rsidRPr="0084712D">
        <w:rPr>
          <w:rFonts w:ascii="Verdana" w:hAnsi="Verdana"/>
        </w:rPr>
        <w:t>solicitud de consulta</w:t>
      </w:r>
      <w:r>
        <w:rPr>
          <w:rFonts w:ascii="Verdana" w:hAnsi="Verdana"/>
        </w:rPr>
        <w:t xml:space="preserve"> de 10 de julio de 2026 </w:t>
      </w:r>
      <w:r w:rsidRPr="0084712D">
        <w:rPr>
          <w:rFonts w:ascii="Verdana" w:hAnsi="Verdana"/>
        </w:rPr>
        <w:t>en la cual manifiesta lo siguiente:</w:t>
      </w:r>
    </w:p>
    <w:p w14:paraId="2CD47B11" w14:textId="77777777" w:rsidR="00017423" w:rsidRPr="0084712D" w:rsidRDefault="00017423" w:rsidP="0010507E">
      <w:pPr>
        <w:spacing w:after="0" w:line="276" w:lineRule="auto"/>
        <w:jc w:val="both"/>
        <w:rPr>
          <w:rFonts w:ascii="Verdana" w:hAnsi="Verdana"/>
        </w:rPr>
      </w:pPr>
    </w:p>
    <w:p w14:paraId="0FD003B0" w14:textId="77777777" w:rsidR="0032263C" w:rsidRDefault="0032263C" w:rsidP="0010507E">
      <w:pPr>
        <w:spacing w:after="0" w:line="276" w:lineRule="auto"/>
        <w:jc w:val="both"/>
        <w:rPr>
          <w:rFonts w:ascii="Verdana" w:hAnsi="Verdana"/>
        </w:rPr>
      </w:pPr>
      <w:r w:rsidRPr="00E02524">
        <w:rPr>
          <w:rFonts w:ascii="Verdana" w:hAnsi="Verdana"/>
        </w:rPr>
        <w:t xml:space="preserve">PETICIÓN REALIZADA </w:t>
      </w:r>
    </w:p>
    <w:p w14:paraId="0A796529" w14:textId="77777777" w:rsidR="00017423" w:rsidRDefault="00017423" w:rsidP="0032263C">
      <w:pPr>
        <w:spacing w:after="0" w:line="240" w:lineRule="auto"/>
        <w:ind w:left="851" w:right="758"/>
        <w:jc w:val="both"/>
        <w:rPr>
          <w:rFonts w:ascii="Verdana" w:hAnsi="Verdana"/>
          <w:sz w:val="20"/>
          <w:szCs w:val="20"/>
        </w:rPr>
      </w:pPr>
    </w:p>
    <w:p w14:paraId="3A2A1F1A" w14:textId="6E81F3F8" w:rsidR="0032263C" w:rsidRDefault="0032263C" w:rsidP="0010507E">
      <w:pPr>
        <w:spacing w:after="0" w:line="240" w:lineRule="auto"/>
        <w:ind w:left="709" w:right="709"/>
        <w:jc w:val="both"/>
        <w:rPr>
          <w:rFonts w:ascii="Verdana" w:hAnsi="Verdana"/>
          <w:sz w:val="20"/>
          <w:szCs w:val="20"/>
        </w:rPr>
      </w:pPr>
      <w:r>
        <w:rPr>
          <w:rFonts w:ascii="Verdana" w:hAnsi="Verdana"/>
          <w:sz w:val="20"/>
          <w:szCs w:val="20"/>
        </w:rPr>
        <w:t xml:space="preserve">“(…) </w:t>
      </w:r>
      <w:r w:rsidRPr="002D76BA">
        <w:rPr>
          <w:rFonts w:ascii="Verdana" w:hAnsi="Verdana"/>
          <w:sz w:val="20"/>
          <w:szCs w:val="20"/>
        </w:rPr>
        <w:t xml:space="preserve">¿Bajo el ordenamiento jurídico aplicable a la contratación pública, la experiencia adquirida por un proponente en la ejecución de contratos </w:t>
      </w:r>
      <w:proofErr w:type="gramStart"/>
      <w:r w:rsidRPr="002D76BA">
        <w:rPr>
          <w:rFonts w:ascii="Verdana" w:hAnsi="Verdana"/>
          <w:sz w:val="20"/>
          <w:szCs w:val="20"/>
        </w:rPr>
        <w:t>caduca,</w:t>
      </w:r>
      <w:proofErr w:type="gramEnd"/>
      <w:r w:rsidRPr="002D76BA">
        <w:rPr>
          <w:rFonts w:ascii="Verdana" w:hAnsi="Verdana"/>
          <w:sz w:val="20"/>
          <w:szCs w:val="20"/>
        </w:rPr>
        <w:t xml:space="preserve"> prescribe o pierde su validez intrínseca por el simple transcurso del tiempo? </w:t>
      </w:r>
    </w:p>
    <w:p w14:paraId="7CF7E9B4" w14:textId="77777777" w:rsidR="0032263C" w:rsidRDefault="0032263C" w:rsidP="0010507E">
      <w:pPr>
        <w:spacing w:after="0" w:line="240" w:lineRule="auto"/>
        <w:ind w:left="709" w:right="709"/>
        <w:jc w:val="both"/>
        <w:rPr>
          <w:rFonts w:ascii="Verdana" w:hAnsi="Verdana"/>
          <w:sz w:val="20"/>
          <w:szCs w:val="20"/>
        </w:rPr>
      </w:pPr>
    </w:p>
    <w:p w14:paraId="4DCDA69C" w14:textId="77777777" w:rsidR="0032263C" w:rsidRDefault="0032263C" w:rsidP="0010507E">
      <w:pPr>
        <w:spacing w:after="0" w:line="240" w:lineRule="auto"/>
        <w:ind w:left="709" w:right="709"/>
        <w:jc w:val="both"/>
        <w:rPr>
          <w:rFonts w:ascii="Verdana" w:hAnsi="Verdana"/>
          <w:sz w:val="20"/>
          <w:szCs w:val="20"/>
        </w:rPr>
      </w:pPr>
      <w:r w:rsidRPr="002D76BA">
        <w:rPr>
          <w:rFonts w:ascii="Verdana" w:hAnsi="Verdana"/>
          <w:sz w:val="20"/>
          <w:szCs w:val="20"/>
        </w:rPr>
        <w:t xml:space="preserve">2. ¿Constituye una vulneración a los principios de libre concurrencia, proporcionalidad y selección objetiva, el hecho de que una entidad estatal (o entidad de régimen especial que administre recursos públicos) restrinja la validez de la experiencia a contratos ejecutados únicamente en los últimos dos o tres años, descartando experiencia idónea previa sin una justificación técnica y de mercado que demuestre la obsolescencia absoluta de dicho conocimiento? </w:t>
      </w:r>
    </w:p>
    <w:p w14:paraId="657D9133" w14:textId="77777777" w:rsidR="0032263C" w:rsidRDefault="0032263C" w:rsidP="0010507E">
      <w:pPr>
        <w:spacing w:after="0" w:line="240" w:lineRule="auto"/>
        <w:ind w:left="709" w:right="709"/>
        <w:jc w:val="both"/>
        <w:rPr>
          <w:rFonts w:ascii="Verdana" w:hAnsi="Verdana"/>
          <w:sz w:val="20"/>
          <w:szCs w:val="20"/>
        </w:rPr>
      </w:pPr>
    </w:p>
    <w:p w14:paraId="1D384C43" w14:textId="77777777" w:rsidR="0032263C" w:rsidRDefault="0032263C" w:rsidP="0010507E">
      <w:pPr>
        <w:spacing w:after="0" w:line="240" w:lineRule="auto"/>
        <w:ind w:left="709" w:right="709"/>
        <w:jc w:val="both"/>
        <w:rPr>
          <w:rFonts w:ascii="Verdana" w:hAnsi="Verdana"/>
          <w:sz w:val="20"/>
          <w:szCs w:val="20"/>
        </w:rPr>
      </w:pPr>
      <w:r w:rsidRPr="002D76BA">
        <w:rPr>
          <w:rFonts w:ascii="Verdana" w:hAnsi="Verdana"/>
          <w:sz w:val="20"/>
          <w:szCs w:val="20"/>
        </w:rPr>
        <w:t>3. ¿Cuáles son los lineamientos, límites o directrices que ha emitido Colombia Compra Eficiente frente a la estructuración de los requisitos habilitantes de experiencia, específicamente en lo relacionado con las limitaciones temporales en los pliegos de condiciones, para garantizar la máxima participación de oferentes?</w:t>
      </w:r>
    </w:p>
    <w:p w14:paraId="13D26E0D" w14:textId="77777777" w:rsidR="0032263C" w:rsidRPr="00647D77" w:rsidRDefault="0032263C" w:rsidP="0032263C">
      <w:pPr>
        <w:spacing w:after="0" w:line="240" w:lineRule="auto"/>
        <w:ind w:left="851" w:right="758"/>
        <w:jc w:val="both"/>
        <w:rPr>
          <w:rFonts w:ascii="Verdana" w:hAnsi="Verdana"/>
        </w:rPr>
      </w:pPr>
    </w:p>
    <w:p w14:paraId="0AD495AF" w14:textId="77777777" w:rsidR="0032263C" w:rsidRDefault="0032263C" w:rsidP="0032263C">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w:t>
      </w:r>
      <w:r w:rsidRPr="00990488">
        <w:rPr>
          <w:rFonts w:ascii="Verdana" w:eastAsia="Calibri" w:hAnsi="Verdana" w:cs="Arial"/>
          <w:color w:val="000000"/>
          <w:lang w:eastAsia="es-ES"/>
        </w:rPr>
        <w:t xml:space="preserve">pública. Esta competencia de interpretación de normas generales, por definición, no puede extenderse a la resolución de controversias, ni a brindar asesorías sobre casos puntuales. </w:t>
      </w:r>
    </w:p>
    <w:p w14:paraId="187F0D74" w14:textId="77777777" w:rsidR="0032263C" w:rsidRPr="007F2842" w:rsidRDefault="0032263C" w:rsidP="0010507E">
      <w:pPr>
        <w:spacing w:after="0" w:line="276" w:lineRule="auto"/>
        <w:ind w:firstLine="709"/>
        <w:jc w:val="both"/>
        <w:rPr>
          <w:rFonts w:ascii="Verdana" w:eastAsia="Calibri" w:hAnsi="Verdana" w:cs="Arial"/>
          <w:lang w:eastAsia="es-ES"/>
        </w:rPr>
      </w:pPr>
      <w:r w:rsidRPr="005B0F95">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w:t>
      </w:r>
      <w:r w:rsidRPr="007F2842">
        <w:rPr>
          <w:rFonts w:ascii="Verdana" w:eastAsia="Calibri" w:hAnsi="Verdana" w:cs="Arial"/>
          <w:color w:val="000000"/>
          <w:lang w:eastAsia="es-ES"/>
        </w:rPr>
        <w:t>es, haciendo abstracción del caso particular y concreto señalado en su petición, pero señalando algunas consideraciones sobre las normas generales relacionadas a los problemas jurídicos de su consulta.</w:t>
      </w:r>
      <w:r w:rsidRPr="007F2842">
        <w:rPr>
          <w:rFonts w:ascii="Verdana" w:eastAsia="Calibri" w:hAnsi="Verdana" w:cs="Arial"/>
          <w:lang w:eastAsia="es-ES"/>
        </w:rPr>
        <w:t xml:space="preserve"> </w:t>
      </w:r>
    </w:p>
    <w:p w14:paraId="5D33DB6D" w14:textId="77777777" w:rsidR="0032263C" w:rsidRPr="007F2842" w:rsidRDefault="0032263C" w:rsidP="0032263C">
      <w:pPr>
        <w:spacing w:after="0" w:line="240" w:lineRule="auto"/>
        <w:ind w:firstLine="709"/>
        <w:jc w:val="both"/>
        <w:rPr>
          <w:rFonts w:ascii="Verdana" w:eastAsia="Calibri" w:hAnsi="Verdana" w:cs="Arial"/>
          <w:color w:val="000000"/>
          <w:szCs w:val="24"/>
          <w:lang w:eastAsia="es-ES_tradnl"/>
        </w:rPr>
      </w:pPr>
    </w:p>
    <w:p w14:paraId="2975DEF5" w14:textId="77777777" w:rsidR="0032263C" w:rsidRPr="007F2842" w:rsidRDefault="0032263C" w:rsidP="0032263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7F2842">
        <w:rPr>
          <w:rFonts w:ascii="Verdana" w:eastAsia="Century Gothic" w:hAnsi="Verdana" w:cs="Century Gothic"/>
          <w:b/>
          <w:bCs/>
        </w:rPr>
        <w:t>Problema planteado:</w:t>
      </w:r>
    </w:p>
    <w:p w14:paraId="29F7283C" w14:textId="77777777" w:rsidR="0032263C" w:rsidRPr="007F2842" w:rsidRDefault="0032263C" w:rsidP="0032263C">
      <w:pPr>
        <w:spacing w:after="0" w:line="240" w:lineRule="auto"/>
        <w:jc w:val="both"/>
        <w:rPr>
          <w:rFonts w:ascii="Verdana" w:eastAsia="Calibri" w:hAnsi="Verdana" w:cs="Arial"/>
          <w:color w:val="000000"/>
          <w:lang w:eastAsia="es-ES"/>
        </w:rPr>
      </w:pPr>
    </w:p>
    <w:p w14:paraId="09CF475D" w14:textId="1E99928D" w:rsidR="0032263C" w:rsidRDefault="0032263C" w:rsidP="00017423">
      <w:pPr>
        <w:spacing w:after="0" w:line="276" w:lineRule="auto"/>
        <w:jc w:val="both"/>
        <w:rPr>
          <w:rFonts w:ascii="Verdana" w:eastAsia="Calibri" w:hAnsi="Verdana" w:cs="Arial"/>
          <w:color w:val="000000"/>
          <w:lang w:eastAsia="es-ES"/>
        </w:rPr>
      </w:pPr>
      <w:r w:rsidRPr="007F2842">
        <w:rPr>
          <w:rFonts w:ascii="Verdana" w:eastAsia="Calibri" w:hAnsi="Verdana" w:cs="Arial"/>
          <w:color w:val="000000"/>
          <w:lang w:eastAsia="es-ES"/>
        </w:rPr>
        <w:t>De acuerdo con el contenido de su solicitud, esta Agencia resolverá el siguiente problema jurídico: ¿La</w:t>
      </w:r>
      <w:r w:rsidR="00017423">
        <w:rPr>
          <w:rFonts w:ascii="Verdana" w:eastAsia="Calibri" w:hAnsi="Verdana" w:cs="Arial"/>
          <w:color w:val="000000"/>
          <w:lang w:eastAsia="es-ES"/>
        </w:rPr>
        <w:t>s</w:t>
      </w:r>
      <w:r w:rsidRPr="007F2842">
        <w:rPr>
          <w:rFonts w:ascii="Verdana" w:eastAsia="Calibri" w:hAnsi="Verdana" w:cs="Arial"/>
          <w:color w:val="000000"/>
          <w:lang w:eastAsia="es-ES"/>
        </w:rPr>
        <w:t xml:space="preserve"> entidad</w:t>
      </w:r>
      <w:r w:rsidR="00017423">
        <w:rPr>
          <w:rFonts w:ascii="Verdana" w:eastAsia="Calibri" w:hAnsi="Verdana" w:cs="Arial"/>
          <w:color w:val="000000"/>
          <w:lang w:eastAsia="es-ES"/>
        </w:rPr>
        <w:t>es</w:t>
      </w:r>
      <w:r w:rsidRPr="007F2842">
        <w:rPr>
          <w:rFonts w:ascii="Verdana" w:eastAsia="Calibri" w:hAnsi="Verdana" w:cs="Arial"/>
          <w:color w:val="000000"/>
          <w:lang w:eastAsia="es-ES"/>
        </w:rPr>
        <w:t xml:space="preserve"> estatal</w:t>
      </w:r>
      <w:r w:rsidR="00017423">
        <w:rPr>
          <w:rFonts w:ascii="Verdana" w:eastAsia="Calibri" w:hAnsi="Verdana" w:cs="Arial"/>
          <w:color w:val="000000"/>
          <w:lang w:eastAsia="es-ES"/>
        </w:rPr>
        <w:t>es</w:t>
      </w:r>
      <w:r w:rsidRPr="007F2842">
        <w:rPr>
          <w:rFonts w:ascii="Verdana" w:eastAsia="Calibri" w:hAnsi="Verdana" w:cs="Arial"/>
          <w:color w:val="000000"/>
          <w:lang w:eastAsia="es-ES"/>
        </w:rPr>
        <w:t xml:space="preserve"> sometida</w:t>
      </w:r>
      <w:r w:rsidR="00017423">
        <w:rPr>
          <w:rFonts w:ascii="Verdana" w:eastAsia="Calibri" w:hAnsi="Verdana" w:cs="Arial"/>
          <w:color w:val="000000"/>
          <w:lang w:eastAsia="es-ES"/>
        </w:rPr>
        <w:t>s</w:t>
      </w:r>
      <w:r w:rsidRPr="007F2842">
        <w:rPr>
          <w:rFonts w:ascii="Verdana" w:eastAsia="Calibri" w:hAnsi="Verdana" w:cs="Arial"/>
          <w:color w:val="000000"/>
          <w:lang w:eastAsia="es-ES"/>
        </w:rPr>
        <w:t xml:space="preserve"> al Estatuto General de Contratación </w:t>
      </w:r>
      <w:r w:rsidR="00017423">
        <w:rPr>
          <w:rFonts w:ascii="Verdana" w:eastAsia="Calibri" w:hAnsi="Verdana" w:cs="Arial"/>
          <w:color w:val="000000"/>
          <w:lang w:eastAsia="es-ES"/>
        </w:rPr>
        <w:t>de la Administración Pública</w:t>
      </w:r>
      <w:r w:rsidRPr="007F2842">
        <w:rPr>
          <w:rFonts w:ascii="Verdana" w:eastAsia="Calibri" w:hAnsi="Verdana" w:cs="Arial"/>
          <w:color w:val="000000"/>
          <w:lang w:eastAsia="es-ES"/>
        </w:rPr>
        <w:t xml:space="preserve"> o aquellas con régimen especial de contratación pueden limitar el requisito habilitante de experiencia a contratos ejecutados en un plazo determinado?</w:t>
      </w:r>
    </w:p>
    <w:p w14:paraId="72FB7B20" w14:textId="77777777" w:rsidR="00017423" w:rsidRDefault="00017423" w:rsidP="0010507E">
      <w:pPr>
        <w:spacing w:after="0" w:line="276" w:lineRule="auto"/>
        <w:jc w:val="both"/>
        <w:rPr>
          <w:rFonts w:ascii="Verdana" w:eastAsia="Calibri" w:hAnsi="Verdana" w:cs="Arial"/>
          <w:color w:val="000000"/>
          <w:lang w:eastAsia="es-ES"/>
        </w:rPr>
      </w:pPr>
    </w:p>
    <w:p w14:paraId="6FF16BC9" w14:textId="34AF7B21" w:rsidR="0032263C" w:rsidRDefault="0032263C" w:rsidP="00017423">
      <w:pPr>
        <w:spacing w:after="0" w:line="276" w:lineRule="auto"/>
        <w:jc w:val="both"/>
        <w:rPr>
          <w:rFonts w:ascii="Verdana" w:eastAsia="Century Gothic" w:hAnsi="Verdana" w:cs="Century Gothic"/>
          <w:b/>
        </w:rPr>
      </w:pPr>
      <w:r>
        <w:rPr>
          <w:rFonts w:ascii="Verdana" w:eastAsia="Century Gothic" w:hAnsi="Verdana" w:cs="Century Gothic"/>
          <w:b/>
          <w:bCs/>
        </w:rPr>
        <w:t>2. Respuesta:</w:t>
      </w:r>
    </w:p>
    <w:p w14:paraId="4B13683F" w14:textId="77777777" w:rsidR="00017423" w:rsidRPr="00185290" w:rsidRDefault="00017423" w:rsidP="0010507E">
      <w:pPr>
        <w:spacing w:after="0" w:line="276" w:lineRule="auto"/>
        <w:jc w:val="both"/>
        <w:rPr>
          <w:rFonts w:ascii="Verdana" w:eastAsia="Century Gothic" w:hAnsi="Verdana" w:cs="Century Gothic"/>
        </w:rPr>
      </w:pPr>
    </w:p>
    <w:tbl>
      <w:tblPr>
        <w:tblStyle w:val="Tablaconcuadrcula"/>
        <w:tblW w:w="0" w:type="auto"/>
        <w:tblLook w:val="04A0" w:firstRow="1" w:lastRow="0" w:firstColumn="1" w:lastColumn="0" w:noHBand="0" w:noVBand="1"/>
      </w:tblPr>
      <w:tblGrid>
        <w:gridCol w:w="8828"/>
      </w:tblGrid>
      <w:tr w:rsidR="0032263C" w:rsidRPr="005644FE" w14:paraId="2B334EED" w14:textId="77777777" w:rsidTr="00082AF8">
        <w:tc>
          <w:tcPr>
            <w:tcW w:w="8828" w:type="dxa"/>
          </w:tcPr>
          <w:p w14:paraId="1BC0F648" w14:textId="77777777" w:rsidR="0032263C" w:rsidRDefault="0032263C" w:rsidP="00082AF8">
            <w:pPr>
              <w:spacing w:after="120" w:line="276" w:lineRule="auto"/>
              <w:jc w:val="both"/>
              <w:rPr>
                <w:rFonts w:ascii="Verdana" w:eastAsia="Calibri" w:hAnsi="Verdana" w:cs="Arial"/>
                <w:color w:val="000000"/>
                <w:lang w:val="es-ES_tradnl"/>
              </w:rPr>
            </w:pPr>
            <w:r w:rsidRPr="008853E4">
              <w:rPr>
                <w:rFonts w:ascii="Verdana" w:eastAsia="Calibri" w:hAnsi="Verdana" w:cs="Arial"/>
                <w:color w:val="000000" w:themeColor="text1"/>
                <w:lang w:val="es-ES_tradnl"/>
              </w:rPr>
              <w:t xml:space="preserve">La </w:t>
            </w:r>
            <w:r w:rsidRPr="008853E4">
              <w:rPr>
                <w:rFonts w:ascii="Verdana" w:eastAsia="Calibri" w:hAnsi="Verdana" w:cs="Arial"/>
                <w:bCs/>
                <w:i/>
                <w:iCs/>
                <w:color w:val="000000" w:themeColor="text1"/>
                <w:lang w:val="es-ES_tradnl"/>
              </w:rPr>
              <w:t>experiencia</w:t>
            </w:r>
            <w:r w:rsidRPr="008853E4">
              <w:rPr>
                <w:rFonts w:ascii="Verdana" w:eastAsia="Calibri" w:hAnsi="Verdana" w:cs="Arial"/>
                <w:i/>
                <w:iCs/>
                <w:color w:val="000000" w:themeColor="text1"/>
                <w:lang w:val="es-ES_tradnl"/>
              </w:rPr>
              <w:t xml:space="preserve"> </w:t>
            </w:r>
            <w:r w:rsidRPr="008853E4">
              <w:rPr>
                <w:rFonts w:ascii="Verdana" w:eastAsia="Calibri" w:hAnsi="Verdana" w:cs="Arial"/>
                <w:color w:val="000000" w:themeColor="text1"/>
                <w:lang w:val="es-ES_tradnl"/>
              </w:rPr>
              <w:t xml:space="preserve">como requisito habilitante tiene como propósito que </w:t>
            </w:r>
            <w:r w:rsidRPr="008853E4">
              <w:rPr>
                <w:rStyle w:val="normaltextrun"/>
                <w:rFonts w:ascii="Verdana" w:hAnsi="Verdana" w:cs="Arial"/>
                <w:color w:val="000000" w:themeColor="text1"/>
                <w:lang w:val="es-ES_tradnl"/>
              </w:rPr>
              <w:t>las entidades fijen unos requisitos mínimos de idoneidad técnica que deben acreditar los proponentes, para que puedan verificar su aptitud para participar en el proceso de selección y, eventualmente, ejecutar el contrato estatal. La entidad, como responsable de la estructuración del proceso de contratación, en principio, es autónoma para requerir la experiencia necesaria para el objeto contractual, para lo cual, de acuerdo con el artículo 2.2.1.1.1.6.2 del Decreto 1082 de 2015, debe tener en cuenta el estudio del sector y sus diferentes componentes, tales como la identificación de riesgos, el mercado y el precio del bien, obra o servicio a contratar</w:t>
            </w:r>
            <w:r>
              <w:rPr>
                <w:rStyle w:val="normaltextrun"/>
                <w:rFonts w:ascii="Verdana" w:hAnsi="Verdana" w:cs="Arial"/>
                <w:color w:val="000000" w:themeColor="text1"/>
                <w:lang w:val="es-ES_tradnl"/>
              </w:rPr>
              <w:t>.</w:t>
            </w:r>
          </w:p>
          <w:p w14:paraId="54B4F029" w14:textId="77777777" w:rsidR="0032263C" w:rsidRPr="005B1413" w:rsidRDefault="0032263C" w:rsidP="00082AF8">
            <w:pPr>
              <w:spacing w:after="120" w:line="276" w:lineRule="auto"/>
              <w:ind w:firstLine="709"/>
              <w:jc w:val="both"/>
              <w:rPr>
                <w:rFonts w:ascii="Verdana" w:eastAsia="Calibri" w:hAnsi="Verdana" w:cs="Arial"/>
                <w:color w:val="000000"/>
                <w:lang w:val="es-ES_tradnl"/>
              </w:rPr>
            </w:pPr>
            <w:r>
              <w:rPr>
                <w:rFonts w:ascii="Verdana" w:eastAsia="Calibri" w:hAnsi="Verdana" w:cs="Arial"/>
                <w:color w:val="000000"/>
              </w:rPr>
              <w:t>Con base en lo anterior</w:t>
            </w:r>
            <w:r w:rsidRPr="00F30DD3">
              <w:rPr>
                <w:rFonts w:ascii="Verdana" w:eastAsia="Calibri" w:hAnsi="Verdana" w:cs="Arial"/>
                <w:color w:val="000000"/>
              </w:rPr>
              <w:t>, corresponde a las entidades estatales, durante la etapa de planeación del contrato estatal, estudiar y determinar los requisitos habilitantes que establecerán en los pliegos de condiciones, los cuales deben fijarse de forma adecuada y proporcional. Esto último, según se deriva de la lectura del artículo 2.2.1.1.1.6.2 del Decreto 1082 de 2015, debe hacerse de acuerdo con la naturaleza, el valor del contrato, la forma de pago, los riesgos asociados al contrato, el plazo y la complejidad de ejecución del objeto.</w:t>
            </w:r>
          </w:p>
          <w:p w14:paraId="472649DA" w14:textId="77777777" w:rsidR="00017423" w:rsidRDefault="0032263C" w:rsidP="00082AF8">
            <w:pPr>
              <w:widowControl w:val="0"/>
              <w:autoSpaceDE w:val="0"/>
              <w:autoSpaceDN w:val="0"/>
              <w:spacing w:after="120" w:line="276" w:lineRule="auto"/>
              <w:ind w:firstLine="709"/>
              <w:jc w:val="both"/>
              <w:rPr>
                <w:rFonts w:ascii="Verdana" w:eastAsia="Calibri" w:hAnsi="Verdana" w:cs="Arial"/>
                <w:color w:val="000000"/>
              </w:rPr>
            </w:pPr>
            <w:r w:rsidRPr="00F30DD3">
              <w:rPr>
                <w:rFonts w:ascii="Verdana" w:eastAsia="Calibri" w:hAnsi="Verdana" w:cs="Arial"/>
                <w:color w:val="000000"/>
              </w:rPr>
              <w:t xml:space="preserve">De esta manera, la facultad de establecer los requisitos habilitantes no puede ejercerse de forma arbitraria, caprichosa y, mucho menos, con el ánimo de direccionar el proceso de contratación o favorecer a alguno de los proponentes, así como tampoco puede ejercerse desconociendo límites legales, como, por ejemplo, el que estable el artículo 5, parágrafo 2, de la Ley 1150 de 2007, relacionado con la prohibición de exigir certificaciones de sistemas de gestión de calidad como requisito habilitante. </w:t>
            </w:r>
          </w:p>
          <w:p w14:paraId="3C6E4417" w14:textId="1C460787" w:rsidR="0032263C" w:rsidRDefault="0032263C" w:rsidP="00082AF8">
            <w:pPr>
              <w:widowControl w:val="0"/>
              <w:autoSpaceDE w:val="0"/>
              <w:autoSpaceDN w:val="0"/>
              <w:spacing w:after="120" w:line="276" w:lineRule="auto"/>
              <w:ind w:firstLine="709"/>
              <w:jc w:val="both"/>
              <w:rPr>
                <w:rFonts w:ascii="Verdana" w:eastAsia="Calibri" w:hAnsi="Verdana" w:cs="Arial"/>
                <w:color w:val="000000"/>
              </w:rPr>
            </w:pPr>
            <w:r>
              <w:rPr>
                <w:rFonts w:ascii="Verdana" w:eastAsia="Calibri" w:hAnsi="Verdana" w:cs="Arial"/>
                <w:color w:val="000000"/>
              </w:rPr>
              <w:t>En este escenario, existirán sectores del mercado que, por ejemplo, por el avance tecnológico y las exigencias que conlleva desde el punto de vista normativo o técnico, la entidad estatal requiera que la experiencia se limite en un ámbito temporal</w:t>
            </w:r>
            <w:r w:rsidR="00017423">
              <w:rPr>
                <w:rFonts w:ascii="Verdana" w:eastAsia="Calibri" w:hAnsi="Verdana" w:cs="Arial"/>
                <w:color w:val="000000"/>
              </w:rPr>
              <w:t>, sin que ello signifique que la experiencia adquirida caduca o prescribe por el paso del tiempo</w:t>
            </w:r>
            <w:r>
              <w:rPr>
                <w:rFonts w:ascii="Verdana" w:eastAsia="Calibri" w:hAnsi="Verdana" w:cs="Arial"/>
                <w:color w:val="000000"/>
              </w:rPr>
              <w:t xml:space="preserve">; no </w:t>
            </w:r>
            <w:proofErr w:type="gramStart"/>
            <w:r>
              <w:rPr>
                <w:rFonts w:ascii="Verdana" w:eastAsia="Calibri" w:hAnsi="Verdana" w:cs="Arial"/>
                <w:color w:val="000000"/>
              </w:rPr>
              <w:t>obstante</w:t>
            </w:r>
            <w:proofErr w:type="gramEnd"/>
            <w:r>
              <w:rPr>
                <w:rFonts w:ascii="Verdana" w:eastAsia="Calibri" w:hAnsi="Verdana" w:cs="Arial"/>
                <w:color w:val="000000"/>
              </w:rPr>
              <w:t xml:space="preserve"> lo anterior, la administración deberá justificar de manera razonada y proporcional dicha limitación.  </w:t>
            </w:r>
          </w:p>
          <w:p w14:paraId="6D36EF1C" w14:textId="7F7EFE8D" w:rsidR="0032263C" w:rsidRPr="00F30DD3" w:rsidRDefault="0032263C" w:rsidP="00082AF8">
            <w:pPr>
              <w:widowControl w:val="0"/>
              <w:autoSpaceDE w:val="0"/>
              <w:autoSpaceDN w:val="0"/>
              <w:spacing w:after="120" w:line="276" w:lineRule="auto"/>
              <w:ind w:firstLine="709"/>
              <w:jc w:val="both"/>
              <w:rPr>
                <w:rFonts w:ascii="Verdana" w:eastAsia="Calibri" w:hAnsi="Verdana" w:cs="Arial"/>
                <w:color w:val="000000"/>
              </w:rPr>
            </w:pPr>
            <w:r w:rsidRPr="00F30DD3">
              <w:rPr>
                <w:rFonts w:ascii="Verdana" w:eastAsia="Calibri" w:hAnsi="Verdana" w:cs="Arial"/>
                <w:color w:val="000000"/>
              </w:rPr>
              <w:t xml:space="preserve">Esto en la medida que, además de los argumentos que ya se han planteado, </w:t>
            </w:r>
            <w:r w:rsidR="00CE58D4">
              <w:rPr>
                <w:rFonts w:ascii="Verdana" w:eastAsia="Calibri" w:hAnsi="Verdana" w:cs="Arial"/>
                <w:color w:val="000000"/>
              </w:rPr>
              <w:t>una lectura diferente</w:t>
            </w:r>
            <w:r w:rsidRPr="00F30DD3">
              <w:rPr>
                <w:rFonts w:ascii="Verdana" w:eastAsia="Calibri" w:hAnsi="Verdana" w:cs="Arial"/>
                <w:color w:val="000000"/>
              </w:rPr>
              <w:t xml:space="preserve"> negaría la autonomía reconocida en el Estatuto General de Contratación de la Administración Pública a los órganos del Estado para confeccionar el pliego de condiciones o los documentos equivalentes y, específicamente, para definir los requisitos que deben reunir los oferentes, según los factores advertidos durante los estudios previos, en armonía con los principios de legalidad y proporcionalidad.</w:t>
            </w:r>
          </w:p>
          <w:p w14:paraId="6F7FED52" w14:textId="20CB34A6" w:rsidR="0032263C" w:rsidRPr="00F30DD3" w:rsidRDefault="0032263C" w:rsidP="00082AF8">
            <w:pPr>
              <w:widowControl w:val="0"/>
              <w:autoSpaceDE w:val="0"/>
              <w:autoSpaceDN w:val="0"/>
              <w:spacing w:after="120" w:line="276" w:lineRule="auto"/>
              <w:ind w:firstLine="709"/>
              <w:jc w:val="both"/>
              <w:rPr>
                <w:rFonts w:ascii="Verdana" w:eastAsia="Calibri" w:hAnsi="Verdana" w:cs="Arial"/>
                <w:color w:val="000000"/>
              </w:rPr>
            </w:pPr>
            <w:r w:rsidRPr="00F30DD3">
              <w:rPr>
                <w:rFonts w:ascii="Verdana" w:eastAsia="Calibri" w:hAnsi="Verdana" w:cs="Arial"/>
                <w:color w:val="000000"/>
              </w:rPr>
              <w:t>Considerando la discrecionalidad para establecer requisitos habilitantes, es necesario tener en cuenta que el artículo 44 de la Ley 1437 de 2011 –aplicable en los procedimientos contractuales en virtud del artículo 77 de la Ley 80 de 1993– dispone que</w:t>
            </w:r>
            <w:r w:rsidR="00A121FB">
              <w:rPr>
                <w:rFonts w:ascii="Verdana" w:eastAsia="Calibri" w:hAnsi="Verdana" w:cs="Arial"/>
                <w:color w:val="000000"/>
              </w:rPr>
              <w:t>:</w:t>
            </w:r>
            <w:r w:rsidRPr="00F30DD3">
              <w:rPr>
                <w:rFonts w:ascii="Verdana" w:eastAsia="Calibri" w:hAnsi="Verdana" w:cs="Arial"/>
                <w:color w:val="000000"/>
              </w:rPr>
              <w:t xml:space="preserve"> “En la medida en que el contenido de una decisión de carácter general o particular sea discrecional, debe ser adecuada a los fines de la norma que la autoriza, y proporcional a los hechos que le sirven de causa”. Dado lo anterior, para efectos de configurar requisitos habilitantes la </w:t>
            </w:r>
            <w:r w:rsidR="00A121FB">
              <w:rPr>
                <w:rFonts w:ascii="Verdana" w:eastAsia="Calibri" w:hAnsi="Verdana" w:cs="Arial"/>
                <w:color w:val="000000"/>
              </w:rPr>
              <w:t>e</w:t>
            </w:r>
            <w:r w:rsidRPr="00F30DD3">
              <w:rPr>
                <w:rFonts w:ascii="Verdana" w:eastAsia="Calibri" w:hAnsi="Verdana" w:cs="Arial"/>
                <w:color w:val="000000"/>
              </w:rPr>
              <w:t xml:space="preserve">ntidad </w:t>
            </w:r>
            <w:r w:rsidR="00A121FB">
              <w:rPr>
                <w:rFonts w:ascii="Verdana" w:eastAsia="Calibri" w:hAnsi="Verdana" w:cs="Arial"/>
                <w:color w:val="000000"/>
              </w:rPr>
              <w:t>e</w:t>
            </w:r>
            <w:r w:rsidRPr="00F30DD3">
              <w:rPr>
                <w:rFonts w:ascii="Verdana" w:eastAsia="Calibri" w:hAnsi="Verdana" w:cs="Arial"/>
                <w:color w:val="000000"/>
              </w:rPr>
              <w:t>statal tiene la carga de justificar en los estudios previos y análisis del sector del proceso de selección su procedencia, de conformidad con el artículo 2.2.1.1.1.6.2 del Decreto 1082 de 2015.</w:t>
            </w:r>
          </w:p>
          <w:p w14:paraId="19C04F37" w14:textId="1CC10343" w:rsidR="0032263C" w:rsidRDefault="0032263C" w:rsidP="00082AF8">
            <w:pPr>
              <w:widowControl w:val="0"/>
              <w:autoSpaceDE w:val="0"/>
              <w:autoSpaceDN w:val="0"/>
              <w:spacing w:after="120" w:line="276" w:lineRule="auto"/>
              <w:ind w:firstLine="709"/>
              <w:jc w:val="both"/>
              <w:rPr>
                <w:rFonts w:ascii="Verdana" w:eastAsia="Calibri" w:hAnsi="Verdana" w:cs="Arial"/>
                <w:color w:val="000000"/>
              </w:rPr>
            </w:pPr>
            <w:r w:rsidRPr="00F30DD3">
              <w:rPr>
                <w:rFonts w:ascii="Verdana" w:eastAsia="Calibri" w:hAnsi="Verdana" w:cs="Arial"/>
                <w:color w:val="000000"/>
              </w:rPr>
              <w:t xml:space="preserve">Así las cosas, aunque la Ley 1150 de 2007 estableció unos requisitos habilitantes para los proponentes: la capacidad jurídica, las condiciones de experiencia, la capacidad financiera y la capacidad de organización, lo cierto es que los mismos no son taxativos; que los requisitos habilitantes deben ser establecidos por la </w:t>
            </w:r>
            <w:r w:rsidR="00711494">
              <w:rPr>
                <w:rFonts w:ascii="Verdana" w:eastAsia="Calibri" w:hAnsi="Verdana" w:cs="Arial"/>
                <w:color w:val="000000"/>
              </w:rPr>
              <w:t>e</w:t>
            </w:r>
            <w:r w:rsidRPr="00F30DD3">
              <w:rPr>
                <w:rFonts w:ascii="Verdana" w:eastAsia="Calibri" w:hAnsi="Verdana" w:cs="Arial"/>
                <w:color w:val="000000"/>
              </w:rPr>
              <w:t xml:space="preserve">ntidad </w:t>
            </w:r>
            <w:r w:rsidR="00711494">
              <w:rPr>
                <w:rFonts w:ascii="Verdana" w:eastAsia="Calibri" w:hAnsi="Verdana" w:cs="Arial"/>
                <w:color w:val="000000"/>
              </w:rPr>
              <w:t>e</w:t>
            </w:r>
            <w:r w:rsidRPr="00F30DD3">
              <w:rPr>
                <w:rFonts w:ascii="Verdana" w:eastAsia="Calibri" w:hAnsi="Verdana" w:cs="Arial"/>
                <w:color w:val="000000"/>
              </w:rPr>
              <w:t>statal en cada proceso contractual, debidamente justificados y de acuerdo con los parámetros fijados en el Decreto 1082 de 2015; y que una vez establecidos los requisitos habilitantes, quienes presenten ofertas deben acreditar que cumplen con ellos, so pena de que sus propuestas sean rechazadas. Esto sin perjuicio de la posibilidad de subsanarlas, cuando a ello haya lugar.</w:t>
            </w:r>
          </w:p>
          <w:p w14:paraId="01AB9E2B" w14:textId="0497FC60" w:rsidR="0032263C" w:rsidRDefault="0032263C" w:rsidP="00082AF8">
            <w:pPr>
              <w:widowControl w:val="0"/>
              <w:autoSpaceDE w:val="0"/>
              <w:autoSpaceDN w:val="0"/>
              <w:spacing w:after="120" w:line="276" w:lineRule="auto"/>
              <w:ind w:firstLine="709"/>
              <w:jc w:val="both"/>
              <w:rPr>
                <w:rFonts w:ascii="Verdana" w:eastAsia="Calibri" w:hAnsi="Verdana" w:cs="Arial"/>
                <w:color w:val="000000"/>
                <w:lang w:val="es-ES"/>
              </w:rPr>
            </w:pPr>
            <w:r w:rsidRPr="29944726">
              <w:rPr>
                <w:rFonts w:ascii="Verdana" w:eastAsia="Calibri" w:hAnsi="Verdana" w:cs="Arial"/>
                <w:color w:val="000000" w:themeColor="text1"/>
                <w:lang w:val="es-ES"/>
              </w:rPr>
              <w:t xml:space="preserve">Es importante advertir que con excepción de los procedimientos regidos por documentos tipo, es necesario tener en cuenta que existe un margen de discrecionalidad para definir el contenido del pliego de condiciones. Salvo los aspectos que se encuentren reglados en la actuación administrativa, esto implica libertad de las entidades para determinar los requisitos habilitantes sujetos a verificación en los documentos del proceso. Lo anterior en la medida que no existen potestades completamente discrecionales, por lo que dichos elementos reglados son una limitación efectiva a la libertad de configuración.  </w:t>
            </w:r>
          </w:p>
          <w:p w14:paraId="2FDF790A" w14:textId="77777777" w:rsidR="0032263C" w:rsidRPr="004E3EB5" w:rsidRDefault="0032263C" w:rsidP="00082AF8">
            <w:pPr>
              <w:widowControl w:val="0"/>
              <w:autoSpaceDE w:val="0"/>
              <w:autoSpaceDN w:val="0"/>
              <w:spacing w:after="120" w:line="276" w:lineRule="auto"/>
              <w:ind w:firstLine="709"/>
              <w:jc w:val="both"/>
              <w:rPr>
                <w:rFonts w:ascii="Verdana" w:eastAsia="Calibri" w:hAnsi="Verdana" w:cs="Arial"/>
                <w:color w:val="000000"/>
                <w:lang w:val="es-ES_tradnl"/>
              </w:rPr>
            </w:pPr>
            <w:r w:rsidRPr="00F30DD3">
              <w:rPr>
                <w:rFonts w:ascii="Verdana" w:eastAsia="Calibri" w:hAnsi="Verdana" w:cs="Arial"/>
                <w:color w:val="000000"/>
              </w:rPr>
              <w:t>Según el artículo 2.2.1.1.1.6.2. del Decreto 1082 de 2015, estos deben fundamentarse en el estudio del sector, la identificación de riesgos, el análisis del mercado y la evaluación de precios. La experiencia exigida debe ser adecuada y proporcional: adecuada cuando tiene relación con las actividades del contrato, y proporcional cuando se ajusta a su valor, alcance, complejidad y riesgo. No es válido exigir experiencia idéntica, ya que esto restringe injustificadamente la participación y limita la concurrencia. Por ello, es esencial permitir la acreditación de experiencia en actividades similares, asegurando así una mayor pluralidad de oferentes y promoviendo la competencia efectiva en los procesos de contratación pública</w:t>
            </w:r>
            <w:r>
              <w:rPr>
                <w:rFonts w:ascii="Verdana" w:eastAsia="Calibri" w:hAnsi="Verdana" w:cs="Arial"/>
                <w:color w:val="000000"/>
              </w:rPr>
              <w:t>.</w:t>
            </w:r>
          </w:p>
        </w:tc>
      </w:tr>
    </w:tbl>
    <w:p w14:paraId="6A679FDB" w14:textId="77777777" w:rsidR="0032263C" w:rsidRDefault="0032263C" w:rsidP="0032263C">
      <w:pPr>
        <w:tabs>
          <w:tab w:val="left" w:pos="142"/>
          <w:tab w:val="left" w:pos="284"/>
        </w:tabs>
        <w:spacing w:after="0" w:line="276" w:lineRule="auto"/>
        <w:jc w:val="both"/>
        <w:rPr>
          <w:rFonts w:ascii="Verdana" w:eastAsia="Century Gothic" w:hAnsi="Verdana" w:cs="Century Gothic"/>
          <w:b/>
          <w:bCs/>
        </w:rPr>
      </w:pPr>
    </w:p>
    <w:p w14:paraId="246C7285" w14:textId="77777777" w:rsidR="0032263C" w:rsidRDefault="0032263C" w:rsidP="0032263C">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6F72299C" w14:textId="77777777" w:rsidR="0032263C" w:rsidRDefault="0032263C" w:rsidP="0032263C">
      <w:pPr>
        <w:tabs>
          <w:tab w:val="left" w:pos="142"/>
          <w:tab w:val="left" w:pos="284"/>
          <w:tab w:val="left" w:pos="6975"/>
        </w:tabs>
        <w:spacing w:after="0" w:line="240" w:lineRule="auto"/>
        <w:jc w:val="both"/>
        <w:rPr>
          <w:rFonts w:ascii="Verdana" w:eastAsia="Calibri" w:hAnsi="Verdana" w:cs="Arial"/>
        </w:rPr>
      </w:pPr>
    </w:p>
    <w:p w14:paraId="09B348F3" w14:textId="77777777" w:rsidR="0032263C" w:rsidRDefault="0032263C" w:rsidP="0032263C">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3E024EBF" w14:textId="77777777" w:rsidR="0032263C" w:rsidRDefault="0032263C" w:rsidP="0032263C">
      <w:pPr>
        <w:tabs>
          <w:tab w:val="left" w:pos="142"/>
          <w:tab w:val="left" w:pos="284"/>
          <w:tab w:val="left" w:pos="6975"/>
        </w:tabs>
        <w:spacing w:after="0" w:line="276" w:lineRule="auto"/>
        <w:jc w:val="both"/>
        <w:rPr>
          <w:rFonts w:ascii="Verdana" w:eastAsia="Calibri" w:hAnsi="Verdana" w:cs="Arial"/>
        </w:rPr>
      </w:pPr>
    </w:p>
    <w:p w14:paraId="7993BF43" w14:textId="77777777" w:rsidR="0032263C" w:rsidRDefault="0032263C" w:rsidP="0032263C">
      <w:pPr>
        <w:spacing w:after="120" w:line="276" w:lineRule="auto"/>
        <w:jc w:val="both"/>
        <w:rPr>
          <w:rFonts w:ascii="Verdana" w:eastAsia="Calibri" w:hAnsi="Verdana" w:cs="Arial"/>
          <w:color w:val="000000"/>
          <w:lang w:val="es-ES_tradnl"/>
        </w:rPr>
      </w:pPr>
      <w:bookmarkStart w:id="2" w:name="_Hlk173924733"/>
      <w:r w:rsidRPr="00F30DD3">
        <w:rPr>
          <w:rFonts w:ascii="Verdana" w:eastAsia="Calibri" w:hAnsi="Verdana" w:cs="Arial"/>
          <w:color w:val="000000"/>
          <w:lang w:val="es-ES_tradnl"/>
        </w:rPr>
        <w:t xml:space="preserve">Los </w:t>
      </w:r>
      <w:r w:rsidRPr="00F30DD3">
        <w:rPr>
          <w:rFonts w:ascii="Verdana" w:eastAsia="Calibri" w:hAnsi="Verdana" w:cs="Arial"/>
          <w:i/>
          <w:iCs/>
          <w:color w:val="000000"/>
          <w:lang w:val="es-ES_tradnl"/>
        </w:rPr>
        <w:t>requisitos habilitantes</w:t>
      </w:r>
      <w:r w:rsidRPr="00F30DD3">
        <w:rPr>
          <w:rFonts w:ascii="Verdana" w:eastAsia="Calibri" w:hAnsi="Verdana" w:cs="Arial"/>
          <w:color w:val="000000"/>
          <w:lang w:val="es-ES_tradnl"/>
        </w:rPr>
        <w:t xml:space="preserve"> se definen como exigencias de participación en los procedimientos de selección, establecidas en disposiciones normativas, de carácter legal o reglamentario, o contenidas en el acto administrativo que regula las reglas de la convocatoria, es decir, en el pliego de condiciones o el documento equivalente a este. Se diferencian de los </w:t>
      </w:r>
      <w:r w:rsidRPr="00F30DD3">
        <w:rPr>
          <w:rFonts w:ascii="Verdana" w:eastAsia="Calibri" w:hAnsi="Verdana" w:cs="Arial"/>
          <w:i/>
          <w:iCs/>
          <w:color w:val="000000"/>
          <w:lang w:val="es-ES_tradnl"/>
        </w:rPr>
        <w:t>criterios de evaluación</w:t>
      </w:r>
      <w:r w:rsidRPr="00F30DD3">
        <w:rPr>
          <w:rFonts w:ascii="Verdana" w:eastAsia="Calibri" w:hAnsi="Verdana" w:cs="Arial"/>
          <w:color w:val="000000"/>
          <w:lang w:val="es-ES_tradnl"/>
        </w:rPr>
        <w:t xml:space="preserve"> –también conocidos como </w:t>
      </w:r>
      <w:r w:rsidRPr="00F30DD3">
        <w:rPr>
          <w:rFonts w:ascii="Verdana" w:eastAsia="Calibri" w:hAnsi="Verdana" w:cs="Arial"/>
          <w:i/>
          <w:iCs/>
          <w:color w:val="000000"/>
          <w:lang w:val="es-ES_tradnl"/>
        </w:rPr>
        <w:t>criterios de calificación</w:t>
      </w:r>
      <w:r w:rsidRPr="00F30DD3">
        <w:rPr>
          <w:rFonts w:ascii="Verdana" w:eastAsia="Calibri" w:hAnsi="Verdana" w:cs="Arial"/>
          <w:color w:val="000000"/>
          <w:lang w:val="es-ES_tradnl"/>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341D714A" w14:textId="77777777" w:rsidR="0032263C" w:rsidRPr="008853E4" w:rsidRDefault="0032263C" w:rsidP="0032263C">
      <w:pPr>
        <w:spacing w:after="120" w:line="276" w:lineRule="auto"/>
        <w:ind w:firstLine="709"/>
        <w:jc w:val="both"/>
        <w:rPr>
          <w:rFonts w:ascii="Verdana" w:eastAsia="Calibri" w:hAnsi="Verdana" w:cs="Arial"/>
          <w:color w:val="000000"/>
          <w:lang w:val="es-ES_tradnl"/>
        </w:rPr>
      </w:pPr>
      <w:r w:rsidRPr="00F30DD3">
        <w:rPr>
          <w:rFonts w:ascii="Verdana" w:eastAsia="Calibri" w:hAnsi="Verdana" w:cs="Arial"/>
          <w:color w:val="000000" w:themeColor="text1"/>
          <w:lang w:val="es-ES"/>
        </w:rPr>
        <w:t>A partir de lo dicho se deduce entonces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 de manera que quienes no los reúnan no pueden continuar en el procedimiento de selección, o sea, incurren en causal de rechazo. Esto sin perjuicio del derecho que tienen los oferentes de subsanar los defectos que se presenten en la prueba de tales requisitos, de conformidad con el artículo 5, parágrafos 1º al 4º, de la Ley 1150 de 2007.</w:t>
      </w:r>
    </w:p>
    <w:p w14:paraId="688FF8C6" w14:textId="77777777" w:rsidR="0032263C" w:rsidRPr="00F30DD3" w:rsidRDefault="0032263C" w:rsidP="0032263C">
      <w:pPr>
        <w:spacing w:after="120" w:line="276" w:lineRule="auto"/>
        <w:ind w:firstLine="709"/>
        <w:jc w:val="both"/>
        <w:rPr>
          <w:rFonts w:ascii="Verdana" w:eastAsia="Calibri" w:hAnsi="Verdana" w:cs="Arial"/>
          <w:color w:val="000000"/>
          <w:lang w:val="es-ES"/>
        </w:rPr>
      </w:pPr>
      <w:r w:rsidRPr="00F30DD3">
        <w:rPr>
          <w:rFonts w:ascii="Verdana" w:eastAsia="Calibri" w:hAnsi="Verdana" w:cs="Arial"/>
          <w:color w:val="000000" w:themeColor="text1"/>
          <w:lang w:val="es-ES"/>
        </w:rPr>
        <w:t xml:space="preserve">El mencionado artículo dispone que se considera </w:t>
      </w:r>
      <w:r w:rsidRPr="00F30DD3">
        <w:rPr>
          <w:rFonts w:ascii="Verdana" w:eastAsia="Calibri" w:hAnsi="Verdana" w:cs="Arial"/>
          <w:i/>
          <w:color w:val="000000" w:themeColor="text1"/>
          <w:lang w:val="es-ES"/>
        </w:rPr>
        <w:t>“</w:t>
      </w:r>
      <w:r w:rsidRPr="00F30DD3">
        <w:rPr>
          <w:rFonts w:ascii="Verdana" w:eastAsia="Calibri" w:hAnsi="Verdana" w:cs="Arial"/>
          <w:color w:val="000000" w:themeColor="text1"/>
          <w:lang w:val="es-ES"/>
        </w:rPr>
        <w:t>objetiva la selección en la cual la escogencia se haga al ofrecimiento más favorable a la entidad y a los fines que ella busca, sin tener en consideración factores de afecto o de interés y, en general, cualquier clase de motivación subjetiva</w:t>
      </w:r>
      <w:r w:rsidRPr="00F30DD3">
        <w:rPr>
          <w:rFonts w:ascii="Verdana" w:eastAsia="Calibri" w:hAnsi="Verdana" w:cs="Arial"/>
          <w:i/>
          <w:color w:val="000000" w:themeColor="text1"/>
          <w:lang w:val="es-ES"/>
        </w:rPr>
        <w:t>”</w:t>
      </w:r>
      <w:r w:rsidRPr="00F30DD3">
        <w:rPr>
          <w:rFonts w:ascii="Verdana" w:eastAsia="Calibri" w:hAnsi="Verdana" w:cs="Arial"/>
          <w:color w:val="000000" w:themeColor="text1"/>
          <w:lang w:val="es-ES"/>
        </w:rPr>
        <w:t xml:space="preserve">. De este modo, los factores de escogencia y calificación que establezcan las entidades en los pliegos de condiciones o sus documentos equivalentes deberán tener en cuenta, entre otras cuestiones, los criterios establecidos en dicha disposición. Específicamente, el numeral 1º del artículo referido establece que en los procesos de selección de contratistas serán objeto de verificación, como requisitos habilitantes, </w:t>
      </w:r>
      <w:r w:rsidRPr="00F30DD3">
        <w:rPr>
          <w:rFonts w:ascii="Verdana" w:eastAsia="Calibri" w:hAnsi="Verdana" w:cs="Arial"/>
          <w:i/>
          <w:color w:val="000000" w:themeColor="text1"/>
          <w:lang w:val="es-ES"/>
        </w:rPr>
        <w:t>entre otros</w:t>
      </w:r>
      <w:r w:rsidRPr="00F30DD3">
        <w:rPr>
          <w:rFonts w:ascii="Verdana" w:eastAsia="Calibri" w:hAnsi="Verdana" w:cs="Arial"/>
          <w:color w:val="000000" w:themeColor="text1"/>
          <w:lang w:val="es-ES"/>
        </w:rPr>
        <w:t xml:space="preserve">, los siguientes: i) la capacidad jurídica; </w:t>
      </w:r>
      <w:proofErr w:type="spellStart"/>
      <w:r w:rsidRPr="00F30DD3">
        <w:rPr>
          <w:rFonts w:ascii="Verdana" w:eastAsia="Calibri" w:hAnsi="Verdana" w:cs="Arial"/>
          <w:color w:val="000000" w:themeColor="text1"/>
          <w:lang w:val="es-ES"/>
        </w:rPr>
        <w:t>ii</w:t>
      </w:r>
      <w:proofErr w:type="spellEnd"/>
      <w:r w:rsidRPr="00F30DD3">
        <w:rPr>
          <w:rFonts w:ascii="Verdana" w:eastAsia="Calibri" w:hAnsi="Verdana" w:cs="Arial"/>
          <w:color w:val="000000" w:themeColor="text1"/>
          <w:lang w:val="es-ES"/>
        </w:rPr>
        <w:t xml:space="preserve">) la experiencia; </w:t>
      </w:r>
      <w:proofErr w:type="spellStart"/>
      <w:r w:rsidRPr="00F30DD3">
        <w:rPr>
          <w:rFonts w:ascii="Verdana" w:eastAsia="Calibri" w:hAnsi="Verdana" w:cs="Arial"/>
          <w:color w:val="000000" w:themeColor="text1"/>
          <w:lang w:val="es-ES"/>
        </w:rPr>
        <w:t>iii</w:t>
      </w:r>
      <w:proofErr w:type="spellEnd"/>
      <w:r w:rsidRPr="00F30DD3">
        <w:rPr>
          <w:rFonts w:ascii="Verdana" w:eastAsia="Calibri" w:hAnsi="Verdana" w:cs="Arial"/>
          <w:color w:val="000000" w:themeColor="text1"/>
          <w:lang w:val="es-ES"/>
        </w:rPr>
        <w:t xml:space="preserve">) la capacidad financiera y </w:t>
      </w:r>
      <w:proofErr w:type="spellStart"/>
      <w:r w:rsidRPr="00F30DD3">
        <w:rPr>
          <w:rFonts w:ascii="Verdana" w:eastAsia="Calibri" w:hAnsi="Verdana" w:cs="Arial"/>
          <w:color w:val="000000" w:themeColor="text1"/>
          <w:lang w:val="es-ES"/>
        </w:rPr>
        <w:t>iv</w:t>
      </w:r>
      <w:proofErr w:type="spellEnd"/>
      <w:r w:rsidRPr="00F30DD3">
        <w:rPr>
          <w:rFonts w:ascii="Verdana" w:eastAsia="Calibri" w:hAnsi="Verdana" w:cs="Arial"/>
          <w:color w:val="000000" w:themeColor="text1"/>
          <w:lang w:val="es-ES"/>
        </w:rPr>
        <w:t xml:space="preserve">) la capacidad de organización. En efecto, la normativa citada dispone: </w:t>
      </w:r>
    </w:p>
    <w:p w14:paraId="7647BC69" w14:textId="77777777" w:rsidR="0032263C" w:rsidRPr="005B1413" w:rsidRDefault="0032263C" w:rsidP="0032263C">
      <w:pPr>
        <w:spacing w:after="0" w:line="240" w:lineRule="auto"/>
        <w:ind w:left="709" w:right="709"/>
        <w:jc w:val="both"/>
        <w:rPr>
          <w:rFonts w:ascii="Verdana" w:eastAsia="Calibri" w:hAnsi="Verdana" w:cs="Arial"/>
          <w:color w:val="000000"/>
          <w:sz w:val="20"/>
          <w:szCs w:val="20"/>
          <w:lang w:val="es-ES_tradnl"/>
        </w:rPr>
      </w:pPr>
      <w:r w:rsidRPr="005B1413">
        <w:rPr>
          <w:rFonts w:ascii="Verdana" w:eastAsia="Calibri" w:hAnsi="Verdana" w:cs="Arial"/>
          <w:color w:val="000000"/>
          <w:sz w:val="20"/>
          <w:szCs w:val="20"/>
          <w:lang w:val="es-ES_tradnl"/>
        </w:rPr>
        <w:t xml:space="preserve">“Artículo 5. De la Selección Objetiva. </w:t>
      </w:r>
    </w:p>
    <w:p w14:paraId="39140B58" w14:textId="77777777" w:rsidR="0032263C" w:rsidRDefault="0032263C" w:rsidP="0032263C">
      <w:pPr>
        <w:spacing w:after="0" w:line="240" w:lineRule="auto"/>
        <w:ind w:left="709" w:right="709"/>
        <w:jc w:val="both"/>
        <w:rPr>
          <w:rFonts w:ascii="Verdana" w:eastAsia="Calibri" w:hAnsi="Verdana" w:cs="Arial"/>
          <w:color w:val="000000"/>
          <w:sz w:val="20"/>
          <w:szCs w:val="20"/>
          <w:lang w:val="es-ES_tradnl"/>
        </w:rPr>
      </w:pPr>
    </w:p>
    <w:p w14:paraId="51040AE8" w14:textId="77777777" w:rsidR="0032263C" w:rsidRPr="005B1413" w:rsidRDefault="0032263C" w:rsidP="0032263C">
      <w:pPr>
        <w:spacing w:after="0" w:line="240" w:lineRule="auto"/>
        <w:ind w:left="709" w:right="709"/>
        <w:jc w:val="both"/>
        <w:rPr>
          <w:rFonts w:ascii="Verdana" w:eastAsia="Calibri" w:hAnsi="Verdana" w:cs="Arial"/>
          <w:color w:val="000000"/>
          <w:sz w:val="20"/>
          <w:szCs w:val="20"/>
          <w:lang w:val="es-ES_tradnl"/>
        </w:rPr>
      </w:pPr>
      <w:r w:rsidRPr="005B1413">
        <w:rPr>
          <w:rFonts w:ascii="Verdana" w:eastAsia="Calibri" w:hAnsi="Verdana" w:cs="Arial"/>
          <w:color w:val="000000"/>
          <w:sz w:val="20"/>
          <w:szCs w:val="20"/>
          <w:lang w:val="es-ES_tradnl"/>
        </w:rPr>
        <w:t>[…]</w:t>
      </w:r>
    </w:p>
    <w:p w14:paraId="23233B41" w14:textId="77777777" w:rsidR="0032263C" w:rsidRDefault="0032263C" w:rsidP="0032263C">
      <w:pPr>
        <w:spacing w:after="0" w:line="240" w:lineRule="auto"/>
        <w:ind w:left="709" w:right="709"/>
        <w:jc w:val="both"/>
        <w:rPr>
          <w:rFonts w:ascii="Verdana" w:eastAsia="Calibri" w:hAnsi="Verdana" w:cs="Arial"/>
          <w:color w:val="000000" w:themeColor="text1"/>
          <w:sz w:val="20"/>
          <w:szCs w:val="20"/>
          <w:lang w:val="es-ES"/>
        </w:rPr>
      </w:pPr>
    </w:p>
    <w:p w14:paraId="19A4DF58" w14:textId="77777777" w:rsidR="0032263C" w:rsidRPr="005B1413" w:rsidRDefault="0032263C" w:rsidP="0032263C">
      <w:pPr>
        <w:spacing w:after="0" w:line="240" w:lineRule="auto"/>
        <w:ind w:left="709" w:right="709"/>
        <w:jc w:val="both"/>
        <w:rPr>
          <w:rFonts w:ascii="Verdana" w:eastAsia="Calibri" w:hAnsi="Verdana" w:cs="Arial"/>
          <w:color w:val="000000" w:themeColor="text1"/>
          <w:sz w:val="20"/>
          <w:szCs w:val="20"/>
          <w:lang w:val="es-ES"/>
        </w:rPr>
      </w:pPr>
      <w:r w:rsidRPr="005B1413">
        <w:rPr>
          <w:rFonts w:ascii="Verdana" w:eastAsia="Calibri" w:hAnsi="Verdana" w:cs="Arial"/>
          <w:color w:val="000000" w:themeColor="text1"/>
          <w:sz w:val="20"/>
          <w:szCs w:val="20"/>
          <w:lang w:val="es-ES"/>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 […]”.</w:t>
      </w:r>
    </w:p>
    <w:p w14:paraId="6518E552" w14:textId="77777777" w:rsidR="0032263C" w:rsidRPr="00F30DD3" w:rsidRDefault="0032263C" w:rsidP="0010507E">
      <w:pPr>
        <w:spacing w:after="0" w:line="276" w:lineRule="auto"/>
        <w:ind w:left="709" w:right="709"/>
        <w:jc w:val="both"/>
        <w:rPr>
          <w:rFonts w:ascii="Verdana" w:eastAsia="Calibri" w:hAnsi="Verdana" w:cs="Arial"/>
          <w:color w:val="000000"/>
          <w:lang w:val="es-ES"/>
        </w:rPr>
      </w:pPr>
    </w:p>
    <w:p w14:paraId="07225708" w14:textId="77777777" w:rsidR="0032263C" w:rsidRDefault="0032263C" w:rsidP="0032263C">
      <w:pPr>
        <w:spacing w:after="120" w:line="276" w:lineRule="auto"/>
        <w:ind w:firstLine="709"/>
        <w:jc w:val="both"/>
        <w:rPr>
          <w:rFonts w:ascii="Verdana" w:eastAsia="Calibri" w:hAnsi="Verdana" w:cs="Arial"/>
          <w:color w:val="000000"/>
          <w:lang w:val="es-ES_tradnl"/>
        </w:rPr>
      </w:pPr>
      <w:r w:rsidRPr="00F30DD3">
        <w:rPr>
          <w:rFonts w:ascii="Verdana" w:eastAsia="Calibri" w:hAnsi="Verdana" w:cs="Arial"/>
          <w:color w:val="000000"/>
          <w:lang w:val="es-ES_tradnl"/>
        </w:rPr>
        <w:t>Conforme lo ha sostenido esta Agencia en distintos conceptos, los requisitos habilitantes establecidos en el artículo 5, numeral 1, de la Ley 1150 de 2007 son de carácter enunciativos y no taxativos. Esta interpretación legal se resume en los siguientes argumentos: Esta norma no contiene una expresión como “únicamente” o “solo”, al referirse a los requisitos habilitantes y, además, debido a que la lectura integral de las normas que regulan la contratación estatal permite concluir que existen otras condiciones que deben cumplirse para la contratación con una entidad pública, como pasa, por ejemplo, con la capacidad residual a la que se refiere el artículo 6º, parágrafo 1, de la Ley 1150 de 2007</w:t>
      </w:r>
      <w:r w:rsidRPr="00F30DD3">
        <w:rPr>
          <w:rFonts w:ascii="Verdana" w:eastAsia="Calibri" w:hAnsi="Verdana" w:cs="Arial"/>
          <w:color w:val="000000"/>
          <w:vertAlign w:val="superscript"/>
          <w:lang w:val="es-ES_tradnl"/>
        </w:rPr>
        <w:footnoteReference w:id="1"/>
      </w:r>
      <w:r w:rsidRPr="00F30DD3">
        <w:rPr>
          <w:rFonts w:ascii="Verdana" w:eastAsia="Calibri" w:hAnsi="Verdana" w:cs="Arial"/>
          <w:color w:val="000000"/>
          <w:lang w:val="es-ES_tradnl"/>
        </w:rPr>
        <w:t>.</w:t>
      </w:r>
    </w:p>
    <w:p w14:paraId="4B717205" w14:textId="77777777" w:rsidR="0032263C" w:rsidRDefault="0032263C" w:rsidP="0032263C">
      <w:pPr>
        <w:spacing w:after="120" w:line="276" w:lineRule="auto"/>
        <w:ind w:firstLine="709"/>
        <w:jc w:val="both"/>
        <w:rPr>
          <w:rFonts w:ascii="Verdana" w:eastAsia="Calibri" w:hAnsi="Verdana" w:cs="Arial"/>
          <w:color w:val="000000"/>
          <w:lang w:val="es-ES_tradnl"/>
        </w:rPr>
      </w:pPr>
      <w:r w:rsidRPr="00F30DD3">
        <w:rPr>
          <w:rFonts w:ascii="Verdana" w:eastAsia="Calibri" w:hAnsi="Verdana" w:cs="Arial"/>
          <w:color w:val="000000"/>
          <w:lang w:val="es-ES_tradnl"/>
        </w:rPr>
        <w:t>Además, la intención del legislador, de la cual dan cuenta los antecedentes legislativos de la norma sub examine</w:t>
      </w:r>
      <w:r w:rsidRPr="00F30DD3">
        <w:rPr>
          <w:rFonts w:ascii="Verdana" w:eastAsia="Calibri" w:hAnsi="Verdana" w:cs="Arial"/>
          <w:color w:val="000000"/>
          <w:vertAlign w:val="superscript"/>
          <w:lang w:val="es-ES_tradnl"/>
        </w:rPr>
        <w:footnoteReference w:id="2"/>
      </w:r>
      <w:r w:rsidRPr="00F30DD3">
        <w:rPr>
          <w:rFonts w:ascii="Verdana" w:eastAsia="Calibri" w:hAnsi="Verdana" w:cs="Arial"/>
          <w:color w:val="000000"/>
          <w:lang w:val="es-ES_tradnl"/>
        </w:rPr>
        <w:t>, también justifica la interpretación propuesta por esta Agencia, ya que fue hasta el cuarto debate legislativo en donde se incluyó parágrafo 2 del mismo artículo 5 de la Ley 1150 de 2007</w:t>
      </w:r>
      <w:r w:rsidRPr="00F30DD3">
        <w:rPr>
          <w:rFonts w:ascii="Verdana" w:eastAsia="Calibri" w:hAnsi="Verdana" w:cs="Arial"/>
          <w:color w:val="000000"/>
          <w:vertAlign w:val="superscript"/>
          <w:lang w:val="es-ES_tradnl"/>
        </w:rPr>
        <w:footnoteReference w:id="3"/>
      </w:r>
      <w:r w:rsidRPr="00F30DD3">
        <w:rPr>
          <w:rFonts w:ascii="Verdana" w:eastAsia="Calibri" w:hAnsi="Verdana" w:cs="Arial"/>
          <w:color w:val="000000"/>
          <w:lang w:val="es-ES_tradnl"/>
        </w:rPr>
        <w:t>, lo que deja ver la necesidad que tenía el Congreso de aclarar que unos documentos no podrían ser tenidos como requisitos habilitantes, lo que asimismo evidencia el reconocimiento tácito de la existencia de otros requisitos habilitantes, distintos a los cuatro que establece el artículo 5, numeral 1, de la Ley 1150 de 2007</w:t>
      </w:r>
      <w:r w:rsidRPr="00F30DD3">
        <w:rPr>
          <w:rFonts w:ascii="Verdana" w:eastAsia="Calibri" w:hAnsi="Verdana" w:cs="Arial"/>
          <w:color w:val="000000"/>
          <w:vertAlign w:val="superscript"/>
          <w:lang w:val="es-ES_tradnl"/>
        </w:rPr>
        <w:footnoteReference w:id="4"/>
      </w:r>
      <w:r w:rsidRPr="00F30DD3">
        <w:rPr>
          <w:rFonts w:ascii="Verdana" w:eastAsia="Calibri" w:hAnsi="Verdana" w:cs="Arial"/>
          <w:color w:val="000000"/>
          <w:lang w:val="es-ES_tradnl"/>
        </w:rPr>
        <w:t xml:space="preserve">. </w:t>
      </w:r>
    </w:p>
    <w:p w14:paraId="5A3018C9" w14:textId="77777777" w:rsidR="0032263C" w:rsidRDefault="0032263C" w:rsidP="0032263C">
      <w:pPr>
        <w:spacing w:after="120" w:line="276" w:lineRule="auto"/>
        <w:ind w:firstLine="709"/>
        <w:jc w:val="both"/>
        <w:rPr>
          <w:rFonts w:ascii="Verdana" w:eastAsia="Calibri" w:hAnsi="Verdana" w:cs="Arial"/>
          <w:color w:val="000000"/>
          <w:lang w:val="es-ES_tradnl"/>
        </w:rPr>
      </w:pPr>
      <w:r>
        <w:rPr>
          <w:rFonts w:ascii="Verdana" w:eastAsia="Calibri" w:hAnsi="Verdana" w:cs="Arial"/>
          <w:color w:val="000000"/>
          <w:lang w:val="es-ES_tradnl"/>
        </w:rPr>
        <w:t xml:space="preserve">En </w:t>
      </w:r>
      <w:r w:rsidRPr="00F30DD3">
        <w:rPr>
          <w:rFonts w:ascii="Verdana" w:eastAsia="Calibri" w:hAnsi="Verdana" w:cs="Arial"/>
          <w:color w:val="000000"/>
          <w:lang w:val="es-ES_tradnl"/>
        </w:rPr>
        <w:t>el “Manual para determinar y verificar los requisitos habilitantes en los Procesos de Contratación”</w:t>
      </w:r>
      <w:r>
        <w:rPr>
          <w:rStyle w:val="Refdenotaalpie"/>
          <w:rFonts w:ascii="Verdana" w:eastAsia="Calibri" w:hAnsi="Verdana" w:cs="Arial"/>
          <w:color w:val="000000"/>
          <w:lang w:val="es-ES_tradnl"/>
        </w:rPr>
        <w:footnoteReference w:id="5"/>
      </w:r>
      <w:r w:rsidRPr="00F30DD3">
        <w:rPr>
          <w:rFonts w:ascii="Verdana" w:eastAsia="Calibri" w:hAnsi="Verdana" w:cs="Arial"/>
          <w:color w:val="000000"/>
          <w:lang w:val="es-ES_tradnl"/>
        </w:rPr>
        <w:t xml:space="preserve"> expedido por esta Agencia, se determinaron los parámetros para establecer, acreditar y subsanar los requisitos habilitantes estudiados en los párrafos precedentes, se indica que su propósito consiste en “establecer unas condiciones mínimas para los proponentes de tal manera que la Entidad Estatal sólo evalúe las ofertas de aquellos que están en condiciones de cumplir con el objeto del Proceso de Contratación”. En otras palabras, al tratarse de condiciones mínimas, significa que las entidades podrían establecer otras, según su autonomía de la voluntad, y teniendo en cuenta el objeto del contrato, los riesgos detectados en los estudios previos, el presupuesto oficial, entre otros factores.</w:t>
      </w:r>
    </w:p>
    <w:p w14:paraId="0233B13D" w14:textId="77777777" w:rsidR="0032263C" w:rsidRDefault="0032263C" w:rsidP="0032263C">
      <w:pPr>
        <w:spacing w:after="120" w:line="276" w:lineRule="auto"/>
        <w:ind w:firstLine="709"/>
        <w:jc w:val="both"/>
        <w:rPr>
          <w:rFonts w:ascii="Verdana" w:eastAsia="Calibri" w:hAnsi="Verdana" w:cs="Arial"/>
          <w:color w:val="000000"/>
          <w:lang w:val="es-ES_tradnl"/>
        </w:rPr>
      </w:pPr>
      <w:r w:rsidRPr="008853E4">
        <w:rPr>
          <w:rFonts w:ascii="Verdana" w:eastAsia="Calibri" w:hAnsi="Verdana" w:cs="Arial"/>
          <w:color w:val="000000" w:themeColor="text1"/>
          <w:lang w:val="es-ES_tradnl"/>
        </w:rPr>
        <w:t xml:space="preserve">La </w:t>
      </w:r>
      <w:r w:rsidRPr="008853E4">
        <w:rPr>
          <w:rFonts w:ascii="Verdana" w:eastAsia="Calibri" w:hAnsi="Verdana" w:cs="Arial"/>
          <w:bCs/>
          <w:i/>
          <w:iCs/>
          <w:color w:val="000000" w:themeColor="text1"/>
          <w:lang w:val="es-ES_tradnl"/>
        </w:rPr>
        <w:t>experiencia</w:t>
      </w:r>
      <w:r w:rsidRPr="008853E4">
        <w:rPr>
          <w:rFonts w:ascii="Verdana" w:eastAsia="Calibri" w:hAnsi="Verdana" w:cs="Arial"/>
          <w:i/>
          <w:iCs/>
          <w:color w:val="000000" w:themeColor="text1"/>
          <w:lang w:val="es-ES_tradnl"/>
        </w:rPr>
        <w:t xml:space="preserve"> </w:t>
      </w:r>
      <w:r w:rsidRPr="008853E4">
        <w:rPr>
          <w:rFonts w:ascii="Verdana" w:eastAsia="Calibri" w:hAnsi="Verdana" w:cs="Arial"/>
          <w:color w:val="000000" w:themeColor="text1"/>
          <w:lang w:val="es-ES_tradnl"/>
        </w:rPr>
        <w:t xml:space="preserve">como requisito habilitante tiene como propósito que </w:t>
      </w:r>
      <w:r w:rsidRPr="008853E4">
        <w:rPr>
          <w:rStyle w:val="normaltextrun"/>
          <w:rFonts w:ascii="Verdana" w:hAnsi="Verdana" w:cs="Arial"/>
          <w:color w:val="000000" w:themeColor="text1"/>
          <w:lang w:val="es-ES_tradnl"/>
        </w:rPr>
        <w:t>las entidades fijen unos requisitos mínimos de idoneidad técnica que deben acreditar los proponentes, para que puedan verificar su aptitud para participar en el proceso de selección y, eventualmente, ejecutar el contrato estatal</w:t>
      </w:r>
      <w:r w:rsidRPr="008853E4">
        <w:rPr>
          <w:rStyle w:val="Refdenotaalpie"/>
          <w:rFonts w:ascii="Verdana" w:hAnsi="Verdana" w:cs="Arial"/>
          <w:color w:val="000000" w:themeColor="text1"/>
          <w:lang w:val="es-ES_tradnl"/>
        </w:rPr>
        <w:footnoteReference w:id="6"/>
      </w:r>
      <w:r w:rsidRPr="008853E4">
        <w:rPr>
          <w:rStyle w:val="normaltextrun"/>
          <w:rFonts w:ascii="Verdana" w:hAnsi="Verdana" w:cs="Arial"/>
          <w:color w:val="000000" w:themeColor="text1"/>
          <w:lang w:val="es-ES_tradnl"/>
        </w:rPr>
        <w:t>. La entidad, como responsable de la estructuración del proceso de contratación, en principio, es autónoma para requerir la experiencia necesaria para el objeto contractual, para lo cual, de acuerdo con el artículo 2.2.1.1.1.6.2 del Decreto 1082 de 2015, debe tener en cuenta el estudio del sector y sus diferentes componentes, tales como la identificación de riesgos, el mercado y el precio del bien, obra o servicio a contratar</w:t>
      </w:r>
      <w:r>
        <w:rPr>
          <w:rStyle w:val="normaltextrun"/>
          <w:rFonts w:ascii="Verdana" w:hAnsi="Verdana" w:cs="Arial"/>
          <w:color w:val="000000" w:themeColor="text1"/>
          <w:lang w:val="es-ES_tradnl"/>
        </w:rPr>
        <w:t>.</w:t>
      </w:r>
    </w:p>
    <w:p w14:paraId="142318F3" w14:textId="77777777" w:rsidR="0032263C" w:rsidRPr="005B1413" w:rsidRDefault="0032263C" w:rsidP="0032263C">
      <w:pPr>
        <w:spacing w:after="120" w:line="276" w:lineRule="auto"/>
        <w:ind w:firstLine="709"/>
        <w:jc w:val="both"/>
        <w:rPr>
          <w:rFonts w:ascii="Verdana" w:eastAsia="Calibri" w:hAnsi="Verdana" w:cs="Arial"/>
          <w:color w:val="000000"/>
          <w:lang w:val="es-ES_tradnl"/>
        </w:rPr>
      </w:pPr>
      <w:r>
        <w:rPr>
          <w:rFonts w:ascii="Verdana" w:eastAsia="Calibri" w:hAnsi="Verdana" w:cs="Arial"/>
          <w:color w:val="000000"/>
        </w:rPr>
        <w:t>Con base en lo anterior</w:t>
      </w:r>
      <w:r w:rsidRPr="00F30DD3">
        <w:rPr>
          <w:rFonts w:ascii="Verdana" w:eastAsia="Calibri" w:hAnsi="Verdana" w:cs="Arial"/>
          <w:color w:val="000000"/>
        </w:rPr>
        <w:t xml:space="preserve">, corresponde a las entidades estatales, durante la etapa de planeación del contrato estatal, estudiar y determinar los requisitos habilitantes que establecerán en los pliegos de condiciones, los cuales deben fijarse de forma adecuada y proporcional. Esto último, según se deriva de la lectura del artículo 2.2.1.1.1.6.2 del Decreto 1082 de 2015, debe hacerse de acuerdo </w:t>
      </w:r>
      <w:bookmarkStart w:id="3" w:name="_Hlk182863897"/>
      <w:r w:rsidRPr="00F30DD3">
        <w:rPr>
          <w:rFonts w:ascii="Verdana" w:eastAsia="Calibri" w:hAnsi="Verdana" w:cs="Arial"/>
          <w:color w:val="000000"/>
        </w:rPr>
        <w:t>con la naturaleza, el valor del contrato, la forma de pago, los riesgos asociados al contrato, el plazo y la complejidad de ejecución del objeto</w:t>
      </w:r>
      <w:r w:rsidRPr="00F30DD3">
        <w:rPr>
          <w:rFonts w:ascii="Verdana" w:eastAsia="Calibri" w:hAnsi="Verdana" w:cs="Arial"/>
          <w:color w:val="000000"/>
          <w:vertAlign w:val="superscript"/>
        </w:rPr>
        <w:footnoteReference w:id="7"/>
      </w:r>
      <w:r w:rsidRPr="00F30DD3">
        <w:rPr>
          <w:rFonts w:ascii="Verdana" w:eastAsia="Calibri" w:hAnsi="Verdana" w:cs="Arial"/>
          <w:color w:val="000000"/>
        </w:rPr>
        <w:t>.</w:t>
      </w:r>
      <w:bookmarkEnd w:id="3"/>
    </w:p>
    <w:p w14:paraId="2180E711" w14:textId="527BBF23" w:rsidR="0032263C" w:rsidRDefault="0032263C" w:rsidP="0032263C">
      <w:pPr>
        <w:widowControl w:val="0"/>
        <w:autoSpaceDE w:val="0"/>
        <w:autoSpaceDN w:val="0"/>
        <w:spacing w:after="120" w:line="276" w:lineRule="auto"/>
        <w:ind w:firstLine="709"/>
        <w:jc w:val="both"/>
        <w:rPr>
          <w:rFonts w:ascii="Verdana" w:eastAsia="Calibri" w:hAnsi="Verdana" w:cs="Arial"/>
          <w:color w:val="000000"/>
        </w:rPr>
      </w:pPr>
      <w:r w:rsidRPr="00F30DD3">
        <w:rPr>
          <w:rFonts w:ascii="Verdana" w:eastAsia="Calibri" w:hAnsi="Verdana" w:cs="Arial"/>
          <w:color w:val="000000"/>
        </w:rPr>
        <w:t xml:space="preserve">De esta manera, la facultad de establecer los requisitos habilitantes no puede ejercerse de forma arbitraria, caprichosa y, mucho menos, con el ánimo de direccionar el proceso de contratación o favorecer a alguno de los proponentes, así como tampoco puede ejercerse desconociendo límites legales, como, por ejemplo, el que estable el artículo 5, parágrafo 2, de la Ley 1150 de 2007, relacionado con la prohibición de exigir certificaciones de sistemas de gestión de calidad como requisito habilitante. </w:t>
      </w:r>
      <w:r>
        <w:rPr>
          <w:rFonts w:ascii="Verdana" w:eastAsia="Calibri" w:hAnsi="Verdana" w:cs="Arial"/>
          <w:color w:val="000000"/>
        </w:rPr>
        <w:t>En este escenario, existirán sectores del mercado que, por ejemplo, por el avance tecnológico y las exigencias que conlleva desde el punto de vista normativo o técnico, la entidad estatal requiera que la experiencia se limite en un ámbito temporal</w:t>
      </w:r>
      <w:r w:rsidR="00CF478E">
        <w:rPr>
          <w:rFonts w:ascii="Verdana" w:eastAsia="Calibri" w:hAnsi="Verdana" w:cs="Arial"/>
          <w:color w:val="000000"/>
        </w:rPr>
        <w:t>, sin que ello signifique que la experiencia caduca, prescribe o se pierde por el paso del tiempo</w:t>
      </w:r>
      <w:r>
        <w:rPr>
          <w:rFonts w:ascii="Verdana" w:eastAsia="Calibri" w:hAnsi="Verdana" w:cs="Arial"/>
          <w:color w:val="000000"/>
        </w:rPr>
        <w:t xml:space="preserve">; no </w:t>
      </w:r>
      <w:proofErr w:type="gramStart"/>
      <w:r>
        <w:rPr>
          <w:rFonts w:ascii="Verdana" w:eastAsia="Calibri" w:hAnsi="Verdana" w:cs="Arial"/>
          <w:color w:val="000000"/>
        </w:rPr>
        <w:t>obstante</w:t>
      </w:r>
      <w:proofErr w:type="gramEnd"/>
      <w:r>
        <w:rPr>
          <w:rFonts w:ascii="Verdana" w:eastAsia="Calibri" w:hAnsi="Verdana" w:cs="Arial"/>
          <w:color w:val="000000"/>
        </w:rPr>
        <w:t xml:space="preserve"> lo anterior, la administración deberá justificar de manera razonada y proporcional dicha limitación.  </w:t>
      </w:r>
    </w:p>
    <w:p w14:paraId="692D37E9" w14:textId="77777777" w:rsidR="0032263C" w:rsidRPr="00F30DD3" w:rsidRDefault="0032263C" w:rsidP="0032263C">
      <w:pPr>
        <w:widowControl w:val="0"/>
        <w:autoSpaceDE w:val="0"/>
        <w:autoSpaceDN w:val="0"/>
        <w:spacing w:after="120" w:line="276" w:lineRule="auto"/>
        <w:ind w:firstLine="709"/>
        <w:jc w:val="both"/>
        <w:rPr>
          <w:rFonts w:ascii="Verdana" w:eastAsia="Calibri" w:hAnsi="Verdana" w:cs="Arial"/>
          <w:color w:val="000000"/>
        </w:rPr>
      </w:pPr>
      <w:r w:rsidRPr="00F30DD3">
        <w:rPr>
          <w:rFonts w:ascii="Verdana" w:eastAsia="Calibri" w:hAnsi="Verdana" w:cs="Arial"/>
          <w:color w:val="000000"/>
        </w:rPr>
        <w:t>Esto en la medida que, además de los argumentos que ya se han planteado, esa lectura negaría la autonomía reconocida en el Estatuto General de Contratación de la Administración Pública a los órganos del Estado para confeccionar el pliego de condiciones o los documentos equivalentes y, específicamente, para definir los requisitos que deben reunir los oferentes, según los factores advertidos durante los estudios previos, en armonía con los principios de legalidad y proporcionalidad.</w:t>
      </w:r>
    </w:p>
    <w:p w14:paraId="06C6E374" w14:textId="77777777" w:rsidR="0032263C" w:rsidRPr="00F30DD3" w:rsidRDefault="0032263C" w:rsidP="0032263C">
      <w:pPr>
        <w:widowControl w:val="0"/>
        <w:autoSpaceDE w:val="0"/>
        <w:autoSpaceDN w:val="0"/>
        <w:spacing w:after="120" w:line="276" w:lineRule="auto"/>
        <w:ind w:firstLine="709"/>
        <w:jc w:val="both"/>
        <w:rPr>
          <w:rFonts w:ascii="Verdana" w:eastAsia="Calibri" w:hAnsi="Verdana" w:cs="Arial"/>
          <w:color w:val="000000"/>
        </w:rPr>
      </w:pPr>
      <w:r w:rsidRPr="00F30DD3">
        <w:rPr>
          <w:rFonts w:ascii="Verdana" w:eastAsia="Calibri" w:hAnsi="Verdana" w:cs="Arial"/>
          <w:color w:val="000000"/>
        </w:rPr>
        <w:t>Considerando la discrecionalidad para establecer requisitos habilitantes, es necesario tener en cuenta que el artículo 44 de la Ley 1437 de 2011 –aplicable en los procedimientos contractuales en virtud del artículo 77 de la Ley 80 de 1993– dispone que “En la medida en que el contenido de una decisión de carácter general o particular sea discrecional, debe ser adecuada a los fines de la norma que la autoriza, y proporcional a los hechos que le sirven de causa”. Dado lo anterior, para efectos de configurar requisitos habilitantes la Entidad Estatal tiene la carga de justificar en los estudios previos y análisis del sector del proceso de selección su procedencia, de conformidad con el artículo 2.2.1.1.1.6.2 del Decreto 1082 de 2015.</w:t>
      </w:r>
    </w:p>
    <w:p w14:paraId="17108BA5" w14:textId="77777777" w:rsidR="0032263C" w:rsidRDefault="0032263C" w:rsidP="0032263C">
      <w:pPr>
        <w:widowControl w:val="0"/>
        <w:autoSpaceDE w:val="0"/>
        <w:autoSpaceDN w:val="0"/>
        <w:spacing w:after="120" w:line="276" w:lineRule="auto"/>
        <w:ind w:firstLine="709"/>
        <w:jc w:val="both"/>
        <w:rPr>
          <w:rFonts w:ascii="Verdana" w:eastAsia="Calibri" w:hAnsi="Verdana" w:cs="Arial"/>
          <w:color w:val="000000"/>
        </w:rPr>
      </w:pPr>
      <w:r w:rsidRPr="00F30DD3">
        <w:rPr>
          <w:rFonts w:ascii="Verdana" w:eastAsia="Calibri" w:hAnsi="Verdana" w:cs="Arial"/>
          <w:color w:val="000000"/>
        </w:rPr>
        <w:t>Así las cosas, aunque la Ley 1150 de 2007 estableció unos requisitos habilitantes para los proponentes: la capacidad jurídica, las condiciones de experiencia, la capacidad financiera y la capacidad de organización, lo cierto es que los mismos no son taxativos; que los requisitos habilitantes deben ser establecidos por la Entidad Estatal en cada proceso contractual, debidamente justificados y de acuerdo con los parámetros fijados en el Decreto 1082 de 2015; y que una vez establecidos los requisitos habilitantes, quienes presenten ofertas deben acreditar que cumplen con ellos, so pena de que sus propuestas sean rechazadas. Esto sin perjuicio de la posibilidad de subsanarlas, cuando a ello haya lugar.</w:t>
      </w:r>
    </w:p>
    <w:p w14:paraId="70C9FCC0" w14:textId="77777777" w:rsidR="0032263C" w:rsidRDefault="0032263C" w:rsidP="0032263C">
      <w:pPr>
        <w:widowControl w:val="0"/>
        <w:autoSpaceDE w:val="0"/>
        <w:autoSpaceDN w:val="0"/>
        <w:spacing w:after="120" w:line="276" w:lineRule="auto"/>
        <w:ind w:firstLine="709"/>
        <w:jc w:val="both"/>
        <w:rPr>
          <w:rFonts w:ascii="Verdana" w:eastAsia="Calibri" w:hAnsi="Verdana" w:cs="Arial"/>
          <w:color w:val="000000"/>
          <w:lang w:val="es-ES_tradnl"/>
        </w:rPr>
      </w:pPr>
      <w:r>
        <w:rPr>
          <w:rFonts w:ascii="Verdana" w:eastAsia="Calibri" w:hAnsi="Verdana" w:cs="Arial"/>
          <w:color w:val="000000"/>
          <w:lang w:val="es-ES_tradnl"/>
        </w:rPr>
        <w:t>Es importante advertir que c</w:t>
      </w:r>
      <w:r w:rsidRPr="005374F3">
        <w:rPr>
          <w:rFonts w:ascii="Verdana" w:eastAsia="Calibri" w:hAnsi="Verdana" w:cs="Arial"/>
          <w:color w:val="000000"/>
          <w:lang w:val="es-ES_tradnl"/>
        </w:rPr>
        <w:t>on excepción de los procedimientos regidos por documentos tipo, es necesario tener en cuenta que existe un margen de discrecionalidad para definir el contenido del pliego de condiciones</w:t>
      </w:r>
      <w:r>
        <w:rPr>
          <w:rStyle w:val="Refdenotaalpie"/>
          <w:rFonts w:ascii="Verdana" w:eastAsia="Calibri" w:hAnsi="Verdana" w:cs="Arial"/>
          <w:color w:val="000000"/>
          <w:lang w:val="es-ES_tradnl"/>
        </w:rPr>
        <w:footnoteReference w:id="8"/>
      </w:r>
      <w:r w:rsidRPr="005374F3">
        <w:rPr>
          <w:rFonts w:ascii="Verdana" w:eastAsia="Calibri" w:hAnsi="Verdana" w:cs="Arial"/>
          <w:color w:val="000000"/>
          <w:lang w:val="es-ES_tradnl"/>
        </w:rPr>
        <w:t xml:space="preserve"> . Salvo los aspectos que se encuentren reglados en la actuación administrativa, esto implica libertad de las entidades para determinar los requisitos habilitantes sujetos a verificación en los documentos del proceso. Lo anterior en la medida que no existen potestades completamente discrecionales, por lo que dichos elementos reglados son una limitación efectiva a la libertad de configuración</w:t>
      </w:r>
      <w:r>
        <w:rPr>
          <w:rStyle w:val="Refdenotaalpie"/>
          <w:rFonts w:ascii="Verdana" w:eastAsia="Calibri" w:hAnsi="Verdana" w:cs="Arial"/>
          <w:color w:val="000000"/>
          <w:lang w:val="es-ES_tradnl"/>
        </w:rPr>
        <w:footnoteReference w:id="9"/>
      </w:r>
      <w:r w:rsidRPr="005374F3">
        <w:rPr>
          <w:rFonts w:ascii="Verdana" w:eastAsia="Calibri" w:hAnsi="Verdana" w:cs="Arial"/>
          <w:color w:val="000000"/>
          <w:lang w:val="es-ES_tradnl"/>
        </w:rPr>
        <w:t xml:space="preserve">.  </w:t>
      </w:r>
    </w:p>
    <w:p w14:paraId="0FF23A5A" w14:textId="77777777" w:rsidR="0032263C" w:rsidRPr="005374F3" w:rsidRDefault="0032263C" w:rsidP="0032263C">
      <w:pPr>
        <w:widowControl w:val="0"/>
        <w:autoSpaceDE w:val="0"/>
        <w:autoSpaceDN w:val="0"/>
        <w:spacing w:after="120" w:line="276" w:lineRule="auto"/>
        <w:ind w:firstLine="709"/>
        <w:jc w:val="both"/>
        <w:rPr>
          <w:rFonts w:ascii="Verdana" w:eastAsia="Calibri" w:hAnsi="Verdana" w:cs="Arial"/>
          <w:color w:val="000000"/>
          <w:lang w:val="es-ES_tradnl"/>
        </w:rPr>
      </w:pPr>
      <w:r w:rsidRPr="00F30DD3">
        <w:rPr>
          <w:rFonts w:ascii="Verdana" w:eastAsia="Calibri" w:hAnsi="Verdana" w:cs="Arial"/>
          <w:color w:val="000000"/>
        </w:rPr>
        <w:t>Finalmente, la experiencia, según el Manual para determinar y verificar los requisitos habilitantes en los procesos de contratación de Colombia Compra Eficiente, es el conocimiento adquirido por el proponente a partir de su participación en actividades iguales o similares al objeto del contrato, ya sea de manera individual o en asocio. En la contratación pública, este requisito es fundamental para garantizar la correcta ejecución del contrato, minimizando riesgos de improvisación y sobrecostos. Las entidades contratantes tienen autonomía para definir los requisitos de experiencia, pero deben hacerlo conforme a los principios de selección objetiva y libre competencia. Según el artículo 2.2.1.1.1.6.2. del Decreto 1082 de 2015, estos deben fundamentarse en el estudio del sector, la identificación de riesgos, el análisis del mercado y la evaluación de precios. La experiencia exigida debe ser adecuada y proporcional: adecuada cuando tiene relación con las actividades del contrato, y proporcional cuando se ajusta a su valor, alcance, complejidad y riesgo. No es válido exigir experiencia idéntica, ya que esto restringe injustificadamente la participación y limita la concurrencia. Por ello, es esencial permitir la acreditación de experiencia en actividades similares, asegurando así una mayor pluralidad de oferentes y promoviendo la competencia efectiva en los procesos de contratación pública.</w:t>
      </w:r>
      <w:bookmarkEnd w:id="2"/>
    </w:p>
    <w:p w14:paraId="5AB5580C" w14:textId="77777777" w:rsidR="0032263C" w:rsidRDefault="0032263C" w:rsidP="0032263C">
      <w:pPr>
        <w:spacing w:after="120" w:line="276" w:lineRule="auto"/>
        <w:ind w:firstLine="709"/>
        <w:jc w:val="both"/>
        <w:rPr>
          <w:rFonts w:ascii="Verdana" w:eastAsia="Times New Roman" w:hAnsi="Verdana" w:cs="Arial"/>
          <w:lang w:eastAsia="es-ES_tradnl"/>
        </w:rPr>
      </w:pPr>
      <w:r w:rsidRPr="00070EC3">
        <w:rPr>
          <w:rFonts w:ascii="Verdana" w:hAnsi="Verdana" w:cs="Arial"/>
          <w:lang w:eastAsia="es-ES"/>
        </w:rPr>
        <w:t xml:space="preserve">Al margen de la explicación precedente debe advertirse que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79FFBDE4" w14:textId="77777777" w:rsidR="0032263C" w:rsidRPr="00FA3156" w:rsidRDefault="0032263C" w:rsidP="0032263C">
      <w:pPr>
        <w:spacing w:after="120" w:line="276" w:lineRule="auto"/>
        <w:ind w:firstLine="709"/>
        <w:jc w:val="both"/>
        <w:rPr>
          <w:rFonts w:ascii="Verdana" w:eastAsia="Times New Roman" w:hAnsi="Verdana" w:cs="Arial"/>
          <w:lang w:eastAsia="es-ES_tradnl"/>
        </w:rPr>
      </w:pPr>
      <w:r w:rsidRPr="00070EC3">
        <w:rPr>
          <w:rFonts w:ascii="Verdana" w:hAnsi="Verdana" w:cs="Arial"/>
          <w:lang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6324C57E" w14:textId="77777777" w:rsidR="0032263C" w:rsidRPr="009E51D7" w:rsidRDefault="0032263C" w:rsidP="0032263C">
      <w:pPr>
        <w:tabs>
          <w:tab w:val="left" w:pos="142"/>
          <w:tab w:val="left" w:pos="284"/>
        </w:tabs>
        <w:spacing w:after="0" w:line="276" w:lineRule="auto"/>
        <w:jc w:val="both"/>
        <w:rPr>
          <w:rFonts w:ascii="Verdana" w:eastAsia="Century Gothic" w:hAnsi="Verdana" w:cs="Century Gothic"/>
          <w:b/>
          <w:bCs/>
        </w:rPr>
      </w:pPr>
      <w:r w:rsidRPr="009E51D7">
        <w:rPr>
          <w:rFonts w:ascii="Verdana" w:eastAsia="Calibri" w:hAnsi="Verdana" w:cs="Arial"/>
          <w:b/>
          <w:color w:val="000000" w:themeColor="text1"/>
        </w:rPr>
        <w:t xml:space="preserve">4. </w:t>
      </w:r>
      <w:r w:rsidRPr="009E51D7">
        <w:rPr>
          <w:rFonts w:ascii="Verdana" w:eastAsia="Century Gothic" w:hAnsi="Verdana" w:cs="Century Gothic"/>
          <w:b/>
          <w:bCs/>
        </w:rPr>
        <w:t>Referencias normativas, jurisprudenciales y otras fuentes:</w:t>
      </w:r>
    </w:p>
    <w:p w14:paraId="14B961BF" w14:textId="77777777" w:rsidR="0032263C" w:rsidRPr="00E5656D" w:rsidRDefault="0032263C" w:rsidP="0032263C">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2263C" w:rsidRPr="002D2C18" w14:paraId="4CDA5A5D" w14:textId="77777777" w:rsidTr="00082AF8">
        <w:trPr>
          <w:trHeight w:val="56"/>
          <w:jc w:val="center"/>
        </w:trPr>
        <w:tc>
          <w:tcPr>
            <w:tcW w:w="8647" w:type="dxa"/>
          </w:tcPr>
          <w:p w14:paraId="26E7903D" w14:textId="77777777" w:rsidR="0032263C" w:rsidRDefault="0032263C" w:rsidP="0032263C">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Ley 80 de 1993. Artículo 77.</w:t>
            </w:r>
          </w:p>
          <w:p w14:paraId="1C954250" w14:textId="77777777" w:rsidR="0032263C" w:rsidRDefault="0032263C" w:rsidP="0032263C">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 xml:space="preserve">Ley 1150 de 2007. Artículo 5. </w:t>
            </w:r>
          </w:p>
          <w:p w14:paraId="251DBBD9" w14:textId="77777777" w:rsidR="0032263C" w:rsidRPr="00A133DF" w:rsidRDefault="0032263C" w:rsidP="0032263C">
            <w:pPr>
              <w:pStyle w:val="Prrafodelista"/>
              <w:widowControl w:val="0"/>
              <w:numPr>
                <w:ilvl w:val="0"/>
                <w:numId w:val="17"/>
              </w:numPr>
              <w:autoSpaceDE w:val="0"/>
              <w:autoSpaceDN w:val="0"/>
              <w:spacing w:after="120" w:line="276" w:lineRule="auto"/>
              <w:ind w:left="714" w:hanging="357"/>
              <w:jc w:val="both"/>
              <w:rPr>
                <w:rStyle w:val="normaltextrun"/>
                <w:rFonts w:ascii="Verdana" w:hAnsi="Verdana" w:cs="Arial"/>
                <w:lang w:eastAsia="es-ES"/>
              </w:rPr>
            </w:pPr>
            <w:r>
              <w:rPr>
                <w:rFonts w:ascii="Verdana" w:hAnsi="Verdana"/>
              </w:rPr>
              <w:t xml:space="preserve">Decreto 1082 de 2005. Artículo </w:t>
            </w:r>
            <w:r w:rsidRPr="008853E4">
              <w:rPr>
                <w:rStyle w:val="normaltextrun"/>
                <w:rFonts w:ascii="Verdana" w:hAnsi="Verdana" w:cs="Arial"/>
                <w:color w:val="000000" w:themeColor="text1"/>
                <w:lang w:val="es-ES_tradnl"/>
              </w:rPr>
              <w:t>2.2.1.1.1.6.2</w:t>
            </w:r>
            <w:r>
              <w:rPr>
                <w:rStyle w:val="normaltextrun"/>
                <w:rFonts w:ascii="Verdana" w:hAnsi="Verdana" w:cs="Arial"/>
                <w:color w:val="000000" w:themeColor="text1"/>
                <w:lang w:val="es-ES_tradnl"/>
              </w:rPr>
              <w:t>.</w:t>
            </w:r>
          </w:p>
          <w:p w14:paraId="00BC43EF" w14:textId="77777777" w:rsidR="0032263C" w:rsidRPr="00A133DF" w:rsidRDefault="0032263C" w:rsidP="0032263C">
            <w:pPr>
              <w:pStyle w:val="Prrafodelista"/>
              <w:widowControl w:val="0"/>
              <w:numPr>
                <w:ilvl w:val="0"/>
                <w:numId w:val="17"/>
              </w:numPr>
              <w:autoSpaceDE w:val="0"/>
              <w:autoSpaceDN w:val="0"/>
              <w:spacing w:after="120" w:line="276" w:lineRule="auto"/>
              <w:ind w:left="714" w:hanging="357"/>
              <w:jc w:val="both"/>
              <w:rPr>
                <w:rStyle w:val="normaltextrun"/>
                <w:rFonts w:ascii="Verdana" w:hAnsi="Verdana" w:cs="Arial"/>
                <w:lang w:eastAsia="es-ES"/>
              </w:rPr>
            </w:pPr>
            <w:r w:rsidRPr="00F30DD3">
              <w:rPr>
                <w:rFonts w:ascii="Verdana" w:eastAsia="Calibri" w:hAnsi="Verdana" w:cs="Arial"/>
                <w:color w:val="000000"/>
              </w:rPr>
              <w:t>Ley 1437 de 2011</w:t>
            </w:r>
            <w:r>
              <w:rPr>
                <w:rFonts w:ascii="Verdana" w:eastAsia="Calibri" w:hAnsi="Verdana" w:cs="Arial"/>
                <w:color w:val="000000"/>
              </w:rPr>
              <w:t>. Artículo 44.</w:t>
            </w:r>
          </w:p>
          <w:p w14:paraId="5186E1F8" w14:textId="77777777" w:rsidR="0032263C" w:rsidRDefault="0032263C" w:rsidP="0032263C">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A133DF">
              <w:rPr>
                <w:rFonts w:ascii="Verdana" w:hAnsi="Verdana" w:cs="Arial"/>
                <w:lang w:eastAsia="es-ES"/>
              </w:rPr>
              <w:t>Consejo de Estado. Sala de lo Contencioso Administrativo. Sección Tercera. Subsección B. Providencia del 5 de diciembre de 2016. Expediente: 05001-23-31-000-2003-03663-01 (41.333). C. P. Ramiro Pazos Guerrero.</w:t>
            </w:r>
          </w:p>
          <w:p w14:paraId="3E97BF23" w14:textId="77777777" w:rsidR="0032263C" w:rsidRDefault="0032263C" w:rsidP="0032263C">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A133DF">
              <w:rPr>
                <w:rFonts w:ascii="Verdana" w:hAnsi="Verdana" w:cs="Arial"/>
                <w:lang w:eastAsia="es-ES"/>
              </w:rPr>
              <w:t>GONZÁLEZ LÓPEZ, Edgar. El pliego de condiciones en la contratación estatal: la reforma consagrada en la Ley 1150 de 2007 y sus decretos reglamentarios. Bogotá: Universidad Externando de Colombia, 2012.</w:t>
            </w:r>
          </w:p>
          <w:p w14:paraId="5E8C7110" w14:textId="77777777" w:rsidR="0032263C" w:rsidRPr="00A133DF" w:rsidRDefault="0032263C" w:rsidP="0032263C">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A133DF">
              <w:rPr>
                <w:rFonts w:ascii="Verdana" w:hAnsi="Verdana"/>
                <w:lang w:val="es-CO"/>
              </w:rPr>
              <w:t xml:space="preserve">Manual para determinar y verificar los requisitos habilitantes en los procesos de contratación </w:t>
            </w:r>
            <w:r w:rsidRPr="00A133DF">
              <w:rPr>
                <w:rFonts w:ascii="Verdana" w:hAnsi="Verdana"/>
              </w:rPr>
              <w:t xml:space="preserve">Disponible en </w:t>
            </w:r>
            <w:hyperlink r:id="rId12" w:history="1">
              <w:r w:rsidRPr="00A133DF">
                <w:rPr>
                  <w:rStyle w:val="Hipervnculo"/>
                  <w:rFonts w:ascii="Verdana" w:hAnsi="Verdana"/>
                  <w:lang w:val="es-CO"/>
                </w:rPr>
                <w:t>cce-eicp-ma-04._manual_requisitos_habilitantes_v3_29-09-2023.pdf</w:t>
              </w:r>
            </w:hyperlink>
          </w:p>
        </w:tc>
      </w:tr>
    </w:tbl>
    <w:p w14:paraId="6FC97CAC" w14:textId="77777777" w:rsidR="0032263C" w:rsidRDefault="0032263C" w:rsidP="0032263C">
      <w:pPr>
        <w:tabs>
          <w:tab w:val="left" w:pos="142"/>
          <w:tab w:val="left" w:pos="284"/>
          <w:tab w:val="left" w:pos="3828"/>
        </w:tabs>
        <w:spacing w:after="0" w:line="276" w:lineRule="auto"/>
        <w:jc w:val="both"/>
        <w:rPr>
          <w:rFonts w:ascii="Verdana" w:eastAsia="Century Gothic" w:hAnsi="Verdana" w:cs="Century Gothic"/>
          <w:b/>
          <w:bCs/>
        </w:rPr>
      </w:pPr>
    </w:p>
    <w:p w14:paraId="1FC0B8FD" w14:textId="77777777" w:rsidR="0032263C" w:rsidRPr="0091091D" w:rsidRDefault="0032263C" w:rsidP="0032263C">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3F8587F8" w14:textId="77777777" w:rsidR="0032263C" w:rsidRPr="007A3DD4" w:rsidRDefault="0032263C" w:rsidP="0032263C">
      <w:pPr>
        <w:widowControl w:val="0"/>
        <w:autoSpaceDE w:val="0"/>
        <w:autoSpaceDN w:val="0"/>
        <w:spacing w:after="0" w:line="240" w:lineRule="auto"/>
        <w:jc w:val="both"/>
        <w:rPr>
          <w:rStyle w:val="normaltextrun"/>
          <w:rFonts w:ascii="Verdana" w:hAnsi="Verdana" w:cs="Arial"/>
          <w:shd w:val="clear" w:color="auto" w:fill="FFFFFF"/>
        </w:rPr>
      </w:pPr>
    </w:p>
    <w:p w14:paraId="00BE0891" w14:textId="5BEB1E03" w:rsidR="0032263C" w:rsidRDefault="0032263C" w:rsidP="0032263C">
      <w:pPr>
        <w:spacing w:after="120" w:line="276" w:lineRule="auto"/>
        <w:jc w:val="both"/>
        <w:rPr>
          <w:rFonts w:ascii="Verdana" w:eastAsia="Calibri" w:hAnsi="Verdana" w:cs="Arial"/>
          <w:color w:val="000000" w:themeColor="text1"/>
          <w:lang w:eastAsia="es-ES"/>
        </w:rPr>
      </w:pPr>
      <w:r w:rsidRPr="00BD429F">
        <w:rPr>
          <w:rFonts w:ascii="Verdana" w:hAnsi="Verdana" w:cs="Arial"/>
          <w:bCs/>
          <w:shd w:val="clear" w:color="auto" w:fill="FFFFFF"/>
        </w:rPr>
        <w:t xml:space="preserve">La Agencia Nacional de Contratación Pública – Colombia Compra Eficiente se ha pronunciado sobre la experiencia como requisito habilitante en los conceptos </w:t>
      </w:r>
      <w:r w:rsidRPr="00BD429F">
        <w:rPr>
          <w:rFonts w:ascii="Verdana" w:eastAsia="Aptos" w:hAnsi="Verdana" w:cs="Segoe UI"/>
          <w:kern w:val="2"/>
          <w14:ligatures w14:val="standardContextual"/>
        </w:rPr>
        <w:t xml:space="preserve">C 539 del 27 de septiembre de 2021, C 429 del 17 de agosto de 2021, C-034 del 2 de marzo de 2022, C-144 del 28 de marzo de 2022, C-239 del 26 de abril de 2022, C-324 del 20 mayo de 2022, C-456 del 15 de julio de 2022, </w:t>
      </w:r>
      <w:r w:rsidRPr="00BD429F">
        <w:rPr>
          <w:rFonts w:ascii="Verdana" w:hAnsi="Verdana" w:cs="Arial"/>
          <w:lang w:val="es-ES"/>
        </w:rPr>
        <w:t xml:space="preserve">C 447 del  19 de julio  de 2022, C-779 del 16 de noviembre de 2022, C-124 del 12 de mayo de 2023, C-167 del 5 de junio de 2023, </w:t>
      </w:r>
      <w:r>
        <w:rPr>
          <w:rFonts w:ascii="Verdana" w:hAnsi="Verdana" w:cs="Arial"/>
          <w:lang w:val="es-ES"/>
        </w:rPr>
        <w:t xml:space="preserve">C-417 del 27 de septiembre de 2023, </w:t>
      </w:r>
      <w:r w:rsidRPr="00BD429F">
        <w:rPr>
          <w:rFonts w:ascii="Verdana" w:hAnsi="Verdana" w:cs="Arial"/>
          <w:lang w:val="es-ES"/>
        </w:rPr>
        <w:t xml:space="preserve">C- 450 del 3 de noviembre de 2023, C-139 de 31 mayo del  2024, C-120 de 11 del junio de 2024, </w:t>
      </w:r>
      <w:r w:rsidRPr="00BD429F">
        <w:rPr>
          <w:rFonts w:ascii="Verdana" w:eastAsia="Aptos" w:hAnsi="Verdana" w:cs="Segoe UI"/>
          <w:kern w:val="2"/>
          <w14:ligatures w14:val="standardContextual"/>
        </w:rPr>
        <w:t xml:space="preserve">C-088 del 13 de julio de 2024, </w:t>
      </w:r>
      <w:r w:rsidRPr="00BD429F">
        <w:rPr>
          <w:rFonts w:ascii="Verdana" w:hAnsi="Verdana" w:cs="Arial"/>
          <w:lang w:val="es-ES"/>
        </w:rPr>
        <w:t>C-246 del 16 de julio de 2024, C-204 del 29 de julio de 2024, C-223 del 29 de julio de 2024, C-278 de 31 de julio de 2024, C-732 del 12 de noviembre de 2024</w:t>
      </w:r>
      <w:r w:rsidRPr="00BD429F">
        <w:rPr>
          <w:rStyle w:val="normaltextrun"/>
          <w:rFonts w:ascii="Verdana" w:hAnsi="Verdana" w:cs="Arial"/>
          <w:lang w:val="es-ES"/>
        </w:rPr>
        <w:t>, C-10</w:t>
      </w:r>
      <w:r w:rsidR="7102C859" w:rsidRPr="00BD429F">
        <w:rPr>
          <w:rStyle w:val="normaltextrun"/>
          <w:rFonts w:ascii="Verdana" w:hAnsi="Verdana" w:cs="Arial"/>
          <w:lang w:val="es-ES"/>
        </w:rPr>
        <w:t>0</w:t>
      </w:r>
      <w:r w:rsidRPr="00BD429F">
        <w:rPr>
          <w:rStyle w:val="normaltextrun"/>
          <w:rFonts w:ascii="Verdana" w:hAnsi="Verdana" w:cs="Arial"/>
          <w:lang w:val="es-ES"/>
        </w:rPr>
        <w:t xml:space="preserve">2 del 30 de enero de 2025, </w:t>
      </w:r>
      <w:r w:rsidRPr="00BD429F">
        <w:rPr>
          <w:rFonts w:ascii="Verdana" w:hAnsi="Verdana" w:cs="Arial"/>
        </w:rPr>
        <w:t>entre otros</w:t>
      </w:r>
      <w:r w:rsidRPr="29944726">
        <w:rPr>
          <w:rFonts w:ascii="Verdana" w:eastAsia="Calibri" w:hAnsi="Verdana" w:cs="Arial"/>
          <w:color w:val="000000" w:themeColor="text1"/>
          <w:lang w:eastAsia="es-ES"/>
        </w:rPr>
        <w:t xml:space="preserve">. </w:t>
      </w:r>
      <w:r w:rsidRPr="00BD429F">
        <w:rPr>
          <w:rFonts w:ascii="Verdana" w:hAnsi="Verdana" w:cs="Arial"/>
        </w:rPr>
        <w:t xml:space="preserve">Estos y otros </w:t>
      </w:r>
      <w:r w:rsidRPr="00BD429F">
        <w:rPr>
          <w:rFonts w:ascii="Verdana" w:hAnsi="Verdana"/>
        </w:rPr>
        <w:t>conceptos se encuentran disponibles para consulta en el Sistema de relatoría de la Agencia, al cual se puede acceder a través</w:t>
      </w:r>
      <w:r w:rsidRPr="00321DC0">
        <w:rPr>
          <w:rFonts w:ascii="Verdana" w:hAnsi="Verdana"/>
        </w:rPr>
        <w:t xml:space="preserve"> del siguiente</w:t>
      </w:r>
      <w:r w:rsidRPr="00185290">
        <w:rPr>
          <w:rFonts w:ascii="Verdana" w:hAnsi="Verdana"/>
        </w:rPr>
        <w:t xml:space="preserve"> enlace:</w:t>
      </w:r>
      <w:r w:rsidRPr="00185290">
        <w:rPr>
          <w:rFonts w:ascii="Verdana" w:hAnsi="Verdana" w:cs="Arial"/>
          <w:shd w:val="clear" w:color="auto" w:fill="FFFFFF"/>
        </w:rPr>
        <w:t xml:space="preserve"> </w:t>
      </w:r>
      <w:hyperlink r:id="rId13" w:history="1">
        <w:r w:rsidRPr="00185290">
          <w:rPr>
            <w:rFonts w:ascii="Verdana" w:hAnsi="Verdana" w:cs="Arial"/>
            <w:color w:val="0563C1" w:themeColor="hyperlink"/>
            <w:u w:val="single"/>
            <w:shd w:val="clear" w:color="auto" w:fill="FFFFFF"/>
          </w:rPr>
          <w:t>https://relatoria.colombiacompra.gov.co/busqueda/conceptos</w:t>
        </w:r>
      </w:hyperlink>
      <w:r w:rsidRPr="00185290">
        <w:rPr>
          <w:rFonts w:ascii="Verdana" w:hAnsi="Verdana" w:cs="Arial"/>
          <w:shd w:val="clear" w:color="auto" w:fill="FFFFFF"/>
        </w:rPr>
        <w:t>.</w:t>
      </w:r>
      <w:r w:rsidRPr="00185290">
        <w:rPr>
          <w:rFonts w:ascii="Verdana" w:hAnsi="Verdana" w:cs="Arial"/>
          <w:color w:val="FF0000"/>
          <w:shd w:val="clear" w:color="auto" w:fill="FFFFFF"/>
        </w:rPr>
        <w:t xml:space="preserve"> </w:t>
      </w:r>
    </w:p>
    <w:p w14:paraId="155B637E" w14:textId="77777777" w:rsidR="0032263C" w:rsidRDefault="0032263C" w:rsidP="0032263C">
      <w:pPr>
        <w:spacing w:after="0" w:line="240" w:lineRule="auto"/>
        <w:jc w:val="both"/>
        <w:rPr>
          <w:rFonts w:ascii="Verdana" w:eastAsia="Calibri" w:hAnsi="Verdana" w:cs="Arial"/>
          <w:color w:val="000000" w:themeColor="text1"/>
          <w:lang w:eastAsia="es-ES_tradnl"/>
        </w:rPr>
      </w:pPr>
    </w:p>
    <w:p w14:paraId="6E0490D2" w14:textId="77777777" w:rsidR="0032263C" w:rsidRPr="004E3EB5" w:rsidRDefault="0032263C" w:rsidP="0032263C">
      <w:pPr>
        <w:spacing w:after="120" w:line="276" w:lineRule="auto"/>
        <w:jc w:val="both"/>
        <w:rPr>
          <w:rFonts w:ascii="Verdana" w:eastAsia="Calibri" w:hAnsi="Verdana" w:cs="Arial"/>
          <w:color w:val="000000" w:themeColor="text1"/>
          <w:lang w:eastAsia="es-ES_tradnl"/>
        </w:rPr>
      </w:pPr>
      <w:r w:rsidRPr="00986400">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986400">
        <w:rPr>
          <w:rFonts w:ascii="Verdana" w:hAnsi="Verdana"/>
          <w:b/>
          <w:bCs/>
        </w:rPr>
        <w:t>Guía para la Exigencia y Constitución de Garantías en los Procesos de Contratación</w:t>
      </w:r>
      <w:r w:rsidRPr="00986400">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986400">
          <w:rPr>
            <w:rStyle w:val="Hipervnculo"/>
            <w:rFonts w:ascii="Verdana" w:hAnsi="Verdana"/>
          </w:rPr>
          <w:t>https://www.colombiacompra.gov.co/archivos/manual/guia-de-garantias-en-procesos-de-contratacion</w:t>
        </w:r>
      </w:hyperlink>
    </w:p>
    <w:p w14:paraId="4034A889" w14:textId="77777777" w:rsidR="0032263C" w:rsidRDefault="0032263C" w:rsidP="0032263C">
      <w:pPr>
        <w:spacing w:after="0" w:line="240" w:lineRule="auto"/>
        <w:jc w:val="both"/>
        <w:rPr>
          <w:rFonts w:ascii="Verdana" w:hAnsi="Verdana" w:cs="Arial"/>
          <w:bCs/>
          <w:shd w:val="clear" w:color="auto" w:fill="FFFFFF"/>
        </w:rPr>
      </w:pPr>
    </w:p>
    <w:p w14:paraId="3F3262B7" w14:textId="77777777" w:rsidR="0032263C" w:rsidRPr="00321DC0" w:rsidRDefault="0032263C" w:rsidP="0032263C">
      <w:pPr>
        <w:spacing w:after="120" w:line="276" w:lineRule="auto"/>
        <w:jc w:val="both"/>
        <w:rPr>
          <w:rFonts w:ascii="Verdana" w:hAnsi="Verdana" w:cs="Arial"/>
          <w:bCs/>
          <w:shd w:val="clear" w:color="auto" w:fill="FFFFFF"/>
        </w:rPr>
      </w:pPr>
      <w:r w:rsidRPr="00986400">
        <w:rPr>
          <w:rFonts w:ascii="Verdana" w:hAnsi="Verdana"/>
        </w:rPr>
        <w:t>De otro lado, te contamos que el Decreto 287 del 19 de marzo de 2026 sustituyó los artículos 2.2.1.2.4.2.6., 2.2.1.2.4.2.7. y 2.2.1.2.4.2.8. del Decreto 1082 de 2015 y estructuró el </w:t>
      </w:r>
      <w:r w:rsidRPr="00986400">
        <w:rPr>
          <w:rFonts w:ascii="Verdana" w:hAnsi="Verdana"/>
          <w:b/>
          <w:bCs/>
        </w:rPr>
        <w:t>Sistema Integral de Preferencias en favor de las personas con discapacidad</w:t>
      </w:r>
      <w:r w:rsidRPr="00986400">
        <w:rPr>
          <w:rFonts w:ascii="Verdana" w:hAnsi="Verdana"/>
        </w:rPr>
        <w:t>, en cumplimiento del artículo 13 de la Ley Estatutaria 1618 de 2013. Para orientar su aplicación, esta Agencia expidió la </w:t>
      </w:r>
      <w:r w:rsidRPr="00986400">
        <w:rPr>
          <w:rFonts w:ascii="Verdana" w:hAnsi="Verdana"/>
          <w:b/>
          <w:bCs/>
        </w:rPr>
        <w:t>Circular Externa 003 del 12 de mayo de 2026, </w:t>
      </w:r>
      <w:r w:rsidRPr="00986400">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986400">
          <w:rPr>
            <w:rStyle w:val="Hipervnculo"/>
            <w:rFonts w:ascii="Verdana" w:hAnsi="Verdana"/>
          </w:rPr>
          <w:t>https://www.colombiacompra.gov.co/archivos/circular/circular-externa-003-de-2026</w:t>
        </w:r>
      </w:hyperlink>
    </w:p>
    <w:p w14:paraId="0B01E33F" w14:textId="77777777" w:rsidR="0032263C" w:rsidRDefault="0032263C" w:rsidP="0032263C">
      <w:pPr>
        <w:widowControl w:val="0"/>
        <w:autoSpaceDE w:val="0"/>
        <w:autoSpaceDN w:val="0"/>
        <w:spacing w:after="0" w:line="240" w:lineRule="auto"/>
        <w:jc w:val="both"/>
        <w:rPr>
          <w:rFonts w:ascii="Verdana" w:hAnsi="Verdana"/>
        </w:rPr>
      </w:pPr>
    </w:p>
    <w:p w14:paraId="6277966A" w14:textId="77777777" w:rsidR="0032263C" w:rsidRDefault="0032263C" w:rsidP="0032263C">
      <w:pPr>
        <w:widowControl w:val="0"/>
        <w:autoSpaceDE w:val="0"/>
        <w:autoSpaceDN w:val="0"/>
        <w:spacing w:after="120" w:line="276" w:lineRule="auto"/>
        <w:jc w:val="both"/>
        <w:rPr>
          <w:rFonts w:ascii="Verdana" w:hAnsi="Verdana"/>
        </w:rPr>
      </w:pPr>
      <w:r w:rsidRPr="00986400">
        <w:rPr>
          <w:rFonts w:ascii="Verdana" w:hAnsi="Verdana"/>
        </w:rPr>
        <w:t>Recuerda también que la</w:t>
      </w:r>
      <w:r w:rsidRPr="00986400">
        <w:rPr>
          <w:rFonts w:ascii="Verdana" w:hAnsi="Verdana"/>
          <w:b/>
          <w:bCs/>
        </w:rPr>
        <w:t> información sobre sanciones e inhabilidades </w:t>
      </w:r>
      <w:r w:rsidRPr="00986400">
        <w:rPr>
          <w:rFonts w:ascii="Verdana" w:hAnsi="Verdana"/>
        </w:rPr>
        <w:t>solo cumple su función preventiva si llega oportunamente a los registros públicos. Sobre este deber, esta Agencia expidió la </w:t>
      </w:r>
      <w:r w:rsidRPr="00986400">
        <w:rPr>
          <w:rFonts w:ascii="Verdana" w:hAnsi="Verdana"/>
          <w:b/>
          <w:bCs/>
        </w:rPr>
        <w:t>Circular Externa 002 del 5 de mayo de 2026,</w:t>
      </w:r>
      <w:r w:rsidRPr="00986400">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986400">
          <w:rPr>
            <w:rStyle w:val="Hipervnculo"/>
            <w:rFonts w:ascii="Verdana" w:hAnsi="Verdana"/>
          </w:rPr>
          <w:t>https://www.colombiacompra.gov.co/archivos/circular/circular-externa-002-de-2026</w:t>
        </w:r>
      </w:hyperlink>
    </w:p>
    <w:p w14:paraId="20D258FF" w14:textId="77777777" w:rsidR="0032263C" w:rsidRDefault="0032263C" w:rsidP="0032263C">
      <w:pPr>
        <w:widowControl w:val="0"/>
        <w:autoSpaceDE w:val="0"/>
        <w:autoSpaceDN w:val="0"/>
        <w:spacing w:after="120" w:line="276" w:lineRule="auto"/>
        <w:jc w:val="both"/>
        <w:rPr>
          <w:rFonts w:ascii="Verdana" w:hAnsi="Verdana"/>
        </w:rPr>
      </w:pPr>
      <w:r w:rsidRPr="00986400">
        <w:rPr>
          <w:rFonts w:ascii="Verdana" w:hAnsi="Verdana"/>
        </w:rPr>
        <w:t>Finalmente, si quieres seguir de cerca la actividad de la Agencia, la tercera edición de 2026 del</w:t>
      </w:r>
      <w:r w:rsidRPr="00986400">
        <w:rPr>
          <w:rFonts w:ascii="Verdana" w:hAnsi="Verdana"/>
          <w:b/>
          <w:bCs/>
        </w:rPr>
        <w:t> Radar de la Compra Pública</w:t>
      </w:r>
      <w:r w:rsidRPr="00986400">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986400">
          <w:rPr>
            <w:rStyle w:val="Hipervnculo"/>
            <w:rFonts w:ascii="Verdana" w:hAnsi="Verdana"/>
          </w:rPr>
          <w:t>https://www.colombiacompra.gov.co/archivos/boletin/boletin-edicion-n-3-de-2026-radar-de-la-compra-publica</w:t>
        </w:r>
      </w:hyperlink>
      <w:r w:rsidRPr="00986400">
        <w:rPr>
          <w:rFonts w:ascii="Verdana" w:hAnsi="Verdana"/>
        </w:rPr>
        <w:t>"</w:t>
      </w:r>
    </w:p>
    <w:p w14:paraId="40ACE51C" w14:textId="77777777" w:rsidR="0032263C" w:rsidRDefault="0032263C" w:rsidP="0032263C">
      <w:pPr>
        <w:widowControl w:val="0"/>
        <w:autoSpaceDE w:val="0"/>
        <w:autoSpaceDN w:val="0"/>
        <w:spacing w:after="0" w:line="240" w:lineRule="auto"/>
        <w:jc w:val="both"/>
        <w:rPr>
          <w:rFonts w:ascii="Verdana" w:hAnsi="Verdana"/>
        </w:rPr>
      </w:pPr>
    </w:p>
    <w:p w14:paraId="43DE3F09" w14:textId="77777777" w:rsidR="0032263C" w:rsidRPr="00986400" w:rsidRDefault="0032263C" w:rsidP="0032263C">
      <w:pPr>
        <w:widowControl w:val="0"/>
        <w:autoSpaceDE w:val="0"/>
        <w:autoSpaceDN w:val="0"/>
        <w:spacing w:after="120" w:line="276" w:lineRule="auto"/>
        <w:jc w:val="both"/>
        <w:rPr>
          <w:rFonts w:ascii="Verdana" w:hAnsi="Verdana"/>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40250A45" w14:textId="77777777" w:rsidR="0032263C" w:rsidRPr="00116940" w:rsidRDefault="0032263C" w:rsidP="0032263C">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807D646" w14:textId="77777777" w:rsidR="0032263C" w:rsidRPr="00116940" w:rsidRDefault="0032263C" w:rsidP="0032263C">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0FB43A23" w14:textId="77777777" w:rsidR="0032263C" w:rsidRPr="00116940" w:rsidRDefault="0032263C" w:rsidP="0032263C">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10270A1D" w14:textId="77777777" w:rsidR="0032263C" w:rsidRPr="00116940" w:rsidRDefault="0032263C" w:rsidP="0032263C">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44BBB342" w14:textId="77777777" w:rsidR="0032263C" w:rsidRDefault="0032263C" w:rsidP="0032263C">
      <w:pPr>
        <w:spacing w:after="0" w:line="276" w:lineRule="auto"/>
        <w:jc w:val="both"/>
        <w:rPr>
          <w:rFonts w:ascii="Verdana" w:hAnsi="Verdana"/>
        </w:rPr>
      </w:pPr>
    </w:p>
    <w:p w14:paraId="6FD8B1B5" w14:textId="77777777" w:rsidR="0032263C" w:rsidRDefault="0032263C" w:rsidP="0032263C">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20"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67265893" w14:textId="77777777" w:rsidR="0032263C" w:rsidRDefault="0032263C" w:rsidP="0032263C">
      <w:pPr>
        <w:spacing w:after="0" w:line="240" w:lineRule="auto"/>
        <w:jc w:val="both"/>
        <w:rPr>
          <w:rFonts w:ascii="Verdana" w:hAnsi="Verdana"/>
        </w:rPr>
      </w:pPr>
    </w:p>
    <w:p w14:paraId="4520E7ED" w14:textId="77777777" w:rsidR="0032263C" w:rsidRPr="00116940" w:rsidRDefault="0032263C" w:rsidP="0032263C">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1A6E57DA" w14:textId="77777777" w:rsidR="0032263C" w:rsidRPr="008746BD" w:rsidRDefault="0032263C" w:rsidP="0032263C">
      <w:pPr>
        <w:spacing w:after="0" w:line="240" w:lineRule="auto"/>
        <w:jc w:val="both"/>
        <w:rPr>
          <w:rFonts w:ascii="Verdana" w:hAnsi="Verdana"/>
        </w:rPr>
      </w:pPr>
    </w:p>
    <w:p w14:paraId="162CF720" w14:textId="77777777" w:rsidR="0032263C" w:rsidRPr="00116940" w:rsidRDefault="0032263C" w:rsidP="0032263C">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5611518D" w14:textId="77777777" w:rsidR="0032263C" w:rsidRPr="00116940" w:rsidRDefault="0032263C" w:rsidP="0032263C">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717280A3" w14:textId="77777777" w:rsidR="0032263C" w:rsidRPr="00116940" w:rsidRDefault="0032263C" w:rsidP="0032263C">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50BDD511" w14:textId="77777777" w:rsidR="0032263C" w:rsidRDefault="0032263C" w:rsidP="0032263C">
      <w:pPr>
        <w:spacing w:after="0" w:line="276" w:lineRule="auto"/>
        <w:jc w:val="both"/>
        <w:rPr>
          <w:rFonts w:ascii="Century Gothic" w:eastAsia="Century Gothic" w:hAnsi="Century Gothic" w:cs="Century Gothic"/>
          <w:lang w:val="es-ES" w:eastAsia="es-ES_tradnl"/>
        </w:rPr>
      </w:pPr>
    </w:p>
    <w:p w14:paraId="1DA3BDBA" w14:textId="77777777" w:rsidR="0032263C" w:rsidRPr="00842775" w:rsidRDefault="0032263C" w:rsidP="0032263C">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2DB2462A" w14:textId="77777777" w:rsidR="0032263C" w:rsidRDefault="0032263C" w:rsidP="0032263C">
      <w:pPr>
        <w:spacing w:after="0" w:line="276" w:lineRule="auto"/>
        <w:jc w:val="both"/>
        <w:rPr>
          <w:rFonts w:ascii="Verdana" w:hAnsi="Verdana"/>
          <w:lang w:val="es-MX"/>
        </w:rPr>
      </w:pPr>
    </w:p>
    <w:p w14:paraId="2B3A7893" w14:textId="77777777" w:rsidR="0032263C" w:rsidRPr="00330029" w:rsidRDefault="0032263C" w:rsidP="0032263C">
      <w:pPr>
        <w:spacing w:after="0" w:line="276" w:lineRule="auto"/>
        <w:jc w:val="both"/>
        <w:rPr>
          <w:rFonts w:ascii="Verdana" w:hAnsi="Verdana"/>
          <w:lang w:val="es-MX"/>
        </w:rPr>
      </w:pPr>
      <w:r w:rsidRPr="00E02524">
        <w:rPr>
          <w:rFonts w:ascii="Verdana" w:hAnsi="Verdana"/>
          <w:lang w:val="es-MX"/>
        </w:rPr>
        <w:t>Cordialmente,</w:t>
      </w:r>
    </w:p>
    <w:p w14:paraId="7D306588" w14:textId="5D80C34B" w:rsidR="0032263C" w:rsidRDefault="009F705B" w:rsidP="0032263C">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2FD104B7" wp14:editId="13363F71">
            <wp:extent cx="2969971" cy="1258570"/>
            <wp:effectExtent l="0" t="0" r="1905" b="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1"/>
                    <a:stretch>
                      <a:fillRect/>
                    </a:stretch>
                  </pic:blipFill>
                  <pic:spPr>
                    <a:xfrm>
                      <a:off x="0" y="0"/>
                      <a:ext cx="2977795" cy="1261886"/>
                    </a:xfrm>
                    <a:prstGeom prst="rect">
                      <a:avLst/>
                    </a:prstGeom>
                  </pic:spPr>
                </pic:pic>
              </a:graphicData>
            </a:graphic>
          </wp:inline>
        </w:drawing>
      </w:r>
    </w:p>
    <w:p w14:paraId="44B41335" w14:textId="5D561203" w:rsidR="0032263C" w:rsidRDefault="0032263C" w:rsidP="0032263C">
      <w:pPr>
        <w:spacing w:after="0" w:line="256" w:lineRule="auto"/>
        <w:jc w:val="center"/>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32263C" w:rsidRPr="00C9162A" w14:paraId="24A74F37" w14:textId="77777777" w:rsidTr="00082AF8">
        <w:trPr>
          <w:trHeight w:val="288"/>
        </w:trPr>
        <w:tc>
          <w:tcPr>
            <w:tcW w:w="893" w:type="dxa"/>
            <w:vAlign w:val="center"/>
            <w:hideMark/>
          </w:tcPr>
          <w:p w14:paraId="4B51BB62" w14:textId="77777777" w:rsidR="0032263C" w:rsidRPr="00C9162A" w:rsidRDefault="0032263C" w:rsidP="00082AF8">
            <w:pPr>
              <w:contextualSpacing/>
              <w:rPr>
                <w:rFonts w:ascii="Verdana" w:hAnsi="Verdana" w:cs="Arial"/>
                <w:sz w:val="14"/>
                <w:szCs w:val="14"/>
                <w:lang w:eastAsia="es-ES"/>
              </w:rPr>
            </w:pPr>
            <w:r w:rsidRPr="00C9162A">
              <w:rPr>
                <w:rFonts w:ascii="Verdana" w:hAnsi="Verdana" w:cs="Arial"/>
                <w:sz w:val="14"/>
                <w:szCs w:val="14"/>
                <w:lang w:eastAsia="es-ES"/>
              </w:rPr>
              <w:t>Elaboró:</w:t>
            </w:r>
          </w:p>
        </w:tc>
        <w:tc>
          <w:tcPr>
            <w:tcW w:w="5061" w:type="dxa"/>
            <w:tcBorders>
              <w:top w:val="nil"/>
              <w:left w:val="nil"/>
              <w:bottom w:val="dotted" w:sz="4" w:space="0" w:color="7F7F7F" w:themeColor="text1" w:themeTint="80"/>
              <w:right w:val="nil"/>
            </w:tcBorders>
            <w:vAlign w:val="center"/>
            <w:hideMark/>
          </w:tcPr>
          <w:p w14:paraId="198E845B" w14:textId="77777777" w:rsidR="0032263C" w:rsidRPr="00C9162A" w:rsidRDefault="0032263C" w:rsidP="00082AF8">
            <w:pPr>
              <w:contextualSpacing/>
              <w:rPr>
                <w:rStyle w:val="normaltextrun"/>
                <w:rFonts w:ascii="Verdana" w:hAnsi="Verdana"/>
                <w:sz w:val="14"/>
                <w:szCs w:val="14"/>
              </w:rPr>
            </w:pPr>
            <w:r w:rsidRPr="00C9162A">
              <w:rPr>
                <w:rStyle w:val="normaltextrun"/>
                <w:rFonts w:ascii="Verdana" w:hAnsi="Verdana"/>
                <w:sz w:val="14"/>
                <w:szCs w:val="14"/>
              </w:rPr>
              <w:t xml:space="preserve">Esperanza Contreras P </w:t>
            </w:r>
          </w:p>
          <w:p w14:paraId="0B78642A" w14:textId="77777777" w:rsidR="0032263C" w:rsidRPr="00C9162A" w:rsidRDefault="0032263C" w:rsidP="00082AF8">
            <w:pPr>
              <w:contextualSpacing/>
              <w:rPr>
                <w:rFonts w:ascii="Verdana" w:eastAsia="Arial" w:hAnsi="Verdana" w:cs="Arial"/>
                <w:sz w:val="14"/>
                <w:szCs w:val="14"/>
              </w:rPr>
            </w:pPr>
            <w:r w:rsidRPr="00C9162A">
              <w:rPr>
                <w:rStyle w:val="normaltextrun"/>
                <w:rFonts w:ascii="Verdana" w:hAnsi="Verdana" w:cs="Arial"/>
                <w:sz w:val="14"/>
                <w:szCs w:val="14"/>
              </w:rPr>
              <w:t>Contratista de la Subdirección de Gestión Contractual</w:t>
            </w:r>
            <w:r w:rsidRPr="00C9162A">
              <w:rPr>
                <w:rStyle w:val="eop"/>
                <w:rFonts w:ascii="Verdana" w:hAnsi="Verdana" w:cs="Arial"/>
                <w:sz w:val="14"/>
                <w:szCs w:val="14"/>
              </w:rPr>
              <w:t> </w:t>
            </w:r>
          </w:p>
        </w:tc>
      </w:tr>
      <w:tr w:rsidR="0032263C" w:rsidRPr="00C9162A" w14:paraId="7D30F3D6" w14:textId="77777777" w:rsidTr="00082AF8">
        <w:trPr>
          <w:trHeight w:val="330"/>
        </w:trPr>
        <w:tc>
          <w:tcPr>
            <w:tcW w:w="893" w:type="dxa"/>
            <w:vAlign w:val="center"/>
            <w:hideMark/>
          </w:tcPr>
          <w:p w14:paraId="4196AE0C" w14:textId="77777777" w:rsidR="0032263C" w:rsidRPr="00C9162A" w:rsidRDefault="0032263C" w:rsidP="00082AF8">
            <w:pPr>
              <w:contextualSpacing/>
              <w:rPr>
                <w:rFonts w:ascii="Verdana" w:hAnsi="Verdana" w:cs="Arial"/>
                <w:sz w:val="14"/>
                <w:szCs w:val="14"/>
                <w:lang w:eastAsia="es-ES"/>
              </w:rPr>
            </w:pPr>
            <w:r w:rsidRPr="00C9162A">
              <w:rPr>
                <w:rFonts w:ascii="Verdana" w:hAnsi="Verdana" w:cs="Arial"/>
                <w:sz w:val="14"/>
                <w:szCs w:val="14"/>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4C9FDD9F" w14:textId="77777777" w:rsidR="0032263C" w:rsidRPr="00C9162A" w:rsidRDefault="0032263C" w:rsidP="00082AF8">
            <w:pPr>
              <w:pStyle w:val="paragraph"/>
              <w:spacing w:before="0" w:beforeAutospacing="0" w:after="0" w:afterAutospacing="0"/>
              <w:contextualSpacing/>
              <w:textAlignment w:val="baseline"/>
              <w:rPr>
                <w:rStyle w:val="normaltextrun"/>
                <w:rFonts w:ascii="Verdana" w:hAnsi="Verdana"/>
                <w:sz w:val="14"/>
                <w:szCs w:val="14"/>
              </w:rPr>
            </w:pPr>
            <w:r w:rsidRPr="00C9162A">
              <w:rPr>
                <w:rStyle w:val="normaltextrun"/>
                <w:rFonts w:ascii="Verdana" w:hAnsi="Verdana"/>
                <w:sz w:val="14"/>
                <w:szCs w:val="14"/>
              </w:rPr>
              <w:t xml:space="preserve">Diana Lucía Saavedra Castañeda. </w:t>
            </w:r>
          </w:p>
          <w:p w14:paraId="2C05FFBE" w14:textId="77777777" w:rsidR="0032263C" w:rsidRPr="00C9162A" w:rsidRDefault="0032263C" w:rsidP="00082AF8">
            <w:pPr>
              <w:pStyle w:val="paragraph"/>
              <w:spacing w:before="0" w:beforeAutospacing="0" w:after="0" w:afterAutospacing="0"/>
              <w:contextualSpacing/>
              <w:textAlignment w:val="baseline"/>
              <w:rPr>
                <w:rFonts w:ascii="Verdana" w:hAnsi="Verdana" w:cs="Segoe UI"/>
                <w:sz w:val="14"/>
                <w:szCs w:val="14"/>
              </w:rPr>
            </w:pPr>
            <w:r w:rsidRPr="00C9162A">
              <w:rPr>
                <w:rStyle w:val="normaltextrun"/>
                <w:rFonts w:ascii="Verdana" w:hAnsi="Verdana"/>
                <w:sz w:val="14"/>
                <w:szCs w:val="14"/>
              </w:rPr>
              <w:t xml:space="preserve">Contratista Subdirección Gestión Contractual  </w:t>
            </w:r>
          </w:p>
        </w:tc>
      </w:tr>
      <w:tr w:rsidR="0032263C" w:rsidRPr="00C9162A" w14:paraId="25A8A60E" w14:textId="77777777" w:rsidTr="00082AF8">
        <w:trPr>
          <w:trHeight w:val="300"/>
        </w:trPr>
        <w:tc>
          <w:tcPr>
            <w:tcW w:w="893" w:type="dxa"/>
            <w:vAlign w:val="center"/>
          </w:tcPr>
          <w:p w14:paraId="5A075473" w14:textId="77777777" w:rsidR="0032263C" w:rsidRPr="00C9162A" w:rsidRDefault="0032263C" w:rsidP="00082AF8">
            <w:pPr>
              <w:contextualSpacing/>
              <w:rPr>
                <w:rFonts w:ascii="Verdana" w:hAnsi="Verdana" w:cs="Arial"/>
                <w:sz w:val="14"/>
                <w:szCs w:val="14"/>
                <w:lang w:eastAsia="es-ES"/>
              </w:rPr>
            </w:pPr>
            <w:r w:rsidRPr="00C9162A">
              <w:rPr>
                <w:rFonts w:ascii="Verdana" w:hAnsi="Verdana" w:cs="Arial"/>
                <w:sz w:val="14"/>
                <w:szCs w:val="14"/>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663F956B" w14:textId="77777777" w:rsidR="0032263C" w:rsidRPr="00C9162A" w:rsidRDefault="0032263C" w:rsidP="00082AF8">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Carolina Quintero Gacharná</w:t>
            </w:r>
          </w:p>
          <w:p w14:paraId="30541B50" w14:textId="77777777" w:rsidR="0032263C" w:rsidRPr="00C9162A" w:rsidRDefault="0032263C" w:rsidP="00082AF8">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Subdirectora de Gestión Contractual ANCP – CCE</w:t>
            </w:r>
          </w:p>
        </w:tc>
      </w:tr>
      <w:bookmarkEnd w:id="1"/>
    </w:tbl>
    <w:p w14:paraId="51F72055" w14:textId="77777777" w:rsidR="0032263C" w:rsidRPr="00C9162A" w:rsidRDefault="0032263C" w:rsidP="0032263C">
      <w:pPr>
        <w:spacing w:after="0"/>
        <w:rPr>
          <w:rFonts w:ascii="Verdana" w:eastAsia="Verdana" w:hAnsi="Verdana" w:cs="Verdana"/>
          <w:sz w:val="14"/>
          <w:szCs w:val="14"/>
        </w:rPr>
      </w:pPr>
    </w:p>
    <w:p w14:paraId="0F293BF4" w14:textId="503A29C0" w:rsidR="00127233" w:rsidRPr="00AF3565" w:rsidRDefault="00127233" w:rsidP="00AF3565"/>
    <w:sectPr w:rsidR="00127233" w:rsidRPr="00AF3565"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58E9A" w14:textId="77777777" w:rsidR="00DA578C" w:rsidRDefault="00DA578C" w:rsidP="004A1847">
      <w:pPr>
        <w:spacing w:after="0" w:line="240" w:lineRule="auto"/>
      </w:pPr>
      <w:r>
        <w:separator/>
      </w:r>
    </w:p>
  </w:endnote>
  <w:endnote w:type="continuationSeparator" w:id="0">
    <w:p w14:paraId="5FDC3AF6" w14:textId="77777777" w:rsidR="00DA578C" w:rsidRDefault="00DA578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C8DEC" w14:textId="77777777" w:rsidR="00DA578C" w:rsidRDefault="00DA578C" w:rsidP="004A1847">
      <w:pPr>
        <w:spacing w:after="0" w:line="240" w:lineRule="auto"/>
      </w:pPr>
      <w:r>
        <w:separator/>
      </w:r>
    </w:p>
  </w:footnote>
  <w:footnote w:type="continuationSeparator" w:id="0">
    <w:p w14:paraId="55EA99AF" w14:textId="77777777" w:rsidR="00DA578C" w:rsidRDefault="00DA578C" w:rsidP="004A1847">
      <w:pPr>
        <w:spacing w:after="0" w:line="240" w:lineRule="auto"/>
      </w:pPr>
      <w:r>
        <w:continuationSeparator/>
      </w:r>
    </w:p>
  </w:footnote>
  <w:footnote w:id="1">
    <w:p w14:paraId="72DDD617" w14:textId="77777777" w:rsidR="0032263C" w:rsidRPr="005B1413" w:rsidRDefault="0032263C" w:rsidP="0032263C">
      <w:pPr>
        <w:pStyle w:val="Textonotapie"/>
        <w:ind w:firstLine="708"/>
        <w:jc w:val="both"/>
        <w:rPr>
          <w:rFonts w:ascii="Verdana" w:hAnsi="Verdana"/>
          <w:sz w:val="16"/>
          <w:szCs w:val="16"/>
          <w:lang w:val="es-CO"/>
        </w:rPr>
      </w:pPr>
      <w:r w:rsidRPr="005B1413">
        <w:rPr>
          <w:rStyle w:val="Refdenotaalpie"/>
          <w:rFonts w:ascii="Verdana" w:hAnsi="Verdana"/>
          <w:sz w:val="16"/>
          <w:szCs w:val="16"/>
        </w:rPr>
        <w:footnoteRef/>
      </w:r>
      <w:r w:rsidRPr="005B1413">
        <w:rPr>
          <w:rFonts w:ascii="Verdana" w:hAnsi="Verdana"/>
          <w:sz w:val="16"/>
          <w:szCs w:val="16"/>
        </w:rPr>
        <w:t xml:space="preserve"> </w:t>
      </w:r>
      <w:r w:rsidRPr="005B1413">
        <w:rPr>
          <w:rFonts w:ascii="Verdana" w:hAnsi="Verdana"/>
          <w:sz w:val="16"/>
          <w:szCs w:val="16"/>
          <w:lang w:val="es-ES"/>
        </w:rPr>
        <w:t>“</w:t>
      </w:r>
      <w:r w:rsidRPr="005B1413">
        <w:rPr>
          <w:rFonts w:ascii="Verdana" w:hAnsi="Verdana"/>
          <w:sz w:val="16"/>
          <w:szCs w:val="16"/>
          <w:lang w:val="es-CO"/>
        </w:rPr>
        <w:t>Para poder participar en los procesos de selección de los contratos de obra, la capacidad residual del proponente o K de contratación deberá ser igual o superior al que la entidad haya establecido para el efecto en los pliegos de condiciones</w:t>
      </w:r>
    </w:p>
    <w:p w14:paraId="436B1E80" w14:textId="77777777" w:rsidR="0032263C" w:rsidRPr="005B1413" w:rsidRDefault="0032263C" w:rsidP="0032263C">
      <w:pPr>
        <w:pStyle w:val="Textonotapie"/>
        <w:jc w:val="both"/>
        <w:rPr>
          <w:rFonts w:ascii="Verdana" w:hAnsi="Verdana"/>
          <w:sz w:val="16"/>
          <w:szCs w:val="16"/>
          <w:lang w:val="es-CO"/>
        </w:rPr>
      </w:pPr>
      <w:r w:rsidRPr="005B1413">
        <w:rPr>
          <w:rFonts w:ascii="Verdana" w:hAnsi="Verdana"/>
          <w:sz w:val="16"/>
          <w:szCs w:val="16"/>
          <w:lang w:val="es-CO"/>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7F7DEEEF" w14:textId="77777777" w:rsidR="0032263C" w:rsidRPr="005B1413" w:rsidRDefault="0032263C" w:rsidP="0032263C">
      <w:pPr>
        <w:pStyle w:val="Textonotapie"/>
        <w:jc w:val="both"/>
        <w:rPr>
          <w:rFonts w:ascii="Verdana" w:hAnsi="Verdana"/>
          <w:sz w:val="16"/>
          <w:szCs w:val="16"/>
          <w:lang w:val="es-CO"/>
        </w:rPr>
      </w:pPr>
    </w:p>
  </w:footnote>
  <w:footnote w:id="2">
    <w:p w14:paraId="1D44503F" w14:textId="77777777" w:rsidR="0032263C" w:rsidRDefault="0032263C" w:rsidP="0032263C">
      <w:pPr>
        <w:spacing w:after="0" w:line="240" w:lineRule="auto"/>
        <w:ind w:firstLine="567"/>
        <w:jc w:val="both"/>
        <w:rPr>
          <w:rFonts w:ascii="Verdana" w:hAnsi="Verdana"/>
          <w:sz w:val="16"/>
          <w:szCs w:val="16"/>
          <w:lang w:val="es-MX"/>
        </w:rPr>
      </w:pPr>
      <w:r w:rsidRPr="005B1413">
        <w:rPr>
          <w:rStyle w:val="Refdenotaalpie"/>
          <w:rFonts w:ascii="Verdana" w:hAnsi="Verdana"/>
          <w:sz w:val="16"/>
          <w:szCs w:val="16"/>
        </w:rPr>
        <w:footnoteRef/>
      </w:r>
      <w:r w:rsidRPr="005B1413">
        <w:rPr>
          <w:rFonts w:ascii="Verdana" w:hAnsi="Verdana"/>
          <w:sz w:val="16"/>
          <w:szCs w:val="16"/>
        </w:rPr>
        <w:t xml:space="preserve"> </w:t>
      </w:r>
      <w:r w:rsidRPr="005B1413">
        <w:rPr>
          <w:rFonts w:ascii="Verdana" w:hAnsi="Verdana"/>
          <w:sz w:val="16"/>
          <w:szCs w:val="16"/>
          <w:lang w:val="es-MX"/>
        </w:rPr>
        <w:t xml:space="preserve">Gaceta 096 de 2007. Pág. 9. Allí se lee: “Parágrafo 2°. Nuevo. Se adiciona un parágrafo nuevo para establecer de manera concreta que las certificaciones de sistemas de gestión de calidad no serán objeto de calificación, ni podrán establecerse como documento habilitante para participar en licitaciones o concursos, con el fin de evitar la exclusión de aquellas personas o empresas principalmente en regiones apartadas que carecen de tal requisito. Dejando sin embargo a la administración la posibilidad de fijar la implementación de planes de calidad” (Cursivas propias). </w:t>
      </w:r>
    </w:p>
    <w:p w14:paraId="60C73975" w14:textId="77777777" w:rsidR="0032263C" w:rsidRPr="005B1413" w:rsidRDefault="0032263C" w:rsidP="0032263C">
      <w:pPr>
        <w:spacing w:after="0" w:line="240" w:lineRule="auto"/>
        <w:ind w:firstLine="567"/>
        <w:jc w:val="both"/>
        <w:rPr>
          <w:rFonts w:ascii="Verdana" w:hAnsi="Verdana"/>
          <w:sz w:val="16"/>
          <w:szCs w:val="16"/>
          <w:lang w:val="es-MX"/>
        </w:rPr>
      </w:pPr>
    </w:p>
  </w:footnote>
  <w:footnote w:id="3">
    <w:p w14:paraId="55F41CA9" w14:textId="77777777" w:rsidR="0032263C" w:rsidRPr="005B1413" w:rsidRDefault="0032263C" w:rsidP="0032263C">
      <w:pPr>
        <w:pStyle w:val="Textonotapie"/>
        <w:ind w:firstLine="567"/>
        <w:jc w:val="both"/>
        <w:rPr>
          <w:rFonts w:ascii="Verdana" w:hAnsi="Verdana"/>
          <w:sz w:val="16"/>
          <w:szCs w:val="16"/>
        </w:rPr>
      </w:pPr>
      <w:r w:rsidRPr="005B1413">
        <w:rPr>
          <w:rStyle w:val="Refdenotaalpie"/>
          <w:rFonts w:ascii="Verdana" w:hAnsi="Verdana"/>
          <w:sz w:val="16"/>
          <w:szCs w:val="16"/>
        </w:rPr>
        <w:footnoteRef/>
      </w:r>
      <w:r w:rsidRPr="005B1413">
        <w:rPr>
          <w:rFonts w:ascii="Verdana" w:hAnsi="Verdana"/>
          <w:sz w:val="16"/>
          <w:szCs w:val="16"/>
        </w:rPr>
        <w:t xml:space="preserve"> Según este parágrafo</w:t>
      </w:r>
      <w:r w:rsidRPr="005B1413">
        <w:rPr>
          <w:rFonts w:ascii="Verdana" w:hAnsi="Verdana" w:cs="Arial"/>
          <w:color w:val="000000"/>
          <w:sz w:val="16"/>
          <w:szCs w:val="16"/>
          <w:lang w:val="es-ES_tradnl"/>
        </w:rPr>
        <w:t xml:space="preserve"> </w:t>
      </w:r>
      <w:r w:rsidRPr="005B1413">
        <w:rPr>
          <w:rFonts w:ascii="Verdana" w:hAnsi="Verdana"/>
          <w:sz w:val="16"/>
          <w:szCs w:val="16"/>
          <w:lang w:val="es-ES_tradnl"/>
        </w:rPr>
        <w:t>las certificaciones de sistemas de gestión de calidad no serán objeto de calificación, ni podrán establecerse como documento habilitante para participar en licitaciones o concursos.</w:t>
      </w:r>
      <w:r w:rsidRPr="005B1413">
        <w:rPr>
          <w:rFonts w:ascii="Verdana" w:hAnsi="Verdana"/>
          <w:sz w:val="16"/>
          <w:szCs w:val="16"/>
        </w:rPr>
        <w:t xml:space="preserve"> </w:t>
      </w:r>
    </w:p>
    <w:p w14:paraId="10FC7376" w14:textId="77777777" w:rsidR="0032263C" w:rsidRPr="000D63F4" w:rsidRDefault="0032263C" w:rsidP="0032263C">
      <w:pPr>
        <w:pStyle w:val="Textonotapie"/>
        <w:ind w:firstLine="567"/>
        <w:jc w:val="both"/>
        <w:rPr>
          <w:rFonts w:ascii="Verdana" w:hAnsi="Verdana"/>
          <w:sz w:val="10"/>
          <w:szCs w:val="10"/>
          <w:lang w:val="es-CO"/>
        </w:rPr>
      </w:pPr>
    </w:p>
  </w:footnote>
  <w:footnote w:id="4">
    <w:p w14:paraId="3FE63734" w14:textId="77777777" w:rsidR="0032263C" w:rsidRPr="008853E4" w:rsidRDefault="0032263C" w:rsidP="0032263C">
      <w:pPr>
        <w:pStyle w:val="Textonotapie"/>
        <w:ind w:firstLine="567"/>
        <w:jc w:val="both"/>
        <w:rPr>
          <w:rFonts w:ascii="Verdana" w:hAnsi="Verdana"/>
          <w:sz w:val="16"/>
          <w:szCs w:val="16"/>
        </w:rPr>
      </w:pPr>
      <w:r w:rsidRPr="008853E4">
        <w:rPr>
          <w:rStyle w:val="Refdenotaalpie"/>
          <w:rFonts w:ascii="Verdana" w:hAnsi="Verdana"/>
          <w:sz w:val="16"/>
          <w:szCs w:val="16"/>
        </w:rPr>
        <w:footnoteRef/>
      </w:r>
      <w:r w:rsidRPr="008853E4">
        <w:rPr>
          <w:rFonts w:ascii="Verdana" w:hAnsi="Verdana"/>
          <w:sz w:val="16"/>
          <w:szCs w:val="16"/>
        </w:rPr>
        <w:t xml:space="preserve"> Artículo 2.2.1.1.1.5.3. Requisitos habilitantes contenidos en el RUP. Las cámaras de comercio, con base en la información a la que hace referencia el artículo anterior, deben verificar y certificar los siguientes requisitos habilitantes:</w:t>
      </w:r>
    </w:p>
    <w:p w14:paraId="7DE0AEB6" w14:textId="77777777" w:rsidR="0032263C" w:rsidRPr="008853E4" w:rsidRDefault="0032263C" w:rsidP="0032263C">
      <w:pPr>
        <w:pStyle w:val="Textonotapie"/>
        <w:ind w:firstLine="567"/>
        <w:jc w:val="both"/>
        <w:rPr>
          <w:rFonts w:ascii="Verdana" w:hAnsi="Verdana"/>
          <w:sz w:val="16"/>
          <w:szCs w:val="16"/>
        </w:rPr>
      </w:pPr>
      <w:r w:rsidRPr="008853E4">
        <w:rPr>
          <w:rFonts w:ascii="Verdana" w:hAnsi="Verdana"/>
          <w:sz w:val="16"/>
          <w:szCs w:val="16"/>
        </w:rPr>
        <w:t xml:space="preserve">1. Experiencia – Los contratos celebrados por el interesado para cada uno de los bienes, obras y servicios que ofrecerá a las Entidades Estatales, identificados con el Clasificador de Bienes y Servicios en el tercer nivel y su valor expresado en </w:t>
      </w:r>
      <w:proofErr w:type="spellStart"/>
      <w:r w:rsidRPr="008853E4">
        <w:rPr>
          <w:rFonts w:ascii="Verdana" w:hAnsi="Verdana"/>
          <w:sz w:val="16"/>
          <w:szCs w:val="16"/>
        </w:rPr>
        <w:t>smmlv</w:t>
      </w:r>
      <w:proofErr w:type="spellEnd"/>
      <w:r w:rsidRPr="008853E4">
        <w:rPr>
          <w:rFonts w:ascii="Verdana" w:hAnsi="Verdana"/>
          <w:sz w:val="16"/>
          <w:szCs w:val="16"/>
        </w:rPr>
        <w:t>.</w:t>
      </w:r>
    </w:p>
    <w:p w14:paraId="2F9B80BE" w14:textId="77777777" w:rsidR="0032263C" w:rsidRPr="008853E4" w:rsidRDefault="0032263C" w:rsidP="0032263C">
      <w:pPr>
        <w:pStyle w:val="Textonotapie"/>
        <w:jc w:val="both"/>
        <w:rPr>
          <w:rFonts w:ascii="Verdana" w:hAnsi="Verdana"/>
          <w:sz w:val="16"/>
          <w:szCs w:val="16"/>
        </w:rPr>
      </w:pPr>
      <w:r w:rsidRPr="008853E4">
        <w:rPr>
          <w:rFonts w:ascii="Verdana" w:hAnsi="Verdana"/>
          <w:sz w:val="16"/>
          <w:szCs w:val="16"/>
        </w:rPr>
        <w:t xml:space="preserve">Los contratos celebrados por consorcios, uniones temporales y sociedades en las cuales el interesado tenga o haya tenido participación, para cada uno de los bienes, obras y servicios que ofrecerá a las Entidades Estatales, identificados con el Clasificador de Bienes y Servicios en el tercer nivel y su valor expresado en </w:t>
      </w:r>
      <w:proofErr w:type="spellStart"/>
      <w:r w:rsidRPr="008853E4">
        <w:rPr>
          <w:rFonts w:ascii="Verdana" w:hAnsi="Verdana"/>
          <w:sz w:val="16"/>
          <w:szCs w:val="16"/>
        </w:rPr>
        <w:t>smmlv</w:t>
      </w:r>
      <w:proofErr w:type="spellEnd"/>
      <w:r w:rsidRPr="008853E4">
        <w:rPr>
          <w:rFonts w:ascii="Verdana" w:hAnsi="Verdana"/>
          <w:sz w:val="16"/>
          <w:szCs w:val="16"/>
        </w:rPr>
        <w:t>.</w:t>
      </w:r>
    </w:p>
    <w:p w14:paraId="7BA6BFFA" w14:textId="77777777" w:rsidR="0032263C" w:rsidRPr="008853E4" w:rsidRDefault="0032263C" w:rsidP="0032263C">
      <w:pPr>
        <w:pStyle w:val="Textonotapie"/>
        <w:ind w:firstLine="709"/>
        <w:jc w:val="both"/>
        <w:rPr>
          <w:rFonts w:ascii="Verdana" w:hAnsi="Verdana"/>
          <w:sz w:val="16"/>
          <w:szCs w:val="16"/>
        </w:rPr>
      </w:pPr>
      <w:r w:rsidRPr="008853E4">
        <w:rPr>
          <w:rFonts w:ascii="Verdana" w:hAnsi="Verdana"/>
          <w:sz w:val="16"/>
          <w:szCs w:val="16"/>
        </w:rPr>
        <w:t>2. Capacidad Jurídica – La capacidad jurídica del proponente para prestar los bienes, obras, o servicios que ofrecerá a las Entidades Estatales y la capacidad del representante legal de las personas jurídicas para celebrar contratos y si requiere, autorizaciones para el efecto con ocasión de los límites a la capacidad del representante legal del interesado en relación con el monto y el tipo de las obligaciones que puede adquirir a nombre del interesado.</w:t>
      </w:r>
    </w:p>
    <w:p w14:paraId="471FDA8C" w14:textId="77777777" w:rsidR="0032263C" w:rsidRPr="008853E4" w:rsidRDefault="0032263C" w:rsidP="0032263C">
      <w:pPr>
        <w:pStyle w:val="Textonotapie"/>
        <w:ind w:firstLine="567"/>
        <w:jc w:val="both"/>
        <w:rPr>
          <w:rFonts w:ascii="Verdana" w:hAnsi="Verdana"/>
          <w:sz w:val="16"/>
          <w:szCs w:val="16"/>
        </w:rPr>
      </w:pPr>
      <w:r w:rsidRPr="008853E4">
        <w:rPr>
          <w:rFonts w:ascii="Verdana" w:hAnsi="Verdana"/>
          <w:sz w:val="16"/>
          <w:szCs w:val="16"/>
        </w:rPr>
        <w:t>3. Capacidad Financiera – los siguientes indicadores miden la fortaleza financiera del interesado:</w:t>
      </w:r>
    </w:p>
    <w:p w14:paraId="2C100919" w14:textId="77777777" w:rsidR="0032263C" w:rsidRPr="008853E4" w:rsidRDefault="0032263C" w:rsidP="0032263C">
      <w:pPr>
        <w:pStyle w:val="Textonotapie"/>
        <w:ind w:firstLine="567"/>
        <w:jc w:val="both"/>
        <w:rPr>
          <w:rFonts w:ascii="Verdana" w:hAnsi="Verdana"/>
          <w:sz w:val="16"/>
          <w:szCs w:val="16"/>
        </w:rPr>
      </w:pPr>
      <w:r w:rsidRPr="008853E4">
        <w:rPr>
          <w:rFonts w:ascii="Verdana" w:hAnsi="Verdana"/>
          <w:sz w:val="16"/>
          <w:szCs w:val="16"/>
        </w:rPr>
        <w:t>3.1. Índice de liquidez: activo corriente dividido por el pasivo corriente.</w:t>
      </w:r>
    </w:p>
    <w:p w14:paraId="7E39CE8F" w14:textId="77777777" w:rsidR="0032263C" w:rsidRPr="008853E4" w:rsidRDefault="0032263C" w:rsidP="0032263C">
      <w:pPr>
        <w:pStyle w:val="Textonotapie"/>
        <w:ind w:firstLine="567"/>
        <w:jc w:val="both"/>
        <w:rPr>
          <w:rFonts w:ascii="Verdana" w:hAnsi="Verdana"/>
          <w:sz w:val="16"/>
          <w:szCs w:val="16"/>
        </w:rPr>
      </w:pPr>
      <w:r w:rsidRPr="008853E4">
        <w:rPr>
          <w:rFonts w:ascii="Verdana" w:hAnsi="Verdana"/>
          <w:sz w:val="16"/>
          <w:szCs w:val="16"/>
        </w:rPr>
        <w:t>3.2. Índice de endeudamiento: pasivo total dividido por el activo total.</w:t>
      </w:r>
    </w:p>
    <w:p w14:paraId="0AB632EC" w14:textId="77777777" w:rsidR="0032263C" w:rsidRPr="008853E4" w:rsidRDefault="0032263C" w:rsidP="0032263C">
      <w:pPr>
        <w:pStyle w:val="Textonotapie"/>
        <w:ind w:firstLine="567"/>
        <w:jc w:val="both"/>
        <w:rPr>
          <w:rFonts w:ascii="Verdana" w:hAnsi="Verdana"/>
          <w:sz w:val="16"/>
          <w:szCs w:val="16"/>
        </w:rPr>
      </w:pPr>
      <w:r w:rsidRPr="008853E4">
        <w:rPr>
          <w:rFonts w:ascii="Verdana" w:hAnsi="Verdana"/>
          <w:sz w:val="16"/>
          <w:szCs w:val="16"/>
        </w:rPr>
        <w:t>3.3. Razón de cobertura de intereses: utilidad operacional dividida por los gastos de intereses.</w:t>
      </w:r>
    </w:p>
    <w:p w14:paraId="0ACC3BAA" w14:textId="77777777" w:rsidR="0032263C" w:rsidRPr="008853E4" w:rsidRDefault="0032263C" w:rsidP="0032263C">
      <w:pPr>
        <w:pStyle w:val="Textonotapie"/>
        <w:ind w:firstLine="567"/>
        <w:jc w:val="both"/>
        <w:rPr>
          <w:rFonts w:ascii="Verdana" w:hAnsi="Verdana"/>
          <w:sz w:val="16"/>
          <w:szCs w:val="16"/>
        </w:rPr>
      </w:pPr>
      <w:r w:rsidRPr="008853E4">
        <w:rPr>
          <w:rFonts w:ascii="Verdana" w:hAnsi="Verdana"/>
          <w:sz w:val="16"/>
          <w:szCs w:val="16"/>
        </w:rPr>
        <w:t>4. Capacidad Organizacional – los siguientes indicadores miden el rendimiento de las inversiones y la eficiencia en el uso de activos del interesado:</w:t>
      </w:r>
    </w:p>
    <w:p w14:paraId="58199783" w14:textId="77777777" w:rsidR="0032263C" w:rsidRPr="008853E4" w:rsidRDefault="0032263C" w:rsidP="0032263C">
      <w:pPr>
        <w:pStyle w:val="Textonotapie"/>
        <w:ind w:firstLine="567"/>
        <w:jc w:val="both"/>
        <w:rPr>
          <w:rFonts w:ascii="Verdana" w:hAnsi="Verdana"/>
          <w:sz w:val="16"/>
          <w:szCs w:val="16"/>
        </w:rPr>
      </w:pPr>
      <w:r w:rsidRPr="008853E4">
        <w:rPr>
          <w:rFonts w:ascii="Verdana" w:hAnsi="Verdana"/>
          <w:sz w:val="16"/>
          <w:szCs w:val="16"/>
        </w:rPr>
        <w:t>4.1. Rentabilidad del patrimonio: utilidad operacional dividida por el patrimonio.</w:t>
      </w:r>
    </w:p>
    <w:p w14:paraId="68D6639D" w14:textId="77777777" w:rsidR="0032263C" w:rsidRDefault="0032263C" w:rsidP="0032263C">
      <w:pPr>
        <w:pStyle w:val="Textonotapie"/>
        <w:ind w:firstLine="567"/>
        <w:jc w:val="both"/>
        <w:rPr>
          <w:rFonts w:ascii="Verdana" w:hAnsi="Verdana"/>
          <w:sz w:val="16"/>
          <w:szCs w:val="16"/>
        </w:rPr>
      </w:pPr>
      <w:r w:rsidRPr="008853E4">
        <w:rPr>
          <w:rFonts w:ascii="Verdana" w:hAnsi="Verdana"/>
          <w:sz w:val="16"/>
          <w:szCs w:val="16"/>
        </w:rPr>
        <w:t>4.2. Rentabilidad del activo: utilidad operacional dividida por el activo total”.</w:t>
      </w:r>
    </w:p>
    <w:p w14:paraId="03B874E0" w14:textId="77777777" w:rsidR="0032263C" w:rsidRPr="008853E4" w:rsidRDefault="0032263C" w:rsidP="0032263C">
      <w:pPr>
        <w:pStyle w:val="Textonotapie"/>
        <w:ind w:firstLine="567"/>
        <w:jc w:val="both"/>
        <w:rPr>
          <w:rFonts w:ascii="Verdana" w:hAnsi="Verdana"/>
          <w:sz w:val="16"/>
          <w:szCs w:val="16"/>
          <w:lang w:val="es-CO"/>
        </w:rPr>
      </w:pPr>
    </w:p>
  </w:footnote>
  <w:footnote w:id="5">
    <w:p w14:paraId="56686BFF" w14:textId="77777777" w:rsidR="0032263C" w:rsidRDefault="0032263C" w:rsidP="0032263C">
      <w:pPr>
        <w:pStyle w:val="Textonotapie"/>
        <w:ind w:firstLine="709"/>
        <w:rPr>
          <w:rFonts w:ascii="Verdana" w:hAnsi="Verdana"/>
          <w:sz w:val="16"/>
          <w:szCs w:val="16"/>
        </w:rPr>
      </w:pPr>
      <w:r w:rsidRPr="00A133DF">
        <w:rPr>
          <w:rStyle w:val="Refdenotaalpie"/>
          <w:rFonts w:ascii="Verdana" w:hAnsi="Verdana"/>
          <w:sz w:val="16"/>
          <w:szCs w:val="16"/>
        </w:rPr>
        <w:footnoteRef/>
      </w:r>
      <w:r w:rsidRPr="00A133DF">
        <w:rPr>
          <w:rFonts w:ascii="Verdana" w:hAnsi="Verdana"/>
          <w:sz w:val="16"/>
          <w:szCs w:val="16"/>
        </w:rPr>
        <w:t xml:space="preserve"> Disponible en </w:t>
      </w:r>
      <w:hyperlink r:id="rId1" w:history="1">
        <w:r w:rsidRPr="00A133DF">
          <w:rPr>
            <w:rStyle w:val="Hipervnculo"/>
            <w:rFonts w:ascii="Verdana" w:hAnsi="Verdana"/>
            <w:sz w:val="16"/>
            <w:szCs w:val="16"/>
            <w:lang w:val="es-CO"/>
          </w:rPr>
          <w:t>cce-eicp-ma-04._manual_requisitos_habilitantes_v3_29-09-2023.pdf</w:t>
        </w:r>
      </w:hyperlink>
    </w:p>
    <w:p w14:paraId="7F03FF6F" w14:textId="77777777" w:rsidR="0032263C" w:rsidRPr="00A133DF" w:rsidRDefault="0032263C" w:rsidP="0032263C">
      <w:pPr>
        <w:pStyle w:val="Textonotapie"/>
        <w:ind w:firstLine="709"/>
        <w:rPr>
          <w:rFonts w:ascii="Verdana" w:hAnsi="Verdana"/>
          <w:sz w:val="16"/>
          <w:szCs w:val="16"/>
          <w:lang w:val="es-ES"/>
        </w:rPr>
      </w:pPr>
    </w:p>
  </w:footnote>
  <w:footnote w:id="6">
    <w:p w14:paraId="576B3172" w14:textId="77777777" w:rsidR="0032263C" w:rsidRPr="008853E4" w:rsidRDefault="0032263C" w:rsidP="0032263C">
      <w:pPr>
        <w:pStyle w:val="Textonotapie"/>
        <w:ind w:firstLine="708"/>
        <w:jc w:val="both"/>
        <w:rPr>
          <w:rFonts w:ascii="Verdana" w:eastAsia="Calibri" w:hAnsi="Verdana" w:cs="Arial"/>
          <w:sz w:val="16"/>
          <w:szCs w:val="16"/>
        </w:rPr>
      </w:pPr>
      <w:r w:rsidRPr="008853E4">
        <w:rPr>
          <w:rStyle w:val="Refdenotaalpie"/>
          <w:rFonts w:ascii="Verdana" w:hAnsi="Verdana" w:cs="Arial"/>
          <w:sz w:val="16"/>
          <w:szCs w:val="16"/>
        </w:rPr>
        <w:footnoteRef/>
      </w:r>
      <w:r w:rsidRPr="008853E4">
        <w:rPr>
          <w:rFonts w:ascii="Verdana" w:hAnsi="Verdana" w:cs="Arial"/>
          <w:sz w:val="16"/>
          <w:szCs w:val="16"/>
        </w:rPr>
        <w:t xml:space="preserve"> </w:t>
      </w:r>
      <w:r w:rsidRPr="008853E4">
        <w:rPr>
          <w:rFonts w:ascii="Verdana" w:eastAsia="Calibri" w:hAnsi="Verdana" w:cs="Arial"/>
          <w:sz w:val="16"/>
          <w:szCs w:val="16"/>
        </w:rPr>
        <w:t xml:space="preserve">Consejo de Estado. </w:t>
      </w:r>
      <w:r>
        <w:rPr>
          <w:rFonts w:ascii="Verdana" w:eastAsia="Calibri" w:hAnsi="Verdana" w:cs="Arial"/>
          <w:sz w:val="16"/>
          <w:szCs w:val="16"/>
        </w:rPr>
        <w:t xml:space="preserve">Sala de lo Contencioso Administrativo. </w:t>
      </w:r>
      <w:r w:rsidRPr="008853E4">
        <w:rPr>
          <w:rFonts w:ascii="Verdana" w:eastAsia="Calibri" w:hAnsi="Verdana" w:cs="Arial"/>
          <w:sz w:val="16"/>
          <w:szCs w:val="16"/>
        </w:rPr>
        <w:t>Sección Tercera. Subsección B. Providencia del 5 de diciembre de 2016. Expediente: 05001-23-31-000-2003-03663-01 (41.333). C. P. Ramiro Pazos Guerrero. Allí se dijo que “es deber de los servidores evitar que prevalezca el interés particular sobre el general, de manera que para garantizar tal propósito el legislador ha establecido toda una reglamentación para propender por la transparencia en la adopción de decisiones, la cual no solo está contenida en la Ley 80 de 1993 o en los régimen especiales de contratación estatal, sino en otro tipo de normas, verbigracia en los ordenamientos disciplinarios, los que regulan el funcionamiento de los entes territoriales  o la actividad de la administración, etc.</w:t>
      </w:r>
      <w:r w:rsidRPr="008853E4">
        <w:rPr>
          <w:rFonts w:ascii="Verdana" w:eastAsia="Calibri" w:hAnsi="Verdana" w:cs="Arial"/>
          <w:sz w:val="16"/>
          <w:szCs w:val="16"/>
        </w:rPr>
        <w:tab/>
      </w:r>
    </w:p>
    <w:p w14:paraId="4654C073" w14:textId="77777777" w:rsidR="0032263C" w:rsidRDefault="0032263C" w:rsidP="0032263C">
      <w:pPr>
        <w:pStyle w:val="Textonotapie"/>
        <w:ind w:firstLine="708"/>
        <w:jc w:val="both"/>
        <w:rPr>
          <w:rFonts w:ascii="Verdana" w:eastAsia="Calibri" w:hAnsi="Verdana" w:cs="Arial"/>
          <w:sz w:val="16"/>
          <w:szCs w:val="16"/>
        </w:rPr>
      </w:pPr>
      <w:r w:rsidRPr="008853E4">
        <w:rPr>
          <w:rFonts w:ascii="Verdana" w:eastAsia="Calibri" w:hAnsi="Verdana" w:cs="Arial"/>
          <w:sz w:val="16"/>
          <w:szCs w:val="16"/>
        </w:rPr>
        <w:t xml:space="preserve">27.6. No sobra decir </w:t>
      </w:r>
      <w:proofErr w:type="gramStart"/>
      <w:r w:rsidRPr="008853E4">
        <w:rPr>
          <w:rFonts w:ascii="Verdana" w:eastAsia="Calibri" w:hAnsi="Verdana" w:cs="Arial"/>
          <w:sz w:val="16"/>
          <w:szCs w:val="16"/>
        </w:rPr>
        <w:t>que</w:t>
      </w:r>
      <w:proofErr w:type="gramEnd"/>
      <w:r w:rsidRPr="008853E4">
        <w:rPr>
          <w:rFonts w:ascii="Verdana" w:eastAsia="Calibri" w:hAnsi="Verdana" w:cs="Arial"/>
          <w:sz w:val="16"/>
          <w:szCs w:val="16"/>
        </w:rPr>
        <w:t xml:space="preserve"> con toda razón, el Consejo de Estado ha considerado que el régimen de inhabilidades e incompatibilidades se justifica en la prevalencia de los intereses estatales y en los principios y valores de igualdad, moralidad, ética, corrección, probidad, trasparencia e imparcialidad”.</w:t>
      </w:r>
    </w:p>
    <w:p w14:paraId="3C67D40B" w14:textId="77777777" w:rsidR="0032263C" w:rsidRPr="008853E4" w:rsidRDefault="0032263C" w:rsidP="0032263C">
      <w:pPr>
        <w:pStyle w:val="Textonotapie"/>
        <w:ind w:firstLine="708"/>
        <w:jc w:val="both"/>
        <w:rPr>
          <w:rFonts w:ascii="Verdana" w:eastAsia="Calibri" w:hAnsi="Verdana" w:cs="Arial"/>
          <w:sz w:val="16"/>
          <w:szCs w:val="16"/>
        </w:rPr>
      </w:pPr>
    </w:p>
  </w:footnote>
  <w:footnote w:id="7">
    <w:p w14:paraId="763E82C8" w14:textId="77777777" w:rsidR="0032263C" w:rsidRPr="008853E4" w:rsidRDefault="0032263C" w:rsidP="0032263C">
      <w:pPr>
        <w:pStyle w:val="Textonotapie"/>
        <w:ind w:firstLine="567"/>
        <w:jc w:val="both"/>
        <w:rPr>
          <w:rFonts w:ascii="Verdana" w:hAnsi="Verdana"/>
          <w:sz w:val="16"/>
          <w:szCs w:val="16"/>
          <w:lang w:val="es-CO"/>
        </w:rPr>
      </w:pPr>
      <w:r w:rsidRPr="008853E4">
        <w:rPr>
          <w:rStyle w:val="Refdenotaalpie"/>
          <w:rFonts w:ascii="Verdana" w:hAnsi="Verdana"/>
          <w:sz w:val="16"/>
          <w:szCs w:val="16"/>
        </w:rPr>
        <w:footnoteRef/>
      </w:r>
      <w:r w:rsidRPr="008853E4">
        <w:rPr>
          <w:rFonts w:ascii="Verdana" w:hAnsi="Verdana"/>
          <w:sz w:val="16"/>
          <w:szCs w:val="16"/>
        </w:rPr>
        <w:t xml:space="preserve">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footnote>
  <w:footnote w:id="8">
    <w:p w14:paraId="572C3C39" w14:textId="77777777" w:rsidR="0032263C" w:rsidRPr="005374F3" w:rsidRDefault="0032263C" w:rsidP="0032263C">
      <w:pPr>
        <w:pStyle w:val="Textonotapie"/>
        <w:ind w:firstLine="708"/>
        <w:jc w:val="both"/>
        <w:rPr>
          <w:rFonts w:ascii="Verdana" w:hAnsi="Verdana" w:cs="Arial"/>
          <w:sz w:val="16"/>
          <w:szCs w:val="16"/>
        </w:rPr>
      </w:pPr>
      <w:r w:rsidRPr="005374F3">
        <w:rPr>
          <w:rStyle w:val="Refdenotaalpie"/>
          <w:rFonts w:ascii="Verdana" w:hAnsi="Verdana"/>
          <w:sz w:val="16"/>
          <w:szCs w:val="16"/>
        </w:rPr>
        <w:footnoteRef/>
      </w:r>
      <w:r w:rsidRPr="005374F3">
        <w:rPr>
          <w:rFonts w:ascii="Verdana" w:hAnsi="Verdana"/>
          <w:sz w:val="16"/>
          <w:szCs w:val="16"/>
        </w:rPr>
        <w:t xml:space="preserve"> </w:t>
      </w:r>
      <w:r w:rsidRPr="005374F3">
        <w:rPr>
          <w:rFonts w:ascii="Verdana" w:hAnsi="Verdana" w:cs="Arial"/>
          <w:sz w:val="16"/>
          <w:szCs w:val="16"/>
        </w:rPr>
        <w:t>GONZÁLEZ LÓPEZ, Edgar. El pliego de condiciones en la contratación estatal: la reforma consagrada en la Ley 1150 de 2007 y sus decretos reglamentarios. Bogotá: Universidad Externando de Colombia, 2012. p. 87 y ss.</w:t>
      </w:r>
    </w:p>
    <w:p w14:paraId="570F436D" w14:textId="77777777" w:rsidR="0032263C" w:rsidRPr="005374F3" w:rsidRDefault="0032263C" w:rsidP="0032263C">
      <w:pPr>
        <w:pStyle w:val="Textonotapie"/>
        <w:rPr>
          <w:rFonts w:ascii="Verdana" w:hAnsi="Verdana"/>
          <w:sz w:val="16"/>
          <w:szCs w:val="16"/>
          <w:lang w:val="es-ES"/>
        </w:rPr>
      </w:pPr>
    </w:p>
  </w:footnote>
  <w:footnote w:id="9">
    <w:p w14:paraId="7F9A9BF0" w14:textId="77777777" w:rsidR="0032263C" w:rsidRPr="005374F3" w:rsidRDefault="0032263C" w:rsidP="0032263C">
      <w:pPr>
        <w:pStyle w:val="Textonotapie"/>
        <w:ind w:firstLine="709"/>
        <w:jc w:val="both"/>
        <w:rPr>
          <w:rFonts w:ascii="Verdana" w:hAnsi="Verdana"/>
          <w:sz w:val="16"/>
          <w:szCs w:val="16"/>
          <w:lang w:val="es-ES"/>
        </w:rPr>
      </w:pPr>
      <w:r w:rsidRPr="005374F3">
        <w:rPr>
          <w:rStyle w:val="Refdenotaalpie"/>
          <w:rFonts w:ascii="Verdana" w:hAnsi="Verdana"/>
          <w:sz w:val="16"/>
          <w:szCs w:val="16"/>
        </w:rPr>
        <w:footnoteRef/>
      </w:r>
      <w:r w:rsidRPr="005374F3">
        <w:rPr>
          <w:rFonts w:ascii="Verdana" w:hAnsi="Verdana"/>
          <w:sz w:val="16"/>
          <w:szCs w:val="16"/>
        </w:rPr>
        <w:t xml:space="preserve"> </w:t>
      </w:r>
      <w:r w:rsidRPr="005374F3">
        <w:rPr>
          <w:rFonts w:ascii="Verdana" w:hAnsi="Verdana" w:cs="Arial"/>
          <w:sz w:val="16"/>
          <w:szCs w:val="16"/>
        </w:rPr>
        <w:t>Como explica la doctrina, “La discrecionalidad no es un espacio de decisión infinitamente abierto; hay una apertura, pero limitada por los márgenes de la realidad fáctica, y su apreciación racional y razonable. La libertad administrativa no es una planicie sin fronteras, sino un anillo con ribetes elásticos y relativos (pues hay zonas en las que la decisión conforme a Derecho está abierta a distintas opiniones y valoraciones), pero hay ribetes que perfilan el ‘margen’ de la discrecionalidad. Conviene insistir en la idea de que no hay potestades absolutamente discrecionales, pues siempre están confinadas por un margen que las acota (de allí que el espacio de libre discrecionalidad pueda ser comparado con el hueco central de una rosquilla o un ‘donut’). Siempre que hay algún elemento reglado que delimita la dosis o el ‘margen’ de discrecionalidad, y que permite a los tribunales controlar dónde está la frontera que separa la ilegítima arbitrariedad de la legítima arbitrariedad” (Cfr. BLANQUER, David. Derecho administrativo: el fin, los medios y el control. Tomo I. Valencia: Tirant lo Blanch, 2010. p. 192).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7642455"/>
    <w:multiLevelType w:val="hybridMultilevel"/>
    <w:tmpl w:val="F9CA7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9"/>
  </w:num>
  <w:num w:numId="16" w16cid:durableId="341274352">
    <w:abstractNumId w:val="0"/>
  </w:num>
  <w:num w:numId="17" w16cid:durableId="1033505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17423"/>
    <w:rsid w:val="00040680"/>
    <w:rsid w:val="00046945"/>
    <w:rsid w:val="00061B2A"/>
    <w:rsid w:val="00082362"/>
    <w:rsid w:val="000A683E"/>
    <w:rsid w:val="000B19B9"/>
    <w:rsid w:val="000B7EAE"/>
    <w:rsid w:val="000D0334"/>
    <w:rsid w:val="000D5DA7"/>
    <w:rsid w:val="000F6486"/>
    <w:rsid w:val="0010507E"/>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B36DB"/>
    <w:rsid w:val="002C7A84"/>
    <w:rsid w:val="002E2BF8"/>
    <w:rsid w:val="002E4FD9"/>
    <w:rsid w:val="0030657A"/>
    <w:rsid w:val="0032263C"/>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0CA1"/>
    <w:rsid w:val="0044528D"/>
    <w:rsid w:val="00466E39"/>
    <w:rsid w:val="004A1847"/>
    <w:rsid w:val="004A305D"/>
    <w:rsid w:val="004F21C4"/>
    <w:rsid w:val="004F685F"/>
    <w:rsid w:val="005566E8"/>
    <w:rsid w:val="00574867"/>
    <w:rsid w:val="00591460"/>
    <w:rsid w:val="005A3307"/>
    <w:rsid w:val="005A65E0"/>
    <w:rsid w:val="005C3777"/>
    <w:rsid w:val="005C5CDC"/>
    <w:rsid w:val="005D476C"/>
    <w:rsid w:val="006200BF"/>
    <w:rsid w:val="006219F8"/>
    <w:rsid w:val="006302F7"/>
    <w:rsid w:val="00646B9F"/>
    <w:rsid w:val="00665D70"/>
    <w:rsid w:val="006900D9"/>
    <w:rsid w:val="00706C16"/>
    <w:rsid w:val="00711494"/>
    <w:rsid w:val="00726F8E"/>
    <w:rsid w:val="007340C3"/>
    <w:rsid w:val="0075235A"/>
    <w:rsid w:val="00756841"/>
    <w:rsid w:val="007649AB"/>
    <w:rsid w:val="00771D0C"/>
    <w:rsid w:val="007833AC"/>
    <w:rsid w:val="007A5151"/>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1611E"/>
    <w:rsid w:val="00923EEF"/>
    <w:rsid w:val="009419F9"/>
    <w:rsid w:val="0095685E"/>
    <w:rsid w:val="00961B09"/>
    <w:rsid w:val="00965334"/>
    <w:rsid w:val="0097093E"/>
    <w:rsid w:val="009A0DFA"/>
    <w:rsid w:val="009A1C6F"/>
    <w:rsid w:val="009B2D26"/>
    <w:rsid w:val="009B45C3"/>
    <w:rsid w:val="009C71FA"/>
    <w:rsid w:val="009C72E7"/>
    <w:rsid w:val="009C7F7E"/>
    <w:rsid w:val="009D3058"/>
    <w:rsid w:val="009F3A13"/>
    <w:rsid w:val="009F705B"/>
    <w:rsid w:val="00A121FB"/>
    <w:rsid w:val="00A122D3"/>
    <w:rsid w:val="00A14468"/>
    <w:rsid w:val="00A1646A"/>
    <w:rsid w:val="00A17F13"/>
    <w:rsid w:val="00A20739"/>
    <w:rsid w:val="00A23AF9"/>
    <w:rsid w:val="00A33C78"/>
    <w:rsid w:val="00AA1268"/>
    <w:rsid w:val="00AB0ADB"/>
    <w:rsid w:val="00AF3565"/>
    <w:rsid w:val="00B00C0E"/>
    <w:rsid w:val="00B01B1A"/>
    <w:rsid w:val="00B0381D"/>
    <w:rsid w:val="00B44A47"/>
    <w:rsid w:val="00B72CD3"/>
    <w:rsid w:val="00B72FFF"/>
    <w:rsid w:val="00BC3D36"/>
    <w:rsid w:val="00BD54A6"/>
    <w:rsid w:val="00BD7F72"/>
    <w:rsid w:val="00BF7425"/>
    <w:rsid w:val="00C04FB3"/>
    <w:rsid w:val="00C11D8B"/>
    <w:rsid w:val="00C1503C"/>
    <w:rsid w:val="00C15139"/>
    <w:rsid w:val="00C330EB"/>
    <w:rsid w:val="00C50D69"/>
    <w:rsid w:val="00C5365C"/>
    <w:rsid w:val="00C754BE"/>
    <w:rsid w:val="00C76B1C"/>
    <w:rsid w:val="00C925AC"/>
    <w:rsid w:val="00CB6357"/>
    <w:rsid w:val="00CC1B26"/>
    <w:rsid w:val="00CE58D4"/>
    <w:rsid w:val="00CF478E"/>
    <w:rsid w:val="00D361FD"/>
    <w:rsid w:val="00D423A2"/>
    <w:rsid w:val="00D44E26"/>
    <w:rsid w:val="00D520D8"/>
    <w:rsid w:val="00D63AC2"/>
    <w:rsid w:val="00D7383B"/>
    <w:rsid w:val="00D7788A"/>
    <w:rsid w:val="00DA231B"/>
    <w:rsid w:val="00DA578C"/>
    <w:rsid w:val="00DC39FC"/>
    <w:rsid w:val="00DF5254"/>
    <w:rsid w:val="00E02524"/>
    <w:rsid w:val="00E0491E"/>
    <w:rsid w:val="00E06C42"/>
    <w:rsid w:val="00E16408"/>
    <w:rsid w:val="00E20894"/>
    <w:rsid w:val="00E245AB"/>
    <w:rsid w:val="00E2764C"/>
    <w:rsid w:val="00E27F2E"/>
    <w:rsid w:val="00E407C0"/>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9944726"/>
    <w:rsid w:val="2C4D2425"/>
    <w:rsid w:val="2EE1E026"/>
    <w:rsid w:val="2F44F38F"/>
    <w:rsid w:val="30821638"/>
    <w:rsid w:val="32A4F9CF"/>
    <w:rsid w:val="33A1FF93"/>
    <w:rsid w:val="356CEDFD"/>
    <w:rsid w:val="3C591AFD"/>
    <w:rsid w:val="42183F0A"/>
    <w:rsid w:val="545B112A"/>
    <w:rsid w:val="5BEB1497"/>
    <w:rsid w:val="69614A15"/>
    <w:rsid w:val="7102C859"/>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2263C"/>
    <w:rPr>
      <w:rFonts w:ascii="Geomanist Light" w:hAnsi="Geomanist Light"/>
      <w:lang w:val="es-ES"/>
    </w:rPr>
  </w:style>
  <w:style w:type="paragraph" w:customStyle="1" w:styleId="Appelnotedebasde">
    <w:name w:val="Appel note de bas de..."/>
    <w:basedOn w:val="Normal"/>
    <w:link w:val="Refdenotaalpie"/>
    <w:uiPriority w:val="99"/>
    <w:rsid w:val="0032263C"/>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colombiacompra.gov.co/wp-content/uploads/2024/08/cce-eicp-ma-04._manual_requisitos_habilitantes_v3_29-09-2023.pdf" TargetMode="External"/><Relationship Id="rId17" Type="http://schemas.openxmlformats.org/officeDocument/2006/relationships/hyperlink" Target="https://nam02.safelinks.protection.outlook.com/?url=https%3A%2F%2Fwww.colombiacompra.gov.co%2Farchivos%2Fboletin%2Fboletin-edicion-n-3-de-2026-radar-de-la-compra-publica&amp;data=05%7C02%7Cesperanza.contreras%40colombiacompra.gov.co%7C7128555136e04fa6887d08dee99e1b50%7C7b09041e245149d08cb179d5e3d8c1be%7C0%7C0%7C639205062485178807%7CUnknown%7CTWFpbGZsb3d8eyJFbXB0eU1hcGkiOnRydWUsIlYiOiIwLjAuMDAwMCIsIlAiOiJXaW4zMiIsIkFOIjoiTWFpbCIsIldUIjoyfQ%3D%3D%7C0%7C%7C%7C&amp;sdata=KExWmxKYC15dvy2jid%2B7icvX72jaaIwv%2FUvWJBWDhBM%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esperanza.contreras%40colombiacompra.gov.co%7C7128555136e04fa6887d08dee99e1b50%7C7b09041e245149d08cb179d5e3d8c1be%7C0%7C0%7C639205062485163401%7CUnknown%7CTWFpbGZsb3d8eyJFbXB0eU1hcGkiOnRydWUsIlYiOiIwLjAuMDAwMCIsIlAiOiJXaW4zMiIsIkFOIjoiTWFpbCIsIldUIjoyfQ%3D%3D%7C0%7C%7C%7C&amp;sdata=dPUVvFXdjvXbzKwhb4CxB8iVxGYr%2BrUIGKHRaYfEtmY%3D&amp;reserved=0"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istente.juridica@boost.net.co"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esperanza.contreras%40colombiacompra.gov.co%7C7128555136e04fa6887d08dee99e1b50%7C7b09041e245149d08cb179d5e3d8c1be%7C0%7C0%7C639205062485135726%7CUnknown%7CTWFpbGZsb3d8eyJFbXB0eU1hcGkiOnRydWUsIlYiOiIwLjAuMDAwMCIsIlAiOiJXaW4zMiIsIkFOIjoiTWFpbCIsIldUIjoyfQ%3D%3D%7C0%7C%7C%7C&amp;sdata=4Es%2BEbneNUJS7UkXWiNoLQ4L8kTy804yLg5KKyYtV%2Fs%3D&amp;reserved=0"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esperanza.contreras%40colombiacompra.gov.co%7C7128555136e04fa6887d08dee99e1b50%7C7b09041e245149d08cb179d5e3d8c1be%7C0%7C0%7C639205062485036641%7CUnknown%7CTWFpbGZsb3d8eyJFbXB0eU1hcGkiOnRydWUsIlYiOiIwLjAuMDAwMCIsIlAiOiJXaW4zMiIsIkFOIjoiTWFpbCIsIldUIjoyfQ%3D%3D%7C0%7C%7C%7C&amp;sdata=AnypC5I3TGh%2BWml%2BUt7T2E%2FXP7eZzrcFMomcr6q4cfE%3D&amp;reserved=0"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wp-content/uploads/2024/08/cce-eicp-ma-04._manual_requisitos_habilitantes_v3_29-09-20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6DB1BFFF-BA1A-4CC0-9B2D-8EDD41576FA2}"/>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28</TotalTime>
  <Pages>18</Pages>
  <Words>6042</Words>
  <Characters>33231</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5</cp:revision>
  <cp:lastPrinted>2023-01-10T21:18:00Z</cp:lastPrinted>
  <dcterms:created xsi:type="dcterms:W3CDTF">2026-08-13T16:30:00Z</dcterms:created>
  <dcterms:modified xsi:type="dcterms:W3CDTF">2026-08-14T03:31:00Z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