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EC4A2" w14:textId="77777777" w:rsidR="00F64FF7" w:rsidRPr="00CA6E03" w:rsidRDefault="00F64FF7" w:rsidP="00F64FF7">
      <w:pPr>
        <w:spacing w:after="0" w:line="240" w:lineRule="auto"/>
        <w:jc w:val="both"/>
        <w:rPr>
          <w:rFonts w:ascii="Verdana" w:eastAsia="Calibri" w:hAnsi="Verdana" w:cs="Arial"/>
          <w:b/>
          <w:bCs/>
          <w:lang w:val="es-ES_tradnl"/>
        </w:rPr>
      </w:pPr>
      <w:bookmarkStart w:id="0" w:name="_Hlk143780582"/>
      <w:r w:rsidRPr="00CA6E03">
        <w:rPr>
          <w:rFonts w:ascii="Verdana" w:eastAsia="Calibri" w:hAnsi="Verdana" w:cs="Arial"/>
          <w:b/>
          <w:bCs/>
          <w:lang w:val="es-ES_tradnl"/>
        </w:rPr>
        <w:t>SISTEMA DE PREFERENCIA PARA PERSONAS CON DISCAPACIDAD ‒ Constitución Política ‒ Ley 1618 de 2013</w:t>
      </w:r>
    </w:p>
    <w:p w14:paraId="073A7178" w14:textId="77777777" w:rsidR="00F64FF7" w:rsidRPr="00CA6E03" w:rsidRDefault="00F64FF7" w:rsidP="00F64FF7">
      <w:pPr>
        <w:spacing w:after="0" w:line="240" w:lineRule="auto"/>
        <w:jc w:val="both"/>
        <w:rPr>
          <w:rFonts w:ascii="Verdana" w:eastAsia="Calibri" w:hAnsi="Verdana" w:cs="Arial"/>
          <w:b/>
          <w:bCs/>
          <w:lang w:val="es-ES_tradnl"/>
        </w:rPr>
      </w:pPr>
    </w:p>
    <w:p w14:paraId="681FAA62" w14:textId="77777777" w:rsidR="00F64FF7" w:rsidRPr="00CA6E03" w:rsidRDefault="00F64FF7" w:rsidP="00F64FF7">
      <w:pPr>
        <w:spacing w:after="0" w:line="240" w:lineRule="auto"/>
        <w:jc w:val="both"/>
        <w:rPr>
          <w:rFonts w:ascii="Verdana" w:eastAsia="Calibri" w:hAnsi="Verdana" w:cs="Arial"/>
          <w:sz w:val="20"/>
          <w:szCs w:val="20"/>
          <w:lang w:val="es-ES"/>
        </w:rPr>
      </w:pPr>
      <w:r w:rsidRPr="00CA6E03">
        <w:rPr>
          <w:rFonts w:ascii="Verdana" w:eastAsia="Calibri" w:hAnsi="Verdana" w:cs="Arial"/>
          <w:sz w:val="20"/>
          <w:szCs w:val="20"/>
          <w:lang w:val="es-ES"/>
        </w:rPr>
        <w:t>El fundamento del Sistema de Preferencias para Personas con Discapacidad (</w:t>
      </w:r>
      <w:proofErr w:type="spellStart"/>
      <w:r w:rsidRPr="00CA6E03">
        <w:rPr>
          <w:rFonts w:ascii="Verdana" w:eastAsia="Calibri" w:hAnsi="Verdana" w:cs="Arial"/>
          <w:sz w:val="20"/>
          <w:szCs w:val="20"/>
          <w:lang w:val="es-ES"/>
        </w:rPr>
        <w:t>PcD</w:t>
      </w:r>
      <w:proofErr w:type="spellEnd"/>
      <w:r w:rsidRPr="00CA6E03">
        <w:rPr>
          <w:rFonts w:ascii="Verdana" w:eastAsia="Calibri" w:hAnsi="Verdana" w:cs="Arial"/>
          <w:sz w:val="20"/>
          <w:szCs w:val="20"/>
          <w:lang w:val="es-ES"/>
        </w:rPr>
        <w:t xml:space="preserve">) en la contratación pública es el principio de igualdad real y efectiva consagrado en el artículo 13 de la Constitución Política de 1991, que impone al Estado el deber positivo de adoptar acciones afirmativas en favor de grupos históricamente excluidos. La Corte Constitucional ha sostenido que tales medidas buscan contrarrestar los efectos de la discriminación y que el Estado puede establecer tratamientos diferenciales a favor de estos grupos en aras de lograr una igualdad real y efectiva. Los artículos 47 y 54 de la Carta Política refuerzan este mandato al ordenar políticas de integración social y ubicación laboral para las </w:t>
      </w:r>
      <w:proofErr w:type="spellStart"/>
      <w:r w:rsidRPr="00CA6E03">
        <w:rPr>
          <w:rFonts w:ascii="Verdana" w:eastAsia="Calibri" w:hAnsi="Verdana" w:cs="Arial"/>
          <w:sz w:val="20"/>
          <w:szCs w:val="20"/>
          <w:lang w:val="es-ES"/>
        </w:rPr>
        <w:t>PcD</w:t>
      </w:r>
      <w:proofErr w:type="spellEnd"/>
      <w:r w:rsidRPr="00CA6E03">
        <w:rPr>
          <w:rFonts w:ascii="Verdana" w:eastAsia="Calibri" w:hAnsi="Verdana" w:cs="Arial"/>
          <w:sz w:val="20"/>
          <w:szCs w:val="20"/>
          <w:lang w:val="es-ES"/>
        </w:rPr>
        <w:t>.</w:t>
      </w:r>
    </w:p>
    <w:p w14:paraId="21D86EBC" w14:textId="77777777" w:rsidR="00F64FF7" w:rsidRPr="00CA6E03" w:rsidRDefault="00F64FF7" w:rsidP="00F64FF7">
      <w:pPr>
        <w:spacing w:after="0" w:line="240" w:lineRule="auto"/>
        <w:jc w:val="both"/>
        <w:rPr>
          <w:rFonts w:ascii="Verdana" w:eastAsia="Calibri" w:hAnsi="Verdana" w:cs="Arial"/>
          <w:sz w:val="20"/>
          <w:szCs w:val="20"/>
          <w:lang w:val="es-ES_tradnl"/>
        </w:rPr>
      </w:pPr>
    </w:p>
    <w:p w14:paraId="071CE2D0" w14:textId="77777777" w:rsidR="00F64FF7" w:rsidRPr="00CA6E03" w:rsidRDefault="00F64FF7" w:rsidP="00F64FF7">
      <w:pPr>
        <w:spacing w:after="0" w:line="240" w:lineRule="auto"/>
        <w:jc w:val="both"/>
        <w:rPr>
          <w:rFonts w:ascii="Verdana" w:eastAsia="Calibri" w:hAnsi="Verdana" w:cs="Arial"/>
          <w:sz w:val="20"/>
          <w:szCs w:val="20"/>
          <w:lang w:val="es-ES"/>
        </w:rPr>
      </w:pPr>
      <w:r w:rsidRPr="00CA6E03">
        <w:rPr>
          <w:rFonts w:ascii="Verdana" w:eastAsia="Calibri" w:hAnsi="Verdana" w:cs="Arial"/>
          <w:sz w:val="20"/>
          <w:szCs w:val="20"/>
          <w:lang w:val="es-ES"/>
        </w:rPr>
        <w:t xml:space="preserve">La Ley Estatutaria 1618 de 2013 representó un salto cualitativo en el marco jurídico de protección de las </w:t>
      </w:r>
      <w:proofErr w:type="spellStart"/>
      <w:r w:rsidRPr="00CA6E03">
        <w:rPr>
          <w:rFonts w:ascii="Verdana" w:eastAsia="Calibri" w:hAnsi="Verdana" w:cs="Arial"/>
          <w:sz w:val="20"/>
          <w:szCs w:val="20"/>
          <w:lang w:val="es-ES"/>
        </w:rPr>
        <w:t>PcD</w:t>
      </w:r>
      <w:proofErr w:type="spellEnd"/>
      <w:r w:rsidRPr="00CA6E03">
        <w:rPr>
          <w:rFonts w:ascii="Verdana" w:eastAsia="Calibri" w:hAnsi="Verdana" w:cs="Arial"/>
          <w:sz w:val="20"/>
          <w:szCs w:val="20"/>
          <w:lang w:val="es-ES"/>
        </w:rPr>
        <w:t xml:space="preserve">, al definir a estas como "aquellas personas que tengan deficiencias físicas, mentales, intelectuales o sensoriales a mediano y largo plazo que, al interactuar con diversas barreras incluyendo las actitudinales, puedan impedir su participación plena y efectiva en la sociedad, en igualdad de condiciones con las demás" . Su artículo 13, en los numerales 1, 7 y 8, ordenó al Gobierno Nacional reglamentar: una puntuación adicional en licitación pública, concurso de méritos y contratación directa para empresas que vinculen </w:t>
      </w:r>
      <w:proofErr w:type="spellStart"/>
      <w:r w:rsidRPr="00CA6E03">
        <w:rPr>
          <w:rFonts w:ascii="Verdana" w:eastAsia="Calibri" w:hAnsi="Verdana" w:cs="Arial"/>
          <w:sz w:val="20"/>
          <w:szCs w:val="20"/>
          <w:lang w:val="es-ES"/>
        </w:rPr>
        <w:t>PcD</w:t>
      </w:r>
      <w:proofErr w:type="spellEnd"/>
      <w:r w:rsidRPr="00CA6E03">
        <w:rPr>
          <w:rFonts w:ascii="Verdana" w:eastAsia="Calibri" w:hAnsi="Verdana" w:cs="Arial"/>
          <w:sz w:val="20"/>
          <w:szCs w:val="20"/>
          <w:lang w:val="es-ES"/>
        </w:rPr>
        <w:t xml:space="preserve"> y para empresas de </w:t>
      </w:r>
      <w:proofErr w:type="spellStart"/>
      <w:r w:rsidRPr="00CA6E03">
        <w:rPr>
          <w:rFonts w:ascii="Verdana" w:eastAsia="Calibri" w:hAnsi="Verdana" w:cs="Arial"/>
          <w:sz w:val="20"/>
          <w:szCs w:val="20"/>
          <w:lang w:val="es-ES"/>
        </w:rPr>
        <w:t>PcD</w:t>
      </w:r>
      <w:proofErr w:type="spellEnd"/>
      <w:r w:rsidRPr="00CA6E03">
        <w:rPr>
          <w:rFonts w:ascii="Verdana" w:eastAsia="Calibri" w:hAnsi="Verdana" w:cs="Arial"/>
          <w:sz w:val="20"/>
          <w:szCs w:val="20"/>
          <w:lang w:val="es-ES"/>
        </w:rPr>
        <w:t xml:space="preserve">; un sistema de preferencias para empleadores de </w:t>
      </w:r>
      <w:proofErr w:type="spellStart"/>
      <w:r w:rsidRPr="00CA6E03">
        <w:rPr>
          <w:rFonts w:ascii="Verdana" w:eastAsia="Calibri" w:hAnsi="Verdana" w:cs="Arial"/>
          <w:sz w:val="20"/>
          <w:szCs w:val="20"/>
          <w:lang w:val="es-ES"/>
        </w:rPr>
        <w:t>PcD</w:t>
      </w:r>
      <w:proofErr w:type="spellEnd"/>
      <w:r w:rsidRPr="00CA6E03">
        <w:rPr>
          <w:rFonts w:ascii="Verdana" w:eastAsia="Calibri" w:hAnsi="Verdana" w:cs="Arial"/>
          <w:sz w:val="20"/>
          <w:szCs w:val="20"/>
          <w:lang w:val="es-ES"/>
        </w:rPr>
        <w:t xml:space="preserve"> en la adjudicación; y un sistema de preferencias en favor de las propias </w:t>
      </w:r>
      <w:proofErr w:type="spellStart"/>
      <w:r w:rsidRPr="00CA6E03">
        <w:rPr>
          <w:rFonts w:ascii="Verdana" w:eastAsia="Calibri" w:hAnsi="Verdana" w:cs="Arial"/>
          <w:sz w:val="20"/>
          <w:szCs w:val="20"/>
          <w:lang w:val="es-ES"/>
        </w:rPr>
        <w:t>PcD</w:t>
      </w:r>
      <w:proofErr w:type="spellEnd"/>
      <w:r w:rsidRPr="00CA6E03">
        <w:rPr>
          <w:rFonts w:ascii="Verdana" w:eastAsia="Calibri" w:hAnsi="Verdana" w:cs="Arial"/>
          <w:sz w:val="20"/>
          <w:szCs w:val="20"/>
          <w:lang w:val="es-ES"/>
        </w:rPr>
        <w:t xml:space="preserve"> como contratistas. Este último mandato fue especialmente significativo porque introdujo el concepto de "sistema de preferencias", que por definición no puede reducirse a una sola medida sino que implica un conjunto estructurado de instrumentos que actúen en las distintas fases del proceso contractual.</w:t>
      </w:r>
    </w:p>
    <w:p w14:paraId="7A360818" w14:textId="77777777" w:rsidR="00F64FF7" w:rsidRPr="00CA6E03" w:rsidRDefault="00F64FF7" w:rsidP="00F64FF7">
      <w:pPr>
        <w:spacing w:after="0" w:line="240" w:lineRule="auto"/>
        <w:jc w:val="both"/>
        <w:rPr>
          <w:rFonts w:ascii="Verdana" w:eastAsia="Aptos" w:hAnsi="Verdana" w:cs="Times New Roman"/>
          <w:sz w:val="20"/>
          <w:szCs w:val="20"/>
          <w:lang w:val="es-MX"/>
        </w:rPr>
      </w:pPr>
    </w:p>
    <w:p w14:paraId="05E18C50" w14:textId="77777777" w:rsidR="00F64FF7" w:rsidRPr="00CA6E03" w:rsidRDefault="00F64FF7" w:rsidP="00F64FF7">
      <w:pPr>
        <w:spacing w:after="0" w:line="240" w:lineRule="auto"/>
        <w:jc w:val="both"/>
        <w:rPr>
          <w:rFonts w:ascii="Verdana" w:eastAsia="Calibri" w:hAnsi="Verdana" w:cs="Arial"/>
          <w:b/>
          <w:bCs/>
          <w:lang w:val="pt-BR" w:eastAsia="es-ES"/>
        </w:rPr>
      </w:pPr>
      <w:r w:rsidRPr="00CA6E03">
        <w:rPr>
          <w:rFonts w:ascii="Verdana" w:eastAsia="Calibri" w:hAnsi="Verdana" w:cs="Arial"/>
          <w:b/>
          <w:bCs/>
          <w:lang w:val="pt-BR" w:eastAsia="es-ES"/>
        </w:rPr>
        <w:t xml:space="preserve">DECRETO 287 DE 2026 ‒ Antecedentes normativos ‒ Decreto 392 de 2018 </w:t>
      </w:r>
    </w:p>
    <w:p w14:paraId="38D09BD3" w14:textId="77777777" w:rsidR="00F64FF7" w:rsidRPr="00CA6E03" w:rsidRDefault="00F64FF7" w:rsidP="00F64FF7">
      <w:pPr>
        <w:spacing w:after="0" w:line="240" w:lineRule="auto"/>
        <w:jc w:val="both"/>
        <w:rPr>
          <w:rFonts w:ascii="Verdana" w:eastAsia="Calibri" w:hAnsi="Verdana" w:cs="Arial"/>
          <w:b/>
          <w:bCs/>
          <w:lang w:val="pt-BR" w:eastAsia="es-ES"/>
        </w:rPr>
      </w:pPr>
    </w:p>
    <w:p w14:paraId="35F6C16C" w14:textId="77777777" w:rsidR="00F64FF7" w:rsidRPr="00CA6E03" w:rsidRDefault="00F64FF7" w:rsidP="00F64FF7">
      <w:pPr>
        <w:spacing w:after="0" w:line="240" w:lineRule="auto"/>
        <w:jc w:val="both"/>
        <w:rPr>
          <w:rFonts w:ascii="Verdana" w:eastAsia="Calibri" w:hAnsi="Verdana" w:cs="Arial"/>
          <w:sz w:val="20"/>
          <w:szCs w:val="20"/>
          <w:lang w:eastAsia="es-ES"/>
        </w:rPr>
      </w:pPr>
      <w:r w:rsidRPr="00CA6E03">
        <w:rPr>
          <w:rFonts w:ascii="Verdana" w:eastAsia="Calibri" w:hAnsi="Verdana" w:cs="Arial"/>
          <w:sz w:val="20"/>
          <w:szCs w:val="20"/>
          <w:lang w:eastAsia="es-ES"/>
        </w:rPr>
        <w:t xml:space="preserve">En cumplimiento parcial de los numerales 1 y 8 del artículo 13 de la Ley 1618 de 2013, se expidió el Decreto 392 de 2018. Sin embargo, como se reconoce en los considerandos del Decreto 0287 de 2026, dicha regulación presentó omisiones estructurales que frustraron la finalidad de la ley estatutaria, pues solo contempló el 1% de puntaje para empleadores de </w:t>
      </w:r>
      <w:proofErr w:type="spellStart"/>
      <w:r w:rsidRPr="00CA6E03">
        <w:rPr>
          <w:rFonts w:ascii="Verdana" w:eastAsia="Calibri" w:hAnsi="Verdana" w:cs="Arial"/>
          <w:sz w:val="20"/>
          <w:szCs w:val="20"/>
          <w:lang w:eastAsia="es-ES"/>
        </w:rPr>
        <w:t>PcD</w:t>
      </w:r>
      <w:proofErr w:type="spellEnd"/>
      <w:r w:rsidRPr="00CA6E03">
        <w:rPr>
          <w:rFonts w:ascii="Verdana" w:eastAsia="Calibri" w:hAnsi="Verdana" w:cs="Arial"/>
          <w:sz w:val="20"/>
          <w:szCs w:val="20"/>
          <w:lang w:eastAsia="es-ES"/>
        </w:rPr>
        <w:t xml:space="preserve">, sin incluir a las empresas de </w:t>
      </w:r>
      <w:proofErr w:type="spellStart"/>
      <w:r w:rsidRPr="00CA6E03">
        <w:rPr>
          <w:rFonts w:ascii="Verdana" w:eastAsia="Calibri" w:hAnsi="Verdana" w:cs="Arial"/>
          <w:sz w:val="20"/>
          <w:szCs w:val="20"/>
          <w:lang w:eastAsia="es-ES"/>
        </w:rPr>
        <w:t>PcD</w:t>
      </w:r>
      <w:proofErr w:type="spellEnd"/>
      <w:r w:rsidRPr="00CA6E03">
        <w:rPr>
          <w:rFonts w:ascii="Verdana" w:eastAsia="Calibri" w:hAnsi="Verdana" w:cs="Arial"/>
          <w:sz w:val="20"/>
          <w:szCs w:val="20"/>
          <w:lang w:eastAsia="es-ES"/>
        </w:rPr>
        <w:t xml:space="preserve">, redujo el "sistema de preferencias" a un único criterio de desempate y no previó medidas en planeación, criterios habilitantes diferenciales, condiciones especiales de ejecución ni abordó la contratación directa como escenario de inclusión. En consecuencia, desde el punto de vista sustantivo, el Decreto 392 de 2018 reglamentó el numeral 1 de manera parcial y el numeral 7, dejando sin reglamentación material el numeral 8, que era precisamente el que ordenaba el sistema de preferencias en favor de las propias </w:t>
      </w:r>
      <w:proofErr w:type="spellStart"/>
      <w:r w:rsidRPr="00CA6E03">
        <w:rPr>
          <w:rFonts w:ascii="Verdana" w:eastAsia="Calibri" w:hAnsi="Verdana" w:cs="Arial"/>
          <w:sz w:val="20"/>
          <w:szCs w:val="20"/>
          <w:lang w:eastAsia="es-ES"/>
        </w:rPr>
        <w:t>PcD</w:t>
      </w:r>
      <w:proofErr w:type="spellEnd"/>
      <w:r w:rsidRPr="00CA6E03">
        <w:rPr>
          <w:rFonts w:ascii="Verdana" w:eastAsia="Calibri" w:hAnsi="Verdana" w:cs="Arial"/>
          <w:sz w:val="20"/>
          <w:szCs w:val="20"/>
          <w:lang w:eastAsia="es-ES"/>
        </w:rPr>
        <w:t xml:space="preserve"> como contratistas.</w:t>
      </w:r>
    </w:p>
    <w:p w14:paraId="566728EB" w14:textId="77777777" w:rsidR="00F64FF7" w:rsidRPr="00CA6E03" w:rsidRDefault="00F64FF7" w:rsidP="00F64FF7">
      <w:pPr>
        <w:spacing w:after="0" w:line="240" w:lineRule="auto"/>
        <w:jc w:val="both"/>
        <w:rPr>
          <w:rFonts w:ascii="Verdana" w:eastAsia="Calibri" w:hAnsi="Verdana" w:cs="Arial"/>
          <w:sz w:val="20"/>
          <w:szCs w:val="20"/>
          <w:lang w:eastAsia="es-ES"/>
        </w:rPr>
      </w:pPr>
    </w:p>
    <w:p w14:paraId="4E99B3A9" w14:textId="77777777" w:rsidR="00F64FF7" w:rsidRPr="00CA6E03" w:rsidRDefault="00F64FF7" w:rsidP="00F64FF7">
      <w:pPr>
        <w:spacing w:after="0" w:line="240" w:lineRule="auto"/>
        <w:jc w:val="both"/>
        <w:rPr>
          <w:rFonts w:ascii="Verdana" w:eastAsia="Calibri" w:hAnsi="Verdana" w:cs="Arial"/>
          <w:sz w:val="20"/>
          <w:szCs w:val="20"/>
          <w:lang w:eastAsia="es-ES"/>
        </w:rPr>
      </w:pPr>
      <w:r w:rsidRPr="00CA6E03">
        <w:rPr>
          <w:rFonts w:ascii="Verdana" w:eastAsia="Calibri" w:hAnsi="Verdana" w:cs="Arial"/>
          <w:sz w:val="20"/>
          <w:szCs w:val="20"/>
          <w:lang w:eastAsia="es-ES"/>
        </w:rPr>
        <w:t xml:space="preserve">Lo anterior fue ratificado por el Consejo de Estado que mediante una acción de cumplimiento, declaró el incumplimiento del deber de reglamentar integralmente el </w:t>
      </w:r>
      <w:r w:rsidRPr="00CA6E03">
        <w:rPr>
          <w:rFonts w:ascii="Verdana" w:eastAsia="Calibri" w:hAnsi="Verdana" w:cs="Arial"/>
          <w:sz w:val="20"/>
          <w:szCs w:val="20"/>
          <w:lang w:eastAsia="es-ES"/>
        </w:rPr>
        <w:lastRenderedPageBreak/>
        <w:t>artículo 13 de la Ley 1618 de 2013 y ordenó al Gobierno Nacional expedir la regulación necesaria para hacer efectivo el sistema de preferencias en favor de las personas con discapacidad, sus emprendimientos y empresas que las contratan. La Sala calificó la obligación como imperativa, expresa e inobjetable, señalando que el Gobierno Nacional no contaba con margen de discrecionalidad para decidir si reglamentaba o no el sistema de preferencias.</w:t>
      </w:r>
    </w:p>
    <w:p w14:paraId="798E30A2" w14:textId="77777777" w:rsidR="00F64FF7" w:rsidRPr="00CA6E03" w:rsidRDefault="00F64FF7" w:rsidP="00F64FF7">
      <w:pPr>
        <w:spacing w:after="0" w:line="240" w:lineRule="auto"/>
        <w:jc w:val="both"/>
        <w:rPr>
          <w:rFonts w:ascii="Verdana" w:eastAsia="Calibri" w:hAnsi="Verdana" w:cs="Arial"/>
          <w:lang w:eastAsia="es-ES"/>
        </w:rPr>
      </w:pPr>
    </w:p>
    <w:p w14:paraId="5EECB9AD" w14:textId="77777777" w:rsidR="00F64FF7" w:rsidRPr="00CA6E03" w:rsidRDefault="00F64FF7" w:rsidP="00F64FF7">
      <w:pPr>
        <w:spacing w:after="0" w:line="240" w:lineRule="auto"/>
        <w:jc w:val="both"/>
        <w:rPr>
          <w:rFonts w:ascii="Verdana" w:eastAsia="Calibri" w:hAnsi="Verdana" w:cs="Arial"/>
          <w:b/>
          <w:bCs/>
          <w:lang w:val="es-ES_tradnl"/>
        </w:rPr>
      </w:pPr>
      <w:r w:rsidRPr="00CA6E03">
        <w:rPr>
          <w:rFonts w:ascii="Verdana" w:eastAsia="Calibri" w:hAnsi="Verdana" w:cs="Arial"/>
          <w:b/>
          <w:bCs/>
          <w:lang w:val="es-ES_tradnl"/>
        </w:rPr>
        <w:t xml:space="preserve">DECRETO 0287 DE 2026 ‒ Sistema Integral de Preferencias ‒ Contratación pública inclusiva ‒ Personas con discapacidad </w:t>
      </w:r>
    </w:p>
    <w:p w14:paraId="3A9C0162" w14:textId="77777777" w:rsidR="00F64FF7" w:rsidRPr="00CA6E03" w:rsidRDefault="00F64FF7" w:rsidP="00F64FF7">
      <w:pPr>
        <w:spacing w:after="0" w:line="240" w:lineRule="auto"/>
        <w:jc w:val="both"/>
        <w:rPr>
          <w:rFonts w:ascii="Verdana" w:eastAsia="Calibri" w:hAnsi="Verdana" w:cs="Arial"/>
          <w:color w:val="000000"/>
          <w:kern w:val="2"/>
          <w:sz w:val="20"/>
          <w:szCs w:val="20"/>
          <w:lang w:val="es-MX"/>
          <w14:ligatures w14:val="standardContextual"/>
        </w:rPr>
      </w:pPr>
    </w:p>
    <w:p w14:paraId="0DEDD6C9" w14:textId="77777777" w:rsidR="00F64FF7" w:rsidRPr="00CA6E03" w:rsidRDefault="00F64FF7" w:rsidP="00F64FF7">
      <w:pPr>
        <w:spacing w:after="0" w:line="240" w:lineRule="auto"/>
        <w:jc w:val="both"/>
        <w:rPr>
          <w:rFonts w:ascii="Verdana" w:eastAsia="Calibri" w:hAnsi="Verdana" w:cs="Arial"/>
          <w:color w:val="000000"/>
          <w:kern w:val="2"/>
          <w:sz w:val="20"/>
          <w:szCs w:val="20"/>
          <w:lang w:val="es-MX"/>
          <w14:ligatures w14:val="standardContextual"/>
        </w:rPr>
      </w:pPr>
      <w:r w:rsidRPr="00CA6E03">
        <w:rPr>
          <w:rFonts w:ascii="Verdana" w:eastAsia="Calibri" w:hAnsi="Verdana" w:cs="Arial"/>
          <w:color w:val="000000"/>
          <w:kern w:val="2"/>
          <w:sz w:val="20"/>
          <w:szCs w:val="20"/>
          <w14:ligatures w14:val="standardContextual"/>
        </w:rPr>
        <w:t xml:space="preserve">En cumplimiento de esa decisión fue expedido el Decreto 0287 de 2026, el cual establece un Sistema Integral de Preferencias compuesto por cinco medidas afirmativas que actúan en todas las fases del proceso contractual, planeación, selección, adjudicación y ejecución, y que benefician a dos sujetos diferenciados: los emprendimientos y empresas de </w:t>
      </w:r>
      <w:proofErr w:type="spellStart"/>
      <w:r w:rsidRPr="00CA6E03">
        <w:rPr>
          <w:rFonts w:ascii="Verdana" w:eastAsia="Calibri" w:hAnsi="Verdana" w:cs="Arial"/>
          <w:color w:val="000000"/>
          <w:kern w:val="2"/>
          <w:sz w:val="20"/>
          <w:szCs w:val="20"/>
          <w14:ligatures w14:val="standardContextual"/>
        </w:rPr>
        <w:t>PcD</w:t>
      </w:r>
      <w:proofErr w:type="spellEnd"/>
      <w:r w:rsidRPr="00CA6E03">
        <w:rPr>
          <w:rFonts w:ascii="Verdana" w:eastAsia="Calibri" w:hAnsi="Verdana" w:cs="Arial"/>
          <w:color w:val="000000"/>
          <w:kern w:val="2"/>
          <w:sz w:val="20"/>
          <w:szCs w:val="20"/>
          <w14:ligatures w14:val="standardContextual"/>
        </w:rPr>
        <w:t xml:space="preserve"> y los empleadores de </w:t>
      </w:r>
      <w:proofErr w:type="spellStart"/>
      <w:r w:rsidRPr="00CA6E03">
        <w:rPr>
          <w:rFonts w:ascii="Verdana" w:eastAsia="Calibri" w:hAnsi="Verdana" w:cs="Arial"/>
          <w:color w:val="000000"/>
          <w:kern w:val="2"/>
          <w:sz w:val="20"/>
          <w:szCs w:val="20"/>
          <w14:ligatures w14:val="standardContextual"/>
        </w:rPr>
        <w:t>PcD</w:t>
      </w:r>
      <w:proofErr w:type="spellEnd"/>
      <w:r w:rsidRPr="00CA6E03">
        <w:rPr>
          <w:rFonts w:ascii="Verdana" w:eastAsia="Calibri" w:hAnsi="Verdana" w:cs="Arial"/>
          <w:color w:val="000000"/>
          <w:kern w:val="2"/>
          <w:sz w:val="20"/>
          <w:szCs w:val="20"/>
          <w14:ligatures w14:val="standardContextual"/>
        </w:rPr>
        <w:t>. Mediante la expedición del mencionado decreto, en aplicación directa de la Constitución Política y para que exista una igualdad material para las personas con discapacidad, se pretende subsanar la falta de acciones afirmativas del Decreto 392 de 2018, modificando los artículos 2.2.1.2.4.2.6, 2.2.1.2.4.2.7. y 2.2.1.2.4.2.8. del Decreto 1082 de 2015.</w:t>
      </w:r>
    </w:p>
    <w:p w14:paraId="785589C0" w14:textId="77777777" w:rsidR="00F64FF7" w:rsidRPr="00CA6E03" w:rsidRDefault="00F64FF7" w:rsidP="00F64FF7">
      <w:pPr>
        <w:spacing w:after="0" w:line="240" w:lineRule="auto"/>
        <w:jc w:val="both"/>
        <w:rPr>
          <w:rFonts w:ascii="Verdana" w:eastAsia="Calibri" w:hAnsi="Verdana" w:cs="Arial"/>
          <w:b/>
          <w:bCs/>
        </w:rPr>
      </w:pPr>
    </w:p>
    <w:p w14:paraId="04927574" w14:textId="77777777" w:rsidR="00F64FF7" w:rsidRPr="00CA6E03" w:rsidRDefault="00F64FF7" w:rsidP="00F64FF7">
      <w:pPr>
        <w:widowControl w:val="0"/>
        <w:autoSpaceDE w:val="0"/>
        <w:autoSpaceDN w:val="0"/>
        <w:spacing w:line="276" w:lineRule="auto"/>
        <w:jc w:val="both"/>
        <w:rPr>
          <w:rFonts w:ascii="Verdana" w:eastAsia="Calibri" w:hAnsi="Verdana" w:cs="Arial"/>
          <w:b/>
          <w:bCs/>
          <w:lang w:eastAsia="es-ES"/>
        </w:rPr>
      </w:pPr>
      <w:r w:rsidRPr="00CA6E03">
        <w:rPr>
          <w:rFonts w:ascii="Verdana" w:eastAsia="Calibri" w:hAnsi="Verdana" w:cs="Arial"/>
          <w:b/>
          <w:bCs/>
          <w:lang w:eastAsia="es-ES"/>
        </w:rPr>
        <w:t xml:space="preserve">DECRETO 0287 DE 2026 ‒ Puntaje adicional del 2% ‒ Dedicación Exclusiva </w:t>
      </w:r>
    </w:p>
    <w:p w14:paraId="01B0896F" w14:textId="77777777" w:rsidR="00F64FF7" w:rsidRPr="00CA6E03" w:rsidRDefault="00F64FF7" w:rsidP="00F64FF7">
      <w:pPr>
        <w:widowControl w:val="0"/>
        <w:autoSpaceDE w:val="0"/>
        <w:autoSpaceDN w:val="0"/>
        <w:spacing w:after="0" w:line="240" w:lineRule="auto"/>
        <w:jc w:val="both"/>
        <w:rPr>
          <w:rFonts w:ascii="Verdana" w:eastAsia="Calibri" w:hAnsi="Verdana" w:cs="Arial"/>
          <w:color w:val="000000"/>
          <w:kern w:val="2"/>
          <w:sz w:val="20"/>
          <w:szCs w:val="20"/>
          <w14:ligatures w14:val="standardContextual"/>
        </w:rPr>
      </w:pPr>
      <w:r w:rsidRPr="00CA6E03">
        <w:rPr>
          <w:rFonts w:ascii="Verdana" w:eastAsia="Calibri" w:hAnsi="Verdana" w:cs="Arial"/>
          <w:color w:val="000000"/>
          <w:kern w:val="2"/>
          <w:sz w:val="20"/>
          <w:szCs w:val="20"/>
          <w14:ligatures w14:val="standardContextual"/>
        </w:rPr>
        <w:t>Según la Real Academia de la Lengua Española “dedicación exclusiva” se entiende como la “dedicación que por compromiso o contrato ocupa todo el tiempo disponible, con exclusión de cualquier otro trabajo”. De esta manera, de acuerdo con su sentido natural y obvio debe interpretarse que la locución “dedicación exclusiva” en el marco del numeral 2 del artículo 2.1.2.4.2.7.4 del Decreto 287 de 2026, hace referencia a una relación laboral en la cual el trabajador presta sus servicios únicamente para un determinado empleador, es decir, existe exclusividad en el vínculo laboral. Así, la exclusividad no se encuentra asociada necesariamente a la duración de la jornada de trabajo, que puede ser completa o parcial, sino a la imposibilidad de que el trabajador mantenga simultáneamente otro vínculo laboral con un empleador distinto respecto de las actividades objeto de dicha contratación.</w:t>
      </w:r>
    </w:p>
    <w:p w14:paraId="6C9513D4" w14:textId="77777777" w:rsidR="00F64FF7" w:rsidRPr="00CA6E03" w:rsidRDefault="00F64FF7" w:rsidP="00F64FF7">
      <w:pPr>
        <w:widowControl w:val="0"/>
        <w:autoSpaceDE w:val="0"/>
        <w:autoSpaceDN w:val="0"/>
        <w:spacing w:after="0" w:line="240" w:lineRule="auto"/>
        <w:jc w:val="both"/>
        <w:rPr>
          <w:rFonts w:ascii="Verdana" w:eastAsia="Calibri" w:hAnsi="Verdana" w:cs="Arial"/>
          <w:color w:val="000000"/>
          <w:kern w:val="2"/>
          <w:sz w:val="20"/>
          <w:szCs w:val="20"/>
          <w14:ligatures w14:val="standardContextual"/>
        </w:rPr>
      </w:pPr>
    </w:p>
    <w:p w14:paraId="2E26A82D" w14:textId="77777777" w:rsidR="00F64FF7" w:rsidRPr="00CA6E03" w:rsidRDefault="00F64FF7" w:rsidP="00F64FF7">
      <w:pPr>
        <w:widowControl w:val="0"/>
        <w:autoSpaceDE w:val="0"/>
        <w:autoSpaceDN w:val="0"/>
        <w:spacing w:line="276" w:lineRule="auto"/>
        <w:jc w:val="both"/>
        <w:rPr>
          <w:rFonts w:ascii="Verdana" w:eastAsia="Calibri" w:hAnsi="Verdana" w:cs="Arial"/>
          <w:b/>
          <w:bCs/>
          <w:lang w:eastAsia="es-ES"/>
        </w:rPr>
      </w:pPr>
      <w:r w:rsidRPr="00CA6E03">
        <w:rPr>
          <w:rFonts w:ascii="Verdana" w:eastAsia="Calibri" w:hAnsi="Verdana" w:cs="Arial"/>
          <w:b/>
          <w:bCs/>
          <w:lang w:eastAsia="es-ES"/>
        </w:rPr>
        <w:t>DECRETO 0287 DE 2026 ‒ Puntaje adicional del 2% ‒ Documentos ‒ Acreditación</w:t>
      </w:r>
    </w:p>
    <w:p w14:paraId="1C0E9001" w14:textId="77777777" w:rsidR="00F64FF7" w:rsidRPr="00CA6E03" w:rsidRDefault="00F64FF7" w:rsidP="00F64FF7">
      <w:pPr>
        <w:spacing w:after="0" w:line="240" w:lineRule="auto"/>
        <w:jc w:val="both"/>
        <w:rPr>
          <w:rFonts w:ascii="Verdana" w:eastAsia="Calibri" w:hAnsi="Verdana" w:cs="Arial"/>
          <w:color w:val="000000"/>
          <w:kern w:val="2"/>
          <w:sz w:val="20"/>
          <w:szCs w:val="20"/>
          <w14:ligatures w14:val="standardContextual"/>
        </w:rPr>
      </w:pPr>
      <w:r w:rsidRPr="00CA6E03">
        <w:rPr>
          <w:rFonts w:ascii="Verdana" w:eastAsia="Calibri" w:hAnsi="Verdana" w:cs="Arial"/>
          <w:color w:val="000000"/>
          <w:kern w:val="2"/>
          <w:sz w:val="20"/>
          <w:szCs w:val="20"/>
          <w14:ligatures w14:val="standardContextual"/>
        </w:rPr>
        <w:t xml:space="preserve">Para efectos de la acreditación de la situación señalada en el numeral 2 del artículo 2.1.2.4.2.7.4 del Decreto 287 de 2026 referente al empleador de </w:t>
      </w:r>
      <w:proofErr w:type="spellStart"/>
      <w:r w:rsidRPr="00CA6E03">
        <w:rPr>
          <w:rFonts w:ascii="Verdana" w:eastAsia="Calibri" w:hAnsi="Verdana" w:cs="Arial"/>
          <w:color w:val="000000"/>
          <w:kern w:val="2"/>
          <w:sz w:val="20"/>
          <w:szCs w:val="20"/>
          <w14:ligatures w14:val="standardContextual"/>
        </w:rPr>
        <w:t>PcD</w:t>
      </w:r>
      <w:proofErr w:type="spellEnd"/>
      <w:r w:rsidRPr="00CA6E03">
        <w:rPr>
          <w:rFonts w:ascii="Verdana" w:eastAsia="Calibri" w:hAnsi="Verdana" w:cs="Arial"/>
          <w:color w:val="000000"/>
          <w:kern w:val="2"/>
          <w:sz w:val="20"/>
          <w:szCs w:val="20"/>
          <w14:ligatures w14:val="standardContextual"/>
        </w:rPr>
        <w:t xml:space="preserve">, el proponente deberá presentar: i) la certificación suscrita por el representante legal del proponente y el revisor fiscal, cuando exista, o el contador, en la que conste el número de personas con discapacidad que conforman su planta de personal que deberá relacionar el nombre completo y el número de documento de identidad de cada una de las personas con discapacidad. Dicho documento además debe relacionar los respectivos documentos de </w:t>
      </w:r>
      <w:r w:rsidRPr="00CA6E03">
        <w:rPr>
          <w:rFonts w:ascii="Verdana" w:eastAsia="Calibri" w:hAnsi="Verdana" w:cs="Arial"/>
          <w:color w:val="000000"/>
          <w:kern w:val="2"/>
          <w:sz w:val="20"/>
          <w:szCs w:val="20"/>
          <w14:ligatures w14:val="standardContextual"/>
        </w:rPr>
        <w:lastRenderedPageBreak/>
        <w:t xml:space="preserve">identidad, copia de los contratos de trabajo o certificación laboral con las funciones, sin que se puedan relacionar contratos de prestación de servicios, así como el certificado de aportes a seguridad social de los últimas tres (3) meses en el que se demuestren los pagos realizados por el empleador, y el certificado de discapacidad expedido conforme a la normativa vigente del Ministerio de Salud y Protección Social. Y </w:t>
      </w:r>
      <w:proofErr w:type="spellStart"/>
      <w:r w:rsidRPr="00CA6E03">
        <w:rPr>
          <w:rFonts w:ascii="Verdana" w:eastAsia="Calibri" w:hAnsi="Verdana" w:cs="Arial"/>
          <w:color w:val="000000"/>
          <w:kern w:val="2"/>
          <w:sz w:val="20"/>
          <w:szCs w:val="20"/>
          <w14:ligatures w14:val="standardContextual"/>
        </w:rPr>
        <w:t>ii</w:t>
      </w:r>
      <w:proofErr w:type="spellEnd"/>
      <w:r w:rsidRPr="00CA6E03">
        <w:rPr>
          <w:rFonts w:ascii="Verdana" w:eastAsia="Calibri" w:hAnsi="Verdana" w:cs="Arial"/>
          <w:color w:val="000000"/>
          <w:kern w:val="2"/>
          <w:sz w:val="20"/>
          <w:szCs w:val="20"/>
          <w14:ligatures w14:val="standardContextual"/>
        </w:rPr>
        <w:t>) el certificado que para el efecto expide el Ministerio del Trabajo, cuya vigencia deberá ser verificada por la entidad estatal, conforme a la normativa aplicable</w:t>
      </w:r>
    </w:p>
    <w:p w14:paraId="75B73F0A" w14:textId="77777777" w:rsidR="00F64FF7" w:rsidRPr="00CA6E03" w:rsidRDefault="00F64FF7" w:rsidP="00F64FF7">
      <w:pPr>
        <w:spacing w:after="0" w:line="240" w:lineRule="auto"/>
        <w:rPr>
          <w:rFonts w:ascii="Verdana" w:eastAsia="Calibri" w:hAnsi="Verdana" w:cs="Arial"/>
          <w:b/>
          <w:bCs/>
          <w:lang w:eastAsia="es-ES"/>
        </w:rPr>
      </w:pPr>
    </w:p>
    <w:p w14:paraId="11FA6A2E" w14:textId="77777777" w:rsidR="00F64FF7" w:rsidRPr="00CA6E03" w:rsidRDefault="00F64FF7" w:rsidP="00F64FF7">
      <w:pPr>
        <w:spacing w:after="0" w:line="240" w:lineRule="auto"/>
        <w:rPr>
          <w:rFonts w:ascii="Verdana" w:eastAsia="Calibri" w:hAnsi="Verdana" w:cs="Arial"/>
          <w:b/>
          <w:bCs/>
          <w:lang w:eastAsia="es-ES"/>
        </w:rPr>
      </w:pPr>
      <w:r w:rsidRPr="00CA6E03">
        <w:rPr>
          <w:rFonts w:ascii="Verdana" w:eastAsia="Calibri" w:hAnsi="Verdana" w:cs="Arial"/>
          <w:b/>
          <w:bCs/>
          <w:lang w:eastAsia="es-ES"/>
        </w:rPr>
        <w:t>DECRETO 0287 DE 2026 ‒ Aportes a seguridad social ‒ 3 meses</w:t>
      </w:r>
    </w:p>
    <w:p w14:paraId="4EC830D0" w14:textId="77777777" w:rsidR="00F64FF7" w:rsidRPr="00CA6E03" w:rsidRDefault="00F64FF7" w:rsidP="00F64FF7">
      <w:pPr>
        <w:spacing w:after="0" w:line="240" w:lineRule="auto"/>
        <w:rPr>
          <w:rFonts w:ascii="Verdana" w:eastAsia="Calibri" w:hAnsi="Verdana" w:cs="Arial"/>
          <w:b/>
          <w:bCs/>
          <w:lang w:val="es-ES_tradnl"/>
        </w:rPr>
      </w:pPr>
    </w:p>
    <w:p w14:paraId="71058E0D" w14:textId="77777777" w:rsidR="00F64FF7" w:rsidRPr="00CA6E03" w:rsidRDefault="00F64FF7" w:rsidP="00F64FF7">
      <w:pPr>
        <w:spacing w:after="0" w:line="240" w:lineRule="auto"/>
        <w:jc w:val="both"/>
        <w:rPr>
          <w:rFonts w:ascii="Verdana" w:eastAsia="Calibri" w:hAnsi="Verdana" w:cs="Arial"/>
          <w:color w:val="000000"/>
          <w:kern w:val="2"/>
          <w:sz w:val="20"/>
          <w:szCs w:val="20"/>
          <w14:ligatures w14:val="standardContextual"/>
        </w:rPr>
      </w:pPr>
      <w:r w:rsidRPr="00CA6E03">
        <w:rPr>
          <w:rFonts w:ascii="Verdana" w:eastAsia="Calibri" w:hAnsi="Verdana" w:cs="Arial"/>
          <w:color w:val="000000"/>
          <w:kern w:val="2"/>
          <w:sz w:val="20"/>
          <w:szCs w:val="20"/>
          <w14:ligatures w14:val="standardContextual"/>
        </w:rPr>
        <w:t xml:space="preserve">El artículo 2.1.2.4.2.7.4 del Decreto 287 de 2026, exige dentro de la documentación para verificar la condición de empleador de personas con discapacidad, los certificados de aportes a seguridad social de los tres (3) meses anteriores a la presentación de la oferta respecto de cada </w:t>
      </w:r>
      <w:proofErr w:type="spellStart"/>
      <w:r w:rsidRPr="00CA6E03">
        <w:rPr>
          <w:rFonts w:ascii="Verdana" w:eastAsia="Calibri" w:hAnsi="Verdana" w:cs="Arial"/>
          <w:color w:val="000000"/>
          <w:kern w:val="2"/>
          <w:sz w:val="20"/>
          <w:szCs w:val="20"/>
          <w14:ligatures w14:val="standardContextual"/>
        </w:rPr>
        <w:t>PcD</w:t>
      </w:r>
      <w:proofErr w:type="spellEnd"/>
      <w:r w:rsidRPr="00CA6E03">
        <w:rPr>
          <w:rFonts w:ascii="Verdana" w:eastAsia="Calibri" w:hAnsi="Verdana" w:cs="Arial"/>
          <w:color w:val="000000"/>
          <w:kern w:val="2"/>
          <w:sz w:val="20"/>
          <w:szCs w:val="20"/>
          <w14:ligatures w14:val="standardContextual"/>
        </w:rPr>
        <w:t xml:space="preserve">, en el que se demuestren los pagos realizados por el empleador. La razón de este requisito es garantizar que la vinculación sea real, estable y verificable, y no meramente instrumental para un proceso contractual específico. </w:t>
      </w:r>
    </w:p>
    <w:p w14:paraId="7D27778A" w14:textId="77777777" w:rsidR="00F64FF7" w:rsidRPr="00CA6E03" w:rsidRDefault="00F64FF7" w:rsidP="00F64FF7">
      <w:pPr>
        <w:spacing w:after="0" w:line="240" w:lineRule="auto"/>
        <w:jc w:val="both"/>
        <w:rPr>
          <w:rFonts w:ascii="Verdana" w:eastAsia="Calibri" w:hAnsi="Verdana" w:cs="Arial"/>
          <w:color w:val="000000"/>
          <w:kern w:val="2"/>
          <w:sz w:val="20"/>
          <w:szCs w:val="20"/>
          <w14:ligatures w14:val="standardContextual"/>
        </w:rPr>
      </w:pPr>
    </w:p>
    <w:p w14:paraId="6E21DBD8" w14:textId="77777777" w:rsidR="00F64FF7" w:rsidRPr="00CA6E03" w:rsidRDefault="00F64FF7" w:rsidP="00F64FF7">
      <w:pPr>
        <w:spacing w:after="0" w:line="240" w:lineRule="auto"/>
        <w:jc w:val="both"/>
        <w:rPr>
          <w:rFonts w:ascii="Verdana" w:eastAsia="Calibri" w:hAnsi="Verdana" w:cs="Arial"/>
          <w:color w:val="000000"/>
          <w:kern w:val="2"/>
          <w:sz w:val="20"/>
          <w:szCs w:val="20"/>
          <w14:ligatures w14:val="standardContextual"/>
        </w:rPr>
      </w:pPr>
      <w:r w:rsidRPr="00CA6E03">
        <w:rPr>
          <w:rFonts w:ascii="Verdana" w:eastAsia="Calibri" w:hAnsi="Verdana" w:cs="Arial"/>
          <w:color w:val="000000"/>
          <w:kern w:val="2"/>
          <w:sz w:val="20"/>
          <w:szCs w:val="20"/>
          <w14:ligatures w14:val="standardContextual"/>
        </w:rPr>
        <w:t xml:space="preserve">El período de tres meses es el umbral mínimo de estabilidad laboral que diferencia un compromiso genuino con la inclusión de una vinculación oportunista. La norma aplica este requisito para cada </w:t>
      </w:r>
      <w:proofErr w:type="spellStart"/>
      <w:r w:rsidRPr="00CA6E03">
        <w:rPr>
          <w:rFonts w:ascii="Verdana" w:eastAsia="Calibri" w:hAnsi="Verdana" w:cs="Arial"/>
          <w:color w:val="000000"/>
          <w:kern w:val="2"/>
          <w:sz w:val="20"/>
          <w:szCs w:val="20"/>
          <w14:ligatures w14:val="standardContextual"/>
        </w:rPr>
        <w:t>PcD</w:t>
      </w:r>
      <w:proofErr w:type="spellEnd"/>
      <w:r w:rsidRPr="00CA6E03">
        <w:rPr>
          <w:rFonts w:ascii="Verdana" w:eastAsia="Calibri" w:hAnsi="Verdana" w:cs="Arial"/>
          <w:color w:val="000000"/>
          <w:kern w:val="2"/>
          <w:sz w:val="20"/>
          <w:szCs w:val="20"/>
          <w14:ligatures w14:val="standardContextual"/>
        </w:rPr>
        <w:t xml:space="preserve"> incluida en la acreditación, independientemente de si es una vinculación original o una nueva incorporación. Si una empresa ha incrementado recientemente su planta de </w:t>
      </w:r>
      <w:proofErr w:type="spellStart"/>
      <w:r w:rsidRPr="00CA6E03">
        <w:rPr>
          <w:rFonts w:ascii="Verdana" w:eastAsia="Calibri" w:hAnsi="Verdana" w:cs="Arial"/>
          <w:color w:val="000000"/>
          <w:kern w:val="2"/>
          <w:sz w:val="20"/>
          <w:szCs w:val="20"/>
          <w14:ligatures w14:val="standardContextual"/>
        </w:rPr>
        <w:t>PcD</w:t>
      </w:r>
      <w:proofErr w:type="spellEnd"/>
      <w:r w:rsidRPr="00CA6E03">
        <w:rPr>
          <w:rFonts w:ascii="Verdana" w:eastAsia="Calibri" w:hAnsi="Verdana" w:cs="Arial"/>
          <w:color w:val="000000"/>
          <w:kern w:val="2"/>
          <w:sz w:val="20"/>
          <w:szCs w:val="20"/>
          <w14:ligatures w14:val="standardContextual"/>
        </w:rPr>
        <w:t xml:space="preserve"> y alguna de estas vinculaciones no alcanza el período requerido, el proponente puede participar en el proceso utilizando únicamente las </w:t>
      </w:r>
      <w:proofErr w:type="spellStart"/>
      <w:r w:rsidRPr="00CA6E03">
        <w:rPr>
          <w:rFonts w:ascii="Verdana" w:eastAsia="Calibri" w:hAnsi="Verdana" w:cs="Arial"/>
          <w:color w:val="000000"/>
          <w:kern w:val="2"/>
          <w:sz w:val="20"/>
          <w:szCs w:val="20"/>
          <w14:ligatures w14:val="standardContextual"/>
        </w:rPr>
        <w:t>PcD</w:t>
      </w:r>
      <w:proofErr w:type="spellEnd"/>
      <w:r w:rsidRPr="00CA6E03">
        <w:rPr>
          <w:rFonts w:ascii="Verdana" w:eastAsia="Calibri" w:hAnsi="Verdana" w:cs="Arial"/>
          <w:color w:val="000000"/>
          <w:kern w:val="2"/>
          <w:sz w:val="20"/>
          <w:szCs w:val="20"/>
          <w14:ligatures w14:val="standardContextual"/>
        </w:rPr>
        <w:t xml:space="preserve"> que sí cumplan el requisito temporal. La consecuencia de no alcanzar el período no es la exclusión del proceso sino la imposibilidad de obtener el puntaje adicional respecto de esas </w:t>
      </w:r>
      <w:proofErr w:type="spellStart"/>
      <w:r w:rsidRPr="00CA6E03">
        <w:rPr>
          <w:rFonts w:ascii="Verdana" w:eastAsia="Calibri" w:hAnsi="Verdana" w:cs="Arial"/>
          <w:color w:val="000000"/>
          <w:kern w:val="2"/>
          <w:sz w:val="20"/>
          <w:szCs w:val="20"/>
          <w14:ligatures w14:val="standardContextual"/>
        </w:rPr>
        <w:t>PcD</w:t>
      </w:r>
      <w:proofErr w:type="spellEnd"/>
      <w:r w:rsidRPr="00CA6E03">
        <w:rPr>
          <w:rFonts w:ascii="Verdana" w:eastAsia="Calibri" w:hAnsi="Verdana" w:cs="Arial"/>
          <w:color w:val="000000"/>
          <w:kern w:val="2"/>
          <w:sz w:val="20"/>
          <w:szCs w:val="20"/>
          <w14:ligatures w14:val="standardContextual"/>
        </w:rPr>
        <w:t xml:space="preserve"> específicas, lo que es coherente con los principios de participación y pluralidad de oferentes.</w:t>
      </w:r>
    </w:p>
    <w:p w14:paraId="15361FAD" w14:textId="77777777" w:rsidR="001A395E" w:rsidRPr="00CA6E03" w:rsidRDefault="001A395E" w:rsidP="30821638">
      <w:pPr>
        <w:spacing w:after="0"/>
        <w:rPr>
          <w:rFonts w:ascii="Verdana" w:eastAsia="Verdana" w:hAnsi="Verdana" w:cs="Verdana"/>
        </w:rPr>
      </w:pPr>
    </w:p>
    <w:p w14:paraId="2E9DC4DA" w14:textId="77777777" w:rsidR="001A395E" w:rsidRPr="00CA6E03" w:rsidRDefault="001A395E" w:rsidP="30821638">
      <w:pPr>
        <w:spacing w:after="0"/>
        <w:rPr>
          <w:rFonts w:ascii="Verdana" w:eastAsia="Verdana" w:hAnsi="Verdana" w:cs="Verdana"/>
        </w:rPr>
      </w:pPr>
    </w:p>
    <w:p w14:paraId="08538034" w14:textId="77777777" w:rsidR="001A395E" w:rsidRPr="00CA6E03" w:rsidRDefault="001A395E" w:rsidP="30821638">
      <w:pPr>
        <w:spacing w:after="0"/>
        <w:rPr>
          <w:rFonts w:ascii="Verdana" w:eastAsia="Verdana" w:hAnsi="Verdana" w:cs="Verdana"/>
        </w:rPr>
      </w:pPr>
    </w:p>
    <w:p w14:paraId="2B72AC45" w14:textId="77777777" w:rsidR="001A395E" w:rsidRPr="00CA6E03" w:rsidRDefault="001A395E" w:rsidP="30821638">
      <w:pPr>
        <w:spacing w:after="0"/>
        <w:rPr>
          <w:rFonts w:ascii="Verdana" w:eastAsia="Verdana" w:hAnsi="Verdana" w:cs="Verdana"/>
        </w:rPr>
      </w:pPr>
    </w:p>
    <w:p w14:paraId="7C0665DE" w14:textId="77777777" w:rsidR="001A395E" w:rsidRPr="00CA6E03" w:rsidRDefault="001A395E" w:rsidP="30821638">
      <w:pPr>
        <w:spacing w:after="0"/>
        <w:rPr>
          <w:rFonts w:ascii="Verdana" w:eastAsia="Verdana" w:hAnsi="Verdana" w:cs="Verdana"/>
        </w:rPr>
      </w:pPr>
    </w:p>
    <w:p w14:paraId="4AF89CFB" w14:textId="77777777" w:rsidR="001A395E" w:rsidRPr="00CA6E03" w:rsidRDefault="001A395E" w:rsidP="30821638">
      <w:pPr>
        <w:spacing w:after="0"/>
        <w:rPr>
          <w:rFonts w:ascii="Verdana" w:eastAsia="Verdana" w:hAnsi="Verdana" w:cs="Verdana"/>
        </w:rPr>
      </w:pPr>
    </w:p>
    <w:p w14:paraId="46239216" w14:textId="77777777" w:rsidR="001A395E" w:rsidRPr="00CA6E03" w:rsidRDefault="001A395E" w:rsidP="30821638">
      <w:pPr>
        <w:spacing w:after="0"/>
        <w:rPr>
          <w:rFonts w:ascii="Verdana" w:eastAsia="Verdana" w:hAnsi="Verdana" w:cs="Verdana"/>
        </w:rPr>
      </w:pPr>
    </w:p>
    <w:p w14:paraId="165FC5A7" w14:textId="77777777" w:rsidR="001A395E" w:rsidRPr="00CA6E03" w:rsidRDefault="001A395E" w:rsidP="30821638">
      <w:pPr>
        <w:spacing w:after="0"/>
        <w:rPr>
          <w:rFonts w:ascii="Verdana" w:eastAsia="Verdana" w:hAnsi="Verdana" w:cs="Verdana"/>
        </w:rPr>
      </w:pPr>
    </w:p>
    <w:p w14:paraId="519B40E6" w14:textId="77777777" w:rsidR="001A395E" w:rsidRPr="00CA6E03" w:rsidRDefault="001A395E" w:rsidP="30821638">
      <w:pPr>
        <w:spacing w:after="0"/>
        <w:rPr>
          <w:rFonts w:ascii="Verdana" w:eastAsia="Verdana" w:hAnsi="Verdana" w:cs="Verdana"/>
        </w:rPr>
      </w:pPr>
    </w:p>
    <w:p w14:paraId="7243E3B0" w14:textId="77777777" w:rsidR="001A395E" w:rsidRPr="00CA6E03" w:rsidRDefault="001A395E" w:rsidP="30821638">
      <w:pPr>
        <w:spacing w:after="0"/>
        <w:rPr>
          <w:rFonts w:ascii="Verdana" w:eastAsia="Verdana" w:hAnsi="Verdana" w:cs="Verdana"/>
        </w:rPr>
      </w:pPr>
    </w:p>
    <w:p w14:paraId="03115701" w14:textId="77777777" w:rsidR="001A395E" w:rsidRDefault="001A395E" w:rsidP="30821638">
      <w:pPr>
        <w:spacing w:after="0"/>
        <w:rPr>
          <w:rFonts w:ascii="Verdana" w:eastAsia="Verdana" w:hAnsi="Verdana" w:cs="Verdana"/>
        </w:rPr>
      </w:pPr>
    </w:p>
    <w:p w14:paraId="04AE408D" w14:textId="77777777" w:rsidR="00CA510B" w:rsidRPr="00CA6E03" w:rsidRDefault="00CA510B" w:rsidP="30821638">
      <w:pPr>
        <w:spacing w:after="0"/>
        <w:rPr>
          <w:rFonts w:ascii="Verdana" w:eastAsia="Verdana" w:hAnsi="Verdana" w:cs="Verdana"/>
        </w:rPr>
      </w:pPr>
    </w:p>
    <w:p w14:paraId="72D57115" w14:textId="77777777" w:rsidR="001A395E" w:rsidRPr="00CA6E03" w:rsidRDefault="001A395E" w:rsidP="30821638">
      <w:pPr>
        <w:spacing w:after="0"/>
        <w:rPr>
          <w:rFonts w:ascii="Verdana" w:eastAsia="Verdana" w:hAnsi="Verdana" w:cs="Verdana"/>
        </w:rPr>
      </w:pPr>
    </w:p>
    <w:p w14:paraId="620C6CD0" w14:textId="77777777" w:rsidR="001A395E" w:rsidRPr="00CA6E03" w:rsidRDefault="001A395E" w:rsidP="30821638">
      <w:pPr>
        <w:spacing w:after="0"/>
        <w:rPr>
          <w:rFonts w:ascii="Verdana" w:eastAsia="Verdana" w:hAnsi="Verdana" w:cs="Verdana"/>
        </w:rPr>
      </w:pPr>
    </w:p>
    <w:p w14:paraId="437C4E32" w14:textId="77777777" w:rsidR="001A395E" w:rsidRPr="00CA6E03" w:rsidRDefault="001A395E" w:rsidP="30821638">
      <w:pPr>
        <w:spacing w:after="0"/>
        <w:rPr>
          <w:rFonts w:ascii="Verdana" w:eastAsia="Verdana" w:hAnsi="Verdana" w:cs="Verdana"/>
        </w:rPr>
      </w:pPr>
    </w:p>
    <w:p w14:paraId="356DCF84" w14:textId="77777777" w:rsidR="00F64FF7" w:rsidRPr="00CA6E03" w:rsidRDefault="00F64FF7" w:rsidP="30821638">
      <w:pPr>
        <w:spacing w:after="0"/>
        <w:rPr>
          <w:rFonts w:ascii="Verdana" w:eastAsia="Verdana" w:hAnsi="Verdana" w:cs="Verdana"/>
        </w:rPr>
      </w:pPr>
    </w:p>
    <w:p w14:paraId="1468C46D" w14:textId="1B8DD729" w:rsidR="00C15139" w:rsidRDefault="00C15139" w:rsidP="30821638">
      <w:pPr>
        <w:spacing w:after="0"/>
        <w:rPr>
          <w:rFonts w:ascii="Verdana" w:hAnsi="Verdana"/>
        </w:rPr>
      </w:pPr>
      <w:r w:rsidRPr="00CA6E03">
        <w:rPr>
          <w:rFonts w:ascii="Verdana" w:eastAsia="Verdana" w:hAnsi="Verdana" w:cs="Verdana"/>
        </w:rPr>
        <w:lastRenderedPageBreak/>
        <w:t xml:space="preserve">Bogotá D.C., </w:t>
      </w:r>
      <w:r w:rsidR="00CA510B">
        <w:rPr>
          <w:rFonts w:ascii="Verdana" w:eastAsia="Verdana" w:hAnsi="Verdana" w:cs="Verdana"/>
        </w:rPr>
        <w:t>20 de agosto del 2026</w:t>
      </w:r>
      <w:r w:rsidRPr="00CA6E03">
        <w:rPr>
          <w:rFonts w:ascii="Verdana" w:hAnsi="Verdana"/>
        </w:rPr>
        <w:tab/>
      </w:r>
    </w:p>
    <w:p w14:paraId="0F83B6FC" w14:textId="77777777" w:rsidR="00CA510B" w:rsidRDefault="00CA510B" w:rsidP="30821638">
      <w:pPr>
        <w:spacing w:after="0"/>
        <w:rPr>
          <w:rFonts w:ascii="Verdana" w:hAnsi="Verdana"/>
        </w:rPr>
      </w:pPr>
    </w:p>
    <w:p w14:paraId="164C9230" w14:textId="55FD0925" w:rsidR="00CA510B" w:rsidRPr="00CA6E03" w:rsidRDefault="00CA510B" w:rsidP="00CA510B">
      <w:pPr>
        <w:spacing w:after="0"/>
        <w:jc w:val="right"/>
        <w:rPr>
          <w:rFonts w:ascii="Verdana" w:eastAsia="Verdana" w:hAnsi="Verdana" w:cs="Verdana"/>
        </w:rPr>
      </w:pPr>
      <w:r w:rsidRPr="00CA510B">
        <w:rPr>
          <w:rFonts w:ascii="Verdana" w:eastAsia="Verdana" w:hAnsi="Verdana" w:cs="Verdana"/>
        </w:rPr>
        <w:drawing>
          <wp:inline distT="0" distB="0" distL="0" distR="0" wp14:anchorId="6754AC9A" wp14:editId="4AFBB999">
            <wp:extent cx="2914650" cy="876300"/>
            <wp:effectExtent l="0" t="0" r="0" b="0"/>
            <wp:docPr id="20536204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620405" name=""/>
                    <pic:cNvPicPr/>
                  </pic:nvPicPr>
                  <pic:blipFill>
                    <a:blip r:embed="rId10"/>
                    <a:stretch>
                      <a:fillRect/>
                    </a:stretch>
                  </pic:blipFill>
                  <pic:spPr>
                    <a:xfrm>
                      <a:off x="0" y="0"/>
                      <a:ext cx="2915082" cy="876430"/>
                    </a:xfrm>
                    <a:prstGeom prst="rect">
                      <a:avLst/>
                    </a:prstGeom>
                  </pic:spPr>
                </pic:pic>
              </a:graphicData>
            </a:graphic>
          </wp:inline>
        </w:drawing>
      </w:r>
    </w:p>
    <w:p w14:paraId="60903841" w14:textId="31B3AD47" w:rsidR="00F43479" w:rsidRPr="00CA6E03" w:rsidRDefault="00F43479" w:rsidP="00F43479">
      <w:pPr>
        <w:spacing w:after="0" w:line="240" w:lineRule="auto"/>
        <w:rPr>
          <w:rFonts w:ascii="Verdana" w:hAnsi="Verdana"/>
        </w:rPr>
      </w:pPr>
      <w:r w:rsidRPr="00CA6E03">
        <w:rPr>
          <w:rFonts w:ascii="Verdana" w:eastAsia="Calibri" w:hAnsi="Verdana" w:cs="Arial"/>
          <w:color w:val="000000" w:themeColor="text1"/>
          <w:lang w:val="es-ES" w:eastAsia="es-ES"/>
        </w:rPr>
        <w:t>Señor</w:t>
      </w:r>
      <w:r w:rsidR="0075565B" w:rsidRPr="00CA6E03">
        <w:rPr>
          <w:rFonts w:ascii="Verdana" w:eastAsia="Calibri" w:hAnsi="Verdana" w:cs="Arial"/>
          <w:color w:val="000000" w:themeColor="text1"/>
          <w:lang w:val="es-ES" w:eastAsia="es-ES"/>
        </w:rPr>
        <w:t>a</w:t>
      </w:r>
      <w:r w:rsidRPr="00CA6E03">
        <w:rPr>
          <w:rFonts w:ascii="Verdana" w:eastAsia="Calibri" w:hAnsi="Verdana" w:cs="Arial"/>
          <w:color w:val="000000" w:themeColor="text1"/>
          <w:lang w:val="es-ES" w:eastAsia="es-ES"/>
        </w:rPr>
        <w:t>:</w:t>
      </w:r>
    </w:p>
    <w:p w14:paraId="17CAF2FA" w14:textId="08C2622A" w:rsidR="00F43479" w:rsidRPr="00CA510B" w:rsidRDefault="0075565B" w:rsidP="00F43479">
      <w:pPr>
        <w:spacing w:after="0" w:line="240" w:lineRule="auto"/>
        <w:jc w:val="both"/>
        <w:rPr>
          <w:rFonts w:ascii="Verdana" w:eastAsia="Calibri" w:hAnsi="Verdana" w:cs="Arial"/>
          <w:b/>
          <w:bCs/>
          <w:color w:val="000000" w:themeColor="text1"/>
          <w:lang w:eastAsia="es-ES"/>
        </w:rPr>
      </w:pPr>
      <w:r w:rsidRPr="00CA510B">
        <w:rPr>
          <w:rFonts w:ascii="Verdana" w:eastAsia="Calibri" w:hAnsi="Verdana" w:cs="Arial"/>
          <w:b/>
          <w:bCs/>
          <w:color w:val="000000" w:themeColor="text1"/>
          <w:lang w:eastAsia="es-ES"/>
        </w:rPr>
        <w:t xml:space="preserve">Johanna Gaviria Quebrada </w:t>
      </w:r>
    </w:p>
    <w:p w14:paraId="44E5A122" w14:textId="77A25F91" w:rsidR="00490947" w:rsidRPr="00CA510B" w:rsidRDefault="00490947" w:rsidP="00F43479">
      <w:pPr>
        <w:spacing w:after="0" w:line="240" w:lineRule="auto"/>
        <w:rPr>
          <w:rFonts w:ascii="Verdana" w:hAnsi="Verdana"/>
        </w:rPr>
      </w:pPr>
      <w:hyperlink r:id="rId11" w:history="1">
        <w:r w:rsidRPr="00CA510B">
          <w:rPr>
            <w:rStyle w:val="Hipervnculo"/>
            <w:rFonts w:ascii="Verdana" w:hAnsi="Verdana"/>
          </w:rPr>
          <w:t>johisgaviria09@gmail.com</w:t>
        </w:r>
      </w:hyperlink>
    </w:p>
    <w:p w14:paraId="016CA3D1" w14:textId="74E9B585" w:rsidR="00F43479" w:rsidRPr="00CA6E03" w:rsidRDefault="00F43479" w:rsidP="00F43479">
      <w:pPr>
        <w:spacing w:after="0" w:line="240" w:lineRule="auto"/>
        <w:rPr>
          <w:rFonts w:ascii="Verdana" w:eastAsia="Calibri" w:hAnsi="Verdana" w:cs="Arial"/>
          <w:color w:val="000000" w:themeColor="text1"/>
          <w:lang w:val="es-ES_tradnl" w:eastAsia="es-ES"/>
        </w:rPr>
      </w:pPr>
      <w:r w:rsidRPr="00CA6E03">
        <w:rPr>
          <w:rFonts w:ascii="Verdana" w:eastAsia="Calibri" w:hAnsi="Verdana" w:cs="Arial"/>
          <w:color w:val="000000" w:themeColor="text1"/>
          <w:lang w:val="es-ES_tradnl" w:eastAsia="es-ES"/>
        </w:rPr>
        <w:t>Bogotá D.C.</w:t>
      </w:r>
    </w:p>
    <w:p w14:paraId="3FD54265" w14:textId="77777777" w:rsidR="00F43479" w:rsidRPr="00CA6E03" w:rsidRDefault="00F43479" w:rsidP="00F43479">
      <w:pPr>
        <w:spacing w:after="0" w:line="240" w:lineRule="auto"/>
        <w:rPr>
          <w:rFonts w:ascii="Verdana" w:eastAsia="Calibri" w:hAnsi="Verdana" w:cs="Arial"/>
          <w:b/>
          <w:bCs/>
          <w:color w:val="000000" w:themeColor="text1"/>
          <w:highlight w:val="cyan"/>
          <w:lang w:val="es-ES_tradnl" w:eastAsia="es-ES_tradnl"/>
        </w:rPr>
      </w:pPr>
    </w:p>
    <w:p w14:paraId="736102BE" w14:textId="70ED5981" w:rsidR="00F43479" w:rsidRPr="00CA6E03" w:rsidRDefault="00F43479" w:rsidP="00F43479">
      <w:pPr>
        <w:spacing w:after="0" w:line="240" w:lineRule="auto"/>
        <w:rPr>
          <w:rFonts w:ascii="Verdana" w:eastAsia="Calibri" w:hAnsi="Verdana" w:cs="Arial"/>
          <w:b/>
          <w:bCs/>
          <w:color w:val="000000" w:themeColor="text1"/>
          <w:lang w:val="es-ES_tradnl" w:eastAsia="es-ES_tradnl"/>
        </w:rPr>
      </w:pPr>
      <w:r w:rsidRPr="00CA6E03">
        <w:rPr>
          <w:rFonts w:ascii="Verdana" w:eastAsia="Calibri" w:hAnsi="Verdana" w:cs="Arial"/>
          <w:b/>
          <w:bCs/>
          <w:color w:val="000000" w:themeColor="text1"/>
          <w:lang w:val="es-ES_tradnl" w:eastAsia="es-ES_tradnl"/>
        </w:rPr>
        <w:t xml:space="preserve">                                   Concepto </w:t>
      </w:r>
      <w:r w:rsidR="00235568" w:rsidRPr="00CA6E03">
        <w:rPr>
          <w:rFonts w:ascii="Verdana" w:eastAsia="Calibri" w:hAnsi="Verdana" w:cs="Arial"/>
          <w:b/>
          <w:bCs/>
          <w:color w:val="000000" w:themeColor="text1"/>
          <w:lang w:val="es-ES_tradnl" w:eastAsia="es-ES_tradnl"/>
        </w:rPr>
        <w:t>C-1110</w:t>
      </w:r>
      <w:r w:rsidRPr="00CA6E03">
        <w:rPr>
          <w:rFonts w:ascii="Verdana" w:eastAsia="Calibri" w:hAnsi="Verdana" w:cs="Arial"/>
          <w:b/>
          <w:bCs/>
          <w:color w:val="000000" w:themeColor="text1"/>
          <w:lang w:val="es-ES_tradnl" w:eastAsia="es-ES_tradnl"/>
        </w:rPr>
        <w:t xml:space="preserve"> del 2026</w:t>
      </w:r>
    </w:p>
    <w:p w14:paraId="6BB32776" w14:textId="77777777" w:rsidR="00F43479" w:rsidRPr="00CA6E03" w:rsidRDefault="00F43479" w:rsidP="00F43479">
      <w:pPr>
        <w:spacing w:after="0" w:line="240" w:lineRule="auto"/>
        <w:rPr>
          <w:rFonts w:ascii="Verdana" w:eastAsia="Calibri" w:hAnsi="Verdana" w:cs="Arial"/>
          <w:b/>
          <w:bCs/>
          <w:color w:val="000000" w:themeColor="text1"/>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43479" w:rsidRPr="00CA6E03" w14:paraId="7FB86C8F" w14:textId="77777777" w:rsidTr="00B17E77">
        <w:trPr>
          <w:trHeight w:val="884"/>
        </w:trPr>
        <w:tc>
          <w:tcPr>
            <w:tcW w:w="2689" w:type="dxa"/>
          </w:tcPr>
          <w:p w14:paraId="52FDBE32" w14:textId="77777777" w:rsidR="00F43479" w:rsidRPr="00CA6E03" w:rsidRDefault="00F43479" w:rsidP="00B17E77">
            <w:pPr>
              <w:jc w:val="both"/>
              <w:rPr>
                <w:rFonts w:ascii="Verdana" w:eastAsia="Calibri" w:hAnsi="Verdana" w:cs="Arial"/>
                <w:color w:val="000000" w:themeColor="text1"/>
                <w:lang w:val="es-ES_tradnl" w:eastAsia="es-ES_tradnl"/>
              </w:rPr>
            </w:pPr>
            <w:r w:rsidRPr="00CA6E03">
              <w:rPr>
                <w:rFonts w:ascii="Verdana" w:eastAsia="Calibri" w:hAnsi="Verdana" w:cs="Arial"/>
                <w:b/>
                <w:color w:val="000000" w:themeColor="text1"/>
                <w:lang w:val="es-ES_tradnl" w:eastAsia="es-ES_tradnl"/>
              </w:rPr>
              <w:t>Temas:</w:t>
            </w:r>
            <w:r w:rsidRPr="00CA6E03">
              <w:rPr>
                <w:rFonts w:ascii="Verdana" w:eastAsia="Calibri" w:hAnsi="Verdana" w:cs="Arial"/>
                <w:color w:val="000000" w:themeColor="text1"/>
                <w:lang w:val="es-ES_tradnl" w:eastAsia="es-ES_tradnl"/>
              </w:rPr>
              <w:t xml:space="preserve">                   </w:t>
            </w:r>
          </w:p>
        </w:tc>
        <w:tc>
          <w:tcPr>
            <w:tcW w:w="6100" w:type="dxa"/>
          </w:tcPr>
          <w:p w14:paraId="38430F8D" w14:textId="746A781F" w:rsidR="003915F4" w:rsidRPr="00CA6E03" w:rsidRDefault="00941B5A" w:rsidP="00941B5A">
            <w:pPr>
              <w:widowControl w:val="0"/>
              <w:autoSpaceDE w:val="0"/>
              <w:autoSpaceDN w:val="0"/>
              <w:spacing w:after="160" w:line="276" w:lineRule="auto"/>
              <w:jc w:val="both"/>
              <w:rPr>
                <w:rFonts w:ascii="Verdana" w:eastAsia="Calibri" w:hAnsi="Verdana" w:cs="Arial"/>
                <w:b/>
                <w:bCs/>
                <w:lang w:eastAsia="es-ES"/>
              </w:rPr>
            </w:pPr>
            <w:r w:rsidRPr="00CA6E03">
              <w:rPr>
                <w:rFonts w:ascii="Verdana" w:eastAsia="Calibri" w:hAnsi="Verdana" w:cs="Arial"/>
                <w:lang w:eastAsia="es-ES"/>
              </w:rPr>
              <w:t>SISTEMA DE PREFERENCIA PARA PERSONAS CON DISCAPACIDAD ‒ Constitución Política ‒ Ley 1618 de 2013 / DECRETO 0287 DE 2026 ‒ Antecedentes normativos ‒ Decreto 392 de 2018 / DECRETO 0287 DE 2026 ‒ Sistema Integral de Preferencias ‒ Contratación pública inclusiva ‒ Personas con discapacidad / DECRETO 0287 DE 2026 ‒ Puntaje adicional del 2% ‒ Dedicación Exclusiva /</w:t>
            </w:r>
            <w:r w:rsidRPr="00CA6E03">
              <w:rPr>
                <w:rFonts w:ascii="Verdana" w:eastAsia="Calibri" w:hAnsi="Verdana" w:cs="Arial"/>
                <w:b/>
                <w:bCs/>
                <w:lang w:eastAsia="es-ES"/>
              </w:rPr>
              <w:t xml:space="preserve"> </w:t>
            </w:r>
            <w:r w:rsidRPr="00CA6E03">
              <w:rPr>
                <w:rFonts w:ascii="Verdana" w:eastAsia="Calibri" w:hAnsi="Verdana" w:cs="Arial"/>
                <w:lang w:eastAsia="es-ES"/>
              </w:rPr>
              <w:t>DECRETO 0287 DE 2026 ‒ Puntaje adicional del 2% ‒ Documentos ‒ Acreditación / DECRETO 0287 DE 2026 ‒ Aportes a seguridad social ‒ 3 meses</w:t>
            </w:r>
          </w:p>
        </w:tc>
      </w:tr>
      <w:tr w:rsidR="00F43479" w:rsidRPr="00CA6E03" w14:paraId="20035D9A" w14:textId="77777777" w:rsidTr="00B17E77">
        <w:tc>
          <w:tcPr>
            <w:tcW w:w="2689" w:type="dxa"/>
          </w:tcPr>
          <w:p w14:paraId="6129B012" w14:textId="77777777" w:rsidR="00F43479" w:rsidRPr="00CA6E03" w:rsidRDefault="00F43479" w:rsidP="00B17E77">
            <w:pPr>
              <w:jc w:val="both"/>
              <w:rPr>
                <w:rFonts w:ascii="Verdana" w:eastAsia="Calibri" w:hAnsi="Verdana" w:cs="Arial"/>
                <w:b/>
                <w:color w:val="000000" w:themeColor="text1"/>
                <w:lang w:val="es-ES_tradnl" w:eastAsia="es-ES_tradnl"/>
              </w:rPr>
            </w:pPr>
            <w:r w:rsidRPr="00CA6E03">
              <w:rPr>
                <w:rFonts w:ascii="Verdana" w:eastAsia="Calibri" w:hAnsi="Verdana" w:cs="Arial"/>
                <w:b/>
                <w:color w:val="000000" w:themeColor="text1"/>
                <w:lang w:val="es-ES_tradnl" w:eastAsia="es-ES_tradnl"/>
              </w:rPr>
              <w:t>Radicación:</w:t>
            </w:r>
            <w:r w:rsidRPr="00CA6E03">
              <w:rPr>
                <w:rFonts w:ascii="Verdana" w:eastAsia="Calibri" w:hAnsi="Verdana" w:cs="Arial"/>
                <w:color w:val="000000" w:themeColor="text1"/>
                <w:lang w:val="es-ES_tradnl" w:eastAsia="es-ES_tradnl"/>
              </w:rPr>
              <w:t xml:space="preserve">               </w:t>
            </w:r>
          </w:p>
        </w:tc>
        <w:tc>
          <w:tcPr>
            <w:tcW w:w="6100" w:type="dxa"/>
          </w:tcPr>
          <w:p w14:paraId="175481C7" w14:textId="4B288CD6" w:rsidR="00F43479" w:rsidRPr="00CA6E03" w:rsidRDefault="00F43479" w:rsidP="00B17E77">
            <w:pPr>
              <w:jc w:val="both"/>
              <w:rPr>
                <w:rFonts w:ascii="Verdana" w:eastAsia="Calibri" w:hAnsi="Verdana" w:cs="Arial"/>
                <w:color w:val="000000" w:themeColor="text1"/>
                <w:lang w:eastAsia="es-ES_tradnl"/>
              </w:rPr>
            </w:pPr>
            <w:r w:rsidRPr="00CA6E03">
              <w:rPr>
                <w:rFonts w:ascii="Verdana" w:eastAsia="Calibri" w:hAnsi="Verdana" w:cs="Arial"/>
                <w:color w:val="000000" w:themeColor="text1"/>
                <w:lang w:val="es-ES_tradnl" w:eastAsia="es-ES_tradnl"/>
              </w:rPr>
              <w:t>Respuesta a consulta con radicado No.</w:t>
            </w:r>
            <w:r w:rsidRPr="00CA6E03">
              <w:rPr>
                <w:rFonts w:ascii="Verdana" w:hAnsi="Verdana"/>
              </w:rPr>
              <w:t xml:space="preserve"> </w:t>
            </w:r>
            <w:r w:rsidR="00DE70BE" w:rsidRPr="00CA6E03">
              <w:rPr>
                <w:rFonts w:ascii="Verdana" w:hAnsi="Verdana"/>
              </w:rPr>
              <w:t>1_2026_07_08_009101</w:t>
            </w:r>
          </w:p>
        </w:tc>
      </w:tr>
    </w:tbl>
    <w:p w14:paraId="3C2A9A2A" w14:textId="77777777" w:rsidR="00F43479" w:rsidRPr="00CA6E03" w:rsidRDefault="00F43479" w:rsidP="00F43479">
      <w:pPr>
        <w:spacing w:after="0" w:line="240" w:lineRule="auto"/>
        <w:jc w:val="both"/>
        <w:rPr>
          <w:rFonts w:ascii="Verdana" w:eastAsia="Calibri" w:hAnsi="Verdana" w:cs="Arial"/>
          <w:color w:val="000000" w:themeColor="text1"/>
          <w:highlight w:val="cyan"/>
          <w:lang w:val="es-ES" w:eastAsia="es-ES"/>
        </w:rPr>
      </w:pPr>
    </w:p>
    <w:p w14:paraId="49690018" w14:textId="77777777" w:rsidR="00F43479" w:rsidRPr="00CA6E03" w:rsidRDefault="00F43479" w:rsidP="00F43479">
      <w:pPr>
        <w:spacing w:after="0" w:line="240" w:lineRule="auto"/>
        <w:jc w:val="both"/>
        <w:rPr>
          <w:rFonts w:ascii="Verdana" w:eastAsia="Calibri" w:hAnsi="Verdana" w:cs="Arial"/>
          <w:color w:val="000000" w:themeColor="text1"/>
          <w:highlight w:val="cyan"/>
          <w:lang w:val="es-ES" w:eastAsia="es-ES"/>
        </w:rPr>
      </w:pPr>
    </w:p>
    <w:p w14:paraId="5C357375" w14:textId="641BE953" w:rsidR="00F43479" w:rsidRPr="00CA6E03" w:rsidRDefault="00F43479" w:rsidP="00F43479">
      <w:pPr>
        <w:spacing w:after="0" w:line="276" w:lineRule="auto"/>
        <w:jc w:val="both"/>
        <w:rPr>
          <w:rFonts w:ascii="Verdana" w:eastAsia="Calibri" w:hAnsi="Verdana" w:cs="Arial"/>
          <w:color w:val="000000" w:themeColor="text1"/>
          <w:lang w:val="es-ES" w:eastAsia="es-ES"/>
        </w:rPr>
      </w:pPr>
      <w:r w:rsidRPr="00CA6E03">
        <w:rPr>
          <w:rFonts w:ascii="Verdana" w:eastAsia="Calibri" w:hAnsi="Verdana" w:cs="Arial"/>
          <w:color w:val="000000" w:themeColor="text1"/>
          <w:lang w:val="es-ES" w:eastAsia="es-ES"/>
        </w:rPr>
        <w:t>Estimad</w:t>
      </w:r>
      <w:r w:rsidR="0075565B" w:rsidRPr="00CA6E03">
        <w:rPr>
          <w:rFonts w:ascii="Verdana" w:eastAsia="Calibri" w:hAnsi="Verdana" w:cs="Arial"/>
          <w:color w:val="000000" w:themeColor="text1"/>
          <w:lang w:val="es-ES" w:eastAsia="es-ES"/>
        </w:rPr>
        <w:t>a</w:t>
      </w:r>
      <w:r w:rsidRPr="00CA6E03">
        <w:rPr>
          <w:rFonts w:ascii="Verdana" w:eastAsia="Calibri" w:hAnsi="Verdana" w:cs="Arial"/>
          <w:color w:val="000000" w:themeColor="text1"/>
          <w:lang w:val="es-ES" w:eastAsia="es-ES"/>
        </w:rPr>
        <w:t xml:space="preserve"> señor</w:t>
      </w:r>
      <w:r w:rsidR="0075565B" w:rsidRPr="00CA6E03">
        <w:rPr>
          <w:rFonts w:ascii="Verdana" w:eastAsia="Calibri" w:hAnsi="Verdana" w:cs="Arial"/>
          <w:color w:val="000000" w:themeColor="text1"/>
          <w:lang w:val="es-ES" w:eastAsia="es-ES"/>
        </w:rPr>
        <w:t>a</w:t>
      </w:r>
      <w:r w:rsidRPr="00CA6E03">
        <w:rPr>
          <w:rFonts w:ascii="Verdana" w:eastAsia="Calibri" w:hAnsi="Verdana" w:cs="Arial"/>
          <w:color w:val="000000" w:themeColor="text1"/>
          <w:lang w:val="es-ES" w:eastAsia="es-ES"/>
        </w:rPr>
        <w:t xml:space="preserve"> </w:t>
      </w:r>
      <w:r w:rsidR="00B3680E" w:rsidRPr="00CA6E03">
        <w:rPr>
          <w:rFonts w:ascii="Verdana" w:eastAsia="Calibri" w:hAnsi="Verdana" w:cs="Arial"/>
          <w:color w:val="000000" w:themeColor="text1"/>
          <w:lang w:eastAsia="es-ES"/>
        </w:rPr>
        <w:t>Gaviria Quebrada</w:t>
      </w:r>
      <w:r w:rsidRPr="00CA6E03">
        <w:rPr>
          <w:rFonts w:ascii="Verdana" w:eastAsia="Calibri" w:hAnsi="Verdana" w:cs="Arial"/>
          <w:color w:val="000000" w:themeColor="text1"/>
          <w:lang w:val="es-ES" w:eastAsia="es-ES"/>
        </w:rPr>
        <w:t xml:space="preserve">: </w:t>
      </w:r>
    </w:p>
    <w:p w14:paraId="099B2813" w14:textId="77777777" w:rsidR="00F43479" w:rsidRPr="00CA6E03" w:rsidRDefault="00F43479" w:rsidP="00F43479">
      <w:pPr>
        <w:spacing w:after="0" w:line="276" w:lineRule="auto"/>
        <w:rPr>
          <w:rFonts w:ascii="Verdana" w:eastAsia="Times New Roman" w:hAnsi="Verdana" w:cs="Segoe UI"/>
          <w:highlight w:val="cyan"/>
          <w:lang w:eastAsia="es-CO"/>
        </w:rPr>
      </w:pPr>
    </w:p>
    <w:p w14:paraId="205D08D7" w14:textId="7A9050DB" w:rsidR="00F43479" w:rsidRPr="00CA6E03" w:rsidRDefault="00F43479" w:rsidP="00F43479">
      <w:pPr>
        <w:spacing w:after="0" w:line="276" w:lineRule="auto"/>
        <w:jc w:val="both"/>
        <w:rPr>
          <w:rFonts w:ascii="Verdana" w:eastAsia="Calibri" w:hAnsi="Verdana" w:cs="Arial"/>
          <w:lang w:val="es-ES" w:eastAsia="es-ES"/>
        </w:rPr>
      </w:pPr>
      <w:r w:rsidRPr="00CA6E03">
        <w:rPr>
          <w:rFonts w:ascii="Verdana" w:eastAsia="Calibri" w:hAnsi="Verdana" w:cs="Arial"/>
          <w:lang w:val="es-ES" w:eastAsia="es-ES"/>
        </w:rPr>
        <w:t>En ejercicio de la competencia otorgada por los artículos 3, numeral 5º, y 11, numeral 8º, del Decreto Ley 4170 de 2011,</w:t>
      </w:r>
      <w:r w:rsidRPr="00CA6E03">
        <w:rPr>
          <w:rFonts w:ascii="Verdana" w:eastAsia="Arial MT" w:hAnsi="Verdana" w:cs="Arial"/>
          <w:lang w:val="es-ES" w:eastAsia="es-ES"/>
        </w:rPr>
        <w:t xml:space="preserve"> </w:t>
      </w:r>
      <w:r w:rsidRPr="00CA6E03">
        <w:rPr>
          <w:rFonts w:ascii="Verdana" w:hAnsi="Verdana" w:cs="Arial"/>
        </w:rPr>
        <w:t xml:space="preserve">así como lo establecido en el artículo 4 de la Resolución 1707 de 2018 expedida por esta Entidad, </w:t>
      </w:r>
      <w:r w:rsidRPr="00CA6E03">
        <w:rPr>
          <w:rFonts w:ascii="Verdana" w:eastAsia="Calibri" w:hAnsi="Verdana" w:cs="Arial"/>
          <w:lang w:val="es-ES" w:eastAsia="es-ES"/>
        </w:rPr>
        <w:t xml:space="preserve">la Agencia Nacional de Contratación Pública – Colombia Compra Eficiente– responde su solicitud radicada el </w:t>
      </w:r>
      <w:r w:rsidR="00584401" w:rsidRPr="00CA6E03">
        <w:rPr>
          <w:rFonts w:ascii="Verdana" w:eastAsia="Calibri" w:hAnsi="Verdana" w:cs="Arial"/>
          <w:lang w:val="es-ES" w:eastAsia="es-ES"/>
        </w:rPr>
        <w:t>08 de julio del 2026</w:t>
      </w:r>
      <w:r w:rsidRPr="00CA6E03">
        <w:rPr>
          <w:rFonts w:ascii="Verdana" w:eastAsia="Calibri" w:hAnsi="Verdana" w:cs="Arial"/>
          <w:lang w:val="es-ES" w:eastAsia="es-ES"/>
        </w:rPr>
        <w:t xml:space="preserve">, en la cual manifiesta lo siguiente: </w:t>
      </w:r>
    </w:p>
    <w:p w14:paraId="2C28F2D4" w14:textId="77777777" w:rsidR="00F43479" w:rsidRPr="00CA6E03" w:rsidRDefault="00F43479" w:rsidP="00F43479">
      <w:pPr>
        <w:spacing w:after="0" w:line="276" w:lineRule="auto"/>
        <w:jc w:val="both"/>
        <w:rPr>
          <w:rFonts w:ascii="Verdana" w:eastAsia="Calibri" w:hAnsi="Verdana" w:cs="Arial"/>
          <w:lang w:val="es-ES" w:eastAsia="es-ES"/>
        </w:rPr>
      </w:pPr>
    </w:p>
    <w:p w14:paraId="4404A682" w14:textId="77777777" w:rsidR="004A3550" w:rsidRPr="00CA6E03" w:rsidRDefault="00F43479" w:rsidP="00F43479">
      <w:pPr>
        <w:spacing w:after="0" w:line="240" w:lineRule="auto"/>
        <w:ind w:left="709" w:right="709"/>
        <w:jc w:val="both"/>
        <w:rPr>
          <w:rFonts w:ascii="Verdana" w:eastAsia="Century Gothic" w:hAnsi="Verdana" w:cs="Arial"/>
          <w:sz w:val="20"/>
          <w:szCs w:val="20"/>
        </w:rPr>
      </w:pPr>
      <w:r w:rsidRPr="00CA6E03">
        <w:rPr>
          <w:rFonts w:ascii="Verdana" w:eastAsia="Century Gothic" w:hAnsi="Verdana" w:cs="Arial"/>
          <w:sz w:val="20"/>
          <w:szCs w:val="20"/>
          <w:lang w:val="es-ES"/>
        </w:rPr>
        <w:lastRenderedPageBreak/>
        <w:t xml:space="preserve">“[…] </w:t>
      </w:r>
      <w:r w:rsidR="004A3550" w:rsidRPr="00CA6E03">
        <w:rPr>
          <w:rFonts w:ascii="Verdana" w:eastAsia="Century Gothic" w:hAnsi="Verdana" w:cs="Arial"/>
          <w:sz w:val="20"/>
          <w:szCs w:val="20"/>
        </w:rPr>
        <w:t xml:space="preserve">1. ¿Las mismas personas en condición de discapacidad se pueden presentar como empleados de personas jurídicas diferentes para el caso de empleadores </w:t>
      </w:r>
      <w:proofErr w:type="spellStart"/>
      <w:r w:rsidR="004A3550" w:rsidRPr="00CA6E03">
        <w:rPr>
          <w:rFonts w:ascii="Verdana" w:eastAsia="Century Gothic" w:hAnsi="Verdana" w:cs="Arial"/>
          <w:sz w:val="20"/>
          <w:szCs w:val="20"/>
        </w:rPr>
        <w:t>PcD</w:t>
      </w:r>
      <w:proofErr w:type="spellEnd"/>
      <w:r w:rsidR="004A3550" w:rsidRPr="00CA6E03">
        <w:rPr>
          <w:rFonts w:ascii="Verdana" w:eastAsia="Century Gothic" w:hAnsi="Verdana" w:cs="Arial"/>
          <w:sz w:val="20"/>
          <w:szCs w:val="20"/>
        </w:rPr>
        <w:t>?</w:t>
      </w:r>
    </w:p>
    <w:p w14:paraId="718F8122" w14:textId="77777777" w:rsidR="004A3550" w:rsidRPr="00CA6E03" w:rsidRDefault="004A3550" w:rsidP="00F43479">
      <w:pPr>
        <w:spacing w:after="0" w:line="240" w:lineRule="auto"/>
        <w:ind w:left="709" w:right="709"/>
        <w:jc w:val="both"/>
        <w:rPr>
          <w:rFonts w:ascii="Verdana" w:eastAsia="Century Gothic" w:hAnsi="Verdana" w:cs="Arial"/>
          <w:sz w:val="20"/>
          <w:szCs w:val="20"/>
        </w:rPr>
      </w:pPr>
    </w:p>
    <w:p w14:paraId="6DF04349" w14:textId="003E2908" w:rsidR="004A3550" w:rsidRPr="00CA6E03" w:rsidRDefault="004A3550" w:rsidP="00F43479">
      <w:pPr>
        <w:spacing w:after="0" w:line="240" w:lineRule="auto"/>
        <w:ind w:left="709" w:right="709"/>
        <w:jc w:val="both"/>
        <w:rPr>
          <w:rFonts w:ascii="Verdana" w:eastAsia="Century Gothic" w:hAnsi="Verdana" w:cs="Arial"/>
          <w:sz w:val="20"/>
          <w:szCs w:val="20"/>
        </w:rPr>
      </w:pPr>
      <w:r w:rsidRPr="00CA6E03">
        <w:rPr>
          <w:rFonts w:ascii="Verdana" w:eastAsia="Century Gothic" w:hAnsi="Verdana" w:cs="Arial"/>
          <w:sz w:val="20"/>
          <w:szCs w:val="20"/>
        </w:rPr>
        <w:t xml:space="preserve">2. ¿De acuerdo con lo establecido en la normatividad expuesta, como se demuestra la exclusividad de que los mismos empleados en condición de discapacidad se estén o no presentando como empleados de </w:t>
      </w:r>
      <w:r w:rsidR="00DC7179" w:rsidRPr="00CA6E03">
        <w:rPr>
          <w:rFonts w:ascii="Verdana" w:eastAsia="Century Gothic" w:hAnsi="Verdana" w:cs="Arial"/>
          <w:sz w:val="20"/>
          <w:szCs w:val="20"/>
        </w:rPr>
        <w:t>otras empleadoras</w:t>
      </w:r>
      <w:r w:rsidRPr="00CA6E03">
        <w:rPr>
          <w:rFonts w:ascii="Verdana" w:eastAsia="Century Gothic" w:hAnsi="Verdana" w:cs="Arial"/>
          <w:sz w:val="20"/>
          <w:szCs w:val="20"/>
        </w:rPr>
        <w:t xml:space="preserve"> o como persona natural en ofertas diferentes?</w:t>
      </w:r>
      <w:r w:rsidR="00F43479" w:rsidRPr="00CA6E03">
        <w:rPr>
          <w:rFonts w:ascii="Verdana" w:eastAsia="Century Gothic" w:hAnsi="Verdana" w:cs="Arial"/>
          <w:sz w:val="20"/>
          <w:szCs w:val="20"/>
        </w:rPr>
        <w:t xml:space="preserve"> </w:t>
      </w:r>
    </w:p>
    <w:p w14:paraId="2C1B697B" w14:textId="77777777" w:rsidR="004A3550" w:rsidRPr="00CA6E03" w:rsidRDefault="004A3550" w:rsidP="00F43479">
      <w:pPr>
        <w:spacing w:after="0" w:line="240" w:lineRule="auto"/>
        <w:ind w:left="709" w:right="709"/>
        <w:jc w:val="both"/>
        <w:rPr>
          <w:rFonts w:ascii="Verdana" w:eastAsia="Century Gothic" w:hAnsi="Verdana" w:cs="Arial"/>
          <w:sz w:val="20"/>
          <w:szCs w:val="20"/>
          <w:highlight w:val="cyan"/>
        </w:rPr>
      </w:pPr>
    </w:p>
    <w:p w14:paraId="281D5EEB" w14:textId="77777777" w:rsidR="004A3550" w:rsidRPr="00CA6E03" w:rsidRDefault="004A3550" w:rsidP="00F43479">
      <w:pPr>
        <w:spacing w:after="0" w:line="240" w:lineRule="auto"/>
        <w:ind w:left="709" w:right="709"/>
        <w:jc w:val="both"/>
        <w:rPr>
          <w:rFonts w:ascii="Verdana" w:eastAsia="Century Gothic" w:hAnsi="Verdana" w:cs="Arial"/>
          <w:sz w:val="20"/>
          <w:szCs w:val="20"/>
        </w:rPr>
      </w:pPr>
      <w:r w:rsidRPr="00CA6E03">
        <w:rPr>
          <w:rFonts w:ascii="Verdana" w:eastAsia="Century Gothic" w:hAnsi="Verdana" w:cs="Arial"/>
          <w:sz w:val="20"/>
          <w:szCs w:val="20"/>
        </w:rPr>
        <w:t xml:space="preserve">3. ¿Se establezca cuales son los elementos o requisitos que debe cumplir el proponente empleador </w:t>
      </w:r>
      <w:proofErr w:type="spellStart"/>
      <w:r w:rsidRPr="00CA6E03">
        <w:rPr>
          <w:rFonts w:ascii="Verdana" w:eastAsia="Century Gothic" w:hAnsi="Verdana" w:cs="Arial"/>
          <w:sz w:val="20"/>
          <w:szCs w:val="20"/>
        </w:rPr>
        <w:t>PcD</w:t>
      </w:r>
      <w:proofErr w:type="spellEnd"/>
      <w:r w:rsidRPr="00CA6E03">
        <w:rPr>
          <w:rFonts w:ascii="Verdana" w:eastAsia="Century Gothic" w:hAnsi="Verdana" w:cs="Arial"/>
          <w:sz w:val="20"/>
          <w:szCs w:val="20"/>
        </w:rPr>
        <w:t xml:space="preserve"> para obtener los 2 puntos adicionales por la contratación de personas con discapacidad? </w:t>
      </w:r>
    </w:p>
    <w:p w14:paraId="6A192BBB" w14:textId="77777777" w:rsidR="004A3550" w:rsidRPr="00CA6E03" w:rsidRDefault="004A3550" w:rsidP="00F43479">
      <w:pPr>
        <w:spacing w:after="0" w:line="240" w:lineRule="auto"/>
        <w:ind w:left="709" w:right="709"/>
        <w:jc w:val="both"/>
        <w:rPr>
          <w:rFonts w:ascii="Verdana" w:eastAsia="Century Gothic" w:hAnsi="Verdana" w:cs="Arial"/>
          <w:sz w:val="20"/>
          <w:szCs w:val="20"/>
        </w:rPr>
      </w:pPr>
    </w:p>
    <w:p w14:paraId="39F876DF" w14:textId="58D909C7" w:rsidR="00F43479" w:rsidRPr="00CA6E03" w:rsidRDefault="004A3550" w:rsidP="00F43479">
      <w:pPr>
        <w:spacing w:after="0" w:line="240" w:lineRule="auto"/>
        <w:ind w:left="709" w:right="709"/>
        <w:jc w:val="both"/>
        <w:rPr>
          <w:rFonts w:ascii="Verdana" w:eastAsia="Century Gothic" w:hAnsi="Verdana" w:cs="Arial"/>
          <w:sz w:val="20"/>
          <w:szCs w:val="20"/>
        </w:rPr>
      </w:pPr>
      <w:r w:rsidRPr="00CA6E03">
        <w:rPr>
          <w:rFonts w:ascii="Verdana" w:eastAsia="Century Gothic" w:hAnsi="Verdana" w:cs="Arial"/>
          <w:sz w:val="20"/>
          <w:szCs w:val="20"/>
        </w:rPr>
        <w:t xml:space="preserve">4. </w:t>
      </w:r>
      <w:r w:rsidR="00DC7179" w:rsidRPr="00CA6E03">
        <w:rPr>
          <w:rFonts w:ascii="Verdana" w:eastAsia="Century Gothic" w:hAnsi="Verdana" w:cs="Arial"/>
          <w:sz w:val="20"/>
          <w:szCs w:val="20"/>
        </w:rPr>
        <w:t xml:space="preserve">¿A través de cuales soportes deben los empleadores </w:t>
      </w:r>
      <w:proofErr w:type="spellStart"/>
      <w:r w:rsidR="00DC7179" w:rsidRPr="00CA6E03">
        <w:rPr>
          <w:rFonts w:ascii="Verdana" w:eastAsia="Century Gothic" w:hAnsi="Verdana" w:cs="Arial"/>
          <w:sz w:val="20"/>
          <w:szCs w:val="20"/>
        </w:rPr>
        <w:t>PcD</w:t>
      </w:r>
      <w:proofErr w:type="spellEnd"/>
      <w:r w:rsidR="00DC7179" w:rsidRPr="00CA6E03">
        <w:rPr>
          <w:rFonts w:ascii="Verdana" w:eastAsia="Century Gothic" w:hAnsi="Verdana" w:cs="Arial"/>
          <w:sz w:val="20"/>
          <w:szCs w:val="20"/>
        </w:rPr>
        <w:t xml:space="preserve"> demostrar la exclusividad de sus empleados en condición de discapacidad? </w:t>
      </w:r>
      <w:r w:rsidR="00F43479" w:rsidRPr="00CA6E03">
        <w:rPr>
          <w:rFonts w:ascii="Verdana" w:eastAsia="Century Gothic" w:hAnsi="Verdana" w:cs="Arial"/>
          <w:sz w:val="20"/>
          <w:szCs w:val="20"/>
        </w:rPr>
        <w:t>[…]”</w:t>
      </w:r>
    </w:p>
    <w:p w14:paraId="0BF52A46" w14:textId="77777777" w:rsidR="00F43479" w:rsidRPr="00CA6E03" w:rsidRDefault="00F43479" w:rsidP="00F43479">
      <w:pPr>
        <w:spacing w:after="0" w:line="276" w:lineRule="auto"/>
        <w:jc w:val="both"/>
        <w:rPr>
          <w:rFonts w:ascii="Verdana" w:hAnsi="Verdana" w:cs="Arial"/>
          <w:highlight w:val="cyan"/>
          <w:lang w:val="es-ES"/>
        </w:rPr>
      </w:pPr>
    </w:p>
    <w:p w14:paraId="57636A10" w14:textId="77777777" w:rsidR="00F43479" w:rsidRPr="00CA6E03" w:rsidRDefault="00F43479" w:rsidP="00F43479">
      <w:pPr>
        <w:spacing w:after="120" w:line="276" w:lineRule="auto"/>
        <w:ind w:firstLine="709"/>
        <w:jc w:val="both"/>
        <w:rPr>
          <w:rFonts w:ascii="Verdana" w:eastAsia="Calibri" w:hAnsi="Verdana" w:cs="Arial"/>
          <w:color w:val="000000"/>
          <w:lang w:val="es-ES_tradnl" w:eastAsia="es-ES_tradnl"/>
        </w:rPr>
      </w:pPr>
      <w:r w:rsidRPr="00CA6E03">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1BE8CF37" w14:textId="77777777" w:rsidR="00F43479" w:rsidRPr="00CA6E03" w:rsidRDefault="00F43479" w:rsidP="00F43479">
      <w:pPr>
        <w:spacing w:after="0" w:line="276" w:lineRule="auto"/>
        <w:ind w:firstLine="709"/>
        <w:jc w:val="both"/>
        <w:rPr>
          <w:rFonts w:ascii="Verdana" w:eastAsia="Calibri" w:hAnsi="Verdana" w:cs="Arial"/>
          <w:color w:val="000000"/>
          <w:lang w:val="es-ES" w:eastAsia="es-ES"/>
        </w:rPr>
      </w:pPr>
      <w:r w:rsidRPr="00CA6E03">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4D623DEE" w14:textId="77777777" w:rsidR="00F43479" w:rsidRPr="00CA6E03" w:rsidRDefault="00F43479" w:rsidP="00F43479">
      <w:pPr>
        <w:spacing w:after="0" w:line="276" w:lineRule="auto"/>
        <w:jc w:val="both"/>
        <w:rPr>
          <w:rStyle w:val="Hipervnculo"/>
          <w:rFonts w:ascii="Verdana" w:hAnsi="Verdana"/>
          <w:highlight w:val="cyan"/>
          <w:u w:val="none"/>
          <w:lang w:val="es-ES"/>
        </w:rPr>
      </w:pPr>
    </w:p>
    <w:p w14:paraId="4CEEC234" w14:textId="77777777" w:rsidR="00F43479" w:rsidRPr="00CA6E03" w:rsidRDefault="00F43479" w:rsidP="00F4347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Arial"/>
          <w:b/>
          <w:bCs/>
        </w:rPr>
      </w:pPr>
      <w:r w:rsidRPr="00CA6E03">
        <w:rPr>
          <w:rFonts w:ascii="Verdana" w:eastAsia="Century Gothic" w:hAnsi="Verdana" w:cs="Arial"/>
          <w:b/>
          <w:bCs/>
        </w:rPr>
        <w:t>Problemas planteados:</w:t>
      </w:r>
    </w:p>
    <w:p w14:paraId="7E9D308F" w14:textId="77777777" w:rsidR="00F43479" w:rsidRPr="00CA6E03" w:rsidRDefault="00F43479" w:rsidP="00F43479">
      <w:pPr>
        <w:spacing w:after="0" w:line="276" w:lineRule="auto"/>
        <w:jc w:val="both"/>
        <w:rPr>
          <w:rStyle w:val="Hipervnculo"/>
          <w:rFonts w:ascii="Verdana" w:hAnsi="Verdana" w:cs="Arial"/>
        </w:rPr>
      </w:pPr>
    </w:p>
    <w:p w14:paraId="053E72A4" w14:textId="789EDE1E" w:rsidR="00292B6F" w:rsidRPr="00CA6E03" w:rsidRDefault="00F43479" w:rsidP="00292B6F">
      <w:pPr>
        <w:spacing w:after="0" w:line="276" w:lineRule="auto"/>
        <w:jc w:val="both"/>
        <w:rPr>
          <w:rFonts w:ascii="Verdana" w:eastAsia="Century Gothic" w:hAnsi="Verdana" w:cs="Arial"/>
        </w:rPr>
      </w:pPr>
      <w:r w:rsidRPr="00CA6E03">
        <w:rPr>
          <w:rFonts w:ascii="Verdana" w:eastAsia="Century Gothic" w:hAnsi="Verdana" w:cs="Arial"/>
        </w:rPr>
        <w:lastRenderedPageBreak/>
        <w:t xml:space="preserve">De acuerdo con el contenido de su solicitud, esta Agencia resolverá el siguiente problema jurídico: </w:t>
      </w:r>
      <w:r w:rsidR="003E1447" w:rsidRPr="00CA6E03">
        <w:rPr>
          <w:rFonts w:ascii="Verdana" w:eastAsia="Century Gothic" w:hAnsi="Verdana" w:cs="Arial"/>
        </w:rPr>
        <w:t xml:space="preserve">i) ¿Las personas en condición de discapacidad pueden vincularse simultáneamente como empleados de distintas personas jurídicas, para efectos de ser acreditadas por empleadores </w:t>
      </w:r>
      <w:proofErr w:type="spellStart"/>
      <w:r w:rsidR="003E1447" w:rsidRPr="00CA6E03">
        <w:rPr>
          <w:rFonts w:ascii="Verdana" w:eastAsia="Century Gothic" w:hAnsi="Verdana" w:cs="Arial"/>
        </w:rPr>
        <w:t>PcD</w:t>
      </w:r>
      <w:proofErr w:type="spellEnd"/>
      <w:r w:rsidR="003E1447" w:rsidRPr="00CA6E03">
        <w:rPr>
          <w:rFonts w:ascii="Verdana" w:eastAsia="Century Gothic" w:hAnsi="Verdana" w:cs="Arial"/>
        </w:rPr>
        <w:t xml:space="preserve"> en procesos de selección?; </w:t>
      </w:r>
      <w:proofErr w:type="spellStart"/>
      <w:r w:rsidR="003E1447" w:rsidRPr="00CA6E03">
        <w:rPr>
          <w:rFonts w:ascii="Verdana" w:eastAsia="Century Gothic" w:hAnsi="Verdana" w:cs="Arial"/>
        </w:rPr>
        <w:t>ii</w:t>
      </w:r>
      <w:proofErr w:type="spellEnd"/>
      <w:r w:rsidR="00292B6F" w:rsidRPr="00CA6E03">
        <w:rPr>
          <w:rFonts w:ascii="Verdana" w:eastAsia="Century Gothic" w:hAnsi="Verdana" w:cs="Arial"/>
        </w:rPr>
        <w:t>) ¿cómo se acredita la exclusividad de que los mismos trabajadores en condición de discapacidad no estén vinculados de manera concurrente con otros empleadores o como personas naturales en diferentes ofertas?</w:t>
      </w:r>
      <w:r w:rsidR="00656AB5" w:rsidRPr="00CA6E03">
        <w:rPr>
          <w:rFonts w:ascii="Verdana" w:eastAsia="Century Gothic" w:hAnsi="Verdana" w:cs="Arial"/>
        </w:rPr>
        <w:t xml:space="preserve">; </w:t>
      </w:r>
      <w:proofErr w:type="spellStart"/>
      <w:r w:rsidR="00656AB5" w:rsidRPr="00CA6E03">
        <w:rPr>
          <w:rFonts w:ascii="Verdana" w:eastAsia="Century Gothic" w:hAnsi="Verdana" w:cs="Arial"/>
        </w:rPr>
        <w:t>iii</w:t>
      </w:r>
      <w:proofErr w:type="spellEnd"/>
      <w:r w:rsidR="00656AB5" w:rsidRPr="00CA6E03">
        <w:rPr>
          <w:rFonts w:ascii="Verdana" w:eastAsia="Century Gothic" w:hAnsi="Verdana" w:cs="Arial"/>
        </w:rPr>
        <w:t xml:space="preserve">) </w:t>
      </w:r>
      <w:r w:rsidR="00842FEA" w:rsidRPr="00CA6E03">
        <w:rPr>
          <w:rFonts w:ascii="Verdana" w:eastAsia="Century Gothic" w:hAnsi="Verdana" w:cs="Arial"/>
        </w:rPr>
        <w:t xml:space="preserve">¿Cuáles son los elementos o condiciones que debe cumplir el proponente empleador </w:t>
      </w:r>
      <w:proofErr w:type="spellStart"/>
      <w:r w:rsidR="00842FEA" w:rsidRPr="00CA6E03">
        <w:rPr>
          <w:rFonts w:ascii="Verdana" w:eastAsia="Century Gothic" w:hAnsi="Verdana" w:cs="Arial"/>
        </w:rPr>
        <w:t>PcD</w:t>
      </w:r>
      <w:proofErr w:type="spellEnd"/>
      <w:r w:rsidR="00842FEA" w:rsidRPr="00CA6E03">
        <w:rPr>
          <w:rFonts w:ascii="Verdana" w:eastAsia="Century Gothic" w:hAnsi="Verdana" w:cs="Arial"/>
        </w:rPr>
        <w:t xml:space="preserve"> para acceder a los dos (2) puntos adicionales previstos por la contratación de personas con discapacidad?; y </w:t>
      </w:r>
      <w:proofErr w:type="spellStart"/>
      <w:r w:rsidR="00842FEA" w:rsidRPr="00CA6E03">
        <w:rPr>
          <w:rFonts w:ascii="Verdana" w:eastAsia="Century Gothic" w:hAnsi="Verdana" w:cs="Arial"/>
        </w:rPr>
        <w:t>iv</w:t>
      </w:r>
      <w:proofErr w:type="spellEnd"/>
      <w:r w:rsidR="00842FEA" w:rsidRPr="00CA6E03">
        <w:rPr>
          <w:rFonts w:ascii="Verdana" w:eastAsia="Century Gothic" w:hAnsi="Verdana" w:cs="Arial"/>
        </w:rPr>
        <w:t xml:space="preserve">) </w:t>
      </w:r>
      <w:r w:rsidR="006E28FB" w:rsidRPr="00CA6E03">
        <w:rPr>
          <w:rFonts w:ascii="Verdana" w:eastAsia="Century Gothic" w:hAnsi="Verdana" w:cs="Arial"/>
        </w:rPr>
        <w:t xml:space="preserve">¿Mediante qué documentos o soportes deben los empleadores </w:t>
      </w:r>
      <w:proofErr w:type="spellStart"/>
      <w:r w:rsidR="006E28FB" w:rsidRPr="00CA6E03">
        <w:rPr>
          <w:rFonts w:ascii="Verdana" w:eastAsia="Century Gothic" w:hAnsi="Verdana" w:cs="Arial"/>
        </w:rPr>
        <w:t>PcD</w:t>
      </w:r>
      <w:proofErr w:type="spellEnd"/>
      <w:r w:rsidR="006E28FB" w:rsidRPr="00CA6E03">
        <w:rPr>
          <w:rFonts w:ascii="Verdana" w:eastAsia="Century Gothic" w:hAnsi="Verdana" w:cs="Arial"/>
        </w:rPr>
        <w:t xml:space="preserve"> demostrar la exclusividad de sus trabajadores en condición de discapacidad?</w:t>
      </w:r>
    </w:p>
    <w:p w14:paraId="58DD2EAD" w14:textId="77777777" w:rsidR="00F43479" w:rsidRPr="00CA6E03" w:rsidRDefault="00F43479" w:rsidP="00F43479">
      <w:pPr>
        <w:spacing w:after="0" w:line="276" w:lineRule="auto"/>
        <w:jc w:val="both"/>
        <w:rPr>
          <w:rStyle w:val="Hipervnculo"/>
          <w:rFonts w:ascii="Verdana" w:hAnsi="Verdana" w:cs="Arial"/>
          <w:highlight w:val="cyan"/>
        </w:rPr>
      </w:pPr>
    </w:p>
    <w:p w14:paraId="38547D96" w14:textId="77777777" w:rsidR="00F43479" w:rsidRPr="00CA6E03" w:rsidRDefault="00F43479" w:rsidP="00F43479">
      <w:pPr>
        <w:pStyle w:val="Prrafodelista"/>
        <w:widowControl w:val="0"/>
        <w:numPr>
          <w:ilvl w:val="0"/>
          <w:numId w:val="16"/>
        </w:numPr>
        <w:autoSpaceDE w:val="0"/>
        <w:autoSpaceDN w:val="0"/>
        <w:spacing w:after="0" w:line="276" w:lineRule="auto"/>
        <w:ind w:left="360"/>
        <w:contextualSpacing w:val="0"/>
        <w:jc w:val="both"/>
        <w:outlineLvl w:val="0"/>
        <w:rPr>
          <w:rFonts w:ascii="Verdana" w:eastAsia="Arial" w:hAnsi="Verdana" w:cs="Arial"/>
          <w:b/>
          <w:bCs/>
        </w:rPr>
      </w:pPr>
      <w:r w:rsidRPr="00CA6E03">
        <w:rPr>
          <w:rFonts w:ascii="Verdana" w:eastAsia="Arial" w:hAnsi="Verdana" w:cs="Arial"/>
          <w:b/>
          <w:bCs/>
        </w:rPr>
        <w:t>Respuesta:</w:t>
      </w:r>
    </w:p>
    <w:p w14:paraId="1C62BC0F" w14:textId="77777777" w:rsidR="00F43479" w:rsidRPr="00CA6E03" w:rsidRDefault="00F43479" w:rsidP="00F43479">
      <w:pPr>
        <w:spacing w:after="0" w:line="276" w:lineRule="auto"/>
        <w:rPr>
          <w:rFonts w:ascii="Verdana" w:eastAsia="Aptos" w:hAnsi="Verdana" w:cs="Arial"/>
          <w:highlight w:val="cy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43479" w:rsidRPr="00CA6E03" w14:paraId="1814D2EC" w14:textId="77777777" w:rsidTr="00B17E77">
        <w:tc>
          <w:tcPr>
            <w:tcW w:w="8828" w:type="dxa"/>
          </w:tcPr>
          <w:p w14:paraId="12D559C1" w14:textId="77777777" w:rsidR="00F43479" w:rsidRPr="00CA6E03" w:rsidRDefault="00F43479" w:rsidP="00B17E77">
            <w:pPr>
              <w:spacing w:after="120" w:line="276" w:lineRule="auto"/>
              <w:jc w:val="both"/>
              <w:rPr>
                <w:rFonts w:ascii="Verdana" w:hAnsi="Verdana" w:cs="Arial"/>
              </w:rPr>
            </w:pPr>
            <w:bookmarkStart w:id="1" w:name="_Hlk171067516"/>
            <w:r w:rsidRPr="00CA6E03">
              <w:rPr>
                <w:rFonts w:ascii="Verdana" w:hAnsi="Verdana" w:cs="Arial"/>
              </w:rPr>
              <w:t>En respuesta al problema ante planteado esta Subdirección manifiesta lo siguiente:</w:t>
            </w:r>
          </w:p>
          <w:p w14:paraId="5332D17D" w14:textId="77777777" w:rsidR="00BA45D8" w:rsidRPr="00CA6E03" w:rsidRDefault="00F43479" w:rsidP="00BA45D8">
            <w:pPr>
              <w:spacing w:after="120" w:line="276" w:lineRule="auto"/>
              <w:ind w:firstLine="737"/>
              <w:jc w:val="both"/>
              <w:rPr>
                <w:rFonts w:ascii="Verdana" w:hAnsi="Verdana"/>
              </w:rPr>
            </w:pPr>
            <w:r w:rsidRPr="00CA6E03">
              <w:rPr>
                <w:rFonts w:ascii="Verdana" w:hAnsi="Verdana"/>
              </w:rPr>
              <w:t xml:space="preserve">En </w:t>
            </w:r>
            <w:r w:rsidRPr="00CA6E03">
              <w:rPr>
                <w:rFonts w:ascii="Verdana" w:hAnsi="Verdana"/>
                <w:i/>
                <w:iCs/>
              </w:rPr>
              <w:t>primer lugar</w:t>
            </w:r>
            <w:r w:rsidRPr="00CA6E03">
              <w:rPr>
                <w:rFonts w:ascii="Verdana" w:hAnsi="Verdana"/>
              </w:rPr>
              <w:t xml:space="preserve">, debe señalarse </w:t>
            </w:r>
            <w:r w:rsidR="001E7C81" w:rsidRPr="00CA6E03">
              <w:rPr>
                <w:rFonts w:ascii="Verdana" w:hAnsi="Verdana"/>
              </w:rPr>
              <w:t xml:space="preserve">que </w:t>
            </w:r>
            <w:r w:rsidR="00F36CD0" w:rsidRPr="00CA6E03">
              <w:rPr>
                <w:rFonts w:ascii="Verdana" w:hAnsi="Verdana"/>
              </w:rPr>
              <w:t xml:space="preserve">el Decreto </w:t>
            </w:r>
            <w:r w:rsidR="00F36CD0" w:rsidRPr="00CA6E03">
              <w:rPr>
                <w:rFonts w:ascii="Verdana" w:eastAsia="Calibri" w:hAnsi="Verdana" w:cs="Arial"/>
                <w:lang w:eastAsia="es-ES"/>
              </w:rPr>
              <w:t xml:space="preserve">0287 </w:t>
            </w:r>
            <w:r w:rsidR="00BB4D27" w:rsidRPr="00CA6E03">
              <w:rPr>
                <w:rFonts w:ascii="Verdana" w:eastAsia="Calibri" w:hAnsi="Verdana" w:cs="Arial"/>
                <w:lang w:eastAsia="es-ES"/>
              </w:rPr>
              <w:t>de</w:t>
            </w:r>
            <w:r w:rsidR="00F36CD0" w:rsidRPr="00CA6E03">
              <w:rPr>
                <w:rFonts w:ascii="Verdana" w:eastAsia="Calibri" w:hAnsi="Verdana" w:cs="Arial"/>
                <w:lang w:eastAsia="es-ES"/>
              </w:rPr>
              <w:t xml:space="preserve"> 2026</w:t>
            </w:r>
            <w:r w:rsidR="00F36CD0" w:rsidRPr="00CA6E03">
              <w:rPr>
                <w:rFonts w:ascii="Verdana" w:eastAsia="Calibri" w:hAnsi="Verdana" w:cs="Arial"/>
                <w:b/>
                <w:bCs/>
                <w:lang w:eastAsia="es-ES"/>
              </w:rPr>
              <w:t xml:space="preserve"> </w:t>
            </w:r>
            <w:r w:rsidR="00F36CD0" w:rsidRPr="00CA6E03">
              <w:rPr>
                <w:rFonts w:ascii="Verdana" w:hAnsi="Verdana"/>
              </w:rPr>
              <w:t>define</w:t>
            </w:r>
            <w:r w:rsidR="001E7C81" w:rsidRPr="00CA6E03">
              <w:rPr>
                <w:rFonts w:ascii="Verdana" w:hAnsi="Verdana"/>
              </w:rPr>
              <w:t xml:space="preserve"> al empleador </w:t>
            </w:r>
            <w:proofErr w:type="spellStart"/>
            <w:r w:rsidR="001E7C81" w:rsidRPr="00CA6E03">
              <w:rPr>
                <w:rFonts w:ascii="Verdana" w:hAnsi="Verdana"/>
              </w:rPr>
              <w:t>PcD</w:t>
            </w:r>
            <w:proofErr w:type="spellEnd"/>
            <w:r w:rsidR="001E7C81" w:rsidRPr="00CA6E03">
              <w:rPr>
                <w:rFonts w:ascii="Verdana" w:hAnsi="Verdana"/>
              </w:rPr>
              <w:t xml:space="preserve"> como cualquier empresa que tenga en su planta de personal trabajadores con discapacidad contratados laboralmente con </w:t>
            </w:r>
            <w:r w:rsidR="001E7C81" w:rsidRPr="00CA6E03">
              <w:rPr>
                <w:rFonts w:ascii="Verdana" w:hAnsi="Verdana"/>
                <w:i/>
                <w:iCs/>
              </w:rPr>
              <w:t>dedicación exclusiva</w:t>
            </w:r>
            <w:r w:rsidR="001E7C81" w:rsidRPr="00CA6E03">
              <w:rPr>
                <w:rFonts w:ascii="Verdana" w:hAnsi="Verdana"/>
              </w:rPr>
              <w:t xml:space="preserve">, superando los mínimos que exige la Ley 2466 de 2025. La exigencia de </w:t>
            </w:r>
            <w:r w:rsidR="001E7C81" w:rsidRPr="00CA6E03">
              <w:rPr>
                <w:rFonts w:ascii="Verdana" w:hAnsi="Verdana"/>
                <w:i/>
                <w:iCs/>
              </w:rPr>
              <w:t>dedicación exclusiva</w:t>
            </w:r>
            <w:r w:rsidR="001E7C81" w:rsidRPr="00CA6E03">
              <w:rPr>
                <w:rFonts w:ascii="Verdana" w:hAnsi="Verdana"/>
              </w:rPr>
              <w:t xml:space="preserve"> es, por definición, incompatible con que un mismo trabajador figure simultáneamente vinculado</w:t>
            </w:r>
            <w:r w:rsidR="00BB4D27" w:rsidRPr="00CA6E03">
              <w:rPr>
                <w:rFonts w:ascii="Verdana" w:hAnsi="Verdana"/>
              </w:rPr>
              <w:t xml:space="preserve">, </w:t>
            </w:r>
            <w:r w:rsidR="001E7C81" w:rsidRPr="00CA6E03">
              <w:rPr>
                <w:rFonts w:ascii="Verdana" w:hAnsi="Verdana"/>
              </w:rPr>
              <w:t>para efectos del puntaje</w:t>
            </w:r>
            <w:r w:rsidR="00BB4D27" w:rsidRPr="00CA6E03">
              <w:rPr>
                <w:rFonts w:ascii="Verdana" w:hAnsi="Verdana"/>
              </w:rPr>
              <w:t>,</w:t>
            </w:r>
            <w:r w:rsidR="001E7C81" w:rsidRPr="00CA6E03">
              <w:rPr>
                <w:rFonts w:ascii="Verdana" w:hAnsi="Verdana"/>
              </w:rPr>
              <w:t xml:space="preserve"> a dos o más personas jurídicas distintas, pues la dedicación exclusiva implica precisamente la renuncia a la posibilidad de pluriempleo respecto de otros empleadores durante la vigencia del vínculo. En consecuencia, una </w:t>
            </w:r>
            <w:proofErr w:type="spellStart"/>
            <w:r w:rsidR="001E7C81" w:rsidRPr="00CA6E03">
              <w:rPr>
                <w:rFonts w:ascii="Verdana" w:hAnsi="Verdana"/>
              </w:rPr>
              <w:t>PcD</w:t>
            </w:r>
            <w:proofErr w:type="spellEnd"/>
            <w:r w:rsidR="001E7C81" w:rsidRPr="00CA6E03">
              <w:rPr>
                <w:rFonts w:ascii="Verdana" w:hAnsi="Verdana"/>
              </w:rPr>
              <w:t xml:space="preserve"> no puede ser contabilizada por más de un proponente en un mismo proceso, ni en procesos distintos de forma concurrente, para obtener el puntaje adicional del 2%.</w:t>
            </w:r>
          </w:p>
          <w:p w14:paraId="4B67E90F" w14:textId="77777777" w:rsidR="00E0551C" w:rsidRPr="00CA6E03" w:rsidRDefault="00BA45D8" w:rsidP="00E0551C">
            <w:pPr>
              <w:spacing w:after="120" w:line="276" w:lineRule="auto"/>
              <w:ind w:firstLine="737"/>
              <w:jc w:val="both"/>
              <w:rPr>
                <w:rFonts w:ascii="Verdana" w:hAnsi="Verdana"/>
              </w:rPr>
            </w:pPr>
            <w:r w:rsidRPr="00CA6E03">
              <w:rPr>
                <w:rFonts w:ascii="Verdana" w:hAnsi="Verdana"/>
              </w:rPr>
              <w:t xml:space="preserve">Frente al segundo interrogante, resulta pertinente advertir que, conforme a lo dispuesto en el artículo 2.2.1.2.4.2.7.4 del Decreto 0287 de 2026 y al concepto C-975 de 2026 emitido por esta Agencia, la acreditación exige la presentación de los certificados de aportes a seguridad social correspondientes a los tres (3) meses anteriores a la presentación de la oferta respecto de cada </w:t>
            </w:r>
            <w:proofErr w:type="spellStart"/>
            <w:r w:rsidRPr="00CA6E03">
              <w:rPr>
                <w:rFonts w:ascii="Verdana" w:hAnsi="Verdana"/>
              </w:rPr>
              <w:t>PcD</w:t>
            </w:r>
            <w:proofErr w:type="spellEnd"/>
            <w:r w:rsidRPr="00CA6E03">
              <w:rPr>
                <w:rFonts w:ascii="Verdana" w:hAnsi="Verdana"/>
              </w:rPr>
              <w:t xml:space="preserve"> incluida en el cómputo, sin distinguir entre vinculaciones </w:t>
            </w:r>
            <w:r w:rsidRPr="00CA6E03">
              <w:rPr>
                <w:rFonts w:ascii="Verdana" w:hAnsi="Verdana"/>
              </w:rPr>
              <w:lastRenderedPageBreak/>
              <w:t xml:space="preserve">iniciales o incrementos posteriores. Las planillas de aportes (PILA) constituyen el mecanismo de verificación, pues permiten identificar el aportante-empleador registrado para cada trabajador en el período exigido. De esta manera, se materializa la comprobación de exclusividad: si la planilla evidencia un aportante distinto, o una vinculación parcial o no exclusiva, la </w:t>
            </w:r>
            <w:proofErr w:type="spellStart"/>
            <w:r w:rsidRPr="00CA6E03">
              <w:rPr>
                <w:rFonts w:ascii="Verdana" w:hAnsi="Verdana"/>
              </w:rPr>
              <w:t>PcD</w:t>
            </w:r>
            <w:proofErr w:type="spellEnd"/>
            <w:r w:rsidRPr="00CA6E03">
              <w:rPr>
                <w:rFonts w:ascii="Verdana" w:hAnsi="Verdana"/>
              </w:rPr>
              <w:t xml:space="preserve"> respectiva no puede ser computada para efectos del puntaje. El mismo concepto precisa que no existe mecanismo alternativo para suplir este requisito. No obstante, su incumplimiento parcial no excluye al proponente del proceso, sino que limita el reconocimiento del puntaje únicamente a las </w:t>
            </w:r>
            <w:proofErr w:type="spellStart"/>
            <w:r w:rsidRPr="00CA6E03">
              <w:rPr>
                <w:rFonts w:ascii="Verdana" w:hAnsi="Verdana"/>
              </w:rPr>
              <w:t>PcD</w:t>
            </w:r>
            <w:proofErr w:type="spellEnd"/>
            <w:r w:rsidRPr="00CA6E03">
              <w:rPr>
                <w:rFonts w:ascii="Verdana" w:hAnsi="Verdana"/>
              </w:rPr>
              <w:t xml:space="preserve"> cuyas planillas acrediten el período requerido.</w:t>
            </w:r>
          </w:p>
          <w:p w14:paraId="008248D5" w14:textId="302D2F2F" w:rsidR="00233EFC" w:rsidRPr="00CA6E03" w:rsidRDefault="00E0551C" w:rsidP="0062101A">
            <w:pPr>
              <w:spacing w:after="120" w:line="276" w:lineRule="auto"/>
              <w:ind w:firstLine="737"/>
              <w:jc w:val="both"/>
              <w:rPr>
                <w:rFonts w:ascii="Verdana" w:hAnsi="Verdana"/>
              </w:rPr>
            </w:pPr>
            <w:r w:rsidRPr="00CA6E03">
              <w:rPr>
                <w:rFonts w:ascii="Verdana" w:hAnsi="Verdana"/>
              </w:rPr>
              <w:t xml:space="preserve">Ahora bien, respecto de los elementos necesarios para acceder a los dos (2) puntos adicionales por la contratación de personas con discapacidad, debe </w:t>
            </w:r>
            <w:r w:rsidR="004C0623" w:rsidRPr="00CA6E03">
              <w:rPr>
                <w:rFonts w:ascii="Verdana" w:hAnsi="Verdana"/>
              </w:rPr>
              <w:t>señalarse</w:t>
            </w:r>
            <w:r w:rsidRPr="00CA6E03">
              <w:rPr>
                <w:rFonts w:ascii="Verdana" w:hAnsi="Verdana"/>
              </w:rPr>
              <w:t xml:space="preserve"> que el proponente está obligado a cumplir con condiciones específicas previstas </w:t>
            </w:r>
            <w:r w:rsidR="004C0623" w:rsidRPr="00CA6E03">
              <w:rPr>
                <w:rFonts w:ascii="Verdana" w:hAnsi="Verdana"/>
              </w:rPr>
              <w:t>en el Decreto 0287 de 2026</w:t>
            </w:r>
            <w:r w:rsidRPr="00CA6E03">
              <w:rPr>
                <w:rFonts w:ascii="Verdana" w:hAnsi="Verdana"/>
              </w:rPr>
              <w:t xml:space="preserve">. En primer término, resulta indispensable que sea identificado correctamente como “empleador </w:t>
            </w:r>
            <w:proofErr w:type="spellStart"/>
            <w:r w:rsidRPr="00CA6E03">
              <w:rPr>
                <w:rFonts w:ascii="Verdana" w:hAnsi="Verdana"/>
              </w:rPr>
              <w:t>PcD</w:t>
            </w:r>
            <w:proofErr w:type="spellEnd"/>
            <w:r w:rsidRPr="00CA6E03">
              <w:rPr>
                <w:rFonts w:ascii="Verdana" w:hAnsi="Verdana"/>
              </w:rPr>
              <w:t xml:space="preserve">”, en calidad de segundo sujeto del sistema, y no confundido con la categoría de “emprendimiento o empresa de </w:t>
            </w:r>
            <w:proofErr w:type="spellStart"/>
            <w:r w:rsidRPr="00CA6E03">
              <w:rPr>
                <w:rFonts w:ascii="Verdana" w:hAnsi="Verdana"/>
              </w:rPr>
              <w:t>PcD</w:t>
            </w:r>
            <w:proofErr w:type="spellEnd"/>
            <w:r w:rsidRPr="00CA6E03">
              <w:rPr>
                <w:rFonts w:ascii="Verdana" w:hAnsi="Verdana"/>
              </w:rPr>
              <w:t>”, que corresponde al primer sujeto. La confusión entre estas dos figuras genera aplicaciones incorrectas del sistema y compromete la validez de la acreditación.</w:t>
            </w:r>
          </w:p>
          <w:p w14:paraId="53A0A0CB" w14:textId="44BC11EB" w:rsidR="00FB0356" w:rsidRPr="00CA6E03" w:rsidRDefault="00673BC6" w:rsidP="00CD3B73">
            <w:pPr>
              <w:spacing w:after="120" w:line="276" w:lineRule="auto"/>
              <w:ind w:firstLine="737"/>
              <w:jc w:val="both"/>
              <w:rPr>
                <w:rFonts w:ascii="Verdana" w:hAnsi="Verdana"/>
              </w:rPr>
            </w:pPr>
            <w:r w:rsidRPr="00CA6E03">
              <w:rPr>
                <w:rFonts w:ascii="Verdana" w:hAnsi="Verdana"/>
              </w:rPr>
              <w:t xml:space="preserve">Asimismo, la vinculación de las personas con discapacidad debe realizarse mediante </w:t>
            </w:r>
            <w:r w:rsidRPr="00CA6E03">
              <w:rPr>
                <w:rFonts w:ascii="Verdana" w:hAnsi="Verdana"/>
                <w:i/>
                <w:iCs/>
              </w:rPr>
              <w:t>contrato laboral con dedicación exclusiva,</w:t>
            </w:r>
            <w:r w:rsidRPr="00CA6E03">
              <w:rPr>
                <w:rFonts w:ascii="Verdana" w:hAnsi="Verdana"/>
              </w:rPr>
              <w:t xml:space="preserve"> cuya definición corresponde al Ministerio del Trabajo. Este requisito asegura que la relación laboral sea plena y verificable, evitando duplicidades o vinculaciones parciales que desvirtúen el beneficio.</w:t>
            </w:r>
            <w:r w:rsidR="00A36D50" w:rsidRPr="00CA6E03">
              <w:rPr>
                <w:rFonts w:ascii="Verdana" w:hAnsi="Verdana"/>
              </w:rPr>
              <w:t xml:space="preserve"> El proponente debe además cumplir con el número mínimo de </w:t>
            </w:r>
            <w:proofErr w:type="spellStart"/>
            <w:r w:rsidR="00A36D50" w:rsidRPr="00CA6E03">
              <w:rPr>
                <w:rFonts w:ascii="Verdana" w:hAnsi="Verdana"/>
              </w:rPr>
              <w:t>PcD</w:t>
            </w:r>
            <w:proofErr w:type="spellEnd"/>
            <w:r w:rsidR="00A36D50" w:rsidRPr="00CA6E03">
              <w:rPr>
                <w:rFonts w:ascii="Verdana" w:hAnsi="Verdana"/>
              </w:rPr>
              <w:t xml:space="preserve"> exigido en la tabla del artículo 2.2.1.2.4.2.7.4 del Decreto 0287 de 2026, la cual incorpora los estándares fijados por la Ley 2466 de 2025. En consecuencia, no basta con alcanzar el mínimo legal, sino que se requiere superarlo para que proceda el reconocimiento del puntaje adicional.</w:t>
            </w:r>
            <w:r w:rsidR="00FB0356" w:rsidRPr="00CA6E03">
              <w:rPr>
                <w:rFonts w:ascii="Verdana" w:hAnsi="Verdana"/>
              </w:rPr>
              <w:t xml:space="preserve"> </w:t>
            </w:r>
          </w:p>
          <w:p w14:paraId="35863B4E" w14:textId="77777777" w:rsidR="009C17EF" w:rsidRPr="00CA6E03" w:rsidRDefault="009C17EF" w:rsidP="009C17EF">
            <w:pPr>
              <w:spacing w:after="120" w:line="276" w:lineRule="auto"/>
              <w:ind w:firstLine="737"/>
              <w:jc w:val="both"/>
              <w:rPr>
                <w:rFonts w:ascii="Verdana" w:hAnsi="Verdana"/>
              </w:rPr>
            </w:pPr>
            <w:r w:rsidRPr="00CA6E03">
              <w:rPr>
                <w:rFonts w:ascii="Verdana" w:hAnsi="Verdana"/>
              </w:rPr>
              <w:t xml:space="preserve">Otro elemento esencial, tal como se mencionó anteriormente, es la acreditación mediante los certificados de aportes a seguridad social correspondientes a los últimos tres (3) meses por cada persona con discapacidad contabilizada. Estos soportes, materializados en las planillas de aportes (PILA), constituyen el mecanismo idóneo para verificar la exclusividad de la vinculación y, en consecuencia, comprobar de manera fehaciente la condición de empleador </w:t>
            </w:r>
            <w:proofErr w:type="spellStart"/>
            <w:r w:rsidRPr="00CA6E03">
              <w:rPr>
                <w:rFonts w:ascii="Verdana" w:hAnsi="Verdana"/>
              </w:rPr>
              <w:t>PcD</w:t>
            </w:r>
            <w:proofErr w:type="spellEnd"/>
            <w:r w:rsidRPr="00CA6E03">
              <w:rPr>
                <w:rFonts w:ascii="Verdana" w:hAnsi="Verdana"/>
              </w:rPr>
              <w:t>.</w:t>
            </w:r>
          </w:p>
          <w:p w14:paraId="75A15000" w14:textId="69D8D03A" w:rsidR="00B52FB8" w:rsidRPr="00CA6E03" w:rsidRDefault="009C17EF" w:rsidP="00B52FB8">
            <w:pPr>
              <w:spacing w:after="120" w:line="276" w:lineRule="auto"/>
              <w:ind w:firstLine="737"/>
              <w:jc w:val="both"/>
              <w:rPr>
                <w:rFonts w:ascii="Verdana" w:hAnsi="Verdana"/>
              </w:rPr>
            </w:pPr>
            <w:r w:rsidRPr="00CA6E03">
              <w:rPr>
                <w:rFonts w:ascii="Verdana" w:hAnsi="Verdana"/>
              </w:rPr>
              <w:lastRenderedPageBreak/>
              <w:t>Finalmente, y e</w:t>
            </w:r>
            <w:r w:rsidR="00B52FB8" w:rsidRPr="00CA6E03">
              <w:rPr>
                <w:rFonts w:ascii="Verdana" w:hAnsi="Verdana"/>
              </w:rPr>
              <w:t>n relación con el último interrogante,</w:t>
            </w:r>
            <w:r w:rsidRPr="00CA6E03">
              <w:rPr>
                <w:rFonts w:ascii="Verdana" w:hAnsi="Verdana"/>
              </w:rPr>
              <w:t xml:space="preserve"> </w:t>
            </w:r>
            <w:r w:rsidR="00B52FB8" w:rsidRPr="00CA6E03">
              <w:rPr>
                <w:rFonts w:ascii="Verdana" w:hAnsi="Verdana"/>
              </w:rPr>
              <w:t>conforme a lo dispuesto en el</w:t>
            </w:r>
            <w:r w:rsidR="007A1049" w:rsidRPr="00CA6E03">
              <w:rPr>
                <w:rFonts w:ascii="Verdana" w:hAnsi="Verdana"/>
              </w:rPr>
              <w:t xml:space="preserve"> artículo 2.2.1.2.4.2.7.4 del</w:t>
            </w:r>
            <w:r w:rsidR="00B52FB8" w:rsidRPr="00CA6E03">
              <w:rPr>
                <w:rFonts w:ascii="Verdana" w:hAnsi="Verdana"/>
              </w:rPr>
              <w:t xml:space="preserve"> Decreto 0287 de 2026, los soportes que deben tenerse en cuenta para acreditar la exclusividad de los trabajadores en condición de discapacidad son varios y complementarios.</w:t>
            </w:r>
          </w:p>
          <w:p w14:paraId="50B5BDE3" w14:textId="72D8B74C" w:rsidR="00FC2BFB" w:rsidRPr="00CA6E03" w:rsidRDefault="00FC2BFB" w:rsidP="00FC2BFB">
            <w:pPr>
              <w:spacing w:after="120" w:line="276" w:lineRule="auto"/>
              <w:ind w:firstLine="737"/>
              <w:jc w:val="both"/>
              <w:rPr>
                <w:rFonts w:ascii="Verdana" w:hAnsi="Verdana"/>
              </w:rPr>
            </w:pPr>
            <w:r w:rsidRPr="00CA6E03">
              <w:rPr>
                <w:rFonts w:ascii="Verdana" w:hAnsi="Verdana"/>
              </w:rPr>
              <w:t xml:space="preserve">En primer lugar, se requiere el certificado expedido por el representante legal o el revisor fiscal, según corresponda, en el que conste el total de trabajadores vinculados a la planta de personal a la fecha de cierre de la oferta. Este documento permite establecer la composición general de la planta laboral. De igual manera, debe aportarse el certificado emitido por el Ministerio del Trabajo, en el cual se indique el número de personas con discapacidad vinculadas al empleador. Este soporte constituye una verificación oficial de la condición de </w:t>
            </w:r>
            <w:proofErr w:type="spellStart"/>
            <w:r w:rsidRPr="00CA6E03">
              <w:rPr>
                <w:rFonts w:ascii="Verdana" w:hAnsi="Verdana"/>
              </w:rPr>
              <w:t>PcD</w:t>
            </w:r>
            <w:proofErr w:type="spellEnd"/>
            <w:r w:rsidRPr="00CA6E03">
              <w:rPr>
                <w:rFonts w:ascii="Verdana" w:hAnsi="Verdana"/>
              </w:rPr>
              <w:t xml:space="preserve"> en la planta de personal.</w:t>
            </w:r>
          </w:p>
          <w:p w14:paraId="3CFFC6D4" w14:textId="396E359A" w:rsidR="00FC2BFB" w:rsidRPr="00CA6E03" w:rsidRDefault="00FC2BFB" w:rsidP="00FC2BFB">
            <w:pPr>
              <w:spacing w:after="120" w:line="276" w:lineRule="auto"/>
              <w:ind w:firstLine="737"/>
              <w:jc w:val="both"/>
              <w:rPr>
                <w:rFonts w:ascii="Verdana" w:hAnsi="Verdana"/>
              </w:rPr>
            </w:pPr>
            <w:r w:rsidRPr="00CA6E03">
              <w:rPr>
                <w:rFonts w:ascii="Verdana" w:hAnsi="Verdana"/>
              </w:rPr>
              <w:t xml:space="preserve">El soporte central para acreditar la exclusividad lo constituyen los certificados de aportes a seguridad social correspondientes a los tres (3) meses anteriores a la presentación de la oferta, respecto de cada </w:t>
            </w:r>
            <w:proofErr w:type="spellStart"/>
            <w:r w:rsidRPr="00CA6E03">
              <w:rPr>
                <w:rFonts w:ascii="Verdana" w:hAnsi="Verdana"/>
              </w:rPr>
              <w:t>PcD</w:t>
            </w:r>
            <w:proofErr w:type="spellEnd"/>
            <w:r w:rsidRPr="00CA6E03">
              <w:rPr>
                <w:rFonts w:ascii="Verdana" w:hAnsi="Verdana"/>
              </w:rPr>
              <w:t xml:space="preserve"> incluida en el cómputo. Dichas planillas permiten identificar al empleador registrado en el sistema durante ese período, garantizando que la vinculación sea exclusiva y plena. Finalmente, durante la ejecución contractual, </w:t>
            </w:r>
            <w:r w:rsidR="00FB0356" w:rsidRPr="00CA6E03">
              <w:rPr>
                <w:rFonts w:ascii="Verdana" w:hAnsi="Verdana"/>
              </w:rPr>
              <w:t>se deberá</w:t>
            </w:r>
            <w:r w:rsidRPr="00CA6E03">
              <w:rPr>
                <w:rFonts w:ascii="Verdana" w:hAnsi="Verdana"/>
              </w:rPr>
              <w:t xml:space="preserve"> verificar la permanencia de la condición de </w:t>
            </w:r>
            <w:proofErr w:type="spellStart"/>
            <w:r w:rsidRPr="00CA6E03">
              <w:rPr>
                <w:rFonts w:ascii="Verdana" w:hAnsi="Verdana"/>
              </w:rPr>
              <w:t>PcD</w:t>
            </w:r>
            <w:proofErr w:type="spellEnd"/>
            <w:r w:rsidRPr="00CA6E03">
              <w:rPr>
                <w:rFonts w:ascii="Verdana" w:hAnsi="Verdana"/>
              </w:rPr>
              <w:t xml:space="preserve"> mediante los certificados expedidos por el Ministerio del Trabajo, en cumplimiento de la obligación de seguimiento prevista para el sostenimiento del puntaje.</w:t>
            </w:r>
          </w:p>
          <w:p w14:paraId="1DCB374A" w14:textId="5728382C" w:rsidR="00F43479" w:rsidRPr="00CA6E03" w:rsidRDefault="00F43479" w:rsidP="00FC2BFB">
            <w:pPr>
              <w:spacing w:after="120" w:line="276" w:lineRule="auto"/>
              <w:ind w:firstLine="737"/>
              <w:jc w:val="both"/>
              <w:rPr>
                <w:rFonts w:ascii="Verdana" w:hAnsi="Verdana"/>
              </w:rPr>
            </w:pPr>
            <w:r w:rsidRPr="00CA6E03">
              <w:rPr>
                <w:rFonts w:ascii="Verdana" w:hAnsi="Verdana" w:cs="Arial"/>
                <w:bCs/>
                <w:color w:val="000000" w:themeColor="text1"/>
              </w:rPr>
              <w:t>De cualquier modo, se reitera que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lo anterior, previo concepto de sus órganos asesores, la solución de casos particulares corresponde a la entidad que debe adoptar la decisión correspondiente para atender las necesidades de la entidad pública.</w:t>
            </w:r>
          </w:p>
        </w:tc>
      </w:tr>
      <w:bookmarkEnd w:id="1"/>
    </w:tbl>
    <w:p w14:paraId="71EC74AF" w14:textId="77777777" w:rsidR="00F43479" w:rsidRPr="00CA6E03" w:rsidRDefault="00F43479" w:rsidP="00F43479">
      <w:pPr>
        <w:widowControl w:val="0"/>
        <w:autoSpaceDE w:val="0"/>
        <w:autoSpaceDN w:val="0"/>
        <w:spacing w:after="0" w:line="276" w:lineRule="auto"/>
        <w:ind w:left="360" w:hanging="360"/>
        <w:outlineLvl w:val="0"/>
        <w:rPr>
          <w:rFonts w:ascii="Verdana" w:eastAsia="Arial" w:hAnsi="Verdana" w:cs="Arial"/>
          <w:b/>
          <w:bCs/>
          <w:highlight w:val="cyan"/>
        </w:rPr>
      </w:pPr>
    </w:p>
    <w:p w14:paraId="17454C52" w14:textId="77777777" w:rsidR="00F43479" w:rsidRPr="00CA6E03" w:rsidRDefault="00F43479" w:rsidP="00F43479">
      <w:pPr>
        <w:widowControl w:val="0"/>
        <w:autoSpaceDE w:val="0"/>
        <w:autoSpaceDN w:val="0"/>
        <w:spacing w:after="0" w:line="276" w:lineRule="auto"/>
        <w:ind w:left="360" w:hanging="360"/>
        <w:outlineLvl w:val="0"/>
        <w:rPr>
          <w:rFonts w:ascii="Verdana" w:eastAsia="Arial" w:hAnsi="Verdana" w:cs="Arial"/>
          <w:b/>
          <w:bCs/>
          <w:lang w:val="es-ES"/>
        </w:rPr>
      </w:pPr>
      <w:r w:rsidRPr="00CA6E03">
        <w:rPr>
          <w:rFonts w:ascii="Verdana" w:eastAsia="Arial" w:hAnsi="Verdana" w:cs="Arial"/>
          <w:b/>
          <w:bCs/>
          <w:lang w:val="es-ES"/>
        </w:rPr>
        <w:t>3. Razones de la respuesta:</w:t>
      </w:r>
    </w:p>
    <w:p w14:paraId="588DAB3F" w14:textId="77777777" w:rsidR="00F43479" w:rsidRPr="00CA6E03" w:rsidRDefault="00F43479" w:rsidP="00F43479">
      <w:pPr>
        <w:spacing w:after="0" w:line="276" w:lineRule="auto"/>
        <w:jc w:val="both"/>
        <w:rPr>
          <w:rFonts w:ascii="Verdana" w:eastAsia="Calibri" w:hAnsi="Verdana" w:cs="Arial"/>
          <w:lang w:val="es-ES"/>
        </w:rPr>
      </w:pPr>
    </w:p>
    <w:p w14:paraId="7C9026E2" w14:textId="4DEF7856" w:rsidR="002A0DD0" w:rsidRPr="00CA6E03" w:rsidRDefault="00F43479" w:rsidP="00F43479">
      <w:pPr>
        <w:spacing w:after="0" w:line="240" w:lineRule="auto"/>
        <w:jc w:val="both"/>
        <w:rPr>
          <w:rFonts w:ascii="Verdana" w:eastAsia="Calibri" w:hAnsi="Verdana" w:cs="Arial"/>
          <w:lang w:val="es-ES"/>
        </w:rPr>
      </w:pPr>
      <w:r w:rsidRPr="00CA6E03">
        <w:rPr>
          <w:rFonts w:ascii="Verdana" w:eastAsia="Calibri" w:hAnsi="Verdana" w:cs="Arial"/>
          <w:lang w:val="es-ES"/>
        </w:rPr>
        <w:t>La respuesta anterior se sustenta en las siguientes consideraciones:</w:t>
      </w:r>
    </w:p>
    <w:p w14:paraId="0FAEB81B" w14:textId="77777777" w:rsidR="00371591" w:rsidRPr="00CA6E03" w:rsidRDefault="00371591" w:rsidP="00371591">
      <w:pPr>
        <w:widowControl w:val="0"/>
        <w:autoSpaceDE w:val="0"/>
        <w:autoSpaceDN w:val="0"/>
        <w:spacing w:after="0" w:line="276" w:lineRule="auto"/>
        <w:jc w:val="both"/>
        <w:rPr>
          <w:rFonts w:ascii="Verdana" w:eastAsia="Aptos" w:hAnsi="Verdana" w:cs="Times New Roman"/>
          <w:kern w:val="2"/>
          <w:sz w:val="24"/>
          <w:szCs w:val="24"/>
          <w14:ligatures w14:val="standardContextual"/>
        </w:rPr>
      </w:pPr>
      <w:bookmarkStart w:id="2" w:name="_Hlk113022941"/>
    </w:p>
    <w:p w14:paraId="3CD99988" w14:textId="77777777" w:rsidR="00371591" w:rsidRPr="00CA6E03" w:rsidRDefault="00371591" w:rsidP="00371591">
      <w:pPr>
        <w:spacing w:after="120" w:line="276" w:lineRule="auto"/>
        <w:jc w:val="both"/>
        <w:rPr>
          <w:rFonts w:ascii="Verdana" w:hAnsi="Verdana"/>
        </w:rPr>
      </w:pPr>
      <w:r w:rsidRPr="00CA6E03">
        <w:rPr>
          <w:rFonts w:ascii="Verdana" w:eastAsia="Aptos" w:hAnsi="Verdana" w:cs="Times New Roman"/>
          <w:kern w:val="2"/>
          <w14:ligatures w14:val="standardContextual"/>
        </w:rPr>
        <w:lastRenderedPageBreak/>
        <w:t xml:space="preserve">i. </w:t>
      </w:r>
      <w:r w:rsidRPr="00CA6E03">
        <w:rPr>
          <w:rFonts w:ascii="Verdana" w:eastAsia="Times New Roman" w:hAnsi="Verdana" w:cs="Times New Roman"/>
        </w:rPr>
        <w:t>El fundamento del Sistema de Preferencias para Personas con Discapacidad (</w:t>
      </w:r>
      <w:proofErr w:type="spellStart"/>
      <w:r w:rsidRPr="00CA6E03">
        <w:rPr>
          <w:rFonts w:ascii="Verdana" w:eastAsia="Times New Roman" w:hAnsi="Verdana" w:cs="Times New Roman"/>
        </w:rPr>
        <w:t>PcD</w:t>
      </w:r>
      <w:proofErr w:type="spellEnd"/>
      <w:r w:rsidRPr="00CA6E03">
        <w:rPr>
          <w:rFonts w:ascii="Verdana" w:eastAsia="Times New Roman" w:hAnsi="Verdana" w:cs="Times New Roman"/>
        </w:rPr>
        <w:t>) en la contratación pública es el principio de igualdad real y efectiva consagrado en el artículo 13 de la Constitución Política de 1991</w:t>
      </w:r>
      <w:r w:rsidRPr="00CA6E03">
        <w:rPr>
          <w:rStyle w:val="Refdenotaalpie"/>
          <w:rFonts w:ascii="Verdana" w:eastAsia="Times New Roman" w:hAnsi="Verdana" w:cs="Times New Roman"/>
        </w:rPr>
        <w:footnoteReference w:id="1"/>
      </w:r>
      <w:r w:rsidRPr="00CA6E03">
        <w:rPr>
          <w:rFonts w:ascii="Verdana" w:eastAsia="Times New Roman" w:hAnsi="Verdana" w:cs="Times New Roman"/>
        </w:rPr>
        <w:t xml:space="preserve">, que impone al Estado el deber positivo de adoptar </w:t>
      </w:r>
      <w:r w:rsidRPr="00CA6E03">
        <w:rPr>
          <w:rFonts w:ascii="Verdana" w:eastAsia="Times New Roman" w:hAnsi="Verdana" w:cs="Times New Roman"/>
          <w:i/>
          <w:iCs/>
        </w:rPr>
        <w:t>acciones afirmativas</w:t>
      </w:r>
      <w:r w:rsidRPr="00CA6E03">
        <w:rPr>
          <w:rFonts w:ascii="Verdana" w:eastAsia="Times New Roman" w:hAnsi="Verdana" w:cs="Times New Roman"/>
        </w:rPr>
        <w:t xml:space="preserve"> en favor de grupos históricamente excluidos. La Corte Constitucional ha sostenido que tales medidas buscan contrarrestar los efectos de la discriminación y que el Estado puede establecer tratamientos diferenciales a favor de estos grupos en aras de lograr una igualdad real y efectiva. Los artículos 47 y 54 de la Carta Política refuerzan este mandato al ordenar políticas de integración social y ubicación laboral para las </w:t>
      </w:r>
      <w:proofErr w:type="spellStart"/>
      <w:r w:rsidRPr="00CA6E03">
        <w:rPr>
          <w:rFonts w:ascii="Verdana" w:eastAsia="Times New Roman" w:hAnsi="Verdana" w:cs="Times New Roman"/>
        </w:rPr>
        <w:t>PcD</w:t>
      </w:r>
      <w:proofErr w:type="spellEnd"/>
      <w:r w:rsidRPr="00CA6E03">
        <w:rPr>
          <w:rStyle w:val="Refdenotaalpie"/>
          <w:rFonts w:ascii="Verdana" w:eastAsia="Times New Roman" w:hAnsi="Verdana" w:cs="Times New Roman"/>
        </w:rPr>
        <w:footnoteReference w:id="2"/>
      </w:r>
      <w:r w:rsidRPr="00CA6E03">
        <w:rPr>
          <w:rFonts w:ascii="Verdana" w:eastAsia="Times New Roman" w:hAnsi="Verdana" w:cs="Times New Roman"/>
        </w:rPr>
        <w:t>.</w:t>
      </w:r>
    </w:p>
    <w:p w14:paraId="02E3D951" w14:textId="77777777" w:rsidR="00371591" w:rsidRPr="00CA6E03" w:rsidRDefault="00371591" w:rsidP="00371591">
      <w:pPr>
        <w:spacing w:after="120" w:line="276" w:lineRule="auto"/>
        <w:ind w:firstLine="708"/>
        <w:jc w:val="both"/>
        <w:rPr>
          <w:rFonts w:ascii="Verdana" w:hAnsi="Verdana"/>
        </w:rPr>
      </w:pPr>
      <w:r w:rsidRPr="00CA6E03">
        <w:rPr>
          <w:rFonts w:ascii="Verdana" w:eastAsia="Times New Roman" w:hAnsi="Verdana" w:cs="Times New Roman"/>
        </w:rPr>
        <w:t>En el plano internacional, Colombia es Estado Parte de instrumentos que conforman el Bloque de Constitucionalidad en virtud del artículo 93 superior. La Convención sobre los Derechos de las Personas con Discapacidad de la ONU</w:t>
      </w:r>
      <w:r w:rsidRPr="00CA6E03">
        <w:rPr>
          <w:rStyle w:val="Refdenotaalpie"/>
          <w:rFonts w:ascii="Verdana" w:eastAsia="Times New Roman" w:hAnsi="Verdana" w:cs="Times New Roman"/>
        </w:rPr>
        <w:footnoteReference w:id="3"/>
      </w:r>
      <w:r w:rsidRPr="00CA6E03">
        <w:rPr>
          <w:rFonts w:ascii="Verdana" w:eastAsia="Times New Roman" w:hAnsi="Verdana" w:cs="Times New Roman"/>
        </w:rPr>
        <w:t xml:space="preserve"> reconoce el derecho de las </w:t>
      </w:r>
      <w:proofErr w:type="spellStart"/>
      <w:r w:rsidRPr="00CA6E03">
        <w:rPr>
          <w:rFonts w:ascii="Verdana" w:eastAsia="Times New Roman" w:hAnsi="Verdana" w:cs="Times New Roman"/>
        </w:rPr>
        <w:t>PcD</w:t>
      </w:r>
      <w:proofErr w:type="spellEnd"/>
      <w:r w:rsidRPr="00CA6E03">
        <w:rPr>
          <w:rFonts w:ascii="Verdana" w:eastAsia="Times New Roman" w:hAnsi="Verdana" w:cs="Times New Roman"/>
        </w:rPr>
        <w:t xml:space="preserve"> a trabajar en igualdad de condiciones y exige programas de acción afirmativa. La Convención Interamericana para la Eliminación de todas las Formas de Discriminación</w:t>
      </w:r>
      <w:r w:rsidRPr="00CA6E03">
        <w:rPr>
          <w:rStyle w:val="Refdenotaalpie"/>
          <w:rFonts w:ascii="Verdana" w:eastAsia="Times New Roman" w:hAnsi="Verdana" w:cs="Times New Roman"/>
        </w:rPr>
        <w:footnoteReference w:id="4"/>
      </w:r>
      <w:r w:rsidRPr="00CA6E03">
        <w:rPr>
          <w:rFonts w:ascii="Verdana" w:eastAsia="Times New Roman" w:hAnsi="Verdana" w:cs="Times New Roman"/>
        </w:rPr>
        <w:t xml:space="preserve"> ordena eliminar progresivamente la discriminación en la prestación de servicios, incluido el empleo. El Convenio 159 de la OIT</w:t>
      </w:r>
      <w:r w:rsidRPr="00CA6E03">
        <w:rPr>
          <w:rStyle w:val="Refdenotaalpie"/>
          <w:rFonts w:ascii="Verdana" w:eastAsia="Times New Roman" w:hAnsi="Verdana" w:cs="Times New Roman"/>
        </w:rPr>
        <w:footnoteReference w:id="5"/>
      </w:r>
      <w:r w:rsidRPr="00CA6E03">
        <w:rPr>
          <w:rFonts w:ascii="Verdana" w:eastAsia="Times New Roman" w:hAnsi="Verdana" w:cs="Times New Roman"/>
        </w:rPr>
        <w:t xml:space="preserve"> exige medidas orientadas a garantizar la igualdad de oportunidades de todas las categorías de </w:t>
      </w:r>
      <w:proofErr w:type="spellStart"/>
      <w:r w:rsidRPr="00CA6E03">
        <w:rPr>
          <w:rFonts w:ascii="Verdana" w:eastAsia="Times New Roman" w:hAnsi="Verdana" w:cs="Times New Roman"/>
        </w:rPr>
        <w:t>PcD</w:t>
      </w:r>
      <w:proofErr w:type="spellEnd"/>
      <w:r w:rsidRPr="00CA6E03">
        <w:rPr>
          <w:rFonts w:ascii="Verdana" w:eastAsia="Times New Roman" w:hAnsi="Verdana" w:cs="Times New Roman"/>
        </w:rPr>
        <w:t xml:space="preserve"> en materia de empleo.</w:t>
      </w:r>
    </w:p>
    <w:p w14:paraId="7A14A2E8" w14:textId="77777777" w:rsidR="00371591" w:rsidRPr="00CA6E03" w:rsidRDefault="00371591" w:rsidP="00371591">
      <w:pPr>
        <w:spacing w:after="120" w:line="276" w:lineRule="auto"/>
        <w:jc w:val="both"/>
        <w:rPr>
          <w:rFonts w:ascii="Verdana" w:hAnsi="Verdana"/>
        </w:rPr>
      </w:pPr>
      <w:r w:rsidRPr="00CA6E03">
        <w:rPr>
          <w:rFonts w:ascii="Verdana" w:eastAsia="Times New Roman" w:hAnsi="Verdana" w:cs="Times New Roman"/>
          <w:b/>
          <w:bCs/>
        </w:rPr>
        <w:lastRenderedPageBreak/>
        <w:t xml:space="preserve">        </w:t>
      </w:r>
      <w:r w:rsidRPr="00CA6E03">
        <w:rPr>
          <w:rFonts w:ascii="Verdana" w:eastAsia="Times New Roman" w:hAnsi="Verdana" w:cs="Times New Roman"/>
        </w:rPr>
        <w:t xml:space="preserve">La Ley 361 de 1997 estableció los primeros mecanismos de integración social de las </w:t>
      </w:r>
      <w:proofErr w:type="spellStart"/>
      <w:r w:rsidRPr="00CA6E03">
        <w:rPr>
          <w:rFonts w:ascii="Verdana" w:eastAsia="Times New Roman" w:hAnsi="Verdana" w:cs="Times New Roman"/>
        </w:rPr>
        <w:t>PcD</w:t>
      </w:r>
      <w:proofErr w:type="spellEnd"/>
      <w:r w:rsidRPr="00CA6E03">
        <w:rPr>
          <w:rFonts w:ascii="Verdana" w:eastAsia="Times New Roman" w:hAnsi="Verdana" w:cs="Times New Roman"/>
        </w:rPr>
        <w:t xml:space="preserve">. Su artículo 24 introdujo una preferencia en igualdad de condiciones en licitaciones y adjudicaciones de contratos para los empleadores que tuvieran al menos el 10% de su nómina compuesta por </w:t>
      </w:r>
      <w:proofErr w:type="spellStart"/>
      <w:r w:rsidRPr="00CA6E03">
        <w:rPr>
          <w:rFonts w:ascii="Verdana" w:eastAsia="Times New Roman" w:hAnsi="Verdana" w:cs="Times New Roman"/>
        </w:rPr>
        <w:t>PcD</w:t>
      </w:r>
      <w:proofErr w:type="spellEnd"/>
      <w:r w:rsidRPr="00CA6E03">
        <w:rPr>
          <w:rStyle w:val="Refdenotaalpie"/>
          <w:rFonts w:ascii="Verdana" w:eastAsia="Times New Roman" w:hAnsi="Verdana" w:cs="Times New Roman"/>
        </w:rPr>
        <w:footnoteReference w:id="6"/>
      </w:r>
      <w:r w:rsidRPr="00CA6E03">
        <w:rPr>
          <w:rFonts w:ascii="Verdana" w:eastAsia="Times New Roman" w:hAnsi="Verdana" w:cs="Times New Roman"/>
        </w:rPr>
        <w:t xml:space="preserve">. Esta norma vinculó por primera vez la contratación pública con la inclusión laboral de las </w:t>
      </w:r>
      <w:proofErr w:type="spellStart"/>
      <w:r w:rsidRPr="00CA6E03">
        <w:rPr>
          <w:rFonts w:ascii="Verdana" w:eastAsia="Times New Roman" w:hAnsi="Verdana" w:cs="Times New Roman"/>
        </w:rPr>
        <w:t>PcD</w:t>
      </w:r>
      <w:proofErr w:type="spellEnd"/>
      <w:r w:rsidRPr="00CA6E03">
        <w:rPr>
          <w:rFonts w:ascii="Verdana" w:eastAsia="Times New Roman" w:hAnsi="Verdana" w:cs="Times New Roman"/>
        </w:rPr>
        <w:t xml:space="preserve">, pero su alcance era limitado: una preferencia residual aplicable solo en caso de empate, que beneficiaba únicamente a los empleadores de </w:t>
      </w:r>
      <w:proofErr w:type="spellStart"/>
      <w:r w:rsidRPr="00CA6E03">
        <w:rPr>
          <w:rFonts w:ascii="Verdana" w:eastAsia="Times New Roman" w:hAnsi="Verdana" w:cs="Times New Roman"/>
        </w:rPr>
        <w:t>PcD</w:t>
      </w:r>
      <w:proofErr w:type="spellEnd"/>
      <w:r w:rsidRPr="00CA6E03">
        <w:rPr>
          <w:rFonts w:ascii="Verdana" w:eastAsia="Times New Roman" w:hAnsi="Verdana" w:cs="Times New Roman"/>
        </w:rPr>
        <w:t xml:space="preserve"> sin considerar a las propias </w:t>
      </w:r>
      <w:proofErr w:type="spellStart"/>
      <w:r w:rsidRPr="00CA6E03">
        <w:rPr>
          <w:rFonts w:ascii="Verdana" w:eastAsia="Times New Roman" w:hAnsi="Verdana" w:cs="Times New Roman"/>
        </w:rPr>
        <w:t>PcD</w:t>
      </w:r>
      <w:proofErr w:type="spellEnd"/>
      <w:r w:rsidRPr="00CA6E03">
        <w:rPr>
          <w:rFonts w:ascii="Verdana" w:eastAsia="Times New Roman" w:hAnsi="Verdana" w:cs="Times New Roman"/>
        </w:rPr>
        <w:t xml:space="preserve"> como proponentes directos.</w:t>
      </w:r>
    </w:p>
    <w:p w14:paraId="04BA9E1D" w14:textId="77777777" w:rsidR="00371591" w:rsidRPr="00CA6E03" w:rsidRDefault="00371591" w:rsidP="00371591">
      <w:pPr>
        <w:spacing w:after="120" w:line="276" w:lineRule="auto"/>
        <w:ind w:firstLine="709"/>
        <w:jc w:val="both"/>
        <w:rPr>
          <w:rFonts w:ascii="Verdana" w:hAnsi="Verdana"/>
        </w:rPr>
      </w:pPr>
      <w:r w:rsidRPr="00CA6E03">
        <w:rPr>
          <w:rFonts w:ascii="Verdana" w:eastAsia="Times New Roman" w:hAnsi="Verdana" w:cs="Times New Roman"/>
        </w:rPr>
        <w:t xml:space="preserve">La Ley Estatutaria 1618 de 2013 representó un salto cualitativo en el marco jurídico de protección de las </w:t>
      </w:r>
      <w:proofErr w:type="spellStart"/>
      <w:r w:rsidRPr="00CA6E03">
        <w:rPr>
          <w:rFonts w:ascii="Verdana" w:eastAsia="Times New Roman" w:hAnsi="Verdana" w:cs="Times New Roman"/>
        </w:rPr>
        <w:t>PcD</w:t>
      </w:r>
      <w:proofErr w:type="spellEnd"/>
      <w:r w:rsidRPr="00CA6E03">
        <w:rPr>
          <w:rFonts w:ascii="Verdana" w:eastAsia="Times New Roman" w:hAnsi="Verdana" w:cs="Times New Roman"/>
        </w:rPr>
        <w:t>, al definir a estas como "aquellas personas que tengan deficiencias físicas, mentales, intelectuales o sensoriales a mediano y largo plazo que, al interactuar con diversas barreras incluyendo las actitudinales, puedan impedir su participación plena y efectiva en la sociedad, en igualdad de condiciones con las demás"</w:t>
      </w:r>
      <w:r w:rsidRPr="00CA6E03">
        <w:rPr>
          <w:rStyle w:val="Refdenotaalpie"/>
          <w:rFonts w:ascii="Verdana" w:eastAsia="Times New Roman" w:hAnsi="Verdana" w:cs="Times New Roman"/>
          <w:i/>
          <w:iCs/>
        </w:rPr>
        <w:footnoteReference w:id="7"/>
      </w:r>
      <w:r w:rsidRPr="00CA6E03">
        <w:rPr>
          <w:rFonts w:ascii="Verdana" w:eastAsia="Times New Roman" w:hAnsi="Verdana" w:cs="Times New Roman"/>
          <w:i/>
          <w:iCs/>
        </w:rPr>
        <w:t>.</w:t>
      </w:r>
      <w:r w:rsidRPr="00CA6E03">
        <w:rPr>
          <w:rFonts w:ascii="Verdana" w:eastAsia="Times New Roman" w:hAnsi="Verdana" w:cs="Times New Roman"/>
        </w:rPr>
        <w:t xml:space="preserve"> Su artículo 13, en los numerales 1, 7 y 8, ordenó al Gobierno Nacional reglamentar: una puntuación adicional en licitación pública, concurso de méritos y contratación directa para empresas que vinculen </w:t>
      </w:r>
      <w:proofErr w:type="spellStart"/>
      <w:r w:rsidRPr="00CA6E03">
        <w:rPr>
          <w:rFonts w:ascii="Verdana" w:eastAsia="Times New Roman" w:hAnsi="Verdana" w:cs="Times New Roman"/>
        </w:rPr>
        <w:t>PcD</w:t>
      </w:r>
      <w:proofErr w:type="spellEnd"/>
      <w:r w:rsidRPr="00CA6E03">
        <w:rPr>
          <w:rFonts w:ascii="Verdana" w:eastAsia="Times New Roman" w:hAnsi="Verdana" w:cs="Times New Roman"/>
        </w:rPr>
        <w:t xml:space="preserve"> y para empresas de </w:t>
      </w:r>
      <w:proofErr w:type="spellStart"/>
      <w:r w:rsidRPr="00CA6E03">
        <w:rPr>
          <w:rFonts w:ascii="Verdana" w:eastAsia="Times New Roman" w:hAnsi="Verdana" w:cs="Times New Roman"/>
        </w:rPr>
        <w:t>PcD</w:t>
      </w:r>
      <w:proofErr w:type="spellEnd"/>
      <w:r w:rsidRPr="00CA6E03">
        <w:rPr>
          <w:rFonts w:ascii="Verdana" w:eastAsia="Times New Roman" w:hAnsi="Verdana" w:cs="Times New Roman"/>
        </w:rPr>
        <w:t xml:space="preserve">; un sistema de preferencias para empleadores de </w:t>
      </w:r>
      <w:proofErr w:type="spellStart"/>
      <w:r w:rsidRPr="00CA6E03">
        <w:rPr>
          <w:rFonts w:ascii="Verdana" w:eastAsia="Times New Roman" w:hAnsi="Verdana" w:cs="Times New Roman"/>
        </w:rPr>
        <w:t>PcD</w:t>
      </w:r>
      <w:proofErr w:type="spellEnd"/>
      <w:r w:rsidRPr="00CA6E03">
        <w:rPr>
          <w:rFonts w:ascii="Verdana" w:eastAsia="Times New Roman" w:hAnsi="Verdana" w:cs="Times New Roman"/>
        </w:rPr>
        <w:t xml:space="preserve"> en la adjudicación; y un sistema de preferencias en favor de las propias </w:t>
      </w:r>
      <w:proofErr w:type="spellStart"/>
      <w:r w:rsidRPr="00CA6E03">
        <w:rPr>
          <w:rFonts w:ascii="Verdana" w:eastAsia="Times New Roman" w:hAnsi="Verdana" w:cs="Times New Roman"/>
        </w:rPr>
        <w:t>PcD</w:t>
      </w:r>
      <w:proofErr w:type="spellEnd"/>
      <w:r w:rsidRPr="00CA6E03">
        <w:rPr>
          <w:rFonts w:ascii="Verdana" w:eastAsia="Times New Roman" w:hAnsi="Verdana" w:cs="Times New Roman"/>
        </w:rPr>
        <w:t xml:space="preserve"> como contratistas</w:t>
      </w:r>
      <w:r w:rsidRPr="00CA6E03">
        <w:rPr>
          <w:rStyle w:val="Refdenotaalpie"/>
          <w:rFonts w:ascii="Verdana" w:eastAsia="Times New Roman" w:hAnsi="Verdana" w:cs="Times New Roman"/>
        </w:rPr>
        <w:footnoteReference w:id="8"/>
      </w:r>
      <w:r w:rsidRPr="00CA6E03">
        <w:rPr>
          <w:rFonts w:ascii="Verdana" w:eastAsia="Times New Roman" w:hAnsi="Verdana" w:cs="Times New Roman"/>
        </w:rPr>
        <w:t xml:space="preserve">. Este último mandato fue especialmente significativo porque introdujo el concepto de </w:t>
      </w:r>
      <w:r w:rsidRPr="00CA6E03">
        <w:rPr>
          <w:rFonts w:ascii="Verdana" w:eastAsia="Times New Roman" w:hAnsi="Verdana" w:cs="Times New Roman"/>
          <w:i/>
          <w:iCs/>
        </w:rPr>
        <w:t>"sistema de preferencias"</w:t>
      </w:r>
      <w:r w:rsidRPr="00CA6E03">
        <w:rPr>
          <w:rFonts w:ascii="Verdana" w:eastAsia="Times New Roman" w:hAnsi="Verdana" w:cs="Times New Roman"/>
        </w:rPr>
        <w:t>, que por definición no puede reducirse a una sola medida sino que implica un conjunto estructurado de instrumentos que actúen en las distintas fases del proceso contractual.</w:t>
      </w:r>
    </w:p>
    <w:p w14:paraId="06508472" w14:textId="77777777" w:rsidR="00371591" w:rsidRPr="00CA6E03" w:rsidRDefault="00371591" w:rsidP="00371591">
      <w:pPr>
        <w:spacing w:after="120" w:line="276" w:lineRule="auto"/>
        <w:ind w:firstLine="709"/>
        <w:jc w:val="both"/>
        <w:rPr>
          <w:rFonts w:ascii="Verdana" w:hAnsi="Verdana"/>
        </w:rPr>
      </w:pPr>
      <w:r w:rsidRPr="00CA6E03">
        <w:rPr>
          <w:rFonts w:ascii="Verdana" w:hAnsi="Verdana"/>
        </w:rPr>
        <w:t xml:space="preserve">En cumplimiento parcial de los numerales 1 y 8 del artículo 13 de la Ley 1618 de 2013, se expidió el Decreto 392 de 2018. Sin embargo, como se reconoce en los considerandos del Decreto 0287 de 2026, dicha regulación presentó omisiones estructurales que frustraron la finalidad de la ley estatutaria, </w:t>
      </w:r>
      <w:r w:rsidRPr="00CA6E03">
        <w:rPr>
          <w:rFonts w:ascii="Verdana" w:hAnsi="Verdana"/>
        </w:rPr>
        <w:lastRenderedPageBreak/>
        <w:t xml:space="preserve">pues solo contempló el 1% de puntaje para empleadores de </w:t>
      </w:r>
      <w:proofErr w:type="spellStart"/>
      <w:r w:rsidRPr="00CA6E03">
        <w:rPr>
          <w:rFonts w:ascii="Verdana" w:hAnsi="Verdana"/>
        </w:rPr>
        <w:t>PcD</w:t>
      </w:r>
      <w:proofErr w:type="spellEnd"/>
      <w:r w:rsidRPr="00CA6E03">
        <w:rPr>
          <w:rFonts w:ascii="Verdana" w:hAnsi="Verdana"/>
        </w:rPr>
        <w:t xml:space="preserve">, sin incluir a las empresas de </w:t>
      </w:r>
      <w:proofErr w:type="spellStart"/>
      <w:r w:rsidRPr="00CA6E03">
        <w:rPr>
          <w:rFonts w:ascii="Verdana" w:hAnsi="Verdana"/>
        </w:rPr>
        <w:t>PcD</w:t>
      </w:r>
      <w:proofErr w:type="spellEnd"/>
      <w:r w:rsidRPr="00CA6E03">
        <w:rPr>
          <w:rFonts w:ascii="Verdana" w:hAnsi="Verdana"/>
        </w:rPr>
        <w:t xml:space="preserve">, redujo el "sistema de preferencias" a un único criterio de desempate y no previó medidas en planeación, criterios habilitantes diferenciales, condiciones especiales de ejecución ni abordó la contratación directa como escenario de inclusión. En consecuencia, desde el punto de vista sustantivo, el Decreto 392 de 2018 reglamentó el numeral 1 de manera parcial y el numeral 7, dejando sin reglamentación material el numeral 8, que era precisamente el que ordenaba el sistema de preferencias en favor de las propias </w:t>
      </w:r>
      <w:proofErr w:type="spellStart"/>
      <w:r w:rsidRPr="00CA6E03">
        <w:rPr>
          <w:rFonts w:ascii="Verdana" w:hAnsi="Verdana"/>
        </w:rPr>
        <w:t>PcD</w:t>
      </w:r>
      <w:proofErr w:type="spellEnd"/>
      <w:r w:rsidRPr="00CA6E03">
        <w:rPr>
          <w:rFonts w:ascii="Verdana" w:hAnsi="Verdana"/>
        </w:rPr>
        <w:t xml:space="preserve"> como contratistas.</w:t>
      </w:r>
    </w:p>
    <w:p w14:paraId="59F5CEF2" w14:textId="77777777" w:rsidR="00371591" w:rsidRPr="00CA6E03" w:rsidRDefault="00371591" w:rsidP="00371591">
      <w:pPr>
        <w:spacing w:after="120" w:line="276" w:lineRule="auto"/>
        <w:ind w:firstLine="709"/>
        <w:jc w:val="both"/>
        <w:rPr>
          <w:rFonts w:ascii="Verdana" w:eastAsia="Aptos" w:hAnsi="Verdana" w:cs="Times New Roman"/>
          <w:kern w:val="2"/>
          <w14:ligatures w14:val="standardContextual"/>
        </w:rPr>
      </w:pPr>
      <w:r w:rsidRPr="00CA6E03">
        <w:rPr>
          <w:rFonts w:ascii="Verdana" w:hAnsi="Verdana"/>
        </w:rPr>
        <w:t>Lo anterior fue ratificado por el Consejo de Estado</w:t>
      </w:r>
      <w:r w:rsidRPr="00CA6E03">
        <w:rPr>
          <w:rStyle w:val="Refdenotaalpie"/>
          <w:rFonts w:ascii="Verdana" w:hAnsi="Verdana"/>
        </w:rPr>
        <w:footnoteReference w:id="9"/>
      </w:r>
      <w:r w:rsidRPr="00CA6E03">
        <w:rPr>
          <w:rFonts w:ascii="Verdana" w:hAnsi="Verdana"/>
        </w:rPr>
        <w:t>,</w:t>
      </w:r>
      <w:r w:rsidRPr="00CA6E03">
        <w:rPr>
          <w:rFonts w:ascii="Verdana" w:eastAsia="Aptos" w:hAnsi="Verdana" w:cs="Times New Roman"/>
          <w:kern w:val="2"/>
          <w14:ligatures w14:val="standardContextual"/>
        </w:rPr>
        <w:t xml:space="preserve"> que mediante una acción de cumplimiento, </w:t>
      </w:r>
      <w:r w:rsidRPr="00CA6E03">
        <w:rPr>
          <w:rFonts w:ascii="Verdana" w:hAnsi="Verdana"/>
        </w:rPr>
        <w:t xml:space="preserve">declaró el incumplimiento </w:t>
      </w:r>
      <w:r w:rsidRPr="00CA6E03">
        <w:rPr>
          <w:rFonts w:ascii="Verdana" w:eastAsia="Aptos" w:hAnsi="Verdana" w:cs="Times New Roman"/>
          <w:kern w:val="2"/>
          <w14:ligatures w14:val="standardContextual"/>
        </w:rPr>
        <w:t xml:space="preserve">del deber de reglamentar integralmente el artículo 13 de la Ley 1618 de 2013 y ordenó al Gobierno Nacional expedir la regulación necesaria para hacer efectivo el sistema de preferencias en favor de las personas con discapacidad, sus emprendimientos y empresas que las contratan. </w:t>
      </w:r>
      <w:r w:rsidRPr="00CA6E03">
        <w:rPr>
          <w:rFonts w:ascii="Verdana" w:hAnsi="Verdana"/>
        </w:rPr>
        <w:t>La Sala calificó la obligación como imperativa, expresa e inobjetable, señalando que el Gobierno Nacional no contaba con margen de discrecionalidad para decidir si reglamentaba o no el sistema de preferencias.</w:t>
      </w:r>
    </w:p>
    <w:p w14:paraId="46110955" w14:textId="77777777" w:rsidR="00371591" w:rsidRPr="00CA6E03" w:rsidRDefault="00371591" w:rsidP="00371591">
      <w:pPr>
        <w:spacing w:after="120" w:line="276" w:lineRule="auto"/>
        <w:ind w:firstLine="709"/>
        <w:jc w:val="both"/>
        <w:rPr>
          <w:rFonts w:ascii="Verdana" w:hAnsi="Verdana"/>
        </w:rPr>
      </w:pPr>
      <w:r w:rsidRPr="00CA6E03">
        <w:rPr>
          <w:rFonts w:ascii="Verdana" w:hAnsi="Verdana"/>
        </w:rPr>
        <w:t xml:space="preserve">En cumplimiento de esa decisión fue expedido el Decreto 0287 de 2026, el cual establece un Sistema Integral de Preferencias compuesto por cinco medidas afirmativas que actúan en todas las fases del proceso contractual, planeación, selección, adjudicación y ejecución, y que benefician a dos sujetos diferenciados: los emprendimientos y empresas de </w:t>
      </w:r>
      <w:proofErr w:type="spellStart"/>
      <w:r w:rsidRPr="00CA6E03">
        <w:rPr>
          <w:rFonts w:ascii="Verdana" w:hAnsi="Verdana"/>
        </w:rPr>
        <w:t>PcD</w:t>
      </w:r>
      <w:proofErr w:type="spellEnd"/>
      <w:r w:rsidRPr="00CA6E03">
        <w:rPr>
          <w:rFonts w:ascii="Verdana" w:hAnsi="Verdana"/>
        </w:rPr>
        <w:t xml:space="preserve"> y los empleadores de </w:t>
      </w:r>
      <w:proofErr w:type="spellStart"/>
      <w:r w:rsidRPr="00CA6E03">
        <w:rPr>
          <w:rFonts w:ascii="Verdana" w:hAnsi="Verdana"/>
        </w:rPr>
        <w:t>PcD</w:t>
      </w:r>
      <w:proofErr w:type="spellEnd"/>
      <w:r w:rsidRPr="00CA6E03">
        <w:rPr>
          <w:rFonts w:ascii="Verdana" w:eastAsia="Aptos" w:hAnsi="Verdana" w:cs="Times New Roman"/>
          <w:kern w:val="2"/>
          <w14:ligatures w14:val="standardContextual"/>
        </w:rPr>
        <w:t xml:space="preserve">. Mediante la expedición del mencionado decreto, en aplicación directa de la Constitución Política y para que exista una igualdad material para las personas con discapacidad, se pretende subsanar la falta de acciones afirmativas del Decreto 392 de 2018, en el que se modificaron los artículos 2.2.1.2.4.2.6, 2.2.1.2.4.2.7. y 2.2.1.2.4.2.8. del Decreto 1082 de 2015 de la siguiente manera: </w:t>
      </w:r>
    </w:p>
    <w:p w14:paraId="169FDF8B" w14:textId="77777777" w:rsidR="00371591" w:rsidRPr="00CA6E03" w:rsidRDefault="00371591" w:rsidP="0037159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CA6E03">
        <w:rPr>
          <w:rFonts w:ascii="Verdana" w:eastAsia="Aptos" w:hAnsi="Verdana" w:cs="Times New Roman"/>
          <w:kern w:val="2"/>
          <w14:ligatures w14:val="standardContextual"/>
        </w:rPr>
        <w:t xml:space="preserve"> i) El artículo 1, modifica el artículo 2.2.1.2.4.2.6. del Decreto 1082 de 2015, incorporando la definición de emprendimientos y empresas de personas con discapacidad, con el propósito de adoptar medidas afirmativas que incentiven las personas en condición de discapacidad en el sistema de compras </w:t>
      </w:r>
      <w:r w:rsidRPr="00CA6E03">
        <w:rPr>
          <w:rFonts w:ascii="Verdana" w:eastAsia="Aptos" w:hAnsi="Verdana" w:cs="Times New Roman"/>
          <w:kern w:val="2"/>
          <w14:ligatures w14:val="standardContextual"/>
        </w:rPr>
        <w:lastRenderedPageBreak/>
        <w:t>y contratación pública.</w:t>
      </w:r>
    </w:p>
    <w:p w14:paraId="0E4F8CEC" w14:textId="77777777" w:rsidR="00371591" w:rsidRPr="00CA6E03" w:rsidRDefault="00371591" w:rsidP="00371591">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CA6E03">
        <w:rPr>
          <w:rFonts w:ascii="Verdana" w:eastAsia="Aptos" w:hAnsi="Verdana" w:cs="Times New Roman"/>
          <w:kern w:val="2"/>
          <w14:ligatures w14:val="standardContextual"/>
        </w:rPr>
        <w:t>ii</w:t>
      </w:r>
      <w:proofErr w:type="spellEnd"/>
      <w:r w:rsidRPr="00CA6E03">
        <w:rPr>
          <w:rFonts w:ascii="Verdana" w:eastAsia="Aptos" w:hAnsi="Verdana" w:cs="Times New Roman"/>
          <w:kern w:val="2"/>
          <w14:ligatures w14:val="standardContextual"/>
        </w:rPr>
        <w:t xml:space="preserve">) El artículo 1, modifica el artículo 2.2.1.2.4.2.7. del Decreto 1082 de 2015, estableciendo un Sistema de Preferencias en Favor de las Personas con Discapacidad en el Sistema de Compras y Contratación Pública, mediante medidas afirmativas, que deben adoptar las Entidades Estatales en sus Procesos de Contratación, para promover condiciones efectivas de igualdad para estas personas, corregir barreras estructurales de acceso y fomentar su participación como proponentes, contratistas o integrantes de la cadena de valor. </w:t>
      </w:r>
    </w:p>
    <w:p w14:paraId="1CDE00C5" w14:textId="77777777" w:rsidR="00371591" w:rsidRPr="00CA6E03" w:rsidRDefault="00371591" w:rsidP="00371591">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CA6E03">
        <w:rPr>
          <w:rFonts w:ascii="Verdana" w:eastAsia="Aptos" w:hAnsi="Verdana" w:cs="Times New Roman"/>
          <w:kern w:val="2"/>
          <w14:ligatures w14:val="standardContextual"/>
        </w:rPr>
        <w:t>iii</w:t>
      </w:r>
      <w:proofErr w:type="spellEnd"/>
      <w:r w:rsidRPr="00CA6E03">
        <w:rPr>
          <w:rFonts w:ascii="Verdana" w:eastAsia="Aptos" w:hAnsi="Verdana" w:cs="Times New Roman"/>
          <w:kern w:val="2"/>
          <w14:ligatures w14:val="standardContextual"/>
        </w:rPr>
        <w:t xml:space="preserve">). El artículo 1, incluye el artículo 2.2.1.2.4.2.7.1. del Decreto 1082 de 2015, disponiendo que todas las entidades que manejen recursos públicos están obligadas a garantizar la accesibilidad para personas con discapacidad en sus procesos de contratación. </w:t>
      </w:r>
    </w:p>
    <w:p w14:paraId="0BD0408A" w14:textId="77777777" w:rsidR="00371591" w:rsidRPr="00CA6E03" w:rsidRDefault="00371591" w:rsidP="00371591">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CA6E03">
        <w:rPr>
          <w:rFonts w:ascii="Verdana" w:eastAsia="Aptos" w:hAnsi="Verdana" w:cs="Times New Roman"/>
          <w:kern w:val="2"/>
          <w:sz w:val="24"/>
          <w:szCs w:val="24"/>
          <w14:ligatures w14:val="standardContextual"/>
        </w:rPr>
        <w:t>iv</w:t>
      </w:r>
      <w:proofErr w:type="spellEnd"/>
      <w:r w:rsidRPr="00CA6E03">
        <w:rPr>
          <w:rFonts w:ascii="Verdana" w:eastAsia="Aptos" w:hAnsi="Verdana" w:cs="Times New Roman"/>
          <w:kern w:val="2"/>
          <w:sz w:val="24"/>
          <w:szCs w:val="24"/>
          <w14:ligatures w14:val="standardContextual"/>
        </w:rPr>
        <w:t xml:space="preserve">) </w:t>
      </w:r>
      <w:r w:rsidRPr="00CA6E03">
        <w:rPr>
          <w:rFonts w:ascii="Verdana" w:eastAsia="Aptos" w:hAnsi="Verdana" w:cs="Times New Roman"/>
          <w:kern w:val="2"/>
          <w14:ligatures w14:val="standardContextual"/>
        </w:rPr>
        <w:t>El artículo 1, incluye el 2.2.1.2.4.2.7.2. del Decreto 1082 de 2015. De esta forma, se consagra que, en la planeación contractual, las Entidades Estatales deben implementar acciones concretas para promover la participación de emprendimientos y empresas de personas con discapacidad, asegurando igualdad de oportunidades en los procesos de contratación pública. Esto implica diseñar mecanismos que eliminen barreras de acceso y fomenten una participación más inclusiva desde las etapas iniciales del proceso.</w:t>
      </w:r>
    </w:p>
    <w:p w14:paraId="4F489FBC" w14:textId="77777777" w:rsidR="00371591" w:rsidRPr="00CA6E03" w:rsidRDefault="00371591" w:rsidP="0037159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CA6E03">
        <w:rPr>
          <w:rFonts w:ascii="Verdana" w:eastAsia="Aptos" w:hAnsi="Verdana" w:cs="Times New Roman"/>
          <w:kern w:val="2"/>
          <w14:ligatures w14:val="standardContextual"/>
        </w:rPr>
        <w:t>v) El artículo 1, incluye el artículo 2.2.1.2.4.2.7.3. del Decreto 1082 de 2015, incorporando criterios diferenciales en favor de los emprendimientos y empresas de personas con discapacidad en la habilitación, como parte del sistema de preferencias para esta población en la contratación pública que impone reglamentar la Ley 1618 de 2013. Este aspecto considerando que “(…) es necesario flexibilizar los requisitos habilitantes de los procesos de contratación para facilitar la participación de las personas con discapacidad, debido a que sin esto el puntaje que también regula el presente Decreto (287 de 2026) se vuelve inocuo porque no se podría aplicar si las personas con discapacidad no superan el primer filtro, que resulta de la aplicación de los requisitos habilitantes que pueden resultar un impedimento para la posterior evaluación de su oferta y que pueda tener efectividad el puntaje”</w:t>
      </w:r>
      <w:r w:rsidRPr="00CA6E03">
        <w:rPr>
          <w:rFonts w:ascii="Verdana" w:eastAsia="Aptos" w:hAnsi="Verdana" w:cs="Times New Roman"/>
          <w:kern w:val="2"/>
          <w:vertAlign w:val="superscript"/>
          <w14:ligatures w14:val="standardContextual"/>
        </w:rPr>
        <w:footnoteReference w:id="10"/>
      </w:r>
      <w:r w:rsidRPr="00CA6E03">
        <w:rPr>
          <w:rFonts w:ascii="Verdana" w:eastAsia="Aptos" w:hAnsi="Verdana" w:cs="Times New Roman"/>
          <w:kern w:val="2"/>
          <w14:ligatures w14:val="standardContextual"/>
        </w:rPr>
        <w:t xml:space="preserve">. </w:t>
      </w:r>
    </w:p>
    <w:p w14:paraId="3024D294" w14:textId="77777777" w:rsidR="00371591" w:rsidRPr="00CA6E03" w:rsidRDefault="00371591" w:rsidP="0037159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CA6E03">
        <w:rPr>
          <w:rFonts w:ascii="Verdana" w:eastAsia="Aptos" w:hAnsi="Verdana" w:cs="Times New Roman"/>
          <w:kern w:val="2"/>
          <w14:ligatures w14:val="standardContextual"/>
        </w:rPr>
        <w:t xml:space="preserve">vi) El artículo 1, incluye el artículo 2.1.2.4.2.7.4 del Decreto 1082 de 2015. Así, se establece un puntaje adicional en favor de los empleadores de personas </w:t>
      </w:r>
      <w:r w:rsidRPr="00CA6E03">
        <w:rPr>
          <w:rFonts w:ascii="Verdana" w:eastAsia="Aptos" w:hAnsi="Verdana" w:cs="Times New Roman"/>
          <w:kern w:val="2"/>
          <w14:ligatures w14:val="standardContextual"/>
        </w:rPr>
        <w:lastRenderedPageBreak/>
        <w:t xml:space="preserve">con discapacidad y de los emprendimientos y empresas de personas con discapacidad del dos por ciento (2%) del valor total de los puntos establecidos en el pliego de condiciones o documentos equivalentes, para promover la inclusión laboral de personas con discapacidad en los procedimientos de licitación pública y concurso de méritos que adelanten las entidades estatales, cuando se configuren las situaciones previstas en ese artículo. </w:t>
      </w:r>
    </w:p>
    <w:p w14:paraId="0FAF4518" w14:textId="77777777" w:rsidR="00371591" w:rsidRPr="00CA6E03" w:rsidRDefault="00371591" w:rsidP="00371591">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CA6E03">
        <w:rPr>
          <w:rFonts w:ascii="Verdana" w:eastAsia="Aptos" w:hAnsi="Verdana" w:cs="Times New Roman"/>
          <w:kern w:val="2"/>
          <w14:ligatures w14:val="standardContextual"/>
        </w:rPr>
        <w:t>vii</w:t>
      </w:r>
      <w:proofErr w:type="spellEnd"/>
      <w:r w:rsidRPr="00CA6E03">
        <w:rPr>
          <w:rFonts w:ascii="Verdana" w:eastAsia="Aptos" w:hAnsi="Verdana" w:cs="Times New Roman"/>
          <w:kern w:val="2"/>
          <w14:ligatures w14:val="standardContextual"/>
        </w:rPr>
        <w:t xml:space="preserve">) El artículo 1, incluye el artículo 2.2.1.2.4.2.7.5. del Decreto 1082 de 2015, indicando condiciones especiales de sujeción en favor de personas con discapacidad, que deberán incluir las entidades estatales como obligación contractual en los documentos del proceso, previo análisis de oportunidad y conveniencia. </w:t>
      </w:r>
    </w:p>
    <w:p w14:paraId="51FA6E94" w14:textId="77777777" w:rsidR="00371591" w:rsidRPr="00CA6E03" w:rsidRDefault="00371591" w:rsidP="00371591">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CA6E03">
        <w:rPr>
          <w:rFonts w:ascii="Verdana" w:eastAsia="Aptos" w:hAnsi="Verdana" w:cs="Times New Roman"/>
          <w:kern w:val="2"/>
          <w14:ligatures w14:val="standardContextual"/>
        </w:rPr>
        <w:t>viii</w:t>
      </w:r>
      <w:proofErr w:type="spellEnd"/>
      <w:r w:rsidRPr="00CA6E03">
        <w:rPr>
          <w:rFonts w:ascii="Verdana" w:eastAsia="Aptos" w:hAnsi="Verdana" w:cs="Times New Roman"/>
          <w:kern w:val="2"/>
          <w14:ligatures w14:val="standardContextual"/>
        </w:rPr>
        <w:t>) El artículo 1, incluye el artículo 2.2.1.2.4.2.7.6. del Decreto 1082 de 2015, contemplando que, las Entidades Estatales propenderán por la contratación de personas con discapacidad mediante la celebración de contratos de prestación de servicios profesionales y/o de apoyo a la gestión, de acuerdo con su planeación contractual, disponibilidad presupuestal y las necesidades del servicio.</w:t>
      </w:r>
    </w:p>
    <w:p w14:paraId="0F70FAD6" w14:textId="77777777" w:rsidR="00371591" w:rsidRPr="00CA6E03" w:rsidRDefault="00371591" w:rsidP="00371591">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CA6E03">
        <w:rPr>
          <w:rFonts w:ascii="Verdana" w:eastAsia="Aptos" w:hAnsi="Verdana" w:cs="Times New Roman"/>
          <w:kern w:val="2"/>
          <w14:ligatures w14:val="standardContextual"/>
        </w:rPr>
        <w:t>ix</w:t>
      </w:r>
      <w:proofErr w:type="spellEnd"/>
      <w:r w:rsidRPr="00CA6E03">
        <w:rPr>
          <w:rFonts w:ascii="Verdana" w:eastAsia="Aptos" w:hAnsi="Verdana" w:cs="Times New Roman"/>
          <w:kern w:val="2"/>
          <w14:ligatures w14:val="standardContextual"/>
        </w:rPr>
        <w:t>) El artículo 1, incluye el artículo 2.2.1.2.4.2.7.7. del Decreto 1082 de 2015, que incorpora el</w:t>
      </w:r>
      <w:r w:rsidRPr="00CA6E03">
        <w:rPr>
          <w:rFonts w:ascii="Verdana" w:hAnsi="Verdana"/>
        </w:rPr>
        <w:t xml:space="preserve"> </w:t>
      </w:r>
      <w:r w:rsidRPr="00CA6E03">
        <w:rPr>
          <w:rFonts w:ascii="Verdana" w:eastAsia="Aptos" w:hAnsi="Verdana" w:cs="Times New Roman"/>
          <w:kern w:val="2"/>
          <w14:ligatures w14:val="standardContextual"/>
        </w:rPr>
        <w:t>seguimiento a la inclusión de personas con discapacidad a través de contratos de prestación de servicios profesionales y lo de apoyo a la gestión.</w:t>
      </w:r>
    </w:p>
    <w:p w14:paraId="7C5399C3" w14:textId="77777777" w:rsidR="00371591" w:rsidRPr="00CA6E03" w:rsidRDefault="00371591" w:rsidP="0037159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CA6E03">
        <w:rPr>
          <w:rFonts w:ascii="Verdana" w:eastAsia="Aptos" w:hAnsi="Verdana" w:cs="Times New Roman"/>
          <w:kern w:val="2"/>
          <w14:ligatures w14:val="standardContextual"/>
        </w:rPr>
        <w:t xml:space="preserve">x) El artículo 1, modifica el artículo 2.2.1.2.4.2.7.8 del Decreto 1082 de 2015 y dispone que, la Agencia Nacional de Contratación Pública –Colombia Compra Eficiente garantizará la adopción permanente de las acciones necesarias para que las medidas señaladas en favor de las Personas con Discapacidad se incorporen a los documentos e instrumentos que genera. </w:t>
      </w:r>
    </w:p>
    <w:p w14:paraId="2E3ECC9F" w14:textId="77777777" w:rsidR="00371591" w:rsidRPr="00CA6E03" w:rsidRDefault="00371591" w:rsidP="0037159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CA6E03">
        <w:rPr>
          <w:rFonts w:ascii="Verdana" w:eastAsia="Aptos" w:hAnsi="Verdana" w:cs="Times New Roman"/>
          <w:kern w:val="2"/>
          <w14:ligatures w14:val="standardContextual"/>
        </w:rPr>
        <w:t xml:space="preserve">xi) </w:t>
      </w:r>
      <w:r w:rsidRPr="00CA6E03">
        <w:rPr>
          <w:rFonts w:ascii="Verdana" w:eastAsia="Aptos" w:hAnsi="Verdana" w:cs="Times New Roman"/>
          <w:color w:val="000000" w:themeColor="text1"/>
          <w:kern w:val="2"/>
          <w14:ligatures w14:val="standardContextual"/>
        </w:rPr>
        <w:t>El artículo 1, incluye el artículo 2.2.1.2.4.2.7.9 del Decreto 1082 de 2015</w:t>
      </w:r>
      <w:r w:rsidRPr="00CA6E03">
        <w:rPr>
          <w:rFonts w:ascii="Verdana" w:hAnsi="Verdana"/>
          <w:b/>
          <w:bCs/>
          <w:color w:val="000000" w:themeColor="text1"/>
          <w:sz w:val="25"/>
          <w:szCs w:val="25"/>
          <w:shd w:val="clear" w:color="auto" w:fill="FFFFFF"/>
        </w:rPr>
        <w:t xml:space="preserve"> </w:t>
      </w:r>
      <w:r w:rsidRPr="00CA6E03">
        <w:rPr>
          <w:rFonts w:ascii="Verdana" w:hAnsi="Verdana"/>
          <w:color w:val="000000" w:themeColor="text1"/>
          <w:shd w:val="clear" w:color="auto" w:fill="FFFFFF"/>
        </w:rPr>
        <w:t>que establece lo referente al</w:t>
      </w:r>
      <w:r w:rsidRPr="00CA6E03">
        <w:rPr>
          <w:rFonts w:ascii="Verdana" w:hAnsi="Verdana"/>
          <w:b/>
          <w:bCs/>
          <w:color w:val="000000" w:themeColor="text1"/>
          <w:sz w:val="25"/>
          <w:szCs w:val="25"/>
          <w:shd w:val="clear" w:color="auto" w:fill="FFFFFF"/>
        </w:rPr>
        <w:t xml:space="preserve"> </w:t>
      </w:r>
      <w:r w:rsidRPr="00CA6E03">
        <w:rPr>
          <w:rFonts w:ascii="Verdana" w:eastAsia="Aptos" w:hAnsi="Verdana" w:cs="Times New Roman"/>
          <w:color w:val="000000" w:themeColor="text1"/>
          <w:kern w:val="2"/>
          <w14:ligatures w14:val="standardContextual"/>
        </w:rPr>
        <w:t>acceso y accesibilidad del sistema electrónico de contratación pública - SECOP. </w:t>
      </w:r>
    </w:p>
    <w:p w14:paraId="3A3CB020" w14:textId="77777777" w:rsidR="00371591" w:rsidRPr="00CA6E03" w:rsidRDefault="00371591" w:rsidP="00371591">
      <w:pPr>
        <w:widowControl w:val="0"/>
        <w:autoSpaceDE w:val="0"/>
        <w:autoSpaceDN w:val="0"/>
        <w:spacing w:after="120" w:line="276" w:lineRule="auto"/>
        <w:jc w:val="both"/>
        <w:rPr>
          <w:rFonts w:ascii="Verdana" w:eastAsia="Times New Roman" w:hAnsi="Verdana" w:cs="Times New Roman"/>
        </w:rPr>
      </w:pPr>
      <w:proofErr w:type="spellStart"/>
      <w:r w:rsidRPr="00CA6E03">
        <w:rPr>
          <w:rFonts w:ascii="Verdana" w:eastAsia="Aptos" w:hAnsi="Verdana" w:cs="Times New Roman"/>
          <w:kern w:val="2"/>
          <w14:ligatures w14:val="standardContextual"/>
        </w:rPr>
        <w:t>ii</w:t>
      </w:r>
      <w:proofErr w:type="spellEnd"/>
      <w:r w:rsidRPr="00CA6E03">
        <w:rPr>
          <w:rFonts w:ascii="Verdana" w:eastAsia="Aptos" w:hAnsi="Verdana" w:cs="Times New Roman"/>
          <w:kern w:val="2"/>
          <w14:ligatures w14:val="standardContextual"/>
        </w:rPr>
        <w:t xml:space="preserve">. Ahora bien, de acuerdo con las inquietudes planteadas, resulta necesario realizar algunas precisiones en relación con el artículo 2.1.2.4.2.7.4 del Decreto 287 de 2026, el cual contempla </w:t>
      </w:r>
      <w:r w:rsidRPr="00CA6E03">
        <w:rPr>
          <w:rFonts w:ascii="Verdana" w:eastAsia="Times New Roman" w:hAnsi="Verdana" w:cs="Times New Roman"/>
        </w:rPr>
        <w:t xml:space="preserve">uno de los incentivos centrales en favor </w:t>
      </w:r>
      <w:r w:rsidRPr="00CA6E03">
        <w:rPr>
          <w:rFonts w:ascii="Verdana" w:eastAsia="Aptos" w:hAnsi="Verdana" w:cs="Times New Roman"/>
          <w:kern w:val="2"/>
          <w14:ligatures w14:val="standardContextual"/>
        </w:rPr>
        <w:t>de los empleadores de personas con discapacidad y de los emprendimientos y empresas de personas con discapacidad</w:t>
      </w:r>
      <w:r w:rsidRPr="00CA6E03">
        <w:rPr>
          <w:rFonts w:ascii="Verdana" w:eastAsia="Times New Roman" w:hAnsi="Verdana" w:cs="Times New Roman"/>
        </w:rPr>
        <w:t xml:space="preserve">, referente al puntaje adicional del 2% </w:t>
      </w:r>
      <w:r w:rsidRPr="00CA6E03">
        <w:rPr>
          <w:rFonts w:ascii="Verdana" w:eastAsia="Times New Roman" w:hAnsi="Verdana" w:cs="Times New Roman"/>
        </w:rPr>
        <w:lastRenderedPageBreak/>
        <w:t>del valor total de los puntos establecidos en los pliegos de condiciones o documento equivalente.</w:t>
      </w:r>
    </w:p>
    <w:p w14:paraId="453D9697" w14:textId="77777777" w:rsidR="00371591" w:rsidRPr="00CA6E03" w:rsidRDefault="00371591" w:rsidP="00371591">
      <w:pPr>
        <w:widowControl w:val="0"/>
        <w:autoSpaceDE w:val="0"/>
        <w:autoSpaceDN w:val="0"/>
        <w:spacing w:after="120" w:line="276" w:lineRule="auto"/>
        <w:ind w:firstLine="709"/>
        <w:jc w:val="both"/>
        <w:rPr>
          <w:rFonts w:ascii="Verdana" w:eastAsia="Aptos" w:hAnsi="Verdana" w:cs="Times New Roman"/>
          <w:kern w:val="2"/>
          <w14:ligatures w14:val="standardContextual"/>
        </w:rPr>
      </w:pPr>
      <w:r w:rsidRPr="00CA6E03">
        <w:rPr>
          <w:rFonts w:ascii="Verdana" w:eastAsia="Times New Roman" w:hAnsi="Verdana" w:cs="Times New Roman"/>
        </w:rPr>
        <w:t xml:space="preserve">De conformidad con la norma en mención, este puntaje puede obtenerse en los procesos de licitación pública y de concurso de méritos, acreditando cualquiera de las siguientes situaciones: i) ser emprendimiento o empresa de </w:t>
      </w:r>
      <w:proofErr w:type="spellStart"/>
      <w:r w:rsidRPr="00CA6E03">
        <w:rPr>
          <w:rFonts w:ascii="Verdana" w:eastAsia="Times New Roman" w:hAnsi="Verdana" w:cs="Times New Roman"/>
        </w:rPr>
        <w:t>PcD</w:t>
      </w:r>
      <w:proofErr w:type="spellEnd"/>
      <w:r w:rsidRPr="00CA6E03">
        <w:rPr>
          <w:rFonts w:ascii="Verdana" w:eastAsia="Times New Roman" w:hAnsi="Verdana" w:cs="Times New Roman"/>
        </w:rPr>
        <w:t xml:space="preserve">, conforme a las categorías del artículo 2.2.1.2.4.2.6., o ser </w:t>
      </w:r>
      <w:proofErr w:type="spellStart"/>
      <w:r w:rsidRPr="00CA6E03">
        <w:rPr>
          <w:rFonts w:ascii="Verdana" w:eastAsia="Times New Roman" w:hAnsi="Verdana" w:cs="Times New Roman"/>
        </w:rPr>
        <w:t>ii</w:t>
      </w:r>
      <w:proofErr w:type="spellEnd"/>
      <w:r w:rsidRPr="00CA6E03">
        <w:rPr>
          <w:rFonts w:ascii="Verdana" w:eastAsia="Times New Roman" w:hAnsi="Verdana" w:cs="Times New Roman"/>
        </w:rPr>
        <w:t xml:space="preserve">) empleador de </w:t>
      </w:r>
      <w:proofErr w:type="spellStart"/>
      <w:r w:rsidRPr="00CA6E03">
        <w:rPr>
          <w:rFonts w:ascii="Verdana" w:eastAsia="Times New Roman" w:hAnsi="Verdana" w:cs="Times New Roman"/>
        </w:rPr>
        <w:t>PcD</w:t>
      </w:r>
      <w:proofErr w:type="spellEnd"/>
      <w:r w:rsidRPr="00CA6E03">
        <w:rPr>
          <w:rFonts w:ascii="Verdana" w:eastAsia="Times New Roman" w:hAnsi="Verdana" w:cs="Times New Roman"/>
        </w:rPr>
        <w:t xml:space="preserve"> que supere los mínimos de vinculación exigidos por la Ley 2466 de 2025 (Reforma Laboral) conforme a la tabla establecida. Sin embargo, el hecho de que ambas condiciones puedan acreditarse simultáneamente no significa que el puntaje sea acumulable. El mismo artículo es explícito al disponer que:</w:t>
      </w:r>
    </w:p>
    <w:p w14:paraId="66C6E5F6" w14:textId="77777777" w:rsidR="00371591" w:rsidRPr="00CA6E03" w:rsidRDefault="00371591" w:rsidP="00371591">
      <w:pPr>
        <w:spacing w:after="0" w:line="240" w:lineRule="auto"/>
        <w:jc w:val="both"/>
        <w:rPr>
          <w:rFonts w:ascii="Verdana" w:eastAsia="Times New Roman" w:hAnsi="Verdana" w:cs="Times New Roman"/>
        </w:rPr>
      </w:pPr>
    </w:p>
    <w:p w14:paraId="7770F6AA" w14:textId="77777777" w:rsidR="00371591" w:rsidRPr="00CA6E03" w:rsidRDefault="00371591" w:rsidP="00371591">
      <w:pPr>
        <w:spacing w:after="0" w:line="240" w:lineRule="auto"/>
        <w:ind w:left="720" w:right="720"/>
        <w:jc w:val="both"/>
        <w:rPr>
          <w:rFonts w:ascii="Verdana" w:eastAsia="Times New Roman" w:hAnsi="Verdana" w:cs="Times New Roman"/>
          <w:sz w:val="20"/>
          <w:szCs w:val="20"/>
        </w:rPr>
      </w:pPr>
      <w:r w:rsidRPr="00CA6E03">
        <w:rPr>
          <w:rFonts w:ascii="Verdana" w:eastAsia="Times New Roman" w:hAnsi="Verdana" w:cs="Times New Roman"/>
          <w:sz w:val="20"/>
          <w:szCs w:val="20"/>
        </w:rPr>
        <w:t>"El proponente podrá acreditar alguna de las situaciones mencionadas, y en todo caso el puntaje adicional total y único a otorgar por este criterio será del dos por ciento (2%), sin que sean acumulables a efecto de la evaluación de la oferta."</w:t>
      </w:r>
    </w:p>
    <w:p w14:paraId="43B3D1F7" w14:textId="77777777" w:rsidR="00371591" w:rsidRPr="00CA6E03" w:rsidRDefault="00371591" w:rsidP="00371591">
      <w:pPr>
        <w:spacing w:after="0" w:line="240" w:lineRule="auto"/>
        <w:ind w:left="720" w:right="720"/>
        <w:jc w:val="both"/>
        <w:rPr>
          <w:rFonts w:ascii="Verdana" w:hAnsi="Verdana"/>
          <w:sz w:val="20"/>
          <w:szCs w:val="20"/>
        </w:rPr>
      </w:pPr>
    </w:p>
    <w:p w14:paraId="648AD475" w14:textId="77777777" w:rsidR="00371591" w:rsidRPr="00CA6E03" w:rsidRDefault="00371591" w:rsidP="00371591">
      <w:pPr>
        <w:spacing w:after="120" w:line="276" w:lineRule="auto"/>
        <w:ind w:firstLine="709"/>
        <w:jc w:val="both"/>
        <w:rPr>
          <w:rFonts w:ascii="Verdana" w:eastAsia="Times New Roman" w:hAnsi="Verdana" w:cs="Times New Roman"/>
        </w:rPr>
      </w:pPr>
      <w:r w:rsidRPr="00CA6E03">
        <w:rPr>
          <w:rFonts w:ascii="Verdana" w:eastAsia="Times New Roman" w:hAnsi="Verdana" w:cs="Times New Roman"/>
        </w:rPr>
        <w:t xml:space="preserve">Esta decisión normativa responde a que el 2% incorpora el estímulo suficiente para promover la inclusión de </w:t>
      </w:r>
      <w:proofErr w:type="spellStart"/>
      <w:r w:rsidRPr="00CA6E03">
        <w:rPr>
          <w:rFonts w:ascii="Verdana" w:eastAsia="Times New Roman" w:hAnsi="Verdana" w:cs="Times New Roman"/>
        </w:rPr>
        <w:t>PcD</w:t>
      </w:r>
      <w:proofErr w:type="spellEnd"/>
      <w:r w:rsidRPr="00CA6E03">
        <w:rPr>
          <w:rFonts w:ascii="Verdana" w:eastAsia="Times New Roman" w:hAnsi="Verdana" w:cs="Times New Roman"/>
        </w:rPr>
        <w:t xml:space="preserve"> y permitir su acumulación distorsionaría la evaluación de las ofertas en perjuicio de la pluralidad de oferentes y de la selección objetiva, que son principios rectores de la contratación estatal. Es importante distinguir entre la acreditación de condiciones y el puntaje resultante, ya que el proponente puede acreditar varias condiciones al mismo tiempo, pero el puntaje que recibe siempre será el 2%, sin variación. En términos prácticos, en una licitación de 1.000 puntos el 2% equivale a 20 puntos adicionales, ventaja que puede ser determinante en escenarios de puntuaciones cercanas.</w:t>
      </w:r>
    </w:p>
    <w:p w14:paraId="3D0583A4" w14:textId="77777777" w:rsidR="00371591" w:rsidRPr="00CA6E03" w:rsidRDefault="00371591" w:rsidP="00371591">
      <w:pPr>
        <w:spacing w:after="120" w:line="276" w:lineRule="auto"/>
        <w:ind w:firstLine="709"/>
        <w:jc w:val="both"/>
        <w:rPr>
          <w:rFonts w:ascii="Verdana" w:eastAsia="Times New Roman" w:hAnsi="Verdana" w:cs="Times New Roman"/>
        </w:rPr>
      </w:pPr>
      <w:r w:rsidRPr="00CA6E03">
        <w:rPr>
          <w:rFonts w:ascii="Verdana" w:eastAsia="Times New Roman" w:hAnsi="Verdana" w:cs="Times New Roman"/>
        </w:rPr>
        <w:t xml:space="preserve">Bajo este contexto, debe señalarse que los requisitos exigidos para acceder a este puntaje varían según el sujeto que deba acreditarlos. Por un lado, cuando se trata de un emprendimiento o empresa de </w:t>
      </w:r>
      <w:proofErr w:type="spellStart"/>
      <w:r w:rsidRPr="00CA6E03">
        <w:rPr>
          <w:rFonts w:ascii="Verdana" w:eastAsia="Times New Roman" w:hAnsi="Verdana" w:cs="Times New Roman"/>
        </w:rPr>
        <w:t>PcD</w:t>
      </w:r>
      <w:proofErr w:type="spellEnd"/>
      <w:r w:rsidRPr="00CA6E03">
        <w:rPr>
          <w:rFonts w:ascii="Verdana" w:eastAsia="Times New Roman" w:hAnsi="Verdana" w:cs="Times New Roman"/>
        </w:rPr>
        <w:t>, los documentos requeridos son los establecidos en el artículo 2.2.1.2.4.2.6., que varían según la categoría que se acredite. En efecto, el numeral 1 de la disposición en comento remite expresamente al artículo 2.2.1.2.4.2.6 del Decreto 287 de 2026, que establece la definición de emprendimientos y empresas de personas con discapacidad, por lo que para acceder al puntaje adicional, el proponente deberá acreditar el cumplimiento de las condiciones allí previstas, de conformidad con la tarifa legal contemplada en cada uno de los numerales de dicha disposición.</w:t>
      </w:r>
    </w:p>
    <w:p w14:paraId="1797FD14" w14:textId="77777777" w:rsidR="00371591" w:rsidRPr="00CA6E03" w:rsidRDefault="00371591" w:rsidP="00371591">
      <w:pPr>
        <w:spacing w:after="120" w:line="276" w:lineRule="auto"/>
        <w:ind w:firstLine="709"/>
        <w:jc w:val="both"/>
        <w:rPr>
          <w:rFonts w:ascii="Verdana" w:eastAsia="Times New Roman" w:hAnsi="Verdana" w:cs="Times New Roman"/>
        </w:rPr>
      </w:pPr>
      <w:r w:rsidRPr="00CA6E03">
        <w:rPr>
          <w:rFonts w:ascii="Verdana" w:eastAsia="Times New Roman" w:hAnsi="Verdana" w:cs="Times New Roman"/>
        </w:rPr>
        <w:lastRenderedPageBreak/>
        <w:t xml:space="preserve">Por otro lado, conforme lo señala el numeral 2 </w:t>
      </w:r>
      <w:r w:rsidRPr="00CA6E03">
        <w:rPr>
          <w:rFonts w:ascii="Verdana" w:eastAsia="Times New Roman" w:hAnsi="Verdana" w:cs="Times New Roman"/>
          <w:i/>
          <w:iCs/>
        </w:rPr>
        <w:t>ibidem</w:t>
      </w:r>
      <w:r w:rsidRPr="00CA6E03">
        <w:rPr>
          <w:rFonts w:ascii="Verdana" w:eastAsia="Times New Roman" w:hAnsi="Verdana" w:cs="Times New Roman"/>
        </w:rPr>
        <w:t xml:space="preserve">, cuando se trata de un empleador de </w:t>
      </w:r>
      <w:proofErr w:type="spellStart"/>
      <w:r w:rsidRPr="00CA6E03">
        <w:rPr>
          <w:rFonts w:ascii="Verdana" w:eastAsia="Times New Roman" w:hAnsi="Verdana" w:cs="Times New Roman"/>
        </w:rPr>
        <w:t>PcD</w:t>
      </w:r>
      <w:proofErr w:type="spellEnd"/>
      <w:r w:rsidRPr="00CA6E03">
        <w:rPr>
          <w:rFonts w:ascii="Verdana" w:eastAsia="Times New Roman" w:hAnsi="Verdana" w:cs="Times New Roman"/>
        </w:rPr>
        <w:t xml:space="preserve">, el proponente debe acreditar dentro de su planta de personal la vinculación de personas con discapacidad mediante contrato laboral con dedicación exclusiva, superando los mínimos que exige la Ley 2466 de 2025 (Reforma Laboral). El número mínimo de </w:t>
      </w:r>
      <w:proofErr w:type="spellStart"/>
      <w:r w:rsidRPr="00CA6E03">
        <w:rPr>
          <w:rFonts w:ascii="Verdana" w:eastAsia="Times New Roman" w:hAnsi="Verdana" w:cs="Times New Roman"/>
        </w:rPr>
        <w:t>PcD</w:t>
      </w:r>
      <w:proofErr w:type="spellEnd"/>
      <w:r w:rsidRPr="00CA6E03">
        <w:rPr>
          <w:rFonts w:ascii="Verdana" w:eastAsia="Times New Roman" w:hAnsi="Verdana" w:cs="Times New Roman"/>
        </w:rPr>
        <w:t xml:space="preserve"> requerido varía según el tamaño de la planta de personal del proponente, conforme a la siguiente tabla:</w:t>
      </w:r>
    </w:p>
    <w:p w14:paraId="3CD49B38" w14:textId="77777777" w:rsidR="00371591" w:rsidRPr="00CA6E03" w:rsidRDefault="00371591" w:rsidP="00371591">
      <w:pPr>
        <w:spacing w:after="120" w:line="276" w:lineRule="auto"/>
        <w:ind w:firstLine="709"/>
        <w:jc w:val="both"/>
        <w:rPr>
          <w:rFonts w:ascii="Verdana" w:hAnsi="Verdana"/>
        </w:rPr>
      </w:pPr>
    </w:p>
    <w:tbl>
      <w:tblPr>
        <w:tblW w:w="6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56"/>
        <w:gridCol w:w="3107"/>
      </w:tblGrid>
      <w:tr w:rsidR="00371591" w:rsidRPr="00CA6E03" w14:paraId="4E8484E4" w14:textId="77777777" w:rsidTr="00A428AC">
        <w:trPr>
          <w:trHeight w:val="90"/>
          <w:jc w:val="center"/>
        </w:trPr>
        <w:tc>
          <w:tcPr>
            <w:tcW w:w="355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3537A9A" w14:textId="77777777" w:rsidR="00371591" w:rsidRPr="00CA6E03" w:rsidRDefault="00371591" w:rsidP="00A428AC">
            <w:pPr>
              <w:spacing w:after="0" w:line="240" w:lineRule="auto"/>
              <w:jc w:val="center"/>
              <w:rPr>
                <w:rFonts w:ascii="Verdana" w:hAnsi="Verdana"/>
                <w:sz w:val="18"/>
                <w:szCs w:val="18"/>
              </w:rPr>
            </w:pPr>
            <w:r w:rsidRPr="00CA6E03">
              <w:rPr>
                <w:rFonts w:ascii="Verdana" w:eastAsia="Times New Roman" w:hAnsi="Verdana" w:cs="Times New Roman"/>
                <w:b/>
                <w:bCs/>
                <w:sz w:val="18"/>
                <w:szCs w:val="18"/>
              </w:rPr>
              <w:t>Número total de trabajadores de la planta de personal del proponente</w:t>
            </w:r>
          </w:p>
        </w:tc>
        <w:tc>
          <w:tcPr>
            <w:tcW w:w="310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49335D1" w14:textId="77777777" w:rsidR="00371591" w:rsidRPr="00CA6E03" w:rsidRDefault="00371591" w:rsidP="00A428AC">
            <w:pPr>
              <w:spacing w:after="0" w:line="240" w:lineRule="auto"/>
              <w:jc w:val="center"/>
              <w:rPr>
                <w:rFonts w:ascii="Verdana" w:hAnsi="Verdana"/>
                <w:sz w:val="18"/>
                <w:szCs w:val="18"/>
              </w:rPr>
            </w:pPr>
            <w:r w:rsidRPr="00CA6E03">
              <w:rPr>
                <w:rFonts w:ascii="Verdana" w:eastAsia="Times New Roman" w:hAnsi="Verdana" w:cs="Times New Roman"/>
                <w:b/>
                <w:bCs/>
                <w:sz w:val="18"/>
                <w:szCs w:val="18"/>
              </w:rPr>
              <w:t>Número mínimo de trabajadores con discapacidad requerido</w:t>
            </w:r>
          </w:p>
        </w:tc>
      </w:tr>
      <w:tr w:rsidR="00371591" w:rsidRPr="00CA6E03" w14:paraId="3D8BC69C" w14:textId="77777777" w:rsidTr="00A428AC">
        <w:trPr>
          <w:trHeight w:val="25"/>
          <w:jc w:val="center"/>
        </w:trPr>
        <w:tc>
          <w:tcPr>
            <w:tcW w:w="3556"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CEB034E" w14:textId="77777777" w:rsidR="00371591" w:rsidRPr="00CA6E03" w:rsidRDefault="00371591" w:rsidP="00A428AC">
            <w:pPr>
              <w:spacing w:after="0" w:line="240" w:lineRule="auto"/>
              <w:jc w:val="center"/>
              <w:rPr>
                <w:rFonts w:ascii="Verdana" w:hAnsi="Verdana"/>
                <w:sz w:val="18"/>
                <w:szCs w:val="18"/>
              </w:rPr>
            </w:pPr>
            <w:r w:rsidRPr="00CA6E03">
              <w:rPr>
                <w:rFonts w:ascii="Verdana" w:eastAsia="Times New Roman" w:hAnsi="Verdana" w:cs="Times New Roman"/>
                <w:sz w:val="18"/>
                <w:szCs w:val="18"/>
              </w:rPr>
              <w:t>Entre 1 y 30</w:t>
            </w:r>
          </w:p>
        </w:tc>
        <w:tc>
          <w:tcPr>
            <w:tcW w:w="310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EEAB76D" w14:textId="77777777" w:rsidR="00371591" w:rsidRPr="00CA6E03" w:rsidRDefault="00371591" w:rsidP="00A428AC">
            <w:pPr>
              <w:spacing w:after="0" w:line="240" w:lineRule="auto"/>
              <w:jc w:val="center"/>
              <w:rPr>
                <w:rFonts w:ascii="Verdana" w:hAnsi="Verdana"/>
                <w:sz w:val="18"/>
                <w:szCs w:val="18"/>
              </w:rPr>
            </w:pPr>
            <w:r w:rsidRPr="00CA6E03">
              <w:rPr>
                <w:rFonts w:ascii="Verdana" w:eastAsia="Times New Roman" w:hAnsi="Verdana" w:cs="Times New Roman"/>
                <w:sz w:val="18"/>
                <w:szCs w:val="18"/>
              </w:rPr>
              <w:t>2</w:t>
            </w:r>
          </w:p>
        </w:tc>
      </w:tr>
      <w:tr w:rsidR="00371591" w:rsidRPr="00CA6E03" w14:paraId="27BB45EC" w14:textId="77777777" w:rsidTr="00A428AC">
        <w:trPr>
          <w:trHeight w:val="25"/>
          <w:jc w:val="center"/>
        </w:trPr>
        <w:tc>
          <w:tcPr>
            <w:tcW w:w="3556"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64F2BCF" w14:textId="77777777" w:rsidR="00371591" w:rsidRPr="00CA6E03" w:rsidRDefault="00371591" w:rsidP="00A428AC">
            <w:pPr>
              <w:spacing w:after="0" w:line="240" w:lineRule="auto"/>
              <w:jc w:val="center"/>
              <w:rPr>
                <w:rFonts w:ascii="Verdana" w:hAnsi="Verdana"/>
                <w:sz w:val="18"/>
                <w:szCs w:val="18"/>
              </w:rPr>
            </w:pPr>
            <w:r w:rsidRPr="00CA6E03">
              <w:rPr>
                <w:rFonts w:ascii="Verdana" w:eastAsia="Times New Roman" w:hAnsi="Verdana" w:cs="Times New Roman"/>
                <w:sz w:val="18"/>
                <w:szCs w:val="18"/>
              </w:rPr>
              <w:t>Entre 31 y 100</w:t>
            </w:r>
          </w:p>
        </w:tc>
        <w:tc>
          <w:tcPr>
            <w:tcW w:w="310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6507593" w14:textId="77777777" w:rsidR="00371591" w:rsidRPr="00CA6E03" w:rsidRDefault="00371591" w:rsidP="00A428AC">
            <w:pPr>
              <w:spacing w:after="0" w:line="240" w:lineRule="auto"/>
              <w:jc w:val="center"/>
              <w:rPr>
                <w:rFonts w:ascii="Verdana" w:hAnsi="Verdana"/>
                <w:sz w:val="18"/>
                <w:szCs w:val="18"/>
              </w:rPr>
            </w:pPr>
            <w:r w:rsidRPr="00CA6E03">
              <w:rPr>
                <w:rFonts w:ascii="Verdana" w:eastAsia="Times New Roman" w:hAnsi="Verdana" w:cs="Times New Roman"/>
                <w:sz w:val="18"/>
                <w:szCs w:val="18"/>
              </w:rPr>
              <w:t>3</w:t>
            </w:r>
          </w:p>
        </w:tc>
      </w:tr>
      <w:tr w:rsidR="00371591" w:rsidRPr="00CA6E03" w14:paraId="04022A2B" w14:textId="77777777" w:rsidTr="002940EB">
        <w:trPr>
          <w:jc w:val="center"/>
        </w:trPr>
        <w:tc>
          <w:tcPr>
            <w:tcW w:w="3556"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6762714" w14:textId="77777777" w:rsidR="00371591" w:rsidRPr="00CA6E03" w:rsidRDefault="00371591" w:rsidP="00A428AC">
            <w:pPr>
              <w:spacing w:after="0" w:line="240" w:lineRule="auto"/>
              <w:jc w:val="center"/>
              <w:rPr>
                <w:rFonts w:ascii="Verdana" w:hAnsi="Verdana"/>
                <w:sz w:val="18"/>
                <w:szCs w:val="18"/>
              </w:rPr>
            </w:pPr>
            <w:r w:rsidRPr="00CA6E03">
              <w:rPr>
                <w:rFonts w:ascii="Verdana" w:eastAsia="Times New Roman" w:hAnsi="Verdana" w:cs="Times New Roman"/>
                <w:sz w:val="18"/>
                <w:szCs w:val="18"/>
              </w:rPr>
              <w:t>Entre 101 y 150</w:t>
            </w:r>
          </w:p>
        </w:tc>
        <w:tc>
          <w:tcPr>
            <w:tcW w:w="310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DC61AE3" w14:textId="77777777" w:rsidR="00371591" w:rsidRPr="00CA6E03" w:rsidRDefault="00371591" w:rsidP="00A428AC">
            <w:pPr>
              <w:spacing w:after="0" w:line="240" w:lineRule="auto"/>
              <w:jc w:val="center"/>
              <w:rPr>
                <w:rFonts w:ascii="Verdana" w:hAnsi="Verdana"/>
                <w:sz w:val="18"/>
                <w:szCs w:val="18"/>
              </w:rPr>
            </w:pPr>
            <w:r w:rsidRPr="00CA6E03">
              <w:rPr>
                <w:rFonts w:ascii="Verdana" w:eastAsia="Times New Roman" w:hAnsi="Verdana" w:cs="Times New Roman"/>
                <w:sz w:val="18"/>
                <w:szCs w:val="18"/>
              </w:rPr>
              <w:t>4</w:t>
            </w:r>
          </w:p>
        </w:tc>
      </w:tr>
      <w:tr w:rsidR="00371591" w:rsidRPr="00CA6E03" w14:paraId="028445EB" w14:textId="77777777" w:rsidTr="002940EB">
        <w:trPr>
          <w:jc w:val="center"/>
        </w:trPr>
        <w:tc>
          <w:tcPr>
            <w:tcW w:w="3556"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21873D5" w14:textId="77777777" w:rsidR="00371591" w:rsidRPr="00CA6E03" w:rsidRDefault="00371591" w:rsidP="00A428AC">
            <w:pPr>
              <w:spacing w:after="0" w:line="240" w:lineRule="auto"/>
              <w:jc w:val="center"/>
              <w:rPr>
                <w:rFonts w:ascii="Verdana" w:hAnsi="Verdana"/>
                <w:sz w:val="18"/>
                <w:szCs w:val="18"/>
              </w:rPr>
            </w:pPr>
            <w:r w:rsidRPr="00CA6E03">
              <w:rPr>
                <w:rFonts w:ascii="Verdana" w:eastAsia="Times New Roman" w:hAnsi="Verdana" w:cs="Times New Roman"/>
                <w:sz w:val="18"/>
                <w:szCs w:val="18"/>
              </w:rPr>
              <w:t>Entre 151 y 200</w:t>
            </w:r>
          </w:p>
        </w:tc>
        <w:tc>
          <w:tcPr>
            <w:tcW w:w="310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F20A5C4" w14:textId="77777777" w:rsidR="00371591" w:rsidRPr="00CA6E03" w:rsidRDefault="00371591" w:rsidP="00A428AC">
            <w:pPr>
              <w:spacing w:after="0" w:line="240" w:lineRule="auto"/>
              <w:jc w:val="center"/>
              <w:rPr>
                <w:rFonts w:ascii="Verdana" w:hAnsi="Verdana"/>
                <w:sz w:val="18"/>
                <w:szCs w:val="18"/>
              </w:rPr>
            </w:pPr>
            <w:r w:rsidRPr="00CA6E03">
              <w:rPr>
                <w:rFonts w:ascii="Verdana" w:eastAsia="Times New Roman" w:hAnsi="Verdana" w:cs="Times New Roman"/>
                <w:sz w:val="18"/>
                <w:szCs w:val="18"/>
              </w:rPr>
              <w:t>5</w:t>
            </w:r>
          </w:p>
        </w:tc>
      </w:tr>
      <w:tr w:rsidR="00371591" w:rsidRPr="00CA6E03" w14:paraId="19904840" w14:textId="77777777" w:rsidTr="002940EB">
        <w:trPr>
          <w:jc w:val="center"/>
        </w:trPr>
        <w:tc>
          <w:tcPr>
            <w:tcW w:w="3556"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77B098F" w14:textId="77777777" w:rsidR="00371591" w:rsidRPr="00CA6E03" w:rsidRDefault="00371591" w:rsidP="00A428AC">
            <w:pPr>
              <w:spacing w:after="0" w:line="240" w:lineRule="auto"/>
              <w:jc w:val="center"/>
              <w:rPr>
                <w:rFonts w:ascii="Verdana" w:hAnsi="Verdana"/>
                <w:sz w:val="18"/>
                <w:szCs w:val="18"/>
              </w:rPr>
            </w:pPr>
            <w:r w:rsidRPr="00CA6E03">
              <w:rPr>
                <w:rFonts w:ascii="Verdana" w:eastAsia="Times New Roman" w:hAnsi="Verdana" w:cs="Times New Roman"/>
                <w:sz w:val="18"/>
                <w:szCs w:val="18"/>
              </w:rPr>
              <w:t>Entre 201 y 300</w:t>
            </w:r>
          </w:p>
        </w:tc>
        <w:tc>
          <w:tcPr>
            <w:tcW w:w="310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62A8DD7" w14:textId="77777777" w:rsidR="00371591" w:rsidRPr="00CA6E03" w:rsidRDefault="00371591" w:rsidP="00A428AC">
            <w:pPr>
              <w:spacing w:after="0" w:line="240" w:lineRule="auto"/>
              <w:jc w:val="center"/>
              <w:rPr>
                <w:rFonts w:ascii="Verdana" w:hAnsi="Verdana"/>
                <w:sz w:val="18"/>
                <w:szCs w:val="18"/>
              </w:rPr>
            </w:pPr>
            <w:r w:rsidRPr="00CA6E03">
              <w:rPr>
                <w:rFonts w:ascii="Verdana" w:eastAsia="Times New Roman" w:hAnsi="Verdana" w:cs="Times New Roman"/>
                <w:sz w:val="18"/>
                <w:szCs w:val="18"/>
              </w:rPr>
              <w:t>7</w:t>
            </w:r>
          </w:p>
        </w:tc>
      </w:tr>
      <w:tr w:rsidR="00371591" w:rsidRPr="00CA6E03" w14:paraId="37467B07" w14:textId="77777777" w:rsidTr="002940EB">
        <w:trPr>
          <w:jc w:val="center"/>
        </w:trPr>
        <w:tc>
          <w:tcPr>
            <w:tcW w:w="3556"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F307C3E" w14:textId="77777777" w:rsidR="00371591" w:rsidRPr="00CA6E03" w:rsidRDefault="00371591" w:rsidP="00A428AC">
            <w:pPr>
              <w:spacing w:after="0" w:line="240" w:lineRule="auto"/>
              <w:jc w:val="center"/>
              <w:rPr>
                <w:rFonts w:ascii="Verdana" w:hAnsi="Verdana"/>
                <w:sz w:val="18"/>
                <w:szCs w:val="18"/>
              </w:rPr>
            </w:pPr>
            <w:r w:rsidRPr="00CA6E03">
              <w:rPr>
                <w:rFonts w:ascii="Verdana" w:eastAsia="Times New Roman" w:hAnsi="Verdana" w:cs="Times New Roman"/>
                <w:sz w:val="18"/>
                <w:szCs w:val="18"/>
              </w:rPr>
              <w:t>Entre 301 y 400</w:t>
            </w:r>
          </w:p>
        </w:tc>
        <w:tc>
          <w:tcPr>
            <w:tcW w:w="310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21B2AD2" w14:textId="77777777" w:rsidR="00371591" w:rsidRPr="00CA6E03" w:rsidRDefault="00371591" w:rsidP="00A428AC">
            <w:pPr>
              <w:spacing w:after="0" w:line="240" w:lineRule="auto"/>
              <w:jc w:val="center"/>
              <w:rPr>
                <w:rFonts w:ascii="Verdana" w:hAnsi="Verdana"/>
                <w:sz w:val="18"/>
                <w:szCs w:val="18"/>
              </w:rPr>
            </w:pPr>
            <w:r w:rsidRPr="00CA6E03">
              <w:rPr>
                <w:rFonts w:ascii="Verdana" w:eastAsia="Times New Roman" w:hAnsi="Verdana" w:cs="Times New Roman"/>
                <w:sz w:val="18"/>
                <w:szCs w:val="18"/>
              </w:rPr>
              <w:t>10</w:t>
            </w:r>
          </w:p>
        </w:tc>
      </w:tr>
      <w:tr w:rsidR="00371591" w:rsidRPr="00CA6E03" w14:paraId="609DF451" w14:textId="77777777" w:rsidTr="002940EB">
        <w:trPr>
          <w:jc w:val="center"/>
        </w:trPr>
        <w:tc>
          <w:tcPr>
            <w:tcW w:w="3556"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5EA92FC" w14:textId="77777777" w:rsidR="00371591" w:rsidRPr="00CA6E03" w:rsidRDefault="00371591" w:rsidP="00A428AC">
            <w:pPr>
              <w:spacing w:after="0" w:line="240" w:lineRule="auto"/>
              <w:jc w:val="center"/>
              <w:rPr>
                <w:rFonts w:ascii="Verdana" w:hAnsi="Verdana"/>
                <w:sz w:val="18"/>
                <w:szCs w:val="18"/>
              </w:rPr>
            </w:pPr>
            <w:r w:rsidRPr="00CA6E03">
              <w:rPr>
                <w:rFonts w:ascii="Verdana" w:eastAsia="Times New Roman" w:hAnsi="Verdana" w:cs="Times New Roman"/>
                <w:sz w:val="18"/>
                <w:szCs w:val="18"/>
              </w:rPr>
              <w:t>Entre 401 y 500</w:t>
            </w:r>
          </w:p>
        </w:tc>
        <w:tc>
          <w:tcPr>
            <w:tcW w:w="310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315A66A" w14:textId="77777777" w:rsidR="00371591" w:rsidRPr="00CA6E03" w:rsidRDefault="00371591" w:rsidP="00A428AC">
            <w:pPr>
              <w:spacing w:after="0" w:line="240" w:lineRule="auto"/>
              <w:jc w:val="center"/>
              <w:rPr>
                <w:rFonts w:ascii="Verdana" w:hAnsi="Verdana"/>
                <w:sz w:val="18"/>
                <w:szCs w:val="18"/>
              </w:rPr>
            </w:pPr>
            <w:r w:rsidRPr="00CA6E03">
              <w:rPr>
                <w:rFonts w:ascii="Verdana" w:eastAsia="Times New Roman" w:hAnsi="Verdana" w:cs="Times New Roman"/>
                <w:sz w:val="18"/>
                <w:szCs w:val="18"/>
              </w:rPr>
              <w:t>12</w:t>
            </w:r>
          </w:p>
        </w:tc>
      </w:tr>
      <w:tr w:rsidR="00371591" w:rsidRPr="00CA6E03" w14:paraId="1B0FDBBA" w14:textId="77777777" w:rsidTr="002940EB">
        <w:trPr>
          <w:jc w:val="center"/>
        </w:trPr>
        <w:tc>
          <w:tcPr>
            <w:tcW w:w="3556"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6B2B007" w14:textId="77777777" w:rsidR="00371591" w:rsidRPr="00CA6E03" w:rsidRDefault="00371591" w:rsidP="00A428AC">
            <w:pPr>
              <w:spacing w:after="0" w:line="240" w:lineRule="auto"/>
              <w:jc w:val="center"/>
              <w:rPr>
                <w:rFonts w:ascii="Verdana" w:hAnsi="Verdana"/>
                <w:sz w:val="18"/>
                <w:szCs w:val="18"/>
              </w:rPr>
            </w:pPr>
            <w:r w:rsidRPr="00CA6E03">
              <w:rPr>
                <w:rFonts w:ascii="Verdana" w:eastAsia="Times New Roman" w:hAnsi="Verdana" w:cs="Times New Roman"/>
                <w:sz w:val="18"/>
                <w:szCs w:val="18"/>
              </w:rPr>
              <w:t>Entre 501 y 600</w:t>
            </w:r>
          </w:p>
        </w:tc>
        <w:tc>
          <w:tcPr>
            <w:tcW w:w="310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017C5E6" w14:textId="77777777" w:rsidR="00371591" w:rsidRPr="00CA6E03" w:rsidRDefault="00371591" w:rsidP="00A428AC">
            <w:pPr>
              <w:spacing w:after="0" w:line="240" w:lineRule="auto"/>
              <w:jc w:val="center"/>
              <w:rPr>
                <w:rFonts w:ascii="Verdana" w:hAnsi="Verdana"/>
                <w:sz w:val="18"/>
                <w:szCs w:val="18"/>
              </w:rPr>
            </w:pPr>
            <w:r w:rsidRPr="00CA6E03">
              <w:rPr>
                <w:rFonts w:ascii="Verdana" w:eastAsia="Times New Roman" w:hAnsi="Verdana" w:cs="Times New Roman"/>
                <w:sz w:val="18"/>
                <w:szCs w:val="18"/>
              </w:rPr>
              <w:t>14</w:t>
            </w:r>
          </w:p>
        </w:tc>
      </w:tr>
      <w:tr w:rsidR="00371591" w:rsidRPr="00CA6E03" w14:paraId="7612AD86" w14:textId="77777777" w:rsidTr="002940EB">
        <w:trPr>
          <w:jc w:val="center"/>
        </w:trPr>
        <w:tc>
          <w:tcPr>
            <w:tcW w:w="3556"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A6D39DF" w14:textId="77777777" w:rsidR="00371591" w:rsidRPr="00CA6E03" w:rsidRDefault="00371591" w:rsidP="00A428AC">
            <w:pPr>
              <w:spacing w:after="0" w:line="240" w:lineRule="auto"/>
              <w:jc w:val="center"/>
              <w:rPr>
                <w:rFonts w:ascii="Verdana" w:hAnsi="Verdana"/>
                <w:sz w:val="18"/>
                <w:szCs w:val="18"/>
              </w:rPr>
            </w:pPr>
            <w:r w:rsidRPr="00CA6E03">
              <w:rPr>
                <w:rFonts w:ascii="Verdana" w:eastAsia="Times New Roman" w:hAnsi="Verdana" w:cs="Times New Roman"/>
                <w:sz w:val="18"/>
                <w:szCs w:val="18"/>
              </w:rPr>
              <w:t>Entre 601 y 700</w:t>
            </w:r>
          </w:p>
        </w:tc>
        <w:tc>
          <w:tcPr>
            <w:tcW w:w="310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B520EE7" w14:textId="77777777" w:rsidR="00371591" w:rsidRPr="00CA6E03" w:rsidRDefault="00371591" w:rsidP="00A428AC">
            <w:pPr>
              <w:spacing w:after="0" w:line="240" w:lineRule="auto"/>
              <w:jc w:val="center"/>
              <w:rPr>
                <w:rFonts w:ascii="Verdana" w:hAnsi="Verdana"/>
                <w:sz w:val="18"/>
                <w:szCs w:val="18"/>
              </w:rPr>
            </w:pPr>
            <w:r w:rsidRPr="00CA6E03">
              <w:rPr>
                <w:rFonts w:ascii="Verdana" w:eastAsia="Times New Roman" w:hAnsi="Verdana" w:cs="Times New Roman"/>
                <w:sz w:val="18"/>
                <w:szCs w:val="18"/>
              </w:rPr>
              <w:t>16</w:t>
            </w:r>
          </w:p>
        </w:tc>
      </w:tr>
      <w:tr w:rsidR="00371591" w:rsidRPr="00CA6E03" w14:paraId="089A261B" w14:textId="77777777" w:rsidTr="002940EB">
        <w:trPr>
          <w:jc w:val="center"/>
        </w:trPr>
        <w:tc>
          <w:tcPr>
            <w:tcW w:w="3556"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597E650" w14:textId="77777777" w:rsidR="00371591" w:rsidRPr="00CA6E03" w:rsidRDefault="00371591" w:rsidP="00A428AC">
            <w:pPr>
              <w:spacing w:after="0" w:line="240" w:lineRule="auto"/>
              <w:jc w:val="center"/>
              <w:rPr>
                <w:rFonts w:ascii="Verdana" w:hAnsi="Verdana"/>
                <w:sz w:val="18"/>
                <w:szCs w:val="18"/>
              </w:rPr>
            </w:pPr>
            <w:r w:rsidRPr="00CA6E03">
              <w:rPr>
                <w:rFonts w:ascii="Verdana" w:eastAsia="Times New Roman" w:hAnsi="Verdana" w:cs="Times New Roman"/>
                <w:sz w:val="18"/>
                <w:szCs w:val="18"/>
              </w:rPr>
              <w:t>Más de 700</w:t>
            </w:r>
          </w:p>
        </w:tc>
        <w:tc>
          <w:tcPr>
            <w:tcW w:w="310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F6B75FC" w14:textId="77777777" w:rsidR="00371591" w:rsidRPr="00CA6E03" w:rsidRDefault="00371591" w:rsidP="00A428AC">
            <w:pPr>
              <w:spacing w:after="0" w:line="240" w:lineRule="auto"/>
              <w:jc w:val="center"/>
              <w:rPr>
                <w:rFonts w:ascii="Verdana" w:hAnsi="Verdana"/>
                <w:sz w:val="18"/>
                <w:szCs w:val="18"/>
              </w:rPr>
            </w:pPr>
            <w:r w:rsidRPr="00CA6E03">
              <w:rPr>
                <w:rFonts w:ascii="Verdana" w:eastAsia="Times New Roman" w:hAnsi="Verdana" w:cs="Times New Roman"/>
                <w:sz w:val="18"/>
                <w:szCs w:val="18"/>
              </w:rPr>
              <w:t>Por cada 100 trabajadores adicionales, se suman 2 trabajadores con discapacidad</w:t>
            </w:r>
          </w:p>
        </w:tc>
      </w:tr>
    </w:tbl>
    <w:p w14:paraId="1CB4A078" w14:textId="77777777" w:rsidR="00371591" w:rsidRPr="00CA6E03" w:rsidRDefault="00371591" w:rsidP="00371591">
      <w:pPr>
        <w:spacing w:after="120" w:line="276" w:lineRule="auto"/>
        <w:rPr>
          <w:rFonts w:ascii="Verdana" w:hAnsi="Verdana"/>
        </w:rPr>
      </w:pPr>
    </w:p>
    <w:p w14:paraId="587CDA15" w14:textId="77777777" w:rsidR="00371591" w:rsidRPr="00CA6E03" w:rsidRDefault="00371591" w:rsidP="00371591">
      <w:pPr>
        <w:spacing w:after="120" w:line="276" w:lineRule="auto"/>
        <w:ind w:firstLine="709"/>
        <w:jc w:val="both"/>
        <w:rPr>
          <w:rFonts w:ascii="Verdana" w:eastAsia="Calibri" w:hAnsi="Verdana" w:cs="Arial"/>
          <w:bCs/>
          <w:color w:val="000000" w:themeColor="text1"/>
        </w:rPr>
      </w:pPr>
      <w:r w:rsidRPr="00CA6E03">
        <w:rPr>
          <w:rFonts w:ascii="Verdana" w:eastAsia="Times New Roman" w:hAnsi="Verdana" w:cs="Times New Roman"/>
        </w:rPr>
        <w:t>Frente a la expresión “dedicación exclusiva” a la que se refiere el numeral 2 de la norma en mención, resulta pertinente precisar que la norma no consagra una definición expresa de dicho concepto, por lo que, para determinar su alcance y contenido, es necesario acudir a las reglas generales de interpretación</w:t>
      </w:r>
      <w:r w:rsidRPr="00CA6E03">
        <w:rPr>
          <w:rFonts w:ascii="Verdana" w:eastAsia="Calibri" w:hAnsi="Verdana" w:cs="Arial"/>
          <w:bCs/>
          <w:color w:val="000000" w:themeColor="text1"/>
        </w:rPr>
        <w:t xml:space="preserve">. Al respecto, el artículo 28 del Código Civil dispone que: “Las palabras de la ley se entenderán en su sentido natural y obvio, según el uso general de las mismas palabras; pero cuando el legislador las haya definido expresamente para ciertas materias, se les dará en éstas su significado legal”. Igualmente, el artículo 29 </w:t>
      </w:r>
      <w:r w:rsidRPr="00CA6E03">
        <w:rPr>
          <w:rFonts w:ascii="Verdana" w:eastAsia="Calibri" w:hAnsi="Verdana" w:cs="Arial"/>
          <w:bCs/>
          <w:i/>
          <w:iCs/>
          <w:color w:val="000000" w:themeColor="text1"/>
        </w:rPr>
        <w:t>ibidem</w:t>
      </w:r>
      <w:r w:rsidRPr="00CA6E03">
        <w:rPr>
          <w:rFonts w:ascii="Verdana" w:eastAsia="Calibri" w:hAnsi="Verdana" w:cs="Arial"/>
          <w:bCs/>
          <w:color w:val="000000" w:themeColor="text1"/>
        </w:rPr>
        <w:t xml:space="preserve"> prescribe lo siguiente: “Las palabras técnicas de toda ciencia o arte se </w:t>
      </w:r>
      <w:r w:rsidRPr="00CA6E03">
        <w:rPr>
          <w:rFonts w:ascii="Verdana" w:eastAsia="Calibri" w:hAnsi="Verdana" w:cs="Arial"/>
          <w:bCs/>
          <w:color w:val="000000" w:themeColor="text1"/>
        </w:rPr>
        <w:lastRenderedPageBreak/>
        <w:t>tomarán en el sentido que les den los que profesan la misma ciencia o arte; a menos que aparezca claramente que se han formado en sentido diverso”</w:t>
      </w:r>
      <w:r w:rsidRPr="00CA6E03">
        <w:rPr>
          <w:rStyle w:val="Refdenotaalpie"/>
          <w:rFonts w:ascii="Verdana" w:eastAsia="Calibri" w:hAnsi="Verdana" w:cs="Arial"/>
          <w:bCs/>
          <w:color w:val="000000" w:themeColor="text1"/>
        </w:rPr>
        <w:footnoteReference w:id="11"/>
      </w:r>
      <w:r w:rsidRPr="00CA6E03">
        <w:rPr>
          <w:rFonts w:ascii="Verdana" w:eastAsia="Calibri" w:hAnsi="Verdana" w:cs="Arial"/>
          <w:bCs/>
          <w:color w:val="000000" w:themeColor="text1"/>
        </w:rPr>
        <w:t xml:space="preserve">. </w:t>
      </w:r>
    </w:p>
    <w:p w14:paraId="48C74433" w14:textId="77777777" w:rsidR="00371591" w:rsidRPr="00CA6E03" w:rsidRDefault="00371591" w:rsidP="00371591">
      <w:pPr>
        <w:spacing w:after="120" w:line="276" w:lineRule="auto"/>
        <w:ind w:firstLine="709"/>
        <w:jc w:val="both"/>
        <w:rPr>
          <w:rFonts w:ascii="Verdana" w:eastAsia="Times New Roman" w:hAnsi="Verdana" w:cs="Times New Roman"/>
        </w:rPr>
      </w:pPr>
      <w:r w:rsidRPr="00CA6E03">
        <w:rPr>
          <w:rFonts w:ascii="Verdana" w:eastAsia="Times New Roman" w:hAnsi="Verdana" w:cs="Times New Roman"/>
        </w:rPr>
        <w:t>Bajo este criterio interpretativo, según la Real Academia de la Lengua Española “dedicación exclusiva” se entiende como la “dedicación que por compromiso o contrato ocupa todo el tiempo disponible, con exclusión de cualquier otro trabajo</w:t>
      </w:r>
      <w:r w:rsidRPr="00CA6E03">
        <w:rPr>
          <w:rStyle w:val="Refdenotaalpie"/>
          <w:rFonts w:ascii="Verdana" w:eastAsia="Times New Roman" w:hAnsi="Verdana" w:cs="Times New Roman"/>
        </w:rPr>
        <w:footnoteReference w:id="12"/>
      </w:r>
      <w:r w:rsidRPr="00CA6E03">
        <w:rPr>
          <w:rFonts w:ascii="Verdana" w:eastAsia="Times New Roman" w:hAnsi="Verdana" w:cs="Times New Roman"/>
        </w:rPr>
        <w:t xml:space="preserve">”. De esta manera, de acuerdo con su sentido natural y obvio debe interpretarse que la locución “dedicación exclusiva” en el marco del numeral 2 del artículo </w:t>
      </w:r>
      <w:r w:rsidRPr="00CA6E03">
        <w:rPr>
          <w:rFonts w:ascii="Verdana" w:eastAsia="Aptos" w:hAnsi="Verdana" w:cs="Times New Roman"/>
          <w:kern w:val="2"/>
          <w14:ligatures w14:val="standardContextual"/>
        </w:rPr>
        <w:t xml:space="preserve">2.1.2.4.2.7.4 </w:t>
      </w:r>
      <w:r w:rsidRPr="00CA6E03">
        <w:rPr>
          <w:rFonts w:ascii="Verdana" w:eastAsia="Times New Roman" w:hAnsi="Verdana" w:cs="Times New Roman"/>
        </w:rPr>
        <w:t>del Decreto 287 de 2026, hace referencia a una relación laboral en la cual el trabajador presta sus servicios únicamente para un determinado empleador, es decir, existe exclusividad en el vínculo laboral. Así, la exclusividad no se encuentra asociada necesariamente a la duración de la jornada de trabajo, que puede ser completa o parcial, sino a la imposibilidad de que el trabajador mantenga simultáneamente otro vínculo laboral con un empleador distinto respecto de las actividades objeto de dicha contratación.</w:t>
      </w:r>
    </w:p>
    <w:p w14:paraId="1F9039F0" w14:textId="77777777" w:rsidR="00371591" w:rsidRPr="00CA6E03" w:rsidRDefault="00371591" w:rsidP="00371591">
      <w:pPr>
        <w:spacing w:after="120" w:line="276" w:lineRule="auto"/>
        <w:ind w:firstLine="709"/>
        <w:jc w:val="both"/>
        <w:rPr>
          <w:rFonts w:ascii="Verdana" w:eastAsia="Times New Roman" w:hAnsi="Verdana" w:cs="Times New Roman"/>
        </w:rPr>
      </w:pPr>
      <w:r w:rsidRPr="00CA6E03">
        <w:rPr>
          <w:rFonts w:ascii="Verdana" w:eastAsia="Times New Roman" w:hAnsi="Verdana" w:cs="Times New Roman"/>
        </w:rPr>
        <w:t>Esta interpretación resulta consistente con el significado común de la expresión “exclusivo”, la cual alude a “único, solo, excluyendo a cualquier otro</w:t>
      </w:r>
      <w:r w:rsidRPr="00CA6E03">
        <w:rPr>
          <w:rStyle w:val="Refdenotaalpie"/>
          <w:rFonts w:ascii="Verdana" w:eastAsia="Times New Roman" w:hAnsi="Verdana" w:cs="Times New Roman"/>
        </w:rPr>
        <w:footnoteReference w:id="13"/>
      </w:r>
      <w:r w:rsidRPr="00CA6E03">
        <w:rPr>
          <w:rFonts w:ascii="Verdana" w:eastAsia="Times New Roman" w:hAnsi="Verdana" w:cs="Times New Roman"/>
        </w:rPr>
        <w:t xml:space="preserve">”. De esta forma, cuando la disposición exige un “contrato laboral con dedicación exclusiva”, el alcance razonable de la exigencia es que la persona con discapacidad se encuentre vinculada exclusivamente al proponente, independientemente del tiempo establecido para la jornada laboral. </w:t>
      </w:r>
    </w:p>
    <w:p w14:paraId="7B0B64C1" w14:textId="77777777" w:rsidR="00371591" w:rsidRPr="00CA6E03" w:rsidRDefault="00371591" w:rsidP="00371591">
      <w:pPr>
        <w:spacing w:after="120" w:line="276" w:lineRule="auto"/>
        <w:ind w:firstLine="709"/>
        <w:jc w:val="both"/>
        <w:rPr>
          <w:rFonts w:ascii="Verdana" w:eastAsia="Times New Roman" w:hAnsi="Verdana" w:cs="Times New Roman"/>
        </w:rPr>
      </w:pPr>
      <w:r w:rsidRPr="00CA6E03">
        <w:rPr>
          <w:rFonts w:ascii="Verdana" w:eastAsia="Times New Roman" w:hAnsi="Verdana" w:cs="Times New Roman"/>
        </w:rPr>
        <w:lastRenderedPageBreak/>
        <w:t xml:space="preserve">Adicionalmente, aunque el ordenamiento jurídico no contempla una definición general y única de “dedicación exclusiva”, hay desarrollos jurisprudenciales que han empleado dicha expresión para referirse precisamente a la obligación de prestar servicios únicamente para un empleador o entidad. Así, por ejemplo, en la Sentencia C-819 de 2010, la Corte Constitucional de Colombia analizó la constitucionalidad de la Ley 1123 del 2007 “por la cual se establece el Código Disciplinario del Abogado”, destacando que “el propósito del numeral 1º del artículo 29 de la Ley 1123 de 2007 fue asegurar la </w:t>
      </w:r>
      <w:r w:rsidRPr="00CA6E03">
        <w:rPr>
          <w:rFonts w:ascii="Verdana" w:eastAsia="Times New Roman" w:hAnsi="Verdana" w:cs="Times New Roman"/>
          <w:i/>
          <w:iCs/>
        </w:rPr>
        <w:t>dedicación exclusiva</w:t>
      </w:r>
      <w:r w:rsidRPr="00CA6E03">
        <w:rPr>
          <w:rFonts w:ascii="Verdana" w:eastAsia="Times New Roman" w:hAnsi="Verdana" w:cs="Times New Roman"/>
        </w:rPr>
        <w:t xml:space="preserve"> de los (las) servidores (as) públicos (as) al ejercicio de sus funciones y, en tal sentido, obtener una actuación eficaz y eficiente encaminada a garantizar la protección del interés general</w:t>
      </w:r>
      <w:r w:rsidRPr="00CA6E03">
        <w:rPr>
          <w:rStyle w:val="Refdenotaalpie"/>
          <w:rFonts w:ascii="Verdana" w:eastAsia="Times New Roman" w:hAnsi="Verdana" w:cs="Times New Roman"/>
        </w:rPr>
        <w:footnoteReference w:id="14"/>
      </w:r>
      <w:r w:rsidRPr="00CA6E03">
        <w:rPr>
          <w:rFonts w:ascii="Verdana" w:eastAsia="Times New Roman" w:hAnsi="Verdana" w:cs="Times New Roman"/>
        </w:rPr>
        <w:t>”. Si bien el contexto analizado por la Corte corresponde al empleo público, lo relevante para efectos interpretativos es que el concepto de “dedicación exclusiva” fue entendido como sinónimo de exclusividad en la prestación del servicio de la función pública frente a un solo empleador.</w:t>
      </w:r>
    </w:p>
    <w:p w14:paraId="7F2545A2" w14:textId="77777777" w:rsidR="00371591" w:rsidRPr="00CA6E03" w:rsidRDefault="00371591" w:rsidP="00371591">
      <w:pPr>
        <w:spacing w:after="120" w:line="276" w:lineRule="auto"/>
        <w:ind w:firstLine="709"/>
        <w:jc w:val="both"/>
        <w:rPr>
          <w:rFonts w:ascii="Verdana" w:eastAsia="Times New Roman" w:hAnsi="Verdana" w:cs="Times New Roman"/>
        </w:rPr>
      </w:pPr>
      <w:r w:rsidRPr="00CA6E03">
        <w:rPr>
          <w:rFonts w:ascii="Verdana" w:eastAsia="Times New Roman" w:hAnsi="Verdana" w:cs="Times New Roman"/>
        </w:rPr>
        <w:t xml:space="preserve">En consecuencia, una interpretación sistemática y literal de la disposición permite concluir que el requisito de “dedicación exclusiva” se cumple cuando la persona con discapacidad mantiene un vínculo laboral exclusivo con el proponente, independientemente de que la jornada pactada sea de tiempo completo o parcial, pues la norma no condicionó dicha exigencia a una intensidad horaria determinada sino a la naturaleza a la dedicación exclusiva del vínculo laboral, que se verificará  con el </w:t>
      </w:r>
      <w:r w:rsidRPr="00CA6E03">
        <w:rPr>
          <w:rFonts w:ascii="Verdana" w:eastAsia="Aptos" w:hAnsi="Verdana" w:cs="Times New Roman"/>
          <w:kern w:val="2"/>
          <w14:ligatures w14:val="standardContextual"/>
        </w:rPr>
        <w:t xml:space="preserve">contrato de trabajo o la certificación laboral con las funciones. </w:t>
      </w:r>
    </w:p>
    <w:p w14:paraId="53ED4C11" w14:textId="77777777" w:rsidR="00371591" w:rsidRPr="00CA6E03" w:rsidRDefault="00371591" w:rsidP="00371591">
      <w:pPr>
        <w:spacing w:after="120" w:line="276" w:lineRule="auto"/>
        <w:ind w:firstLine="708"/>
        <w:jc w:val="both"/>
        <w:rPr>
          <w:rFonts w:ascii="Verdana" w:eastAsia="Times New Roman" w:hAnsi="Verdana" w:cs="Times New Roman"/>
        </w:rPr>
      </w:pPr>
      <w:r w:rsidRPr="00CA6E03">
        <w:rPr>
          <w:rFonts w:ascii="Verdana" w:eastAsia="Times New Roman" w:hAnsi="Verdana" w:cs="Times New Roman"/>
        </w:rPr>
        <w:t>Para efectos de la acreditación de la condición establecida en el numeral 2 del artículo 2.2.1.2.4.2.7.4, se establece que la verificación de estas condiciones se realizará por parte de las Entidades Estatales con base en los siguientes documentos</w:t>
      </w:r>
      <w:r w:rsidRPr="00CA6E03">
        <w:rPr>
          <w:rFonts w:ascii="Verdana" w:eastAsia="Times New Roman" w:hAnsi="Verdana" w:cs="Times New Roman"/>
          <w:i/>
          <w:iCs/>
        </w:rPr>
        <w:t xml:space="preserve"> </w:t>
      </w:r>
      <w:r w:rsidRPr="00CA6E03">
        <w:rPr>
          <w:rFonts w:ascii="Verdana" w:eastAsia="Times New Roman" w:hAnsi="Verdana" w:cs="Times New Roman"/>
        </w:rPr>
        <w:t>que el proponente deberá aportar junta con su oferta, de manera física o digital:</w:t>
      </w:r>
    </w:p>
    <w:p w14:paraId="518BF786" w14:textId="77777777" w:rsidR="00371591" w:rsidRPr="00CA6E03" w:rsidRDefault="00371591" w:rsidP="00371591">
      <w:pPr>
        <w:spacing w:after="0" w:line="276" w:lineRule="auto"/>
        <w:ind w:firstLine="709"/>
        <w:jc w:val="both"/>
        <w:rPr>
          <w:rFonts w:ascii="Verdana" w:eastAsia="Times New Roman" w:hAnsi="Verdana" w:cs="Times New Roman"/>
        </w:rPr>
      </w:pPr>
    </w:p>
    <w:p w14:paraId="01A3B73C" w14:textId="77777777" w:rsidR="00371591" w:rsidRPr="00CA6E03" w:rsidRDefault="00371591" w:rsidP="00371591">
      <w:pPr>
        <w:spacing w:after="0" w:line="240" w:lineRule="auto"/>
        <w:ind w:left="720" w:right="720"/>
        <w:jc w:val="both"/>
        <w:rPr>
          <w:rFonts w:ascii="Verdana" w:eastAsia="Times New Roman" w:hAnsi="Verdana" w:cs="Times New Roman"/>
          <w:sz w:val="20"/>
          <w:szCs w:val="20"/>
        </w:rPr>
      </w:pPr>
      <w:r w:rsidRPr="00CA6E03">
        <w:rPr>
          <w:rFonts w:ascii="Verdana" w:eastAsia="Times New Roman" w:hAnsi="Verdana" w:cs="Times New Roman"/>
          <w:sz w:val="20"/>
          <w:szCs w:val="20"/>
        </w:rPr>
        <w:t xml:space="preserve">- Certificación expedida con una antelación no mayor a treinta (30) días calendario respecto a la fecha de presentación de la oferta, suscrita por el representante legal del proponente y el revisor fiscal, cuando exista de acuerdo con los requerimientos de ley, o el contador, en la que conste el número de personas con discapacidad que conforman su planta de </w:t>
      </w:r>
      <w:r w:rsidRPr="00CA6E03">
        <w:rPr>
          <w:rFonts w:ascii="Verdana" w:eastAsia="Times New Roman" w:hAnsi="Verdana" w:cs="Times New Roman"/>
          <w:sz w:val="20"/>
          <w:szCs w:val="20"/>
        </w:rPr>
        <w:lastRenderedPageBreak/>
        <w:t xml:space="preserve">personal. La certificación deberá relacionar el nombre completo y el número de documento de identidad de cada una de las personas con discapacidad. </w:t>
      </w:r>
    </w:p>
    <w:p w14:paraId="00B92D53" w14:textId="77777777" w:rsidR="00371591" w:rsidRPr="00CA6E03" w:rsidRDefault="00371591" w:rsidP="00371591">
      <w:pPr>
        <w:spacing w:after="0" w:line="240" w:lineRule="auto"/>
        <w:ind w:left="720" w:right="720"/>
        <w:jc w:val="both"/>
        <w:rPr>
          <w:rFonts w:ascii="Verdana" w:eastAsia="Times New Roman" w:hAnsi="Verdana" w:cs="Times New Roman"/>
          <w:sz w:val="20"/>
          <w:szCs w:val="20"/>
        </w:rPr>
      </w:pPr>
    </w:p>
    <w:p w14:paraId="5B0C894A" w14:textId="77777777" w:rsidR="00371591" w:rsidRPr="00CA6E03" w:rsidRDefault="00371591" w:rsidP="00371591">
      <w:pPr>
        <w:spacing w:after="0" w:line="240" w:lineRule="auto"/>
        <w:ind w:left="720" w:right="720"/>
        <w:jc w:val="both"/>
        <w:rPr>
          <w:rFonts w:ascii="Verdana" w:eastAsia="Times New Roman" w:hAnsi="Verdana" w:cs="Times New Roman"/>
          <w:sz w:val="20"/>
          <w:szCs w:val="20"/>
        </w:rPr>
      </w:pPr>
      <w:r w:rsidRPr="00CA6E03">
        <w:rPr>
          <w:rFonts w:ascii="Verdana" w:eastAsia="Times New Roman" w:hAnsi="Verdana" w:cs="Times New Roman"/>
          <w:sz w:val="20"/>
          <w:szCs w:val="20"/>
        </w:rPr>
        <w:t>-Como soporte, se anexará copia de los respectivos documentos de identidad, copia de los contratos de trabajo o certificación laboral con las funciones, sin que se puedan relacionar contratos de prestación de servicios, así como el certificado de aportes a seguridad social de los últimas tres (3) meses en el que se demuestren los pagos realizados por el empleador, y el certificado de discapacidad expedido conforme a la normativa vigente del Ministerio de Salud y Protección Social.</w:t>
      </w:r>
    </w:p>
    <w:p w14:paraId="0AFBD3CF" w14:textId="77777777" w:rsidR="00371591" w:rsidRPr="00CA6E03" w:rsidRDefault="00371591" w:rsidP="00371591">
      <w:pPr>
        <w:spacing w:after="0" w:line="240" w:lineRule="auto"/>
        <w:ind w:left="720" w:right="720"/>
        <w:jc w:val="both"/>
        <w:rPr>
          <w:rFonts w:ascii="Verdana" w:eastAsia="Times New Roman" w:hAnsi="Verdana" w:cs="Times New Roman"/>
          <w:sz w:val="20"/>
          <w:szCs w:val="20"/>
        </w:rPr>
      </w:pPr>
    </w:p>
    <w:p w14:paraId="79F950FC" w14:textId="77777777" w:rsidR="00371591" w:rsidRPr="00CA6E03" w:rsidRDefault="00371591" w:rsidP="00371591">
      <w:pPr>
        <w:spacing w:after="0" w:line="240" w:lineRule="auto"/>
        <w:ind w:left="720" w:right="720"/>
        <w:jc w:val="both"/>
        <w:rPr>
          <w:rFonts w:ascii="Verdana" w:eastAsia="Times New Roman" w:hAnsi="Verdana" w:cs="Times New Roman"/>
          <w:sz w:val="20"/>
          <w:szCs w:val="20"/>
        </w:rPr>
      </w:pPr>
      <w:r w:rsidRPr="00CA6E03">
        <w:rPr>
          <w:rFonts w:ascii="Verdana" w:eastAsia="Times New Roman" w:hAnsi="Verdana" w:cs="Times New Roman"/>
          <w:sz w:val="20"/>
          <w:szCs w:val="20"/>
        </w:rPr>
        <w:t>- También, esta verificación se hará con el certificado que para el efecto expide el Ministerio de Trabajo y la entidad estatal contratante verificará la vigencia de dicha certificación, de conformidad con la normativa aplicable.</w:t>
      </w:r>
    </w:p>
    <w:p w14:paraId="6CA4DADD" w14:textId="77777777" w:rsidR="00371591" w:rsidRPr="00CA6E03" w:rsidRDefault="00371591" w:rsidP="00371591">
      <w:pPr>
        <w:spacing w:after="0" w:line="240" w:lineRule="auto"/>
        <w:ind w:left="720" w:right="720"/>
        <w:jc w:val="both"/>
        <w:rPr>
          <w:rFonts w:ascii="Verdana" w:eastAsia="Times New Roman" w:hAnsi="Verdana" w:cs="Times New Roman"/>
          <w:sz w:val="20"/>
          <w:szCs w:val="20"/>
        </w:rPr>
      </w:pPr>
    </w:p>
    <w:p w14:paraId="0B6D524A" w14:textId="77777777" w:rsidR="00371591" w:rsidRPr="00CA6E03" w:rsidRDefault="00371591" w:rsidP="00371591">
      <w:pPr>
        <w:widowControl w:val="0"/>
        <w:autoSpaceDE w:val="0"/>
        <w:autoSpaceDN w:val="0"/>
        <w:spacing w:after="120" w:line="276" w:lineRule="auto"/>
        <w:ind w:firstLine="708"/>
        <w:jc w:val="both"/>
        <w:rPr>
          <w:rFonts w:ascii="Verdana" w:eastAsia="Times New Roman" w:hAnsi="Verdana" w:cs="Times New Roman"/>
        </w:rPr>
      </w:pPr>
      <w:r w:rsidRPr="00CA6E03">
        <w:rPr>
          <w:rFonts w:ascii="Verdana" w:eastAsia="Times New Roman" w:hAnsi="Verdana" w:cs="Times New Roman"/>
        </w:rPr>
        <w:t xml:space="preserve"> Como se evidencia, el proponente deberá presentar: i) la certificación suscrita por el representante legal del proponente y el revisor fiscal, cuando exista, o el contador, en la que conste el número de personas con discapacidad que conforman su planta de personal que deberá relacionar el nombre completo y el número de documento de identidad de cada una de las personas con discapacidad.</w:t>
      </w:r>
      <w:r w:rsidRPr="00CA6E03">
        <w:rPr>
          <w:rFonts w:ascii="Verdana" w:eastAsia="Aptos" w:hAnsi="Verdana" w:cs="Times New Roman"/>
          <w:kern w:val="2"/>
          <w14:ligatures w14:val="standardContextual"/>
        </w:rPr>
        <w:t xml:space="preserve"> Dicho documento además debe relacionar los respectivos documentos de identidad, copia de los contratos de trabajo o certificación laboral con las funciones, sin que se puedan relacionar contratos de prestación de servicios, así como el certificado de aportes a seguridad social de los últimas tres (3) meses en el que se demuestren los pagos realizados por el empleador, y el certificado de discapacidad expedido conforme a la normativa vigente del Ministerio de Salud y Protección Social. </w:t>
      </w:r>
      <w:r w:rsidRPr="00CA6E03">
        <w:rPr>
          <w:rFonts w:ascii="Verdana" w:eastAsia="Times New Roman" w:hAnsi="Verdana" w:cs="Times New Roman"/>
        </w:rPr>
        <w:t xml:space="preserve">Y </w:t>
      </w:r>
      <w:proofErr w:type="spellStart"/>
      <w:r w:rsidRPr="00CA6E03">
        <w:rPr>
          <w:rFonts w:ascii="Verdana" w:eastAsia="Times New Roman" w:hAnsi="Verdana" w:cs="Times New Roman"/>
        </w:rPr>
        <w:t>ii</w:t>
      </w:r>
      <w:proofErr w:type="spellEnd"/>
      <w:r w:rsidRPr="00CA6E03">
        <w:rPr>
          <w:rFonts w:ascii="Verdana" w:eastAsia="Times New Roman" w:hAnsi="Verdana" w:cs="Times New Roman"/>
        </w:rPr>
        <w:t xml:space="preserve">) el certificado que para el efecto expide el Ministerio del Trabajo, cuya vigencia deberá ser verificada por la entidad estatal, conforme a la normativa aplicable. </w:t>
      </w:r>
    </w:p>
    <w:p w14:paraId="7BFA9A0D" w14:textId="77777777" w:rsidR="00371591" w:rsidRPr="00CA6E03" w:rsidRDefault="00371591" w:rsidP="00371591">
      <w:pPr>
        <w:widowControl w:val="0"/>
        <w:autoSpaceDE w:val="0"/>
        <w:autoSpaceDN w:val="0"/>
        <w:spacing w:after="120" w:line="276" w:lineRule="auto"/>
        <w:ind w:firstLine="708"/>
        <w:jc w:val="both"/>
        <w:rPr>
          <w:rFonts w:ascii="Verdana" w:eastAsia="Times New Roman" w:hAnsi="Verdana" w:cs="Times New Roman"/>
        </w:rPr>
      </w:pPr>
      <w:r w:rsidRPr="00CA6E03">
        <w:rPr>
          <w:rFonts w:ascii="Verdana" w:eastAsia="Times New Roman" w:hAnsi="Verdana" w:cs="Times New Roman"/>
        </w:rPr>
        <w:t xml:space="preserve">Respecto de este último documento debe precisarse que la norma no determina su presentación como facultativa o alternativa de los demás soportes exigidos, sino como un requisito adicional y obligatorio para acceder al puntaje referido. En efecto, el numeral 2 señala expresamente que la verificación de estas condiciones se realizará por parte de las Entidades Estatales con base en </w:t>
      </w:r>
      <w:r w:rsidRPr="00CA6E03">
        <w:rPr>
          <w:rFonts w:ascii="Verdana" w:eastAsia="Times New Roman" w:hAnsi="Verdana" w:cs="Times New Roman"/>
          <w:i/>
          <w:iCs/>
        </w:rPr>
        <w:t xml:space="preserve">“los siguientes documentos” </w:t>
      </w:r>
      <w:r w:rsidRPr="00CA6E03">
        <w:rPr>
          <w:rFonts w:ascii="Verdana" w:eastAsia="Times New Roman" w:hAnsi="Verdana" w:cs="Times New Roman"/>
        </w:rPr>
        <w:t>incluyendo dentro de esta enunciación al certificado expedido por el Ministerio de Trabajo.</w:t>
      </w:r>
      <w:r w:rsidRPr="00CA6E03">
        <w:rPr>
          <w:rFonts w:ascii="Verdana" w:hAnsi="Verdana"/>
        </w:rPr>
        <w:t xml:space="preserve"> </w:t>
      </w:r>
      <w:r w:rsidRPr="00CA6E03">
        <w:rPr>
          <w:rFonts w:ascii="Verdana" w:eastAsia="Times New Roman" w:hAnsi="Verdana" w:cs="Times New Roman"/>
        </w:rPr>
        <w:t xml:space="preserve">Esta expresión evidencia que el reglamento no concibió los documentos como opciones excluyentes entre sí, de </w:t>
      </w:r>
      <w:r w:rsidRPr="00CA6E03">
        <w:rPr>
          <w:rFonts w:ascii="Verdana" w:eastAsia="Times New Roman" w:hAnsi="Verdana" w:cs="Times New Roman"/>
        </w:rPr>
        <w:lastRenderedPageBreak/>
        <w:t>manera que el proponente pudiera acreditar la condición con uno u otro soporte indistintamente. Por el contrario, de la redacción de la norma se entiende que estos documentos deben acreditarse en conjunto, en tanto constituyen los medios de acreditación definidos por la disposición para verificar el cumplimiento de las condiciones requeridas.</w:t>
      </w:r>
    </w:p>
    <w:p w14:paraId="57F4D544" w14:textId="77777777" w:rsidR="00371591" w:rsidRPr="00CA6E03" w:rsidRDefault="00371591" w:rsidP="00371591">
      <w:pPr>
        <w:widowControl w:val="0"/>
        <w:autoSpaceDE w:val="0"/>
        <w:autoSpaceDN w:val="0"/>
        <w:spacing w:after="120" w:line="276" w:lineRule="auto"/>
        <w:ind w:firstLine="708"/>
        <w:jc w:val="both"/>
        <w:rPr>
          <w:rFonts w:ascii="Verdana" w:eastAsia="Times New Roman" w:hAnsi="Verdana" w:cs="Times New Roman"/>
          <w:i/>
          <w:iCs/>
        </w:rPr>
      </w:pPr>
      <w:r w:rsidRPr="00CA6E03">
        <w:rPr>
          <w:rFonts w:ascii="Verdana" w:eastAsia="Times New Roman" w:hAnsi="Verdana" w:cs="Times New Roman"/>
        </w:rPr>
        <w:t xml:space="preserve">Lo anterior es congruente con lo dispuesto en la parte considerativa del Decreto 287 de 2026, que señala que “en aras de garantizar los derechos y garantías laborales de las personas con discapacidad, para acceder a los incentivos establecidos en el presente proyecto de decreto se </w:t>
      </w:r>
      <w:r w:rsidRPr="00CA6E03">
        <w:rPr>
          <w:rFonts w:ascii="Verdana" w:eastAsia="Times New Roman" w:hAnsi="Verdana" w:cs="Times New Roman"/>
          <w:i/>
          <w:iCs/>
        </w:rPr>
        <w:t xml:space="preserve">mantendrá el Certificado a los Empleadores que contraten personas con discapacidad que expide el Ministerio del Trabajo”. </w:t>
      </w:r>
    </w:p>
    <w:p w14:paraId="66A664F2" w14:textId="77777777" w:rsidR="00371591" w:rsidRPr="00CA6E03" w:rsidRDefault="00371591" w:rsidP="00371591">
      <w:pPr>
        <w:widowControl w:val="0"/>
        <w:autoSpaceDE w:val="0"/>
        <w:autoSpaceDN w:val="0"/>
        <w:spacing w:after="120" w:line="276" w:lineRule="auto"/>
        <w:ind w:firstLine="708"/>
        <w:jc w:val="both"/>
        <w:rPr>
          <w:rFonts w:ascii="Verdana" w:eastAsia="Times New Roman" w:hAnsi="Verdana" w:cs="Times New Roman"/>
        </w:rPr>
      </w:pPr>
      <w:r w:rsidRPr="00CA6E03">
        <w:rPr>
          <w:rFonts w:ascii="Verdana" w:eastAsia="Times New Roman" w:hAnsi="Verdana" w:cs="Times New Roman"/>
        </w:rPr>
        <w:t xml:space="preserve">En consecuencia, para acceder al puntaje adicional del 2% el proponente deberá aportar de manera conjunta, el certificado </w:t>
      </w:r>
      <w:r w:rsidRPr="00CA6E03">
        <w:rPr>
          <w:rFonts w:ascii="Verdana" w:eastAsia="Aptos" w:hAnsi="Verdana" w:cs="Times New Roman"/>
          <w:kern w:val="2"/>
          <w14:ligatures w14:val="standardContextual"/>
        </w:rPr>
        <w:t xml:space="preserve">de discapacidad expedido conforme a la normativa vigente del Ministerio de Salud y Protección Social, el certificado expedido por el Ministerio de Trabajo y los demás documentos previstos en el </w:t>
      </w:r>
      <w:r w:rsidRPr="00CA6E03">
        <w:rPr>
          <w:rFonts w:ascii="Verdana" w:eastAsia="Times New Roman" w:hAnsi="Verdana" w:cs="Times New Roman"/>
        </w:rPr>
        <w:t xml:space="preserve">artículo 2.2.1.2.4.2.7.4 del Decreto 287 de 2026. De esta manera, la omisión en la presentación de cualquiera de dichos documentos para el cierre del proceso da lugar a que el proponente no sea acreedor del puntaje adicional previsto en la norma. </w:t>
      </w:r>
    </w:p>
    <w:p w14:paraId="187B908D" w14:textId="77777777" w:rsidR="00371591" w:rsidRPr="00CA6E03" w:rsidRDefault="00371591" w:rsidP="00371591">
      <w:pPr>
        <w:spacing w:after="120" w:line="276" w:lineRule="auto"/>
        <w:ind w:firstLine="709"/>
        <w:jc w:val="both"/>
        <w:rPr>
          <w:rFonts w:ascii="Verdana" w:hAnsi="Verdana"/>
          <w:sz w:val="20"/>
          <w:szCs w:val="20"/>
        </w:rPr>
      </w:pPr>
      <w:r w:rsidRPr="00CA6E03">
        <w:rPr>
          <w:rFonts w:ascii="Verdana" w:eastAsia="Times New Roman" w:hAnsi="Verdana" w:cs="Times New Roman"/>
        </w:rPr>
        <w:t xml:space="preserve">Ahora bien, de acuerdo con la consulta planteada, es pertinente resaltar que el artículo </w:t>
      </w:r>
      <w:r w:rsidRPr="00CA6E03">
        <w:rPr>
          <w:rFonts w:ascii="Verdana" w:eastAsia="Aptos" w:hAnsi="Verdana" w:cs="Times New Roman"/>
          <w:kern w:val="2"/>
          <w14:ligatures w14:val="standardContextual"/>
        </w:rPr>
        <w:t xml:space="preserve">2.1.2.4.2.7.4 </w:t>
      </w:r>
      <w:r w:rsidRPr="00CA6E03">
        <w:rPr>
          <w:rFonts w:ascii="Verdana" w:eastAsia="Times New Roman" w:hAnsi="Verdana" w:cs="Times New Roman"/>
        </w:rPr>
        <w:t xml:space="preserve">del Decreto 287 de 2026, exige dentro de la documentación para verificar la condición de empleador de personas con discapacidad, los certificados de aportes a seguridad social de los tres (3) meses anteriores a la presentación de la oferta respecto de cada </w:t>
      </w:r>
      <w:proofErr w:type="spellStart"/>
      <w:r w:rsidRPr="00CA6E03">
        <w:rPr>
          <w:rFonts w:ascii="Verdana" w:eastAsia="Times New Roman" w:hAnsi="Verdana" w:cs="Times New Roman"/>
        </w:rPr>
        <w:t>PcD</w:t>
      </w:r>
      <w:proofErr w:type="spellEnd"/>
      <w:r w:rsidRPr="00CA6E03">
        <w:rPr>
          <w:rFonts w:ascii="Verdana" w:eastAsia="Times New Roman" w:hAnsi="Verdana" w:cs="Times New Roman"/>
        </w:rPr>
        <w:t xml:space="preserve">, en el que se demuestren los pagos realizados por el empleador. La razón de este requisito es garantizar que la vinculación sea real, estable y verificable, y no meramente instrumental para un proceso contractual específico. </w:t>
      </w:r>
    </w:p>
    <w:p w14:paraId="576535A2" w14:textId="77777777" w:rsidR="00371591" w:rsidRPr="00CA6E03" w:rsidRDefault="00371591" w:rsidP="00371591">
      <w:pPr>
        <w:spacing w:after="120" w:line="276" w:lineRule="auto"/>
        <w:ind w:firstLine="708"/>
        <w:jc w:val="both"/>
        <w:rPr>
          <w:rFonts w:ascii="Verdana" w:eastAsia="Times New Roman" w:hAnsi="Verdana" w:cs="Times New Roman"/>
        </w:rPr>
      </w:pPr>
      <w:r w:rsidRPr="00CA6E03">
        <w:rPr>
          <w:rFonts w:ascii="Verdana" w:eastAsia="Times New Roman" w:hAnsi="Verdana" w:cs="Times New Roman"/>
        </w:rPr>
        <w:t xml:space="preserve">El período de tres meses es el umbral mínimo de estabilidad laboral que diferencia un compromiso genuino con la inclusión de una vinculación oportunista. La norma aplica este requisito para cada </w:t>
      </w:r>
      <w:proofErr w:type="spellStart"/>
      <w:r w:rsidRPr="00CA6E03">
        <w:rPr>
          <w:rFonts w:ascii="Verdana" w:eastAsia="Times New Roman" w:hAnsi="Verdana" w:cs="Times New Roman"/>
        </w:rPr>
        <w:t>PcD</w:t>
      </w:r>
      <w:proofErr w:type="spellEnd"/>
      <w:r w:rsidRPr="00CA6E03">
        <w:rPr>
          <w:rFonts w:ascii="Verdana" w:eastAsia="Times New Roman" w:hAnsi="Verdana" w:cs="Times New Roman"/>
        </w:rPr>
        <w:t xml:space="preserve"> incluida en la acreditación, independientemente de si es una vinculación original o una nueva incorporación. Si una empresa ha incrementado recientemente su planta de </w:t>
      </w:r>
      <w:proofErr w:type="spellStart"/>
      <w:r w:rsidRPr="00CA6E03">
        <w:rPr>
          <w:rFonts w:ascii="Verdana" w:eastAsia="Times New Roman" w:hAnsi="Verdana" w:cs="Times New Roman"/>
        </w:rPr>
        <w:t>PcD</w:t>
      </w:r>
      <w:proofErr w:type="spellEnd"/>
      <w:r w:rsidRPr="00CA6E03">
        <w:rPr>
          <w:rFonts w:ascii="Verdana" w:eastAsia="Times New Roman" w:hAnsi="Verdana" w:cs="Times New Roman"/>
        </w:rPr>
        <w:t xml:space="preserve"> y alguna de estas vinculaciones no alcanza el período requerido, el proponente puede participar en el proceso utilizando únicamente las </w:t>
      </w:r>
      <w:proofErr w:type="spellStart"/>
      <w:r w:rsidRPr="00CA6E03">
        <w:rPr>
          <w:rFonts w:ascii="Verdana" w:eastAsia="Times New Roman" w:hAnsi="Verdana" w:cs="Times New Roman"/>
        </w:rPr>
        <w:t>PcD</w:t>
      </w:r>
      <w:proofErr w:type="spellEnd"/>
      <w:r w:rsidRPr="00CA6E03">
        <w:rPr>
          <w:rFonts w:ascii="Verdana" w:eastAsia="Times New Roman" w:hAnsi="Verdana" w:cs="Times New Roman"/>
        </w:rPr>
        <w:t xml:space="preserve"> que sí cumplan el requisito temporal. La consecuencia de no alcanzar el período no es la exclusión </w:t>
      </w:r>
      <w:r w:rsidRPr="00CA6E03">
        <w:rPr>
          <w:rFonts w:ascii="Verdana" w:eastAsia="Times New Roman" w:hAnsi="Verdana" w:cs="Times New Roman"/>
        </w:rPr>
        <w:lastRenderedPageBreak/>
        <w:t xml:space="preserve">del proceso sino la imposibilidad de obtener el puntaje adicional respecto de esas </w:t>
      </w:r>
      <w:proofErr w:type="spellStart"/>
      <w:r w:rsidRPr="00CA6E03">
        <w:rPr>
          <w:rFonts w:ascii="Verdana" w:eastAsia="Times New Roman" w:hAnsi="Verdana" w:cs="Times New Roman"/>
        </w:rPr>
        <w:t>PcD</w:t>
      </w:r>
      <w:proofErr w:type="spellEnd"/>
      <w:r w:rsidRPr="00CA6E03">
        <w:rPr>
          <w:rFonts w:ascii="Verdana" w:eastAsia="Times New Roman" w:hAnsi="Verdana" w:cs="Times New Roman"/>
        </w:rPr>
        <w:t xml:space="preserve"> específicas, lo que es coherente con los principios de participación y pluralidad de oferentes.</w:t>
      </w:r>
    </w:p>
    <w:p w14:paraId="60C75B78" w14:textId="77777777" w:rsidR="00371591" w:rsidRPr="00CA6E03" w:rsidRDefault="00371591" w:rsidP="00371591">
      <w:pPr>
        <w:spacing w:after="120" w:line="276" w:lineRule="auto"/>
        <w:ind w:firstLine="708"/>
        <w:jc w:val="both"/>
        <w:rPr>
          <w:rFonts w:ascii="Verdana" w:eastAsia="Times New Roman" w:hAnsi="Verdana" w:cs="Times New Roman"/>
          <w:lang w:val="es-ES"/>
        </w:rPr>
      </w:pPr>
      <w:r w:rsidRPr="00CA6E03">
        <w:rPr>
          <w:rFonts w:ascii="Verdana" w:eastAsia="Times New Roman" w:hAnsi="Verdana" w:cs="Times New Roman"/>
        </w:rPr>
        <w:t xml:space="preserve">Por consiguiente, no se está generando una barrera de entrada que pueda reducir la competencia en los procesos que apliquen el puntaje, ya que al tratarse de un requisito que otorga puntaje no determina la participación de los proponentes al proceso de contratación. Como se explicó en la memoria justificativa </w:t>
      </w:r>
      <w:r w:rsidRPr="00CA6E03">
        <w:rPr>
          <w:rFonts w:ascii="Verdana" w:eastAsia="Times New Roman" w:hAnsi="Verdana" w:cs="Times New Roman"/>
          <w:lang w:val="es-ES"/>
        </w:rPr>
        <w:t>“la vinculación de Personas con Discapacidad constituye un criterio estrictamente opcional dentro del esquema de evaluación, al igual que otros factores de puntaje diferencial, como el enfoque MIPYME o el de empresas lideradas por mujeres, cuya aplicación depende de la decisión estratégica del proponente frente a su capacidad de generar valor agregado en la oferta. En tal sentido, este criterio no configura una obligación general para todos los participantes del mercado, sino un incentivo voluntario que amplía alternativas competitivas sin imponer cargas desproporcionadas ni afectar la libre concurrencia y competencia</w:t>
      </w:r>
      <w:r w:rsidRPr="00CA6E03">
        <w:rPr>
          <w:rStyle w:val="Refdenotaalpie"/>
          <w:rFonts w:ascii="Verdana" w:eastAsia="Times New Roman" w:hAnsi="Verdana" w:cs="Times New Roman"/>
          <w:lang w:val="es-ES"/>
        </w:rPr>
        <w:footnoteReference w:id="15"/>
      </w:r>
      <w:r w:rsidRPr="00CA6E03">
        <w:rPr>
          <w:rFonts w:ascii="Verdana" w:eastAsia="Times New Roman" w:hAnsi="Verdana" w:cs="Times New Roman"/>
          <w:lang w:val="es-ES"/>
        </w:rPr>
        <w:t>”.</w:t>
      </w:r>
    </w:p>
    <w:p w14:paraId="5B0CFFB5" w14:textId="77777777" w:rsidR="00371591" w:rsidRPr="00CA6E03" w:rsidRDefault="00371591" w:rsidP="00371591">
      <w:pPr>
        <w:spacing w:after="120" w:line="276" w:lineRule="auto"/>
        <w:ind w:firstLine="708"/>
        <w:jc w:val="both"/>
        <w:rPr>
          <w:rFonts w:ascii="Verdana" w:eastAsia="Times New Roman" w:hAnsi="Verdana" w:cs="Times New Roman"/>
        </w:rPr>
      </w:pPr>
      <w:r w:rsidRPr="00CA6E03">
        <w:rPr>
          <w:rFonts w:ascii="Verdana" w:eastAsia="Times New Roman" w:hAnsi="Verdana" w:cs="Times New Roman"/>
          <w:lang w:val="es-ES"/>
        </w:rPr>
        <w:t xml:space="preserve">Vale aclarar que </w:t>
      </w:r>
      <w:r w:rsidRPr="00CA6E03">
        <w:rPr>
          <w:rFonts w:ascii="Verdana" w:hAnsi="Verdana"/>
        </w:rPr>
        <w:t>el Decreto 0287 de 2026 no establece periodos de transición o mecanismo equivalente de vinculación gradual, por lo que para acceder al puntaje adicional del 2% la entidad deberá acreditar los documentos descritos, incluyendo</w:t>
      </w:r>
      <w:r w:rsidRPr="00CA6E03">
        <w:rPr>
          <w:rFonts w:ascii="Verdana" w:eastAsia="Times New Roman" w:hAnsi="Verdana" w:cs="Times New Roman"/>
        </w:rPr>
        <w:t xml:space="preserve"> los certificados de aportes a seguridad social de los tres (3) meses anteriores a la presentación de la oferta. </w:t>
      </w:r>
    </w:p>
    <w:p w14:paraId="1CBA98ED" w14:textId="77777777" w:rsidR="00371591" w:rsidRPr="00CA6E03" w:rsidRDefault="00371591" w:rsidP="00371591">
      <w:pPr>
        <w:spacing w:after="120" w:line="276" w:lineRule="auto"/>
        <w:ind w:left="119" w:right="79" w:firstLine="590"/>
        <w:jc w:val="both"/>
        <w:rPr>
          <w:rFonts w:ascii="Verdana" w:eastAsia="Arial" w:hAnsi="Verdana" w:cs="Arial"/>
        </w:rPr>
      </w:pPr>
      <w:r w:rsidRPr="00CA6E03">
        <w:rPr>
          <w:rFonts w:ascii="Verdana" w:eastAsia="Arial" w:hAnsi="Verdana" w:cs="Arial"/>
        </w:rPr>
        <w:t>Finalmente, en relación con el inicio de vigencia del Decreto 287 de 2026</w:t>
      </w:r>
      <w:r w:rsidRPr="00CA6E03">
        <w:rPr>
          <w:rFonts w:ascii="Verdana" w:eastAsia="Aptos" w:hAnsi="Verdana" w:cs="Times New Roman"/>
          <w:kern w:val="2"/>
          <w14:ligatures w14:val="standardContextual"/>
        </w:rPr>
        <w:t>, el artículo 2 establece las vigencias y derogatorias, en los siguientes términos: “El presente Decreto rige a partir del día siguiente a su publicación, modifica los artículos 2.2.1.2.4.2.6., 2.2.1 .2.4.2.7. y 2.2.1.2.4.2.8. de la Subsección 2 de la Sección 4 del Capítulo 2 del Título 1 de la Parte 2 del Libro 2 del Decreto 1082 de 2015, Único Reglamentario del Sector Administrativo de Planeación, y deroga todas las disposiciones que le sean contrarias”. Este decreto fue publicado el 19 de marzo de 2026, por lo que empezó a regir a partir del 20 de marzo.</w:t>
      </w:r>
    </w:p>
    <w:p w14:paraId="3D896B3A" w14:textId="77777777" w:rsidR="00371591" w:rsidRPr="00CA6E03" w:rsidRDefault="00371591" w:rsidP="00371591">
      <w:pPr>
        <w:widowControl w:val="0"/>
        <w:autoSpaceDE w:val="0"/>
        <w:autoSpaceDN w:val="0"/>
        <w:spacing w:after="120" w:line="276" w:lineRule="auto"/>
        <w:ind w:firstLine="743"/>
        <w:jc w:val="both"/>
        <w:rPr>
          <w:rFonts w:ascii="Verdana" w:eastAsia="Aptos" w:hAnsi="Verdana" w:cs="Times New Roman"/>
          <w:kern w:val="2"/>
          <w14:ligatures w14:val="standardContextual"/>
        </w:rPr>
      </w:pPr>
      <w:r w:rsidRPr="00CA6E03">
        <w:rPr>
          <w:rFonts w:ascii="Verdana" w:eastAsia="Aptos" w:hAnsi="Verdana" w:cs="Times New Roman"/>
          <w:kern w:val="2"/>
          <w14:ligatures w14:val="standardContextual"/>
        </w:rPr>
        <w:t xml:space="preserve">Así, la aplicación del Decreto 287 de 2026 en los procesos de contratación que estén en curso depende de si estos contaban o no con resolución de apertura </w:t>
      </w:r>
      <w:r w:rsidRPr="00CA6E03">
        <w:rPr>
          <w:rFonts w:ascii="Verdana" w:eastAsia="Aptos" w:hAnsi="Verdana" w:cs="Times New Roman"/>
          <w:kern w:val="2"/>
          <w14:ligatures w14:val="standardContextual"/>
        </w:rPr>
        <w:lastRenderedPageBreak/>
        <w:t xml:space="preserve">antes del 20 de marzo de 2026: i) La resolución de apertura fue expedida el 19 de marzo de 2026 o antes de esta fecha, en este caso el proceso continúa con las reglas originales sin aplicar el Decreto 287 de 2026; y </w:t>
      </w:r>
      <w:proofErr w:type="spellStart"/>
      <w:r w:rsidRPr="00CA6E03">
        <w:rPr>
          <w:rFonts w:ascii="Verdana" w:eastAsia="Aptos" w:hAnsi="Verdana" w:cs="Times New Roman"/>
          <w:kern w:val="2"/>
          <w14:ligatures w14:val="standardContextual"/>
        </w:rPr>
        <w:t>ii</w:t>
      </w:r>
      <w:proofErr w:type="spellEnd"/>
      <w:r w:rsidRPr="00CA6E03">
        <w:rPr>
          <w:rFonts w:ascii="Verdana" w:eastAsia="Aptos" w:hAnsi="Verdana" w:cs="Times New Roman"/>
          <w:kern w:val="2"/>
          <w14:ligatures w14:val="standardContextual"/>
        </w:rPr>
        <w:t>) La resolución de apertura no existe, o fue expedida el 20 de marzo de 2026 o en fecha posterior, por lo que se debe incorporar el Decreto 287 de 2026 al proceso contractual y la entidad debe ajustar sus estudios previos y pliegos de condiciones, incluido el proyecto de pliego, para dar pleno cumplimiento al decreto antes de expedir el acto administrativo de apertura.</w:t>
      </w:r>
    </w:p>
    <w:p w14:paraId="5BE37393" w14:textId="77777777" w:rsidR="00371591" w:rsidRPr="00CA6E03" w:rsidRDefault="00371591" w:rsidP="00371591">
      <w:pPr>
        <w:widowControl w:val="0"/>
        <w:autoSpaceDE w:val="0"/>
        <w:autoSpaceDN w:val="0"/>
        <w:spacing w:after="120" w:line="276" w:lineRule="auto"/>
        <w:ind w:firstLine="709"/>
        <w:jc w:val="both"/>
        <w:rPr>
          <w:rFonts w:ascii="Verdana" w:eastAsia="Aptos" w:hAnsi="Verdana" w:cs="Times New Roman"/>
          <w:kern w:val="2"/>
          <w14:ligatures w14:val="standardContextual"/>
        </w:rPr>
      </w:pPr>
      <w:r w:rsidRPr="00CA6E03">
        <w:rPr>
          <w:rFonts w:ascii="Verdana" w:eastAsia="Aptos" w:hAnsi="Verdana" w:cs="Times New Roman"/>
          <w:kern w:val="2"/>
          <w14:ligatures w14:val="standardContextual"/>
        </w:rPr>
        <w:t>Para los procesos de contratación con proyecto de pliego publicado pero sin apertura al 19 de marzo de 2026, se recomienda que se incorporen las medidas del Decreto 287 de 2026 antes de publicar los pliegos definitivos. En esa etapa aún es posible realizar ajustes sin afectar derechos adquiridos de los proponentes.</w:t>
      </w:r>
    </w:p>
    <w:bookmarkEnd w:id="2"/>
    <w:p w14:paraId="63A3E357" w14:textId="78E91B12" w:rsidR="00B00C73" w:rsidRPr="00CA6E03" w:rsidRDefault="00B00C73" w:rsidP="00B00C73">
      <w:pPr>
        <w:spacing w:after="120" w:line="276" w:lineRule="auto"/>
        <w:ind w:firstLine="708"/>
        <w:jc w:val="both"/>
        <w:rPr>
          <w:rFonts w:ascii="Verdana" w:eastAsia="Calibri" w:hAnsi="Verdana" w:cs="Arial"/>
        </w:rPr>
      </w:pPr>
      <w:r w:rsidRPr="00CA6E03">
        <w:rPr>
          <w:rFonts w:ascii="Verdana" w:eastAsia="Calibri" w:hAnsi="Verdana" w:cs="Arial"/>
        </w:rPr>
        <w:t xml:space="preserve">Finalmente, debe advertirse que el análisis requerido para resolver problemas específicos en torno a la gestión contractual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21556323" w14:textId="77777777" w:rsidR="00B00C73" w:rsidRPr="00CA6E03" w:rsidRDefault="00B00C73" w:rsidP="00B00C73">
      <w:pPr>
        <w:spacing w:after="120" w:line="276" w:lineRule="auto"/>
        <w:ind w:firstLine="708"/>
        <w:jc w:val="both"/>
        <w:rPr>
          <w:rFonts w:ascii="Verdana" w:eastAsia="Calibri" w:hAnsi="Verdana" w:cs="Arial"/>
        </w:rPr>
      </w:pPr>
      <w:r w:rsidRPr="00CA6E03">
        <w:rPr>
          <w:rFonts w:ascii="Verdana" w:eastAsia="Calibri" w:hAnsi="Verdana" w:cs="Arial"/>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0F8CB95E" w14:textId="77777777" w:rsidR="004D6D80" w:rsidRPr="00CA6E03" w:rsidRDefault="004D6D80" w:rsidP="00B00C73">
      <w:pPr>
        <w:widowControl w:val="0"/>
        <w:autoSpaceDE w:val="0"/>
        <w:autoSpaceDN w:val="0"/>
        <w:spacing w:after="0" w:line="276" w:lineRule="auto"/>
        <w:jc w:val="both"/>
        <w:rPr>
          <w:rFonts w:ascii="Verdana" w:eastAsia="Century Gothic" w:hAnsi="Verdana" w:cs="Century Gothic"/>
        </w:rPr>
      </w:pPr>
    </w:p>
    <w:p w14:paraId="03E615B7" w14:textId="77777777" w:rsidR="00371591" w:rsidRPr="00CA6E03" w:rsidRDefault="00371591" w:rsidP="00371591">
      <w:pPr>
        <w:tabs>
          <w:tab w:val="left" w:pos="142"/>
          <w:tab w:val="left" w:pos="284"/>
        </w:tabs>
        <w:spacing w:after="0" w:line="276" w:lineRule="auto"/>
        <w:jc w:val="both"/>
        <w:rPr>
          <w:rFonts w:ascii="Verdana" w:eastAsia="Century Gothic" w:hAnsi="Verdana" w:cs="Century Gothic"/>
          <w:b/>
          <w:bCs/>
          <w:lang w:val="es-ES_tradnl"/>
        </w:rPr>
      </w:pPr>
      <w:r w:rsidRPr="00CA6E03">
        <w:rPr>
          <w:rFonts w:ascii="Verdana" w:eastAsia="Century Gothic" w:hAnsi="Verdana" w:cs="Century Gothic"/>
          <w:b/>
          <w:bCs/>
          <w:lang w:val="es-ES_tradnl"/>
        </w:rPr>
        <w:t>4. Referencias normativas, jurisprudenciales y otras fuentes:</w:t>
      </w:r>
    </w:p>
    <w:p w14:paraId="2CDBBF4F" w14:textId="77777777" w:rsidR="00371591" w:rsidRPr="00CA6E03" w:rsidRDefault="00371591" w:rsidP="00371591">
      <w:pPr>
        <w:spacing w:after="0"/>
        <w:ind w:left="-15840"/>
        <w:jc w:val="both"/>
        <w:rPr>
          <w:rFonts w:ascii="Verdana" w:eastAsia="Calibri" w:hAnsi="Verdana" w:cs="Arial"/>
          <w:b/>
          <w:bCs/>
        </w:rPr>
      </w:pPr>
      <w:r w:rsidRPr="00CA6E03">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371591" w:rsidRPr="00CA6E03" w14:paraId="693DC3E1" w14:textId="77777777" w:rsidTr="002940EB">
        <w:trPr>
          <w:trHeight w:val="870"/>
        </w:trPr>
        <w:tc>
          <w:tcPr>
            <w:tcW w:w="8647" w:type="dxa"/>
            <w:tcBorders>
              <w:top w:val="dotted" w:sz="4" w:space="0" w:color="auto"/>
              <w:left w:val="dotted" w:sz="4" w:space="0" w:color="auto"/>
              <w:bottom w:val="dotted" w:sz="4" w:space="0" w:color="auto"/>
              <w:right w:val="dotted" w:sz="4" w:space="0" w:color="auto"/>
            </w:tcBorders>
          </w:tcPr>
          <w:p w14:paraId="05470B86" w14:textId="5E14F1A3" w:rsidR="00371591" w:rsidRPr="00CA6E03" w:rsidRDefault="00B948F2" w:rsidP="00371591">
            <w:pPr>
              <w:widowControl w:val="0"/>
              <w:numPr>
                <w:ilvl w:val="0"/>
                <w:numId w:val="18"/>
              </w:numPr>
              <w:autoSpaceDE w:val="0"/>
              <w:autoSpaceDN w:val="0"/>
              <w:spacing w:line="276" w:lineRule="auto"/>
              <w:contextualSpacing/>
              <w:jc w:val="both"/>
              <w:rPr>
                <w:rFonts w:ascii="Verdana" w:eastAsia="Calibri" w:hAnsi="Verdana" w:cs="Arial"/>
              </w:rPr>
            </w:pPr>
            <w:r w:rsidRPr="00CA6E03">
              <w:rPr>
                <w:rFonts w:ascii="Verdana" w:eastAsia="Calibri" w:hAnsi="Verdana" w:cs="Arial"/>
              </w:rPr>
              <w:lastRenderedPageBreak/>
              <w:t xml:space="preserve">Constitución Política. Artículos </w:t>
            </w:r>
            <w:r w:rsidR="00267A1A" w:rsidRPr="00CA6E03">
              <w:rPr>
                <w:rFonts w:ascii="Verdana" w:eastAsia="Calibri" w:hAnsi="Verdana" w:cs="Arial"/>
              </w:rPr>
              <w:t>13, 47, 47, 54 y 93.</w:t>
            </w:r>
          </w:p>
          <w:p w14:paraId="1191D4A5" w14:textId="77777777" w:rsidR="00371591" w:rsidRPr="00CA6E03" w:rsidRDefault="00371591" w:rsidP="00371591">
            <w:pPr>
              <w:widowControl w:val="0"/>
              <w:numPr>
                <w:ilvl w:val="0"/>
                <w:numId w:val="17"/>
              </w:numPr>
              <w:autoSpaceDE w:val="0"/>
              <w:autoSpaceDN w:val="0"/>
              <w:spacing w:line="276" w:lineRule="auto"/>
              <w:contextualSpacing/>
              <w:jc w:val="both"/>
              <w:rPr>
                <w:rFonts w:ascii="Verdana" w:eastAsia="Calibri" w:hAnsi="Verdana" w:cs="Arial"/>
              </w:rPr>
            </w:pPr>
            <w:r w:rsidRPr="00CA6E03">
              <w:rPr>
                <w:rFonts w:ascii="Verdana" w:eastAsia="Calibri" w:hAnsi="Verdana" w:cs="Arial"/>
                <w:lang w:val="es-ES_tradnl"/>
              </w:rPr>
              <w:t>Decreto 287 de 2026: Artículo 1 y artículo 2.</w:t>
            </w:r>
          </w:p>
          <w:p w14:paraId="23F209B7" w14:textId="03F2443E" w:rsidR="00267A1A" w:rsidRPr="00CA6E03" w:rsidRDefault="0060732B" w:rsidP="00371591">
            <w:pPr>
              <w:widowControl w:val="0"/>
              <w:numPr>
                <w:ilvl w:val="0"/>
                <w:numId w:val="17"/>
              </w:numPr>
              <w:autoSpaceDE w:val="0"/>
              <w:autoSpaceDN w:val="0"/>
              <w:spacing w:line="276" w:lineRule="auto"/>
              <w:contextualSpacing/>
              <w:jc w:val="both"/>
              <w:rPr>
                <w:rFonts w:ascii="Verdana" w:eastAsia="Calibri" w:hAnsi="Verdana" w:cs="Arial"/>
              </w:rPr>
            </w:pPr>
            <w:r w:rsidRPr="00CA6E03">
              <w:rPr>
                <w:rFonts w:ascii="Verdana" w:eastAsia="Calibri" w:hAnsi="Verdana" w:cs="Arial"/>
              </w:rPr>
              <w:t>Convenio 159 de la OIT</w:t>
            </w:r>
          </w:p>
          <w:p w14:paraId="662A7C88" w14:textId="7E6406F4" w:rsidR="00AD1FC8" w:rsidRPr="00CA6E03" w:rsidRDefault="00AD1FC8" w:rsidP="00371591">
            <w:pPr>
              <w:widowControl w:val="0"/>
              <w:numPr>
                <w:ilvl w:val="0"/>
                <w:numId w:val="17"/>
              </w:numPr>
              <w:autoSpaceDE w:val="0"/>
              <w:autoSpaceDN w:val="0"/>
              <w:spacing w:line="276" w:lineRule="auto"/>
              <w:contextualSpacing/>
              <w:jc w:val="both"/>
              <w:rPr>
                <w:rFonts w:ascii="Verdana" w:eastAsia="Calibri" w:hAnsi="Verdana" w:cs="Arial"/>
              </w:rPr>
            </w:pPr>
            <w:r w:rsidRPr="00CA6E03">
              <w:rPr>
                <w:rFonts w:ascii="Verdana" w:eastAsia="Calibri" w:hAnsi="Verdana" w:cs="Arial"/>
              </w:rPr>
              <w:t>Ley 361 de 1997. Artículo 24</w:t>
            </w:r>
          </w:p>
          <w:p w14:paraId="4AE403CF" w14:textId="63C73628" w:rsidR="005A315A" w:rsidRPr="00CA6E03" w:rsidRDefault="005A315A" w:rsidP="00371591">
            <w:pPr>
              <w:widowControl w:val="0"/>
              <w:numPr>
                <w:ilvl w:val="0"/>
                <w:numId w:val="17"/>
              </w:numPr>
              <w:autoSpaceDE w:val="0"/>
              <w:autoSpaceDN w:val="0"/>
              <w:spacing w:line="276" w:lineRule="auto"/>
              <w:contextualSpacing/>
              <w:jc w:val="both"/>
              <w:rPr>
                <w:rFonts w:ascii="Verdana" w:eastAsia="Calibri" w:hAnsi="Verdana" w:cs="Arial"/>
              </w:rPr>
            </w:pPr>
            <w:r w:rsidRPr="00CA6E03">
              <w:rPr>
                <w:rFonts w:ascii="Verdana" w:eastAsia="Calibri" w:hAnsi="Verdana" w:cs="Arial"/>
              </w:rPr>
              <w:t>Ley Estatutaria 1618 de 2013. Artículo 13. Numerales 1, 7 y 8.</w:t>
            </w:r>
          </w:p>
          <w:p w14:paraId="7F11F3CF" w14:textId="333B9D59" w:rsidR="00837902" w:rsidRPr="00CA6E03" w:rsidRDefault="00837902" w:rsidP="00371591">
            <w:pPr>
              <w:widowControl w:val="0"/>
              <w:numPr>
                <w:ilvl w:val="0"/>
                <w:numId w:val="17"/>
              </w:numPr>
              <w:autoSpaceDE w:val="0"/>
              <w:autoSpaceDN w:val="0"/>
              <w:spacing w:line="276" w:lineRule="auto"/>
              <w:contextualSpacing/>
              <w:jc w:val="both"/>
              <w:rPr>
                <w:rFonts w:ascii="Verdana" w:eastAsia="Calibri" w:hAnsi="Verdana" w:cs="Arial"/>
              </w:rPr>
            </w:pPr>
            <w:r w:rsidRPr="00CA6E03">
              <w:rPr>
                <w:rFonts w:ascii="Verdana" w:eastAsia="Calibri" w:hAnsi="Verdana" w:cs="Arial"/>
              </w:rPr>
              <w:t>Ley 2466 de 2025</w:t>
            </w:r>
          </w:p>
          <w:p w14:paraId="1627C034" w14:textId="7FC45A44" w:rsidR="00837902" w:rsidRPr="00CA6E03" w:rsidRDefault="00535B83" w:rsidP="00371591">
            <w:pPr>
              <w:widowControl w:val="0"/>
              <w:numPr>
                <w:ilvl w:val="0"/>
                <w:numId w:val="17"/>
              </w:numPr>
              <w:autoSpaceDE w:val="0"/>
              <w:autoSpaceDN w:val="0"/>
              <w:spacing w:line="276" w:lineRule="auto"/>
              <w:contextualSpacing/>
              <w:jc w:val="both"/>
              <w:rPr>
                <w:rFonts w:ascii="Verdana" w:eastAsia="Calibri" w:hAnsi="Verdana" w:cs="Arial"/>
              </w:rPr>
            </w:pPr>
            <w:r w:rsidRPr="00CA6E03">
              <w:rPr>
                <w:rFonts w:ascii="Verdana" w:eastAsia="Calibri" w:hAnsi="Verdana" w:cs="Arial"/>
              </w:rPr>
              <w:t>Consejo de Estado, Sección Quinta, del 12 de diciembre de 2024 (Rad. 05001-23-33-000-2024-00847-01, M.P. Omar Joaquín Barreto Suárez.</w:t>
            </w:r>
          </w:p>
          <w:p w14:paraId="4EC66DB8" w14:textId="3247E022" w:rsidR="00535B83" w:rsidRPr="00CA6E03" w:rsidRDefault="00CD598D" w:rsidP="00371591">
            <w:pPr>
              <w:widowControl w:val="0"/>
              <w:numPr>
                <w:ilvl w:val="0"/>
                <w:numId w:val="17"/>
              </w:numPr>
              <w:autoSpaceDE w:val="0"/>
              <w:autoSpaceDN w:val="0"/>
              <w:spacing w:line="276" w:lineRule="auto"/>
              <w:contextualSpacing/>
              <w:jc w:val="both"/>
              <w:rPr>
                <w:rFonts w:ascii="Verdana" w:eastAsia="Calibri" w:hAnsi="Verdana" w:cs="Arial"/>
              </w:rPr>
            </w:pPr>
            <w:r w:rsidRPr="00CA6E03">
              <w:rPr>
                <w:rFonts w:ascii="Verdana" w:eastAsia="Calibri" w:hAnsi="Verdana" w:cs="Arial"/>
              </w:rPr>
              <w:t>Corte Constitucional. Sentencia C-819 del 2010. M.P</w:t>
            </w:r>
            <w:r w:rsidR="00C84A3A" w:rsidRPr="00CA6E03">
              <w:rPr>
                <w:rFonts w:ascii="Verdana" w:eastAsia="Calibri" w:hAnsi="Verdana" w:cs="Arial"/>
              </w:rPr>
              <w:t xml:space="preserve">. </w:t>
            </w:r>
            <w:r w:rsidRPr="00CA6E03">
              <w:rPr>
                <w:rFonts w:ascii="Verdana" w:eastAsia="Calibri" w:hAnsi="Verdana" w:cs="Arial"/>
              </w:rPr>
              <w:t>Jorge Iván Palacio.</w:t>
            </w:r>
          </w:p>
          <w:p w14:paraId="7C35DC4C" w14:textId="4CC8258C" w:rsidR="00CD598D" w:rsidRPr="00CA6E03" w:rsidRDefault="000936E0" w:rsidP="000936E0">
            <w:pPr>
              <w:widowControl w:val="0"/>
              <w:numPr>
                <w:ilvl w:val="0"/>
                <w:numId w:val="17"/>
              </w:numPr>
              <w:autoSpaceDE w:val="0"/>
              <w:autoSpaceDN w:val="0"/>
              <w:spacing w:line="276" w:lineRule="auto"/>
              <w:contextualSpacing/>
              <w:jc w:val="both"/>
              <w:rPr>
                <w:rFonts w:ascii="Verdana" w:eastAsia="Calibri" w:hAnsi="Verdana" w:cs="Arial"/>
              </w:rPr>
            </w:pPr>
            <w:r w:rsidRPr="00CA6E03">
              <w:rPr>
                <w:rFonts w:ascii="Verdana" w:eastAsia="Calibri" w:hAnsi="Verdana" w:cs="Arial"/>
              </w:rPr>
              <w:t xml:space="preserve">ABC del Decreto 0287 de 2026 Contratación pública inclusiva para personas con discapacidad. Disponible para consulta: </w:t>
            </w:r>
            <w:hyperlink r:id="rId12" w:history="1">
              <w:r w:rsidR="00C24FAB" w:rsidRPr="00CA6E03">
                <w:rPr>
                  <w:rStyle w:val="Hipervnculo"/>
                  <w:rFonts w:ascii="Verdana" w:eastAsia="Calibri" w:hAnsi="Verdana" w:cs="Arial"/>
                </w:rPr>
                <w:t xml:space="preserve">ABC del Decreto 0287 de 2026 Contratación pública inclusiva para personas con discapacidad </w:t>
              </w:r>
            </w:hyperlink>
            <w:r w:rsidRPr="00CA6E03">
              <w:rPr>
                <w:rFonts w:ascii="Verdana" w:eastAsia="Calibri" w:hAnsi="Verdana" w:cs="Arial"/>
              </w:rPr>
              <w:t xml:space="preserve"> </w:t>
            </w:r>
          </w:p>
          <w:p w14:paraId="29ACE79A" w14:textId="1E003E9F" w:rsidR="00371591" w:rsidRPr="00CA6E03" w:rsidRDefault="000A1FE9" w:rsidP="00371591">
            <w:pPr>
              <w:widowControl w:val="0"/>
              <w:numPr>
                <w:ilvl w:val="0"/>
                <w:numId w:val="17"/>
              </w:numPr>
              <w:autoSpaceDE w:val="0"/>
              <w:autoSpaceDN w:val="0"/>
              <w:spacing w:line="276" w:lineRule="auto"/>
              <w:contextualSpacing/>
              <w:jc w:val="both"/>
              <w:rPr>
                <w:rFonts w:ascii="Verdana" w:eastAsia="Calibri" w:hAnsi="Verdana" w:cs="Arial"/>
              </w:rPr>
            </w:pPr>
            <w:r w:rsidRPr="00CA6E03">
              <w:rPr>
                <w:rFonts w:ascii="Verdana" w:eastAsia="Aptos" w:hAnsi="Verdana" w:cs="Times New Roman"/>
                <w:kern w:val="2"/>
                <w14:ligatures w14:val="standardContextual"/>
              </w:rPr>
              <w:t xml:space="preserve">Circular Externa Nro. 003 de 2026. Disponible para consulta: </w:t>
            </w:r>
            <w:hyperlink r:id="rId13" w:history="1">
              <w:r w:rsidRPr="00CA6E03">
                <w:rPr>
                  <w:rStyle w:val="Hipervnculo"/>
                  <w:rFonts w:ascii="Verdana" w:eastAsia="Aptos" w:hAnsi="Verdana" w:cs="Times New Roman"/>
                  <w:kern w:val="2"/>
                  <w14:ligatures w14:val="standardContextual"/>
                </w:rPr>
                <w:t>CIRCULAR EXTERNA 003 DE 2026</w:t>
              </w:r>
            </w:hyperlink>
            <w:r w:rsidRPr="00CA6E03">
              <w:rPr>
                <w:rFonts w:ascii="Verdana" w:eastAsia="Aptos" w:hAnsi="Verdana" w:cs="Times New Roman"/>
                <w:kern w:val="2"/>
                <w14:ligatures w14:val="standardContextual"/>
              </w:rPr>
              <w:t xml:space="preserve"> </w:t>
            </w:r>
          </w:p>
        </w:tc>
      </w:tr>
    </w:tbl>
    <w:p w14:paraId="01906CC7" w14:textId="77777777" w:rsidR="00371591" w:rsidRPr="00CA6E03" w:rsidRDefault="00371591" w:rsidP="00371591">
      <w:pPr>
        <w:tabs>
          <w:tab w:val="left" w:pos="142"/>
          <w:tab w:val="left" w:pos="284"/>
        </w:tabs>
        <w:spacing w:after="0" w:line="276" w:lineRule="auto"/>
        <w:jc w:val="both"/>
        <w:rPr>
          <w:rFonts w:ascii="Verdana" w:eastAsia="Calibri" w:hAnsi="Verdana" w:cs="Arial"/>
        </w:rPr>
      </w:pPr>
    </w:p>
    <w:p w14:paraId="1CA9C033" w14:textId="77777777" w:rsidR="00371591" w:rsidRPr="00CA6E03" w:rsidRDefault="00371591" w:rsidP="00371591">
      <w:pPr>
        <w:tabs>
          <w:tab w:val="left" w:pos="142"/>
          <w:tab w:val="left" w:pos="284"/>
        </w:tabs>
        <w:spacing w:after="0" w:line="276" w:lineRule="auto"/>
        <w:jc w:val="both"/>
        <w:rPr>
          <w:rFonts w:ascii="Verdana" w:eastAsia="Century Gothic" w:hAnsi="Verdana" w:cs="Century Gothic"/>
          <w:b/>
          <w:bCs/>
          <w:lang w:val="es-ES"/>
        </w:rPr>
      </w:pPr>
      <w:r w:rsidRPr="00CA6E03">
        <w:rPr>
          <w:rFonts w:ascii="Verdana" w:eastAsia="Calibri" w:hAnsi="Verdana" w:cs="Arial"/>
          <w:b/>
          <w:bCs/>
        </w:rPr>
        <w:t>5</w:t>
      </w:r>
      <w:r w:rsidRPr="00CA6E03">
        <w:rPr>
          <w:rFonts w:ascii="Verdana" w:eastAsia="Calibri" w:hAnsi="Verdana" w:cs="Arial"/>
        </w:rPr>
        <w:t>.</w:t>
      </w:r>
      <w:r w:rsidRPr="00CA6E03">
        <w:rPr>
          <w:rFonts w:ascii="Verdana" w:eastAsia="Century Gothic" w:hAnsi="Verdana" w:cs="Century Gothic"/>
          <w:b/>
          <w:bCs/>
          <w:lang w:val="es-ES"/>
        </w:rPr>
        <w:t>Doctrina de la Agencia Nacional de Contratación Pública:</w:t>
      </w:r>
    </w:p>
    <w:p w14:paraId="373F16F5" w14:textId="77777777" w:rsidR="00371591" w:rsidRPr="00CA6E03" w:rsidRDefault="00371591" w:rsidP="00371591">
      <w:pPr>
        <w:widowControl w:val="0"/>
        <w:autoSpaceDE w:val="0"/>
        <w:autoSpaceDN w:val="0"/>
        <w:spacing w:after="0" w:line="276" w:lineRule="auto"/>
        <w:jc w:val="both"/>
        <w:rPr>
          <w:rFonts w:ascii="Verdana" w:eastAsia="Calibri" w:hAnsi="Verdana" w:cs="Arial"/>
        </w:rPr>
      </w:pPr>
    </w:p>
    <w:p w14:paraId="46D103B7" w14:textId="51E90385" w:rsidR="00931DE2" w:rsidRPr="00CA6E03" w:rsidRDefault="00371591" w:rsidP="00931DE2">
      <w:pPr>
        <w:widowControl w:val="0"/>
        <w:autoSpaceDE w:val="0"/>
        <w:autoSpaceDN w:val="0"/>
        <w:spacing w:after="240" w:line="276" w:lineRule="auto"/>
        <w:jc w:val="both"/>
        <w:rPr>
          <w:rFonts w:ascii="Verdana" w:hAnsi="Verdana" w:cs="Arial"/>
          <w:shd w:val="clear" w:color="auto" w:fill="FFFFFF"/>
          <w:lang w:val="es-ES"/>
        </w:rPr>
      </w:pPr>
      <w:r w:rsidRPr="00CA6E03">
        <w:rPr>
          <w:rFonts w:ascii="Verdana" w:eastAsia="Calibri" w:hAnsi="Verdana" w:cs="Arial"/>
          <w:lang w:val="es-ES"/>
        </w:rPr>
        <w:t>La Agencia Nacional de Contratación Pública – Colombia Compra Eficiente se h</w:t>
      </w:r>
      <w:r w:rsidR="00090231" w:rsidRPr="00CA6E03">
        <w:rPr>
          <w:rFonts w:ascii="Verdana" w:eastAsia="Calibri" w:hAnsi="Verdana" w:cs="Arial"/>
          <w:lang w:val="es-ES"/>
        </w:rPr>
        <w:t xml:space="preserve">a </w:t>
      </w:r>
      <w:r w:rsidRPr="00CA6E03">
        <w:rPr>
          <w:rFonts w:ascii="Verdana" w:eastAsia="Calibri" w:hAnsi="Verdana" w:cs="Arial"/>
          <w:lang w:val="es-ES"/>
        </w:rPr>
        <w:t xml:space="preserve">referido </w:t>
      </w:r>
      <w:r w:rsidRPr="00CA6E03">
        <w:rPr>
          <w:rFonts w:ascii="Verdana" w:hAnsi="Verdana" w:cs="Arial"/>
          <w:shd w:val="clear" w:color="auto" w:fill="FFFFFF"/>
          <w:lang w:val="es-ES"/>
        </w:rPr>
        <w:t xml:space="preserve">sobre el alcance del Decreto 0287 de 2026 </w:t>
      </w:r>
      <w:r w:rsidR="00CE6167" w:rsidRPr="00CA6E03">
        <w:rPr>
          <w:rFonts w:ascii="Verdana" w:hAnsi="Verdana" w:cs="Arial"/>
          <w:shd w:val="clear" w:color="auto" w:fill="FFFFFF"/>
          <w:lang w:val="es-ES"/>
        </w:rPr>
        <w:t>en los conceptos</w:t>
      </w:r>
      <w:r w:rsidR="00090231" w:rsidRPr="00CA6E03">
        <w:rPr>
          <w:rFonts w:ascii="Verdana" w:hAnsi="Verdana" w:cs="Arial"/>
          <w:shd w:val="clear" w:color="auto" w:fill="FFFFFF"/>
          <w:lang w:val="es-ES"/>
        </w:rPr>
        <w:t xml:space="preserve"> C-484 del 07 de mayo del 2026, C-507 del </w:t>
      </w:r>
      <w:r w:rsidR="00A4049D" w:rsidRPr="00CA6E03">
        <w:rPr>
          <w:rFonts w:ascii="Verdana" w:hAnsi="Verdana" w:cs="Arial"/>
          <w:shd w:val="clear" w:color="auto" w:fill="FFFFFF"/>
          <w:lang w:val="es-ES"/>
        </w:rPr>
        <w:t xml:space="preserve">08 de mayo del 2026, C-534 del </w:t>
      </w:r>
      <w:r w:rsidR="0026451E" w:rsidRPr="00CA6E03">
        <w:rPr>
          <w:rFonts w:ascii="Verdana" w:hAnsi="Verdana" w:cs="Arial"/>
          <w:shd w:val="clear" w:color="auto" w:fill="FFFFFF"/>
          <w:lang w:val="es-ES"/>
        </w:rPr>
        <w:t xml:space="preserve">14 de mayo del 2026, C-540 del 19 de mayo del 2026, C-548 del </w:t>
      </w:r>
      <w:r w:rsidR="006E7397" w:rsidRPr="00CA6E03">
        <w:rPr>
          <w:rFonts w:ascii="Verdana" w:hAnsi="Verdana" w:cs="Arial"/>
          <w:shd w:val="clear" w:color="auto" w:fill="FFFFFF"/>
          <w:lang w:val="es-ES"/>
        </w:rPr>
        <w:t xml:space="preserve">14 de mayo del 2026, C-597 del 18 de mayo del 2026, C-598 del </w:t>
      </w:r>
      <w:r w:rsidR="00B14DF3" w:rsidRPr="00CA6E03">
        <w:rPr>
          <w:rFonts w:ascii="Verdana" w:hAnsi="Verdana" w:cs="Arial"/>
          <w:shd w:val="clear" w:color="auto" w:fill="FFFFFF"/>
          <w:lang w:val="es-ES"/>
        </w:rPr>
        <w:t>19 de mayo del 2026, C-602 del 18 de mayo del 2026, C-</w:t>
      </w:r>
      <w:r w:rsidR="00D01714" w:rsidRPr="00CA6E03">
        <w:rPr>
          <w:rFonts w:ascii="Verdana" w:hAnsi="Verdana" w:cs="Arial"/>
          <w:shd w:val="clear" w:color="auto" w:fill="FFFFFF"/>
          <w:lang w:val="es-ES"/>
        </w:rPr>
        <w:t>607 del 18 de mayo del 2026, C-629 del 11 de mayo del 2026, C-</w:t>
      </w:r>
      <w:r w:rsidR="005E78A0" w:rsidRPr="00CA6E03">
        <w:rPr>
          <w:rFonts w:ascii="Verdana" w:hAnsi="Verdana" w:cs="Arial"/>
          <w:shd w:val="clear" w:color="auto" w:fill="FFFFFF"/>
          <w:lang w:val="es-ES"/>
        </w:rPr>
        <w:t>648 del 15 de mayo del 2026, C-</w:t>
      </w:r>
      <w:r w:rsidR="00445DE0" w:rsidRPr="00CA6E03">
        <w:rPr>
          <w:rFonts w:ascii="Verdana" w:hAnsi="Verdana" w:cs="Arial"/>
          <w:shd w:val="clear" w:color="auto" w:fill="FFFFFF"/>
          <w:lang w:val="es-ES"/>
        </w:rPr>
        <w:t>706 del 26 de mayo del 2026, C-914 del 08 de julio del 2026, C-</w:t>
      </w:r>
      <w:r w:rsidR="00F471EF" w:rsidRPr="00CA6E03">
        <w:rPr>
          <w:rFonts w:ascii="Verdana" w:hAnsi="Verdana" w:cs="Arial"/>
          <w:shd w:val="clear" w:color="auto" w:fill="FFFFFF"/>
          <w:lang w:val="es-ES"/>
        </w:rPr>
        <w:t>971 del 06 de julio del 2026 y C-1012 del 04 de agosto del 2026</w:t>
      </w:r>
      <w:r w:rsidRPr="00CA6E03">
        <w:rPr>
          <w:rFonts w:ascii="Verdana" w:hAnsi="Verdana" w:cs="Arial"/>
          <w:shd w:val="clear" w:color="auto" w:fill="FFFFFF"/>
          <w:lang w:val="es-ES"/>
        </w:rPr>
        <w:t xml:space="preserve">. </w:t>
      </w:r>
      <w:r w:rsidRPr="00CA6E03">
        <w:rPr>
          <w:rFonts w:ascii="Verdana" w:eastAsia="Calibri" w:hAnsi="Verdana" w:cs="Arial"/>
          <w:color w:val="000000"/>
          <w:shd w:val="clear" w:color="auto" w:fill="FFFFFF"/>
        </w:rPr>
        <w:t xml:space="preserve">Los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history="1">
        <w:r w:rsidRPr="00CA6E03">
          <w:rPr>
            <w:rFonts w:ascii="Verdana" w:eastAsia="Aptos" w:hAnsi="Verdana" w:cs="Arial"/>
            <w:color w:val="0000FF"/>
            <w:kern w:val="2"/>
            <w:u w:val="single"/>
            <w:shd w:val="clear" w:color="auto" w:fill="FFFFFF"/>
            <w14:ligatures w14:val="standardContextual"/>
          </w:rPr>
          <w:t>https://relatoria.colombiacompra.gov.co/busqueda/conceptos</w:t>
        </w:r>
      </w:hyperlink>
      <w:r w:rsidRPr="00CA6E03">
        <w:rPr>
          <w:rFonts w:ascii="Verdana" w:eastAsia="Aptos" w:hAnsi="Verdana" w:cs="Arial"/>
          <w:kern w:val="2"/>
          <w:shd w:val="clear" w:color="auto" w:fill="FFFFFF"/>
          <w14:ligatures w14:val="standardContextual"/>
        </w:rPr>
        <w:t xml:space="preserve">. </w:t>
      </w:r>
      <w:r w:rsidRPr="00CA6E03">
        <w:rPr>
          <w:rFonts w:ascii="Verdana" w:eastAsia="Aptos" w:hAnsi="Verdana" w:cs="Arial"/>
          <w:color w:val="FF0000"/>
          <w:kern w:val="2"/>
          <w:shd w:val="clear" w:color="auto" w:fill="FFFFFF"/>
          <w:lang w:val="es-ES"/>
          <w14:ligatures w14:val="standardContextual"/>
        </w:rPr>
        <w:t xml:space="preserve">  </w:t>
      </w:r>
    </w:p>
    <w:p w14:paraId="093B6778" w14:textId="77777777" w:rsidR="00931DE2" w:rsidRPr="00CA6E03" w:rsidRDefault="00931DE2" w:rsidP="00931DE2">
      <w:pPr>
        <w:widowControl w:val="0"/>
        <w:autoSpaceDE w:val="0"/>
        <w:autoSpaceDN w:val="0"/>
        <w:spacing w:after="240" w:line="276" w:lineRule="auto"/>
        <w:jc w:val="both"/>
        <w:rPr>
          <w:rFonts w:ascii="Verdana" w:eastAsia="Times New Roman" w:hAnsi="Verdana" w:cs="Arial"/>
          <w:shd w:val="clear" w:color="auto" w:fill="FFFFFF"/>
          <w:lang w:val="es-ES"/>
        </w:rPr>
      </w:pPr>
      <w:r w:rsidRPr="00CA6E03">
        <w:rPr>
          <w:rFonts w:ascii="Verdana" w:eastAsia="Aptos" w:hAnsi="Verdana" w:cs="Times New Roman"/>
          <w:color w:val="212121"/>
          <w:lang w:eastAsia="es-MX"/>
        </w:rPr>
        <w:t xml:space="preserve">Las garantías no son un requisito formal: son el instrumento con el que se </w:t>
      </w:r>
      <w:r w:rsidRPr="00CA6E03">
        <w:rPr>
          <w:rFonts w:ascii="Verdana" w:eastAsia="Aptos" w:hAnsi="Verdana" w:cs="Times New Roman"/>
          <w:color w:val="212121"/>
          <w:lang w:eastAsia="es-MX"/>
        </w:rPr>
        <w:lastRenderedPageBreak/>
        <w:t>protege el patrimonio público frente a los riesgos del contrato. Por ello, la Agencia Nacional de Contratación Pública –Colombia Compra Eficiente– te invita a consultar la nueva versión de la </w:t>
      </w:r>
      <w:r w:rsidRPr="00CA6E03">
        <w:rPr>
          <w:rFonts w:ascii="Verdana" w:eastAsia="Aptos" w:hAnsi="Verdana" w:cs="Times New Roman"/>
          <w:b/>
          <w:bCs/>
          <w:color w:val="212121"/>
          <w:lang w:eastAsia="es-MX"/>
        </w:rPr>
        <w:t>Guía para la Exigencia y Constitución de Garantías en los Procesos de Contratación</w:t>
      </w:r>
      <w:r w:rsidRPr="00CA6E03">
        <w:rPr>
          <w:rFonts w:ascii="Verdana" w:eastAsia="Aptos" w:hAnsi="Verdana" w:cs="Times New Roman"/>
          <w:color w:val="212121"/>
          <w:lang w:eastAsia="es-MX"/>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5" w:tgtFrame="_blank" w:tooltip="Dirección URL original: https://www.colombiacompra.gov.co/archivos/manual/guia-de-garantias-en-procesos-de-contratacion. Haga clic o pulse si confía en este vínculo." w:history="1">
        <w:r w:rsidRPr="00CA6E03">
          <w:rPr>
            <w:rStyle w:val="Hipervnculo"/>
            <w:rFonts w:ascii="Verdana" w:eastAsia="Aptos" w:hAnsi="Verdana" w:cs="Times New Roman"/>
            <w:lang w:eastAsia="es-MX"/>
          </w:rPr>
          <w:t>https://www.colombiacompra.gov.co/archivos/manual/guia-de-garantias-en-procesos-de-contratacion</w:t>
        </w:r>
      </w:hyperlink>
    </w:p>
    <w:p w14:paraId="483EDD20" w14:textId="77777777" w:rsidR="00931DE2" w:rsidRPr="00CA6E03" w:rsidRDefault="00931DE2" w:rsidP="00931DE2">
      <w:pPr>
        <w:widowControl w:val="0"/>
        <w:autoSpaceDE w:val="0"/>
        <w:autoSpaceDN w:val="0"/>
        <w:spacing w:after="240" w:line="276" w:lineRule="auto"/>
        <w:jc w:val="both"/>
        <w:rPr>
          <w:rFonts w:ascii="Verdana" w:eastAsia="Times New Roman" w:hAnsi="Verdana" w:cs="Arial"/>
          <w:shd w:val="clear" w:color="auto" w:fill="FFFFFF"/>
          <w:lang w:val="es-ES"/>
        </w:rPr>
      </w:pPr>
      <w:r w:rsidRPr="00CA6E03">
        <w:rPr>
          <w:rFonts w:ascii="Verdana" w:eastAsia="Aptos" w:hAnsi="Verdana" w:cs="Times New Roman"/>
          <w:color w:val="212121"/>
          <w:lang w:eastAsia="es-MX"/>
        </w:rPr>
        <w:t>De otro lado, te contamos que el Decreto 287 del 19 de marzo de 2026 sustituyó los artículos 2.2.1.2.4.2.6., 2.2.1.2.4.2.7. y 2.2.1.2.4.2.8. del Decreto 1082 de 2015 y estructuró el </w:t>
      </w:r>
      <w:r w:rsidRPr="00CA6E03">
        <w:rPr>
          <w:rFonts w:ascii="Verdana" w:eastAsia="Aptos" w:hAnsi="Verdana" w:cs="Times New Roman"/>
          <w:b/>
          <w:bCs/>
          <w:color w:val="212121"/>
          <w:lang w:eastAsia="es-MX"/>
        </w:rPr>
        <w:t>Sistema Integral de Preferencias en favor de las personas con discapacidad</w:t>
      </w:r>
      <w:r w:rsidRPr="00CA6E03">
        <w:rPr>
          <w:rFonts w:ascii="Verdana" w:eastAsia="Aptos" w:hAnsi="Verdana" w:cs="Times New Roman"/>
          <w:color w:val="212121"/>
          <w:lang w:eastAsia="es-MX"/>
        </w:rPr>
        <w:t>, en cumplimiento del artículo 13 de la Ley Estatutaria 1618 de 2013. Para orientar su aplicación, esta Agencia expidió la </w:t>
      </w:r>
      <w:r w:rsidRPr="00CA6E03">
        <w:rPr>
          <w:rFonts w:ascii="Verdana" w:eastAsia="Aptos" w:hAnsi="Verdana" w:cs="Times New Roman"/>
          <w:b/>
          <w:bCs/>
          <w:color w:val="212121"/>
          <w:lang w:eastAsia="es-MX"/>
        </w:rPr>
        <w:t>Circular Externa 003 del 12 de mayo de 2026, </w:t>
      </w:r>
      <w:r w:rsidRPr="00CA6E03">
        <w:rPr>
          <w:rFonts w:ascii="Verdana" w:eastAsia="Aptos" w:hAnsi="Verdana" w:cs="Times New Roman"/>
          <w:color w:val="212121"/>
          <w:lang w:eastAsia="es-MX"/>
        </w:rPr>
        <w:t>en la que precisa quiénes son los beneficiarios, las cinco medidas que integran el sistema y su obligatoriedad según la modalidad de selección, y el régimen de transición aplicable a los procesos en curso. Consúltala aquí: </w:t>
      </w:r>
      <w:hyperlink r:id="rId16" w:tgtFrame="_blank" w:tooltip="Dirección URL original: https://www.colombiacompra.gov.co/archivos/circular/circular-externa-003-de-2026. Haga clic o pulse si confía en este vínculo." w:history="1">
        <w:r w:rsidRPr="00CA6E03">
          <w:rPr>
            <w:rStyle w:val="Hipervnculo"/>
            <w:rFonts w:ascii="Verdana" w:eastAsia="Aptos" w:hAnsi="Verdana" w:cs="Times New Roman"/>
            <w:lang w:eastAsia="es-MX"/>
          </w:rPr>
          <w:t>https://www.colombiacompra.gov.co/archivos/circular/circular-externa-003-de-2026</w:t>
        </w:r>
      </w:hyperlink>
    </w:p>
    <w:p w14:paraId="22E423EE" w14:textId="7D372978" w:rsidR="00931DE2" w:rsidRPr="00CA6E03" w:rsidRDefault="00931DE2" w:rsidP="00931DE2">
      <w:pPr>
        <w:widowControl w:val="0"/>
        <w:autoSpaceDE w:val="0"/>
        <w:autoSpaceDN w:val="0"/>
        <w:spacing w:after="240" w:line="276" w:lineRule="auto"/>
        <w:jc w:val="both"/>
        <w:rPr>
          <w:rFonts w:ascii="Verdana" w:eastAsia="Times New Roman" w:hAnsi="Verdana" w:cs="Arial"/>
          <w:shd w:val="clear" w:color="auto" w:fill="FFFFFF"/>
          <w:lang w:val="es-ES"/>
        </w:rPr>
      </w:pPr>
      <w:r w:rsidRPr="00CA6E03">
        <w:rPr>
          <w:rFonts w:ascii="Verdana" w:eastAsia="Aptos" w:hAnsi="Verdana" w:cs="Times New Roman"/>
          <w:color w:val="212121"/>
          <w:lang w:eastAsia="es-MX"/>
        </w:rPr>
        <w:t>Recuerda también que la</w:t>
      </w:r>
      <w:r w:rsidRPr="00CA6E03">
        <w:rPr>
          <w:rFonts w:ascii="Verdana" w:eastAsia="Aptos" w:hAnsi="Verdana" w:cs="Times New Roman"/>
          <w:b/>
          <w:bCs/>
          <w:color w:val="212121"/>
          <w:lang w:eastAsia="es-MX"/>
        </w:rPr>
        <w:t> información sobre sanciones e inhabilidades </w:t>
      </w:r>
      <w:r w:rsidRPr="00CA6E03">
        <w:rPr>
          <w:rFonts w:ascii="Verdana" w:eastAsia="Aptos" w:hAnsi="Verdana" w:cs="Times New Roman"/>
          <w:color w:val="212121"/>
          <w:lang w:eastAsia="es-MX"/>
        </w:rPr>
        <w:t>solo cumple su función preventiva si llega oportunamente a los registros públicos. Sobre este deber, esta Agencia expidió la </w:t>
      </w:r>
      <w:r w:rsidRPr="00CA6E03">
        <w:rPr>
          <w:rFonts w:ascii="Verdana" w:eastAsia="Aptos" w:hAnsi="Verdana" w:cs="Times New Roman"/>
          <w:b/>
          <w:bCs/>
          <w:color w:val="212121"/>
          <w:lang w:eastAsia="es-MX"/>
        </w:rPr>
        <w:t>Circular Externa 002 del 5 de mayo de 2026,</w:t>
      </w:r>
      <w:r w:rsidRPr="00CA6E03">
        <w:rPr>
          <w:rFonts w:ascii="Verdana" w:eastAsia="Aptos" w:hAnsi="Verdana" w:cs="Times New Roman"/>
          <w:color w:val="212121"/>
          <w:lang w:eastAsia="es-MX"/>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7" w:tgtFrame="_blank" w:tooltip="Dirección URL original: https://www.colombiacompra.gov.co/archivos/circular/circular-externa-002-de-2026. Haga clic o pulse si confía en este vínculo." w:history="1">
        <w:r w:rsidRPr="00CA6E03">
          <w:rPr>
            <w:rStyle w:val="Hipervnculo"/>
            <w:rFonts w:ascii="Verdana" w:eastAsia="Aptos" w:hAnsi="Verdana" w:cs="Times New Roman"/>
            <w:lang w:eastAsia="es-MX"/>
          </w:rPr>
          <w:t>https://www.colombiacompra.gov.co/archivos/circular/circular-externa-002-de-2026</w:t>
        </w:r>
      </w:hyperlink>
    </w:p>
    <w:p w14:paraId="25432FEA" w14:textId="77777777" w:rsidR="00931DE2" w:rsidRPr="00CA6E03" w:rsidRDefault="00931DE2" w:rsidP="00931DE2">
      <w:pPr>
        <w:spacing w:after="0" w:line="276" w:lineRule="auto"/>
        <w:jc w:val="both"/>
        <w:rPr>
          <w:rFonts w:ascii="Verdana" w:eastAsia="Aptos" w:hAnsi="Verdana" w:cs="Times New Roman"/>
          <w:color w:val="212121"/>
          <w:lang w:eastAsia="es-MX"/>
        </w:rPr>
      </w:pPr>
      <w:r w:rsidRPr="00CA6E03">
        <w:rPr>
          <w:rFonts w:ascii="Verdana" w:eastAsia="Aptos" w:hAnsi="Verdana" w:cs="Times New Roman"/>
          <w:color w:val="212121"/>
          <w:lang w:eastAsia="es-MX"/>
        </w:rPr>
        <w:t>Finalmente, si quieres seguir de cerca la actividad de la Agencia, la tercera edición de 2026 del</w:t>
      </w:r>
      <w:r w:rsidRPr="00CA6E03">
        <w:rPr>
          <w:rFonts w:ascii="Verdana" w:eastAsia="Aptos" w:hAnsi="Verdana" w:cs="Times New Roman"/>
          <w:b/>
          <w:bCs/>
          <w:color w:val="212121"/>
          <w:lang w:eastAsia="es-MX"/>
        </w:rPr>
        <w:t> Radar de la Compra Pública</w:t>
      </w:r>
      <w:r w:rsidRPr="00CA6E03">
        <w:rPr>
          <w:rFonts w:ascii="Verdana" w:eastAsia="Aptos" w:hAnsi="Verdana" w:cs="Times New Roman"/>
          <w:color w:val="212121"/>
          <w:lang w:eastAsia="es-MX"/>
        </w:rPr>
        <w:t xml:space="preserve"> reúne, entre otros </w:t>
      </w:r>
      <w:r w:rsidRPr="00CA6E03">
        <w:rPr>
          <w:rFonts w:ascii="Verdana" w:eastAsia="Aptos" w:hAnsi="Verdana" w:cs="Times New Roman"/>
          <w:color w:val="212121"/>
          <w:lang w:eastAsia="es-MX"/>
        </w:rPr>
        <w:lastRenderedPageBreak/>
        <w:t>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8" w:tgtFrame="_blank" w:tooltip="Dirección URL original: https://www.colombiacompra.gov.co/archivos/boletin/boletin-edicion-n-3-de-2026-radar-de-la-compra-publica. Haga clic o pulse si confía en este vínculo." w:history="1">
        <w:r w:rsidRPr="00CA6E03">
          <w:rPr>
            <w:rStyle w:val="Hipervnculo"/>
            <w:rFonts w:ascii="Verdana" w:eastAsia="Aptos" w:hAnsi="Verdana" w:cs="Times New Roman"/>
            <w:lang w:eastAsia="es-MX"/>
          </w:rPr>
          <w:t>https://www.colombiacompra.gov.co/archivos/boletin/boletin-edicion-n-3-de-2026-radar-de-la-compra-publica</w:t>
        </w:r>
      </w:hyperlink>
      <w:r w:rsidRPr="00CA6E03">
        <w:rPr>
          <w:rFonts w:ascii="Verdana" w:eastAsia="Aptos" w:hAnsi="Verdana" w:cs="Times New Roman"/>
          <w:color w:val="212121"/>
          <w:lang w:eastAsia="es-MX"/>
        </w:rPr>
        <w:t>"</w:t>
      </w:r>
    </w:p>
    <w:p w14:paraId="11E815D3" w14:textId="77777777" w:rsidR="00371591" w:rsidRPr="00CA6E03" w:rsidRDefault="00371591" w:rsidP="00371591">
      <w:pPr>
        <w:spacing w:after="0"/>
        <w:jc w:val="both"/>
        <w:rPr>
          <w:rFonts w:ascii="Verdana" w:eastAsia="Aptos" w:hAnsi="Verdana" w:cs="Times New Roman"/>
          <w:color w:val="212121"/>
          <w:lang w:eastAsia="es-MX"/>
        </w:rPr>
      </w:pPr>
    </w:p>
    <w:p w14:paraId="0F99F382" w14:textId="77777777" w:rsidR="00371591" w:rsidRPr="00CA6E03" w:rsidRDefault="00371591" w:rsidP="00371591">
      <w:pPr>
        <w:spacing w:after="0" w:line="240" w:lineRule="auto"/>
        <w:jc w:val="both"/>
        <w:rPr>
          <w:rFonts w:ascii="Verdana" w:eastAsia="Calibri" w:hAnsi="Verdana" w:cs="Times New Roman"/>
          <w:lang w:eastAsia="es-MX"/>
        </w:rPr>
      </w:pPr>
      <w:r w:rsidRPr="00CA6E03">
        <w:rPr>
          <w:rFonts w:ascii="Verdana" w:eastAsia="Aptos" w:hAnsi="Verdana" w:cs="Times New Roman"/>
          <w:lang w:eastAsia="es-MX"/>
        </w:rPr>
        <w:t xml:space="preserve">Por último, lo invitamos a seguirnos en las redes sociales en las cuales se difunde información institucional: </w:t>
      </w:r>
    </w:p>
    <w:p w14:paraId="201F6A04" w14:textId="77777777" w:rsidR="00371591" w:rsidRPr="00CA6E03" w:rsidRDefault="00371591" w:rsidP="00371591">
      <w:pPr>
        <w:spacing w:after="0" w:line="240" w:lineRule="auto"/>
        <w:jc w:val="both"/>
        <w:rPr>
          <w:rFonts w:ascii="Verdana" w:eastAsia="Aptos" w:hAnsi="Verdana" w:cs="Times New Roman"/>
          <w:lang w:eastAsia="es-MX"/>
        </w:rPr>
      </w:pPr>
    </w:p>
    <w:p w14:paraId="7032E03C" w14:textId="77777777" w:rsidR="00371591" w:rsidRPr="00CA6E03" w:rsidRDefault="00371591" w:rsidP="00371591">
      <w:pPr>
        <w:spacing w:after="0" w:line="240" w:lineRule="auto"/>
        <w:jc w:val="both"/>
        <w:rPr>
          <w:rFonts w:ascii="Verdana" w:eastAsia="Aptos" w:hAnsi="Verdana" w:cs="Times New Roman"/>
          <w:lang w:eastAsia="es-MX"/>
        </w:rPr>
      </w:pPr>
      <w:r w:rsidRPr="00CA6E03">
        <w:rPr>
          <w:rFonts w:ascii="Verdana" w:eastAsia="Aptos" w:hAnsi="Verdana" w:cs="Times New Roman"/>
          <w:lang w:eastAsia="es-MX"/>
        </w:rPr>
        <w:t xml:space="preserve">Twitter: </w:t>
      </w:r>
      <w:r w:rsidRPr="00CA6E03">
        <w:rPr>
          <w:rFonts w:ascii="Verdana" w:eastAsia="Calibri" w:hAnsi="Verdana" w:cs="Times New Roman"/>
          <w:color w:val="156082"/>
          <w:u w:val="single"/>
          <w:lang w:eastAsia="es-MX"/>
        </w:rPr>
        <w:t>@colombiacompra</w:t>
      </w:r>
      <w:r w:rsidRPr="00CA6E03">
        <w:rPr>
          <w:rFonts w:ascii="Verdana" w:eastAsia="Calibri" w:hAnsi="Verdana" w:cs="Times New Roman"/>
          <w:color w:val="156082"/>
          <w:lang w:eastAsia="es-MX"/>
        </w:rPr>
        <w:t xml:space="preserve"> </w:t>
      </w:r>
    </w:p>
    <w:p w14:paraId="6AD15442" w14:textId="77777777" w:rsidR="00371591" w:rsidRPr="00CA6E03" w:rsidRDefault="00371591" w:rsidP="00371591">
      <w:pPr>
        <w:spacing w:after="0" w:line="240" w:lineRule="auto"/>
        <w:jc w:val="both"/>
        <w:rPr>
          <w:rFonts w:ascii="Verdana" w:eastAsia="Aptos" w:hAnsi="Verdana" w:cs="Times New Roman"/>
          <w:lang w:eastAsia="es-MX"/>
        </w:rPr>
      </w:pPr>
      <w:r w:rsidRPr="00CA6E03">
        <w:rPr>
          <w:rFonts w:ascii="Verdana" w:eastAsia="Aptos" w:hAnsi="Verdana" w:cs="Times New Roman"/>
          <w:lang w:eastAsia="es-MX"/>
        </w:rPr>
        <w:t xml:space="preserve">Facebook: </w:t>
      </w:r>
      <w:proofErr w:type="spellStart"/>
      <w:r w:rsidRPr="00CA6E03">
        <w:rPr>
          <w:rFonts w:ascii="Verdana" w:eastAsia="Calibri" w:hAnsi="Verdana" w:cs="Times New Roman"/>
          <w:color w:val="156082"/>
          <w:u w:val="single"/>
          <w:lang w:eastAsia="es-MX"/>
        </w:rPr>
        <w:t>ColombiaCompraEficiente</w:t>
      </w:r>
      <w:proofErr w:type="spellEnd"/>
    </w:p>
    <w:p w14:paraId="7B9A488E" w14:textId="77777777" w:rsidR="00371591" w:rsidRPr="00CA6E03" w:rsidRDefault="00371591" w:rsidP="00371591">
      <w:pPr>
        <w:spacing w:after="0" w:line="240" w:lineRule="auto"/>
        <w:jc w:val="both"/>
        <w:rPr>
          <w:rFonts w:ascii="Verdana" w:eastAsia="Aptos" w:hAnsi="Verdana" w:cs="Times New Roman"/>
          <w:lang w:eastAsia="es-MX"/>
        </w:rPr>
      </w:pPr>
      <w:r w:rsidRPr="00CA6E03">
        <w:rPr>
          <w:rFonts w:ascii="Verdana" w:eastAsia="Aptos" w:hAnsi="Verdana" w:cs="Times New Roman"/>
          <w:lang w:eastAsia="es-MX"/>
        </w:rPr>
        <w:t xml:space="preserve">LinkedIn: </w:t>
      </w:r>
      <w:r w:rsidRPr="00CA6E03">
        <w:rPr>
          <w:rFonts w:ascii="Verdana" w:eastAsia="Calibri" w:hAnsi="Verdana" w:cs="Times New Roman"/>
          <w:color w:val="156082"/>
          <w:u w:val="single"/>
          <w:lang w:eastAsia="es-MX"/>
        </w:rPr>
        <w:t>Agencia Nacional de Contratación Pública - Colombia Compra Eficiente</w:t>
      </w:r>
      <w:r w:rsidRPr="00CA6E03">
        <w:rPr>
          <w:rFonts w:ascii="Verdana" w:eastAsia="Calibri" w:hAnsi="Verdana" w:cs="Times New Roman"/>
          <w:color w:val="156082"/>
          <w:lang w:eastAsia="es-MX"/>
        </w:rPr>
        <w:t xml:space="preserve"> </w:t>
      </w:r>
      <w:r w:rsidRPr="00CA6E03">
        <w:rPr>
          <w:rFonts w:ascii="Verdana" w:eastAsia="Aptos" w:hAnsi="Verdana" w:cs="Times New Roman"/>
          <w:lang w:eastAsia="es-MX"/>
        </w:rPr>
        <w:t xml:space="preserve">Instagram: </w:t>
      </w:r>
      <w:r w:rsidRPr="00CA6E03">
        <w:rPr>
          <w:rFonts w:ascii="Verdana" w:eastAsia="Calibri" w:hAnsi="Verdana" w:cs="Times New Roman"/>
          <w:color w:val="156082"/>
          <w:u w:val="single"/>
          <w:lang w:eastAsia="es-MX"/>
        </w:rPr>
        <w:t>@colombiacompraeficiente_cce</w:t>
      </w:r>
    </w:p>
    <w:p w14:paraId="68DE7508" w14:textId="77777777" w:rsidR="00371591" w:rsidRPr="00CA6E03" w:rsidRDefault="00371591" w:rsidP="00371591">
      <w:pPr>
        <w:spacing w:after="0" w:line="276" w:lineRule="auto"/>
        <w:jc w:val="both"/>
        <w:rPr>
          <w:rFonts w:ascii="Verdana" w:eastAsia="Aptos" w:hAnsi="Verdana" w:cs="Times New Roman"/>
          <w:lang w:eastAsia="es-MX"/>
        </w:rPr>
      </w:pPr>
    </w:p>
    <w:p w14:paraId="393CA114" w14:textId="77777777" w:rsidR="00371591" w:rsidRPr="00CA6E03" w:rsidRDefault="00371591" w:rsidP="00371591">
      <w:pPr>
        <w:spacing w:after="0" w:line="276" w:lineRule="auto"/>
        <w:jc w:val="both"/>
        <w:rPr>
          <w:rFonts w:ascii="Verdana" w:eastAsia="Calibri" w:hAnsi="Verdana" w:cs="Times New Roman"/>
          <w:bCs/>
          <w:lang w:val="es-ES_tradnl" w:eastAsia="es-MX"/>
        </w:rPr>
      </w:pPr>
      <w:r w:rsidRPr="00CA6E03">
        <w:rPr>
          <w:rFonts w:ascii="Verdana" w:eastAsia="Calibri" w:hAnsi="Verdana" w:cs="Times New Roman"/>
          <w:lang w:val="es-ES_tradnl" w:eastAsia="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5FC48B1" w14:textId="77777777" w:rsidR="00371591" w:rsidRPr="00CA6E03" w:rsidRDefault="00371591" w:rsidP="00371591">
      <w:pPr>
        <w:spacing w:after="0" w:line="276" w:lineRule="auto"/>
        <w:jc w:val="both"/>
        <w:rPr>
          <w:rFonts w:ascii="Verdana" w:eastAsia="Calibri" w:hAnsi="Verdana" w:cs="Times New Roman"/>
          <w:lang w:eastAsia="es-MX"/>
        </w:rPr>
      </w:pPr>
    </w:p>
    <w:p w14:paraId="1A7D92A2" w14:textId="77777777" w:rsidR="00371591" w:rsidRPr="00CA6E03" w:rsidRDefault="00371591" w:rsidP="00371591">
      <w:pPr>
        <w:spacing w:after="0" w:line="276" w:lineRule="auto"/>
        <w:jc w:val="both"/>
        <w:rPr>
          <w:rFonts w:ascii="Verdana" w:eastAsia="Calibri" w:hAnsi="Verdana" w:cs="Times New Roman"/>
          <w:lang w:eastAsia="es-MX"/>
        </w:rPr>
      </w:pPr>
      <w:r w:rsidRPr="00CA6E03">
        <w:rPr>
          <w:rFonts w:ascii="Verdana" w:eastAsia="Calibri" w:hAnsi="Verdana" w:cs="Times New Roman"/>
          <w:lang w:eastAsia="es-MX"/>
        </w:rPr>
        <w:t>Atentamente,</w:t>
      </w:r>
    </w:p>
    <w:p w14:paraId="6544EDD5" w14:textId="2DD265FB" w:rsidR="00371591" w:rsidRPr="00CA6E03" w:rsidRDefault="00B6115E" w:rsidP="0094156E">
      <w:pPr>
        <w:tabs>
          <w:tab w:val="left" w:pos="1320"/>
        </w:tabs>
        <w:spacing w:after="0"/>
        <w:jc w:val="center"/>
        <w:rPr>
          <w:rFonts w:ascii="Verdana" w:eastAsia="Calibri" w:hAnsi="Verdana" w:cs="Times New Roman"/>
          <w:lang w:eastAsia="es-MX"/>
        </w:rPr>
      </w:pPr>
      <w:r w:rsidRPr="004D5C25">
        <w:rPr>
          <w:rFonts w:ascii="Century Gothic" w:hAnsi="Century Gothic"/>
          <w:noProof/>
        </w:rPr>
        <w:drawing>
          <wp:inline distT="0" distB="0" distL="0" distR="0" wp14:anchorId="7B9F10F2" wp14:editId="2059FEB0">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9"/>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71591" w:rsidRPr="00CA6E03" w14:paraId="7ABFA962" w14:textId="77777777" w:rsidTr="002940EB">
        <w:trPr>
          <w:trHeight w:val="315"/>
        </w:trPr>
        <w:tc>
          <w:tcPr>
            <w:tcW w:w="893" w:type="dxa"/>
            <w:vAlign w:val="center"/>
            <w:hideMark/>
          </w:tcPr>
          <w:p w14:paraId="2064E0B1" w14:textId="77777777" w:rsidR="00371591" w:rsidRPr="00CA6E03" w:rsidRDefault="00371591" w:rsidP="002940EB">
            <w:pPr>
              <w:contextualSpacing/>
              <w:rPr>
                <w:rFonts w:ascii="Verdana" w:hAnsi="Verdana" w:cs="Arial"/>
                <w:sz w:val="16"/>
                <w:szCs w:val="16"/>
                <w:lang w:val="es-ES" w:eastAsia="es-ES"/>
              </w:rPr>
            </w:pPr>
            <w:r w:rsidRPr="00CA6E03">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90CB7BF" w14:textId="3E0FF981" w:rsidR="00371591" w:rsidRPr="00CA6E03" w:rsidRDefault="00371591" w:rsidP="002940EB">
            <w:pPr>
              <w:contextualSpacing/>
              <w:rPr>
                <w:rFonts w:ascii="Verdana" w:hAnsi="Verdana"/>
                <w:sz w:val="16"/>
                <w:szCs w:val="16"/>
              </w:rPr>
            </w:pPr>
            <w:r w:rsidRPr="00CA6E03">
              <w:rPr>
                <w:rFonts w:ascii="Verdana" w:hAnsi="Verdana"/>
                <w:sz w:val="16"/>
                <w:szCs w:val="16"/>
              </w:rPr>
              <w:t>Ana María Ortiz Ballesteros</w:t>
            </w:r>
          </w:p>
          <w:p w14:paraId="57F2053C" w14:textId="77777777" w:rsidR="00371591" w:rsidRPr="00CA6E03" w:rsidRDefault="00371591" w:rsidP="002940EB">
            <w:pPr>
              <w:contextualSpacing/>
              <w:rPr>
                <w:rFonts w:ascii="Verdana" w:eastAsia="Arial" w:hAnsi="Verdana" w:cs="Arial"/>
                <w:sz w:val="16"/>
                <w:szCs w:val="16"/>
              </w:rPr>
            </w:pPr>
            <w:r w:rsidRPr="00CA6E03">
              <w:rPr>
                <w:rFonts w:ascii="Verdana" w:hAnsi="Verdana"/>
                <w:sz w:val="16"/>
                <w:szCs w:val="16"/>
              </w:rPr>
              <w:t>Contratista de la Subdirección de Gestión Contractual</w:t>
            </w:r>
          </w:p>
        </w:tc>
      </w:tr>
      <w:tr w:rsidR="00371591" w:rsidRPr="00CA6E03" w14:paraId="63CEFA76" w14:textId="77777777" w:rsidTr="002940EB">
        <w:trPr>
          <w:trHeight w:val="330"/>
        </w:trPr>
        <w:tc>
          <w:tcPr>
            <w:tcW w:w="893" w:type="dxa"/>
            <w:vAlign w:val="center"/>
            <w:hideMark/>
          </w:tcPr>
          <w:p w14:paraId="25D20598" w14:textId="77777777" w:rsidR="00371591" w:rsidRPr="00CA6E03" w:rsidRDefault="00371591" w:rsidP="002940EB">
            <w:pPr>
              <w:contextualSpacing/>
              <w:rPr>
                <w:rFonts w:ascii="Verdana" w:hAnsi="Verdana" w:cs="Arial"/>
                <w:sz w:val="16"/>
                <w:szCs w:val="16"/>
                <w:lang w:val="es-ES" w:eastAsia="es-ES"/>
              </w:rPr>
            </w:pPr>
            <w:r w:rsidRPr="00CA6E03">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0499F43" w14:textId="1D93AEA7" w:rsidR="00AA4315" w:rsidRPr="00CA6E03" w:rsidRDefault="00AA4315" w:rsidP="00AA4315">
            <w:pPr>
              <w:spacing w:before="100" w:beforeAutospacing="1" w:afterAutospacing="1"/>
              <w:contextualSpacing/>
              <w:textAlignment w:val="baseline"/>
              <w:rPr>
                <w:rFonts w:ascii="Verdana" w:eastAsia="Times New Roman" w:hAnsi="Verdana" w:cs="Arial"/>
                <w:sz w:val="16"/>
                <w:szCs w:val="16"/>
                <w:lang w:eastAsia="es-ES_tradnl"/>
              </w:rPr>
            </w:pPr>
            <w:r w:rsidRPr="00CA6E03">
              <w:rPr>
                <w:rFonts w:ascii="Verdana" w:eastAsia="Times New Roman" w:hAnsi="Verdana" w:cs="Arial"/>
                <w:sz w:val="16"/>
                <w:szCs w:val="16"/>
                <w:lang w:eastAsia="es-ES_tradnl"/>
              </w:rPr>
              <w:t xml:space="preserve">Adriana </w:t>
            </w:r>
            <w:proofErr w:type="spellStart"/>
            <w:r w:rsidRPr="00CA6E03">
              <w:rPr>
                <w:rFonts w:ascii="Verdana" w:eastAsia="Times New Roman" w:hAnsi="Verdana" w:cs="Arial"/>
                <w:sz w:val="16"/>
                <w:szCs w:val="16"/>
                <w:lang w:eastAsia="es-ES_tradnl"/>
              </w:rPr>
              <w:t>Katerine</w:t>
            </w:r>
            <w:proofErr w:type="spellEnd"/>
            <w:r w:rsidRPr="00CA6E03">
              <w:rPr>
                <w:rFonts w:ascii="Verdana" w:eastAsia="Times New Roman" w:hAnsi="Verdana" w:cs="Arial"/>
                <w:sz w:val="16"/>
                <w:szCs w:val="16"/>
                <w:lang w:eastAsia="es-ES_tradnl"/>
              </w:rPr>
              <w:t xml:space="preserve"> López Rodríguez</w:t>
            </w:r>
          </w:p>
          <w:p w14:paraId="3AFF00D0" w14:textId="5A0FD409" w:rsidR="00371591" w:rsidRPr="00CA6E03" w:rsidRDefault="00AA4315" w:rsidP="002940EB">
            <w:pPr>
              <w:contextualSpacing/>
              <w:textAlignment w:val="baseline"/>
              <w:rPr>
                <w:rFonts w:ascii="Verdana" w:eastAsia="Times New Roman" w:hAnsi="Verdana" w:cs="Segoe UI"/>
                <w:sz w:val="16"/>
                <w:szCs w:val="16"/>
                <w:lang w:eastAsia="es-ES_tradnl"/>
              </w:rPr>
            </w:pPr>
            <w:r w:rsidRPr="00CA6E03">
              <w:rPr>
                <w:rFonts w:ascii="Verdana" w:hAnsi="Verdana"/>
                <w:sz w:val="16"/>
                <w:szCs w:val="16"/>
              </w:rPr>
              <w:t>Contratista de la Subdirección de Gestión Contractual</w:t>
            </w:r>
          </w:p>
        </w:tc>
      </w:tr>
      <w:tr w:rsidR="00371591" w:rsidRPr="00CA6E03" w14:paraId="282954EB" w14:textId="77777777" w:rsidTr="002940EB">
        <w:trPr>
          <w:trHeight w:val="300"/>
        </w:trPr>
        <w:tc>
          <w:tcPr>
            <w:tcW w:w="893" w:type="dxa"/>
            <w:vAlign w:val="center"/>
          </w:tcPr>
          <w:p w14:paraId="166B64F9" w14:textId="77777777" w:rsidR="00371591" w:rsidRPr="00CA6E03" w:rsidRDefault="00371591" w:rsidP="002940EB">
            <w:pPr>
              <w:contextualSpacing/>
              <w:rPr>
                <w:rFonts w:ascii="Verdana" w:hAnsi="Verdana" w:cs="Arial"/>
                <w:sz w:val="16"/>
                <w:szCs w:val="16"/>
                <w:lang w:val="es-ES" w:eastAsia="es-ES"/>
              </w:rPr>
            </w:pPr>
            <w:r w:rsidRPr="00CA6E03">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10D71B6" w14:textId="77777777" w:rsidR="00371591" w:rsidRPr="00CA6E03" w:rsidRDefault="00371591" w:rsidP="002940EB">
            <w:pPr>
              <w:contextualSpacing/>
              <w:rPr>
                <w:rFonts w:ascii="Verdana" w:eastAsia="Calibri" w:hAnsi="Verdana" w:cs="Arial"/>
                <w:sz w:val="16"/>
                <w:szCs w:val="16"/>
                <w:lang w:val="pt-BR" w:eastAsia="es-ES"/>
              </w:rPr>
            </w:pPr>
            <w:r w:rsidRPr="00CA6E03">
              <w:rPr>
                <w:rFonts w:ascii="Verdana" w:eastAsia="Calibri" w:hAnsi="Verdana" w:cs="Arial"/>
                <w:sz w:val="16"/>
                <w:szCs w:val="16"/>
                <w:lang w:val="pt-BR" w:eastAsia="es-ES"/>
              </w:rPr>
              <w:t xml:space="preserve">Carolina Quintero </w:t>
            </w:r>
            <w:proofErr w:type="spellStart"/>
            <w:r w:rsidRPr="00CA6E03">
              <w:rPr>
                <w:rFonts w:ascii="Verdana" w:eastAsia="Calibri" w:hAnsi="Verdana" w:cs="Arial"/>
                <w:sz w:val="16"/>
                <w:szCs w:val="16"/>
                <w:lang w:val="pt-BR" w:eastAsia="es-ES"/>
              </w:rPr>
              <w:t>Gacharná</w:t>
            </w:r>
            <w:proofErr w:type="spellEnd"/>
          </w:p>
          <w:p w14:paraId="6BD01101" w14:textId="77777777" w:rsidR="00371591" w:rsidRPr="00CA6E03" w:rsidRDefault="00371591" w:rsidP="002940EB">
            <w:pPr>
              <w:contextualSpacing/>
              <w:rPr>
                <w:rFonts w:ascii="Verdana" w:eastAsia="Calibri" w:hAnsi="Verdana" w:cs="Arial"/>
                <w:sz w:val="16"/>
                <w:szCs w:val="16"/>
                <w:lang w:val="pt-BR" w:eastAsia="es-ES"/>
              </w:rPr>
            </w:pPr>
            <w:r w:rsidRPr="00CA6E03">
              <w:rPr>
                <w:rFonts w:ascii="Verdana" w:eastAsia="Calibri" w:hAnsi="Verdana" w:cs="Arial"/>
                <w:sz w:val="16"/>
                <w:szCs w:val="16"/>
                <w:lang w:eastAsia="es-ES"/>
              </w:rPr>
              <w:t>Subdirectora</w:t>
            </w:r>
            <w:r w:rsidRPr="00CA6E03">
              <w:rPr>
                <w:rFonts w:ascii="Verdana" w:eastAsia="Calibri" w:hAnsi="Verdana" w:cs="Arial"/>
                <w:sz w:val="16"/>
                <w:szCs w:val="16"/>
                <w:lang w:val="pt-BR" w:eastAsia="es-ES"/>
              </w:rPr>
              <w:t xml:space="preserve"> de Gestión Contratual ANCP – CCE</w:t>
            </w:r>
          </w:p>
        </w:tc>
      </w:tr>
    </w:tbl>
    <w:p w14:paraId="69BC4D14" w14:textId="322FAB53" w:rsidR="00C15139" w:rsidRPr="00CA6E03" w:rsidRDefault="00C15139" w:rsidP="30821638">
      <w:pPr>
        <w:spacing w:after="0" w:line="240" w:lineRule="auto"/>
        <w:textAlignment w:val="baseline"/>
        <w:rPr>
          <w:rFonts w:ascii="Verdana" w:eastAsia="Verdana" w:hAnsi="Verdana" w:cs="Verdana"/>
          <w:lang w:eastAsia="es-CO"/>
        </w:rPr>
      </w:pPr>
      <w:r w:rsidRPr="00CA6E03">
        <w:rPr>
          <w:rFonts w:ascii="Verdana" w:eastAsia="Verdana" w:hAnsi="Verdana" w:cs="Verdana"/>
          <w:lang w:eastAsia="es-CO"/>
        </w:rPr>
        <w:t> </w:t>
      </w:r>
      <w:bookmarkEnd w:id="0"/>
    </w:p>
    <w:sectPr w:rsidR="00C15139" w:rsidRPr="00CA6E03"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505AA" w14:textId="77777777" w:rsidR="00741593" w:rsidRDefault="00741593" w:rsidP="004A1847">
      <w:pPr>
        <w:spacing w:after="0" w:line="240" w:lineRule="auto"/>
      </w:pPr>
      <w:r>
        <w:separator/>
      </w:r>
    </w:p>
  </w:endnote>
  <w:endnote w:type="continuationSeparator" w:id="0">
    <w:p w14:paraId="58D0F549" w14:textId="77777777" w:rsidR="00741593" w:rsidRDefault="0074159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9F5E9" w14:textId="77777777" w:rsidR="00741593" w:rsidRDefault="00741593" w:rsidP="004A1847">
      <w:pPr>
        <w:spacing w:after="0" w:line="240" w:lineRule="auto"/>
      </w:pPr>
      <w:r>
        <w:separator/>
      </w:r>
    </w:p>
  </w:footnote>
  <w:footnote w:type="continuationSeparator" w:id="0">
    <w:p w14:paraId="0C9919FA" w14:textId="77777777" w:rsidR="00741593" w:rsidRDefault="00741593" w:rsidP="004A1847">
      <w:pPr>
        <w:spacing w:after="0" w:line="240" w:lineRule="auto"/>
      </w:pPr>
      <w:r>
        <w:continuationSeparator/>
      </w:r>
    </w:p>
  </w:footnote>
  <w:footnote w:id="1">
    <w:p w14:paraId="11F2C718" w14:textId="77777777" w:rsidR="00371591" w:rsidRPr="00976400" w:rsidRDefault="00371591" w:rsidP="005164DF">
      <w:pPr>
        <w:spacing w:after="80" w:line="240" w:lineRule="auto"/>
        <w:ind w:firstLine="708"/>
        <w:jc w:val="both"/>
        <w:rPr>
          <w:rFonts w:ascii="Verdana" w:eastAsia="Times New Roman" w:hAnsi="Verdana" w:cs="Times New Roman"/>
          <w:sz w:val="18"/>
          <w:szCs w:val="18"/>
        </w:rPr>
      </w:pPr>
      <w:r w:rsidRPr="00976400">
        <w:rPr>
          <w:rStyle w:val="Refdenotaalpie"/>
          <w:rFonts w:ascii="Verdana" w:hAnsi="Verdana"/>
          <w:sz w:val="18"/>
          <w:szCs w:val="18"/>
        </w:rPr>
        <w:footnoteRef/>
      </w:r>
      <w:r w:rsidRPr="00976400">
        <w:rPr>
          <w:rFonts w:ascii="Verdana" w:hAnsi="Verdana"/>
          <w:sz w:val="18"/>
          <w:szCs w:val="18"/>
        </w:rPr>
        <w:t xml:space="preserve"> </w:t>
      </w:r>
      <w:r w:rsidRPr="00976400">
        <w:rPr>
          <w:rFonts w:ascii="Verdana" w:eastAsia="Times New Roman" w:hAnsi="Verdana" w:cs="Times New Roman"/>
          <w:sz w:val="18"/>
          <w:szCs w:val="18"/>
        </w:rPr>
        <w:t xml:space="preserve">Colombia. Asamblea Nacional Constituyente. (1991). Constitución Política de Colombia. Artículo 13. </w:t>
      </w:r>
    </w:p>
    <w:p w14:paraId="29CCB013" w14:textId="77777777" w:rsidR="00371591" w:rsidRPr="00976400" w:rsidRDefault="00371591" w:rsidP="005164DF">
      <w:pPr>
        <w:spacing w:after="80" w:line="240" w:lineRule="auto"/>
        <w:ind w:firstLine="708"/>
        <w:jc w:val="both"/>
        <w:rPr>
          <w:rFonts w:ascii="Verdana" w:hAnsi="Verdana"/>
          <w:sz w:val="18"/>
          <w:szCs w:val="18"/>
        </w:rPr>
      </w:pPr>
    </w:p>
  </w:footnote>
  <w:footnote w:id="2">
    <w:p w14:paraId="2C8B7FE7" w14:textId="77777777" w:rsidR="00371591" w:rsidRPr="00976400" w:rsidRDefault="00371591" w:rsidP="005164DF">
      <w:pPr>
        <w:pStyle w:val="Textonotapie"/>
        <w:ind w:firstLine="708"/>
        <w:jc w:val="both"/>
        <w:rPr>
          <w:rFonts w:ascii="Verdana" w:eastAsia="Times New Roman" w:hAnsi="Verdana" w:cs="Times New Roman"/>
          <w:sz w:val="18"/>
          <w:szCs w:val="18"/>
        </w:rPr>
      </w:pPr>
      <w:r w:rsidRPr="00976400">
        <w:rPr>
          <w:rStyle w:val="Refdenotaalpie"/>
          <w:rFonts w:ascii="Verdana" w:hAnsi="Verdana"/>
          <w:sz w:val="18"/>
          <w:szCs w:val="18"/>
        </w:rPr>
        <w:footnoteRef/>
      </w:r>
      <w:r w:rsidRPr="00976400">
        <w:rPr>
          <w:rFonts w:ascii="Verdana" w:hAnsi="Verdana"/>
          <w:sz w:val="18"/>
          <w:szCs w:val="18"/>
        </w:rPr>
        <w:t xml:space="preserve"> </w:t>
      </w:r>
      <w:r w:rsidRPr="00976400">
        <w:rPr>
          <w:rFonts w:ascii="Verdana" w:eastAsia="Times New Roman" w:hAnsi="Verdana" w:cs="Times New Roman"/>
          <w:sz w:val="18"/>
          <w:szCs w:val="18"/>
        </w:rPr>
        <w:t xml:space="preserve">Colombia. Asamblea Nacional Constituyente. (1991). Constitución Política de Colombia. Artículos 47 y 54. </w:t>
      </w:r>
    </w:p>
    <w:p w14:paraId="7EB680D4" w14:textId="77777777" w:rsidR="00371591" w:rsidRPr="00976400" w:rsidRDefault="00371591" w:rsidP="005164DF">
      <w:pPr>
        <w:pStyle w:val="Textonotapie"/>
        <w:ind w:firstLine="708"/>
        <w:jc w:val="both"/>
        <w:rPr>
          <w:rFonts w:ascii="Verdana" w:hAnsi="Verdana"/>
          <w:sz w:val="18"/>
          <w:szCs w:val="18"/>
          <w:lang w:val="es-ES"/>
        </w:rPr>
      </w:pPr>
    </w:p>
  </w:footnote>
  <w:footnote w:id="3">
    <w:p w14:paraId="3A7942E5" w14:textId="77777777" w:rsidR="00371591" w:rsidRPr="00976400" w:rsidRDefault="00371591" w:rsidP="005164DF">
      <w:pPr>
        <w:spacing w:after="80" w:line="240" w:lineRule="auto"/>
        <w:ind w:firstLine="708"/>
        <w:jc w:val="both"/>
        <w:rPr>
          <w:rFonts w:ascii="Verdana" w:eastAsia="Times New Roman" w:hAnsi="Verdana" w:cs="Times New Roman"/>
          <w:sz w:val="18"/>
          <w:szCs w:val="18"/>
        </w:rPr>
      </w:pPr>
      <w:r w:rsidRPr="00976400">
        <w:rPr>
          <w:rStyle w:val="Refdenotaalpie"/>
          <w:rFonts w:ascii="Verdana" w:hAnsi="Verdana"/>
          <w:sz w:val="18"/>
          <w:szCs w:val="18"/>
        </w:rPr>
        <w:footnoteRef/>
      </w:r>
      <w:r w:rsidRPr="00976400">
        <w:rPr>
          <w:rFonts w:ascii="Verdana" w:hAnsi="Verdana"/>
          <w:sz w:val="18"/>
          <w:szCs w:val="18"/>
        </w:rPr>
        <w:t xml:space="preserve"> </w:t>
      </w:r>
      <w:r w:rsidRPr="00976400">
        <w:rPr>
          <w:rFonts w:ascii="Verdana" w:eastAsia="Times New Roman" w:hAnsi="Verdana" w:cs="Times New Roman"/>
          <w:sz w:val="18"/>
          <w:szCs w:val="18"/>
        </w:rPr>
        <w:t>Organización de las Naciones Unidas. (2006). Convención sobre los Derechos de las Personas con Discapacidad. Nueva York: ONU. Aprobada en Colombia mediante: Colombia. Congreso de la República. (31 de julio de 2009). Ley 1346 de 2009. Diario Oficial 47427.</w:t>
      </w:r>
    </w:p>
    <w:p w14:paraId="59082B06" w14:textId="77777777" w:rsidR="00371591" w:rsidRPr="00976400" w:rsidRDefault="00371591" w:rsidP="005164DF">
      <w:pPr>
        <w:spacing w:after="80" w:line="240" w:lineRule="auto"/>
        <w:ind w:firstLine="708"/>
        <w:jc w:val="both"/>
        <w:rPr>
          <w:rFonts w:ascii="Verdana" w:hAnsi="Verdana"/>
          <w:sz w:val="18"/>
          <w:szCs w:val="18"/>
        </w:rPr>
      </w:pPr>
    </w:p>
  </w:footnote>
  <w:footnote w:id="4">
    <w:p w14:paraId="29676B3C" w14:textId="77777777" w:rsidR="00371591" w:rsidRPr="00976400" w:rsidRDefault="00371591" w:rsidP="005164DF">
      <w:pPr>
        <w:pStyle w:val="Textonotapie"/>
        <w:ind w:firstLine="708"/>
        <w:jc w:val="both"/>
        <w:rPr>
          <w:rFonts w:ascii="Verdana" w:eastAsia="Times New Roman" w:hAnsi="Verdana" w:cs="Times New Roman"/>
          <w:sz w:val="18"/>
          <w:szCs w:val="18"/>
        </w:rPr>
      </w:pPr>
      <w:r w:rsidRPr="00976400">
        <w:rPr>
          <w:rStyle w:val="Refdenotaalpie"/>
          <w:rFonts w:ascii="Verdana" w:hAnsi="Verdana"/>
          <w:sz w:val="18"/>
          <w:szCs w:val="18"/>
        </w:rPr>
        <w:footnoteRef/>
      </w:r>
      <w:r w:rsidRPr="00976400">
        <w:rPr>
          <w:rFonts w:ascii="Verdana" w:hAnsi="Verdana"/>
          <w:sz w:val="18"/>
          <w:szCs w:val="18"/>
        </w:rPr>
        <w:t xml:space="preserve"> </w:t>
      </w:r>
      <w:r w:rsidRPr="00976400">
        <w:rPr>
          <w:rFonts w:ascii="Verdana" w:eastAsia="Times New Roman" w:hAnsi="Verdana" w:cs="Times New Roman"/>
          <w:sz w:val="18"/>
          <w:szCs w:val="18"/>
        </w:rPr>
        <w:t>Organización de los Estados Americanos. (1999). Convención Interamericana para la Eliminación de todas las Formas de Discriminación contra las Personas con Discapacidad. Ciudad de Guatemala. Aprobada en Colombia mediante: Colombia. Congreso de la República. (31 de julio de 2002). Ley 762 de 2002. Diario Oficial 44889.</w:t>
      </w:r>
    </w:p>
    <w:p w14:paraId="7F899F68" w14:textId="77777777" w:rsidR="00371591" w:rsidRPr="00976400" w:rsidRDefault="00371591" w:rsidP="005164DF">
      <w:pPr>
        <w:pStyle w:val="Textonotapie"/>
        <w:ind w:firstLine="708"/>
        <w:jc w:val="both"/>
        <w:rPr>
          <w:rFonts w:ascii="Verdana" w:hAnsi="Verdana"/>
          <w:sz w:val="18"/>
          <w:szCs w:val="18"/>
          <w:lang w:val="es-ES"/>
        </w:rPr>
      </w:pPr>
    </w:p>
  </w:footnote>
  <w:footnote w:id="5">
    <w:p w14:paraId="5DB544FA" w14:textId="77777777" w:rsidR="00371591" w:rsidRPr="00976400" w:rsidRDefault="00371591" w:rsidP="005164DF">
      <w:pPr>
        <w:pStyle w:val="Textonotapie"/>
        <w:ind w:firstLine="708"/>
        <w:jc w:val="both"/>
        <w:rPr>
          <w:rFonts w:ascii="Verdana" w:hAnsi="Verdana"/>
          <w:sz w:val="18"/>
          <w:szCs w:val="18"/>
        </w:rPr>
      </w:pPr>
      <w:r w:rsidRPr="00976400">
        <w:rPr>
          <w:rStyle w:val="Refdenotaalpie"/>
          <w:rFonts w:ascii="Verdana" w:hAnsi="Verdana"/>
          <w:sz w:val="18"/>
          <w:szCs w:val="18"/>
        </w:rPr>
        <w:footnoteRef/>
      </w:r>
      <w:r w:rsidRPr="00976400">
        <w:rPr>
          <w:rFonts w:ascii="Verdana" w:hAnsi="Verdana"/>
          <w:sz w:val="18"/>
          <w:szCs w:val="18"/>
        </w:rPr>
        <w:t xml:space="preserve"> Organización Internacional del Trabajo. (1983). Convenio sobre la readaptación profesional y el empleo (personas inválidas), núm. 159. Ginebra: OIT. Aprobado en Colombia mediante: Colombia. Congreso de la República. (23 de diciembre de 1988). Ley 82 de 1988. Diario Oficial 38608.</w:t>
      </w:r>
    </w:p>
    <w:p w14:paraId="0E240FC1" w14:textId="77777777" w:rsidR="00371591" w:rsidRPr="00976400" w:rsidRDefault="00371591" w:rsidP="005164DF">
      <w:pPr>
        <w:pStyle w:val="Textonotapie"/>
        <w:ind w:firstLine="708"/>
        <w:jc w:val="both"/>
        <w:rPr>
          <w:rFonts w:ascii="Verdana" w:hAnsi="Verdana"/>
          <w:sz w:val="18"/>
          <w:szCs w:val="18"/>
          <w:lang w:val="es-ES"/>
        </w:rPr>
      </w:pPr>
    </w:p>
  </w:footnote>
  <w:footnote w:id="6">
    <w:p w14:paraId="0F593263" w14:textId="429BE85E" w:rsidR="00371591" w:rsidRPr="00976400" w:rsidRDefault="00371591" w:rsidP="005164DF">
      <w:pPr>
        <w:pStyle w:val="Textonotapie"/>
        <w:ind w:firstLine="708"/>
        <w:jc w:val="both"/>
        <w:rPr>
          <w:rFonts w:ascii="Verdana" w:hAnsi="Verdana"/>
          <w:sz w:val="18"/>
          <w:szCs w:val="18"/>
        </w:rPr>
      </w:pPr>
      <w:r w:rsidRPr="00976400">
        <w:rPr>
          <w:rStyle w:val="Refdenotaalpie"/>
          <w:rFonts w:ascii="Verdana" w:hAnsi="Verdana"/>
          <w:sz w:val="18"/>
          <w:szCs w:val="18"/>
        </w:rPr>
        <w:footnoteRef/>
      </w:r>
      <w:r w:rsidRPr="00976400">
        <w:rPr>
          <w:rFonts w:ascii="Verdana" w:hAnsi="Verdana"/>
          <w:sz w:val="18"/>
          <w:szCs w:val="18"/>
        </w:rPr>
        <w:t xml:space="preserve"> Colombia. Congreso de la República. (7 de febrero de 1997). Ley 361 de 1997, por la cual se establecen mecanismos de integración social de las personas con limitación y se dictan otras disposiciones. Artículo 24. Diario Oficial 42978.</w:t>
      </w:r>
    </w:p>
    <w:p w14:paraId="71BAEB64" w14:textId="77777777" w:rsidR="005164DF" w:rsidRPr="00976400" w:rsidRDefault="005164DF" w:rsidP="005164DF">
      <w:pPr>
        <w:pStyle w:val="Textonotapie"/>
        <w:ind w:firstLine="708"/>
        <w:rPr>
          <w:rFonts w:ascii="Verdana" w:hAnsi="Verdana"/>
          <w:sz w:val="18"/>
          <w:szCs w:val="18"/>
        </w:rPr>
      </w:pPr>
    </w:p>
  </w:footnote>
  <w:footnote w:id="7">
    <w:p w14:paraId="6BEEB8E8" w14:textId="77777777" w:rsidR="00371591" w:rsidRPr="00976400" w:rsidRDefault="00371591" w:rsidP="005164DF">
      <w:pPr>
        <w:pStyle w:val="Textonotapie"/>
        <w:ind w:firstLine="708"/>
        <w:jc w:val="both"/>
        <w:rPr>
          <w:rFonts w:ascii="Verdana" w:hAnsi="Verdana"/>
          <w:sz w:val="18"/>
          <w:szCs w:val="18"/>
        </w:rPr>
      </w:pPr>
      <w:r w:rsidRPr="00976400">
        <w:rPr>
          <w:rStyle w:val="Refdenotaalpie"/>
          <w:rFonts w:ascii="Verdana" w:hAnsi="Verdana"/>
          <w:sz w:val="18"/>
          <w:szCs w:val="18"/>
        </w:rPr>
        <w:footnoteRef/>
      </w:r>
      <w:r w:rsidRPr="00976400">
        <w:rPr>
          <w:rFonts w:ascii="Verdana" w:hAnsi="Verdana"/>
          <w:sz w:val="18"/>
          <w:szCs w:val="18"/>
        </w:rPr>
        <w:t xml:space="preserve"> Colombia. Congreso de la República. (27 de febrero de 2013). Ley Estatutaria 1618 de 2013. Artículo 2, numeral 1. Diario Oficial 48717.</w:t>
      </w:r>
    </w:p>
    <w:p w14:paraId="40389E48" w14:textId="77777777" w:rsidR="00371591" w:rsidRPr="00976400" w:rsidRDefault="00371591" w:rsidP="005164DF">
      <w:pPr>
        <w:pStyle w:val="Textonotapie"/>
        <w:ind w:firstLine="708"/>
        <w:jc w:val="both"/>
        <w:rPr>
          <w:rFonts w:ascii="Verdana" w:hAnsi="Verdana"/>
          <w:sz w:val="18"/>
          <w:szCs w:val="18"/>
          <w:lang w:val="es-ES"/>
        </w:rPr>
      </w:pPr>
    </w:p>
  </w:footnote>
  <w:footnote w:id="8">
    <w:p w14:paraId="571D0FB0" w14:textId="77777777" w:rsidR="00371591" w:rsidRPr="00976400" w:rsidRDefault="00371591" w:rsidP="005164DF">
      <w:pPr>
        <w:pStyle w:val="Textonotapie"/>
        <w:ind w:firstLine="708"/>
        <w:jc w:val="both"/>
        <w:rPr>
          <w:rFonts w:ascii="Verdana" w:hAnsi="Verdana"/>
          <w:sz w:val="18"/>
          <w:szCs w:val="18"/>
        </w:rPr>
      </w:pPr>
      <w:r w:rsidRPr="00976400">
        <w:rPr>
          <w:rStyle w:val="Refdenotaalpie"/>
          <w:rFonts w:ascii="Verdana" w:hAnsi="Verdana"/>
          <w:sz w:val="18"/>
          <w:szCs w:val="18"/>
        </w:rPr>
        <w:footnoteRef/>
      </w:r>
      <w:r w:rsidRPr="00976400">
        <w:rPr>
          <w:rFonts w:ascii="Verdana" w:hAnsi="Verdana"/>
          <w:sz w:val="18"/>
          <w:szCs w:val="18"/>
        </w:rPr>
        <w:t xml:space="preserve"> Colombia. Congreso de la República. (27 de febrero de 2013). Ley Estatutaria 1618 de 2013, por medio de la cual se establecen las disposiciones para garantizar el pleno ejercicio de los derechos de las personas con discapacidad. Artículo 13, numerales 1, 7 y 8. Diario Oficial 48717.</w:t>
      </w:r>
    </w:p>
    <w:p w14:paraId="3B8DC6CF" w14:textId="77777777" w:rsidR="005164DF" w:rsidRPr="00976400" w:rsidRDefault="005164DF" w:rsidP="005164DF">
      <w:pPr>
        <w:pStyle w:val="Textonotapie"/>
        <w:ind w:firstLine="708"/>
        <w:jc w:val="both"/>
        <w:rPr>
          <w:rFonts w:ascii="Verdana" w:hAnsi="Verdana"/>
          <w:sz w:val="18"/>
          <w:szCs w:val="18"/>
          <w:lang w:val="es-ES"/>
        </w:rPr>
      </w:pPr>
    </w:p>
  </w:footnote>
  <w:footnote w:id="9">
    <w:p w14:paraId="10EFC37C" w14:textId="77777777" w:rsidR="00371591" w:rsidRPr="00976400" w:rsidRDefault="00371591" w:rsidP="005164DF">
      <w:pPr>
        <w:pStyle w:val="Textonotapie"/>
        <w:ind w:firstLine="708"/>
        <w:jc w:val="both"/>
        <w:rPr>
          <w:rFonts w:ascii="Verdana" w:hAnsi="Verdana"/>
          <w:sz w:val="18"/>
          <w:szCs w:val="18"/>
        </w:rPr>
      </w:pPr>
      <w:r w:rsidRPr="00976400">
        <w:rPr>
          <w:rStyle w:val="Refdenotaalpie"/>
          <w:rFonts w:ascii="Verdana" w:hAnsi="Verdana"/>
          <w:sz w:val="18"/>
          <w:szCs w:val="18"/>
        </w:rPr>
        <w:footnoteRef/>
      </w:r>
      <w:r w:rsidRPr="00976400">
        <w:rPr>
          <w:rFonts w:ascii="Verdana" w:hAnsi="Verdana"/>
          <w:sz w:val="18"/>
          <w:szCs w:val="18"/>
        </w:rPr>
        <w:t xml:space="preserve"> Consejo de Estado, Sección Quinta, del 12 de diciembre de 2024 (Rad. 05001-23-33-000-2024-00847-01, M.P. Omar Joaquín Barreto Suárez)</w:t>
      </w:r>
    </w:p>
    <w:p w14:paraId="592B18C7" w14:textId="77777777" w:rsidR="00371591" w:rsidRPr="00976400" w:rsidRDefault="00371591" w:rsidP="00371591">
      <w:pPr>
        <w:pStyle w:val="Textonotapie"/>
        <w:rPr>
          <w:rFonts w:ascii="Verdana" w:hAnsi="Verdana"/>
          <w:sz w:val="18"/>
          <w:szCs w:val="18"/>
          <w:lang w:val="es-CO"/>
        </w:rPr>
      </w:pPr>
    </w:p>
  </w:footnote>
  <w:footnote w:id="10">
    <w:p w14:paraId="656274FD" w14:textId="77777777" w:rsidR="00371591" w:rsidRPr="00976400" w:rsidRDefault="00371591" w:rsidP="00371591">
      <w:pPr>
        <w:pStyle w:val="Textonotapie"/>
        <w:ind w:firstLine="708"/>
        <w:jc w:val="both"/>
        <w:rPr>
          <w:rFonts w:ascii="Verdana" w:hAnsi="Verdana"/>
          <w:sz w:val="18"/>
          <w:szCs w:val="18"/>
          <w:lang w:val="es-ES_tradnl"/>
        </w:rPr>
      </w:pPr>
      <w:r w:rsidRPr="00976400">
        <w:rPr>
          <w:rStyle w:val="Refdenotaalpie"/>
          <w:rFonts w:ascii="Verdana" w:hAnsi="Verdana"/>
          <w:sz w:val="18"/>
          <w:szCs w:val="18"/>
        </w:rPr>
        <w:footnoteRef/>
      </w:r>
      <w:r w:rsidRPr="00976400">
        <w:rPr>
          <w:rFonts w:ascii="Verdana" w:hAnsi="Verdana"/>
          <w:sz w:val="18"/>
          <w:szCs w:val="18"/>
        </w:rPr>
        <w:t xml:space="preserve"> Parte considerativa del Decreto 287 de 2026.</w:t>
      </w:r>
    </w:p>
  </w:footnote>
  <w:footnote w:id="11">
    <w:p w14:paraId="0D2F00EE" w14:textId="77777777" w:rsidR="00371591" w:rsidRPr="00976400" w:rsidRDefault="00371591" w:rsidP="00371591">
      <w:pPr>
        <w:pStyle w:val="Textonotapie"/>
        <w:ind w:firstLine="708"/>
        <w:jc w:val="both"/>
        <w:rPr>
          <w:rFonts w:ascii="Verdana" w:hAnsi="Verdana"/>
          <w:sz w:val="18"/>
          <w:szCs w:val="18"/>
        </w:rPr>
      </w:pPr>
      <w:r w:rsidRPr="00976400">
        <w:rPr>
          <w:rStyle w:val="Refdenotaalpie"/>
          <w:rFonts w:ascii="Verdana" w:hAnsi="Verdana"/>
          <w:sz w:val="18"/>
          <w:szCs w:val="18"/>
        </w:rPr>
        <w:footnoteRef/>
      </w:r>
      <w:r w:rsidRPr="00976400">
        <w:rPr>
          <w:rFonts w:ascii="Verdana" w:hAnsi="Verdana"/>
          <w:sz w:val="18"/>
          <w:szCs w:val="18"/>
        </w:rPr>
        <w:t xml:space="preserve"> Sobre el alcance de las normas equivalentes en el Código Civil chileno, CLARO SOLAR explica lo siguiente: “Las palabras de que el legislador se sirve pueden tener dos significaciones: el sentido vulgar y el sentido técnico. Según el artículo 20, ‘</w:t>
      </w:r>
      <w:r w:rsidRPr="00976400">
        <w:rPr>
          <w:rFonts w:ascii="Verdana" w:hAnsi="Verdana"/>
          <w:i/>
          <w:iCs/>
          <w:sz w:val="18"/>
          <w:szCs w:val="18"/>
        </w:rPr>
        <w:t>las palabras de la ley se entenderán en su sentido natural y obvio, según el uso general de las mismas palabras</w:t>
      </w:r>
      <w:r w:rsidRPr="00976400">
        <w:rPr>
          <w:rFonts w:ascii="Verdana" w:hAnsi="Verdana"/>
          <w:sz w:val="18"/>
          <w:szCs w:val="18"/>
        </w:rPr>
        <w:t>’, es decir, el uso de la gente educada. El Diccionario de la Lengua publicado por la Real Academia Española goza a este respecto de gran autoridad. ‘</w:t>
      </w:r>
      <w:r w:rsidRPr="00976400">
        <w:rPr>
          <w:rFonts w:ascii="Verdana" w:hAnsi="Verdana"/>
          <w:i/>
          <w:iCs/>
          <w:sz w:val="18"/>
          <w:szCs w:val="18"/>
        </w:rPr>
        <w:t>Pero cuando el legislador</w:t>
      </w:r>
      <w:r w:rsidRPr="00976400">
        <w:rPr>
          <w:rFonts w:ascii="Verdana" w:hAnsi="Verdana"/>
          <w:sz w:val="18"/>
          <w:szCs w:val="18"/>
        </w:rPr>
        <w:t xml:space="preserve">, agrega el artículo 20, </w:t>
      </w:r>
      <w:r w:rsidRPr="00976400">
        <w:rPr>
          <w:rFonts w:ascii="Verdana" w:hAnsi="Verdana"/>
          <w:i/>
          <w:iCs/>
          <w:sz w:val="18"/>
          <w:szCs w:val="18"/>
        </w:rPr>
        <w:t>las haya definido expresamente para ciertas materias se les dará en éstas su significado legal</w:t>
      </w:r>
      <w:r w:rsidRPr="00976400">
        <w:rPr>
          <w:rFonts w:ascii="Verdana" w:hAnsi="Verdana"/>
          <w:sz w:val="18"/>
          <w:szCs w:val="18"/>
        </w:rPr>
        <w:t>’. Por la inversa, según el artículo 21, ‘las palabras técnicas de toda ciencia o arte se tomarán en el sentido que les den los que profesan la misma ciencia o arte; a menos que aparezca claramente que se han tomado en sentido diverso’. Es de suponer que el legislador conozca bastante el idioma en que legisla y sea suficientemente instruido en la ciencia o arte para dar a las palabras de la lengua y a las palabras especiales de la ciencia o arte a que se refiere, el significado que les es propio; en el caso contrario, es necesario que ello aparezca de manifiesto y con toda claridad” (CLARO SOLAR, Luis. Explicaciones de derecho civil chileno y comparado. Volumen I. Tomo I. Santiago: Editorial Jurídica de Chile, 2013. p. 117. Énfasis dentro del texto).</w:t>
      </w:r>
    </w:p>
    <w:p w14:paraId="5F4356F7" w14:textId="77777777" w:rsidR="00371591" w:rsidRPr="00976400" w:rsidRDefault="00371591" w:rsidP="00371591">
      <w:pPr>
        <w:pStyle w:val="Textonotapie"/>
        <w:ind w:firstLine="708"/>
        <w:jc w:val="both"/>
        <w:rPr>
          <w:rFonts w:ascii="Verdana" w:hAnsi="Verdana"/>
          <w:sz w:val="18"/>
          <w:szCs w:val="18"/>
        </w:rPr>
      </w:pPr>
    </w:p>
  </w:footnote>
  <w:footnote w:id="12">
    <w:p w14:paraId="356C3DE3" w14:textId="77777777" w:rsidR="00371591" w:rsidRPr="00976400" w:rsidRDefault="00371591" w:rsidP="00371591">
      <w:pPr>
        <w:pStyle w:val="Textonotapie"/>
        <w:ind w:firstLine="709"/>
        <w:jc w:val="both"/>
        <w:rPr>
          <w:rFonts w:ascii="Verdana" w:hAnsi="Verdana"/>
          <w:sz w:val="18"/>
          <w:szCs w:val="18"/>
        </w:rPr>
      </w:pPr>
      <w:r w:rsidRPr="00976400">
        <w:rPr>
          <w:rStyle w:val="Refdenotaalpie"/>
          <w:rFonts w:ascii="Verdana" w:hAnsi="Verdana"/>
          <w:sz w:val="18"/>
          <w:szCs w:val="18"/>
        </w:rPr>
        <w:footnoteRef/>
      </w:r>
      <w:r w:rsidRPr="00976400">
        <w:rPr>
          <w:rFonts w:ascii="Verdana" w:hAnsi="Verdana"/>
          <w:sz w:val="18"/>
          <w:szCs w:val="18"/>
        </w:rPr>
        <w:t xml:space="preserve"> RAE.Disponible en: </w:t>
      </w:r>
      <w:hyperlink r:id="rId1" w:history="1">
        <w:r w:rsidRPr="00976400">
          <w:rPr>
            <w:rStyle w:val="Hipervnculo"/>
            <w:rFonts w:ascii="Verdana" w:hAnsi="Verdana"/>
            <w:sz w:val="18"/>
            <w:szCs w:val="18"/>
          </w:rPr>
          <w:t>https://dle.rae.es/dedicaci%C3%B3n</w:t>
        </w:r>
      </w:hyperlink>
      <w:r w:rsidRPr="00976400">
        <w:rPr>
          <w:rFonts w:ascii="Verdana" w:hAnsi="Verdana"/>
          <w:sz w:val="18"/>
          <w:szCs w:val="18"/>
        </w:rPr>
        <w:t xml:space="preserve"> </w:t>
      </w:r>
    </w:p>
    <w:p w14:paraId="07118E63" w14:textId="77777777" w:rsidR="00DB2BA6" w:rsidRPr="00976400" w:rsidRDefault="00DB2BA6" w:rsidP="00371591">
      <w:pPr>
        <w:pStyle w:val="Textonotapie"/>
        <w:ind w:firstLine="709"/>
        <w:jc w:val="both"/>
        <w:rPr>
          <w:rFonts w:ascii="Verdana" w:hAnsi="Verdana"/>
          <w:sz w:val="18"/>
          <w:szCs w:val="18"/>
          <w:lang w:val="es-CO"/>
        </w:rPr>
      </w:pPr>
    </w:p>
  </w:footnote>
  <w:footnote w:id="13">
    <w:p w14:paraId="148F067C" w14:textId="77777777" w:rsidR="00371591" w:rsidRPr="00976400" w:rsidRDefault="00371591" w:rsidP="00371591">
      <w:pPr>
        <w:pStyle w:val="Textonotapie"/>
        <w:ind w:firstLine="709"/>
        <w:jc w:val="both"/>
        <w:rPr>
          <w:rFonts w:ascii="Verdana" w:hAnsi="Verdana"/>
          <w:sz w:val="18"/>
          <w:szCs w:val="18"/>
        </w:rPr>
      </w:pPr>
      <w:r w:rsidRPr="00976400">
        <w:rPr>
          <w:rStyle w:val="Refdenotaalpie"/>
          <w:rFonts w:ascii="Verdana" w:hAnsi="Verdana"/>
          <w:sz w:val="18"/>
          <w:szCs w:val="18"/>
        </w:rPr>
        <w:footnoteRef/>
      </w:r>
      <w:r w:rsidRPr="00976400">
        <w:rPr>
          <w:rFonts w:ascii="Verdana" w:hAnsi="Verdana"/>
          <w:sz w:val="18"/>
          <w:szCs w:val="18"/>
        </w:rPr>
        <w:t xml:space="preserve"> RAE. Disponible en: </w:t>
      </w:r>
      <w:hyperlink r:id="rId2" w:history="1">
        <w:r w:rsidRPr="00976400">
          <w:rPr>
            <w:rStyle w:val="Hipervnculo"/>
            <w:rFonts w:ascii="Verdana" w:hAnsi="Verdana"/>
            <w:sz w:val="18"/>
            <w:szCs w:val="18"/>
          </w:rPr>
          <w:t>https://dle.rae.es/exclusivo</w:t>
        </w:r>
      </w:hyperlink>
      <w:r w:rsidRPr="00976400">
        <w:rPr>
          <w:rFonts w:ascii="Verdana" w:hAnsi="Verdana"/>
          <w:sz w:val="18"/>
          <w:szCs w:val="18"/>
        </w:rPr>
        <w:t xml:space="preserve"> </w:t>
      </w:r>
    </w:p>
    <w:p w14:paraId="7C80C156" w14:textId="77777777" w:rsidR="00DB2BA6" w:rsidRPr="00976400" w:rsidRDefault="00DB2BA6" w:rsidP="00371591">
      <w:pPr>
        <w:pStyle w:val="Textonotapie"/>
        <w:ind w:firstLine="709"/>
        <w:jc w:val="both"/>
        <w:rPr>
          <w:rFonts w:ascii="Verdana" w:hAnsi="Verdana"/>
          <w:sz w:val="18"/>
          <w:szCs w:val="18"/>
          <w:lang w:val="es-CO"/>
        </w:rPr>
      </w:pPr>
    </w:p>
  </w:footnote>
  <w:footnote w:id="14">
    <w:p w14:paraId="4DF86E6E" w14:textId="77777777" w:rsidR="00371591" w:rsidRPr="00976400" w:rsidRDefault="00371591" w:rsidP="00371591">
      <w:pPr>
        <w:pStyle w:val="Textonotapie"/>
        <w:ind w:firstLine="709"/>
        <w:jc w:val="both"/>
        <w:rPr>
          <w:rFonts w:ascii="Verdana" w:hAnsi="Verdana"/>
          <w:sz w:val="18"/>
          <w:szCs w:val="18"/>
          <w:lang w:val="es-CO"/>
        </w:rPr>
      </w:pPr>
      <w:r w:rsidRPr="00976400">
        <w:rPr>
          <w:rStyle w:val="Refdenotaalpie"/>
          <w:rFonts w:ascii="Verdana" w:hAnsi="Verdana"/>
          <w:sz w:val="18"/>
          <w:szCs w:val="18"/>
        </w:rPr>
        <w:footnoteRef/>
      </w:r>
      <w:r w:rsidRPr="00976400">
        <w:rPr>
          <w:rFonts w:ascii="Verdana" w:hAnsi="Verdana"/>
          <w:sz w:val="18"/>
          <w:szCs w:val="18"/>
        </w:rPr>
        <w:t xml:space="preserve"> Corte Constitucional. Sentencia C-819 del 2010. M.P: Dr. Jorge Iván Palacio Palacio. Disponible en: </w:t>
      </w:r>
      <w:hyperlink r:id="rId3" w:history="1">
        <w:r w:rsidRPr="00976400">
          <w:rPr>
            <w:rStyle w:val="Hipervnculo"/>
            <w:rFonts w:ascii="Verdana" w:hAnsi="Verdana"/>
            <w:sz w:val="18"/>
            <w:szCs w:val="18"/>
          </w:rPr>
          <w:t>https://www.corteconstitucional.gov.co/relatoria/2010/c-819-10.htm</w:t>
        </w:r>
      </w:hyperlink>
      <w:r w:rsidRPr="00976400">
        <w:rPr>
          <w:rFonts w:ascii="Verdana" w:hAnsi="Verdana"/>
          <w:sz w:val="18"/>
          <w:szCs w:val="18"/>
        </w:rPr>
        <w:t xml:space="preserve"> </w:t>
      </w:r>
    </w:p>
  </w:footnote>
  <w:footnote w:id="15">
    <w:p w14:paraId="4EB15251" w14:textId="77777777" w:rsidR="00371591" w:rsidRPr="00D518B6" w:rsidRDefault="00371591" w:rsidP="00371591">
      <w:pPr>
        <w:pStyle w:val="Textonotapie"/>
        <w:ind w:firstLine="709"/>
        <w:jc w:val="both"/>
        <w:rPr>
          <w:rFonts w:ascii="Verdana" w:hAnsi="Verdana"/>
          <w:sz w:val="16"/>
          <w:szCs w:val="16"/>
          <w:lang w:val="es-CO"/>
        </w:rPr>
      </w:pPr>
      <w:r w:rsidRPr="00976400">
        <w:rPr>
          <w:rStyle w:val="Refdenotaalpie"/>
          <w:rFonts w:ascii="Verdana" w:hAnsi="Verdana"/>
          <w:sz w:val="18"/>
          <w:szCs w:val="18"/>
        </w:rPr>
        <w:footnoteRef/>
      </w:r>
      <w:r w:rsidRPr="00976400">
        <w:rPr>
          <w:rFonts w:ascii="Verdana" w:hAnsi="Verdana"/>
          <w:sz w:val="18"/>
          <w:szCs w:val="18"/>
        </w:rPr>
        <w:t xml:space="preserve"> </w:t>
      </w:r>
      <w:r w:rsidRPr="00976400">
        <w:rPr>
          <w:rFonts w:ascii="Verdana" w:hAnsi="Verdana"/>
          <w:sz w:val="18"/>
          <w:szCs w:val="18"/>
          <w:lang w:val="es-CO"/>
        </w:rPr>
        <w:t xml:space="preserve">Disponible en: </w:t>
      </w:r>
      <w:hyperlink r:id="rId4" w:history="1">
        <w:r w:rsidRPr="00976400">
          <w:rPr>
            <w:rStyle w:val="Hipervnculo"/>
            <w:rFonts w:ascii="Verdana" w:hAnsi="Verdana"/>
            <w:sz w:val="18"/>
            <w:szCs w:val="18"/>
            <w:lang w:val="es-CO"/>
          </w:rPr>
          <w:t>https://www.colombiacompra.gov.co/archivos/transparencia/decreto-0287-de-2026-por-el-cual-se-modifican-los-articulos-2-2-1-2-4-2-6-2-2-1-2-4-2-7-y-2-2-1-2-4-2-8-del-decreto-1082-de-2015-unico-reglamentario-del-sector-administrativo-de-planeacion-en</w:t>
        </w:r>
      </w:hyperlink>
      <w:r w:rsidRPr="00D518B6">
        <w:rPr>
          <w:rFonts w:ascii="Verdana" w:hAnsi="Verdana"/>
          <w:sz w:val="16"/>
          <w:szCs w:val="16"/>
          <w:lang w:val="es-C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AE7336F"/>
    <w:multiLevelType w:val="hybridMultilevel"/>
    <w:tmpl w:val="0C4E6BFA"/>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489201040">
    <w:abstractNumId w:val="0"/>
  </w:num>
  <w:num w:numId="17" w16cid:durableId="679089576">
    <w:abstractNumId w:val="9"/>
  </w:num>
  <w:num w:numId="18" w16cid:durableId="13001081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34A"/>
    <w:rsid w:val="00014A46"/>
    <w:rsid w:val="00016F78"/>
    <w:rsid w:val="00044A53"/>
    <w:rsid w:val="00046945"/>
    <w:rsid w:val="000479E3"/>
    <w:rsid w:val="00047F07"/>
    <w:rsid w:val="00053E20"/>
    <w:rsid w:val="00061B2A"/>
    <w:rsid w:val="00074D67"/>
    <w:rsid w:val="00082362"/>
    <w:rsid w:val="00090231"/>
    <w:rsid w:val="000936E0"/>
    <w:rsid w:val="000A1FE9"/>
    <w:rsid w:val="000A683E"/>
    <w:rsid w:val="000B19B9"/>
    <w:rsid w:val="000D0334"/>
    <w:rsid w:val="000D3ACD"/>
    <w:rsid w:val="000D5DA7"/>
    <w:rsid w:val="000F6486"/>
    <w:rsid w:val="00116940"/>
    <w:rsid w:val="00121863"/>
    <w:rsid w:val="00125105"/>
    <w:rsid w:val="00127233"/>
    <w:rsid w:val="0013222F"/>
    <w:rsid w:val="0015699B"/>
    <w:rsid w:val="001A33BF"/>
    <w:rsid w:val="001A395E"/>
    <w:rsid w:val="001E4177"/>
    <w:rsid w:val="001E7C81"/>
    <w:rsid w:val="001F0B24"/>
    <w:rsid w:val="001F7DC6"/>
    <w:rsid w:val="00222DC1"/>
    <w:rsid w:val="0022400B"/>
    <w:rsid w:val="002254D0"/>
    <w:rsid w:val="00233EFC"/>
    <w:rsid w:val="00235568"/>
    <w:rsid w:val="002421BB"/>
    <w:rsid w:val="0025796E"/>
    <w:rsid w:val="0026451E"/>
    <w:rsid w:val="00267A1A"/>
    <w:rsid w:val="002707A2"/>
    <w:rsid w:val="0027739B"/>
    <w:rsid w:val="00290F2B"/>
    <w:rsid w:val="00292B6F"/>
    <w:rsid w:val="002951A0"/>
    <w:rsid w:val="002962BC"/>
    <w:rsid w:val="002A093D"/>
    <w:rsid w:val="002A0DD0"/>
    <w:rsid w:val="002A49AC"/>
    <w:rsid w:val="002A64FD"/>
    <w:rsid w:val="002C7A84"/>
    <w:rsid w:val="002E2BF8"/>
    <w:rsid w:val="002E4FD9"/>
    <w:rsid w:val="002E6267"/>
    <w:rsid w:val="002F4010"/>
    <w:rsid w:val="002F6A91"/>
    <w:rsid w:val="0030657A"/>
    <w:rsid w:val="00322A85"/>
    <w:rsid w:val="00324168"/>
    <w:rsid w:val="00330834"/>
    <w:rsid w:val="003448F4"/>
    <w:rsid w:val="00353E36"/>
    <w:rsid w:val="00360980"/>
    <w:rsid w:val="00371591"/>
    <w:rsid w:val="00374F5E"/>
    <w:rsid w:val="00377E3E"/>
    <w:rsid w:val="003915F4"/>
    <w:rsid w:val="003965B5"/>
    <w:rsid w:val="003A779E"/>
    <w:rsid w:val="003D0F4D"/>
    <w:rsid w:val="003D5B0D"/>
    <w:rsid w:val="003E0499"/>
    <w:rsid w:val="003E1447"/>
    <w:rsid w:val="003E4F80"/>
    <w:rsid w:val="003E6439"/>
    <w:rsid w:val="003F3941"/>
    <w:rsid w:val="00406575"/>
    <w:rsid w:val="00414C74"/>
    <w:rsid w:val="0042722E"/>
    <w:rsid w:val="0044528D"/>
    <w:rsid w:val="00445DE0"/>
    <w:rsid w:val="00466E39"/>
    <w:rsid w:val="00490947"/>
    <w:rsid w:val="004A1847"/>
    <w:rsid w:val="004A305D"/>
    <w:rsid w:val="004A3550"/>
    <w:rsid w:val="004C0623"/>
    <w:rsid w:val="004D07DB"/>
    <w:rsid w:val="004D6D80"/>
    <w:rsid w:val="004F21C4"/>
    <w:rsid w:val="004F283F"/>
    <w:rsid w:val="004F685F"/>
    <w:rsid w:val="0051334D"/>
    <w:rsid w:val="005164DF"/>
    <w:rsid w:val="00520850"/>
    <w:rsid w:val="00535B83"/>
    <w:rsid w:val="005566E8"/>
    <w:rsid w:val="005669B7"/>
    <w:rsid w:val="00574867"/>
    <w:rsid w:val="00577137"/>
    <w:rsid w:val="00584401"/>
    <w:rsid w:val="00591460"/>
    <w:rsid w:val="005968C7"/>
    <w:rsid w:val="005A315A"/>
    <w:rsid w:val="005A65E0"/>
    <w:rsid w:val="005C0B67"/>
    <w:rsid w:val="005C3777"/>
    <w:rsid w:val="005C5CDC"/>
    <w:rsid w:val="005D476C"/>
    <w:rsid w:val="005E78A0"/>
    <w:rsid w:val="0060732B"/>
    <w:rsid w:val="006200BF"/>
    <w:rsid w:val="00620A15"/>
    <w:rsid w:val="0062101A"/>
    <w:rsid w:val="006219F8"/>
    <w:rsid w:val="006302F7"/>
    <w:rsid w:val="00646B9F"/>
    <w:rsid w:val="00650A0B"/>
    <w:rsid w:val="0065506A"/>
    <w:rsid w:val="00656047"/>
    <w:rsid w:val="00656AB5"/>
    <w:rsid w:val="00665D70"/>
    <w:rsid w:val="00673BC6"/>
    <w:rsid w:val="00684192"/>
    <w:rsid w:val="006900D9"/>
    <w:rsid w:val="006A22A1"/>
    <w:rsid w:val="006B4A70"/>
    <w:rsid w:val="006E28FB"/>
    <w:rsid w:val="006E7397"/>
    <w:rsid w:val="00706C16"/>
    <w:rsid w:val="00733994"/>
    <w:rsid w:val="007340C3"/>
    <w:rsid w:val="00741593"/>
    <w:rsid w:val="0075235A"/>
    <w:rsid w:val="0075565B"/>
    <w:rsid w:val="00756841"/>
    <w:rsid w:val="007649AB"/>
    <w:rsid w:val="00771D0C"/>
    <w:rsid w:val="007833AC"/>
    <w:rsid w:val="007A1049"/>
    <w:rsid w:val="007A4070"/>
    <w:rsid w:val="007B268C"/>
    <w:rsid w:val="007B7171"/>
    <w:rsid w:val="007C0C0F"/>
    <w:rsid w:val="007C3DC2"/>
    <w:rsid w:val="007D4F44"/>
    <w:rsid w:val="007E5497"/>
    <w:rsid w:val="00806F5F"/>
    <w:rsid w:val="00820278"/>
    <w:rsid w:val="008258C9"/>
    <w:rsid w:val="00837902"/>
    <w:rsid w:val="00842FEA"/>
    <w:rsid w:val="00844AE9"/>
    <w:rsid w:val="00867F95"/>
    <w:rsid w:val="008843B6"/>
    <w:rsid w:val="00891928"/>
    <w:rsid w:val="00892A29"/>
    <w:rsid w:val="008A446D"/>
    <w:rsid w:val="008B25F1"/>
    <w:rsid w:val="008D180B"/>
    <w:rsid w:val="008F0EA7"/>
    <w:rsid w:val="00923EEF"/>
    <w:rsid w:val="00931DE2"/>
    <w:rsid w:val="0094156E"/>
    <w:rsid w:val="009419F9"/>
    <w:rsid w:val="00941B5A"/>
    <w:rsid w:val="0095685E"/>
    <w:rsid w:val="00961B09"/>
    <w:rsid w:val="00965334"/>
    <w:rsid w:val="0097093E"/>
    <w:rsid w:val="00976400"/>
    <w:rsid w:val="009A0DFA"/>
    <w:rsid w:val="009A1C6F"/>
    <w:rsid w:val="009B2D26"/>
    <w:rsid w:val="009B4492"/>
    <w:rsid w:val="009C17EF"/>
    <w:rsid w:val="009C71FA"/>
    <w:rsid w:val="009C72E7"/>
    <w:rsid w:val="009C7E37"/>
    <w:rsid w:val="009C7F7E"/>
    <w:rsid w:val="009D3058"/>
    <w:rsid w:val="009F3A13"/>
    <w:rsid w:val="00A10AED"/>
    <w:rsid w:val="00A122D3"/>
    <w:rsid w:val="00A14468"/>
    <w:rsid w:val="00A17F13"/>
    <w:rsid w:val="00A20739"/>
    <w:rsid w:val="00A23AF9"/>
    <w:rsid w:val="00A33C78"/>
    <w:rsid w:val="00A34F73"/>
    <w:rsid w:val="00A36D50"/>
    <w:rsid w:val="00A4049D"/>
    <w:rsid w:val="00A428AC"/>
    <w:rsid w:val="00A77ACC"/>
    <w:rsid w:val="00A92A0C"/>
    <w:rsid w:val="00AA4315"/>
    <w:rsid w:val="00AA6BE0"/>
    <w:rsid w:val="00AB0ADB"/>
    <w:rsid w:val="00AB57EC"/>
    <w:rsid w:val="00AD1FC8"/>
    <w:rsid w:val="00AE4650"/>
    <w:rsid w:val="00B00C0E"/>
    <w:rsid w:val="00B00C73"/>
    <w:rsid w:val="00B01B1A"/>
    <w:rsid w:val="00B023C5"/>
    <w:rsid w:val="00B0381D"/>
    <w:rsid w:val="00B14DF3"/>
    <w:rsid w:val="00B17E77"/>
    <w:rsid w:val="00B21FEF"/>
    <w:rsid w:val="00B3680E"/>
    <w:rsid w:val="00B44A47"/>
    <w:rsid w:val="00B52FB8"/>
    <w:rsid w:val="00B6115E"/>
    <w:rsid w:val="00B629E3"/>
    <w:rsid w:val="00B72CD3"/>
    <w:rsid w:val="00B72FFF"/>
    <w:rsid w:val="00B948F2"/>
    <w:rsid w:val="00BA45D8"/>
    <w:rsid w:val="00BB4D27"/>
    <w:rsid w:val="00BC3D36"/>
    <w:rsid w:val="00BD54A6"/>
    <w:rsid w:val="00BD7F72"/>
    <w:rsid w:val="00BF3D2F"/>
    <w:rsid w:val="00BF7425"/>
    <w:rsid w:val="00C04FB3"/>
    <w:rsid w:val="00C11D8B"/>
    <w:rsid w:val="00C15139"/>
    <w:rsid w:val="00C24FAB"/>
    <w:rsid w:val="00C330EB"/>
    <w:rsid w:val="00C37949"/>
    <w:rsid w:val="00C430F4"/>
    <w:rsid w:val="00C50D69"/>
    <w:rsid w:val="00C5365C"/>
    <w:rsid w:val="00C72BC3"/>
    <w:rsid w:val="00C754BE"/>
    <w:rsid w:val="00C76B1C"/>
    <w:rsid w:val="00C770B3"/>
    <w:rsid w:val="00C84A3A"/>
    <w:rsid w:val="00C925AC"/>
    <w:rsid w:val="00C974A7"/>
    <w:rsid w:val="00CA510B"/>
    <w:rsid w:val="00CA6E03"/>
    <w:rsid w:val="00CB6357"/>
    <w:rsid w:val="00CC1B26"/>
    <w:rsid w:val="00CD3B73"/>
    <w:rsid w:val="00CD598D"/>
    <w:rsid w:val="00CE6167"/>
    <w:rsid w:val="00D01714"/>
    <w:rsid w:val="00D361FD"/>
    <w:rsid w:val="00D423A2"/>
    <w:rsid w:val="00D44E26"/>
    <w:rsid w:val="00D520D8"/>
    <w:rsid w:val="00D63AC2"/>
    <w:rsid w:val="00D7383B"/>
    <w:rsid w:val="00D7788A"/>
    <w:rsid w:val="00DA231B"/>
    <w:rsid w:val="00DB2BA6"/>
    <w:rsid w:val="00DC39FC"/>
    <w:rsid w:val="00DC7179"/>
    <w:rsid w:val="00DE70BE"/>
    <w:rsid w:val="00DF5254"/>
    <w:rsid w:val="00E02524"/>
    <w:rsid w:val="00E0551C"/>
    <w:rsid w:val="00E16408"/>
    <w:rsid w:val="00E20894"/>
    <w:rsid w:val="00E245AB"/>
    <w:rsid w:val="00E2764C"/>
    <w:rsid w:val="00E27F2E"/>
    <w:rsid w:val="00E50AFE"/>
    <w:rsid w:val="00E56529"/>
    <w:rsid w:val="00E75C92"/>
    <w:rsid w:val="00E771DC"/>
    <w:rsid w:val="00E8772A"/>
    <w:rsid w:val="00E90F6B"/>
    <w:rsid w:val="00E92C27"/>
    <w:rsid w:val="00EA0E3D"/>
    <w:rsid w:val="00EA75E0"/>
    <w:rsid w:val="00EB5CA4"/>
    <w:rsid w:val="00EC38A7"/>
    <w:rsid w:val="00EC3FC0"/>
    <w:rsid w:val="00EE1AA8"/>
    <w:rsid w:val="00F23FEA"/>
    <w:rsid w:val="00F27365"/>
    <w:rsid w:val="00F31EDC"/>
    <w:rsid w:val="00F36CD0"/>
    <w:rsid w:val="00F43479"/>
    <w:rsid w:val="00F462B3"/>
    <w:rsid w:val="00F471EF"/>
    <w:rsid w:val="00F5664F"/>
    <w:rsid w:val="00F64FF7"/>
    <w:rsid w:val="00F666C4"/>
    <w:rsid w:val="00F73E9F"/>
    <w:rsid w:val="00F76AFC"/>
    <w:rsid w:val="00FA47C0"/>
    <w:rsid w:val="00FB0356"/>
    <w:rsid w:val="00FB5DD1"/>
    <w:rsid w:val="00FC2B5D"/>
    <w:rsid w:val="00FC2BFB"/>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738410C"/>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D05E95B-126C-4239-85F6-29B37FF8A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43479"/>
    <w:rPr>
      <w:rFonts w:ascii="Geomanist Light" w:hAnsi="Geomanist Light"/>
      <w:lang w:val="es-ES"/>
    </w:rPr>
  </w:style>
  <w:style w:type="table" w:customStyle="1" w:styleId="Tablaconcuadrcula1">
    <w:name w:val="Tabla con cuadrícula1"/>
    <w:basedOn w:val="Tablanormal"/>
    <w:next w:val="Tablaconcuadrcula"/>
    <w:uiPriority w:val="39"/>
    <w:qFormat/>
    <w:rsid w:val="003715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371591"/>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archivos/circular/circular-externa-003-de-2026" TargetMode="External"/><Relationship Id="rId18" Type="http://schemas.openxmlformats.org/officeDocument/2006/relationships/hyperlink" Target="https://nam02.safelinks.protection.outlook.com/?url=https%3A%2F%2Fwww.colombiacompra.gov.co%2Farchivos%2Fboletin%2Fboletin-edicion-n-3-de-2026-radar-de-la-compra-publica&amp;data=05%7C02%7Cana.ortizb%40colombiacompra.gov.co%7C7128555136e04fa6887d08dee99e1b50%7C7b09041e245149d08cb179d5e3d8c1be%7C0%7C0%7C639205062447842602%7CUnknown%7CTWFpbGZsb3d8eyJFbXB0eU1hcGkiOnRydWUsIlYiOiIwLjAuMDAwMCIsIlAiOiJXaW4zMiIsIkFOIjoiTWFpbCIsIldUIjoyfQ%3D%3D%7C0%7C%7C%7C&amp;sdata=kD1M1HbLmaYne%2FjmafRdlI2lWjfy6Ao%2BJcGmraP%2F8NM%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colombiacompra.gov.co/archivos/infografia/abc-del-decreto-0287-de-2026-contratacion-publica-inclusiva-para-personas-con-discapacidad" TargetMode="External"/><Relationship Id="rId17" Type="http://schemas.openxmlformats.org/officeDocument/2006/relationships/hyperlink" Target="https://nam02.safelinks.protection.outlook.com/?url=https%3A%2F%2Fwww.colombiacompra.gov.co%2Farchivos%2Fcircular%2Fcircular-externa-002-de-2026&amp;data=05%7C02%7Cana.ortizb%40colombiacompra.gov.co%7C7128555136e04fa6887d08dee99e1b50%7C7b09041e245149d08cb179d5e3d8c1be%7C0%7C0%7C639205062447795971%7CUnknown%7CTWFpbGZsb3d8eyJFbXB0eU1hcGkiOnRydWUsIlYiOiIwLjAuMDAwMCIsIlAiOiJXaW4zMiIsIkFOIjoiTWFpbCIsIldUIjoyfQ%3D%3D%7C0%7C%7C%7C&amp;sdata=9LIurxl2Vaut8bRBIT695McE332T4L3gq3qjukjVKIA%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3-de-2026&amp;data=05%7C02%7Cana.ortizb%40colombiacompra.gov.co%7C7128555136e04fa6887d08dee99e1b50%7C7b09041e245149d08cb179d5e3d8c1be%7C0%7C0%7C639205062447746326%7CUnknown%7CTWFpbGZsb3d8eyJFbXB0eU1hcGkiOnRydWUsIlYiOiIwLjAuMDAwMCIsIlAiOiJXaW4zMiIsIkFOIjoiTWFpbCIsIldUIjoyfQ%3D%3D%7C0%7C%7C%7C&amp;sdata=yBZOiwifibQ%2BzamlsmG3bxCSMq%2BxW90FHMBFh%2BwCJvw%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hisgaviria09@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manual%2Fguia-de-garantias-en-procesos-de-contratacion&amp;data=05%7C02%7Cana.ortizb%40colombiacompra.gov.co%7C7128555136e04fa6887d08dee99e1b50%7C7b09041e245149d08cb179d5e3d8c1be%7C0%7C0%7C639205062447699700%7CUnknown%7CTWFpbGZsb3d8eyJFbXB0eU1hcGkiOnRydWUsIlYiOiIwLjAuMDAwMCIsIlAiOiJXaW4zMiIsIkFOIjoiTWFpbCIsIldUIjoyfQ%3D%3D%7C0%7C%7C%7C&amp;sdata=WvSehHsLM6sWuccCKpODAneUPluUj1%2F4CrYuhBPpv20%3D&amp;reserved=0"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orteconstitucional.gov.co/relatoria/2010/c-819-10.htm" TargetMode="External"/><Relationship Id="rId2" Type="http://schemas.openxmlformats.org/officeDocument/2006/relationships/hyperlink" Target="https://dle.rae.es/exclusivo" TargetMode="External"/><Relationship Id="rId1" Type="http://schemas.openxmlformats.org/officeDocument/2006/relationships/hyperlink" Target="https://dle.rae.es/dedicaci%C3%B3n" TargetMode="External"/><Relationship Id="rId4" Type="http://schemas.openxmlformats.org/officeDocument/2006/relationships/hyperlink" Target="https://www.colombiacompra.gov.co/archivos/transparencia/decreto-0287-de-2026-por-el-cual-se-modifican-los-articulos-2-2-1-2-4-2-6-2-2-1-2-4-2-7-y-2-2-1-2-4-2-8-del-decreto-1082-de-2015-unico-reglamentario-del-sector-administrativo-de-planeacion-e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3AF5040-654B-4C37-AF9B-30408EA81453}"/>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24</Pages>
  <Words>8430</Words>
  <Characters>46367</Characters>
  <Application>Microsoft Office Word</Application>
  <DocSecurity>0</DocSecurity>
  <Lines>386</Lines>
  <Paragraphs>109</Paragraphs>
  <ScaleCrop>false</ScaleCrop>
  <Company/>
  <LinksUpToDate>false</LinksUpToDate>
  <CharactersWithSpaces>54688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16</cp:revision>
  <cp:lastPrinted>2023-01-10T18:18:00Z</cp:lastPrinted>
  <dcterms:created xsi:type="dcterms:W3CDTF">2026-08-20T14:24:00Z</dcterms:created>
  <dcterms:modified xsi:type="dcterms:W3CDTF">2026-08-20T16:16:00Z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