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3FD53" w14:textId="77777777" w:rsidR="00913DE1" w:rsidRPr="00913DE1" w:rsidRDefault="00913DE1" w:rsidP="00A639AA">
      <w:pPr>
        <w:snapToGrid w:val="0"/>
        <w:spacing w:line="240" w:lineRule="auto"/>
        <w:contextualSpacing/>
        <w:jc w:val="both"/>
        <w:rPr>
          <w:rFonts w:ascii="Verdana" w:hAnsi="Verdana" w:cs="Arial"/>
          <w:b/>
          <w:lang w:val="es-ES" w:eastAsia="es-ES"/>
        </w:rPr>
      </w:pPr>
      <w:bookmarkStart w:id="0" w:name="_Hlk143780582"/>
      <w:r w:rsidRPr="00913DE1">
        <w:rPr>
          <w:rFonts w:ascii="Verdana" w:hAnsi="Verdana" w:cs="Arial"/>
          <w:b/>
          <w:lang w:val="es-ES" w:eastAsia="es-ES"/>
        </w:rPr>
        <w:t xml:space="preserve">CLÁUSULAS EXORBITANTES – Noción – Alcance </w:t>
      </w:r>
    </w:p>
    <w:p w14:paraId="39F6AEA9" w14:textId="77777777" w:rsidR="00913DE1" w:rsidRPr="006561F2" w:rsidRDefault="00913DE1" w:rsidP="00A639AA">
      <w:pPr>
        <w:snapToGrid w:val="0"/>
        <w:spacing w:line="240" w:lineRule="auto"/>
        <w:contextualSpacing/>
        <w:jc w:val="both"/>
        <w:rPr>
          <w:rFonts w:ascii="Verdana" w:hAnsi="Verdana" w:cs="Arial"/>
          <w:bCs/>
          <w:sz w:val="20"/>
          <w:szCs w:val="20"/>
          <w:lang w:val="es-ES" w:eastAsia="es-ES"/>
        </w:rPr>
      </w:pPr>
    </w:p>
    <w:p w14:paraId="1B0B6EBF" w14:textId="77777777" w:rsidR="006561F2" w:rsidRPr="006561F2" w:rsidRDefault="006561F2" w:rsidP="00A639AA">
      <w:pPr>
        <w:snapToGrid w:val="0"/>
        <w:spacing w:line="240" w:lineRule="auto"/>
        <w:contextualSpacing/>
        <w:jc w:val="both"/>
        <w:rPr>
          <w:rFonts w:ascii="Verdana" w:hAnsi="Verdana" w:cs="Arial"/>
          <w:bCs/>
          <w:sz w:val="20"/>
          <w:szCs w:val="20"/>
          <w:lang w:val="es-ES" w:eastAsia="es-ES"/>
        </w:rPr>
      </w:pPr>
      <w:r w:rsidRPr="006561F2">
        <w:rPr>
          <w:rFonts w:ascii="Verdana" w:hAnsi="Verdana" w:cs="Arial"/>
          <w:bCs/>
          <w:sz w:val="20"/>
          <w:szCs w:val="20"/>
          <w:lang w:val="es-ES" w:eastAsia="es-ES"/>
        </w:rPr>
        <w:t xml:space="preserve">Durante la ejecución de los contratos, las Entidades Estatales sometidas al Estatuto General de Contratación de la Administración Pública –en adelante EGCAP– usualmente cuentan con distintas potestades exorbitantes o excepcionales, con base en las cuales ejercen la dirección general del contrato y realizan las actividades propias de vigilancia y control. Entre dichas potestades se encuentran: a) Las cláusulas excepcionales del </w:t>
      </w:r>
      <w:r w:rsidRPr="006561F2">
        <w:rPr>
          <w:rFonts w:ascii="Verdana" w:hAnsi="Verdana" w:cs="Arial"/>
          <w:bCs/>
          <w:i/>
          <w:iCs/>
          <w:sz w:val="20"/>
          <w:szCs w:val="20"/>
          <w:lang w:val="es-ES" w:eastAsia="es-ES"/>
        </w:rPr>
        <w:t>artículo 14</w:t>
      </w:r>
      <w:r w:rsidRPr="006561F2">
        <w:rPr>
          <w:rFonts w:ascii="Verdana" w:hAnsi="Verdana" w:cs="Arial"/>
          <w:bCs/>
          <w:sz w:val="20"/>
          <w:szCs w:val="20"/>
          <w:lang w:val="es-ES" w:eastAsia="es-ES"/>
        </w:rPr>
        <w:t xml:space="preserve"> de la Ley 80 de 1993, concepto que incluye la terminación unilateral, la interpretación unilateral, la modificación unilateral, la caducidad y la reversión. Dichas prerrogativas se desarrollan en los artículos 15 a 19 </w:t>
      </w:r>
      <w:r w:rsidRPr="006561F2">
        <w:rPr>
          <w:rFonts w:ascii="Verdana" w:hAnsi="Verdana" w:cs="Arial"/>
          <w:bCs/>
          <w:i/>
          <w:iCs/>
          <w:sz w:val="20"/>
          <w:szCs w:val="20"/>
          <w:lang w:val="es-ES" w:eastAsia="es-ES"/>
        </w:rPr>
        <w:t>ibidem</w:t>
      </w:r>
      <w:r w:rsidRPr="006561F2">
        <w:rPr>
          <w:rFonts w:ascii="Verdana" w:hAnsi="Verdana" w:cs="Arial"/>
          <w:bCs/>
          <w:sz w:val="20"/>
          <w:szCs w:val="20"/>
          <w:lang w:val="es-ES" w:eastAsia="es-ES"/>
        </w:rPr>
        <w:t xml:space="preserve">; b) Las cláusulas excepcionales de </w:t>
      </w:r>
      <w:r w:rsidRPr="006561F2">
        <w:rPr>
          <w:rFonts w:ascii="Verdana" w:hAnsi="Verdana" w:cs="Arial"/>
          <w:bCs/>
          <w:i/>
          <w:iCs/>
          <w:sz w:val="20"/>
          <w:szCs w:val="20"/>
          <w:lang w:val="es-ES" w:eastAsia="es-ES"/>
        </w:rPr>
        <w:t>imposición unilateral de las cláusulas penales y de multas</w:t>
      </w:r>
      <w:r w:rsidRPr="006561F2">
        <w:rPr>
          <w:rFonts w:ascii="Verdana" w:hAnsi="Verdana" w:cs="Arial"/>
          <w:bCs/>
          <w:sz w:val="20"/>
          <w:szCs w:val="20"/>
          <w:lang w:val="es-ES" w:eastAsia="es-ES"/>
        </w:rPr>
        <w:t xml:space="preserve">, según lo establecido en el artículo 17 de la Ley 1150 de 2007. En este caso su exorbitancia se refiere a la facultad de imposición unilateral, no a su pacto, que es posible en virtud de las normas civiles y comerciales; c) Las potestades establecidas en otras disposiciones como la liquidación unilateral y la </w:t>
      </w:r>
      <w:r w:rsidRPr="006561F2">
        <w:rPr>
          <w:rFonts w:ascii="Verdana" w:hAnsi="Verdana" w:cs="Arial"/>
          <w:bCs/>
          <w:i/>
          <w:iCs/>
          <w:sz w:val="20"/>
          <w:szCs w:val="20"/>
          <w:lang w:val="es-ES" w:eastAsia="es-ES"/>
        </w:rPr>
        <w:t>declaratoria unilateral del siniestro</w:t>
      </w:r>
      <w:r w:rsidRPr="006561F2">
        <w:rPr>
          <w:rFonts w:ascii="Verdana" w:hAnsi="Verdana" w:cs="Arial"/>
          <w:bCs/>
          <w:sz w:val="20"/>
          <w:szCs w:val="20"/>
          <w:lang w:val="es-ES" w:eastAsia="es-ES"/>
        </w:rPr>
        <w:t xml:space="preserve"> –artículos 7 y 11 de la Ley 1150 de 2007–.</w:t>
      </w:r>
    </w:p>
    <w:p w14:paraId="172E164E" w14:textId="77777777" w:rsidR="00913DE1" w:rsidRPr="00913DE1" w:rsidRDefault="00913DE1" w:rsidP="00A639AA">
      <w:pPr>
        <w:snapToGrid w:val="0"/>
        <w:spacing w:line="240" w:lineRule="auto"/>
        <w:contextualSpacing/>
        <w:jc w:val="both"/>
        <w:rPr>
          <w:rFonts w:ascii="Verdana" w:hAnsi="Verdana" w:cs="Arial"/>
          <w:b/>
          <w:lang w:val="es-ES" w:eastAsia="es-ES"/>
        </w:rPr>
      </w:pPr>
    </w:p>
    <w:p w14:paraId="5A198EDB" w14:textId="7250E5ED" w:rsidR="00913DE1" w:rsidRPr="00913DE1" w:rsidRDefault="00913DE1" w:rsidP="00A639AA">
      <w:pPr>
        <w:snapToGrid w:val="0"/>
        <w:spacing w:line="240" w:lineRule="auto"/>
        <w:contextualSpacing/>
        <w:jc w:val="both"/>
        <w:rPr>
          <w:rFonts w:ascii="Verdana" w:hAnsi="Verdana" w:cs="Arial"/>
          <w:b/>
          <w:lang w:val="es-ES" w:eastAsia="es-ES"/>
        </w:rPr>
      </w:pPr>
      <w:r w:rsidRPr="00913DE1">
        <w:rPr>
          <w:rFonts w:ascii="Verdana" w:hAnsi="Verdana" w:cs="Arial"/>
          <w:b/>
          <w:lang w:val="es-ES" w:eastAsia="es-ES"/>
        </w:rPr>
        <w:t xml:space="preserve">DECLARATORIA DE INCUMPLIMIENTO – Procedimiento Administrativo Sancionatorio – Artículo 86 </w:t>
      </w:r>
      <w:r w:rsidR="00475D27" w:rsidRPr="00475D27">
        <w:rPr>
          <w:rFonts w:ascii="Verdana" w:hAnsi="Verdana" w:cs="Arial"/>
          <w:b/>
          <w:bCs/>
          <w:lang w:val="es-ES" w:eastAsia="es-ES"/>
        </w:rPr>
        <w:t>–</w:t>
      </w:r>
      <w:r w:rsidRPr="00913DE1">
        <w:rPr>
          <w:rFonts w:ascii="Verdana" w:hAnsi="Verdana" w:cs="Arial"/>
          <w:b/>
          <w:lang w:val="es-ES" w:eastAsia="es-ES"/>
        </w:rPr>
        <w:t xml:space="preserve"> Etapas </w:t>
      </w:r>
    </w:p>
    <w:p w14:paraId="4E8D3D5E" w14:textId="77777777" w:rsidR="00913DE1" w:rsidRPr="00535899" w:rsidRDefault="00913DE1" w:rsidP="00A639AA">
      <w:pPr>
        <w:snapToGrid w:val="0"/>
        <w:spacing w:line="240" w:lineRule="auto"/>
        <w:contextualSpacing/>
        <w:jc w:val="both"/>
        <w:rPr>
          <w:rFonts w:ascii="Verdana" w:hAnsi="Verdana" w:cs="Arial"/>
          <w:bCs/>
          <w:sz w:val="20"/>
          <w:szCs w:val="20"/>
          <w:lang w:val="es-ES_tradnl" w:eastAsia="es-ES"/>
        </w:rPr>
      </w:pPr>
    </w:p>
    <w:p w14:paraId="426871EF" w14:textId="78973374" w:rsidR="00535899" w:rsidRDefault="00535899" w:rsidP="00A639AA">
      <w:pPr>
        <w:snapToGrid w:val="0"/>
        <w:spacing w:line="240" w:lineRule="auto"/>
        <w:contextualSpacing/>
        <w:jc w:val="both"/>
        <w:rPr>
          <w:rFonts w:ascii="Verdana" w:hAnsi="Verdana" w:cs="Arial"/>
          <w:bCs/>
          <w:iCs/>
          <w:sz w:val="20"/>
          <w:szCs w:val="20"/>
          <w:lang w:val="es-ES_tradnl" w:eastAsia="es-ES"/>
        </w:rPr>
      </w:pPr>
      <w:r w:rsidRPr="00535899">
        <w:rPr>
          <w:rFonts w:ascii="Verdana" w:hAnsi="Verdana" w:cs="Arial"/>
          <w:bCs/>
          <w:iCs/>
          <w:sz w:val="20"/>
          <w:szCs w:val="20"/>
          <w:lang w:val="es-ES_tradnl" w:eastAsia="es-ES"/>
        </w:rPr>
        <w:t>Cabe destacar que esta norma no cualifica o se circunscribe a ciertos tipos de incumplimiento. En consecuencia, la declaratoria de cualquier incumplimiento, sea total o parcial, o independiente de su gravedad, debe realizarse con plena observancia de las reglas procedimentales del artículo 86 de la Ley 1474 de 2011. Esto es así como consecuencia del “principio general de interpretación jurídica según el cual donde la norma no distingue, no le corresponde distinguir al intérprete”. A la misma conclusión se llega si se tiene en consideración la necesidad de respetar el debido proceso en “todas las actuaciones administrativas” como lo dispone el artículo 29 de la Constitución Política.</w:t>
      </w:r>
    </w:p>
    <w:p w14:paraId="70DC6C53" w14:textId="77777777" w:rsidR="00535899" w:rsidRPr="00535899" w:rsidRDefault="00535899" w:rsidP="00A639AA">
      <w:pPr>
        <w:snapToGrid w:val="0"/>
        <w:spacing w:line="240" w:lineRule="auto"/>
        <w:contextualSpacing/>
        <w:jc w:val="both"/>
        <w:rPr>
          <w:rFonts w:ascii="Verdana" w:hAnsi="Verdana" w:cs="Arial"/>
          <w:bCs/>
          <w:iCs/>
          <w:sz w:val="20"/>
          <w:szCs w:val="20"/>
          <w:lang w:val="es-ES_tradnl" w:eastAsia="es-ES"/>
        </w:rPr>
      </w:pPr>
    </w:p>
    <w:p w14:paraId="3BE7AB73" w14:textId="77777777" w:rsidR="00535899" w:rsidRDefault="00535899" w:rsidP="00A639AA">
      <w:pPr>
        <w:snapToGrid w:val="0"/>
        <w:spacing w:line="240" w:lineRule="auto"/>
        <w:contextualSpacing/>
        <w:jc w:val="both"/>
        <w:rPr>
          <w:rFonts w:ascii="Verdana" w:hAnsi="Verdana" w:cs="Arial"/>
          <w:bCs/>
          <w:sz w:val="20"/>
          <w:szCs w:val="20"/>
          <w:lang w:val="es-ES" w:eastAsia="es-ES"/>
        </w:rPr>
      </w:pPr>
      <w:r w:rsidRPr="00535899">
        <w:rPr>
          <w:rFonts w:ascii="Verdana" w:hAnsi="Verdana" w:cs="Arial"/>
          <w:bCs/>
          <w:iCs/>
          <w:sz w:val="20"/>
          <w:szCs w:val="20"/>
          <w:lang w:val="es-ES_tradnl" w:eastAsia="es-ES"/>
        </w:rPr>
        <w:t xml:space="preserve">De conformidad con lo anterior, el artículo 86 de la Ley 1474 de 2011 establece las etapas del procedimiento que se deben seguir, las cuales se sintetizan, de forma esquemática, así: </w:t>
      </w:r>
      <w:r w:rsidRPr="00535899">
        <w:rPr>
          <w:rFonts w:ascii="Verdana" w:hAnsi="Verdana" w:cs="Arial"/>
          <w:bCs/>
          <w:sz w:val="20"/>
          <w:szCs w:val="20"/>
          <w:lang w:val="es-ES" w:eastAsia="es-ES"/>
        </w:rPr>
        <w:t xml:space="preserve">a) </w:t>
      </w:r>
      <w:r w:rsidRPr="00535899">
        <w:rPr>
          <w:rFonts w:ascii="Verdana" w:hAnsi="Verdana" w:cs="Arial"/>
          <w:bCs/>
          <w:i/>
          <w:sz w:val="20"/>
          <w:szCs w:val="20"/>
          <w:lang w:val="es-ES" w:eastAsia="es-ES"/>
        </w:rPr>
        <w:t>Citación a audiencia</w:t>
      </w:r>
      <w:r w:rsidRPr="00535899">
        <w:rPr>
          <w:rFonts w:ascii="Verdana" w:hAnsi="Verdana" w:cs="Arial"/>
          <w:bCs/>
          <w:sz w:val="20"/>
          <w:szCs w:val="20"/>
          <w:lang w:val="es-ES" w:eastAsia="es-ES"/>
        </w:rPr>
        <w:t xml:space="preserve">. Es necesario mencionar expresa y detalladamente los hechos que la soportan, así como, también, adjuntar el informe de interventoría o de supervisión en el que se sustente la actuación, enunciar las normas o cláusulas posiblemente violadas y referir las consecuencias que podrían recaer sobre el contratista en el desarrollo de la actuación, citando a la aseguradora cuando la garantía de cumplimiento consista en una póliza. b) </w:t>
      </w:r>
      <w:r w:rsidRPr="00535899">
        <w:rPr>
          <w:rFonts w:ascii="Verdana" w:hAnsi="Verdana" w:cs="Arial"/>
          <w:bCs/>
          <w:i/>
          <w:sz w:val="20"/>
          <w:szCs w:val="20"/>
          <w:lang w:val="es-ES" w:eastAsia="es-ES"/>
        </w:rPr>
        <w:t>Audiencia</w:t>
      </w:r>
      <w:r w:rsidRPr="00535899">
        <w:rPr>
          <w:rFonts w:ascii="Verdana" w:hAnsi="Verdana" w:cs="Arial"/>
          <w:bCs/>
          <w:sz w:val="20"/>
          <w:szCs w:val="20"/>
          <w:lang w:val="es-ES" w:eastAsia="es-ES"/>
        </w:rPr>
        <w:t xml:space="preserve">. En la diligencia intervendrá el jefe de la entidad o su delegado y, posteriormente, se le concederá el uso de la palabra al representante legal del contratista o a quien lo represente y al garante, en caso de ser necesario, para que estos presenten sus descargos, aporten y controviertan pruebas y rindan las explicaciones del caso; y c) </w:t>
      </w:r>
      <w:r w:rsidRPr="00535899">
        <w:rPr>
          <w:rFonts w:ascii="Verdana" w:hAnsi="Verdana" w:cs="Arial"/>
          <w:bCs/>
          <w:i/>
          <w:sz w:val="20"/>
          <w:szCs w:val="20"/>
          <w:lang w:val="es-ES" w:eastAsia="es-ES"/>
        </w:rPr>
        <w:t>Decisión</w:t>
      </w:r>
      <w:r w:rsidRPr="00535899">
        <w:rPr>
          <w:rFonts w:ascii="Verdana" w:hAnsi="Verdana" w:cs="Arial"/>
          <w:bCs/>
          <w:sz w:val="20"/>
          <w:szCs w:val="20"/>
          <w:lang w:val="es-ES" w:eastAsia="es-ES"/>
        </w:rPr>
        <w:t xml:space="preserve">. Debe estar contenida en resolución motivada donde se consigne, por un lado, lo ocurrido en el desarrollo de la diligencia y, por el otro, lo relativo a la imposición o no de multas y sanciones o la declaratoria de incumplimiento del contrato estatal. Contra la decisión únicamente procede el recurso de reposición que se interpondrá, sustentará y decidirá en la misma diligencia. Ambas </w:t>
      </w:r>
      <w:r w:rsidRPr="00535899">
        <w:rPr>
          <w:rFonts w:ascii="Verdana" w:hAnsi="Verdana" w:cs="Arial"/>
          <w:bCs/>
          <w:sz w:val="20"/>
          <w:szCs w:val="20"/>
          <w:lang w:val="es-ES" w:eastAsia="es-ES"/>
        </w:rPr>
        <w:lastRenderedPageBreak/>
        <w:t>decisiones se entenderán notificadas en audiencia. Lo anterior, por supuesto, sin perjuicio del control judicial que podría llegar a efectuarse.</w:t>
      </w:r>
    </w:p>
    <w:p w14:paraId="506490E0" w14:textId="77777777" w:rsidR="00535899" w:rsidRPr="00535899" w:rsidRDefault="00535899" w:rsidP="00A639AA">
      <w:pPr>
        <w:snapToGrid w:val="0"/>
        <w:spacing w:line="240" w:lineRule="auto"/>
        <w:contextualSpacing/>
        <w:jc w:val="both"/>
        <w:rPr>
          <w:rFonts w:ascii="Verdana" w:hAnsi="Verdana" w:cs="Arial"/>
          <w:bCs/>
          <w:sz w:val="20"/>
          <w:szCs w:val="20"/>
          <w:lang w:val="es-ES" w:eastAsia="es-ES"/>
        </w:rPr>
      </w:pPr>
    </w:p>
    <w:p w14:paraId="41A93B83" w14:textId="77777777" w:rsidR="00535899" w:rsidRPr="00535899" w:rsidRDefault="00535899" w:rsidP="00A639AA">
      <w:pPr>
        <w:snapToGrid w:val="0"/>
        <w:spacing w:line="240" w:lineRule="auto"/>
        <w:contextualSpacing/>
        <w:jc w:val="both"/>
        <w:rPr>
          <w:rFonts w:ascii="Verdana" w:hAnsi="Verdana" w:cs="Arial"/>
          <w:bCs/>
          <w:sz w:val="20"/>
          <w:szCs w:val="20"/>
          <w:lang w:val="es-ES" w:eastAsia="es-ES"/>
        </w:rPr>
      </w:pPr>
      <w:r w:rsidRPr="00535899">
        <w:rPr>
          <w:rFonts w:ascii="Verdana" w:hAnsi="Verdana" w:cs="Arial"/>
          <w:bCs/>
          <w:sz w:val="20"/>
          <w:szCs w:val="20"/>
          <w:lang w:val="es-ES" w:eastAsia="es-ES"/>
        </w:rPr>
        <w:t xml:space="preserve">El artículo 86 de la Ley 1474 de 2011 estableció de manera expresa que las entidades sometidas al EGCAP pueden adelantar ese procedimiento en los siguientes supuestos: 1) para declarar el incumplimiento, cuantificando los perjuicios </w:t>
      </w:r>
      <w:proofErr w:type="gramStart"/>
      <w:r w:rsidRPr="00535899">
        <w:rPr>
          <w:rFonts w:ascii="Verdana" w:hAnsi="Verdana" w:cs="Arial"/>
          <w:bCs/>
          <w:sz w:val="20"/>
          <w:szCs w:val="20"/>
          <w:lang w:val="es-ES" w:eastAsia="es-ES"/>
        </w:rPr>
        <w:t>del mismo</w:t>
      </w:r>
      <w:proofErr w:type="gramEnd"/>
      <w:r w:rsidRPr="00535899">
        <w:rPr>
          <w:rFonts w:ascii="Verdana" w:hAnsi="Verdana" w:cs="Arial"/>
          <w:bCs/>
          <w:sz w:val="20"/>
          <w:szCs w:val="20"/>
          <w:lang w:val="es-ES" w:eastAsia="es-ES"/>
        </w:rPr>
        <w:t xml:space="preserve">. En cuanto a la declaración del incumplimiento es importante tener en cuenta la caducidad como potestad exorbitante que se aplica por un incumplimiento grave y tardío de ciertos tipos contractuales; 2) imponer las multas y sanciones pactadas en el contrato, y 3) hacer efectiva la cláusula penal cuando haya sido pactada. En consecuencia, la Ley 1474 de 2011 atribuyó expresamente la competencia a las entidades para adelantar el procedimiento del artículo 86 en los tres supuestos antedichos, independientemente considerados. </w:t>
      </w:r>
    </w:p>
    <w:p w14:paraId="6760EABB" w14:textId="77777777" w:rsidR="00913DE1" w:rsidRPr="00535899" w:rsidRDefault="00913DE1" w:rsidP="00A639AA">
      <w:pPr>
        <w:snapToGrid w:val="0"/>
        <w:spacing w:line="240" w:lineRule="auto"/>
        <w:contextualSpacing/>
        <w:jc w:val="both"/>
        <w:rPr>
          <w:rFonts w:ascii="Verdana" w:hAnsi="Verdana" w:cs="Arial"/>
          <w:b/>
          <w:lang w:val="es-ES" w:eastAsia="es-ES"/>
        </w:rPr>
      </w:pPr>
    </w:p>
    <w:p w14:paraId="78B7B6AA" w14:textId="31206217" w:rsidR="004170B6" w:rsidRDefault="00913DE1" w:rsidP="00A639AA">
      <w:pPr>
        <w:snapToGrid w:val="0"/>
        <w:spacing w:line="240" w:lineRule="auto"/>
        <w:contextualSpacing/>
        <w:jc w:val="both"/>
        <w:rPr>
          <w:rFonts w:ascii="Verdana" w:hAnsi="Verdana" w:cs="Arial"/>
          <w:b/>
          <w:lang w:val="es-MX" w:eastAsia="es-ES"/>
        </w:rPr>
      </w:pPr>
      <w:r w:rsidRPr="00913DE1">
        <w:rPr>
          <w:rFonts w:ascii="Verdana" w:hAnsi="Verdana" w:cs="Arial"/>
          <w:b/>
          <w:lang w:val="es-MX" w:eastAsia="es-ES"/>
        </w:rPr>
        <w:t xml:space="preserve">ARREGLO DIRECTO EN LA CONTRATACIÓN ESTATAL – Principio </w:t>
      </w:r>
      <w:r w:rsidR="00475D27" w:rsidRPr="00475D27">
        <w:rPr>
          <w:rFonts w:ascii="Verdana" w:hAnsi="Verdana" w:cs="Arial"/>
          <w:b/>
          <w:bCs/>
          <w:lang w:val="es-ES" w:eastAsia="es-ES"/>
        </w:rPr>
        <w:t>–</w:t>
      </w:r>
      <w:r w:rsidRPr="00913DE1">
        <w:rPr>
          <w:rFonts w:ascii="Verdana" w:hAnsi="Verdana" w:cs="Arial"/>
          <w:b/>
          <w:lang w:val="es-MX" w:eastAsia="es-ES"/>
        </w:rPr>
        <w:t xml:space="preserve"> Concepto – Alcances – Manifestaciones </w:t>
      </w:r>
    </w:p>
    <w:p w14:paraId="5FF47E9A" w14:textId="77777777" w:rsidR="004170B6" w:rsidRPr="0005004A" w:rsidRDefault="004170B6" w:rsidP="00A639AA">
      <w:pPr>
        <w:snapToGrid w:val="0"/>
        <w:spacing w:line="240" w:lineRule="auto"/>
        <w:contextualSpacing/>
        <w:jc w:val="both"/>
        <w:rPr>
          <w:rFonts w:ascii="Verdana" w:hAnsi="Verdana" w:cs="Arial"/>
          <w:bCs/>
          <w:sz w:val="20"/>
          <w:szCs w:val="20"/>
          <w:lang w:val="es-MX" w:eastAsia="es-ES"/>
        </w:rPr>
      </w:pPr>
    </w:p>
    <w:p w14:paraId="2AB1D8A7" w14:textId="77777777" w:rsidR="0005004A" w:rsidRDefault="0005004A" w:rsidP="00A639AA">
      <w:pPr>
        <w:snapToGrid w:val="0"/>
        <w:spacing w:line="240" w:lineRule="auto"/>
        <w:contextualSpacing/>
        <w:jc w:val="both"/>
        <w:rPr>
          <w:rFonts w:ascii="Verdana" w:hAnsi="Verdana" w:cs="Arial"/>
          <w:bCs/>
          <w:sz w:val="20"/>
          <w:szCs w:val="20"/>
          <w:lang w:eastAsia="es-ES"/>
        </w:rPr>
      </w:pPr>
      <w:r w:rsidRPr="0005004A">
        <w:rPr>
          <w:rFonts w:ascii="Verdana" w:hAnsi="Verdana" w:cs="Arial"/>
          <w:bCs/>
          <w:sz w:val="20"/>
          <w:szCs w:val="20"/>
          <w:lang w:eastAsia="es-ES"/>
        </w:rPr>
        <w:t xml:space="preserve">Las normas mencionadas del EGCAP a título de ejemplo y los citados mecanismos autocompositivos consagrados en la ley evidencian la intención del legislador de promover la solución de controversias directamente por las partes del contrato, sin necesidad de la intervención del aparato jurisdiccional. Esto implicaría no solo la optimización en el gasto de los recursos públicos derivada de la mayor agilidad y celeridad que caracteriza los mecanismos alternativos de solución de conflictos -MASC- sino una mayor descongestión del sistema judicial. </w:t>
      </w:r>
    </w:p>
    <w:p w14:paraId="691134B8" w14:textId="77777777" w:rsidR="0005004A" w:rsidRPr="0005004A" w:rsidRDefault="0005004A" w:rsidP="00A639AA">
      <w:pPr>
        <w:snapToGrid w:val="0"/>
        <w:spacing w:line="240" w:lineRule="auto"/>
        <w:contextualSpacing/>
        <w:jc w:val="both"/>
        <w:rPr>
          <w:rFonts w:ascii="Verdana" w:hAnsi="Verdana" w:cs="Arial"/>
          <w:bCs/>
          <w:sz w:val="20"/>
          <w:szCs w:val="20"/>
          <w:lang w:eastAsia="es-ES"/>
        </w:rPr>
      </w:pPr>
    </w:p>
    <w:p w14:paraId="26C7932B" w14:textId="03D1470D" w:rsidR="004170B6" w:rsidRPr="0005004A" w:rsidRDefault="0005004A" w:rsidP="00A639AA">
      <w:pPr>
        <w:snapToGrid w:val="0"/>
        <w:spacing w:line="240" w:lineRule="auto"/>
        <w:contextualSpacing/>
        <w:jc w:val="both"/>
        <w:rPr>
          <w:rFonts w:ascii="Verdana" w:hAnsi="Verdana" w:cs="Arial"/>
          <w:bCs/>
          <w:sz w:val="20"/>
          <w:szCs w:val="20"/>
          <w:lang w:eastAsia="es-ES"/>
        </w:rPr>
      </w:pPr>
      <w:r w:rsidRPr="0005004A">
        <w:rPr>
          <w:rFonts w:ascii="Verdana" w:hAnsi="Verdana" w:cs="Arial"/>
          <w:bCs/>
          <w:sz w:val="20"/>
          <w:szCs w:val="20"/>
          <w:lang w:eastAsia="es-ES"/>
        </w:rPr>
        <w:t>De lo anterior surge la noción del principio de arreglo directo de controversias, conforme al cual, durante el desarrollo de todo el proceso contractual, esto es, en sus etapas preparativas, de ejecución y liquidación, los distintos partícipes –oferentes o contratantes, según el caso– deberán preferir, siempre que ello sea posible, las fórmulas e instrumentos que el ordenamiento jurídico ha dispuesto para que solucionen directamente sus discrepancias. El adjetivo “directo” atribuible al arreglo, se refiere a que la controversia debería solucionarse entre las partes directamente involucradas o interesadas en la solución, o, dicho de otra manera, las que podrían resultar directa y principalmente afectadas por la solución lograda.</w:t>
      </w:r>
    </w:p>
    <w:p w14:paraId="755A61EB" w14:textId="77777777" w:rsidR="0005004A" w:rsidRPr="006A111D" w:rsidRDefault="0005004A" w:rsidP="00A639AA">
      <w:pPr>
        <w:snapToGrid w:val="0"/>
        <w:spacing w:line="240" w:lineRule="auto"/>
        <w:contextualSpacing/>
        <w:jc w:val="both"/>
        <w:rPr>
          <w:rFonts w:ascii="Verdana" w:hAnsi="Verdana" w:cs="Arial"/>
          <w:b/>
          <w:lang w:eastAsia="es-ES"/>
        </w:rPr>
      </w:pPr>
    </w:p>
    <w:p w14:paraId="175A1AFA" w14:textId="41A9B668" w:rsidR="00913DE1" w:rsidRPr="00913DE1" w:rsidRDefault="00913DE1" w:rsidP="00A639AA">
      <w:pPr>
        <w:snapToGrid w:val="0"/>
        <w:spacing w:line="240" w:lineRule="auto"/>
        <w:contextualSpacing/>
        <w:jc w:val="both"/>
        <w:rPr>
          <w:rFonts w:ascii="Verdana" w:hAnsi="Verdana" w:cs="Arial"/>
          <w:b/>
          <w:lang w:val="es-MX" w:eastAsia="es-ES"/>
        </w:rPr>
      </w:pPr>
      <w:r w:rsidRPr="00913DE1">
        <w:rPr>
          <w:rFonts w:ascii="Verdana" w:hAnsi="Verdana" w:cs="Arial"/>
          <w:b/>
          <w:lang w:val="es-MX" w:eastAsia="es-ES"/>
        </w:rPr>
        <w:t xml:space="preserve">ARREGLO DIRECTO – Mecanismos </w:t>
      </w:r>
    </w:p>
    <w:p w14:paraId="320A63ED" w14:textId="77777777" w:rsidR="00913DE1" w:rsidRPr="00913DE1" w:rsidRDefault="00913DE1" w:rsidP="00A639AA">
      <w:pPr>
        <w:snapToGrid w:val="0"/>
        <w:spacing w:line="240" w:lineRule="auto"/>
        <w:contextualSpacing/>
        <w:jc w:val="both"/>
        <w:rPr>
          <w:rFonts w:ascii="Verdana" w:hAnsi="Verdana" w:cs="Arial"/>
          <w:b/>
          <w:lang w:val="es-MX" w:eastAsia="es-ES"/>
        </w:rPr>
      </w:pPr>
    </w:p>
    <w:p w14:paraId="4C492B84" w14:textId="77777777" w:rsidR="0005004A" w:rsidRDefault="0005004A" w:rsidP="00A639AA">
      <w:pPr>
        <w:snapToGrid w:val="0"/>
        <w:spacing w:line="240" w:lineRule="auto"/>
        <w:contextualSpacing/>
        <w:jc w:val="both"/>
        <w:rPr>
          <w:rFonts w:ascii="Verdana" w:hAnsi="Verdana" w:cs="Arial"/>
          <w:bCs/>
          <w:sz w:val="20"/>
          <w:szCs w:val="20"/>
          <w:lang w:eastAsia="es-ES"/>
        </w:rPr>
      </w:pPr>
      <w:r w:rsidRPr="00723581">
        <w:rPr>
          <w:rFonts w:ascii="Verdana" w:hAnsi="Verdana" w:cs="Arial"/>
          <w:bCs/>
          <w:sz w:val="20"/>
          <w:szCs w:val="20"/>
          <w:lang w:eastAsia="es-ES"/>
        </w:rPr>
        <w:t xml:space="preserve">Dentro de las modalidades que el ordenamiento normativo permite como fórmulas de arreglo directo controversias, se destacan, por ser incluidas dentro de la consulta que ahora se resuelve, al arreglo directo “propiamente dicho” y la transacción. Junto a estas, la conciliación extrajudicial y judicial también podría considerarse como formas aplicativas del principio de arreglo directo de controversias, sin perjuicio que dentro de ellas se haga necesaria la participación de un tercero neutral y distinto a las partes directamente interesadas, siendo a estas últimas a quienes corresponde la configuración </w:t>
      </w:r>
      <w:r w:rsidRPr="00723581">
        <w:rPr>
          <w:rFonts w:ascii="Verdana" w:hAnsi="Verdana" w:cs="Arial"/>
          <w:bCs/>
          <w:sz w:val="20"/>
          <w:szCs w:val="20"/>
          <w:lang w:eastAsia="es-ES"/>
        </w:rPr>
        <w:lastRenderedPageBreak/>
        <w:t xml:space="preserve">y logro del eventual acuerdo. En el mismo sentido, la amigable composición resulta ser otro mecanismo de arreglo directo de controversias, tal y como lo indicó la Corte Constitucional en la decisión que arriba se comentó. Además, su regulación y aplicación dentro del contexto administrativo, encuentra fundamento, principalmente, en el artículo 59 de la Ley 1563 de 2012. </w:t>
      </w:r>
    </w:p>
    <w:p w14:paraId="2E174152" w14:textId="77777777" w:rsidR="0005004A" w:rsidRPr="00723581" w:rsidRDefault="0005004A" w:rsidP="00A639AA">
      <w:pPr>
        <w:snapToGrid w:val="0"/>
        <w:spacing w:line="240" w:lineRule="auto"/>
        <w:contextualSpacing/>
        <w:jc w:val="both"/>
        <w:rPr>
          <w:rFonts w:ascii="Verdana" w:hAnsi="Verdana" w:cs="Arial"/>
          <w:bCs/>
          <w:sz w:val="20"/>
          <w:szCs w:val="20"/>
          <w:lang w:eastAsia="es-ES"/>
        </w:rPr>
      </w:pPr>
    </w:p>
    <w:p w14:paraId="4D31AAE6" w14:textId="77777777" w:rsidR="0005004A" w:rsidRPr="00723581" w:rsidRDefault="0005004A" w:rsidP="00A639AA">
      <w:pPr>
        <w:snapToGrid w:val="0"/>
        <w:spacing w:line="240" w:lineRule="auto"/>
        <w:contextualSpacing/>
        <w:jc w:val="both"/>
        <w:rPr>
          <w:rFonts w:ascii="Verdana" w:hAnsi="Verdana" w:cs="Arial"/>
          <w:bCs/>
          <w:sz w:val="20"/>
          <w:szCs w:val="20"/>
          <w:lang w:eastAsia="es-ES"/>
        </w:rPr>
      </w:pPr>
      <w:r w:rsidRPr="00723581">
        <w:rPr>
          <w:rFonts w:ascii="Verdana" w:hAnsi="Verdana" w:cs="Arial"/>
          <w:bCs/>
          <w:sz w:val="20"/>
          <w:szCs w:val="20"/>
          <w:lang w:eastAsia="es-ES"/>
        </w:rPr>
        <w:t xml:space="preserve">El primero, esto es, el arreglo directo propiamente dicho, es una metodología para la solución de controversias que implica la participación de la entidad estatal y el contratista o contratistas directamente interesados en la resolución del conflicto. Lo anterior implicará, como mínimo, un espacio y tiempo suficiente para que entre unos y otros se logre el establecimiento del objeto de la controversia, así como la negociación de esta. Ante la inexistencia de un procedimiento específico para llevar a cabo el arreglo directo, corresponderá a la entidad estatal, bien a través de sus manuales de contratación o por medio del clausulado del respectivo pliego de condiciones o documento equivalente o, inclusive, dentro del mismo contrato, determinar las pautas mínimas para que, ante el surgimiento de la controversia, las partes puedan arreglarlas directamente. Dicho procedimiento deberá, en todo caso, ser respetuoso de los principios del debido proceso, legalidad, eficacia, celeridad y los demás que rijan el actuar de las entidades públicas, así como atender a las normas generales del procedimiento administrativo establecidas en la Ley 1437 de 2011, siempre que ellas resulten aplicables de acuerdo con la naturaleza del arreglo directo. </w:t>
      </w:r>
    </w:p>
    <w:p w14:paraId="798AA6FB" w14:textId="77777777" w:rsidR="00913DE1" w:rsidRPr="0005004A" w:rsidRDefault="00913DE1" w:rsidP="00A639AA">
      <w:pPr>
        <w:snapToGrid w:val="0"/>
        <w:spacing w:line="240" w:lineRule="auto"/>
        <w:contextualSpacing/>
        <w:jc w:val="both"/>
        <w:rPr>
          <w:rFonts w:ascii="Verdana" w:hAnsi="Verdana" w:cs="Arial"/>
          <w:b/>
          <w:lang w:eastAsia="es-ES"/>
        </w:rPr>
      </w:pPr>
    </w:p>
    <w:p w14:paraId="674875FB" w14:textId="77777777" w:rsidR="00913DE1" w:rsidRPr="00913DE1" w:rsidRDefault="00913DE1" w:rsidP="00A639AA">
      <w:pPr>
        <w:snapToGrid w:val="0"/>
        <w:spacing w:line="240" w:lineRule="auto"/>
        <w:contextualSpacing/>
        <w:jc w:val="both"/>
        <w:rPr>
          <w:rFonts w:ascii="Verdana" w:hAnsi="Verdana" w:cs="Arial"/>
          <w:b/>
          <w:lang w:val="es-MX" w:eastAsia="es-ES"/>
        </w:rPr>
      </w:pPr>
      <w:r w:rsidRPr="00913DE1">
        <w:rPr>
          <w:rFonts w:ascii="Verdana" w:hAnsi="Verdana" w:cs="Arial"/>
          <w:b/>
          <w:lang w:val="es-MX" w:eastAsia="es-ES"/>
        </w:rPr>
        <w:t xml:space="preserve">ARREGLO DIRECTO – Procedencia – Procedimiento Administrativo Sancionatorio – Mecanismos </w:t>
      </w:r>
    </w:p>
    <w:p w14:paraId="5D37B0FF" w14:textId="77777777" w:rsidR="00913DE1" w:rsidRPr="00074F81" w:rsidRDefault="00913DE1" w:rsidP="00A639AA">
      <w:pPr>
        <w:snapToGrid w:val="0"/>
        <w:spacing w:line="240" w:lineRule="auto"/>
        <w:contextualSpacing/>
        <w:jc w:val="both"/>
        <w:rPr>
          <w:rFonts w:ascii="Verdana" w:hAnsi="Verdana" w:cs="Arial"/>
          <w:bCs/>
          <w:sz w:val="20"/>
          <w:szCs w:val="20"/>
          <w:lang w:val="es-MX" w:eastAsia="es-ES"/>
        </w:rPr>
      </w:pPr>
    </w:p>
    <w:p w14:paraId="0AD5F634" w14:textId="2A099859" w:rsidR="00074F81" w:rsidRDefault="00074F81" w:rsidP="00A639AA">
      <w:pPr>
        <w:snapToGrid w:val="0"/>
        <w:spacing w:line="240" w:lineRule="auto"/>
        <w:contextualSpacing/>
        <w:jc w:val="both"/>
        <w:rPr>
          <w:rFonts w:ascii="Verdana" w:hAnsi="Verdana" w:cs="Arial"/>
          <w:bCs/>
          <w:sz w:val="20"/>
          <w:szCs w:val="20"/>
          <w:lang w:eastAsia="es-ES"/>
        </w:rPr>
      </w:pPr>
      <w:r w:rsidRPr="00074F81">
        <w:rPr>
          <w:rFonts w:ascii="Verdana" w:hAnsi="Verdana" w:cs="Arial"/>
          <w:bCs/>
          <w:sz w:val="20"/>
          <w:szCs w:val="20"/>
          <w:lang w:eastAsia="es-ES"/>
        </w:rPr>
        <w:t xml:space="preserve">En todo caso, como lo expresa la Guía de la Agencia la activación de mecanismos de solución directa no implica una renuncia al procedimiento sancionatorio, y, por regla general, no produce de manera automática su suspensión ni su interrupción. Por tanto, ambos pueden desarrollarse de manera simultánea, sin perjuicio de que la entidad continúe valorando las pruebas, los argumentos y las alternativas de solución presentadas por el contratista. Lo anterior no obsta para que, cuando lo estime necesario para el correcto desarrollo de la actuación, la entidad haga uso de la facultad prevista en el literal d) del artículo 86 de la Ley 1474 de 2011 y suspenda la audiencia, de oficio o a petición de parte, mediante decisión motivada en la que señale fecha y hora para reanudarla. Se trata de una potestad discrecional y reglada, no de un efecto automático de la solicitud de arreglo directo. La administración conserva plena autonomía para decidir si existe o no incumplimiento y, en consecuencia, para imponer o no la sanción, incluso cuando se hayan adelantado gestiones de arreglo directo. </w:t>
      </w:r>
    </w:p>
    <w:p w14:paraId="0BE98655" w14:textId="77777777" w:rsidR="00074F81" w:rsidRPr="00074F81" w:rsidRDefault="00074F81" w:rsidP="00A639AA">
      <w:pPr>
        <w:snapToGrid w:val="0"/>
        <w:spacing w:line="240" w:lineRule="auto"/>
        <w:contextualSpacing/>
        <w:jc w:val="both"/>
        <w:rPr>
          <w:rFonts w:ascii="Verdana" w:hAnsi="Verdana" w:cs="Arial"/>
          <w:bCs/>
          <w:sz w:val="20"/>
          <w:szCs w:val="20"/>
          <w:lang w:eastAsia="es-ES"/>
        </w:rPr>
      </w:pPr>
    </w:p>
    <w:p w14:paraId="4D52EC53" w14:textId="4241886B" w:rsidR="00074F81" w:rsidRPr="00074F81" w:rsidRDefault="00074F81" w:rsidP="00A639AA">
      <w:pPr>
        <w:snapToGrid w:val="0"/>
        <w:spacing w:line="240" w:lineRule="auto"/>
        <w:contextualSpacing/>
        <w:jc w:val="both"/>
        <w:rPr>
          <w:rFonts w:ascii="Verdana" w:hAnsi="Verdana" w:cs="Arial"/>
          <w:bCs/>
          <w:sz w:val="20"/>
          <w:szCs w:val="20"/>
          <w:lang w:eastAsia="es-ES"/>
        </w:rPr>
      </w:pPr>
      <w:r w:rsidRPr="00074F81">
        <w:rPr>
          <w:rFonts w:ascii="Verdana" w:hAnsi="Verdana" w:cs="Arial"/>
          <w:bCs/>
          <w:sz w:val="20"/>
          <w:szCs w:val="20"/>
          <w:lang w:eastAsia="es-ES"/>
        </w:rPr>
        <w:t xml:space="preserve">En este sentido, no existe dentro del Sistema de Compras Públicas una prohibición legal que impida a la entidad estatal analizar propuestas de arreglo directo, estudiar la definición de saldos económicos o considerar alternativas de solución bilateral —incluida la compensación o cruce de cuentas— mientras adelanta el procedimiento administrativo sancionatorio previsto en el artículo 86 de la Ley 1474 de 2011. De esta manera, la activación de estos mecanismos no suspende ni limita el ejercicio de la potestad </w:t>
      </w:r>
      <w:r w:rsidRPr="00074F81">
        <w:rPr>
          <w:rFonts w:ascii="Verdana" w:hAnsi="Verdana" w:cs="Arial"/>
          <w:bCs/>
          <w:sz w:val="20"/>
          <w:szCs w:val="20"/>
          <w:lang w:eastAsia="es-ES"/>
        </w:rPr>
        <w:lastRenderedPageBreak/>
        <w:t xml:space="preserve">sancionatoria, ni afecta la competencia de la entidad para decidir sobre la declaratoria de incumplimiento y con ello de la imposición si es del caso de la imposición de la multa, la cláusula penal pecuniaria o de la caducidad. </w:t>
      </w:r>
    </w:p>
    <w:p w14:paraId="3224B26B" w14:textId="77777777" w:rsidR="00913DE1" w:rsidRPr="00074F81" w:rsidRDefault="00913DE1" w:rsidP="00A639AA">
      <w:pPr>
        <w:snapToGrid w:val="0"/>
        <w:spacing w:line="240" w:lineRule="auto"/>
        <w:contextualSpacing/>
        <w:jc w:val="both"/>
        <w:rPr>
          <w:rFonts w:ascii="Verdana" w:hAnsi="Verdana" w:cs="Arial"/>
          <w:b/>
          <w:lang w:eastAsia="es-ES"/>
        </w:rPr>
      </w:pPr>
    </w:p>
    <w:p w14:paraId="095E4200" w14:textId="29D470CA" w:rsidR="00913DE1" w:rsidRPr="00913DE1" w:rsidRDefault="00913DE1" w:rsidP="00A639AA">
      <w:pPr>
        <w:snapToGrid w:val="0"/>
        <w:spacing w:line="240" w:lineRule="auto"/>
        <w:contextualSpacing/>
        <w:jc w:val="both"/>
        <w:rPr>
          <w:rFonts w:ascii="Verdana" w:hAnsi="Verdana" w:cs="Arial"/>
          <w:b/>
          <w:lang w:val="es-MX" w:eastAsia="es-ES"/>
        </w:rPr>
      </w:pPr>
      <w:r w:rsidRPr="00913DE1">
        <w:rPr>
          <w:rFonts w:ascii="Verdana" w:hAnsi="Verdana" w:cs="Arial"/>
          <w:b/>
          <w:lang w:val="es-MX" w:eastAsia="es-ES"/>
        </w:rPr>
        <w:t>ARREGLO DIRECTO – Mecanismos – Compensación de saldos – Transacción – Liquidación</w:t>
      </w:r>
    </w:p>
    <w:p w14:paraId="03186C09" w14:textId="77777777" w:rsidR="00913DE1" w:rsidRPr="00074F81" w:rsidRDefault="00913DE1" w:rsidP="00A639AA">
      <w:pPr>
        <w:snapToGrid w:val="0"/>
        <w:spacing w:line="240" w:lineRule="auto"/>
        <w:contextualSpacing/>
        <w:jc w:val="both"/>
        <w:rPr>
          <w:rFonts w:ascii="Verdana" w:hAnsi="Verdana" w:cs="Arial"/>
          <w:bCs/>
          <w:sz w:val="20"/>
          <w:szCs w:val="20"/>
          <w:lang w:val="es-MX" w:eastAsia="es-ES"/>
        </w:rPr>
      </w:pPr>
    </w:p>
    <w:p w14:paraId="2CFBB32F" w14:textId="77777777" w:rsidR="00074F81" w:rsidRDefault="00074F81" w:rsidP="00A639AA">
      <w:pPr>
        <w:snapToGrid w:val="0"/>
        <w:spacing w:line="240" w:lineRule="auto"/>
        <w:contextualSpacing/>
        <w:jc w:val="both"/>
        <w:rPr>
          <w:rFonts w:ascii="Verdana" w:hAnsi="Verdana" w:cs="Arial"/>
          <w:bCs/>
          <w:sz w:val="20"/>
          <w:szCs w:val="20"/>
          <w:lang w:eastAsia="es-ES"/>
        </w:rPr>
      </w:pPr>
      <w:r w:rsidRPr="00074F81">
        <w:rPr>
          <w:rFonts w:ascii="Verdana" w:hAnsi="Verdana" w:cs="Arial"/>
          <w:bCs/>
          <w:sz w:val="20"/>
          <w:szCs w:val="20"/>
          <w:lang w:eastAsia="es-ES"/>
        </w:rPr>
        <w:t>De este modo, cuando, dentro del procedimiento administrativo sancionatorio, la entidad concluye que no es procedente declarar el incumplimiento porque no se acreditan los presupuestos para imponer la sanción, conserva la facultad de dar por terminado el trámite sin imponer sanción alguna. Esta potestad tiene fundamento expreso en el propio artículo 86 de la Ley 1474 de 2011: el literal c) contempla que la resolución decidirá sobre «la imposición o no» de la multa, sanción o declaratoria de incumplimiento, y el literal d) autoriza a la entidad a «dar por terminado el procedimiento en cualquier momento, si por algún medio tiene conocimiento de la cesación de situación de incumplimiento». De igual modo, resulta procedente gestionar mecanismos de solución directa para definir los aspectos económicos pendientes del contrato. En este contexto, es importante precisar que los acuerdos bilaterales sobre saldos, compensaciones o cruces de cuentas son jurídicamente admisibles, siempre que respeten los principios de la contratación estatal y no comprometan los intereses públicos. La autonomía de la voluntad, reconocida en el régimen contractual, permite a las partes adoptar este tipo de acuerdos sin que ello interfiera con la competencia de la entidad para cerrar el trámite sancionatorio sin declarar incumplimiento.</w:t>
      </w:r>
    </w:p>
    <w:p w14:paraId="54D7F680" w14:textId="77777777" w:rsidR="00074F81" w:rsidRPr="00074F81" w:rsidRDefault="00074F81" w:rsidP="00A639AA">
      <w:pPr>
        <w:snapToGrid w:val="0"/>
        <w:spacing w:line="240" w:lineRule="auto"/>
        <w:contextualSpacing/>
        <w:jc w:val="both"/>
        <w:rPr>
          <w:rFonts w:ascii="Verdana" w:hAnsi="Verdana" w:cs="Arial"/>
          <w:bCs/>
          <w:sz w:val="20"/>
          <w:szCs w:val="20"/>
          <w:lang w:eastAsia="es-ES"/>
        </w:rPr>
      </w:pPr>
    </w:p>
    <w:p w14:paraId="4F15D2BD" w14:textId="77777777" w:rsidR="00074F81" w:rsidRPr="00074F81" w:rsidRDefault="00074F81" w:rsidP="00A639AA">
      <w:pPr>
        <w:snapToGrid w:val="0"/>
        <w:spacing w:line="240" w:lineRule="auto"/>
        <w:contextualSpacing/>
        <w:jc w:val="both"/>
        <w:rPr>
          <w:rFonts w:ascii="Verdana" w:hAnsi="Verdana" w:cs="Arial"/>
          <w:bCs/>
          <w:sz w:val="20"/>
          <w:szCs w:val="20"/>
          <w:lang w:eastAsia="es-ES"/>
        </w:rPr>
      </w:pPr>
      <w:r w:rsidRPr="00074F81">
        <w:rPr>
          <w:rFonts w:ascii="Verdana" w:hAnsi="Verdana" w:cs="Arial"/>
          <w:bCs/>
          <w:sz w:val="20"/>
          <w:szCs w:val="20"/>
          <w:lang w:eastAsia="es-ES"/>
        </w:rPr>
        <w:t>En los contratos de prestación de servicios profesionales —que no requieren liquidación obligatoria según el artículo 60 de la Ley 80 de 1993— las partes pueden definir saldos mediante acuerdos bilaterales, transacciones o incluso mediante una liquidación cuando esta resulte necesaria. El artículo 60 establece que deben liquidarse los contratos de tracto sucesivo, aquellos cuya ejecución se prolongue en el tiempo y “los demás que lo requieran”, mientras que excluye expresamente de liquidación obligatoria los contratos de prestación de servicios profesionales y de apoyo a la gestión. Sin embargo, esta exclusión no impide que la entidad evalúe si, dadas las particularidades del caso —como la existencia de recursos no ejecutados o la necesidad de ajustar cuentas de la ejecución del contrato— es pertinente proceder con una liquidación para realizar el balance económico, técnico y jurídico del cumplimiento contractual.</w:t>
      </w:r>
    </w:p>
    <w:p w14:paraId="324A62C1" w14:textId="77777777" w:rsidR="00074F81" w:rsidRPr="00074F81" w:rsidRDefault="00074F81" w:rsidP="00A639AA">
      <w:pPr>
        <w:snapToGrid w:val="0"/>
        <w:spacing w:line="240" w:lineRule="auto"/>
        <w:contextualSpacing/>
        <w:jc w:val="both"/>
        <w:rPr>
          <w:rFonts w:ascii="Verdana" w:hAnsi="Verdana" w:cs="Arial"/>
          <w:bCs/>
          <w:sz w:val="20"/>
          <w:szCs w:val="20"/>
          <w:lang w:val="es-ES_tradnl" w:eastAsia="es-ES"/>
        </w:rPr>
      </w:pPr>
    </w:p>
    <w:p w14:paraId="6ABB6412" w14:textId="77777777" w:rsidR="00074F81" w:rsidRPr="00074F81" w:rsidRDefault="00074F81" w:rsidP="00A639AA">
      <w:pPr>
        <w:snapToGrid w:val="0"/>
        <w:spacing w:line="240" w:lineRule="auto"/>
        <w:contextualSpacing/>
        <w:jc w:val="both"/>
        <w:rPr>
          <w:rFonts w:ascii="Verdana" w:hAnsi="Verdana" w:cs="Arial"/>
          <w:bCs/>
          <w:sz w:val="20"/>
          <w:szCs w:val="20"/>
          <w:lang w:eastAsia="es-ES"/>
        </w:rPr>
      </w:pPr>
      <w:r w:rsidRPr="00074F81">
        <w:rPr>
          <w:rFonts w:ascii="Verdana" w:hAnsi="Verdana" w:cs="Arial"/>
          <w:bCs/>
          <w:sz w:val="20"/>
          <w:szCs w:val="20"/>
          <w:lang w:val="es-ES_tradnl" w:eastAsia="es-ES"/>
        </w:rPr>
        <w:t xml:space="preserve">La </w:t>
      </w:r>
      <w:r w:rsidRPr="00074F81">
        <w:rPr>
          <w:rFonts w:ascii="Verdana" w:hAnsi="Verdana" w:cs="Arial"/>
          <w:bCs/>
          <w:sz w:val="20"/>
          <w:szCs w:val="20"/>
          <w:lang w:eastAsia="es-ES"/>
        </w:rPr>
        <w:t>liquidación es necesaria cuando, al finalizar el contrato, existe duda sobre el cumplimiento de las prestaciones o cuando subsisten obligaciones pendientes a favor del contratista de prestación de servicios o de la entidad. Si las prestaciones se han cumplido cabalmente y existe absoluta claridad sobre lo ejecutado y pagado, la liquidación no es indispensable. Por ello, incluso en contratos de prestación de servicios profesionales, la entidad debe revisar si la existencia de saldos por liberar o ajustes económicos pendientes exige acudir a la liquidación para garantizar un cierre contractual adecuado y transparente.</w:t>
      </w:r>
    </w:p>
    <w:p w14:paraId="7E51D423" w14:textId="77777777" w:rsidR="00097A5F" w:rsidRPr="00791480" w:rsidRDefault="00097A5F" w:rsidP="00913DE1">
      <w:pPr>
        <w:snapToGrid w:val="0"/>
        <w:spacing w:line="276" w:lineRule="auto"/>
        <w:contextualSpacing/>
        <w:jc w:val="both"/>
        <w:rPr>
          <w:rFonts w:ascii="Verdana" w:hAnsi="Verdana" w:cs="Arial"/>
          <w:bCs/>
          <w:lang w:val="es-ES_tradnl" w:eastAsia="es-ES"/>
        </w:rPr>
      </w:pPr>
    </w:p>
    <w:p w14:paraId="1600D664" w14:textId="34A2D3B7" w:rsidR="00D65E25" w:rsidRDefault="00D65E25" w:rsidP="00D65E25">
      <w:pPr>
        <w:spacing w:after="0"/>
        <w:rPr>
          <w:rFonts w:ascii="Verdana" w:eastAsia="Verdana" w:hAnsi="Verdana" w:cs="Verdana"/>
        </w:rPr>
      </w:pPr>
      <w:r w:rsidRPr="30821638">
        <w:rPr>
          <w:rFonts w:ascii="Verdana" w:eastAsia="Verdana" w:hAnsi="Verdana" w:cs="Verdana"/>
        </w:rPr>
        <w:lastRenderedPageBreak/>
        <w:t xml:space="preserve">Bogotá D.C., </w:t>
      </w:r>
      <w:r w:rsidR="00200CCF">
        <w:rPr>
          <w:rFonts w:ascii="Verdana" w:eastAsia="Verdana" w:hAnsi="Verdana" w:cs="Verdana"/>
        </w:rPr>
        <w:t>25 de agosto de 2026</w:t>
      </w:r>
    </w:p>
    <w:p w14:paraId="05ED0381" w14:textId="0213E9B2" w:rsidR="00200CCF" w:rsidRPr="00791480" w:rsidRDefault="00200CCF" w:rsidP="00D65E25">
      <w:pPr>
        <w:spacing w:after="0"/>
        <w:rPr>
          <w:rFonts w:ascii="Verdana" w:hAnsi="Verdana"/>
        </w:rPr>
      </w:pPr>
    </w:p>
    <w:p w14:paraId="392D77B2" w14:textId="50F906F0" w:rsidR="00D65E25" w:rsidRPr="00791480" w:rsidRDefault="00475D27" w:rsidP="00D65E25">
      <w:pPr>
        <w:spacing w:after="0" w:line="240" w:lineRule="auto"/>
        <w:rPr>
          <w:rFonts w:ascii="Verdana" w:hAnsi="Verdana"/>
        </w:rPr>
      </w:pPr>
      <w:r w:rsidRPr="002C4493">
        <w:rPr>
          <w:rFonts w:ascii="Verdana" w:eastAsia="Verdana" w:hAnsi="Verdana" w:cs="Verdana"/>
          <w:noProof/>
        </w:rPr>
        <w:drawing>
          <wp:anchor distT="0" distB="0" distL="114300" distR="114300" simplePos="0" relativeHeight="251658240" behindDoc="0" locked="0" layoutInCell="1" allowOverlap="1" wp14:anchorId="19E02756" wp14:editId="589790EB">
            <wp:simplePos x="0" y="0"/>
            <wp:positionH relativeFrom="margin">
              <wp:align>right</wp:align>
            </wp:positionH>
            <wp:positionV relativeFrom="paragraph">
              <wp:posOffset>16510</wp:posOffset>
            </wp:positionV>
            <wp:extent cx="2684780" cy="810895"/>
            <wp:effectExtent l="0" t="0" r="1270" b="8255"/>
            <wp:wrapSquare wrapText="bothSides"/>
            <wp:docPr id="21423514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478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55B870" w14:textId="77777777" w:rsidR="00D65E25" w:rsidRPr="00791480" w:rsidRDefault="00D65E25" w:rsidP="00D65E25">
      <w:pPr>
        <w:spacing w:after="0" w:line="240" w:lineRule="auto"/>
        <w:rPr>
          <w:rFonts w:ascii="Verdana" w:eastAsia="Calibri" w:hAnsi="Verdana" w:cs="Times New Roman"/>
          <w:lang w:val="es-MX"/>
        </w:rPr>
      </w:pPr>
      <w:r w:rsidRPr="00791480">
        <w:rPr>
          <w:rFonts w:ascii="Verdana" w:eastAsia="Calibri" w:hAnsi="Verdana" w:cs="Times New Roman"/>
          <w:lang w:val="es-MX"/>
        </w:rPr>
        <w:t>Señor</w:t>
      </w:r>
    </w:p>
    <w:p w14:paraId="13917330" w14:textId="77777777" w:rsidR="00D65E25" w:rsidRPr="00791480" w:rsidRDefault="00D65E25" w:rsidP="00D65E25">
      <w:pPr>
        <w:spacing w:after="0" w:line="240" w:lineRule="auto"/>
        <w:rPr>
          <w:rFonts w:ascii="Verdana" w:eastAsia="Calibri" w:hAnsi="Verdana" w:cs="Times New Roman"/>
          <w:b/>
        </w:rPr>
      </w:pPr>
      <w:r w:rsidRPr="00791480">
        <w:rPr>
          <w:rFonts w:ascii="Verdana" w:eastAsia="Calibri" w:hAnsi="Verdana" w:cs="Times New Roman"/>
          <w:b/>
        </w:rPr>
        <w:t>Oscar Javier Contreras Ardila</w:t>
      </w:r>
    </w:p>
    <w:p w14:paraId="4DFCAB63" w14:textId="77777777" w:rsidR="00D65E25" w:rsidRPr="00791480" w:rsidRDefault="00D65E25" w:rsidP="00D65E25">
      <w:pPr>
        <w:spacing w:after="0" w:line="240" w:lineRule="auto"/>
        <w:rPr>
          <w:rFonts w:ascii="Verdana" w:hAnsi="Verdana"/>
        </w:rPr>
      </w:pPr>
      <w:hyperlink r:id="rId12" w:history="1">
        <w:r w:rsidRPr="00B67622">
          <w:rPr>
            <w:rStyle w:val="Hipervnculo"/>
            <w:rFonts w:ascii="Verdana" w:hAnsi="Verdana"/>
          </w:rPr>
          <w:t>contrerasardila@gmail.com</w:t>
        </w:r>
      </w:hyperlink>
      <w:r>
        <w:rPr>
          <w:rFonts w:ascii="Verdana" w:hAnsi="Verdana"/>
        </w:rPr>
        <w:t xml:space="preserve"> </w:t>
      </w:r>
    </w:p>
    <w:p w14:paraId="7147E295" w14:textId="77777777" w:rsidR="00D65E25" w:rsidRPr="00791480" w:rsidRDefault="00D65E25" w:rsidP="00D65E25">
      <w:pPr>
        <w:spacing w:after="0" w:line="240" w:lineRule="auto"/>
        <w:rPr>
          <w:rFonts w:ascii="Verdana" w:eastAsia="Calibri" w:hAnsi="Verdana" w:cs="Times New Roman"/>
        </w:rPr>
      </w:pPr>
      <w:r w:rsidRPr="00791480">
        <w:rPr>
          <w:rFonts w:ascii="Verdana" w:eastAsia="Calibri" w:hAnsi="Verdana" w:cs="Times New Roman"/>
        </w:rPr>
        <w:t>Bogotá D.C.</w:t>
      </w:r>
    </w:p>
    <w:p w14:paraId="6DCC645D" w14:textId="77777777" w:rsidR="00D65E25" w:rsidRPr="00791480" w:rsidRDefault="00D65E25" w:rsidP="00D65E25">
      <w:pPr>
        <w:spacing w:after="0" w:line="240" w:lineRule="auto"/>
        <w:rPr>
          <w:rFonts w:ascii="Verdana" w:eastAsia="Calibri" w:hAnsi="Verdana" w:cs="Times New Roman"/>
        </w:rPr>
      </w:pPr>
    </w:p>
    <w:p w14:paraId="553335E6" w14:textId="77777777" w:rsidR="00D65E25" w:rsidRPr="00791480" w:rsidRDefault="00D65E25" w:rsidP="00D65E25">
      <w:pPr>
        <w:spacing w:after="0" w:line="240" w:lineRule="auto"/>
        <w:rPr>
          <w:rFonts w:ascii="Verdana" w:eastAsia="Calibri" w:hAnsi="Verdana" w:cs="Times New Roman"/>
        </w:rPr>
      </w:pPr>
    </w:p>
    <w:p w14:paraId="28A7AAF9" w14:textId="064F3907" w:rsidR="00D65E25" w:rsidRPr="00791480" w:rsidRDefault="00D65E25" w:rsidP="00D65E25">
      <w:pPr>
        <w:spacing w:after="0" w:line="256" w:lineRule="auto"/>
        <w:rPr>
          <w:rFonts w:ascii="Verdana" w:eastAsia="Calibri" w:hAnsi="Verdana" w:cs="Times New Roman"/>
          <w:b/>
          <w:bCs/>
          <w:lang w:val="es-ES"/>
        </w:rPr>
      </w:pPr>
      <w:r w:rsidRPr="00791480">
        <w:rPr>
          <w:rFonts w:ascii="Verdana" w:eastAsia="Calibri" w:hAnsi="Verdana" w:cs="Times New Roman"/>
          <w:b/>
          <w:bCs/>
          <w:lang w:val="es-ES"/>
        </w:rPr>
        <w:t xml:space="preserve">                                    Concepto C</w:t>
      </w:r>
      <w:r w:rsidR="00475D27">
        <w:rPr>
          <w:rFonts w:ascii="Verdana" w:eastAsia="Calibri" w:hAnsi="Verdana" w:cs="Times New Roman"/>
          <w:b/>
          <w:bCs/>
          <w:lang w:val="es-ES"/>
        </w:rPr>
        <w:t>-</w:t>
      </w:r>
      <w:r w:rsidRPr="00791480">
        <w:rPr>
          <w:rFonts w:ascii="Verdana" w:eastAsia="Calibri" w:hAnsi="Verdana" w:cs="Times New Roman"/>
          <w:b/>
          <w:bCs/>
          <w:lang w:val="es-ES"/>
        </w:rPr>
        <w:t>1113 de 2026</w:t>
      </w:r>
    </w:p>
    <w:p w14:paraId="4356D3F2" w14:textId="77777777" w:rsidR="00D65E25" w:rsidRPr="00791480" w:rsidRDefault="00D65E25" w:rsidP="00D65E25">
      <w:pPr>
        <w:spacing w:after="0" w:line="256"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D65E25" w:rsidRPr="00791480" w14:paraId="7171E98B" w14:textId="77777777" w:rsidTr="008545F2">
        <w:trPr>
          <w:trHeight w:val="645"/>
        </w:trPr>
        <w:tc>
          <w:tcPr>
            <w:tcW w:w="2685" w:type="dxa"/>
            <w:hideMark/>
          </w:tcPr>
          <w:p w14:paraId="750DBB4F" w14:textId="77777777" w:rsidR="00D65E25" w:rsidRPr="00791480" w:rsidRDefault="00D65E25" w:rsidP="008545F2">
            <w:pPr>
              <w:spacing w:line="256" w:lineRule="auto"/>
              <w:rPr>
                <w:rFonts w:ascii="Verdana" w:hAnsi="Verdana"/>
                <w:b/>
                <w:bCs/>
                <w:lang w:val="es-ES_tradnl"/>
              </w:rPr>
            </w:pPr>
            <w:r w:rsidRPr="00791480">
              <w:rPr>
                <w:rFonts w:ascii="Verdana" w:hAnsi="Verdana"/>
                <w:b/>
                <w:bCs/>
                <w:lang w:val="es-ES_tradnl"/>
              </w:rPr>
              <w:t xml:space="preserve">Temas:                  </w:t>
            </w:r>
          </w:p>
        </w:tc>
        <w:tc>
          <w:tcPr>
            <w:tcW w:w="6241" w:type="dxa"/>
            <w:hideMark/>
          </w:tcPr>
          <w:p w14:paraId="2AD7C215" w14:textId="7413F89F" w:rsidR="00D65E25" w:rsidRPr="00791480" w:rsidRDefault="00D65E25" w:rsidP="008545F2">
            <w:pPr>
              <w:snapToGrid w:val="0"/>
              <w:spacing w:line="276" w:lineRule="auto"/>
              <w:contextualSpacing/>
              <w:jc w:val="both"/>
              <w:rPr>
                <w:rFonts w:ascii="Verdana" w:hAnsi="Verdana" w:cs="Arial"/>
                <w:bCs/>
                <w:lang w:val="es-ES_tradnl" w:eastAsia="es-ES"/>
              </w:rPr>
            </w:pPr>
            <w:r w:rsidRPr="00791480">
              <w:rPr>
                <w:rFonts w:ascii="Verdana" w:hAnsi="Verdana" w:cs="Arial"/>
                <w:bCs/>
                <w:lang w:val="es-ES" w:eastAsia="es-ES"/>
              </w:rPr>
              <w:t xml:space="preserve">CLÁUSULAS EXORBITANTES – Noción – Alcance / DECLARATORIA DE INCUMPLIMIENTO – Procedimiento Administrativo Sancionatorio – Artículo 86 - Etapas / </w:t>
            </w:r>
            <w:r w:rsidRPr="00791480">
              <w:rPr>
                <w:rFonts w:ascii="Verdana" w:hAnsi="Verdana" w:cs="Arial"/>
                <w:bCs/>
                <w:lang w:val="es-ES_tradnl" w:eastAsia="es-ES"/>
              </w:rPr>
              <w:t>SUSPENSIÓN DEL CONTRATO – Procedimiento administrativo sancionatorio – Procedencia</w:t>
            </w:r>
            <w:r>
              <w:rPr>
                <w:rFonts w:ascii="Verdana" w:hAnsi="Verdana" w:cs="Arial"/>
                <w:bCs/>
                <w:lang w:val="es-ES_tradnl" w:eastAsia="es-ES"/>
              </w:rPr>
              <w:t xml:space="preserve"> / </w:t>
            </w:r>
            <w:r w:rsidRPr="00A41D42">
              <w:rPr>
                <w:rFonts w:ascii="Verdana" w:hAnsi="Verdana" w:cs="Arial"/>
                <w:bCs/>
                <w:lang w:val="es-MX" w:eastAsia="es-ES"/>
              </w:rPr>
              <w:t>ARREGLO DIRECTO EN LA CONTRATACIÓN ESTATAL – Principio - Concepto – Alcances – Manifestaciones / ARREGLO DIRECTO – Mecanismos</w:t>
            </w:r>
            <w:r>
              <w:rPr>
                <w:rFonts w:ascii="Verdana" w:hAnsi="Verdana" w:cs="Arial"/>
                <w:bCs/>
                <w:lang w:val="es-MX" w:eastAsia="es-ES"/>
              </w:rPr>
              <w:t xml:space="preserve"> / ARREGLO DIRECTO – Procedencia – Procedimiento Administrativo Sancionatorio – Mecanismos / ARREGLO DIRECTO – Mecanismos – Compensación de saldos – Transacción – Liquidación</w:t>
            </w:r>
          </w:p>
          <w:p w14:paraId="323D6730" w14:textId="77777777" w:rsidR="00D65E25" w:rsidRPr="00791480" w:rsidRDefault="00D65E25" w:rsidP="008545F2">
            <w:pPr>
              <w:snapToGrid w:val="0"/>
              <w:spacing w:line="276" w:lineRule="auto"/>
              <w:contextualSpacing/>
              <w:jc w:val="both"/>
              <w:rPr>
                <w:rFonts w:ascii="Verdana" w:hAnsi="Verdana" w:cs="Arial"/>
                <w:bCs/>
                <w:lang w:val="es-ES" w:eastAsia="es-ES"/>
              </w:rPr>
            </w:pPr>
          </w:p>
          <w:p w14:paraId="78AC61D1" w14:textId="77777777" w:rsidR="00D65E25" w:rsidRPr="00791480" w:rsidRDefault="00D65E25" w:rsidP="008545F2">
            <w:pPr>
              <w:spacing w:line="276" w:lineRule="auto"/>
              <w:jc w:val="both"/>
              <w:rPr>
                <w:rFonts w:ascii="Verdana" w:hAnsi="Verdana" w:cs="Arial"/>
                <w:bCs/>
                <w:lang w:val="es-ES" w:eastAsia="es-ES"/>
              </w:rPr>
            </w:pPr>
          </w:p>
        </w:tc>
        <w:tc>
          <w:tcPr>
            <w:tcW w:w="6237" w:type="dxa"/>
          </w:tcPr>
          <w:p w14:paraId="083196C6" w14:textId="77777777" w:rsidR="00D65E25" w:rsidRPr="00791480" w:rsidRDefault="00D65E25" w:rsidP="008545F2">
            <w:pPr>
              <w:spacing w:line="276" w:lineRule="auto"/>
              <w:rPr>
                <w:rFonts w:ascii="Verdana" w:hAnsi="Verdana"/>
                <w:lang w:val="es-ES"/>
              </w:rPr>
            </w:pPr>
          </w:p>
        </w:tc>
      </w:tr>
      <w:tr w:rsidR="00D65E25" w:rsidRPr="009037F6" w14:paraId="6A8F7413" w14:textId="77777777" w:rsidTr="008545F2">
        <w:tc>
          <w:tcPr>
            <w:tcW w:w="2685" w:type="dxa"/>
          </w:tcPr>
          <w:p w14:paraId="3A195B81" w14:textId="77777777" w:rsidR="00D65E25" w:rsidRPr="009037F6" w:rsidRDefault="00D65E25" w:rsidP="008545F2">
            <w:pPr>
              <w:spacing w:line="256" w:lineRule="auto"/>
              <w:rPr>
                <w:rFonts w:ascii="Verdana" w:hAnsi="Verdana"/>
                <w:b/>
                <w:bCs/>
                <w:lang w:val="es-ES_tradnl"/>
              </w:rPr>
            </w:pPr>
            <w:r w:rsidRPr="009037F6">
              <w:rPr>
                <w:rFonts w:ascii="Verdana" w:hAnsi="Verdana"/>
                <w:b/>
                <w:bCs/>
                <w:lang w:val="es-ES_tradnl"/>
              </w:rPr>
              <w:t xml:space="preserve">Radicación:               </w:t>
            </w:r>
          </w:p>
        </w:tc>
        <w:tc>
          <w:tcPr>
            <w:tcW w:w="6241" w:type="dxa"/>
          </w:tcPr>
          <w:p w14:paraId="79D82DD0" w14:textId="77777777" w:rsidR="00D65E25" w:rsidRPr="005F33B3" w:rsidRDefault="00D65E25" w:rsidP="008545F2">
            <w:pPr>
              <w:spacing w:line="257" w:lineRule="auto"/>
              <w:jc w:val="both"/>
              <w:rPr>
                <w:rFonts w:ascii="Verdana" w:hAnsi="Verdana"/>
                <w:lang w:val="es-ES_tradnl"/>
              </w:rPr>
            </w:pPr>
            <w:r w:rsidRPr="009037F6">
              <w:rPr>
                <w:rFonts w:ascii="Verdana" w:hAnsi="Verdana"/>
                <w:lang w:val="es-ES_tradnl"/>
              </w:rPr>
              <w:t>Respuesta a consulta con radicados No</w:t>
            </w:r>
            <w:r>
              <w:rPr>
                <w:rFonts w:ascii="Verdana" w:hAnsi="Verdana"/>
                <w:lang w:val="es-ES_tradnl"/>
              </w:rPr>
              <w:t xml:space="preserve"> </w:t>
            </w:r>
            <w:r w:rsidRPr="005D4556">
              <w:rPr>
                <w:rFonts w:ascii="Verdana" w:hAnsi="Verdana"/>
              </w:rPr>
              <w:t>1_2026_07_13_009249</w:t>
            </w:r>
          </w:p>
          <w:p w14:paraId="75628F7A" w14:textId="77777777" w:rsidR="00D65E25" w:rsidRPr="009037F6" w:rsidRDefault="00D65E25" w:rsidP="008545F2">
            <w:pPr>
              <w:spacing w:line="257" w:lineRule="auto"/>
              <w:jc w:val="both"/>
              <w:rPr>
                <w:rFonts w:ascii="Verdana" w:hAnsi="Verdana"/>
              </w:rPr>
            </w:pPr>
          </w:p>
          <w:p w14:paraId="61273288" w14:textId="77777777" w:rsidR="00D65E25" w:rsidRPr="009037F6" w:rsidRDefault="00D65E25" w:rsidP="008545F2">
            <w:pPr>
              <w:spacing w:line="257" w:lineRule="auto"/>
              <w:jc w:val="both"/>
              <w:rPr>
                <w:rFonts w:ascii="Verdana" w:hAnsi="Verdana"/>
              </w:rPr>
            </w:pPr>
          </w:p>
        </w:tc>
        <w:tc>
          <w:tcPr>
            <w:tcW w:w="6237" w:type="dxa"/>
          </w:tcPr>
          <w:p w14:paraId="37CA64F2" w14:textId="77777777" w:rsidR="00D65E25" w:rsidRPr="009037F6" w:rsidRDefault="00D65E25" w:rsidP="008545F2">
            <w:pPr>
              <w:spacing w:line="256" w:lineRule="auto"/>
              <w:rPr>
                <w:rFonts w:ascii="Verdana" w:hAnsi="Verdana"/>
              </w:rPr>
            </w:pPr>
          </w:p>
        </w:tc>
      </w:tr>
    </w:tbl>
    <w:p w14:paraId="1C64E6C7" w14:textId="77777777" w:rsidR="00D65E25" w:rsidRPr="009037F6" w:rsidRDefault="00D65E25" w:rsidP="00D65E25">
      <w:pPr>
        <w:spacing w:after="0" w:line="256" w:lineRule="auto"/>
        <w:rPr>
          <w:rFonts w:ascii="Verdana" w:eastAsia="Calibri" w:hAnsi="Verdana" w:cs="Times New Roman"/>
          <w:lang w:val="es-ES"/>
        </w:rPr>
      </w:pPr>
      <w:r>
        <w:rPr>
          <w:rFonts w:ascii="Verdana" w:eastAsia="Calibri" w:hAnsi="Verdana" w:cs="Times New Roman"/>
          <w:lang w:val="es-ES"/>
        </w:rPr>
        <w:t>Estimado Señor Contreras</w:t>
      </w:r>
      <w:r w:rsidRPr="009037F6">
        <w:rPr>
          <w:rFonts w:ascii="Verdana" w:eastAsia="Calibri" w:hAnsi="Verdana" w:cs="Times New Roman"/>
          <w:lang w:val="es-ES"/>
        </w:rPr>
        <w:t xml:space="preserve">: </w:t>
      </w:r>
    </w:p>
    <w:p w14:paraId="65F62D04" w14:textId="77777777" w:rsidR="00D65E25" w:rsidRPr="009037F6" w:rsidRDefault="00D65E25" w:rsidP="00D65E25">
      <w:pPr>
        <w:spacing w:after="0" w:line="256" w:lineRule="auto"/>
        <w:rPr>
          <w:rFonts w:ascii="Verdana" w:eastAsia="Calibri" w:hAnsi="Verdana" w:cs="Times New Roman"/>
          <w:lang w:val="es-ES"/>
        </w:rPr>
      </w:pPr>
    </w:p>
    <w:p w14:paraId="3029F2A8" w14:textId="77777777" w:rsidR="00D65E25" w:rsidRPr="009037F6" w:rsidRDefault="00D65E25" w:rsidP="00D65E25">
      <w:pPr>
        <w:spacing w:after="0" w:line="276" w:lineRule="auto"/>
        <w:jc w:val="both"/>
        <w:rPr>
          <w:rFonts w:ascii="Verdana" w:eastAsia="Calibri" w:hAnsi="Verdana" w:cs="Times New Roman"/>
          <w:bCs/>
          <w:lang w:val="es-ES" w:bidi="es-ES"/>
        </w:rPr>
      </w:pPr>
      <w:r w:rsidRPr="009037F6">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w:t>
      </w:r>
      <w:proofErr w:type="spellStart"/>
      <w:r w:rsidRPr="009037F6">
        <w:rPr>
          <w:rFonts w:ascii="Verdana" w:eastAsia="Calibri" w:hAnsi="Verdana" w:cs="Times New Roman"/>
          <w:bCs/>
          <w:lang w:bidi="es-ES"/>
        </w:rPr>
        <w:t>N°</w:t>
      </w:r>
      <w:proofErr w:type="spellEnd"/>
      <w:r w:rsidRPr="009037F6">
        <w:rPr>
          <w:rFonts w:ascii="Verdana" w:eastAsia="Calibri" w:hAnsi="Verdana" w:cs="Times New Roman"/>
          <w:bCs/>
          <w:lang w:bidi="es-ES"/>
        </w:rPr>
        <w:t xml:space="preserve"> 469 del 2025 expedida por esta Agencia, </w:t>
      </w:r>
      <w:r w:rsidRPr="009037F6">
        <w:rPr>
          <w:rFonts w:ascii="Verdana" w:eastAsia="Calibri" w:hAnsi="Verdana" w:cs="Times New Roman"/>
          <w:bCs/>
          <w:lang w:val="es-ES" w:bidi="es-ES"/>
        </w:rPr>
        <w:t>responde la solici</w:t>
      </w:r>
      <w:r>
        <w:rPr>
          <w:rFonts w:ascii="Verdana" w:eastAsia="Calibri" w:hAnsi="Verdana" w:cs="Times New Roman"/>
          <w:bCs/>
          <w:lang w:val="es-ES" w:bidi="es-ES"/>
        </w:rPr>
        <w:t>tud de consulta del 13 de julio de 2026</w:t>
      </w:r>
      <w:r w:rsidRPr="009037F6">
        <w:rPr>
          <w:rFonts w:ascii="Verdana" w:eastAsia="Calibri" w:hAnsi="Verdana" w:cs="Times New Roman"/>
          <w:bCs/>
          <w:lang w:val="es-ES" w:bidi="es-ES"/>
        </w:rPr>
        <w:t xml:space="preserve">, en la cual manifiesta: </w:t>
      </w:r>
    </w:p>
    <w:p w14:paraId="544EE8B4" w14:textId="77777777" w:rsidR="00D65E25" w:rsidRPr="005F33B3" w:rsidRDefault="00D65E25" w:rsidP="00D65E25">
      <w:pPr>
        <w:spacing w:after="0" w:line="240" w:lineRule="auto"/>
        <w:ind w:right="709"/>
        <w:jc w:val="both"/>
        <w:rPr>
          <w:rFonts w:ascii="Verdana" w:eastAsia="Calibri" w:hAnsi="Verdana" w:cs="Times New Roman"/>
          <w:bCs/>
          <w:sz w:val="20"/>
          <w:szCs w:val="20"/>
          <w:lang w:bidi="es-ES"/>
        </w:rPr>
      </w:pPr>
    </w:p>
    <w:p w14:paraId="72421AC7" w14:textId="77777777" w:rsidR="00D65E25" w:rsidRPr="00AC0E37" w:rsidRDefault="00D65E25" w:rsidP="00D65E25">
      <w:pPr>
        <w:spacing w:after="0" w:line="240" w:lineRule="auto"/>
        <w:ind w:left="709" w:right="709"/>
        <w:jc w:val="both"/>
        <w:rPr>
          <w:rFonts w:ascii="Verdana" w:eastAsia="Calibri" w:hAnsi="Verdana" w:cs="Times New Roman"/>
          <w:bCs/>
          <w:sz w:val="20"/>
          <w:szCs w:val="20"/>
          <w:lang w:bidi="es-ES"/>
        </w:rPr>
      </w:pPr>
      <w:r w:rsidRPr="00AC0E37">
        <w:rPr>
          <w:rFonts w:ascii="Verdana" w:eastAsia="Calibri" w:hAnsi="Verdana" w:cs="Times New Roman"/>
          <w:b/>
          <w:bCs/>
          <w:sz w:val="20"/>
          <w:szCs w:val="20"/>
          <w:lang w:bidi="es-ES"/>
        </w:rPr>
        <w:lastRenderedPageBreak/>
        <w:t xml:space="preserve">Primera. </w:t>
      </w:r>
      <w:r w:rsidRPr="00AC0E37">
        <w:rPr>
          <w:rFonts w:ascii="Verdana" w:eastAsia="Calibri" w:hAnsi="Verdana" w:cs="Times New Roman"/>
          <w:bCs/>
          <w:sz w:val="20"/>
          <w:szCs w:val="20"/>
          <w:lang w:bidi="es-ES"/>
        </w:rPr>
        <w:t xml:space="preserve">¿Es jurídicamente viable que, tratándose de un contrato estatal de prestación de servicios profesionales, las partes promuevan un mecanismo de solución directa de controversias aun cuando la entidad haya iniciado el procedimiento previsto en el artículo 86 de la Ley 1474 de 2011 y antes de que se profiera la decisión definitiva? </w:t>
      </w:r>
    </w:p>
    <w:p w14:paraId="6D0A38E1" w14:textId="77777777" w:rsidR="00D65E25" w:rsidRPr="00AC0E37" w:rsidRDefault="00D65E25" w:rsidP="00D65E25">
      <w:pPr>
        <w:spacing w:after="0" w:line="240" w:lineRule="auto"/>
        <w:ind w:left="709" w:right="709"/>
        <w:jc w:val="both"/>
        <w:rPr>
          <w:rFonts w:ascii="Verdana" w:eastAsia="Calibri" w:hAnsi="Verdana" w:cs="Times New Roman"/>
          <w:bCs/>
          <w:sz w:val="20"/>
          <w:szCs w:val="20"/>
          <w:lang w:bidi="es-ES"/>
        </w:rPr>
      </w:pPr>
      <w:r w:rsidRPr="00AC0E37">
        <w:rPr>
          <w:rFonts w:ascii="Verdana" w:eastAsia="Calibri" w:hAnsi="Verdana" w:cs="Times New Roman"/>
          <w:b/>
          <w:bCs/>
          <w:sz w:val="20"/>
          <w:szCs w:val="20"/>
          <w:lang w:bidi="es-ES"/>
        </w:rPr>
        <w:t xml:space="preserve">Segunda. </w:t>
      </w:r>
      <w:r w:rsidRPr="00AC0E37">
        <w:rPr>
          <w:rFonts w:ascii="Verdana" w:eastAsia="Calibri" w:hAnsi="Verdana" w:cs="Times New Roman"/>
          <w:bCs/>
          <w:sz w:val="20"/>
          <w:szCs w:val="20"/>
          <w:lang w:bidi="es-ES"/>
        </w:rPr>
        <w:t xml:space="preserve">¿La existencia de una cláusula contractual mediante la cual las partes se obligan a buscar soluciones ágiles, rápidas y directas a las diferencias surgidas durante la ejecución del contrato faculta a cualquiera de ellas para solicitar formalmente la apertura de un espacio de arreglo directo durante el trámite del procedimiento administrativo sancionatorio? </w:t>
      </w:r>
    </w:p>
    <w:p w14:paraId="3C3501DB" w14:textId="77777777" w:rsidR="00D65E25" w:rsidRPr="00AC0E37" w:rsidRDefault="00D65E25" w:rsidP="00D65E25">
      <w:pPr>
        <w:spacing w:after="0" w:line="240" w:lineRule="auto"/>
        <w:ind w:left="709" w:right="709"/>
        <w:jc w:val="both"/>
        <w:rPr>
          <w:rFonts w:ascii="Verdana" w:eastAsia="Calibri" w:hAnsi="Verdana" w:cs="Times New Roman"/>
          <w:bCs/>
          <w:sz w:val="20"/>
          <w:szCs w:val="20"/>
          <w:lang w:bidi="es-ES"/>
        </w:rPr>
      </w:pPr>
      <w:r w:rsidRPr="00AC0E37">
        <w:rPr>
          <w:rFonts w:ascii="Verdana" w:eastAsia="Calibri" w:hAnsi="Verdana" w:cs="Times New Roman"/>
          <w:b/>
          <w:bCs/>
          <w:sz w:val="20"/>
          <w:szCs w:val="20"/>
          <w:lang w:bidi="es-ES"/>
        </w:rPr>
        <w:t xml:space="preserve">Tercera. </w:t>
      </w:r>
      <w:r w:rsidRPr="00AC0E37">
        <w:rPr>
          <w:rFonts w:ascii="Verdana" w:eastAsia="Calibri" w:hAnsi="Verdana" w:cs="Times New Roman"/>
          <w:bCs/>
          <w:sz w:val="20"/>
          <w:szCs w:val="20"/>
          <w:lang w:bidi="es-ES"/>
        </w:rPr>
        <w:t xml:space="preserve">¿La presentación de una solicitud de arreglo directo durante el procedimiento previsto en el artículo 86 de la Ley 1474 de 2011 constituye un reconocimiento del incumplimiento contractual o puede formularse expresamente sin aceptación de responsabilidad y sin renunciar al derecho de defensa? </w:t>
      </w:r>
    </w:p>
    <w:p w14:paraId="5894FA9C" w14:textId="77777777" w:rsidR="00D65E25" w:rsidRPr="00AC0E37" w:rsidRDefault="00D65E25" w:rsidP="00D65E25">
      <w:pPr>
        <w:spacing w:after="0" w:line="240" w:lineRule="auto"/>
        <w:ind w:left="709" w:right="709"/>
        <w:jc w:val="both"/>
        <w:rPr>
          <w:rFonts w:ascii="Verdana" w:eastAsia="Calibri" w:hAnsi="Verdana" w:cs="Times New Roman"/>
          <w:bCs/>
          <w:sz w:val="20"/>
          <w:szCs w:val="20"/>
          <w:lang w:bidi="es-ES"/>
        </w:rPr>
      </w:pPr>
      <w:r w:rsidRPr="00AC0E37">
        <w:rPr>
          <w:rFonts w:ascii="Verdana" w:eastAsia="Calibri" w:hAnsi="Verdana" w:cs="Times New Roman"/>
          <w:b/>
          <w:bCs/>
          <w:sz w:val="20"/>
          <w:szCs w:val="20"/>
          <w:lang w:bidi="es-ES"/>
        </w:rPr>
        <w:t xml:space="preserve">Cuarta. </w:t>
      </w:r>
      <w:r w:rsidRPr="00AC0E37">
        <w:rPr>
          <w:rFonts w:ascii="Verdana" w:eastAsia="Calibri" w:hAnsi="Verdana" w:cs="Times New Roman"/>
          <w:bCs/>
          <w:sz w:val="20"/>
          <w:szCs w:val="20"/>
          <w:lang w:bidi="es-ES"/>
        </w:rPr>
        <w:t xml:space="preserve">¿Existe alguna disposición legal que impida a la entidad contratante estudiar una propuesta de solución directa presentada por el contratista antes de adoptar la decisión definitiva dentro del procedimiento administrativo de declaratoria de incumplimiento? </w:t>
      </w:r>
    </w:p>
    <w:p w14:paraId="665F1A85" w14:textId="77777777" w:rsidR="00D65E25" w:rsidRPr="00AC0E37" w:rsidRDefault="00D65E25" w:rsidP="00D65E25">
      <w:pPr>
        <w:spacing w:after="0" w:line="240" w:lineRule="auto"/>
        <w:ind w:left="709" w:right="709"/>
        <w:jc w:val="both"/>
        <w:rPr>
          <w:rFonts w:ascii="Verdana" w:eastAsia="Calibri" w:hAnsi="Verdana" w:cs="Times New Roman"/>
          <w:bCs/>
          <w:sz w:val="20"/>
          <w:szCs w:val="20"/>
          <w:lang w:bidi="es-ES"/>
        </w:rPr>
      </w:pPr>
      <w:r w:rsidRPr="00AC0E37">
        <w:rPr>
          <w:rFonts w:ascii="Verdana" w:eastAsia="Calibri" w:hAnsi="Verdana" w:cs="Times New Roman"/>
          <w:b/>
          <w:bCs/>
          <w:sz w:val="20"/>
          <w:szCs w:val="20"/>
          <w:lang w:bidi="es-ES"/>
        </w:rPr>
        <w:t xml:space="preserve">Quinta. </w:t>
      </w:r>
      <w:r w:rsidRPr="00AC0E37">
        <w:rPr>
          <w:rFonts w:ascii="Verdana" w:eastAsia="Calibri" w:hAnsi="Verdana" w:cs="Times New Roman"/>
          <w:bCs/>
          <w:sz w:val="20"/>
          <w:szCs w:val="20"/>
          <w:lang w:bidi="es-ES"/>
        </w:rPr>
        <w:t xml:space="preserve">¿La formulación de una propuesta de solución directa tiene algún efecto sobre el procedimiento administrativo previsto en el artículo 86 de la Ley 1474 de 2011? En particular, se solicita indicar si suspende, interrumpe o modifica el trámite administrativo, o si ambos pueden desarrollarse simultáneamente. </w:t>
      </w:r>
    </w:p>
    <w:p w14:paraId="69895713" w14:textId="77777777" w:rsidR="00D65E25" w:rsidRPr="00AC0E37" w:rsidRDefault="00D65E25" w:rsidP="00D65E25">
      <w:pPr>
        <w:spacing w:after="0" w:line="240" w:lineRule="auto"/>
        <w:ind w:left="709" w:right="709"/>
        <w:jc w:val="both"/>
        <w:rPr>
          <w:rFonts w:ascii="Verdana" w:eastAsia="Calibri" w:hAnsi="Verdana" w:cs="Times New Roman"/>
          <w:bCs/>
          <w:sz w:val="20"/>
          <w:szCs w:val="20"/>
          <w:lang w:bidi="es-ES"/>
        </w:rPr>
      </w:pPr>
      <w:r w:rsidRPr="00AC0E37">
        <w:rPr>
          <w:rFonts w:ascii="Verdana" w:eastAsia="Calibri" w:hAnsi="Verdana" w:cs="Times New Roman"/>
          <w:b/>
          <w:bCs/>
          <w:sz w:val="20"/>
          <w:szCs w:val="20"/>
          <w:lang w:bidi="es-ES"/>
        </w:rPr>
        <w:t xml:space="preserve">Sexta. </w:t>
      </w:r>
      <w:r w:rsidRPr="00AC0E37">
        <w:rPr>
          <w:rFonts w:ascii="Verdana" w:eastAsia="Calibri" w:hAnsi="Verdana" w:cs="Times New Roman"/>
          <w:bCs/>
          <w:sz w:val="20"/>
          <w:szCs w:val="20"/>
          <w:lang w:bidi="es-ES"/>
        </w:rPr>
        <w:t xml:space="preserve">Tratándose de contratos de prestación de servicios profesionales respecto de los cuales la ley no exige liquidación obligatoria, ¿pueden las partes suscribir un acuerdo bilateral mediante el cual definan los saldos económicos derivados de la ejecución del contrato, sin que dicho documento constituya formalmente un acta de liquidación? </w:t>
      </w:r>
    </w:p>
    <w:p w14:paraId="54DE7048" w14:textId="77777777" w:rsidR="00D65E25" w:rsidRPr="00AC0E37" w:rsidRDefault="00D65E25" w:rsidP="00D65E25">
      <w:pPr>
        <w:spacing w:after="0" w:line="240" w:lineRule="auto"/>
        <w:ind w:left="709" w:right="709"/>
        <w:jc w:val="both"/>
        <w:rPr>
          <w:rFonts w:ascii="Verdana" w:eastAsia="Calibri" w:hAnsi="Verdana" w:cs="Times New Roman"/>
          <w:bCs/>
          <w:sz w:val="20"/>
          <w:szCs w:val="20"/>
          <w:lang w:bidi="es-ES"/>
        </w:rPr>
      </w:pPr>
      <w:r w:rsidRPr="00AC0E37">
        <w:rPr>
          <w:rFonts w:ascii="Verdana" w:eastAsia="Calibri" w:hAnsi="Verdana" w:cs="Times New Roman"/>
          <w:b/>
          <w:bCs/>
          <w:sz w:val="20"/>
          <w:szCs w:val="20"/>
          <w:lang w:bidi="es-ES"/>
        </w:rPr>
        <w:t xml:space="preserve">Séptima. </w:t>
      </w:r>
      <w:r w:rsidRPr="00AC0E37">
        <w:rPr>
          <w:rFonts w:ascii="Verdana" w:eastAsia="Calibri" w:hAnsi="Verdana" w:cs="Times New Roman"/>
          <w:bCs/>
          <w:sz w:val="20"/>
          <w:szCs w:val="20"/>
          <w:lang w:bidi="es-ES"/>
        </w:rPr>
        <w:t xml:space="preserve">Cuando al finalizar un contrato de prestación de servicios profesionales existen obligaciones económicas recíprocas pendientes entre la entidad y el contratista, ¿es jurídicamente viable acudir a mecanismos de compensación o cruce de cuentas, siempre que se cumplan los requisitos legales aplicables? </w:t>
      </w:r>
    </w:p>
    <w:p w14:paraId="74866813" w14:textId="77777777" w:rsidR="00D65E25" w:rsidRPr="00F92509" w:rsidRDefault="00D65E25" w:rsidP="00D65E25">
      <w:pPr>
        <w:spacing w:after="0" w:line="240" w:lineRule="auto"/>
        <w:ind w:left="709" w:right="709"/>
        <w:jc w:val="both"/>
        <w:rPr>
          <w:rFonts w:ascii="Verdana" w:eastAsia="Calibri" w:hAnsi="Verdana" w:cs="Times New Roman"/>
          <w:bCs/>
          <w:sz w:val="20"/>
          <w:szCs w:val="20"/>
          <w:lang w:bidi="es-ES"/>
        </w:rPr>
      </w:pPr>
      <w:r w:rsidRPr="00AC0E37">
        <w:rPr>
          <w:rFonts w:ascii="Verdana" w:eastAsia="Calibri" w:hAnsi="Verdana" w:cs="Times New Roman"/>
          <w:b/>
          <w:bCs/>
          <w:sz w:val="20"/>
          <w:szCs w:val="20"/>
          <w:lang w:bidi="es-ES"/>
        </w:rPr>
        <w:t xml:space="preserve">Octava. </w:t>
      </w:r>
      <w:r w:rsidRPr="00AC0E37">
        <w:rPr>
          <w:rFonts w:ascii="Verdana" w:eastAsia="Calibri" w:hAnsi="Verdana" w:cs="Times New Roman"/>
          <w:bCs/>
          <w:sz w:val="20"/>
          <w:szCs w:val="20"/>
          <w:lang w:bidi="es-ES"/>
        </w:rPr>
        <w:t xml:space="preserve">En el evento de que la entidad estatal adeude honorarios al contratista y, simultáneamente, adelante un procedimiento para hacer efectiva una cláusula penal pecuniaria, ¿la definición de los saldos entre las partes puede ser objeto de un acuerdo </w:t>
      </w:r>
      <w:r w:rsidRPr="00F92509">
        <w:rPr>
          <w:rFonts w:ascii="Verdana" w:eastAsia="Calibri" w:hAnsi="Verdana" w:cs="Times New Roman"/>
          <w:bCs/>
          <w:sz w:val="20"/>
          <w:szCs w:val="20"/>
          <w:lang w:bidi="es-ES"/>
        </w:rPr>
        <w:t xml:space="preserve">directo, sin perjuicio de las competencias de la entidad para decidir el procedimiento administrativo? </w:t>
      </w:r>
    </w:p>
    <w:p w14:paraId="63538CA6" w14:textId="77777777" w:rsidR="00D65E25" w:rsidRDefault="00D65E25" w:rsidP="00D65E25">
      <w:pPr>
        <w:spacing w:after="0" w:line="240" w:lineRule="auto"/>
        <w:ind w:left="709" w:right="709"/>
        <w:jc w:val="both"/>
        <w:rPr>
          <w:rFonts w:ascii="Verdana" w:eastAsia="Calibri" w:hAnsi="Verdana" w:cs="Times New Roman"/>
          <w:bCs/>
          <w:sz w:val="20"/>
          <w:szCs w:val="20"/>
          <w:lang w:bidi="es-ES"/>
        </w:rPr>
      </w:pPr>
      <w:r w:rsidRPr="00F92509">
        <w:rPr>
          <w:rFonts w:ascii="Verdana" w:eastAsia="Calibri" w:hAnsi="Verdana" w:cs="Times New Roman"/>
          <w:b/>
          <w:bCs/>
          <w:sz w:val="20"/>
          <w:szCs w:val="20"/>
          <w:lang w:bidi="es-ES"/>
        </w:rPr>
        <w:t xml:space="preserve">Novena. </w:t>
      </w:r>
      <w:r w:rsidRPr="00F92509">
        <w:rPr>
          <w:rFonts w:ascii="Verdana" w:eastAsia="Calibri" w:hAnsi="Verdana" w:cs="Times New Roman"/>
          <w:bCs/>
          <w:sz w:val="20"/>
          <w:szCs w:val="20"/>
          <w:lang w:bidi="es-ES"/>
        </w:rPr>
        <w:t>¿La autoridad administrativa conserva la facultad de terminar el procedimiento previsto en el artículo 86 de la Ley 1474 de 2011 sin declarar el incumplimiento cuando, luego de valorar las pruebas y los argumentos de las partes, concluye que no se encuentran acreditados los presupuestos legales para imponer la sanción?</w:t>
      </w:r>
    </w:p>
    <w:p w14:paraId="17479DF0" w14:textId="77777777" w:rsidR="00D65E25" w:rsidRDefault="00D65E25" w:rsidP="00D65E25">
      <w:pPr>
        <w:spacing w:after="0" w:line="240" w:lineRule="auto"/>
        <w:ind w:left="709" w:right="709"/>
        <w:jc w:val="both"/>
        <w:rPr>
          <w:rFonts w:ascii="Verdana" w:eastAsia="Calibri" w:hAnsi="Verdana" w:cs="Times New Roman"/>
          <w:bCs/>
          <w:sz w:val="20"/>
          <w:szCs w:val="20"/>
          <w:lang w:bidi="es-ES"/>
        </w:rPr>
      </w:pPr>
      <w:r w:rsidRPr="00D36189">
        <w:rPr>
          <w:rFonts w:ascii="Verdana" w:eastAsia="Calibri" w:hAnsi="Verdana" w:cs="Times New Roman"/>
          <w:b/>
          <w:bCs/>
          <w:sz w:val="20"/>
          <w:szCs w:val="20"/>
          <w:lang w:bidi="es-ES"/>
        </w:rPr>
        <w:lastRenderedPageBreak/>
        <w:t xml:space="preserve">Décima. </w:t>
      </w:r>
      <w:r w:rsidRPr="00D36189">
        <w:rPr>
          <w:rFonts w:ascii="Verdana" w:eastAsia="Calibri" w:hAnsi="Verdana" w:cs="Times New Roman"/>
          <w:bCs/>
          <w:sz w:val="20"/>
          <w:szCs w:val="20"/>
          <w:lang w:bidi="es-ES"/>
        </w:rPr>
        <w:t xml:space="preserve">Se solicita indicar si Colombia Compra Eficiente ha emitido conceptos relacionados con: </w:t>
      </w:r>
    </w:p>
    <w:p w14:paraId="3182CDAA" w14:textId="77777777" w:rsidR="00D65E25" w:rsidRDefault="00D65E25" w:rsidP="00D65E25">
      <w:pPr>
        <w:pStyle w:val="Prrafodelista"/>
        <w:numPr>
          <w:ilvl w:val="0"/>
          <w:numId w:val="25"/>
        </w:numPr>
        <w:spacing w:after="0" w:line="240" w:lineRule="auto"/>
        <w:ind w:right="709"/>
        <w:jc w:val="both"/>
        <w:rPr>
          <w:rFonts w:ascii="Verdana" w:eastAsia="Calibri" w:hAnsi="Verdana" w:cs="Times New Roman"/>
          <w:bCs/>
          <w:sz w:val="20"/>
          <w:szCs w:val="20"/>
          <w:lang w:bidi="es-ES"/>
        </w:rPr>
      </w:pPr>
      <w:r w:rsidRPr="00D36189">
        <w:rPr>
          <w:rFonts w:ascii="Verdana" w:eastAsia="Calibri" w:hAnsi="Verdana" w:cs="Times New Roman"/>
          <w:bCs/>
          <w:sz w:val="20"/>
          <w:szCs w:val="20"/>
          <w:lang w:bidi="es-ES"/>
        </w:rPr>
        <w:t xml:space="preserve">la solución directa de controversias en contratos estatales; </w:t>
      </w:r>
    </w:p>
    <w:p w14:paraId="0218C58F" w14:textId="77777777" w:rsidR="00D65E25" w:rsidRDefault="00D65E25" w:rsidP="00D65E25">
      <w:pPr>
        <w:pStyle w:val="Prrafodelista"/>
        <w:numPr>
          <w:ilvl w:val="0"/>
          <w:numId w:val="25"/>
        </w:numPr>
        <w:spacing w:after="0" w:line="240" w:lineRule="auto"/>
        <w:ind w:right="709"/>
        <w:jc w:val="both"/>
        <w:rPr>
          <w:rFonts w:ascii="Verdana" w:eastAsia="Calibri" w:hAnsi="Verdana" w:cs="Times New Roman"/>
          <w:bCs/>
          <w:sz w:val="20"/>
          <w:szCs w:val="20"/>
          <w:lang w:bidi="es-ES"/>
        </w:rPr>
      </w:pPr>
      <w:r w:rsidRPr="00D36189">
        <w:rPr>
          <w:rFonts w:ascii="Verdana" w:eastAsia="Calibri" w:hAnsi="Verdana" w:cs="Times New Roman"/>
          <w:bCs/>
          <w:sz w:val="20"/>
          <w:szCs w:val="20"/>
          <w:lang w:bidi="es-ES"/>
        </w:rPr>
        <w:t xml:space="preserve">el alcance de las cláusulas de arreglo directo; </w:t>
      </w:r>
    </w:p>
    <w:p w14:paraId="0B5FA76A" w14:textId="77777777" w:rsidR="00D65E25" w:rsidRDefault="00D65E25" w:rsidP="00D65E25">
      <w:pPr>
        <w:pStyle w:val="Prrafodelista"/>
        <w:numPr>
          <w:ilvl w:val="0"/>
          <w:numId w:val="25"/>
        </w:numPr>
        <w:spacing w:after="0" w:line="240" w:lineRule="auto"/>
        <w:ind w:right="709"/>
        <w:jc w:val="both"/>
        <w:rPr>
          <w:rFonts w:ascii="Verdana" w:eastAsia="Calibri" w:hAnsi="Verdana" w:cs="Times New Roman"/>
          <w:bCs/>
          <w:sz w:val="20"/>
          <w:szCs w:val="20"/>
          <w:lang w:bidi="es-ES"/>
        </w:rPr>
      </w:pPr>
      <w:r w:rsidRPr="00D36189">
        <w:rPr>
          <w:rFonts w:ascii="Verdana" w:eastAsia="Calibri" w:hAnsi="Verdana" w:cs="Times New Roman"/>
          <w:bCs/>
          <w:sz w:val="20"/>
          <w:szCs w:val="20"/>
          <w:lang w:bidi="es-ES"/>
        </w:rPr>
        <w:t xml:space="preserve">la procedencia de acuerdos entre las partes durante la ejecución contractual; </w:t>
      </w:r>
    </w:p>
    <w:p w14:paraId="6FA64448" w14:textId="77777777" w:rsidR="00D65E25" w:rsidRDefault="00D65E25" w:rsidP="00D65E25">
      <w:pPr>
        <w:pStyle w:val="Prrafodelista"/>
        <w:numPr>
          <w:ilvl w:val="0"/>
          <w:numId w:val="25"/>
        </w:numPr>
        <w:spacing w:after="0" w:line="240" w:lineRule="auto"/>
        <w:ind w:right="709"/>
        <w:jc w:val="both"/>
        <w:rPr>
          <w:rFonts w:ascii="Verdana" w:eastAsia="Calibri" w:hAnsi="Verdana" w:cs="Times New Roman"/>
          <w:bCs/>
          <w:sz w:val="20"/>
          <w:szCs w:val="20"/>
          <w:lang w:bidi="es-ES"/>
        </w:rPr>
      </w:pPr>
      <w:r w:rsidRPr="00D36189">
        <w:rPr>
          <w:rFonts w:ascii="Verdana" w:eastAsia="Calibri" w:hAnsi="Verdana" w:cs="Times New Roman"/>
          <w:bCs/>
          <w:sz w:val="20"/>
          <w:szCs w:val="20"/>
          <w:lang w:bidi="es-ES"/>
        </w:rPr>
        <w:t xml:space="preserve">la compensación o cruce de cuentas entre entidad y contratista; </w:t>
      </w:r>
    </w:p>
    <w:p w14:paraId="58966685" w14:textId="77777777" w:rsidR="00D65E25" w:rsidRPr="00D36189" w:rsidRDefault="00D65E25" w:rsidP="00D65E25">
      <w:pPr>
        <w:pStyle w:val="Prrafodelista"/>
        <w:numPr>
          <w:ilvl w:val="0"/>
          <w:numId w:val="25"/>
        </w:numPr>
        <w:spacing w:after="0" w:line="240" w:lineRule="auto"/>
        <w:ind w:right="709"/>
        <w:jc w:val="both"/>
        <w:rPr>
          <w:rFonts w:ascii="Verdana" w:eastAsia="Calibri" w:hAnsi="Verdana" w:cs="Times New Roman"/>
          <w:bCs/>
          <w:sz w:val="20"/>
          <w:szCs w:val="20"/>
          <w:lang w:bidi="es-ES"/>
        </w:rPr>
      </w:pPr>
      <w:r w:rsidRPr="00D36189">
        <w:rPr>
          <w:rFonts w:ascii="Verdana" w:eastAsia="Calibri" w:hAnsi="Verdana" w:cs="Times New Roman"/>
          <w:bCs/>
          <w:sz w:val="20"/>
          <w:szCs w:val="20"/>
          <w:lang w:bidi="es-ES"/>
        </w:rPr>
        <w:t xml:space="preserve">el procedimiento previsto en el artículo 86 de la Ley 1474 de 2011. </w:t>
      </w:r>
    </w:p>
    <w:p w14:paraId="1CE7EE49" w14:textId="77777777" w:rsidR="00D65E25" w:rsidRPr="005F33B3" w:rsidRDefault="00D65E25" w:rsidP="00D65E25">
      <w:pPr>
        <w:spacing w:after="0" w:line="240" w:lineRule="auto"/>
        <w:ind w:right="709"/>
        <w:jc w:val="both"/>
        <w:rPr>
          <w:rFonts w:ascii="Verdana" w:eastAsia="Calibri" w:hAnsi="Verdana" w:cs="Times New Roman"/>
          <w:bCs/>
          <w:sz w:val="21"/>
          <w:szCs w:val="21"/>
          <w:lang w:bidi="es-ES"/>
        </w:rPr>
      </w:pPr>
    </w:p>
    <w:p w14:paraId="08AD2490" w14:textId="77777777" w:rsidR="00D65E25" w:rsidRPr="009037F6" w:rsidRDefault="00D65E25" w:rsidP="00D65E25">
      <w:pPr>
        <w:spacing w:after="120" w:line="276" w:lineRule="auto"/>
        <w:ind w:firstLine="709"/>
        <w:jc w:val="both"/>
        <w:rPr>
          <w:rFonts w:ascii="Verdana" w:eastAsia="Calibri" w:hAnsi="Verdana" w:cs="Times New Roman"/>
          <w:lang w:val="es-ES"/>
        </w:rPr>
      </w:pPr>
      <w:r w:rsidRPr="009037F6">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75606B12" w14:textId="77777777" w:rsidR="00D65E25" w:rsidRPr="009037F6" w:rsidRDefault="00D65E25" w:rsidP="00D65E25">
      <w:pPr>
        <w:spacing w:after="120" w:line="276" w:lineRule="auto"/>
        <w:ind w:firstLine="708"/>
        <w:jc w:val="both"/>
        <w:rPr>
          <w:rFonts w:ascii="Verdana" w:eastAsia="Calibri" w:hAnsi="Verdana" w:cs="Times New Roman"/>
          <w:lang w:val="es-ES"/>
        </w:rPr>
      </w:pPr>
      <w:r w:rsidRPr="009037F6">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0EF88BAD" w14:textId="77777777" w:rsidR="00D65E25" w:rsidRPr="009037F6" w:rsidRDefault="00D65E25" w:rsidP="00D65E25">
      <w:pPr>
        <w:spacing w:after="0" w:line="256" w:lineRule="auto"/>
        <w:rPr>
          <w:rFonts w:ascii="Verdana" w:eastAsia="Calibri" w:hAnsi="Verdana" w:cs="Times New Roman"/>
          <w:lang w:val="es-ES"/>
        </w:rPr>
      </w:pPr>
    </w:p>
    <w:p w14:paraId="70132251" w14:textId="77777777" w:rsidR="00D65E25" w:rsidRPr="009037F6" w:rsidRDefault="00D65E25" w:rsidP="00D65E25">
      <w:pPr>
        <w:numPr>
          <w:ilvl w:val="0"/>
          <w:numId w:val="16"/>
        </w:numPr>
        <w:spacing w:after="0" w:line="256" w:lineRule="auto"/>
        <w:contextualSpacing/>
        <w:rPr>
          <w:rFonts w:ascii="Verdana" w:eastAsia="Calibri" w:hAnsi="Verdana" w:cs="Times New Roman"/>
          <w:b/>
          <w:bCs/>
          <w:lang w:val="es-ES"/>
        </w:rPr>
      </w:pPr>
      <w:r w:rsidRPr="009037F6">
        <w:rPr>
          <w:rFonts w:ascii="Verdana" w:eastAsia="Calibri" w:hAnsi="Verdana" w:cs="Times New Roman"/>
          <w:b/>
          <w:bCs/>
          <w:lang w:val="es-ES"/>
        </w:rPr>
        <w:t>Problema planteado:</w:t>
      </w:r>
    </w:p>
    <w:p w14:paraId="29187FA7" w14:textId="77777777" w:rsidR="00D65E25" w:rsidRPr="009037F6" w:rsidRDefault="00D65E25" w:rsidP="00D65E25">
      <w:pPr>
        <w:spacing w:after="0" w:line="256" w:lineRule="auto"/>
        <w:rPr>
          <w:rFonts w:ascii="Verdana" w:eastAsia="Calibri" w:hAnsi="Verdana" w:cs="Times New Roman"/>
        </w:rPr>
      </w:pPr>
    </w:p>
    <w:p w14:paraId="2BE5F7D2" w14:textId="77777777" w:rsidR="00D65E25" w:rsidRPr="00A1357C" w:rsidRDefault="00D65E25" w:rsidP="00D65E25">
      <w:pPr>
        <w:spacing w:line="276" w:lineRule="auto"/>
        <w:jc w:val="both"/>
        <w:rPr>
          <w:rFonts w:ascii="Verdana" w:eastAsia="Calibri" w:hAnsi="Verdana" w:cs="Times New Roman"/>
          <w:iCs/>
        </w:rPr>
      </w:pPr>
      <w:r w:rsidRPr="009037F6">
        <w:rPr>
          <w:rFonts w:ascii="Verdana" w:eastAsia="Calibri" w:hAnsi="Verdana" w:cs="Times New Roman"/>
        </w:rPr>
        <w:t>De acuerdo con el contenido de sus solicitudes, esta Agencia procede a resolver los siguientes problemas jurídicos</w:t>
      </w:r>
      <w:r w:rsidRPr="009037F6">
        <w:rPr>
          <w:rFonts w:ascii="Verdana" w:eastAsia="Calibri" w:hAnsi="Verdana" w:cs="Times New Roman"/>
          <w:iCs/>
          <w:lang w:val="es-ES"/>
        </w:rPr>
        <w:t xml:space="preserve">: </w:t>
      </w:r>
      <w:r>
        <w:rPr>
          <w:rFonts w:ascii="Verdana" w:eastAsia="Calibri" w:hAnsi="Verdana" w:cs="Times New Roman"/>
          <w:iCs/>
          <w:lang w:val="es-ES"/>
        </w:rPr>
        <w:t xml:space="preserve">i) </w:t>
      </w:r>
      <w:r w:rsidRPr="001D116F">
        <w:rPr>
          <w:rFonts w:ascii="Verdana" w:eastAsia="Calibri" w:hAnsi="Verdana" w:cs="Times New Roman"/>
          <w:iCs/>
        </w:rPr>
        <w:t xml:space="preserve">¿Es </w:t>
      </w:r>
      <w:r>
        <w:rPr>
          <w:rFonts w:ascii="Verdana" w:eastAsia="Calibri" w:hAnsi="Verdana" w:cs="Times New Roman"/>
          <w:iCs/>
        </w:rPr>
        <w:t xml:space="preserve">procedente </w:t>
      </w:r>
      <w:r w:rsidRPr="001D116F">
        <w:rPr>
          <w:rFonts w:ascii="Verdana" w:eastAsia="Calibri" w:hAnsi="Verdana" w:cs="Times New Roman"/>
          <w:iCs/>
        </w:rPr>
        <w:t>activar o desarrollar mecanismos de arreglo directo durante la ejecución de un contrato estatal, incluso cuando la entidad ya ha iniciado el procedimiento administrativo sancionatorio del artículo 86 y antes de que exista decisión definitiva?</w:t>
      </w:r>
      <w:r>
        <w:rPr>
          <w:rFonts w:ascii="Verdana" w:eastAsia="Calibri" w:hAnsi="Verdana" w:cs="Times New Roman"/>
          <w:iCs/>
        </w:rPr>
        <w:t xml:space="preserve">; </w:t>
      </w:r>
      <w:proofErr w:type="spellStart"/>
      <w:r>
        <w:rPr>
          <w:rFonts w:ascii="Verdana" w:eastAsia="Calibri" w:hAnsi="Verdana" w:cs="Times New Roman"/>
          <w:iCs/>
        </w:rPr>
        <w:t>ii</w:t>
      </w:r>
      <w:proofErr w:type="spellEnd"/>
      <w:r>
        <w:rPr>
          <w:rFonts w:ascii="Verdana" w:eastAsia="Calibri" w:hAnsi="Verdana" w:cs="Times New Roman"/>
          <w:iCs/>
        </w:rPr>
        <w:t xml:space="preserve">) </w:t>
      </w:r>
      <w:r w:rsidRPr="001D7044">
        <w:rPr>
          <w:rFonts w:ascii="Verdana" w:eastAsia="Calibri" w:hAnsi="Verdana" w:cs="Times New Roman"/>
          <w:iCs/>
        </w:rPr>
        <w:t xml:space="preserve">¿Cuál </w:t>
      </w:r>
      <w:r w:rsidRPr="001D7044">
        <w:rPr>
          <w:rFonts w:ascii="Verdana" w:eastAsia="Calibri" w:hAnsi="Verdana" w:cs="Times New Roman"/>
          <w:iCs/>
        </w:rPr>
        <w:lastRenderedPageBreak/>
        <w:t>es el alcance jurídico de una solicitud de arreglo directo presentada durante el procedimiento administrativo sancionatorio del artículo 86 de la Ley 1474 de 2011, en términos de sus efectos sobre la responsabilidad contractual, la preservación del derecho de defensa y la eventual incidencia procedimental —incluida la posibilidad de suspensión, interrupción, modificación o desarrollo simultáneo del trámite sancionatorio?</w:t>
      </w:r>
      <w:r>
        <w:rPr>
          <w:rFonts w:ascii="Verdana" w:eastAsia="Calibri" w:hAnsi="Verdana" w:cs="Times New Roman"/>
          <w:iCs/>
        </w:rPr>
        <w:t xml:space="preserve">; </w:t>
      </w:r>
      <w:proofErr w:type="spellStart"/>
      <w:r>
        <w:rPr>
          <w:rFonts w:ascii="Verdana" w:eastAsia="Calibri" w:hAnsi="Verdana" w:cs="Times New Roman"/>
          <w:iCs/>
        </w:rPr>
        <w:t>iii</w:t>
      </w:r>
      <w:proofErr w:type="spellEnd"/>
      <w:r>
        <w:rPr>
          <w:rFonts w:ascii="Verdana" w:eastAsia="Calibri" w:hAnsi="Verdana" w:cs="Times New Roman"/>
          <w:iCs/>
        </w:rPr>
        <w:t xml:space="preserve">) </w:t>
      </w:r>
      <w:r w:rsidRPr="001E2F61">
        <w:rPr>
          <w:rFonts w:ascii="Verdana" w:eastAsia="Calibri" w:hAnsi="Verdana" w:cs="Times New Roman"/>
          <w:iCs/>
        </w:rPr>
        <w:t>¿Existe alguna prohibición legal que impida a la entidad analizar propuestas de arreglo directo, definir saldos económicos o considerar alternativas de solución bilateral —incluida la compensación o cruce de cuentas— mientras adelanta el procedimiento del artículo 86, sin perjuicio de su competencia para decidir sobre la declaratoria de incumplimiento o la cláusula penal?</w:t>
      </w:r>
      <w:r>
        <w:rPr>
          <w:rFonts w:ascii="Verdana" w:eastAsia="Calibri" w:hAnsi="Verdana" w:cs="Times New Roman"/>
          <w:iCs/>
        </w:rPr>
        <w:t xml:space="preserve">; </w:t>
      </w:r>
      <w:proofErr w:type="spellStart"/>
      <w:r>
        <w:rPr>
          <w:rFonts w:ascii="Verdana" w:eastAsia="Calibri" w:hAnsi="Verdana" w:cs="Times New Roman"/>
          <w:iCs/>
        </w:rPr>
        <w:t>iv</w:t>
      </w:r>
      <w:proofErr w:type="spellEnd"/>
      <w:r>
        <w:rPr>
          <w:rFonts w:ascii="Verdana" w:eastAsia="Calibri" w:hAnsi="Verdana" w:cs="Times New Roman"/>
          <w:iCs/>
        </w:rPr>
        <w:t xml:space="preserve">) </w:t>
      </w:r>
      <w:r w:rsidRPr="00381540">
        <w:rPr>
          <w:rFonts w:ascii="Verdana" w:eastAsia="Calibri" w:hAnsi="Verdana" w:cs="Times New Roman"/>
          <w:iCs/>
        </w:rPr>
        <w:t xml:space="preserve">¿En qué medida es </w:t>
      </w:r>
      <w:r>
        <w:rPr>
          <w:rFonts w:ascii="Verdana" w:eastAsia="Calibri" w:hAnsi="Verdana" w:cs="Times New Roman"/>
          <w:iCs/>
        </w:rPr>
        <w:t xml:space="preserve">procedente </w:t>
      </w:r>
      <w:r w:rsidRPr="00381540">
        <w:rPr>
          <w:rFonts w:ascii="Verdana" w:eastAsia="Calibri" w:hAnsi="Verdana" w:cs="Times New Roman"/>
          <w:iCs/>
        </w:rPr>
        <w:t>que, al finalizar un contrato de prestación de servicios profesionales, las partes acuerden directamente la definición de los saldos económicos —incluidos mecanismos como la compensación o cruce de cuentas cuando existan obligaciones recíprocas— incluso si la entidad adelanta un procedimiento para hacer efectiva una cláusula penal pecuniaria y conserva la facultad de finalizar dicho trámite sin declarar incumplimiento cuando no se acreditan los presupuestos legales para imponer la sanción?</w:t>
      </w:r>
    </w:p>
    <w:p w14:paraId="3060F813" w14:textId="77777777" w:rsidR="00D65E25" w:rsidRPr="00FF6983" w:rsidRDefault="00D65E25" w:rsidP="00D65E25">
      <w:pPr>
        <w:spacing w:after="0" w:line="276" w:lineRule="auto"/>
        <w:jc w:val="both"/>
        <w:rPr>
          <w:rFonts w:ascii="Verdana" w:eastAsia="Calibri" w:hAnsi="Verdana" w:cs="Times New Roman"/>
          <w:bCs/>
          <w:iCs/>
        </w:rPr>
      </w:pPr>
    </w:p>
    <w:p w14:paraId="1319C101" w14:textId="77777777" w:rsidR="00D65E25" w:rsidRPr="009037F6" w:rsidRDefault="00D65E25" w:rsidP="00D65E25">
      <w:pPr>
        <w:numPr>
          <w:ilvl w:val="0"/>
          <w:numId w:val="16"/>
        </w:numPr>
        <w:spacing w:after="0" w:line="256" w:lineRule="auto"/>
        <w:contextualSpacing/>
        <w:rPr>
          <w:rFonts w:ascii="Verdana" w:eastAsia="Calibri" w:hAnsi="Verdana" w:cs="Times New Roman"/>
          <w:b/>
          <w:bCs/>
          <w:lang w:val="es-ES"/>
        </w:rPr>
      </w:pPr>
      <w:r w:rsidRPr="009037F6">
        <w:rPr>
          <w:rFonts w:ascii="Verdana" w:eastAsia="Calibri" w:hAnsi="Verdana" w:cs="Times New Roman"/>
          <w:b/>
          <w:bCs/>
          <w:lang w:val="es-ES"/>
        </w:rPr>
        <w:t>Respuesta:</w:t>
      </w:r>
    </w:p>
    <w:p w14:paraId="5E0DFD82" w14:textId="77777777" w:rsidR="00D65E25" w:rsidRPr="009037F6" w:rsidRDefault="00D65E25" w:rsidP="00D65E25">
      <w:pPr>
        <w:spacing w:after="0" w:line="276" w:lineRule="auto"/>
        <w:rPr>
          <w:rFonts w:ascii="Verdana" w:eastAsia="Calibri" w:hAnsi="Verdana" w:cs="Times New Roman"/>
          <w:b/>
          <w:bCs/>
          <w:lang w:val="es-ES"/>
        </w:rPr>
      </w:pPr>
    </w:p>
    <w:tbl>
      <w:tblPr>
        <w:tblStyle w:val="Tablaconcuadrcula11"/>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D65E25" w:rsidRPr="009037F6" w14:paraId="6885CA2C" w14:textId="77777777" w:rsidTr="008545F2">
        <w:trPr>
          <w:trHeight w:val="345"/>
          <w:jc w:val="center"/>
        </w:trPr>
        <w:tc>
          <w:tcPr>
            <w:tcW w:w="8784" w:type="dxa"/>
            <w:tcBorders>
              <w:bottom w:val="single" w:sz="4" w:space="0" w:color="auto"/>
            </w:tcBorders>
          </w:tcPr>
          <w:p w14:paraId="59C33C44" w14:textId="77777777" w:rsidR="00D65E25" w:rsidRDefault="00D65E25" w:rsidP="008545F2">
            <w:pPr>
              <w:widowControl w:val="0"/>
              <w:autoSpaceDE w:val="0"/>
              <w:autoSpaceDN w:val="0"/>
              <w:spacing w:before="120" w:line="276" w:lineRule="auto"/>
              <w:jc w:val="both"/>
              <w:rPr>
                <w:rFonts w:ascii="Verdana" w:hAnsi="Verdana"/>
              </w:rPr>
            </w:pPr>
            <w:r w:rsidRPr="009037F6">
              <w:rPr>
                <w:rFonts w:ascii="Verdana" w:hAnsi="Verdana"/>
              </w:rPr>
              <w:t>En cuanto a los problemas jurídicos, objeto de consulta, se expresa lo siguiente:</w:t>
            </w:r>
          </w:p>
          <w:p w14:paraId="31EBE6F4" w14:textId="77777777" w:rsidR="00D65E25" w:rsidRPr="006D506B" w:rsidRDefault="00D65E25" w:rsidP="008545F2">
            <w:pPr>
              <w:spacing w:before="120" w:after="120" w:line="276" w:lineRule="auto"/>
              <w:jc w:val="both"/>
              <w:rPr>
                <w:rFonts w:ascii="Verdana" w:hAnsi="Verdana" w:cs="Arial"/>
                <w:b/>
                <w:bCs/>
                <w:color w:val="000000" w:themeColor="text1"/>
              </w:rPr>
            </w:pPr>
            <w:r>
              <w:rPr>
                <w:rFonts w:ascii="Verdana" w:hAnsi="Verdana" w:cs="Arial"/>
                <w:color w:val="000000" w:themeColor="text1"/>
                <w:lang w:val="es-ES"/>
              </w:rPr>
              <w:t>i.</w:t>
            </w:r>
            <w:r>
              <w:rPr>
                <w:rFonts w:ascii="Verdana" w:hAnsi="Verdana" w:cs="Arial"/>
                <w:b/>
                <w:bCs/>
                <w:color w:val="000000" w:themeColor="text1"/>
              </w:rPr>
              <w:t xml:space="preserve"> </w:t>
            </w:r>
            <w:r w:rsidRPr="006D506B">
              <w:rPr>
                <w:rFonts w:ascii="Verdana" w:hAnsi="Verdana" w:cs="Arial"/>
                <w:color w:val="000000" w:themeColor="text1"/>
              </w:rPr>
              <w:t xml:space="preserve">En relación con el </w:t>
            </w:r>
            <w:r>
              <w:rPr>
                <w:rFonts w:ascii="Verdana" w:hAnsi="Verdana" w:cs="Arial"/>
                <w:color w:val="000000" w:themeColor="text1"/>
              </w:rPr>
              <w:t>primer</w:t>
            </w:r>
            <w:r w:rsidRPr="006D506B">
              <w:rPr>
                <w:rFonts w:ascii="Verdana" w:hAnsi="Verdana" w:cs="Arial"/>
                <w:color w:val="000000" w:themeColor="text1"/>
              </w:rPr>
              <w:t xml:space="preserve"> problema jurídico, se señala que, a</w:t>
            </w:r>
            <w:r>
              <w:rPr>
                <w:rFonts w:ascii="Verdana" w:hAnsi="Verdana" w:cs="Arial"/>
                <w:color w:val="000000" w:themeColor="text1"/>
              </w:rPr>
              <w:t xml:space="preserve"> </w:t>
            </w:r>
            <w:r w:rsidRPr="006D506B">
              <w:rPr>
                <w:rFonts w:ascii="Verdana" w:hAnsi="Verdana" w:cs="Arial"/>
                <w:color w:val="000000" w:themeColor="text1"/>
              </w:rPr>
              <w:t xml:space="preserve">partir de lo expuesto sobre los mecanismos de solución directa de controversias surgidas durante la ejecución contractual, es preciso señalar que su </w:t>
            </w:r>
            <w:r>
              <w:rPr>
                <w:rFonts w:ascii="Verdana" w:hAnsi="Verdana" w:cs="Arial"/>
                <w:color w:val="000000" w:themeColor="text1"/>
              </w:rPr>
              <w:t xml:space="preserve">uso es </w:t>
            </w:r>
            <w:r w:rsidRPr="006D506B">
              <w:rPr>
                <w:rFonts w:ascii="Verdana" w:hAnsi="Verdana" w:cs="Arial"/>
                <w:color w:val="000000" w:themeColor="text1"/>
              </w:rPr>
              <w:t xml:space="preserve">posible incluso cuando la entidad ya ha iniciado el procedimiento administrativo sancionatorio previsto en el artículo 86 de la Ley 1474 de 2011. </w:t>
            </w:r>
            <w:r>
              <w:rPr>
                <w:rFonts w:ascii="Verdana" w:hAnsi="Verdana" w:cs="Arial"/>
                <w:color w:val="000000" w:themeColor="text1"/>
              </w:rPr>
              <w:t xml:space="preserve">En el Sistema de Compras Públicas </w:t>
            </w:r>
            <w:r w:rsidRPr="006D506B">
              <w:rPr>
                <w:rFonts w:ascii="Verdana" w:hAnsi="Verdana" w:cs="Arial"/>
                <w:color w:val="000000" w:themeColor="text1"/>
              </w:rPr>
              <w:t xml:space="preserve">no establece prohibición alguna para activar estos instrumentos en dicha etapa, </w:t>
            </w:r>
            <w:proofErr w:type="gramStart"/>
            <w:r w:rsidRPr="006D506B">
              <w:rPr>
                <w:rFonts w:ascii="Verdana" w:hAnsi="Verdana" w:cs="Arial"/>
                <w:color w:val="000000" w:themeColor="text1"/>
              </w:rPr>
              <w:t>y</w:t>
            </w:r>
            <w:proofErr w:type="gramEnd"/>
            <w:r w:rsidRPr="006D506B">
              <w:rPr>
                <w:rFonts w:ascii="Verdana" w:hAnsi="Verdana" w:cs="Arial"/>
                <w:color w:val="000000" w:themeColor="text1"/>
              </w:rPr>
              <w:t xml:space="preserve"> por el contrario, reconoce su utilidad para gestionar oportunamente diferencias contractuales, siempre que sean compatibles con la naturaleza del conflicto y con los intereses públicos comprometidos.</w:t>
            </w:r>
          </w:p>
          <w:p w14:paraId="4207E7D9" w14:textId="77777777" w:rsidR="00D65E25" w:rsidRPr="00AD1AEF" w:rsidRDefault="00D65E25" w:rsidP="008545F2">
            <w:pPr>
              <w:spacing w:before="120" w:after="120" w:line="276" w:lineRule="auto"/>
              <w:ind w:firstLine="709"/>
              <w:jc w:val="both"/>
              <w:rPr>
                <w:rFonts w:ascii="Verdana" w:hAnsi="Verdana" w:cs="Arial"/>
                <w:color w:val="000000" w:themeColor="text1"/>
              </w:rPr>
            </w:pPr>
            <w:r w:rsidRPr="00AD1AEF">
              <w:rPr>
                <w:rFonts w:ascii="Verdana" w:hAnsi="Verdana" w:cs="Arial"/>
                <w:color w:val="000000" w:themeColor="text1"/>
              </w:rPr>
              <w:lastRenderedPageBreak/>
              <w:t>La existencia de un trámite sancionatorio en curso no impide que las partes exploren alternativas de arreglo directo, ni supone renuncia a las potestades administrativas de la entidad. Estos mecanismos se integran dentro de la gestión contractual como herramientas complementarias que pueden contribuir a la prevención de controversias mayores y a la adecuada terminación del contrato, sin afectar la competencia de la administración para adoptar la decisión sancionatoria correspondiente.</w:t>
            </w:r>
          </w:p>
          <w:p w14:paraId="44563511" w14:textId="77777777" w:rsidR="00D65E25" w:rsidRPr="00AD1AEF" w:rsidRDefault="00D65E25" w:rsidP="008545F2">
            <w:pPr>
              <w:spacing w:before="120" w:after="120" w:line="276" w:lineRule="auto"/>
              <w:ind w:firstLine="709"/>
              <w:jc w:val="both"/>
              <w:rPr>
                <w:rFonts w:ascii="Verdana" w:hAnsi="Verdana" w:cs="Arial"/>
                <w:color w:val="000000" w:themeColor="text1"/>
              </w:rPr>
            </w:pPr>
            <w:r w:rsidRPr="00AD1AEF">
              <w:rPr>
                <w:rFonts w:ascii="Verdana" w:hAnsi="Verdana" w:cs="Arial"/>
                <w:color w:val="000000" w:themeColor="text1"/>
              </w:rPr>
              <w:t xml:space="preserve">En línea con lo anterior, la </w:t>
            </w:r>
            <w:r>
              <w:rPr>
                <w:rFonts w:ascii="Verdana" w:hAnsi="Verdana" w:cs="Arial"/>
                <w:color w:val="000000" w:themeColor="text1"/>
              </w:rPr>
              <w:t>“</w:t>
            </w:r>
            <w:r w:rsidRPr="00AD1AEF">
              <w:rPr>
                <w:rFonts w:ascii="Verdana" w:hAnsi="Verdana" w:cs="Arial"/>
                <w:i/>
                <w:iCs/>
                <w:color w:val="000000" w:themeColor="text1"/>
              </w:rPr>
              <w:t>Guía para adelantar el Proceso Administrativo Sancionatorio Contractual</w:t>
            </w:r>
            <w:r>
              <w:rPr>
                <w:rFonts w:ascii="Verdana" w:hAnsi="Verdana" w:cs="Arial"/>
                <w:i/>
                <w:iCs/>
                <w:color w:val="000000" w:themeColor="text1"/>
              </w:rPr>
              <w:t xml:space="preserve">” </w:t>
            </w:r>
            <w:r w:rsidRPr="00AD1AEF">
              <w:rPr>
                <w:rFonts w:ascii="Verdana" w:hAnsi="Verdana" w:cs="Arial"/>
                <w:color w:val="000000" w:themeColor="text1"/>
              </w:rPr>
              <w:t>de esta Agencia recomienda que la entidad valore previo al inicio del procedimiento sancionatorio si las circunstancias del caso permiten acudir a mecanismos alternativos de solución de controversias. Instrumentos como el arreglo directo, la negociación asistida o las mesas técnicas pueden prevenir la escalada del conflicto, favorecer la continuidad del contrato y facilitar una terminación adecuada de las obligaciones, siempre que resulten compatibles con los intereses públicos y con el marco jurídico aplicable.</w:t>
            </w:r>
          </w:p>
          <w:p w14:paraId="3A3EA0B9" w14:textId="77777777" w:rsidR="00D65E25" w:rsidRDefault="00D65E25" w:rsidP="008545F2">
            <w:pPr>
              <w:spacing w:before="120" w:after="120" w:line="276" w:lineRule="auto"/>
              <w:jc w:val="both"/>
              <w:rPr>
                <w:rFonts w:ascii="Verdana" w:hAnsi="Verdana" w:cs="Arial"/>
                <w:color w:val="000000" w:themeColor="text1"/>
              </w:rPr>
            </w:pPr>
            <w:proofErr w:type="spellStart"/>
            <w:r w:rsidRPr="00834F4E">
              <w:rPr>
                <w:rFonts w:ascii="Verdana" w:hAnsi="Verdana" w:cs="Arial"/>
                <w:color w:val="000000" w:themeColor="text1"/>
              </w:rPr>
              <w:t>ii</w:t>
            </w:r>
            <w:proofErr w:type="spellEnd"/>
            <w:r w:rsidRPr="00834F4E">
              <w:rPr>
                <w:rFonts w:ascii="Verdana" w:hAnsi="Verdana" w:cs="Arial"/>
                <w:color w:val="000000" w:themeColor="text1"/>
              </w:rPr>
              <w:t>. En torno al segundo problema jurídico, se señala que, aunque lo aconsejable es activar los mecanismos de solución directa antes de iniciar el procedimiento sancionatorio, ello no significa que la entidad esté jurídicamente impedida para considerarlos durante su desarrollo. La utilización de espacios de diálogo no implica renuncia a las potestades sancionatorias ni afecta la competencia de la administración para adoptar la decisión que corresponda. Se trata de instrumentos complementarios que permiten explorar soluciones eficientes y evitar litigios innecesarios.</w:t>
            </w:r>
          </w:p>
          <w:p w14:paraId="0FA8A0FE" w14:textId="77777777" w:rsidR="00D65E25" w:rsidRPr="00AB56CB" w:rsidRDefault="00D65E25" w:rsidP="008545F2">
            <w:pPr>
              <w:spacing w:before="120" w:after="120" w:line="276" w:lineRule="auto"/>
              <w:ind w:firstLine="709"/>
              <w:jc w:val="both"/>
              <w:rPr>
                <w:rFonts w:ascii="Verdana" w:hAnsi="Verdana" w:cs="Arial"/>
                <w:color w:val="000000" w:themeColor="text1"/>
              </w:rPr>
            </w:pPr>
            <w:r w:rsidRPr="00834F4E">
              <w:rPr>
                <w:rFonts w:ascii="Verdana" w:hAnsi="Verdana" w:cs="Arial"/>
                <w:color w:val="000000" w:themeColor="text1"/>
              </w:rPr>
              <w:t>La</w:t>
            </w:r>
            <w:r>
              <w:rPr>
                <w:rFonts w:ascii="Verdana" w:hAnsi="Verdana" w:cs="Arial"/>
                <w:color w:val="000000" w:themeColor="text1"/>
              </w:rPr>
              <w:t xml:space="preserve"> </w:t>
            </w:r>
            <w:r w:rsidRPr="00962D57">
              <w:rPr>
                <w:rFonts w:ascii="Verdana" w:hAnsi="Verdana" w:cs="Arial"/>
                <w:i/>
                <w:iCs/>
                <w:color w:val="000000" w:themeColor="text1"/>
              </w:rPr>
              <w:t>“Guía para adelantar el Proceso Administrativo Sancionatorio Contractual”</w:t>
            </w:r>
            <w:r>
              <w:rPr>
                <w:rFonts w:ascii="Verdana" w:hAnsi="Verdana" w:cs="Arial"/>
                <w:color w:val="000000" w:themeColor="text1"/>
              </w:rPr>
              <w:t xml:space="preserve"> de esta Agencia </w:t>
            </w:r>
            <w:r w:rsidRPr="00834F4E">
              <w:rPr>
                <w:rFonts w:ascii="Verdana" w:hAnsi="Verdana" w:cs="Arial"/>
                <w:color w:val="000000" w:themeColor="text1"/>
              </w:rPr>
              <w:t xml:space="preserve">señala que la activación de mecanismos de solución directa no </w:t>
            </w:r>
            <w:r>
              <w:rPr>
                <w:rFonts w:ascii="Verdana" w:hAnsi="Verdana" w:cs="Arial"/>
                <w:color w:val="000000" w:themeColor="text1"/>
              </w:rPr>
              <w:t xml:space="preserve">implica una renuncia a seguir adelantando </w:t>
            </w:r>
            <w:r w:rsidRPr="00834F4E">
              <w:rPr>
                <w:rFonts w:ascii="Verdana" w:hAnsi="Verdana" w:cs="Arial"/>
                <w:color w:val="000000" w:themeColor="text1"/>
              </w:rPr>
              <w:t>el procedimiento sancionatorio. Por tanto, ambos pueden desarrollarse simultáneamente, sin perjuicio de que la entidad continúe valorando las pruebas, los argumentos y las alternativas de solución presentadas por el contratista. La coexistencia de ambos procesos no afecta la validez del trámite</w:t>
            </w:r>
            <w:r w:rsidRPr="00AB56CB">
              <w:rPr>
                <w:rFonts w:ascii="Verdana" w:hAnsi="Verdana" w:cs="Arial"/>
                <w:color w:val="000000" w:themeColor="text1"/>
              </w:rPr>
              <w:t xml:space="preserve"> sancionatorio ni limita la autonomía decisoria de la administración.</w:t>
            </w:r>
          </w:p>
          <w:p w14:paraId="5334E433" w14:textId="77777777" w:rsidR="00D65E25" w:rsidRPr="00AB56CB" w:rsidRDefault="00D65E25" w:rsidP="008545F2">
            <w:pPr>
              <w:spacing w:before="120" w:after="120" w:line="276" w:lineRule="auto"/>
              <w:ind w:firstLine="709"/>
              <w:jc w:val="both"/>
              <w:rPr>
                <w:rFonts w:ascii="Verdana" w:hAnsi="Verdana" w:cs="Arial"/>
                <w:color w:val="000000" w:themeColor="text1"/>
              </w:rPr>
            </w:pPr>
            <w:r w:rsidRPr="00AB56CB">
              <w:rPr>
                <w:rFonts w:ascii="Verdana" w:hAnsi="Verdana" w:cs="Arial"/>
                <w:color w:val="000000" w:themeColor="text1"/>
              </w:rPr>
              <w:t xml:space="preserve">En consecuencia, la entidad conserva plena competencia para determinar si existe o no incumplimiento y, de ser procedente, imponer la </w:t>
            </w:r>
            <w:r w:rsidRPr="00AB56CB">
              <w:rPr>
                <w:rFonts w:ascii="Verdana" w:hAnsi="Verdana" w:cs="Arial"/>
                <w:color w:val="000000" w:themeColor="text1"/>
              </w:rPr>
              <w:lastRenderedPageBreak/>
              <w:t>sanción correspondiente. La gestión de mecanismos de solución directa durante el trámite sancionatorio no altera la estructura del procedimiento ni condiciona su resultado, sino que constituye una herramienta adicional para promover soluciones oportunas y evitar la judicialización de controversias contractuales.</w:t>
            </w:r>
            <w:r w:rsidRPr="00CC4AA4">
              <w:rPr>
                <w:rFonts w:ascii="Verdana" w:hAnsi="Verdana" w:cs="Arial"/>
                <w:color w:val="000000" w:themeColor="text1"/>
              </w:rPr>
              <w:t xml:space="preserve"> </w:t>
            </w:r>
            <w:r w:rsidRPr="00FC0D69">
              <w:rPr>
                <w:rFonts w:ascii="Verdana" w:hAnsi="Verdana" w:cs="Arial"/>
                <w:color w:val="000000" w:themeColor="text1"/>
              </w:rPr>
              <w:t>La presentación de una propuesta de arreglo directo durante el trámite del artículo 86 no constituye reconocimiento del incumplimiento ni aceptación de responsabilidad, y no comporta renuncia al derecho de defensa, el cual se conserva íntegro hasta la decisión definitiva. Las partes pueden, si lo estiman conveniente, dejar constancia expresa de que la propuesta se formula sin aceptación de responsabilidad.</w:t>
            </w:r>
          </w:p>
          <w:p w14:paraId="2F234DA6" w14:textId="77777777" w:rsidR="00D65E25" w:rsidRPr="00684A93" w:rsidRDefault="00D65E25" w:rsidP="008545F2">
            <w:pPr>
              <w:spacing w:before="120" w:after="120" w:line="276" w:lineRule="auto"/>
              <w:jc w:val="both"/>
              <w:rPr>
                <w:rFonts w:ascii="Verdana" w:hAnsi="Verdana" w:cs="Arial"/>
                <w:color w:val="000000" w:themeColor="text1"/>
              </w:rPr>
            </w:pPr>
            <w:proofErr w:type="spellStart"/>
            <w:r w:rsidRPr="00684A93">
              <w:rPr>
                <w:rFonts w:ascii="Verdana" w:hAnsi="Verdana" w:cs="Arial"/>
                <w:color w:val="000000" w:themeColor="text1"/>
              </w:rPr>
              <w:t>iii</w:t>
            </w:r>
            <w:proofErr w:type="spellEnd"/>
            <w:r w:rsidRPr="00684A93">
              <w:rPr>
                <w:rFonts w:ascii="Verdana" w:hAnsi="Verdana" w:cs="Arial"/>
                <w:color w:val="000000" w:themeColor="text1"/>
              </w:rPr>
              <w:t>. Con respecto al tercer problema jurídico, se precisa que no existe en el Sistema de Compras Públicas ninguna prohibición legal que impida a la entidad analizar propuestas de arreglo directo, estudiar la definición de saldos económicos o considerar alternativas de solución bilateral —incluida la compensación o cruce de cuentas— mientras adelanta el procedimiento sancionatorio del artículo 86 de la Ley 1474 de 2011. La normativa permite que estos mecanismos se activen en cualquier momento de la ejecución contractual, siempre que respeten los principios de la contratación estatal.</w:t>
            </w:r>
          </w:p>
          <w:p w14:paraId="786699F7" w14:textId="77777777" w:rsidR="00D65E25" w:rsidRPr="00684A93" w:rsidRDefault="00D65E25" w:rsidP="008545F2">
            <w:pPr>
              <w:spacing w:before="120" w:after="120" w:line="276" w:lineRule="auto"/>
              <w:ind w:firstLine="709"/>
              <w:jc w:val="both"/>
              <w:rPr>
                <w:rFonts w:ascii="Verdana" w:hAnsi="Verdana" w:cs="Arial"/>
                <w:color w:val="000000" w:themeColor="text1"/>
              </w:rPr>
            </w:pPr>
            <w:r w:rsidRPr="00684A93">
              <w:rPr>
                <w:rFonts w:ascii="Verdana" w:hAnsi="Verdana" w:cs="Arial"/>
                <w:color w:val="000000" w:themeColor="text1"/>
              </w:rPr>
              <w:t>La activación de estos instrumentos no limita el ejercicio de la potestad sancionatoria ni afecta la competencia de la entidad para decidir sobre la declaratoria de incumplimiento y, de ser procedente, imponer multa, cláusula penal pecuniaria o caducidad. La coexistencia entre el trámite sancionatorio y la gestión de soluciones directas es plenamente compatible, en tanto cada actuación conserva su naturaleza y finalidad propias.</w:t>
            </w:r>
            <w:r>
              <w:rPr>
                <w:rFonts w:ascii="Verdana" w:hAnsi="Verdana" w:cs="Arial"/>
                <w:color w:val="000000" w:themeColor="text1"/>
              </w:rPr>
              <w:t xml:space="preserve"> </w:t>
            </w:r>
            <w:r w:rsidRPr="00684A93">
              <w:rPr>
                <w:rFonts w:ascii="Verdana" w:hAnsi="Verdana" w:cs="Arial"/>
                <w:color w:val="000000" w:themeColor="text1"/>
              </w:rPr>
              <w:t>En suma, los mecanismos de solución de controversias son instrumentos complementarios que pueden contribuir a una gestión contractual más eficiente, sin alterar el curso ni la validez del procedimiento sancionatorio en curso. Su utilización permite explorar alternativas de cierre económico y técnico del contrato, sin afectar la autonomía de la administración para adoptar la decisión sancionatoria correspondiente.</w:t>
            </w:r>
          </w:p>
          <w:p w14:paraId="132D8F92" w14:textId="77777777" w:rsidR="00D65E25" w:rsidRPr="00FA0020" w:rsidRDefault="00D65E25" w:rsidP="008545F2">
            <w:pPr>
              <w:spacing w:before="120" w:after="120" w:line="276" w:lineRule="auto"/>
              <w:jc w:val="both"/>
              <w:rPr>
                <w:rFonts w:ascii="Verdana" w:hAnsi="Verdana" w:cs="Arial"/>
                <w:color w:val="000000" w:themeColor="text1"/>
              </w:rPr>
            </w:pPr>
            <w:proofErr w:type="spellStart"/>
            <w:r w:rsidRPr="00FA0020">
              <w:rPr>
                <w:rFonts w:ascii="Verdana" w:hAnsi="Verdana" w:cs="Arial"/>
                <w:color w:val="000000" w:themeColor="text1"/>
              </w:rPr>
              <w:t>iv</w:t>
            </w:r>
            <w:proofErr w:type="spellEnd"/>
            <w:r w:rsidRPr="00FA0020">
              <w:rPr>
                <w:rFonts w:ascii="Verdana" w:hAnsi="Verdana" w:cs="Arial"/>
                <w:color w:val="000000" w:themeColor="text1"/>
              </w:rPr>
              <w:t xml:space="preserve">. En relación con el cuarto problema jurídico, se señala que, cuando la entidad concluye dentro del procedimiento sancionatorio que no es procedente declarar el incumplimiento, resulta procedente gestionar mecanismos de solución directa para definir los aspectos económicos pendientes del contrato. </w:t>
            </w:r>
            <w:r w:rsidRPr="00FA0020">
              <w:rPr>
                <w:rFonts w:ascii="Verdana" w:hAnsi="Verdana" w:cs="Arial"/>
                <w:color w:val="000000" w:themeColor="text1"/>
              </w:rPr>
              <w:lastRenderedPageBreak/>
              <w:t>Los acuerdos bilaterales sobre saldos, compensaciones o cruces de cuentas son plenamente admisibles, siempre que respeten los principios de la contratación estatal y no comprometan los intereses públicos. La autonomía de la voluntad permite adoptar este tipo de acuerdos sin interferir con la competencia de la entidad para cerrar el trámite sancionatorio sin declarar incumplimiento.</w:t>
            </w:r>
          </w:p>
          <w:p w14:paraId="55E98AD0" w14:textId="77777777" w:rsidR="00D65E25" w:rsidRPr="00FA0020" w:rsidRDefault="00D65E25" w:rsidP="008545F2">
            <w:pPr>
              <w:spacing w:before="120" w:after="120" w:line="276" w:lineRule="auto"/>
              <w:ind w:firstLine="709"/>
              <w:jc w:val="both"/>
              <w:rPr>
                <w:rFonts w:ascii="Verdana" w:hAnsi="Verdana" w:cs="Arial"/>
                <w:color w:val="000000" w:themeColor="text1"/>
              </w:rPr>
            </w:pPr>
            <w:r w:rsidRPr="00FA0020">
              <w:rPr>
                <w:rFonts w:ascii="Verdana" w:hAnsi="Verdana" w:cs="Arial"/>
                <w:color w:val="000000" w:themeColor="text1"/>
              </w:rPr>
              <w:t xml:space="preserve">En los contratos de prestación de servicios profesionales —que no requieren liquidación obligatoria según el artículo 60 de la Ley 80 de 1993— las partes pueden definir saldos mediante </w:t>
            </w:r>
            <w:r>
              <w:rPr>
                <w:rFonts w:ascii="Verdana" w:hAnsi="Verdana" w:cs="Arial"/>
                <w:color w:val="000000" w:themeColor="text1"/>
              </w:rPr>
              <w:t xml:space="preserve">conciliaciones, </w:t>
            </w:r>
            <w:r w:rsidRPr="00FA0020">
              <w:rPr>
                <w:rFonts w:ascii="Verdana" w:hAnsi="Verdana" w:cs="Arial"/>
                <w:color w:val="000000" w:themeColor="text1"/>
              </w:rPr>
              <w:t>transacciones o incluso mediante una liquidación cuando esta resulte necesaria. Aunque la norma excluye estos contratos de la obligación de liquidar, ello no impide que la entidad evalúe si, dadas las particularidades del caso —como la existencia de recursos no ejecutados o la necesidad de ajustar cuentas— es pertinente proceder con una liquidación para realizar el balance económico, técnico y jurídico del cumplimiento contractual.</w:t>
            </w:r>
          </w:p>
          <w:p w14:paraId="7B7F1EEE" w14:textId="77777777" w:rsidR="00D65E25" w:rsidRDefault="00D65E25" w:rsidP="008545F2">
            <w:pPr>
              <w:spacing w:before="120" w:after="120" w:line="276" w:lineRule="auto"/>
              <w:ind w:firstLine="709"/>
              <w:jc w:val="both"/>
              <w:rPr>
                <w:rFonts w:ascii="Verdana" w:hAnsi="Verdana" w:cs="Arial"/>
                <w:color w:val="000000" w:themeColor="text1"/>
              </w:rPr>
            </w:pPr>
            <w:r w:rsidRPr="00FA0020">
              <w:rPr>
                <w:rFonts w:ascii="Verdana" w:hAnsi="Verdana" w:cs="Arial"/>
                <w:color w:val="000000" w:themeColor="text1"/>
              </w:rPr>
              <w:t>La determinación de si un contrato “requiere” liquidación constituye un concepto jurídico indeterminado que debe precisarse en cada caso, atendiendo a la naturaleza, objeto, plazo y circunstancias de ejecución. La doctrina ha señalado que la liquidación es necesaria cuando, al finalizar el contrato, existe duda sobre el cumplimiento de las prestaciones o subsisten obligaciones pendientes a favor del contratista o de la entidad. Por ello, incluso en contratos de prestación de servicios profesionales, la entidad debe revisar si la existencia de saldos por liberar o ajustes económicos pendientes exige acudir a la liquidación para garantizar un cierre contractual adecuado y transparente.</w:t>
            </w:r>
          </w:p>
          <w:p w14:paraId="56D29AB4" w14:textId="77777777" w:rsidR="00D65E25" w:rsidRPr="005B7C68" w:rsidRDefault="00D65E25" w:rsidP="008545F2">
            <w:pPr>
              <w:spacing w:line="276" w:lineRule="auto"/>
              <w:ind w:firstLine="709"/>
              <w:jc w:val="both"/>
              <w:rPr>
                <w:rFonts w:ascii="Verdana" w:hAnsi="Verdana" w:cs="Arial"/>
                <w:lang w:val="es-ES" w:eastAsia="es-ES"/>
              </w:rPr>
            </w:pPr>
            <w:r w:rsidRPr="009037F6">
              <w:rPr>
                <w:rFonts w:ascii="Verdana" w:hAnsi="Verdana" w:cs="Arial"/>
                <w:lang w:val="es-ES"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6FA9F191" w14:textId="77777777" w:rsidR="00D65E25" w:rsidRPr="009037F6" w:rsidRDefault="00D65E25" w:rsidP="00D65E25">
      <w:pPr>
        <w:spacing w:after="0" w:line="276" w:lineRule="auto"/>
        <w:jc w:val="both"/>
        <w:rPr>
          <w:rFonts w:ascii="Verdana" w:eastAsia="Calibri" w:hAnsi="Verdana" w:cs="Arial"/>
          <w:bCs/>
          <w:color w:val="000000" w:themeColor="text1"/>
        </w:rPr>
      </w:pPr>
    </w:p>
    <w:p w14:paraId="65A543FB" w14:textId="77777777" w:rsidR="00D65E25" w:rsidRPr="009037F6" w:rsidRDefault="00D65E25" w:rsidP="00D65E25">
      <w:pPr>
        <w:numPr>
          <w:ilvl w:val="0"/>
          <w:numId w:val="16"/>
        </w:numPr>
        <w:tabs>
          <w:tab w:val="left" w:pos="2268"/>
        </w:tabs>
        <w:spacing w:after="0" w:line="256" w:lineRule="auto"/>
        <w:rPr>
          <w:rFonts w:ascii="Verdana" w:eastAsia="Calibri" w:hAnsi="Verdana" w:cs="Times New Roman"/>
          <w:b/>
          <w:bCs/>
          <w:lang w:val="es-ES"/>
        </w:rPr>
      </w:pPr>
      <w:r w:rsidRPr="009037F6">
        <w:rPr>
          <w:rFonts w:ascii="Verdana" w:eastAsia="Calibri" w:hAnsi="Verdana" w:cs="Times New Roman"/>
          <w:b/>
          <w:bCs/>
          <w:lang w:val="es-ES"/>
        </w:rPr>
        <w:t>Razones de la respuesta:</w:t>
      </w:r>
    </w:p>
    <w:p w14:paraId="102DDB37" w14:textId="77777777" w:rsidR="00D65E25" w:rsidRPr="009037F6" w:rsidRDefault="00D65E25" w:rsidP="00D65E25">
      <w:pPr>
        <w:spacing w:after="0" w:line="256" w:lineRule="auto"/>
        <w:rPr>
          <w:rFonts w:ascii="Verdana" w:eastAsia="Calibri" w:hAnsi="Verdana" w:cs="Times New Roman"/>
          <w:b/>
          <w:bCs/>
          <w:lang w:val="es-ES"/>
        </w:rPr>
      </w:pPr>
    </w:p>
    <w:p w14:paraId="4A3F7717" w14:textId="77777777" w:rsidR="00D65E25" w:rsidRDefault="00D65E25" w:rsidP="00D65E25">
      <w:pPr>
        <w:spacing w:after="0" w:line="276" w:lineRule="auto"/>
        <w:jc w:val="both"/>
        <w:rPr>
          <w:rFonts w:ascii="Verdana" w:eastAsia="Calibri" w:hAnsi="Verdana" w:cs="Arial"/>
          <w:lang w:val="es-ES"/>
        </w:rPr>
      </w:pPr>
      <w:r w:rsidRPr="009037F6">
        <w:rPr>
          <w:rFonts w:ascii="Verdana" w:eastAsia="Calibri" w:hAnsi="Verdana" w:cs="Arial"/>
          <w:lang w:val="es-ES"/>
        </w:rPr>
        <w:t>Lo anterior se sustenta en las siguientes consideraciones:</w:t>
      </w:r>
    </w:p>
    <w:p w14:paraId="7FC88A57" w14:textId="77777777" w:rsidR="00D65E25" w:rsidRPr="009037F6" w:rsidRDefault="00D65E25" w:rsidP="00D65E25">
      <w:pPr>
        <w:spacing w:after="0" w:line="276" w:lineRule="auto"/>
        <w:jc w:val="both"/>
        <w:rPr>
          <w:rFonts w:ascii="Verdana" w:eastAsia="Calibri" w:hAnsi="Verdana" w:cs="Arial"/>
          <w:lang w:val="es-ES"/>
        </w:rPr>
      </w:pPr>
    </w:p>
    <w:p w14:paraId="4B701567" w14:textId="77777777" w:rsidR="00D65E25" w:rsidRPr="0032313B" w:rsidRDefault="00D65E25" w:rsidP="00D65E25">
      <w:pPr>
        <w:spacing w:before="120" w:after="120" w:line="276" w:lineRule="auto"/>
        <w:jc w:val="both"/>
        <w:rPr>
          <w:rFonts w:ascii="Verdana" w:eastAsia="Times New Roman" w:hAnsi="Verdana" w:cs="Arial"/>
          <w:lang w:val="es-ES" w:eastAsia="es-ES"/>
          <w14:ligatures w14:val="standardContextual"/>
        </w:rPr>
      </w:pPr>
      <w:bookmarkStart w:id="1" w:name="_Hlk78820161"/>
      <w:r>
        <w:rPr>
          <w:rFonts w:ascii="Verdana" w:eastAsia="Times New Roman" w:hAnsi="Verdana" w:cs="Arial"/>
          <w:lang w:val="es-ES"/>
        </w:rPr>
        <w:t>i</w:t>
      </w:r>
      <w:r w:rsidRPr="0032313B">
        <w:rPr>
          <w:rFonts w:ascii="Verdana" w:eastAsia="Times New Roman" w:hAnsi="Verdana" w:cs="Arial"/>
          <w:lang w:val="es-ES"/>
        </w:rPr>
        <w:t xml:space="preserve">. </w:t>
      </w:r>
      <w:r w:rsidRPr="0032313B">
        <w:rPr>
          <w:rFonts w:ascii="Verdana" w:eastAsia="Times New Roman" w:hAnsi="Verdana" w:cs="Arial"/>
          <w:lang w:val="es-ES" w:eastAsia="es-ES"/>
          <w14:ligatures w14:val="standardContextual"/>
        </w:rPr>
        <w:t xml:space="preserve">Durante la ejecución de los contratos, las Entidades Estatales sometidas al Estatuto General de Contratación de la Administración Pública –en adelante EGCAP– usualmente cuentan con distintas potestades exorbitantes o excepcionales, con base en las cuales ejercen la dirección general del contrato y realizan las actividades propias de vigilancia y control. Entre dichas potestades se encuentran: a) Las cláusulas excepcionales del </w:t>
      </w:r>
      <w:r w:rsidRPr="0032313B">
        <w:rPr>
          <w:rFonts w:ascii="Verdana" w:eastAsia="Times New Roman" w:hAnsi="Verdana" w:cs="Arial"/>
          <w:i/>
          <w:iCs/>
          <w:lang w:val="es-ES" w:eastAsia="es-ES"/>
          <w14:ligatures w14:val="standardContextual"/>
        </w:rPr>
        <w:t>artículo 14</w:t>
      </w:r>
      <w:r w:rsidRPr="0032313B">
        <w:rPr>
          <w:rFonts w:ascii="Verdana" w:eastAsia="Times New Roman" w:hAnsi="Verdana" w:cs="Arial"/>
          <w:lang w:val="es-ES" w:eastAsia="es-ES"/>
          <w14:ligatures w14:val="standardContextual"/>
        </w:rPr>
        <w:t xml:space="preserve"> de la Ley 80 de 1993, concepto que incluye la terminación unilateral, la interpretación unilateral, la modificación unilateral, la caducidad y la reversión. Dichas prerrogativas se desarrollan en los artículos 15 a 19 </w:t>
      </w:r>
      <w:r w:rsidRPr="0032313B">
        <w:rPr>
          <w:rFonts w:ascii="Verdana" w:eastAsia="Times New Roman" w:hAnsi="Verdana" w:cs="Arial"/>
          <w:i/>
          <w:iCs/>
          <w:lang w:val="es-ES" w:eastAsia="es-ES"/>
          <w14:ligatures w14:val="standardContextual"/>
        </w:rPr>
        <w:t>ibidem</w:t>
      </w:r>
      <w:r w:rsidRPr="0032313B">
        <w:rPr>
          <w:rFonts w:ascii="Verdana" w:eastAsia="Times New Roman" w:hAnsi="Verdana" w:cs="Arial"/>
          <w:lang w:val="es-ES" w:eastAsia="es-ES"/>
          <w14:ligatures w14:val="standardContextual"/>
        </w:rPr>
        <w:t xml:space="preserve">; b) Las cláusulas excepcionales de </w:t>
      </w:r>
      <w:r w:rsidRPr="0032313B">
        <w:rPr>
          <w:rFonts w:ascii="Verdana" w:eastAsia="Times New Roman" w:hAnsi="Verdana" w:cs="Arial"/>
          <w:i/>
          <w:iCs/>
          <w:lang w:val="es-ES" w:eastAsia="es-ES"/>
          <w14:ligatures w14:val="standardContextual"/>
        </w:rPr>
        <w:t>imposición unilateral de las cláusulas penales y de multas</w:t>
      </w:r>
      <w:r w:rsidRPr="0032313B">
        <w:rPr>
          <w:rFonts w:ascii="Verdana" w:eastAsia="Times New Roman" w:hAnsi="Verdana" w:cs="Arial"/>
          <w:lang w:val="es-ES" w:eastAsia="es-ES"/>
          <w14:ligatures w14:val="standardContextual"/>
        </w:rPr>
        <w:t xml:space="preserve">, según lo establecido en el artículo 17 de la Ley 1150 de 2007. En este caso su exorbitancia se refiere a la facultad de imposición unilateral, no a su pacto, que es posible en virtud de las normas civiles y comerciales; c) Las potestades establecidas en otras disposiciones como la liquidación unilateral y la </w:t>
      </w:r>
      <w:r w:rsidRPr="0032313B">
        <w:rPr>
          <w:rFonts w:ascii="Verdana" w:eastAsia="Times New Roman" w:hAnsi="Verdana" w:cs="Arial"/>
          <w:i/>
          <w:iCs/>
          <w:lang w:val="es-ES" w:eastAsia="es-ES"/>
          <w14:ligatures w14:val="standardContextual"/>
        </w:rPr>
        <w:t>declaratoria unilateral del siniestro</w:t>
      </w:r>
      <w:r w:rsidRPr="0032313B">
        <w:rPr>
          <w:rFonts w:ascii="Verdana" w:eastAsia="Times New Roman" w:hAnsi="Verdana" w:cs="Arial"/>
          <w:lang w:val="es-ES" w:eastAsia="es-ES"/>
          <w14:ligatures w14:val="standardContextual"/>
        </w:rPr>
        <w:t xml:space="preserve"> –artículos 7 y 11 de la Ley 1150 de 2007–.</w:t>
      </w:r>
    </w:p>
    <w:p w14:paraId="25F1FC8B" w14:textId="77777777" w:rsidR="00D65E25" w:rsidRPr="0032313B" w:rsidRDefault="00D65E25" w:rsidP="00D65E25">
      <w:pPr>
        <w:spacing w:before="120" w:after="120" w:line="276" w:lineRule="auto"/>
        <w:ind w:firstLine="709"/>
        <w:jc w:val="both"/>
        <w:rPr>
          <w:rFonts w:ascii="Verdana" w:eastAsia="Times New Roman" w:hAnsi="Verdana" w:cs="Arial"/>
          <w:iCs/>
          <w:lang w:val="es-ES"/>
        </w:rPr>
      </w:pPr>
      <w:r w:rsidRPr="0032313B">
        <w:rPr>
          <w:rFonts w:ascii="Verdana" w:eastAsia="Times New Roman" w:hAnsi="Verdana" w:cs="Arial"/>
          <w:iCs/>
          <w:lang w:val="es-ES"/>
        </w:rPr>
        <w:t xml:space="preserve">Las primeras, esto es, las cláusulas excepcionales del artículo 14 de la Ley 80 de 1993, son estipulaciones virtuales y obligatorias en los contratos de concesión, obra, prestación de servicios públicos, aquellos que tengan por objeto el ejercicio de una actividad que constituya monopolio estatal </w:t>
      </w:r>
      <w:r w:rsidRPr="0032313B">
        <w:rPr>
          <w:rFonts w:ascii="Verdana" w:eastAsia="Times New Roman" w:hAnsi="Verdana" w:cs="Arial"/>
          <w:lang w:val="es-ES"/>
        </w:rPr>
        <w:t>y los relacionados con el programa de alimentación escolar –según lo dispuso la modificación del artículo 52 de la Ley 2195 de 2022–</w:t>
      </w:r>
      <w:r w:rsidRPr="0032313B">
        <w:rPr>
          <w:rFonts w:ascii="Verdana" w:eastAsia="Times New Roman" w:hAnsi="Verdana" w:cs="Arial"/>
          <w:iCs/>
          <w:lang w:val="es-ES"/>
        </w:rPr>
        <w:t>. En tales contratos, sin importar si se incorporaron o no dentro de estos, las cláusulas excepcionales se entienden incluidas por el ministerio de la ley, como lo dispone el artículo 14 de la Ley 80 de 1993.</w:t>
      </w:r>
    </w:p>
    <w:p w14:paraId="4F721818" w14:textId="77777777" w:rsidR="00D65E25" w:rsidRPr="0032313B" w:rsidRDefault="00D65E25" w:rsidP="00D65E25">
      <w:pPr>
        <w:spacing w:before="120" w:after="120" w:line="276" w:lineRule="auto"/>
        <w:ind w:firstLine="709"/>
        <w:jc w:val="both"/>
        <w:rPr>
          <w:rFonts w:ascii="Verdana" w:hAnsi="Verdana" w:cs="Arial"/>
          <w:iCs/>
          <w:lang w:val="es-ES"/>
        </w:rPr>
      </w:pPr>
      <w:r w:rsidRPr="0032313B">
        <w:rPr>
          <w:rFonts w:ascii="Verdana" w:eastAsia="Times New Roman" w:hAnsi="Verdana" w:cs="Arial"/>
          <w:lang w:val="es-ES" w:eastAsia="es-ES"/>
          <w14:ligatures w14:val="standardContextual"/>
        </w:rPr>
        <w:t xml:space="preserve">Frente al segundo y tercer supuesto, la Administración cuenta con la facultad exorbitante de declarar unilateralmente el siniestro, imponer multas y hacer exigible la cláusula penal. El ejercicio de estas potestades se materializa mediante la expedición de un acto administrativo, producto del procedimiento establecido en el artículo 86 de la Ley 1474 de 2011, el cual establece sus reglas con el fin de asegurar el cumplimiento de los derechos y garantías derivadas del </w:t>
      </w:r>
      <w:r w:rsidRPr="0032313B">
        <w:rPr>
          <w:rFonts w:ascii="Verdana" w:eastAsia="Times New Roman" w:hAnsi="Verdana" w:cs="Arial"/>
          <w:lang w:val="es-ES" w:eastAsia="es-ES"/>
          <w14:ligatures w14:val="standardContextual"/>
        </w:rPr>
        <w:lastRenderedPageBreak/>
        <w:t xml:space="preserve">debido proceso en materia sancionatoria contractual. De conformidad con esta disposición, las “entidades sometidas al Estatuto General de Contratación de la Administración Pública podrán declarar el incumplimiento, cuantificando los perjuicios </w:t>
      </w:r>
      <w:proofErr w:type="gramStart"/>
      <w:r w:rsidRPr="0032313B">
        <w:rPr>
          <w:rFonts w:ascii="Verdana" w:eastAsia="Times New Roman" w:hAnsi="Verdana" w:cs="Arial"/>
          <w:lang w:val="es-ES" w:eastAsia="es-ES"/>
          <w14:ligatures w14:val="standardContextual"/>
        </w:rPr>
        <w:t>del mismo</w:t>
      </w:r>
      <w:proofErr w:type="gramEnd"/>
      <w:r w:rsidRPr="0032313B">
        <w:rPr>
          <w:rFonts w:ascii="Verdana" w:eastAsia="Times New Roman" w:hAnsi="Verdana" w:cs="Arial"/>
          <w:lang w:val="es-ES" w:eastAsia="es-ES"/>
          <w14:ligatures w14:val="standardContextual"/>
        </w:rPr>
        <w:t>, imponer las multas y sanciones pactadas en el contrato, y hacer efectiva la cláusula penal</w:t>
      </w:r>
      <w:r w:rsidRPr="0032313B">
        <w:rPr>
          <w:rFonts w:ascii="Verdana" w:eastAsia="Times New Roman" w:hAnsi="Verdana" w:cs="Arial"/>
          <w:i/>
          <w:iCs/>
          <w:lang w:val="es-ES" w:eastAsia="es-ES"/>
          <w14:ligatures w14:val="standardContextual"/>
        </w:rPr>
        <w:t xml:space="preserve"> </w:t>
      </w:r>
      <w:r w:rsidRPr="0032313B">
        <w:rPr>
          <w:rFonts w:ascii="Verdana" w:eastAsia="Times New Roman" w:hAnsi="Verdana" w:cs="Arial"/>
          <w:lang w:val="es-ES" w:eastAsia="es-ES"/>
          <w14:ligatures w14:val="standardContextual"/>
        </w:rPr>
        <w:t xml:space="preserve">[…]”. </w:t>
      </w:r>
    </w:p>
    <w:p w14:paraId="67132204" w14:textId="77777777" w:rsidR="00D65E25" w:rsidRPr="0032313B" w:rsidRDefault="00D65E25" w:rsidP="00D65E25">
      <w:pPr>
        <w:spacing w:after="120" w:line="276" w:lineRule="auto"/>
        <w:ind w:firstLine="709"/>
        <w:jc w:val="both"/>
        <w:rPr>
          <w:rFonts w:ascii="Verdana" w:eastAsia="Times New Roman" w:hAnsi="Verdana" w:cs="Arial"/>
          <w:iCs/>
          <w:lang w:val="es-ES"/>
        </w:rPr>
      </w:pPr>
      <w:r w:rsidRPr="0032313B">
        <w:rPr>
          <w:rFonts w:ascii="Verdana" w:eastAsia="Times New Roman" w:hAnsi="Verdana" w:cs="Arial"/>
          <w:iCs/>
          <w:lang w:val="es-ES"/>
        </w:rPr>
        <w:t xml:space="preserve">Las potestades exorbitantes del segundo grupo –imposición unilateral de la multa o la cláusula penal– son el resultado de una particular combinación entre el principio de legalidad y la autonomía de la voluntad, de tal suerte </w:t>
      </w:r>
      <w:proofErr w:type="gramStart"/>
      <w:r w:rsidRPr="0032313B">
        <w:rPr>
          <w:rFonts w:ascii="Verdana" w:eastAsia="Times New Roman" w:hAnsi="Verdana" w:cs="Arial"/>
          <w:iCs/>
          <w:lang w:val="es-ES"/>
        </w:rPr>
        <w:t>que</w:t>
      </w:r>
      <w:proofErr w:type="gramEnd"/>
      <w:r w:rsidRPr="0032313B">
        <w:rPr>
          <w:rFonts w:ascii="Verdana" w:eastAsia="Times New Roman" w:hAnsi="Verdana" w:cs="Arial"/>
          <w:iCs/>
          <w:lang w:val="es-ES"/>
        </w:rPr>
        <w:t xml:space="preserve"> si bien el legislador autorizó a las entidades para declarar el incumplimiento con la intención de multar al contratista para conminarlo al cumplimiento o para hacer efectiva la cláusula penal, es indispensable que uno u otro caso se hayan pactado en el contrato</w:t>
      </w:r>
      <w:r w:rsidRPr="0032313B">
        <w:rPr>
          <w:rFonts w:ascii="Verdana" w:eastAsia="Times New Roman" w:hAnsi="Verdana" w:cs="Arial"/>
          <w:vertAlign w:val="superscript"/>
          <w:lang w:val="es-ES"/>
        </w:rPr>
        <w:footnoteReference w:id="1"/>
      </w:r>
      <w:r w:rsidRPr="0032313B">
        <w:rPr>
          <w:rFonts w:ascii="Verdana" w:eastAsia="Times New Roman" w:hAnsi="Verdana" w:cs="Arial"/>
          <w:iCs/>
          <w:lang w:val="es-ES"/>
        </w:rPr>
        <w:t>. No obstante, cumplido el requisito del pacto en el contrato, las entidades estatales sometidas al Estatuto General de Contratación de la Administración Pública –Leyes 80 de 1993 y 1150 de 2007, y sus modificaciones–, por ministerio de la ley –artículo 17 de la Ley 1150 de 2007– se entienden investidas de la prerrogativa de imposición unilateral. Se reitera que la exorbitancia de las dos cláusulas transcritas –cláusula penal y multas– se refiere a su imposición unilateral, no a su pacto. Esto último en la medida en que dichas cláusulas son posibles y pueden pactarse en virtud de la autonomía de la voluntad y a la regulación de las normas civiles y comerciales.</w:t>
      </w:r>
    </w:p>
    <w:p w14:paraId="640CD05D" w14:textId="77777777" w:rsidR="00D65E25" w:rsidRPr="0032313B" w:rsidRDefault="00D65E25" w:rsidP="00D65E25">
      <w:pPr>
        <w:spacing w:after="240" w:line="276" w:lineRule="auto"/>
        <w:ind w:firstLine="709"/>
        <w:jc w:val="both"/>
        <w:rPr>
          <w:rFonts w:ascii="Verdana" w:eastAsia="Times New Roman" w:hAnsi="Verdana" w:cs="Arial"/>
          <w:iCs/>
          <w:lang w:val="es-ES"/>
        </w:rPr>
      </w:pPr>
      <w:r w:rsidRPr="0032313B">
        <w:rPr>
          <w:rFonts w:ascii="Verdana" w:eastAsia="Times New Roman" w:hAnsi="Verdana" w:cs="Arial"/>
          <w:iCs/>
          <w:lang w:val="es-ES"/>
        </w:rPr>
        <w:t>En efecto, tratándose de las multas y la cláusula penal, en cumplimiento del principio de tipicidad, las partes deben determinar en forma pormenorizada las acciones u omisiones objeto de sanción y el monto de la sanción a imponer, el cual, en todo caso, debe atender los criterios de proporcionalidad y razonabilidad. En esa línea, se pronunció la Sección Tercera del Consejo de Estado, indicando que:</w:t>
      </w:r>
    </w:p>
    <w:p w14:paraId="5AA2629D" w14:textId="77777777" w:rsidR="00D65E25" w:rsidRPr="0032313B" w:rsidRDefault="00D65E25" w:rsidP="00D65E25">
      <w:pPr>
        <w:spacing w:after="240" w:line="240" w:lineRule="auto"/>
        <w:ind w:left="709" w:right="709"/>
        <w:contextualSpacing/>
        <w:jc w:val="both"/>
        <w:rPr>
          <w:rFonts w:ascii="Verdana" w:eastAsia="Times New Roman" w:hAnsi="Verdana" w:cs="Arial"/>
          <w:iCs/>
          <w:sz w:val="20"/>
          <w:szCs w:val="20"/>
          <w:lang w:val="es-ES"/>
        </w:rPr>
      </w:pPr>
      <w:r w:rsidRPr="0032313B">
        <w:rPr>
          <w:rFonts w:ascii="Verdana" w:eastAsia="Times New Roman" w:hAnsi="Verdana" w:cs="Arial"/>
          <w:i/>
          <w:iCs/>
          <w:sz w:val="20"/>
          <w:szCs w:val="20"/>
          <w:lang w:val="es-ES"/>
        </w:rPr>
        <w:t>“</w:t>
      </w:r>
      <w:r w:rsidRPr="0032313B">
        <w:rPr>
          <w:rFonts w:ascii="Verdana" w:eastAsia="Times New Roman" w:hAnsi="Verdana" w:cs="Arial"/>
          <w:sz w:val="20"/>
          <w:szCs w:val="20"/>
          <w:lang w:val="es-ES"/>
        </w:rPr>
        <w:t>[…]</w:t>
      </w:r>
      <w:r w:rsidRPr="0032313B">
        <w:rPr>
          <w:rFonts w:ascii="Verdana" w:eastAsia="Times New Roman" w:hAnsi="Verdana" w:cs="Arial"/>
          <w:iCs/>
          <w:sz w:val="20"/>
          <w:szCs w:val="20"/>
          <w:lang w:val="es-ES"/>
        </w:rPr>
        <w:t xml:space="preserve">la multa y la cláusula penal mantienen la libertad de pacto, es decir, que la ley no determina las conductas que las originan, y las partes pueden hacerlo con gran libertad -pero tampoco arbitrariamente-. Pese a este relajamiento del principio de legalidad fuerte, en todo caso se conserva el principio de tipicidad, según el cual las partes del negocio deben describir la conducta prohibida en la cláusula contractual. Además, también se mantiene el principio que impone que la conducta reprochable se </w:t>
      </w:r>
      <w:r w:rsidRPr="0032313B">
        <w:rPr>
          <w:rFonts w:ascii="Verdana" w:eastAsia="Times New Roman" w:hAnsi="Verdana" w:cs="Arial"/>
          <w:iCs/>
          <w:sz w:val="20"/>
          <w:szCs w:val="20"/>
          <w:lang w:val="es-ES"/>
        </w:rPr>
        <w:lastRenderedPageBreak/>
        <w:t>establezca de manera previa a su realización –lex previa–, para evitar la arbitrariedad y el abuso de poder”</w:t>
      </w:r>
      <w:r w:rsidRPr="0032313B">
        <w:rPr>
          <w:rFonts w:ascii="Verdana" w:eastAsia="Times New Roman" w:hAnsi="Verdana" w:cs="Arial"/>
          <w:sz w:val="20"/>
          <w:szCs w:val="20"/>
          <w:vertAlign w:val="superscript"/>
          <w:lang w:val="es-ES"/>
        </w:rPr>
        <w:footnoteReference w:id="2"/>
      </w:r>
      <w:r w:rsidRPr="0032313B">
        <w:rPr>
          <w:rFonts w:ascii="Verdana" w:eastAsia="Times New Roman" w:hAnsi="Verdana" w:cs="Arial"/>
          <w:iCs/>
          <w:sz w:val="20"/>
          <w:szCs w:val="20"/>
          <w:lang w:val="es-ES"/>
        </w:rPr>
        <w:t xml:space="preserve">. </w:t>
      </w:r>
    </w:p>
    <w:p w14:paraId="22AE1148" w14:textId="77777777" w:rsidR="00D65E25" w:rsidRPr="0032313B" w:rsidRDefault="00D65E25" w:rsidP="00D65E25">
      <w:pPr>
        <w:spacing w:after="240" w:line="240" w:lineRule="auto"/>
        <w:ind w:left="709" w:right="709"/>
        <w:contextualSpacing/>
        <w:jc w:val="both"/>
        <w:rPr>
          <w:rFonts w:ascii="Verdana" w:eastAsia="Times New Roman" w:hAnsi="Verdana" w:cs="Arial"/>
          <w:iCs/>
          <w:lang w:val="es-ES"/>
        </w:rPr>
      </w:pPr>
    </w:p>
    <w:p w14:paraId="0AD9AE62" w14:textId="77777777" w:rsidR="00D65E25" w:rsidRPr="0032313B" w:rsidRDefault="00D65E25" w:rsidP="00D65E25">
      <w:pPr>
        <w:spacing w:after="240" w:line="276" w:lineRule="auto"/>
        <w:ind w:firstLine="709"/>
        <w:jc w:val="both"/>
        <w:rPr>
          <w:rFonts w:ascii="Arial" w:eastAsia="Times New Roman" w:hAnsi="Arial" w:cs="Arial"/>
          <w:i/>
          <w:lang w:val="es-ES"/>
        </w:rPr>
      </w:pPr>
      <w:r w:rsidRPr="0032313B">
        <w:rPr>
          <w:rFonts w:ascii="Verdana" w:eastAsia="Times New Roman" w:hAnsi="Verdana" w:cs="Arial"/>
          <w:iCs/>
          <w:lang w:val="es-ES"/>
        </w:rPr>
        <w:t xml:space="preserve">De igual forma, en otra oportunidad, el Consejo de Estado indicó que </w:t>
      </w:r>
      <w:r w:rsidRPr="0032313B">
        <w:rPr>
          <w:rFonts w:ascii="Verdana" w:eastAsia="Times New Roman" w:hAnsi="Verdana" w:cs="Arial"/>
          <w:i/>
          <w:lang w:val="es-ES"/>
        </w:rPr>
        <w:t>“</w:t>
      </w:r>
      <w:r w:rsidRPr="0032313B">
        <w:rPr>
          <w:rFonts w:ascii="Verdana" w:eastAsia="Times New Roman" w:hAnsi="Verdana" w:cs="Arial"/>
          <w:iCs/>
          <w:lang w:val="es-ES"/>
        </w:rPr>
        <w:t>el núcleo mínimo de este derecho exige que una norma –legal o contractual– contemple la falta y la sanción. Si ni siquiera lo hace el contrato, la Administración no puede imponer sanciones, so pena de violar el debido proceso</w:t>
      </w:r>
      <w:r w:rsidRPr="0032313B">
        <w:rPr>
          <w:rFonts w:ascii="Verdana" w:eastAsia="Times New Roman" w:hAnsi="Verdana" w:cs="Arial"/>
          <w:i/>
          <w:lang w:val="es-ES"/>
        </w:rPr>
        <w:t>”</w:t>
      </w:r>
      <w:r w:rsidRPr="0032313B">
        <w:rPr>
          <w:rFonts w:ascii="Verdana" w:eastAsia="Times New Roman" w:hAnsi="Verdana" w:cs="Arial"/>
          <w:vertAlign w:val="superscript"/>
          <w:lang w:val="es-ES"/>
        </w:rPr>
        <w:footnoteReference w:id="3"/>
      </w:r>
      <w:r w:rsidRPr="0032313B">
        <w:rPr>
          <w:rFonts w:ascii="Verdana" w:eastAsia="Times New Roman" w:hAnsi="Verdana" w:cs="Arial"/>
          <w:iCs/>
          <w:lang w:val="es-ES"/>
        </w:rPr>
        <w:t>. De otro lado, la Corte Constitucional</w:t>
      </w:r>
      <w:r w:rsidRPr="0032313B">
        <w:rPr>
          <w:rFonts w:ascii="Verdana" w:eastAsia="Times New Roman" w:hAnsi="Verdana" w:cs="Arial"/>
          <w:vertAlign w:val="superscript"/>
          <w:lang w:val="es-ES"/>
        </w:rPr>
        <w:footnoteReference w:id="4"/>
      </w:r>
      <w:r w:rsidRPr="0032313B">
        <w:rPr>
          <w:rFonts w:ascii="Verdana" w:eastAsia="Times New Roman" w:hAnsi="Verdana" w:cs="Arial"/>
          <w:iCs/>
          <w:lang w:val="es-ES"/>
        </w:rPr>
        <w:t xml:space="preserve"> precisó que la tipicidad hacía referencia a “la exigencia de descripción específica y precisa por la norma creadora de las infracciones y de las sanciones, de las conductas que pueden ser sancionadas y del contenido material de las sanciones que puede imponerse por la comisión de cada conducta, así como la correlación entre unas y otras”.</w:t>
      </w:r>
      <w:r w:rsidRPr="0032313B">
        <w:rPr>
          <w:rFonts w:ascii="Arial" w:eastAsia="Times New Roman" w:hAnsi="Arial" w:cs="Arial"/>
          <w:i/>
          <w:lang w:val="es-ES"/>
        </w:rPr>
        <w:t xml:space="preserve"> </w:t>
      </w:r>
    </w:p>
    <w:p w14:paraId="5C03940E" w14:textId="77777777" w:rsidR="00D65E25" w:rsidRPr="0032313B" w:rsidRDefault="00D65E25" w:rsidP="00D65E25">
      <w:pPr>
        <w:spacing w:after="240" w:line="276" w:lineRule="auto"/>
        <w:ind w:firstLine="709"/>
        <w:jc w:val="both"/>
        <w:rPr>
          <w:rFonts w:ascii="Arial" w:hAnsi="Arial" w:cs="Arial"/>
          <w:i/>
          <w:lang w:val="es-ES"/>
        </w:rPr>
      </w:pPr>
      <w:r w:rsidRPr="0032313B">
        <w:rPr>
          <w:rFonts w:ascii="Verdana" w:eastAsia="Calibri" w:hAnsi="Verdana" w:cs="Arial"/>
          <w:lang w:val="es-ES"/>
        </w:rPr>
        <w:t>En virtud de lo anterior, si bien el legislador autorizó a las entidades para declarar el incumplimiento con la intención de multar al contratista para conminarlo al cumplimiento o para hacer efectiva la cláusula penal, es indispensable que en uno u otro caso se hayan pactado en el contrato</w:t>
      </w:r>
      <w:r w:rsidRPr="0032313B">
        <w:rPr>
          <w:rFonts w:ascii="Verdana" w:eastAsia="Times New Roman" w:hAnsi="Verdana" w:cs="Arial"/>
          <w:vertAlign w:val="superscript"/>
          <w:lang w:val="es-ES" w:eastAsia="es-ES_tradnl"/>
        </w:rPr>
        <w:footnoteReference w:id="5"/>
      </w:r>
      <w:r w:rsidRPr="0032313B">
        <w:rPr>
          <w:rFonts w:ascii="Verdana" w:eastAsia="Calibri" w:hAnsi="Verdana" w:cs="Arial"/>
          <w:lang w:val="es-ES"/>
        </w:rPr>
        <w:t>. No obstante, cumplido el requisito del pacto en el contrato, las Entidades Estatales sometidas al EGCAP, por ministerio de la ley –artículo 17 de la Ley 1150 de 2007–, se entienden investidas de la prerrogativa de imposición unilateral. En efecto, tratándose de las multas, en cumplimiento del principio de tipicidad, las partes deben determinar en forma pormenorizada las acciones u omisiones objeto de sanción y el monto de la sanción a imponer, el cual, en todo caso, debe atender los criterios de proporcionalidad y razonabilidad.</w:t>
      </w:r>
      <w:r w:rsidRPr="0032313B">
        <w:rPr>
          <w:rFonts w:ascii="Arial" w:hAnsi="Arial" w:cs="Arial"/>
          <w:i/>
          <w:lang w:val="es-ES"/>
        </w:rPr>
        <w:t xml:space="preserve"> </w:t>
      </w:r>
      <w:r w:rsidRPr="0032313B">
        <w:rPr>
          <w:rFonts w:ascii="Verdana" w:eastAsia="Calibri" w:hAnsi="Verdana" w:cs="Times New Roman"/>
          <w:lang w:val="es-ES"/>
        </w:rPr>
        <w:t xml:space="preserve">En ese sentido, </w:t>
      </w:r>
      <w:r w:rsidRPr="0032313B">
        <w:rPr>
          <w:rFonts w:ascii="Verdana" w:eastAsia="Times New Roman" w:hAnsi="Verdana" w:cs="Arial"/>
          <w:iCs/>
          <w:lang w:val="es-ES" w:eastAsia="es-ES_tradnl"/>
        </w:rPr>
        <w:t>el artículo 17 de la Ley 1150 de 2007 señala lo siguiente con respecto a la imposición unilateral de multas y la potestad de hacer efectiva la cláusula penal:</w:t>
      </w:r>
    </w:p>
    <w:p w14:paraId="1053CE9B" w14:textId="77777777" w:rsidR="00D65E25" w:rsidRPr="0032313B" w:rsidRDefault="00D65E25" w:rsidP="00D65E25">
      <w:pPr>
        <w:spacing w:after="0" w:line="240" w:lineRule="auto"/>
        <w:ind w:firstLine="709"/>
        <w:jc w:val="both"/>
        <w:rPr>
          <w:rFonts w:ascii="Verdana" w:eastAsia="Times New Roman" w:hAnsi="Verdana" w:cs="Arial"/>
          <w:iCs/>
          <w:lang w:val="es-ES" w:eastAsia="es-ES_tradnl"/>
        </w:rPr>
      </w:pPr>
    </w:p>
    <w:p w14:paraId="7A29CAE6" w14:textId="77777777" w:rsidR="00D65E25" w:rsidRPr="0032313B" w:rsidRDefault="00D65E25" w:rsidP="00D65E25">
      <w:pPr>
        <w:spacing w:after="0" w:line="240" w:lineRule="auto"/>
        <w:ind w:left="709" w:right="709"/>
        <w:jc w:val="both"/>
        <w:rPr>
          <w:rFonts w:ascii="Verdana" w:eastAsia="Times New Roman" w:hAnsi="Verdana" w:cs="Arial"/>
          <w:iCs/>
          <w:sz w:val="20"/>
          <w:szCs w:val="20"/>
          <w:lang w:val="es-ES" w:eastAsia="es-ES_tradnl"/>
        </w:rPr>
      </w:pPr>
      <w:r w:rsidRPr="0032313B">
        <w:rPr>
          <w:rFonts w:ascii="Verdana" w:eastAsia="Times New Roman" w:hAnsi="Verdana" w:cs="Arial"/>
          <w:iCs/>
          <w:sz w:val="20"/>
          <w:szCs w:val="20"/>
          <w:lang w:val="es-ES" w:eastAsia="es-ES_tradnl"/>
        </w:rPr>
        <w:t>“El debido proceso será un principio rector en materia sancionatoria de las actuaciones contractuales.</w:t>
      </w:r>
    </w:p>
    <w:p w14:paraId="3059DB68" w14:textId="77777777" w:rsidR="00D65E25" w:rsidRPr="0032313B" w:rsidRDefault="00D65E25" w:rsidP="00D65E25">
      <w:pPr>
        <w:spacing w:after="0" w:line="240" w:lineRule="auto"/>
        <w:ind w:left="709" w:right="709"/>
        <w:jc w:val="both"/>
        <w:rPr>
          <w:rFonts w:ascii="Verdana" w:eastAsia="Times New Roman" w:hAnsi="Verdana" w:cs="Arial"/>
          <w:iCs/>
          <w:sz w:val="20"/>
          <w:szCs w:val="20"/>
          <w:lang w:val="es-ES" w:eastAsia="es-ES_tradnl"/>
        </w:rPr>
      </w:pPr>
      <w:r w:rsidRPr="0032313B">
        <w:rPr>
          <w:rFonts w:ascii="Verdana" w:eastAsia="Times New Roman" w:hAnsi="Verdana" w:cs="Arial"/>
          <w:iCs/>
          <w:sz w:val="20"/>
          <w:szCs w:val="20"/>
          <w:lang w:val="es-ES" w:eastAsia="es-ES_tradnl"/>
        </w:rPr>
        <w:lastRenderedPageBreak/>
        <w:t xml:space="preserve">En desarrollo de lo anterior y del deber de control y vigilancia sobre los contratos que corresponde a las entidades sometidas al Estatuto General de Contratación de la Administración Pública, tendrán la facultad de imponer las multas </w:t>
      </w:r>
      <w:r w:rsidRPr="0032313B">
        <w:rPr>
          <w:rFonts w:ascii="Verdana" w:eastAsia="Times New Roman" w:hAnsi="Verdana" w:cs="Arial"/>
          <w:i/>
          <w:sz w:val="20"/>
          <w:szCs w:val="20"/>
          <w:u w:val="single"/>
          <w:lang w:val="es-ES" w:eastAsia="es-ES_tradnl"/>
        </w:rPr>
        <w:t>que hayan sido pactadas</w:t>
      </w:r>
      <w:r w:rsidRPr="0032313B">
        <w:rPr>
          <w:rFonts w:ascii="Verdana" w:eastAsia="Times New Roman" w:hAnsi="Verdana" w:cs="Arial"/>
          <w:iCs/>
          <w:sz w:val="20"/>
          <w:szCs w:val="20"/>
          <w:lang w:val="es-ES" w:eastAsia="es-ES_tradnl"/>
        </w:rPr>
        <w:t xml:space="preserve"> con el objeto de conminar al contratista a cumplir con sus obligaciones. Esta decisión deberá estar precedida de audiencia del afectado que deberá tener un procedimiento mínimo que garantice el derecho al debido proceso del contratista y procede sólo mientras se halle pendiente la ejecución de las obligaciones a cargo del contratista. Así mismo podrán declarar el incumplimiento con el propósito de hacer efectiva la cláusula penal pecuniaria </w:t>
      </w:r>
      <w:r w:rsidRPr="0032313B">
        <w:rPr>
          <w:rFonts w:ascii="Verdana" w:eastAsia="Times New Roman" w:hAnsi="Verdana" w:cs="Arial"/>
          <w:i/>
          <w:sz w:val="20"/>
          <w:szCs w:val="20"/>
          <w:u w:val="single"/>
          <w:lang w:val="es-ES" w:eastAsia="es-ES_tradnl"/>
        </w:rPr>
        <w:t>incluida en el contrato</w:t>
      </w:r>
      <w:r w:rsidRPr="0032313B">
        <w:rPr>
          <w:rFonts w:ascii="Verdana" w:eastAsia="Times New Roman" w:hAnsi="Verdana" w:cs="Arial"/>
          <w:iCs/>
          <w:sz w:val="20"/>
          <w:szCs w:val="20"/>
          <w:lang w:val="es-ES" w:eastAsia="es-ES_tradnl"/>
        </w:rPr>
        <w:t>.</w:t>
      </w:r>
    </w:p>
    <w:p w14:paraId="0242F662" w14:textId="77777777" w:rsidR="00D65E25" w:rsidRPr="0032313B" w:rsidRDefault="00D65E25" w:rsidP="00D65E25">
      <w:pPr>
        <w:spacing w:after="0" w:line="240" w:lineRule="auto"/>
        <w:ind w:left="709" w:right="709"/>
        <w:jc w:val="both"/>
        <w:rPr>
          <w:rFonts w:ascii="Verdana" w:eastAsia="Times New Roman" w:hAnsi="Verdana" w:cs="Arial"/>
          <w:iCs/>
          <w:sz w:val="20"/>
          <w:szCs w:val="20"/>
          <w:lang w:val="es-ES" w:eastAsia="es-ES_tradnl"/>
        </w:rPr>
      </w:pPr>
      <w:r w:rsidRPr="0032313B">
        <w:rPr>
          <w:rFonts w:ascii="Verdana" w:eastAsia="Times New Roman" w:hAnsi="Verdana" w:cs="Arial"/>
          <w:b/>
          <w:bCs/>
          <w:iCs/>
          <w:sz w:val="20"/>
          <w:szCs w:val="20"/>
          <w:lang w:val="es-ES" w:eastAsia="es-ES_tradnl"/>
        </w:rPr>
        <w:t>PARÁGRAFO.</w:t>
      </w:r>
      <w:r w:rsidRPr="0032313B">
        <w:rPr>
          <w:rFonts w:ascii="Verdana" w:eastAsia="Times New Roman" w:hAnsi="Verdana" w:cs="Arial"/>
          <w:iCs/>
          <w:sz w:val="20"/>
          <w:szCs w:val="20"/>
          <w:lang w:val="es-ES" w:eastAsia="es-ES_tradnl"/>
        </w:rPr>
        <w:t xml:space="preserve"> La cláusula penal y las multas así </w:t>
      </w:r>
      <w:proofErr w:type="gramStart"/>
      <w:r w:rsidRPr="0032313B">
        <w:rPr>
          <w:rFonts w:ascii="Verdana" w:eastAsia="Times New Roman" w:hAnsi="Verdana" w:cs="Arial"/>
          <w:iCs/>
          <w:sz w:val="20"/>
          <w:szCs w:val="20"/>
          <w:lang w:val="es-ES" w:eastAsia="es-ES_tradnl"/>
        </w:rPr>
        <w:t>impuestas,</w:t>
      </w:r>
      <w:proofErr w:type="gramEnd"/>
      <w:r w:rsidRPr="0032313B">
        <w:rPr>
          <w:rFonts w:ascii="Verdana" w:eastAsia="Times New Roman" w:hAnsi="Verdana" w:cs="Arial"/>
          <w:iCs/>
          <w:sz w:val="20"/>
          <w:szCs w:val="20"/>
          <w:lang w:val="es-ES" w:eastAsia="es-ES_tradnl"/>
        </w:rPr>
        <w:t xml:space="preserve"> se harán efectivas directamente por las entidades estatales, pudiendo acudir para el efecto entre otros a los mecanismos de compensación de las sumas adeudadas al contratista, cobro de la garantía, o a cualquier otro medio para obtener el pago, incluyendo el de la jurisdicción coactiva.</w:t>
      </w:r>
    </w:p>
    <w:p w14:paraId="5DF2B9A8" w14:textId="77777777" w:rsidR="00D65E25" w:rsidRPr="0032313B" w:rsidRDefault="00D65E25" w:rsidP="00D65E25">
      <w:pPr>
        <w:spacing w:after="0" w:line="240" w:lineRule="auto"/>
        <w:ind w:left="709" w:right="709"/>
        <w:jc w:val="both"/>
        <w:rPr>
          <w:rFonts w:ascii="Verdana" w:eastAsia="Times New Roman" w:hAnsi="Verdana" w:cs="Arial"/>
          <w:iCs/>
          <w:sz w:val="20"/>
          <w:szCs w:val="20"/>
          <w:lang w:val="es-ES" w:eastAsia="es-ES_tradnl"/>
        </w:rPr>
      </w:pPr>
      <w:r w:rsidRPr="0032313B">
        <w:rPr>
          <w:rFonts w:ascii="Verdana" w:eastAsia="Times New Roman" w:hAnsi="Verdana" w:cs="Arial"/>
          <w:b/>
          <w:bCs/>
          <w:iCs/>
          <w:sz w:val="20"/>
          <w:szCs w:val="20"/>
          <w:lang w:val="es-ES" w:eastAsia="es-ES_tradnl"/>
        </w:rPr>
        <w:t>PARÁGRAFO</w:t>
      </w:r>
      <w:r w:rsidRPr="0032313B">
        <w:rPr>
          <w:rFonts w:ascii="Verdana" w:eastAsia="Times New Roman" w:hAnsi="Verdana" w:cs="Arial"/>
          <w:iCs/>
          <w:sz w:val="20"/>
          <w:szCs w:val="20"/>
          <w:lang w:val="es-ES" w:eastAsia="es-ES_tradnl"/>
        </w:rPr>
        <w:t> </w:t>
      </w:r>
      <w:r w:rsidRPr="0032313B">
        <w:rPr>
          <w:rFonts w:ascii="Verdana" w:eastAsia="Times New Roman" w:hAnsi="Verdana" w:cs="Arial"/>
          <w:b/>
          <w:bCs/>
          <w:iCs/>
          <w:sz w:val="20"/>
          <w:szCs w:val="20"/>
          <w:lang w:val="es-ES" w:eastAsia="es-ES_tradnl"/>
        </w:rPr>
        <w:t>TRANSITORIO.</w:t>
      </w:r>
      <w:r w:rsidRPr="0032313B">
        <w:rPr>
          <w:rFonts w:ascii="Verdana" w:eastAsia="Times New Roman" w:hAnsi="Verdana" w:cs="Arial"/>
          <w:iCs/>
          <w:sz w:val="20"/>
          <w:szCs w:val="20"/>
          <w:lang w:val="es-ES" w:eastAsia="es-ES_tradnl"/>
        </w:rPr>
        <w:t> Las facultades previstas en este artículo se entienden atribuidas respecto de las cláusulas de multas o cláusula penal pecuniaria pactadas en los contratos celebrados con anterioridad a la expedición de esta ley y en los que por autonomía de la voluntad de las partes se hubiese previsto la competencia de las entidades estatales para imponerlas y hacerlas efectivas” [Énfasis propio].</w:t>
      </w:r>
    </w:p>
    <w:p w14:paraId="43C95ABE" w14:textId="77777777" w:rsidR="00D65E25" w:rsidRPr="0032313B" w:rsidRDefault="00D65E25" w:rsidP="00D65E25">
      <w:pPr>
        <w:spacing w:after="0" w:line="240" w:lineRule="auto"/>
        <w:ind w:left="709" w:right="709"/>
        <w:jc w:val="both"/>
        <w:rPr>
          <w:rFonts w:ascii="Verdana" w:eastAsia="Times New Roman" w:hAnsi="Verdana" w:cs="Arial"/>
          <w:iCs/>
          <w:sz w:val="20"/>
          <w:szCs w:val="20"/>
          <w:lang w:val="es-ES" w:eastAsia="es-ES_tradnl"/>
        </w:rPr>
      </w:pPr>
    </w:p>
    <w:p w14:paraId="1EAB0D68" w14:textId="77777777" w:rsidR="00D65E25" w:rsidRPr="0032313B" w:rsidRDefault="00D65E25" w:rsidP="00D65E25">
      <w:pPr>
        <w:spacing w:after="120" w:line="276" w:lineRule="auto"/>
        <w:ind w:firstLine="708"/>
        <w:jc w:val="both"/>
        <w:rPr>
          <w:rFonts w:ascii="Verdana" w:eastAsia="Times New Roman" w:hAnsi="Verdana" w:cs="Arial"/>
          <w:iCs/>
          <w:lang w:val="es-ES" w:eastAsia="es-ES_tradnl"/>
        </w:rPr>
      </w:pPr>
      <w:r w:rsidRPr="0032313B">
        <w:rPr>
          <w:rFonts w:ascii="Verdana" w:eastAsia="Times New Roman" w:hAnsi="Verdana" w:cs="Arial"/>
          <w:iCs/>
          <w:lang w:val="es-ES" w:eastAsia="es-ES_tradnl"/>
        </w:rPr>
        <w:t>De esta manera, tal como lo ha señalado el Consejo de Estado</w:t>
      </w:r>
      <w:r w:rsidRPr="0032313B">
        <w:rPr>
          <w:rFonts w:ascii="Verdana" w:eastAsia="Times New Roman" w:hAnsi="Verdana" w:cs="Arial"/>
          <w:iCs/>
          <w:vertAlign w:val="superscript"/>
          <w:lang w:val="es-ES" w:eastAsia="es-ES_tradnl"/>
        </w:rPr>
        <w:footnoteReference w:id="6"/>
      </w:r>
      <w:r w:rsidRPr="0032313B">
        <w:rPr>
          <w:rFonts w:ascii="Verdana" w:eastAsia="Times New Roman" w:hAnsi="Verdana" w:cs="Arial"/>
          <w:iCs/>
          <w:lang w:val="es-ES" w:eastAsia="es-ES_tradnl"/>
        </w:rPr>
        <w:t xml:space="preserve">, una cosa es el pacto de las multas y cláusula penal como parte del contrato, y otra la facultad que tiene la Administración de imponerlas o hacerlas exigibles mediante acto administrativo. Mientras que la inclusión de las cláusulas es resultado de la autonomía de la voluntad, la acción unilateral de la entidad para su ejecución es producto del ejercicio de una prerrogativa exorbitante que le otorga la ley. </w:t>
      </w:r>
    </w:p>
    <w:p w14:paraId="232E1537" w14:textId="77777777" w:rsidR="00D65E25" w:rsidRPr="0032313B" w:rsidRDefault="00D65E25" w:rsidP="00D65E25">
      <w:pPr>
        <w:spacing w:after="120" w:line="276" w:lineRule="auto"/>
        <w:ind w:firstLine="708"/>
        <w:jc w:val="both"/>
        <w:rPr>
          <w:rFonts w:ascii="Verdana" w:eastAsia="Times New Roman" w:hAnsi="Verdana" w:cs="Arial"/>
          <w:iCs/>
          <w:sz w:val="24"/>
          <w:szCs w:val="24"/>
          <w:lang w:val="es-ES" w:eastAsia="es-ES_tradnl"/>
        </w:rPr>
      </w:pPr>
      <w:r w:rsidRPr="0032313B">
        <w:rPr>
          <w:rFonts w:ascii="Verdana" w:eastAsia="Times New Roman" w:hAnsi="Verdana" w:cs="Arial"/>
          <w:iCs/>
          <w:lang w:val="es-ES" w:eastAsia="es-ES_tradnl"/>
        </w:rPr>
        <w:t xml:space="preserve">Ambos supuestos se evidencian en el citado artículo de la </w:t>
      </w:r>
      <w:r w:rsidRPr="0032313B">
        <w:rPr>
          <w:rFonts w:ascii="Verdana" w:eastAsia="Times New Roman" w:hAnsi="Verdana" w:cs="Arial"/>
          <w:iCs/>
          <w:sz w:val="24"/>
          <w:szCs w:val="24"/>
          <w:lang w:val="es-ES" w:eastAsia="es-ES_tradnl"/>
        </w:rPr>
        <w:t>L</w:t>
      </w:r>
      <w:r w:rsidRPr="0032313B">
        <w:rPr>
          <w:rFonts w:ascii="Verdana" w:eastAsia="Times New Roman" w:hAnsi="Verdana" w:cs="Arial"/>
          <w:iCs/>
          <w:lang w:val="es-ES" w:eastAsia="es-ES_tradnl"/>
        </w:rPr>
        <w:t>ey 1150 de 2007, pues, por un lado, se refiere a la facultad en cabeza de las Entidades Estatales de imponer las multas con el objeto de conminar al contratista para que cumpla y de declarar el incumplimiento para hacer efectiva la cláusula penal; por otro, aclara que en cada caso esta faculta</w:t>
      </w:r>
      <w:r w:rsidRPr="0032313B">
        <w:rPr>
          <w:rFonts w:ascii="Verdana" w:eastAsia="Times New Roman" w:hAnsi="Verdana" w:cs="Arial"/>
          <w:iCs/>
          <w:sz w:val="24"/>
          <w:szCs w:val="24"/>
          <w:lang w:val="es-ES" w:eastAsia="es-ES_tradnl"/>
        </w:rPr>
        <w:t>d</w:t>
      </w:r>
      <w:r w:rsidRPr="0032313B">
        <w:rPr>
          <w:rFonts w:ascii="Verdana" w:eastAsia="Times New Roman" w:hAnsi="Verdana" w:cs="Arial"/>
          <w:iCs/>
          <w:lang w:val="es-ES" w:eastAsia="es-ES_tradnl"/>
        </w:rPr>
        <w:t xml:space="preserve"> la ejercerán con respecto a aquellas que hayan sido pactadas e incluidas en el contrato. En este sentido, la </w:t>
      </w:r>
      <w:r w:rsidRPr="0032313B">
        <w:rPr>
          <w:rFonts w:ascii="Verdana" w:eastAsia="Times New Roman" w:hAnsi="Verdana" w:cs="Arial"/>
          <w:iCs/>
          <w:lang w:val="es-ES" w:eastAsia="es-ES_tradnl"/>
        </w:rPr>
        <w:lastRenderedPageBreak/>
        <w:t>entidad no podrá proceder con respecto a este tipo de cláusulas si no han sido pactadas por las partes del contrato</w:t>
      </w:r>
      <w:r w:rsidRPr="0032313B">
        <w:rPr>
          <w:rFonts w:ascii="Verdana" w:eastAsia="Times New Roman" w:hAnsi="Verdana" w:cs="Arial"/>
          <w:iCs/>
          <w:vertAlign w:val="superscript"/>
          <w:lang w:val="es-ES" w:eastAsia="es-ES_tradnl"/>
        </w:rPr>
        <w:footnoteReference w:id="7"/>
      </w:r>
      <w:r w:rsidRPr="0032313B">
        <w:rPr>
          <w:rFonts w:ascii="Verdana" w:eastAsia="Times New Roman" w:hAnsi="Verdana" w:cs="Arial"/>
          <w:iCs/>
          <w:lang w:val="es-ES" w:eastAsia="es-ES_tradnl"/>
        </w:rPr>
        <w:t xml:space="preserve">. </w:t>
      </w:r>
    </w:p>
    <w:p w14:paraId="39F0AEEE" w14:textId="77777777" w:rsidR="00D65E25" w:rsidRPr="0032313B" w:rsidRDefault="00D65E25" w:rsidP="00D65E25">
      <w:pPr>
        <w:spacing w:after="120" w:line="276" w:lineRule="auto"/>
        <w:ind w:firstLine="709"/>
        <w:jc w:val="both"/>
        <w:rPr>
          <w:rFonts w:ascii="Verdana" w:eastAsia="Times New Roman" w:hAnsi="Verdana" w:cs="Arial"/>
          <w:iCs/>
          <w:lang w:val="es-ES" w:eastAsia="es-ES_tradnl"/>
        </w:rPr>
      </w:pPr>
      <w:r w:rsidRPr="0032313B">
        <w:rPr>
          <w:rFonts w:ascii="Verdana" w:eastAsia="Times New Roman" w:hAnsi="Verdana" w:cs="Arial"/>
          <w:iCs/>
          <w:sz w:val="24"/>
          <w:szCs w:val="24"/>
          <w:lang w:val="es-ES" w:eastAsia="es-ES_tradnl"/>
        </w:rPr>
        <w:t xml:space="preserve"> </w:t>
      </w:r>
      <w:r w:rsidRPr="0032313B">
        <w:rPr>
          <w:rFonts w:ascii="Verdana" w:eastAsia="Times New Roman" w:hAnsi="Verdana" w:cs="Arial"/>
          <w:iCs/>
          <w:lang w:val="es-ES" w:eastAsia="es-ES_tradnl"/>
        </w:rPr>
        <w:t>En este punto, conviene resaltar lo dicho por la Sección Tercera del Consejo de Estado</w:t>
      </w:r>
      <w:r w:rsidRPr="0032313B">
        <w:rPr>
          <w:rFonts w:ascii="Verdana" w:eastAsia="Times New Roman" w:hAnsi="Verdana" w:cs="Times New Roman"/>
          <w:vertAlign w:val="superscript"/>
          <w:lang w:val="es-ES" w:eastAsia="es-ES_tradnl"/>
        </w:rPr>
        <w:footnoteReference w:id="8"/>
      </w:r>
      <w:r w:rsidRPr="0032313B">
        <w:rPr>
          <w:rFonts w:ascii="Verdana" w:eastAsia="Times New Roman" w:hAnsi="Verdana" w:cs="Arial"/>
          <w:iCs/>
          <w:lang w:val="es-ES" w:eastAsia="es-ES_tradnl"/>
        </w:rPr>
        <w:t>, en relación con las diferencias entre las multas y la cláusula penal, esto es: “[a]</w:t>
      </w:r>
      <w:proofErr w:type="spellStart"/>
      <w:r w:rsidRPr="0032313B">
        <w:rPr>
          <w:rFonts w:ascii="Verdana" w:eastAsia="Times New Roman" w:hAnsi="Verdana" w:cs="Arial"/>
          <w:iCs/>
          <w:lang w:val="es-ES" w:eastAsia="es-ES_tradnl"/>
        </w:rPr>
        <w:t>unque</w:t>
      </w:r>
      <w:proofErr w:type="spellEnd"/>
      <w:r w:rsidRPr="0032313B">
        <w:rPr>
          <w:rFonts w:ascii="Verdana" w:eastAsia="Times New Roman" w:hAnsi="Verdana" w:cs="Arial"/>
          <w:iCs/>
          <w:lang w:val="es-ES" w:eastAsia="es-ES_tradnl"/>
        </w:rPr>
        <w:t xml:space="preserve"> las multas y la cláusula penal pecuniaria tienen una finalidad común –en lo sustancial–, que se concreta en el logro de los objetivos propuestos en el contrato; se diferencian en que la multa por regla general es conminatoria del cumplimiento de las obligaciones en razón al acaecimiento de incumplimientos parciales; la cláusula penal constituye en principio, una tasación anticipada de perjuicios, a raíz de la declaratoria de caducidad o del incumplimiento definitivo del contrato”</w:t>
      </w:r>
      <w:r w:rsidRPr="0032313B">
        <w:rPr>
          <w:rFonts w:ascii="Verdana" w:eastAsia="Times New Roman" w:hAnsi="Verdana" w:cs="Times New Roman"/>
          <w:vertAlign w:val="superscript"/>
          <w:lang w:val="es-ES" w:eastAsia="es-ES_tradnl"/>
        </w:rPr>
        <w:footnoteReference w:id="9"/>
      </w:r>
      <w:r w:rsidRPr="0032313B">
        <w:rPr>
          <w:rFonts w:ascii="Verdana" w:eastAsia="Times New Roman" w:hAnsi="Verdana" w:cs="Arial"/>
          <w:iCs/>
          <w:lang w:val="es-ES" w:eastAsia="es-ES_tradnl"/>
        </w:rPr>
        <w:t xml:space="preserve">. </w:t>
      </w:r>
    </w:p>
    <w:p w14:paraId="6173B308" w14:textId="77777777" w:rsidR="00D65E25" w:rsidRPr="0032313B" w:rsidRDefault="00D65E25" w:rsidP="00D65E25">
      <w:pPr>
        <w:spacing w:after="120" w:line="276" w:lineRule="auto"/>
        <w:ind w:firstLine="709"/>
        <w:jc w:val="both"/>
        <w:rPr>
          <w:rFonts w:ascii="Verdana" w:eastAsia="Times New Roman" w:hAnsi="Verdana" w:cs="Arial"/>
          <w:iCs/>
          <w:lang w:val="es-ES" w:eastAsia="es-ES_tradnl"/>
        </w:rPr>
      </w:pPr>
      <w:r w:rsidRPr="0032313B">
        <w:rPr>
          <w:rFonts w:ascii="Verdana" w:eastAsia="Times New Roman" w:hAnsi="Verdana" w:cs="Arial"/>
          <w:iCs/>
          <w:lang w:val="es-ES" w:eastAsia="es-ES_tradnl"/>
        </w:rPr>
        <w:t xml:space="preserve">En efecto, las </w:t>
      </w:r>
      <w:r w:rsidRPr="0032313B">
        <w:rPr>
          <w:rFonts w:ascii="Verdana" w:eastAsia="Times New Roman" w:hAnsi="Verdana" w:cs="Arial"/>
          <w:i/>
          <w:lang w:val="es-ES" w:eastAsia="es-ES_tradnl"/>
        </w:rPr>
        <w:t>multas</w:t>
      </w:r>
      <w:r w:rsidRPr="0032313B">
        <w:rPr>
          <w:rFonts w:ascii="Verdana" w:eastAsia="Times New Roman" w:hAnsi="Verdana" w:cs="Arial"/>
          <w:iCs/>
          <w:lang w:val="es-ES" w:eastAsia="es-ES_tradnl"/>
        </w:rPr>
        <w:t xml:space="preserve"> proceden en todo contrato estatal siempre que se hayan pactado, y cumplen una función sancionatoria que no tienen carácter indemnizatorio</w:t>
      </w:r>
      <w:r w:rsidRPr="0032313B">
        <w:rPr>
          <w:rFonts w:ascii="Verdana" w:eastAsia="Times New Roman" w:hAnsi="Verdana" w:cs="Arial"/>
          <w:iCs/>
          <w:vertAlign w:val="superscript"/>
          <w:lang w:val="es-ES" w:eastAsia="es-ES_tradnl"/>
        </w:rPr>
        <w:footnoteReference w:id="10"/>
      </w:r>
      <w:r w:rsidRPr="0032313B">
        <w:rPr>
          <w:rFonts w:ascii="Verdana" w:eastAsia="Times New Roman" w:hAnsi="Verdana" w:cs="Arial"/>
          <w:iCs/>
          <w:lang w:val="es-ES" w:eastAsia="es-ES_tradnl"/>
        </w:rPr>
        <w:t xml:space="preserve">. Por otra parte, según lo dispuesto en el artículo 1592 del Código Civil, la </w:t>
      </w:r>
      <w:r w:rsidRPr="0032313B">
        <w:rPr>
          <w:rFonts w:ascii="Verdana" w:eastAsia="Times New Roman" w:hAnsi="Verdana" w:cs="Arial"/>
          <w:i/>
          <w:lang w:val="es-ES" w:eastAsia="es-ES_tradnl"/>
        </w:rPr>
        <w:t>cláusula penal</w:t>
      </w:r>
      <w:r w:rsidRPr="0032313B">
        <w:rPr>
          <w:rFonts w:ascii="Verdana" w:eastAsia="Times New Roman" w:hAnsi="Verdana" w:cs="Arial"/>
          <w:iCs/>
          <w:lang w:val="es-ES" w:eastAsia="es-ES_tradnl"/>
        </w:rPr>
        <w:t xml:space="preserve"> es aquella en que “</w:t>
      </w:r>
      <w:r w:rsidRPr="0032313B">
        <w:rPr>
          <w:rFonts w:ascii="Verdana" w:eastAsia="Times New Roman" w:hAnsi="Verdana" w:cs="Arial"/>
          <w:lang w:val="es-ES" w:eastAsia="es-ES_tradnl"/>
        </w:rPr>
        <w:t xml:space="preserve">una persona, para asegurar el cumplimiento de una </w:t>
      </w:r>
      <w:proofErr w:type="spellStart"/>
      <w:r w:rsidRPr="0032313B">
        <w:rPr>
          <w:rFonts w:ascii="Verdana" w:eastAsia="Times New Roman" w:hAnsi="Verdana" w:cs="Arial"/>
          <w:lang w:val="es-ES" w:eastAsia="es-ES_tradnl"/>
        </w:rPr>
        <w:t>obligación</w:t>
      </w:r>
      <w:proofErr w:type="spellEnd"/>
      <w:r w:rsidRPr="0032313B">
        <w:rPr>
          <w:rFonts w:ascii="Verdana" w:eastAsia="Times New Roman" w:hAnsi="Verdana" w:cs="Arial"/>
          <w:lang w:val="es-ES" w:eastAsia="es-ES_tradnl"/>
        </w:rPr>
        <w:t xml:space="preserve">, se sujeta a una pena que consiste en dar o hacer algo en caso de no ejecutar o retardar la </w:t>
      </w:r>
      <w:proofErr w:type="spellStart"/>
      <w:r w:rsidRPr="0032313B">
        <w:rPr>
          <w:rFonts w:ascii="Verdana" w:eastAsia="Times New Roman" w:hAnsi="Verdana" w:cs="Arial"/>
          <w:lang w:val="es-ES" w:eastAsia="es-ES_tradnl"/>
        </w:rPr>
        <w:t>obligación</w:t>
      </w:r>
      <w:proofErr w:type="spellEnd"/>
      <w:r w:rsidRPr="0032313B">
        <w:rPr>
          <w:rFonts w:ascii="Verdana" w:eastAsia="Times New Roman" w:hAnsi="Verdana" w:cs="Arial"/>
          <w:lang w:val="es-ES" w:eastAsia="es-ES_tradnl"/>
        </w:rPr>
        <w:t xml:space="preserve"> principal</w:t>
      </w:r>
      <w:r w:rsidRPr="0032313B">
        <w:rPr>
          <w:rFonts w:ascii="Verdana" w:eastAsia="Times New Roman" w:hAnsi="Verdana" w:cs="Arial"/>
          <w:i/>
          <w:iCs/>
          <w:lang w:val="es-ES" w:eastAsia="es-ES_tradnl"/>
        </w:rPr>
        <w:t xml:space="preserve">”. </w:t>
      </w:r>
      <w:r w:rsidRPr="0032313B">
        <w:rPr>
          <w:rFonts w:ascii="Verdana" w:eastAsia="Times New Roman" w:hAnsi="Verdana" w:cs="Arial"/>
          <w:lang w:val="es-ES" w:eastAsia="es-ES_tradnl"/>
        </w:rPr>
        <w:t>De esta forma, es una obligación accesoria en la que el contratista se compromete a pagar una suma de dinero estimada de manera previa en caso de un incumplimiento de las obligaciones</w:t>
      </w:r>
      <w:r w:rsidRPr="0032313B">
        <w:rPr>
          <w:rFonts w:ascii="Verdana" w:eastAsia="Times New Roman" w:hAnsi="Verdana" w:cs="Arial"/>
          <w:iCs/>
          <w:lang w:val="es-ES" w:eastAsia="es-ES_tradnl"/>
        </w:rPr>
        <w:t xml:space="preserve">. </w:t>
      </w:r>
      <w:r w:rsidRPr="0032313B">
        <w:rPr>
          <w:rFonts w:ascii="Verdana" w:eastAsia="Calibri" w:hAnsi="Verdana" w:cs="Arial"/>
          <w:color w:val="000000" w:themeColor="text1"/>
          <w:lang w:val="es-ES"/>
        </w:rPr>
        <w:t xml:space="preserve">Así, se ha entendido que la cláusula penal puede cumplir varias funciones, a saber: i) estimación anticipada de perjuicios; </w:t>
      </w:r>
      <w:proofErr w:type="spellStart"/>
      <w:r w:rsidRPr="0032313B">
        <w:rPr>
          <w:rFonts w:ascii="Verdana" w:eastAsia="Calibri" w:hAnsi="Verdana" w:cs="Arial"/>
          <w:color w:val="000000" w:themeColor="text1"/>
          <w:lang w:val="es-ES"/>
        </w:rPr>
        <w:t>ii</w:t>
      </w:r>
      <w:proofErr w:type="spellEnd"/>
      <w:r w:rsidRPr="0032313B">
        <w:rPr>
          <w:rFonts w:ascii="Verdana" w:eastAsia="Calibri" w:hAnsi="Verdana" w:cs="Arial"/>
          <w:color w:val="000000" w:themeColor="text1"/>
          <w:lang w:val="es-ES"/>
        </w:rPr>
        <w:t xml:space="preserve">) medio de apremio al deudor, y </w:t>
      </w:r>
      <w:proofErr w:type="spellStart"/>
      <w:r w:rsidRPr="0032313B">
        <w:rPr>
          <w:rFonts w:ascii="Verdana" w:eastAsia="Calibri" w:hAnsi="Verdana" w:cs="Arial"/>
          <w:color w:val="000000" w:themeColor="text1"/>
          <w:lang w:val="es-ES"/>
        </w:rPr>
        <w:t>iii</w:t>
      </w:r>
      <w:proofErr w:type="spellEnd"/>
      <w:r w:rsidRPr="0032313B">
        <w:rPr>
          <w:rFonts w:ascii="Verdana" w:eastAsia="Calibri" w:hAnsi="Verdana" w:cs="Arial"/>
          <w:color w:val="000000" w:themeColor="text1"/>
          <w:lang w:val="es-ES"/>
        </w:rPr>
        <w:t xml:space="preserve">) caución o garantía del cumplimiento de la obligación principal. La Sala de Casación Civil de la Corte Suprema de Justicia ratificó esta naturaleza de la cláusula penal, en los siguientes términos: </w:t>
      </w:r>
    </w:p>
    <w:p w14:paraId="2EA81A31" w14:textId="77777777" w:rsidR="00D65E25" w:rsidRPr="0032313B" w:rsidRDefault="00D65E25" w:rsidP="00D65E25">
      <w:pPr>
        <w:spacing w:after="120" w:line="240" w:lineRule="auto"/>
        <w:ind w:left="709" w:right="709" w:firstLine="709"/>
        <w:jc w:val="both"/>
        <w:rPr>
          <w:rFonts w:ascii="Verdana" w:hAnsi="Verdana" w:cs="Arial"/>
          <w:iCs/>
          <w:sz w:val="20"/>
          <w:szCs w:val="20"/>
          <w:lang w:val="es-ES" w:eastAsia="es-ES_tradnl"/>
        </w:rPr>
      </w:pPr>
      <w:r w:rsidRPr="0032313B">
        <w:rPr>
          <w:rFonts w:ascii="Arial" w:eastAsia="Calibri" w:hAnsi="Arial" w:cs="Arial"/>
          <w:color w:val="000000" w:themeColor="text1"/>
          <w:sz w:val="21"/>
          <w:szCs w:val="21"/>
          <w:lang w:val="es-ES"/>
        </w:rPr>
        <w:br/>
      </w:r>
      <w:r w:rsidRPr="0032313B">
        <w:rPr>
          <w:rFonts w:ascii="Verdana" w:eastAsia="Calibri" w:hAnsi="Verdana" w:cs="Arial"/>
          <w:color w:val="000000" w:themeColor="text1"/>
          <w:sz w:val="20"/>
          <w:szCs w:val="20"/>
          <w:lang w:val="es-ES"/>
        </w:rPr>
        <w:t xml:space="preserve">[E]n el ámbito de la dogmática jurídica civil, se denomina «cláusula penal» al acuerdo de las partes sobre la estimación de los perjuicios compensatorios o moratorios, para el evento del incumplimiento del </w:t>
      </w:r>
      <w:r w:rsidRPr="0032313B">
        <w:rPr>
          <w:rFonts w:ascii="Verdana" w:eastAsia="Calibri" w:hAnsi="Verdana" w:cs="Arial"/>
          <w:color w:val="000000" w:themeColor="text1"/>
          <w:sz w:val="20"/>
          <w:szCs w:val="20"/>
          <w:lang w:val="es-ES"/>
        </w:rPr>
        <w:lastRenderedPageBreak/>
        <w:t>convenio o la mora en la satisfacción de las obligaciones derivadas del mismo, recibiendo en el primer caso el nombre de «cláusula penal compensatoria» y en el segundo, «cláusula penal moratoria»; así mismo se reconoce, que cumple la función complementaria de apremiar al deudor para el adecuado cumplimiento de la prestación. En virtud de lo anterior, cabe señalar, que dicho pacto tiene el carácter de una «obligación accesoria», en cuanto tiene por objeto asegurar el cumplimiento de otra obligación; igualmente, constituye una «obligación condicional», porque la pena solo se debe ante el incumplimiento o retardo de la «obligación principal»; y también puede representar una liquidación convencional y anticipada de los perjuicios en caso de configurarse alguno de tales supuestos.</w:t>
      </w:r>
      <w:r w:rsidRPr="0032313B">
        <w:rPr>
          <w:rFonts w:ascii="Verdana" w:eastAsia="Calibri" w:hAnsi="Verdana" w:cs="Arial"/>
          <w:color w:val="000000" w:themeColor="text1"/>
          <w:sz w:val="20"/>
          <w:szCs w:val="20"/>
          <w:vertAlign w:val="superscript"/>
          <w:lang w:val="es-ES"/>
        </w:rPr>
        <w:footnoteReference w:id="11"/>
      </w:r>
    </w:p>
    <w:p w14:paraId="02018CF1" w14:textId="77777777" w:rsidR="00D65E25" w:rsidRPr="0032313B" w:rsidRDefault="00D65E25" w:rsidP="00D65E25">
      <w:pPr>
        <w:spacing w:after="120" w:line="276" w:lineRule="auto"/>
        <w:ind w:firstLine="709"/>
        <w:jc w:val="both"/>
        <w:rPr>
          <w:rFonts w:ascii="Verdana" w:eastAsia="Batang" w:hAnsi="Verdana" w:cs="Arial"/>
          <w:iCs/>
          <w:lang w:val="es-ES" w:eastAsia="es-ES"/>
        </w:rPr>
      </w:pPr>
      <w:r w:rsidRPr="0032313B">
        <w:rPr>
          <w:rFonts w:ascii="Verdana" w:eastAsia="Times New Roman" w:hAnsi="Verdana" w:cs="Arial"/>
          <w:iCs/>
          <w:lang w:val="es-ES"/>
        </w:rPr>
        <w:t>En tal sentido, es importante destacar que la cláusula penal es un elemento accidental en los contratos estatales porque se pacta de común acuerdo por las partes, de conformidad con el principio de la autonomía de la voluntad, al que remiten los artículos 13, 32 y 40 de la Ley 80 de 1993. Al respecto, la doctrina expresa: “La cláusula penal pecuniaria se constituye en una tasación anticipada de perjuicios ocasionados por el incumplimiento del deudor de la obligación principal del contrato […]”</w:t>
      </w:r>
      <w:r w:rsidRPr="0032313B">
        <w:rPr>
          <w:rFonts w:ascii="Verdana" w:eastAsia="Times New Roman" w:hAnsi="Verdana" w:cs="Arial"/>
          <w:iCs/>
          <w:vertAlign w:val="superscript"/>
          <w:lang w:val="es-ES"/>
        </w:rPr>
        <w:footnoteReference w:id="12"/>
      </w:r>
      <w:r w:rsidRPr="0032313B">
        <w:rPr>
          <w:rFonts w:ascii="Verdana" w:eastAsia="Times New Roman" w:hAnsi="Verdana" w:cs="Arial"/>
          <w:iCs/>
          <w:lang w:val="es-ES"/>
        </w:rPr>
        <w:t xml:space="preserve">. </w:t>
      </w:r>
      <w:r w:rsidRPr="0032313B">
        <w:rPr>
          <w:rFonts w:ascii="Verdana" w:eastAsia="Times New Roman" w:hAnsi="Verdana" w:cs="Arial"/>
          <w:lang w:val="es-ES" w:eastAsia="x-none"/>
        </w:rPr>
        <w:t>Asimismo, el Consejo de Estado plantea que:</w:t>
      </w:r>
      <w:r w:rsidRPr="0032313B">
        <w:rPr>
          <w:rFonts w:ascii="Verdana" w:eastAsia="Times New Roman" w:hAnsi="Verdana" w:cs="Arial"/>
          <w:iCs/>
          <w:lang w:val="es-ES"/>
        </w:rPr>
        <w:t xml:space="preserve"> “</w:t>
      </w:r>
      <w:r w:rsidRPr="0032313B">
        <w:rPr>
          <w:rFonts w:ascii="Verdana" w:eastAsia="Batang" w:hAnsi="Verdana" w:cs="Arial"/>
          <w:iCs/>
          <w:lang w:val="es-ES" w:eastAsia="es-ES"/>
        </w:rPr>
        <w:t xml:space="preserve">Con la imposición y ejecución de la cláusula penal se penaliza al contratista, por el incumplimiento grave del contrato, constituyendo una verdadera indemnización, </w:t>
      </w:r>
      <w:proofErr w:type="gramStart"/>
      <w:r w:rsidRPr="0032313B">
        <w:rPr>
          <w:rFonts w:ascii="Verdana" w:eastAsia="Batang" w:hAnsi="Verdana" w:cs="Arial"/>
          <w:iCs/>
          <w:lang w:val="es-ES" w:eastAsia="es-ES"/>
        </w:rPr>
        <w:t>que</w:t>
      </w:r>
      <w:proofErr w:type="gramEnd"/>
      <w:r w:rsidRPr="0032313B">
        <w:rPr>
          <w:rFonts w:ascii="Verdana" w:eastAsia="Batang" w:hAnsi="Verdana" w:cs="Arial"/>
          <w:iCs/>
          <w:lang w:val="es-ES" w:eastAsia="es-ES"/>
        </w:rPr>
        <w:t xml:space="preserve"> aunque parcial es definitiva, pues con ella se resarcen los perjuicios, o parte de ellos, a favor de la parte que ha cumplido el negocio</w:t>
      </w:r>
      <w:r w:rsidRPr="0032313B">
        <w:rPr>
          <w:rFonts w:ascii="Verdana" w:eastAsia="Times New Roman" w:hAnsi="Verdana" w:cs="Arial"/>
          <w:iCs/>
          <w:lang w:val="es-ES"/>
        </w:rPr>
        <w:t>”</w:t>
      </w:r>
      <w:r w:rsidRPr="0032313B">
        <w:rPr>
          <w:rFonts w:ascii="Verdana" w:eastAsia="Batang" w:hAnsi="Verdana" w:cs="Arial"/>
          <w:iCs/>
          <w:vertAlign w:val="superscript"/>
          <w:lang w:val="es-ES" w:eastAsia="es-ES"/>
        </w:rPr>
        <w:footnoteReference w:id="13"/>
      </w:r>
      <w:r w:rsidRPr="0032313B">
        <w:rPr>
          <w:rFonts w:ascii="Verdana" w:eastAsia="Batang" w:hAnsi="Verdana" w:cs="Arial"/>
          <w:iCs/>
          <w:lang w:val="es-ES" w:eastAsia="es-ES"/>
        </w:rPr>
        <w:t>.</w:t>
      </w:r>
    </w:p>
    <w:p w14:paraId="1088A370" w14:textId="77777777" w:rsidR="00D65E25" w:rsidRPr="0032313B" w:rsidRDefault="00D65E25" w:rsidP="00D65E25">
      <w:pPr>
        <w:spacing w:before="120" w:after="120" w:line="276" w:lineRule="auto"/>
        <w:ind w:firstLine="708"/>
        <w:jc w:val="both"/>
        <w:rPr>
          <w:rFonts w:ascii="Arial" w:eastAsia="Calibri" w:hAnsi="Arial" w:cs="Arial"/>
          <w:color w:val="000000" w:themeColor="text1"/>
          <w:lang w:val="es-ES"/>
        </w:rPr>
      </w:pPr>
      <w:r w:rsidRPr="0032313B">
        <w:rPr>
          <w:rFonts w:ascii="Verdana" w:eastAsia="Batang" w:hAnsi="Verdana" w:cs="Arial"/>
          <w:iCs/>
          <w:lang w:val="es-ES" w:eastAsia="es-ES"/>
        </w:rPr>
        <w:t>Por lo tanto, en virtud de la autonomía de la voluntad –artículo 1602 Código Civil–, las partes de un contrato, para procurar el cumplimiento de las obligaciones a su favor, pueden pactar las cláusulas contractuales de apremio y la pena adjudicable a la parte incumplida. Su naturaleza es punitiva y se causan en los eventos en los que se configure un incumplimiento contractual del deudor.</w:t>
      </w:r>
      <w:r w:rsidRPr="0032313B">
        <w:rPr>
          <w:rFonts w:ascii="Arial" w:eastAsia="Calibri" w:hAnsi="Arial" w:cs="Arial"/>
          <w:color w:val="000000" w:themeColor="text1"/>
          <w:lang w:val="es-ES"/>
        </w:rPr>
        <w:t xml:space="preserve"> </w:t>
      </w:r>
      <w:r w:rsidRPr="0032313B">
        <w:rPr>
          <w:rFonts w:ascii="Verdana" w:eastAsia="Times New Roman" w:hAnsi="Verdana" w:cs="Arial"/>
          <w:iCs/>
          <w:lang w:val="es-ES" w:eastAsia="es-ES_tradnl"/>
        </w:rPr>
        <w:t xml:space="preserve">De esta manera, tanto la imposición unilateral de las multas pactadas, como la </w:t>
      </w:r>
      <w:r w:rsidRPr="0032313B">
        <w:rPr>
          <w:rFonts w:ascii="Verdana" w:eastAsia="Times New Roman" w:hAnsi="Verdana" w:cs="Arial"/>
          <w:iCs/>
          <w:lang w:val="es-ES" w:eastAsia="es-ES_tradnl"/>
        </w:rPr>
        <w:lastRenderedPageBreak/>
        <w:t xml:space="preserve">reclamación de la cláusula penal, ocurre como manifestación de las prerrogativas de control, dirección y coerción que ejerce el Estado ante un incumplimiento por parte de sus contratistas. </w:t>
      </w:r>
    </w:p>
    <w:p w14:paraId="64F2C7C5" w14:textId="77777777" w:rsidR="00D65E25" w:rsidRDefault="00D65E25" w:rsidP="00D65E25">
      <w:pPr>
        <w:spacing w:before="120" w:after="120" w:line="276" w:lineRule="auto"/>
        <w:ind w:firstLine="708"/>
        <w:jc w:val="both"/>
        <w:rPr>
          <w:rFonts w:ascii="Verdana" w:eastAsia="Times New Roman" w:hAnsi="Verdana" w:cs="Arial"/>
          <w:lang w:val="es-ES" w:eastAsia="es-ES_tradnl"/>
        </w:rPr>
      </w:pPr>
      <w:r w:rsidRPr="0032313B">
        <w:rPr>
          <w:rFonts w:ascii="Verdana" w:eastAsia="Times New Roman" w:hAnsi="Verdana" w:cs="Arial"/>
          <w:iCs/>
          <w:lang w:val="es-ES" w:eastAsia="es-ES_tradnl"/>
        </w:rPr>
        <w:t xml:space="preserve">Por otra parte, según lo dispuesto en el parágrafo del citado artículo 17 de la Ley 1150 de 2007, las Entidades Estatales tienen la potestad de hacer efectiva la cláusula penal y las multas que hayan sido pactadas de forma directa:  i) descontando el valor de los saldos a favor del contratista siempre cuando exista una cuenta pendiente por pagar, es decir mediante la compensación a la que se refiere el artículo 1714 de Código Civil); </w:t>
      </w:r>
      <w:proofErr w:type="spellStart"/>
      <w:r w:rsidRPr="0032313B">
        <w:rPr>
          <w:rFonts w:ascii="Verdana" w:eastAsia="Times New Roman" w:hAnsi="Verdana" w:cs="Arial"/>
          <w:iCs/>
          <w:lang w:val="es-ES" w:eastAsia="es-ES_tradnl"/>
        </w:rPr>
        <w:t>ii</w:t>
      </w:r>
      <w:proofErr w:type="spellEnd"/>
      <w:r w:rsidRPr="0032313B">
        <w:rPr>
          <w:rFonts w:ascii="Verdana" w:eastAsia="Times New Roman" w:hAnsi="Verdana" w:cs="Arial"/>
          <w:iCs/>
          <w:lang w:val="es-ES" w:eastAsia="es-ES_tradnl"/>
        </w:rPr>
        <w:t xml:space="preserve">) haciendo efectivas las pólizas otorgadas para asegurar el riesgo de incumplimiento; o </w:t>
      </w:r>
      <w:proofErr w:type="spellStart"/>
      <w:r w:rsidRPr="0032313B">
        <w:rPr>
          <w:rFonts w:ascii="Verdana" w:eastAsia="Times New Roman" w:hAnsi="Verdana" w:cs="Arial"/>
          <w:iCs/>
          <w:lang w:val="es-ES" w:eastAsia="es-ES_tradnl"/>
        </w:rPr>
        <w:t>iii</w:t>
      </w:r>
      <w:proofErr w:type="spellEnd"/>
      <w:r w:rsidRPr="0032313B">
        <w:rPr>
          <w:rFonts w:ascii="Verdana" w:eastAsia="Times New Roman" w:hAnsi="Verdana" w:cs="Arial"/>
          <w:iCs/>
          <w:lang w:val="es-ES" w:eastAsia="es-ES_tradnl"/>
        </w:rPr>
        <w:t>) mediante cobro coactivo</w:t>
      </w:r>
      <w:r w:rsidRPr="0032313B">
        <w:rPr>
          <w:rFonts w:ascii="Verdana" w:eastAsia="Times New Roman" w:hAnsi="Verdana" w:cs="Arial"/>
          <w:iCs/>
          <w:vertAlign w:val="superscript"/>
          <w:lang w:val="es-ES" w:eastAsia="es-ES_tradnl"/>
        </w:rPr>
        <w:footnoteReference w:id="14"/>
      </w:r>
      <w:r w:rsidRPr="0032313B">
        <w:rPr>
          <w:rFonts w:ascii="Verdana" w:eastAsia="Times New Roman" w:hAnsi="Verdana" w:cs="Arial"/>
          <w:iCs/>
          <w:lang w:val="es-ES" w:eastAsia="es-ES_tradnl"/>
        </w:rPr>
        <w:t>.</w:t>
      </w:r>
    </w:p>
    <w:p w14:paraId="50E6B75E" w14:textId="77777777" w:rsidR="00D65E25" w:rsidRDefault="00D65E25" w:rsidP="00D65E25">
      <w:pPr>
        <w:spacing w:before="120" w:after="120" w:line="276" w:lineRule="auto"/>
        <w:ind w:firstLine="709"/>
        <w:jc w:val="both"/>
        <w:rPr>
          <w:rFonts w:ascii="Verdana" w:eastAsia="Calibri" w:hAnsi="Verdana" w:cs="Arial"/>
          <w:color w:val="000000" w:themeColor="text1"/>
        </w:rPr>
      </w:pPr>
      <w:r w:rsidRPr="00FC0D69">
        <w:rPr>
          <w:rFonts w:ascii="Verdana" w:eastAsia="Calibri" w:hAnsi="Verdana" w:cs="Arial"/>
          <w:color w:val="000000" w:themeColor="text1"/>
        </w:rPr>
        <w:t>Es preciso distinguir esta compensación, ejercida de manera unilateral por la entidad para hacer efectiva la multa o la cláusula penal, de la compensación o cruce de cuentas que las partes convienen de común acuerdo como fórmula de arreglo directo. La primera es una potestad que presupone la previa declaratoria del incumplimiento por el procedimiento del artículo 86 de la Ley 1474 de 2011 y opera cuando concurren sus requisitos. La segunda es un mecanismo autocompositivo, fundado en la autonomía de la voluntad, que no exige declaratoria de incumplimiento y se perfecciona con el consentimiento de las partes. En ambos casos, la compensación legal exige que las dos deudas sean de dinero o de cosas fungibles de igual género y calidad, y que sean líquidas y actualmente exigibles, conforme a los artículos 1714 a 1716 del Código Civil.</w:t>
      </w:r>
    </w:p>
    <w:p w14:paraId="3E157315" w14:textId="77777777" w:rsidR="00D65E25" w:rsidRPr="00F36D2A" w:rsidRDefault="00D65E25" w:rsidP="00D65E25">
      <w:pPr>
        <w:spacing w:after="120" w:line="276" w:lineRule="auto"/>
        <w:ind w:firstLine="709"/>
        <w:jc w:val="both"/>
        <w:rPr>
          <w:rFonts w:ascii="Verdana" w:hAnsi="Verdana" w:cs="Arial"/>
          <w:iCs/>
          <w:lang w:eastAsia="es-ES_tradnl"/>
        </w:rPr>
      </w:pPr>
      <w:r w:rsidRPr="00BE4AA0">
        <w:rPr>
          <w:rFonts w:ascii="Verdana" w:hAnsi="Verdana" w:cs="Arial"/>
          <w:iCs/>
          <w:lang w:eastAsia="es-ES_tradnl"/>
        </w:rPr>
        <w:t xml:space="preserve">En cuanto a la competencia temporal para la imposición de sanciones por incumplimientos contractuales, esta no se determina por la denominación de la medida, sino por su naturaleza jurídica y por la función que cumple dentro de la relación contractual. </w:t>
      </w:r>
      <w:r w:rsidRPr="00BE4AA0">
        <w:rPr>
          <w:rFonts w:ascii="Verdana" w:eastAsia="Times New Roman" w:hAnsi="Verdana" w:cs="Arial"/>
          <w:iCs/>
          <w:lang w:eastAsia="es-ES_tradnl"/>
        </w:rPr>
        <w:t>En este sentido, la multa debe imponerse durante la ejecución del con</w:t>
      </w:r>
      <w:r>
        <w:rPr>
          <w:rFonts w:ascii="Verdana" w:eastAsia="Times New Roman" w:hAnsi="Verdana" w:cs="Arial"/>
          <w:iCs/>
          <w:lang w:eastAsia="es-ES_tradnl"/>
        </w:rPr>
        <w:t>trato</w:t>
      </w:r>
      <w:r w:rsidRPr="00BE4AA0">
        <w:rPr>
          <w:rFonts w:ascii="Verdana" w:eastAsia="Times New Roman" w:hAnsi="Verdana" w:cs="Arial"/>
          <w:iCs/>
          <w:lang w:eastAsia="es-ES_tradnl"/>
        </w:rPr>
        <w:t>, en tanto constituye un mecanismo de coerción orientado a conminar al cooperante al cumplimiento oportuno de sus obligaciones. Su finalidad es esencialmente preventiva y correctiva, por lo que solo resulta procedente mientras el c</w:t>
      </w:r>
      <w:r>
        <w:rPr>
          <w:rFonts w:ascii="Verdana" w:eastAsia="Times New Roman" w:hAnsi="Verdana" w:cs="Arial"/>
          <w:iCs/>
          <w:lang w:eastAsia="es-ES_tradnl"/>
        </w:rPr>
        <w:t>ontrato</w:t>
      </w:r>
      <w:r w:rsidRPr="00BE4AA0">
        <w:rPr>
          <w:rFonts w:ascii="Verdana" w:eastAsia="Times New Roman" w:hAnsi="Verdana" w:cs="Arial"/>
          <w:iCs/>
          <w:lang w:eastAsia="es-ES_tradnl"/>
        </w:rPr>
        <w:t xml:space="preserve"> se encuentra vigente y en curso de ejecución.</w:t>
      </w:r>
      <w:r w:rsidRPr="00BE4AA0">
        <w:rPr>
          <w:rFonts w:ascii="Verdana" w:hAnsi="Verdana" w:cs="Arial"/>
          <w:iCs/>
          <w:lang w:eastAsia="es-ES_tradnl"/>
        </w:rPr>
        <w:t xml:space="preserve"> </w:t>
      </w:r>
      <w:r w:rsidRPr="00BE4AA0">
        <w:rPr>
          <w:rFonts w:ascii="Verdana" w:eastAsia="Times New Roman" w:hAnsi="Verdana" w:cs="Arial"/>
          <w:iCs/>
          <w:lang w:eastAsia="es-ES_tradnl"/>
        </w:rPr>
        <w:t xml:space="preserve">Por su parte, la cláusula penal pecuniaria, dada su naturaleza sancionatoria y/o indemnizatoria, puede hacerse efectiva incluso una vez finalizada la relación </w:t>
      </w:r>
      <w:r w:rsidRPr="00BE4AA0">
        <w:rPr>
          <w:rFonts w:ascii="Verdana" w:eastAsia="Times New Roman" w:hAnsi="Verdana" w:cs="Arial"/>
          <w:iCs/>
          <w:lang w:eastAsia="es-ES_tradnl"/>
        </w:rPr>
        <w:lastRenderedPageBreak/>
        <w:t>contractual. Esta facultad se extiende hasta el plazo previsto para la liquidación del</w:t>
      </w:r>
      <w:r>
        <w:rPr>
          <w:rFonts w:ascii="Verdana" w:eastAsia="Times New Roman" w:hAnsi="Verdana" w:cs="Arial"/>
          <w:iCs/>
          <w:lang w:eastAsia="es-ES_tradnl"/>
        </w:rPr>
        <w:t xml:space="preserve"> contrato</w:t>
      </w:r>
      <w:r w:rsidRPr="00BE4AA0">
        <w:rPr>
          <w:rFonts w:ascii="Verdana" w:eastAsia="Times New Roman" w:hAnsi="Verdana" w:cs="Arial"/>
          <w:iCs/>
          <w:lang w:eastAsia="es-ES_tradnl"/>
        </w:rPr>
        <w:t xml:space="preserve">, etapa en la cual la entidad puede determinar y cuantificar los perjuicios derivados del incumplimiento, siempre que así se haya estipulado en el instrumento contractual. </w:t>
      </w:r>
      <w:r>
        <w:rPr>
          <w:rFonts w:ascii="Verdana" w:eastAsia="Times New Roman" w:hAnsi="Verdana" w:cs="Arial"/>
          <w:iCs/>
          <w:lang w:eastAsia="es-ES_tradnl"/>
        </w:rPr>
        <w:t>En tal sentido, se retoma lo expuesto en el Concepto C-939 del 24 de julio de 2026, que</w:t>
      </w:r>
      <w:r w:rsidRPr="00BE4AA0">
        <w:rPr>
          <w:rFonts w:ascii="Verdana" w:eastAsia="Times New Roman" w:hAnsi="Verdana" w:cs="Arial"/>
          <w:iCs/>
          <w:lang w:eastAsia="es-ES_tradnl"/>
        </w:rPr>
        <w:t xml:space="preserve"> </w:t>
      </w:r>
      <w:r>
        <w:rPr>
          <w:rFonts w:ascii="Verdana" w:eastAsia="Times New Roman" w:hAnsi="Verdana" w:cs="Arial"/>
          <w:iCs/>
          <w:lang w:eastAsia="es-ES_tradnl"/>
        </w:rPr>
        <w:t xml:space="preserve">adoptó </w:t>
      </w:r>
      <w:r w:rsidRPr="00BE4AA0">
        <w:rPr>
          <w:rFonts w:ascii="Verdana" w:eastAsia="Times New Roman" w:hAnsi="Verdana" w:cs="Arial"/>
          <w:iCs/>
          <w:lang w:eastAsia="es-ES_tradnl"/>
        </w:rPr>
        <w:t>el criterio según el cual el límite temporal se determina por la naturaleza de la medida y por el término de que dispone la administración para liquidar el negocio jurídico</w:t>
      </w:r>
      <w:r w:rsidRPr="00BE4AA0">
        <w:rPr>
          <w:rFonts w:ascii="Verdana" w:eastAsia="Times New Roman" w:hAnsi="Verdana" w:cs="Arial"/>
          <w:iCs/>
          <w:lang w:val="es-ES" w:eastAsia="es-ES_tradnl"/>
        </w:rPr>
        <w:t>.</w:t>
      </w:r>
      <w:r>
        <w:rPr>
          <w:rFonts w:ascii="Verdana" w:hAnsi="Verdana" w:cs="Arial"/>
          <w:iCs/>
          <w:lang w:eastAsia="es-ES_tradnl"/>
        </w:rPr>
        <w:t xml:space="preserve"> </w:t>
      </w:r>
      <w:r w:rsidRPr="00BE4AA0">
        <w:rPr>
          <w:rFonts w:ascii="Verdana" w:eastAsia="Times New Roman" w:hAnsi="Verdana" w:cs="Arial"/>
          <w:iCs/>
          <w:lang w:eastAsia="es-ES_tradnl"/>
        </w:rPr>
        <w:t>Como lo ha expresado el Consejo de Estado con respecto a estas cláusulas, resulta pertinente precisar que la potestad sancionatoria debe ejercerse de acuerdo con el tipo de medida a imponer, a la culminación de la relación negocial o la fecha prevista para la liquidación del negocio jurídico</w:t>
      </w:r>
      <w:r w:rsidRPr="00BE4AA0">
        <w:rPr>
          <w:rFonts w:ascii="Verdana" w:eastAsia="Times New Roman" w:hAnsi="Verdana" w:cs="Arial"/>
          <w:iCs/>
          <w:vertAlign w:val="superscript"/>
          <w:lang w:eastAsia="es-ES_tradnl"/>
        </w:rPr>
        <w:footnoteReference w:id="15"/>
      </w:r>
      <w:r w:rsidRPr="00BE4AA0">
        <w:rPr>
          <w:rFonts w:ascii="Verdana" w:eastAsia="Times New Roman" w:hAnsi="Verdana" w:cs="Arial"/>
          <w:iCs/>
          <w:lang w:eastAsia="es-ES_tradnl"/>
        </w:rPr>
        <w:t xml:space="preserve">. </w:t>
      </w:r>
    </w:p>
    <w:p w14:paraId="57ECAF9D" w14:textId="77777777" w:rsidR="00D65E25" w:rsidRPr="00B743E8" w:rsidRDefault="00D65E25" w:rsidP="00D65E25">
      <w:pPr>
        <w:spacing w:after="0" w:line="276" w:lineRule="auto"/>
        <w:jc w:val="both"/>
        <w:rPr>
          <w:rFonts w:ascii="Verdana" w:hAnsi="Verdana" w:cs="Arial"/>
          <w:iCs/>
          <w:lang w:eastAsia="es-ES_tradnl"/>
        </w:rPr>
      </w:pPr>
    </w:p>
    <w:p w14:paraId="2E1A02B6" w14:textId="77777777" w:rsidR="00D65E25" w:rsidRPr="009037F6" w:rsidRDefault="00D65E25" w:rsidP="00D65E25">
      <w:pPr>
        <w:spacing w:after="120" w:line="276" w:lineRule="auto"/>
        <w:jc w:val="both"/>
        <w:rPr>
          <w:rFonts w:ascii="Verdana" w:eastAsia="Times New Roman" w:hAnsi="Verdana" w:cs="Arial"/>
          <w:bCs/>
          <w:iCs/>
          <w:color w:val="000000" w:themeColor="text1"/>
          <w:lang w:val="es-ES"/>
        </w:rPr>
      </w:pPr>
      <w:proofErr w:type="spellStart"/>
      <w:r>
        <w:rPr>
          <w:rFonts w:ascii="Verdana" w:eastAsia="Times New Roman" w:hAnsi="Verdana" w:cs="Arial"/>
          <w:iCs/>
          <w:lang w:val="es-ES" w:eastAsia="es-ES_tradnl"/>
        </w:rPr>
        <w:t>ii</w:t>
      </w:r>
      <w:proofErr w:type="spellEnd"/>
      <w:r>
        <w:rPr>
          <w:rFonts w:ascii="Verdana" w:eastAsia="Times New Roman" w:hAnsi="Verdana" w:cs="Arial"/>
          <w:iCs/>
          <w:lang w:val="es-ES" w:eastAsia="es-ES_tradnl"/>
        </w:rPr>
        <w:t>. E</w:t>
      </w:r>
      <w:r w:rsidRPr="009037F6">
        <w:rPr>
          <w:rFonts w:ascii="Verdana" w:eastAsia="Times New Roman" w:hAnsi="Verdana" w:cs="Arial"/>
          <w:iCs/>
          <w:color w:val="000000" w:themeColor="text1"/>
          <w:lang w:val="es-ES"/>
        </w:rPr>
        <w:t>l artículo 86 de la Ley 1474 de 2011 establece las reglas del procedimiento mediante las cuales se materializan los derechos y garantías derivadas del debido proceso, para su aplicación concreta en materia sancionatoria contractual. De conformidad con esta disposición, las entidades sometidas al EGCAP observarán este procedimiento para la declaratoria unilateral del siniestro, del incumplimiento, para hacer efectiva la cláusula penal o las multas pactadas y la declaratoria de caducidad como potestad exorbitante</w:t>
      </w:r>
      <w:r w:rsidRPr="009037F6">
        <w:rPr>
          <w:rFonts w:ascii="Verdana" w:eastAsia="Calibri" w:hAnsi="Verdana" w:cs="Arial"/>
          <w:iCs/>
          <w:lang w:val="es-MX"/>
        </w:rPr>
        <w:t xml:space="preserve"> que se funda en </w:t>
      </w:r>
      <w:r w:rsidRPr="009037F6">
        <w:rPr>
          <w:rFonts w:ascii="Verdana" w:eastAsia="Times New Roman" w:hAnsi="Verdana" w:cs="Arial"/>
          <w:iCs/>
          <w:color w:val="000000" w:themeColor="text1"/>
          <w:lang w:val="es-MX"/>
        </w:rPr>
        <w:t>el incumplimiento de las obligaciones del contratista, que afecte de manera grave y directa la ejecución del contrato y evidencie que puede conducir a su paralización. En efecto, la caducidad consiste en sancionar al contratista y, a su vez, permitirle a la entidad continuar con la ejecución por otros medios, regulados en el artículo 18 de la Ley 80 de 1993</w:t>
      </w:r>
      <w:r w:rsidRPr="009037F6">
        <w:rPr>
          <w:rFonts w:ascii="Verdana" w:eastAsia="Times New Roman" w:hAnsi="Verdana" w:cs="Arial"/>
          <w:iCs/>
          <w:color w:val="000000" w:themeColor="text1"/>
          <w:vertAlign w:val="superscript"/>
          <w:lang w:val="es-MX"/>
        </w:rPr>
        <w:footnoteReference w:id="16"/>
      </w:r>
      <w:r w:rsidRPr="009037F6">
        <w:rPr>
          <w:rFonts w:ascii="Verdana" w:eastAsia="Times New Roman" w:hAnsi="Verdana" w:cs="Arial"/>
          <w:iCs/>
          <w:color w:val="000000" w:themeColor="text1"/>
          <w:lang w:val="es-MX"/>
        </w:rPr>
        <w:t xml:space="preserve">. </w:t>
      </w:r>
    </w:p>
    <w:p w14:paraId="36E6D071" w14:textId="77777777" w:rsidR="00D65E25" w:rsidRPr="009037F6" w:rsidRDefault="00D65E25" w:rsidP="00D65E25">
      <w:pPr>
        <w:spacing w:after="0" w:line="276" w:lineRule="auto"/>
        <w:ind w:firstLine="709"/>
        <w:jc w:val="both"/>
        <w:rPr>
          <w:rFonts w:ascii="Verdana" w:eastAsia="Calibri" w:hAnsi="Verdana" w:cs="Arial"/>
          <w:color w:val="000000" w:themeColor="text1"/>
          <w:lang w:val="es-ES"/>
        </w:rPr>
      </w:pPr>
      <w:r w:rsidRPr="009037F6">
        <w:rPr>
          <w:rFonts w:ascii="Verdana" w:eastAsia="Times New Roman" w:hAnsi="Verdana" w:cs="Arial"/>
          <w:iCs/>
          <w:color w:val="000000" w:themeColor="text1"/>
          <w:lang w:val="es-ES"/>
        </w:rPr>
        <w:lastRenderedPageBreak/>
        <w:t>Como precisión previa, vale la pena aclarar que e</w:t>
      </w:r>
      <w:r w:rsidRPr="009037F6">
        <w:rPr>
          <w:rFonts w:ascii="Verdana" w:eastAsia="Calibri" w:hAnsi="Verdana" w:cs="Arial"/>
          <w:color w:val="000000" w:themeColor="text1"/>
          <w:lang w:val="es-ES"/>
        </w:rPr>
        <w:t>l artículo 86 de la Ley 1474 de 2011 regula un procedimiento administrativo sancionatorio dirigido a sujetos específicos: las entidades sometidas al Estatuto General de Contratación de la Administración Pública</w:t>
      </w:r>
      <w:r w:rsidRPr="009037F6">
        <w:rPr>
          <w:rFonts w:ascii="Verdana" w:eastAsia="Calibri" w:hAnsi="Verdana" w:cs="Arial"/>
          <w:color w:val="000000" w:themeColor="text1"/>
          <w:vertAlign w:val="superscript"/>
          <w:lang w:val="es-ES"/>
        </w:rPr>
        <w:footnoteReference w:id="17"/>
      </w:r>
      <w:r w:rsidRPr="009037F6">
        <w:rPr>
          <w:rFonts w:ascii="Verdana" w:eastAsia="Calibri" w:hAnsi="Verdana" w:cs="Arial"/>
          <w:color w:val="000000" w:themeColor="text1"/>
          <w:lang w:val="es-ES"/>
        </w:rPr>
        <w:t xml:space="preserve">. De ahí que las entidades de </w:t>
      </w:r>
      <w:r w:rsidRPr="009037F6">
        <w:rPr>
          <w:rFonts w:ascii="Verdana" w:eastAsia="Calibri" w:hAnsi="Verdana" w:cs="Arial"/>
          <w:i/>
          <w:iCs/>
          <w:color w:val="000000" w:themeColor="text1"/>
          <w:lang w:val="es-ES"/>
        </w:rPr>
        <w:t>régimen especial</w:t>
      </w:r>
      <w:r w:rsidRPr="009037F6">
        <w:rPr>
          <w:rFonts w:ascii="Verdana" w:eastAsia="Calibri" w:hAnsi="Verdana" w:cs="Arial"/>
          <w:i/>
          <w:iCs/>
          <w:color w:val="000000" w:themeColor="text1"/>
          <w:vertAlign w:val="superscript"/>
          <w:lang w:val="es-ES"/>
        </w:rPr>
        <w:footnoteReference w:id="18"/>
      </w:r>
      <w:r w:rsidRPr="009037F6">
        <w:rPr>
          <w:rFonts w:ascii="Verdana" w:eastAsia="Calibri" w:hAnsi="Verdana" w:cs="Arial"/>
          <w:color w:val="000000" w:themeColor="text1"/>
          <w:lang w:val="es-ES"/>
        </w:rPr>
        <w:t xml:space="preserve"> en materia contractual no pueden aplicar el procedimiento administrativo sancionatorio regulado en el artículo 86 de la Ley 1474 de 2011, al no ser entidades sometidas al Estatuto General de Contratación de la Administración Pública, sino, por el contrario, entidades exceptuadas de este, salvo remisiones expresas establecidas por la Ley. La norma indicada desarrolla el procedimiento de la siguiente manera:</w:t>
      </w:r>
    </w:p>
    <w:p w14:paraId="4FD74E19" w14:textId="77777777" w:rsidR="00D65E25" w:rsidRPr="009037F6" w:rsidRDefault="00D65E25" w:rsidP="00D65E25">
      <w:pPr>
        <w:spacing w:after="0" w:line="276" w:lineRule="auto"/>
        <w:ind w:firstLine="709"/>
        <w:jc w:val="both"/>
        <w:rPr>
          <w:rFonts w:ascii="Verdana" w:eastAsia="Calibri" w:hAnsi="Verdana" w:cs="Arial"/>
          <w:color w:val="000000" w:themeColor="text1"/>
          <w:lang w:val="es-ES"/>
        </w:rPr>
      </w:pPr>
    </w:p>
    <w:p w14:paraId="11DC0720" w14:textId="77777777" w:rsidR="00D65E25" w:rsidRPr="009037F6" w:rsidRDefault="00D65E25" w:rsidP="00D65E25">
      <w:pPr>
        <w:spacing w:line="240" w:lineRule="auto"/>
        <w:ind w:left="709" w:right="709"/>
        <w:contextualSpacing/>
        <w:jc w:val="both"/>
        <w:rPr>
          <w:rFonts w:ascii="Verdana" w:hAnsi="Verdana" w:cs="Arial"/>
          <w:iCs/>
          <w:color w:val="000000" w:themeColor="text1"/>
          <w:sz w:val="20"/>
          <w:szCs w:val="20"/>
          <w:lang w:val="es-ES"/>
        </w:rPr>
      </w:pPr>
      <w:bookmarkStart w:id="2" w:name="86"/>
      <w:r w:rsidRPr="009037F6">
        <w:rPr>
          <w:rFonts w:ascii="Verdana" w:hAnsi="Verdana" w:cs="Arial"/>
          <w:iCs/>
          <w:color w:val="000000" w:themeColor="text1"/>
          <w:sz w:val="20"/>
          <w:szCs w:val="20"/>
          <w:lang w:val="es-ES"/>
        </w:rPr>
        <w:t>“Artículo 86. Imposición de multas, sanciones y declaratorias de incumplimiento.</w:t>
      </w:r>
      <w:bookmarkEnd w:id="2"/>
      <w:r w:rsidRPr="009037F6">
        <w:rPr>
          <w:rFonts w:ascii="Verdana" w:hAnsi="Verdana" w:cs="Arial"/>
          <w:iCs/>
          <w:color w:val="000000" w:themeColor="text1"/>
          <w:sz w:val="20"/>
          <w:szCs w:val="20"/>
          <w:lang w:val="es-ES"/>
        </w:rPr>
        <w:t xml:space="preserve"> Las entidades sometidas al Estatuto General de Contratación de la Administración Pública podrán declarar el incumplimiento, cuantificando los perjuicios </w:t>
      </w:r>
      <w:proofErr w:type="gramStart"/>
      <w:r w:rsidRPr="009037F6">
        <w:rPr>
          <w:rFonts w:ascii="Verdana" w:hAnsi="Verdana" w:cs="Arial"/>
          <w:iCs/>
          <w:color w:val="000000" w:themeColor="text1"/>
          <w:sz w:val="20"/>
          <w:szCs w:val="20"/>
          <w:lang w:val="es-ES"/>
        </w:rPr>
        <w:t>del mismo</w:t>
      </w:r>
      <w:proofErr w:type="gramEnd"/>
      <w:r w:rsidRPr="009037F6">
        <w:rPr>
          <w:rFonts w:ascii="Verdana" w:hAnsi="Verdana" w:cs="Arial"/>
          <w:iCs/>
          <w:color w:val="000000" w:themeColor="text1"/>
          <w:sz w:val="20"/>
          <w:szCs w:val="20"/>
          <w:lang w:val="es-ES"/>
        </w:rPr>
        <w:t>, imponer las multas y sanciones pactadas en el contrato, y hacer efectiva la cláusula penal. Para tal efecto observarán el siguiente procedimiento:</w:t>
      </w:r>
    </w:p>
    <w:p w14:paraId="410A1BA2" w14:textId="77777777" w:rsidR="00D65E25" w:rsidRPr="009037F6" w:rsidRDefault="00D65E25" w:rsidP="00D65E25">
      <w:pPr>
        <w:spacing w:line="240" w:lineRule="auto"/>
        <w:ind w:left="709" w:right="709"/>
        <w:contextualSpacing/>
        <w:jc w:val="both"/>
        <w:rPr>
          <w:rFonts w:ascii="Verdana" w:hAnsi="Verdana" w:cs="Arial"/>
          <w:iCs/>
          <w:color w:val="000000" w:themeColor="text1"/>
          <w:sz w:val="20"/>
          <w:szCs w:val="20"/>
          <w:lang w:val="es-ES"/>
        </w:rPr>
      </w:pPr>
    </w:p>
    <w:p w14:paraId="3BD2FADB" w14:textId="77777777" w:rsidR="00D65E25" w:rsidRPr="009037F6" w:rsidRDefault="00D65E25" w:rsidP="00D65E25">
      <w:pPr>
        <w:spacing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a) Evidenciado un posible incumplimiento de las obligaciones a cargo del contratista, la entidad pública lo citará a audiencia para debatir lo ocurrido. En la citación, hará mención expresa y detallada de los hechos que la soportan, acompañando el informe de interventoría o de supervisión en el que se sustente la actuación y enunciará las normas o cláusulas posiblemente violadas y las consecuencias que podrían derivarse para el contratista en desarrollo de la actuación. En la misma se establecerá el lugar, fecha y hora para la realización de la audiencia, la que podrá tener lugar a la mayor brevedad posible, atendida la naturaleza del contrato y la periodicidad establecida para el cumplimiento de las obligaciones contractuales. En el evento en que la garantía de cumplimiento consista en póliza de seguros, el garante será citado de la misma manera;</w:t>
      </w:r>
    </w:p>
    <w:p w14:paraId="27EE77B4" w14:textId="77777777" w:rsidR="00D65E25" w:rsidRPr="009037F6" w:rsidRDefault="00D65E25" w:rsidP="00D65E25">
      <w:pPr>
        <w:spacing w:line="240" w:lineRule="auto"/>
        <w:ind w:left="709" w:right="709"/>
        <w:contextualSpacing/>
        <w:jc w:val="both"/>
        <w:rPr>
          <w:rFonts w:ascii="Verdana" w:hAnsi="Verdana"/>
          <w:sz w:val="20"/>
          <w:szCs w:val="20"/>
          <w:lang w:val="es-ES"/>
        </w:rPr>
      </w:pPr>
    </w:p>
    <w:p w14:paraId="02730D8F" w14:textId="77777777" w:rsidR="00D65E25" w:rsidRPr="009037F6" w:rsidRDefault="00D65E25" w:rsidP="00D65E25">
      <w:pPr>
        <w:spacing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 xml:space="preserve">b) En desarrollo de la audiencia, el jefe de la entidad o su </w:t>
      </w:r>
      <w:proofErr w:type="gramStart"/>
      <w:r w:rsidRPr="009037F6">
        <w:rPr>
          <w:rFonts w:ascii="Verdana" w:hAnsi="Verdana" w:cs="Arial"/>
          <w:iCs/>
          <w:color w:val="000000" w:themeColor="text1"/>
          <w:sz w:val="20"/>
          <w:szCs w:val="20"/>
          <w:lang w:val="es-ES"/>
        </w:rPr>
        <w:t>delegado,</w:t>
      </w:r>
      <w:proofErr w:type="gramEnd"/>
      <w:r w:rsidRPr="009037F6">
        <w:rPr>
          <w:rFonts w:ascii="Verdana" w:hAnsi="Verdana" w:cs="Arial"/>
          <w:iCs/>
          <w:color w:val="000000" w:themeColor="text1"/>
          <w:sz w:val="20"/>
          <w:szCs w:val="20"/>
          <w:lang w:val="es-ES"/>
        </w:rPr>
        <w:t xml:space="preserve"> presentará las circunstancias de hecho que motivan la actuación, enunciará las posibles normas o cláusulas posiblemente violadas y las consecuencias que podrían derivarse para el contratista en desarrollo de </w:t>
      </w:r>
      <w:r w:rsidRPr="009037F6">
        <w:rPr>
          <w:rFonts w:ascii="Verdana" w:hAnsi="Verdana" w:cs="Arial"/>
          <w:iCs/>
          <w:color w:val="000000" w:themeColor="text1"/>
          <w:sz w:val="20"/>
          <w:szCs w:val="20"/>
          <w:lang w:val="es-ES"/>
        </w:rPr>
        <w:lastRenderedPageBreak/>
        <w:t>la actuación. Acto seguido se concederá el uso de la palabra al representante legal del contratista o a quien lo represente, y al garante, para que presenten sus descargos, en desarrollo de lo cual podrá rendir las explicaciones del caso, aportar pruebas y controvertir las presentadas por la entidad;</w:t>
      </w:r>
    </w:p>
    <w:p w14:paraId="12DBE046" w14:textId="77777777" w:rsidR="00D65E25" w:rsidRPr="009037F6" w:rsidRDefault="00D65E25" w:rsidP="00D65E25">
      <w:pPr>
        <w:spacing w:line="240" w:lineRule="auto"/>
        <w:ind w:left="709" w:right="709"/>
        <w:contextualSpacing/>
        <w:jc w:val="both"/>
        <w:rPr>
          <w:rFonts w:ascii="Verdana" w:hAnsi="Verdana" w:cs="Arial"/>
          <w:iCs/>
          <w:color w:val="000000" w:themeColor="text1"/>
          <w:sz w:val="20"/>
          <w:szCs w:val="20"/>
          <w:lang w:val="es-ES"/>
        </w:rPr>
      </w:pPr>
    </w:p>
    <w:p w14:paraId="18378F30" w14:textId="77777777" w:rsidR="00D65E25" w:rsidRPr="009037F6" w:rsidRDefault="00D65E25" w:rsidP="00D65E25">
      <w:pPr>
        <w:spacing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c) Hecho lo precedente, mediante resolución motivada en la que se consigne lo ocurrido en desarrollo de la audiencia y la cual se entenderá notificada en dicho acto público, la entidad procederá a decidir sobre la imposición o no de la multa, sanción o declaratoria de incumplimiento. Contra la decisión así proferida sólo procede el recurso de reposición que se interpondrá, sustentará y decidirá en la misma audiencia. La decisión sobre el recurso se entenderá notificada en la misma audiencia;</w:t>
      </w:r>
    </w:p>
    <w:p w14:paraId="267CDFEF" w14:textId="77777777" w:rsidR="00D65E25" w:rsidRPr="009037F6" w:rsidRDefault="00D65E25" w:rsidP="00D65E25">
      <w:pPr>
        <w:spacing w:line="240" w:lineRule="auto"/>
        <w:ind w:left="709" w:right="709"/>
        <w:contextualSpacing/>
        <w:jc w:val="both"/>
        <w:rPr>
          <w:rFonts w:ascii="Verdana" w:hAnsi="Verdana" w:cs="Arial"/>
          <w:iCs/>
          <w:color w:val="000000" w:themeColor="text1"/>
          <w:sz w:val="20"/>
          <w:szCs w:val="20"/>
          <w:lang w:val="es-ES"/>
        </w:rPr>
      </w:pPr>
    </w:p>
    <w:p w14:paraId="1FA78FD8" w14:textId="77777777" w:rsidR="00D65E25" w:rsidRPr="009037F6" w:rsidRDefault="00D65E25" w:rsidP="00D65E25">
      <w:pPr>
        <w:spacing w:after="0"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d) En cualquier momento del desarrollo de la audiencia, el jefe de la entidad o su delegado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administrativa. En todo caso, al adoptar la decisión, se señalará fecha y hora para reanudar la audiencia. La entidad podrá dar por terminado el procedimiento en cualquier momento, si por algún medio tiene conocimiento de la cesación de situación de incumplimiento.”</w:t>
      </w:r>
    </w:p>
    <w:p w14:paraId="7A4617E6" w14:textId="77777777" w:rsidR="00D65E25" w:rsidRPr="009037F6" w:rsidRDefault="00D65E25" w:rsidP="00D65E25">
      <w:pPr>
        <w:spacing w:after="0" w:line="240" w:lineRule="auto"/>
        <w:ind w:left="709" w:right="709"/>
        <w:contextualSpacing/>
        <w:jc w:val="both"/>
        <w:rPr>
          <w:rFonts w:ascii="Verdana" w:hAnsi="Verdana" w:cs="Arial"/>
          <w:iCs/>
          <w:color w:val="000000" w:themeColor="text1"/>
          <w:sz w:val="20"/>
          <w:szCs w:val="20"/>
          <w:lang w:val="es-ES"/>
        </w:rPr>
      </w:pPr>
    </w:p>
    <w:p w14:paraId="6E0FC8DD" w14:textId="77777777" w:rsidR="00D65E25" w:rsidRPr="004F246A" w:rsidRDefault="00D65E25" w:rsidP="00D65E25">
      <w:pPr>
        <w:spacing w:after="120" w:line="276" w:lineRule="auto"/>
        <w:ind w:firstLine="709"/>
        <w:jc w:val="both"/>
        <w:rPr>
          <w:rFonts w:ascii="Verdana" w:eastAsia="Times New Roman" w:hAnsi="Verdana" w:cs="Arial"/>
          <w:iCs/>
          <w:color w:val="000000"/>
          <w:szCs w:val="24"/>
          <w:lang w:val="es-ES_tradnl" w:eastAsia="es-ES_tradnl"/>
        </w:rPr>
      </w:pPr>
      <w:r w:rsidRPr="004F246A">
        <w:rPr>
          <w:rFonts w:ascii="Verdana" w:eastAsia="Times New Roman" w:hAnsi="Verdana" w:cs="Arial"/>
          <w:iCs/>
          <w:color w:val="000000"/>
          <w:szCs w:val="24"/>
          <w:lang w:val="es-ES_tradnl" w:eastAsia="es-ES_tradnl"/>
        </w:rPr>
        <w:t>Cabe destacar que esta norma no cualifica o se circunscribe a ciertos tipos de incumplimiento. En consecuencia, la declaratoria de cualquier incumplimiento, sea total o parcial, o independiente de su gravedad, debe realizarse con plena observancia de las reglas procedimentales del artículo 86 de la Ley 1474 de 2011. Est</w:t>
      </w:r>
      <w:r>
        <w:rPr>
          <w:rFonts w:ascii="Verdana" w:eastAsia="Times New Roman" w:hAnsi="Verdana" w:cs="Arial"/>
          <w:iCs/>
          <w:color w:val="000000"/>
          <w:szCs w:val="24"/>
          <w:lang w:val="es-ES_tradnl" w:eastAsia="es-ES_tradnl"/>
        </w:rPr>
        <w:t>o es así como consecuencia del “</w:t>
      </w:r>
      <w:r w:rsidRPr="004F246A">
        <w:rPr>
          <w:rFonts w:ascii="Verdana" w:eastAsia="Times New Roman" w:hAnsi="Verdana" w:cs="Arial"/>
          <w:iCs/>
          <w:color w:val="000000"/>
          <w:szCs w:val="24"/>
          <w:lang w:val="es-ES_tradnl" w:eastAsia="es-ES_tradnl"/>
        </w:rPr>
        <w:t>principio general de interpretación jurídica según el cual donde la norma no distingue, no le corresponde dist</w:t>
      </w:r>
      <w:r>
        <w:rPr>
          <w:rFonts w:ascii="Verdana" w:eastAsia="Times New Roman" w:hAnsi="Verdana" w:cs="Arial"/>
          <w:iCs/>
          <w:color w:val="000000"/>
          <w:szCs w:val="24"/>
          <w:lang w:val="es-ES_tradnl" w:eastAsia="es-ES_tradnl"/>
        </w:rPr>
        <w:t>inguir al intérprete”</w:t>
      </w:r>
      <w:r w:rsidRPr="004F246A">
        <w:rPr>
          <w:rFonts w:ascii="Verdana" w:eastAsia="Times New Roman" w:hAnsi="Verdana" w:cs="Arial"/>
          <w:color w:val="000000"/>
          <w:sz w:val="24"/>
          <w:szCs w:val="24"/>
          <w:vertAlign w:val="superscript"/>
          <w:lang w:eastAsia="es-ES_tradnl"/>
        </w:rPr>
        <w:footnoteReference w:id="19"/>
      </w:r>
      <w:r w:rsidRPr="004F246A">
        <w:rPr>
          <w:rFonts w:ascii="Verdana" w:eastAsia="Times New Roman" w:hAnsi="Verdana" w:cs="Arial"/>
          <w:iCs/>
          <w:color w:val="000000"/>
          <w:szCs w:val="24"/>
          <w:lang w:val="es-ES_tradnl" w:eastAsia="es-ES_tradnl"/>
        </w:rPr>
        <w:t>. A la misma conclusión se llega si se tiene en consideración la necesidad de</w:t>
      </w:r>
      <w:r>
        <w:rPr>
          <w:rFonts w:ascii="Verdana" w:eastAsia="Times New Roman" w:hAnsi="Verdana" w:cs="Arial"/>
          <w:iCs/>
          <w:color w:val="000000"/>
          <w:szCs w:val="24"/>
          <w:lang w:val="es-ES_tradnl" w:eastAsia="es-ES_tradnl"/>
        </w:rPr>
        <w:t xml:space="preserve"> respetar el debido proceso en “</w:t>
      </w:r>
      <w:r w:rsidRPr="004F246A">
        <w:rPr>
          <w:rFonts w:ascii="Verdana" w:eastAsia="Times New Roman" w:hAnsi="Verdana" w:cs="Arial"/>
          <w:iCs/>
          <w:color w:val="000000"/>
          <w:szCs w:val="24"/>
          <w:lang w:val="es-ES_tradnl" w:eastAsia="es-ES_tradnl"/>
        </w:rPr>
        <w:t xml:space="preserve">todas </w:t>
      </w:r>
      <w:r>
        <w:rPr>
          <w:rFonts w:ascii="Verdana" w:eastAsia="Times New Roman" w:hAnsi="Verdana" w:cs="Arial"/>
          <w:iCs/>
          <w:color w:val="000000"/>
          <w:szCs w:val="24"/>
          <w:lang w:val="es-ES_tradnl" w:eastAsia="es-ES_tradnl"/>
        </w:rPr>
        <w:t>las actuaciones administrativas”</w:t>
      </w:r>
      <w:r w:rsidRPr="004F246A">
        <w:rPr>
          <w:rFonts w:ascii="Verdana" w:eastAsia="Times New Roman" w:hAnsi="Verdana" w:cs="Arial"/>
          <w:iCs/>
          <w:color w:val="000000"/>
          <w:szCs w:val="24"/>
          <w:lang w:val="es-ES_tradnl" w:eastAsia="es-ES_tradnl"/>
        </w:rPr>
        <w:t xml:space="preserve"> como lo </w:t>
      </w:r>
      <w:r>
        <w:rPr>
          <w:rFonts w:ascii="Verdana" w:eastAsia="Times New Roman" w:hAnsi="Verdana" w:cs="Arial"/>
          <w:iCs/>
          <w:color w:val="000000"/>
          <w:szCs w:val="24"/>
          <w:lang w:val="es-ES_tradnl" w:eastAsia="es-ES_tradnl"/>
        </w:rPr>
        <w:t>dispone el artículo 29 de la Constitución Política.</w:t>
      </w:r>
    </w:p>
    <w:p w14:paraId="6E99BF4B" w14:textId="77777777" w:rsidR="00D65E25" w:rsidRDefault="00D65E25" w:rsidP="00D65E25">
      <w:pPr>
        <w:spacing w:after="120" w:line="276" w:lineRule="auto"/>
        <w:ind w:firstLine="708"/>
        <w:jc w:val="both"/>
        <w:rPr>
          <w:rFonts w:ascii="Verdana" w:hAnsi="Verdana" w:cs="Arial"/>
          <w:color w:val="000000" w:themeColor="text1"/>
          <w:lang w:val="es-ES"/>
        </w:rPr>
      </w:pPr>
      <w:r w:rsidRPr="004F246A">
        <w:rPr>
          <w:rFonts w:ascii="Verdana" w:eastAsia="Times New Roman" w:hAnsi="Verdana" w:cs="Arial"/>
          <w:iCs/>
          <w:color w:val="000000"/>
          <w:szCs w:val="24"/>
          <w:lang w:val="es-ES_tradnl" w:eastAsia="es-ES_tradnl"/>
        </w:rPr>
        <w:t xml:space="preserve">De conformidad con lo anterior, el artículo 86 de la Ley 1474 de 2011 establece las etapas del procedimiento que se deben seguir, las cuales se sintetizan, de forma esquemática, así: </w:t>
      </w:r>
      <w:r w:rsidRPr="14DBD07D">
        <w:rPr>
          <w:rFonts w:ascii="Verdana" w:hAnsi="Verdana" w:cs="Arial"/>
          <w:color w:val="000000" w:themeColor="text1"/>
          <w:lang w:val="es-ES"/>
        </w:rPr>
        <w:t xml:space="preserve">a) </w:t>
      </w:r>
      <w:r w:rsidRPr="14DBD07D">
        <w:rPr>
          <w:rFonts w:ascii="Verdana" w:hAnsi="Verdana" w:cs="Arial"/>
          <w:i/>
          <w:color w:val="000000" w:themeColor="text1"/>
          <w:lang w:val="es-ES"/>
        </w:rPr>
        <w:t>Citación a audiencia</w:t>
      </w:r>
      <w:r w:rsidRPr="14DBD07D">
        <w:rPr>
          <w:rFonts w:ascii="Verdana" w:hAnsi="Verdana" w:cs="Arial"/>
          <w:color w:val="000000" w:themeColor="text1"/>
          <w:lang w:val="es-ES"/>
        </w:rPr>
        <w:t xml:space="preserve">. Es necesario mencionar expresa y detalladamente los hechos que la soportan, así como, </w:t>
      </w:r>
      <w:r w:rsidRPr="14DBD07D">
        <w:rPr>
          <w:rFonts w:ascii="Verdana" w:hAnsi="Verdana" w:cs="Arial"/>
          <w:color w:val="000000" w:themeColor="text1"/>
          <w:lang w:val="es-ES"/>
        </w:rPr>
        <w:lastRenderedPageBreak/>
        <w:t xml:space="preserve">también, adjuntar el informe de interventoría o de supervisión en el que se sustente la actuación, enunciar las normas o cláusulas posiblemente violadas y referir las consecuencias que podrían recaer sobre el contratista en el desarrollo de la actuación, citando a la aseguradora cuando la garantía de cumplimiento consista en una póliza. b) </w:t>
      </w:r>
      <w:r w:rsidRPr="14DBD07D">
        <w:rPr>
          <w:rFonts w:ascii="Verdana" w:hAnsi="Verdana" w:cs="Arial"/>
          <w:i/>
          <w:color w:val="000000" w:themeColor="text1"/>
          <w:lang w:val="es-ES"/>
        </w:rPr>
        <w:t>Audiencia</w:t>
      </w:r>
      <w:r w:rsidRPr="14DBD07D">
        <w:rPr>
          <w:rFonts w:ascii="Verdana" w:hAnsi="Verdana" w:cs="Arial"/>
          <w:color w:val="000000" w:themeColor="text1"/>
          <w:lang w:val="es-ES"/>
        </w:rPr>
        <w:t>. En la diligencia intervendrá el jefe de la entidad o su delegado y, posteriormente, se le concederá el uso de la palabra al representante legal del contratista o a quien lo represente y al garante, en caso de ser necesario, para que estos presenten sus descargos, aporten y controviertan pruebas y rind</w:t>
      </w:r>
      <w:r>
        <w:rPr>
          <w:rFonts w:ascii="Verdana" w:hAnsi="Verdana" w:cs="Arial"/>
          <w:color w:val="000000" w:themeColor="text1"/>
          <w:lang w:val="es-ES"/>
        </w:rPr>
        <w:t>an las explicaciones del caso; y</w:t>
      </w:r>
      <w:r w:rsidRPr="14DBD07D">
        <w:rPr>
          <w:rFonts w:ascii="Verdana" w:hAnsi="Verdana" w:cs="Arial"/>
          <w:color w:val="000000" w:themeColor="text1"/>
          <w:lang w:val="es-ES"/>
        </w:rPr>
        <w:t xml:space="preserve"> c) </w:t>
      </w:r>
      <w:r w:rsidRPr="14DBD07D">
        <w:rPr>
          <w:rFonts w:ascii="Verdana" w:hAnsi="Verdana" w:cs="Arial"/>
          <w:i/>
          <w:color w:val="000000" w:themeColor="text1"/>
          <w:lang w:val="es-ES"/>
        </w:rPr>
        <w:t>Decisión</w:t>
      </w:r>
      <w:r w:rsidRPr="14DBD07D">
        <w:rPr>
          <w:rFonts w:ascii="Verdana" w:hAnsi="Verdana" w:cs="Arial"/>
          <w:color w:val="000000" w:themeColor="text1"/>
          <w:lang w:val="es-ES"/>
        </w:rPr>
        <w:t>. Debe estar contenida en resolución motivada donde se consigne, por un lado, lo ocurrido en el desarrollo de la diligencia y, por el otro, lo relativo a la imposición o no de multas y sanciones o la declaratoria de incumplimiento del contrato estatal. Contra la decisión únicamente procede el recurso de reposición que se interpondrá, sustentará y decidirá en la misma diligencia. Ambas decisiones se entenderán notificadas en audiencia. Lo anterior, por supuesto, sin perjuicio del control judicial que podría llegar a efectuarse.</w:t>
      </w:r>
    </w:p>
    <w:p w14:paraId="1B4C8793" w14:textId="77777777" w:rsidR="00D65E25" w:rsidRPr="009037F6" w:rsidRDefault="00D65E25" w:rsidP="00D65E25">
      <w:pPr>
        <w:spacing w:after="120" w:line="276" w:lineRule="auto"/>
        <w:ind w:firstLine="709"/>
        <w:jc w:val="both"/>
        <w:rPr>
          <w:rFonts w:ascii="Verdana" w:eastAsia="Calibri" w:hAnsi="Verdana" w:cs="Arial"/>
          <w:color w:val="000000" w:themeColor="text1"/>
          <w:lang w:val="es-ES"/>
        </w:rPr>
      </w:pPr>
      <w:r w:rsidRPr="009037F6">
        <w:rPr>
          <w:rFonts w:ascii="Verdana" w:eastAsia="Calibri" w:hAnsi="Verdana" w:cs="Arial"/>
          <w:color w:val="000000" w:themeColor="text1"/>
          <w:lang w:val="es-ES"/>
        </w:rPr>
        <w:t xml:space="preserve">El artículo 86 de la Ley 1474 de 2011 estableció de manera expresa que las entidades sometidas al EGCAP pueden adelantar ese procedimiento en los siguientes supuestos: 1) para declarar el incumplimiento, cuantificando los perjuicios </w:t>
      </w:r>
      <w:proofErr w:type="gramStart"/>
      <w:r w:rsidRPr="009037F6">
        <w:rPr>
          <w:rFonts w:ascii="Verdana" w:eastAsia="Calibri" w:hAnsi="Verdana" w:cs="Arial"/>
          <w:color w:val="000000" w:themeColor="text1"/>
          <w:lang w:val="es-ES"/>
        </w:rPr>
        <w:t>del mismo</w:t>
      </w:r>
      <w:proofErr w:type="gramEnd"/>
      <w:r w:rsidRPr="009037F6">
        <w:rPr>
          <w:rFonts w:ascii="Verdana" w:eastAsia="Calibri" w:hAnsi="Verdana" w:cs="Arial"/>
          <w:color w:val="000000" w:themeColor="text1"/>
          <w:lang w:val="es-ES"/>
        </w:rPr>
        <w:t xml:space="preserve">. En cuanto a la declaración del incumplimiento es importante tener en cuenta la caducidad como potestad exorbitante que se aplica por un incumplimiento grave y tardío de ciertos tipos contractuales; 2) imponer las multas y sanciones pactadas en el contrato, y 3) hacer efectiva la cláusula penal cuando haya sido pactada. En consecuencia, la Ley 1474 de 2011 atribuyó expresamente la competencia a las entidades para adelantar el procedimiento del artículo 86 en los tres supuestos antedichos, independientemente considerados. </w:t>
      </w:r>
    </w:p>
    <w:p w14:paraId="61F9D875" w14:textId="77777777" w:rsidR="00D65E25" w:rsidRPr="009037F6" w:rsidRDefault="00D65E25" w:rsidP="00D65E25">
      <w:pPr>
        <w:spacing w:after="120" w:line="276" w:lineRule="auto"/>
        <w:ind w:firstLine="709"/>
        <w:jc w:val="both"/>
        <w:rPr>
          <w:rFonts w:ascii="Verdana" w:eastAsia="Calibri" w:hAnsi="Verdana" w:cs="Arial"/>
          <w:color w:val="000000" w:themeColor="text1"/>
          <w:lang w:val="es-ES"/>
        </w:rPr>
      </w:pPr>
      <w:r w:rsidRPr="009037F6">
        <w:rPr>
          <w:rFonts w:ascii="Verdana" w:eastAsia="Calibri" w:hAnsi="Verdana" w:cs="Arial"/>
          <w:color w:val="000000" w:themeColor="text1"/>
          <w:lang w:val="es-ES"/>
        </w:rPr>
        <w:t xml:space="preserve">Esto es congruente con la redacción de otros apartes del artículo, como es el caso del literal c) del artículo 86, según el cual mediante resolución motivada la entidad decidirá sobre “la imposición o no de la multa, sanción </w:t>
      </w:r>
      <w:r w:rsidRPr="009037F6">
        <w:rPr>
          <w:rFonts w:ascii="Verdana" w:eastAsia="Calibri" w:hAnsi="Verdana" w:cs="Arial"/>
          <w:color w:val="000000" w:themeColor="text1"/>
          <w:u w:val="single"/>
          <w:lang w:val="es-ES"/>
        </w:rPr>
        <w:t>o declaratoria de incumplimiento</w:t>
      </w:r>
      <w:r w:rsidRPr="009037F6">
        <w:rPr>
          <w:rFonts w:ascii="Verdana" w:eastAsia="Calibri" w:hAnsi="Verdana" w:cs="Arial"/>
          <w:color w:val="000000" w:themeColor="text1"/>
          <w:lang w:val="es-ES"/>
        </w:rPr>
        <w:t xml:space="preserve">” [Énfasis propio]. Así como con lo dispuesto en el artículo 99 de la Ley 1437 de 2011 –Código de Procedimiento Administrativo y de lo Contencioso Administrativo–, el cual estableció́ como documentos que prestan mérito ejecutivo en favor del Estado “[l]os contratos o los documentos </w:t>
      </w:r>
      <w:r w:rsidRPr="009037F6">
        <w:rPr>
          <w:rFonts w:ascii="Verdana" w:eastAsia="Calibri" w:hAnsi="Verdana" w:cs="Arial"/>
          <w:color w:val="000000" w:themeColor="text1"/>
          <w:lang w:val="es-ES"/>
        </w:rPr>
        <w:lastRenderedPageBreak/>
        <w:t xml:space="preserve">en que constan sus garantías, junto con el acto administrativo que declara el incumplimiento </w:t>
      </w:r>
      <w:r w:rsidRPr="009037F6">
        <w:rPr>
          <w:rFonts w:ascii="Verdana" w:eastAsia="Calibri" w:hAnsi="Verdana" w:cs="Arial"/>
          <w:color w:val="000000" w:themeColor="text1"/>
          <w:u w:val="single"/>
          <w:lang w:val="es-ES"/>
        </w:rPr>
        <w:t>o</w:t>
      </w:r>
      <w:r w:rsidRPr="009037F6">
        <w:rPr>
          <w:rFonts w:ascii="Verdana" w:eastAsia="Calibri" w:hAnsi="Verdana" w:cs="Arial"/>
          <w:color w:val="000000" w:themeColor="text1"/>
          <w:lang w:val="es-ES"/>
        </w:rPr>
        <w:t xml:space="preserve"> la caducidad”.</w:t>
      </w:r>
      <w:r w:rsidRPr="009037F6">
        <w:rPr>
          <w:rFonts w:ascii="EhrhardtMTStd" w:eastAsia="Times New Roman" w:hAnsi="EhrhardtMTStd" w:cs="Times New Roman"/>
          <w:highlight w:val="yellow"/>
          <w:lang w:val="es-ES"/>
        </w:rPr>
        <w:t xml:space="preserve"> </w:t>
      </w:r>
    </w:p>
    <w:p w14:paraId="48F1FA56" w14:textId="77777777" w:rsidR="00D65E25" w:rsidRDefault="00D65E25" w:rsidP="00D65E25">
      <w:pPr>
        <w:spacing w:before="120" w:after="0" w:line="276" w:lineRule="auto"/>
        <w:ind w:firstLine="709"/>
        <w:jc w:val="both"/>
        <w:rPr>
          <w:rFonts w:ascii="Verdana" w:eastAsia="Calibri" w:hAnsi="Verdana" w:cs="Arial"/>
          <w:color w:val="000000" w:themeColor="text1"/>
        </w:rPr>
      </w:pPr>
      <w:r w:rsidRPr="00394A38">
        <w:rPr>
          <w:rFonts w:ascii="Verdana" w:eastAsia="Calibri" w:hAnsi="Verdana" w:cs="Arial"/>
          <w:color w:val="000000" w:themeColor="text1"/>
        </w:rPr>
        <w:t xml:space="preserve">Ahora bien, a partir de lo expuesto sobre el procedimiento administrativo sancionatorio contractual, resulta necesario examinar la posibilidad y procedencia de acudir a mecanismos de solución directa de controversias. Estos instrumentos, previstos en </w:t>
      </w:r>
      <w:r>
        <w:rPr>
          <w:rFonts w:ascii="Verdana" w:eastAsia="Calibri" w:hAnsi="Verdana" w:cs="Arial"/>
          <w:color w:val="000000" w:themeColor="text1"/>
        </w:rPr>
        <w:t>el sistema de compras públicas</w:t>
      </w:r>
      <w:r w:rsidRPr="00394A38">
        <w:rPr>
          <w:rFonts w:ascii="Verdana" w:eastAsia="Calibri" w:hAnsi="Verdana" w:cs="Arial"/>
          <w:color w:val="000000" w:themeColor="text1"/>
        </w:rPr>
        <w:t>, constituyen herramientas que pueden contribuir a gestionar oportunamente las diferencias surgidas durante la ejecución contractual y a evitar la apertura de trámites sancionatorios innecesarios.</w:t>
      </w:r>
    </w:p>
    <w:p w14:paraId="061D9C6C" w14:textId="77777777" w:rsidR="00D65E25" w:rsidRDefault="00D65E25" w:rsidP="00D65E25">
      <w:pPr>
        <w:spacing w:after="0" w:line="276" w:lineRule="auto"/>
        <w:ind w:firstLine="709"/>
        <w:jc w:val="both"/>
        <w:rPr>
          <w:rFonts w:ascii="Verdana" w:eastAsia="Calibri" w:hAnsi="Verdana" w:cs="Arial"/>
          <w:color w:val="000000" w:themeColor="text1"/>
        </w:rPr>
      </w:pPr>
    </w:p>
    <w:p w14:paraId="39069348" w14:textId="77777777" w:rsidR="00D65E25" w:rsidRPr="00E51636" w:rsidRDefault="00D65E25" w:rsidP="00D65E25">
      <w:pPr>
        <w:pStyle w:val="NormalWeb"/>
        <w:shd w:val="clear" w:color="auto" w:fill="FFFFFF"/>
        <w:spacing w:before="0" w:beforeAutospacing="0" w:after="120" w:afterAutospacing="0" w:line="276" w:lineRule="auto"/>
        <w:jc w:val="both"/>
        <w:rPr>
          <w:rFonts w:ascii="Verdana" w:hAnsi="Verdana" w:cs="Arial"/>
          <w:sz w:val="22"/>
          <w:szCs w:val="22"/>
          <w:lang w:eastAsia="es-ES_tradnl"/>
        </w:rPr>
      </w:pPr>
      <w:proofErr w:type="spellStart"/>
      <w:r>
        <w:rPr>
          <w:rFonts w:ascii="Verdana" w:hAnsi="Verdana" w:cs="Arial"/>
          <w:color w:val="000000"/>
          <w:bdr w:val="none" w:sz="0" w:space="0" w:color="auto" w:frame="1"/>
          <w:shd w:val="clear" w:color="auto" w:fill="FFFFFF"/>
          <w:lang w:eastAsia="es-ES_tradnl"/>
        </w:rPr>
        <w:t>iii</w:t>
      </w:r>
      <w:proofErr w:type="spellEnd"/>
      <w:r>
        <w:rPr>
          <w:rFonts w:ascii="Verdana" w:hAnsi="Verdana" w:cs="Arial"/>
          <w:color w:val="000000"/>
          <w:bdr w:val="none" w:sz="0" w:space="0" w:color="auto" w:frame="1"/>
          <w:shd w:val="clear" w:color="auto" w:fill="FFFFFF"/>
          <w:lang w:eastAsia="es-ES_tradnl"/>
        </w:rPr>
        <w:t xml:space="preserve">. </w:t>
      </w:r>
      <w:r w:rsidRPr="00E51636">
        <w:rPr>
          <w:rFonts w:ascii="Verdana" w:hAnsi="Verdana" w:cs="Arial"/>
          <w:sz w:val="22"/>
          <w:szCs w:val="22"/>
          <w:lang w:eastAsia="es-ES_tradnl"/>
        </w:rPr>
        <w:t>La Ley 80 de 1993 marcó un hito en la solución de controversias surgidas de la celebración, ejecución o liquidación del contrato estatal. A lo largo de su articulado, pretendió dotar al sistema de compra pública con las herramientas e instrumentos necesarios y suficientes para garantizar un escenario que permitiera una pronta, célere y eficiente solución de controversias. En esta medida, brindó espacios, oportunidades y alternativas diferentes a las tradicionales fórmulas jurisdiccionales o contenciosas.</w:t>
      </w:r>
    </w:p>
    <w:p w14:paraId="4C4D05E6" w14:textId="77777777" w:rsidR="00D65E25" w:rsidRPr="00C829ED" w:rsidRDefault="00D65E25" w:rsidP="00D65E25">
      <w:pPr>
        <w:shd w:val="clear" w:color="auto" w:fill="FFFFFF"/>
        <w:spacing w:after="120" w:line="276" w:lineRule="auto"/>
        <w:ind w:firstLine="709"/>
        <w:jc w:val="both"/>
        <w:rPr>
          <w:rFonts w:ascii="Verdana" w:eastAsia="Times New Roman" w:hAnsi="Verdana" w:cs="Arial"/>
          <w:lang w:eastAsia="es-ES_tradnl"/>
        </w:rPr>
      </w:pPr>
      <w:r w:rsidRPr="00C829ED">
        <w:rPr>
          <w:rFonts w:ascii="Verdana" w:eastAsia="Times New Roman" w:hAnsi="Verdana" w:cs="Arial"/>
          <w:lang w:eastAsia="es-ES_tradnl"/>
        </w:rPr>
        <w:t>Lo anterior con fundamento en las tesis modernas que buscan descongestionar los despachos judiciales de todas aquellas materias respecto de los cuales las propias partes pueden arreglar directamente sus diferencias o sus conflictos. Por ello, como efecto trascendental del postulado de la autonomía de la voluntad, el cual caracteriza al contrato estatal</w:t>
      </w:r>
      <w:r w:rsidRPr="00E51636">
        <w:rPr>
          <w:rFonts w:ascii="Verdana" w:eastAsia="Times New Roman" w:hAnsi="Verdana" w:cs="Arial"/>
          <w:vertAlign w:val="superscript"/>
          <w:lang w:eastAsia="es-ES_tradnl"/>
        </w:rPr>
        <w:footnoteReference w:id="20"/>
      </w:r>
      <w:r w:rsidRPr="00C829ED">
        <w:rPr>
          <w:rFonts w:ascii="Verdana" w:eastAsia="Times New Roman" w:hAnsi="Verdana" w:cs="Arial"/>
          <w:lang w:eastAsia="es-ES_tradnl"/>
        </w:rPr>
        <w:t>, el EGCAP consagró una serie de mecanismos ágiles, sencillos, claros que se orientan a que las partes contratantes solucionen directamente tanto los problemas como las diferencias y discrepancias surgidas de la actividad contractual, evitando, en lo posible, las vías judiciales</w:t>
      </w:r>
      <w:r w:rsidRPr="00E51636">
        <w:rPr>
          <w:rFonts w:ascii="Verdana" w:eastAsia="Calibri" w:hAnsi="Verdana" w:cs="Arial"/>
          <w:vertAlign w:val="superscript"/>
          <w:lang w:eastAsia="es-CO"/>
        </w:rPr>
        <w:footnoteReference w:id="21"/>
      </w:r>
      <w:r w:rsidRPr="00C829ED">
        <w:rPr>
          <w:rFonts w:ascii="Verdana" w:eastAsia="Calibri" w:hAnsi="Verdana" w:cs="Arial"/>
          <w:lang w:eastAsia="es-CO"/>
        </w:rPr>
        <w:t>.</w:t>
      </w:r>
      <w:r w:rsidRPr="00C829ED">
        <w:rPr>
          <w:rFonts w:ascii="Verdana" w:eastAsia="Times New Roman" w:hAnsi="Verdana" w:cs="Arial"/>
          <w:lang w:eastAsia="es-ES_tradnl"/>
        </w:rPr>
        <w:t xml:space="preserve"> Estos mecanismos están desarrollados en la Ley 80 de 1993 para la transparencia, la celeridad, la agilidad, los menores costos y la justicia contractual.</w:t>
      </w:r>
    </w:p>
    <w:p w14:paraId="41E8331A" w14:textId="77777777" w:rsidR="00D65E25" w:rsidRPr="00C829ED" w:rsidRDefault="00D65E25" w:rsidP="00D65E25">
      <w:pPr>
        <w:shd w:val="clear" w:color="auto" w:fill="FFFFFF"/>
        <w:spacing w:after="120" w:line="276" w:lineRule="auto"/>
        <w:ind w:firstLine="708"/>
        <w:jc w:val="both"/>
        <w:rPr>
          <w:rFonts w:ascii="Verdana" w:eastAsia="Times New Roman" w:hAnsi="Verdana" w:cs="Arial"/>
          <w:lang w:eastAsia="es-ES_tradnl"/>
        </w:rPr>
      </w:pPr>
      <w:r w:rsidRPr="00C829ED">
        <w:rPr>
          <w:rFonts w:ascii="Verdana" w:eastAsia="Times New Roman" w:hAnsi="Verdana" w:cs="Arial"/>
          <w:lang w:eastAsia="es-ES_tradnl"/>
        </w:rPr>
        <w:t xml:space="preserve">Es así como el numeral 5 del artículo 25 de la Ley 80 de 1993, en desarrollo del principio de economía, establece que se deberán adoptar procedimientos que garanticen una pronta solución de las diferencias y controversias que se presenten con motivo de la celebración y ejecución del </w:t>
      </w:r>
      <w:r w:rsidRPr="00C829ED">
        <w:rPr>
          <w:rFonts w:ascii="Verdana" w:eastAsia="Times New Roman" w:hAnsi="Verdana" w:cs="Arial"/>
          <w:lang w:eastAsia="es-ES_tradnl"/>
        </w:rPr>
        <w:lastRenderedPageBreak/>
        <w:t xml:space="preserve">contrato estatal. Igualmente, el numeral 9 del artículo 4 </w:t>
      </w:r>
      <w:r w:rsidRPr="00C829ED">
        <w:rPr>
          <w:rFonts w:ascii="Verdana" w:eastAsia="Times New Roman" w:hAnsi="Verdana" w:cs="Arial"/>
          <w:i/>
          <w:iCs/>
          <w:lang w:eastAsia="es-ES_tradnl"/>
        </w:rPr>
        <w:t>ibidem</w:t>
      </w:r>
      <w:r w:rsidRPr="00C829ED">
        <w:rPr>
          <w:rFonts w:ascii="Verdana" w:eastAsia="Times New Roman" w:hAnsi="Verdana" w:cs="Arial"/>
          <w:lang w:eastAsia="es-ES_tradnl"/>
        </w:rPr>
        <w:t>, obliga a las entidades estatales a corregir los desajustes que pudieren presentarse y que afecten o generen mayor onerosidad al contratista y, la vez, permite el acuerdo de mecanismos y procedimientos pertinentes para precaver o solucionar rápida y eficazmente las diferencias o situaciones litigiosas. En similar sentido, el inciso primero del artículo 27 del EGCAP dispone que ante la afectación del equilibrio de la ecuación contractual por causas no imputables a quien resulte afectado por él, las partes adoptarán, en el menor tiempo posible, las medidas necesarias para su restablecimiento. De otro lado, si en la ejecución o desarrollo del contrato o a su terminación e incluso en la etapa de liquidación se presentan conflictos o divergencias, prioritariamente las partes son quienes pueden solucionarlos directamente a través de mecanismos contemplados en diferentes normas legales tales como la transacción</w:t>
      </w:r>
      <w:r w:rsidRPr="00E51636">
        <w:rPr>
          <w:rFonts w:ascii="Verdana" w:eastAsia="Times New Roman" w:hAnsi="Verdana" w:cs="Arial"/>
          <w:vertAlign w:val="superscript"/>
          <w:lang w:eastAsia="es-ES_tradnl"/>
        </w:rPr>
        <w:footnoteReference w:id="22"/>
      </w:r>
      <w:r w:rsidRPr="00C829ED">
        <w:rPr>
          <w:rFonts w:ascii="Verdana" w:eastAsia="Times New Roman" w:hAnsi="Verdana" w:cs="Arial"/>
          <w:lang w:eastAsia="es-ES_tradnl"/>
        </w:rPr>
        <w:t xml:space="preserve"> y la conciliación</w:t>
      </w:r>
      <w:r w:rsidRPr="00E51636">
        <w:rPr>
          <w:rFonts w:ascii="Verdana" w:eastAsia="Times New Roman" w:hAnsi="Verdana" w:cs="Arial"/>
          <w:vertAlign w:val="superscript"/>
          <w:lang w:eastAsia="es-ES_tradnl"/>
        </w:rPr>
        <w:footnoteReference w:id="23"/>
      </w:r>
      <w:r w:rsidRPr="00C829ED">
        <w:rPr>
          <w:rFonts w:ascii="Verdana" w:eastAsia="Times New Roman" w:hAnsi="Verdana" w:cs="Arial"/>
          <w:lang w:eastAsia="es-ES_tradnl"/>
        </w:rPr>
        <w:t>.</w:t>
      </w:r>
    </w:p>
    <w:p w14:paraId="03FD5187" w14:textId="77777777" w:rsidR="00D65E25" w:rsidRPr="00C829ED" w:rsidRDefault="00D65E25" w:rsidP="00D65E25">
      <w:pPr>
        <w:shd w:val="clear" w:color="auto" w:fill="FFFFFF"/>
        <w:spacing w:after="120" w:line="276" w:lineRule="auto"/>
        <w:ind w:firstLine="708"/>
        <w:jc w:val="both"/>
        <w:rPr>
          <w:rFonts w:ascii="Verdana" w:eastAsia="Times New Roman" w:hAnsi="Verdana" w:cs="Arial"/>
          <w:lang w:eastAsia="es-ES_tradnl"/>
        </w:rPr>
      </w:pPr>
      <w:r w:rsidRPr="00C829ED">
        <w:rPr>
          <w:rFonts w:ascii="Verdana" w:eastAsia="Times New Roman" w:hAnsi="Verdana" w:cs="Arial"/>
          <w:lang w:eastAsia="es-ES_tradnl"/>
        </w:rPr>
        <w:t xml:space="preserve">Las normas mencionadas del EGCAP a título de ejemplo y los citados mecanismos autocompositivos consagrados en la ley evidencian la intención del legislador de promover la solución de controversias directamente por las partes del contrato, sin necesidad de la intervención del aparato jurisdiccional. Esto implicaría no solo la optimización en el gasto de los recursos públicos derivada de la mayor agilidad y celeridad que caracteriza los mecanismos alternativos de solución de conflictos -MASC- sino una mayor descongestión del sistema judicial. </w:t>
      </w:r>
    </w:p>
    <w:p w14:paraId="282D5CCB" w14:textId="77777777" w:rsidR="00D65E25" w:rsidRPr="00C829ED" w:rsidRDefault="00D65E25" w:rsidP="00D65E25">
      <w:pPr>
        <w:shd w:val="clear" w:color="auto" w:fill="FFFFFF"/>
        <w:spacing w:after="0" w:line="276" w:lineRule="auto"/>
        <w:ind w:firstLine="708"/>
        <w:jc w:val="both"/>
        <w:rPr>
          <w:rFonts w:ascii="Verdana" w:eastAsia="Times New Roman" w:hAnsi="Verdana" w:cs="Arial"/>
          <w:lang w:eastAsia="es-ES_tradnl"/>
        </w:rPr>
      </w:pPr>
      <w:r w:rsidRPr="00C829ED">
        <w:rPr>
          <w:rFonts w:ascii="Verdana" w:eastAsia="Times New Roman" w:hAnsi="Verdana" w:cs="Arial"/>
          <w:lang w:eastAsia="es-ES_tradnl"/>
        </w:rPr>
        <w:t xml:space="preserve">De lo anterior surge la noción del principio de arreglo directo de controversias, conforme al cual, durante el desarrollo de todo el proceso contractual, esto es, en sus etapas preparativas, de ejecución y liquidación, los </w:t>
      </w:r>
      <w:r w:rsidRPr="00C829ED">
        <w:rPr>
          <w:rFonts w:ascii="Verdana" w:eastAsia="Times New Roman" w:hAnsi="Verdana" w:cs="Arial"/>
          <w:lang w:eastAsia="es-ES_tradnl"/>
        </w:rPr>
        <w:lastRenderedPageBreak/>
        <w:t xml:space="preserve">distintos partícipes –oferentes o contratantes, según el caso– deberán preferir, siempre que ello sea posible, las fórmulas e instrumentos que el ordenamiento jurídico ha dispuesto para que solucionen directamente sus discrepancias. El adjetivo </w:t>
      </w:r>
      <w:r>
        <w:rPr>
          <w:rFonts w:ascii="Verdana" w:eastAsia="Times New Roman" w:hAnsi="Verdana" w:cs="Arial"/>
          <w:lang w:eastAsia="es-ES_tradnl"/>
        </w:rPr>
        <w:t>“</w:t>
      </w:r>
      <w:r w:rsidRPr="00C829ED">
        <w:rPr>
          <w:rFonts w:ascii="Verdana" w:eastAsia="Times New Roman" w:hAnsi="Verdana" w:cs="Arial"/>
          <w:lang w:eastAsia="es-ES_tradnl"/>
        </w:rPr>
        <w:t>directo</w:t>
      </w:r>
      <w:r>
        <w:rPr>
          <w:rFonts w:ascii="Verdana" w:eastAsia="Times New Roman" w:hAnsi="Verdana" w:cs="Arial"/>
          <w:lang w:eastAsia="es-ES_tradnl"/>
        </w:rPr>
        <w:t>” atribuible al arreglo, se refiere</w:t>
      </w:r>
      <w:r w:rsidRPr="00C829ED">
        <w:rPr>
          <w:rFonts w:ascii="Verdana" w:eastAsia="Times New Roman" w:hAnsi="Verdana" w:cs="Arial"/>
          <w:lang w:eastAsia="es-ES_tradnl"/>
        </w:rPr>
        <w:t xml:space="preserve"> a que la controversia debería </w:t>
      </w:r>
      <w:r>
        <w:rPr>
          <w:rFonts w:ascii="Verdana" w:eastAsia="Times New Roman" w:hAnsi="Verdana" w:cs="Arial"/>
          <w:lang w:eastAsia="es-ES_tradnl"/>
        </w:rPr>
        <w:t xml:space="preserve">solucionarse </w:t>
      </w:r>
      <w:r w:rsidRPr="00C829ED">
        <w:rPr>
          <w:rFonts w:ascii="Verdana" w:eastAsia="Times New Roman" w:hAnsi="Verdana" w:cs="Arial"/>
          <w:lang w:eastAsia="es-ES_tradnl"/>
        </w:rPr>
        <w:t>entre las partes directamente involucradas o interesadas en la solución, o, dicho de otra manera, las que podrían resultar directa y principalmente afectadas por la solución lograda. Este principio</w:t>
      </w:r>
      <w:r w:rsidRPr="00E51636">
        <w:rPr>
          <w:rFonts w:ascii="Verdana" w:eastAsia="Times New Roman" w:hAnsi="Verdana" w:cs="Arial"/>
          <w:vertAlign w:val="superscript"/>
          <w:lang w:eastAsia="es-ES_tradnl"/>
        </w:rPr>
        <w:footnoteReference w:id="24"/>
      </w:r>
      <w:r w:rsidRPr="00C829ED">
        <w:rPr>
          <w:rFonts w:ascii="Verdana" w:eastAsia="Times New Roman" w:hAnsi="Verdana" w:cs="Arial"/>
          <w:lang w:eastAsia="es-ES_tradnl"/>
        </w:rPr>
        <w:t xml:space="preserve"> ha sido reconocido por la jurisprudencia de la Corte Constitucional en los siguientes términos: </w:t>
      </w:r>
    </w:p>
    <w:p w14:paraId="6F4DACCA" w14:textId="77777777" w:rsidR="00D65E25" w:rsidRPr="00E24694" w:rsidRDefault="00D65E25" w:rsidP="00D65E25">
      <w:pPr>
        <w:shd w:val="clear" w:color="auto" w:fill="FFFFFF"/>
        <w:spacing w:after="0" w:line="276" w:lineRule="auto"/>
        <w:ind w:firstLine="708"/>
        <w:jc w:val="both"/>
        <w:rPr>
          <w:rFonts w:ascii="Verdana" w:eastAsia="Times New Roman" w:hAnsi="Verdana" w:cs="Arial"/>
          <w:sz w:val="20"/>
          <w:szCs w:val="20"/>
          <w:lang w:eastAsia="es-ES_tradnl"/>
        </w:rPr>
      </w:pPr>
    </w:p>
    <w:p w14:paraId="11EAA172" w14:textId="77777777" w:rsidR="00D65E25" w:rsidRPr="00E24694" w:rsidRDefault="00D65E25" w:rsidP="00D65E25">
      <w:pPr>
        <w:shd w:val="clear" w:color="auto" w:fill="FFFFFF"/>
        <w:spacing w:after="0" w:line="240" w:lineRule="auto"/>
        <w:ind w:left="709" w:right="709"/>
        <w:jc w:val="both"/>
        <w:rPr>
          <w:rFonts w:ascii="Verdana" w:eastAsia="Times New Roman" w:hAnsi="Verdana" w:cs="Arial"/>
          <w:sz w:val="20"/>
          <w:szCs w:val="20"/>
          <w:lang w:eastAsia="es-ES_tradnl"/>
        </w:rPr>
      </w:pPr>
      <w:r w:rsidRPr="00E24694">
        <w:rPr>
          <w:rFonts w:ascii="Verdana" w:eastAsia="Times New Roman" w:hAnsi="Verdana" w:cs="Arial"/>
          <w:sz w:val="20"/>
          <w:szCs w:val="20"/>
          <w:lang w:eastAsia="es-ES_tradnl"/>
        </w:rPr>
        <w:t xml:space="preserve">“El principio de arreglo directo constituye uno de los pilares fundamentales bajo los cuales se edifica el Estatuto de la Contratación Estatal o Administrativa. Su propósito consiste en someter las controversias o divergencias que se presentan en la ejecución y desarrollo de la actividad contractual a la solución de manera rápida, inmediatez y directa de las partes. </w:t>
      </w:r>
    </w:p>
    <w:p w14:paraId="714040CB" w14:textId="77777777" w:rsidR="00D65E25" w:rsidRPr="00E24694" w:rsidRDefault="00D65E25" w:rsidP="00D65E25">
      <w:pPr>
        <w:shd w:val="clear" w:color="auto" w:fill="FFFFFF"/>
        <w:spacing w:after="0" w:line="240" w:lineRule="auto"/>
        <w:ind w:left="709" w:right="709"/>
        <w:jc w:val="both"/>
        <w:rPr>
          <w:rFonts w:ascii="Verdana" w:eastAsia="Times New Roman" w:hAnsi="Verdana" w:cs="Arial"/>
          <w:sz w:val="20"/>
          <w:szCs w:val="20"/>
          <w:lang w:eastAsia="es-ES_tradnl"/>
        </w:rPr>
      </w:pPr>
    </w:p>
    <w:p w14:paraId="4902964B" w14:textId="77777777" w:rsidR="00D65E25" w:rsidRPr="00E24694" w:rsidRDefault="00D65E25" w:rsidP="00D65E25">
      <w:pPr>
        <w:spacing w:after="0" w:line="240" w:lineRule="auto"/>
        <w:ind w:left="709" w:right="709"/>
        <w:jc w:val="both"/>
        <w:rPr>
          <w:rFonts w:ascii="Verdana" w:eastAsia="Times New Roman" w:hAnsi="Verdana" w:cs="Arial"/>
          <w:sz w:val="20"/>
          <w:szCs w:val="20"/>
          <w:lang w:eastAsia="es-ES_tradnl"/>
        </w:rPr>
      </w:pPr>
      <w:r w:rsidRPr="00E24694">
        <w:rPr>
          <w:rFonts w:ascii="Verdana" w:eastAsia="Times New Roman" w:hAnsi="Verdana" w:cs="Arial"/>
          <w:sz w:val="20"/>
          <w:szCs w:val="20"/>
          <w:lang w:eastAsia="es-ES_tradnl"/>
        </w:rPr>
        <w:t xml:space="preserve">[…] El estatuto […] relaciona el principio del arreglo directo con los principios de economía y de garantía del patrimonio económico de los contratistas. En relación con el primero de ellos, al reconocer que la adopción de mecanismos para consolidar la pronta solución de </w:t>
      </w:r>
      <w:proofErr w:type="gramStart"/>
      <w:r w:rsidRPr="00E24694">
        <w:rPr>
          <w:rFonts w:ascii="Verdana" w:eastAsia="Times New Roman" w:hAnsi="Verdana" w:cs="Arial"/>
          <w:sz w:val="20"/>
          <w:szCs w:val="20"/>
          <w:lang w:eastAsia="es-ES_tradnl"/>
        </w:rPr>
        <w:t>controversias,</w:t>
      </w:r>
      <w:proofErr w:type="gramEnd"/>
      <w:r w:rsidRPr="00E24694">
        <w:rPr>
          <w:rFonts w:ascii="Verdana" w:eastAsia="Times New Roman" w:hAnsi="Verdana" w:cs="Arial"/>
          <w:sz w:val="20"/>
          <w:szCs w:val="20"/>
          <w:lang w:eastAsia="es-ES_tradnl"/>
        </w:rPr>
        <w:t xml:space="preserve"> permite indirectamente velar por una recta y prudente administración de los recursos públicos y evitar el riesgo que envuelve una solución procesal, especialmente, como lo reconoce la doctrina, por las demoras que ella comporta y “por el peligro de la equivocación conceptual o de error en la valoración de la prueba”. Y frente al segundo, al disponer que uno de los mecanismos para preservar el equilibro de la ecuación económica financiera, es a través de la adopción de herramientas legales y contractuales que hagan efectivas las medidas necesarias para salvaguardar el restablecimiento de las partes, en el menor tiempo posible.</w:t>
      </w:r>
    </w:p>
    <w:p w14:paraId="034CA07A" w14:textId="77777777" w:rsidR="00D65E25" w:rsidRPr="00E24694" w:rsidRDefault="00D65E25" w:rsidP="00D65E25">
      <w:pPr>
        <w:spacing w:after="0" w:line="240" w:lineRule="auto"/>
        <w:ind w:left="709" w:right="709"/>
        <w:jc w:val="both"/>
        <w:rPr>
          <w:rFonts w:ascii="Verdana" w:eastAsia="Times New Roman" w:hAnsi="Verdana" w:cs="Arial"/>
          <w:b/>
          <w:bCs/>
          <w:sz w:val="20"/>
          <w:szCs w:val="20"/>
          <w:lang w:eastAsia="es-ES_tradnl"/>
        </w:rPr>
      </w:pPr>
    </w:p>
    <w:p w14:paraId="2DB52B02" w14:textId="77777777" w:rsidR="00D65E25" w:rsidRPr="00E24694" w:rsidRDefault="00D65E25" w:rsidP="00D65E25">
      <w:pPr>
        <w:spacing w:after="0" w:line="240" w:lineRule="auto"/>
        <w:ind w:left="708" w:right="709"/>
        <w:jc w:val="both"/>
        <w:rPr>
          <w:rFonts w:ascii="Verdana" w:eastAsia="Times New Roman" w:hAnsi="Verdana" w:cs="Arial"/>
          <w:b/>
          <w:bCs/>
          <w:sz w:val="20"/>
          <w:szCs w:val="20"/>
          <w:lang w:eastAsia="es-ES_tradnl"/>
        </w:rPr>
      </w:pPr>
      <w:r w:rsidRPr="00E24694">
        <w:rPr>
          <w:rFonts w:ascii="Verdana" w:eastAsia="Times New Roman" w:hAnsi="Verdana" w:cs="Arial"/>
          <w:sz w:val="20"/>
          <w:szCs w:val="20"/>
          <w:lang w:eastAsia="es-ES_tradnl"/>
        </w:rPr>
        <w:t xml:space="preserve">Así las cosas, la exigencia de acceder a una solución rápida y ágil de las controversias que se derivan de la ejecución de un contrato estatal, no corresponde a un simple deber social carente de un vínculo personal que lo haga exigible, pues en realidad se trata de un derecho de los contratistas como de una obligación de las entidades estatales destinado a perpetrar el logro de algunos de los fines reconocidos en la Constitución, entre ellos, se destacan, velar por la eficacia, celeridad, responsabilidad y </w:t>
      </w:r>
      <w:r w:rsidRPr="00E24694">
        <w:rPr>
          <w:rFonts w:ascii="Verdana" w:eastAsia="Times New Roman" w:hAnsi="Verdana" w:cs="Arial"/>
          <w:sz w:val="20"/>
          <w:szCs w:val="20"/>
          <w:lang w:eastAsia="es-ES_tradnl"/>
        </w:rPr>
        <w:lastRenderedPageBreak/>
        <w:t>economía en la prestación y suministro de los bienes y servicios que se le encomiendan a la administración público”</w:t>
      </w:r>
      <w:r w:rsidRPr="00E24694">
        <w:rPr>
          <w:rFonts w:ascii="Verdana" w:eastAsia="Times New Roman" w:hAnsi="Verdana" w:cs="Arial"/>
          <w:sz w:val="20"/>
          <w:szCs w:val="20"/>
          <w:vertAlign w:val="superscript"/>
          <w:lang w:eastAsia="es-ES_tradnl"/>
        </w:rPr>
        <w:footnoteReference w:id="25"/>
      </w:r>
    </w:p>
    <w:p w14:paraId="1A3FB888" w14:textId="77777777" w:rsidR="00D65E25" w:rsidRPr="00E24694" w:rsidRDefault="00D65E25" w:rsidP="00D65E25">
      <w:pPr>
        <w:shd w:val="clear" w:color="auto" w:fill="FFFFFF"/>
        <w:spacing w:after="0" w:line="276" w:lineRule="auto"/>
        <w:ind w:firstLine="708"/>
        <w:jc w:val="both"/>
        <w:rPr>
          <w:rFonts w:ascii="Verdana" w:eastAsia="Times New Roman" w:hAnsi="Verdana" w:cs="Arial"/>
          <w:sz w:val="20"/>
          <w:szCs w:val="20"/>
          <w:lang w:eastAsia="es-ES_tradnl"/>
        </w:rPr>
      </w:pPr>
    </w:p>
    <w:p w14:paraId="19970ADB" w14:textId="77777777" w:rsidR="00D65E25" w:rsidRPr="00C829ED" w:rsidRDefault="00D65E25" w:rsidP="00D65E25">
      <w:pPr>
        <w:shd w:val="clear" w:color="auto" w:fill="FFFFFF"/>
        <w:spacing w:after="120" w:line="276" w:lineRule="auto"/>
        <w:ind w:firstLine="709"/>
        <w:jc w:val="both"/>
        <w:rPr>
          <w:rFonts w:ascii="Verdana" w:eastAsia="Times New Roman" w:hAnsi="Verdana" w:cs="Arial"/>
          <w:lang w:eastAsia="es-ES_tradnl"/>
        </w:rPr>
      </w:pPr>
      <w:r w:rsidRPr="00C829ED">
        <w:rPr>
          <w:rFonts w:ascii="Verdana" w:eastAsia="Times New Roman" w:hAnsi="Verdana" w:cs="Arial"/>
          <w:lang w:eastAsia="es-ES_tradnl"/>
        </w:rPr>
        <w:t xml:space="preserve">En tal sentido, el arreglo directo de las controversias surgidas dentro del contexto de la contratación estatal, más que una simple opción para las entidades públicas y contratistas, resulta ser un deber que tanto aquellas como estos deben cumplir al momento de saldar sus diferencias. Así, dicho deber no se limita a la simple formalización de un procedimiento o al establecimiento de trámites vacuos que solo pretenden un arreglo en apariencia, sino que debe estar animado de una real intención de los participantes de solucionar directamente sus controversias y de precaver eventuales litigios. </w:t>
      </w:r>
    </w:p>
    <w:p w14:paraId="5288380B" w14:textId="77777777" w:rsidR="00D65E25" w:rsidRPr="00C829ED" w:rsidRDefault="00D65E25" w:rsidP="00D65E25">
      <w:pPr>
        <w:shd w:val="clear" w:color="auto" w:fill="FFFFFF"/>
        <w:spacing w:after="120" w:line="276" w:lineRule="auto"/>
        <w:ind w:firstLine="709"/>
        <w:jc w:val="both"/>
        <w:rPr>
          <w:rFonts w:ascii="Verdana" w:eastAsia="Times New Roman" w:hAnsi="Verdana" w:cs="Arial"/>
          <w:lang w:eastAsia="es-ES_tradnl"/>
        </w:rPr>
      </w:pPr>
      <w:r w:rsidRPr="00C829ED">
        <w:rPr>
          <w:rFonts w:ascii="Verdana" w:eastAsia="Times New Roman" w:hAnsi="Verdana" w:cs="Arial"/>
          <w:lang w:eastAsia="es-ES_tradnl"/>
        </w:rPr>
        <w:t xml:space="preserve">Lo anterior, empero, debe comprenderse en el sentido que el deber de las entidades públicas y contratistas se limita al intento real de solucionar sus controversias de manera directa, mas no a la solución efectiva. En otros términos, no es obligación de las entidades y contratistas el lograr un acuerdo o solución a sus divergencias, por cuanto este tipo de mecanismos están dotados de un importante sustrato voluntarista que permite que las partes involucradas, bien logren la solución pretendida o, por el contrario, decidan no hacerlo, siempre, eso sí, dejando a salvo la garantía de los principios que rigen la función administrativa y que limitan, por ende, el ejercicio de la autonomía de la voluntad. </w:t>
      </w:r>
    </w:p>
    <w:p w14:paraId="4EDAD895" w14:textId="77777777" w:rsidR="00D65E25" w:rsidRPr="00C829ED" w:rsidRDefault="00D65E25" w:rsidP="00D65E25">
      <w:pPr>
        <w:shd w:val="clear" w:color="auto" w:fill="FFFFFF"/>
        <w:spacing w:after="120" w:line="276" w:lineRule="auto"/>
        <w:ind w:firstLine="709"/>
        <w:jc w:val="both"/>
        <w:rPr>
          <w:rFonts w:ascii="Verdana" w:eastAsia="Times New Roman" w:hAnsi="Verdana" w:cs="Arial"/>
          <w:lang w:eastAsia="es-ES_tradnl"/>
        </w:rPr>
      </w:pPr>
      <w:r w:rsidRPr="00C829ED">
        <w:rPr>
          <w:rFonts w:ascii="Verdana" w:eastAsia="Times New Roman" w:hAnsi="Verdana" w:cs="Arial"/>
          <w:lang w:eastAsia="es-ES_tradnl"/>
        </w:rPr>
        <w:t xml:space="preserve">Ahora bien, debe recordarse que los Mecanismos Alternativos de Solución de Controversias no se limitan a formas de arreglo directo, pues existen fórmulas </w:t>
      </w:r>
      <w:proofErr w:type="spellStart"/>
      <w:r w:rsidRPr="00C829ED">
        <w:rPr>
          <w:rFonts w:ascii="Verdana" w:eastAsia="Times New Roman" w:hAnsi="Verdana" w:cs="Arial"/>
          <w:lang w:eastAsia="es-ES_tradnl"/>
        </w:rPr>
        <w:t>heterocompositivas</w:t>
      </w:r>
      <w:proofErr w:type="spellEnd"/>
      <w:r w:rsidRPr="00C829ED">
        <w:rPr>
          <w:rFonts w:ascii="Verdana" w:eastAsia="Times New Roman" w:hAnsi="Verdana" w:cs="Arial"/>
          <w:lang w:eastAsia="es-ES_tradnl"/>
        </w:rPr>
        <w:t xml:space="preserve">, también alternativas al proceso judicial, que implican la participación de terceros distintos a las partes directamente involucradas a los que se les dota de cierto poder decisorio, tal y como sucede, por ejemplo, con el proceso arbitral. </w:t>
      </w:r>
    </w:p>
    <w:p w14:paraId="3CB3BD1F" w14:textId="77777777" w:rsidR="00D65E25" w:rsidRPr="00C829ED" w:rsidRDefault="00D65E25" w:rsidP="00D65E25">
      <w:pPr>
        <w:shd w:val="clear" w:color="auto" w:fill="FFFFFF"/>
        <w:spacing w:after="120" w:line="276" w:lineRule="auto"/>
        <w:ind w:firstLine="709"/>
        <w:jc w:val="both"/>
        <w:rPr>
          <w:rFonts w:ascii="Verdana" w:eastAsia="Times New Roman" w:hAnsi="Verdana" w:cs="Arial"/>
          <w:lang w:eastAsia="es-ES_tradnl"/>
        </w:rPr>
      </w:pPr>
      <w:r w:rsidRPr="00C829ED">
        <w:rPr>
          <w:rFonts w:ascii="Verdana" w:eastAsia="Times New Roman" w:hAnsi="Verdana" w:cs="Arial"/>
          <w:lang w:eastAsia="es-ES_tradnl"/>
        </w:rPr>
        <w:t xml:space="preserve">Dentro de las modalidades que el ordenamiento normativo permite como fórmulas de arreglo directo controversias, se destacan, por ser incluidas dentro de la consulta que ahora se resuelve, al arreglo directo </w:t>
      </w:r>
      <w:r>
        <w:rPr>
          <w:rFonts w:ascii="Verdana" w:eastAsia="Times New Roman" w:hAnsi="Verdana" w:cs="Arial"/>
          <w:lang w:eastAsia="es-ES_tradnl"/>
        </w:rPr>
        <w:t>“</w:t>
      </w:r>
      <w:r w:rsidRPr="00C829ED">
        <w:rPr>
          <w:rFonts w:ascii="Verdana" w:eastAsia="Times New Roman" w:hAnsi="Verdana" w:cs="Arial"/>
          <w:lang w:eastAsia="es-ES_tradnl"/>
        </w:rPr>
        <w:t>propiamente dicho</w:t>
      </w:r>
      <w:r>
        <w:rPr>
          <w:rFonts w:ascii="Verdana" w:eastAsia="Times New Roman" w:hAnsi="Verdana" w:cs="Arial"/>
          <w:lang w:eastAsia="es-ES_tradnl"/>
        </w:rPr>
        <w:t>”</w:t>
      </w:r>
      <w:r w:rsidRPr="00C829ED">
        <w:rPr>
          <w:rFonts w:ascii="Verdana" w:eastAsia="Times New Roman" w:hAnsi="Verdana" w:cs="Arial"/>
          <w:lang w:eastAsia="es-ES_tradnl"/>
        </w:rPr>
        <w:t xml:space="preserve"> y la transacción. Junto a estas, la conciliación extrajudicial y judicial también podría </w:t>
      </w:r>
      <w:r>
        <w:rPr>
          <w:rFonts w:ascii="Verdana" w:eastAsia="Times New Roman" w:hAnsi="Verdana" w:cs="Arial"/>
          <w:lang w:eastAsia="es-ES_tradnl"/>
        </w:rPr>
        <w:t xml:space="preserve">considerarse como formas </w:t>
      </w:r>
      <w:r w:rsidRPr="00C829ED">
        <w:rPr>
          <w:rFonts w:ascii="Verdana" w:eastAsia="Times New Roman" w:hAnsi="Verdana" w:cs="Arial"/>
          <w:lang w:eastAsia="es-ES_tradnl"/>
        </w:rPr>
        <w:t>aplicativa</w:t>
      </w:r>
      <w:r>
        <w:rPr>
          <w:rFonts w:ascii="Verdana" w:eastAsia="Times New Roman" w:hAnsi="Verdana" w:cs="Arial"/>
          <w:lang w:eastAsia="es-ES_tradnl"/>
        </w:rPr>
        <w:t>s</w:t>
      </w:r>
      <w:r w:rsidRPr="00C829ED">
        <w:rPr>
          <w:rFonts w:ascii="Verdana" w:eastAsia="Times New Roman" w:hAnsi="Verdana" w:cs="Arial"/>
          <w:lang w:eastAsia="es-ES_tradnl"/>
        </w:rPr>
        <w:t xml:space="preserve"> del principio de arreglo directo de </w:t>
      </w:r>
      <w:r w:rsidRPr="00C829ED">
        <w:rPr>
          <w:rFonts w:ascii="Verdana" w:eastAsia="Times New Roman" w:hAnsi="Verdana" w:cs="Arial"/>
          <w:lang w:eastAsia="es-ES_tradnl"/>
        </w:rPr>
        <w:lastRenderedPageBreak/>
        <w:t>controversias, sin perjuicio que dentro de ella</w:t>
      </w:r>
      <w:r>
        <w:rPr>
          <w:rFonts w:ascii="Verdana" w:eastAsia="Times New Roman" w:hAnsi="Verdana" w:cs="Arial"/>
          <w:lang w:eastAsia="es-ES_tradnl"/>
        </w:rPr>
        <w:t>s</w:t>
      </w:r>
      <w:r w:rsidRPr="00C829ED">
        <w:rPr>
          <w:rFonts w:ascii="Verdana" w:eastAsia="Times New Roman" w:hAnsi="Verdana" w:cs="Arial"/>
          <w:lang w:eastAsia="es-ES_tradnl"/>
        </w:rPr>
        <w:t xml:space="preserve"> se haga necesaria la participación de un tercero neutral y distinto a las partes directamente interesadas, siendo a estas últimas a quienes corresponde la configuración y logro del eventual acuerdo</w:t>
      </w:r>
      <w:r w:rsidRPr="00E51636">
        <w:rPr>
          <w:rFonts w:ascii="Verdana" w:eastAsia="Times New Roman" w:hAnsi="Verdana" w:cs="Arial"/>
          <w:vertAlign w:val="superscript"/>
          <w:lang w:eastAsia="es-ES_tradnl"/>
        </w:rPr>
        <w:footnoteReference w:id="26"/>
      </w:r>
      <w:r w:rsidRPr="00C829ED">
        <w:rPr>
          <w:rFonts w:ascii="Verdana" w:eastAsia="Times New Roman" w:hAnsi="Verdana" w:cs="Arial"/>
          <w:lang w:eastAsia="es-ES_tradnl"/>
        </w:rPr>
        <w:t xml:space="preserve">. En el mismo sentido, la amigable composición resulta ser otro mecanismo de arreglo directo de controversias, tal y como lo indicó la Corte Constitucional en la decisión que arriba se comentó. Además, su regulación y aplicación dentro del contexto administrativo, encuentra fundamento, principalmente, en el </w:t>
      </w:r>
      <w:r w:rsidRPr="00BF1049">
        <w:rPr>
          <w:rFonts w:ascii="Verdana" w:eastAsia="Times New Roman" w:hAnsi="Verdana" w:cs="Arial"/>
          <w:lang w:eastAsia="es-ES_tradnl"/>
        </w:rPr>
        <w:t>artículo 59 de la Ley 1563 de 2012</w:t>
      </w:r>
      <w:r w:rsidRPr="00BF1049">
        <w:rPr>
          <w:rFonts w:ascii="Verdana" w:eastAsia="Times New Roman" w:hAnsi="Verdana" w:cs="Arial"/>
          <w:vertAlign w:val="superscript"/>
          <w:lang w:eastAsia="es-ES_tradnl"/>
        </w:rPr>
        <w:footnoteReference w:id="27"/>
      </w:r>
      <w:r w:rsidRPr="00BF1049">
        <w:rPr>
          <w:rFonts w:ascii="Verdana" w:eastAsia="Times New Roman" w:hAnsi="Verdana" w:cs="Arial"/>
          <w:lang w:eastAsia="es-ES_tradnl"/>
        </w:rPr>
        <w:t>.</w:t>
      </w:r>
      <w:r w:rsidRPr="00C829ED">
        <w:rPr>
          <w:rFonts w:ascii="Verdana" w:eastAsia="Times New Roman" w:hAnsi="Verdana" w:cs="Arial"/>
          <w:lang w:eastAsia="es-ES_tradnl"/>
        </w:rPr>
        <w:t xml:space="preserve"> </w:t>
      </w:r>
    </w:p>
    <w:p w14:paraId="566B24CE" w14:textId="77777777" w:rsidR="00D65E25" w:rsidRPr="00C829ED" w:rsidRDefault="00D65E25" w:rsidP="00D65E25">
      <w:pPr>
        <w:shd w:val="clear" w:color="auto" w:fill="FFFFFF"/>
        <w:spacing w:after="120" w:line="276" w:lineRule="auto"/>
        <w:ind w:firstLine="709"/>
        <w:jc w:val="both"/>
        <w:rPr>
          <w:rFonts w:ascii="Verdana" w:eastAsia="Times New Roman" w:hAnsi="Verdana" w:cs="Arial"/>
          <w:lang w:eastAsia="es-ES_tradnl"/>
        </w:rPr>
      </w:pPr>
      <w:r w:rsidRPr="00C829ED">
        <w:rPr>
          <w:rFonts w:ascii="Verdana" w:eastAsia="Times New Roman" w:hAnsi="Verdana" w:cs="Arial"/>
          <w:lang w:eastAsia="es-ES_tradnl"/>
        </w:rPr>
        <w:t xml:space="preserve">El primero, esto es, el arreglo directo propiamente dicho, es una metodología para la solución de controversias que implica la participación de la entidad estatal y el contratista o contratistas directamente interesados en la resolución del conflicto. Lo anterior implicará, como mínimo, un espacio y tiempo suficiente para que entre unos y otros se logre el establecimiento del objeto de la controversia, así como la negociación de esta. Ante la inexistencia de un procedimiento específico para llevar a cabo el arreglo directo, corresponderá a la entidad estatal, bien a través de sus manuales de contratación o por medio del clausulado del respectivo pliego de condiciones o documento equivalente o, inclusive, dentro del mismo contrato, determinar las pautas mínimas para que, ante el surgimiento de la controversia, las partes puedan arreglarlas directamente. Dicho procedimiento deberá, en todo caso, ser respetuoso de los principios del debido proceso, legalidad, eficacia, celeridad y los demás que rijan el actuar de las entidades públicas, así como atender a las normas generales del procedimiento administrativo establecidas en la Ley 1437 de 2011, siempre que ellas resulten aplicables de acuerdo con la naturaleza del arreglo directo. </w:t>
      </w:r>
    </w:p>
    <w:p w14:paraId="676FC4CE" w14:textId="77777777" w:rsidR="00D65E25" w:rsidRDefault="00D65E25" w:rsidP="00D65E25">
      <w:pPr>
        <w:shd w:val="clear" w:color="auto" w:fill="FFFFFF"/>
        <w:spacing w:after="120" w:line="276" w:lineRule="auto"/>
        <w:ind w:firstLine="709"/>
        <w:jc w:val="both"/>
        <w:rPr>
          <w:rFonts w:ascii="Verdana" w:eastAsia="Times New Roman" w:hAnsi="Verdana" w:cs="Arial"/>
          <w:lang w:eastAsia="es-ES_tradnl"/>
        </w:rPr>
      </w:pPr>
      <w:r w:rsidRPr="00C829ED">
        <w:rPr>
          <w:rFonts w:ascii="Verdana" w:eastAsia="Times New Roman" w:hAnsi="Verdana" w:cs="Arial"/>
          <w:lang w:eastAsia="es-ES_tradnl"/>
        </w:rPr>
        <w:t>Es posible que luego de surtidas las etapas de negociación o conversaciones entre las partes interesadas surja un acuerdo que</w:t>
      </w:r>
      <w:r>
        <w:rPr>
          <w:rFonts w:ascii="Verdana" w:eastAsia="Times New Roman" w:hAnsi="Verdana" w:cs="Arial"/>
          <w:lang w:eastAsia="es-ES_tradnl"/>
        </w:rPr>
        <w:t xml:space="preserve"> ponga fin a la </w:t>
      </w:r>
      <w:r w:rsidRPr="00C829ED">
        <w:rPr>
          <w:rFonts w:ascii="Verdana" w:eastAsia="Times New Roman" w:hAnsi="Verdana" w:cs="Arial"/>
          <w:lang w:eastAsia="es-ES_tradnl"/>
        </w:rPr>
        <w:lastRenderedPageBreak/>
        <w:t>controversia, frente a lo cual aquellas podrán suscribir, de resultar necesario o exigible, los documentos en los que se incluyan las condiciones de tal acuerdo, que a su turno podrán constituirse en títulos ejecutivos exigibles, según cumplan o no con los req</w:t>
      </w:r>
      <w:r>
        <w:rPr>
          <w:rFonts w:ascii="Verdana" w:eastAsia="Times New Roman" w:hAnsi="Verdana" w:cs="Arial"/>
          <w:lang w:eastAsia="es-ES_tradnl"/>
        </w:rPr>
        <w:t xml:space="preserve">uisitos para su configuración. </w:t>
      </w:r>
      <w:r w:rsidRPr="00C829ED">
        <w:rPr>
          <w:rFonts w:ascii="Verdana" w:eastAsia="Times New Roman" w:hAnsi="Verdana" w:cs="Arial"/>
          <w:lang w:eastAsia="es-ES_tradnl"/>
        </w:rPr>
        <w:t>De la forma que acoja el acuerdo al que lleguen las partes, luego de haberse surtido el procedimiento de arreglo directo, podrá surgir la suscripción de un contrato de transacción, siempre que los elementos constitutivos de este último se entiendan cumplidos</w:t>
      </w:r>
      <w:r>
        <w:rPr>
          <w:rFonts w:ascii="Verdana" w:eastAsia="Times New Roman" w:hAnsi="Verdana" w:cs="Arial"/>
          <w:lang w:eastAsia="es-ES_tradnl"/>
        </w:rPr>
        <w:t>.</w:t>
      </w:r>
    </w:p>
    <w:p w14:paraId="45DE0819" w14:textId="77777777" w:rsidR="00D65E25" w:rsidRPr="00CC4AA4" w:rsidRDefault="00D65E25" w:rsidP="00D65E25">
      <w:pPr>
        <w:shd w:val="clear" w:color="auto" w:fill="FFFFFF"/>
        <w:spacing w:after="120" w:line="276" w:lineRule="auto"/>
        <w:ind w:firstLine="709"/>
        <w:jc w:val="both"/>
        <w:rPr>
          <w:rFonts w:ascii="Verdana" w:eastAsia="Times New Roman" w:hAnsi="Verdana" w:cs="Arial"/>
          <w:lang w:eastAsia="es-ES_tradnl"/>
        </w:rPr>
      </w:pPr>
      <w:r w:rsidRPr="00C829ED">
        <w:rPr>
          <w:rFonts w:ascii="Verdana" w:eastAsia="Times New Roman" w:hAnsi="Verdana" w:cs="Arial"/>
          <w:lang w:eastAsia="es-ES_tradnl"/>
        </w:rPr>
        <w:t xml:space="preserve">En todo caso, nada obsta para que, cuando las partes así lo consideren, los acuerdos logrados puedan ser revisados o modificados por las mismas, siempre y cuando, se itera, esto no se erija en imposición de una de las partes hacia la otra, sino que sea el producto de una nueva negociación directa entre las mismas. Por lo demás, frente al contrato de transacción, como forma autocompositiva para la solución alternativa de conflictos contractuales, esta Agencia ha tenido la oportunidad de referirse a la </w:t>
      </w:r>
      <w:r>
        <w:rPr>
          <w:rFonts w:ascii="Verdana" w:eastAsia="Times New Roman" w:hAnsi="Verdana" w:cs="Arial"/>
          <w:lang w:eastAsia="es-ES_tradnl"/>
        </w:rPr>
        <w:t>misma en los Conceptos C- 494 del 17 de septiembre de 2021, C- 142 del 2 de julio de 2024 y</w:t>
      </w:r>
      <w:r w:rsidRPr="00CC4AA4">
        <w:rPr>
          <w:rFonts w:ascii="Verdana" w:eastAsia="Times New Roman" w:hAnsi="Verdana" w:cs="Arial"/>
          <w:lang w:eastAsia="es-ES_tradnl"/>
        </w:rPr>
        <w:t xml:space="preserve"> </w:t>
      </w:r>
      <w:r w:rsidRPr="00FC0D69">
        <w:rPr>
          <w:rFonts w:ascii="Verdana" w:eastAsia="Times New Roman" w:hAnsi="Verdana" w:cs="Arial"/>
          <w:lang w:eastAsia="es-ES_tradnl"/>
        </w:rPr>
        <w:t>C-889 del 15 de agosto de 2026, entre otros.</w:t>
      </w:r>
    </w:p>
    <w:p w14:paraId="71E98B2F" w14:textId="77777777" w:rsidR="00D65E25" w:rsidRDefault="00D65E25" w:rsidP="00D65E25">
      <w:pPr>
        <w:spacing w:before="120" w:after="120" w:line="276" w:lineRule="auto"/>
        <w:ind w:firstLine="709"/>
        <w:jc w:val="both"/>
        <w:rPr>
          <w:rFonts w:ascii="Verdana" w:eastAsia="Calibri" w:hAnsi="Verdana" w:cs="Arial"/>
          <w:color w:val="000000" w:themeColor="text1"/>
        </w:rPr>
      </w:pPr>
      <w:r w:rsidRPr="00FC0D69">
        <w:rPr>
          <w:rFonts w:ascii="Verdana" w:eastAsia="Calibri" w:hAnsi="Verdana" w:cs="Arial"/>
          <w:color w:val="000000" w:themeColor="text1"/>
        </w:rPr>
        <w:t>Con todo, la autonomía de la voluntad que sustenta estos acuerdos encuentra límites en el objeto y la causa lícitos, en el respeto de las normas presupuestales y en la prohibición de reconocer sumas que carezcan de causa jurídica. El Consejo de Estado ha declarado la nulidad de arreglos directos y contratos de transacción celebrados en el marco de la contratación estatal cuando, por su intermedio, se reconocen pagos adicionales por conceptos ya comprendidos en el precio pactado o se desconocen las reglas de orden público que rigen la modificación de los contratos y la ejecución del gasto</w:t>
      </w:r>
      <w:r w:rsidRPr="00FC0D69">
        <w:rPr>
          <w:rStyle w:val="Refdenotaalpie"/>
          <w:rFonts w:ascii="Verdana" w:eastAsia="Calibri" w:hAnsi="Verdana" w:cs="Arial"/>
          <w:color w:val="000000" w:themeColor="text1"/>
        </w:rPr>
        <w:footnoteReference w:id="28"/>
      </w:r>
      <w:r w:rsidRPr="00FC0D69">
        <w:rPr>
          <w:rFonts w:ascii="Verdana" w:eastAsia="Calibri" w:hAnsi="Verdana" w:cs="Arial"/>
          <w:color w:val="000000" w:themeColor="text1"/>
        </w:rPr>
        <w:t>. De ahí que la definición bilateral de saldos deba corresponder a obligaciones ciertas y debidamente causadas, y no puede convertirse en una vía para eludir el régimen contractual o presupuestal aplicable.</w:t>
      </w:r>
    </w:p>
    <w:p w14:paraId="278D7DB1" w14:textId="77777777" w:rsidR="00D65E25" w:rsidRPr="00BC2A4E" w:rsidRDefault="00D65E25" w:rsidP="00D65E25">
      <w:pPr>
        <w:spacing w:before="120" w:after="120" w:line="276" w:lineRule="auto"/>
        <w:ind w:firstLine="708"/>
        <w:jc w:val="both"/>
        <w:rPr>
          <w:rFonts w:ascii="Verdana" w:eastAsia="Calibri" w:hAnsi="Verdana" w:cs="Arial"/>
          <w:color w:val="000000" w:themeColor="text1"/>
        </w:rPr>
      </w:pPr>
      <w:r w:rsidRPr="00BC2A4E">
        <w:rPr>
          <w:rFonts w:ascii="Verdana" w:eastAsia="Calibri" w:hAnsi="Verdana" w:cs="Arial"/>
          <w:color w:val="000000" w:themeColor="text1"/>
        </w:rPr>
        <w:t xml:space="preserve">A partir de lo expuesto sobre los mecanismos de solución directa de controversias surgidas durante la ejecución contractual, es preciso destacar que su </w:t>
      </w:r>
      <w:r>
        <w:rPr>
          <w:rFonts w:ascii="Verdana" w:eastAsia="Calibri" w:hAnsi="Verdana" w:cs="Arial"/>
          <w:color w:val="000000" w:themeColor="text1"/>
        </w:rPr>
        <w:t xml:space="preserve">uso es </w:t>
      </w:r>
      <w:r w:rsidRPr="00BC2A4E">
        <w:rPr>
          <w:rFonts w:ascii="Verdana" w:eastAsia="Calibri" w:hAnsi="Verdana" w:cs="Arial"/>
          <w:color w:val="000000" w:themeColor="text1"/>
        </w:rPr>
        <w:t xml:space="preserve">jurídicamente posible incluso cuando la entidad ya ha iniciado el procedimiento administrativo sancionatorio previsto en el artículo 86 de la Ley 1474 de 2011. La activación de estos instrumentos no se encuentra prohibida </w:t>
      </w:r>
      <w:r w:rsidRPr="00BC2A4E">
        <w:rPr>
          <w:rFonts w:ascii="Verdana" w:eastAsia="Calibri" w:hAnsi="Verdana" w:cs="Arial"/>
          <w:color w:val="000000" w:themeColor="text1"/>
        </w:rPr>
        <w:lastRenderedPageBreak/>
        <w:t>por el ordenamiento y, por el contrario, constituye una herramienta válida para gestionar oportunamente diferencias contractuales, siempre que resulte compatible con la naturaleza del conflicto y con los intereses públicos comprometidos. En este sentido, la existencia de un trámite sancionatorio en curso no impide que las partes exploren alternativas de arreglo directo, ni supone renuncia a las potestades administrativas de la entidad.</w:t>
      </w:r>
    </w:p>
    <w:p w14:paraId="7A1BAD43" w14:textId="77777777" w:rsidR="00D65E25" w:rsidRPr="00BC2A4E" w:rsidRDefault="00D65E25" w:rsidP="00D65E25">
      <w:pPr>
        <w:spacing w:before="120" w:after="120" w:line="276" w:lineRule="auto"/>
        <w:ind w:firstLine="708"/>
        <w:jc w:val="both"/>
        <w:rPr>
          <w:rFonts w:ascii="Verdana" w:eastAsia="Calibri" w:hAnsi="Verdana" w:cs="Arial"/>
          <w:color w:val="000000" w:themeColor="text1"/>
        </w:rPr>
      </w:pPr>
      <w:r w:rsidRPr="00BC2A4E">
        <w:rPr>
          <w:rFonts w:ascii="Verdana" w:eastAsia="Calibri" w:hAnsi="Verdana" w:cs="Arial"/>
          <w:color w:val="000000" w:themeColor="text1"/>
        </w:rPr>
        <w:t xml:space="preserve">Con todo, la recomendación institucional —recogida en la </w:t>
      </w:r>
      <w:r>
        <w:rPr>
          <w:rFonts w:ascii="Verdana" w:eastAsia="Calibri" w:hAnsi="Verdana" w:cs="Arial"/>
          <w:color w:val="000000" w:themeColor="text1"/>
        </w:rPr>
        <w:t>“</w:t>
      </w:r>
      <w:r w:rsidRPr="00BC2A4E">
        <w:rPr>
          <w:rFonts w:ascii="Verdana" w:eastAsia="Calibri" w:hAnsi="Verdana" w:cs="Arial"/>
          <w:i/>
          <w:iCs/>
          <w:color w:val="000000" w:themeColor="text1"/>
        </w:rPr>
        <w:t>Guía para adelantar el Proceso Administrativo Sancionatorio Contractual</w:t>
      </w:r>
      <w:r>
        <w:rPr>
          <w:rFonts w:ascii="Verdana" w:eastAsia="Calibri" w:hAnsi="Verdana" w:cs="Arial"/>
          <w:i/>
          <w:iCs/>
          <w:color w:val="000000" w:themeColor="text1"/>
        </w:rPr>
        <w:t>”</w:t>
      </w:r>
      <w:r w:rsidRPr="00BC2A4E">
        <w:rPr>
          <w:rFonts w:ascii="Verdana" w:eastAsia="Calibri" w:hAnsi="Verdana" w:cs="Arial"/>
          <w:color w:val="000000" w:themeColor="text1"/>
        </w:rPr>
        <w:t>— es que la entidad valore previo al inicio del procedimiento sancionatorio si las circunstancias del caso permiten acudir a mecanismos alternativos de solución de controversias</w:t>
      </w:r>
      <w:r>
        <w:rPr>
          <w:rStyle w:val="Refdenotaalpie"/>
          <w:rFonts w:ascii="Verdana" w:eastAsia="Calibri" w:hAnsi="Verdana" w:cs="Arial"/>
          <w:color w:val="000000" w:themeColor="text1"/>
        </w:rPr>
        <w:footnoteReference w:id="29"/>
      </w:r>
      <w:r w:rsidRPr="00BC2A4E">
        <w:rPr>
          <w:rFonts w:ascii="Verdana" w:eastAsia="Calibri" w:hAnsi="Verdana" w:cs="Arial"/>
          <w:color w:val="000000" w:themeColor="text1"/>
        </w:rPr>
        <w:t xml:space="preserve">. </w:t>
      </w:r>
      <w:r w:rsidRPr="00A71EFC">
        <w:rPr>
          <w:rFonts w:ascii="Verdana" w:eastAsia="Calibri" w:hAnsi="Verdana" w:cs="Arial"/>
          <w:color w:val="000000" w:themeColor="text1"/>
        </w:rPr>
        <w:t>Estos instrumentos —arreglo directo, negociación asistida, mesas técnicas, entre otros— pueden prevenir la escalada del conflicto, facilitar la continuidad del contrato y permitir una terminación adecuada de las obligaciones, siempre que sean compatibles con la naturaleza de la controversia y con los intereses públicos comprometidos</w:t>
      </w:r>
      <w:r>
        <w:rPr>
          <w:rFonts w:ascii="Verdana" w:eastAsia="Calibri" w:hAnsi="Verdana" w:cs="Arial"/>
          <w:color w:val="000000" w:themeColor="text1"/>
        </w:rPr>
        <w:t>.</w:t>
      </w:r>
    </w:p>
    <w:p w14:paraId="12D2EBDD" w14:textId="77777777" w:rsidR="00D65E25" w:rsidRPr="0018252D" w:rsidRDefault="00D65E25" w:rsidP="00D65E25">
      <w:pPr>
        <w:spacing w:before="120" w:after="120" w:line="276" w:lineRule="auto"/>
        <w:ind w:firstLine="708"/>
        <w:jc w:val="both"/>
        <w:rPr>
          <w:rFonts w:ascii="Verdana" w:eastAsia="Calibri" w:hAnsi="Verdana" w:cs="Arial"/>
          <w:color w:val="000000" w:themeColor="text1"/>
        </w:rPr>
      </w:pPr>
      <w:r w:rsidRPr="0018252D">
        <w:rPr>
          <w:rFonts w:ascii="Verdana" w:eastAsia="Calibri" w:hAnsi="Verdana" w:cs="Arial"/>
          <w:color w:val="000000" w:themeColor="text1"/>
        </w:rPr>
        <w:t xml:space="preserve">Aunque lo recomendable es activar estos mecanismos de manera previa al inicio del </w:t>
      </w:r>
      <w:r>
        <w:rPr>
          <w:rFonts w:ascii="Verdana" w:eastAsia="Calibri" w:hAnsi="Verdana" w:cs="Arial"/>
          <w:color w:val="000000" w:themeColor="text1"/>
        </w:rPr>
        <w:t>procedimiento</w:t>
      </w:r>
      <w:r w:rsidRPr="0018252D">
        <w:rPr>
          <w:rFonts w:ascii="Verdana" w:eastAsia="Calibri" w:hAnsi="Verdana" w:cs="Arial"/>
          <w:color w:val="000000" w:themeColor="text1"/>
        </w:rPr>
        <w:t xml:space="preserve"> sancionatorio, ello no significa que la entidad esté jurídicamente impedida para considerarlos durante el desarrollo del procedimiento previsto en el artículo 86 de la Ley 1474 de 2011. La utilización de espacios de diálogo o de solución directa no implica renunciar a las potestades sancionatorias ni afecta la competencia de la administración para adoptar la decisión que corresponda; simplemente constituye una herramienta adicional para explorar soluciones eficientes y evitar litigios innecesarios.</w:t>
      </w:r>
    </w:p>
    <w:p w14:paraId="40AF2EF7" w14:textId="77777777" w:rsidR="00D65E25" w:rsidRPr="00CC4AA4" w:rsidRDefault="00D65E25" w:rsidP="00D65E25">
      <w:pPr>
        <w:spacing w:before="120" w:after="120" w:line="276" w:lineRule="auto"/>
        <w:ind w:firstLine="709"/>
        <w:jc w:val="both"/>
        <w:rPr>
          <w:rFonts w:ascii="Verdana" w:eastAsia="Calibri" w:hAnsi="Verdana" w:cs="Arial"/>
          <w:color w:val="000000" w:themeColor="text1"/>
        </w:rPr>
      </w:pPr>
      <w:r w:rsidRPr="00FC0D69">
        <w:rPr>
          <w:rFonts w:ascii="Verdana" w:eastAsia="Calibri" w:hAnsi="Verdana" w:cs="Arial"/>
          <w:color w:val="000000" w:themeColor="text1"/>
        </w:rPr>
        <w:t xml:space="preserve">Ahora bien, así como la activación de estos mecanismos no restringe las potestades de la administración, tampoco menoscaba las garantías del contratista. La presentación de una solicitud de arreglo directo, o el hecho de explorar fórmulas de solución durante el trámite, no constituye por sí misma un reconocimiento del incumplimiento contractual ni una aceptación de responsabilidad, ni comporta renuncia al derecho de defensa. Ello obedece, de una parte, a la naturaleza misma de estos instrumentos: la transacción, conforme al artículo 2469 del Código Civil, es un contrato mediante el cual las </w:t>
      </w:r>
      <w:r w:rsidRPr="00FC0D69">
        <w:rPr>
          <w:rFonts w:ascii="Verdana" w:eastAsia="Calibri" w:hAnsi="Verdana" w:cs="Arial"/>
          <w:color w:val="000000" w:themeColor="text1"/>
        </w:rPr>
        <w:lastRenderedPageBreak/>
        <w:t>partes precaven un litigio eventual o terminan uno pendiente haciéndose concesiones recíprocas, sin que ello implique un pronunciamiento sobre la culpa o la responsabilidad de alguna de ellas. De otra parte, el debido proceso consagrado en el artículo 29 de la Constitución Política rige durante todo el procedimiento del artículo 86, de modo que el contratista conserva íntegras las oportunidades de rendir descargos, aportar y controvertir pruebas hasta la decisión final, con independencia de que haya propuesto o participado en un espacio de arreglo directo.</w:t>
      </w:r>
    </w:p>
    <w:p w14:paraId="1BA97D9E" w14:textId="77777777" w:rsidR="00D65E25" w:rsidRPr="00CC4AA4" w:rsidRDefault="00D65E25" w:rsidP="00D65E25">
      <w:pPr>
        <w:spacing w:before="120" w:after="120" w:line="276" w:lineRule="auto"/>
        <w:ind w:firstLine="709"/>
        <w:jc w:val="both"/>
        <w:rPr>
          <w:rFonts w:ascii="Verdana" w:eastAsia="Calibri" w:hAnsi="Verdana" w:cs="Arial"/>
          <w:color w:val="000000" w:themeColor="text1"/>
        </w:rPr>
      </w:pPr>
      <w:r w:rsidRPr="00FC0D69">
        <w:rPr>
          <w:rFonts w:ascii="Verdana" w:eastAsia="Calibri" w:hAnsi="Verdana" w:cs="Arial"/>
          <w:color w:val="000000" w:themeColor="text1"/>
        </w:rPr>
        <w:t>En consecuencia, la entidad no puede tener la mera propuesta de solución directa como confesión o como prueba del incumplimiento. Para mayor claridad, las partes pueden dejar constancia expresa, en la solicitud o en el acta respectiva, de que la búsqueda de un acuerdo se formula sin aceptación de responsabilidad y sin renuncia a los medios de defensa. Esta comprensión es coherente con el principio de confidencialidad que informa los mecanismos de solución de controversias y con su sustrato voluntarista, conforme al cual el deber de las partes se contrae al intento serio de arreglo, mas no a la solución efectiva.</w:t>
      </w:r>
    </w:p>
    <w:p w14:paraId="5044DF9A" w14:textId="77777777" w:rsidR="00D65E25" w:rsidRDefault="00D65E25" w:rsidP="00D65E25">
      <w:pPr>
        <w:spacing w:before="120" w:after="120" w:line="276" w:lineRule="auto"/>
        <w:ind w:firstLine="708"/>
        <w:jc w:val="both"/>
        <w:rPr>
          <w:rFonts w:ascii="Verdana" w:eastAsia="Calibri" w:hAnsi="Verdana" w:cs="Arial"/>
          <w:color w:val="000000" w:themeColor="text1"/>
        </w:rPr>
      </w:pPr>
      <w:r w:rsidRPr="0018252D">
        <w:rPr>
          <w:rFonts w:ascii="Verdana" w:eastAsia="Calibri" w:hAnsi="Verdana" w:cs="Arial"/>
          <w:color w:val="000000" w:themeColor="text1"/>
        </w:rPr>
        <w:t>En todo caso,</w:t>
      </w:r>
      <w:r>
        <w:rPr>
          <w:rFonts w:ascii="Verdana" w:eastAsia="Calibri" w:hAnsi="Verdana" w:cs="Arial"/>
          <w:color w:val="000000" w:themeColor="text1"/>
        </w:rPr>
        <w:t xml:space="preserve"> como lo expresa la Guía de la Agencia</w:t>
      </w:r>
      <w:r w:rsidRPr="0018252D">
        <w:rPr>
          <w:rFonts w:ascii="Verdana" w:eastAsia="Calibri" w:hAnsi="Verdana" w:cs="Arial"/>
          <w:color w:val="000000" w:themeColor="text1"/>
        </w:rPr>
        <w:t xml:space="preserve"> la activación de mecanismos de solución directa no</w:t>
      </w:r>
      <w:r>
        <w:rPr>
          <w:rFonts w:ascii="Verdana" w:eastAsia="Calibri" w:hAnsi="Verdana" w:cs="Arial"/>
          <w:color w:val="000000" w:themeColor="text1"/>
        </w:rPr>
        <w:t xml:space="preserve"> implica una renuncia a</w:t>
      </w:r>
      <w:r w:rsidRPr="0018252D">
        <w:rPr>
          <w:rFonts w:ascii="Verdana" w:eastAsia="Calibri" w:hAnsi="Verdana" w:cs="Arial"/>
          <w:color w:val="000000" w:themeColor="text1"/>
        </w:rPr>
        <w:t>l procedimiento sancionatorio</w:t>
      </w:r>
      <w:r>
        <w:rPr>
          <w:rStyle w:val="Refdenotaalpie"/>
          <w:rFonts w:ascii="Verdana" w:eastAsia="Calibri" w:hAnsi="Verdana" w:cs="Arial"/>
          <w:color w:val="000000" w:themeColor="text1"/>
        </w:rPr>
        <w:footnoteReference w:id="30"/>
      </w:r>
      <w:r>
        <w:rPr>
          <w:rFonts w:ascii="Verdana" w:eastAsia="Calibri" w:hAnsi="Verdana" w:cs="Arial"/>
          <w:color w:val="000000" w:themeColor="text1"/>
        </w:rPr>
        <w:t xml:space="preserve">, </w:t>
      </w:r>
      <w:r w:rsidRPr="00FC0D69">
        <w:rPr>
          <w:rFonts w:ascii="Verdana" w:eastAsia="Calibri" w:hAnsi="Verdana" w:cs="Arial"/>
          <w:color w:val="000000" w:themeColor="text1"/>
        </w:rPr>
        <w:t>y, por regla general, no produce de manera automática su suspensión ni su interrupción</w:t>
      </w:r>
      <w:r w:rsidRPr="0018252D">
        <w:rPr>
          <w:rFonts w:ascii="Verdana" w:eastAsia="Calibri" w:hAnsi="Verdana" w:cs="Arial"/>
          <w:color w:val="000000" w:themeColor="text1"/>
        </w:rPr>
        <w:t>. Por tanto, ambos pueden desarrollarse de manera simultánea, sin perjuicio de que la entidad continúe valorando las pruebas, los argumentos y las alternativas de solución presentadas por el contratista.</w:t>
      </w:r>
      <w:r w:rsidRPr="004636B3">
        <w:rPr>
          <w:rFonts w:ascii="Verdana" w:eastAsia="Calibri" w:hAnsi="Verdana" w:cs="Arial"/>
          <w:color w:val="000000" w:themeColor="text1"/>
        </w:rPr>
        <w:t xml:space="preserve"> </w:t>
      </w:r>
      <w:r w:rsidRPr="00FC0D69">
        <w:rPr>
          <w:rFonts w:ascii="Verdana" w:eastAsia="Calibri" w:hAnsi="Verdana" w:cs="Arial"/>
          <w:color w:val="000000" w:themeColor="text1"/>
        </w:rPr>
        <w:t>Lo anterior no obsta para que, cuando lo estime necesario para el correcto desarrollo de la actuación, la entidad haga uso de la facultad prevista en el literal d) del artículo 86 de la Ley 1474 de 2011 y suspenda la audiencia, de oficio o a petición de parte, mediante decisión motivada en la que señale fecha y hora para reanudarla. Se trata de una potestad discrecional y reglada, no de un efecto automático de la solicitud de arreglo directo.</w:t>
      </w:r>
      <w:r w:rsidRPr="00CC4AA4">
        <w:rPr>
          <w:rFonts w:ascii="Verdana" w:eastAsia="Calibri" w:hAnsi="Verdana" w:cs="Arial"/>
          <w:color w:val="000000" w:themeColor="text1"/>
        </w:rPr>
        <w:t xml:space="preserve"> </w:t>
      </w:r>
      <w:r w:rsidRPr="0018252D">
        <w:rPr>
          <w:rFonts w:ascii="Verdana" w:eastAsia="Calibri" w:hAnsi="Verdana" w:cs="Arial"/>
          <w:color w:val="000000" w:themeColor="text1"/>
        </w:rPr>
        <w:t>La administración conserva plena autonomía para decidir si existe o no incumplimiento y, en consecuencia, para imponer o no la sanción, incluso cuando se hayan adelantado gestiones de arreglo directo.</w:t>
      </w:r>
      <w:r>
        <w:rPr>
          <w:rFonts w:ascii="Verdana" w:eastAsia="Calibri" w:hAnsi="Verdana" w:cs="Arial"/>
          <w:color w:val="000000" w:themeColor="text1"/>
        </w:rPr>
        <w:t xml:space="preserve"> </w:t>
      </w:r>
    </w:p>
    <w:p w14:paraId="7D43028A" w14:textId="77777777" w:rsidR="00D65E25" w:rsidRDefault="00D65E25" w:rsidP="00D65E25">
      <w:pPr>
        <w:shd w:val="clear" w:color="auto" w:fill="FFFFFF"/>
        <w:spacing w:after="120" w:line="276" w:lineRule="auto"/>
        <w:ind w:firstLine="709"/>
        <w:jc w:val="both"/>
        <w:rPr>
          <w:rFonts w:ascii="Verdana" w:eastAsia="Times New Roman" w:hAnsi="Verdana" w:cs="Arial"/>
          <w:lang w:eastAsia="es-ES_tradnl"/>
        </w:rPr>
      </w:pPr>
      <w:r w:rsidRPr="00F95451">
        <w:rPr>
          <w:rFonts w:ascii="Verdana" w:eastAsia="Times New Roman" w:hAnsi="Verdana" w:cs="Arial"/>
          <w:lang w:eastAsia="es-ES_tradnl"/>
        </w:rPr>
        <w:lastRenderedPageBreak/>
        <w:t>En este sentido, no existe dentro del Sistema de Compras Públicas una prohibición legal que impida a la entidad estatal analizar propuestas de arreglo directo, estudiar la definición de saldos económicos o considerar alternativas de solución bilateral —incluida la compensación o cruce de cuentas— mientras adelanta el procedimiento administrativo sancionatorio previsto en el artículo 86 de la Ley 1474 de 2011. De esta manera, la activación de estos mecanismos no suspende ni limita el ejercicio de la potestad sancionatoria, ni afecta la competencia de la entidad para decidir sobre la declaratoria de incumplimiento</w:t>
      </w:r>
      <w:r>
        <w:rPr>
          <w:rFonts w:ascii="Verdana" w:eastAsia="Times New Roman" w:hAnsi="Verdana" w:cs="Arial"/>
          <w:lang w:eastAsia="es-ES_tradnl"/>
        </w:rPr>
        <w:t xml:space="preserve"> y con ello de la imposición si es del caso de la imposición de la multa, la cláusula penal pecuniaria o de la caducidad</w:t>
      </w:r>
      <w:r w:rsidRPr="00F95451">
        <w:rPr>
          <w:rFonts w:ascii="Verdana" w:eastAsia="Times New Roman" w:hAnsi="Verdana" w:cs="Arial"/>
          <w:lang w:eastAsia="es-ES_tradnl"/>
        </w:rPr>
        <w:t>. En consecuencia,</w:t>
      </w:r>
      <w:r>
        <w:rPr>
          <w:rFonts w:ascii="Verdana" w:eastAsia="Times New Roman" w:hAnsi="Verdana" w:cs="Arial"/>
          <w:lang w:eastAsia="es-ES_tradnl"/>
        </w:rPr>
        <w:t xml:space="preserve"> los mecanismos de solución de controversias</w:t>
      </w:r>
      <w:r w:rsidRPr="00F95451">
        <w:rPr>
          <w:rFonts w:ascii="Verdana" w:eastAsia="Times New Roman" w:hAnsi="Verdana" w:cs="Arial"/>
          <w:lang w:eastAsia="es-ES_tradnl"/>
        </w:rPr>
        <w:t xml:space="preserve"> </w:t>
      </w:r>
      <w:r>
        <w:rPr>
          <w:rFonts w:ascii="Verdana" w:eastAsia="Times New Roman" w:hAnsi="Verdana" w:cs="Arial"/>
          <w:lang w:eastAsia="es-ES_tradnl"/>
        </w:rPr>
        <w:t>s</w:t>
      </w:r>
      <w:r w:rsidRPr="00F95451">
        <w:rPr>
          <w:rFonts w:ascii="Verdana" w:eastAsia="Times New Roman" w:hAnsi="Verdana" w:cs="Arial"/>
          <w:lang w:eastAsia="es-ES_tradnl"/>
        </w:rPr>
        <w:t>e tratan, en suma, de instrumentos complementarios que pueden contribuir a una gestión contractual más eficiente, sin alterar el curso ni la validez del procedimiento sancionatorio en curso.</w:t>
      </w:r>
    </w:p>
    <w:p w14:paraId="0EC5620B" w14:textId="77777777" w:rsidR="00D65E25" w:rsidRPr="002A32A9" w:rsidRDefault="00D65E25" w:rsidP="00D65E25">
      <w:pPr>
        <w:shd w:val="clear" w:color="auto" w:fill="FFFFFF"/>
        <w:spacing w:after="120" w:line="276" w:lineRule="auto"/>
        <w:ind w:firstLine="709"/>
        <w:jc w:val="both"/>
        <w:rPr>
          <w:rFonts w:ascii="Verdana" w:hAnsi="Verdana" w:cs="Arial"/>
          <w:lang w:eastAsia="es-ES_tradnl"/>
        </w:rPr>
      </w:pPr>
      <w:r w:rsidRPr="002A32A9">
        <w:rPr>
          <w:rFonts w:ascii="Verdana" w:eastAsia="Times New Roman" w:hAnsi="Verdana" w:cs="Arial"/>
          <w:lang w:eastAsia="es-ES_tradnl"/>
        </w:rPr>
        <w:t xml:space="preserve">De este modo, </w:t>
      </w:r>
      <w:r w:rsidRPr="002A32A9">
        <w:rPr>
          <w:rFonts w:ascii="Verdana" w:hAnsi="Verdana" w:cs="Arial"/>
          <w:lang w:eastAsia="es-ES_tradnl"/>
        </w:rPr>
        <w:t xml:space="preserve">cuando, dentro del procedimiento administrativo sancionatorio, la entidad concluye que no es procedente declarar el incumplimiento porque no se acreditan los presupuestos para imponer la sanción, </w:t>
      </w:r>
      <w:r w:rsidRPr="00FC0D69">
        <w:rPr>
          <w:rFonts w:ascii="Verdana" w:hAnsi="Verdana" w:cs="Arial"/>
          <w:lang w:eastAsia="es-ES_tradnl"/>
        </w:rPr>
        <w:t xml:space="preserve">conserva la facultad de dar por terminado el trámite sin imponer sanción alguna. Esta potestad tiene fundamento expreso en el propio artículo 86 de la Ley 1474 de 2011: el literal c) contempla que la resolución decidirá sobre «la imposición o no» de la multa, sanción o declaratoria de incumplimiento, y el literal d) autoriza a la entidad a «dar por terminado el procedimiento en cualquier momento, si por algún medio tiene conocimiento de la cesación de situación de incumplimiento». De igual modo, </w:t>
      </w:r>
      <w:r w:rsidRPr="002A32A9">
        <w:rPr>
          <w:rFonts w:ascii="Verdana" w:hAnsi="Verdana" w:cs="Arial"/>
          <w:lang w:eastAsia="es-ES_tradnl"/>
        </w:rPr>
        <w:t xml:space="preserve">resulta </w:t>
      </w:r>
      <w:r>
        <w:rPr>
          <w:rFonts w:ascii="Verdana" w:hAnsi="Verdana" w:cs="Arial"/>
          <w:lang w:eastAsia="es-ES_tradnl"/>
        </w:rPr>
        <w:t>procedente</w:t>
      </w:r>
      <w:r w:rsidRPr="002A32A9">
        <w:rPr>
          <w:rFonts w:ascii="Verdana" w:hAnsi="Verdana" w:cs="Arial"/>
          <w:lang w:eastAsia="es-ES_tradnl"/>
        </w:rPr>
        <w:t xml:space="preserve"> gestionar mecanismos de solución directa para definir los aspectos económicos pendientes del contrato. En este contexto, es importante precisar que los acuerdos bilaterales sobre saldos, compensaciones o cruces de cuentas son jurídicamente admisibles, siempre que respeten los principios de la contratación estatal y no comprometan los intereses públicos. La autonomía de la voluntad, reconocida en el régimen contractual, permite a las partes adoptar este tipo de acuerdos sin que ello interfiera con la competencia de la entidad para cerrar el trámite sancionatorio sin declarar incumplimiento.</w:t>
      </w:r>
    </w:p>
    <w:p w14:paraId="454F07DA" w14:textId="77777777" w:rsidR="00D65E25" w:rsidRPr="002A32A9" w:rsidRDefault="00D65E25" w:rsidP="00D65E25">
      <w:pPr>
        <w:shd w:val="clear" w:color="auto" w:fill="FFFFFF"/>
        <w:spacing w:after="120" w:line="276" w:lineRule="auto"/>
        <w:ind w:firstLine="709"/>
        <w:jc w:val="both"/>
        <w:rPr>
          <w:rFonts w:ascii="Verdana" w:eastAsia="Times New Roman" w:hAnsi="Verdana" w:cs="Arial"/>
          <w:lang w:eastAsia="es-ES_tradnl"/>
        </w:rPr>
      </w:pPr>
      <w:r w:rsidRPr="002A32A9">
        <w:rPr>
          <w:rFonts w:ascii="Verdana" w:eastAsia="Times New Roman" w:hAnsi="Verdana" w:cs="Arial"/>
          <w:lang w:eastAsia="es-ES_tradnl"/>
        </w:rPr>
        <w:t>En los contratos de prestación de servicios profesionales —</w:t>
      </w:r>
      <w:r w:rsidRPr="00E52243">
        <w:rPr>
          <w:rFonts w:ascii="Verdana" w:eastAsia="Times New Roman" w:hAnsi="Verdana" w:cs="Arial"/>
          <w:lang w:eastAsia="es-ES_tradnl"/>
        </w:rPr>
        <w:t xml:space="preserve">que no requieren liquidación obligatoria </w:t>
      </w:r>
      <w:r w:rsidRPr="002A32A9">
        <w:rPr>
          <w:rFonts w:ascii="Verdana" w:eastAsia="Times New Roman" w:hAnsi="Verdana" w:cs="Arial"/>
          <w:lang w:eastAsia="es-ES_tradnl"/>
        </w:rPr>
        <w:t xml:space="preserve">según el artículo 60 de la Ley 80 de 1993— las partes pueden definir saldos mediante acuerdos bilaterales, transacciones o incluso mediante una liquidación cuando esta resulte necesaria. El artículo 60 </w:t>
      </w:r>
      <w:r w:rsidRPr="002A32A9">
        <w:rPr>
          <w:rFonts w:ascii="Verdana" w:eastAsia="Times New Roman" w:hAnsi="Verdana" w:cs="Arial"/>
          <w:lang w:eastAsia="es-ES_tradnl"/>
        </w:rPr>
        <w:lastRenderedPageBreak/>
        <w:t>establece que deben liquidarse los contratos de tracto sucesivo, aquellos cuya ejecución se prolongue en el tiempo y “los demás que lo requieran”, mientras que excluye expresamente de liquidación obligatoria los contratos de prestación de servicios profesionales y de apoyo a la gestión. Sin embargo, esta exclusión no impide que la entidad evalúe si, dadas las particularidades del caso —como la existencia de recursos no ejecutados o la necesidad de ajustar cuentas</w:t>
      </w:r>
      <w:r>
        <w:rPr>
          <w:rFonts w:ascii="Verdana" w:eastAsia="Times New Roman" w:hAnsi="Verdana" w:cs="Arial"/>
          <w:lang w:eastAsia="es-ES_tradnl"/>
        </w:rPr>
        <w:t xml:space="preserve"> de la ejecución del contrato</w:t>
      </w:r>
      <w:r w:rsidRPr="002A32A9">
        <w:rPr>
          <w:rFonts w:ascii="Verdana" w:eastAsia="Times New Roman" w:hAnsi="Verdana" w:cs="Arial"/>
          <w:lang w:eastAsia="es-ES_tradnl"/>
        </w:rPr>
        <w:t>— es pertinente proceder con una liquidación para realizar el balance económico, técnico y jurídico del cumplimiento contractual.</w:t>
      </w:r>
    </w:p>
    <w:p w14:paraId="03ED1775" w14:textId="77777777" w:rsidR="00D65E25" w:rsidRDefault="00D65E25" w:rsidP="00D65E25">
      <w:pPr>
        <w:spacing w:after="0" w:line="276" w:lineRule="auto"/>
        <w:ind w:firstLine="709"/>
        <w:jc w:val="both"/>
        <w:rPr>
          <w:rFonts w:ascii="Verdana" w:eastAsia="Times New Roman" w:hAnsi="Verdana" w:cs="Arial"/>
          <w:color w:val="000000"/>
          <w:lang w:val="es-ES_tradnl"/>
        </w:rPr>
      </w:pPr>
      <w:r w:rsidRPr="002A32A9">
        <w:rPr>
          <w:rFonts w:ascii="Verdana" w:eastAsia="Times New Roman" w:hAnsi="Verdana" w:cs="Arial"/>
          <w:lang w:eastAsia="es-ES_tradnl"/>
        </w:rPr>
        <w:t xml:space="preserve">La determinación de si un contrato “requiere” liquidación constituye un </w:t>
      </w:r>
      <w:r w:rsidRPr="004B1E01">
        <w:rPr>
          <w:rFonts w:ascii="Verdana" w:eastAsia="Times New Roman" w:hAnsi="Verdana" w:cs="Arial"/>
          <w:lang w:eastAsia="es-ES_tradnl"/>
        </w:rPr>
        <w:t>concepto jurídico indeterminado</w:t>
      </w:r>
      <w:r w:rsidRPr="002A32A9">
        <w:rPr>
          <w:rFonts w:ascii="Verdana" w:eastAsia="Times New Roman" w:hAnsi="Verdana" w:cs="Arial"/>
          <w:lang w:eastAsia="es-ES_tradnl"/>
        </w:rPr>
        <w:t xml:space="preserve"> que debe precisarse en cada caso, atendiendo a la naturaleza, objeto, plazo y circunstancias de ejecución del contrato</w:t>
      </w:r>
      <w:r>
        <w:rPr>
          <w:rFonts w:ascii="Verdana" w:eastAsia="Times New Roman" w:hAnsi="Verdana" w:cs="Arial"/>
          <w:color w:val="000000"/>
          <w:lang w:val="es-ES_tradnl"/>
        </w:rPr>
        <w:t xml:space="preserve">. Al respecto, la doctrina expresa: </w:t>
      </w:r>
    </w:p>
    <w:p w14:paraId="39A98E24" w14:textId="77777777" w:rsidR="00D65E25" w:rsidRDefault="00D65E25" w:rsidP="00D65E25">
      <w:pPr>
        <w:spacing w:after="0" w:line="276" w:lineRule="auto"/>
        <w:ind w:firstLine="709"/>
        <w:jc w:val="both"/>
        <w:rPr>
          <w:rFonts w:ascii="Verdana" w:eastAsia="Times New Roman" w:hAnsi="Verdana" w:cs="Arial"/>
          <w:color w:val="000000"/>
          <w:lang w:val="es-ES_tradnl"/>
        </w:rPr>
      </w:pPr>
    </w:p>
    <w:p w14:paraId="38BEBC1E" w14:textId="77777777" w:rsidR="00D65E25" w:rsidRDefault="00D65E25" w:rsidP="00D65E25">
      <w:pPr>
        <w:spacing w:after="0" w:line="240" w:lineRule="auto"/>
        <w:ind w:left="709" w:right="709"/>
        <w:jc w:val="both"/>
        <w:rPr>
          <w:rFonts w:ascii="Verdana" w:eastAsia="Times New Roman" w:hAnsi="Verdana" w:cs="Arial"/>
          <w:color w:val="000000"/>
          <w:sz w:val="21"/>
          <w:szCs w:val="21"/>
          <w:lang w:val="es-ES_tradnl"/>
        </w:rPr>
      </w:pPr>
      <w:r w:rsidRPr="00FB62BB">
        <w:rPr>
          <w:rFonts w:ascii="Verdana" w:eastAsia="Times New Roman" w:hAnsi="Verdana" w:cs="Arial"/>
          <w:color w:val="000000"/>
          <w:sz w:val="21"/>
          <w:szCs w:val="21"/>
          <w:lang w:val="es-ES_tradnl"/>
        </w:rPr>
        <w:t>“el criterio válido para determinar si el contrato requiere o no de liquidación consiste en verificar si, al momento de su terminación, existe duda sobre el cumplimiento de las prestaciones y/o existe mérito para la determinación de obligaciones pendientes, tanto a favor del contratista como de la entidad estatal (pues) [s]i las prestaciones se han cumplido cabalmente, y se presenta absoluta claridad de lo cumplido y pagado, no será necesario liquidar el contrato”</w:t>
      </w:r>
      <w:r>
        <w:rPr>
          <w:rStyle w:val="Refdenotaalpie"/>
          <w:rFonts w:ascii="Verdana" w:eastAsia="Times New Roman" w:hAnsi="Verdana" w:cs="Arial"/>
          <w:color w:val="000000"/>
          <w:sz w:val="21"/>
          <w:szCs w:val="21"/>
          <w:lang w:val="es-ES_tradnl"/>
        </w:rPr>
        <w:footnoteReference w:id="31"/>
      </w:r>
      <w:r w:rsidRPr="00FB62BB">
        <w:rPr>
          <w:rFonts w:ascii="Verdana" w:eastAsia="Times New Roman" w:hAnsi="Verdana" w:cs="Arial"/>
          <w:color w:val="000000"/>
          <w:sz w:val="21"/>
          <w:szCs w:val="21"/>
          <w:lang w:val="es-ES_tradnl"/>
        </w:rPr>
        <w:t>.</w:t>
      </w:r>
    </w:p>
    <w:p w14:paraId="084397DB" w14:textId="77777777" w:rsidR="00D65E25" w:rsidRDefault="00D65E25" w:rsidP="00D65E25">
      <w:pPr>
        <w:spacing w:after="0" w:line="240" w:lineRule="auto"/>
        <w:ind w:left="709" w:right="709"/>
        <w:jc w:val="both"/>
        <w:rPr>
          <w:rFonts w:ascii="Verdana" w:eastAsia="Times New Roman" w:hAnsi="Verdana" w:cs="Arial"/>
          <w:color w:val="000000"/>
          <w:sz w:val="21"/>
          <w:szCs w:val="21"/>
          <w:lang w:val="es-ES_tradnl"/>
        </w:rPr>
      </w:pPr>
    </w:p>
    <w:p w14:paraId="24254E94" w14:textId="77777777" w:rsidR="00D65E25" w:rsidRPr="002A32A9" w:rsidRDefault="00D65E25" w:rsidP="00D65E25">
      <w:pPr>
        <w:shd w:val="clear" w:color="auto" w:fill="FFFFFF"/>
        <w:spacing w:after="120" w:line="276" w:lineRule="auto"/>
        <w:ind w:firstLine="709"/>
        <w:jc w:val="both"/>
        <w:rPr>
          <w:rFonts w:ascii="Verdana" w:eastAsia="Times New Roman" w:hAnsi="Verdana" w:cs="Arial"/>
          <w:lang w:eastAsia="es-ES_tradnl"/>
        </w:rPr>
      </w:pPr>
      <w:r>
        <w:rPr>
          <w:rFonts w:ascii="Verdana" w:eastAsia="Times New Roman" w:hAnsi="Verdana" w:cs="Arial"/>
          <w:lang w:val="es-ES_tradnl" w:eastAsia="es-ES_tradnl"/>
        </w:rPr>
        <w:t xml:space="preserve">La </w:t>
      </w:r>
      <w:r w:rsidRPr="002A32A9">
        <w:rPr>
          <w:rFonts w:ascii="Verdana" w:eastAsia="Times New Roman" w:hAnsi="Verdana" w:cs="Arial"/>
          <w:lang w:eastAsia="es-ES_tradnl"/>
        </w:rPr>
        <w:t>liquidación es necesaria cuando, al finalizar el contrato, existe duda sobre el cumplimiento de las prestaciones o cuando subsisten obligaciones pendientes a favor del contratista</w:t>
      </w:r>
      <w:r>
        <w:rPr>
          <w:rFonts w:ascii="Verdana" w:eastAsia="Times New Roman" w:hAnsi="Verdana" w:cs="Arial"/>
          <w:lang w:eastAsia="es-ES_tradnl"/>
        </w:rPr>
        <w:t xml:space="preserve"> de prestación de servicios</w:t>
      </w:r>
      <w:r w:rsidRPr="002A32A9">
        <w:rPr>
          <w:rFonts w:ascii="Verdana" w:eastAsia="Times New Roman" w:hAnsi="Verdana" w:cs="Arial"/>
          <w:lang w:eastAsia="es-ES_tradnl"/>
        </w:rPr>
        <w:t xml:space="preserve"> o de la entidad. Si las prestaciones se han cumplido cabalmente y existe absoluta claridad sobre lo ejecutado y pagado, la liquidación no es indispensable. Por ello, incluso en contratos de prestación de servicios profesionales, la entidad debe revisar si la existencia de saldos por liberar o ajustes económicos pendientes exige acudir a la liquidación para garantizar un cierre contractual adecuado y transparente.</w:t>
      </w:r>
    </w:p>
    <w:p w14:paraId="46444913" w14:textId="77777777" w:rsidR="00D65E25" w:rsidRPr="00C829ED" w:rsidRDefault="00D65E25" w:rsidP="00D65E25">
      <w:pPr>
        <w:shd w:val="clear" w:color="auto" w:fill="FFFFFF"/>
        <w:spacing w:after="0" w:line="276" w:lineRule="auto"/>
        <w:ind w:firstLine="708"/>
        <w:jc w:val="both"/>
        <w:rPr>
          <w:rFonts w:ascii="Verdana" w:eastAsia="Times New Roman" w:hAnsi="Verdana" w:cs="Arial"/>
          <w:lang w:eastAsia="es-ES_tradnl"/>
        </w:rPr>
      </w:pPr>
      <w:r w:rsidRPr="00C829ED">
        <w:rPr>
          <w:rFonts w:ascii="Verdana" w:eastAsia="Times New Roman" w:hAnsi="Verdana" w:cs="Arial"/>
          <w:lang w:eastAsia="es-ES_tradnl"/>
        </w:rPr>
        <w:t>Por último, vale la pena aclarar que tanto el procedimiento de arreglo directo como la suscripción de los acuerdos que de él surjan, serán adelantados y celebrados por el o los funcionarios que resulten competentes dentro de la entidad pública involucrada, atendiendo a las reglas que</w:t>
      </w:r>
      <w:r>
        <w:rPr>
          <w:rFonts w:ascii="Verdana" w:eastAsia="Times New Roman" w:hAnsi="Verdana" w:cs="Arial"/>
          <w:lang w:eastAsia="es-ES_tradnl"/>
        </w:rPr>
        <w:t>,</w:t>
      </w:r>
      <w:r w:rsidRPr="00C829ED">
        <w:rPr>
          <w:rFonts w:ascii="Verdana" w:eastAsia="Times New Roman" w:hAnsi="Verdana" w:cs="Arial"/>
          <w:lang w:eastAsia="es-ES_tradnl"/>
        </w:rPr>
        <w:t xml:space="preserve"> sobre competencia y delegación y desconcentración de estas, trae el EGC</w:t>
      </w:r>
      <w:r>
        <w:rPr>
          <w:rFonts w:ascii="Verdana" w:eastAsia="Times New Roman" w:hAnsi="Verdana" w:cs="Arial"/>
          <w:lang w:eastAsia="es-ES_tradnl"/>
        </w:rPr>
        <w:t>A</w:t>
      </w:r>
      <w:r w:rsidRPr="00C829ED">
        <w:rPr>
          <w:rFonts w:ascii="Verdana" w:eastAsia="Times New Roman" w:hAnsi="Verdana" w:cs="Arial"/>
          <w:lang w:eastAsia="es-ES_tradnl"/>
        </w:rPr>
        <w:t xml:space="preserve">P. Ante esto, tales </w:t>
      </w:r>
      <w:r w:rsidRPr="00C829ED">
        <w:rPr>
          <w:rFonts w:ascii="Verdana" w:eastAsia="Times New Roman" w:hAnsi="Verdana" w:cs="Arial"/>
          <w:lang w:eastAsia="es-ES_tradnl"/>
        </w:rPr>
        <w:lastRenderedPageBreak/>
        <w:t xml:space="preserve">funcionarios se encuentran sometidos al régimen de inhabilidades, incompatibilidades y conflicto de intereses previsto en el ordenamiento normativo, según lo cual, cuando el interés general, propio de la función pública, entre en conflicto con </w:t>
      </w:r>
      <w:r>
        <w:rPr>
          <w:rFonts w:ascii="Verdana" w:eastAsia="Times New Roman" w:hAnsi="Verdana" w:cs="Arial"/>
          <w:lang w:eastAsia="es-ES_tradnl"/>
        </w:rPr>
        <w:t>el</w:t>
      </w:r>
      <w:r w:rsidRPr="00C829ED">
        <w:rPr>
          <w:rFonts w:ascii="Verdana" w:eastAsia="Times New Roman" w:hAnsi="Verdana" w:cs="Arial"/>
          <w:lang w:eastAsia="es-ES_tradnl"/>
        </w:rPr>
        <w:t xml:space="preserve"> interés particular y directo del servidor público, este deberá declararse impedido, así como atender a los impedimentos consagrados en la normativa especial del EGC</w:t>
      </w:r>
      <w:r>
        <w:rPr>
          <w:rFonts w:ascii="Verdana" w:eastAsia="Times New Roman" w:hAnsi="Verdana" w:cs="Arial"/>
          <w:lang w:eastAsia="es-ES_tradnl"/>
        </w:rPr>
        <w:t>A</w:t>
      </w:r>
      <w:r w:rsidRPr="00C829ED">
        <w:rPr>
          <w:rFonts w:ascii="Verdana" w:eastAsia="Times New Roman" w:hAnsi="Verdana" w:cs="Arial"/>
          <w:lang w:eastAsia="es-ES_tradnl"/>
        </w:rPr>
        <w:t>P , en la Ley 1474 de 2011 y en el artículo 11 de la Ley 1437 de 2011</w:t>
      </w:r>
      <w:r>
        <w:rPr>
          <w:rStyle w:val="Refdenotaalpie"/>
          <w:rFonts w:ascii="Verdana" w:eastAsia="Times New Roman" w:hAnsi="Verdana" w:cs="Arial"/>
          <w:lang w:eastAsia="es-ES_tradnl"/>
        </w:rPr>
        <w:footnoteReference w:id="32"/>
      </w:r>
      <w:r w:rsidRPr="00C829ED">
        <w:rPr>
          <w:rFonts w:ascii="Verdana" w:eastAsia="Times New Roman" w:hAnsi="Verdana" w:cs="Arial"/>
          <w:lang w:eastAsia="es-ES_tradnl"/>
        </w:rPr>
        <w:t>, aplicables por virtud de lo establecido en el inciso final del artículo 2 del Código de Procedimiento Administrativo y de lo Contencioso Administrativo</w:t>
      </w:r>
      <w:r w:rsidRPr="00E51636">
        <w:rPr>
          <w:rFonts w:ascii="Verdana" w:eastAsia="Times New Roman" w:hAnsi="Verdana" w:cs="Arial"/>
          <w:vertAlign w:val="superscript"/>
          <w:lang w:eastAsia="es-ES_tradnl"/>
        </w:rPr>
        <w:footnoteReference w:id="33"/>
      </w:r>
      <w:r w:rsidRPr="00C829ED">
        <w:rPr>
          <w:rFonts w:ascii="Verdana" w:eastAsia="Times New Roman" w:hAnsi="Verdana" w:cs="Arial"/>
          <w:lang w:eastAsia="es-ES_tradnl"/>
        </w:rPr>
        <w:t xml:space="preserve">. </w:t>
      </w:r>
    </w:p>
    <w:p w14:paraId="44B4386A" w14:textId="77777777" w:rsidR="00D65E25" w:rsidRPr="0018252D" w:rsidRDefault="00D65E25" w:rsidP="00D65E25">
      <w:pPr>
        <w:spacing w:after="0" w:line="276" w:lineRule="auto"/>
        <w:jc w:val="both"/>
        <w:rPr>
          <w:rFonts w:ascii="Verdana" w:eastAsia="Calibri" w:hAnsi="Verdana" w:cs="Arial"/>
          <w:color w:val="000000" w:themeColor="text1"/>
        </w:rPr>
      </w:pPr>
    </w:p>
    <w:bookmarkEnd w:id="1"/>
    <w:p w14:paraId="50E52488" w14:textId="77777777" w:rsidR="00D65E25" w:rsidRPr="009037F6" w:rsidRDefault="00D65E25" w:rsidP="00D65E25">
      <w:pPr>
        <w:spacing w:after="120" w:line="276" w:lineRule="auto"/>
        <w:jc w:val="both"/>
        <w:rPr>
          <w:rFonts w:ascii="Verdana" w:eastAsia="Calibri" w:hAnsi="Verdana" w:cs="Arial"/>
          <w:color w:val="000000" w:themeColor="text1"/>
          <w:lang w:val="es-ES"/>
        </w:rPr>
      </w:pPr>
      <w:proofErr w:type="spellStart"/>
      <w:r>
        <w:rPr>
          <w:rFonts w:ascii="Verdana" w:eastAsia="Calibri" w:hAnsi="Verdana" w:cs="Arial"/>
          <w:color w:val="000000" w:themeColor="text1"/>
          <w:lang w:val="es-ES"/>
        </w:rPr>
        <w:t>iv</w:t>
      </w:r>
      <w:proofErr w:type="spellEnd"/>
      <w:r w:rsidRPr="009037F6">
        <w:rPr>
          <w:rFonts w:ascii="Verdana" w:eastAsia="Calibri" w:hAnsi="Verdana" w:cs="Arial"/>
          <w:color w:val="000000" w:themeColor="text1"/>
          <w:lang w:val="es-ES"/>
        </w:rPr>
        <w:t xml:space="preserve">. Al </w:t>
      </w:r>
      <w:r w:rsidRPr="009037F6">
        <w:rPr>
          <w:rFonts w:ascii="Verdana" w:hAnsi="Verdana" w:cs="Arial"/>
          <w:lang w:val="es-ES_tradnl" w:eastAsia="es-ES"/>
        </w:rPr>
        <w:t>margen de la explicación precedente debe advertirse</w:t>
      </w:r>
      <w:r w:rsidRPr="00971A9B">
        <w:rPr>
          <w:rFonts w:ascii="Verdana" w:hAnsi="Verdana" w:cs="Arial"/>
          <w:lang w:val="es-ES_tradnl" w:eastAsia="es-ES"/>
        </w:rPr>
        <w:t xml:space="preserve"> </w:t>
      </w:r>
      <w:r w:rsidRPr="00FC0D69">
        <w:rPr>
          <w:rFonts w:ascii="Verdana" w:hAnsi="Verdana" w:cs="Arial"/>
          <w:lang w:val="es-ES_tradnl" w:eastAsia="es-ES"/>
        </w:rPr>
        <w:t>el análisis de los problemas específicos que en torno al procedimiento sancionatorio contractual y a los mecanismos de solución directa puedan presentarse corresponde adelantarlo a quienes tengan interés en ello, de acuerdo con lo señalado en la aclaración preliminar del presente oficio.</w:t>
      </w:r>
      <w:r w:rsidRPr="009037F6">
        <w:rPr>
          <w:rFonts w:ascii="Verdana" w:hAnsi="Verdana" w:cs="Arial"/>
          <w:lang w:val="es-ES_tradnl" w:eastAsia="es-ES"/>
        </w:rPr>
        <w:t xml:space="preserve">  De esta manera, las afirmaciones aquí realizadas no pueden ser interpretadas como juicios de valor sobre </w:t>
      </w:r>
      <w:r w:rsidRPr="009037F6">
        <w:rPr>
          <w:rFonts w:ascii="Verdana" w:hAnsi="Verdana" w:cs="Arial"/>
          <w:lang w:val="es-ES_tradnl" w:eastAsia="es-ES"/>
        </w:rPr>
        <w:lastRenderedPageBreak/>
        <w:t>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1B75013" w14:textId="77777777" w:rsidR="00D65E25" w:rsidRPr="009037F6" w:rsidRDefault="00D65E25" w:rsidP="00D65E25">
      <w:pPr>
        <w:spacing w:after="0" w:line="276" w:lineRule="auto"/>
        <w:ind w:firstLine="709"/>
        <w:jc w:val="both"/>
        <w:rPr>
          <w:rFonts w:ascii="Verdana" w:hAnsi="Verdana" w:cs="Arial"/>
          <w:lang w:val="es-ES" w:eastAsia="es-ES"/>
        </w:rPr>
      </w:pPr>
      <w:r w:rsidRPr="009037F6">
        <w:rPr>
          <w:rFonts w:ascii="Verdana" w:hAnsi="Verdana" w:cs="Arial"/>
          <w:lang w:val="es-ES"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70879422" w14:textId="77777777" w:rsidR="00D65E25" w:rsidRPr="009037F6" w:rsidRDefault="00D65E25" w:rsidP="00D65E25">
      <w:pPr>
        <w:spacing w:after="0" w:line="276" w:lineRule="auto"/>
        <w:jc w:val="both"/>
        <w:rPr>
          <w:rFonts w:ascii="Verdana" w:eastAsia="Calibri" w:hAnsi="Verdana" w:cs="Arial"/>
          <w:lang w:val="es-ES" w:eastAsia="es-MX"/>
        </w:rPr>
      </w:pPr>
    </w:p>
    <w:p w14:paraId="1C4AD524" w14:textId="77777777" w:rsidR="00D65E25" w:rsidRPr="009037F6" w:rsidRDefault="00D65E25" w:rsidP="00D65E25">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Pr>
          <w:rFonts w:ascii="Verdana" w:eastAsia="Century Gothic" w:hAnsi="Verdana" w:cs="Century Gothic"/>
          <w:b/>
          <w:bCs/>
          <w:lang w:val="es-ES"/>
        </w:rPr>
        <w:t>Referencias normativas</w:t>
      </w:r>
    </w:p>
    <w:p w14:paraId="7DDF8923" w14:textId="77777777" w:rsidR="00D65E25" w:rsidRPr="009037F6" w:rsidRDefault="00D65E25" w:rsidP="00D65E25">
      <w:pPr>
        <w:widowControl w:val="0"/>
        <w:autoSpaceDE w:val="0"/>
        <w:autoSpaceDN w:val="0"/>
        <w:spacing w:after="0" w:line="276"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65E25" w:rsidRPr="009037F6" w14:paraId="79A241BB" w14:textId="77777777" w:rsidTr="008545F2">
        <w:trPr>
          <w:trHeight w:val="487"/>
          <w:jc w:val="center"/>
        </w:trPr>
        <w:tc>
          <w:tcPr>
            <w:tcW w:w="8647" w:type="dxa"/>
          </w:tcPr>
          <w:p w14:paraId="039CF35D" w14:textId="77777777" w:rsidR="00D65E25" w:rsidRDefault="00D65E25" w:rsidP="008545F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9037F6">
              <w:rPr>
                <w:rFonts w:ascii="Verdana" w:eastAsia="Arial MT" w:hAnsi="Verdana" w:cs="Arial"/>
                <w:lang w:val="es-ES" w:eastAsia="es-ES" w:bidi="es-ES"/>
              </w:rPr>
              <w:t>Constitución Política de 1991, artículo 29.</w:t>
            </w:r>
          </w:p>
          <w:p w14:paraId="3730DCC6" w14:textId="77777777" w:rsidR="00D65E25" w:rsidRPr="00525368" w:rsidRDefault="00D65E25" w:rsidP="008545F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525368">
              <w:rPr>
                <w:rFonts w:ascii="Verdana" w:eastAsia="Arial MT" w:hAnsi="Verdana" w:cs="Arial"/>
                <w:lang w:val="es-ES" w:eastAsia="es-ES" w:bidi="es-ES"/>
              </w:rPr>
              <w:t>Código Civil, artículos 1501, 1592, 1602, 162</w:t>
            </w:r>
            <w:r>
              <w:rPr>
                <w:rFonts w:ascii="Verdana" w:eastAsia="Arial MT" w:hAnsi="Verdana" w:cs="Arial"/>
                <w:lang w:val="es-ES" w:eastAsia="es-ES" w:bidi="es-ES"/>
              </w:rPr>
              <w:t xml:space="preserve">5, 2469 y 2483. </w:t>
            </w:r>
            <w:r w:rsidRPr="00525368">
              <w:rPr>
                <w:rFonts w:ascii="Verdana" w:eastAsia="Arial MT" w:hAnsi="Verdana" w:cs="Arial"/>
                <w:lang w:val="es-ES" w:eastAsia="es-ES" w:bidi="es-ES"/>
              </w:rPr>
              <w:t xml:space="preserve">  </w:t>
            </w:r>
          </w:p>
          <w:p w14:paraId="6892754A" w14:textId="77777777" w:rsidR="00D65E25" w:rsidRDefault="00D65E25" w:rsidP="008545F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9037F6">
              <w:rPr>
                <w:rFonts w:ascii="Verdana" w:eastAsia="Arial MT" w:hAnsi="Verdana" w:cs="Arial"/>
                <w:lang w:val="es-ES" w:eastAsia="es-ES" w:bidi="es-ES"/>
              </w:rPr>
              <w:t>Ley 8</w:t>
            </w:r>
            <w:r>
              <w:rPr>
                <w:rFonts w:ascii="Verdana" w:eastAsia="Arial MT" w:hAnsi="Verdana" w:cs="Arial"/>
                <w:lang w:val="es-ES" w:eastAsia="es-ES" w:bidi="es-ES"/>
              </w:rPr>
              <w:t xml:space="preserve">0 de 1993, artículos </w:t>
            </w:r>
            <w:r w:rsidRPr="00F437D9">
              <w:rPr>
                <w:rFonts w:ascii="Verdana" w:eastAsia="Arial MT" w:hAnsi="Verdana" w:cs="Arial"/>
                <w:lang w:val="es-ES" w:eastAsia="es-ES" w:bidi="es-ES"/>
              </w:rPr>
              <w:t xml:space="preserve">4, 5, </w:t>
            </w:r>
            <w:r>
              <w:rPr>
                <w:rFonts w:ascii="Verdana" w:eastAsia="Arial MT" w:hAnsi="Verdana" w:cs="Arial"/>
                <w:lang w:val="es-ES" w:eastAsia="es-ES" w:bidi="es-ES"/>
              </w:rPr>
              <w:t>12 al 19, 25, 26, 27, 32, 40 y 60</w:t>
            </w:r>
            <w:r w:rsidRPr="009037F6">
              <w:rPr>
                <w:rFonts w:ascii="Verdana" w:eastAsia="Arial MT" w:hAnsi="Verdana" w:cs="Arial"/>
                <w:lang w:val="es-ES" w:eastAsia="es-ES" w:bidi="es-ES"/>
              </w:rPr>
              <w:t>.</w:t>
            </w:r>
          </w:p>
          <w:p w14:paraId="55AA7E29" w14:textId="77777777" w:rsidR="00D65E25" w:rsidRDefault="00D65E25" w:rsidP="008545F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Ley 1150 de 2007, artículos 7, 11 y 17. </w:t>
            </w:r>
          </w:p>
          <w:p w14:paraId="08B6C26A" w14:textId="77777777" w:rsidR="00D65E25" w:rsidRPr="009037F6" w:rsidRDefault="00D65E25" w:rsidP="008545F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Ley 1437 de 2011, artículos 2 y 11. </w:t>
            </w:r>
          </w:p>
          <w:p w14:paraId="664D15FA" w14:textId="77777777" w:rsidR="00D65E25" w:rsidRDefault="00D65E25" w:rsidP="008545F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9037F6">
              <w:rPr>
                <w:rFonts w:ascii="Verdana" w:eastAsia="Arial MT" w:hAnsi="Verdana" w:cs="Arial"/>
                <w:lang w:val="es-ES" w:eastAsia="es-ES" w:bidi="es-ES"/>
              </w:rPr>
              <w:t>Ley 1474 de 2011, artículo 86.</w:t>
            </w:r>
          </w:p>
          <w:p w14:paraId="3650FDE0" w14:textId="77777777" w:rsidR="00D65E25" w:rsidRPr="00525368" w:rsidRDefault="00D65E25" w:rsidP="008545F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525368">
              <w:rPr>
                <w:rFonts w:ascii="Verdana" w:eastAsia="Arial MT" w:hAnsi="Verdana" w:cs="Arial"/>
                <w:lang w:val="es-ES" w:eastAsia="es-ES" w:bidi="es-ES"/>
              </w:rPr>
              <w:t xml:space="preserve">Ley 1563 de 2012, artículo 59.  </w:t>
            </w:r>
          </w:p>
          <w:p w14:paraId="5C283CFC" w14:textId="77777777" w:rsidR="00D65E25" w:rsidRPr="00CC4AA4" w:rsidRDefault="00D65E25" w:rsidP="008545F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525368">
              <w:rPr>
                <w:rFonts w:ascii="Verdana" w:eastAsia="Arial MT" w:hAnsi="Verdana" w:cs="Arial"/>
                <w:lang w:val="es-ES" w:eastAsia="es-ES" w:bidi="es-ES"/>
              </w:rPr>
              <w:t xml:space="preserve">Ley 2220 de 2022, artículo 4.  </w:t>
            </w:r>
            <w:r w:rsidRPr="00FC0D69">
              <w:rPr>
                <w:rFonts w:ascii="Verdana" w:eastAsia="Arial MT" w:hAnsi="Verdana" w:cs="Arial"/>
                <w:lang w:val="es-ES" w:eastAsia="es-ES" w:bidi="es-ES"/>
              </w:rPr>
              <w:t>Código Civil, artículos 1714 a 1716 (compensación).</w:t>
            </w:r>
          </w:p>
          <w:p w14:paraId="0EB87BBF" w14:textId="77777777" w:rsidR="00D65E25" w:rsidRPr="00CC4AA4" w:rsidRDefault="00D65E25" w:rsidP="008545F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FC0D69">
              <w:rPr>
                <w:rFonts w:ascii="Verdana" w:eastAsia="Arial MT" w:hAnsi="Verdana" w:cs="Arial"/>
                <w:lang w:val="es-ES" w:eastAsia="es-ES" w:bidi="es-ES"/>
              </w:rPr>
              <w:t>Ley 446 de 1998 y Ley 640 de 2001.</w:t>
            </w:r>
          </w:p>
          <w:p w14:paraId="56700CF3" w14:textId="77777777" w:rsidR="00D65E25" w:rsidRPr="00CC4AA4" w:rsidRDefault="00D65E25" w:rsidP="008545F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FC0D69">
              <w:rPr>
                <w:rFonts w:ascii="Verdana" w:eastAsia="Arial MT" w:hAnsi="Verdana" w:cs="Arial"/>
                <w:lang w:val="es-ES" w:eastAsia="es-ES" w:bidi="es-ES"/>
              </w:rPr>
              <w:t>Ley 1755 de 2015.</w:t>
            </w:r>
          </w:p>
          <w:p w14:paraId="23ADB9D2" w14:textId="77777777" w:rsidR="00D65E25" w:rsidRPr="00CC4AA4" w:rsidRDefault="00D65E25" w:rsidP="008545F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FC0D69">
              <w:rPr>
                <w:rFonts w:ascii="Verdana" w:eastAsia="Arial MT" w:hAnsi="Verdana" w:cs="Arial"/>
                <w:lang w:val="es-ES" w:eastAsia="es-ES" w:bidi="es-ES"/>
              </w:rPr>
              <w:t>Ley 2195 de 2022, artículo 52.</w:t>
            </w:r>
          </w:p>
          <w:p w14:paraId="5ABE6436" w14:textId="77777777" w:rsidR="00D65E25" w:rsidRPr="00CC4AA4" w:rsidRDefault="00D65E25" w:rsidP="008545F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FC0D69">
              <w:rPr>
                <w:rFonts w:ascii="Verdana" w:eastAsia="Arial MT" w:hAnsi="Verdana" w:cs="Arial"/>
                <w:lang w:val="es-ES" w:eastAsia="es-ES" w:bidi="es-ES"/>
              </w:rPr>
              <w:t>Decreto Ley 019 de 2012, artículo 217 (modifica el artículo 60 de la Ley 80 de 1993).</w:t>
            </w:r>
          </w:p>
          <w:p w14:paraId="55174AED" w14:textId="77777777" w:rsidR="00D65E25" w:rsidRPr="00525368" w:rsidRDefault="00D65E25" w:rsidP="008545F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FC0D69">
              <w:rPr>
                <w:rFonts w:ascii="Verdana" w:eastAsia="Arial MT" w:hAnsi="Verdana" w:cs="Arial"/>
                <w:lang w:val="es-ES" w:eastAsia="es-ES" w:bidi="es-ES"/>
              </w:rPr>
              <w:lastRenderedPageBreak/>
              <w:t>Decreto 1082 de 2015, artículo 2.2.1.1.1.3.1.</w:t>
            </w:r>
          </w:p>
        </w:tc>
      </w:tr>
    </w:tbl>
    <w:p w14:paraId="60C0A8C1" w14:textId="77777777" w:rsidR="00D65E25" w:rsidRPr="009037F6" w:rsidRDefault="00D65E25" w:rsidP="00D65E25">
      <w:pPr>
        <w:widowControl w:val="0"/>
        <w:autoSpaceDE w:val="0"/>
        <w:autoSpaceDN w:val="0"/>
        <w:spacing w:after="0" w:line="276" w:lineRule="auto"/>
        <w:jc w:val="both"/>
        <w:rPr>
          <w:rFonts w:ascii="Verdana" w:hAnsi="Verdana" w:cs="Arial"/>
        </w:rPr>
      </w:pPr>
    </w:p>
    <w:p w14:paraId="5A16DDD6" w14:textId="77777777" w:rsidR="00D65E25" w:rsidRPr="009037F6" w:rsidRDefault="00D65E25" w:rsidP="00D65E25">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Doctrina de la Agencia Nacional de Contratación Pública:</w:t>
      </w:r>
    </w:p>
    <w:p w14:paraId="3A493FE5" w14:textId="77777777" w:rsidR="00D65E25" w:rsidRPr="009037F6" w:rsidRDefault="00D65E25" w:rsidP="00D65E25">
      <w:pPr>
        <w:widowControl w:val="0"/>
        <w:autoSpaceDE w:val="0"/>
        <w:autoSpaceDN w:val="0"/>
        <w:spacing w:after="0" w:line="276" w:lineRule="auto"/>
        <w:jc w:val="both"/>
        <w:rPr>
          <w:rFonts w:ascii="Verdana" w:hAnsi="Verdana" w:cs="Arial"/>
        </w:rPr>
      </w:pPr>
    </w:p>
    <w:p w14:paraId="27251646" w14:textId="77777777" w:rsidR="00D65E25" w:rsidRPr="00D61F9A" w:rsidRDefault="00D65E25" w:rsidP="00D65E25">
      <w:pPr>
        <w:widowControl w:val="0"/>
        <w:autoSpaceDE w:val="0"/>
        <w:autoSpaceDN w:val="0"/>
        <w:spacing w:after="0" w:line="276" w:lineRule="auto"/>
        <w:jc w:val="both"/>
        <w:rPr>
          <w:rFonts w:ascii="Verdana" w:eastAsia="Calibri" w:hAnsi="Verdana" w:cs="Arial"/>
          <w:shd w:val="clear" w:color="auto" w:fill="FFFFFF"/>
        </w:rPr>
      </w:pPr>
      <w:r w:rsidRPr="009037F6">
        <w:rPr>
          <w:rFonts w:ascii="Verdana" w:eastAsia="Calibri" w:hAnsi="Verdana" w:cs="Arial"/>
          <w:lang w:val="es-ES"/>
        </w:rPr>
        <w:t xml:space="preserve">La Agencia Nacional de Contratación Pública – Colombia Compra Eficiente se ha pronunciado </w:t>
      </w:r>
      <w:r w:rsidRPr="009037F6">
        <w:rPr>
          <w:rFonts w:ascii="Verdana" w:eastAsia="Calibri" w:hAnsi="Verdana" w:cs="Arial"/>
          <w:shd w:val="clear" w:color="auto" w:fill="FFFFFF"/>
        </w:rPr>
        <w:t xml:space="preserve">sobre el </w:t>
      </w:r>
      <w:r>
        <w:rPr>
          <w:rFonts w:ascii="Verdana" w:eastAsia="Calibri" w:hAnsi="Verdana" w:cs="Arial"/>
          <w:shd w:val="clear" w:color="auto" w:fill="FFFFFF"/>
        </w:rPr>
        <w:t xml:space="preserve">procedimiento administrativo sancionatorio en los conceptos </w:t>
      </w:r>
      <w:r w:rsidRPr="00134DAF">
        <w:rPr>
          <w:rFonts w:ascii="Verdana" w:eastAsia="Calibri" w:hAnsi="Verdana" w:cs="Arial"/>
          <w:bCs/>
          <w:shd w:val="clear" w:color="auto" w:fill="FFFFFF"/>
        </w:rPr>
        <w:t>C-147 del 17 de marzo de 2020, C-219 del 29 de abril de 2020, C-434 del 29 de julio de 2020, C-569 del 31 de agosto de 2020, C-641 del 4 de noviembre de 2020, C-060 del 8 de marzo de 2021, C-528 del 5 de abril de 2021, C-420 del 25 de agosto de 2022, C- 720 del 25 de enero de 2022, C-085 del 29 de abril  de 2022 C-125 del 23 de marzo de 2022, C-195 del 12 de abril de 2022, C-208 del 26 de abril de 2022, C-238 del 27 de abril de 2022, C-866 del 20 de diciembre de 2022, C-034 de 09 de marzo de 2023, C-140 del 13 de junio de 2023, C-227 del 07 de julio del 2023 y C-047 del 25 de abril de 2024</w:t>
      </w:r>
      <w:r>
        <w:rPr>
          <w:rFonts w:ascii="Verdana" w:eastAsia="Calibri" w:hAnsi="Verdana" w:cs="Arial"/>
          <w:bCs/>
          <w:shd w:val="clear" w:color="auto" w:fill="FFFFFF"/>
        </w:rPr>
        <w:t xml:space="preserve">, </w:t>
      </w:r>
      <w:r>
        <w:rPr>
          <w:rFonts w:ascii="Verdana" w:eastAsia="Calibri" w:hAnsi="Verdana" w:cs="Arial"/>
          <w:shd w:val="clear" w:color="auto" w:fill="FFFFFF"/>
        </w:rPr>
        <w:t xml:space="preserve">C-1208 del 7 de octubre de 2025, C-1497 del 30 de octubre de 2025, C-1503 del 26 de noviembre de 2025, </w:t>
      </w:r>
      <w:r w:rsidRPr="00BA6A3E">
        <w:rPr>
          <w:rFonts w:ascii="Verdana" w:eastAsia="Calibri" w:hAnsi="Verdana" w:cs="Arial"/>
          <w:bCs/>
          <w:shd w:val="clear" w:color="auto" w:fill="FFFFFF"/>
        </w:rPr>
        <w:t>C-1127 del 29 de julio de 2026, entre otros</w:t>
      </w:r>
      <w:r>
        <w:rPr>
          <w:rFonts w:ascii="Verdana" w:eastAsia="Calibri" w:hAnsi="Verdana" w:cs="Arial"/>
          <w:shd w:val="clear" w:color="auto" w:fill="FFFFFF"/>
        </w:rPr>
        <w:t xml:space="preserve">. </w:t>
      </w:r>
      <w:r w:rsidRPr="00DB3472">
        <w:rPr>
          <w:rFonts w:ascii="Verdana" w:eastAsia="Calibri" w:hAnsi="Verdana" w:cs="Arial"/>
          <w:shd w:val="clear" w:color="auto" w:fill="FFFFFF"/>
          <w:lang w:val="es-ES"/>
        </w:rPr>
        <w:t xml:space="preserve">En torno al principio de arreglo directo se encuentran los siguientes conceptos: Concepto C-494 del 17 de septiembre de 2021, C-142 del 2 de julio de 2024, </w:t>
      </w:r>
      <w:r>
        <w:rPr>
          <w:rFonts w:ascii="Verdana" w:eastAsia="Calibri" w:hAnsi="Verdana" w:cs="Arial"/>
          <w:shd w:val="clear" w:color="auto" w:fill="FFFFFF"/>
          <w:lang w:val="es-ES"/>
        </w:rPr>
        <w:t>C-889 del 15 de agosto de 2026, entre otros</w:t>
      </w:r>
      <w:r w:rsidRPr="009037F6">
        <w:rPr>
          <w:rFonts w:ascii="Verdana" w:hAnsi="Verdana" w:cs="Arial"/>
          <w:bCs/>
          <w:shd w:val="clear" w:color="auto" w:fill="FFFFFF"/>
        </w:rPr>
        <w:t xml:space="preserve">. </w:t>
      </w:r>
      <w:r w:rsidRPr="007A7572">
        <w:rPr>
          <w:rFonts w:ascii="Verdana" w:hAnsi="Verdana" w:cs="Arial"/>
          <w:bCs/>
          <w:shd w:val="clear" w:color="auto" w:fill="FFFFFF"/>
        </w:rPr>
        <w:t>En todo caso, resulta pertinente realizar un análisis general sobre la procedencia de adelantar simultáneamente el procedimiento administrativo sancionatorio y los mecanismos de solución directa de controversias, a fin de determinar su compatibilidad, alcance y efectos dentro de la gestión contractual.</w:t>
      </w:r>
      <w:r>
        <w:rPr>
          <w:rFonts w:ascii="Verdana" w:hAnsi="Verdana" w:cs="Arial"/>
          <w:bCs/>
          <w:shd w:val="clear" w:color="auto" w:fill="FFFFFF"/>
        </w:rPr>
        <w:t xml:space="preserve"> </w:t>
      </w:r>
      <w:r w:rsidRPr="009037F6">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54D44C5A" w14:textId="77777777" w:rsidR="00D65E25" w:rsidRDefault="00D65E25" w:rsidP="00D65E25">
      <w:pPr>
        <w:spacing w:after="0" w:line="256" w:lineRule="auto"/>
        <w:jc w:val="both"/>
        <w:rPr>
          <w:rFonts w:ascii="Verdana" w:eastAsia="Calibri" w:hAnsi="Verdana" w:cs="Times New Roman"/>
        </w:rPr>
      </w:pPr>
      <w:hyperlink r:id="rId13" w:history="1">
        <w:r w:rsidRPr="009037F6">
          <w:rPr>
            <w:rFonts w:ascii="Verdana" w:eastAsia="Calibri" w:hAnsi="Verdana" w:cs="Times New Roman"/>
            <w:color w:val="0000FF"/>
            <w:u w:val="single"/>
            <w:lang w:val="es-ES"/>
          </w:rPr>
          <w:t>https://relatoria.colombiacompra.gov.co/busqueda/conceptos</w:t>
        </w:r>
      </w:hyperlink>
      <w:r w:rsidRPr="009037F6">
        <w:rPr>
          <w:rFonts w:ascii="Verdana" w:eastAsia="Calibri" w:hAnsi="Verdana" w:cs="Times New Roman"/>
        </w:rPr>
        <w:t xml:space="preserve">. </w:t>
      </w:r>
    </w:p>
    <w:p w14:paraId="6F81F920" w14:textId="77777777" w:rsidR="00D65E25" w:rsidRDefault="00D65E25" w:rsidP="00D65E25">
      <w:pPr>
        <w:widowControl w:val="0"/>
        <w:autoSpaceDE w:val="0"/>
        <w:autoSpaceDN w:val="0"/>
        <w:spacing w:after="0" w:line="276" w:lineRule="auto"/>
        <w:jc w:val="both"/>
        <w:rPr>
          <w:rFonts w:ascii="Verdana" w:eastAsia="Calibri" w:hAnsi="Verdana" w:cs="Times New Roman"/>
        </w:rPr>
      </w:pPr>
    </w:p>
    <w:p w14:paraId="683F380F" w14:textId="77777777" w:rsidR="00D65E25" w:rsidRPr="003D5C91" w:rsidRDefault="00D65E25" w:rsidP="00D65E25">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3D5C91">
        <w:rPr>
          <w:rFonts w:ascii="Verdana" w:eastAsia="Calibri" w:hAnsi="Verdana" w:cs="Arial"/>
          <w:b/>
          <w:bCs/>
          <w:color w:val="000000"/>
          <w:lang w:eastAsia="es-ES_tradnl"/>
        </w:rPr>
        <w:t>Guía para la Exigencia y Constitución de Garantías en los Procesos de Contratación</w:t>
      </w:r>
      <w:r w:rsidRPr="003D5C91">
        <w:rPr>
          <w:rFonts w:ascii="Verdana" w:eastAsia="Calibri" w:hAnsi="Verdana" w:cs="Arial"/>
          <w:color w:val="000000"/>
          <w:lang w:eastAsia="es-ES_tradnl"/>
        </w:rPr>
        <w:t xml:space="preserve">, dirigida a las entidades sometidas al EGCAP y a las de regímenes exceptuados, así como a proveedores </w:t>
      </w:r>
      <w:r w:rsidRPr="003D5C91">
        <w:rPr>
          <w:rFonts w:ascii="Verdana" w:eastAsia="Calibri" w:hAnsi="Verdana" w:cs="Arial"/>
          <w:color w:val="000000"/>
          <w:lang w:eastAsia="es-ES_tradnl"/>
        </w:rPr>
        <w:lastRenderedPageBreak/>
        <w:t>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https://www.colombiacompra.gov.co/archivos/manual/guia-de-garantias-en-procesos-de-contratacion" w:history="1">
        <w:r w:rsidRPr="003D5C91">
          <w:rPr>
            <w:rStyle w:val="Hipervnculo"/>
            <w:rFonts w:ascii="Verdana" w:eastAsia="Calibri" w:hAnsi="Verdana" w:cs="Arial"/>
            <w:lang w:eastAsia="es-ES_tradnl"/>
          </w:rPr>
          <w:t>https://www.colombiacompra.gov.co/archivos/manual/guia-de-garantias-en-procesos-de-contratacion</w:t>
        </w:r>
      </w:hyperlink>
    </w:p>
    <w:p w14:paraId="5C5685F8" w14:textId="77777777" w:rsidR="00D65E25" w:rsidRDefault="00D65E25" w:rsidP="00D65E25">
      <w:pPr>
        <w:spacing w:after="0" w:line="276" w:lineRule="auto"/>
        <w:jc w:val="both"/>
        <w:rPr>
          <w:rFonts w:ascii="Verdana" w:eastAsia="Calibri" w:hAnsi="Verdana" w:cs="Arial"/>
          <w:color w:val="000000"/>
          <w:lang w:eastAsia="es-ES_tradnl"/>
        </w:rPr>
      </w:pPr>
    </w:p>
    <w:p w14:paraId="7E5E51DB" w14:textId="77777777" w:rsidR="00D65E25" w:rsidRPr="003D5C91" w:rsidRDefault="00D65E25" w:rsidP="00D65E25">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De otro lado, te contamos que el Decreto 287 del 19 de marzo de 2026 sustituyó los artículos 2.2.1.2.4.2.6., 2.2.1.2.4.2.7. y 2.2.1.2.4.2.8. del Decreto 1082 de 2015 y estructuró el </w:t>
      </w:r>
      <w:r w:rsidRPr="003D5C91">
        <w:rPr>
          <w:rFonts w:ascii="Verdana" w:eastAsia="Calibri" w:hAnsi="Verdana" w:cs="Arial"/>
          <w:b/>
          <w:bCs/>
          <w:color w:val="000000"/>
          <w:lang w:eastAsia="es-ES_tradnl"/>
        </w:rPr>
        <w:t>Sistema Integral de Preferencias en favor de las personas con discapacidad</w:t>
      </w:r>
      <w:r w:rsidRPr="003D5C91">
        <w:rPr>
          <w:rFonts w:ascii="Verdana" w:eastAsia="Calibri" w:hAnsi="Verdana" w:cs="Arial"/>
          <w:color w:val="000000"/>
          <w:lang w:eastAsia="es-ES_tradnl"/>
        </w:rPr>
        <w:t>, en cumplimiento del artículo 13 de la Ley Estatutaria 1618 de 2013. Para orientar su aplicación, esta Agencia expidió la </w:t>
      </w:r>
      <w:r w:rsidRPr="003D5C91">
        <w:rPr>
          <w:rFonts w:ascii="Verdana" w:eastAsia="Calibri" w:hAnsi="Verdana" w:cs="Arial"/>
          <w:b/>
          <w:bCs/>
          <w:color w:val="000000"/>
          <w:lang w:eastAsia="es-ES_tradnl"/>
        </w:rPr>
        <w:t>Circular Externa 003 del 12 de mayo de 2026, </w:t>
      </w:r>
      <w:r w:rsidRPr="003D5C91">
        <w:rPr>
          <w:rFonts w:ascii="Verdana" w:eastAsia="Calibri" w:hAnsi="Verdana" w:cs="Arial"/>
          <w:color w:val="000000"/>
          <w:lang w:eastAsia="es-ES_tradnl"/>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https://www.colombiacompra.gov.co/archivos/circular/circular-externa-003-de-2026" w:history="1">
        <w:r w:rsidRPr="003D5C91">
          <w:rPr>
            <w:rStyle w:val="Hipervnculo"/>
            <w:rFonts w:ascii="Verdana" w:eastAsia="Calibri" w:hAnsi="Verdana" w:cs="Arial"/>
            <w:lang w:eastAsia="es-ES_tradnl"/>
          </w:rPr>
          <w:t>https://www.colombiacompra.gov.co/archivos/circular/circular-externa-003-de-2026</w:t>
        </w:r>
      </w:hyperlink>
    </w:p>
    <w:p w14:paraId="03774BCD" w14:textId="77777777" w:rsidR="00D65E25" w:rsidRDefault="00D65E25" w:rsidP="00D65E25">
      <w:pPr>
        <w:spacing w:after="0" w:line="276" w:lineRule="auto"/>
        <w:jc w:val="both"/>
        <w:rPr>
          <w:rFonts w:ascii="Verdana" w:eastAsia="Calibri" w:hAnsi="Verdana" w:cs="Arial"/>
          <w:color w:val="000000"/>
          <w:lang w:eastAsia="es-ES_tradnl"/>
        </w:rPr>
      </w:pPr>
    </w:p>
    <w:p w14:paraId="12A3BA16" w14:textId="77777777" w:rsidR="00D65E25" w:rsidRDefault="00D65E25" w:rsidP="00D65E25">
      <w:pPr>
        <w:spacing w:after="0" w:line="276" w:lineRule="auto"/>
        <w:jc w:val="both"/>
      </w:pPr>
      <w:r w:rsidRPr="003D5C91">
        <w:rPr>
          <w:rFonts w:ascii="Verdana" w:eastAsia="Calibri" w:hAnsi="Verdana" w:cs="Arial"/>
          <w:color w:val="000000"/>
          <w:lang w:eastAsia="es-ES_tradnl"/>
        </w:rPr>
        <w:t>Recuerda también que la</w:t>
      </w:r>
      <w:r w:rsidRPr="003D5C91">
        <w:rPr>
          <w:rFonts w:ascii="Verdana" w:eastAsia="Calibri" w:hAnsi="Verdana" w:cs="Arial"/>
          <w:b/>
          <w:bCs/>
          <w:color w:val="000000"/>
          <w:lang w:eastAsia="es-ES_tradnl"/>
        </w:rPr>
        <w:t> información sobre sanciones e inhabilidades </w:t>
      </w:r>
      <w:r w:rsidRPr="003D5C91">
        <w:rPr>
          <w:rFonts w:ascii="Verdana" w:eastAsia="Calibri" w:hAnsi="Verdana" w:cs="Arial"/>
          <w:color w:val="000000"/>
          <w:lang w:eastAsia="es-ES_tradnl"/>
        </w:rPr>
        <w:t>solo cumple su función preventiva si llega oportunamente a los registros públicos. Sobre este deber, esta Agencia expidió la </w:t>
      </w:r>
      <w:r w:rsidRPr="003D5C91">
        <w:rPr>
          <w:rFonts w:ascii="Verdana" w:eastAsia="Calibri" w:hAnsi="Verdana" w:cs="Arial"/>
          <w:b/>
          <w:bCs/>
          <w:color w:val="000000"/>
          <w:lang w:eastAsia="es-ES_tradnl"/>
        </w:rPr>
        <w:t>Circular Externa 002 del 5 de mayo de 2026,</w:t>
      </w:r>
      <w:r w:rsidRPr="003D5C91">
        <w:rPr>
          <w:rFonts w:ascii="Verdana" w:eastAsia="Calibri" w:hAnsi="Verdana" w:cs="Arial"/>
          <w:color w:val="000000"/>
          <w:lang w:eastAsia="es-ES_tradn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https://www.colombiacompra.gov.co/archivos/circular/circular-externa-002-de-2026" w:history="1">
        <w:r w:rsidRPr="003D5C91">
          <w:rPr>
            <w:rStyle w:val="Hipervnculo"/>
            <w:rFonts w:ascii="Verdana" w:eastAsia="Calibri" w:hAnsi="Verdana" w:cs="Arial"/>
            <w:lang w:eastAsia="es-ES_tradnl"/>
          </w:rPr>
          <w:t>https://www.colombiacompra.gov.co/archivos/circular/circular-externa-002-de-2026</w:t>
        </w:r>
      </w:hyperlink>
    </w:p>
    <w:p w14:paraId="2E26A3D4" w14:textId="77777777" w:rsidR="00D65E25" w:rsidRPr="003D5C91" w:rsidRDefault="00D65E25" w:rsidP="00D65E25">
      <w:pPr>
        <w:spacing w:after="0" w:line="276" w:lineRule="auto"/>
        <w:jc w:val="both"/>
        <w:rPr>
          <w:rFonts w:ascii="Verdana" w:eastAsia="Calibri" w:hAnsi="Verdana" w:cs="Arial"/>
          <w:color w:val="000000"/>
          <w:lang w:eastAsia="es-ES_tradnl"/>
        </w:rPr>
      </w:pPr>
    </w:p>
    <w:p w14:paraId="1B67BA95" w14:textId="77777777" w:rsidR="00D65E25" w:rsidRPr="003D5C91" w:rsidRDefault="00D65E25" w:rsidP="00D65E25">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Finalmente, si quieres seguir de cerca la actividad de la Agencia, la tercera edición de 2026 del</w:t>
      </w:r>
      <w:r w:rsidRPr="003D5C91">
        <w:rPr>
          <w:rFonts w:ascii="Verdana" w:eastAsia="Calibri" w:hAnsi="Verdana" w:cs="Arial"/>
          <w:b/>
          <w:bCs/>
          <w:color w:val="000000"/>
          <w:lang w:eastAsia="es-ES_tradnl"/>
        </w:rPr>
        <w:t> Radar de la Compra Pública</w:t>
      </w:r>
      <w:r w:rsidRPr="003D5C91">
        <w:rPr>
          <w:rFonts w:ascii="Verdana" w:eastAsia="Calibri" w:hAnsi="Verdana" w:cs="Arial"/>
          <w:color w:val="000000"/>
          <w:lang w:eastAsia="es-ES_tradnl"/>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w:t>
      </w:r>
      <w:r w:rsidRPr="003D5C91">
        <w:rPr>
          <w:rFonts w:ascii="Verdana" w:eastAsia="Calibri" w:hAnsi="Verdana" w:cs="Arial"/>
          <w:color w:val="000000"/>
          <w:lang w:eastAsia="es-ES_tradnl"/>
        </w:rPr>
        <w:lastRenderedPageBreak/>
        <w:t>aquí: </w:t>
      </w:r>
      <w:hyperlink r:id="rId17" w:tgtFrame="_blank" w:tooltip="https://www.colombiacompra.gov.co/archivos/boletin/boletin-edicion-n-3-de-2026-radar-de-la-compra-publica" w:history="1">
        <w:r w:rsidRPr="003D5C91">
          <w:rPr>
            <w:rStyle w:val="Hipervnculo"/>
            <w:rFonts w:ascii="Verdana" w:eastAsia="Calibri" w:hAnsi="Verdana" w:cs="Arial"/>
            <w:lang w:eastAsia="es-ES_tradnl"/>
          </w:rPr>
          <w:t>https://www.colombiacompra.gov.co/archivos/boletin/boletin-edicion-n-3-de-2026-radar-de-la-compra-publica</w:t>
        </w:r>
      </w:hyperlink>
    </w:p>
    <w:p w14:paraId="756DB34D" w14:textId="77777777" w:rsidR="00D65E25" w:rsidRDefault="00D65E25" w:rsidP="00D65E25">
      <w:pPr>
        <w:spacing w:after="0"/>
        <w:jc w:val="both"/>
        <w:rPr>
          <w:rFonts w:ascii="Verdana" w:hAnsi="Verdana"/>
        </w:rPr>
      </w:pPr>
    </w:p>
    <w:p w14:paraId="0C8494A0" w14:textId="77777777" w:rsidR="00D65E25" w:rsidRPr="00116940" w:rsidRDefault="00D65E25" w:rsidP="00D65E25">
      <w:pPr>
        <w:spacing w:after="0"/>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55467725" w14:textId="77777777" w:rsidR="00D65E25" w:rsidRPr="00116940" w:rsidRDefault="00D65E25" w:rsidP="00D65E25">
      <w:pPr>
        <w:spacing w:after="0"/>
        <w:jc w:val="both"/>
        <w:rPr>
          <w:rFonts w:ascii="Verdana" w:hAnsi="Verdana"/>
        </w:rPr>
      </w:pPr>
    </w:p>
    <w:p w14:paraId="0B55A90D" w14:textId="77777777" w:rsidR="00D65E25" w:rsidRPr="00116940" w:rsidRDefault="00D65E25" w:rsidP="00D65E25">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70430CB2" w14:textId="77777777" w:rsidR="00D65E25" w:rsidRPr="00116940" w:rsidRDefault="00D65E25" w:rsidP="00D65E25">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574AF29D" w14:textId="77777777" w:rsidR="00D65E25" w:rsidRPr="00116940" w:rsidRDefault="00D65E25" w:rsidP="00D65E25">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714A44E1" w14:textId="77777777" w:rsidR="00D65E25" w:rsidRPr="00116940" w:rsidRDefault="00D65E25" w:rsidP="00D65E25">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49414F65" w14:textId="77777777" w:rsidR="00D65E25" w:rsidRPr="00116940" w:rsidRDefault="00D65E25" w:rsidP="00D65E25">
      <w:pPr>
        <w:spacing w:after="0" w:line="240" w:lineRule="auto"/>
        <w:ind w:left="720"/>
        <w:jc w:val="both"/>
        <w:rPr>
          <w:rFonts w:ascii="Verdana" w:hAnsi="Verdana"/>
        </w:rPr>
      </w:pPr>
    </w:p>
    <w:p w14:paraId="698F9FA5" w14:textId="77777777" w:rsidR="00D65E25" w:rsidRPr="00116940" w:rsidRDefault="00D65E25" w:rsidP="00D65E25">
      <w:pPr>
        <w:spacing w:after="0" w:line="240" w:lineRule="auto"/>
        <w:rPr>
          <w:rFonts w:ascii="Verdana" w:hAnsi="Verdana"/>
        </w:rPr>
      </w:pPr>
      <w:r w:rsidRPr="00116940">
        <w:rPr>
          <w:rFonts w:ascii="Verdana" w:hAnsi="Verdana"/>
        </w:rPr>
        <w:t xml:space="preserve">Evalúa el servicio que ofrece la Agencia por el canal de atención de PQRSD en el siguiente </w:t>
      </w:r>
      <w:proofErr w:type="gramStart"/>
      <w:r w:rsidRPr="00116940">
        <w:rPr>
          <w:rFonts w:ascii="Verdana" w:hAnsi="Verdana"/>
        </w:rPr>
        <w:t>enlace :</w:t>
      </w:r>
      <w:proofErr w:type="gramEnd"/>
      <w:hyperlink r:id="rId20"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45EC617F" w14:textId="77777777" w:rsidR="00D65E25" w:rsidRPr="00116940" w:rsidRDefault="00D65E25" w:rsidP="00D65E25">
      <w:pPr>
        <w:spacing w:after="0" w:line="240" w:lineRule="auto"/>
        <w:rPr>
          <w:rFonts w:ascii="Verdana" w:hAnsi="Verdana"/>
        </w:rPr>
      </w:pPr>
    </w:p>
    <w:p w14:paraId="186515D6" w14:textId="77777777" w:rsidR="00D65E25" w:rsidRPr="00116940" w:rsidRDefault="00D65E25" w:rsidP="00D65E25">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79037E44" w14:textId="77777777" w:rsidR="00D65E25" w:rsidRPr="00116940" w:rsidRDefault="00D65E25" w:rsidP="00D65E25">
      <w:pPr>
        <w:spacing w:after="0" w:line="240" w:lineRule="auto"/>
        <w:jc w:val="both"/>
        <w:rPr>
          <w:rFonts w:ascii="Verdana" w:hAnsi="Verdana"/>
        </w:rPr>
      </w:pPr>
    </w:p>
    <w:p w14:paraId="160FFA81" w14:textId="77777777" w:rsidR="00D65E25" w:rsidRPr="00116940" w:rsidRDefault="00D65E25" w:rsidP="00D65E25">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7E09EDD1" w14:textId="77777777" w:rsidR="00D65E25" w:rsidRPr="00116940" w:rsidRDefault="00D65E25" w:rsidP="00D65E25">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5DF56BA7" w14:textId="77777777" w:rsidR="00D65E25" w:rsidRPr="00116940" w:rsidRDefault="00D65E25" w:rsidP="00D65E25">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2B2FC1E8" w14:textId="77777777" w:rsidR="00D65E25" w:rsidRPr="00116940" w:rsidRDefault="00D65E25" w:rsidP="00D65E25">
      <w:pPr>
        <w:spacing w:after="0" w:line="240" w:lineRule="auto"/>
        <w:jc w:val="both"/>
        <w:rPr>
          <w:rFonts w:ascii="Verdana" w:hAnsi="Verdana"/>
        </w:rPr>
      </w:pPr>
    </w:p>
    <w:p w14:paraId="622EABC2" w14:textId="77777777" w:rsidR="00D65E25" w:rsidRPr="009037F6" w:rsidRDefault="00D65E25" w:rsidP="00D65E25">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33802072" w14:textId="77777777" w:rsidR="00D65E25" w:rsidRPr="00492C4A" w:rsidRDefault="00D65E25" w:rsidP="00D65E25">
      <w:pPr>
        <w:spacing w:after="0" w:line="256" w:lineRule="auto"/>
        <w:jc w:val="both"/>
        <w:rPr>
          <w:rFonts w:ascii="Verdana" w:eastAsia="Calibri" w:hAnsi="Verdana" w:cs="Times New Roman"/>
          <w:lang w:val="es-ES_tradnl"/>
        </w:rPr>
      </w:pPr>
    </w:p>
    <w:p w14:paraId="55698FA0" w14:textId="77777777" w:rsidR="00D65E25" w:rsidRPr="005B7C68" w:rsidRDefault="00D65E25" w:rsidP="00D65E25">
      <w:pPr>
        <w:spacing w:after="0" w:line="256" w:lineRule="auto"/>
        <w:jc w:val="both"/>
        <w:rPr>
          <w:rFonts w:ascii="Verdana" w:eastAsia="Calibri" w:hAnsi="Verdana" w:cs="Times New Roman"/>
        </w:rPr>
      </w:pPr>
      <w:r w:rsidRPr="009037F6">
        <w:rPr>
          <w:rFonts w:ascii="Verdana" w:eastAsia="Calibri" w:hAnsi="Verdana" w:cs="Times New Roman"/>
        </w:rPr>
        <w:t>Atentamente,</w:t>
      </w:r>
    </w:p>
    <w:p w14:paraId="4DB7E1A3" w14:textId="08844B32" w:rsidR="00D65E25" w:rsidRDefault="0083394A" w:rsidP="00D65E25">
      <w:pPr>
        <w:spacing w:after="0" w:line="256" w:lineRule="auto"/>
        <w:jc w:val="center"/>
        <w:rPr>
          <w:rFonts w:ascii="Century Gothic" w:hAnsi="Century Gothic"/>
          <w:noProof/>
          <w:sz w:val="16"/>
          <w:szCs w:val="16"/>
          <w:lang w:val="en-US"/>
        </w:rPr>
      </w:pPr>
      <w:r w:rsidRPr="002C3AD6">
        <w:rPr>
          <w:rFonts w:ascii="Century Gothic" w:hAnsi="Century Gothic"/>
          <w:noProof/>
          <w:lang w:val="en-US"/>
        </w:rPr>
        <w:lastRenderedPageBreak/>
        <w:drawing>
          <wp:inline distT="0" distB="0" distL="0" distR="0" wp14:anchorId="56457968" wp14:editId="424F661E">
            <wp:extent cx="3279697" cy="1217463"/>
            <wp:effectExtent l="0" t="0" r="0" b="190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1"/>
                    <a:stretch>
                      <a:fillRect/>
                    </a:stretch>
                  </pic:blipFill>
                  <pic:spPr>
                    <a:xfrm>
                      <a:off x="0" y="0"/>
                      <a:ext cx="3312722" cy="1229722"/>
                    </a:xfrm>
                    <a:prstGeom prst="rect">
                      <a:avLst/>
                    </a:prstGeom>
                  </pic:spPr>
                </pic:pic>
              </a:graphicData>
            </a:graphic>
          </wp:inline>
        </w:drawing>
      </w:r>
    </w:p>
    <w:p w14:paraId="2258155D" w14:textId="77777777" w:rsidR="00D65E25" w:rsidRPr="002961A6" w:rsidRDefault="00D65E25" w:rsidP="00D65E25">
      <w:pPr>
        <w:spacing w:after="0" w:line="256" w:lineRule="auto"/>
        <w:jc w:val="center"/>
        <w:rPr>
          <w:rFonts w:ascii="Century Gothic" w:hAnsi="Century Gothic"/>
          <w:noProof/>
          <w:sz w:val="16"/>
          <w:szCs w:val="16"/>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D65E25" w:rsidRPr="00D56F8A" w14:paraId="67B3965D" w14:textId="77777777" w:rsidTr="008545F2">
        <w:trPr>
          <w:trHeight w:val="409"/>
        </w:trPr>
        <w:tc>
          <w:tcPr>
            <w:tcW w:w="817" w:type="dxa"/>
            <w:tcBorders>
              <w:top w:val="nil"/>
              <w:left w:val="nil"/>
              <w:bottom w:val="nil"/>
              <w:right w:val="nil"/>
            </w:tcBorders>
            <w:vAlign w:val="center"/>
            <w:hideMark/>
          </w:tcPr>
          <w:p w14:paraId="283860E3" w14:textId="77777777" w:rsidR="00D65E25" w:rsidRPr="00D56F8A" w:rsidRDefault="00D65E25" w:rsidP="008545F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15E99E9D" w14:textId="77777777" w:rsidR="00D65E25" w:rsidRPr="00D56F8A" w:rsidRDefault="00D65E25" w:rsidP="008545F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José Luis Sánchez Cardona</w:t>
            </w:r>
          </w:p>
          <w:p w14:paraId="3E769EB7" w14:textId="77777777" w:rsidR="00D65E25" w:rsidRPr="00D56F8A" w:rsidRDefault="00D65E25" w:rsidP="008545F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Contratista de la Subdirección de Gestión Contractual</w:t>
            </w:r>
          </w:p>
        </w:tc>
      </w:tr>
      <w:tr w:rsidR="00D65E25" w:rsidRPr="00D56F8A" w14:paraId="61827C87" w14:textId="77777777" w:rsidTr="008545F2">
        <w:trPr>
          <w:trHeight w:val="409"/>
        </w:trPr>
        <w:tc>
          <w:tcPr>
            <w:tcW w:w="817" w:type="dxa"/>
            <w:tcBorders>
              <w:top w:val="nil"/>
              <w:left w:val="nil"/>
              <w:bottom w:val="nil"/>
              <w:right w:val="nil"/>
            </w:tcBorders>
            <w:vAlign w:val="center"/>
            <w:hideMark/>
          </w:tcPr>
          <w:p w14:paraId="6F9C5D5A" w14:textId="77777777" w:rsidR="00D65E25" w:rsidRPr="00D56F8A" w:rsidRDefault="00D65E25" w:rsidP="008545F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5CB6314A" w14:textId="77777777" w:rsidR="00D65E25" w:rsidRPr="00D56F8A" w:rsidRDefault="00D65E25" w:rsidP="008545F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Alejandro R. Sarmiento Cantillo</w:t>
            </w:r>
          </w:p>
          <w:p w14:paraId="548DDDCA" w14:textId="77777777" w:rsidR="00D65E25" w:rsidRPr="00D56F8A" w:rsidRDefault="00D65E25" w:rsidP="008545F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Gestor T1-15 de la Subdirección de Gestión Contractual </w:t>
            </w:r>
          </w:p>
        </w:tc>
      </w:tr>
      <w:tr w:rsidR="00D65E25" w:rsidRPr="00D56F8A" w14:paraId="339E513B" w14:textId="77777777" w:rsidTr="008545F2">
        <w:trPr>
          <w:trHeight w:val="389"/>
        </w:trPr>
        <w:tc>
          <w:tcPr>
            <w:tcW w:w="817" w:type="dxa"/>
            <w:tcBorders>
              <w:top w:val="nil"/>
              <w:left w:val="nil"/>
              <w:bottom w:val="nil"/>
              <w:right w:val="nil"/>
            </w:tcBorders>
            <w:vAlign w:val="center"/>
            <w:hideMark/>
          </w:tcPr>
          <w:p w14:paraId="65F02154" w14:textId="77777777" w:rsidR="00D65E25" w:rsidRPr="00D56F8A" w:rsidRDefault="00D65E25" w:rsidP="008545F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483B8EFF" w14:textId="77777777" w:rsidR="00D65E25" w:rsidRPr="00D56F8A" w:rsidRDefault="00D65E25" w:rsidP="008545F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Carolina Quintero Gacharná</w:t>
            </w:r>
          </w:p>
          <w:p w14:paraId="2FE9B3AA" w14:textId="77777777" w:rsidR="00D65E25" w:rsidRPr="00D56F8A" w:rsidRDefault="00D65E25" w:rsidP="008545F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Subdirectora de Gestión Contractual ANCP – CCE</w:t>
            </w:r>
          </w:p>
        </w:tc>
      </w:tr>
    </w:tbl>
    <w:p w14:paraId="5B9F216B" w14:textId="410CBD9F" w:rsidR="00D65E25" w:rsidRPr="000E2B93" w:rsidRDefault="00D65E25" w:rsidP="00D65E25">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38AE361C" w14:textId="5C048976" w:rsidR="001E2071" w:rsidRPr="00D65E25" w:rsidRDefault="001E2071" w:rsidP="00D65E25"/>
    <w:sectPr w:rsidR="001E2071" w:rsidRPr="00D65E25"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8EEC5" w14:textId="77777777" w:rsidR="00BA4409" w:rsidRDefault="00BA4409" w:rsidP="004A1847">
      <w:pPr>
        <w:spacing w:after="0" w:line="240" w:lineRule="auto"/>
      </w:pPr>
      <w:r>
        <w:separator/>
      </w:r>
    </w:p>
  </w:endnote>
  <w:endnote w:type="continuationSeparator" w:id="0">
    <w:p w14:paraId="2E8A4B0A" w14:textId="77777777" w:rsidR="00BA4409" w:rsidRDefault="00BA440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EhrhardtMTStd">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0EA9BA25"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486D01" w:rsidRPr="00486D01">
      <w:rPr>
        <w:rFonts w:ascii="Verdana" w:eastAsiaTheme="minorEastAsia" w:hAnsi="Verdana"/>
        <w:b/>
        <w:bCs/>
        <w:noProof/>
        <w:sz w:val="16"/>
        <w:szCs w:val="16"/>
      </w:rPr>
      <w:t>4</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E59A5" w14:textId="77777777" w:rsidR="00BA4409" w:rsidRDefault="00BA4409" w:rsidP="004A1847">
      <w:pPr>
        <w:spacing w:after="0" w:line="240" w:lineRule="auto"/>
      </w:pPr>
      <w:r>
        <w:separator/>
      </w:r>
    </w:p>
  </w:footnote>
  <w:footnote w:type="continuationSeparator" w:id="0">
    <w:p w14:paraId="2D32FA97" w14:textId="77777777" w:rsidR="00BA4409" w:rsidRDefault="00BA4409" w:rsidP="004A1847">
      <w:pPr>
        <w:spacing w:after="0" w:line="240" w:lineRule="auto"/>
      </w:pPr>
      <w:r>
        <w:continuationSeparator/>
      </w:r>
    </w:p>
  </w:footnote>
  <w:footnote w:id="1">
    <w:p w14:paraId="47B3D62D" w14:textId="77777777" w:rsidR="00D65E25" w:rsidRPr="00447D29" w:rsidRDefault="00D65E25" w:rsidP="00D65E25">
      <w:pPr>
        <w:pStyle w:val="Textonotapie"/>
        <w:snapToGrid w:val="0"/>
        <w:ind w:firstLine="709"/>
        <w:contextualSpacing/>
        <w:jc w:val="both"/>
        <w:rPr>
          <w:rFonts w:ascii="Verdana" w:hAnsi="Verdana" w:cs="Arial"/>
          <w:iCs/>
          <w:sz w:val="15"/>
          <w:szCs w:val="15"/>
        </w:rPr>
      </w:pPr>
      <w:r w:rsidRPr="00447D29">
        <w:rPr>
          <w:rStyle w:val="Refdenotaalpie"/>
          <w:rFonts w:ascii="Verdana" w:hAnsi="Verdana" w:cs="Arial"/>
          <w:sz w:val="15"/>
          <w:szCs w:val="15"/>
        </w:rPr>
        <w:footnoteRef/>
      </w:r>
      <w:r w:rsidRPr="00447D29">
        <w:rPr>
          <w:rFonts w:ascii="Verdana" w:hAnsi="Verdana" w:cs="Arial"/>
          <w:iCs/>
          <w:sz w:val="15"/>
          <w:szCs w:val="15"/>
        </w:rPr>
        <w:t xml:space="preserve"> Motivo por el cual son típicas cláusulas accidentales dentro de los contratos estatales, en los términos del artículo 1501 del Código Civil.</w:t>
      </w:r>
    </w:p>
  </w:footnote>
  <w:footnote w:id="2">
    <w:p w14:paraId="592C6000" w14:textId="77777777" w:rsidR="00D65E25" w:rsidRPr="00447D29" w:rsidRDefault="00D65E25" w:rsidP="00D65E25">
      <w:pPr>
        <w:pStyle w:val="Textonotapie"/>
        <w:snapToGrid w:val="0"/>
        <w:ind w:firstLine="709"/>
        <w:contextualSpacing/>
        <w:jc w:val="both"/>
        <w:rPr>
          <w:rFonts w:ascii="Verdana" w:hAnsi="Verdana" w:cs="Arial"/>
          <w:sz w:val="15"/>
          <w:szCs w:val="15"/>
          <w:lang w:val="es-ES"/>
        </w:rPr>
      </w:pPr>
      <w:r w:rsidRPr="00447D29">
        <w:rPr>
          <w:rStyle w:val="Refdenotaalpie"/>
          <w:rFonts w:ascii="Verdana" w:hAnsi="Verdana" w:cs="Arial"/>
          <w:sz w:val="15"/>
          <w:szCs w:val="15"/>
        </w:rPr>
        <w:footnoteRef/>
      </w:r>
      <w:r w:rsidRPr="00447D29">
        <w:rPr>
          <w:rFonts w:ascii="Verdana" w:hAnsi="Verdana" w:cs="Arial"/>
          <w:sz w:val="15"/>
          <w:szCs w:val="15"/>
        </w:rPr>
        <w:t xml:space="preserve"> Consejo de Estado. Sección Tercera. Sentencia del 15 de noviembre de 2011. Exp. 20.916. C.P: Olga Mélida Valle de la Hoz. </w:t>
      </w:r>
    </w:p>
  </w:footnote>
  <w:footnote w:id="3">
    <w:p w14:paraId="166BD02C" w14:textId="77777777" w:rsidR="00D65E25" w:rsidRPr="00447D29" w:rsidRDefault="00D65E25" w:rsidP="00D65E25">
      <w:pPr>
        <w:pStyle w:val="Textonotapie"/>
        <w:snapToGrid w:val="0"/>
        <w:ind w:firstLine="709"/>
        <w:contextualSpacing/>
        <w:jc w:val="both"/>
        <w:rPr>
          <w:rFonts w:ascii="Verdana" w:hAnsi="Verdana" w:cs="Arial"/>
          <w:iCs/>
          <w:sz w:val="15"/>
          <w:szCs w:val="15"/>
          <w:lang w:val="es-ES_tradnl"/>
        </w:rPr>
      </w:pPr>
      <w:r w:rsidRPr="00447D29">
        <w:rPr>
          <w:rStyle w:val="Refdenotaalpie"/>
          <w:rFonts w:ascii="Verdana" w:hAnsi="Verdana" w:cs="Arial"/>
          <w:sz w:val="15"/>
          <w:szCs w:val="15"/>
        </w:rPr>
        <w:footnoteRef/>
      </w:r>
      <w:r w:rsidRPr="00447D29">
        <w:rPr>
          <w:rFonts w:ascii="Verdana" w:hAnsi="Verdana" w:cs="Arial"/>
          <w:sz w:val="15"/>
          <w:szCs w:val="15"/>
        </w:rPr>
        <w:t xml:space="preserve"> Consejo de Estado</w:t>
      </w:r>
      <w:r w:rsidRPr="00447D29">
        <w:rPr>
          <w:rFonts w:ascii="Verdana" w:hAnsi="Verdana" w:cs="Arial"/>
          <w:iCs/>
          <w:sz w:val="15"/>
          <w:szCs w:val="15"/>
          <w:lang w:val="es-ES_tradnl"/>
        </w:rPr>
        <w:t xml:space="preserve">. Sección Tercera. Sentencia del 23 de junio de 2010. Rad. 16.367. Consejero Ponente: Enrique Gil Botero. Véase también: </w:t>
      </w:r>
      <w:r w:rsidRPr="00447D29">
        <w:rPr>
          <w:rFonts w:ascii="Verdana" w:hAnsi="Verdana" w:cs="Arial"/>
          <w:sz w:val="15"/>
          <w:szCs w:val="15"/>
        </w:rPr>
        <w:t>Consejo de Estado. Sección Tercera. Sentencia del 13 de noviembre de 2008. Rad. 17.009. C.P.: Enrique Gil Botero.</w:t>
      </w:r>
    </w:p>
  </w:footnote>
  <w:footnote w:id="4">
    <w:p w14:paraId="411DD83D" w14:textId="77777777" w:rsidR="00D65E25" w:rsidRPr="00447D29" w:rsidRDefault="00D65E25" w:rsidP="00D65E25">
      <w:pPr>
        <w:pStyle w:val="Textonotapie"/>
        <w:snapToGrid w:val="0"/>
        <w:ind w:firstLine="709"/>
        <w:contextualSpacing/>
        <w:jc w:val="both"/>
        <w:rPr>
          <w:rFonts w:ascii="Verdana" w:hAnsi="Verdana" w:cs="Arial"/>
          <w:sz w:val="15"/>
          <w:szCs w:val="15"/>
        </w:rPr>
      </w:pPr>
      <w:r w:rsidRPr="00447D29">
        <w:rPr>
          <w:rStyle w:val="Refdenotaalpie"/>
          <w:rFonts w:ascii="Verdana" w:hAnsi="Verdana" w:cs="Arial"/>
          <w:sz w:val="15"/>
          <w:szCs w:val="15"/>
        </w:rPr>
        <w:footnoteRef/>
      </w:r>
      <w:r w:rsidRPr="00447D29">
        <w:rPr>
          <w:rFonts w:ascii="Verdana" w:hAnsi="Verdana" w:cs="Arial"/>
          <w:sz w:val="15"/>
          <w:szCs w:val="15"/>
          <w:lang w:val="pt-BR"/>
        </w:rPr>
        <w:t xml:space="preserve"> Corte Constitucional. Sentencia C-827 de 2001. </w:t>
      </w:r>
      <w:r w:rsidRPr="00447D29">
        <w:rPr>
          <w:rFonts w:ascii="Verdana" w:hAnsi="Verdana" w:cs="Arial"/>
          <w:sz w:val="15"/>
          <w:szCs w:val="15"/>
        </w:rPr>
        <w:t>M.P.; Álvaro Tafur Galvis.</w:t>
      </w:r>
    </w:p>
  </w:footnote>
  <w:footnote w:id="5">
    <w:p w14:paraId="30FD751A" w14:textId="77777777" w:rsidR="00D65E25" w:rsidRPr="00447D29" w:rsidRDefault="00D65E25" w:rsidP="00D65E25">
      <w:pPr>
        <w:pStyle w:val="Textonotapie"/>
        <w:snapToGrid w:val="0"/>
        <w:ind w:firstLine="709"/>
        <w:contextualSpacing/>
        <w:jc w:val="both"/>
        <w:rPr>
          <w:rFonts w:ascii="Verdana" w:hAnsi="Verdana" w:cs="Arial"/>
          <w:iCs/>
          <w:sz w:val="15"/>
          <w:szCs w:val="15"/>
        </w:rPr>
      </w:pPr>
      <w:r w:rsidRPr="00447D29">
        <w:rPr>
          <w:rStyle w:val="Refdenotaalpie"/>
          <w:rFonts w:ascii="Verdana" w:hAnsi="Verdana" w:cs="Arial"/>
          <w:sz w:val="15"/>
          <w:szCs w:val="15"/>
        </w:rPr>
        <w:footnoteRef/>
      </w:r>
      <w:r w:rsidRPr="00447D29">
        <w:rPr>
          <w:rFonts w:ascii="Verdana" w:hAnsi="Verdana" w:cs="Arial"/>
          <w:iCs/>
          <w:sz w:val="15"/>
          <w:szCs w:val="15"/>
        </w:rPr>
        <w:t xml:space="preserve"> Motivo por el cual son típicas cláusulas accidentales dentro de los contratos estatales, en los términos del artículo 1501 del Código Civil.</w:t>
      </w:r>
    </w:p>
    <w:p w14:paraId="0682313A" w14:textId="77777777" w:rsidR="00D65E25" w:rsidRPr="00447D29" w:rsidRDefault="00D65E25" w:rsidP="00D65E25">
      <w:pPr>
        <w:pStyle w:val="Textonotapie"/>
        <w:snapToGrid w:val="0"/>
        <w:ind w:firstLine="709"/>
        <w:contextualSpacing/>
        <w:jc w:val="both"/>
        <w:rPr>
          <w:rFonts w:ascii="Verdana" w:hAnsi="Verdana" w:cs="Arial"/>
          <w:sz w:val="15"/>
          <w:szCs w:val="15"/>
        </w:rPr>
      </w:pPr>
    </w:p>
  </w:footnote>
  <w:footnote w:id="6">
    <w:p w14:paraId="4BA73C2F" w14:textId="77777777" w:rsidR="00D65E25" w:rsidRPr="00447D29" w:rsidRDefault="00D65E25" w:rsidP="00D65E25">
      <w:pPr>
        <w:pStyle w:val="Textonotapie"/>
        <w:snapToGrid w:val="0"/>
        <w:ind w:firstLine="708"/>
        <w:contextualSpacing/>
        <w:jc w:val="both"/>
        <w:rPr>
          <w:rFonts w:ascii="Verdana" w:hAnsi="Verdana"/>
          <w:b/>
          <w:bCs/>
          <w:sz w:val="15"/>
          <w:szCs w:val="15"/>
        </w:rPr>
      </w:pPr>
      <w:r w:rsidRPr="00447D29">
        <w:rPr>
          <w:rStyle w:val="Refdenotaalpie"/>
          <w:rFonts w:ascii="Verdana" w:hAnsi="Verdana"/>
          <w:sz w:val="15"/>
          <w:szCs w:val="15"/>
        </w:rPr>
        <w:footnoteRef/>
      </w:r>
      <w:r w:rsidRPr="00447D29">
        <w:rPr>
          <w:rFonts w:ascii="Verdana" w:hAnsi="Verdana"/>
          <w:sz w:val="15"/>
          <w:szCs w:val="15"/>
        </w:rPr>
        <w:t xml:space="preserve"> Consejo de Estado. Sala de Consulta y Servicio Civil.</w:t>
      </w:r>
      <w:r w:rsidRPr="00447D29">
        <w:rPr>
          <w:rFonts w:ascii="Verdana" w:hAnsi="Verdana"/>
          <w:b/>
          <w:bCs/>
          <w:sz w:val="15"/>
          <w:szCs w:val="15"/>
        </w:rPr>
        <w:t xml:space="preserve"> </w:t>
      </w:r>
      <w:r w:rsidRPr="00447D29">
        <w:rPr>
          <w:rFonts w:ascii="Verdana" w:hAnsi="Verdana"/>
          <w:sz w:val="15"/>
          <w:szCs w:val="15"/>
        </w:rPr>
        <w:t xml:space="preserve">Concepto del trece (13) de diciembre de dos mil veintidós (2022). Radicación interna: 2489. Número Único: 11001-03-06-000-2022-00250-00. C.P. María del Pilar Bahamón Falla. </w:t>
      </w:r>
    </w:p>
  </w:footnote>
  <w:footnote w:id="7">
    <w:p w14:paraId="69BCC72A" w14:textId="77777777" w:rsidR="00D65E25" w:rsidRPr="00447D29" w:rsidRDefault="00D65E25" w:rsidP="00D65E25">
      <w:pPr>
        <w:pStyle w:val="Textonotapie"/>
        <w:snapToGrid w:val="0"/>
        <w:ind w:firstLine="708"/>
        <w:contextualSpacing/>
        <w:jc w:val="both"/>
        <w:rPr>
          <w:rFonts w:ascii="Verdana" w:hAnsi="Verdana"/>
          <w:sz w:val="15"/>
          <w:szCs w:val="15"/>
        </w:rPr>
      </w:pPr>
      <w:r w:rsidRPr="00447D29">
        <w:rPr>
          <w:rStyle w:val="Refdenotaalpie"/>
          <w:rFonts w:ascii="Verdana" w:hAnsi="Verdana"/>
          <w:sz w:val="15"/>
          <w:szCs w:val="15"/>
        </w:rPr>
        <w:footnoteRef/>
      </w:r>
      <w:r w:rsidRPr="00447D29">
        <w:rPr>
          <w:rFonts w:ascii="Verdana" w:hAnsi="Verdana"/>
          <w:sz w:val="15"/>
          <w:szCs w:val="15"/>
        </w:rPr>
        <w:t xml:space="preserve"> Con todo, dado que una de las funciones que se atribuyen a la cláusula penal -quizás la más importante- es la de constituir una liquidación anticipada del daño producido por el incumplimiento contractual hecha por las propias partes del negocio jurídico, su fuente deviene de la autonomía de la voluntad y, en consecuencia, no podría la entidad declarar el incumplimiento para hacerla efectiva si no fue estipulada previamente, so pena de contravenir la ley del contrato. </w:t>
      </w:r>
    </w:p>
  </w:footnote>
  <w:footnote w:id="8">
    <w:p w14:paraId="0A318C46" w14:textId="77777777" w:rsidR="00D65E25" w:rsidRPr="00447D29" w:rsidRDefault="00D65E25" w:rsidP="00D65E25">
      <w:pPr>
        <w:pStyle w:val="Textonotapie"/>
        <w:snapToGrid w:val="0"/>
        <w:ind w:firstLine="709"/>
        <w:contextualSpacing/>
        <w:jc w:val="both"/>
        <w:rPr>
          <w:rFonts w:ascii="Verdana" w:hAnsi="Verdana" w:cs="Arial"/>
          <w:sz w:val="15"/>
          <w:szCs w:val="15"/>
        </w:rPr>
      </w:pPr>
      <w:r w:rsidRPr="00447D29">
        <w:rPr>
          <w:rStyle w:val="Refdenotaalpie"/>
          <w:rFonts w:ascii="Verdana" w:hAnsi="Verdana" w:cs="Arial"/>
          <w:sz w:val="15"/>
          <w:szCs w:val="15"/>
        </w:rPr>
        <w:footnoteRef/>
      </w:r>
      <w:r w:rsidRPr="00447D29">
        <w:rPr>
          <w:rFonts w:ascii="Verdana" w:hAnsi="Verdana" w:cs="Arial"/>
          <w:sz w:val="15"/>
          <w:szCs w:val="15"/>
          <w:vertAlign w:val="superscript"/>
        </w:rPr>
        <w:t xml:space="preserve"> </w:t>
      </w:r>
      <w:r w:rsidRPr="00447D29">
        <w:rPr>
          <w:rFonts w:ascii="Verdana" w:hAnsi="Verdana" w:cs="Arial"/>
          <w:sz w:val="15"/>
          <w:szCs w:val="15"/>
        </w:rPr>
        <w:t>Consejo de Estado. Sección Tercera. Sentencia del 13 de noviembre de 2008. Exp. 17.009. C.P. Enrique Gil Botero.</w:t>
      </w:r>
    </w:p>
  </w:footnote>
  <w:footnote w:id="9">
    <w:p w14:paraId="29DF1021" w14:textId="77777777" w:rsidR="00D65E25" w:rsidRPr="00447D29" w:rsidRDefault="00D65E25" w:rsidP="00D65E25">
      <w:pPr>
        <w:pStyle w:val="Textonotapie"/>
        <w:snapToGrid w:val="0"/>
        <w:ind w:firstLine="709"/>
        <w:contextualSpacing/>
        <w:jc w:val="both"/>
        <w:rPr>
          <w:rFonts w:ascii="Verdana" w:hAnsi="Verdana" w:cs="Arial"/>
          <w:sz w:val="15"/>
          <w:szCs w:val="15"/>
        </w:rPr>
      </w:pPr>
      <w:r w:rsidRPr="00447D29">
        <w:rPr>
          <w:rStyle w:val="Refdenotaalpie"/>
          <w:rFonts w:ascii="Verdana" w:hAnsi="Verdana" w:cs="Arial"/>
          <w:sz w:val="15"/>
          <w:szCs w:val="15"/>
        </w:rPr>
        <w:footnoteRef/>
      </w:r>
      <w:r w:rsidRPr="00447D29">
        <w:rPr>
          <w:rFonts w:ascii="Verdana" w:hAnsi="Verdana" w:cs="Arial"/>
          <w:sz w:val="15"/>
          <w:szCs w:val="15"/>
        </w:rPr>
        <w:t xml:space="preserve"> Ibídem.</w:t>
      </w:r>
    </w:p>
  </w:footnote>
  <w:footnote w:id="10">
    <w:p w14:paraId="6D7A8C64" w14:textId="77777777" w:rsidR="00D65E25" w:rsidRPr="00447D29" w:rsidRDefault="00D65E25" w:rsidP="00D65E25">
      <w:pPr>
        <w:pStyle w:val="Textonotapie"/>
        <w:snapToGrid w:val="0"/>
        <w:ind w:firstLine="708"/>
        <w:contextualSpacing/>
        <w:jc w:val="both"/>
        <w:rPr>
          <w:rFonts w:ascii="Verdana" w:hAnsi="Verdana"/>
          <w:sz w:val="15"/>
          <w:szCs w:val="15"/>
          <w:lang w:val="es-ES"/>
        </w:rPr>
      </w:pPr>
      <w:r w:rsidRPr="00447D29">
        <w:rPr>
          <w:rStyle w:val="Refdenotaalpie"/>
          <w:rFonts w:ascii="Verdana" w:hAnsi="Verdana"/>
          <w:sz w:val="15"/>
          <w:szCs w:val="15"/>
        </w:rPr>
        <w:footnoteRef/>
      </w:r>
      <w:r w:rsidRPr="00447D29">
        <w:rPr>
          <w:rFonts w:ascii="Verdana" w:hAnsi="Verdana"/>
          <w:sz w:val="15"/>
          <w:szCs w:val="15"/>
        </w:rPr>
        <w:t xml:space="preserve"> Consejo de Estado. Sala de Consulta y Servicio Civil.</w:t>
      </w:r>
      <w:r w:rsidRPr="00447D29">
        <w:rPr>
          <w:rFonts w:ascii="Verdana" w:hAnsi="Verdana"/>
          <w:b/>
          <w:bCs/>
          <w:sz w:val="15"/>
          <w:szCs w:val="15"/>
        </w:rPr>
        <w:t xml:space="preserve"> </w:t>
      </w:r>
      <w:r w:rsidRPr="00447D29">
        <w:rPr>
          <w:rFonts w:ascii="Verdana" w:hAnsi="Verdana"/>
          <w:sz w:val="15"/>
          <w:szCs w:val="15"/>
        </w:rPr>
        <w:t>Concepto del trece (13) de diciembre de dos mil veintidós (2022). Radicación interna: 2489. Número Único: 11001-03-06-000-2022-00250-00. C.P. María del Pilar Bahamón Falla</w:t>
      </w:r>
    </w:p>
  </w:footnote>
  <w:footnote w:id="11">
    <w:p w14:paraId="1168C055" w14:textId="77777777" w:rsidR="00D65E25" w:rsidRPr="00447D29" w:rsidRDefault="00D65E25" w:rsidP="00D65E25">
      <w:pPr>
        <w:snapToGrid w:val="0"/>
        <w:spacing w:after="0"/>
        <w:ind w:firstLine="708"/>
        <w:contextualSpacing/>
        <w:jc w:val="both"/>
        <w:rPr>
          <w:rFonts w:ascii="Verdana" w:hAnsi="Verdana" w:cs="Arial"/>
          <w:sz w:val="15"/>
          <w:szCs w:val="15"/>
        </w:rPr>
      </w:pPr>
      <w:r w:rsidRPr="00447D29">
        <w:rPr>
          <w:rStyle w:val="Refdenotaalpie"/>
          <w:rFonts w:ascii="Verdana" w:hAnsi="Verdana" w:cs="Arial"/>
          <w:sz w:val="15"/>
          <w:szCs w:val="15"/>
        </w:rPr>
        <w:footnoteRef/>
      </w:r>
      <w:r w:rsidRPr="00447D29">
        <w:rPr>
          <w:rFonts w:ascii="Verdana" w:hAnsi="Verdana" w:cs="Arial"/>
          <w:sz w:val="15"/>
          <w:szCs w:val="15"/>
        </w:rPr>
        <w:t xml:space="preserve"> CORTE SUPREMA DE JUSTICIA, Sala de Casación Civil, sentencia del 31 de julio de 2018, Radicación n.º 25899-31-03-002-2013-00162-01, M.P. Luis Alonso Rico Puerta.</w:t>
      </w:r>
    </w:p>
  </w:footnote>
  <w:footnote w:id="12">
    <w:p w14:paraId="7AA734D9" w14:textId="77777777" w:rsidR="00D65E25" w:rsidRPr="00447D29" w:rsidRDefault="00D65E25" w:rsidP="00D65E25">
      <w:pPr>
        <w:pStyle w:val="Textonotapie"/>
        <w:snapToGrid w:val="0"/>
        <w:ind w:firstLine="708"/>
        <w:contextualSpacing/>
        <w:jc w:val="both"/>
        <w:rPr>
          <w:rFonts w:ascii="Verdana" w:hAnsi="Verdana" w:cs="Arial"/>
          <w:sz w:val="15"/>
          <w:szCs w:val="15"/>
        </w:rPr>
      </w:pPr>
      <w:r w:rsidRPr="00447D29">
        <w:rPr>
          <w:rStyle w:val="Refdenotaalpie"/>
          <w:rFonts w:ascii="Verdana" w:hAnsi="Verdana" w:cs="Arial"/>
          <w:sz w:val="15"/>
          <w:szCs w:val="15"/>
        </w:rPr>
        <w:footnoteRef/>
      </w:r>
      <w:r w:rsidRPr="00447D29">
        <w:rPr>
          <w:rFonts w:ascii="Verdana" w:hAnsi="Verdana" w:cs="Arial"/>
          <w:sz w:val="15"/>
          <w:szCs w:val="15"/>
        </w:rPr>
        <w:t xml:space="preserve"> EXPÓSITO VÉLEZ, Juan Carlos. Forma y contenido del contrato estatal. Bogotá: Universidad Externado de Colombia, 2013. p. 181. Frente a este tema, David Suárez Tamayo expresa: </w:t>
      </w:r>
      <w:r w:rsidRPr="00447D29">
        <w:rPr>
          <w:rFonts w:ascii="Verdana" w:eastAsia="Times New Roman" w:hAnsi="Verdana" w:cs="Arial"/>
          <w:iCs/>
          <w:sz w:val="15"/>
          <w:szCs w:val="15"/>
          <w:lang w:val="es-ES_tradnl"/>
        </w:rPr>
        <w:t>«</w:t>
      </w:r>
      <w:r w:rsidRPr="00447D29">
        <w:rPr>
          <w:rFonts w:ascii="Verdana" w:hAnsi="Verdana" w:cs="Arial"/>
          <w:sz w:val="15"/>
          <w:szCs w:val="15"/>
        </w:rPr>
        <w:t xml:space="preserve"> […] las multas se han considerado como un apremio, acoso, conminación para que el contratista se ponga al día en sus compromisos, pero igualmente tienen una connotación sancionatoria; de otra parte, la penal pecuniaria es una estimación anticipada, pero no de perjuicios, es decir, tiene un carácter resarcitorio, indemnizatorio, de garantía, pero al igual que las multas, también puede llegar a considerarse como una sanción</w:t>
      </w:r>
      <w:r w:rsidRPr="00447D29">
        <w:rPr>
          <w:rFonts w:ascii="Verdana" w:eastAsia="Times New Roman" w:hAnsi="Verdana" w:cs="Arial"/>
          <w:iCs/>
          <w:sz w:val="15"/>
          <w:szCs w:val="15"/>
          <w:lang w:val="es-ES_tradnl"/>
        </w:rPr>
        <w:t>»</w:t>
      </w:r>
      <w:r w:rsidRPr="00447D29">
        <w:rPr>
          <w:rFonts w:ascii="Verdana" w:hAnsi="Verdana" w:cs="Arial"/>
          <w:sz w:val="15"/>
          <w:szCs w:val="15"/>
        </w:rPr>
        <w:t xml:space="preserve"> (</w:t>
      </w:r>
      <w:r w:rsidRPr="00447D29">
        <w:rPr>
          <w:rFonts w:ascii="Verdana" w:hAnsi="Verdana" w:cs="Arial"/>
          <w:sz w:val="15"/>
          <w:szCs w:val="15"/>
          <w:lang w:val="es-CO"/>
        </w:rPr>
        <w:t>SUÁREZ TAMAYO, David. Cláusula de multas y penal pecuniaria. Medellín: Librería Jurídica Sánchez R Ltda y CEDA, 2014.</w:t>
      </w:r>
      <w:r w:rsidRPr="00447D29">
        <w:rPr>
          <w:rFonts w:ascii="Verdana" w:hAnsi="Verdana" w:cs="Arial"/>
          <w:sz w:val="15"/>
          <w:szCs w:val="15"/>
        </w:rPr>
        <w:t xml:space="preserve"> p. 10).</w:t>
      </w:r>
    </w:p>
  </w:footnote>
  <w:footnote w:id="13">
    <w:p w14:paraId="7BA35CF8" w14:textId="77777777" w:rsidR="00D65E25" w:rsidRPr="00447D29" w:rsidRDefault="00D65E25" w:rsidP="00D65E25">
      <w:pPr>
        <w:pStyle w:val="Textonotapie"/>
        <w:snapToGrid w:val="0"/>
        <w:ind w:firstLine="708"/>
        <w:contextualSpacing/>
        <w:jc w:val="both"/>
        <w:rPr>
          <w:rFonts w:ascii="Verdana" w:hAnsi="Verdana" w:cs="Arial"/>
          <w:sz w:val="15"/>
          <w:szCs w:val="15"/>
          <w:lang w:val="es-CO"/>
        </w:rPr>
      </w:pPr>
      <w:r w:rsidRPr="00447D29">
        <w:rPr>
          <w:rStyle w:val="Refdenotaalpie"/>
          <w:rFonts w:ascii="Verdana" w:hAnsi="Verdana" w:cs="Arial"/>
          <w:sz w:val="15"/>
          <w:szCs w:val="15"/>
        </w:rPr>
        <w:footnoteRef/>
      </w:r>
      <w:r w:rsidRPr="00447D29">
        <w:rPr>
          <w:rFonts w:ascii="Verdana" w:hAnsi="Verdana" w:cs="Arial"/>
          <w:sz w:val="15"/>
          <w:szCs w:val="15"/>
        </w:rPr>
        <w:t xml:space="preserve"> Consejo de Estado. Sección Tercera. Op. cit., Exp. 17.009. </w:t>
      </w:r>
      <w:r w:rsidRPr="00447D29">
        <w:rPr>
          <w:rFonts w:ascii="Verdana" w:hAnsi="Verdana" w:cs="Arial"/>
          <w:i/>
          <w:sz w:val="15"/>
          <w:szCs w:val="15"/>
          <w:lang w:val="es-CO"/>
        </w:rPr>
        <w:t>Ibídem.</w:t>
      </w:r>
      <w:r w:rsidRPr="00447D29">
        <w:rPr>
          <w:rFonts w:ascii="Verdana" w:hAnsi="Verdana" w:cs="Arial"/>
          <w:sz w:val="15"/>
          <w:szCs w:val="15"/>
          <w:lang w:val="es-CO"/>
        </w:rPr>
        <w:t xml:space="preserve"> </w:t>
      </w:r>
    </w:p>
  </w:footnote>
  <w:footnote w:id="14">
    <w:p w14:paraId="453284EA" w14:textId="77777777" w:rsidR="00D65E25" w:rsidRPr="00447D29" w:rsidRDefault="00D65E25" w:rsidP="00D65E25">
      <w:pPr>
        <w:pStyle w:val="Textonotapie"/>
        <w:snapToGrid w:val="0"/>
        <w:ind w:firstLine="708"/>
        <w:contextualSpacing/>
        <w:jc w:val="both"/>
        <w:rPr>
          <w:rFonts w:ascii="Verdana" w:hAnsi="Verdana"/>
          <w:sz w:val="15"/>
          <w:szCs w:val="15"/>
          <w:lang w:val="es-ES"/>
        </w:rPr>
      </w:pPr>
      <w:r w:rsidRPr="00447D29">
        <w:rPr>
          <w:rStyle w:val="Refdenotaalpie"/>
          <w:rFonts w:ascii="Verdana" w:hAnsi="Verdana"/>
          <w:sz w:val="15"/>
          <w:szCs w:val="15"/>
        </w:rPr>
        <w:footnoteRef/>
      </w:r>
      <w:r w:rsidRPr="00447D29">
        <w:rPr>
          <w:rFonts w:ascii="Verdana" w:hAnsi="Verdana"/>
          <w:sz w:val="15"/>
          <w:szCs w:val="15"/>
        </w:rPr>
        <w:t xml:space="preserve"> Consejo de Estado. Sala de Consulta y Servicio Civil.</w:t>
      </w:r>
      <w:r w:rsidRPr="00447D29">
        <w:rPr>
          <w:rFonts w:ascii="Verdana" w:hAnsi="Verdana"/>
          <w:b/>
          <w:bCs/>
          <w:sz w:val="15"/>
          <w:szCs w:val="15"/>
        </w:rPr>
        <w:t xml:space="preserve"> </w:t>
      </w:r>
      <w:r w:rsidRPr="00447D29">
        <w:rPr>
          <w:rFonts w:ascii="Verdana" w:hAnsi="Verdana"/>
          <w:sz w:val="15"/>
          <w:szCs w:val="15"/>
        </w:rPr>
        <w:t>Concepto del trece (13) de diciembre de dos mil veintidós (2022). Rad. 2489. Número Único: 11001-03-06-000-2022-00250-00. C.P. María del Pilar Bahamón Falla</w:t>
      </w:r>
    </w:p>
  </w:footnote>
  <w:footnote w:id="15">
    <w:p w14:paraId="3E21D15C" w14:textId="77777777" w:rsidR="00D65E25" w:rsidRPr="00447D29" w:rsidRDefault="00D65E25" w:rsidP="00D65E25">
      <w:pPr>
        <w:spacing w:after="0" w:line="240" w:lineRule="auto"/>
        <w:ind w:firstLine="708"/>
        <w:jc w:val="both"/>
        <w:rPr>
          <w:rFonts w:ascii="Verdana" w:eastAsia="Verdana" w:hAnsi="Verdana" w:cs="Verdana"/>
          <w:sz w:val="15"/>
          <w:szCs w:val="15"/>
          <w:lang w:val="es-ES"/>
        </w:rPr>
      </w:pPr>
      <w:r w:rsidRPr="00447D29">
        <w:rPr>
          <w:rStyle w:val="Refdenotaalpie"/>
          <w:rFonts w:ascii="Verdana" w:hAnsi="Verdana"/>
          <w:sz w:val="15"/>
          <w:szCs w:val="15"/>
        </w:rPr>
        <w:footnoteRef/>
      </w:r>
      <w:r w:rsidRPr="00447D29">
        <w:rPr>
          <w:rFonts w:ascii="Verdana" w:hAnsi="Verdana"/>
          <w:sz w:val="15"/>
          <w:szCs w:val="15"/>
        </w:rPr>
        <w:t xml:space="preserve"> </w:t>
      </w:r>
      <w:r w:rsidRPr="00447D29">
        <w:rPr>
          <w:rFonts w:ascii="Verdana" w:eastAsia="Verdana" w:hAnsi="Verdana" w:cs="Verdana"/>
          <w:sz w:val="15"/>
          <w:szCs w:val="15"/>
          <w:lang w:val="es-ES"/>
        </w:rPr>
        <w:t>“</w:t>
      </w:r>
      <w:r w:rsidRPr="00447D29">
        <w:rPr>
          <w:rFonts w:ascii="Verdana" w:hAnsi="Verdana"/>
          <w:sz w:val="15"/>
          <w:szCs w:val="15"/>
        </w:rPr>
        <w:t>[…]</w:t>
      </w:r>
      <w:r w:rsidRPr="00447D29">
        <w:rPr>
          <w:rFonts w:ascii="Verdana" w:eastAsia="Verdana" w:hAnsi="Verdana" w:cs="Verdana"/>
          <w:sz w:val="15"/>
          <w:szCs w:val="15"/>
          <w:lang w:val="es-ES"/>
        </w:rPr>
        <w:t xml:space="preserve"> la posibilidad de hacer efectiva la cláusula penal se extiende hasta el término de la liquidación, lo cual, con la Ley 1150 de 2007, se compagina con el término de caducidad.</w:t>
      </w:r>
    </w:p>
    <w:p w14:paraId="326993C9" w14:textId="77777777" w:rsidR="00D65E25" w:rsidRPr="00447D29" w:rsidRDefault="00D65E25" w:rsidP="00D65E25">
      <w:pPr>
        <w:spacing w:after="0" w:line="240" w:lineRule="auto"/>
        <w:ind w:firstLine="708"/>
        <w:jc w:val="both"/>
        <w:rPr>
          <w:rFonts w:ascii="Verdana" w:eastAsia="Verdana" w:hAnsi="Verdana" w:cs="Verdana"/>
          <w:sz w:val="15"/>
          <w:szCs w:val="15"/>
          <w:lang w:val="es-ES"/>
        </w:rPr>
      </w:pPr>
      <w:r w:rsidRPr="00447D29">
        <w:rPr>
          <w:rFonts w:ascii="Verdana" w:eastAsia="Verdana" w:hAnsi="Verdana" w:cs="Verdana"/>
          <w:sz w:val="15"/>
          <w:szCs w:val="15"/>
          <w:lang w:val="es-ES"/>
        </w:rPr>
        <w:t xml:space="preserve">Aunque la Sala no desconoce que el término de caducidad es diferente al de liquidación, es la misma ley la que permite que, durante los dos años siguientes al vencimiento del plazo para la liquidación unilateral, y mientras no se acuda ante el juez, se pueda surtir la liquidación, lo cual mutatis mutandis, permite que la entidad contratante declare el incumplimiento para hacer efectiva la cláusula penal -resaltando, además, que no exista una disposición que restrinja el ejercicio de esta facultad-.” </w:t>
      </w:r>
      <w:r w:rsidRPr="00447D29">
        <w:rPr>
          <w:rFonts w:ascii="Verdana" w:hAnsi="Verdana"/>
          <w:sz w:val="15"/>
          <w:szCs w:val="15"/>
        </w:rPr>
        <w:t xml:space="preserve">Consejo de Estado. Sección tercera. Sentencia del 31 de marzo del 2023. Exp. </w:t>
      </w:r>
      <w:r w:rsidRPr="00447D29">
        <w:rPr>
          <w:rFonts w:ascii="Verdana" w:eastAsia="Verdana" w:hAnsi="Verdana" w:cs="Verdana"/>
          <w:sz w:val="15"/>
          <w:szCs w:val="15"/>
          <w:lang w:val="es-ES"/>
        </w:rPr>
        <w:t>56.002. C.P: Adriana Marín.</w:t>
      </w:r>
    </w:p>
  </w:footnote>
  <w:footnote w:id="16">
    <w:p w14:paraId="175745F0" w14:textId="77777777" w:rsidR="00D65E25" w:rsidRPr="00447D29" w:rsidRDefault="00D65E25" w:rsidP="00D65E25">
      <w:pPr>
        <w:spacing w:after="0" w:line="240" w:lineRule="auto"/>
        <w:ind w:firstLine="709"/>
        <w:jc w:val="both"/>
        <w:rPr>
          <w:rFonts w:ascii="Verdana" w:hAnsi="Verdana" w:cs="Arial"/>
          <w:iCs/>
          <w:color w:val="000000"/>
          <w:sz w:val="15"/>
          <w:szCs w:val="15"/>
        </w:rPr>
      </w:pPr>
      <w:r w:rsidRPr="00447D29">
        <w:rPr>
          <w:rStyle w:val="Refdenotaalpie"/>
          <w:rFonts w:ascii="Verdana" w:hAnsi="Verdana" w:cs="Arial"/>
          <w:sz w:val="15"/>
          <w:szCs w:val="15"/>
        </w:rPr>
        <w:footnoteRef/>
      </w:r>
      <w:r w:rsidRPr="00447D29">
        <w:rPr>
          <w:rFonts w:ascii="Verdana" w:hAnsi="Verdana" w:cs="Arial"/>
          <w:sz w:val="15"/>
          <w:szCs w:val="15"/>
        </w:rPr>
        <w:t xml:space="preserve"> </w:t>
      </w:r>
      <w:r w:rsidRPr="00447D29">
        <w:rPr>
          <w:rFonts w:ascii="Verdana" w:hAnsi="Verdana" w:cs="Arial"/>
          <w:iCs/>
          <w:color w:val="000000"/>
          <w:sz w:val="15"/>
          <w:szCs w:val="15"/>
        </w:rPr>
        <w:t xml:space="preserve">En cuanto a la oportunidad para su imposición, el Consejo de Estado ha precisado: “[…] al tenor de las normas que tipifican la caducidad, de acuerdo con los criterios de interpretación gramatical y teleológico –que aquí claramente coinciden–, constituye un requisito legal para declarar la caducidad del contrato que el plazo de ejecución correspondiente no haya expirado, puesto que si ya expiró sin que el contrato se ejecutara, la declaratoria de caducidad no lograría satisfacer uno de los propósitos principales de la norma, cual es permitir, en los términos del artículo 18 de la Ley 80, que “la entidad contratante tome posesión de la obra o continúe inmediatamente la ejecución del objeto contratado, bien sea a través del garante o de otro contratista […]” y conjure, de esta forma, la amenaza que se cierne sobre el interés general, representado en la debida ejecución del objeto contratado” Sección Tercera, Sentencia del 12 de julio de 2012, expediente 15.024 y ponencia de Danilo Rojas Betancourth. </w:t>
      </w:r>
    </w:p>
  </w:footnote>
  <w:footnote w:id="17">
    <w:p w14:paraId="0A22B958" w14:textId="77777777" w:rsidR="00D65E25" w:rsidRPr="00447D29" w:rsidRDefault="00D65E25" w:rsidP="00D65E25">
      <w:pPr>
        <w:pStyle w:val="Textonotapie"/>
        <w:snapToGrid w:val="0"/>
        <w:ind w:firstLine="709"/>
        <w:contextualSpacing/>
        <w:jc w:val="both"/>
        <w:rPr>
          <w:rFonts w:ascii="Verdana" w:hAnsi="Verdana" w:cs="Arial"/>
          <w:color w:val="000000" w:themeColor="text1"/>
          <w:sz w:val="15"/>
          <w:szCs w:val="15"/>
        </w:rPr>
      </w:pPr>
      <w:r w:rsidRPr="00447D29">
        <w:rPr>
          <w:rStyle w:val="Refdenotaalpie"/>
          <w:rFonts w:ascii="Verdana" w:hAnsi="Verdana" w:cs="Arial"/>
          <w:color w:val="000000" w:themeColor="text1"/>
          <w:sz w:val="15"/>
          <w:szCs w:val="15"/>
        </w:rPr>
        <w:footnoteRef/>
      </w:r>
      <w:r w:rsidRPr="00447D29">
        <w:rPr>
          <w:rFonts w:ascii="Verdana" w:hAnsi="Verdana" w:cs="Arial"/>
          <w:color w:val="000000" w:themeColor="text1"/>
          <w:sz w:val="15"/>
          <w:szCs w:val="15"/>
        </w:rPr>
        <w:t xml:space="preserve"> Así se desprende del primer inciso de aquel artículo, que dice: «Las entidades sometidas al Estatuto General de Contratación de la Administración Pública podrán declarar el incumplimiento, cuantificando los perjuicios del mismo, imponer las multas y sanciones pactadas en el contrato, y hacer efectiva la cláusula penal. Para tal efecto observarán el siguiente procedimiento […]».</w:t>
      </w:r>
    </w:p>
    <w:p w14:paraId="712D1E70" w14:textId="77777777" w:rsidR="00D65E25" w:rsidRPr="00447D29" w:rsidRDefault="00D65E25" w:rsidP="00D65E25">
      <w:pPr>
        <w:pStyle w:val="Textonotapie"/>
        <w:snapToGrid w:val="0"/>
        <w:ind w:firstLine="709"/>
        <w:contextualSpacing/>
        <w:jc w:val="both"/>
        <w:rPr>
          <w:rFonts w:ascii="Verdana" w:hAnsi="Verdana" w:cs="Arial"/>
          <w:color w:val="000000" w:themeColor="text1"/>
          <w:sz w:val="15"/>
          <w:szCs w:val="15"/>
        </w:rPr>
      </w:pPr>
    </w:p>
  </w:footnote>
  <w:footnote w:id="18">
    <w:p w14:paraId="6AF594BD" w14:textId="77777777" w:rsidR="00D65E25" w:rsidRPr="00447D29" w:rsidRDefault="00D65E25" w:rsidP="00D65E25">
      <w:pPr>
        <w:pStyle w:val="Textonotapie"/>
        <w:snapToGrid w:val="0"/>
        <w:ind w:firstLine="709"/>
        <w:contextualSpacing/>
        <w:jc w:val="both"/>
        <w:rPr>
          <w:rFonts w:ascii="Verdana" w:hAnsi="Verdana" w:cs="Arial"/>
          <w:color w:val="000000" w:themeColor="text1"/>
          <w:sz w:val="15"/>
          <w:szCs w:val="15"/>
        </w:rPr>
      </w:pPr>
      <w:r w:rsidRPr="00447D29">
        <w:rPr>
          <w:rStyle w:val="Refdenotaalpie"/>
          <w:rFonts w:ascii="Verdana" w:hAnsi="Verdana" w:cs="Arial"/>
          <w:sz w:val="15"/>
          <w:szCs w:val="15"/>
        </w:rPr>
        <w:footnoteRef/>
      </w:r>
      <w:r w:rsidRPr="00447D29">
        <w:rPr>
          <w:rFonts w:ascii="Verdana" w:hAnsi="Verdana" w:cs="Arial"/>
          <w:sz w:val="15"/>
          <w:szCs w:val="15"/>
        </w:rPr>
        <w:t xml:space="preserve"> </w:t>
      </w:r>
      <w:r w:rsidRPr="00447D29">
        <w:rPr>
          <w:rFonts w:ascii="Verdana" w:hAnsi="Verdana" w:cs="Arial"/>
          <w:color w:val="000000" w:themeColor="text1"/>
          <w:sz w:val="15"/>
          <w:szCs w:val="15"/>
        </w:rPr>
        <w:t xml:space="preserve">Se entiende por entidades de </w:t>
      </w:r>
      <w:r w:rsidRPr="00447D29">
        <w:rPr>
          <w:rFonts w:ascii="Verdana" w:hAnsi="Verdana" w:cs="Arial"/>
          <w:i/>
          <w:iCs/>
          <w:color w:val="000000" w:themeColor="text1"/>
          <w:sz w:val="15"/>
          <w:szCs w:val="15"/>
        </w:rPr>
        <w:t xml:space="preserve">régimen especial </w:t>
      </w:r>
      <w:r w:rsidRPr="00447D29">
        <w:rPr>
          <w:rFonts w:ascii="Verdana" w:hAnsi="Verdana" w:cs="Arial"/>
          <w:color w:val="000000" w:themeColor="text1"/>
          <w:sz w:val="15"/>
          <w:szCs w:val="15"/>
        </w:rPr>
        <w:t>aquellas que tienen un régimen contractual distinto al Estatuto General de Contratación de la Administración Pública, y que por regla general se rigen por el derecho privado.</w:t>
      </w:r>
    </w:p>
    <w:p w14:paraId="6A57FFC8" w14:textId="77777777" w:rsidR="00D65E25" w:rsidRPr="00447D29" w:rsidRDefault="00D65E25" w:rsidP="00D65E25">
      <w:pPr>
        <w:pStyle w:val="Textonotapie"/>
        <w:snapToGrid w:val="0"/>
        <w:ind w:firstLine="709"/>
        <w:contextualSpacing/>
        <w:jc w:val="both"/>
        <w:rPr>
          <w:rFonts w:ascii="Verdana" w:hAnsi="Verdana" w:cs="Arial"/>
          <w:sz w:val="15"/>
          <w:szCs w:val="15"/>
          <w:lang w:val="es-CO"/>
        </w:rPr>
      </w:pPr>
    </w:p>
  </w:footnote>
  <w:footnote w:id="19">
    <w:p w14:paraId="4CFC95DD" w14:textId="77777777" w:rsidR="00D65E25" w:rsidRPr="00447D29" w:rsidRDefault="00D65E25" w:rsidP="00D65E25">
      <w:pPr>
        <w:pStyle w:val="Textonotapie"/>
        <w:ind w:firstLine="709"/>
        <w:jc w:val="both"/>
        <w:rPr>
          <w:rFonts w:ascii="Verdana" w:hAnsi="Verdana" w:cs="Arial"/>
          <w:color w:val="000000"/>
          <w:sz w:val="15"/>
          <w:szCs w:val="15"/>
        </w:rPr>
      </w:pPr>
      <w:r w:rsidRPr="00447D29">
        <w:rPr>
          <w:rStyle w:val="Refdenotaalpie"/>
          <w:rFonts w:ascii="Verdana" w:hAnsi="Verdana" w:cs="Arial"/>
          <w:color w:val="000000"/>
          <w:sz w:val="15"/>
          <w:szCs w:val="15"/>
        </w:rPr>
        <w:footnoteRef/>
      </w:r>
      <w:r w:rsidRPr="00447D29">
        <w:rPr>
          <w:rFonts w:ascii="Verdana" w:hAnsi="Verdana" w:cs="Arial"/>
          <w:color w:val="000000"/>
          <w:sz w:val="15"/>
          <w:szCs w:val="15"/>
          <w:lang w:val="pt-BR"/>
        </w:rPr>
        <w:t xml:space="preserve"> Corte Constitucional. Sentencia C-317 de 2012. </w:t>
      </w:r>
      <w:r w:rsidRPr="00447D29">
        <w:rPr>
          <w:rFonts w:ascii="Verdana" w:hAnsi="Verdana" w:cs="Arial"/>
          <w:color w:val="000000"/>
          <w:sz w:val="15"/>
          <w:szCs w:val="15"/>
        </w:rPr>
        <w:t xml:space="preserve">M.P. María Victoria Calle Correa. </w:t>
      </w:r>
    </w:p>
  </w:footnote>
  <w:footnote w:id="20">
    <w:p w14:paraId="110E22F1" w14:textId="77777777" w:rsidR="00D65E25" w:rsidRPr="00447D29" w:rsidRDefault="00D65E25" w:rsidP="00D65E25">
      <w:pPr>
        <w:pStyle w:val="Textonotapie"/>
        <w:ind w:firstLine="709"/>
        <w:rPr>
          <w:rFonts w:ascii="Verdana" w:hAnsi="Verdana" w:cs="Arial"/>
          <w:sz w:val="15"/>
          <w:szCs w:val="15"/>
        </w:rPr>
      </w:pPr>
      <w:r w:rsidRPr="00447D29">
        <w:rPr>
          <w:rStyle w:val="Refdenotaalpie"/>
          <w:rFonts w:ascii="Verdana" w:hAnsi="Verdana" w:cs="Arial"/>
          <w:sz w:val="15"/>
          <w:szCs w:val="15"/>
        </w:rPr>
        <w:footnoteRef/>
      </w:r>
      <w:r w:rsidRPr="00447D29">
        <w:rPr>
          <w:rFonts w:ascii="Verdana" w:hAnsi="Verdana" w:cs="Arial"/>
          <w:sz w:val="15"/>
          <w:szCs w:val="15"/>
        </w:rPr>
        <w:t xml:space="preserve"> </w:t>
      </w:r>
      <w:r w:rsidRPr="00447D29">
        <w:rPr>
          <w:rFonts w:ascii="Verdana" w:hAnsi="Verdana" w:cs="Arial"/>
          <w:sz w:val="15"/>
          <w:szCs w:val="15"/>
          <w:lang w:eastAsia="es-ES_tradnl"/>
        </w:rPr>
        <w:t>Artículos 32 y 40 de la Ley 80 de 1993.</w:t>
      </w:r>
    </w:p>
  </w:footnote>
  <w:footnote w:id="21">
    <w:p w14:paraId="665F415A" w14:textId="77777777" w:rsidR="00D65E25" w:rsidRPr="00447D29" w:rsidRDefault="00D65E25" w:rsidP="00D65E25">
      <w:pPr>
        <w:pStyle w:val="Textonotapie"/>
        <w:ind w:firstLine="709"/>
        <w:jc w:val="both"/>
        <w:rPr>
          <w:rFonts w:ascii="Verdana" w:hAnsi="Verdana" w:cs="Arial"/>
          <w:sz w:val="15"/>
          <w:szCs w:val="15"/>
        </w:rPr>
      </w:pPr>
      <w:r w:rsidRPr="00447D29">
        <w:rPr>
          <w:rStyle w:val="Refdenotaalpie"/>
          <w:rFonts w:ascii="Verdana" w:hAnsi="Verdana" w:cs="Arial"/>
          <w:sz w:val="15"/>
          <w:szCs w:val="15"/>
        </w:rPr>
        <w:footnoteRef/>
      </w:r>
      <w:r w:rsidRPr="00447D29">
        <w:rPr>
          <w:rFonts w:ascii="Verdana" w:hAnsi="Verdana" w:cs="Arial"/>
          <w:sz w:val="15"/>
          <w:szCs w:val="15"/>
        </w:rPr>
        <w:t xml:space="preserve"> GACETA DEL CONGRESO No. 75 del 23 de septiembre de 1992. Exposición de motivos de la Ley 80 de 1993.</w:t>
      </w:r>
    </w:p>
  </w:footnote>
  <w:footnote w:id="22">
    <w:p w14:paraId="6F5B16AC" w14:textId="77777777" w:rsidR="00D65E25" w:rsidRPr="00447D29" w:rsidRDefault="00D65E25" w:rsidP="00D65E25">
      <w:pPr>
        <w:pStyle w:val="Textonotapie"/>
        <w:ind w:firstLine="709"/>
        <w:jc w:val="both"/>
        <w:rPr>
          <w:rFonts w:ascii="Verdana" w:hAnsi="Verdana" w:cs="Arial"/>
          <w:sz w:val="15"/>
          <w:szCs w:val="15"/>
        </w:rPr>
      </w:pPr>
      <w:r w:rsidRPr="00447D29">
        <w:rPr>
          <w:rStyle w:val="Refdenotaalpie"/>
          <w:rFonts w:ascii="Verdana" w:hAnsi="Verdana" w:cs="Arial"/>
          <w:sz w:val="15"/>
          <w:szCs w:val="15"/>
        </w:rPr>
        <w:footnoteRef/>
      </w:r>
      <w:r w:rsidRPr="00447D29">
        <w:rPr>
          <w:rFonts w:ascii="Verdana" w:hAnsi="Verdana" w:cs="Arial"/>
          <w:sz w:val="15"/>
          <w:szCs w:val="15"/>
        </w:rPr>
        <w:t xml:space="preserve"> La transacción, como se explicará más adelante, es un contrato y a la vez un mecanismo de solución de conflictos que carece de regulación en el Estatuto General de Contratación de la Administración Pública, razón por la cual es menester acudir a la definición que de este consagra el Código Civil. El artículo 2469 del citado Código, aplicable a los contratos estatales, lo define como un contrato en el que las partes terminan extrajudicialmente un litigio pendiente o precaven uno eventual. De manera que a través de este negocio jurídico las partes inmersas en un conflicto presente o futuro convienen en solucionarlo o evitarlo haciéndose concesiones entre ellas y de forma definitiva como quiera que en los términos de los artículos 1625 y 2483 </w:t>
      </w:r>
      <w:r w:rsidRPr="00447D29">
        <w:rPr>
          <w:rFonts w:ascii="Verdana" w:hAnsi="Verdana" w:cs="Arial"/>
          <w:i/>
          <w:iCs/>
          <w:sz w:val="15"/>
          <w:szCs w:val="15"/>
        </w:rPr>
        <w:t>ibídem</w:t>
      </w:r>
      <w:r w:rsidRPr="00447D29">
        <w:rPr>
          <w:rFonts w:ascii="Verdana" w:hAnsi="Verdana" w:cs="Arial"/>
          <w:sz w:val="15"/>
          <w:szCs w:val="15"/>
        </w:rPr>
        <w:t xml:space="preserve"> es una forma de extinción de las obligaciones y produce los efectos de la cosa juzgada.</w:t>
      </w:r>
    </w:p>
  </w:footnote>
  <w:footnote w:id="23">
    <w:p w14:paraId="1481C3CA" w14:textId="77777777" w:rsidR="00D65E25" w:rsidRPr="00447D29" w:rsidRDefault="00D65E25" w:rsidP="00D65E25">
      <w:pPr>
        <w:pStyle w:val="Textonotapie"/>
        <w:ind w:firstLine="709"/>
        <w:jc w:val="both"/>
        <w:rPr>
          <w:rFonts w:ascii="Verdana" w:hAnsi="Verdana" w:cs="Arial"/>
          <w:sz w:val="15"/>
          <w:szCs w:val="15"/>
        </w:rPr>
      </w:pPr>
      <w:r w:rsidRPr="00447D29">
        <w:rPr>
          <w:rStyle w:val="Refdenotaalpie"/>
          <w:rFonts w:ascii="Verdana" w:hAnsi="Verdana" w:cs="Arial"/>
          <w:sz w:val="15"/>
          <w:szCs w:val="15"/>
        </w:rPr>
        <w:footnoteRef/>
      </w:r>
      <w:r w:rsidRPr="00447D29">
        <w:rPr>
          <w:rFonts w:ascii="Verdana" w:hAnsi="Verdana" w:cs="Arial"/>
          <w:sz w:val="15"/>
          <w:szCs w:val="15"/>
        </w:rPr>
        <w:t xml:space="preserve"> Según el artículo 64 de la Ley 446 de 1998, la conciliación es un mecanismo de resolución de conflictos a través del cual, dos o más personas gestionan por sí mismas la solución de sus diferencias, con la ayuda de un tercero neutral y calificado, denominado conciliador. Son conciliables todos los asuntos susceptibles de transacción, desistimiento y aquellos que expresamente determine la ley (artículo 65 Ley 446 de 1998 y 19 de la Ley 640 de 2001). El acuerdo conciliatorio hace tránsito a cosa juzgada y el acta de conciliación presta mérito ejecutivo (artículo 66 Ley 446 de 1998). De conformidad con el artículo 70 de la Ley 446 de 1998 pueden conciliar, total o parcialmente en las etapas prejudicial o judicial, las personas de derecho público, a través de sus representantes legales o por conducto de apoderado, sobre conflictos de carácter particular y contenido económico de que conozca o pueda conocer la Jurisdicción de lo Contencioso Administrativo mediante el medio de control de controversias contractuales (artículo 141 de la Ley 1437 de 2011).</w:t>
      </w:r>
    </w:p>
  </w:footnote>
  <w:footnote w:id="24">
    <w:p w14:paraId="5140E73C" w14:textId="77777777" w:rsidR="00D65E25" w:rsidRPr="00447D29" w:rsidRDefault="00D65E25" w:rsidP="00D65E25">
      <w:pPr>
        <w:pStyle w:val="Textonotapie"/>
        <w:ind w:firstLine="709"/>
        <w:jc w:val="both"/>
        <w:rPr>
          <w:rFonts w:ascii="Verdana" w:hAnsi="Verdana" w:cs="Arial"/>
          <w:sz w:val="15"/>
          <w:szCs w:val="15"/>
          <w:lang w:val="es-ES"/>
        </w:rPr>
      </w:pPr>
      <w:r w:rsidRPr="00447D29">
        <w:rPr>
          <w:rStyle w:val="Refdenotaalpie"/>
          <w:rFonts w:ascii="Verdana" w:hAnsi="Verdana" w:cs="Arial"/>
          <w:sz w:val="15"/>
          <w:szCs w:val="15"/>
        </w:rPr>
        <w:footnoteRef/>
      </w:r>
      <w:r w:rsidRPr="00447D29">
        <w:rPr>
          <w:rFonts w:ascii="Verdana" w:hAnsi="Verdana" w:cs="Arial"/>
          <w:sz w:val="15"/>
          <w:szCs w:val="15"/>
        </w:rPr>
        <w:t xml:space="preserve"> </w:t>
      </w:r>
      <w:r w:rsidRPr="00447D29">
        <w:rPr>
          <w:rFonts w:ascii="Verdana" w:hAnsi="Verdana" w:cs="Arial"/>
          <w:sz w:val="15"/>
          <w:szCs w:val="15"/>
          <w:lang w:val="es-ES"/>
        </w:rPr>
        <w:t xml:space="preserve">Que en realidad podría ser visto como un conjunto de reglas derivadas de principios rectores de la contratación pública y, en general, de la función administrativa, tales como la eficacia, la celeridad, la economía, entre otros.  </w:t>
      </w:r>
    </w:p>
  </w:footnote>
  <w:footnote w:id="25">
    <w:p w14:paraId="41F3D43F" w14:textId="77777777" w:rsidR="00D65E25" w:rsidRPr="00447D29" w:rsidRDefault="00D65E25" w:rsidP="00D65E25">
      <w:pPr>
        <w:pStyle w:val="Textonotapie"/>
        <w:ind w:firstLine="709"/>
        <w:jc w:val="both"/>
        <w:rPr>
          <w:rFonts w:ascii="Verdana" w:hAnsi="Verdana" w:cs="Arial"/>
          <w:sz w:val="15"/>
          <w:szCs w:val="15"/>
        </w:rPr>
      </w:pPr>
      <w:r w:rsidRPr="00447D29">
        <w:rPr>
          <w:rStyle w:val="Refdenotaalpie"/>
          <w:rFonts w:ascii="Verdana" w:hAnsi="Verdana" w:cs="Arial"/>
          <w:sz w:val="15"/>
          <w:szCs w:val="15"/>
        </w:rPr>
        <w:footnoteRef/>
      </w:r>
      <w:r w:rsidRPr="00447D29">
        <w:rPr>
          <w:rFonts w:ascii="Verdana" w:hAnsi="Verdana" w:cs="Arial"/>
          <w:sz w:val="15"/>
          <w:szCs w:val="15"/>
        </w:rPr>
        <w:t xml:space="preserve"> CORTE CONSTITUCIONAL. Sentencia T-017 de 20 de enero de 2005. M.P. Rodrigo Escobar Gil. En similar sentido, CONSEJO DE ESTADO. Sala de Consulta y Servicio Civil, Concepto de 12 de diciembre de 2017, Rad. 2338, C.P. Oscar Darío Amaya Navas.</w:t>
      </w:r>
    </w:p>
  </w:footnote>
  <w:footnote w:id="26">
    <w:p w14:paraId="42223A7F" w14:textId="77777777" w:rsidR="00D65E25" w:rsidRPr="00447D29" w:rsidRDefault="00D65E25" w:rsidP="00D65E25">
      <w:pPr>
        <w:pStyle w:val="Textonotapie"/>
        <w:ind w:firstLine="708"/>
        <w:jc w:val="both"/>
        <w:rPr>
          <w:rFonts w:ascii="Verdana" w:hAnsi="Verdana" w:cs="Arial"/>
          <w:sz w:val="15"/>
          <w:szCs w:val="15"/>
          <w:lang w:val="es-ES"/>
        </w:rPr>
      </w:pPr>
      <w:r w:rsidRPr="00447D29">
        <w:rPr>
          <w:rStyle w:val="Refdenotaalpie"/>
          <w:rFonts w:ascii="Verdana" w:hAnsi="Verdana" w:cs="Arial"/>
          <w:sz w:val="15"/>
          <w:szCs w:val="15"/>
        </w:rPr>
        <w:footnoteRef/>
      </w:r>
      <w:r w:rsidRPr="00447D29">
        <w:rPr>
          <w:rFonts w:ascii="Verdana" w:hAnsi="Verdana" w:cs="Arial"/>
          <w:sz w:val="15"/>
          <w:szCs w:val="15"/>
        </w:rPr>
        <w:t xml:space="preserve"> Respecto a la conciliación extra judicial y judicial, ver las leyes 446 de 1998, 640 de 2001 y Ley 2220 de 2022 “Por medio del cual se expide el Estatuto de Conciliación y se dictan otras disposiciones”. Al respecto, del precitado Estatuto de Conciliación se destaca el principio de autocomposición, que es definido en el artículo 4 así: “[…] </w:t>
      </w:r>
      <w:r w:rsidRPr="00447D29">
        <w:rPr>
          <w:rFonts w:ascii="Verdana" w:hAnsi="Verdana" w:cs="Arial"/>
          <w:bCs/>
          <w:sz w:val="15"/>
          <w:szCs w:val="15"/>
          <w:lang w:val="es-CO"/>
        </w:rPr>
        <w:t>1. Autocomposición.</w:t>
      </w:r>
      <w:r w:rsidRPr="00447D29">
        <w:rPr>
          <w:rFonts w:ascii="Verdana" w:hAnsi="Verdana" w:cs="Arial"/>
          <w:sz w:val="15"/>
          <w:szCs w:val="15"/>
          <w:lang w:val="es-CO"/>
        </w:rPr>
        <w:t> Son las propias partes confrontadas las que resuelven su conflicto, desavenencias o diferencias en ejercicio de la autonomía de la voluntad, asistidos por un tercero neutral e imparcial que promueve y facilita el diálogo y la búsqueda de soluciones al conflicto y negociación entre ellas y que puede proponer fórmulas de solución que las partes pueden o no aceptar según su voluntad. Los interesados gozan de la facultad de definir el centro de conciliación donde se llevará a cabo la conciliación, elegir el conciliador”. </w:t>
      </w:r>
    </w:p>
  </w:footnote>
  <w:footnote w:id="27">
    <w:p w14:paraId="362AEA29" w14:textId="77777777" w:rsidR="00D65E25" w:rsidRPr="00447D29" w:rsidRDefault="00D65E25" w:rsidP="00D65E25">
      <w:pPr>
        <w:pStyle w:val="Textonotapie"/>
        <w:ind w:firstLine="708"/>
        <w:jc w:val="both"/>
        <w:rPr>
          <w:rFonts w:ascii="Verdana" w:hAnsi="Verdana" w:cs="Arial"/>
          <w:sz w:val="15"/>
          <w:szCs w:val="15"/>
        </w:rPr>
      </w:pPr>
      <w:r w:rsidRPr="00447D29">
        <w:rPr>
          <w:rStyle w:val="Refdenotaalpie"/>
          <w:rFonts w:ascii="Verdana" w:hAnsi="Verdana" w:cs="Arial"/>
          <w:sz w:val="15"/>
          <w:szCs w:val="15"/>
        </w:rPr>
        <w:footnoteRef/>
      </w:r>
      <w:r w:rsidRPr="00447D29">
        <w:rPr>
          <w:rFonts w:ascii="Verdana" w:hAnsi="Verdana" w:cs="Arial"/>
          <w:sz w:val="15"/>
          <w:szCs w:val="15"/>
        </w:rPr>
        <w:t xml:space="preserve"> </w:t>
      </w:r>
      <w:bookmarkStart w:id="3" w:name="_Hlk82556240"/>
      <w:r w:rsidRPr="00447D29">
        <w:rPr>
          <w:rFonts w:ascii="Verdana" w:hAnsi="Verdana" w:cs="Arial"/>
          <w:sz w:val="15"/>
          <w:szCs w:val="15"/>
        </w:rPr>
        <w:t xml:space="preserve">El artículo 59 de la ley 1563 de 2012 define la amigable composición de la siguiente manera: </w:t>
      </w:r>
      <w:r w:rsidRPr="00447D29">
        <w:rPr>
          <w:rFonts w:ascii="Verdana" w:eastAsia="Calibri" w:hAnsi="Verdana" w:cs="Arial"/>
          <w:bCs/>
          <w:sz w:val="15"/>
          <w:szCs w:val="15"/>
          <w:lang w:val="es-CO"/>
        </w:rPr>
        <w:t>“</w:t>
      </w:r>
      <w:r w:rsidRPr="00447D29">
        <w:rPr>
          <w:rFonts w:ascii="Verdana" w:hAnsi="Verdana" w:cs="Arial"/>
          <w:sz w:val="15"/>
          <w:szCs w:val="15"/>
        </w:rPr>
        <w:t>Artículo 59. Definición. La amigable composición es un mecanismo alternativo de solución de conflictos, por medio del cual, dos o más particulares, un particular y una o más entidades públicas, o varias entidades públicas, o quien desempeñe funciones administrativas, delegan en un tercero, denominado amigable componedor, la facultad de definir, con fuerza vinculante para las partes, una controversia contractual de libre disposición</w:t>
      </w:r>
      <w:r w:rsidRPr="00447D29">
        <w:rPr>
          <w:rFonts w:ascii="Verdana" w:eastAsia="Calibri" w:hAnsi="Verdana" w:cs="Arial"/>
          <w:sz w:val="15"/>
          <w:szCs w:val="15"/>
        </w:rPr>
        <w:t>”.</w:t>
      </w:r>
      <w:bookmarkEnd w:id="3"/>
    </w:p>
  </w:footnote>
  <w:footnote w:id="28">
    <w:p w14:paraId="27660070" w14:textId="77777777" w:rsidR="00D65E25" w:rsidRPr="00447D29" w:rsidRDefault="00D65E25" w:rsidP="00D65E25">
      <w:pPr>
        <w:pStyle w:val="Textonotapie"/>
        <w:ind w:firstLine="709"/>
        <w:jc w:val="both"/>
        <w:rPr>
          <w:rFonts w:ascii="Verdana" w:hAnsi="Verdana" w:cs="Arial"/>
          <w:color w:val="000000"/>
          <w:sz w:val="15"/>
          <w:szCs w:val="15"/>
        </w:rPr>
      </w:pPr>
      <w:r w:rsidRPr="00447D29">
        <w:rPr>
          <w:rStyle w:val="Refdenotaalpie"/>
          <w:rFonts w:ascii="Verdana" w:hAnsi="Verdana" w:cs="Arial"/>
          <w:color w:val="000000"/>
          <w:sz w:val="15"/>
          <w:szCs w:val="15"/>
        </w:rPr>
        <w:footnoteRef/>
      </w:r>
      <w:r w:rsidRPr="00447D29">
        <w:rPr>
          <w:rFonts w:ascii="Verdana" w:hAnsi="Verdana" w:cs="Arial"/>
          <w:color w:val="000000"/>
          <w:sz w:val="15"/>
          <w:szCs w:val="15"/>
        </w:rPr>
        <w:t xml:space="preserve"> Consejo de Estado. Sala de lo Contencioso Administrativo, Sección Tercera, Subsección B. Sentencia del 18 de noviembre de 2024. Exp. 85001-23-33-000-2019-00067-01 (71.441). C.P. Fredy Ibarra Martínez.</w:t>
      </w:r>
    </w:p>
  </w:footnote>
  <w:footnote w:id="29">
    <w:p w14:paraId="0F2B7E7D" w14:textId="77777777" w:rsidR="00D65E25" w:rsidRPr="00447D29" w:rsidRDefault="00D65E25" w:rsidP="00D65E25">
      <w:pPr>
        <w:pStyle w:val="Textonotapie"/>
        <w:ind w:firstLine="708"/>
        <w:jc w:val="both"/>
        <w:rPr>
          <w:rFonts w:ascii="Verdana" w:hAnsi="Verdana"/>
          <w:sz w:val="15"/>
          <w:szCs w:val="15"/>
          <w:lang w:val="es-CO"/>
        </w:rPr>
      </w:pPr>
      <w:r w:rsidRPr="00447D29">
        <w:rPr>
          <w:rStyle w:val="Refdenotaalpie"/>
          <w:rFonts w:ascii="Verdana" w:hAnsi="Verdana"/>
          <w:sz w:val="15"/>
          <w:szCs w:val="15"/>
        </w:rPr>
        <w:footnoteRef/>
      </w:r>
      <w:r w:rsidRPr="00447D29">
        <w:rPr>
          <w:rFonts w:ascii="Verdana" w:hAnsi="Verdana"/>
          <w:sz w:val="15"/>
          <w:szCs w:val="15"/>
        </w:rPr>
        <w:t xml:space="preserve"> Agencia Nacional de Contratación Pública – Colombia Compra Eficiente. </w:t>
      </w:r>
      <w:r w:rsidRPr="00447D29">
        <w:rPr>
          <w:rFonts w:ascii="Verdana" w:hAnsi="Verdana"/>
          <w:sz w:val="15"/>
          <w:szCs w:val="15"/>
          <w:lang w:val="es-CO"/>
        </w:rPr>
        <w:t xml:space="preserve">Guía para adelantar el Proceso Administrativo Sancionatorio Contractual. Disponible en línea: </w:t>
      </w:r>
      <w:hyperlink r:id="rId1" w:history="1">
        <w:r w:rsidRPr="00447D29">
          <w:rPr>
            <w:rStyle w:val="Hipervnculo"/>
            <w:rFonts w:ascii="Verdana" w:hAnsi="Verdana"/>
            <w:sz w:val="15"/>
            <w:szCs w:val="15"/>
            <w:lang w:val="es-CO"/>
          </w:rPr>
          <w:t>https://www.colombiacompra.gov.co/archivos/manual/guia-para-adelantar-el-proceso-sancionatorio-administrativo-contractual</w:t>
        </w:r>
      </w:hyperlink>
      <w:r w:rsidRPr="00447D29">
        <w:rPr>
          <w:rFonts w:ascii="Verdana" w:hAnsi="Verdana"/>
          <w:sz w:val="15"/>
          <w:szCs w:val="15"/>
          <w:lang w:val="es-CO"/>
        </w:rPr>
        <w:t xml:space="preserve">, 2026. p. 100. </w:t>
      </w:r>
    </w:p>
  </w:footnote>
  <w:footnote w:id="30">
    <w:p w14:paraId="12A044EC" w14:textId="77777777" w:rsidR="00D65E25" w:rsidRPr="00447D29" w:rsidRDefault="00D65E25" w:rsidP="00D65E25">
      <w:pPr>
        <w:pStyle w:val="Textonotapie"/>
        <w:ind w:firstLine="708"/>
        <w:rPr>
          <w:rFonts w:ascii="Verdana" w:hAnsi="Verdana"/>
          <w:sz w:val="15"/>
          <w:szCs w:val="15"/>
          <w:lang w:val="pt-BR"/>
        </w:rPr>
      </w:pPr>
      <w:r w:rsidRPr="00447D29">
        <w:rPr>
          <w:rStyle w:val="Refdenotaalpie"/>
          <w:rFonts w:ascii="Verdana" w:hAnsi="Verdana"/>
          <w:sz w:val="15"/>
          <w:szCs w:val="15"/>
        </w:rPr>
        <w:footnoteRef/>
      </w:r>
      <w:r w:rsidRPr="00447D29">
        <w:rPr>
          <w:rFonts w:ascii="Verdana" w:hAnsi="Verdana"/>
          <w:sz w:val="15"/>
          <w:szCs w:val="15"/>
          <w:lang w:val="pt-BR"/>
        </w:rPr>
        <w:t xml:space="preserve"> Ibidem. p. 100. </w:t>
      </w:r>
    </w:p>
  </w:footnote>
  <w:footnote w:id="31">
    <w:p w14:paraId="2980DE76" w14:textId="77777777" w:rsidR="00D65E25" w:rsidRPr="00447D29" w:rsidRDefault="00D65E25" w:rsidP="00D65E25">
      <w:pPr>
        <w:pStyle w:val="Textonotapie"/>
        <w:ind w:firstLine="709"/>
        <w:rPr>
          <w:sz w:val="15"/>
          <w:szCs w:val="15"/>
        </w:rPr>
      </w:pPr>
      <w:r w:rsidRPr="00447D29">
        <w:rPr>
          <w:rStyle w:val="Refdenotaalpie"/>
          <w:rFonts w:ascii="Verdana" w:hAnsi="Verdana"/>
          <w:sz w:val="15"/>
          <w:szCs w:val="15"/>
        </w:rPr>
        <w:footnoteRef/>
      </w:r>
      <w:r w:rsidRPr="00447D29">
        <w:rPr>
          <w:rFonts w:ascii="Verdana" w:hAnsi="Verdana"/>
          <w:sz w:val="15"/>
          <w:szCs w:val="15"/>
          <w:lang w:val="pt-BR"/>
        </w:rPr>
        <w:t xml:space="preserve"> PINO RICCI, Jorge. </w:t>
      </w:r>
      <w:r w:rsidRPr="00447D29">
        <w:rPr>
          <w:rFonts w:ascii="Verdana" w:hAnsi="Verdana"/>
          <w:sz w:val="15"/>
          <w:szCs w:val="15"/>
        </w:rPr>
        <w:t>El régimen jurídico de los contratos estatales. Bogotá: Universidad Externado de Colombia, 2005, p. 373.</w:t>
      </w:r>
      <w:r w:rsidRPr="00447D29">
        <w:rPr>
          <w:sz w:val="15"/>
          <w:szCs w:val="15"/>
        </w:rPr>
        <w:t xml:space="preserve"> </w:t>
      </w:r>
    </w:p>
  </w:footnote>
  <w:footnote w:id="32">
    <w:p w14:paraId="4FE32EB5" w14:textId="77777777" w:rsidR="00D65E25" w:rsidRPr="00447D29" w:rsidRDefault="00D65E25" w:rsidP="00D65E25">
      <w:pPr>
        <w:pStyle w:val="NormalWeb"/>
        <w:spacing w:before="0" w:beforeAutospacing="0" w:after="0" w:afterAutospacing="0"/>
        <w:ind w:firstLine="708"/>
        <w:jc w:val="both"/>
        <w:rPr>
          <w:rFonts w:ascii="Verdana" w:hAnsi="Verdana" w:cs="Arial"/>
          <w:color w:val="000000"/>
          <w:sz w:val="15"/>
          <w:szCs w:val="15"/>
        </w:rPr>
      </w:pPr>
      <w:r w:rsidRPr="00447D29">
        <w:rPr>
          <w:rStyle w:val="Refdenotaalpie"/>
          <w:rFonts w:ascii="Verdana" w:hAnsi="Verdana"/>
          <w:sz w:val="15"/>
          <w:szCs w:val="15"/>
        </w:rPr>
        <w:footnoteRef/>
      </w:r>
      <w:r w:rsidRPr="00447D29">
        <w:rPr>
          <w:rFonts w:ascii="Verdana" w:hAnsi="Verdana"/>
          <w:sz w:val="15"/>
          <w:szCs w:val="15"/>
        </w:rPr>
        <w:t xml:space="preserve"> </w:t>
      </w:r>
      <w:r w:rsidRPr="00447D29">
        <w:rPr>
          <w:rFonts w:ascii="Verdana" w:hAnsi="Verdana" w:cs="Arial"/>
          <w:bCs/>
          <w:color w:val="000000"/>
          <w:sz w:val="15"/>
          <w:szCs w:val="15"/>
        </w:rPr>
        <w:t xml:space="preserve">Artículo 11. </w:t>
      </w:r>
      <w:r w:rsidRPr="00447D29">
        <w:rPr>
          <w:rFonts w:ascii="Verdana" w:hAnsi="Verdana" w:cs="Arial"/>
          <w:bCs/>
          <w:i/>
          <w:iCs/>
          <w:color w:val="000000"/>
          <w:sz w:val="15"/>
          <w:szCs w:val="15"/>
        </w:rPr>
        <w:t>Conflictos de interés y causales de impedimento y recusación</w:t>
      </w:r>
      <w:r w:rsidRPr="00447D29">
        <w:rPr>
          <w:rFonts w:ascii="Verdana" w:hAnsi="Verdana" w:cs="Arial"/>
          <w:i/>
          <w:iCs/>
          <w:color w:val="000000"/>
          <w:sz w:val="15"/>
          <w:szCs w:val="15"/>
        </w:rPr>
        <w:t>. </w:t>
      </w:r>
      <w:r w:rsidRPr="00447D29">
        <w:rPr>
          <w:rFonts w:ascii="Verdana" w:hAnsi="Verdana" w:cs="Arial"/>
          <w:color w:val="000000"/>
          <w:sz w:val="15"/>
          <w:szCs w:val="15"/>
        </w:rPr>
        <w:t>Cuando el interés general propio de la función pública entre en conflicto con el interés particular y directo del servidor público, este deberá declararse impedido. Todo servidor público que deba adelantar o sustanciar actuaciones administrativas, realizar investigaciones, practicar pruebas o pronunciar decisiones definitivas podrá ser recusado si no manifiesta su impedimento por: </w:t>
      </w:r>
    </w:p>
    <w:p w14:paraId="5983A76D" w14:textId="77777777" w:rsidR="00D65E25" w:rsidRPr="00447D29" w:rsidRDefault="00D65E25" w:rsidP="00D65E25">
      <w:pPr>
        <w:spacing w:after="0" w:line="240" w:lineRule="auto"/>
        <w:ind w:firstLine="708"/>
        <w:jc w:val="both"/>
        <w:rPr>
          <w:rFonts w:ascii="Verdana" w:eastAsia="Times New Roman" w:hAnsi="Verdana" w:cs="Arial"/>
          <w:color w:val="000000"/>
          <w:sz w:val="15"/>
          <w:szCs w:val="15"/>
        </w:rPr>
      </w:pPr>
      <w:r w:rsidRPr="00447D29">
        <w:rPr>
          <w:rFonts w:ascii="Verdana" w:eastAsia="Times New Roman" w:hAnsi="Verdana" w:cs="Arial"/>
          <w:color w:val="000000"/>
          <w:sz w:val="15"/>
          <w:szCs w:val="15"/>
        </w:rPr>
        <w:t>1. Tener interés particular y directo en la regulación, gestión, control o decisión del asunto, o tenerlo su cónyuge, compañero o compañera permanente, o alguno de sus parientes dentro del cuarto grado de consanguinidad, segundo de afinidad o primero civil, o su socio o socios de hecho o de derecho. </w:t>
      </w:r>
    </w:p>
    <w:p w14:paraId="2ABAD9FD" w14:textId="77777777" w:rsidR="00D65E25" w:rsidRPr="00447D29" w:rsidRDefault="00D65E25" w:rsidP="00D65E25">
      <w:pPr>
        <w:spacing w:after="0" w:line="240" w:lineRule="auto"/>
        <w:ind w:firstLine="708"/>
        <w:jc w:val="both"/>
        <w:rPr>
          <w:rFonts w:ascii="Verdana" w:eastAsia="Times New Roman" w:hAnsi="Verdana" w:cs="Arial"/>
          <w:color w:val="000000"/>
          <w:sz w:val="15"/>
          <w:szCs w:val="15"/>
        </w:rPr>
      </w:pPr>
      <w:r w:rsidRPr="00447D29">
        <w:rPr>
          <w:rFonts w:ascii="Verdana" w:eastAsia="Times New Roman" w:hAnsi="Verdana" w:cs="Arial"/>
          <w:color w:val="000000"/>
          <w:sz w:val="15"/>
          <w:szCs w:val="15"/>
        </w:rPr>
        <w:t>2. Haber conocido del asunto, en oportunidad anterior, el servidor, su cónyuge, compañero permanente o alguno de sus parientes indicados en el numeral precedente. </w:t>
      </w:r>
    </w:p>
    <w:p w14:paraId="5D498D22" w14:textId="77777777" w:rsidR="00D65E25" w:rsidRPr="00447D29" w:rsidRDefault="00D65E25" w:rsidP="00D65E25">
      <w:pPr>
        <w:spacing w:after="0" w:line="240" w:lineRule="auto"/>
        <w:ind w:firstLine="708"/>
        <w:jc w:val="both"/>
        <w:rPr>
          <w:rFonts w:ascii="Verdana" w:eastAsia="Times New Roman" w:hAnsi="Verdana" w:cs="Arial"/>
          <w:color w:val="000000"/>
          <w:sz w:val="15"/>
          <w:szCs w:val="15"/>
        </w:rPr>
      </w:pPr>
      <w:r w:rsidRPr="00447D29">
        <w:rPr>
          <w:rFonts w:ascii="Verdana" w:eastAsia="Times New Roman" w:hAnsi="Verdana" w:cs="Arial"/>
          <w:color w:val="000000"/>
          <w:sz w:val="15"/>
          <w:szCs w:val="15"/>
        </w:rPr>
        <w:t>3. Ser el servidor, su cónyuge, compañero permanente o alguno de sus parientes arriba indicados, curador o tutor de persona interesada en el asunto. </w:t>
      </w:r>
    </w:p>
    <w:p w14:paraId="69B84377" w14:textId="77777777" w:rsidR="00D65E25" w:rsidRPr="00447D29" w:rsidRDefault="00D65E25" w:rsidP="00D65E25">
      <w:pPr>
        <w:spacing w:after="0" w:line="240" w:lineRule="auto"/>
        <w:ind w:firstLine="708"/>
        <w:jc w:val="both"/>
        <w:rPr>
          <w:rFonts w:ascii="Verdana" w:eastAsia="Times New Roman" w:hAnsi="Verdana" w:cs="Arial"/>
          <w:color w:val="000000"/>
          <w:sz w:val="15"/>
          <w:szCs w:val="15"/>
        </w:rPr>
      </w:pPr>
      <w:r w:rsidRPr="00447D29">
        <w:rPr>
          <w:rFonts w:ascii="Verdana" w:eastAsia="Times New Roman" w:hAnsi="Verdana" w:cs="Arial"/>
          <w:color w:val="000000"/>
          <w:sz w:val="15"/>
          <w:szCs w:val="15"/>
        </w:rPr>
        <w:t>4. Ser alguno de los interesados en la actuación administrativa: representante, apoderado, dependiente, mandatario o administrador de los negocios del servidor público. </w:t>
      </w:r>
    </w:p>
    <w:p w14:paraId="5D011E92" w14:textId="77777777" w:rsidR="00D65E25" w:rsidRPr="00447D29" w:rsidRDefault="00D65E25" w:rsidP="00D65E25">
      <w:pPr>
        <w:spacing w:after="0" w:line="240" w:lineRule="auto"/>
        <w:ind w:firstLine="708"/>
        <w:jc w:val="both"/>
        <w:rPr>
          <w:rFonts w:ascii="Verdana" w:eastAsia="Times New Roman" w:hAnsi="Verdana" w:cs="Arial"/>
          <w:color w:val="000000"/>
          <w:sz w:val="15"/>
          <w:szCs w:val="15"/>
        </w:rPr>
      </w:pPr>
      <w:r w:rsidRPr="00447D29">
        <w:rPr>
          <w:rFonts w:ascii="Verdana" w:eastAsia="Times New Roman" w:hAnsi="Verdana" w:cs="Arial"/>
          <w:color w:val="000000"/>
          <w:sz w:val="15"/>
          <w:szCs w:val="15"/>
        </w:rPr>
        <w:t>5. Existir litigio o controversia ante autoridades administrativas o jurisdiccionales entre el servidor, su cónyuge, compañero permanente, o alguno de sus parientes indicados en el numeral 1, y cualquiera de los interesados en la actuación, su representante o apoderado. </w:t>
      </w:r>
    </w:p>
    <w:p w14:paraId="0EFEA7ED" w14:textId="77777777" w:rsidR="00D65E25" w:rsidRPr="00447D29" w:rsidRDefault="00D65E25" w:rsidP="00D65E25">
      <w:pPr>
        <w:spacing w:after="0" w:line="240" w:lineRule="auto"/>
        <w:ind w:firstLine="708"/>
        <w:jc w:val="both"/>
        <w:rPr>
          <w:rFonts w:ascii="Verdana" w:eastAsia="Times New Roman" w:hAnsi="Verdana" w:cs="Arial"/>
          <w:color w:val="000000"/>
          <w:sz w:val="15"/>
          <w:szCs w:val="15"/>
        </w:rPr>
      </w:pPr>
      <w:r w:rsidRPr="00447D29">
        <w:rPr>
          <w:rFonts w:ascii="Verdana" w:eastAsia="Times New Roman" w:hAnsi="Verdana" w:cs="Arial"/>
          <w:color w:val="000000"/>
          <w:sz w:val="15"/>
          <w:szCs w:val="15"/>
        </w:rPr>
        <w:t>6. Haber formulado alguno de los interesados en la actuación, su representante o apoderado, denuncia penal contra el servidor, su cónyuge, compañero permanente, o pariente hasta el segundo grado de consanguinidad, segundo de afinidad o primero civil, antes de iniciarse la actuación administrativa; o después, siempre que la denuncia se refiera a hechos ajenos a la actuación y que el denunciado se halle vinculado a la investigación penal. </w:t>
      </w:r>
    </w:p>
    <w:p w14:paraId="5A7CDD41" w14:textId="77777777" w:rsidR="00D65E25" w:rsidRPr="00447D29" w:rsidRDefault="00D65E25" w:rsidP="00D65E25">
      <w:pPr>
        <w:spacing w:after="0"/>
        <w:rPr>
          <w:rFonts w:ascii="Verdana" w:eastAsia="Calibri" w:hAnsi="Verdana" w:cs="Times New Roman"/>
          <w:sz w:val="15"/>
          <w:szCs w:val="15"/>
        </w:rPr>
      </w:pPr>
      <w:r w:rsidRPr="00447D29">
        <w:rPr>
          <w:rFonts w:ascii="Verdana" w:eastAsia="Times New Roman" w:hAnsi="Verdana" w:cs="Arial"/>
          <w:color w:val="000000"/>
          <w:sz w:val="15"/>
          <w:szCs w:val="15"/>
        </w:rPr>
        <w:t>[…]</w:t>
      </w:r>
    </w:p>
  </w:footnote>
  <w:footnote w:id="33">
    <w:p w14:paraId="0340DC43" w14:textId="77777777" w:rsidR="00D65E25" w:rsidRPr="00447D29" w:rsidRDefault="00D65E25" w:rsidP="00D65E25">
      <w:pPr>
        <w:pStyle w:val="NormalWeb"/>
        <w:spacing w:before="0" w:beforeAutospacing="0" w:after="0" w:afterAutospacing="0"/>
        <w:ind w:firstLine="708"/>
        <w:jc w:val="both"/>
        <w:rPr>
          <w:rFonts w:ascii="Verdana" w:hAnsi="Verdana" w:cs="Arial"/>
          <w:color w:val="000000" w:themeColor="text1"/>
          <w:sz w:val="15"/>
          <w:szCs w:val="15"/>
          <w:lang w:eastAsia="es-ES_tradnl"/>
        </w:rPr>
      </w:pPr>
      <w:r w:rsidRPr="00447D29">
        <w:rPr>
          <w:rStyle w:val="Refdenotaalpie"/>
          <w:rFonts w:ascii="Verdana" w:hAnsi="Verdana" w:cs="Arial"/>
          <w:color w:val="000000" w:themeColor="text1"/>
          <w:sz w:val="15"/>
          <w:szCs w:val="15"/>
        </w:rPr>
        <w:footnoteRef/>
      </w:r>
      <w:r w:rsidRPr="00447D29">
        <w:rPr>
          <w:rFonts w:ascii="Verdana" w:hAnsi="Verdana" w:cs="Arial"/>
          <w:color w:val="000000" w:themeColor="text1"/>
          <w:sz w:val="15"/>
          <w:szCs w:val="15"/>
        </w:rPr>
        <w:t xml:space="preserve"> </w:t>
      </w:r>
      <w:bookmarkStart w:id="4" w:name="2"/>
      <w:r w:rsidRPr="00447D29">
        <w:rPr>
          <w:rFonts w:ascii="Verdana" w:hAnsi="Verdana" w:cs="Arial"/>
          <w:color w:val="000000" w:themeColor="text1"/>
          <w:sz w:val="15"/>
          <w:szCs w:val="15"/>
          <w:lang w:eastAsia="es-ES_tradnl"/>
        </w:rPr>
        <w:t>ARTÍCULO 2o. ÁMBITO DE APLICACIÓN.</w:t>
      </w:r>
      <w:bookmarkEnd w:id="4"/>
      <w:r w:rsidRPr="00447D29">
        <w:rPr>
          <w:rFonts w:ascii="Verdana" w:hAnsi="Verdana" w:cs="Arial"/>
          <w:color w:val="000000" w:themeColor="text1"/>
          <w:sz w:val="15"/>
          <w:szCs w:val="15"/>
          <w:lang w:eastAsia="es-ES_tradnl"/>
        </w:rPr>
        <w:t> Las normas de esta Parte Primera del Código se aplican a todos los organismos y entidades que conforman las ramas del poder público en sus distintos órdenes, sectores y niveles, a los órganos autónomos e independientes del Estado y a los particulares, cuando cumplan funciones administrativas. A todos ellos se les dará el nombre de autoridades. </w:t>
      </w:r>
    </w:p>
    <w:p w14:paraId="6A4E9B0D" w14:textId="77777777" w:rsidR="00D65E25" w:rsidRPr="00447D29" w:rsidRDefault="00D65E25" w:rsidP="00D65E25">
      <w:pPr>
        <w:spacing w:after="0" w:line="240" w:lineRule="auto"/>
        <w:ind w:firstLine="708"/>
        <w:jc w:val="both"/>
        <w:rPr>
          <w:rFonts w:ascii="Verdana" w:eastAsia="Times New Roman" w:hAnsi="Verdana" w:cs="Arial"/>
          <w:color w:val="000000" w:themeColor="text1"/>
          <w:sz w:val="15"/>
          <w:szCs w:val="15"/>
          <w:lang w:eastAsia="es-ES_tradnl"/>
        </w:rPr>
      </w:pPr>
      <w:r w:rsidRPr="00447D29">
        <w:rPr>
          <w:rFonts w:ascii="Verdana" w:eastAsia="Times New Roman" w:hAnsi="Verdana" w:cs="Arial"/>
          <w:color w:val="000000" w:themeColor="text1"/>
          <w:sz w:val="15"/>
          <w:szCs w:val="15"/>
          <w:lang w:eastAsia="es-ES_tradnl"/>
        </w:rPr>
        <w:t>Las disposiciones de esta Parte Primera no se aplicarán en los procedimientos militares o de policía que por su naturaleza requieran decisiones de aplicación inmediata, para evitar o remediar perturbaciones de orden público en los aspectos de defensa nacional, seguridad, tranquilidad, salubridad, y circulación de personas y cosas. Tampoco se aplicarán para ejercer la facultad de libre nombramiento y remoción. </w:t>
      </w:r>
    </w:p>
    <w:p w14:paraId="649F4213" w14:textId="77777777" w:rsidR="00D65E25" w:rsidRPr="00F11C6F" w:rsidRDefault="00D65E25" w:rsidP="00D65E25">
      <w:pPr>
        <w:spacing w:after="0" w:line="240" w:lineRule="auto"/>
        <w:ind w:firstLine="708"/>
        <w:jc w:val="both"/>
        <w:rPr>
          <w:rFonts w:ascii="Verdana" w:eastAsia="Times New Roman" w:hAnsi="Verdana" w:cs="Arial"/>
          <w:color w:val="000000" w:themeColor="text1"/>
          <w:sz w:val="16"/>
          <w:szCs w:val="16"/>
          <w:lang w:eastAsia="es-ES_tradnl"/>
        </w:rPr>
      </w:pPr>
      <w:r w:rsidRPr="00447D29">
        <w:rPr>
          <w:rFonts w:ascii="Verdana" w:eastAsia="Times New Roman" w:hAnsi="Verdana" w:cs="Arial"/>
          <w:color w:val="000000" w:themeColor="text1"/>
          <w:sz w:val="15"/>
          <w:szCs w:val="15"/>
          <w:lang w:eastAsia="es-ES_tradnl"/>
        </w:rPr>
        <w:t>Las autoridades sujetarán sus actuaciones a los procedimientos que se establecen en este Código, sin perjuicio de los procedimientos regulados en leyes especiales. En lo no previsto en los mismos se aplicarán las disposiciones de este Código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857725F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600019D5"/>
    <w:multiLevelType w:val="hybridMultilevel"/>
    <w:tmpl w:val="8414822C"/>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6"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8D4C42"/>
    <w:multiLevelType w:val="multilevel"/>
    <w:tmpl w:val="9A2E7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5140EF"/>
    <w:multiLevelType w:val="multilevel"/>
    <w:tmpl w:val="BBB0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10001132">
    <w:abstractNumId w:val="11"/>
  </w:num>
  <w:num w:numId="2" w16cid:durableId="2125885161">
    <w:abstractNumId w:val="3"/>
  </w:num>
  <w:num w:numId="3" w16cid:durableId="1442724382">
    <w:abstractNumId w:val="9"/>
  </w:num>
  <w:num w:numId="4" w16cid:durableId="4680116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6684517">
    <w:abstractNumId w:val="3"/>
  </w:num>
  <w:num w:numId="6" w16cid:durableId="62988201">
    <w:abstractNumId w:val="19"/>
  </w:num>
  <w:num w:numId="7" w16cid:durableId="245577659">
    <w:abstractNumId w:val="10"/>
  </w:num>
  <w:num w:numId="8" w16cid:durableId="1671173251">
    <w:abstractNumId w:val="18"/>
  </w:num>
  <w:num w:numId="9" w16cid:durableId="295989845">
    <w:abstractNumId w:val="12"/>
  </w:num>
  <w:num w:numId="10" w16cid:durableId="542064569">
    <w:abstractNumId w:val="17"/>
  </w:num>
  <w:num w:numId="11" w16cid:durableId="841162102">
    <w:abstractNumId w:val="13"/>
  </w:num>
  <w:num w:numId="12" w16cid:durableId="1727949030">
    <w:abstractNumId w:val="1"/>
  </w:num>
  <w:num w:numId="13" w16cid:durableId="441148983">
    <w:abstractNumId w:val="6"/>
  </w:num>
  <w:num w:numId="14" w16cid:durableId="311519797">
    <w:abstractNumId w:val="21"/>
  </w:num>
  <w:num w:numId="15" w16cid:durableId="1938558533">
    <w:abstractNumId w:val="16"/>
  </w:num>
  <w:num w:numId="16" w16cid:durableId="42338721">
    <w:abstractNumId w:val="7"/>
  </w:num>
  <w:num w:numId="17" w16cid:durableId="2065903659">
    <w:abstractNumId w:val="14"/>
  </w:num>
  <w:num w:numId="18" w16cid:durableId="168714549">
    <w:abstractNumId w:val="24"/>
  </w:num>
  <w:num w:numId="19" w16cid:durableId="248580388">
    <w:abstractNumId w:val="23"/>
  </w:num>
  <w:num w:numId="20" w16cid:durableId="746657937">
    <w:abstractNumId w:val="2"/>
  </w:num>
  <w:num w:numId="21" w16cid:durableId="76221228">
    <w:abstractNumId w:val="5"/>
  </w:num>
  <w:num w:numId="22" w16cid:durableId="336617695">
    <w:abstractNumId w:val="8"/>
  </w:num>
  <w:num w:numId="23" w16cid:durableId="858085014">
    <w:abstractNumId w:val="4"/>
  </w:num>
  <w:num w:numId="24" w16cid:durableId="177089974">
    <w:abstractNumId w:val="0"/>
  </w:num>
  <w:num w:numId="25" w16cid:durableId="2133549201">
    <w:abstractNumId w:val="15"/>
  </w:num>
  <w:num w:numId="26" w16cid:durableId="810176603">
    <w:abstractNumId w:val="20"/>
  </w:num>
  <w:num w:numId="27" w16cid:durableId="9137070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1D2B"/>
    <w:rsid w:val="00002AD2"/>
    <w:rsid w:val="00004F20"/>
    <w:rsid w:val="000134D5"/>
    <w:rsid w:val="00016F78"/>
    <w:rsid w:val="0002175D"/>
    <w:rsid w:val="00046945"/>
    <w:rsid w:val="0005004A"/>
    <w:rsid w:val="00061B2A"/>
    <w:rsid w:val="000711CF"/>
    <w:rsid w:val="00072BC5"/>
    <w:rsid w:val="00074F81"/>
    <w:rsid w:val="00076D52"/>
    <w:rsid w:val="00082362"/>
    <w:rsid w:val="00097A5F"/>
    <w:rsid w:val="000A4387"/>
    <w:rsid w:val="000A6372"/>
    <w:rsid w:val="000A683E"/>
    <w:rsid w:val="000B0F43"/>
    <w:rsid w:val="000B19B9"/>
    <w:rsid w:val="000B27F0"/>
    <w:rsid w:val="000B403A"/>
    <w:rsid w:val="000D0334"/>
    <w:rsid w:val="000D1DC8"/>
    <w:rsid w:val="000D5DA7"/>
    <w:rsid w:val="000E7487"/>
    <w:rsid w:val="000F078F"/>
    <w:rsid w:val="000F3444"/>
    <w:rsid w:val="000F6486"/>
    <w:rsid w:val="00105C57"/>
    <w:rsid w:val="00114E2E"/>
    <w:rsid w:val="001168F2"/>
    <w:rsid w:val="00116940"/>
    <w:rsid w:val="00125105"/>
    <w:rsid w:val="00127233"/>
    <w:rsid w:val="001301E1"/>
    <w:rsid w:val="001328F3"/>
    <w:rsid w:val="00134DAF"/>
    <w:rsid w:val="001371DF"/>
    <w:rsid w:val="00146799"/>
    <w:rsid w:val="00146F7D"/>
    <w:rsid w:val="00152244"/>
    <w:rsid w:val="0015699B"/>
    <w:rsid w:val="00171640"/>
    <w:rsid w:val="00174D6E"/>
    <w:rsid w:val="0018252D"/>
    <w:rsid w:val="00186F2B"/>
    <w:rsid w:val="001A33BF"/>
    <w:rsid w:val="001C5AE4"/>
    <w:rsid w:val="001C6123"/>
    <w:rsid w:val="001D116F"/>
    <w:rsid w:val="001D5A2F"/>
    <w:rsid w:val="001D7044"/>
    <w:rsid w:val="001E2071"/>
    <w:rsid w:val="001E2E05"/>
    <w:rsid w:val="001E2F61"/>
    <w:rsid w:val="001E4177"/>
    <w:rsid w:val="001F0B24"/>
    <w:rsid w:val="001F7DC6"/>
    <w:rsid w:val="00200CCF"/>
    <w:rsid w:val="0021022D"/>
    <w:rsid w:val="002209DE"/>
    <w:rsid w:val="0022400B"/>
    <w:rsid w:val="002361FE"/>
    <w:rsid w:val="0024205C"/>
    <w:rsid w:val="002421BB"/>
    <w:rsid w:val="00243734"/>
    <w:rsid w:val="00251415"/>
    <w:rsid w:val="0025796E"/>
    <w:rsid w:val="002707A2"/>
    <w:rsid w:val="00275482"/>
    <w:rsid w:val="0028778F"/>
    <w:rsid w:val="00291A11"/>
    <w:rsid w:val="002951A0"/>
    <w:rsid w:val="002962BC"/>
    <w:rsid w:val="002A093D"/>
    <w:rsid w:val="002A0DD0"/>
    <w:rsid w:val="002A32A9"/>
    <w:rsid w:val="002A49AC"/>
    <w:rsid w:val="002A64FD"/>
    <w:rsid w:val="002B730F"/>
    <w:rsid w:val="002C4493"/>
    <w:rsid w:val="002C7A84"/>
    <w:rsid w:val="002E05EF"/>
    <w:rsid w:val="002E2BF8"/>
    <w:rsid w:val="002E4FD9"/>
    <w:rsid w:val="002F0847"/>
    <w:rsid w:val="00302C46"/>
    <w:rsid w:val="0030657A"/>
    <w:rsid w:val="00313207"/>
    <w:rsid w:val="003136DC"/>
    <w:rsid w:val="00316053"/>
    <w:rsid w:val="00322A85"/>
    <w:rsid w:val="00322C00"/>
    <w:rsid w:val="0032313B"/>
    <w:rsid w:val="00324168"/>
    <w:rsid w:val="00325BCE"/>
    <w:rsid w:val="00330834"/>
    <w:rsid w:val="003332A8"/>
    <w:rsid w:val="003448F4"/>
    <w:rsid w:val="00350388"/>
    <w:rsid w:val="00352C9E"/>
    <w:rsid w:val="00365AB6"/>
    <w:rsid w:val="00374F5E"/>
    <w:rsid w:val="003769E1"/>
    <w:rsid w:val="00377E3E"/>
    <w:rsid w:val="00381540"/>
    <w:rsid w:val="00381BAB"/>
    <w:rsid w:val="00394A38"/>
    <w:rsid w:val="003A779E"/>
    <w:rsid w:val="003D0F4D"/>
    <w:rsid w:val="003D5B0D"/>
    <w:rsid w:val="003D749B"/>
    <w:rsid w:val="003E0499"/>
    <w:rsid w:val="003E3D3F"/>
    <w:rsid w:val="003E4F80"/>
    <w:rsid w:val="003E6439"/>
    <w:rsid w:val="003F3941"/>
    <w:rsid w:val="00403EFA"/>
    <w:rsid w:val="00406575"/>
    <w:rsid w:val="0041318E"/>
    <w:rsid w:val="004140B3"/>
    <w:rsid w:val="00414C74"/>
    <w:rsid w:val="004170B6"/>
    <w:rsid w:val="0042722E"/>
    <w:rsid w:val="0044528D"/>
    <w:rsid w:val="00451137"/>
    <w:rsid w:val="004555EA"/>
    <w:rsid w:val="00456B3F"/>
    <w:rsid w:val="00464B79"/>
    <w:rsid w:val="00466E39"/>
    <w:rsid w:val="00475D27"/>
    <w:rsid w:val="00477E0F"/>
    <w:rsid w:val="00483CCF"/>
    <w:rsid w:val="00486447"/>
    <w:rsid w:val="00486D01"/>
    <w:rsid w:val="0048787A"/>
    <w:rsid w:val="00494F04"/>
    <w:rsid w:val="004A0A0B"/>
    <w:rsid w:val="004A1847"/>
    <w:rsid w:val="004A305D"/>
    <w:rsid w:val="004A4B05"/>
    <w:rsid w:val="004B1E01"/>
    <w:rsid w:val="004B3DAC"/>
    <w:rsid w:val="004C0DBB"/>
    <w:rsid w:val="004C5C6E"/>
    <w:rsid w:val="004F21C4"/>
    <w:rsid w:val="004F685F"/>
    <w:rsid w:val="005005FD"/>
    <w:rsid w:val="00503E4A"/>
    <w:rsid w:val="005131E5"/>
    <w:rsid w:val="00517955"/>
    <w:rsid w:val="005229DB"/>
    <w:rsid w:val="005237C3"/>
    <w:rsid w:val="00525368"/>
    <w:rsid w:val="00534886"/>
    <w:rsid w:val="00535899"/>
    <w:rsid w:val="0055154D"/>
    <w:rsid w:val="005566E8"/>
    <w:rsid w:val="0056045B"/>
    <w:rsid w:val="00564BCE"/>
    <w:rsid w:val="00574867"/>
    <w:rsid w:val="00591460"/>
    <w:rsid w:val="00594FDA"/>
    <w:rsid w:val="005A65E0"/>
    <w:rsid w:val="005B7C68"/>
    <w:rsid w:val="005C0881"/>
    <w:rsid w:val="005C3777"/>
    <w:rsid w:val="005C4DEE"/>
    <w:rsid w:val="005C5CDC"/>
    <w:rsid w:val="005D2566"/>
    <w:rsid w:val="005D4556"/>
    <w:rsid w:val="005D476C"/>
    <w:rsid w:val="005E62A9"/>
    <w:rsid w:val="005F0177"/>
    <w:rsid w:val="005F20A4"/>
    <w:rsid w:val="005F2D61"/>
    <w:rsid w:val="005F33B3"/>
    <w:rsid w:val="00600D92"/>
    <w:rsid w:val="00603C5B"/>
    <w:rsid w:val="00612C95"/>
    <w:rsid w:val="006200BF"/>
    <w:rsid w:val="0062143E"/>
    <w:rsid w:val="006219F8"/>
    <w:rsid w:val="006302F7"/>
    <w:rsid w:val="00637B4F"/>
    <w:rsid w:val="00646B9F"/>
    <w:rsid w:val="006551CA"/>
    <w:rsid w:val="006561F2"/>
    <w:rsid w:val="00663F30"/>
    <w:rsid w:val="0066585E"/>
    <w:rsid w:val="00665D70"/>
    <w:rsid w:val="006735C7"/>
    <w:rsid w:val="006825C1"/>
    <w:rsid w:val="0068386C"/>
    <w:rsid w:val="00684A93"/>
    <w:rsid w:val="00684F67"/>
    <w:rsid w:val="006900D9"/>
    <w:rsid w:val="0069741A"/>
    <w:rsid w:val="006A111D"/>
    <w:rsid w:val="006A2BE4"/>
    <w:rsid w:val="006A6158"/>
    <w:rsid w:val="006B4707"/>
    <w:rsid w:val="006D506B"/>
    <w:rsid w:val="006D591D"/>
    <w:rsid w:val="006E49B0"/>
    <w:rsid w:val="006E793B"/>
    <w:rsid w:val="007009D7"/>
    <w:rsid w:val="007025D7"/>
    <w:rsid w:val="00706C16"/>
    <w:rsid w:val="0071557C"/>
    <w:rsid w:val="00723581"/>
    <w:rsid w:val="00724FAD"/>
    <w:rsid w:val="00730A77"/>
    <w:rsid w:val="00731F30"/>
    <w:rsid w:val="007340C3"/>
    <w:rsid w:val="0073510E"/>
    <w:rsid w:val="007458D3"/>
    <w:rsid w:val="0075235A"/>
    <w:rsid w:val="00752CDB"/>
    <w:rsid w:val="0075557D"/>
    <w:rsid w:val="00756841"/>
    <w:rsid w:val="007649AB"/>
    <w:rsid w:val="00771D0C"/>
    <w:rsid w:val="007833AC"/>
    <w:rsid w:val="00786107"/>
    <w:rsid w:val="0079044F"/>
    <w:rsid w:val="00791480"/>
    <w:rsid w:val="00795086"/>
    <w:rsid w:val="0079601E"/>
    <w:rsid w:val="007A1830"/>
    <w:rsid w:val="007A7572"/>
    <w:rsid w:val="007B268C"/>
    <w:rsid w:val="007B7171"/>
    <w:rsid w:val="007C0C0F"/>
    <w:rsid w:val="007C3DC2"/>
    <w:rsid w:val="007C4353"/>
    <w:rsid w:val="007D23A4"/>
    <w:rsid w:val="007D3058"/>
    <w:rsid w:val="007D41D2"/>
    <w:rsid w:val="007D4B12"/>
    <w:rsid w:val="007D5611"/>
    <w:rsid w:val="007E5497"/>
    <w:rsid w:val="00806F5F"/>
    <w:rsid w:val="00820278"/>
    <w:rsid w:val="008258C9"/>
    <w:rsid w:val="00830DFB"/>
    <w:rsid w:val="00833286"/>
    <w:rsid w:val="0083394A"/>
    <w:rsid w:val="00834F4E"/>
    <w:rsid w:val="00836232"/>
    <w:rsid w:val="00844AE9"/>
    <w:rsid w:val="0085545E"/>
    <w:rsid w:val="00867F95"/>
    <w:rsid w:val="008843B6"/>
    <w:rsid w:val="00891928"/>
    <w:rsid w:val="008A446D"/>
    <w:rsid w:val="008A4ED5"/>
    <w:rsid w:val="008B0D0F"/>
    <w:rsid w:val="008B25F1"/>
    <w:rsid w:val="008C11FD"/>
    <w:rsid w:val="008C2FF8"/>
    <w:rsid w:val="008C4CEA"/>
    <w:rsid w:val="008C4DD5"/>
    <w:rsid w:val="008C517A"/>
    <w:rsid w:val="008C6AE5"/>
    <w:rsid w:val="008D1660"/>
    <w:rsid w:val="008D180B"/>
    <w:rsid w:val="008E0ED8"/>
    <w:rsid w:val="008E212A"/>
    <w:rsid w:val="008E223A"/>
    <w:rsid w:val="008F0EA7"/>
    <w:rsid w:val="008F17DC"/>
    <w:rsid w:val="008F4334"/>
    <w:rsid w:val="008F6705"/>
    <w:rsid w:val="00902A62"/>
    <w:rsid w:val="009037F6"/>
    <w:rsid w:val="00913DE1"/>
    <w:rsid w:val="00914282"/>
    <w:rsid w:val="00923EEF"/>
    <w:rsid w:val="009419F9"/>
    <w:rsid w:val="0094578B"/>
    <w:rsid w:val="00946E96"/>
    <w:rsid w:val="0095685E"/>
    <w:rsid w:val="00961B09"/>
    <w:rsid w:val="00962D57"/>
    <w:rsid w:val="00964321"/>
    <w:rsid w:val="00965334"/>
    <w:rsid w:val="009670C2"/>
    <w:rsid w:val="0097093E"/>
    <w:rsid w:val="0097112C"/>
    <w:rsid w:val="00992E19"/>
    <w:rsid w:val="009A0486"/>
    <w:rsid w:val="009A0DFA"/>
    <w:rsid w:val="009A3A39"/>
    <w:rsid w:val="009B2D26"/>
    <w:rsid w:val="009B5506"/>
    <w:rsid w:val="009C36D3"/>
    <w:rsid w:val="009C71FA"/>
    <w:rsid w:val="009C72E7"/>
    <w:rsid w:val="009C7F7E"/>
    <w:rsid w:val="009D3058"/>
    <w:rsid w:val="009E1F28"/>
    <w:rsid w:val="009F3A07"/>
    <w:rsid w:val="009F3A13"/>
    <w:rsid w:val="009F52FF"/>
    <w:rsid w:val="00A0334B"/>
    <w:rsid w:val="00A03DA4"/>
    <w:rsid w:val="00A122D3"/>
    <w:rsid w:val="00A1357C"/>
    <w:rsid w:val="00A14468"/>
    <w:rsid w:val="00A17F13"/>
    <w:rsid w:val="00A20739"/>
    <w:rsid w:val="00A21D44"/>
    <w:rsid w:val="00A23AF9"/>
    <w:rsid w:val="00A31A76"/>
    <w:rsid w:val="00A333AA"/>
    <w:rsid w:val="00A33C78"/>
    <w:rsid w:val="00A34752"/>
    <w:rsid w:val="00A37FD5"/>
    <w:rsid w:val="00A41D42"/>
    <w:rsid w:val="00A639AA"/>
    <w:rsid w:val="00A71EFC"/>
    <w:rsid w:val="00A73F45"/>
    <w:rsid w:val="00A83B47"/>
    <w:rsid w:val="00AB08A6"/>
    <w:rsid w:val="00AB0ADB"/>
    <w:rsid w:val="00AB35AD"/>
    <w:rsid w:val="00AB436E"/>
    <w:rsid w:val="00AB56CB"/>
    <w:rsid w:val="00AB5C5E"/>
    <w:rsid w:val="00AC0E37"/>
    <w:rsid w:val="00AD1AEF"/>
    <w:rsid w:val="00AE2BE7"/>
    <w:rsid w:val="00AE3513"/>
    <w:rsid w:val="00AF5A10"/>
    <w:rsid w:val="00B00C0E"/>
    <w:rsid w:val="00B01B1A"/>
    <w:rsid w:val="00B03930"/>
    <w:rsid w:val="00B04DA1"/>
    <w:rsid w:val="00B231B4"/>
    <w:rsid w:val="00B32F90"/>
    <w:rsid w:val="00B44952"/>
    <w:rsid w:val="00B44A47"/>
    <w:rsid w:val="00B52AFD"/>
    <w:rsid w:val="00B54271"/>
    <w:rsid w:val="00B5550F"/>
    <w:rsid w:val="00B6149C"/>
    <w:rsid w:val="00B62528"/>
    <w:rsid w:val="00B62EA3"/>
    <w:rsid w:val="00B72CD3"/>
    <w:rsid w:val="00B72FFF"/>
    <w:rsid w:val="00B74092"/>
    <w:rsid w:val="00B743E8"/>
    <w:rsid w:val="00B87993"/>
    <w:rsid w:val="00B938D5"/>
    <w:rsid w:val="00B9593A"/>
    <w:rsid w:val="00B95DAC"/>
    <w:rsid w:val="00BA266E"/>
    <w:rsid w:val="00BA4409"/>
    <w:rsid w:val="00BA6A3E"/>
    <w:rsid w:val="00BA703D"/>
    <w:rsid w:val="00BC2A4E"/>
    <w:rsid w:val="00BC3D36"/>
    <w:rsid w:val="00BC70CB"/>
    <w:rsid w:val="00BC7F5B"/>
    <w:rsid w:val="00BD13AC"/>
    <w:rsid w:val="00BD30FD"/>
    <w:rsid w:val="00BD54A6"/>
    <w:rsid w:val="00BD7F72"/>
    <w:rsid w:val="00BE7058"/>
    <w:rsid w:val="00BF5C08"/>
    <w:rsid w:val="00BF5EC3"/>
    <w:rsid w:val="00BF659E"/>
    <w:rsid w:val="00BF7425"/>
    <w:rsid w:val="00C00B24"/>
    <w:rsid w:val="00C04FB3"/>
    <w:rsid w:val="00C11D8B"/>
    <w:rsid w:val="00C11DE2"/>
    <w:rsid w:val="00C251B0"/>
    <w:rsid w:val="00C330EB"/>
    <w:rsid w:val="00C36D22"/>
    <w:rsid w:val="00C408D6"/>
    <w:rsid w:val="00C419DF"/>
    <w:rsid w:val="00C45C95"/>
    <w:rsid w:val="00C50D69"/>
    <w:rsid w:val="00C5278D"/>
    <w:rsid w:val="00C5365C"/>
    <w:rsid w:val="00C634C6"/>
    <w:rsid w:val="00C64D59"/>
    <w:rsid w:val="00C660A7"/>
    <w:rsid w:val="00C66413"/>
    <w:rsid w:val="00C754BE"/>
    <w:rsid w:val="00C76B1C"/>
    <w:rsid w:val="00C925AC"/>
    <w:rsid w:val="00C94828"/>
    <w:rsid w:val="00C97A96"/>
    <w:rsid w:val="00CA0F3B"/>
    <w:rsid w:val="00CA30E0"/>
    <w:rsid w:val="00CB5FF6"/>
    <w:rsid w:val="00CB6357"/>
    <w:rsid w:val="00CC1B26"/>
    <w:rsid w:val="00CE4026"/>
    <w:rsid w:val="00D06146"/>
    <w:rsid w:val="00D0699E"/>
    <w:rsid w:val="00D153F9"/>
    <w:rsid w:val="00D22D2B"/>
    <w:rsid w:val="00D330F7"/>
    <w:rsid w:val="00D334DD"/>
    <w:rsid w:val="00D36189"/>
    <w:rsid w:val="00D361FD"/>
    <w:rsid w:val="00D423A2"/>
    <w:rsid w:val="00D44E26"/>
    <w:rsid w:val="00D51A5D"/>
    <w:rsid w:val="00D51F0D"/>
    <w:rsid w:val="00D520D8"/>
    <w:rsid w:val="00D55670"/>
    <w:rsid w:val="00D55E4B"/>
    <w:rsid w:val="00D61F9A"/>
    <w:rsid w:val="00D62B9C"/>
    <w:rsid w:val="00D63AC2"/>
    <w:rsid w:val="00D65E25"/>
    <w:rsid w:val="00D729F9"/>
    <w:rsid w:val="00D72C86"/>
    <w:rsid w:val="00D7383B"/>
    <w:rsid w:val="00D75A13"/>
    <w:rsid w:val="00D7788A"/>
    <w:rsid w:val="00D90DBD"/>
    <w:rsid w:val="00D936A2"/>
    <w:rsid w:val="00DA231B"/>
    <w:rsid w:val="00DB3472"/>
    <w:rsid w:val="00DB55DA"/>
    <w:rsid w:val="00DC39FC"/>
    <w:rsid w:val="00DC7CCB"/>
    <w:rsid w:val="00DD42BB"/>
    <w:rsid w:val="00DE20DD"/>
    <w:rsid w:val="00DE69E8"/>
    <w:rsid w:val="00DF1688"/>
    <w:rsid w:val="00DF5254"/>
    <w:rsid w:val="00DF54B2"/>
    <w:rsid w:val="00E02524"/>
    <w:rsid w:val="00E03EEE"/>
    <w:rsid w:val="00E1159D"/>
    <w:rsid w:val="00E16408"/>
    <w:rsid w:val="00E20894"/>
    <w:rsid w:val="00E245AB"/>
    <w:rsid w:val="00E24694"/>
    <w:rsid w:val="00E2764C"/>
    <w:rsid w:val="00E27F2E"/>
    <w:rsid w:val="00E31225"/>
    <w:rsid w:val="00E337DC"/>
    <w:rsid w:val="00E50AFE"/>
    <w:rsid w:val="00E52243"/>
    <w:rsid w:val="00E577E2"/>
    <w:rsid w:val="00E75C92"/>
    <w:rsid w:val="00E771DC"/>
    <w:rsid w:val="00E805C5"/>
    <w:rsid w:val="00E8772A"/>
    <w:rsid w:val="00E87B2B"/>
    <w:rsid w:val="00E90F6B"/>
    <w:rsid w:val="00E92C27"/>
    <w:rsid w:val="00EA0E3D"/>
    <w:rsid w:val="00EA426C"/>
    <w:rsid w:val="00EB1B58"/>
    <w:rsid w:val="00EB224C"/>
    <w:rsid w:val="00EB486A"/>
    <w:rsid w:val="00EC006D"/>
    <w:rsid w:val="00EC297F"/>
    <w:rsid w:val="00EC38A7"/>
    <w:rsid w:val="00ED4980"/>
    <w:rsid w:val="00ED6CFD"/>
    <w:rsid w:val="00EE1AA8"/>
    <w:rsid w:val="00EF1D4F"/>
    <w:rsid w:val="00EF5E13"/>
    <w:rsid w:val="00EF647F"/>
    <w:rsid w:val="00F11C6F"/>
    <w:rsid w:val="00F23FEA"/>
    <w:rsid w:val="00F24CCD"/>
    <w:rsid w:val="00F27B7B"/>
    <w:rsid w:val="00F31EDC"/>
    <w:rsid w:val="00F437D9"/>
    <w:rsid w:val="00F462B3"/>
    <w:rsid w:val="00F53C45"/>
    <w:rsid w:val="00F5664F"/>
    <w:rsid w:val="00F666C4"/>
    <w:rsid w:val="00F76AFC"/>
    <w:rsid w:val="00F81BF0"/>
    <w:rsid w:val="00F82E88"/>
    <w:rsid w:val="00F841CA"/>
    <w:rsid w:val="00F86E11"/>
    <w:rsid w:val="00F92509"/>
    <w:rsid w:val="00F95451"/>
    <w:rsid w:val="00FA0020"/>
    <w:rsid w:val="00FA2F2C"/>
    <w:rsid w:val="00FA47C0"/>
    <w:rsid w:val="00FA5FFD"/>
    <w:rsid w:val="00FB5DD1"/>
    <w:rsid w:val="00FC2B5D"/>
    <w:rsid w:val="00FD1DDC"/>
    <w:rsid w:val="00FD3AD2"/>
    <w:rsid w:val="00FD7465"/>
    <w:rsid w:val="00FF1449"/>
    <w:rsid w:val="00FF227D"/>
    <w:rsid w:val="00FF6983"/>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113DB00-9368-47DE-A928-A008ACB9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9E8"/>
  </w:style>
  <w:style w:type="paragraph" w:styleId="Ttulo3">
    <w:name w:val="heading 3"/>
    <w:basedOn w:val="Normal"/>
    <w:next w:val="Normal"/>
    <w:link w:val="Ttulo3Car"/>
    <w:uiPriority w:val="9"/>
    <w:semiHidden/>
    <w:unhideWhenUsed/>
    <w:qFormat/>
    <w:rsid w:val="001D11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semiHidden/>
    <w:unhideWhenUsed/>
    <w:rsid w:val="005F33B3"/>
    <w:pPr>
      <w:spacing w:after="120"/>
    </w:pPr>
  </w:style>
  <w:style w:type="character" w:customStyle="1" w:styleId="TextoindependienteCar">
    <w:name w:val="Texto independiente Car"/>
    <w:basedOn w:val="Fuentedeprrafopredeter"/>
    <w:link w:val="Textoindependiente"/>
    <w:uiPriority w:val="99"/>
    <w:semiHidden/>
    <w:rsid w:val="005F33B3"/>
  </w:style>
  <w:style w:type="character" w:customStyle="1" w:styleId="Ttulo3Car">
    <w:name w:val="Título 3 Car"/>
    <w:basedOn w:val="Fuentedeprrafopredeter"/>
    <w:link w:val="Ttulo3"/>
    <w:uiPriority w:val="9"/>
    <w:semiHidden/>
    <w:rsid w:val="001D116F"/>
    <w:rPr>
      <w:rFonts w:asciiTheme="majorHAnsi" w:eastAsiaTheme="majorEastAsia" w:hAnsiTheme="majorHAnsi" w:cstheme="majorBidi"/>
      <w:color w:val="1F3763" w:themeColor="accent1" w:themeShade="7F"/>
      <w:sz w:val="24"/>
      <w:szCs w:val="24"/>
    </w:rPr>
  </w:style>
  <w:style w:type="character" w:styleId="Mencinsinresolver">
    <w:name w:val="Unresolved Mention"/>
    <w:basedOn w:val="Fuentedeprrafopredeter"/>
    <w:uiPriority w:val="99"/>
    <w:semiHidden/>
    <w:unhideWhenUsed/>
    <w:rsid w:val="00791480"/>
    <w:rPr>
      <w:color w:val="605E5C"/>
      <w:shd w:val="clear" w:color="auto" w:fill="E1DFDD"/>
    </w:rPr>
  </w:style>
  <w:style w:type="character" w:customStyle="1" w:styleId="NormalWebCar">
    <w:name w:val="Normal (Web) Car"/>
    <w:link w:val="NormalWeb"/>
    <w:uiPriority w:val="99"/>
    <w:locked/>
    <w:rsid w:val="0097112C"/>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884112">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contrerasardila@gmail.com" TargetMode="External"/><Relationship Id="rId17" Type="http://schemas.openxmlformats.org/officeDocument/2006/relationships/hyperlink" Target="https://www.colombiacompra.gov.co/archivos/boletin/boletin-edicion-n-3-de-2026-radar-de-la-compra-public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archivos/circular/circular-externa-002-de-2026"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lombiacompra.gov.co/archivos/circular/circular-externa-003-de-2026"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archivos/manual/guia-de-garantias-en-procesos-de-contratacion"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archivos/manual/guia-para-adelantar-el-proceso-sancionatorio-administrativo-contractu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Props1.xml><?xml version="1.0" encoding="utf-8"?>
<ds:datastoreItem xmlns:ds="http://schemas.openxmlformats.org/officeDocument/2006/customXml" ds:itemID="{7CF6B00D-B57E-4294-8D9F-1D0D6D1A7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CB21CD87-56F4-4707-B4C0-8D41978A4C81}">
  <ds:schemaRefs>
    <ds:schemaRef ds:uri="http://schemas.openxmlformats.org/officeDocument/2006/bibliography"/>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38</Pages>
  <Words>13244</Words>
  <Characters>72842</Characters>
  <Application>Microsoft Office Word</Application>
  <DocSecurity>0</DocSecurity>
  <Lines>607</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19</cp:revision>
  <cp:lastPrinted>2023-01-10T21:18:00Z</cp:lastPrinted>
  <dcterms:created xsi:type="dcterms:W3CDTF">2026-08-25T13:01:00Z</dcterms:created>
  <dcterms:modified xsi:type="dcterms:W3CDTF">2026-08-26T14:34:00Z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